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E0" w:rsidRPr="00A7466C" w:rsidRDefault="00E436E0" w:rsidP="00E436E0">
      <w:pPr>
        <w:spacing w:after="0" w:line="240" w:lineRule="auto"/>
        <w:jc w:val="center"/>
        <w:rPr>
          <w:rFonts w:ascii="Times New Roman" w:eastAsia="Times New Roman" w:hAnsi="Times New Roman" w:cs="Times New Roman"/>
          <w:b/>
          <w:sz w:val="26"/>
          <w:szCs w:val="26"/>
          <w:lang w:bidi="en-US"/>
        </w:rPr>
      </w:pPr>
      <w:bookmarkStart w:id="0" w:name="_GoBack"/>
      <w:bookmarkEnd w:id="0"/>
      <w:r w:rsidRPr="00A7466C">
        <w:rPr>
          <w:rFonts w:ascii="Times New Roman" w:eastAsia="Times New Roman" w:hAnsi="Times New Roman" w:cs="Times New Roman"/>
          <w:b/>
          <w:sz w:val="26"/>
          <w:szCs w:val="26"/>
          <w:lang w:bidi="en-US"/>
        </w:rPr>
        <w:t>UNITED STATES OF AMERICA</w:t>
      </w:r>
    </w:p>
    <w:p w:rsidR="00E436E0" w:rsidRPr="00A7466C" w:rsidRDefault="00E436E0" w:rsidP="00E436E0">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E436E0" w:rsidRPr="00A7466C" w:rsidRDefault="00E436E0" w:rsidP="00E436E0">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E436E0" w:rsidRPr="00A7466C" w:rsidRDefault="00E436E0" w:rsidP="00E436E0">
      <w:pPr>
        <w:spacing w:after="0" w:line="240" w:lineRule="auto"/>
        <w:jc w:val="center"/>
        <w:rPr>
          <w:rFonts w:ascii="Times New Roman" w:eastAsia="Times New Roman" w:hAnsi="Times New Roman" w:cs="Times New Roman"/>
          <w:sz w:val="26"/>
          <w:szCs w:val="26"/>
          <w:lang w:bidi="en-US"/>
        </w:rPr>
      </w:pPr>
    </w:p>
    <w:p w:rsidR="00E436E0" w:rsidRPr="00A7466C" w:rsidRDefault="00E436E0" w:rsidP="00E436E0">
      <w:pPr>
        <w:spacing w:after="0" w:line="240" w:lineRule="auto"/>
        <w:jc w:val="center"/>
        <w:rPr>
          <w:rFonts w:ascii="Times New Roman" w:eastAsia="Times New Roman" w:hAnsi="Times New Roman" w:cs="Times New Roman"/>
          <w:sz w:val="26"/>
          <w:szCs w:val="26"/>
          <w:lang w:bidi="en-US"/>
        </w:rPr>
      </w:pPr>
    </w:p>
    <w:p w:rsidR="00E436E0" w:rsidRPr="00A7466C" w:rsidRDefault="00E436E0" w:rsidP="00E436E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sidRPr="00A7466C">
        <w:rPr>
          <w:rFonts w:ascii="Times New Roman" w:eastAsia="Times New Roman" w:hAnsi="Times New Roman" w:cs="Times New Roman"/>
          <w:sz w:val="26"/>
          <w:szCs w:val="26"/>
          <w:lang w:bidi="en-US"/>
        </w:rPr>
        <w:tab/>
      </w:r>
      <w:r w:rsidRPr="00A7466C">
        <w:rPr>
          <w:rFonts w:ascii="Times New Roman" w:eastAsia="Times New Roman" w:hAnsi="Times New Roman" w:cs="Times New Roman"/>
          <w:sz w:val="26"/>
          <w:szCs w:val="26"/>
          <w:lang w:bidi="en-US"/>
        </w:rPr>
        <w:tab/>
        <w:t>:</w:t>
      </w:r>
      <w:r w:rsidRPr="00A7466C">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ER15-</w:t>
      </w:r>
      <w:r w:rsidR="003F7AF9">
        <w:rPr>
          <w:rFonts w:ascii="Times New Roman" w:eastAsia="Times New Roman" w:hAnsi="Times New Roman" w:cs="Times New Roman"/>
          <w:sz w:val="26"/>
          <w:szCs w:val="26"/>
          <w:lang w:bidi="en-US"/>
        </w:rPr>
        <w:t>739</w:t>
      </w:r>
      <w:r>
        <w:rPr>
          <w:rFonts w:ascii="Times New Roman" w:eastAsia="Times New Roman" w:hAnsi="Times New Roman" w:cs="Times New Roman"/>
          <w:sz w:val="26"/>
          <w:szCs w:val="26"/>
          <w:lang w:bidi="en-US"/>
        </w:rPr>
        <w:t>-000</w:t>
      </w:r>
    </w:p>
    <w:p w:rsidR="00E436E0" w:rsidRPr="00A7466C" w:rsidRDefault="00E436E0" w:rsidP="00E436E0">
      <w:pPr>
        <w:spacing w:after="0" w:line="240" w:lineRule="auto"/>
        <w:jc w:val="center"/>
        <w:rPr>
          <w:rFonts w:ascii="Times New Roman" w:eastAsia="Times New Roman" w:hAnsi="Times New Roman" w:cs="Times New Roman"/>
          <w:sz w:val="26"/>
          <w:szCs w:val="26"/>
          <w:lang w:bidi="en-US"/>
        </w:rPr>
      </w:pPr>
    </w:p>
    <w:p w:rsidR="00E436E0" w:rsidRPr="00A7466C" w:rsidRDefault="00E436E0" w:rsidP="00E436E0">
      <w:pPr>
        <w:spacing w:after="0" w:line="240" w:lineRule="auto"/>
        <w:jc w:val="both"/>
        <w:rPr>
          <w:rFonts w:ascii="Times New Roman" w:eastAsia="Times New Roman" w:hAnsi="Times New Roman" w:cs="Times New Roman"/>
          <w:sz w:val="26"/>
          <w:szCs w:val="26"/>
          <w:lang w:bidi="en-US"/>
        </w:rPr>
      </w:pPr>
    </w:p>
    <w:p w:rsidR="00E436E0" w:rsidRPr="00A7466C" w:rsidRDefault="00D63327" w:rsidP="00E436E0">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std="t" o:hrnoshade="t" o:hr="t" fillcolor="black" stroked="f"/>
        </w:pict>
      </w:r>
    </w:p>
    <w:p w:rsidR="00E436E0" w:rsidRPr="00A7466C" w:rsidRDefault="00E436E0" w:rsidP="00E436E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COMMENTS AND LIMITED PROTEST</w:t>
      </w:r>
    </w:p>
    <w:p w:rsidR="00E436E0" w:rsidRPr="00A7466C" w:rsidRDefault="00E436E0" w:rsidP="00E436E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E436E0" w:rsidRPr="002B702B" w:rsidRDefault="00E436E0" w:rsidP="00E436E0">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Pr>
          <w:rFonts w:ascii="Times New Roman" w:eastAsia="Times New Roman" w:hAnsi="Times New Roman" w:cs="Times New Roman"/>
          <w:b/>
          <w:sz w:val="26"/>
          <w:szCs w:val="26"/>
          <w:lang w:bidi="en-US"/>
        </w:rPr>
        <w:t xml:space="preserve">PUBLIC UTILITIES COMMISSION OF OHIO </w:t>
      </w:r>
    </w:p>
    <w:p w:rsidR="00E436E0" w:rsidRPr="006D0979" w:rsidRDefault="00D63327" w:rsidP="00E436E0">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4F7F39" w:rsidRDefault="00E436E0" w:rsidP="005F5AEB">
      <w:pPr>
        <w:pStyle w:val="Textstyle"/>
      </w:pPr>
      <w:r>
        <w:tab/>
      </w:r>
      <w:r w:rsidR="004F7F39">
        <w:t>Pursuant to Rule</w:t>
      </w:r>
      <w:r w:rsidR="004F7F39" w:rsidRPr="00A7466C">
        <w:t xml:space="preserve"> 21</w:t>
      </w:r>
      <w:r w:rsidR="004F7F39">
        <w:t>1</w:t>
      </w:r>
      <w:r w:rsidR="004F7F39" w:rsidRPr="00A7466C">
        <w:t xml:space="preserve"> of the </w:t>
      </w:r>
      <w:r w:rsidR="004F7F39">
        <w:t xml:space="preserve">Federal Energy Regulatory Commission’s (Commission) </w:t>
      </w:r>
      <w:r w:rsidR="004F7F39" w:rsidRPr="00A7466C">
        <w:t>Rules of Practice and Procedure, 18 C.F.R. 385.21</w:t>
      </w:r>
      <w:r w:rsidR="004F7F39">
        <w:t>1, the PUCO</w:t>
      </w:r>
      <w:r w:rsidR="004F7F39">
        <w:rPr>
          <w:color w:val="FF0000"/>
        </w:rPr>
        <w:t xml:space="preserve"> </w:t>
      </w:r>
      <w:r w:rsidR="004F7F39" w:rsidRPr="00041742">
        <w:t>submit</w:t>
      </w:r>
      <w:r w:rsidR="004F7F39">
        <w:t>s</w:t>
      </w:r>
      <w:r w:rsidR="004F7F39" w:rsidRPr="00041742">
        <w:t xml:space="preserve"> the</w:t>
      </w:r>
      <w:r w:rsidR="004F7F39">
        <w:t xml:space="preserve"> following com</w:t>
      </w:r>
      <w:r w:rsidR="004F7F39">
        <w:softHyphen/>
        <w:t xml:space="preserve">ments and limited protest in response to </w:t>
      </w:r>
      <w:r w:rsidR="004F7F39" w:rsidRPr="008948F4">
        <w:t>PJM Interconnection, L.L.C</w:t>
      </w:r>
      <w:r w:rsidR="004F7F39">
        <w:t>.’s</w:t>
      </w:r>
      <w:r w:rsidR="004F7F39" w:rsidRPr="008948F4">
        <w:t xml:space="preserve"> (PJM)’s proposed re</w:t>
      </w:r>
      <w:r w:rsidR="004F7F39">
        <w:t xml:space="preserve">visions to its </w:t>
      </w:r>
      <w:r w:rsidR="004F7F39" w:rsidRPr="008948F4">
        <w:t>Open Ac</w:t>
      </w:r>
      <w:r w:rsidR="004F7F39">
        <w:t>cess Transmission Tariff (Tariff).  The Public Utilities Commission of Ohio (PUCO) intervened in this matter on January 12, 2015.</w:t>
      </w:r>
    </w:p>
    <w:p w:rsidR="003F7AF9" w:rsidRDefault="003F7AF9" w:rsidP="000C33C5">
      <w:pPr>
        <w:pStyle w:val="Heading1"/>
      </w:pPr>
      <w:r>
        <w:t>I.</w:t>
      </w:r>
      <w:r>
        <w:tab/>
      </w:r>
      <w:r w:rsidR="00B85378">
        <w:t>Introduction</w:t>
      </w:r>
    </w:p>
    <w:p w:rsidR="00B85378" w:rsidRDefault="003F7AF9" w:rsidP="005F5AEB">
      <w:pPr>
        <w:pStyle w:val="Textstyle"/>
      </w:pPr>
      <w:r>
        <w:tab/>
        <w:t xml:space="preserve">In its filing, PJM </w:t>
      </w:r>
      <w:r w:rsidR="00011D63">
        <w:t xml:space="preserve">seeks </w:t>
      </w:r>
      <w:r w:rsidR="00EC7FF2">
        <w:t>authorization for</w:t>
      </w:r>
      <w:r w:rsidR="00011D63">
        <w:t xml:space="preserve"> the ability </w:t>
      </w:r>
      <w:r w:rsidRPr="008948F4">
        <w:t xml:space="preserve">to </w:t>
      </w:r>
      <w:r w:rsidR="00A775D0">
        <w:t>secure</w:t>
      </w:r>
      <w:r w:rsidR="00EC7FF2">
        <w:t xml:space="preserve"> out-of-market capacity contracts </w:t>
      </w:r>
      <w:r w:rsidRPr="008948F4">
        <w:t xml:space="preserve">outside </w:t>
      </w:r>
      <w:r w:rsidR="00A775D0">
        <w:t xml:space="preserve">of </w:t>
      </w:r>
      <w:r w:rsidR="00B85378">
        <w:t xml:space="preserve">the </w:t>
      </w:r>
      <w:r w:rsidRPr="008948F4">
        <w:t>Reliability Pricing</w:t>
      </w:r>
      <w:r>
        <w:t xml:space="preserve"> Model (RPM</w:t>
      </w:r>
      <w:r w:rsidRPr="008948F4">
        <w:t xml:space="preserve">) </w:t>
      </w:r>
      <w:r w:rsidR="00011D63">
        <w:t>a</w:t>
      </w:r>
      <w:r w:rsidRPr="008948F4">
        <w:t>uctions</w:t>
      </w:r>
      <w:r>
        <w:t xml:space="preserve">.  PJM maintains that the ability to enter into out-of-market contracts will </w:t>
      </w:r>
      <w:r w:rsidRPr="008948F4">
        <w:t>alleviat</w:t>
      </w:r>
      <w:r>
        <w:t>e</w:t>
      </w:r>
      <w:r w:rsidRPr="008948F4">
        <w:t xml:space="preserve"> resource adequacy</w:t>
      </w:r>
      <w:r>
        <w:t xml:space="preserve"> </w:t>
      </w:r>
      <w:r w:rsidRPr="008948F4">
        <w:t xml:space="preserve">concerns </w:t>
      </w:r>
      <w:r>
        <w:t>for</w:t>
      </w:r>
      <w:r w:rsidRPr="008948F4">
        <w:t xml:space="preserve"> the 2015/2016 Delivery Year.</w:t>
      </w:r>
      <w:r>
        <w:t xml:space="preserve">  </w:t>
      </w:r>
      <w:r w:rsidR="00011D63">
        <w:t>Any</w:t>
      </w:r>
      <w:r>
        <w:t xml:space="preserve"> out-of-market </w:t>
      </w:r>
      <w:r w:rsidR="00011D63">
        <w:t xml:space="preserve">generation </w:t>
      </w:r>
      <w:r>
        <w:t>contracts would be subject to review on a case-by-case basis and would require Commission approval.</w:t>
      </w:r>
      <w:r w:rsidR="00011D63">
        <w:rPr>
          <w:rStyle w:val="FootnoteReference"/>
        </w:rPr>
        <w:footnoteReference w:id="1"/>
      </w:r>
      <w:r>
        <w:t xml:space="preserve">  </w:t>
      </w:r>
    </w:p>
    <w:p w:rsidR="00B85378" w:rsidRDefault="00B85378" w:rsidP="005F5AEB">
      <w:pPr>
        <w:pStyle w:val="Textstyle"/>
      </w:pPr>
      <w:r>
        <w:lastRenderedPageBreak/>
        <w:tab/>
        <w:t xml:space="preserve">The </w:t>
      </w:r>
      <w:r w:rsidR="004F7F39">
        <w:t>PUCO</w:t>
      </w:r>
      <w:r w:rsidR="00F60C13">
        <w:t xml:space="preserve"> </w:t>
      </w:r>
      <w:r>
        <w:t xml:space="preserve">agrees that there may be legitimate challenges to PJM’s resource adequacy for the 2015/2016 Delivery Year, however, PJM has not adequately defined what the cost allocation and cost recovery mechanism will </w:t>
      </w:r>
      <w:r w:rsidR="00D46EC0">
        <w:t>include</w:t>
      </w:r>
      <w:r>
        <w:t xml:space="preserve">.  The PUCO urges the </w:t>
      </w:r>
      <w:r w:rsidR="00F60C13">
        <w:t xml:space="preserve">Commission </w:t>
      </w:r>
      <w:r>
        <w:t xml:space="preserve">to issue a deficiency letter and order PJM to clarify and define its cost recovery proposal in a transparent manner. </w:t>
      </w:r>
    </w:p>
    <w:p w:rsidR="003F7AF9" w:rsidRDefault="00B85378" w:rsidP="000C33C5">
      <w:pPr>
        <w:pStyle w:val="Heading1"/>
      </w:pPr>
      <w:r>
        <w:t>II.</w:t>
      </w:r>
      <w:r>
        <w:tab/>
        <w:t xml:space="preserve">Background </w:t>
      </w:r>
    </w:p>
    <w:p w:rsidR="003D3147" w:rsidRDefault="003F7AF9" w:rsidP="00F60C13">
      <w:pPr>
        <w:pStyle w:val="Textstyle"/>
        <w:ind w:firstLine="720"/>
      </w:pPr>
      <w:r>
        <w:t xml:space="preserve">In support of its filing, PJM argues that it is facing legitimate reliability concerns for the 2015/2016 </w:t>
      </w:r>
      <w:r w:rsidR="00970B54">
        <w:t>Delivery Y</w:t>
      </w:r>
      <w:r>
        <w:t xml:space="preserve">ear.  PJM notes that it </w:t>
      </w:r>
      <w:r w:rsidR="003D3147">
        <w:t>stands to lose approximately 11,769 megawatts as a result of generation retirements.</w:t>
      </w:r>
      <w:r w:rsidR="00420D56">
        <w:rPr>
          <w:rStyle w:val="FootnoteReference"/>
        </w:rPr>
        <w:footnoteReference w:id="2"/>
      </w:r>
      <w:r w:rsidR="009004FB">
        <w:t xml:space="preserve">  </w:t>
      </w:r>
      <w:r w:rsidR="003D3147">
        <w:t>Further, approximately 11,000 megawatts of Demand Resources stand in a precarious position due to the recent EPSA order</w:t>
      </w:r>
      <w:r w:rsidR="00530964">
        <w:t>,</w:t>
      </w:r>
      <w:r w:rsidR="003D3147">
        <w:t xml:space="preserve"> </w:t>
      </w:r>
      <w:r w:rsidR="00EC7FF2">
        <w:t>which found that</w:t>
      </w:r>
      <w:r w:rsidR="003D3147">
        <w:t xml:space="preserve"> the Commission </w:t>
      </w:r>
      <w:r w:rsidR="00EC7FF2">
        <w:t>lacks</w:t>
      </w:r>
      <w:r w:rsidR="003D3147">
        <w:t xml:space="preserve"> authority to prescribe compensation levels for retail customers.</w:t>
      </w:r>
      <w:r w:rsidR="00420D56">
        <w:rPr>
          <w:rStyle w:val="FootnoteReference"/>
        </w:rPr>
        <w:footnoteReference w:id="3"/>
      </w:r>
      <w:r w:rsidR="003D3147">
        <w:t xml:space="preserve">  </w:t>
      </w:r>
      <w:r w:rsidR="002E0799">
        <w:t xml:space="preserve">Because of these two </w:t>
      </w:r>
      <w:r w:rsidR="00EC7FF2">
        <w:t>factors</w:t>
      </w:r>
      <w:r w:rsidR="002E0799">
        <w:t xml:space="preserve">, PJM fears that if it </w:t>
      </w:r>
      <w:r w:rsidR="00EC7FF2">
        <w:t xml:space="preserve">were to face </w:t>
      </w:r>
      <w:r w:rsidR="002E0799">
        <w:t>poor generation performance similar to last winter, where forced outage rates topped out at 22 percent, PJM would be unable to serve its load.</w:t>
      </w:r>
      <w:r w:rsidR="00F37602">
        <w:rPr>
          <w:rStyle w:val="FootnoteReference"/>
        </w:rPr>
        <w:footnoteReference w:id="4"/>
      </w:r>
      <w:r w:rsidR="002E0799">
        <w:t xml:space="preserve">  </w:t>
      </w:r>
    </w:p>
    <w:p w:rsidR="003F7AF9" w:rsidRDefault="003D3147" w:rsidP="005F5AEB">
      <w:pPr>
        <w:pStyle w:val="Textstyle"/>
      </w:pPr>
      <w:r>
        <w:tab/>
      </w:r>
      <w:r w:rsidR="002E0799" w:rsidRPr="002E0799">
        <w:t xml:space="preserve">To address resource adequacy concerns, PJM proposes to procure </w:t>
      </w:r>
      <w:r w:rsidR="00EC7FF2">
        <w:t xml:space="preserve">generation </w:t>
      </w:r>
      <w:r w:rsidR="002E0799">
        <w:t xml:space="preserve">through </w:t>
      </w:r>
      <w:r w:rsidR="002E0799" w:rsidRPr="002E0799">
        <w:t>out-of-market transactions with planned</w:t>
      </w:r>
      <w:r w:rsidR="00EC7FF2">
        <w:t xml:space="preserve"> and/or</w:t>
      </w:r>
      <w:r w:rsidR="002E0799" w:rsidRPr="002E0799">
        <w:t xml:space="preserve"> existing generation resources </w:t>
      </w:r>
      <w:r w:rsidR="002E0799">
        <w:t xml:space="preserve">that </w:t>
      </w:r>
      <w:r w:rsidR="002E0799">
        <w:lastRenderedPageBreak/>
        <w:t xml:space="preserve">are not </w:t>
      </w:r>
      <w:r w:rsidR="00EC7FF2">
        <w:t xml:space="preserve">yet </w:t>
      </w:r>
      <w:r w:rsidR="002E0799">
        <w:t>committed for</w:t>
      </w:r>
      <w:r w:rsidR="002E0799" w:rsidRPr="002E0799">
        <w:t xml:space="preserve"> the 2015/2016 Delivery Year.</w:t>
      </w:r>
      <w:r w:rsidR="00F37602">
        <w:rPr>
          <w:rStyle w:val="FootnoteReference"/>
        </w:rPr>
        <w:footnoteReference w:id="5"/>
      </w:r>
      <w:r w:rsidR="002E0799" w:rsidRPr="002E0799">
        <w:t xml:space="preserve"> </w:t>
      </w:r>
      <w:r w:rsidR="002E0799">
        <w:t xml:space="preserve"> </w:t>
      </w:r>
      <w:r w:rsidR="002E0799" w:rsidRPr="002E0799">
        <w:t>The</w:t>
      </w:r>
      <w:r w:rsidR="002E0799">
        <w:t>se</w:t>
      </w:r>
      <w:r w:rsidR="002E0799" w:rsidRPr="002E0799">
        <w:t xml:space="preserve"> procurements would </w:t>
      </w:r>
      <w:r w:rsidR="002E0799">
        <w:t>occur</w:t>
      </w:r>
      <w:r w:rsidR="002E0799" w:rsidRPr="002E0799">
        <w:t xml:space="preserve"> outside the RPM auction process</w:t>
      </w:r>
      <w:r w:rsidR="002E0799">
        <w:t xml:space="preserve">.  </w:t>
      </w:r>
      <w:r w:rsidR="002E0799" w:rsidRPr="002E0799">
        <w:t>The cost for the</w:t>
      </w:r>
      <w:r w:rsidR="00EC7FF2">
        <w:t>se out-of-market</w:t>
      </w:r>
      <w:r w:rsidR="002E0799" w:rsidRPr="002E0799">
        <w:t xml:space="preserve"> capacity </w:t>
      </w:r>
      <w:r w:rsidR="00EC7FF2">
        <w:t xml:space="preserve">contracts </w:t>
      </w:r>
      <w:r w:rsidR="002E0799" w:rsidRPr="002E0799">
        <w:t xml:space="preserve">would be collected pro rata from all LSEs, based on their </w:t>
      </w:r>
      <w:r w:rsidR="00530964">
        <w:t>d</w:t>
      </w:r>
      <w:r w:rsidR="002E0799" w:rsidRPr="002E0799">
        <w:t xml:space="preserve">aily </w:t>
      </w:r>
      <w:r w:rsidR="00530964">
        <w:t>u</w:t>
      </w:r>
      <w:r w:rsidR="002E0799" w:rsidRPr="002E0799">
        <w:t xml:space="preserve">nforced </w:t>
      </w:r>
      <w:r w:rsidR="00530964">
        <w:t>c</w:t>
      </w:r>
      <w:r w:rsidR="002E0799" w:rsidRPr="002E0799">
        <w:t xml:space="preserve">apacity </w:t>
      </w:r>
      <w:r w:rsidR="00530964">
        <w:t>o</w:t>
      </w:r>
      <w:r w:rsidR="002E0799" w:rsidRPr="002E0799">
        <w:t>bligations.</w:t>
      </w:r>
      <w:r w:rsidR="00F37602">
        <w:rPr>
          <w:rStyle w:val="FootnoteReference"/>
        </w:rPr>
        <w:footnoteReference w:id="6"/>
      </w:r>
    </w:p>
    <w:p w:rsidR="00E436E0" w:rsidRDefault="00E436E0" w:rsidP="005F5AEB">
      <w:pPr>
        <w:pStyle w:val="Textstyle"/>
        <w:rPr>
          <w:b/>
        </w:rPr>
      </w:pPr>
      <w:r w:rsidRPr="009004FB">
        <w:rPr>
          <w:b/>
        </w:rPr>
        <w:t>I</w:t>
      </w:r>
      <w:r w:rsidR="00B85378">
        <w:rPr>
          <w:b/>
        </w:rPr>
        <w:t>I</w:t>
      </w:r>
      <w:r w:rsidRPr="009004FB">
        <w:rPr>
          <w:b/>
        </w:rPr>
        <w:t>I.</w:t>
      </w:r>
      <w:r w:rsidRPr="005F5AEB">
        <w:rPr>
          <w:b/>
        </w:rPr>
        <w:tab/>
        <w:t>Comments</w:t>
      </w:r>
      <w:r w:rsidR="00B85378">
        <w:rPr>
          <w:b/>
        </w:rPr>
        <w:t xml:space="preserve"> and Limited Protest</w:t>
      </w:r>
    </w:p>
    <w:p w:rsidR="00EC7FF2" w:rsidRPr="00EC7FF2" w:rsidRDefault="00EC7FF2" w:rsidP="005F5AEB">
      <w:pPr>
        <w:pStyle w:val="Textstyle"/>
      </w:pPr>
      <w:r>
        <w:rPr>
          <w:b/>
        </w:rPr>
        <w:tab/>
      </w:r>
      <w:r>
        <w:t xml:space="preserve">The PUCO supports PJM’s efforts to safeguard resource adequacy for the 2015/2016 Delivery Year.  However, PJM has not provided sufficient information on how it intends to recover any costs that may be associated with ensuring generation resource adequacy.  </w:t>
      </w:r>
    </w:p>
    <w:p w:rsidR="00D10898" w:rsidRDefault="00E436E0" w:rsidP="000C33C5">
      <w:pPr>
        <w:pStyle w:val="Heading2"/>
      </w:pPr>
      <w:r w:rsidRPr="009004FB">
        <w:t>A.</w:t>
      </w:r>
      <w:r>
        <w:tab/>
      </w:r>
      <w:r w:rsidRPr="005F5AEB">
        <w:t xml:space="preserve">PJM </w:t>
      </w:r>
      <w:r w:rsidR="000C33C5">
        <w:t>h</w:t>
      </w:r>
      <w:r w:rsidRPr="005F5AEB">
        <w:t xml:space="preserve">as </w:t>
      </w:r>
      <w:r w:rsidR="000C33C5" w:rsidRPr="005F5AEB">
        <w:t>demonstrated legitimate reliabi</w:t>
      </w:r>
      <w:r w:rsidR="000C33C5">
        <w:t xml:space="preserve">lity concerns for the </w:t>
      </w:r>
      <w:r w:rsidR="000C33C5" w:rsidRPr="005F5AEB">
        <w:t>2015/2016</w:t>
      </w:r>
      <w:r w:rsidR="000C33C5">
        <w:t xml:space="preserve"> Delivery Year.</w:t>
      </w:r>
    </w:p>
    <w:p w:rsidR="005F5AEB" w:rsidRDefault="00D10898" w:rsidP="005F5AEB">
      <w:pPr>
        <w:pStyle w:val="Textstyle"/>
      </w:pPr>
      <w:r>
        <w:tab/>
        <w:t xml:space="preserve">PJM </w:t>
      </w:r>
      <w:r w:rsidR="00177848">
        <w:t xml:space="preserve">states that the 2015/2016 Delivery Year is notable in that an unprecedented level of generation retirements will be occurring.  As a result of an anticipated net loss of </w:t>
      </w:r>
      <w:r w:rsidR="005F5AEB">
        <w:t>generation</w:t>
      </w:r>
      <w:r w:rsidR="00177848">
        <w:t>, PJM will have 8,359 fewer megawatts of actual generation than it had for the 2013/2014 Delivery Year.</w:t>
      </w:r>
      <w:r w:rsidR="009F3241">
        <w:rPr>
          <w:rStyle w:val="FootnoteReference"/>
        </w:rPr>
        <w:footnoteReference w:id="7"/>
      </w:r>
      <w:r w:rsidR="00177848">
        <w:t xml:space="preserve">  </w:t>
      </w:r>
      <w:r w:rsidR="005F5AEB">
        <w:t xml:space="preserve">In addition, because of the foreseeable risk regarding </w:t>
      </w:r>
      <w:r w:rsidR="00EC7FF2">
        <w:t>the treatment</w:t>
      </w:r>
      <w:r w:rsidR="005F5AEB">
        <w:t xml:space="preserve"> of Demand Resources as a result of the EPSA proceeding, </w:t>
      </w:r>
      <w:r w:rsidR="00EC7FF2">
        <w:t>PJM could face the removal of all</w:t>
      </w:r>
      <w:r w:rsidR="005F5AEB">
        <w:t xml:space="preserve"> Demand Resources for the 2015/2016 Delivery Year</w:t>
      </w:r>
      <w:r w:rsidR="00EC7FF2">
        <w:t xml:space="preserve">, which account for </w:t>
      </w:r>
      <w:r w:rsidR="00EC7FF2">
        <w:lastRenderedPageBreak/>
        <w:t>11,257 megawatts.</w:t>
      </w:r>
      <w:r w:rsidR="00EC7FF2">
        <w:rPr>
          <w:rStyle w:val="FootnoteReference"/>
        </w:rPr>
        <w:footnoteReference w:id="8"/>
      </w:r>
      <w:r w:rsidR="000C33C5">
        <w:t xml:space="preserve"> </w:t>
      </w:r>
      <w:r w:rsidR="005F5AEB">
        <w:t xml:space="preserve"> PJM’s reliability reserve margin would drop to 13.2 percent, well below the established reserve requirement of 15.6 percent.</w:t>
      </w:r>
      <w:r w:rsidR="009F3241">
        <w:rPr>
          <w:rStyle w:val="FootnoteReference"/>
        </w:rPr>
        <w:footnoteReference w:id="9"/>
      </w:r>
      <w:r w:rsidR="005F5AEB">
        <w:t xml:space="preserve">  </w:t>
      </w:r>
    </w:p>
    <w:p w:rsidR="00D10898" w:rsidRPr="005F5AEB" w:rsidRDefault="005F5AEB" w:rsidP="005F5AEB">
      <w:pPr>
        <w:autoSpaceDE w:val="0"/>
        <w:autoSpaceDN w:val="0"/>
        <w:spacing w:after="0" w:line="480" w:lineRule="auto"/>
        <w:ind w:firstLine="720"/>
        <w:contextualSpacing/>
        <w:jc w:val="both"/>
        <w:rPr>
          <w:rFonts w:ascii="Times New Roman" w:eastAsia="Calibri" w:hAnsi="Times New Roman" w:cs="Times New Roman"/>
          <w:color w:val="000000"/>
          <w:sz w:val="26"/>
          <w:szCs w:val="26"/>
        </w:rPr>
      </w:pPr>
      <w:r w:rsidRPr="005F5AEB">
        <w:rPr>
          <w:rFonts w:ascii="Times New Roman" w:eastAsia="Calibri" w:hAnsi="Times New Roman" w:cs="Times New Roman"/>
          <w:color w:val="000000"/>
          <w:sz w:val="26"/>
          <w:szCs w:val="26"/>
        </w:rPr>
        <w:t xml:space="preserve">The PUCO agrees with PJM that entering the 2015/2016 Delivery Year with a reliability target of less than 15.6 percent </w:t>
      </w:r>
      <w:r w:rsidR="00320B94">
        <w:rPr>
          <w:rFonts w:ascii="Times New Roman" w:eastAsia="Calibri" w:hAnsi="Times New Roman" w:cs="Times New Roman"/>
          <w:color w:val="000000"/>
          <w:sz w:val="26"/>
          <w:szCs w:val="26"/>
        </w:rPr>
        <w:t>creates</w:t>
      </w:r>
      <w:r w:rsidRPr="005F5AEB">
        <w:rPr>
          <w:rFonts w:ascii="Times New Roman" w:eastAsia="Calibri" w:hAnsi="Times New Roman" w:cs="Times New Roman"/>
          <w:color w:val="000000"/>
          <w:sz w:val="26"/>
          <w:szCs w:val="26"/>
        </w:rPr>
        <w:t xml:space="preserve"> legitimate resource adequacy concerns.  In light of recent experiences of extreme weather in both summer and winter</w:t>
      </w:r>
      <w:r w:rsidR="00320B94">
        <w:rPr>
          <w:rFonts w:ascii="Times New Roman" w:eastAsia="Calibri" w:hAnsi="Times New Roman" w:cs="Times New Roman"/>
          <w:color w:val="000000"/>
          <w:sz w:val="26"/>
          <w:szCs w:val="26"/>
        </w:rPr>
        <w:t xml:space="preserve"> seasons</w:t>
      </w:r>
      <w:r w:rsidRPr="005F5AEB">
        <w:rPr>
          <w:rFonts w:ascii="Times New Roman" w:eastAsia="Calibri" w:hAnsi="Times New Roman" w:cs="Times New Roman"/>
          <w:color w:val="000000"/>
          <w:sz w:val="26"/>
          <w:szCs w:val="26"/>
        </w:rPr>
        <w:t>, coupled with highe</w:t>
      </w:r>
      <w:r w:rsidR="00320B94">
        <w:rPr>
          <w:rFonts w:ascii="Times New Roman" w:eastAsia="Calibri" w:hAnsi="Times New Roman" w:cs="Times New Roman"/>
          <w:color w:val="000000"/>
          <w:sz w:val="26"/>
          <w:szCs w:val="26"/>
        </w:rPr>
        <w:t>r forced outage rates, the PUCO opines that</w:t>
      </w:r>
      <w:r w:rsidRPr="005F5AEB">
        <w:rPr>
          <w:rFonts w:ascii="Times New Roman" w:eastAsia="Calibri" w:hAnsi="Times New Roman" w:cs="Times New Roman"/>
          <w:color w:val="000000"/>
          <w:sz w:val="26"/>
          <w:szCs w:val="26"/>
        </w:rPr>
        <w:t xml:space="preserve"> a low reserve margin </w:t>
      </w:r>
      <w:r>
        <w:rPr>
          <w:rFonts w:ascii="Times New Roman" w:eastAsia="Calibri" w:hAnsi="Times New Roman" w:cs="Times New Roman"/>
          <w:color w:val="000000"/>
          <w:sz w:val="26"/>
          <w:szCs w:val="26"/>
        </w:rPr>
        <w:t>creates serious reliability risks.  It</w:t>
      </w:r>
      <w:r w:rsidRPr="005F5AEB">
        <w:rPr>
          <w:rFonts w:ascii="Times New Roman" w:eastAsia="Calibri" w:hAnsi="Times New Roman" w:cs="Times New Roman"/>
          <w:color w:val="000000"/>
          <w:sz w:val="26"/>
          <w:szCs w:val="26"/>
        </w:rPr>
        <w:t xml:space="preserve"> is reasonable </w:t>
      </w:r>
      <w:r>
        <w:rPr>
          <w:rFonts w:ascii="Times New Roman" w:eastAsia="Calibri" w:hAnsi="Times New Roman" w:cs="Times New Roman"/>
          <w:color w:val="000000"/>
          <w:sz w:val="26"/>
          <w:szCs w:val="26"/>
        </w:rPr>
        <w:t xml:space="preserve">for </w:t>
      </w:r>
      <w:r w:rsidRPr="005F5AEB">
        <w:rPr>
          <w:rFonts w:ascii="Times New Roman" w:eastAsia="Calibri" w:hAnsi="Times New Roman" w:cs="Times New Roman"/>
          <w:color w:val="000000"/>
          <w:sz w:val="26"/>
          <w:szCs w:val="26"/>
        </w:rPr>
        <w:t xml:space="preserve">PJM </w:t>
      </w:r>
      <w:r>
        <w:rPr>
          <w:rFonts w:ascii="Times New Roman" w:eastAsia="Calibri" w:hAnsi="Times New Roman" w:cs="Times New Roman"/>
          <w:color w:val="000000"/>
          <w:sz w:val="26"/>
          <w:szCs w:val="26"/>
        </w:rPr>
        <w:t xml:space="preserve">to </w:t>
      </w:r>
      <w:r w:rsidR="0044575B">
        <w:rPr>
          <w:rFonts w:ascii="Times New Roman" w:eastAsia="Calibri" w:hAnsi="Times New Roman" w:cs="Times New Roman"/>
          <w:color w:val="000000"/>
          <w:sz w:val="26"/>
          <w:szCs w:val="26"/>
        </w:rPr>
        <w:t>procure additional generation commitments as necessary for resource adequacy</w:t>
      </w:r>
      <w:r>
        <w:rPr>
          <w:rFonts w:ascii="Times New Roman" w:eastAsia="Calibri" w:hAnsi="Times New Roman" w:cs="Times New Roman"/>
          <w:color w:val="000000"/>
          <w:sz w:val="26"/>
          <w:szCs w:val="26"/>
        </w:rPr>
        <w:t>.  These generation commitments will act</w:t>
      </w:r>
      <w:r w:rsidRPr="005F5AEB">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 xml:space="preserve">to reduce the risk of a </w:t>
      </w:r>
      <w:r w:rsidRPr="005F5AEB">
        <w:rPr>
          <w:rFonts w:ascii="Times New Roman" w:eastAsia="Calibri" w:hAnsi="Times New Roman" w:cs="Times New Roman"/>
          <w:color w:val="000000"/>
          <w:sz w:val="26"/>
          <w:szCs w:val="26"/>
        </w:rPr>
        <w:t>loss</w:t>
      </w:r>
      <w:r w:rsidR="00530964">
        <w:rPr>
          <w:rFonts w:ascii="Times New Roman" w:eastAsia="Calibri" w:hAnsi="Times New Roman" w:cs="Times New Roman"/>
          <w:color w:val="000000"/>
          <w:sz w:val="26"/>
          <w:szCs w:val="26"/>
        </w:rPr>
        <w:t>-</w:t>
      </w:r>
      <w:r w:rsidRPr="005F5AEB">
        <w:rPr>
          <w:rFonts w:ascii="Times New Roman" w:eastAsia="Calibri" w:hAnsi="Times New Roman" w:cs="Times New Roman"/>
          <w:color w:val="000000"/>
          <w:sz w:val="26"/>
          <w:szCs w:val="26"/>
        </w:rPr>
        <w:t>of</w:t>
      </w:r>
      <w:r w:rsidR="00530964">
        <w:rPr>
          <w:rFonts w:ascii="Times New Roman" w:eastAsia="Calibri" w:hAnsi="Times New Roman" w:cs="Times New Roman"/>
          <w:color w:val="000000"/>
          <w:sz w:val="26"/>
          <w:szCs w:val="26"/>
        </w:rPr>
        <w:t>-</w:t>
      </w:r>
      <w:r w:rsidRPr="005F5AEB">
        <w:rPr>
          <w:rFonts w:ascii="Times New Roman" w:eastAsia="Calibri" w:hAnsi="Times New Roman" w:cs="Times New Roman"/>
          <w:color w:val="000000"/>
          <w:sz w:val="26"/>
          <w:szCs w:val="26"/>
        </w:rPr>
        <w:t xml:space="preserve">load event in PJM’s territory. </w:t>
      </w:r>
    </w:p>
    <w:p w:rsidR="00301B02" w:rsidRDefault="00E436E0" w:rsidP="000C33C5">
      <w:pPr>
        <w:pStyle w:val="Heading2"/>
      </w:pPr>
      <w:r w:rsidRPr="009004FB">
        <w:t>B.</w:t>
      </w:r>
      <w:r w:rsidRPr="00301B02">
        <w:tab/>
      </w:r>
      <w:r w:rsidRPr="005F5AEB">
        <w:t xml:space="preserve">PJM </w:t>
      </w:r>
      <w:r w:rsidR="000C33C5" w:rsidRPr="005F5AEB">
        <w:t xml:space="preserve">has not </w:t>
      </w:r>
      <w:r w:rsidR="000C33C5">
        <w:t xml:space="preserve">shown </w:t>
      </w:r>
      <w:r w:rsidR="000C33C5" w:rsidRPr="005F5AEB">
        <w:t xml:space="preserve">that </w:t>
      </w:r>
      <w:r w:rsidR="000C33C5">
        <w:t xml:space="preserve">its anticipated cost recovery </w:t>
      </w:r>
      <w:r w:rsidR="000C33C5" w:rsidRPr="005F5AEB">
        <w:t>mechanism is just and reasonable</w:t>
      </w:r>
      <w:r w:rsidR="000C33C5">
        <w:t>.</w:t>
      </w:r>
    </w:p>
    <w:p w:rsidR="00301B02" w:rsidRPr="00B67728" w:rsidRDefault="00301B02" w:rsidP="00BF07BA">
      <w:pPr>
        <w:spacing w:line="480" w:lineRule="auto"/>
        <w:contextualSpacing/>
        <w:jc w:val="both"/>
        <w:rPr>
          <w:rFonts w:ascii="Times New Roman" w:hAnsi="Times New Roman" w:cs="Times New Roman"/>
          <w:sz w:val="26"/>
          <w:szCs w:val="26"/>
        </w:rPr>
      </w:pPr>
      <w:r>
        <w:tab/>
      </w:r>
      <w:r w:rsidRPr="00B67728">
        <w:rPr>
          <w:rFonts w:ascii="Times New Roman" w:hAnsi="Times New Roman" w:cs="Times New Roman"/>
          <w:sz w:val="26"/>
          <w:szCs w:val="26"/>
        </w:rPr>
        <w:t xml:space="preserve">Although PJM’s proposal highlights legitimate resource adequacy and reliability concerns for the 2015/2016 </w:t>
      </w:r>
      <w:r w:rsidR="00970B54">
        <w:rPr>
          <w:rFonts w:ascii="Times New Roman" w:hAnsi="Times New Roman" w:cs="Times New Roman"/>
          <w:sz w:val="26"/>
          <w:szCs w:val="26"/>
        </w:rPr>
        <w:t>D</w:t>
      </w:r>
      <w:r w:rsidR="00970B54" w:rsidRPr="00B67728">
        <w:rPr>
          <w:rFonts w:ascii="Times New Roman" w:hAnsi="Times New Roman" w:cs="Times New Roman"/>
          <w:sz w:val="26"/>
          <w:szCs w:val="26"/>
        </w:rPr>
        <w:t xml:space="preserve">elivery </w:t>
      </w:r>
      <w:r w:rsidR="00970B54">
        <w:rPr>
          <w:rFonts w:ascii="Times New Roman" w:hAnsi="Times New Roman" w:cs="Times New Roman"/>
          <w:sz w:val="26"/>
          <w:szCs w:val="26"/>
        </w:rPr>
        <w:t>Y</w:t>
      </w:r>
      <w:r w:rsidR="00970B54" w:rsidRPr="00B67728">
        <w:rPr>
          <w:rFonts w:ascii="Times New Roman" w:hAnsi="Times New Roman" w:cs="Times New Roman"/>
          <w:sz w:val="26"/>
          <w:szCs w:val="26"/>
        </w:rPr>
        <w:t>ear</w:t>
      </w:r>
      <w:r w:rsidRPr="00B67728">
        <w:rPr>
          <w:rFonts w:ascii="Times New Roman" w:hAnsi="Times New Roman" w:cs="Times New Roman"/>
          <w:sz w:val="26"/>
          <w:szCs w:val="26"/>
        </w:rPr>
        <w:t xml:space="preserve">, PJM has not adequately demonstrated </w:t>
      </w:r>
      <w:r w:rsidR="00E267B4">
        <w:rPr>
          <w:rFonts w:ascii="Times New Roman" w:hAnsi="Times New Roman" w:cs="Times New Roman"/>
          <w:sz w:val="26"/>
          <w:szCs w:val="26"/>
        </w:rPr>
        <w:t>a just and reasonable cost recovery mechanism</w:t>
      </w:r>
      <w:r w:rsidRPr="00B67728">
        <w:rPr>
          <w:rFonts w:ascii="Times New Roman" w:hAnsi="Times New Roman" w:cs="Times New Roman"/>
          <w:sz w:val="26"/>
          <w:szCs w:val="26"/>
        </w:rPr>
        <w:t xml:space="preserve">.  As a state with a restructured electricity market, Ohio </w:t>
      </w:r>
      <w:r>
        <w:rPr>
          <w:rFonts w:ascii="Times New Roman" w:hAnsi="Times New Roman" w:cs="Times New Roman"/>
          <w:sz w:val="26"/>
          <w:szCs w:val="26"/>
        </w:rPr>
        <w:t>must</w:t>
      </w:r>
      <w:r w:rsidR="00BF07BA">
        <w:rPr>
          <w:rFonts w:ascii="Times New Roman" w:hAnsi="Times New Roman" w:cs="Times New Roman"/>
          <w:sz w:val="26"/>
          <w:szCs w:val="26"/>
        </w:rPr>
        <w:t xml:space="preserve"> receive clear guidance</w:t>
      </w:r>
      <w:r w:rsidRPr="00B67728">
        <w:rPr>
          <w:rFonts w:ascii="Times New Roman" w:hAnsi="Times New Roman" w:cs="Times New Roman"/>
          <w:sz w:val="26"/>
          <w:szCs w:val="26"/>
        </w:rPr>
        <w:t xml:space="preserve"> as to what type of cost LSEs will </w:t>
      </w:r>
      <w:r>
        <w:rPr>
          <w:rFonts w:ascii="Times New Roman" w:hAnsi="Times New Roman" w:cs="Times New Roman"/>
          <w:sz w:val="26"/>
          <w:szCs w:val="26"/>
        </w:rPr>
        <w:t>incur</w:t>
      </w:r>
      <w:r w:rsidRPr="00B67728">
        <w:rPr>
          <w:rFonts w:ascii="Times New Roman" w:hAnsi="Times New Roman" w:cs="Times New Roman"/>
          <w:sz w:val="26"/>
          <w:szCs w:val="26"/>
        </w:rPr>
        <w:t>.  Clarification is ne</w:t>
      </w:r>
      <w:r w:rsidR="00A775D0">
        <w:rPr>
          <w:rFonts w:ascii="Times New Roman" w:hAnsi="Times New Roman" w:cs="Times New Roman"/>
          <w:sz w:val="26"/>
          <w:szCs w:val="26"/>
        </w:rPr>
        <w:t xml:space="preserve">cessary </w:t>
      </w:r>
      <w:r w:rsidRPr="00B67728">
        <w:rPr>
          <w:rFonts w:ascii="Times New Roman" w:hAnsi="Times New Roman" w:cs="Times New Roman"/>
          <w:sz w:val="26"/>
          <w:szCs w:val="26"/>
        </w:rPr>
        <w:t xml:space="preserve">to determine how the costs will be quantified once these </w:t>
      </w:r>
      <w:r w:rsidR="00BF07BA">
        <w:rPr>
          <w:rFonts w:ascii="Times New Roman" w:hAnsi="Times New Roman" w:cs="Times New Roman"/>
          <w:sz w:val="26"/>
          <w:szCs w:val="26"/>
        </w:rPr>
        <w:t xml:space="preserve">out-of-market </w:t>
      </w:r>
      <w:r w:rsidRPr="00B67728">
        <w:rPr>
          <w:rFonts w:ascii="Times New Roman" w:hAnsi="Times New Roman" w:cs="Times New Roman"/>
          <w:sz w:val="26"/>
          <w:szCs w:val="26"/>
        </w:rPr>
        <w:t>contract</w:t>
      </w:r>
      <w:r w:rsidR="00A775D0">
        <w:rPr>
          <w:rFonts w:ascii="Times New Roman" w:hAnsi="Times New Roman" w:cs="Times New Roman"/>
          <w:sz w:val="26"/>
          <w:szCs w:val="26"/>
        </w:rPr>
        <w:t>s are established</w:t>
      </w:r>
      <w:r w:rsidRPr="00B67728">
        <w:rPr>
          <w:rFonts w:ascii="Times New Roman" w:hAnsi="Times New Roman" w:cs="Times New Roman"/>
          <w:sz w:val="26"/>
          <w:szCs w:val="26"/>
        </w:rPr>
        <w:t xml:space="preserve">.  </w:t>
      </w:r>
    </w:p>
    <w:p w:rsidR="00301B02" w:rsidRPr="00B67728" w:rsidRDefault="00301B02" w:rsidP="00301B02">
      <w:pPr>
        <w:spacing w:line="480" w:lineRule="auto"/>
        <w:contextualSpacing/>
        <w:jc w:val="both"/>
        <w:rPr>
          <w:rFonts w:ascii="Times New Roman" w:hAnsi="Times New Roman" w:cs="Times New Roman"/>
          <w:sz w:val="26"/>
          <w:szCs w:val="26"/>
        </w:rPr>
      </w:pPr>
      <w:r w:rsidRPr="00B67728">
        <w:rPr>
          <w:rFonts w:ascii="Times New Roman" w:hAnsi="Times New Roman" w:cs="Times New Roman"/>
          <w:sz w:val="26"/>
          <w:szCs w:val="26"/>
        </w:rPr>
        <w:tab/>
        <w:t>Absent transparent and open cost</w:t>
      </w:r>
      <w:r>
        <w:rPr>
          <w:rFonts w:ascii="Times New Roman" w:hAnsi="Times New Roman" w:cs="Times New Roman"/>
          <w:sz w:val="26"/>
          <w:szCs w:val="26"/>
        </w:rPr>
        <w:t>-</w:t>
      </w:r>
      <w:r w:rsidRPr="00B67728">
        <w:rPr>
          <w:rFonts w:ascii="Times New Roman" w:hAnsi="Times New Roman" w:cs="Times New Roman"/>
          <w:sz w:val="26"/>
          <w:szCs w:val="26"/>
        </w:rPr>
        <w:t>recovery guidelines, PJM is leaving Ohio’s electric consum</w:t>
      </w:r>
      <w:r w:rsidR="00B85378">
        <w:rPr>
          <w:rFonts w:ascii="Times New Roman" w:hAnsi="Times New Roman" w:cs="Times New Roman"/>
          <w:sz w:val="26"/>
          <w:szCs w:val="26"/>
        </w:rPr>
        <w:t xml:space="preserve">ers in a vulnerable position.  </w:t>
      </w:r>
      <w:r>
        <w:rPr>
          <w:rFonts w:ascii="Times New Roman" w:hAnsi="Times New Roman" w:cs="Times New Roman"/>
          <w:sz w:val="26"/>
          <w:szCs w:val="26"/>
        </w:rPr>
        <w:t>P</w:t>
      </w:r>
      <w:r w:rsidRPr="00B67728">
        <w:rPr>
          <w:rFonts w:ascii="Times New Roman" w:hAnsi="Times New Roman" w:cs="Times New Roman"/>
          <w:sz w:val="26"/>
          <w:szCs w:val="26"/>
        </w:rPr>
        <w:t xml:space="preserve">articipants in Ohio’s standard service </w:t>
      </w:r>
      <w:r>
        <w:rPr>
          <w:rFonts w:ascii="Times New Roman" w:hAnsi="Times New Roman" w:cs="Times New Roman"/>
          <w:sz w:val="26"/>
          <w:szCs w:val="26"/>
        </w:rPr>
        <w:t>offers</w:t>
      </w:r>
      <w:r w:rsidRPr="00B67728">
        <w:rPr>
          <w:rFonts w:ascii="Times New Roman" w:hAnsi="Times New Roman" w:cs="Times New Roman"/>
          <w:sz w:val="26"/>
          <w:szCs w:val="26"/>
        </w:rPr>
        <w:t xml:space="preserve"> </w:t>
      </w:r>
      <w:r w:rsidR="00B85378">
        <w:rPr>
          <w:rFonts w:ascii="Times New Roman" w:hAnsi="Times New Roman" w:cs="Times New Roman"/>
          <w:sz w:val="26"/>
          <w:szCs w:val="26"/>
        </w:rPr>
        <w:lastRenderedPageBreak/>
        <w:t xml:space="preserve">(default service) </w:t>
      </w:r>
      <w:r w:rsidRPr="00B67728">
        <w:rPr>
          <w:rFonts w:ascii="Times New Roman" w:hAnsi="Times New Roman" w:cs="Times New Roman"/>
          <w:sz w:val="26"/>
          <w:szCs w:val="26"/>
        </w:rPr>
        <w:t>may not be able to quantify potential cost impacts that occur from PJM’s proposed out-of-market contracts.  A lack of specificity may unintentionally create confusion for Ohio electric consumers that have electric service contract</w:t>
      </w:r>
      <w:r>
        <w:rPr>
          <w:rFonts w:ascii="Times New Roman" w:hAnsi="Times New Roman" w:cs="Times New Roman"/>
          <w:sz w:val="26"/>
          <w:szCs w:val="26"/>
        </w:rPr>
        <w:t>s</w:t>
      </w:r>
      <w:r w:rsidRPr="00B67728">
        <w:rPr>
          <w:rFonts w:ascii="Times New Roman" w:hAnsi="Times New Roman" w:cs="Times New Roman"/>
          <w:sz w:val="26"/>
          <w:szCs w:val="26"/>
        </w:rPr>
        <w:t xml:space="preserve"> extending through and beyond the 2015/2016 </w:t>
      </w:r>
      <w:r>
        <w:rPr>
          <w:rFonts w:ascii="Times New Roman" w:hAnsi="Times New Roman" w:cs="Times New Roman"/>
          <w:sz w:val="26"/>
          <w:szCs w:val="26"/>
        </w:rPr>
        <w:t>D</w:t>
      </w:r>
      <w:r w:rsidRPr="00B67728">
        <w:rPr>
          <w:rFonts w:ascii="Times New Roman" w:hAnsi="Times New Roman" w:cs="Times New Roman"/>
          <w:sz w:val="26"/>
          <w:szCs w:val="26"/>
        </w:rPr>
        <w:t xml:space="preserve">elivery </w:t>
      </w:r>
      <w:r>
        <w:rPr>
          <w:rFonts w:ascii="Times New Roman" w:hAnsi="Times New Roman" w:cs="Times New Roman"/>
          <w:sz w:val="26"/>
          <w:szCs w:val="26"/>
        </w:rPr>
        <w:t>Y</w:t>
      </w:r>
      <w:r w:rsidRPr="00B67728">
        <w:rPr>
          <w:rFonts w:ascii="Times New Roman" w:hAnsi="Times New Roman" w:cs="Times New Roman"/>
          <w:sz w:val="26"/>
          <w:szCs w:val="26"/>
        </w:rPr>
        <w:t>ear</w:t>
      </w:r>
      <w:r w:rsidR="00781626">
        <w:rPr>
          <w:rFonts w:ascii="Times New Roman" w:hAnsi="Times New Roman" w:cs="Times New Roman"/>
          <w:sz w:val="26"/>
          <w:szCs w:val="26"/>
        </w:rPr>
        <w:t xml:space="preserve"> and the LSEs that are engaged in Ohio’s competitive retail electric markets</w:t>
      </w:r>
      <w:r w:rsidR="00A775D0">
        <w:rPr>
          <w:rFonts w:ascii="Times New Roman" w:hAnsi="Times New Roman" w:cs="Times New Roman"/>
          <w:sz w:val="26"/>
          <w:szCs w:val="26"/>
        </w:rPr>
        <w:t>.  T</w:t>
      </w:r>
      <w:r w:rsidRPr="00B67728">
        <w:rPr>
          <w:rFonts w:ascii="Times New Roman" w:hAnsi="Times New Roman" w:cs="Times New Roman"/>
          <w:sz w:val="26"/>
          <w:szCs w:val="26"/>
        </w:rPr>
        <w:t>hese concerns can be alleviated with additional, substantive information from PJM on how the costs associated with these out-of-market agreements will actually be collected.</w:t>
      </w:r>
    </w:p>
    <w:p w:rsidR="00301B02" w:rsidRDefault="00301B02" w:rsidP="00336C32">
      <w:pPr>
        <w:pStyle w:val="Heading3"/>
        <w:rPr>
          <w:b w:val="0"/>
        </w:rPr>
      </w:pPr>
      <w:r w:rsidRPr="00B67728">
        <w:t>1.</w:t>
      </w:r>
      <w:r w:rsidRPr="00B67728">
        <w:tab/>
        <w:t xml:space="preserve">PJM’s </w:t>
      </w:r>
      <w:r w:rsidR="00336C32" w:rsidRPr="00B67728">
        <w:t xml:space="preserve">tariff modification lacks sufficient detail on cost recovery and does not indicate what type of charge out-of-market contracts </w:t>
      </w:r>
      <w:r w:rsidR="00336C32">
        <w:t xml:space="preserve">will </w:t>
      </w:r>
      <w:r w:rsidR="00336C32" w:rsidRPr="00B67728">
        <w:t>fall under</w:t>
      </w:r>
      <w:r w:rsidR="00336C32">
        <w:t>.</w:t>
      </w:r>
    </w:p>
    <w:p w:rsidR="00301B02" w:rsidRPr="00B67728" w:rsidRDefault="00301B02" w:rsidP="00301B02">
      <w:pPr>
        <w:spacing w:line="480" w:lineRule="auto"/>
        <w:contextualSpacing/>
        <w:jc w:val="both"/>
        <w:rPr>
          <w:rFonts w:ascii="Times New Roman" w:hAnsi="Times New Roman" w:cs="Times New Roman"/>
          <w:sz w:val="26"/>
          <w:szCs w:val="26"/>
        </w:rPr>
      </w:pPr>
      <w:r w:rsidRPr="00B67728">
        <w:rPr>
          <w:rFonts w:ascii="Times New Roman" w:hAnsi="Times New Roman" w:cs="Times New Roman"/>
          <w:b/>
          <w:sz w:val="26"/>
          <w:szCs w:val="26"/>
        </w:rPr>
        <w:tab/>
      </w:r>
      <w:r w:rsidRPr="00B67728">
        <w:rPr>
          <w:rFonts w:ascii="Times New Roman" w:hAnsi="Times New Roman" w:cs="Times New Roman"/>
          <w:sz w:val="26"/>
          <w:szCs w:val="26"/>
        </w:rPr>
        <w:t>PJM</w:t>
      </w:r>
      <w:r>
        <w:rPr>
          <w:rFonts w:ascii="Times New Roman" w:hAnsi="Times New Roman" w:cs="Times New Roman"/>
          <w:sz w:val="26"/>
          <w:szCs w:val="26"/>
        </w:rPr>
        <w:t>’s</w:t>
      </w:r>
      <w:r w:rsidRPr="00B67728">
        <w:rPr>
          <w:rFonts w:ascii="Times New Roman" w:hAnsi="Times New Roman" w:cs="Times New Roman"/>
          <w:sz w:val="26"/>
          <w:szCs w:val="26"/>
        </w:rPr>
        <w:t xml:space="preserve"> tariff provision creates the ability to enter into out</w:t>
      </w:r>
      <w:r>
        <w:rPr>
          <w:rFonts w:ascii="Times New Roman" w:hAnsi="Times New Roman" w:cs="Times New Roman"/>
          <w:sz w:val="26"/>
          <w:szCs w:val="26"/>
        </w:rPr>
        <w:t>-</w:t>
      </w:r>
      <w:r w:rsidRPr="00B67728">
        <w:rPr>
          <w:rFonts w:ascii="Times New Roman" w:hAnsi="Times New Roman" w:cs="Times New Roman"/>
          <w:sz w:val="26"/>
          <w:szCs w:val="26"/>
        </w:rPr>
        <w:t>of</w:t>
      </w:r>
      <w:r>
        <w:rPr>
          <w:rFonts w:ascii="Times New Roman" w:hAnsi="Times New Roman" w:cs="Times New Roman"/>
          <w:sz w:val="26"/>
          <w:szCs w:val="26"/>
        </w:rPr>
        <w:t>-</w:t>
      </w:r>
      <w:r w:rsidRPr="00B67728">
        <w:rPr>
          <w:rFonts w:ascii="Times New Roman" w:hAnsi="Times New Roman" w:cs="Times New Roman"/>
          <w:sz w:val="26"/>
          <w:szCs w:val="26"/>
        </w:rPr>
        <w:t xml:space="preserve">market agreements for capacity from planned or existing generation that has not otherwise committed for the 2015/2016 </w:t>
      </w:r>
      <w:r>
        <w:rPr>
          <w:rFonts w:ascii="Times New Roman" w:hAnsi="Times New Roman" w:cs="Times New Roman"/>
          <w:sz w:val="26"/>
          <w:szCs w:val="26"/>
        </w:rPr>
        <w:t>D</w:t>
      </w:r>
      <w:r w:rsidRPr="00B67728">
        <w:rPr>
          <w:rFonts w:ascii="Times New Roman" w:hAnsi="Times New Roman" w:cs="Times New Roman"/>
          <w:sz w:val="26"/>
          <w:szCs w:val="26"/>
        </w:rPr>
        <w:t xml:space="preserve">elivery </w:t>
      </w:r>
      <w:r>
        <w:rPr>
          <w:rFonts w:ascii="Times New Roman" w:hAnsi="Times New Roman" w:cs="Times New Roman"/>
          <w:sz w:val="26"/>
          <w:szCs w:val="26"/>
        </w:rPr>
        <w:t>Y</w:t>
      </w:r>
      <w:r w:rsidRPr="00B67728">
        <w:rPr>
          <w:rFonts w:ascii="Times New Roman" w:hAnsi="Times New Roman" w:cs="Times New Roman"/>
          <w:sz w:val="26"/>
          <w:szCs w:val="26"/>
        </w:rPr>
        <w:t>ear.</w:t>
      </w:r>
      <w:r w:rsidR="009F3241">
        <w:rPr>
          <w:rStyle w:val="FootnoteReference"/>
          <w:rFonts w:ascii="Times New Roman" w:hAnsi="Times New Roman" w:cs="Times New Roman"/>
          <w:sz w:val="26"/>
          <w:szCs w:val="26"/>
        </w:rPr>
        <w:footnoteReference w:id="10"/>
      </w:r>
      <w:r w:rsidRPr="00B67728">
        <w:rPr>
          <w:rFonts w:ascii="Times New Roman" w:hAnsi="Times New Roman" w:cs="Times New Roman"/>
          <w:sz w:val="26"/>
          <w:szCs w:val="26"/>
        </w:rPr>
        <w:t xml:space="preserve">  The proposal indicates that costs associated with these agreements shall be allocated on a pro rata basis </w:t>
      </w:r>
      <w:r>
        <w:rPr>
          <w:rFonts w:ascii="Times New Roman" w:hAnsi="Times New Roman" w:cs="Times New Roman"/>
          <w:sz w:val="26"/>
          <w:szCs w:val="26"/>
        </w:rPr>
        <w:t>to</w:t>
      </w:r>
      <w:r w:rsidRPr="00B67728">
        <w:rPr>
          <w:rFonts w:ascii="Times New Roman" w:hAnsi="Times New Roman" w:cs="Times New Roman"/>
          <w:sz w:val="26"/>
          <w:szCs w:val="26"/>
        </w:rPr>
        <w:t xml:space="preserve"> all LSEs based on the LSEs’ daily unforced capacity obligations.</w:t>
      </w:r>
      <w:r w:rsidR="009F3241">
        <w:rPr>
          <w:rStyle w:val="FootnoteReference"/>
          <w:rFonts w:ascii="Times New Roman" w:hAnsi="Times New Roman" w:cs="Times New Roman"/>
          <w:sz w:val="26"/>
          <w:szCs w:val="26"/>
        </w:rPr>
        <w:footnoteReference w:id="11"/>
      </w:r>
      <w:r w:rsidRPr="00B67728">
        <w:rPr>
          <w:rFonts w:ascii="Times New Roman" w:hAnsi="Times New Roman" w:cs="Times New Roman"/>
          <w:sz w:val="26"/>
          <w:szCs w:val="26"/>
        </w:rPr>
        <w:t xml:space="preserve">  However, this tariff language </w:t>
      </w:r>
      <w:r w:rsidR="00E267B4">
        <w:rPr>
          <w:rFonts w:ascii="Times New Roman" w:hAnsi="Times New Roman" w:cs="Times New Roman"/>
          <w:sz w:val="26"/>
          <w:szCs w:val="26"/>
        </w:rPr>
        <w:t xml:space="preserve">does not specify </w:t>
      </w:r>
      <w:r w:rsidRPr="00B67728">
        <w:rPr>
          <w:rFonts w:ascii="Times New Roman" w:hAnsi="Times New Roman" w:cs="Times New Roman"/>
          <w:sz w:val="26"/>
          <w:szCs w:val="26"/>
        </w:rPr>
        <w:t xml:space="preserve">what type of charge PJM will use to classify </w:t>
      </w:r>
      <w:r w:rsidR="00E267B4">
        <w:rPr>
          <w:rFonts w:ascii="Times New Roman" w:hAnsi="Times New Roman" w:cs="Times New Roman"/>
          <w:sz w:val="26"/>
          <w:szCs w:val="26"/>
        </w:rPr>
        <w:t xml:space="preserve">these out-of-market agreements, and creates retail market uncertainties.  </w:t>
      </w:r>
    </w:p>
    <w:p w:rsidR="00301B02" w:rsidRPr="00B67728" w:rsidRDefault="00301B02" w:rsidP="00301B02">
      <w:pPr>
        <w:spacing w:line="480" w:lineRule="auto"/>
        <w:contextualSpacing/>
        <w:jc w:val="both"/>
        <w:rPr>
          <w:rFonts w:ascii="Times New Roman" w:hAnsi="Times New Roman" w:cs="Times New Roman"/>
          <w:sz w:val="26"/>
          <w:szCs w:val="26"/>
        </w:rPr>
      </w:pPr>
      <w:r w:rsidRPr="00B67728">
        <w:rPr>
          <w:rFonts w:ascii="Times New Roman" w:hAnsi="Times New Roman" w:cs="Times New Roman"/>
          <w:sz w:val="26"/>
          <w:szCs w:val="26"/>
        </w:rPr>
        <w:lastRenderedPageBreak/>
        <w:tab/>
        <w:t xml:space="preserve">As examples of how these out-of-market agreements will be </w:t>
      </w:r>
      <w:r w:rsidR="009E5A42">
        <w:rPr>
          <w:rFonts w:ascii="Times New Roman" w:hAnsi="Times New Roman" w:cs="Times New Roman"/>
          <w:sz w:val="26"/>
          <w:szCs w:val="26"/>
        </w:rPr>
        <w:t>treated</w:t>
      </w:r>
      <w:r w:rsidRPr="00B67728">
        <w:rPr>
          <w:rFonts w:ascii="Times New Roman" w:hAnsi="Times New Roman" w:cs="Times New Roman"/>
          <w:sz w:val="26"/>
          <w:szCs w:val="26"/>
        </w:rPr>
        <w:t xml:space="preserve">, PJM </w:t>
      </w:r>
      <w:r w:rsidR="009E5A42">
        <w:rPr>
          <w:rFonts w:ascii="Times New Roman" w:hAnsi="Times New Roman" w:cs="Times New Roman"/>
          <w:sz w:val="26"/>
          <w:szCs w:val="26"/>
        </w:rPr>
        <w:t xml:space="preserve">indicates </w:t>
      </w:r>
      <w:r w:rsidRPr="00B67728">
        <w:rPr>
          <w:rFonts w:ascii="Times New Roman" w:hAnsi="Times New Roman" w:cs="Times New Roman"/>
          <w:sz w:val="26"/>
          <w:szCs w:val="26"/>
        </w:rPr>
        <w:t xml:space="preserve">that </w:t>
      </w:r>
      <w:r>
        <w:rPr>
          <w:rFonts w:ascii="Times New Roman" w:hAnsi="Times New Roman" w:cs="Times New Roman"/>
          <w:sz w:val="26"/>
          <w:szCs w:val="26"/>
        </w:rPr>
        <w:t xml:space="preserve">the </w:t>
      </w:r>
      <w:r w:rsidRPr="00B67728">
        <w:rPr>
          <w:rFonts w:ascii="Times New Roman" w:hAnsi="Times New Roman" w:cs="Times New Roman"/>
          <w:sz w:val="26"/>
          <w:szCs w:val="26"/>
        </w:rPr>
        <w:t>cost allocation is consistent with transmission cost recovery.</w:t>
      </w:r>
      <w:r w:rsidR="009F3241">
        <w:rPr>
          <w:rStyle w:val="FootnoteReference"/>
          <w:rFonts w:ascii="Times New Roman" w:hAnsi="Times New Roman" w:cs="Times New Roman"/>
          <w:sz w:val="26"/>
          <w:szCs w:val="26"/>
        </w:rPr>
        <w:footnoteReference w:id="12"/>
      </w:r>
      <w:r w:rsidRPr="00B67728">
        <w:rPr>
          <w:rFonts w:ascii="Times New Roman" w:hAnsi="Times New Roman" w:cs="Times New Roman"/>
          <w:sz w:val="26"/>
          <w:szCs w:val="26"/>
        </w:rPr>
        <w:t xml:space="preserve">  PJM adds that these out-of-market contracts are also analogous to make-whole payments for other out-of-market reliability contracts.</w:t>
      </w:r>
      <w:r w:rsidR="009F3241">
        <w:rPr>
          <w:rStyle w:val="FootnoteReference"/>
          <w:rFonts w:ascii="Times New Roman" w:hAnsi="Times New Roman" w:cs="Times New Roman"/>
          <w:sz w:val="26"/>
          <w:szCs w:val="26"/>
        </w:rPr>
        <w:footnoteReference w:id="13"/>
      </w:r>
      <w:r w:rsidRPr="00B67728">
        <w:rPr>
          <w:rFonts w:ascii="Times New Roman" w:hAnsi="Times New Roman" w:cs="Times New Roman"/>
          <w:sz w:val="26"/>
          <w:szCs w:val="26"/>
        </w:rPr>
        <w:t xml:space="preserve">  By citing to two different methodologies, PJM casts uncertainty as to what these out-of-market contracts are intended for and </w:t>
      </w:r>
      <w:r w:rsidR="00E267B4">
        <w:rPr>
          <w:rFonts w:ascii="Times New Roman" w:hAnsi="Times New Roman" w:cs="Times New Roman"/>
          <w:sz w:val="26"/>
          <w:szCs w:val="26"/>
        </w:rPr>
        <w:t>the</w:t>
      </w:r>
      <w:r w:rsidRPr="00B67728">
        <w:rPr>
          <w:rFonts w:ascii="Times New Roman" w:hAnsi="Times New Roman" w:cs="Times New Roman"/>
          <w:sz w:val="26"/>
          <w:szCs w:val="26"/>
        </w:rPr>
        <w:t xml:space="preserve"> type of classification any costs associated with such contracts will fall under.  </w:t>
      </w:r>
    </w:p>
    <w:p w:rsidR="00301B02" w:rsidRPr="00B67728" w:rsidRDefault="00301B02" w:rsidP="00301B02">
      <w:pPr>
        <w:spacing w:line="480" w:lineRule="auto"/>
        <w:contextualSpacing/>
        <w:jc w:val="both"/>
        <w:rPr>
          <w:rFonts w:ascii="Times New Roman" w:hAnsi="Times New Roman" w:cs="Times New Roman"/>
          <w:sz w:val="26"/>
          <w:szCs w:val="26"/>
        </w:rPr>
      </w:pPr>
      <w:r w:rsidRPr="00B67728">
        <w:rPr>
          <w:rFonts w:ascii="Times New Roman" w:hAnsi="Times New Roman" w:cs="Times New Roman"/>
          <w:sz w:val="26"/>
          <w:szCs w:val="26"/>
        </w:rPr>
        <w:tab/>
        <w:t xml:space="preserve">By citing to two different mechanisms, it appears that PJM is indicating that these out-of-market contracts could be characterized as a transmission charge for all LSEs or could also </w:t>
      </w:r>
      <w:r>
        <w:rPr>
          <w:rFonts w:ascii="Times New Roman" w:hAnsi="Times New Roman" w:cs="Times New Roman"/>
          <w:sz w:val="26"/>
          <w:szCs w:val="26"/>
        </w:rPr>
        <w:t xml:space="preserve">be </w:t>
      </w:r>
      <w:r w:rsidRPr="00B67728">
        <w:rPr>
          <w:rFonts w:ascii="Times New Roman" w:hAnsi="Times New Roman" w:cs="Times New Roman"/>
          <w:sz w:val="26"/>
          <w:szCs w:val="26"/>
        </w:rPr>
        <w:t>similar to a reliability must</w:t>
      </w:r>
      <w:r>
        <w:rPr>
          <w:rFonts w:ascii="Times New Roman" w:hAnsi="Times New Roman" w:cs="Times New Roman"/>
          <w:sz w:val="26"/>
          <w:szCs w:val="26"/>
        </w:rPr>
        <w:t>-</w:t>
      </w:r>
      <w:r w:rsidRPr="00B67728">
        <w:rPr>
          <w:rFonts w:ascii="Times New Roman" w:hAnsi="Times New Roman" w:cs="Times New Roman"/>
          <w:sz w:val="26"/>
          <w:szCs w:val="26"/>
        </w:rPr>
        <w:t>run contract.  The PUCO urges clarification as to what type of charge PJM is seeking to establish, and what</w:t>
      </w:r>
      <w:r w:rsidR="009E5A42">
        <w:rPr>
          <w:rFonts w:ascii="Times New Roman" w:hAnsi="Times New Roman" w:cs="Times New Roman"/>
          <w:sz w:val="26"/>
          <w:szCs w:val="26"/>
        </w:rPr>
        <w:t xml:space="preserve"> end-</w:t>
      </w:r>
      <w:r w:rsidRPr="00B67728">
        <w:rPr>
          <w:rFonts w:ascii="Times New Roman" w:hAnsi="Times New Roman" w:cs="Times New Roman"/>
          <w:sz w:val="26"/>
          <w:szCs w:val="26"/>
        </w:rPr>
        <w:t xml:space="preserve">use customers are receiving in exchange for the charge.  This uncertainty can and should be corrected.  </w:t>
      </w:r>
    </w:p>
    <w:p w:rsidR="00301B02" w:rsidRDefault="00301B02" w:rsidP="00336C32">
      <w:pPr>
        <w:pStyle w:val="Heading3"/>
      </w:pPr>
      <w:r w:rsidRPr="00B67728">
        <w:t>2.</w:t>
      </w:r>
      <w:r w:rsidRPr="00B67728">
        <w:tab/>
        <w:t xml:space="preserve">PJM </w:t>
      </w:r>
      <w:r w:rsidR="00336C32" w:rsidRPr="00B67728">
        <w:t xml:space="preserve">does not indicate whether cost allocation applies to </w:t>
      </w:r>
      <w:proofErr w:type="spellStart"/>
      <w:r w:rsidRPr="00B67728">
        <w:t>FRR</w:t>
      </w:r>
      <w:proofErr w:type="spellEnd"/>
      <w:r w:rsidRPr="00B67728">
        <w:t xml:space="preserve"> </w:t>
      </w:r>
      <w:r w:rsidR="00336C32" w:rsidRPr="00B67728">
        <w:t>entities</w:t>
      </w:r>
      <w:r w:rsidR="00336C32">
        <w:t>.</w:t>
      </w:r>
    </w:p>
    <w:p w:rsidR="00301B02" w:rsidRPr="00B67728" w:rsidRDefault="00301B02" w:rsidP="00301B02">
      <w:pPr>
        <w:spacing w:line="480" w:lineRule="auto"/>
        <w:contextualSpacing/>
        <w:jc w:val="both"/>
        <w:rPr>
          <w:rFonts w:ascii="Times New Roman" w:hAnsi="Times New Roman" w:cs="Times New Roman"/>
          <w:sz w:val="26"/>
          <w:szCs w:val="26"/>
        </w:rPr>
      </w:pPr>
      <w:r w:rsidRPr="00B67728">
        <w:rPr>
          <w:rFonts w:ascii="Times New Roman" w:hAnsi="Times New Roman" w:cs="Times New Roman"/>
          <w:b/>
          <w:sz w:val="26"/>
          <w:szCs w:val="26"/>
        </w:rPr>
        <w:tab/>
      </w:r>
      <w:r w:rsidRPr="00B67728">
        <w:rPr>
          <w:rFonts w:ascii="Times New Roman" w:hAnsi="Times New Roman" w:cs="Times New Roman"/>
          <w:sz w:val="26"/>
          <w:szCs w:val="26"/>
        </w:rPr>
        <w:t xml:space="preserve">PJM explains that its proposal is </w:t>
      </w:r>
      <w:r w:rsidR="009E5A42">
        <w:rPr>
          <w:rFonts w:ascii="Times New Roman" w:hAnsi="Times New Roman" w:cs="Times New Roman"/>
          <w:sz w:val="26"/>
          <w:szCs w:val="26"/>
        </w:rPr>
        <w:t>intended to address</w:t>
      </w:r>
      <w:r w:rsidRPr="00B67728">
        <w:rPr>
          <w:rFonts w:ascii="Times New Roman" w:hAnsi="Times New Roman" w:cs="Times New Roman"/>
          <w:sz w:val="26"/>
          <w:szCs w:val="26"/>
        </w:rPr>
        <w:t xml:space="preserve"> resource adequacy concerns for the 2015/2016 </w:t>
      </w:r>
      <w:r>
        <w:rPr>
          <w:rFonts w:ascii="Times New Roman" w:hAnsi="Times New Roman" w:cs="Times New Roman"/>
          <w:sz w:val="26"/>
          <w:szCs w:val="26"/>
        </w:rPr>
        <w:t>D</w:t>
      </w:r>
      <w:r w:rsidRPr="00B67728">
        <w:rPr>
          <w:rFonts w:ascii="Times New Roman" w:hAnsi="Times New Roman" w:cs="Times New Roman"/>
          <w:sz w:val="26"/>
          <w:szCs w:val="26"/>
        </w:rPr>
        <w:t xml:space="preserve">elivery </w:t>
      </w:r>
      <w:r>
        <w:rPr>
          <w:rFonts w:ascii="Times New Roman" w:hAnsi="Times New Roman" w:cs="Times New Roman"/>
          <w:sz w:val="26"/>
          <w:szCs w:val="26"/>
        </w:rPr>
        <w:t>Y</w:t>
      </w:r>
      <w:r w:rsidRPr="00B67728">
        <w:rPr>
          <w:rFonts w:ascii="Times New Roman" w:hAnsi="Times New Roman" w:cs="Times New Roman"/>
          <w:sz w:val="26"/>
          <w:szCs w:val="26"/>
        </w:rPr>
        <w:t>ear.  Specifically, PJM notes that its proposed out-of-market agreements will balance grid reliability</w:t>
      </w:r>
      <w:r w:rsidR="00976E8F">
        <w:rPr>
          <w:rFonts w:ascii="Times New Roman" w:hAnsi="Times New Roman" w:cs="Times New Roman"/>
          <w:sz w:val="26"/>
          <w:szCs w:val="26"/>
        </w:rPr>
        <w:t>.  In its proposal, PJM points out that the out-of-market contracts ensure that the entire</w:t>
      </w:r>
      <w:r w:rsidRPr="00B67728">
        <w:rPr>
          <w:rFonts w:ascii="Times New Roman" w:hAnsi="Times New Roman" w:cs="Times New Roman"/>
          <w:sz w:val="26"/>
          <w:szCs w:val="26"/>
        </w:rPr>
        <w:t xml:space="preserve"> “PJM Region can continue to satisfy during the 2015/2016 Delivery Year the applicable reliability standards on resource adequacy…”.</w:t>
      </w:r>
      <w:r w:rsidR="009F3241">
        <w:rPr>
          <w:rStyle w:val="FootnoteReference"/>
          <w:rFonts w:ascii="Times New Roman" w:hAnsi="Times New Roman" w:cs="Times New Roman"/>
          <w:sz w:val="26"/>
          <w:szCs w:val="26"/>
        </w:rPr>
        <w:footnoteReference w:id="14"/>
      </w:r>
      <w:r w:rsidRPr="00B67728">
        <w:rPr>
          <w:rFonts w:ascii="Times New Roman" w:hAnsi="Times New Roman" w:cs="Times New Roman"/>
          <w:sz w:val="26"/>
          <w:szCs w:val="26"/>
        </w:rPr>
        <w:t xml:space="preserve">  </w:t>
      </w:r>
    </w:p>
    <w:p w:rsidR="00301B02" w:rsidRPr="00B67728" w:rsidRDefault="00BF07BA" w:rsidP="00301B02">
      <w:pPr>
        <w:spacing w:line="48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ab/>
        <w:t>While PJM notes that any costs associated with these out-of-market contracts</w:t>
      </w:r>
      <w:r w:rsidR="00301B02" w:rsidRPr="00B67728">
        <w:rPr>
          <w:rFonts w:ascii="Times New Roman" w:hAnsi="Times New Roman" w:cs="Times New Roman"/>
          <w:sz w:val="26"/>
          <w:szCs w:val="26"/>
        </w:rPr>
        <w:t xml:space="preserve"> will be allocated on a pro rata basis from all LSEs, PJM does not clarify whether this applies to both RPM and Fixed Resource Requirement (FR</w:t>
      </w:r>
      <w:r w:rsidR="00B85378">
        <w:rPr>
          <w:rFonts w:ascii="Times New Roman" w:hAnsi="Times New Roman" w:cs="Times New Roman"/>
          <w:sz w:val="26"/>
          <w:szCs w:val="26"/>
        </w:rPr>
        <w:t xml:space="preserve">R) units, or just RPM units.  </w:t>
      </w:r>
      <w:r w:rsidR="00301B02" w:rsidRPr="00B67728">
        <w:rPr>
          <w:rFonts w:ascii="Times New Roman" w:hAnsi="Times New Roman" w:cs="Times New Roman"/>
          <w:sz w:val="26"/>
          <w:szCs w:val="26"/>
        </w:rPr>
        <w:t>Based on PJM’s assertion that the agreements are out-of-market and meant to ensure</w:t>
      </w:r>
      <w:r w:rsidR="009E5A42">
        <w:rPr>
          <w:rFonts w:ascii="Times New Roman" w:hAnsi="Times New Roman" w:cs="Times New Roman"/>
          <w:sz w:val="26"/>
          <w:szCs w:val="26"/>
        </w:rPr>
        <w:t xml:space="preserve"> that</w:t>
      </w:r>
      <w:r w:rsidR="00301B02" w:rsidRPr="00B67728">
        <w:rPr>
          <w:rFonts w:ascii="Times New Roman" w:hAnsi="Times New Roman" w:cs="Times New Roman"/>
          <w:sz w:val="26"/>
          <w:szCs w:val="26"/>
        </w:rPr>
        <w:t xml:space="preserve"> the PJM </w:t>
      </w:r>
      <w:r w:rsidR="00301B02">
        <w:rPr>
          <w:rFonts w:ascii="Times New Roman" w:hAnsi="Times New Roman" w:cs="Times New Roman"/>
          <w:sz w:val="26"/>
          <w:szCs w:val="26"/>
        </w:rPr>
        <w:t>R</w:t>
      </w:r>
      <w:r w:rsidR="00301B02" w:rsidRPr="00B67728">
        <w:rPr>
          <w:rFonts w:ascii="Times New Roman" w:hAnsi="Times New Roman" w:cs="Times New Roman"/>
          <w:sz w:val="26"/>
          <w:szCs w:val="26"/>
        </w:rPr>
        <w:t xml:space="preserve">egion satisfies reliability standards, as well as the fact that any costs will be collected from all LSEs, it </w:t>
      </w:r>
      <w:r w:rsidR="009E5A42" w:rsidRPr="00B67728">
        <w:rPr>
          <w:rFonts w:ascii="Times New Roman" w:hAnsi="Times New Roman" w:cs="Times New Roman"/>
          <w:sz w:val="26"/>
          <w:szCs w:val="26"/>
        </w:rPr>
        <w:t>seems</w:t>
      </w:r>
      <w:r w:rsidR="00301B02" w:rsidRPr="00B67728">
        <w:rPr>
          <w:rFonts w:ascii="Times New Roman" w:hAnsi="Times New Roman" w:cs="Times New Roman"/>
          <w:sz w:val="26"/>
          <w:szCs w:val="26"/>
        </w:rPr>
        <w:t xml:space="preserve"> that the cost recovery is meant to occur f</w:t>
      </w:r>
      <w:r w:rsidR="00B85378">
        <w:rPr>
          <w:rFonts w:ascii="Times New Roman" w:hAnsi="Times New Roman" w:cs="Times New Roman"/>
          <w:sz w:val="26"/>
          <w:szCs w:val="26"/>
        </w:rPr>
        <w:t xml:space="preserve">rom both FRR and RPM entities.  </w:t>
      </w:r>
      <w:r w:rsidR="00301B02" w:rsidRPr="00B67728">
        <w:rPr>
          <w:rFonts w:ascii="Times New Roman" w:hAnsi="Times New Roman" w:cs="Times New Roman"/>
          <w:sz w:val="26"/>
          <w:szCs w:val="26"/>
        </w:rPr>
        <w:t xml:space="preserve">Nonetheless, the PUCO seeks confirmation that the costs of any payments for out-of-market contracts are borne by both FRR and RPM entities.  </w:t>
      </w:r>
    </w:p>
    <w:p w:rsidR="00301B02" w:rsidRDefault="00301B02" w:rsidP="00336C32">
      <w:pPr>
        <w:pStyle w:val="Heading3"/>
      </w:pPr>
      <w:r w:rsidRPr="00B67728">
        <w:t>3.</w:t>
      </w:r>
      <w:r w:rsidRPr="00B67728">
        <w:tab/>
        <w:t xml:space="preserve">Waiting to </w:t>
      </w:r>
      <w:r w:rsidR="00336C32" w:rsidRPr="00B67728">
        <w:t>review cost recovery mechanisms in subsequent filings harms competitive choice states</w:t>
      </w:r>
      <w:r w:rsidR="00336C32">
        <w:t>.</w:t>
      </w:r>
    </w:p>
    <w:p w:rsidR="00E436E0" w:rsidRPr="005F5AEB" w:rsidRDefault="00301B02" w:rsidP="005F5AEB">
      <w:pPr>
        <w:spacing w:line="480" w:lineRule="auto"/>
        <w:contextualSpacing/>
        <w:jc w:val="both"/>
        <w:rPr>
          <w:rFonts w:ascii="Times New Roman" w:hAnsi="Times New Roman" w:cs="Times New Roman"/>
          <w:sz w:val="26"/>
          <w:szCs w:val="26"/>
        </w:rPr>
      </w:pPr>
      <w:r w:rsidRPr="00B67728">
        <w:rPr>
          <w:rFonts w:ascii="Times New Roman" w:hAnsi="Times New Roman" w:cs="Times New Roman"/>
          <w:b/>
          <w:sz w:val="26"/>
          <w:szCs w:val="26"/>
        </w:rPr>
        <w:tab/>
      </w:r>
      <w:r w:rsidRPr="00B67728">
        <w:rPr>
          <w:rFonts w:ascii="Times New Roman" w:hAnsi="Times New Roman" w:cs="Times New Roman"/>
          <w:sz w:val="26"/>
          <w:szCs w:val="26"/>
        </w:rPr>
        <w:t xml:space="preserve">The PUCO understands the need to ensure resource adequacy and reliability for the 2015/2016 </w:t>
      </w:r>
      <w:r w:rsidR="00970B54">
        <w:rPr>
          <w:rFonts w:ascii="Times New Roman" w:hAnsi="Times New Roman" w:cs="Times New Roman"/>
          <w:sz w:val="26"/>
          <w:szCs w:val="26"/>
        </w:rPr>
        <w:t>D</w:t>
      </w:r>
      <w:r w:rsidR="00970B54" w:rsidRPr="00B67728">
        <w:rPr>
          <w:rFonts w:ascii="Times New Roman" w:hAnsi="Times New Roman" w:cs="Times New Roman"/>
          <w:sz w:val="26"/>
          <w:szCs w:val="26"/>
        </w:rPr>
        <w:t xml:space="preserve">elivery </w:t>
      </w:r>
      <w:r w:rsidR="00970B54">
        <w:rPr>
          <w:rFonts w:ascii="Times New Roman" w:hAnsi="Times New Roman" w:cs="Times New Roman"/>
          <w:sz w:val="26"/>
          <w:szCs w:val="26"/>
        </w:rPr>
        <w:t>Y</w:t>
      </w:r>
      <w:r w:rsidR="00970B54" w:rsidRPr="00B67728">
        <w:rPr>
          <w:rFonts w:ascii="Times New Roman" w:hAnsi="Times New Roman" w:cs="Times New Roman"/>
          <w:sz w:val="26"/>
          <w:szCs w:val="26"/>
        </w:rPr>
        <w:t xml:space="preserve">ear </w:t>
      </w:r>
      <w:r w:rsidRPr="00B67728">
        <w:rPr>
          <w:rFonts w:ascii="Times New Roman" w:hAnsi="Times New Roman" w:cs="Times New Roman"/>
          <w:sz w:val="26"/>
          <w:szCs w:val="26"/>
        </w:rPr>
        <w:t xml:space="preserve">and the </w:t>
      </w:r>
      <w:r w:rsidR="009E5A42">
        <w:rPr>
          <w:rFonts w:ascii="Times New Roman" w:hAnsi="Times New Roman" w:cs="Times New Roman"/>
          <w:sz w:val="26"/>
          <w:szCs w:val="26"/>
        </w:rPr>
        <w:t>importance of creating a cushion of flexibility in its out-of-market contracts.</w:t>
      </w:r>
      <w:r w:rsidRPr="00B67728">
        <w:rPr>
          <w:rFonts w:ascii="Times New Roman" w:hAnsi="Times New Roman" w:cs="Times New Roman"/>
          <w:sz w:val="26"/>
          <w:szCs w:val="26"/>
        </w:rPr>
        <w:t xml:space="preserve">  However, there is no reason that the cost recovery mechanism and classification of the type of charge these reliability agreements will employ</w:t>
      </w:r>
      <w:r>
        <w:rPr>
          <w:rFonts w:ascii="Times New Roman" w:hAnsi="Times New Roman" w:cs="Times New Roman"/>
          <w:sz w:val="26"/>
          <w:szCs w:val="26"/>
        </w:rPr>
        <w:t xml:space="preserve"> </w:t>
      </w:r>
      <w:r w:rsidRPr="00B67728">
        <w:rPr>
          <w:rFonts w:ascii="Times New Roman" w:hAnsi="Times New Roman" w:cs="Times New Roman"/>
          <w:sz w:val="26"/>
          <w:szCs w:val="26"/>
        </w:rPr>
        <w:t>cannot be established in this proceeding</w:t>
      </w:r>
      <w:r w:rsidR="009E5A42">
        <w:rPr>
          <w:rFonts w:ascii="Times New Roman" w:hAnsi="Times New Roman" w:cs="Times New Roman"/>
          <w:sz w:val="26"/>
          <w:szCs w:val="26"/>
        </w:rPr>
        <w:t xml:space="preserve"> before </w:t>
      </w:r>
      <w:r w:rsidR="007C7354">
        <w:rPr>
          <w:rFonts w:ascii="Times New Roman" w:hAnsi="Times New Roman" w:cs="Times New Roman"/>
          <w:sz w:val="26"/>
          <w:szCs w:val="26"/>
        </w:rPr>
        <w:t>PJM enters</w:t>
      </w:r>
      <w:r w:rsidR="009E5A42">
        <w:rPr>
          <w:rFonts w:ascii="Times New Roman" w:hAnsi="Times New Roman" w:cs="Times New Roman"/>
          <w:sz w:val="26"/>
          <w:szCs w:val="26"/>
        </w:rPr>
        <w:t xml:space="preserve"> into specific </w:t>
      </w:r>
      <w:r w:rsidR="007C7354">
        <w:rPr>
          <w:rFonts w:ascii="Times New Roman" w:hAnsi="Times New Roman" w:cs="Times New Roman"/>
          <w:sz w:val="26"/>
          <w:szCs w:val="26"/>
        </w:rPr>
        <w:t xml:space="preserve">out-of-market </w:t>
      </w:r>
      <w:r w:rsidR="009E5A42">
        <w:rPr>
          <w:rFonts w:ascii="Times New Roman" w:hAnsi="Times New Roman" w:cs="Times New Roman"/>
          <w:sz w:val="26"/>
          <w:szCs w:val="26"/>
        </w:rPr>
        <w:t>contracts</w:t>
      </w:r>
      <w:r w:rsidRPr="00B67728">
        <w:rPr>
          <w:rFonts w:ascii="Times New Roman" w:hAnsi="Times New Roman" w:cs="Times New Roman"/>
          <w:sz w:val="26"/>
          <w:szCs w:val="26"/>
        </w:rPr>
        <w:t xml:space="preserve">.   Participants in Ohio’s standard service offer retail auctions </w:t>
      </w:r>
      <w:r w:rsidR="007C7354">
        <w:rPr>
          <w:rFonts w:ascii="Times New Roman" w:hAnsi="Times New Roman" w:cs="Times New Roman"/>
          <w:sz w:val="26"/>
          <w:szCs w:val="26"/>
        </w:rPr>
        <w:t xml:space="preserve">(default service) </w:t>
      </w:r>
      <w:r w:rsidRPr="00B67728">
        <w:rPr>
          <w:rFonts w:ascii="Times New Roman" w:hAnsi="Times New Roman" w:cs="Times New Roman"/>
          <w:sz w:val="26"/>
          <w:szCs w:val="26"/>
        </w:rPr>
        <w:t xml:space="preserve">need to have transparency and certainty on exactly what type of charge is being proposed and the manner in which it will be collected from LSEs.  </w:t>
      </w:r>
      <w:r w:rsidR="00875F66">
        <w:rPr>
          <w:rFonts w:ascii="Times New Roman" w:hAnsi="Times New Roman" w:cs="Times New Roman"/>
          <w:sz w:val="26"/>
          <w:szCs w:val="26"/>
        </w:rPr>
        <w:t xml:space="preserve">If </w:t>
      </w:r>
      <w:r w:rsidRPr="00B67728">
        <w:rPr>
          <w:rFonts w:ascii="Times New Roman" w:hAnsi="Times New Roman" w:cs="Times New Roman"/>
          <w:sz w:val="26"/>
          <w:szCs w:val="26"/>
        </w:rPr>
        <w:t>PJM</w:t>
      </w:r>
      <w:r w:rsidR="00875F66">
        <w:rPr>
          <w:rFonts w:ascii="Times New Roman" w:hAnsi="Times New Roman" w:cs="Times New Roman"/>
          <w:sz w:val="26"/>
          <w:szCs w:val="26"/>
        </w:rPr>
        <w:t xml:space="preserve"> fails</w:t>
      </w:r>
      <w:r w:rsidRPr="00B67728">
        <w:rPr>
          <w:rFonts w:ascii="Times New Roman" w:hAnsi="Times New Roman" w:cs="Times New Roman"/>
          <w:sz w:val="26"/>
          <w:szCs w:val="26"/>
        </w:rPr>
        <w:t xml:space="preserve"> to clarify its cost recovery methodology</w:t>
      </w:r>
      <w:r w:rsidR="00875F66">
        <w:rPr>
          <w:rFonts w:ascii="Times New Roman" w:hAnsi="Times New Roman" w:cs="Times New Roman"/>
          <w:sz w:val="26"/>
          <w:szCs w:val="26"/>
        </w:rPr>
        <w:t>, these proceeding</w:t>
      </w:r>
      <w:r w:rsidR="000E1954">
        <w:rPr>
          <w:rFonts w:ascii="Times New Roman" w:hAnsi="Times New Roman" w:cs="Times New Roman"/>
          <w:sz w:val="26"/>
          <w:szCs w:val="26"/>
        </w:rPr>
        <w:t>s</w:t>
      </w:r>
      <w:r w:rsidRPr="00B67728">
        <w:rPr>
          <w:rFonts w:ascii="Times New Roman" w:hAnsi="Times New Roman" w:cs="Times New Roman"/>
          <w:sz w:val="26"/>
          <w:szCs w:val="26"/>
        </w:rPr>
        <w:t xml:space="preserve"> may unduly burden restructured </w:t>
      </w:r>
      <w:r w:rsidR="00875F66">
        <w:rPr>
          <w:rFonts w:ascii="Times New Roman" w:hAnsi="Times New Roman" w:cs="Times New Roman"/>
          <w:sz w:val="26"/>
          <w:szCs w:val="26"/>
        </w:rPr>
        <w:t xml:space="preserve">electric </w:t>
      </w:r>
      <w:r w:rsidRPr="00B67728">
        <w:rPr>
          <w:rFonts w:ascii="Times New Roman" w:hAnsi="Times New Roman" w:cs="Times New Roman"/>
          <w:sz w:val="26"/>
          <w:szCs w:val="26"/>
        </w:rPr>
        <w:t xml:space="preserve">states such as Ohio, as </w:t>
      </w:r>
      <w:r w:rsidR="00FD4A38">
        <w:rPr>
          <w:rFonts w:ascii="Times New Roman" w:hAnsi="Times New Roman" w:cs="Times New Roman"/>
          <w:sz w:val="26"/>
          <w:szCs w:val="26"/>
        </w:rPr>
        <w:t xml:space="preserve">market </w:t>
      </w:r>
      <w:r w:rsidRPr="00B67728">
        <w:rPr>
          <w:rFonts w:ascii="Times New Roman" w:hAnsi="Times New Roman" w:cs="Times New Roman"/>
          <w:sz w:val="26"/>
          <w:szCs w:val="26"/>
        </w:rPr>
        <w:t>participants may over</w:t>
      </w:r>
      <w:r>
        <w:rPr>
          <w:rFonts w:ascii="Times New Roman" w:hAnsi="Times New Roman" w:cs="Times New Roman"/>
          <w:sz w:val="26"/>
          <w:szCs w:val="26"/>
        </w:rPr>
        <w:t>-</w:t>
      </w:r>
      <w:r w:rsidRPr="00B67728">
        <w:rPr>
          <w:rFonts w:ascii="Times New Roman" w:hAnsi="Times New Roman" w:cs="Times New Roman"/>
          <w:sz w:val="26"/>
          <w:szCs w:val="26"/>
        </w:rPr>
        <w:t>estimate risk i</w:t>
      </w:r>
      <w:r w:rsidR="00875F66">
        <w:rPr>
          <w:rFonts w:ascii="Times New Roman" w:hAnsi="Times New Roman" w:cs="Times New Roman"/>
          <w:sz w:val="26"/>
          <w:szCs w:val="26"/>
        </w:rPr>
        <w:t>n submitting offers</w:t>
      </w:r>
      <w:r w:rsidR="00FD4A38">
        <w:rPr>
          <w:rFonts w:ascii="Times New Roman" w:hAnsi="Times New Roman" w:cs="Times New Roman"/>
          <w:sz w:val="26"/>
          <w:szCs w:val="26"/>
        </w:rPr>
        <w:t xml:space="preserve"> in Ohio’s standard service offer auctions</w:t>
      </w:r>
      <w:r w:rsidR="00875F66">
        <w:rPr>
          <w:rFonts w:ascii="Times New Roman" w:hAnsi="Times New Roman" w:cs="Times New Roman"/>
          <w:sz w:val="26"/>
          <w:szCs w:val="26"/>
        </w:rPr>
        <w:t>.  C</w:t>
      </w:r>
      <w:r w:rsidR="00FD4A38">
        <w:rPr>
          <w:rFonts w:ascii="Times New Roman" w:hAnsi="Times New Roman" w:cs="Times New Roman"/>
          <w:sz w:val="26"/>
          <w:szCs w:val="26"/>
        </w:rPr>
        <w:t xml:space="preserve">larification also </w:t>
      </w:r>
      <w:r w:rsidRPr="00B67728">
        <w:rPr>
          <w:rFonts w:ascii="Times New Roman" w:hAnsi="Times New Roman" w:cs="Times New Roman"/>
          <w:sz w:val="26"/>
          <w:szCs w:val="26"/>
        </w:rPr>
        <w:t xml:space="preserve">allows for </w:t>
      </w:r>
      <w:r w:rsidR="00875F66">
        <w:rPr>
          <w:rFonts w:ascii="Times New Roman" w:hAnsi="Times New Roman" w:cs="Times New Roman"/>
          <w:sz w:val="26"/>
          <w:szCs w:val="26"/>
        </w:rPr>
        <w:t xml:space="preserve">retail </w:t>
      </w:r>
      <w:r w:rsidRPr="00B67728">
        <w:rPr>
          <w:rFonts w:ascii="Times New Roman" w:hAnsi="Times New Roman" w:cs="Times New Roman"/>
          <w:sz w:val="26"/>
          <w:szCs w:val="26"/>
        </w:rPr>
        <w:t xml:space="preserve">electric consumers </w:t>
      </w:r>
      <w:r w:rsidR="00875F66">
        <w:rPr>
          <w:rFonts w:ascii="Times New Roman" w:hAnsi="Times New Roman" w:cs="Times New Roman"/>
          <w:sz w:val="26"/>
          <w:szCs w:val="26"/>
        </w:rPr>
        <w:t xml:space="preserve">and LSEs </w:t>
      </w:r>
      <w:r w:rsidRPr="00B67728">
        <w:rPr>
          <w:rFonts w:ascii="Times New Roman" w:hAnsi="Times New Roman" w:cs="Times New Roman"/>
          <w:sz w:val="26"/>
          <w:szCs w:val="26"/>
        </w:rPr>
        <w:t xml:space="preserve">with contracts that extend up to and beyond the 2015/2016 </w:t>
      </w:r>
      <w:r>
        <w:rPr>
          <w:rFonts w:ascii="Times New Roman" w:hAnsi="Times New Roman" w:cs="Times New Roman"/>
          <w:sz w:val="26"/>
          <w:szCs w:val="26"/>
        </w:rPr>
        <w:t>Delivery Y</w:t>
      </w:r>
      <w:r w:rsidRPr="00B67728">
        <w:rPr>
          <w:rFonts w:ascii="Times New Roman" w:hAnsi="Times New Roman" w:cs="Times New Roman"/>
          <w:sz w:val="26"/>
          <w:szCs w:val="26"/>
        </w:rPr>
        <w:t xml:space="preserve">ear </w:t>
      </w:r>
      <w:r>
        <w:rPr>
          <w:rFonts w:ascii="Times New Roman" w:hAnsi="Times New Roman" w:cs="Times New Roman"/>
          <w:sz w:val="26"/>
          <w:szCs w:val="26"/>
        </w:rPr>
        <w:t xml:space="preserve">to </w:t>
      </w:r>
      <w:r w:rsidRPr="00B67728">
        <w:rPr>
          <w:rFonts w:ascii="Times New Roman" w:hAnsi="Times New Roman" w:cs="Times New Roman"/>
          <w:sz w:val="26"/>
          <w:szCs w:val="26"/>
        </w:rPr>
        <w:t xml:space="preserve">determine whether </w:t>
      </w:r>
      <w:r w:rsidRPr="00B67728">
        <w:rPr>
          <w:rFonts w:ascii="Times New Roman" w:hAnsi="Times New Roman" w:cs="Times New Roman"/>
          <w:sz w:val="26"/>
          <w:szCs w:val="26"/>
        </w:rPr>
        <w:lastRenderedPageBreak/>
        <w:t>any costs associated with PJM’s out</w:t>
      </w:r>
      <w:r>
        <w:rPr>
          <w:rFonts w:ascii="Times New Roman" w:hAnsi="Times New Roman" w:cs="Times New Roman"/>
          <w:sz w:val="26"/>
          <w:szCs w:val="26"/>
        </w:rPr>
        <w:t>-</w:t>
      </w:r>
      <w:r w:rsidRPr="00B67728">
        <w:rPr>
          <w:rFonts w:ascii="Times New Roman" w:hAnsi="Times New Roman" w:cs="Times New Roman"/>
          <w:sz w:val="26"/>
          <w:szCs w:val="26"/>
        </w:rPr>
        <w:t>of</w:t>
      </w:r>
      <w:r>
        <w:rPr>
          <w:rFonts w:ascii="Times New Roman" w:hAnsi="Times New Roman" w:cs="Times New Roman"/>
          <w:sz w:val="26"/>
          <w:szCs w:val="26"/>
        </w:rPr>
        <w:t>-</w:t>
      </w:r>
      <w:r w:rsidRPr="00B67728">
        <w:rPr>
          <w:rFonts w:ascii="Times New Roman" w:hAnsi="Times New Roman" w:cs="Times New Roman"/>
          <w:sz w:val="26"/>
          <w:szCs w:val="26"/>
        </w:rPr>
        <w:t xml:space="preserve">market contracts will impact their electric service prices.  Accordingly, the PUCO urges the Commission to seek additional information from PJM. </w:t>
      </w:r>
    </w:p>
    <w:p w:rsidR="00E436E0" w:rsidRDefault="00336C32" w:rsidP="00336C32">
      <w:pPr>
        <w:pStyle w:val="Heading1"/>
      </w:pPr>
      <w:r>
        <w:t>III</w:t>
      </w:r>
      <w:r w:rsidR="00E436E0">
        <w:t>.</w:t>
      </w:r>
      <w:r w:rsidR="00E436E0">
        <w:tab/>
      </w:r>
      <w:r w:rsidR="00E436E0" w:rsidRPr="005F5AEB">
        <w:t>Conclusion</w:t>
      </w:r>
    </w:p>
    <w:p w:rsidR="00875F66" w:rsidRDefault="00E436E0" w:rsidP="005F5AEB">
      <w:pPr>
        <w:pStyle w:val="Textstyle"/>
      </w:pPr>
      <w:r>
        <w:tab/>
      </w:r>
      <w:r w:rsidR="009F3241">
        <w:t xml:space="preserve">The PUCO agrees with PJM’s assessment that there are reasonable and legitimate reliability concerns for the 2015/2016 Delivery Year.  PJM should have flexibility to procure additional resources to meet this need.  However, the PUCO urges the Commission to issue a deficiency letter and order PJM to clarify and define the cost allocation and cost recovery parameters in a transparent manner.  Without such information, it is not known to what extent PJM’s out-of-market contracts will impact Ohio’s </w:t>
      </w:r>
      <w:r w:rsidR="00875F66">
        <w:t xml:space="preserve">standard service offers and its competitive retail electric market. </w:t>
      </w:r>
    </w:p>
    <w:p w:rsidR="00600925" w:rsidRDefault="00600925" w:rsidP="000F4F72">
      <w:pPr>
        <w:ind w:left="3600"/>
        <w:rPr>
          <w:rFonts w:ascii="Times New Roman" w:hAnsi="Times New Roman" w:cs="Times New Roman"/>
          <w:sz w:val="26"/>
          <w:szCs w:val="26"/>
        </w:rPr>
      </w:pPr>
      <w:r>
        <w:rPr>
          <w:rFonts w:ascii="Times New Roman" w:hAnsi="Times New Roman" w:cs="Times New Roman"/>
          <w:sz w:val="26"/>
          <w:szCs w:val="26"/>
        </w:rPr>
        <w:br w:type="page"/>
      </w:r>
    </w:p>
    <w:p w:rsidR="000F4F72" w:rsidRPr="000F4F72" w:rsidRDefault="000F4F72" w:rsidP="000F4F72">
      <w:pPr>
        <w:ind w:left="3600"/>
        <w:rPr>
          <w:rFonts w:ascii="Times New Roman" w:hAnsi="Times New Roman" w:cs="Times New Roman"/>
          <w:sz w:val="26"/>
          <w:szCs w:val="26"/>
        </w:rPr>
      </w:pPr>
      <w:r w:rsidRPr="000F4F72">
        <w:rPr>
          <w:rFonts w:ascii="Times New Roman" w:hAnsi="Times New Roman" w:cs="Times New Roman"/>
          <w:sz w:val="26"/>
          <w:szCs w:val="26"/>
        </w:rPr>
        <w:lastRenderedPageBreak/>
        <w:t>Respectfully submitted,</w:t>
      </w:r>
    </w:p>
    <w:p w:rsidR="000F4F72" w:rsidRPr="00336C32" w:rsidRDefault="00336C32" w:rsidP="00336C32">
      <w:pPr>
        <w:tabs>
          <w:tab w:val="left" w:pos="9360"/>
        </w:tabs>
        <w:spacing w:after="0" w:line="240" w:lineRule="auto"/>
        <w:ind w:left="3600"/>
        <w:contextualSpacing/>
        <w:jc w:val="both"/>
        <w:rPr>
          <w:rFonts w:ascii="AR BERKLEY" w:hAnsi="AR BERKLEY" w:cs="Times New Roman"/>
          <w:sz w:val="32"/>
          <w:szCs w:val="32"/>
          <w:u w:val="single"/>
        </w:rPr>
      </w:pPr>
      <w:r w:rsidRPr="00336C32">
        <w:rPr>
          <w:rFonts w:ascii="AR BERKLEY" w:hAnsi="AR BERKLEY" w:cs="Times New Roman"/>
          <w:sz w:val="32"/>
          <w:szCs w:val="32"/>
          <w:u w:val="single"/>
        </w:rPr>
        <w:t xml:space="preserve">/s/ </w:t>
      </w:r>
      <w:r>
        <w:rPr>
          <w:rFonts w:ascii="AR BERKLEY" w:hAnsi="AR BERKLEY" w:cs="Times New Roman"/>
          <w:sz w:val="32"/>
          <w:szCs w:val="32"/>
          <w:u w:val="single"/>
        </w:rPr>
        <w:t>Jonathan</w:t>
      </w:r>
      <w:r w:rsidRPr="00336C32">
        <w:rPr>
          <w:rFonts w:ascii="AR BERKLEY" w:hAnsi="AR BERKLEY" w:cs="Times New Roman"/>
          <w:sz w:val="32"/>
          <w:szCs w:val="32"/>
          <w:u w:val="single"/>
        </w:rPr>
        <w:t xml:space="preserve"> J. Tauber</w:t>
      </w:r>
      <w:r w:rsidRPr="00336C32">
        <w:rPr>
          <w:rFonts w:ascii="AR BERKLEY" w:hAnsi="AR BERKLEY" w:cs="Times New Roman"/>
          <w:sz w:val="32"/>
          <w:szCs w:val="32"/>
          <w:u w:val="single"/>
        </w:rPr>
        <w:tab/>
      </w:r>
    </w:p>
    <w:p w:rsidR="000F4F72" w:rsidRPr="00336C32" w:rsidRDefault="000F4F72" w:rsidP="00336C32">
      <w:pPr>
        <w:spacing w:after="0" w:line="240" w:lineRule="auto"/>
        <w:ind w:left="3600" w:right="1440"/>
        <w:contextualSpacing/>
        <w:rPr>
          <w:rFonts w:ascii="Times New Roman" w:hAnsi="Times New Roman" w:cs="Times New Roman"/>
          <w:b/>
          <w:sz w:val="26"/>
          <w:szCs w:val="26"/>
        </w:rPr>
      </w:pPr>
      <w:r w:rsidRPr="00336C32">
        <w:rPr>
          <w:rFonts w:ascii="Times New Roman" w:hAnsi="Times New Roman" w:cs="Times New Roman"/>
          <w:b/>
          <w:sz w:val="26"/>
          <w:szCs w:val="26"/>
        </w:rPr>
        <w:t>Jonathan J. Tauber</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Ohio Federal Energy Advocate</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Public Utilities Commission of Ohio</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180 East Broad Street</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Columbus, OH 43215-3793</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614.644.7797</w:t>
      </w:r>
      <w:r w:rsidR="00336C32">
        <w:rPr>
          <w:rFonts w:ascii="Times New Roman" w:hAnsi="Times New Roman" w:cs="Times New Roman"/>
          <w:sz w:val="26"/>
          <w:szCs w:val="26"/>
        </w:rPr>
        <w:t xml:space="preserve"> (telephone)</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614.644.8764</w:t>
      </w:r>
      <w:r w:rsidR="00336C32">
        <w:rPr>
          <w:rFonts w:ascii="Times New Roman" w:hAnsi="Times New Roman" w:cs="Times New Roman"/>
          <w:sz w:val="26"/>
          <w:szCs w:val="26"/>
        </w:rPr>
        <w:t xml:space="preserve"> (fax)</w:t>
      </w:r>
    </w:p>
    <w:p w:rsidR="000F4F72" w:rsidRPr="00336C32" w:rsidRDefault="00D63327" w:rsidP="00336C32">
      <w:pPr>
        <w:spacing w:after="0" w:line="240" w:lineRule="auto"/>
        <w:ind w:left="3600" w:right="1440"/>
        <w:contextualSpacing/>
        <w:rPr>
          <w:rFonts w:ascii="Times New Roman" w:eastAsia="Times New Roman" w:hAnsi="Times New Roman" w:cs="Times New Roman"/>
          <w:sz w:val="26"/>
          <w:szCs w:val="26"/>
        </w:rPr>
      </w:pPr>
      <w:hyperlink r:id="rId7" w:history="1">
        <w:r w:rsidR="000F4F72" w:rsidRPr="00336C32">
          <w:rPr>
            <w:rFonts w:ascii="Times New Roman" w:eastAsia="Times New Roman" w:hAnsi="Times New Roman" w:cs="Times New Roman"/>
            <w:color w:val="0000FF"/>
            <w:sz w:val="26"/>
            <w:szCs w:val="26"/>
            <w:u w:val="single"/>
          </w:rPr>
          <w:t>jonathan.tauber@puc.state.oh.us</w:t>
        </w:r>
      </w:hyperlink>
    </w:p>
    <w:p w:rsidR="000F4F72" w:rsidRPr="00336C32" w:rsidRDefault="000F4F72" w:rsidP="00336C32">
      <w:pPr>
        <w:spacing w:after="0" w:line="240" w:lineRule="auto"/>
        <w:ind w:left="3600" w:right="1440"/>
        <w:contextualSpacing/>
        <w:rPr>
          <w:rFonts w:ascii="Times New Roman" w:hAnsi="Times New Roman" w:cs="Times New Roman"/>
          <w:sz w:val="26"/>
          <w:szCs w:val="26"/>
        </w:rPr>
      </w:pPr>
    </w:p>
    <w:p w:rsidR="00336C32" w:rsidRPr="00336C32" w:rsidRDefault="00336C32" w:rsidP="00336C32">
      <w:pPr>
        <w:tabs>
          <w:tab w:val="left" w:pos="9360"/>
        </w:tabs>
        <w:spacing w:after="0" w:line="240" w:lineRule="auto"/>
        <w:ind w:left="3600"/>
        <w:contextualSpacing/>
        <w:jc w:val="both"/>
        <w:rPr>
          <w:rFonts w:ascii="AR BERKLEY" w:hAnsi="AR BERKLEY" w:cs="Times New Roman"/>
          <w:sz w:val="32"/>
          <w:szCs w:val="32"/>
          <w:u w:val="single"/>
        </w:rPr>
      </w:pPr>
      <w:r w:rsidRPr="00336C32">
        <w:rPr>
          <w:rFonts w:ascii="AR BERKLEY" w:hAnsi="AR BERKLEY" w:cs="Times New Roman"/>
          <w:sz w:val="32"/>
          <w:szCs w:val="32"/>
          <w:u w:val="single"/>
        </w:rPr>
        <w:t xml:space="preserve">/s/ </w:t>
      </w:r>
      <w:r>
        <w:rPr>
          <w:rFonts w:ascii="AR BERKLEY" w:hAnsi="AR BERKLEY" w:cs="Times New Roman"/>
          <w:sz w:val="32"/>
          <w:szCs w:val="32"/>
          <w:u w:val="single"/>
        </w:rPr>
        <w:t>Thomas W. McNamee</w:t>
      </w:r>
      <w:r w:rsidRPr="00336C32">
        <w:rPr>
          <w:rFonts w:ascii="AR BERKLEY" w:hAnsi="AR BERKLEY" w:cs="Times New Roman"/>
          <w:sz w:val="32"/>
          <w:szCs w:val="32"/>
          <w:u w:val="single"/>
        </w:rPr>
        <w:tab/>
      </w:r>
    </w:p>
    <w:p w:rsidR="000F4F72" w:rsidRPr="00336C32" w:rsidRDefault="000F4F72" w:rsidP="00336C32">
      <w:pPr>
        <w:spacing w:after="0" w:line="240" w:lineRule="auto"/>
        <w:ind w:left="3600" w:right="1440"/>
        <w:contextualSpacing/>
        <w:rPr>
          <w:rFonts w:ascii="Times New Roman" w:hAnsi="Times New Roman" w:cs="Times New Roman"/>
          <w:b/>
          <w:sz w:val="26"/>
          <w:szCs w:val="26"/>
        </w:rPr>
      </w:pPr>
      <w:r w:rsidRPr="00336C32">
        <w:rPr>
          <w:rFonts w:ascii="Times New Roman" w:hAnsi="Times New Roman" w:cs="Times New Roman"/>
          <w:b/>
          <w:sz w:val="26"/>
          <w:szCs w:val="26"/>
        </w:rPr>
        <w:t>Thomas W. McNamee</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180 East Broad Street</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Columbus, OH 43215-3793</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614.466.4397 (telephone)</w:t>
      </w: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sz w:val="26"/>
          <w:szCs w:val="26"/>
        </w:rPr>
        <w:t>614.644.8764 (fax)</w:t>
      </w:r>
    </w:p>
    <w:p w:rsidR="000F4F72" w:rsidRDefault="00D63327" w:rsidP="00336C32">
      <w:pPr>
        <w:spacing w:after="0" w:line="240" w:lineRule="auto"/>
        <w:ind w:left="3600" w:right="1440"/>
        <w:contextualSpacing/>
        <w:rPr>
          <w:rFonts w:ascii="Times New Roman" w:eastAsia="Times New Roman" w:hAnsi="Times New Roman" w:cs="Times New Roman"/>
          <w:color w:val="0000FF"/>
          <w:sz w:val="26"/>
          <w:szCs w:val="26"/>
          <w:u w:val="single"/>
        </w:rPr>
      </w:pPr>
      <w:hyperlink r:id="rId8" w:history="1">
        <w:r w:rsidR="000F4F72" w:rsidRPr="00336C32">
          <w:rPr>
            <w:rFonts w:ascii="Times New Roman" w:eastAsia="Times New Roman" w:hAnsi="Times New Roman" w:cs="Times New Roman"/>
            <w:color w:val="0000FF"/>
            <w:sz w:val="26"/>
            <w:szCs w:val="26"/>
            <w:u w:val="single"/>
          </w:rPr>
          <w:t>thomas.mcnamee@puc.state.oh.us</w:t>
        </w:r>
      </w:hyperlink>
    </w:p>
    <w:p w:rsidR="00336C32" w:rsidRPr="00336C32" w:rsidRDefault="00336C32" w:rsidP="00336C32">
      <w:pPr>
        <w:spacing w:after="0" w:line="240" w:lineRule="auto"/>
        <w:ind w:left="3600" w:right="1440"/>
        <w:contextualSpacing/>
        <w:rPr>
          <w:rFonts w:ascii="Times New Roman" w:eastAsia="Times New Roman" w:hAnsi="Times New Roman" w:cs="Times New Roman"/>
          <w:sz w:val="26"/>
          <w:szCs w:val="26"/>
        </w:rPr>
      </w:pPr>
    </w:p>
    <w:p w:rsidR="000F4F72" w:rsidRPr="00336C32" w:rsidRDefault="000F4F72" w:rsidP="00336C32">
      <w:pPr>
        <w:spacing w:after="0" w:line="240" w:lineRule="auto"/>
        <w:ind w:left="3600" w:right="1440"/>
        <w:contextualSpacing/>
        <w:rPr>
          <w:rFonts w:ascii="Times New Roman" w:hAnsi="Times New Roman" w:cs="Times New Roman"/>
          <w:sz w:val="26"/>
          <w:szCs w:val="26"/>
        </w:rPr>
      </w:pPr>
      <w:r w:rsidRPr="00336C32">
        <w:rPr>
          <w:rFonts w:ascii="Times New Roman" w:hAnsi="Times New Roman" w:cs="Times New Roman"/>
          <w:b/>
          <w:sz w:val="26"/>
          <w:szCs w:val="26"/>
        </w:rPr>
        <w:t>Attorney for the Public Utilities Commission of Ohio</w:t>
      </w:r>
    </w:p>
    <w:p w:rsidR="009F3241" w:rsidRDefault="009F3241" w:rsidP="005F5AEB">
      <w:pPr>
        <w:pStyle w:val="Textstyle"/>
      </w:pPr>
    </w:p>
    <w:p w:rsidR="00600925" w:rsidRDefault="00600925" w:rsidP="005F5AEB">
      <w:pPr>
        <w:pStyle w:val="Textstyle"/>
      </w:pPr>
    </w:p>
    <w:p w:rsidR="00582973" w:rsidRDefault="00570537" w:rsidP="00336C32">
      <w:pPr>
        <w:pStyle w:val="Heading1"/>
        <w:rPr>
          <w:rFonts w:eastAsia="Times New Roman"/>
          <w:snapToGrid w:val="0"/>
          <w:sz w:val="26"/>
          <w:szCs w:val="28"/>
        </w:rPr>
      </w:pPr>
      <w:r>
        <w:rPr>
          <w:rFonts w:eastAsia="Times New Roman"/>
        </w:rPr>
        <w:t>IV.</w:t>
      </w:r>
      <w:r>
        <w:rPr>
          <w:rFonts w:eastAsia="Times New Roman"/>
        </w:rPr>
        <w:tab/>
      </w:r>
      <w:r w:rsidRPr="008E5FCD">
        <w:rPr>
          <w:rFonts w:eastAsia="Times New Roman"/>
        </w:rPr>
        <w:t xml:space="preserve">Certificate </w:t>
      </w:r>
      <w:r>
        <w:rPr>
          <w:rFonts w:eastAsia="Times New Roman"/>
        </w:rPr>
        <w:t>of</w:t>
      </w:r>
      <w:r w:rsidRPr="008E5FCD">
        <w:rPr>
          <w:rFonts w:eastAsia="Times New Roman"/>
        </w:rPr>
        <w:t xml:space="preserve"> Service</w:t>
      </w:r>
    </w:p>
    <w:p w:rsidR="00582973" w:rsidRPr="008E5FCD" w:rsidRDefault="00336C32" w:rsidP="00336C32">
      <w:pPr>
        <w:pStyle w:val="Textstyle"/>
        <w:rPr>
          <w:snapToGrid w:val="0"/>
        </w:rPr>
      </w:pPr>
      <w:r>
        <w:rPr>
          <w:snapToGrid w:val="0"/>
        </w:rPr>
        <w:tab/>
      </w:r>
      <w:r w:rsidR="00582973" w:rsidRPr="008E5FCD">
        <w:rPr>
          <w:snapToGrid w:val="0"/>
        </w:rPr>
        <w:t>I hereby certify that the foregoing has been served in accordance with 18 C.F.R. Section 385.2010 upon each person designated on the official service list compiled by the Secretary in this proceeding.</w:t>
      </w:r>
    </w:p>
    <w:p w:rsidR="00336C32" w:rsidRPr="00336C32" w:rsidRDefault="00336C32" w:rsidP="00336C32">
      <w:pPr>
        <w:tabs>
          <w:tab w:val="left" w:pos="9360"/>
        </w:tabs>
        <w:spacing w:after="0" w:line="240" w:lineRule="auto"/>
        <w:ind w:left="3600" w:firstLine="720"/>
        <w:contextualSpacing/>
        <w:jc w:val="both"/>
        <w:rPr>
          <w:rFonts w:ascii="AR BERKLEY" w:hAnsi="AR BERKLEY" w:cs="Times New Roman"/>
          <w:sz w:val="32"/>
          <w:szCs w:val="32"/>
          <w:u w:val="single"/>
        </w:rPr>
      </w:pPr>
      <w:r w:rsidRPr="00336C32">
        <w:rPr>
          <w:rFonts w:ascii="AR BERKLEY" w:hAnsi="AR BERKLEY" w:cs="Times New Roman"/>
          <w:sz w:val="32"/>
          <w:szCs w:val="32"/>
          <w:u w:val="single"/>
        </w:rPr>
        <w:t xml:space="preserve">/s/ </w:t>
      </w:r>
      <w:r>
        <w:rPr>
          <w:rFonts w:ascii="AR BERKLEY" w:hAnsi="AR BERKLEY" w:cs="Times New Roman"/>
          <w:sz w:val="32"/>
          <w:szCs w:val="32"/>
          <w:u w:val="single"/>
        </w:rPr>
        <w:t>Thomas W. McNamee</w:t>
      </w:r>
      <w:r w:rsidRPr="00336C32">
        <w:rPr>
          <w:rFonts w:ascii="AR BERKLEY" w:hAnsi="AR BERKLEY" w:cs="Times New Roman"/>
          <w:sz w:val="32"/>
          <w:szCs w:val="32"/>
          <w:u w:val="single"/>
        </w:rPr>
        <w:tab/>
      </w:r>
    </w:p>
    <w:p w:rsidR="00582973" w:rsidRPr="008E5FCD" w:rsidRDefault="00582973" w:rsidP="00582973">
      <w:pPr>
        <w:widowControl w:val="0"/>
        <w:tabs>
          <w:tab w:val="left" w:pos="9360"/>
        </w:tabs>
        <w:spacing w:after="0"/>
        <w:ind w:left="4320"/>
        <w:rPr>
          <w:rFonts w:ascii="Times New Roman" w:eastAsia="Times New Roman" w:hAnsi="Times New Roman" w:cs="Times New Roman"/>
          <w:b/>
          <w:sz w:val="26"/>
          <w:szCs w:val="26"/>
        </w:rPr>
      </w:pPr>
      <w:r w:rsidRPr="008E5FCD">
        <w:rPr>
          <w:rFonts w:ascii="Times New Roman" w:eastAsia="Times New Roman" w:hAnsi="Times New Roman" w:cs="Times New Roman"/>
          <w:b/>
          <w:sz w:val="26"/>
          <w:szCs w:val="26"/>
        </w:rPr>
        <w:t>Thomas W. McNamee</w:t>
      </w:r>
    </w:p>
    <w:p w:rsidR="00582973" w:rsidRPr="008E5FCD" w:rsidRDefault="00582973" w:rsidP="00582973">
      <w:pPr>
        <w:widowControl w:val="0"/>
        <w:tabs>
          <w:tab w:val="left" w:pos="9360"/>
        </w:tabs>
        <w:spacing w:after="0"/>
        <w:ind w:left="4760"/>
        <w:rPr>
          <w:rFonts w:ascii="Times New (W1)" w:eastAsia="Times New Roman" w:hAnsi="Times New (W1)" w:cs="Times New Roman"/>
          <w:sz w:val="26"/>
          <w:szCs w:val="26"/>
        </w:rPr>
      </w:pPr>
    </w:p>
    <w:p w:rsidR="00600925" w:rsidRDefault="00600925" w:rsidP="00582973">
      <w:pPr>
        <w:widowControl w:val="0"/>
        <w:spacing w:after="0" w:line="480" w:lineRule="auto"/>
        <w:rPr>
          <w:rFonts w:ascii="Times New Roman" w:eastAsia="Times New Roman" w:hAnsi="Times New Roman" w:cs="Times New Roman"/>
          <w:snapToGrid w:val="0"/>
          <w:sz w:val="26"/>
          <w:szCs w:val="28"/>
        </w:rPr>
      </w:pPr>
    </w:p>
    <w:p w:rsidR="00582973" w:rsidRPr="008E5FCD" w:rsidRDefault="00582973" w:rsidP="00582973">
      <w:pPr>
        <w:widowControl w:val="0"/>
        <w:spacing w:after="0" w:line="480" w:lineRule="auto"/>
        <w:rPr>
          <w:rFonts w:ascii="Times New Roman" w:eastAsia="Times New Roman" w:hAnsi="Times New Roman" w:cs="Times New Roman"/>
          <w:snapToGrid w:val="0"/>
          <w:sz w:val="26"/>
          <w:szCs w:val="26"/>
        </w:rPr>
      </w:pPr>
      <w:r w:rsidRPr="008E5FCD">
        <w:rPr>
          <w:rFonts w:ascii="Times New Roman" w:eastAsia="Times New Roman" w:hAnsi="Times New Roman" w:cs="Times New Roman"/>
          <w:snapToGrid w:val="0"/>
          <w:sz w:val="26"/>
          <w:szCs w:val="28"/>
        </w:rPr>
        <w:t>Dated at Columbus, Ohio this</w:t>
      </w:r>
      <w:r>
        <w:rPr>
          <w:rFonts w:ascii="Times New Roman" w:eastAsia="Times New Roman" w:hAnsi="Times New Roman" w:cs="Times New Roman"/>
          <w:snapToGrid w:val="0"/>
          <w:sz w:val="26"/>
          <w:szCs w:val="28"/>
        </w:rPr>
        <w:t xml:space="preserve"> January 20, 2015</w:t>
      </w:r>
      <w:r w:rsidRPr="008E5FCD">
        <w:rPr>
          <w:rFonts w:ascii="Times New Roman" w:eastAsia="Times New Roman" w:hAnsi="Times New Roman" w:cs="Times New Roman"/>
          <w:snapToGrid w:val="0"/>
          <w:sz w:val="26"/>
          <w:szCs w:val="28"/>
        </w:rPr>
        <w:t>.</w:t>
      </w:r>
    </w:p>
    <w:sectPr w:rsidR="00582973" w:rsidRPr="008E5FCD" w:rsidSect="0060092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63" w:rsidRDefault="00535763" w:rsidP="00011D63">
      <w:pPr>
        <w:spacing w:after="0" w:line="240" w:lineRule="auto"/>
      </w:pPr>
      <w:r>
        <w:separator/>
      </w:r>
    </w:p>
  </w:endnote>
  <w:endnote w:type="continuationSeparator" w:id="0">
    <w:p w:rsidR="00535763" w:rsidRDefault="00535763" w:rsidP="0001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506173"/>
      <w:docPartObj>
        <w:docPartGallery w:val="Page Numbers (Bottom of Page)"/>
        <w:docPartUnique/>
      </w:docPartObj>
    </w:sdtPr>
    <w:sdtEndPr>
      <w:rPr>
        <w:noProof/>
      </w:rPr>
    </w:sdtEndPr>
    <w:sdtContent>
      <w:p w:rsidR="00600925" w:rsidRPr="00600925" w:rsidRDefault="00600925" w:rsidP="00600925">
        <w:pPr>
          <w:pStyle w:val="Footer"/>
          <w:jc w:val="center"/>
          <w:rPr>
            <w:rFonts w:ascii="Times New Roman" w:hAnsi="Times New Roman" w:cs="Times New Roman"/>
            <w:sz w:val="24"/>
            <w:szCs w:val="24"/>
          </w:rPr>
        </w:pPr>
        <w:r w:rsidRPr="00600925">
          <w:rPr>
            <w:rFonts w:ascii="Times New Roman" w:hAnsi="Times New Roman" w:cs="Times New Roman"/>
            <w:sz w:val="24"/>
            <w:szCs w:val="24"/>
          </w:rPr>
          <w:fldChar w:fldCharType="begin"/>
        </w:r>
        <w:r w:rsidRPr="00600925">
          <w:rPr>
            <w:rFonts w:ascii="Times New Roman" w:hAnsi="Times New Roman" w:cs="Times New Roman"/>
            <w:sz w:val="24"/>
            <w:szCs w:val="24"/>
          </w:rPr>
          <w:instrText xml:space="preserve"> PAGE   \* MERGEFORMAT </w:instrText>
        </w:r>
        <w:r w:rsidRPr="00600925">
          <w:rPr>
            <w:rFonts w:ascii="Times New Roman" w:hAnsi="Times New Roman" w:cs="Times New Roman"/>
            <w:sz w:val="24"/>
            <w:szCs w:val="24"/>
          </w:rPr>
          <w:fldChar w:fldCharType="separate"/>
        </w:r>
        <w:r w:rsidR="00D63327">
          <w:rPr>
            <w:rFonts w:ascii="Times New Roman" w:hAnsi="Times New Roman" w:cs="Times New Roman"/>
            <w:noProof/>
            <w:sz w:val="24"/>
            <w:szCs w:val="24"/>
          </w:rPr>
          <w:t>9</w:t>
        </w:r>
        <w:r w:rsidRPr="0060092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63" w:rsidRDefault="00535763" w:rsidP="00011D63">
      <w:pPr>
        <w:spacing w:after="0" w:line="240" w:lineRule="auto"/>
      </w:pPr>
      <w:r>
        <w:separator/>
      </w:r>
    </w:p>
  </w:footnote>
  <w:footnote w:type="continuationSeparator" w:id="0">
    <w:p w:rsidR="00535763" w:rsidRDefault="00535763" w:rsidP="00011D63">
      <w:pPr>
        <w:spacing w:after="0" w:line="240" w:lineRule="auto"/>
      </w:pPr>
      <w:r>
        <w:continuationSeparator/>
      </w:r>
    </w:p>
  </w:footnote>
  <w:footnote w:id="1">
    <w:p w:rsidR="00011D63" w:rsidRDefault="00011D63" w:rsidP="000C33C5">
      <w:pPr>
        <w:pStyle w:val="FootnoteText"/>
      </w:pPr>
      <w:r>
        <w:rPr>
          <w:rStyle w:val="FootnoteReference"/>
        </w:rPr>
        <w:footnoteRef/>
      </w:r>
      <w:r>
        <w:t xml:space="preserve"> </w:t>
      </w:r>
      <w:r w:rsidR="000C33C5">
        <w:tab/>
      </w:r>
      <w:r w:rsidR="000C33C5">
        <w:tab/>
      </w:r>
      <w:r w:rsidRPr="006179B2">
        <w:rPr>
          <w:i/>
        </w:rPr>
        <w:t>PJM Interconnection, L.L.C.,</w:t>
      </w:r>
      <w:r w:rsidRPr="006179B2">
        <w:t xml:space="preserve"> </w:t>
      </w:r>
      <w:r w:rsidR="00420D56">
        <w:t>Docket No. ER15-739</w:t>
      </w:r>
      <w:r w:rsidR="000C33C5">
        <w:t xml:space="preserve"> (</w:t>
      </w:r>
      <w:r w:rsidR="00420D56">
        <w:t>PJM Transmi</w:t>
      </w:r>
      <w:r w:rsidR="000D6D11">
        <w:t>ttal Letter</w:t>
      </w:r>
      <w:r w:rsidR="000C33C5">
        <w:t xml:space="preserve"> at 10-12 (</w:t>
      </w:r>
      <w:r w:rsidR="000D6D11">
        <w:t>Dec</w:t>
      </w:r>
      <w:r w:rsidR="000C33C5">
        <w:t>. </w:t>
      </w:r>
      <w:r w:rsidR="000D6D11">
        <w:t>24, 2014</w:t>
      </w:r>
      <w:r w:rsidR="000C33C5">
        <w:t>)</w:t>
      </w:r>
      <w:r w:rsidR="00420D56">
        <w:t>.</w:t>
      </w:r>
      <w:r w:rsidR="000C33C5">
        <w:t xml:space="preserve"> </w:t>
      </w:r>
    </w:p>
  </w:footnote>
  <w:footnote w:id="2">
    <w:p w:rsidR="00420D56" w:rsidRDefault="00420D56" w:rsidP="000C33C5">
      <w:pPr>
        <w:pStyle w:val="FootnoteText"/>
      </w:pPr>
      <w:r>
        <w:rPr>
          <w:rStyle w:val="FootnoteReference"/>
        </w:rPr>
        <w:footnoteRef/>
      </w:r>
      <w:r w:rsidRPr="00420D56">
        <w:rPr>
          <w:i/>
        </w:rPr>
        <w:t xml:space="preserve"> </w:t>
      </w:r>
      <w:r w:rsidR="000C33C5">
        <w:rPr>
          <w:i/>
        </w:rPr>
        <w:tab/>
      </w:r>
      <w:r w:rsidR="000C33C5">
        <w:rPr>
          <w:i/>
        </w:rPr>
        <w:tab/>
      </w:r>
      <w:r w:rsidR="000C33C5" w:rsidRPr="006179B2">
        <w:rPr>
          <w:i/>
        </w:rPr>
        <w:t xml:space="preserve">PJM Interconnection, </w:t>
      </w:r>
      <w:proofErr w:type="spellStart"/>
      <w:r w:rsidR="000C33C5" w:rsidRPr="006179B2">
        <w:rPr>
          <w:i/>
        </w:rPr>
        <w:t>L.L.C</w:t>
      </w:r>
      <w:proofErr w:type="spellEnd"/>
      <w:r w:rsidR="000C33C5" w:rsidRPr="006179B2">
        <w:rPr>
          <w:i/>
        </w:rPr>
        <w:t>.,</w:t>
      </w:r>
      <w:r w:rsidR="000C33C5" w:rsidRPr="006179B2">
        <w:t xml:space="preserve"> </w:t>
      </w:r>
      <w:r w:rsidR="000C33C5">
        <w:t>Docket No. ER15-739 (PJM Transmittal Letter at 5 (Dec. 24, 2014)</w:t>
      </w:r>
      <w:r>
        <w:t xml:space="preserve">. </w:t>
      </w:r>
    </w:p>
  </w:footnote>
  <w:footnote w:id="3">
    <w:p w:rsidR="00420D56" w:rsidRPr="00F37602" w:rsidRDefault="00420D56" w:rsidP="000C33C5">
      <w:pPr>
        <w:pStyle w:val="FootnoteText"/>
      </w:pPr>
      <w:r>
        <w:rPr>
          <w:rStyle w:val="FootnoteReference"/>
        </w:rPr>
        <w:footnoteRef/>
      </w:r>
      <w:r>
        <w:t xml:space="preserve"> </w:t>
      </w:r>
      <w:r w:rsidR="000C33C5">
        <w:tab/>
      </w:r>
      <w:r w:rsidR="000C33C5">
        <w:tab/>
      </w:r>
      <w:r w:rsidR="00F37602">
        <w:rPr>
          <w:i/>
        </w:rPr>
        <w:t xml:space="preserve">Id. </w:t>
      </w:r>
      <w:r w:rsidR="00F37602">
        <w:t xml:space="preserve">at 2-3.  See </w:t>
      </w:r>
      <w:r w:rsidR="00F37602">
        <w:rPr>
          <w:i/>
        </w:rPr>
        <w:t xml:space="preserve">Elec. Power Supply Ass’n v. FERC, </w:t>
      </w:r>
      <w:r w:rsidR="00F37602">
        <w:t>753 F.3d 216 (D.C. Cir. 2014) (“EPSA”).</w:t>
      </w:r>
    </w:p>
  </w:footnote>
  <w:footnote w:id="4">
    <w:p w:rsidR="00F37602" w:rsidRPr="00F37602" w:rsidRDefault="00F37602" w:rsidP="000C33C5">
      <w:pPr>
        <w:pStyle w:val="FootnoteText"/>
      </w:pPr>
      <w:r>
        <w:rPr>
          <w:rStyle w:val="FootnoteReference"/>
        </w:rPr>
        <w:footnoteRef/>
      </w:r>
      <w:r>
        <w:t xml:space="preserve"> </w:t>
      </w:r>
      <w:r w:rsidR="000C33C5">
        <w:tab/>
      </w:r>
      <w:r w:rsidR="000C33C5">
        <w:tab/>
      </w:r>
      <w:r w:rsidR="000C33C5" w:rsidRPr="006179B2">
        <w:rPr>
          <w:i/>
        </w:rPr>
        <w:t xml:space="preserve">PJM Interconnection, </w:t>
      </w:r>
      <w:proofErr w:type="spellStart"/>
      <w:r w:rsidR="000C33C5" w:rsidRPr="006179B2">
        <w:rPr>
          <w:i/>
        </w:rPr>
        <w:t>L.L.C</w:t>
      </w:r>
      <w:proofErr w:type="spellEnd"/>
      <w:r w:rsidR="000C33C5" w:rsidRPr="006179B2">
        <w:rPr>
          <w:i/>
        </w:rPr>
        <w:t>.,</w:t>
      </w:r>
      <w:r w:rsidR="000C33C5" w:rsidRPr="006179B2">
        <w:t xml:space="preserve"> </w:t>
      </w:r>
      <w:r w:rsidR="000C33C5">
        <w:t xml:space="preserve">Docket No. ER15-739 (PJM Transmittal Letter at 9-10 (Dec. 24, 2014), </w:t>
      </w:r>
      <w:proofErr w:type="spellStart"/>
      <w:r>
        <w:t>Kormos</w:t>
      </w:r>
      <w:proofErr w:type="spellEnd"/>
      <w:r>
        <w:t xml:space="preserve"> </w:t>
      </w:r>
      <w:proofErr w:type="spellStart"/>
      <w:r>
        <w:t>Aff</w:t>
      </w:r>
      <w:proofErr w:type="spellEnd"/>
      <w:r>
        <w:t xml:space="preserve">. </w:t>
      </w:r>
      <w:r>
        <w:rPr>
          <w:rFonts w:cstheme="minorHAnsi"/>
        </w:rPr>
        <w:t xml:space="preserve">¶ </w:t>
      </w:r>
      <w:r>
        <w:t xml:space="preserve">17-21.  </w:t>
      </w:r>
    </w:p>
  </w:footnote>
  <w:footnote w:id="5">
    <w:p w:rsidR="00F37602" w:rsidRPr="00F37602" w:rsidRDefault="00F37602" w:rsidP="000C33C5">
      <w:pPr>
        <w:pStyle w:val="FootnoteText"/>
      </w:pPr>
      <w:r>
        <w:rPr>
          <w:rStyle w:val="FootnoteReference"/>
        </w:rPr>
        <w:footnoteRef/>
      </w:r>
      <w:r>
        <w:t xml:space="preserve"> </w:t>
      </w:r>
      <w:r w:rsidR="000C33C5">
        <w:tab/>
      </w:r>
      <w:r w:rsidR="000C33C5">
        <w:tab/>
      </w:r>
      <w:r w:rsidR="000C33C5" w:rsidRPr="006179B2">
        <w:rPr>
          <w:i/>
        </w:rPr>
        <w:t xml:space="preserve">PJM Interconnection, </w:t>
      </w:r>
      <w:proofErr w:type="spellStart"/>
      <w:r w:rsidR="000C33C5" w:rsidRPr="006179B2">
        <w:rPr>
          <w:i/>
        </w:rPr>
        <w:t>L.L.C</w:t>
      </w:r>
      <w:proofErr w:type="spellEnd"/>
      <w:r w:rsidR="000C33C5" w:rsidRPr="006179B2">
        <w:rPr>
          <w:i/>
        </w:rPr>
        <w:t>.,</w:t>
      </w:r>
      <w:r w:rsidR="000C33C5" w:rsidRPr="006179B2">
        <w:t xml:space="preserve"> </w:t>
      </w:r>
      <w:r w:rsidR="000C33C5">
        <w:t>Docket No. ER15-739 (PJM Transmittal Letter at 10-12 (Dec. 24, 2014)</w:t>
      </w:r>
      <w:r>
        <w:t xml:space="preserve">.  </w:t>
      </w:r>
    </w:p>
  </w:footnote>
  <w:footnote w:id="6">
    <w:p w:rsidR="00F37602" w:rsidRPr="00F37602" w:rsidRDefault="00F37602" w:rsidP="000C33C5">
      <w:pPr>
        <w:pStyle w:val="FootnoteText"/>
      </w:pPr>
      <w:r>
        <w:rPr>
          <w:rStyle w:val="FootnoteReference"/>
        </w:rPr>
        <w:footnoteRef/>
      </w:r>
      <w:r>
        <w:t xml:space="preserve"> </w:t>
      </w:r>
      <w:r w:rsidR="000C33C5">
        <w:tab/>
      </w:r>
      <w:r w:rsidR="000C33C5">
        <w:tab/>
      </w:r>
      <w:r w:rsidRPr="000C33C5">
        <w:rPr>
          <w:i/>
        </w:rPr>
        <w:t>Id</w:t>
      </w:r>
      <w:r>
        <w:t>.</w:t>
      </w:r>
    </w:p>
  </w:footnote>
  <w:footnote w:id="7">
    <w:p w:rsidR="009F3241" w:rsidRDefault="009F3241" w:rsidP="000C33C5">
      <w:pPr>
        <w:pStyle w:val="FootnoteText"/>
      </w:pPr>
      <w:r>
        <w:rPr>
          <w:rStyle w:val="FootnoteReference"/>
        </w:rPr>
        <w:footnoteRef/>
      </w:r>
      <w:r>
        <w:t xml:space="preserve"> </w:t>
      </w:r>
      <w:r w:rsidR="000C33C5">
        <w:tab/>
      </w:r>
      <w:r w:rsidR="000C33C5">
        <w:tab/>
      </w:r>
      <w:proofErr w:type="spellStart"/>
      <w:r>
        <w:t>Kormos</w:t>
      </w:r>
      <w:proofErr w:type="spellEnd"/>
      <w:r>
        <w:t xml:space="preserve"> </w:t>
      </w:r>
      <w:proofErr w:type="spellStart"/>
      <w:r>
        <w:t>Aff</w:t>
      </w:r>
      <w:proofErr w:type="spellEnd"/>
      <w:r>
        <w:t xml:space="preserve">. </w:t>
      </w:r>
      <w:r>
        <w:rPr>
          <w:rFonts w:cstheme="minorHAnsi"/>
        </w:rPr>
        <w:t xml:space="preserve">¶ </w:t>
      </w:r>
      <w:r>
        <w:t xml:space="preserve">7.  </w:t>
      </w:r>
    </w:p>
  </w:footnote>
  <w:footnote w:id="8">
    <w:p w:rsidR="00EC7FF2" w:rsidRDefault="00EC7FF2" w:rsidP="000C33C5">
      <w:pPr>
        <w:pStyle w:val="FootnoteText"/>
      </w:pPr>
      <w:r>
        <w:rPr>
          <w:rStyle w:val="FootnoteReference"/>
        </w:rPr>
        <w:footnoteRef/>
      </w:r>
      <w:r>
        <w:t xml:space="preserve"> </w:t>
      </w:r>
      <w:r w:rsidR="000C33C5">
        <w:tab/>
      </w:r>
      <w:r w:rsidR="000C33C5">
        <w:tab/>
      </w:r>
      <w:proofErr w:type="spellStart"/>
      <w:r w:rsidR="00D63327">
        <w:t>Kormos</w:t>
      </w:r>
      <w:proofErr w:type="spellEnd"/>
      <w:r w:rsidR="00D63327">
        <w:t xml:space="preserve"> </w:t>
      </w:r>
      <w:proofErr w:type="spellStart"/>
      <w:r w:rsidR="00D63327">
        <w:t>Aff</w:t>
      </w:r>
      <w:proofErr w:type="spellEnd"/>
      <w:r w:rsidR="00D63327">
        <w:t>.</w:t>
      </w:r>
      <w:r w:rsidR="00D63327">
        <w:t xml:space="preserve"> </w:t>
      </w:r>
      <w:proofErr w:type="gramStart"/>
      <w:r w:rsidR="00600925">
        <w:t>at</w:t>
      </w:r>
      <w:proofErr w:type="gramEnd"/>
      <w:r>
        <w:t xml:space="preserve"> </w:t>
      </w:r>
      <w:r>
        <w:rPr>
          <w:rFonts w:cstheme="minorHAnsi"/>
        </w:rPr>
        <w:t xml:space="preserve">¶ </w:t>
      </w:r>
      <w:r>
        <w:t xml:space="preserve">14.  </w:t>
      </w:r>
    </w:p>
  </w:footnote>
  <w:footnote w:id="9">
    <w:p w:rsidR="009F3241" w:rsidRPr="00EC7FF2" w:rsidRDefault="009F3241" w:rsidP="000C33C5">
      <w:pPr>
        <w:pStyle w:val="FootnoteText"/>
      </w:pPr>
      <w:r>
        <w:rPr>
          <w:rStyle w:val="FootnoteReference"/>
        </w:rPr>
        <w:footnoteRef/>
      </w:r>
      <w:r>
        <w:t xml:space="preserve"> </w:t>
      </w:r>
      <w:r w:rsidR="00336C32">
        <w:tab/>
      </w:r>
      <w:r w:rsidR="00336C32">
        <w:tab/>
      </w:r>
      <w:r w:rsidR="00EC7FF2" w:rsidRPr="00336C32">
        <w:rPr>
          <w:i/>
        </w:rPr>
        <w:t>Id</w:t>
      </w:r>
      <w:r w:rsidR="00EC7FF2">
        <w:t xml:space="preserve">. </w:t>
      </w:r>
    </w:p>
  </w:footnote>
  <w:footnote w:id="10">
    <w:p w:rsidR="009F3241" w:rsidRDefault="009F3241" w:rsidP="000C33C5">
      <w:pPr>
        <w:pStyle w:val="FootnoteText"/>
      </w:pPr>
      <w:r>
        <w:rPr>
          <w:rStyle w:val="FootnoteReference"/>
        </w:rPr>
        <w:footnoteRef/>
      </w:r>
      <w:r>
        <w:t xml:space="preserve"> </w:t>
      </w:r>
      <w:r w:rsidR="00336C32">
        <w:tab/>
      </w:r>
      <w:r w:rsidR="00336C32">
        <w:tab/>
      </w:r>
      <w:r w:rsidRPr="006179B2">
        <w:rPr>
          <w:i/>
        </w:rPr>
        <w:t xml:space="preserve">PJM Interconnection, </w:t>
      </w:r>
      <w:proofErr w:type="spellStart"/>
      <w:r w:rsidRPr="006179B2">
        <w:rPr>
          <w:i/>
        </w:rPr>
        <w:t>L.L.C</w:t>
      </w:r>
      <w:proofErr w:type="spellEnd"/>
      <w:r w:rsidRPr="006179B2">
        <w:rPr>
          <w:i/>
        </w:rPr>
        <w:t>.,</w:t>
      </w:r>
      <w:r w:rsidRPr="006179B2">
        <w:t xml:space="preserve"> </w:t>
      </w:r>
      <w:r>
        <w:t>Docket No. ER15-739</w:t>
      </w:r>
      <w:r w:rsidR="00336C32">
        <w:t xml:space="preserve"> (</w:t>
      </w:r>
      <w:r>
        <w:t>PJM Transmittal Letter</w:t>
      </w:r>
      <w:r w:rsidR="00336C32">
        <w:t xml:space="preserve"> at 10-12) (</w:t>
      </w:r>
      <w:r>
        <w:t>Dec</w:t>
      </w:r>
      <w:r w:rsidR="00336C32">
        <w:t>. </w:t>
      </w:r>
      <w:r>
        <w:t>24, 2014</w:t>
      </w:r>
      <w:r w:rsidR="00336C32">
        <w:t>)</w:t>
      </w:r>
      <w:r>
        <w:t>.</w:t>
      </w:r>
      <w:r w:rsidR="00336C32">
        <w:t xml:space="preserve"> </w:t>
      </w:r>
    </w:p>
  </w:footnote>
  <w:footnote w:id="11">
    <w:p w:rsidR="009F3241" w:rsidRPr="009F3241" w:rsidRDefault="009F3241" w:rsidP="000C33C5">
      <w:pPr>
        <w:pStyle w:val="FootnoteText"/>
      </w:pPr>
      <w:r>
        <w:rPr>
          <w:rStyle w:val="FootnoteReference"/>
        </w:rPr>
        <w:footnoteRef/>
      </w:r>
      <w:r>
        <w:t xml:space="preserve"> </w:t>
      </w:r>
      <w:r w:rsidR="00336C32">
        <w:tab/>
      </w:r>
      <w:r w:rsidR="00336C32">
        <w:tab/>
      </w:r>
      <w:r>
        <w:rPr>
          <w:i/>
        </w:rPr>
        <w:t xml:space="preserve">Id. </w:t>
      </w:r>
      <w:r>
        <w:t>at 11-12.</w:t>
      </w:r>
    </w:p>
  </w:footnote>
  <w:footnote w:id="12">
    <w:p w:rsidR="009F3241" w:rsidRPr="009F3241" w:rsidRDefault="009F3241" w:rsidP="000C33C5">
      <w:pPr>
        <w:pStyle w:val="FootnoteText"/>
      </w:pPr>
      <w:r>
        <w:rPr>
          <w:rStyle w:val="FootnoteReference"/>
        </w:rPr>
        <w:footnoteRef/>
      </w:r>
      <w:r>
        <w:t xml:space="preserve"> </w:t>
      </w:r>
      <w:r w:rsidR="00336C32">
        <w:tab/>
      </w:r>
      <w:r w:rsidR="00336C32">
        <w:tab/>
      </w:r>
      <w:r w:rsidR="00600925" w:rsidRPr="006179B2">
        <w:rPr>
          <w:i/>
        </w:rPr>
        <w:t xml:space="preserve">PJM Interconnection, </w:t>
      </w:r>
      <w:proofErr w:type="spellStart"/>
      <w:r w:rsidR="00600925" w:rsidRPr="006179B2">
        <w:rPr>
          <w:i/>
        </w:rPr>
        <w:t>L.L.C</w:t>
      </w:r>
      <w:proofErr w:type="spellEnd"/>
      <w:r w:rsidR="00600925" w:rsidRPr="006179B2">
        <w:rPr>
          <w:i/>
        </w:rPr>
        <w:t>.,</w:t>
      </w:r>
      <w:r w:rsidR="00600925" w:rsidRPr="006179B2">
        <w:t xml:space="preserve"> </w:t>
      </w:r>
      <w:r w:rsidR="00600925">
        <w:t>Docket No. ER15-739 (PJM Transmittal Letter at 12) (Dec. 24, 2014)</w:t>
      </w:r>
      <w:r>
        <w:t>.</w:t>
      </w:r>
    </w:p>
  </w:footnote>
  <w:footnote w:id="13">
    <w:p w:rsidR="009F3241" w:rsidRPr="009F3241" w:rsidRDefault="009F3241" w:rsidP="000C33C5">
      <w:pPr>
        <w:pStyle w:val="FootnoteText"/>
      </w:pPr>
      <w:r>
        <w:rPr>
          <w:rStyle w:val="FootnoteReference"/>
        </w:rPr>
        <w:footnoteRef/>
      </w:r>
      <w:r>
        <w:t xml:space="preserve"> </w:t>
      </w:r>
      <w:r w:rsidR="00336C32">
        <w:tab/>
      </w:r>
      <w:r w:rsidR="00336C32">
        <w:tab/>
      </w:r>
      <w:r w:rsidR="00600925">
        <w:rPr>
          <w:i/>
        </w:rPr>
        <w:t>Id</w:t>
      </w:r>
      <w:r>
        <w:t xml:space="preserve">. </w:t>
      </w:r>
    </w:p>
  </w:footnote>
  <w:footnote w:id="14">
    <w:p w:rsidR="009F3241" w:rsidRPr="009F3241" w:rsidRDefault="009F3241" w:rsidP="000C33C5">
      <w:pPr>
        <w:pStyle w:val="FootnoteText"/>
      </w:pPr>
      <w:r>
        <w:rPr>
          <w:rStyle w:val="FootnoteReference"/>
        </w:rPr>
        <w:footnoteRef/>
      </w:r>
      <w:r>
        <w:t xml:space="preserve"> </w:t>
      </w:r>
      <w:r w:rsidR="00336C32">
        <w:tab/>
      </w:r>
      <w:r w:rsidR="00336C32">
        <w:tab/>
      </w:r>
      <w:r w:rsidR="00D63327">
        <w:rPr>
          <w:i/>
        </w:rPr>
        <w:t>Id</w:t>
      </w:r>
      <w:r w:rsidR="00D63327">
        <w:t>. at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E0"/>
    <w:rsid w:val="00011D63"/>
    <w:rsid w:val="000C33C5"/>
    <w:rsid w:val="000D6D11"/>
    <w:rsid w:val="000E1954"/>
    <w:rsid w:val="000F4F72"/>
    <w:rsid w:val="00120AE3"/>
    <w:rsid w:val="00177848"/>
    <w:rsid w:val="001C33C9"/>
    <w:rsid w:val="002E0799"/>
    <w:rsid w:val="00301B02"/>
    <w:rsid w:val="0031586F"/>
    <w:rsid w:val="00320B94"/>
    <w:rsid w:val="00336C32"/>
    <w:rsid w:val="003D3147"/>
    <w:rsid w:val="003F7AF9"/>
    <w:rsid w:val="00420D56"/>
    <w:rsid w:val="0044575B"/>
    <w:rsid w:val="004F7F39"/>
    <w:rsid w:val="00530964"/>
    <w:rsid w:val="00535763"/>
    <w:rsid w:val="00570537"/>
    <w:rsid w:val="00582973"/>
    <w:rsid w:val="005F5AEB"/>
    <w:rsid w:val="00600925"/>
    <w:rsid w:val="0074479C"/>
    <w:rsid w:val="00781626"/>
    <w:rsid w:val="007C7354"/>
    <w:rsid w:val="007F6C71"/>
    <w:rsid w:val="00865270"/>
    <w:rsid w:val="00875F66"/>
    <w:rsid w:val="008E6441"/>
    <w:rsid w:val="009004FB"/>
    <w:rsid w:val="00940D7B"/>
    <w:rsid w:val="00970B54"/>
    <w:rsid w:val="00976E8F"/>
    <w:rsid w:val="009C5E08"/>
    <w:rsid w:val="009E5A42"/>
    <w:rsid w:val="009F3241"/>
    <w:rsid w:val="00A775D0"/>
    <w:rsid w:val="00AE45B5"/>
    <w:rsid w:val="00B85378"/>
    <w:rsid w:val="00BA76D0"/>
    <w:rsid w:val="00BC389C"/>
    <w:rsid w:val="00BF07BA"/>
    <w:rsid w:val="00C3413E"/>
    <w:rsid w:val="00CB056A"/>
    <w:rsid w:val="00CB4575"/>
    <w:rsid w:val="00D10898"/>
    <w:rsid w:val="00D46EC0"/>
    <w:rsid w:val="00D63327"/>
    <w:rsid w:val="00D93F77"/>
    <w:rsid w:val="00E267B4"/>
    <w:rsid w:val="00E436E0"/>
    <w:rsid w:val="00EC7FF2"/>
    <w:rsid w:val="00F37602"/>
    <w:rsid w:val="00F60C13"/>
    <w:rsid w:val="00FA5574"/>
    <w:rsid w:val="00FC1A6F"/>
    <w:rsid w:val="00FD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F6C39B0-40AA-4EF5-9F47-23EAA640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E0"/>
  </w:style>
  <w:style w:type="paragraph" w:styleId="Heading1">
    <w:name w:val="heading 1"/>
    <w:basedOn w:val="Normal"/>
    <w:next w:val="Normal"/>
    <w:link w:val="Heading1Char"/>
    <w:autoRedefine/>
    <w:uiPriority w:val="9"/>
    <w:qFormat/>
    <w:rsid w:val="000C33C5"/>
    <w:pPr>
      <w:keepNext/>
      <w:keepLines/>
      <w:spacing w:before="360" w:after="240" w:line="24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0C33C5"/>
    <w:pPr>
      <w:keepNext/>
      <w:keepLines/>
      <w:spacing w:before="360" w:after="240" w:line="240" w:lineRule="auto"/>
      <w:ind w:left="1440" w:right="720" w:hanging="72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autoRedefine/>
    <w:uiPriority w:val="9"/>
    <w:unhideWhenUsed/>
    <w:qFormat/>
    <w:rsid w:val="00336C32"/>
    <w:pPr>
      <w:keepNext/>
      <w:keepLines/>
      <w:spacing w:before="360" w:after="240" w:line="240" w:lineRule="auto"/>
      <w:ind w:left="2160" w:right="720" w:hanging="72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5F5AEB"/>
    <w:pPr>
      <w:autoSpaceDE w:val="0"/>
      <w:autoSpaceDN w:val="0"/>
      <w:adjustRightInd w:val="0"/>
      <w:spacing w:after="0" w:line="480" w:lineRule="auto"/>
      <w:contextualSpacing/>
      <w:jc w:val="both"/>
    </w:pPr>
    <w:rPr>
      <w:rFonts w:ascii="Times New Roman" w:hAnsi="Times New Roman" w:cs="Times New Roman"/>
      <w:color w:val="000000"/>
      <w:sz w:val="26"/>
      <w:szCs w:val="26"/>
    </w:rPr>
  </w:style>
  <w:style w:type="paragraph" w:styleId="FootnoteText">
    <w:name w:val="footnote text"/>
    <w:basedOn w:val="Normal"/>
    <w:link w:val="FootnoteTextChar"/>
    <w:autoRedefine/>
    <w:uiPriority w:val="99"/>
    <w:unhideWhenUsed/>
    <w:rsid w:val="000C33C5"/>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0C33C5"/>
    <w:rPr>
      <w:rFonts w:ascii="Times New Roman" w:hAnsi="Times New Roman"/>
      <w:sz w:val="20"/>
      <w:szCs w:val="20"/>
    </w:rPr>
  </w:style>
  <w:style w:type="character" w:styleId="FootnoteReference">
    <w:name w:val="footnote reference"/>
    <w:basedOn w:val="DefaultParagraphFont"/>
    <w:uiPriority w:val="99"/>
    <w:semiHidden/>
    <w:unhideWhenUsed/>
    <w:rsid w:val="00011D63"/>
    <w:rPr>
      <w:vertAlign w:val="superscript"/>
    </w:rPr>
  </w:style>
  <w:style w:type="paragraph" w:styleId="BalloonText">
    <w:name w:val="Balloon Text"/>
    <w:basedOn w:val="Normal"/>
    <w:link w:val="BalloonTextChar"/>
    <w:uiPriority w:val="99"/>
    <w:semiHidden/>
    <w:unhideWhenUsed/>
    <w:rsid w:val="0053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64"/>
    <w:rPr>
      <w:rFonts w:ascii="Tahoma" w:hAnsi="Tahoma" w:cs="Tahoma"/>
      <w:sz w:val="16"/>
      <w:szCs w:val="16"/>
    </w:rPr>
  </w:style>
  <w:style w:type="paragraph" w:styleId="Header">
    <w:name w:val="header"/>
    <w:basedOn w:val="Normal"/>
    <w:link w:val="HeaderChar"/>
    <w:uiPriority w:val="99"/>
    <w:unhideWhenUsed/>
    <w:rsid w:val="0097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8F"/>
  </w:style>
  <w:style w:type="paragraph" w:styleId="Footer">
    <w:name w:val="footer"/>
    <w:basedOn w:val="Normal"/>
    <w:link w:val="FooterChar"/>
    <w:uiPriority w:val="99"/>
    <w:unhideWhenUsed/>
    <w:rsid w:val="0097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8F"/>
  </w:style>
  <w:style w:type="character" w:customStyle="1" w:styleId="Heading1Char">
    <w:name w:val="Heading 1 Char"/>
    <w:basedOn w:val="DefaultParagraphFont"/>
    <w:link w:val="Heading1"/>
    <w:uiPriority w:val="9"/>
    <w:rsid w:val="000C33C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C33C5"/>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336C32"/>
    <w:rPr>
      <w:rFonts w:ascii="Times New Roman" w:eastAsiaTheme="majorEastAsia" w:hAnsi="Times New Roman"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3" Type="http://schemas.openxmlformats.org/officeDocument/2006/relationships/settings" Target="settings.xml"/><Relationship Id="rId7" Type="http://schemas.openxmlformats.org/officeDocument/2006/relationships/hyperlink" Target="mailto:jonathan.tauber@puc.state.o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D611-3619-444A-A6FF-CD4D9285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Tauber, Jonathan</dc:creator>
  <cp:lastModifiedBy>Keeton, Kim</cp:lastModifiedBy>
  <cp:revision>6</cp:revision>
  <dcterms:created xsi:type="dcterms:W3CDTF">2015-01-20T13:59:00Z</dcterms:created>
  <dcterms:modified xsi:type="dcterms:W3CDTF">2015-01-20T16:30:00Z</dcterms:modified>
</cp:coreProperties>
</file>