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E5BFA" w14:textId="77777777" w:rsidR="00C333B3" w:rsidRPr="00BA1BB2" w:rsidRDefault="00C333B3" w:rsidP="00C333B3">
      <w:pPr>
        <w:pStyle w:val="Title"/>
        <w:widowControl w:val="0"/>
        <w:rPr>
          <w:rFonts w:asciiTheme="minorHAnsi" w:hAnsiTheme="minorHAnsi" w:cstheme="minorHAnsi"/>
        </w:rPr>
      </w:pPr>
      <w:bookmarkStart w:id="0" w:name="_GoBack"/>
      <w:bookmarkEnd w:id="0"/>
      <w:r w:rsidRPr="00BA1BB2">
        <w:rPr>
          <w:rFonts w:asciiTheme="minorHAnsi" w:hAnsiTheme="minorHAnsi" w:cstheme="minorHAnsi"/>
        </w:rPr>
        <w:t>BEFORE</w:t>
      </w:r>
    </w:p>
    <w:p w14:paraId="683B474E" w14:textId="77777777" w:rsidR="00C333B3" w:rsidRPr="00BA1BB2" w:rsidRDefault="00C333B3" w:rsidP="00C333B3">
      <w:pPr>
        <w:widowControl w:val="0"/>
        <w:jc w:val="center"/>
        <w:rPr>
          <w:rFonts w:asciiTheme="minorHAnsi" w:hAnsiTheme="minorHAnsi" w:cstheme="minorHAnsi"/>
          <w:b/>
        </w:rPr>
      </w:pPr>
      <w:r w:rsidRPr="00BA1BB2">
        <w:rPr>
          <w:rFonts w:asciiTheme="minorHAnsi" w:hAnsiTheme="minorHAnsi" w:cstheme="minorHAnsi"/>
          <w:b/>
        </w:rPr>
        <w:t xml:space="preserve">THE PUBLIC UTILITIES COMMISSION OF </w:t>
      </w:r>
      <w:smartTag w:uri="urn:schemas-microsoft-com:office:smarttags" w:element="State">
        <w:smartTag w:uri="urn:schemas-microsoft-com:office:smarttags" w:element="place">
          <w:r w:rsidRPr="00BA1BB2">
            <w:rPr>
              <w:rFonts w:asciiTheme="minorHAnsi" w:hAnsiTheme="minorHAnsi" w:cstheme="minorHAnsi"/>
              <w:b/>
            </w:rPr>
            <w:t>OHIO</w:t>
          </w:r>
        </w:smartTag>
      </w:smartTag>
    </w:p>
    <w:p w14:paraId="452B7219" w14:textId="77777777" w:rsidR="00C333B3" w:rsidRPr="00BA1BB2" w:rsidRDefault="00C333B3" w:rsidP="00C333B3">
      <w:pPr>
        <w:widowControl w:val="0"/>
        <w:rPr>
          <w:rFonts w:asciiTheme="minorHAnsi" w:hAnsiTheme="minorHAnsi" w:cstheme="minorHAnsi"/>
          <w:b/>
        </w:rPr>
      </w:pPr>
    </w:p>
    <w:p w14:paraId="401A1C84" w14:textId="47FEE473" w:rsidR="00953D16" w:rsidRDefault="00953D16" w:rsidP="00973567">
      <w:pPr>
        <w:tabs>
          <w:tab w:val="left" w:pos="5760"/>
          <w:tab w:val="left" w:pos="6750"/>
        </w:tabs>
        <w:rPr>
          <w:rFonts w:ascii="Calibri" w:hAnsi="Calibri"/>
        </w:rPr>
      </w:pPr>
      <w:bookmarkStart w:id="1" w:name="_Hlk52530511"/>
      <w:bookmarkStart w:id="2" w:name="_Hlk52452133"/>
      <w:r>
        <w:rPr>
          <w:rFonts w:ascii="Calibri" w:hAnsi="Calibri"/>
        </w:rPr>
        <w:t>In the Matter of the Determination of the Existence</w:t>
      </w:r>
      <w:r w:rsidR="00973567">
        <w:rPr>
          <w:rFonts w:ascii="Calibri" w:hAnsi="Calibri"/>
        </w:rPr>
        <w:t xml:space="preserve"> of</w:t>
      </w:r>
      <w:r>
        <w:rPr>
          <w:rFonts w:ascii="Calibri" w:hAnsi="Calibri"/>
        </w:rPr>
        <w:tab/>
        <w:t>)</w:t>
      </w:r>
    </w:p>
    <w:p w14:paraId="44C4DD14" w14:textId="4DAA7A88" w:rsidR="00953D16" w:rsidRDefault="00953D16" w:rsidP="00973567">
      <w:pPr>
        <w:tabs>
          <w:tab w:val="left" w:pos="5760"/>
          <w:tab w:val="left" w:pos="6750"/>
        </w:tabs>
        <w:rPr>
          <w:rFonts w:ascii="Calibri" w:hAnsi="Calibri"/>
        </w:rPr>
      </w:pPr>
      <w:r>
        <w:rPr>
          <w:rFonts w:ascii="Calibri" w:hAnsi="Calibri"/>
        </w:rPr>
        <w:t>Significantly Excessive Earnings for 2018 Under</w:t>
      </w:r>
      <w:r w:rsidR="00973567">
        <w:rPr>
          <w:rFonts w:ascii="Calibri" w:hAnsi="Calibri"/>
        </w:rPr>
        <w:t xml:space="preserve"> the</w:t>
      </w:r>
      <w:r>
        <w:rPr>
          <w:rFonts w:ascii="Calibri" w:hAnsi="Calibri"/>
        </w:rPr>
        <w:tab/>
        <w:t>)</w:t>
      </w:r>
      <w:r w:rsidRPr="00863462">
        <w:rPr>
          <w:rFonts w:ascii="Calibri" w:hAnsi="Calibri"/>
        </w:rPr>
        <w:t xml:space="preserve"> </w:t>
      </w:r>
      <w:r>
        <w:rPr>
          <w:rFonts w:ascii="Calibri" w:hAnsi="Calibri"/>
        </w:rPr>
        <w:tab/>
      </w:r>
    </w:p>
    <w:p w14:paraId="4F621C09" w14:textId="5FAC0830" w:rsidR="00953D16" w:rsidRDefault="00953D16" w:rsidP="00973567">
      <w:pPr>
        <w:tabs>
          <w:tab w:val="left" w:pos="5760"/>
          <w:tab w:val="left" w:pos="6750"/>
        </w:tabs>
        <w:rPr>
          <w:rFonts w:ascii="Calibri" w:hAnsi="Calibri"/>
        </w:rPr>
      </w:pPr>
      <w:r>
        <w:rPr>
          <w:rFonts w:ascii="Calibri" w:hAnsi="Calibri"/>
        </w:rPr>
        <w:t>Electric Security Plans of Ohio Edison Company,</w:t>
      </w:r>
      <w:r w:rsidR="00973567">
        <w:rPr>
          <w:rFonts w:ascii="Calibri" w:hAnsi="Calibri"/>
        </w:rPr>
        <w:t xml:space="preserve"> The</w:t>
      </w:r>
      <w:r>
        <w:rPr>
          <w:rFonts w:ascii="Calibri" w:hAnsi="Calibri"/>
        </w:rPr>
        <w:tab/>
        <w:t>)</w:t>
      </w:r>
      <w:r w:rsidRPr="00863462">
        <w:rPr>
          <w:rFonts w:ascii="Calibri" w:hAnsi="Calibri"/>
        </w:rPr>
        <w:t xml:space="preserve"> </w:t>
      </w:r>
      <w:r>
        <w:rPr>
          <w:rFonts w:ascii="Calibri" w:hAnsi="Calibri"/>
        </w:rPr>
        <w:tab/>
        <w:t>Case No. 19-1338</w:t>
      </w:r>
      <w:r w:rsidRPr="00002576">
        <w:rPr>
          <w:rFonts w:ascii="Calibri" w:hAnsi="Calibri"/>
        </w:rPr>
        <w:t>-EL-UNC</w:t>
      </w:r>
    </w:p>
    <w:p w14:paraId="01DA61F6" w14:textId="7C6380E6" w:rsidR="00953D16" w:rsidRDefault="00953D16" w:rsidP="00973567">
      <w:pPr>
        <w:tabs>
          <w:tab w:val="left" w:pos="5760"/>
          <w:tab w:val="left" w:pos="6750"/>
        </w:tabs>
        <w:rPr>
          <w:rFonts w:ascii="Calibri" w:hAnsi="Calibri"/>
        </w:rPr>
      </w:pPr>
      <w:r>
        <w:rPr>
          <w:rFonts w:ascii="Calibri" w:hAnsi="Calibri"/>
        </w:rPr>
        <w:t>Cleveland Electric Illuminating Company, and</w:t>
      </w:r>
      <w:r w:rsidR="00973567">
        <w:rPr>
          <w:rFonts w:ascii="Calibri" w:hAnsi="Calibri"/>
        </w:rPr>
        <w:t xml:space="preserve"> the Toledo</w:t>
      </w:r>
      <w:r>
        <w:rPr>
          <w:rFonts w:ascii="Calibri" w:hAnsi="Calibri"/>
        </w:rPr>
        <w:tab/>
        <w:t>)</w:t>
      </w:r>
      <w:r w:rsidRPr="00863462">
        <w:rPr>
          <w:rFonts w:ascii="Calibri" w:hAnsi="Calibri"/>
        </w:rPr>
        <w:t xml:space="preserve"> </w:t>
      </w:r>
      <w:r>
        <w:rPr>
          <w:rFonts w:ascii="Calibri" w:hAnsi="Calibri"/>
        </w:rPr>
        <w:tab/>
      </w:r>
    </w:p>
    <w:p w14:paraId="31ECC1EE" w14:textId="1054E89E" w:rsidR="00953D16" w:rsidRDefault="00953D16" w:rsidP="00973567">
      <w:pPr>
        <w:tabs>
          <w:tab w:val="left" w:pos="5760"/>
          <w:tab w:val="left" w:pos="6750"/>
        </w:tabs>
        <w:rPr>
          <w:rFonts w:ascii="Calibri" w:hAnsi="Calibri"/>
        </w:rPr>
      </w:pPr>
      <w:r>
        <w:rPr>
          <w:rFonts w:ascii="Calibri" w:hAnsi="Calibri"/>
        </w:rPr>
        <w:t>Edison Company</w:t>
      </w:r>
      <w:r>
        <w:rPr>
          <w:rFonts w:ascii="Calibri" w:hAnsi="Calibri"/>
        </w:rPr>
        <w:tab/>
        <w:t>)</w:t>
      </w:r>
    </w:p>
    <w:p w14:paraId="62D89DB4" w14:textId="5D5FC289" w:rsidR="00953D16" w:rsidRDefault="00953D16" w:rsidP="00973567">
      <w:pPr>
        <w:tabs>
          <w:tab w:val="left" w:pos="5760"/>
          <w:tab w:val="left" w:pos="6750"/>
        </w:tabs>
        <w:rPr>
          <w:rFonts w:ascii="Calibri" w:hAnsi="Calibri"/>
        </w:rPr>
      </w:pPr>
    </w:p>
    <w:p w14:paraId="4BBAABFA" w14:textId="2DED88FE" w:rsidR="00953D16" w:rsidRDefault="00953D16" w:rsidP="00973567">
      <w:pPr>
        <w:tabs>
          <w:tab w:val="left" w:pos="5760"/>
          <w:tab w:val="left" w:pos="6750"/>
        </w:tabs>
        <w:rPr>
          <w:rFonts w:ascii="Calibri" w:hAnsi="Calibri"/>
        </w:rPr>
      </w:pPr>
      <w:r>
        <w:rPr>
          <w:rFonts w:ascii="Calibri" w:hAnsi="Calibri"/>
        </w:rPr>
        <w:t>In the Matter of the Determination of the Existence</w:t>
      </w:r>
      <w:r w:rsidR="00973567">
        <w:rPr>
          <w:rFonts w:ascii="Calibri" w:hAnsi="Calibri"/>
        </w:rPr>
        <w:t xml:space="preserve"> of</w:t>
      </w:r>
      <w:r>
        <w:rPr>
          <w:rFonts w:ascii="Calibri" w:hAnsi="Calibri"/>
        </w:rPr>
        <w:tab/>
        <w:t>)</w:t>
      </w:r>
    </w:p>
    <w:p w14:paraId="53647FC5" w14:textId="4C3FDA97" w:rsidR="00953D16" w:rsidRDefault="00953D16" w:rsidP="00973567">
      <w:pPr>
        <w:tabs>
          <w:tab w:val="left" w:pos="5760"/>
          <w:tab w:val="left" w:pos="6750"/>
        </w:tabs>
        <w:rPr>
          <w:rFonts w:ascii="Calibri" w:hAnsi="Calibri"/>
        </w:rPr>
      </w:pPr>
      <w:r>
        <w:rPr>
          <w:rFonts w:ascii="Calibri" w:hAnsi="Calibri"/>
        </w:rPr>
        <w:t>Significantly Excessive Earnings for 2019 Under</w:t>
      </w:r>
      <w:r w:rsidR="00973567">
        <w:rPr>
          <w:rFonts w:ascii="Calibri" w:hAnsi="Calibri"/>
        </w:rPr>
        <w:t xml:space="preserve"> the</w:t>
      </w:r>
      <w:r>
        <w:rPr>
          <w:rFonts w:ascii="Calibri" w:hAnsi="Calibri"/>
        </w:rPr>
        <w:tab/>
        <w:t>)</w:t>
      </w:r>
      <w:r w:rsidRPr="00863462">
        <w:rPr>
          <w:rFonts w:ascii="Calibri" w:hAnsi="Calibri"/>
        </w:rPr>
        <w:t xml:space="preserve"> </w:t>
      </w:r>
      <w:r>
        <w:rPr>
          <w:rFonts w:ascii="Calibri" w:hAnsi="Calibri"/>
        </w:rPr>
        <w:tab/>
      </w:r>
    </w:p>
    <w:p w14:paraId="51867C43" w14:textId="4546FB35" w:rsidR="00953D16" w:rsidRDefault="00953D16" w:rsidP="00973567">
      <w:pPr>
        <w:tabs>
          <w:tab w:val="left" w:pos="5760"/>
          <w:tab w:val="left" w:pos="6750"/>
        </w:tabs>
        <w:rPr>
          <w:rFonts w:ascii="Calibri" w:hAnsi="Calibri"/>
        </w:rPr>
      </w:pPr>
      <w:r>
        <w:rPr>
          <w:rFonts w:ascii="Calibri" w:hAnsi="Calibri"/>
        </w:rPr>
        <w:t>Electric Security Plans of Ohio Edison Company,</w:t>
      </w:r>
      <w:r w:rsidR="00973567">
        <w:rPr>
          <w:rFonts w:ascii="Calibri" w:hAnsi="Calibri"/>
        </w:rPr>
        <w:t xml:space="preserve"> The</w:t>
      </w:r>
      <w:r>
        <w:rPr>
          <w:rFonts w:ascii="Calibri" w:hAnsi="Calibri"/>
        </w:rPr>
        <w:tab/>
        <w:t>)</w:t>
      </w:r>
      <w:r w:rsidRPr="00863462">
        <w:rPr>
          <w:rFonts w:ascii="Calibri" w:hAnsi="Calibri"/>
        </w:rPr>
        <w:t xml:space="preserve"> </w:t>
      </w:r>
      <w:r>
        <w:rPr>
          <w:rFonts w:ascii="Calibri" w:hAnsi="Calibri"/>
        </w:rPr>
        <w:tab/>
        <w:t>Case No. 20-1034</w:t>
      </w:r>
      <w:r w:rsidRPr="00002576">
        <w:rPr>
          <w:rFonts w:ascii="Calibri" w:hAnsi="Calibri"/>
        </w:rPr>
        <w:t>-EL-UNC</w:t>
      </w:r>
    </w:p>
    <w:p w14:paraId="2F59EC0F" w14:textId="35102E50" w:rsidR="00953D16" w:rsidRDefault="00953D16" w:rsidP="00973567">
      <w:pPr>
        <w:tabs>
          <w:tab w:val="left" w:pos="5760"/>
          <w:tab w:val="left" w:pos="6750"/>
        </w:tabs>
        <w:rPr>
          <w:rFonts w:ascii="Calibri" w:hAnsi="Calibri"/>
        </w:rPr>
      </w:pPr>
      <w:r>
        <w:rPr>
          <w:rFonts w:ascii="Calibri" w:hAnsi="Calibri"/>
        </w:rPr>
        <w:t>Cleveland Electric Illuminating Company, and</w:t>
      </w:r>
      <w:r w:rsidR="00973567">
        <w:rPr>
          <w:rFonts w:ascii="Calibri" w:hAnsi="Calibri"/>
        </w:rPr>
        <w:t xml:space="preserve"> the Toledo</w:t>
      </w:r>
      <w:r>
        <w:rPr>
          <w:rFonts w:ascii="Calibri" w:hAnsi="Calibri"/>
        </w:rPr>
        <w:tab/>
        <w:t>)</w:t>
      </w:r>
      <w:r w:rsidRPr="00863462">
        <w:rPr>
          <w:rFonts w:ascii="Calibri" w:hAnsi="Calibri"/>
        </w:rPr>
        <w:t xml:space="preserve"> </w:t>
      </w:r>
      <w:r>
        <w:rPr>
          <w:rFonts w:ascii="Calibri" w:hAnsi="Calibri"/>
        </w:rPr>
        <w:tab/>
      </w:r>
    </w:p>
    <w:p w14:paraId="535D1E6C" w14:textId="661B1A0C" w:rsidR="00973567" w:rsidRDefault="00973567" w:rsidP="00973567">
      <w:pPr>
        <w:tabs>
          <w:tab w:val="left" w:pos="5760"/>
          <w:tab w:val="left" w:pos="6750"/>
        </w:tabs>
        <w:rPr>
          <w:rFonts w:ascii="Calibri" w:hAnsi="Calibri"/>
        </w:rPr>
      </w:pPr>
      <w:r>
        <w:rPr>
          <w:rFonts w:ascii="Calibri" w:hAnsi="Calibri"/>
        </w:rPr>
        <w:t>Edison Company</w:t>
      </w:r>
      <w:r>
        <w:rPr>
          <w:rFonts w:ascii="Calibri" w:hAnsi="Calibri"/>
        </w:rPr>
        <w:tab/>
        <w:t>)</w:t>
      </w:r>
    </w:p>
    <w:p w14:paraId="3664EC60" w14:textId="77777777" w:rsidR="00973567" w:rsidRDefault="00973567" w:rsidP="00973567">
      <w:pPr>
        <w:tabs>
          <w:tab w:val="left" w:pos="5760"/>
          <w:tab w:val="left" w:pos="6750"/>
        </w:tabs>
        <w:rPr>
          <w:rFonts w:ascii="Calibri" w:hAnsi="Calibri"/>
        </w:rPr>
      </w:pPr>
    </w:p>
    <w:p w14:paraId="2EC4FF1A" w14:textId="28972D9F" w:rsidR="000D1FCD" w:rsidRDefault="000D1FCD" w:rsidP="00973567">
      <w:pPr>
        <w:tabs>
          <w:tab w:val="left" w:pos="5760"/>
          <w:tab w:val="left" w:pos="6750"/>
        </w:tabs>
        <w:rPr>
          <w:rFonts w:ascii="Calibri" w:hAnsi="Calibri"/>
        </w:rPr>
      </w:pPr>
      <w:r>
        <w:rPr>
          <w:rFonts w:ascii="Calibri" w:hAnsi="Calibri"/>
        </w:rPr>
        <w:t xml:space="preserve">In the Matter of the </w:t>
      </w:r>
      <w:r w:rsidR="00002576">
        <w:rPr>
          <w:rFonts w:ascii="Calibri" w:hAnsi="Calibri"/>
        </w:rPr>
        <w:t>Quadrennial Review</w:t>
      </w:r>
      <w:r w:rsidR="00973567">
        <w:rPr>
          <w:rFonts w:ascii="Calibri" w:hAnsi="Calibri"/>
        </w:rPr>
        <w:t xml:space="preserve"> Required by</w:t>
      </w:r>
      <w:r>
        <w:rPr>
          <w:rFonts w:ascii="Calibri" w:hAnsi="Calibri"/>
        </w:rPr>
        <w:tab/>
        <w:t>)</w:t>
      </w:r>
    </w:p>
    <w:p w14:paraId="567B5000" w14:textId="4DEA0D4B" w:rsidR="000D1FCD" w:rsidRDefault="00002576" w:rsidP="00973567">
      <w:pPr>
        <w:tabs>
          <w:tab w:val="left" w:pos="5760"/>
          <w:tab w:val="left" w:pos="6750"/>
        </w:tabs>
        <w:rPr>
          <w:rFonts w:ascii="Calibri" w:hAnsi="Calibri"/>
        </w:rPr>
      </w:pPr>
      <w:r>
        <w:rPr>
          <w:rFonts w:ascii="Calibri" w:hAnsi="Calibri"/>
        </w:rPr>
        <w:t>R.C. 4928.143(E) for the Electric</w:t>
      </w:r>
      <w:r w:rsidR="00973567">
        <w:rPr>
          <w:rFonts w:ascii="Calibri" w:hAnsi="Calibri"/>
        </w:rPr>
        <w:t xml:space="preserve"> Security Plans of Ohio</w:t>
      </w:r>
      <w:r w:rsidR="000D1FCD">
        <w:rPr>
          <w:rFonts w:ascii="Calibri" w:hAnsi="Calibri"/>
        </w:rPr>
        <w:tab/>
        <w:t>)</w:t>
      </w:r>
      <w:r w:rsidR="009D1786" w:rsidRPr="00863462">
        <w:rPr>
          <w:rFonts w:ascii="Calibri" w:hAnsi="Calibri"/>
        </w:rPr>
        <w:t xml:space="preserve"> </w:t>
      </w:r>
      <w:r w:rsidR="009D1786">
        <w:rPr>
          <w:rFonts w:ascii="Calibri" w:hAnsi="Calibri"/>
        </w:rPr>
        <w:tab/>
        <w:t xml:space="preserve">Case No. </w:t>
      </w:r>
      <w:r w:rsidR="009D1786" w:rsidRPr="00002576">
        <w:rPr>
          <w:rFonts w:ascii="Calibri" w:hAnsi="Calibri"/>
        </w:rPr>
        <w:t>20-1476-EL-UNC</w:t>
      </w:r>
    </w:p>
    <w:p w14:paraId="53B8FBBF" w14:textId="2F4D6204" w:rsidR="000D1FCD" w:rsidRDefault="00002576" w:rsidP="00973567">
      <w:pPr>
        <w:tabs>
          <w:tab w:val="left" w:pos="5760"/>
          <w:tab w:val="left" w:pos="6750"/>
        </w:tabs>
        <w:rPr>
          <w:rFonts w:ascii="Calibri" w:hAnsi="Calibri"/>
        </w:rPr>
      </w:pPr>
      <w:r>
        <w:rPr>
          <w:rFonts w:ascii="Calibri" w:hAnsi="Calibri"/>
        </w:rPr>
        <w:t>Edison Company, The</w:t>
      </w:r>
      <w:r w:rsidR="00973567">
        <w:rPr>
          <w:rFonts w:ascii="Calibri" w:hAnsi="Calibri"/>
        </w:rPr>
        <w:t xml:space="preserve"> Cleveland Electric Illuminating</w:t>
      </w:r>
      <w:r>
        <w:rPr>
          <w:rFonts w:ascii="Calibri" w:hAnsi="Calibri"/>
        </w:rPr>
        <w:tab/>
      </w:r>
      <w:r w:rsidR="000D1FCD">
        <w:rPr>
          <w:rFonts w:ascii="Calibri" w:hAnsi="Calibri"/>
        </w:rPr>
        <w:t>)</w:t>
      </w:r>
    </w:p>
    <w:p w14:paraId="7A9EAFDD" w14:textId="198A9AE6" w:rsidR="000D1FCD" w:rsidRDefault="00002576" w:rsidP="00973567">
      <w:pPr>
        <w:tabs>
          <w:tab w:val="left" w:pos="5760"/>
          <w:tab w:val="left" w:pos="6750"/>
        </w:tabs>
        <w:rPr>
          <w:rFonts w:ascii="Calibri" w:hAnsi="Calibri"/>
        </w:rPr>
      </w:pPr>
      <w:r>
        <w:rPr>
          <w:rFonts w:ascii="Calibri" w:hAnsi="Calibri"/>
        </w:rPr>
        <w:t>Company, and</w:t>
      </w:r>
      <w:r w:rsidR="00973567">
        <w:rPr>
          <w:rFonts w:ascii="Calibri" w:hAnsi="Calibri"/>
        </w:rPr>
        <w:t xml:space="preserve"> the Toledo Edison Company</w:t>
      </w:r>
      <w:r w:rsidR="000D1FCD">
        <w:rPr>
          <w:rFonts w:ascii="Calibri" w:hAnsi="Calibri"/>
        </w:rPr>
        <w:tab/>
        <w:t>)</w:t>
      </w:r>
      <w:r w:rsidR="000D1FCD" w:rsidRPr="00863462">
        <w:rPr>
          <w:rFonts w:ascii="Calibri" w:hAnsi="Calibri"/>
        </w:rPr>
        <w:t xml:space="preserve"> </w:t>
      </w:r>
      <w:bookmarkEnd w:id="1"/>
      <w:r w:rsidR="000D1FCD">
        <w:rPr>
          <w:rFonts w:ascii="Calibri" w:hAnsi="Calibri"/>
        </w:rPr>
        <w:tab/>
      </w:r>
    </w:p>
    <w:p w14:paraId="53EDA542" w14:textId="77777777" w:rsidR="000D1FCD" w:rsidRDefault="000D1FCD" w:rsidP="00973567">
      <w:pPr>
        <w:tabs>
          <w:tab w:val="left" w:pos="5760"/>
          <w:tab w:val="left" w:pos="6750"/>
        </w:tabs>
        <w:rPr>
          <w:rFonts w:ascii="Calibri" w:hAnsi="Calibri"/>
        </w:rPr>
      </w:pPr>
      <w:r>
        <w:rPr>
          <w:rFonts w:ascii="Calibri" w:hAnsi="Calibri"/>
        </w:rPr>
        <w:tab/>
      </w:r>
    </w:p>
    <w:bookmarkEnd w:id="2"/>
    <w:p w14:paraId="49E0CBB0" w14:textId="77777777" w:rsidR="00BC648C" w:rsidRPr="00D74A58" w:rsidRDefault="00BC648C">
      <w:pPr>
        <w:widowControl w:val="0"/>
        <w:pBdr>
          <w:bottom w:val="single" w:sz="12" w:space="1" w:color="auto"/>
        </w:pBdr>
        <w:jc w:val="center"/>
        <w:rPr>
          <w:rFonts w:ascii="Calibri" w:hAnsi="Calibri"/>
        </w:rPr>
      </w:pPr>
    </w:p>
    <w:p w14:paraId="4FF2F328" w14:textId="77777777" w:rsidR="00BC648C" w:rsidRPr="00D74A58" w:rsidRDefault="00BC648C">
      <w:pPr>
        <w:widowControl w:val="0"/>
        <w:jc w:val="center"/>
        <w:rPr>
          <w:rFonts w:ascii="Calibri" w:hAnsi="Calibri"/>
        </w:rPr>
      </w:pPr>
    </w:p>
    <w:p w14:paraId="366725AA" w14:textId="77777777" w:rsidR="00082199" w:rsidRDefault="00BC648C" w:rsidP="00390079">
      <w:pPr>
        <w:widowControl w:val="0"/>
        <w:jc w:val="center"/>
        <w:rPr>
          <w:rFonts w:ascii="Calibri" w:hAnsi="Calibri"/>
          <w:b/>
        </w:rPr>
      </w:pPr>
      <w:r w:rsidRPr="00D74A58">
        <w:rPr>
          <w:rFonts w:ascii="Calibri" w:hAnsi="Calibri"/>
          <w:b/>
          <w:bCs/>
        </w:rPr>
        <w:t>NUCOR STEEL MARION, INC.’S</w:t>
      </w:r>
      <w:r w:rsidR="00390079">
        <w:rPr>
          <w:rFonts w:ascii="Calibri" w:hAnsi="Calibri"/>
          <w:b/>
          <w:bCs/>
        </w:rPr>
        <w:t xml:space="preserve"> </w:t>
      </w:r>
      <w:r w:rsidRPr="00D74A58">
        <w:rPr>
          <w:rFonts w:ascii="Calibri" w:hAnsi="Calibri"/>
          <w:b/>
        </w:rPr>
        <w:t>MOTION FOR INTERVENTION</w:t>
      </w:r>
    </w:p>
    <w:p w14:paraId="2E1CC652" w14:textId="77777777" w:rsidR="00BC648C" w:rsidRPr="00D74A58" w:rsidRDefault="00082199" w:rsidP="00390079">
      <w:pPr>
        <w:widowControl w:val="0"/>
        <w:jc w:val="center"/>
        <w:rPr>
          <w:rFonts w:ascii="Calibri" w:hAnsi="Calibri"/>
          <w:b/>
        </w:rPr>
      </w:pPr>
      <w:r>
        <w:rPr>
          <w:rFonts w:ascii="Calibri" w:hAnsi="Calibri"/>
          <w:b/>
        </w:rPr>
        <w:t>AND</w:t>
      </w:r>
      <w:r w:rsidR="00BC648C" w:rsidRPr="00D74A58">
        <w:rPr>
          <w:rFonts w:ascii="Calibri" w:hAnsi="Calibri"/>
          <w:b/>
        </w:rPr>
        <w:t xml:space="preserve"> MEMORANDUM IN SUPPORT</w:t>
      </w:r>
    </w:p>
    <w:p w14:paraId="20F11048" w14:textId="77777777" w:rsidR="00BC648C" w:rsidRPr="00D74A58" w:rsidRDefault="00BC648C" w:rsidP="004769CA">
      <w:pPr>
        <w:widowControl w:val="0"/>
        <w:pBdr>
          <w:bottom w:val="single" w:sz="12" w:space="1" w:color="auto"/>
        </w:pBdr>
        <w:tabs>
          <w:tab w:val="left" w:pos="6461"/>
        </w:tabs>
        <w:jc w:val="center"/>
        <w:rPr>
          <w:rFonts w:ascii="Calibri" w:hAnsi="Calibri"/>
        </w:rPr>
      </w:pPr>
    </w:p>
    <w:p w14:paraId="5B0A617D" w14:textId="77777777" w:rsidR="00BC648C" w:rsidRPr="00D74A58" w:rsidRDefault="00BC648C">
      <w:pPr>
        <w:widowControl w:val="0"/>
        <w:rPr>
          <w:rFonts w:ascii="Calibri" w:hAnsi="Calibri"/>
        </w:rPr>
      </w:pPr>
    </w:p>
    <w:p w14:paraId="28FDB819" w14:textId="77777777" w:rsidR="002D28B1" w:rsidRPr="00516786" w:rsidRDefault="002D28B1" w:rsidP="002D28B1">
      <w:pPr>
        <w:widowControl w:val="0"/>
        <w:ind w:left="3600"/>
        <w:jc w:val="both"/>
        <w:rPr>
          <w:rFonts w:ascii="Calibri" w:hAnsi="Calibri"/>
          <w:highlight w:val="yellow"/>
        </w:rPr>
      </w:pPr>
      <w:r>
        <w:rPr>
          <w:rFonts w:ascii="Calibri" w:hAnsi="Calibri"/>
        </w:rPr>
        <w:t>Michael K. Lavanga</w:t>
      </w:r>
      <w:r w:rsidRPr="003D0E65">
        <w:rPr>
          <w:rFonts w:ascii="Calibri" w:hAnsi="Calibri"/>
        </w:rPr>
        <w:t>*</w:t>
      </w:r>
    </w:p>
    <w:p w14:paraId="288C5580" w14:textId="020D891D" w:rsidR="002D28B1" w:rsidRPr="00D74A58" w:rsidRDefault="002D28B1" w:rsidP="002D28B1">
      <w:pPr>
        <w:widowControl w:val="0"/>
        <w:ind w:left="3600"/>
        <w:jc w:val="both"/>
        <w:rPr>
          <w:rFonts w:ascii="Calibri" w:hAnsi="Calibri"/>
        </w:rPr>
      </w:pPr>
      <w:r w:rsidRPr="003D0E65">
        <w:rPr>
          <w:rFonts w:asciiTheme="minorHAnsi" w:hAnsiTheme="minorHAnsi" w:cstheme="minorHAnsi"/>
          <w:szCs w:val="24"/>
        </w:rPr>
        <w:t>PHV #</w:t>
      </w:r>
      <w:r w:rsidR="003568FC">
        <w:rPr>
          <w:rFonts w:asciiTheme="minorHAnsi" w:hAnsiTheme="minorHAnsi" w:cstheme="minorHAnsi"/>
          <w:szCs w:val="24"/>
        </w:rPr>
        <w:t>1014-20</w:t>
      </w:r>
      <w:r w:rsidR="00AB2BE2">
        <w:rPr>
          <w:rFonts w:asciiTheme="minorHAnsi" w:hAnsiTheme="minorHAnsi" w:cstheme="minorHAnsi"/>
          <w:szCs w:val="24"/>
        </w:rPr>
        <w:t>20</w:t>
      </w:r>
    </w:p>
    <w:p w14:paraId="2AB8CEBE" w14:textId="56E445AF" w:rsidR="002D28B1" w:rsidRDefault="002D28B1" w:rsidP="002D28B1">
      <w:pPr>
        <w:widowControl w:val="0"/>
        <w:spacing w:after="60"/>
        <w:ind w:left="3600"/>
        <w:jc w:val="both"/>
      </w:pPr>
      <w:r w:rsidRPr="00D74A58">
        <w:rPr>
          <w:rFonts w:ascii="Calibri" w:hAnsi="Calibri"/>
        </w:rPr>
        <w:t>E-Mail</w:t>
      </w:r>
      <w:r>
        <w:rPr>
          <w:rFonts w:ascii="Calibri" w:hAnsi="Calibri"/>
        </w:rPr>
        <w:t xml:space="preserve">: </w:t>
      </w:r>
      <w:hyperlink r:id="rId8" w:history="1">
        <w:r w:rsidR="003568FC" w:rsidRPr="00B00381">
          <w:rPr>
            <w:rStyle w:val="Hyperlink"/>
            <w:rFonts w:ascii="Calibri" w:hAnsi="Calibri"/>
          </w:rPr>
          <w:t>mkl@smxblaw.com</w:t>
        </w:r>
      </w:hyperlink>
    </w:p>
    <w:p w14:paraId="0EE00E31" w14:textId="69E35787" w:rsidR="002D28B1" w:rsidRDefault="002D28B1" w:rsidP="002D28B1">
      <w:pPr>
        <w:widowControl w:val="0"/>
        <w:spacing w:after="60"/>
        <w:ind w:left="3870"/>
        <w:jc w:val="both"/>
        <w:rPr>
          <w:rFonts w:asciiTheme="minorHAnsi" w:hAnsiTheme="minorHAnsi" w:cstheme="minorHAnsi"/>
          <w:i/>
          <w:szCs w:val="24"/>
        </w:rPr>
      </w:pPr>
      <w:r w:rsidRPr="002D28B1">
        <w:rPr>
          <w:rFonts w:asciiTheme="minorHAnsi" w:hAnsiTheme="minorHAnsi" w:cstheme="minorHAnsi"/>
          <w:i/>
          <w:szCs w:val="24"/>
        </w:rPr>
        <w:t>Counsel of Record</w:t>
      </w:r>
    </w:p>
    <w:p w14:paraId="5A91490C" w14:textId="77777777" w:rsidR="006112CF" w:rsidRDefault="006112CF" w:rsidP="006112CF">
      <w:pPr>
        <w:widowControl w:val="0"/>
        <w:spacing w:after="60"/>
        <w:ind w:left="2880" w:firstLine="720"/>
        <w:contextualSpacing/>
        <w:jc w:val="both"/>
        <w:rPr>
          <w:rFonts w:asciiTheme="minorHAnsi" w:hAnsiTheme="minorHAnsi" w:cstheme="minorHAnsi"/>
          <w:iCs/>
          <w:szCs w:val="24"/>
        </w:rPr>
      </w:pPr>
      <w:r>
        <w:rPr>
          <w:rFonts w:asciiTheme="minorHAnsi" w:hAnsiTheme="minorHAnsi" w:cstheme="minorHAnsi"/>
          <w:iCs/>
          <w:szCs w:val="24"/>
        </w:rPr>
        <w:t>Joseph R. Briscar*</w:t>
      </w:r>
    </w:p>
    <w:p w14:paraId="12AC4534" w14:textId="18C797CC" w:rsidR="006112CF" w:rsidRPr="00973567" w:rsidRDefault="006112CF" w:rsidP="00973567">
      <w:pPr>
        <w:widowControl w:val="0"/>
        <w:ind w:left="3600"/>
        <w:jc w:val="both"/>
        <w:rPr>
          <w:rFonts w:ascii="Calibri" w:hAnsi="Calibri"/>
        </w:rPr>
      </w:pPr>
      <w:r>
        <w:rPr>
          <w:rFonts w:asciiTheme="minorHAnsi" w:hAnsiTheme="minorHAnsi" w:cstheme="minorHAnsi"/>
          <w:iCs/>
          <w:szCs w:val="24"/>
        </w:rPr>
        <w:t>PHV #</w:t>
      </w:r>
      <w:r w:rsidRPr="004D6E10">
        <w:rPr>
          <w:rFonts w:asciiTheme="minorHAnsi" w:hAnsiTheme="minorHAnsi" w:cstheme="minorHAnsi"/>
          <w:iCs/>
          <w:szCs w:val="24"/>
        </w:rPr>
        <w:t>21216-2020</w:t>
      </w:r>
    </w:p>
    <w:p w14:paraId="75E78852" w14:textId="3C17223C" w:rsidR="006112CF" w:rsidRPr="00973567" w:rsidRDefault="006112CF" w:rsidP="00973567">
      <w:pPr>
        <w:widowControl w:val="0"/>
        <w:ind w:left="3600"/>
        <w:jc w:val="both"/>
        <w:rPr>
          <w:rFonts w:ascii="Calibri" w:hAnsi="Calibri"/>
        </w:rPr>
      </w:pPr>
      <w:r>
        <w:rPr>
          <w:rFonts w:asciiTheme="minorHAnsi" w:hAnsiTheme="minorHAnsi" w:cstheme="minorHAnsi"/>
          <w:iCs/>
          <w:szCs w:val="24"/>
        </w:rPr>
        <w:t xml:space="preserve">E-Mail: </w:t>
      </w:r>
      <w:hyperlink r:id="rId9" w:history="1">
        <w:r w:rsidRPr="00085C15">
          <w:rPr>
            <w:rStyle w:val="Hyperlink"/>
            <w:rFonts w:asciiTheme="minorHAnsi" w:hAnsiTheme="minorHAnsi" w:cstheme="minorHAnsi"/>
            <w:iCs/>
            <w:szCs w:val="24"/>
          </w:rPr>
          <w:t>jrb@smxblaw.com</w:t>
        </w:r>
      </w:hyperlink>
    </w:p>
    <w:p w14:paraId="75E50AE8" w14:textId="77777777" w:rsidR="00BB0032" w:rsidRPr="00BB0032" w:rsidRDefault="00BB0032" w:rsidP="00BB0032">
      <w:pPr>
        <w:widowControl w:val="0"/>
        <w:ind w:left="3600"/>
        <w:jc w:val="both"/>
        <w:rPr>
          <w:rFonts w:ascii="Calibri" w:hAnsi="Calibri"/>
        </w:rPr>
      </w:pPr>
      <w:r w:rsidRPr="00BB0032">
        <w:rPr>
          <w:rFonts w:ascii="Calibri" w:hAnsi="Calibri"/>
        </w:rPr>
        <w:t>Stone Mattheis Xenopoulos &amp; Brew, PC</w:t>
      </w:r>
    </w:p>
    <w:p w14:paraId="6EE05ED7" w14:textId="1ADEE110" w:rsidR="00BB0032" w:rsidRPr="00BB0032" w:rsidRDefault="00BB0032" w:rsidP="00BB0032">
      <w:pPr>
        <w:widowControl w:val="0"/>
        <w:ind w:left="3600"/>
        <w:jc w:val="both"/>
        <w:rPr>
          <w:rFonts w:ascii="Calibri" w:hAnsi="Calibri"/>
        </w:rPr>
      </w:pPr>
      <w:r w:rsidRPr="00BB0032">
        <w:rPr>
          <w:rFonts w:ascii="Calibri" w:hAnsi="Calibri"/>
        </w:rPr>
        <w:t>1025 Thomas Jefferson Street, NW</w:t>
      </w:r>
    </w:p>
    <w:p w14:paraId="30A3505F" w14:textId="77777777" w:rsidR="00BB0032" w:rsidRPr="00BB0032" w:rsidRDefault="00BB0032" w:rsidP="00BB0032">
      <w:pPr>
        <w:widowControl w:val="0"/>
        <w:ind w:left="3600"/>
        <w:jc w:val="both"/>
        <w:rPr>
          <w:rFonts w:ascii="Calibri" w:hAnsi="Calibri"/>
        </w:rPr>
      </w:pPr>
      <w:r w:rsidRPr="00BB0032">
        <w:rPr>
          <w:rFonts w:ascii="Calibri" w:hAnsi="Calibri"/>
        </w:rPr>
        <w:t xml:space="preserve">Suite 800 West </w:t>
      </w:r>
    </w:p>
    <w:p w14:paraId="044F2681" w14:textId="1A694AF4" w:rsidR="00BC648C" w:rsidRPr="00D74A58" w:rsidRDefault="00BB0032" w:rsidP="00BB0032">
      <w:pPr>
        <w:widowControl w:val="0"/>
        <w:ind w:left="3600"/>
        <w:jc w:val="both"/>
        <w:rPr>
          <w:rFonts w:ascii="Calibri" w:hAnsi="Calibri"/>
        </w:rPr>
      </w:pPr>
      <w:r w:rsidRPr="00BB0032">
        <w:rPr>
          <w:rFonts w:ascii="Calibri" w:hAnsi="Calibri"/>
        </w:rPr>
        <w:t>Washington, DC 20007</w:t>
      </w:r>
    </w:p>
    <w:p w14:paraId="6B84DC1B" w14:textId="77777777" w:rsidR="00BC648C" w:rsidRPr="00D74A58" w:rsidRDefault="00BC648C" w:rsidP="008570B3">
      <w:pPr>
        <w:widowControl w:val="0"/>
        <w:ind w:left="3600"/>
        <w:jc w:val="both"/>
        <w:rPr>
          <w:rFonts w:ascii="Calibri" w:hAnsi="Calibri"/>
        </w:rPr>
      </w:pPr>
      <w:r w:rsidRPr="00D74A58">
        <w:rPr>
          <w:rFonts w:ascii="Calibri" w:hAnsi="Calibri"/>
        </w:rPr>
        <w:t>(202) 342-0800 (Main Number)</w:t>
      </w:r>
    </w:p>
    <w:p w14:paraId="62FCEF51" w14:textId="77777777" w:rsidR="00BC648C" w:rsidRDefault="00BC648C" w:rsidP="007A3B39">
      <w:pPr>
        <w:widowControl w:val="0"/>
        <w:spacing w:after="60"/>
        <w:ind w:left="3600"/>
        <w:jc w:val="both"/>
        <w:rPr>
          <w:rFonts w:ascii="Calibri" w:hAnsi="Calibri"/>
        </w:rPr>
      </w:pPr>
      <w:r w:rsidRPr="00D74A58">
        <w:rPr>
          <w:rFonts w:ascii="Calibri" w:hAnsi="Calibri"/>
        </w:rPr>
        <w:t>(202) 342-0807 (Facsimile)</w:t>
      </w:r>
    </w:p>
    <w:p w14:paraId="30F87010" w14:textId="45EFE05E" w:rsidR="003751AD" w:rsidRPr="00D74A58" w:rsidRDefault="003751AD" w:rsidP="007A3B39">
      <w:pPr>
        <w:widowControl w:val="0"/>
        <w:spacing w:after="60"/>
        <w:ind w:left="3600"/>
        <w:jc w:val="both"/>
        <w:rPr>
          <w:rFonts w:ascii="Calibri" w:hAnsi="Calibri"/>
        </w:rPr>
      </w:pPr>
      <w:r>
        <w:rPr>
          <w:rFonts w:ascii="Calibri" w:hAnsi="Calibri"/>
        </w:rPr>
        <w:t>(willing to accept service by e-mail)</w:t>
      </w:r>
    </w:p>
    <w:p w14:paraId="1C75EBD7" w14:textId="0E522611" w:rsidR="00BC648C" w:rsidRPr="00D74A58" w:rsidRDefault="00BC648C" w:rsidP="008570B3">
      <w:pPr>
        <w:widowControl w:val="0"/>
        <w:ind w:left="3600"/>
        <w:jc w:val="both"/>
        <w:rPr>
          <w:rFonts w:ascii="Calibri" w:hAnsi="Calibri"/>
        </w:rPr>
      </w:pPr>
      <w:r w:rsidRPr="00D74A58">
        <w:rPr>
          <w:rFonts w:ascii="Calibri" w:hAnsi="Calibri"/>
        </w:rPr>
        <w:t xml:space="preserve">*Pending admission </w:t>
      </w:r>
      <w:r w:rsidRPr="00D74A58">
        <w:rPr>
          <w:rFonts w:ascii="Calibri" w:hAnsi="Calibri"/>
          <w:i/>
        </w:rPr>
        <w:t xml:space="preserve">pro </w:t>
      </w:r>
      <w:proofErr w:type="spellStart"/>
      <w:r w:rsidRPr="00D74A58">
        <w:rPr>
          <w:rFonts w:ascii="Calibri" w:hAnsi="Calibri"/>
          <w:i/>
        </w:rPr>
        <w:t>hac</w:t>
      </w:r>
      <w:proofErr w:type="spellEnd"/>
      <w:r w:rsidRPr="00D74A58">
        <w:rPr>
          <w:rFonts w:ascii="Calibri" w:hAnsi="Calibri"/>
          <w:i/>
        </w:rPr>
        <w:t xml:space="preserve"> vice</w:t>
      </w:r>
      <w:r w:rsidR="003568FC">
        <w:rPr>
          <w:rFonts w:ascii="Calibri" w:hAnsi="Calibri"/>
          <w:i/>
        </w:rPr>
        <w:t xml:space="preserve"> </w:t>
      </w:r>
    </w:p>
    <w:p w14:paraId="72E562C8" w14:textId="77777777" w:rsidR="00BC648C" w:rsidRPr="00D74A58" w:rsidRDefault="00BC648C" w:rsidP="008570B3">
      <w:pPr>
        <w:widowControl w:val="0"/>
        <w:ind w:left="3600"/>
        <w:rPr>
          <w:rFonts w:ascii="Calibri" w:hAnsi="Calibri"/>
        </w:rPr>
      </w:pPr>
    </w:p>
    <w:p w14:paraId="650B7E07" w14:textId="17830A81" w:rsidR="00BC648C" w:rsidRPr="00D74A58" w:rsidRDefault="00BC648C" w:rsidP="008570B3">
      <w:pPr>
        <w:widowControl w:val="0"/>
        <w:ind w:left="3600"/>
        <w:rPr>
          <w:rFonts w:ascii="Calibri" w:hAnsi="Calibri"/>
          <w:b/>
          <w:bCs/>
        </w:rPr>
        <w:sectPr w:rsidR="00BC648C" w:rsidRPr="00D74A58">
          <w:footerReference w:type="default" r:id="rId10"/>
          <w:pgSz w:w="12240" w:h="15840" w:code="1"/>
          <w:pgMar w:top="1440" w:right="1440" w:bottom="1440" w:left="1440" w:header="720" w:footer="720" w:gutter="0"/>
          <w:cols w:space="720"/>
          <w:docGrid w:linePitch="254"/>
        </w:sectPr>
      </w:pPr>
      <w:r w:rsidRPr="008570B3">
        <w:rPr>
          <w:rFonts w:ascii="Calibri" w:hAnsi="Calibri"/>
          <w:b/>
        </w:rPr>
        <w:t>Attorney</w:t>
      </w:r>
      <w:r w:rsidR="006112CF">
        <w:rPr>
          <w:rFonts w:ascii="Calibri" w:hAnsi="Calibri"/>
          <w:b/>
        </w:rPr>
        <w:t>s</w:t>
      </w:r>
      <w:r w:rsidRPr="008570B3">
        <w:rPr>
          <w:rFonts w:ascii="Calibri" w:hAnsi="Calibri"/>
          <w:b/>
          <w:bCs/>
        </w:rPr>
        <w:t xml:space="preserve"> for Nucor Steel Marion, Inc</w:t>
      </w:r>
      <w:r w:rsidRPr="00D74A58">
        <w:rPr>
          <w:rFonts w:ascii="Calibri" w:hAnsi="Calibri"/>
          <w:b/>
          <w:bCs/>
        </w:rPr>
        <w:t>.</w:t>
      </w:r>
    </w:p>
    <w:p w14:paraId="04EEB7A0" w14:textId="77777777" w:rsidR="00C333B3" w:rsidRPr="00BA1BB2" w:rsidRDefault="00C333B3" w:rsidP="00C333B3">
      <w:pPr>
        <w:pStyle w:val="Title"/>
        <w:widowControl w:val="0"/>
        <w:rPr>
          <w:rFonts w:asciiTheme="minorHAnsi" w:hAnsiTheme="minorHAnsi" w:cstheme="minorHAnsi"/>
        </w:rPr>
      </w:pPr>
      <w:r w:rsidRPr="00BA1BB2">
        <w:rPr>
          <w:rFonts w:asciiTheme="minorHAnsi" w:hAnsiTheme="minorHAnsi" w:cstheme="minorHAnsi"/>
        </w:rPr>
        <w:lastRenderedPageBreak/>
        <w:t>BEFORE</w:t>
      </w:r>
    </w:p>
    <w:p w14:paraId="550729E0" w14:textId="77777777" w:rsidR="00C333B3" w:rsidRPr="00BA1BB2" w:rsidRDefault="00C333B3" w:rsidP="00C333B3">
      <w:pPr>
        <w:widowControl w:val="0"/>
        <w:jc w:val="center"/>
        <w:rPr>
          <w:rFonts w:asciiTheme="minorHAnsi" w:hAnsiTheme="minorHAnsi" w:cstheme="minorHAnsi"/>
          <w:b/>
        </w:rPr>
      </w:pPr>
      <w:r w:rsidRPr="00BA1BB2">
        <w:rPr>
          <w:rFonts w:asciiTheme="minorHAnsi" w:hAnsiTheme="minorHAnsi" w:cstheme="minorHAnsi"/>
          <w:b/>
        </w:rPr>
        <w:t xml:space="preserve">THE PUBLIC UTILITIES COMMISSION OF </w:t>
      </w:r>
      <w:smartTag w:uri="urn:schemas-microsoft-com:office:smarttags" w:element="State">
        <w:smartTag w:uri="urn:schemas-microsoft-com:office:smarttags" w:element="place">
          <w:r w:rsidRPr="00BA1BB2">
            <w:rPr>
              <w:rFonts w:asciiTheme="minorHAnsi" w:hAnsiTheme="minorHAnsi" w:cstheme="minorHAnsi"/>
              <w:b/>
            </w:rPr>
            <w:t>OHIO</w:t>
          </w:r>
        </w:smartTag>
      </w:smartTag>
    </w:p>
    <w:p w14:paraId="0EDE4B6C" w14:textId="77777777" w:rsidR="00C333B3" w:rsidRPr="00BA1BB2" w:rsidRDefault="00C333B3" w:rsidP="00C333B3">
      <w:pPr>
        <w:widowControl w:val="0"/>
        <w:rPr>
          <w:rFonts w:asciiTheme="minorHAnsi" w:hAnsiTheme="minorHAnsi" w:cstheme="minorHAnsi"/>
          <w:b/>
        </w:rPr>
      </w:pPr>
    </w:p>
    <w:p w14:paraId="7E54591A" w14:textId="77777777" w:rsidR="00973567" w:rsidRDefault="00973567" w:rsidP="00973567">
      <w:pPr>
        <w:tabs>
          <w:tab w:val="left" w:pos="5760"/>
          <w:tab w:val="left" w:pos="6750"/>
        </w:tabs>
        <w:rPr>
          <w:rFonts w:ascii="Calibri" w:hAnsi="Calibri"/>
        </w:rPr>
      </w:pPr>
      <w:r>
        <w:rPr>
          <w:rFonts w:ascii="Calibri" w:hAnsi="Calibri"/>
        </w:rPr>
        <w:t>In the Matter of the Determination of the Existence of</w:t>
      </w:r>
      <w:r>
        <w:rPr>
          <w:rFonts w:ascii="Calibri" w:hAnsi="Calibri"/>
        </w:rPr>
        <w:tab/>
        <w:t>)</w:t>
      </w:r>
    </w:p>
    <w:p w14:paraId="04EB2FDD" w14:textId="77777777" w:rsidR="00973567" w:rsidRDefault="00973567" w:rsidP="00973567">
      <w:pPr>
        <w:tabs>
          <w:tab w:val="left" w:pos="5760"/>
          <w:tab w:val="left" w:pos="6750"/>
        </w:tabs>
        <w:rPr>
          <w:rFonts w:ascii="Calibri" w:hAnsi="Calibri"/>
        </w:rPr>
      </w:pPr>
      <w:r>
        <w:rPr>
          <w:rFonts w:ascii="Calibri" w:hAnsi="Calibri"/>
        </w:rPr>
        <w:t>Significantly Excessive Earnings for 2018 Under the</w:t>
      </w:r>
      <w:r>
        <w:rPr>
          <w:rFonts w:ascii="Calibri" w:hAnsi="Calibri"/>
        </w:rPr>
        <w:tab/>
        <w:t>)</w:t>
      </w:r>
      <w:r w:rsidRPr="00863462">
        <w:rPr>
          <w:rFonts w:ascii="Calibri" w:hAnsi="Calibri"/>
        </w:rPr>
        <w:t xml:space="preserve"> </w:t>
      </w:r>
      <w:r>
        <w:rPr>
          <w:rFonts w:ascii="Calibri" w:hAnsi="Calibri"/>
        </w:rPr>
        <w:tab/>
      </w:r>
    </w:p>
    <w:p w14:paraId="4D97D6AD" w14:textId="77777777" w:rsidR="00973567" w:rsidRDefault="00973567" w:rsidP="00973567">
      <w:pPr>
        <w:tabs>
          <w:tab w:val="left" w:pos="5760"/>
          <w:tab w:val="left" w:pos="6750"/>
        </w:tabs>
        <w:rPr>
          <w:rFonts w:ascii="Calibri" w:hAnsi="Calibri"/>
        </w:rPr>
      </w:pPr>
      <w:r>
        <w:rPr>
          <w:rFonts w:ascii="Calibri" w:hAnsi="Calibri"/>
        </w:rPr>
        <w:t>Electric Security Plans of Ohio Edison Company, The</w:t>
      </w:r>
      <w:r>
        <w:rPr>
          <w:rFonts w:ascii="Calibri" w:hAnsi="Calibri"/>
        </w:rPr>
        <w:tab/>
        <w:t>)</w:t>
      </w:r>
      <w:r w:rsidRPr="00863462">
        <w:rPr>
          <w:rFonts w:ascii="Calibri" w:hAnsi="Calibri"/>
        </w:rPr>
        <w:t xml:space="preserve"> </w:t>
      </w:r>
      <w:r>
        <w:rPr>
          <w:rFonts w:ascii="Calibri" w:hAnsi="Calibri"/>
        </w:rPr>
        <w:tab/>
        <w:t>Case No. 19-1338</w:t>
      </w:r>
      <w:r w:rsidRPr="00002576">
        <w:rPr>
          <w:rFonts w:ascii="Calibri" w:hAnsi="Calibri"/>
        </w:rPr>
        <w:t>-EL-UNC</w:t>
      </w:r>
    </w:p>
    <w:p w14:paraId="551376D3" w14:textId="77777777" w:rsidR="00973567" w:rsidRDefault="00973567" w:rsidP="00973567">
      <w:pPr>
        <w:tabs>
          <w:tab w:val="left" w:pos="5760"/>
          <w:tab w:val="left" w:pos="6750"/>
        </w:tabs>
        <w:rPr>
          <w:rFonts w:ascii="Calibri" w:hAnsi="Calibri"/>
        </w:rPr>
      </w:pPr>
      <w:r>
        <w:rPr>
          <w:rFonts w:ascii="Calibri" w:hAnsi="Calibri"/>
        </w:rPr>
        <w:t>Cleveland Electric Illuminating Company, and the Toledo</w:t>
      </w:r>
      <w:r>
        <w:rPr>
          <w:rFonts w:ascii="Calibri" w:hAnsi="Calibri"/>
        </w:rPr>
        <w:tab/>
        <w:t>)</w:t>
      </w:r>
      <w:r w:rsidRPr="00863462">
        <w:rPr>
          <w:rFonts w:ascii="Calibri" w:hAnsi="Calibri"/>
        </w:rPr>
        <w:t xml:space="preserve"> </w:t>
      </w:r>
      <w:r>
        <w:rPr>
          <w:rFonts w:ascii="Calibri" w:hAnsi="Calibri"/>
        </w:rPr>
        <w:tab/>
      </w:r>
    </w:p>
    <w:p w14:paraId="66C25D88" w14:textId="77777777" w:rsidR="00973567" w:rsidRDefault="00973567" w:rsidP="00973567">
      <w:pPr>
        <w:tabs>
          <w:tab w:val="left" w:pos="5760"/>
          <w:tab w:val="left" w:pos="6750"/>
        </w:tabs>
        <w:rPr>
          <w:rFonts w:ascii="Calibri" w:hAnsi="Calibri"/>
        </w:rPr>
      </w:pPr>
      <w:r>
        <w:rPr>
          <w:rFonts w:ascii="Calibri" w:hAnsi="Calibri"/>
        </w:rPr>
        <w:t>Edison Company</w:t>
      </w:r>
      <w:r>
        <w:rPr>
          <w:rFonts w:ascii="Calibri" w:hAnsi="Calibri"/>
        </w:rPr>
        <w:tab/>
        <w:t>)</w:t>
      </w:r>
    </w:p>
    <w:p w14:paraId="498B254A" w14:textId="77777777" w:rsidR="00973567" w:rsidRDefault="00973567" w:rsidP="00973567">
      <w:pPr>
        <w:tabs>
          <w:tab w:val="left" w:pos="5760"/>
          <w:tab w:val="left" w:pos="6750"/>
        </w:tabs>
        <w:rPr>
          <w:rFonts w:ascii="Calibri" w:hAnsi="Calibri"/>
        </w:rPr>
      </w:pPr>
    </w:p>
    <w:p w14:paraId="7A225D86" w14:textId="77777777" w:rsidR="00973567" w:rsidRDefault="00973567" w:rsidP="00973567">
      <w:pPr>
        <w:tabs>
          <w:tab w:val="left" w:pos="5760"/>
          <w:tab w:val="left" w:pos="6750"/>
        </w:tabs>
        <w:rPr>
          <w:rFonts w:ascii="Calibri" w:hAnsi="Calibri"/>
        </w:rPr>
      </w:pPr>
      <w:r>
        <w:rPr>
          <w:rFonts w:ascii="Calibri" w:hAnsi="Calibri"/>
        </w:rPr>
        <w:t>In the Matter of the Determination of the Existence of</w:t>
      </w:r>
      <w:r>
        <w:rPr>
          <w:rFonts w:ascii="Calibri" w:hAnsi="Calibri"/>
        </w:rPr>
        <w:tab/>
        <w:t>)</w:t>
      </w:r>
    </w:p>
    <w:p w14:paraId="136ACF20" w14:textId="77777777" w:rsidR="00973567" w:rsidRDefault="00973567" w:rsidP="00973567">
      <w:pPr>
        <w:tabs>
          <w:tab w:val="left" w:pos="5760"/>
          <w:tab w:val="left" w:pos="6750"/>
        </w:tabs>
        <w:rPr>
          <w:rFonts w:ascii="Calibri" w:hAnsi="Calibri"/>
        </w:rPr>
      </w:pPr>
      <w:r>
        <w:rPr>
          <w:rFonts w:ascii="Calibri" w:hAnsi="Calibri"/>
        </w:rPr>
        <w:t>Significantly Excessive Earnings for 2019 Under the</w:t>
      </w:r>
      <w:r>
        <w:rPr>
          <w:rFonts w:ascii="Calibri" w:hAnsi="Calibri"/>
        </w:rPr>
        <w:tab/>
        <w:t>)</w:t>
      </w:r>
      <w:r w:rsidRPr="00863462">
        <w:rPr>
          <w:rFonts w:ascii="Calibri" w:hAnsi="Calibri"/>
        </w:rPr>
        <w:t xml:space="preserve"> </w:t>
      </w:r>
      <w:r>
        <w:rPr>
          <w:rFonts w:ascii="Calibri" w:hAnsi="Calibri"/>
        </w:rPr>
        <w:tab/>
      </w:r>
    </w:p>
    <w:p w14:paraId="0398B268" w14:textId="77777777" w:rsidR="00973567" w:rsidRDefault="00973567" w:rsidP="00973567">
      <w:pPr>
        <w:tabs>
          <w:tab w:val="left" w:pos="5760"/>
          <w:tab w:val="left" w:pos="6750"/>
        </w:tabs>
        <w:rPr>
          <w:rFonts w:ascii="Calibri" w:hAnsi="Calibri"/>
        </w:rPr>
      </w:pPr>
      <w:r>
        <w:rPr>
          <w:rFonts w:ascii="Calibri" w:hAnsi="Calibri"/>
        </w:rPr>
        <w:t>Electric Security Plans of Ohio Edison Company, The</w:t>
      </w:r>
      <w:r>
        <w:rPr>
          <w:rFonts w:ascii="Calibri" w:hAnsi="Calibri"/>
        </w:rPr>
        <w:tab/>
        <w:t>)</w:t>
      </w:r>
      <w:r w:rsidRPr="00863462">
        <w:rPr>
          <w:rFonts w:ascii="Calibri" w:hAnsi="Calibri"/>
        </w:rPr>
        <w:t xml:space="preserve"> </w:t>
      </w:r>
      <w:r>
        <w:rPr>
          <w:rFonts w:ascii="Calibri" w:hAnsi="Calibri"/>
        </w:rPr>
        <w:tab/>
        <w:t>Case No. 20-1034</w:t>
      </w:r>
      <w:r w:rsidRPr="00002576">
        <w:rPr>
          <w:rFonts w:ascii="Calibri" w:hAnsi="Calibri"/>
        </w:rPr>
        <w:t>-EL-UNC</w:t>
      </w:r>
    </w:p>
    <w:p w14:paraId="1400E09A" w14:textId="77777777" w:rsidR="00973567" w:rsidRDefault="00973567" w:rsidP="00973567">
      <w:pPr>
        <w:tabs>
          <w:tab w:val="left" w:pos="5760"/>
          <w:tab w:val="left" w:pos="6750"/>
        </w:tabs>
        <w:rPr>
          <w:rFonts w:ascii="Calibri" w:hAnsi="Calibri"/>
        </w:rPr>
      </w:pPr>
      <w:r>
        <w:rPr>
          <w:rFonts w:ascii="Calibri" w:hAnsi="Calibri"/>
        </w:rPr>
        <w:t>Cleveland Electric Illuminating Company, and the Toledo</w:t>
      </w:r>
      <w:r>
        <w:rPr>
          <w:rFonts w:ascii="Calibri" w:hAnsi="Calibri"/>
        </w:rPr>
        <w:tab/>
        <w:t>)</w:t>
      </w:r>
      <w:r w:rsidRPr="00863462">
        <w:rPr>
          <w:rFonts w:ascii="Calibri" w:hAnsi="Calibri"/>
        </w:rPr>
        <w:t xml:space="preserve"> </w:t>
      </w:r>
      <w:r>
        <w:rPr>
          <w:rFonts w:ascii="Calibri" w:hAnsi="Calibri"/>
        </w:rPr>
        <w:tab/>
      </w:r>
    </w:p>
    <w:p w14:paraId="00B53CDB" w14:textId="77777777" w:rsidR="00973567" w:rsidRDefault="00973567" w:rsidP="00973567">
      <w:pPr>
        <w:tabs>
          <w:tab w:val="left" w:pos="5760"/>
          <w:tab w:val="left" w:pos="6750"/>
        </w:tabs>
        <w:rPr>
          <w:rFonts w:ascii="Calibri" w:hAnsi="Calibri"/>
        </w:rPr>
      </w:pPr>
      <w:r>
        <w:rPr>
          <w:rFonts w:ascii="Calibri" w:hAnsi="Calibri"/>
        </w:rPr>
        <w:t>Edison Company</w:t>
      </w:r>
      <w:r>
        <w:rPr>
          <w:rFonts w:ascii="Calibri" w:hAnsi="Calibri"/>
        </w:rPr>
        <w:tab/>
        <w:t>)</w:t>
      </w:r>
    </w:p>
    <w:p w14:paraId="43EC46EB" w14:textId="77777777" w:rsidR="00973567" w:rsidRDefault="00973567" w:rsidP="00973567">
      <w:pPr>
        <w:tabs>
          <w:tab w:val="left" w:pos="5760"/>
          <w:tab w:val="left" w:pos="6750"/>
        </w:tabs>
        <w:rPr>
          <w:rFonts w:ascii="Calibri" w:hAnsi="Calibri"/>
        </w:rPr>
      </w:pPr>
    </w:p>
    <w:p w14:paraId="5A698966" w14:textId="77777777" w:rsidR="00973567" w:rsidRDefault="00973567" w:rsidP="00973567">
      <w:pPr>
        <w:tabs>
          <w:tab w:val="left" w:pos="5760"/>
          <w:tab w:val="left" w:pos="6750"/>
        </w:tabs>
        <w:rPr>
          <w:rFonts w:ascii="Calibri" w:hAnsi="Calibri"/>
        </w:rPr>
      </w:pPr>
      <w:r>
        <w:rPr>
          <w:rFonts w:ascii="Calibri" w:hAnsi="Calibri"/>
        </w:rPr>
        <w:t>In the Matter of the Quadrennial Review Required by</w:t>
      </w:r>
      <w:r>
        <w:rPr>
          <w:rFonts w:ascii="Calibri" w:hAnsi="Calibri"/>
        </w:rPr>
        <w:tab/>
        <w:t>)</w:t>
      </w:r>
    </w:p>
    <w:p w14:paraId="1DC9062B" w14:textId="77777777" w:rsidR="00973567" w:rsidRDefault="00973567" w:rsidP="00973567">
      <w:pPr>
        <w:tabs>
          <w:tab w:val="left" w:pos="5760"/>
          <w:tab w:val="left" w:pos="6750"/>
        </w:tabs>
        <w:rPr>
          <w:rFonts w:ascii="Calibri" w:hAnsi="Calibri"/>
        </w:rPr>
      </w:pPr>
      <w:r>
        <w:rPr>
          <w:rFonts w:ascii="Calibri" w:hAnsi="Calibri"/>
        </w:rPr>
        <w:t>R.C. 4928.143(E) for the Electric Security Plans of Ohio</w:t>
      </w:r>
      <w:r>
        <w:rPr>
          <w:rFonts w:ascii="Calibri" w:hAnsi="Calibri"/>
        </w:rPr>
        <w:tab/>
        <w:t>)</w:t>
      </w:r>
      <w:r w:rsidRPr="00863462">
        <w:rPr>
          <w:rFonts w:ascii="Calibri" w:hAnsi="Calibri"/>
        </w:rPr>
        <w:t xml:space="preserve"> </w:t>
      </w:r>
      <w:r>
        <w:rPr>
          <w:rFonts w:ascii="Calibri" w:hAnsi="Calibri"/>
        </w:rPr>
        <w:tab/>
      </w:r>
    </w:p>
    <w:p w14:paraId="43FE599E" w14:textId="77777777" w:rsidR="00973567" w:rsidRDefault="00973567" w:rsidP="00973567">
      <w:pPr>
        <w:tabs>
          <w:tab w:val="left" w:pos="5760"/>
          <w:tab w:val="left" w:pos="6750"/>
        </w:tabs>
        <w:rPr>
          <w:rFonts w:ascii="Calibri" w:hAnsi="Calibri"/>
        </w:rPr>
      </w:pPr>
      <w:r>
        <w:rPr>
          <w:rFonts w:ascii="Calibri" w:hAnsi="Calibri"/>
        </w:rPr>
        <w:t>Edison Company, The Cleveland Electric Illuminating</w:t>
      </w:r>
      <w:r>
        <w:rPr>
          <w:rFonts w:ascii="Calibri" w:hAnsi="Calibri"/>
        </w:rPr>
        <w:tab/>
        <w:t>)</w:t>
      </w:r>
      <w:r w:rsidRPr="00863462">
        <w:rPr>
          <w:rFonts w:ascii="Calibri" w:hAnsi="Calibri"/>
        </w:rPr>
        <w:t xml:space="preserve"> </w:t>
      </w:r>
      <w:r>
        <w:rPr>
          <w:rFonts w:ascii="Calibri" w:hAnsi="Calibri"/>
        </w:rPr>
        <w:tab/>
        <w:t xml:space="preserve">Case No. </w:t>
      </w:r>
      <w:r w:rsidRPr="00002576">
        <w:rPr>
          <w:rFonts w:ascii="Calibri" w:hAnsi="Calibri"/>
        </w:rPr>
        <w:t>20-1476-EL-UNC</w:t>
      </w:r>
    </w:p>
    <w:p w14:paraId="0FC0CC81" w14:textId="77777777" w:rsidR="00973567" w:rsidRDefault="00973567" w:rsidP="00973567">
      <w:pPr>
        <w:tabs>
          <w:tab w:val="left" w:pos="5760"/>
          <w:tab w:val="left" w:pos="6750"/>
        </w:tabs>
        <w:rPr>
          <w:rFonts w:ascii="Calibri" w:hAnsi="Calibri"/>
        </w:rPr>
      </w:pPr>
      <w:r>
        <w:rPr>
          <w:rFonts w:ascii="Calibri" w:hAnsi="Calibri"/>
        </w:rPr>
        <w:t>Company, and the Toledo Edison Company</w:t>
      </w:r>
      <w:r>
        <w:rPr>
          <w:rFonts w:ascii="Calibri" w:hAnsi="Calibri"/>
        </w:rPr>
        <w:tab/>
        <w:t>)</w:t>
      </w:r>
      <w:r w:rsidRPr="00863462">
        <w:rPr>
          <w:rFonts w:ascii="Calibri" w:hAnsi="Calibri"/>
        </w:rPr>
        <w:t xml:space="preserve"> </w:t>
      </w:r>
      <w:r>
        <w:rPr>
          <w:rFonts w:ascii="Calibri" w:hAnsi="Calibri"/>
        </w:rPr>
        <w:tab/>
      </w:r>
    </w:p>
    <w:p w14:paraId="527436E5" w14:textId="77777777" w:rsidR="009D189B" w:rsidRPr="00FF18E1" w:rsidRDefault="009D189B" w:rsidP="009D189B">
      <w:pPr>
        <w:tabs>
          <w:tab w:val="left" w:pos="5040"/>
          <w:tab w:val="left" w:pos="5797"/>
          <w:tab w:val="left" w:pos="6919"/>
        </w:tabs>
        <w:rPr>
          <w:rFonts w:ascii="Calibri" w:hAnsi="Calibri"/>
        </w:rPr>
      </w:pPr>
    </w:p>
    <w:p w14:paraId="4F6ABF10" w14:textId="77777777" w:rsidR="00BC648C" w:rsidRPr="00D74A58" w:rsidRDefault="00BC648C">
      <w:pPr>
        <w:widowControl w:val="0"/>
        <w:pBdr>
          <w:bottom w:val="single" w:sz="12" w:space="1" w:color="auto"/>
        </w:pBdr>
        <w:jc w:val="center"/>
        <w:rPr>
          <w:rFonts w:ascii="Calibri" w:hAnsi="Calibri"/>
        </w:rPr>
      </w:pPr>
    </w:p>
    <w:p w14:paraId="4D30BAC7" w14:textId="77777777" w:rsidR="00BC648C" w:rsidRPr="00D74A58" w:rsidRDefault="00BC648C">
      <w:pPr>
        <w:widowControl w:val="0"/>
        <w:jc w:val="center"/>
        <w:rPr>
          <w:rFonts w:ascii="Calibri" w:hAnsi="Calibri"/>
        </w:rPr>
      </w:pPr>
    </w:p>
    <w:p w14:paraId="617A48B2" w14:textId="77777777" w:rsidR="00082199" w:rsidRDefault="00390079" w:rsidP="009105F5">
      <w:pPr>
        <w:jc w:val="center"/>
        <w:rPr>
          <w:rFonts w:ascii="Calibri" w:hAnsi="Calibri"/>
          <w:b/>
        </w:rPr>
      </w:pPr>
      <w:r w:rsidRPr="00D74A58">
        <w:rPr>
          <w:rFonts w:ascii="Calibri" w:hAnsi="Calibri"/>
          <w:b/>
          <w:bCs/>
        </w:rPr>
        <w:t>NUCOR STEEL MARION, INC.’S</w:t>
      </w:r>
      <w:r>
        <w:rPr>
          <w:rFonts w:ascii="Calibri" w:hAnsi="Calibri"/>
          <w:b/>
          <w:bCs/>
        </w:rPr>
        <w:t xml:space="preserve"> </w:t>
      </w:r>
      <w:r w:rsidRPr="00D74A58">
        <w:rPr>
          <w:rFonts w:ascii="Calibri" w:hAnsi="Calibri"/>
          <w:b/>
        </w:rPr>
        <w:t>MOTION FOR INTERVENTION</w:t>
      </w:r>
    </w:p>
    <w:p w14:paraId="2B43BDCA" w14:textId="77777777" w:rsidR="00BC648C" w:rsidRPr="00D74A58" w:rsidRDefault="00082199" w:rsidP="009105F5">
      <w:pPr>
        <w:jc w:val="center"/>
        <w:rPr>
          <w:rFonts w:ascii="Calibri" w:hAnsi="Calibri"/>
          <w:b/>
        </w:rPr>
      </w:pPr>
      <w:r>
        <w:rPr>
          <w:rFonts w:ascii="Calibri" w:hAnsi="Calibri"/>
          <w:b/>
        </w:rPr>
        <w:t>AND</w:t>
      </w:r>
      <w:r w:rsidR="00390079" w:rsidRPr="00D74A58">
        <w:rPr>
          <w:rFonts w:ascii="Calibri" w:hAnsi="Calibri"/>
          <w:b/>
        </w:rPr>
        <w:t xml:space="preserve"> MEMORANDUM IN SUPPORT</w:t>
      </w:r>
      <w:r w:rsidR="00390079">
        <w:rPr>
          <w:rFonts w:ascii="Calibri" w:hAnsi="Calibri"/>
          <w:b/>
        </w:rPr>
        <w:t xml:space="preserve"> </w:t>
      </w:r>
    </w:p>
    <w:p w14:paraId="60D4C227" w14:textId="77777777" w:rsidR="00BC648C" w:rsidRPr="00D74A58" w:rsidRDefault="00BC648C">
      <w:pPr>
        <w:widowControl w:val="0"/>
        <w:pBdr>
          <w:bottom w:val="single" w:sz="12" w:space="1" w:color="auto"/>
        </w:pBdr>
        <w:jc w:val="center"/>
        <w:rPr>
          <w:rFonts w:ascii="Calibri" w:hAnsi="Calibri"/>
        </w:rPr>
      </w:pPr>
    </w:p>
    <w:p w14:paraId="5D292EDA" w14:textId="77777777" w:rsidR="00BC648C" w:rsidRPr="00D74A58" w:rsidRDefault="00BC648C">
      <w:pPr>
        <w:widowControl w:val="0"/>
        <w:spacing w:line="480" w:lineRule="auto"/>
        <w:ind w:firstLine="720"/>
        <w:jc w:val="both"/>
        <w:rPr>
          <w:rFonts w:ascii="Calibri" w:hAnsi="Calibri"/>
        </w:rPr>
      </w:pPr>
    </w:p>
    <w:p w14:paraId="0FF7557D" w14:textId="77777777" w:rsidR="00BC648C" w:rsidRPr="00D74A58" w:rsidRDefault="00BC648C" w:rsidP="00AA04B1">
      <w:pPr>
        <w:widowControl w:val="0"/>
        <w:spacing w:line="480" w:lineRule="auto"/>
        <w:jc w:val="both"/>
        <w:rPr>
          <w:rFonts w:ascii="Calibri" w:hAnsi="Calibri"/>
          <w:b/>
        </w:rPr>
      </w:pPr>
      <w:r>
        <w:rPr>
          <w:rFonts w:ascii="Calibri" w:hAnsi="Calibri"/>
          <w:b/>
        </w:rPr>
        <w:t>I.</w:t>
      </w:r>
      <w:r>
        <w:rPr>
          <w:rFonts w:ascii="Calibri" w:hAnsi="Calibri"/>
          <w:b/>
        </w:rPr>
        <w:tab/>
      </w:r>
      <w:r w:rsidRPr="00AA04B1">
        <w:rPr>
          <w:rFonts w:ascii="Calibri" w:hAnsi="Calibri"/>
          <w:b/>
        </w:rPr>
        <w:t>MOTION FOR INTERVENTION</w:t>
      </w:r>
    </w:p>
    <w:p w14:paraId="1E974C4B" w14:textId="72723CFD" w:rsidR="00BC648C" w:rsidRPr="00D74A58" w:rsidRDefault="00BC648C">
      <w:pPr>
        <w:widowControl w:val="0"/>
        <w:spacing w:line="480" w:lineRule="auto"/>
        <w:ind w:firstLine="720"/>
        <w:jc w:val="both"/>
        <w:rPr>
          <w:rFonts w:ascii="Calibri" w:hAnsi="Calibri"/>
        </w:rPr>
      </w:pPr>
      <w:r w:rsidRPr="00D74A58">
        <w:rPr>
          <w:rFonts w:ascii="Calibri" w:hAnsi="Calibri"/>
        </w:rPr>
        <w:t xml:space="preserve">Pursuant to Ohio Revised Code §4903.221 and Ohio Administrative Code 4901-1-11, Nucor Steel Marion, Inc. (“Nucor”) respectfully moves the </w:t>
      </w:r>
      <w:r w:rsidR="00BB0032">
        <w:rPr>
          <w:rFonts w:ascii="Calibri" w:hAnsi="Calibri"/>
        </w:rPr>
        <w:t xml:space="preserve">Public Utilities </w:t>
      </w:r>
      <w:r w:rsidRPr="00D74A58">
        <w:rPr>
          <w:rFonts w:ascii="Calibri" w:hAnsi="Calibri"/>
        </w:rPr>
        <w:t xml:space="preserve">Commission </w:t>
      </w:r>
      <w:r w:rsidR="00BB0032">
        <w:rPr>
          <w:rFonts w:ascii="Calibri" w:hAnsi="Calibri"/>
        </w:rPr>
        <w:t xml:space="preserve">of Ohio (the “Commission”) </w:t>
      </w:r>
      <w:r w:rsidRPr="00D74A58">
        <w:rPr>
          <w:rFonts w:ascii="Calibri" w:hAnsi="Calibri"/>
        </w:rPr>
        <w:t xml:space="preserve">for leave to intervene in the above-captioned docket, for the reasons more fully set forth in the </w:t>
      </w:r>
      <w:r w:rsidR="008A793E">
        <w:rPr>
          <w:rFonts w:ascii="Calibri" w:hAnsi="Calibri"/>
        </w:rPr>
        <w:t>following</w:t>
      </w:r>
      <w:r w:rsidRPr="00D74A58">
        <w:rPr>
          <w:rFonts w:ascii="Calibri" w:hAnsi="Calibri"/>
        </w:rPr>
        <w:t xml:space="preserve"> Memorandum in Support.</w:t>
      </w:r>
    </w:p>
    <w:p w14:paraId="2D568F59" w14:textId="77777777" w:rsidR="00BC648C" w:rsidRPr="00D74A58" w:rsidRDefault="00BC648C" w:rsidP="00514868">
      <w:pPr>
        <w:pStyle w:val="BodyTextIndent"/>
        <w:widowControl w:val="0"/>
        <w:ind w:firstLine="0"/>
        <w:rPr>
          <w:rFonts w:ascii="Calibri" w:hAnsi="Calibri"/>
          <w:b/>
          <w:u w:val="single"/>
        </w:rPr>
      </w:pPr>
      <w:r>
        <w:rPr>
          <w:rFonts w:ascii="Calibri" w:hAnsi="Calibri"/>
          <w:b/>
        </w:rPr>
        <w:t>II.</w:t>
      </w:r>
      <w:r>
        <w:rPr>
          <w:rFonts w:ascii="Calibri" w:hAnsi="Calibri"/>
          <w:b/>
        </w:rPr>
        <w:tab/>
      </w:r>
      <w:r w:rsidRPr="00514868">
        <w:rPr>
          <w:rFonts w:ascii="Calibri" w:hAnsi="Calibri"/>
          <w:b/>
        </w:rPr>
        <w:t>MEMORANDUM IN SUPPORT</w:t>
      </w:r>
    </w:p>
    <w:p w14:paraId="6CC6025A" w14:textId="13CA89BF" w:rsidR="00BC648C" w:rsidRPr="00D74A58" w:rsidRDefault="00BC648C" w:rsidP="00361755">
      <w:pPr>
        <w:widowControl w:val="0"/>
        <w:spacing w:line="480" w:lineRule="auto"/>
        <w:ind w:firstLine="720"/>
        <w:jc w:val="both"/>
        <w:rPr>
          <w:rFonts w:ascii="Calibri" w:hAnsi="Calibri"/>
        </w:rPr>
      </w:pPr>
      <w:r w:rsidRPr="00D74A58">
        <w:rPr>
          <w:rFonts w:ascii="Calibri" w:hAnsi="Calibri"/>
        </w:rPr>
        <w:t>For purposes of considering requests for leave to intervene in a Commission proceeding, O</w:t>
      </w:r>
      <w:r w:rsidR="00586B05">
        <w:rPr>
          <w:rFonts w:ascii="Calibri" w:hAnsi="Calibri"/>
        </w:rPr>
        <w:t>.</w:t>
      </w:r>
      <w:r w:rsidRPr="00D74A58">
        <w:rPr>
          <w:rFonts w:ascii="Calibri" w:hAnsi="Calibri"/>
        </w:rPr>
        <w:t>A</w:t>
      </w:r>
      <w:r w:rsidR="00586B05">
        <w:rPr>
          <w:rFonts w:ascii="Calibri" w:hAnsi="Calibri"/>
        </w:rPr>
        <w:t>.</w:t>
      </w:r>
      <w:r w:rsidRPr="00D74A58">
        <w:rPr>
          <w:rFonts w:ascii="Calibri" w:hAnsi="Calibri"/>
        </w:rPr>
        <w:t>C</w:t>
      </w:r>
      <w:r w:rsidR="00586B05">
        <w:rPr>
          <w:rFonts w:ascii="Calibri" w:hAnsi="Calibri"/>
        </w:rPr>
        <w:t>.</w:t>
      </w:r>
      <w:r w:rsidRPr="00D74A58">
        <w:rPr>
          <w:rFonts w:ascii="Calibri" w:hAnsi="Calibri"/>
        </w:rPr>
        <w:t xml:space="preserve"> 4901-1-11(A) provides that:</w:t>
      </w:r>
    </w:p>
    <w:p w14:paraId="0355194E" w14:textId="77777777" w:rsidR="00BC648C" w:rsidRPr="00D74A58" w:rsidRDefault="00BC648C">
      <w:pPr>
        <w:widowControl w:val="0"/>
        <w:ind w:left="720" w:right="720"/>
        <w:jc w:val="both"/>
        <w:rPr>
          <w:rFonts w:ascii="Calibri" w:hAnsi="Calibri"/>
        </w:rPr>
      </w:pPr>
      <w:r w:rsidRPr="00D74A58">
        <w:rPr>
          <w:rFonts w:ascii="Calibri" w:hAnsi="Calibri"/>
        </w:rPr>
        <w:lastRenderedPageBreak/>
        <w:t>Upon timely motion, any person shall be permitted to intervene in a proceeding upon a showing that:</w:t>
      </w:r>
      <w:r w:rsidR="00771E05">
        <w:rPr>
          <w:rFonts w:ascii="Calibri" w:hAnsi="Calibri"/>
        </w:rPr>
        <w:t xml:space="preserve"> . . . </w:t>
      </w:r>
      <w:r w:rsidRPr="00D74A58">
        <w:rPr>
          <w:rFonts w:ascii="Calibri" w:hAnsi="Calibri"/>
        </w:rPr>
        <w:t>(2) The person has a real and substantial interest in the proceeding, and the person is so situated that the disposition of the proceeding may, as a practical matter, impair or impede his or her ability to protect that interest, unless the person's interest is adequately represented by existing parties.</w:t>
      </w:r>
    </w:p>
    <w:p w14:paraId="72B87A4F" w14:textId="77777777" w:rsidR="00BC648C" w:rsidRPr="00D74A58" w:rsidRDefault="00BC648C">
      <w:pPr>
        <w:widowControl w:val="0"/>
        <w:rPr>
          <w:rFonts w:ascii="Calibri" w:hAnsi="Calibri"/>
        </w:rPr>
      </w:pPr>
    </w:p>
    <w:p w14:paraId="2A3912A7" w14:textId="23698184" w:rsidR="00BC648C" w:rsidRPr="00D74A58" w:rsidRDefault="00BC648C" w:rsidP="002D4EFE">
      <w:pPr>
        <w:spacing w:line="480" w:lineRule="auto"/>
        <w:ind w:firstLine="720"/>
        <w:jc w:val="both"/>
        <w:rPr>
          <w:rFonts w:ascii="Calibri" w:hAnsi="Calibri"/>
        </w:rPr>
      </w:pPr>
      <w:r w:rsidRPr="00D74A58">
        <w:rPr>
          <w:rFonts w:ascii="Calibri" w:hAnsi="Calibri"/>
        </w:rPr>
        <w:t>Further, R</w:t>
      </w:r>
      <w:r w:rsidR="00586B05">
        <w:rPr>
          <w:rFonts w:ascii="Calibri" w:hAnsi="Calibri"/>
        </w:rPr>
        <w:t>.</w:t>
      </w:r>
      <w:r w:rsidRPr="00D74A58">
        <w:rPr>
          <w:rFonts w:ascii="Calibri" w:hAnsi="Calibri"/>
        </w:rPr>
        <w:t>C</w:t>
      </w:r>
      <w:r w:rsidR="00586B05">
        <w:rPr>
          <w:rFonts w:ascii="Calibri" w:hAnsi="Calibri"/>
        </w:rPr>
        <w:t>.</w:t>
      </w:r>
      <w:r w:rsidRPr="00D74A58">
        <w:rPr>
          <w:rFonts w:ascii="Calibri" w:hAnsi="Calibri"/>
        </w:rPr>
        <w:t xml:space="preserve"> § 4903.221(B) and O</w:t>
      </w:r>
      <w:r w:rsidR="00586B05">
        <w:rPr>
          <w:rFonts w:ascii="Calibri" w:hAnsi="Calibri"/>
        </w:rPr>
        <w:t>.</w:t>
      </w:r>
      <w:r w:rsidRPr="00D74A58">
        <w:rPr>
          <w:rFonts w:ascii="Calibri" w:hAnsi="Calibri"/>
        </w:rPr>
        <w:t>A</w:t>
      </w:r>
      <w:r w:rsidR="00586B05">
        <w:rPr>
          <w:rFonts w:ascii="Calibri" w:hAnsi="Calibri"/>
        </w:rPr>
        <w:t>.</w:t>
      </w:r>
      <w:r w:rsidRPr="00D74A58">
        <w:rPr>
          <w:rFonts w:ascii="Calibri" w:hAnsi="Calibri"/>
        </w:rPr>
        <w:t>C</w:t>
      </w:r>
      <w:r w:rsidR="00586B05">
        <w:rPr>
          <w:rFonts w:ascii="Calibri" w:hAnsi="Calibri"/>
        </w:rPr>
        <w:t>.</w:t>
      </w:r>
      <w:r w:rsidRPr="00D74A58">
        <w:rPr>
          <w:rFonts w:ascii="Calibri" w:hAnsi="Calibri"/>
        </w:rPr>
        <w:t xml:space="preserve"> 4901-1-11(B) provide that the Commission, in ruling upon applications to intervene in its proceedings, shall consider the following criteria: </w:t>
      </w:r>
    </w:p>
    <w:p w14:paraId="6A8D5513" w14:textId="77777777" w:rsidR="00BC648C" w:rsidRPr="00D74A58" w:rsidRDefault="00BC648C" w:rsidP="002D4EFE">
      <w:pPr>
        <w:keepNext/>
        <w:keepLines/>
        <w:ind w:left="720" w:right="720"/>
        <w:jc w:val="both"/>
        <w:rPr>
          <w:rFonts w:ascii="Calibri" w:hAnsi="Calibri"/>
        </w:rPr>
      </w:pPr>
      <w:r w:rsidRPr="00D74A58">
        <w:rPr>
          <w:rFonts w:ascii="Calibri" w:hAnsi="Calibri"/>
        </w:rPr>
        <w:t>(1) The nature and extent of the prospective interven</w:t>
      </w:r>
      <w:r w:rsidR="0063493C">
        <w:rPr>
          <w:rFonts w:ascii="Calibri" w:hAnsi="Calibri"/>
        </w:rPr>
        <w:t>o</w:t>
      </w:r>
      <w:r w:rsidRPr="00D74A58">
        <w:rPr>
          <w:rFonts w:ascii="Calibri" w:hAnsi="Calibri"/>
        </w:rPr>
        <w:t>r’s interest; (2) The legal position advanced by the prospective interven</w:t>
      </w:r>
      <w:r w:rsidR="000B3EE2">
        <w:rPr>
          <w:rFonts w:ascii="Calibri" w:hAnsi="Calibri"/>
        </w:rPr>
        <w:t>o</w:t>
      </w:r>
      <w:r w:rsidRPr="00D74A58">
        <w:rPr>
          <w:rFonts w:ascii="Calibri" w:hAnsi="Calibri"/>
        </w:rPr>
        <w:t>r and its probable relation to the merits of the case; (3) Whether the intervention by the prospective interven</w:t>
      </w:r>
      <w:r w:rsidR="008F4A5A">
        <w:rPr>
          <w:rFonts w:ascii="Calibri" w:hAnsi="Calibri"/>
        </w:rPr>
        <w:t>o</w:t>
      </w:r>
      <w:r w:rsidRPr="00D74A58">
        <w:rPr>
          <w:rFonts w:ascii="Calibri" w:hAnsi="Calibri"/>
        </w:rPr>
        <w:t>r will unduly prolong or delay the proceedings; (4) Whether the prospective interven</w:t>
      </w:r>
      <w:r w:rsidR="008F4A5A">
        <w:rPr>
          <w:rFonts w:ascii="Calibri" w:hAnsi="Calibri"/>
        </w:rPr>
        <w:t>o</w:t>
      </w:r>
      <w:r w:rsidRPr="00D74A58">
        <w:rPr>
          <w:rFonts w:ascii="Calibri" w:hAnsi="Calibri"/>
        </w:rPr>
        <w:t>r will significantly contribute to full development and equitable resolution of the factual issues.</w:t>
      </w:r>
    </w:p>
    <w:p w14:paraId="4B05B3E3" w14:textId="77777777" w:rsidR="00BC648C" w:rsidRPr="00D74A58" w:rsidRDefault="00BC648C">
      <w:pPr>
        <w:widowControl w:val="0"/>
        <w:rPr>
          <w:rFonts w:ascii="Calibri" w:hAnsi="Calibri"/>
        </w:rPr>
      </w:pPr>
    </w:p>
    <w:p w14:paraId="34D2DA37" w14:textId="0459BBB3" w:rsidR="00BC648C" w:rsidRPr="00D74A58" w:rsidRDefault="00BC648C" w:rsidP="008003ED">
      <w:pPr>
        <w:pStyle w:val="BodyTextIndent2"/>
        <w:widowControl w:val="0"/>
        <w:ind w:firstLine="0"/>
        <w:jc w:val="both"/>
        <w:rPr>
          <w:rFonts w:ascii="Calibri" w:hAnsi="Calibri"/>
        </w:rPr>
      </w:pPr>
      <w:r w:rsidRPr="00D74A58">
        <w:rPr>
          <w:rFonts w:ascii="Calibri" w:hAnsi="Calibri"/>
        </w:rPr>
        <w:t>O</w:t>
      </w:r>
      <w:r w:rsidR="00586B05">
        <w:rPr>
          <w:rFonts w:ascii="Calibri" w:hAnsi="Calibri"/>
        </w:rPr>
        <w:t>.</w:t>
      </w:r>
      <w:r w:rsidRPr="00D74A58">
        <w:rPr>
          <w:rFonts w:ascii="Calibri" w:hAnsi="Calibri"/>
        </w:rPr>
        <w:t>A</w:t>
      </w:r>
      <w:r w:rsidR="00586B05">
        <w:rPr>
          <w:rFonts w:ascii="Calibri" w:hAnsi="Calibri"/>
        </w:rPr>
        <w:t>.</w:t>
      </w:r>
      <w:r w:rsidRPr="00D74A58">
        <w:rPr>
          <w:rFonts w:ascii="Calibri" w:hAnsi="Calibri"/>
        </w:rPr>
        <w:t>C</w:t>
      </w:r>
      <w:r w:rsidR="00586B05">
        <w:rPr>
          <w:rFonts w:ascii="Calibri" w:hAnsi="Calibri"/>
        </w:rPr>
        <w:t>.</w:t>
      </w:r>
      <w:r w:rsidRPr="00D74A58">
        <w:rPr>
          <w:rFonts w:ascii="Calibri" w:hAnsi="Calibri"/>
        </w:rPr>
        <w:t xml:space="preserve"> 4901-1-11(B) also provides that an additional factor in considering a request to intervene will be the extent to which the person’s interest is represented by existing parties.</w:t>
      </w:r>
    </w:p>
    <w:p w14:paraId="180A4627" w14:textId="639B5288" w:rsidR="00BC648C" w:rsidRPr="00D74A58" w:rsidRDefault="00BC648C">
      <w:pPr>
        <w:widowControl w:val="0"/>
        <w:spacing w:line="480" w:lineRule="auto"/>
        <w:ind w:firstLine="720"/>
        <w:jc w:val="both"/>
        <w:rPr>
          <w:rFonts w:ascii="Calibri" w:hAnsi="Calibri"/>
        </w:rPr>
      </w:pPr>
      <w:r w:rsidRPr="00D74A58">
        <w:rPr>
          <w:rFonts w:ascii="Calibri" w:hAnsi="Calibri"/>
        </w:rPr>
        <w:t xml:space="preserve">Nucor is a large industrial consumer of electricity delivered to it by the Ohio Edison Company (“Ohio Edison”).  Nucor uses electricity throughout its operations, </w:t>
      </w:r>
      <w:proofErr w:type="gramStart"/>
      <w:r w:rsidRPr="00D74A58">
        <w:rPr>
          <w:rFonts w:ascii="Calibri" w:hAnsi="Calibri"/>
        </w:rPr>
        <w:t xml:space="preserve">but in particular, </w:t>
      </w:r>
      <w:r w:rsidR="00DD11BA">
        <w:rPr>
          <w:rFonts w:ascii="Calibri" w:hAnsi="Calibri"/>
        </w:rPr>
        <w:t>Nucor</w:t>
      </w:r>
      <w:proofErr w:type="gramEnd"/>
      <w:r w:rsidR="00DD11BA">
        <w:rPr>
          <w:rFonts w:ascii="Calibri" w:hAnsi="Calibri"/>
        </w:rPr>
        <w:t xml:space="preserve"> </w:t>
      </w:r>
      <w:r w:rsidRPr="00D74A58">
        <w:rPr>
          <w:rFonts w:ascii="Calibri" w:hAnsi="Calibri"/>
        </w:rPr>
        <w:t>uses substantial quantities of electricity to melt steel scrap, recycling it to make new steel.  The cost of electricity is critical to Nucor’s competitiveness in the national and international steel markets.</w:t>
      </w:r>
    </w:p>
    <w:p w14:paraId="5D31F54C" w14:textId="60758E89" w:rsidR="00BC648C" w:rsidRPr="00D74A58" w:rsidRDefault="00967C98">
      <w:pPr>
        <w:widowControl w:val="0"/>
        <w:spacing w:line="480" w:lineRule="auto"/>
        <w:ind w:firstLine="720"/>
        <w:jc w:val="both"/>
        <w:rPr>
          <w:rFonts w:ascii="Calibri" w:hAnsi="Calibri"/>
          <w:u w:val="single"/>
        </w:rPr>
      </w:pPr>
      <w:r>
        <w:rPr>
          <w:rFonts w:ascii="Calibri" w:hAnsi="Calibri"/>
        </w:rPr>
        <w:t xml:space="preserve">On September 4, 2020, the </w:t>
      </w:r>
      <w:r w:rsidR="00B478C9">
        <w:rPr>
          <w:rFonts w:ascii="Calibri" w:hAnsi="Calibri"/>
        </w:rPr>
        <w:t xml:space="preserve">Attorney Examiner issued an Order opening Case No. 20-1476-EL-UNC to conduct the quadrennial review </w:t>
      </w:r>
      <w:r w:rsidR="00F1428F">
        <w:rPr>
          <w:rFonts w:ascii="Calibri" w:hAnsi="Calibri"/>
        </w:rPr>
        <w:t>of</w:t>
      </w:r>
      <w:r w:rsidR="00B478C9">
        <w:rPr>
          <w:rFonts w:ascii="Calibri" w:hAnsi="Calibri"/>
        </w:rPr>
        <w:t xml:space="preserve"> FirstEnergy</w:t>
      </w:r>
      <w:r w:rsidR="00F1428F">
        <w:rPr>
          <w:rFonts w:ascii="Calibri" w:hAnsi="Calibri"/>
        </w:rPr>
        <w:t xml:space="preserve">’s effective electric service plan (“ESP”) </w:t>
      </w:r>
      <w:r w:rsidR="00B478C9">
        <w:rPr>
          <w:rFonts w:ascii="Calibri" w:hAnsi="Calibri"/>
        </w:rPr>
        <w:t xml:space="preserve">and consolidated that case with Case Nos. 19-1338-EL-UNC and 20-1034-EL-UNC. </w:t>
      </w:r>
      <w:r w:rsidR="006112CF">
        <w:rPr>
          <w:rFonts w:ascii="Calibri" w:hAnsi="Calibri"/>
        </w:rPr>
        <w:t xml:space="preserve"> Pursuant to R.C. 4928.143(E), the quadrennial review proceeding is required for Commission-approved </w:t>
      </w:r>
      <w:r w:rsidR="00F1428F">
        <w:rPr>
          <w:rFonts w:ascii="Calibri" w:hAnsi="Calibri"/>
        </w:rPr>
        <w:t>ESPs</w:t>
      </w:r>
      <w:r w:rsidR="006112CF">
        <w:rPr>
          <w:rFonts w:ascii="Calibri" w:hAnsi="Calibri"/>
        </w:rPr>
        <w:t xml:space="preserve"> that exceed three years to determine whether the ESP continues to be more favorable in the aggregate than the expected results under a market rate offer (</w:t>
      </w:r>
      <w:r w:rsidR="002A745E">
        <w:rPr>
          <w:rFonts w:ascii="Calibri" w:hAnsi="Calibri"/>
        </w:rPr>
        <w:t>“</w:t>
      </w:r>
      <w:r w:rsidR="006112CF">
        <w:rPr>
          <w:rFonts w:ascii="Calibri" w:hAnsi="Calibri"/>
        </w:rPr>
        <w:t>MRO</w:t>
      </w:r>
      <w:r w:rsidR="002A745E">
        <w:rPr>
          <w:rFonts w:ascii="Calibri" w:hAnsi="Calibri"/>
        </w:rPr>
        <w:t>”</w:t>
      </w:r>
      <w:r w:rsidR="006112CF">
        <w:rPr>
          <w:rFonts w:ascii="Calibri" w:hAnsi="Calibri"/>
        </w:rPr>
        <w:t xml:space="preserve">).  The Commission must also determine whether the ESP is substantially likely to provide the utility with significantly </w:t>
      </w:r>
      <w:r w:rsidR="006112CF">
        <w:rPr>
          <w:rFonts w:ascii="Calibri" w:hAnsi="Calibri"/>
        </w:rPr>
        <w:lastRenderedPageBreak/>
        <w:t xml:space="preserve">excessive earnings.  As a party to the Stipulation and Recommendation in Case No. 14-1297-EL-SSO, wherein </w:t>
      </w:r>
      <w:r w:rsidR="00F1428F">
        <w:rPr>
          <w:rFonts w:ascii="Calibri" w:hAnsi="Calibri"/>
        </w:rPr>
        <w:t>FirstEnergy’s</w:t>
      </w:r>
      <w:r w:rsidR="006112CF">
        <w:rPr>
          <w:rFonts w:ascii="Calibri" w:hAnsi="Calibri"/>
        </w:rPr>
        <w:t xml:space="preserve"> current ESP was approved, and as a large industrial customer of Ohio Edison, the outcome of this proceeding may have a significant effect on Nucor.</w:t>
      </w:r>
      <w:r w:rsidR="007372BA" w:rsidRPr="007372BA">
        <w:rPr>
          <w:rFonts w:ascii="Calibri" w:hAnsi="Calibri"/>
        </w:rPr>
        <w:t xml:space="preserve">  Accordingly, Nucor has direct, real, and substantial interests in this proceeding.  Moreover, Nucor is so situated that the disposition of this proceeding without Nucor</w:t>
      </w:r>
      <w:r w:rsidR="00DD11BA">
        <w:rPr>
          <w:rFonts w:ascii="Calibri" w:hAnsi="Calibri"/>
        </w:rPr>
        <w:t>’s</w:t>
      </w:r>
      <w:r w:rsidR="007372BA" w:rsidRPr="007372BA">
        <w:rPr>
          <w:rFonts w:ascii="Calibri" w:hAnsi="Calibri"/>
        </w:rPr>
        <w:t xml:space="preserve"> ability to fully participate in this proceeding will prejudice and impede Nucor</w:t>
      </w:r>
      <w:r w:rsidR="00DD11BA">
        <w:rPr>
          <w:rFonts w:ascii="Calibri" w:hAnsi="Calibri"/>
        </w:rPr>
        <w:t xml:space="preserve">’s </w:t>
      </w:r>
      <w:r w:rsidR="007372BA" w:rsidRPr="007372BA">
        <w:rPr>
          <w:rFonts w:ascii="Calibri" w:hAnsi="Calibri"/>
        </w:rPr>
        <w:t>ability to protect its substantial business interests</w:t>
      </w:r>
      <w:r w:rsidR="001744CE">
        <w:rPr>
          <w:rFonts w:ascii="Calibri" w:hAnsi="Calibri"/>
        </w:rPr>
        <w:t xml:space="preserve">.  </w:t>
      </w:r>
    </w:p>
    <w:p w14:paraId="609C481D" w14:textId="77777777" w:rsidR="00BC648C" w:rsidRPr="00D74A58" w:rsidRDefault="00BC648C" w:rsidP="00FF025C">
      <w:pPr>
        <w:spacing w:line="480" w:lineRule="auto"/>
        <w:ind w:firstLine="720"/>
        <w:jc w:val="both"/>
        <w:rPr>
          <w:rFonts w:ascii="Calibri" w:hAnsi="Calibri"/>
        </w:rPr>
      </w:pPr>
      <w:r w:rsidRPr="00D74A58">
        <w:rPr>
          <w:rFonts w:ascii="Calibri" w:hAnsi="Calibri"/>
        </w:rPr>
        <w:t>Further, other</w:t>
      </w:r>
      <w:r w:rsidR="009D189B">
        <w:rPr>
          <w:rFonts w:ascii="Calibri" w:hAnsi="Calibri"/>
        </w:rPr>
        <w:t xml:space="preserve"> parties choosing to</w:t>
      </w:r>
      <w:r w:rsidRPr="00D74A58">
        <w:rPr>
          <w:rFonts w:ascii="Calibri" w:hAnsi="Calibri"/>
        </w:rPr>
        <w:t xml:space="preserve"> participat</w:t>
      </w:r>
      <w:r w:rsidR="009D189B">
        <w:rPr>
          <w:rFonts w:ascii="Calibri" w:hAnsi="Calibri"/>
        </w:rPr>
        <w:t>e</w:t>
      </w:r>
      <w:r w:rsidRPr="00D74A58">
        <w:rPr>
          <w:rFonts w:ascii="Calibri" w:hAnsi="Calibri"/>
        </w:rPr>
        <w:t xml:space="preserve"> in this proceeding </w:t>
      </w:r>
      <w:r w:rsidR="009D189B">
        <w:rPr>
          <w:rFonts w:ascii="Calibri" w:hAnsi="Calibri"/>
        </w:rPr>
        <w:t>would</w:t>
      </w:r>
      <w:r w:rsidRPr="00D74A58">
        <w:rPr>
          <w:rFonts w:ascii="Calibri" w:hAnsi="Calibri"/>
        </w:rPr>
        <w:t xml:space="preserve"> not represent Nucor’s interests.  Nucor submits that its unique perspectives will contribute to the full, equitable, and expeditious resolution of th</w:t>
      </w:r>
      <w:r>
        <w:rPr>
          <w:rFonts w:ascii="Calibri" w:hAnsi="Calibri"/>
        </w:rPr>
        <w:t>is</w:t>
      </w:r>
      <w:r w:rsidRPr="00D74A58">
        <w:rPr>
          <w:rFonts w:ascii="Calibri" w:hAnsi="Calibri"/>
        </w:rPr>
        <w:t xml:space="preserve"> proceeding.  Lastly, Nucor’s timely intervention will not unduly delay the proceeding, or unjustly prejudice the interests of any existing party to this proceeding.</w:t>
      </w:r>
    </w:p>
    <w:p w14:paraId="668762C4" w14:textId="77777777" w:rsidR="003808B5" w:rsidRDefault="00BC648C" w:rsidP="002D4EFE">
      <w:pPr>
        <w:keepNext/>
        <w:keepLines/>
        <w:spacing w:line="480" w:lineRule="auto"/>
        <w:jc w:val="both"/>
        <w:rPr>
          <w:rFonts w:ascii="Calibri" w:hAnsi="Calibri"/>
          <w:b/>
        </w:rPr>
      </w:pPr>
      <w:r>
        <w:rPr>
          <w:rFonts w:ascii="Calibri" w:hAnsi="Calibri"/>
          <w:b/>
        </w:rPr>
        <w:t>III.</w:t>
      </w:r>
      <w:r>
        <w:rPr>
          <w:rFonts w:ascii="Calibri" w:hAnsi="Calibri"/>
          <w:b/>
        </w:rPr>
        <w:tab/>
      </w:r>
      <w:r w:rsidRPr="00514868">
        <w:rPr>
          <w:rFonts w:ascii="Calibri" w:hAnsi="Calibri"/>
          <w:b/>
        </w:rPr>
        <w:t>CO</w:t>
      </w:r>
      <w:r w:rsidR="00082199">
        <w:rPr>
          <w:rFonts w:ascii="Calibri" w:hAnsi="Calibri"/>
          <w:b/>
        </w:rPr>
        <w:t>NCLUSION</w:t>
      </w:r>
    </w:p>
    <w:p w14:paraId="72E4D80F" w14:textId="77777777" w:rsidR="00BC648C" w:rsidRDefault="00BC648C" w:rsidP="002D4EFE">
      <w:pPr>
        <w:keepNext/>
        <w:keepLines/>
        <w:spacing w:line="480" w:lineRule="auto"/>
        <w:ind w:firstLine="720"/>
        <w:jc w:val="both"/>
        <w:rPr>
          <w:rFonts w:ascii="Calibri" w:hAnsi="Calibri"/>
        </w:rPr>
      </w:pPr>
      <w:r w:rsidRPr="00D74A58">
        <w:rPr>
          <w:rFonts w:ascii="Calibri" w:hAnsi="Calibri"/>
        </w:rPr>
        <w:t xml:space="preserve">For the reasons set forth above, Nucor respectfully requests the Commission to grant Nucor’s request to intervene in the above-captioned </w:t>
      </w:r>
      <w:r>
        <w:rPr>
          <w:rFonts w:ascii="Calibri" w:hAnsi="Calibri"/>
        </w:rPr>
        <w:t>proceeding</w:t>
      </w:r>
      <w:r w:rsidR="00F43DD9">
        <w:rPr>
          <w:rFonts w:ascii="Calibri" w:hAnsi="Calibri"/>
        </w:rPr>
        <w:t xml:space="preserve">.  </w:t>
      </w:r>
      <w:r w:rsidRPr="00D74A58">
        <w:rPr>
          <w:rFonts w:ascii="Calibri" w:hAnsi="Calibri"/>
        </w:rPr>
        <w:t xml:space="preserve">   </w:t>
      </w:r>
    </w:p>
    <w:p w14:paraId="03F01644" w14:textId="77777777" w:rsidR="00C333B3" w:rsidRPr="00BA1BB2" w:rsidRDefault="00C333B3" w:rsidP="00C333B3">
      <w:pPr>
        <w:widowControl w:val="0"/>
        <w:spacing w:line="480" w:lineRule="auto"/>
        <w:ind w:left="4320"/>
        <w:jc w:val="both"/>
        <w:rPr>
          <w:rFonts w:asciiTheme="minorHAnsi" w:hAnsiTheme="minorHAnsi" w:cstheme="minorHAnsi"/>
          <w:szCs w:val="24"/>
        </w:rPr>
      </w:pPr>
      <w:r w:rsidRPr="00BA1BB2">
        <w:rPr>
          <w:rFonts w:asciiTheme="minorHAnsi" w:hAnsiTheme="minorHAnsi" w:cstheme="minorHAnsi"/>
          <w:szCs w:val="24"/>
        </w:rPr>
        <w:t>Respectfully submitted,</w:t>
      </w:r>
    </w:p>
    <w:p w14:paraId="42FAEF41" w14:textId="77777777" w:rsidR="00674CB1" w:rsidRPr="0040750D" w:rsidRDefault="00674CB1" w:rsidP="00674CB1">
      <w:pPr>
        <w:widowControl w:val="0"/>
        <w:tabs>
          <w:tab w:val="left" w:pos="8190"/>
        </w:tabs>
        <w:spacing w:before="240"/>
        <w:ind w:left="4320"/>
        <w:jc w:val="both"/>
        <w:rPr>
          <w:rFonts w:asciiTheme="minorHAnsi" w:hAnsiTheme="minorHAnsi" w:cstheme="minorHAnsi"/>
          <w:szCs w:val="24"/>
          <w:u w:val="single"/>
        </w:rPr>
      </w:pPr>
      <w:r>
        <w:rPr>
          <w:rFonts w:asciiTheme="minorHAnsi" w:hAnsiTheme="minorHAnsi"/>
          <w:i/>
          <w:u w:val="single"/>
        </w:rPr>
        <w:t>/s/ Michael K</w:t>
      </w:r>
      <w:r w:rsidRPr="001B227F">
        <w:rPr>
          <w:rFonts w:asciiTheme="minorHAnsi" w:hAnsiTheme="minorHAnsi"/>
          <w:i/>
          <w:u w:val="single"/>
        </w:rPr>
        <w:t>.</w:t>
      </w:r>
      <w:r>
        <w:rPr>
          <w:rFonts w:asciiTheme="minorHAnsi" w:hAnsiTheme="minorHAnsi"/>
          <w:i/>
          <w:u w:val="single"/>
        </w:rPr>
        <w:t xml:space="preserve"> Lavan</w:t>
      </w:r>
      <w:r w:rsidRPr="001B227F">
        <w:rPr>
          <w:rFonts w:asciiTheme="minorHAnsi" w:hAnsiTheme="minorHAnsi"/>
          <w:i/>
          <w:u w:val="single"/>
        </w:rPr>
        <w:t>ga</w:t>
      </w:r>
      <w:r w:rsidRPr="0040750D">
        <w:rPr>
          <w:rFonts w:asciiTheme="minorHAnsi" w:hAnsiTheme="minorHAnsi" w:cstheme="minorHAnsi"/>
          <w:szCs w:val="24"/>
          <w:u w:val="single"/>
        </w:rPr>
        <w:tab/>
      </w:r>
    </w:p>
    <w:p w14:paraId="174CCF4B" w14:textId="77777777" w:rsidR="002D28B1" w:rsidRDefault="002D28B1" w:rsidP="002D28B1">
      <w:pPr>
        <w:widowControl w:val="0"/>
        <w:tabs>
          <w:tab w:val="left" w:pos="9270"/>
        </w:tabs>
        <w:ind w:left="4320"/>
        <w:jc w:val="both"/>
        <w:rPr>
          <w:rFonts w:asciiTheme="minorHAnsi" w:hAnsiTheme="minorHAnsi" w:cstheme="minorHAnsi"/>
          <w:szCs w:val="24"/>
        </w:rPr>
      </w:pPr>
      <w:r>
        <w:rPr>
          <w:rFonts w:ascii="Calibri" w:hAnsi="Calibri"/>
        </w:rPr>
        <w:t>Michael K. Lavanga</w:t>
      </w:r>
    </w:p>
    <w:p w14:paraId="78B93D1F" w14:textId="0396DBE2" w:rsidR="002D28B1" w:rsidRDefault="002D28B1" w:rsidP="002D28B1">
      <w:pPr>
        <w:widowControl w:val="0"/>
        <w:tabs>
          <w:tab w:val="left" w:pos="9270"/>
        </w:tabs>
        <w:spacing w:after="60"/>
        <w:ind w:left="4320"/>
        <w:jc w:val="both"/>
        <w:rPr>
          <w:rFonts w:asciiTheme="minorHAnsi" w:hAnsiTheme="minorHAnsi" w:cstheme="minorHAnsi"/>
          <w:szCs w:val="24"/>
        </w:rPr>
      </w:pPr>
      <w:r>
        <w:rPr>
          <w:rFonts w:asciiTheme="minorHAnsi" w:hAnsiTheme="minorHAnsi" w:cstheme="minorHAnsi"/>
          <w:szCs w:val="24"/>
        </w:rPr>
        <w:t>PHV #</w:t>
      </w:r>
      <w:r w:rsidR="003568FC">
        <w:rPr>
          <w:rFonts w:asciiTheme="minorHAnsi" w:hAnsiTheme="minorHAnsi" w:cstheme="minorHAnsi"/>
          <w:szCs w:val="24"/>
        </w:rPr>
        <w:t>1014-20</w:t>
      </w:r>
      <w:r w:rsidR="00973567">
        <w:rPr>
          <w:rFonts w:asciiTheme="minorHAnsi" w:hAnsiTheme="minorHAnsi" w:cstheme="minorHAnsi"/>
          <w:szCs w:val="24"/>
        </w:rPr>
        <w:t>20</w:t>
      </w:r>
    </w:p>
    <w:p w14:paraId="756AB609" w14:textId="77777777" w:rsidR="002D28B1" w:rsidRPr="002D28B1" w:rsidRDefault="002D28B1" w:rsidP="002D28B1">
      <w:pPr>
        <w:widowControl w:val="0"/>
        <w:tabs>
          <w:tab w:val="left" w:pos="9270"/>
        </w:tabs>
        <w:spacing w:after="60"/>
        <w:ind w:left="4590"/>
        <w:jc w:val="both"/>
        <w:rPr>
          <w:rFonts w:asciiTheme="minorHAnsi" w:hAnsiTheme="minorHAnsi" w:cstheme="minorHAnsi"/>
          <w:i/>
          <w:szCs w:val="24"/>
        </w:rPr>
      </w:pPr>
      <w:r w:rsidRPr="002D28B1">
        <w:rPr>
          <w:rFonts w:asciiTheme="minorHAnsi" w:hAnsiTheme="minorHAnsi" w:cstheme="minorHAnsi"/>
          <w:i/>
          <w:szCs w:val="24"/>
        </w:rPr>
        <w:t>Counsel of Record</w:t>
      </w:r>
    </w:p>
    <w:p w14:paraId="565E0D41" w14:textId="01F745D7" w:rsidR="00BB1035" w:rsidRDefault="00BB1035" w:rsidP="00BB1035">
      <w:pPr>
        <w:widowControl w:val="0"/>
        <w:spacing w:after="60"/>
        <w:ind w:left="2880" w:firstLine="720"/>
        <w:contextualSpacing/>
        <w:jc w:val="both"/>
        <w:rPr>
          <w:rFonts w:asciiTheme="minorHAnsi" w:hAnsiTheme="minorHAnsi" w:cstheme="minorHAnsi"/>
          <w:iCs/>
          <w:szCs w:val="24"/>
        </w:rPr>
      </w:pPr>
      <w:r>
        <w:rPr>
          <w:rFonts w:asciiTheme="minorHAnsi" w:hAnsiTheme="minorHAnsi" w:cstheme="minorHAnsi"/>
          <w:iCs/>
          <w:szCs w:val="24"/>
        </w:rPr>
        <w:tab/>
        <w:t>Joseph R. Briscar</w:t>
      </w:r>
    </w:p>
    <w:p w14:paraId="310CE29A" w14:textId="712F6940" w:rsidR="00BB1035" w:rsidRDefault="00BB1035" w:rsidP="00BB1035">
      <w:pPr>
        <w:widowControl w:val="0"/>
        <w:tabs>
          <w:tab w:val="left" w:pos="9270"/>
        </w:tabs>
        <w:ind w:left="4320"/>
        <w:jc w:val="both"/>
        <w:rPr>
          <w:rFonts w:ascii="Calibri" w:hAnsi="Calibri"/>
        </w:rPr>
      </w:pPr>
      <w:r>
        <w:rPr>
          <w:rFonts w:asciiTheme="minorHAnsi" w:hAnsiTheme="minorHAnsi" w:cstheme="minorHAnsi"/>
          <w:iCs/>
          <w:szCs w:val="24"/>
        </w:rPr>
        <w:t>PHV #</w:t>
      </w:r>
      <w:r w:rsidRPr="004D6E10">
        <w:rPr>
          <w:rFonts w:asciiTheme="minorHAnsi" w:hAnsiTheme="minorHAnsi" w:cstheme="minorHAnsi"/>
          <w:iCs/>
          <w:szCs w:val="24"/>
        </w:rPr>
        <w:t>21216-2020</w:t>
      </w:r>
    </w:p>
    <w:p w14:paraId="0DC06396" w14:textId="01CD0386" w:rsidR="00F019A8" w:rsidRPr="00F019A8" w:rsidRDefault="00F019A8" w:rsidP="00F019A8">
      <w:pPr>
        <w:widowControl w:val="0"/>
        <w:tabs>
          <w:tab w:val="left" w:pos="9270"/>
        </w:tabs>
        <w:ind w:left="4320"/>
        <w:jc w:val="both"/>
        <w:rPr>
          <w:rFonts w:ascii="Calibri" w:hAnsi="Calibri"/>
        </w:rPr>
      </w:pPr>
      <w:r w:rsidRPr="00F019A8">
        <w:rPr>
          <w:rFonts w:ascii="Calibri" w:hAnsi="Calibri"/>
        </w:rPr>
        <w:t>Stone Mattheis Xenopoulos &amp; Brew, PC</w:t>
      </w:r>
    </w:p>
    <w:p w14:paraId="28B936A7" w14:textId="3622AFFB" w:rsidR="00F019A8" w:rsidRPr="00F019A8" w:rsidRDefault="00F019A8" w:rsidP="00F019A8">
      <w:pPr>
        <w:widowControl w:val="0"/>
        <w:tabs>
          <w:tab w:val="left" w:pos="9270"/>
        </w:tabs>
        <w:ind w:left="4320"/>
        <w:jc w:val="both"/>
        <w:rPr>
          <w:rFonts w:ascii="Calibri" w:hAnsi="Calibri"/>
        </w:rPr>
      </w:pPr>
      <w:r w:rsidRPr="00F019A8">
        <w:rPr>
          <w:rFonts w:ascii="Calibri" w:hAnsi="Calibri"/>
        </w:rPr>
        <w:t>1025 Thomas Jefferson Street, NW</w:t>
      </w:r>
    </w:p>
    <w:p w14:paraId="6472713E" w14:textId="77777777" w:rsidR="00F019A8" w:rsidRPr="00F019A8" w:rsidRDefault="00F019A8" w:rsidP="00F019A8">
      <w:pPr>
        <w:widowControl w:val="0"/>
        <w:tabs>
          <w:tab w:val="left" w:pos="9270"/>
        </w:tabs>
        <w:ind w:left="4320"/>
        <w:jc w:val="both"/>
        <w:rPr>
          <w:rFonts w:ascii="Calibri" w:hAnsi="Calibri"/>
        </w:rPr>
      </w:pPr>
      <w:r w:rsidRPr="00F019A8">
        <w:rPr>
          <w:rFonts w:ascii="Calibri" w:hAnsi="Calibri"/>
        </w:rPr>
        <w:t xml:space="preserve">Suite 800 West </w:t>
      </w:r>
    </w:p>
    <w:p w14:paraId="156F49CB" w14:textId="6B92CEE1" w:rsidR="00C333B3" w:rsidRPr="00D74A58" w:rsidRDefault="00F019A8" w:rsidP="00F019A8">
      <w:pPr>
        <w:widowControl w:val="0"/>
        <w:tabs>
          <w:tab w:val="left" w:pos="9270"/>
        </w:tabs>
        <w:ind w:left="4320"/>
        <w:jc w:val="both"/>
        <w:rPr>
          <w:rFonts w:ascii="Calibri" w:hAnsi="Calibri"/>
        </w:rPr>
      </w:pPr>
      <w:r w:rsidRPr="00F019A8">
        <w:rPr>
          <w:rFonts w:ascii="Calibri" w:hAnsi="Calibri"/>
        </w:rPr>
        <w:t>Washington, DC 20007</w:t>
      </w:r>
    </w:p>
    <w:p w14:paraId="696EA44B" w14:textId="77777777" w:rsidR="00C333B3" w:rsidRPr="00D74A58" w:rsidRDefault="00C333B3" w:rsidP="00C333B3">
      <w:pPr>
        <w:widowControl w:val="0"/>
        <w:tabs>
          <w:tab w:val="left" w:pos="9270"/>
        </w:tabs>
        <w:ind w:left="4320"/>
        <w:jc w:val="both"/>
        <w:rPr>
          <w:rFonts w:ascii="Calibri" w:hAnsi="Calibri"/>
        </w:rPr>
      </w:pPr>
      <w:r w:rsidRPr="00D74A58">
        <w:rPr>
          <w:rFonts w:ascii="Calibri" w:hAnsi="Calibri"/>
        </w:rPr>
        <w:t>(202) 342-0800 (</w:t>
      </w:r>
      <w:r w:rsidRPr="0040750D">
        <w:rPr>
          <w:rFonts w:asciiTheme="minorHAnsi" w:hAnsiTheme="minorHAnsi" w:cstheme="minorHAnsi"/>
          <w:szCs w:val="24"/>
        </w:rPr>
        <w:t>Main</w:t>
      </w:r>
      <w:r w:rsidRPr="00D74A58">
        <w:rPr>
          <w:rFonts w:ascii="Calibri" w:hAnsi="Calibri"/>
        </w:rPr>
        <w:t xml:space="preserve"> Number)</w:t>
      </w:r>
    </w:p>
    <w:p w14:paraId="5FEA48EA" w14:textId="32D2BCB7" w:rsidR="00BC648C" w:rsidRPr="00C333B3" w:rsidRDefault="00C333B3" w:rsidP="00C333B3">
      <w:pPr>
        <w:widowControl w:val="0"/>
        <w:tabs>
          <w:tab w:val="left" w:pos="9270"/>
        </w:tabs>
        <w:ind w:left="4320"/>
        <w:jc w:val="both"/>
        <w:rPr>
          <w:rFonts w:ascii="Calibri" w:hAnsi="Calibri"/>
        </w:rPr>
      </w:pPr>
      <w:r w:rsidRPr="00D74A58">
        <w:rPr>
          <w:rFonts w:ascii="Calibri" w:hAnsi="Calibri"/>
        </w:rPr>
        <w:t>(202) 342-080</w:t>
      </w:r>
      <w:r>
        <w:rPr>
          <w:rFonts w:ascii="Calibri" w:hAnsi="Calibri"/>
        </w:rPr>
        <w:t>7</w:t>
      </w:r>
      <w:r w:rsidRPr="00D74A58">
        <w:rPr>
          <w:rFonts w:ascii="Calibri" w:hAnsi="Calibri"/>
        </w:rPr>
        <w:t xml:space="preserve"> (Facsimile)</w:t>
      </w:r>
    </w:p>
    <w:p w14:paraId="19881CAF" w14:textId="77777777" w:rsidR="00BC648C" w:rsidRPr="00D74A58" w:rsidRDefault="00BC648C">
      <w:pPr>
        <w:widowControl w:val="0"/>
        <w:rPr>
          <w:rFonts w:ascii="Calibri" w:hAnsi="Calibri"/>
          <w:b/>
        </w:rPr>
      </w:pPr>
    </w:p>
    <w:p w14:paraId="15C121F8" w14:textId="77777777" w:rsidR="00BC648C" w:rsidRPr="00D74A58" w:rsidRDefault="00BC648C">
      <w:pPr>
        <w:widowControl w:val="0"/>
        <w:jc w:val="center"/>
        <w:rPr>
          <w:rFonts w:ascii="Calibri" w:hAnsi="Calibri"/>
          <w:b/>
          <w:color w:val="000000"/>
          <w:szCs w:val="24"/>
          <w:u w:val="single"/>
        </w:rPr>
        <w:sectPr w:rsidR="00BC648C" w:rsidRPr="00D74A58" w:rsidSect="00A3511B">
          <w:footerReference w:type="default" r:id="rId11"/>
          <w:pgSz w:w="12240" w:h="15840" w:code="1"/>
          <w:pgMar w:top="1440" w:right="1440" w:bottom="1440" w:left="1440" w:header="720" w:footer="720" w:gutter="0"/>
          <w:pgNumType w:start="1"/>
          <w:cols w:space="720"/>
          <w:docGrid w:linePitch="254"/>
        </w:sectPr>
      </w:pPr>
    </w:p>
    <w:p w14:paraId="2D40EA02" w14:textId="77777777" w:rsidR="00BC648C" w:rsidRPr="00D74A58" w:rsidRDefault="00BC648C">
      <w:pPr>
        <w:widowControl w:val="0"/>
        <w:jc w:val="center"/>
        <w:rPr>
          <w:rFonts w:ascii="Calibri" w:hAnsi="Calibri"/>
          <w:b/>
          <w:color w:val="000000"/>
          <w:szCs w:val="24"/>
          <w:u w:val="single"/>
        </w:rPr>
      </w:pPr>
      <w:r w:rsidRPr="00D74A58">
        <w:rPr>
          <w:rFonts w:ascii="Calibri" w:hAnsi="Calibri"/>
          <w:b/>
          <w:color w:val="000000"/>
          <w:szCs w:val="24"/>
          <w:u w:val="single"/>
        </w:rPr>
        <w:lastRenderedPageBreak/>
        <w:t>CERTIFICATE OF SERVICE</w:t>
      </w:r>
    </w:p>
    <w:p w14:paraId="5B13B513" w14:textId="77777777" w:rsidR="003269C9" w:rsidRPr="00D74A58" w:rsidRDefault="003269C9" w:rsidP="003269C9">
      <w:pPr>
        <w:widowControl w:val="0"/>
        <w:jc w:val="both"/>
        <w:rPr>
          <w:rFonts w:ascii="Calibri" w:hAnsi="Calibri"/>
          <w:color w:val="000000"/>
          <w:szCs w:val="24"/>
        </w:rPr>
      </w:pPr>
    </w:p>
    <w:p w14:paraId="1E168700" w14:textId="486AE576" w:rsidR="003269C9" w:rsidRPr="00D74A58" w:rsidRDefault="003269C9" w:rsidP="003269C9">
      <w:pPr>
        <w:widowControl w:val="0"/>
        <w:jc w:val="both"/>
        <w:rPr>
          <w:rFonts w:ascii="Calibri" w:hAnsi="Calibri"/>
          <w:color w:val="000000"/>
          <w:szCs w:val="24"/>
        </w:rPr>
      </w:pPr>
      <w:bookmarkStart w:id="3" w:name="_Hlk5345294"/>
      <w:r w:rsidRPr="00D74A58">
        <w:rPr>
          <w:rFonts w:ascii="Calibri" w:hAnsi="Calibri"/>
          <w:color w:val="000000"/>
          <w:szCs w:val="24"/>
        </w:rPr>
        <w:tab/>
        <w:t>I hereby certify that a copy of the foregoing pleading was served upon the following parties of record or as a courtesy, via electronic transmission</w:t>
      </w:r>
      <w:r>
        <w:rPr>
          <w:rFonts w:ascii="Calibri" w:hAnsi="Calibri"/>
          <w:color w:val="000000"/>
          <w:szCs w:val="24"/>
        </w:rPr>
        <w:t xml:space="preserve"> or </w:t>
      </w:r>
      <w:r w:rsidRPr="00D74A58">
        <w:rPr>
          <w:rFonts w:ascii="Calibri" w:hAnsi="Calibri"/>
          <w:color w:val="000000"/>
          <w:szCs w:val="24"/>
        </w:rPr>
        <w:t>U.S. Mail postage prepaid on</w:t>
      </w:r>
      <w:r>
        <w:rPr>
          <w:rFonts w:ascii="Calibri" w:hAnsi="Calibri"/>
          <w:color w:val="000000"/>
          <w:szCs w:val="24"/>
        </w:rPr>
        <w:t xml:space="preserve"> </w:t>
      </w:r>
      <w:r w:rsidR="002A745E" w:rsidRPr="00BB1035">
        <w:rPr>
          <w:rFonts w:ascii="Calibri" w:hAnsi="Calibri"/>
          <w:color w:val="000000"/>
          <w:szCs w:val="24"/>
        </w:rPr>
        <w:t>October 5, 2020</w:t>
      </w:r>
      <w:r w:rsidRPr="00D74A58">
        <w:rPr>
          <w:rFonts w:ascii="Calibri" w:hAnsi="Calibri"/>
          <w:color w:val="000000"/>
          <w:szCs w:val="24"/>
        </w:rPr>
        <w:t>.</w:t>
      </w:r>
    </w:p>
    <w:p w14:paraId="6145D075" w14:textId="77777777" w:rsidR="003269C9" w:rsidRPr="00D74A58" w:rsidRDefault="003269C9" w:rsidP="003269C9">
      <w:pPr>
        <w:widowControl w:val="0"/>
        <w:jc w:val="both"/>
        <w:rPr>
          <w:rFonts w:ascii="Calibri" w:hAnsi="Calibri"/>
          <w:color w:val="000000"/>
          <w:szCs w:val="24"/>
        </w:rPr>
      </w:pPr>
    </w:p>
    <w:bookmarkStart w:id="4" w:name="_Hlk52530699"/>
    <w:p w14:paraId="59DA77D0" w14:textId="36ED9332" w:rsidR="00401AAA" w:rsidRPr="00F022E3" w:rsidRDefault="00401AAA" w:rsidP="00F1428F">
      <w:pPr>
        <w:ind w:left="2880"/>
        <w:rPr>
          <w:rFonts w:asciiTheme="minorHAnsi" w:hAnsiTheme="minorHAnsi" w:cstheme="minorHAnsi"/>
        </w:rPr>
      </w:pPr>
      <w:r w:rsidRPr="00F022E3">
        <w:rPr>
          <w:rFonts w:asciiTheme="minorHAnsi" w:hAnsiTheme="minorHAnsi" w:cstheme="minorHAnsi"/>
        </w:rPr>
        <w:fldChar w:fldCharType="begin"/>
      </w:r>
      <w:r w:rsidRPr="00F022E3">
        <w:rPr>
          <w:rFonts w:asciiTheme="minorHAnsi" w:hAnsiTheme="minorHAnsi" w:cstheme="minorHAnsi"/>
        </w:rPr>
        <w:instrText xml:space="preserve"> HYPERLINK "mailto:Gregory.price@puco.oh.gov" </w:instrText>
      </w:r>
      <w:r w:rsidRPr="00F022E3">
        <w:rPr>
          <w:rFonts w:asciiTheme="minorHAnsi" w:hAnsiTheme="minorHAnsi" w:cstheme="minorHAnsi"/>
        </w:rPr>
        <w:fldChar w:fldCharType="separate"/>
      </w:r>
      <w:r w:rsidRPr="00F022E3">
        <w:rPr>
          <w:rStyle w:val="Hyperlink"/>
          <w:rFonts w:asciiTheme="minorHAnsi" w:hAnsiTheme="minorHAnsi" w:cstheme="minorHAnsi"/>
        </w:rPr>
        <w:t>Gregory.price@puco.oh.gov</w:t>
      </w:r>
      <w:r w:rsidRPr="00F022E3">
        <w:rPr>
          <w:rFonts w:asciiTheme="minorHAnsi" w:hAnsiTheme="minorHAnsi" w:cstheme="minorHAnsi"/>
        </w:rPr>
        <w:fldChar w:fldCharType="end"/>
      </w:r>
    </w:p>
    <w:bookmarkEnd w:id="4"/>
    <w:p w14:paraId="5B2370AA" w14:textId="2280B4AD" w:rsidR="00F1428F" w:rsidRPr="00F022E3" w:rsidRDefault="00401AAA" w:rsidP="00F1428F">
      <w:pPr>
        <w:ind w:left="2880"/>
        <w:rPr>
          <w:rStyle w:val="Hyperlink"/>
          <w:rFonts w:asciiTheme="minorHAnsi" w:eastAsiaTheme="majorEastAsia" w:hAnsiTheme="minorHAnsi" w:cstheme="minorHAnsi"/>
        </w:rPr>
      </w:pPr>
      <w:r w:rsidRPr="00F022E3">
        <w:rPr>
          <w:rFonts w:asciiTheme="minorHAnsi" w:eastAsiaTheme="majorEastAsia" w:hAnsiTheme="minorHAnsi" w:cstheme="minorHAnsi"/>
        </w:rPr>
        <w:fldChar w:fldCharType="begin"/>
      </w:r>
      <w:r w:rsidRPr="00F022E3">
        <w:rPr>
          <w:rFonts w:asciiTheme="minorHAnsi" w:eastAsiaTheme="majorEastAsia" w:hAnsiTheme="minorHAnsi" w:cstheme="minorHAnsi"/>
        </w:rPr>
        <w:instrText xml:space="preserve"> HYPERLINK "mailto:christopher.healey@occ.ohio.gov" </w:instrText>
      </w:r>
      <w:r w:rsidRPr="00F022E3">
        <w:rPr>
          <w:rFonts w:asciiTheme="minorHAnsi" w:eastAsiaTheme="majorEastAsia" w:hAnsiTheme="minorHAnsi" w:cstheme="minorHAnsi"/>
        </w:rPr>
        <w:fldChar w:fldCharType="separate"/>
      </w:r>
      <w:r w:rsidRPr="00F022E3">
        <w:rPr>
          <w:rStyle w:val="Hyperlink"/>
          <w:rFonts w:asciiTheme="minorHAnsi" w:eastAsiaTheme="majorEastAsia" w:hAnsiTheme="minorHAnsi" w:cstheme="minorHAnsi"/>
        </w:rPr>
        <w:t>christopher.healey@occ.ohio.gov</w:t>
      </w:r>
      <w:r w:rsidRPr="00F022E3">
        <w:rPr>
          <w:rFonts w:asciiTheme="minorHAnsi" w:eastAsiaTheme="majorEastAsia" w:hAnsiTheme="minorHAnsi" w:cstheme="minorHAnsi"/>
        </w:rPr>
        <w:fldChar w:fldCharType="end"/>
      </w:r>
    </w:p>
    <w:p w14:paraId="06ED3980" w14:textId="1315CEEA" w:rsidR="00401AAA" w:rsidRPr="00F022E3" w:rsidRDefault="000B4D63" w:rsidP="00F1428F">
      <w:pPr>
        <w:ind w:left="2880"/>
        <w:rPr>
          <w:rStyle w:val="Hyperlink"/>
          <w:rFonts w:asciiTheme="minorHAnsi" w:eastAsiaTheme="majorEastAsia" w:hAnsiTheme="minorHAnsi" w:cstheme="minorHAnsi"/>
        </w:rPr>
      </w:pPr>
      <w:hyperlink r:id="rId12" w:history="1">
        <w:r w:rsidR="00401AAA" w:rsidRPr="00F022E3">
          <w:rPr>
            <w:rStyle w:val="Hyperlink"/>
            <w:rFonts w:asciiTheme="minorHAnsi" w:eastAsiaTheme="majorEastAsia" w:hAnsiTheme="minorHAnsi" w:cstheme="minorHAnsi"/>
          </w:rPr>
          <w:t>angela.obrien@occ.ohio.gov</w:t>
        </w:r>
      </w:hyperlink>
    </w:p>
    <w:p w14:paraId="79A608C4" w14:textId="77777777" w:rsidR="00F1428F" w:rsidRPr="00F022E3" w:rsidRDefault="000B4D63" w:rsidP="00F1428F">
      <w:pPr>
        <w:ind w:left="2880"/>
        <w:rPr>
          <w:rFonts w:asciiTheme="minorHAnsi" w:hAnsiTheme="minorHAnsi" w:cstheme="minorHAnsi"/>
        </w:rPr>
      </w:pPr>
      <w:hyperlink r:id="rId13" w:history="1">
        <w:r w:rsidR="00F1428F" w:rsidRPr="00F022E3">
          <w:rPr>
            <w:rStyle w:val="Hyperlink"/>
            <w:rFonts w:asciiTheme="minorHAnsi" w:eastAsiaTheme="majorEastAsia" w:hAnsiTheme="minorHAnsi" w:cstheme="minorHAnsi"/>
          </w:rPr>
          <w:t>John.jones@ohioattorneygeneral.gov</w:t>
        </w:r>
      </w:hyperlink>
      <w:r w:rsidR="00F1428F" w:rsidRPr="00F022E3">
        <w:rPr>
          <w:rFonts w:asciiTheme="minorHAnsi" w:hAnsiTheme="minorHAnsi" w:cstheme="minorHAnsi"/>
        </w:rPr>
        <w:t xml:space="preserve">  </w:t>
      </w:r>
    </w:p>
    <w:p w14:paraId="71AB2D54" w14:textId="77777777" w:rsidR="00F1428F" w:rsidRPr="00F022E3" w:rsidRDefault="000B4D63" w:rsidP="00F1428F">
      <w:pPr>
        <w:ind w:left="2880"/>
        <w:rPr>
          <w:rFonts w:asciiTheme="minorHAnsi" w:hAnsiTheme="minorHAnsi" w:cstheme="minorHAnsi"/>
        </w:rPr>
      </w:pPr>
      <w:hyperlink r:id="rId14" w:history="1">
        <w:r w:rsidR="00F1428F" w:rsidRPr="00F022E3">
          <w:rPr>
            <w:rStyle w:val="Hyperlink"/>
            <w:rFonts w:asciiTheme="minorHAnsi" w:eastAsiaTheme="majorEastAsia" w:hAnsiTheme="minorHAnsi" w:cstheme="minorHAnsi"/>
          </w:rPr>
          <w:t>gkrassen@bricker.com</w:t>
        </w:r>
      </w:hyperlink>
    </w:p>
    <w:p w14:paraId="4EF6DF88" w14:textId="77777777" w:rsidR="00F1428F" w:rsidRPr="00F022E3" w:rsidRDefault="000B4D63" w:rsidP="00F1428F">
      <w:pPr>
        <w:ind w:left="2880"/>
        <w:rPr>
          <w:rFonts w:asciiTheme="minorHAnsi" w:hAnsiTheme="minorHAnsi" w:cstheme="minorHAnsi"/>
        </w:rPr>
      </w:pPr>
      <w:hyperlink r:id="rId15" w:history="1">
        <w:r w:rsidR="00F1428F" w:rsidRPr="00F022E3">
          <w:rPr>
            <w:rStyle w:val="Hyperlink"/>
            <w:rFonts w:asciiTheme="minorHAnsi" w:eastAsiaTheme="majorEastAsia" w:hAnsiTheme="minorHAnsi" w:cstheme="minorHAnsi"/>
          </w:rPr>
          <w:t>dstinson@bricker.com</w:t>
        </w:r>
      </w:hyperlink>
    </w:p>
    <w:p w14:paraId="6FEA5386" w14:textId="77777777" w:rsidR="00F1428F" w:rsidRPr="00F022E3" w:rsidRDefault="000B4D63" w:rsidP="00F1428F">
      <w:pPr>
        <w:ind w:left="2880"/>
        <w:rPr>
          <w:rFonts w:asciiTheme="minorHAnsi" w:hAnsiTheme="minorHAnsi" w:cstheme="minorHAnsi"/>
        </w:rPr>
      </w:pPr>
      <w:hyperlink r:id="rId16" w:history="1">
        <w:r w:rsidR="00F1428F" w:rsidRPr="00F022E3">
          <w:rPr>
            <w:rStyle w:val="Hyperlink"/>
            <w:rFonts w:asciiTheme="minorHAnsi" w:eastAsiaTheme="majorEastAsia" w:hAnsiTheme="minorHAnsi" w:cstheme="minorHAnsi"/>
          </w:rPr>
          <w:t>rendris@firstenergycorp.com</w:t>
        </w:r>
      </w:hyperlink>
      <w:r w:rsidR="00F1428F" w:rsidRPr="00F022E3">
        <w:rPr>
          <w:rFonts w:asciiTheme="minorHAnsi" w:hAnsiTheme="minorHAnsi" w:cstheme="minorHAnsi"/>
        </w:rPr>
        <w:t xml:space="preserve"> </w:t>
      </w:r>
    </w:p>
    <w:p w14:paraId="26D26870" w14:textId="3F75E110" w:rsidR="00F1428F" w:rsidRPr="00F022E3" w:rsidRDefault="000B4D63" w:rsidP="00F1428F">
      <w:pPr>
        <w:ind w:left="2880"/>
        <w:rPr>
          <w:rFonts w:asciiTheme="minorHAnsi" w:hAnsiTheme="minorHAnsi" w:cstheme="minorHAnsi"/>
        </w:rPr>
      </w:pPr>
      <w:hyperlink r:id="rId17" w:history="1">
        <w:r w:rsidR="00401AAA" w:rsidRPr="00F022E3">
          <w:rPr>
            <w:rStyle w:val="Hyperlink"/>
            <w:rFonts w:asciiTheme="minorHAnsi" w:eastAsiaTheme="majorEastAsia" w:hAnsiTheme="minorHAnsi" w:cstheme="minorHAnsi"/>
          </w:rPr>
          <w:t>amy.botschner.obrien@occ.ohio.gov</w:t>
        </w:r>
      </w:hyperlink>
    </w:p>
    <w:p w14:paraId="70FD6428" w14:textId="77777777" w:rsidR="00F1428F" w:rsidRPr="00F022E3" w:rsidRDefault="000B4D63" w:rsidP="00F1428F">
      <w:pPr>
        <w:ind w:left="2880"/>
        <w:rPr>
          <w:rFonts w:asciiTheme="minorHAnsi" w:hAnsiTheme="minorHAnsi" w:cstheme="minorHAnsi"/>
        </w:rPr>
      </w:pPr>
      <w:hyperlink r:id="rId18" w:history="1">
        <w:r w:rsidR="00F1428F" w:rsidRPr="00F022E3">
          <w:rPr>
            <w:rStyle w:val="Hyperlink"/>
            <w:rFonts w:asciiTheme="minorHAnsi" w:eastAsiaTheme="majorEastAsia" w:hAnsiTheme="minorHAnsi" w:cstheme="minorHAnsi"/>
          </w:rPr>
          <w:t>william.michael@occ.ohio.gov</w:t>
        </w:r>
      </w:hyperlink>
    </w:p>
    <w:p w14:paraId="43F839B5" w14:textId="77777777" w:rsidR="00F1428F" w:rsidRPr="00F022E3" w:rsidRDefault="000B4D63" w:rsidP="00F1428F">
      <w:pPr>
        <w:ind w:left="2880"/>
        <w:rPr>
          <w:rFonts w:asciiTheme="minorHAnsi" w:hAnsiTheme="minorHAnsi" w:cstheme="minorHAnsi"/>
        </w:rPr>
      </w:pPr>
      <w:hyperlink r:id="rId19" w:history="1">
        <w:r w:rsidR="00F1428F" w:rsidRPr="00F022E3">
          <w:rPr>
            <w:rStyle w:val="Hyperlink"/>
            <w:rFonts w:asciiTheme="minorHAnsi" w:eastAsiaTheme="majorEastAsia" w:hAnsiTheme="minorHAnsi" w:cstheme="minorHAnsi"/>
          </w:rPr>
          <w:t>mkurtz@BKLlawfirm.com</w:t>
        </w:r>
      </w:hyperlink>
    </w:p>
    <w:p w14:paraId="24CAB33E" w14:textId="77777777" w:rsidR="00F1428F" w:rsidRPr="00F022E3" w:rsidRDefault="000B4D63" w:rsidP="00F1428F">
      <w:pPr>
        <w:ind w:left="2880"/>
        <w:rPr>
          <w:rFonts w:asciiTheme="minorHAnsi" w:hAnsiTheme="minorHAnsi" w:cstheme="minorHAnsi"/>
        </w:rPr>
      </w:pPr>
      <w:hyperlink r:id="rId20" w:history="1">
        <w:r w:rsidR="00F1428F" w:rsidRPr="00F022E3">
          <w:rPr>
            <w:rStyle w:val="Hyperlink"/>
            <w:rFonts w:asciiTheme="minorHAnsi" w:eastAsiaTheme="majorEastAsia" w:hAnsiTheme="minorHAnsi" w:cstheme="minorHAnsi"/>
          </w:rPr>
          <w:t>kboehm@BKLlawfirm.com</w:t>
        </w:r>
      </w:hyperlink>
    </w:p>
    <w:p w14:paraId="0F4B06E0" w14:textId="77777777" w:rsidR="00F1428F" w:rsidRPr="00F022E3" w:rsidRDefault="000B4D63" w:rsidP="00F1428F">
      <w:pPr>
        <w:ind w:left="2880"/>
        <w:rPr>
          <w:rFonts w:asciiTheme="minorHAnsi" w:hAnsiTheme="minorHAnsi" w:cstheme="minorHAnsi"/>
        </w:rPr>
      </w:pPr>
      <w:hyperlink r:id="rId21" w:history="1">
        <w:r w:rsidR="00F1428F" w:rsidRPr="00F022E3">
          <w:rPr>
            <w:rStyle w:val="Hyperlink"/>
            <w:rFonts w:asciiTheme="minorHAnsi" w:eastAsiaTheme="majorEastAsia" w:hAnsiTheme="minorHAnsi" w:cstheme="minorHAnsi"/>
          </w:rPr>
          <w:t>jkylercohn@BKLlawfirm.com</w:t>
        </w:r>
      </w:hyperlink>
    </w:p>
    <w:p w14:paraId="4C537F70" w14:textId="77777777" w:rsidR="00F1428F" w:rsidRPr="00F022E3" w:rsidRDefault="000B4D63" w:rsidP="00F1428F">
      <w:pPr>
        <w:ind w:left="2880"/>
        <w:rPr>
          <w:rFonts w:asciiTheme="minorHAnsi" w:hAnsiTheme="minorHAnsi" w:cstheme="minorHAnsi"/>
        </w:rPr>
      </w:pPr>
      <w:hyperlink r:id="rId22" w:history="1">
        <w:r w:rsidR="00F1428F" w:rsidRPr="00F022E3">
          <w:rPr>
            <w:rStyle w:val="Hyperlink"/>
            <w:rFonts w:asciiTheme="minorHAnsi" w:eastAsiaTheme="majorEastAsia" w:hAnsiTheme="minorHAnsi" w:cstheme="minorHAnsi"/>
          </w:rPr>
          <w:t>bojko@carpenterlipps.com</w:t>
        </w:r>
      </w:hyperlink>
    </w:p>
    <w:p w14:paraId="3A4CD124" w14:textId="77777777" w:rsidR="00F1428F" w:rsidRPr="00F022E3" w:rsidRDefault="000B4D63" w:rsidP="00F1428F">
      <w:pPr>
        <w:ind w:left="2880"/>
        <w:rPr>
          <w:rFonts w:asciiTheme="minorHAnsi" w:hAnsiTheme="minorHAnsi" w:cstheme="minorHAnsi"/>
        </w:rPr>
      </w:pPr>
      <w:hyperlink r:id="rId23" w:history="1">
        <w:r w:rsidR="00F1428F" w:rsidRPr="00F022E3">
          <w:rPr>
            <w:rStyle w:val="Hyperlink"/>
            <w:rFonts w:asciiTheme="minorHAnsi" w:eastAsiaTheme="majorEastAsia" w:hAnsiTheme="minorHAnsi" w:cstheme="minorHAnsi"/>
          </w:rPr>
          <w:t>paul@carpenterlipps.com</w:t>
        </w:r>
      </w:hyperlink>
      <w:r w:rsidR="00F1428F" w:rsidRPr="00F022E3">
        <w:rPr>
          <w:rFonts w:asciiTheme="minorHAnsi" w:hAnsiTheme="minorHAnsi" w:cstheme="minorHAnsi"/>
        </w:rPr>
        <w:t xml:space="preserve"> </w:t>
      </w:r>
    </w:p>
    <w:p w14:paraId="300029AC" w14:textId="77777777" w:rsidR="00F1428F" w:rsidRPr="00F022E3" w:rsidRDefault="000B4D63" w:rsidP="00F1428F">
      <w:pPr>
        <w:ind w:left="2880"/>
        <w:rPr>
          <w:rFonts w:asciiTheme="minorHAnsi" w:hAnsiTheme="minorHAnsi" w:cstheme="minorHAnsi"/>
        </w:rPr>
      </w:pPr>
      <w:hyperlink r:id="rId24" w:history="1">
        <w:r w:rsidR="00F1428F" w:rsidRPr="00F022E3">
          <w:rPr>
            <w:rStyle w:val="Hyperlink"/>
            <w:rFonts w:asciiTheme="minorHAnsi" w:eastAsiaTheme="majorEastAsia" w:hAnsiTheme="minorHAnsi" w:cstheme="minorHAnsi"/>
          </w:rPr>
          <w:t>bethany.allen@igs.com</w:t>
        </w:r>
      </w:hyperlink>
    </w:p>
    <w:p w14:paraId="114B6BED" w14:textId="77777777" w:rsidR="00F1428F" w:rsidRPr="00F022E3" w:rsidRDefault="000B4D63" w:rsidP="00F1428F">
      <w:pPr>
        <w:ind w:left="2880"/>
        <w:rPr>
          <w:rFonts w:asciiTheme="minorHAnsi" w:hAnsiTheme="minorHAnsi" w:cstheme="minorHAnsi"/>
        </w:rPr>
      </w:pPr>
      <w:hyperlink r:id="rId25" w:history="1">
        <w:r w:rsidR="00F1428F" w:rsidRPr="00F022E3">
          <w:rPr>
            <w:rStyle w:val="Hyperlink"/>
            <w:rFonts w:asciiTheme="minorHAnsi" w:eastAsiaTheme="majorEastAsia" w:hAnsiTheme="minorHAnsi" w:cstheme="minorHAnsi"/>
          </w:rPr>
          <w:t>joe.oliker@igs.com</w:t>
        </w:r>
      </w:hyperlink>
    </w:p>
    <w:p w14:paraId="15781EAB" w14:textId="77777777" w:rsidR="00F1428F" w:rsidRPr="00401AAA" w:rsidRDefault="000B4D63" w:rsidP="00F1428F">
      <w:pPr>
        <w:ind w:left="2880"/>
        <w:rPr>
          <w:rFonts w:asciiTheme="minorHAnsi" w:hAnsiTheme="minorHAnsi" w:cstheme="minorHAnsi"/>
        </w:rPr>
      </w:pPr>
      <w:hyperlink r:id="rId26" w:history="1">
        <w:r w:rsidR="00F1428F" w:rsidRPr="00F022E3">
          <w:rPr>
            <w:rStyle w:val="Hyperlink"/>
            <w:rFonts w:asciiTheme="minorHAnsi" w:eastAsiaTheme="majorEastAsia" w:hAnsiTheme="minorHAnsi" w:cstheme="minorHAnsi"/>
          </w:rPr>
          <w:t>michael.nugent@igs.com</w:t>
        </w:r>
      </w:hyperlink>
      <w:r w:rsidR="00F1428F" w:rsidRPr="00401AAA">
        <w:rPr>
          <w:rFonts w:asciiTheme="minorHAnsi" w:hAnsiTheme="minorHAnsi" w:cstheme="minorHAnsi"/>
        </w:rPr>
        <w:t xml:space="preserve"> </w:t>
      </w:r>
    </w:p>
    <w:p w14:paraId="5A031EF0" w14:textId="77777777" w:rsidR="003269C9" w:rsidRDefault="003269C9" w:rsidP="003269C9">
      <w:pPr>
        <w:widowControl w:val="0"/>
        <w:ind w:left="4320" w:firstLine="720"/>
        <w:jc w:val="both"/>
        <w:rPr>
          <w:rFonts w:ascii="Calibri" w:hAnsi="Calibri"/>
          <w:color w:val="000000"/>
          <w:szCs w:val="24"/>
        </w:rPr>
      </w:pPr>
    </w:p>
    <w:bookmarkEnd w:id="3"/>
    <w:p w14:paraId="44C6C2AE" w14:textId="77777777" w:rsidR="003269C9" w:rsidRPr="00D74A58" w:rsidRDefault="003269C9" w:rsidP="003269C9">
      <w:pPr>
        <w:widowControl w:val="0"/>
        <w:spacing w:after="120"/>
        <w:ind w:left="4320" w:firstLine="720"/>
        <w:jc w:val="both"/>
        <w:rPr>
          <w:rFonts w:ascii="Calibri" w:hAnsi="Calibri"/>
          <w:color w:val="000000"/>
          <w:szCs w:val="24"/>
        </w:rPr>
      </w:pPr>
    </w:p>
    <w:p w14:paraId="18AC32B4" w14:textId="77777777" w:rsidR="00674CB1" w:rsidRPr="00D74A58" w:rsidRDefault="00674CB1" w:rsidP="00674CB1">
      <w:pPr>
        <w:widowControl w:val="0"/>
        <w:ind w:left="4320" w:firstLine="720"/>
        <w:jc w:val="both"/>
        <w:rPr>
          <w:rFonts w:ascii="Calibri" w:hAnsi="Calibri"/>
          <w:color w:val="000000"/>
          <w:szCs w:val="24"/>
        </w:rPr>
      </w:pPr>
      <w:r>
        <w:rPr>
          <w:rFonts w:asciiTheme="minorHAnsi" w:hAnsiTheme="minorHAnsi"/>
          <w:i/>
          <w:u w:val="single"/>
        </w:rPr>
        <w:t>/s/ Michael K</w:t>
      </w:r>
      <w:r w:rsidRPr="001B227F">
        <w:rPr>
          <w:rFonts w:asciiTheme="minorHAnsi" w:hAnsiTheme="minorHAnsi"/>
          <w:i/>
          <w:u w:val="single"/>
        </w:rPr>
        <w:t>.</w:t>
      </w:r>
      <w:r>
        <w:rPr>
          <w:rFonts w:asciiTheme="minorHAnsi" w:hAnsiTheme="minorHAnsi"/>
          <w:i/>
          <w:u w:val="single"/>
        </w:rPr>
        <w:t xml:space="preserve"> Lavan</w:t>
      </w:r>
      <w:r w:rsidRPr="001B227F">
        <w:rPr>
          <w:rFonts w:asciiTheme="minorHAnsi" w:hAnsiTheme="minorHAnsi"/>
          <w:i/>
          <w:u w:val="single"/>
        </w:rPr>
        <w:t>ga</w:t>
      </w:r>
      <w:r>
        <w:rPr>
          <w:rFonts w:asciiTheme="minorHAnsi" w:hAnsiTheme="minorHAnsi"/>
          <w:i/>
          <w:u w:val="single"/>
        </w:rPr>
        <w:tab/>
      </w:r>
    </w:p>
    <w:p w14:paraId="2121ECBF" w14:textId="77777777" w:rsidR="00674CB1" w:rsidRPr="00D74A58" w:rsidRDefault="00674CB1" w:rsidP="00674CB1">
      <w:pPr>
        <w:widowControl w:val="0"/>
        <w:ind w:left="4320" w:firstLine="720"/>
        <w:jc w:val="both"/>
        <w:rPr>
          <w:rFonts w:ascii="Calibri" w:hAnsi="Calibri"/>
          <w:color w:val="000000"/>
          <w:szCs w:val="24"/>
        </w:rPr>
      </w:pPr>
      <w:r w:rsidRPr="00D74A58">
        <w:rPr>
          <w:rFonts w:ascii="Calibri" w:hAnsi="Calibri"/>
          <w:color w:val="000000"/>
          <w:szCs w:val="24"/>
        </w:rPr>
        <w:t xml:space="preserve"> </w:t>
      </w:r>
      <w:r>
        <w:rPr>
          <w:rFonts w:ascii="Calibri" w:hAnsi="Calibri"/>
        </w:rPr>
        <w:t>Michael K. Lavanga, Esq.</w:t>
      </w:r>
    </w:p>
    <w:p w14:paraId="13CF3337" w14:textId="77777777" w:rsidR="003269C9" w:rsidRPr="00D74A58" w:rsidRDefault="003269C9" w:rsidP="003269C9">
      <w:pPr>
        <w:widowControl w:val="0"/>
        <w:jc w:val="both"/>
        <w:rPr>
          <w:rFonts w:ascii="Calibri" w:hAnsi="Calibri"/>
          <w:color w:val="000000"/>
          <w:szCs w:val="24"/>
        </w:rPr>
      </w:pPr>
    </w:p>
    <w:p w14:paraId="6D027E48" w14:textId="77777777" w:rsidR="00BC648C" w:rsidRPr="00D74A58" w:rsidRDefault="00BC648C">
      <w:pPr>
        <w:widowControl w:val="0"/>
        <w:jc w:val="both"/>
        <w:rPr>
          <w:rFonts w:ascii="Calibri" w:hAnsi="Calibri"/>
          <w:color w:val="000000"/>
          <w:szCs w:val="24"/>
        </w:rPr>
      </w:pPr>
    </w:p>
    <w:p w14:paraId="13B37FE1" w14:textId="607314A6" w:rsidR="00BC648C" w:rsidRPr="00D74A58" w:rsidRDefault="00BC648C">
      <w:pPr>
        <w:widowControl w:val="0"/>
        <w:jc w:val="both"/>
        <w:rPr>
          <w:rFonts w:ascii="Calibri" w:hAnsi="Calibri"/>
          <w:color w:val="000000"/>
          <w:szCs w:val="24"/>
        </w:rPr>
      </w:pPr>
    </w:p>
    <w:sectPr w:rsidR="00BC648C" w:rsidRPr="00D74A58" w:rsidSect="00391ED8">
      <w:pgSz w:w="12240" w:h="15840" w:code="1"/>
      <w:pgMar w:top="1440" w:right="1440" w:bottom="1440" w:left="1440"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59E58" w14:textId="77777777" w:rsidR="00C57B6F" w:rsidRDefault="00C57B6F">
      <w:r>
        <w:separator/>
      </w:r>
    </w:p>
  </w:endnote>
  <w:endnote w:type="continuationSeparator" w:id="0">
    <w:p w14:paraId="29CE6810" w14:textId="77777777" w:rsidR="00C57B6F" w:rsidRDefault="00C5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3000" w14:textId="77777777" w:rsidR="008F4A5A" w:rsidRDefault="008F4A5A">
    <w:pPr>
      <w:pStyle w:val="Footer"/>
      <w:framePr w:wrap="around" w:vAnchor="text" w:hAnchor="margin" w:xAlign="right" w:y="1"/>
      <w:ind w:right="360"/>
      <w:jc w:val="center"/>
      <w:rPr>
        <w:rStyle w:val="PageNumber"/>
      </w:rPr>
    </w:pPr>
  </w:p>
  <w:p w14:paraId="450431C9" w14:textId="77777777" w:rsidR="008F4A5A" w:rsidRDefault="008F4A5A">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7AC8" w14:textId="77777777" w:rsidR="008F4A5A" w:rsidRDefault="008F4A5A">
    <w:pPr>
      <w:pStyle w:val="Footer"/>
      <w:framePr w:wrap="around" w:vAnchor="text" w:hAnchor="margin" w:xAlign="right" w:y="1"/>
      <w:ind w:right="360"/>
      <w:jc w:val="center"/>
      <w:rPr>
        <w:rStyle w:val="PageNumber"/>
      </w:rPr>
    </w:pPr>
  </w:p>
  <w:p w14:paraId="567713B6" w14:textId="77777777" w:rsidR="008F4A5A" w:rsidRPr="00A3511B" w:rsidRDefault="008F4A5A" w:rsidP="00A3511B">
    <w:pPr>
      <w:pStyle w:val="Footer"/>
      <w:ind w:right="360"/>
      <w:jc w:val="center"/>
      <w:rPr>
        <w:rFonts w:ascii="Calibri" w:hAnsi="Calibri"/>
      </w:rPr>
    </w:pPr>
    <w:r w:rsidRPr="00A3511B">
      <w:rPr>
        <w:rStyle w:val="PageNumber"/>
        <w:rFonts w:ascii="Calibri" w:hAnsi="Calibri"/>
      </w:rPr>
      <w:fldChar w:fldCharType="begin"/>
    </w:r>
    <w:r w:rsidRPr="00A3511B">
      <w:rPr>
        <w:rStyle w:val="PageNumber"/>
        <w:rFonts w:ascii="Calibri" w:hAnsi="Calibri"/>
      </w:rPr>
      <w:instrText xml:space="preserve"> PAGE </w:instrText>
    </w:r>
    <w:r w:rsidRPr="00A3511B">
      <w:rPr>
        <w:rStyle w:val="PageNumber"/>
        <w:rFonts w:ascii="Calibri" w:hAnsi="Calibri"/>
      </w:rPr>
      <w:fldChar w:fldCharType="separate"/>
    </w:r>
    <w:r w:rsidR="00EB6AD6">
      <w:rPr>
        <w:rStyle w:val="PageNumber"/>
        <w:rFonts w:ascii="Calibri" w:hAnsi="Calibri"/>
        <w:noProof/>
      </w:rPr>
      <w:t>4</w:t>
    </w:r>
    <w:r w:rsidRPr="00A3511B">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73DA4" w14:textId="77777777" w:rsidR="00C57B6F" w:rsidRDefault="00C57B6F">
      <w:r>
        <w:separator/>
      </w:r>
    </w:p>
  </w:footnote>
  <w:footnote w:type="continuationSeparator" w:id="0">
    <w:p w14:paraId="1FD444C6" w14:textId="77777777" w:rsidR="00C57B6F" w:rsidRDefault="00C57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01B92"/>
    <w:multiLevelType w:val="hybridMultilevel"/>
    <w:tmpl w:val="461AE78C"/>
    <w:lvl w:ilvl="0" w:tplc="A1CA46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0E4C45"/>
    <w:multiLevelType w:val="hybridMultilevel"/>
    <w:tmpl w:val="F5EA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A51AF"/>
    <w:multiLevelType w:val="hybridMultilevel"/>
    <w:tmpl w:val="32C87EF2"/>
    <w:lvl w:ilvl="0" w:tplc="226AA8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176"/>
    <w:rsid w:val="00002576"/>
    <w:rsid w:val="00002910"/>
    <w:rsid w:val="000124C6"/>
    <w:rsid w:val="00025705"/>
    <w:rsid w:val="00040D59"/>
    <w:rsid w:val="000458C5"/>
    <w:rsid w:val="0007281A"/>
    <w:rsid w:val="00076A87"/>
    <w:rsid w:val="00082199"/>
    <w:rsid w:val="00094114"/>
    <w:rsid w:val="000966DA"/>
    <w:rsid w:val="000B27A7"/>
    <w:rsid w:val="000B2B6F"/>
    <w:rsid w:val="000B3EE2"/>
    <w:rsid w:val="000B4D63"/>
    <w:rsid w:val="000B4E88"/>
    <w:rsid w:val="000C3D94"/>
    <w:rsid w:val="000D1FCD"/>
    <w:rsid w:val="000D6109"/>
    <w:rsid w:val="000E5734"/>
    <w:rsid w:val="000E6308"/>
    <w:rsid w:val="000F4746"/>
    <w:rsid w:val="001053C1"/>
    <w:rsid w:val="00105E5F"/>
    <w:rsid w:val="00107EC3"/>
    <w:rsid w:val="00125FAD"/>
    <w:rsid w:val="00126E75"/>
    <w:rsid w:val="001301E6"/>
    <w:rsid w:val="0013120F"/>
    <w:rsid w:val="00165D7E"/>
    <w:rsid w:val="0016794A"/>
    <w:rsid w:val="001702EF"/>
    <w:rsid w:val="00172034"/>
    <w:rsid w:val="001744CE"/>
    <w:rsid w:val="00177AF1"/>
    <w:rsid w:val="00185892"/>
    <w:rsid w:val="001863C4"/>
    <w:rsid w:val="001A2954"/>
    <w:rsid w:val="001B1C79"/>
    <w:rsid w:val="001B3CDE"/>
    <w:rsid w:val="001B4D62"/>
    <w:rsid w:val="001D6085"/>
    <w:rsid w:val="001E1051"/>
    <w:rsid w:val="001E5CB7"/>
    <w:rsid w:val="001E745B"/>
    <w:rsid w:val="001F2B13"/>
    <w:rsid w:val="001F3ADA"/>
    <w:rsid w:val="001F4AED"/>
    <w:rsid w:val="00211175"/>
    <w:rsid w:val="002159C6"/>
    <w:rsid w:val="00221811"/>
    <w:rsid w:val="00242097"/>
    <w:rsid w:val="002517D8"/>
    <w:rsid w:val="00253B4D"/>
    <w:rsid w:val="00260669"/>
    <w:rsid w:val="00265E75"/>
    <w:rsid w:val="0027491A"/>
    <w:rsid w:val="002772A1"/>
    <w:rsid w:val="00281EBD"/>
    <w:rsid w:val="00294FDF"/>
    <w:rsid w:val="00296367"/>
    <w:rsid w:val="002A745E"/>
    <w:rsid w:val="002A765A"/>
    <w:rsid w:val="002B3744"/>
    <w:rsid w:val="002C2194"/>
    <w:rsid w:val="002D28B1"/>
    <w:rsid w:val="002D4EFE"/>
    <w:rsid w:val="002D5A5F"/>
    <w:rsid w:val="002D6A4F"/>
    <w:rsid w:val="00303773"/>
    <w:rsid w:val="0031362A"/>
    <w:rsid w:val="00315DFB"/>
    <w:rsid w:val="003207C3"/>
    <w:rsid w:val="003269C9"/>
    <w:rsid w:val="00347EC6"/>
    <w:rsid w:val="003528F1"/>
    <w:rsid w:val="003568FC"/>
    <w:rsid w:val="00361755"/>
    <w:rsid w:val="00367909"/>
    <w:rsid w:val="003751AD"/>
    <w:rsid w:val="003808B5"/>
    <w:rsid w:val="003866B9"/>
    <w:rsid w:val="003868C2"/>
    <w:rsid w:val="00390079"/>
    <w:rsid w:val="00390227"/>
    <w:rsid w:val="00391ED8"/>
    <w:rsid w:val="0039373A"/>
    <w:rsid w:val="00393C6B"/>
    <w:rsid w:val="0039565D"/>
    <w:rsid w:val="003A14B4"/>
    <w:rsid w:val="003A1CA7"/>
    <w:rsid w:val="003A304F"/>
    <w:rsid w:val="003B07A7"/>
    <w:rsid w:val="003B08A4"/>
    <w:rsid w:val="003B10D0"/>
    <w:rsid w:val="003B3FBF"/>
    <w:rsid w:val="003B5FDE"/>
    <w:rsid w:val="003C439C"/>
    <w:rsid w:val="003C49AE"/>
    <w:rsid w:val="003D0E65"/>
    <w:rsid w:val="003D1C44"/>
    <w:rsid w:val="003E0176"/>
    <w:rsid w:val="003E718A"/>
    <w:rsid w:val="003F2B53"/>
    <w:rsid w:val="00401AAA"/>
    <w:rsid w:val="004136C8"/>
    <w:rsid w:val="004160A4"/>
    <w:rsid w:val="00416835"/>
    <w:rsid w:val="0042064D"/>
    <w:rsid w:val="0042117B"/>
    <w:rsid w:val="004220E7"/>
    <w:rsid w:val="004257F7"/>
    <w:rsid w:val="00432232"/>
    <w:rsid w:val="00443FEF"/>
    <w:rsid w:val="00445ADC"/>
    <w:rsid w:val="00446FDE"/>
    <w:rsid w:val="00454BD3"/>
    <w:rsid w:val="00473DAA"/>
    <w:rsid w:val="004769CA"/>
    <w:rsid w:val="004779D6"/>
    <w:rsid w:val="00480554"/>
    <w:rsid w:val="00480B09"/>
    <w:rsid w:val="00482B5F"/>
    <w:rsid w:val="0049465D"/>
    <w:rsid w:val="004966A0"/>
    <w:rsid w:val="004B5656"/>
    <w:rsid w:val="004C1ACB"/>
    <w:rsid w:val="004C1C19"/>
    <w:rsid w:val="004C31B9"/>
    <w:rsid w:val="004C4D98"/>
    <w:rsid w:val="004C6A6D"/>
    <w:rsid w:val="004D4442"/>
    <w:rsid w:val="004E3716"/>
    <w:rsid w:val="004F06B1"/>
    <w:rsid w:val="005010F0"/>
    <w:rsid w:val="00501543"/>
    <w:rsid w:val="0050296C"/>
    <w:rsid w:val="00511CA3"/>
    <w:rsid w:val="00514868"/>
    <w:rsid w:val="00516786"/>
    <w:rsid w:val="0052006A"/>
    <w:rsid w:val="005220DD"/>
    <w:rsid w:val="00524987"/>
    <w:rsid w:val="0052601F"/>
    <w:rsid w:val="0053257D"/>
    <w:rsid w:val="00537607"/>
    <w:rsid w:val="00537FBE"/>
    <w:rsid w:val="00550867"/>
    <w:rsid w:val="005543E5"/>
    <w:rsid w:val="00556D7C"/>
    <w:rsid w:val="005629BF"/>
    <w:rsid w:val="005638A7"/>
    <w:rsid w:val="005723F8"/>
    <w:rsid w:val="0057360B"/>
    <w:rsid w:val="00575FA2"/>
    <w:rsid w:val="0057720C"/>
    <w:rsid w:val="0058268E"/>
    <w:rsid w:val="00583738"/>
    <w:rsid w:val="005851C5"/>
    <w:rsid w:val="00586B05"/>
    <w:rsid w:val="00586C35"/>
    <w:rsid w:val="005A0105"/>
    <w:rsid w:val="005A2B83"/>
    <w:rsid w:val="005B07CF"/>
    <w:rsid w:val="005B39E6"/>
    <w:rsid w:val="005B4F1D"/>
    <w:rsid w:val="005C2276"/>
    <w:rsid w:val="005D5AFB"/>
    <w:rsid w:val="005E0562"/>
    <w:rsid w:val="005E65DF"/>
    <w:rsid w:val="005F52DC"/>
    <w:rsid w:val="00601242"/>
    <w:rsid w:val="006112CF"/>
    <w:rsid w:val="00616E00"/>
    <w:rsid w:val="006252FE"/>
    <w:rsid w:val="0063493C"/>
    <w:rsid w:val="00647D8B"/>
    <w:rsid w:val="00651403"/>
    <w:rsid w:val="00660B38"/>
    <w:rsid w:val="00660E11"/>
    <w:rsid w:val="006642AD"/>
    <w:rsid w:val="006651FF"/>
    <w:rsid w:val="00667C42"/>
    <w:rsid w:val="00673CD2"/>
    <w:rsid w:val="00674CB1"/>
    <w:rsid w:val="00696127"/>
    <w:rsid w:val="006B130D"/>
    <w:rsid w:val="006B4A86"/>
    <w:rsid w:val="006C0546"/>
    <w:rsid w:val="006C2E2E"/>
    <w:rsid w:val="006C50B5"/>
    <w:rsid w:val="006D24D2"/>
    <w:rsid w:val="006D2D98"/>
    <w:rsid w:val="006D3E0B"/>
    <w:rsid w:val="006D6869"/>
    <w:rsid w:val="006E1096"/>
    <w:rsid w:val="006E2562"/>
    <w:rsid w:val="006F0D4C"/>
    <w:rsid w:val="006F53F1"/>
    <w:rsid w:val="006F76F3"/>
    <w:rsid w:val="00706AA6"/>
    <w:rsid w:val="00707972"/>
    <w:rsid w:val="00723D16"/>
    <w:rsid w:val="00725D3B"/>
    <w:rsid w:val="00732F74"/>
    <w:rsid w:val="0073451E"/>
    <w:rsid w:val="00736C7A"/>
    <w:rsid w:val="007372BA"/>
    <w:rsid w:val="007452E9"/>
    <w:rsid w:val="00747C79"/>
    <w:rsid w:val="007578C1"/>
    <w:rsid w:val="00765F78"/>
    <w:rsid w:val="00770109"/>
    <w:rsid w:val="007709B7"/>
    <w:rsid w:val="00771518"/>
    <w:rsid w:val="00771E05"/>
    <w:rsid w:val="007778A3"/>
    <w:rsid w:val="007840D5"/>
    <w:rsid w:val="007A292B"/>
    <w:rsid w:val="007A3B39"/>
    <w:rsid w:val="007A56C2"/>
    <w:rsid w:val="007A782A"/>
    <w:rsid w:val="007B49F1"/>
    <w:rsid w:val="007C7ECD"/>
    <w:rsid w:val="007D5376"/>
    <w:rsid w:val="007D7C4C"/>
    <w:rsid w:val="007E4D82"/>
    <w:rsid w:val="007E7DD4"/>
    <w:rsid w:val="007F4DB2"/>
    <w:rsid w:val="008003ED"/>
    <w:rsid w:val="00804D3A"/>
    <w:rsid w:val="008063E5"/>
    <w:rsid w:val="00827590"/>
    <w:rsid w:val="008405B3"/>
    <w:rsid w:val="00842B6C"/>
    <w:rsid w:val="00843380"/>
    <w:rsid w:val="00846445"/>
    <w:rsid w:val="00846DA6"/>
    <w:rsid w:val="0085067F"/>
    <w:rsid w:val="00851A5F"/>
    <w:rsid w:val="00854BCA"/>
    <w:rsid w:val="008551B6"/>
    <w:rsid w:val="008570B3"/>
    <w:rsid w:val="00863462"/>
    <w:rsid w:val="0086577A"/>
    <w:rsid w:val="0087433D"/>
    <w:rsid w:val="008907A5"/>
    <w:rsid w:val="00893C09"/>
    <w:rsid w:val="008A793E"/>
    <w:rsid w:val="008A7A59"/>
    <w:rsid w:val="008B6331"/>
    <w:rsid w:val="008C241A"/>
    <w:rsid w:val="008D0634"/>
    <w:rsid w:val="008D3279"/>
    <w:rsid w:val="008D6C15"/>
    <w:rsid w:val="008F4A5A"/>
    <w:rsid w:val="009017E6"/>
    <w:rsid w:val="0090507E"/>
    <w:rsid w:val="00906EEF"/>
    <w:rsid w:val="00906EFE"/>
    <w:rsid w:val="009105F5"/>
    <w:rsid w:val="00916000"/>
    <w:rsid w:val="0092133E"/>
    <w:rsid w:val="009247EA"/>
    <w:rsid w:val="00937033"/>
    <w:rsid w:val="00942688"/>
    <w:rsid w:val="00953D16"/>
    <w:rsid w:val="00956DB9"/>
    <w:rsid w:val="00967C98"/>
    <w:rsid w:val="00973567"/>
    <w:rsid w:val="00987B22"/>
    <w:rsid w:val="00997BDF"/>
    <w:rsid w:val="009B1546"/>
    <w:rsid w:val="009B3AF4"/>
    <w:rsid w:val="009B78E8"/>
    <w:rsid w:val="009D1786"/>
    <w:rsid w:val="009D189B"/>
    <w:rsid w:val="009E03A9"/>
    <w:rsid w:val="009F04B6"/>
    <w:rsid w:val="00A03738"/>
    <w:rsid w:val="00A04303"/>
    <w:rsid w:val="00A15DD8"/>
    <w:rsid w:val="00A2724E"/>
    <w:rsid w:val="00A3511B"/>
    <w:rsid w:val="00A5475C"/>
    <w:rsid w:val="00A65D87"/>
    <w:rsid w:val="00A67373"/>
    <w:rsid w:val="00A71F69"/>
    <w:rsid w:val="00A71FEB"/>
    <w:rsid w:val="00A93712"/>
    <w:rsid w:val="00A94136"/>
    <w:rsid w:val="00AA04B1"/>
    <w:rsid w:val="00AA2E3F"/>
    <w:rsid w:val="00AB2BE2"/>
    <w:rsid w:val="00AB4DE3"/>
    <w:rsid w:val="00AC0CA7"/>
    <w:rsid w:val="00AC2FB3"/>
    <w:rsid w:val="00AD427B"/>
    <w:rsid w:val="00AD4EF7"/>
    <w:rsid w:val="00AE5CEB"/>
    <w:rsid w:val="00AF1153"/>
    <w:rsid w:val="00AF1660"/>
    <w:rsid w:val="00B010F9"/>
    <w:rsid w:val="00B036A0"/>
    <w:rsid w:val="00B0505C"/>
    <w:rsid w:val="00B076DB"/>
    <w:rsid w:val="00B10314"/>
    <w:rsid w:val="00B10A87"/>
    <w:rsid w:val="00B16576"/>
    <w:rsid w:val="00B20A69"/>
    <w:rsid w:val="00B20C64"/>
    <w:rsid w:val="00B32C64"/>
    <w:rsid w:val="00B335F2"/>
    <w:rsid w:val="00B4116E"/>
    <w:rsid w:val="00B413E4"/>
    <w:rsid w:val="00B44053"/>
    <w:rsid w:val="00B478C9"/>
    <w:rsid w:val="00B51D63"/>
    <w:rsid w:val="00B54C35"/>
    <w:rsid w:val="00B65D4E"/>
    <w:rsid w:val="00B6712F"/>
    <w:rsid w:val="00B7676B"/>
    <w:rsid w:val="00B806D7"/>
    <w:rsid w:val="00B81AF3"/>
    <w:rsid w:val="00B81DB6"/>
    <w:rsid w:val="00B8274C"/>
    <w:rsid w:val="00B85BAD"/>
    <w:rsid w:val="00B8791F"/>
    <w:rsid w:val="00B91C5F"/>
    <w:rsid w:val="00B91EFB"/>
    <w:rsid w:val="00B935D4"/>
    <w:rsid w:val="00B93BB7"/>
    <w:rsid w:val="00B9776E"/>
    <w:rsid w:val="00BB0032"/>
    <w:rsid w:val="00BB1035"/>
    <w:rsid w:val="00BB7ABD"/>
    <w:rsid w:val="00BC648C"/>
    <w:rsid w:val="00BD0E2A"/>
    <w:rsid w:val="00BD2A1F"/>
    <w:rsid w:val="00BE016A"/>
    <w:rsid w:val="00BE3A6C"/>
    <w:rsid w:val="00BF18C2"/>
    <w:rsid w:val="00BF2084"/>
    <w:rsid w:val="00C07700"/>
    <w:rsid w:val="00C134D6"/>
    <w:rsid w:val="00C20C72"/>
    <w:rsid w:val="00C20FFD"/>
    <w:rsid w:val="00C2522C"/>
    <w:rsid w:val="00C3280D"/>
    <w:rsid w:val="00C333B3"/>
    <w:rsid w:val="00C45367"/>
    <w:rsid w:val="00C50982"/>
    <w:rsid w:val="00C51216"/>
    <w:rsid w:val="00C51F68"/>
    <w:rsid w:val="00C57B6F"/>
    <w:rsid w:val="00C62523"/>
    <w:rsid w:val="00C80058"/>
    <w:rsid w:val="00C819C1"/>
    <w:rsid w:val="00C916F5"/>
    <w:rsid w:val="00C9489C"/>
    <w:rsid w:val="00C96743"/>
    <w:rsid w:val="00CA07C2"/>
    <w:rsid w:val="00CA7446"/>
    <w:rsid w:val="00CB50B6"/>
    <w:rsid w:val="00CC1F21"/>
    <w:rsid w:val="00CC317A"/>
    <w:rsid w:val="00CC5191"/>
    <w:rsid w:val="00CC7116"/>
    <w:rsid w:val="00CE0972"/>
    <w:rsid w:val="00CE5AB9"/>
    <w:rsid w:val="00CE6138"/>
    <w:rsid w:val="00CE66F0"/>
    <w:rsid w:val="00CE726B"/>
    <w:rsid w:val="00CF00D7"/>
    <w:rsid w:val="00D0201B"/>
    <w:rsid w:val="00D17CB7"/>
    <w:rsid w:val="00D23A26"/>
    <w:rsid w:val="00D24882"/>
    <w:rsid w:val="00D26C59"/>
    <w:rsid w:val="00D273B0"/>
    <w:rsid w:val="00D27714"/>
    <w:rsid w:val="00D328E1"/>
    <w:rsid w:val="00D33B9B"/>
    <w:rsid w:val="00D33D4E"/>
    <w:rsid w:val="00D36581"/>
    <w:rsid w:val="00D378F6"/>
    <w:rsid w:val="00D4123C"/>
    <w:rsid w:val="00D42DC5"/>
    <w:rsid w:val="00D513FE"/>
    <w:rsid w:val="00D518B1"/>
    <w:rsid w:val="00D57EA3"/>
    <w:rsid w:val="00D60C66"/>
    <w:rsid w:val="00D612A6"/>
    <w:rsid w:val="00D67B0B"/>
    <w:rsid w:val="00D7305C"/>
    <w:rsid w:val="00D74A58"/>
    <w:rsid w:val="00D74E35"/>
    <w:rsid w:val="00D817E3"/>
    <w:rsid w:val="00D97D31"/>
    <w:rsid w:val="00DA52AB"/>
    <w:rsid w:val="00DB0024"/>
    <w:rsid w:val="00DB2B4F"/>
    <w:rsid w:val="00DB534F"/>
    <w:rsid w:val="00DB7BE1"/>
    <w:rsid w:val="00DD11BA"/>
    <w:rsid w:val="00DD34AC"/>
    <w:rsid w:val="00DF42DD"/>
    <w:rsid w:val="00E008C8"/>
    <w:rsid w:val="00E104AD"/>
    <w:rsid w:val="00E1577C"/>
    <w:rsid w:val="00E1658C"/>
    <w:rsid w:val="00E16F7B"/>
    <w:rsid w:val="00E3079C"/>
    <w:rsid w:val="00E3320B"/>
    <w:rsid w:val="00E34641"/>
    <w:rsid w:val="00E443D6"/>
    <w:rsid w:val="00E44DED"/>
    <w:rsid w:val="00E56A77"/>
    <w:rsid w:val="00E626BD"/>
    <w:rsid w:val="00E64F8A"/>
    <w:rsid w:val="00E728C0"/>
    <w:rsid w:val="00E730ED"/>
    <w:rsid w:val="00E76C0C"/>
    <w:rsid w:val="00E81825"/>
    <w:rsid w:val="00E84337"/>
    <w:rsid w:val="00E84C08"/>
    <w:rsid w:val="00EA0FBA"/>
    <w:rsid w:val="00EB6AD6"/>
    <w:rsid w:val="00EC093F"/>
    <w:rsid w:val="00EC396E"/>
    <w:rsid w:val="00ED0CA5"/>
    <w:rsid w:val="00ED30AF"/>
    <w:rsid w:val="00ED475F"/>
    <w:rsid w:val="00ED5FEA"/>
    <w:rsid w:val="00ED6A3B"/>
    <w:rsid w:val="00EE3D46"/>
    <w:rsid w:val="00EF338B"/>
    <w:rsid w:val="00EF4817"/>
    <w:rsid w:val="00EF5DD0"/>
    <w:rsid w:val="00F0092A"/>
    <w:rsid w:val="00F019A8"/>
    <w:rsid w:val="00F022E3"/>
    <w:rsid w:val="00F11A52"/>
    <w:rsid w:val="00F13044"/>
    <w:rsid w:val="00F1428F"/>
    <w:rsid w:val="00F34A87"/>
    <w:rsid w:val="00F37174"/>
    <w:rsid w:val="00F4107D"/>
    <w:rsid w:val="00F43DD9"/>
    <w:rsid w:val="00F44D5D"/>
    <w:rsid w:val="00F52241"/>
    <w:rsid w:val="00F54B5C"/>
    <w:rsid w:val="00F6094F"/>
    <w:rsid w:val="00F64136"/>
    <w:rsid w:val="00F65098"/>
    <w:rsid w:val="00F67158"/>
    <w:rsid w:val="00F72847"/>
    <w:rsid w:val="00F82277"/>
    <w:rsid w:val="00F82A17"/>
    <w:rsid w:val="00F83F72"/>
    <w:rsid w:val="00F92931"/>
    <w:rsid w:val="00F92CAE"/>
    <w:rsid w:val="00F96C6E"/>
    <w:rsid w:val="00FA16F1"/>
    <w:rsid w:val="00FA303E"/>
    <w:rsid w:val="00FA7A5D"/>
    <w:rsid w:val="00FB244C"/>
    <w:rsid w:val="00FB2CF1"/>
    <w:rsid w:val="00FB4018"/>
    <w:rsid w:val="00FC116F"/>
    <w:rsid w:val="00FC3B44"/>
    <w:rsid w:val="00FC4346"/>
    <w:rsid w:val="00FD0E8E"/>
    <w:rsid w:val="00FD46B5"/>
    <w:rsid w:val="00FD522A"/>
    <w:rsid w:val="00FE3333"/>
    <w:rsid w:val="00FE73BD"/>
    <w:rsid w:val="00FF025C"/>
    <w:rsid w:val="00FF18E1"/>
    <w:rsid w:val="00FF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11EB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982"/>
    <w:rPr>
      <w:sz w:val="24"/>
      <w:szCs w:val="20"/>
    </w:rPr>
  </w:style>
  <w:style w:type="paragraph" w:styleId="Heading1">
    <w:name w:val="heading 1"/>
    <w:basedOn w:val="Normal"/>
    <w:next w:val="Normal"/>
    <w:link w:val="Heading1Char"/>
    <w:qFormat/>
    <w:locked/>
    <w:rsid w:val="000025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391ED8"/>
    <w:pPr>
      <w:keepNext/>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C6A8C"/>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391ED8"/>
    <w:pPr>
      <w:jc w:val="center"/>
    </w:pPr>
    <w:rPr>
      <w:b/>
    </w:rPr>
  </w:style>
  <w:style w:type="character" w:customStyle="1" w:styleId="TitleChar">
    <w:name w:val="Title Char"/>
    <w:basedOn w:val="DefaultParagraphFont"/>
    <w:link w:val="Title"/>
    <w:uiPriority w:val="99"/>
    <w:rsid w:val="00CC6A8C"/>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391ED8"/>
    <w:pPr>
      <w:spacing w:line="480" w:lineRule="auto"/>
    </w:pPr>
  </w:style>
  <w:style w:type="character" w:customStyle="1" w:styleId="BodyText2Char">
    <w:name w:val="Body Text 2 Char"/>
    <w:basedOn w:val="DefaultParagraphFont"/>
    <w:link w:val="BodyText2"/>
    <w:uiPriority w:val="99"/>
    <w:semiHidden/>
    <w:rsid w:val="00CC6A8C"/>
    <w:rPr>
      <w:sz w:val="24"/>
      <w:szCs w:val="20"/>
    </w:rPr>
  </w:style>
  <w:style w:type="paragraph" w:styleId="Footer">
    <w:name w:val="footer"/>
    <w:basedOn w:val="Normal"/>
    <w:link w:val="FooterChar"/>
    <w:uiPriority w:val="99"/>
    <w:rsid w:val="00391ED8"/>
    <w:pPr>
      <w:tabs>
        <w:tab w:val="center" w:pos="4320"/>
        <w:tab w:val="right" w:pos="8640"/>
      </w:tabs>
    </w:pPr>
  </w:style>
  <w:style w:type="character" w:customStyle="1" w:styleId="FooterChar">
    <w:name w:val="Footer Char"/>
    <w:basedOn w:val="DefaultParagraphFont"/>
    <w:link w:val="Footer"/>
    <w:uiPriority w:val="99"/>
    <w:semiHidden/>
    <w:rsid w:val="00CC6A8C"/>
    <w:rPr>
      <w:sz w:val="24"/>
      <w:szCs w:val="20"/>
    </w:rPr>
  </w:style>
  <w:style w:type="character" w:styleId="PageNumber">
    <w:name w:val="page number"/>
    <w:basedOn w:val="DefaultParagraphFont"/>
    <w:uiPriority w:val="99"/>
    <w:rsid w:val="00391ED8"/>
    <w:rPr>
      <w:rFonts w:cs="Times New Roman"/>
    </w:rPr>
  </w:style>
  <w:style w:type="character" w:styleId="Hyperlink">
    <w:name w:val="Hyperlink"/>
    <w:basedOn w:val="DefaultParagraphFont"/>
    <w:uiPriority w:val="99"/>
    <w:rsid w:val="00391ED8"/>
    <w:rPr>
      <w:rFonts w:cs="Times New Roman"/>
      <w:color w:val="0000FF"/>
      <w:u w:val="single"/>
    </w:rPr>
  </w:style>
  <w:style w:type="paragraph" w:styleId="Header">
    <w:name w:val="header"/>
    <w:basedOn w:val="Normal"/>
    <w:link w:val="HeaderChar"/>
    <w:uiPriority w:val="99"/>
    <w:rsid w:val="00391ED8"/>
    <w:pPr>
      <w:tabs>
        <w:tab w:val="center" w:pos="4320"/>
        <w:tab w:val="right" w:pos="8640"/>
      </w:tabs>
    </w:pPr>
  </w:style>
  <w:style w:type="character" w:customStyle="1" w:styleId="HeaderChar">
    <w:name w:val="Header Char"/>
    <w:basedOn w:val="DefaultParagraphFont"/>
    <w:link w:val="Header"/>
    <w:uiPriority w:val="99"/>
    <w:semiHidden/>
    <w:rsid w:val="00CC6A8C"/>
    <w:rPr>
      <w:sz w:val="24"/>
      <w:szCs w:val="20"/>
    </w:rPr>
  </w:style>
  <w:style w:type="paragraph" w:styleId="BodyTextIndent">
    <w:name w:val="Body Text Indent"/>
    <w:basedOn w:val="Normal"/>
    <w:link w:val="BodyTextIndentChar"/>
    <w:uiPriority w:val="99"/>
    <w:rsid w:val="00391ED8"/>
    <w:pPr>
      <w:spacing w:line="480" w:lineRule="auto"/>
      <w:ind w:firstLine="720"/>
      <w:jc w:val="both"/>
    </w:pPr>
  </w:style>
  <w:style w:type="character" w:customStyle="1" w:styleId="BodyTextIndentChar">
    <w:name w:val="Body Text Indent Char"/>
    <w:basedOn w:val="DefaultParagraphFont"/>
    <w:link w:val="BodyTextIndent"/>
    <w:uiPriority w:val="99"/>
    <w:semiHidden/>
    <w:rsid w:val="00CC6A8C"/>
    <w:rPr>
      <w:sz w:val="24"/>
      <w:szCs w:val="20"/>
    </w:rPr>
  </w:style>
  <w:style w:type="paragraph" w:styleId="BodyTextIndent2">
    <w:name w:val="Body Text Indent 2"/>
    <w:basedOn w:val="Normal"/>
    <w:link w:val="BodyTextIndent2Char"/>
    <w:uiPriority w:val="99"/>
    <w:rsid w:val="00391ED8"/>
    <w:pPr>
      <w:spacing w:line="480" w:lineRule="auto"/>
      <w:ind w:firstLine="720"/>
    </w:pPr>
  </w:style>
  <w:style w:type="character" w:customStyle="1" w:styleId="BodyTextIndent2Char">
    <w:name w:val="Body Text Indent 2 Char"/>
    <w:basedOn w:val="DefaultParagraphFont"/>
    <w:link w:val="BodyTextIndent2"/>
    <w:uiPriority w:val="99"/>
    <w:semiHidden/>
    <w:rsid w:val="00CC6A8C"/>
    <w:rPr>
      <w:sz w:val="24"/>
      <w:szCs w:val="20"/>
    </w:rPr>
  </w:style>
  <w:style w:type="paragraph" w:styleId="BalloonText">
    <w:name w:val="Balloon Text"/>
    <w:basedOn w:val="Normal"/>
    <w:link w:val="BalloonTextChar"/>
    <w:uiPriority w:val="99"/>
    <w:semiHidden/>
    <w:rsid w:val="00391ED8"/>
    <w:rPr>
      <w:rFonts w:ascii="Tahoma" w:hAnsi="Tahoma" w:cs="Tahoma"/>
      <w:sz w:val="16"/>
      <w:szCs w:val="16"/>
    </w:rPr>
  </w:style>
  <w:style w:type="character" w:customStyle="1" w:styleId="BalloonTextChar">
    <w:name w:val="Balloon Text Char"/>
    <w:basedOn w:val="DefaultParagraphFont"/>
    <w:link w:val="BalloonText"/>
    <w:uiPriority w:val="99"/>
    <w:semiHidden/>
    <w:rsid w:val="00CC6A8C"/>
    <w:rPr>
      <w:sz w:val="0"/>
      <w:szCs w:val="0"/>
    </w:rPr>
  </w:style>
  <w:style w:type="paragraph" w:styleId="FootnoteText">
    <w:name w:val="footnote text"/>
    <w:basedOn w:val="Normal"/>
    <w:link w:val="FootnoteTextChar"/>
    <w:uiPriority w:val="99"/>
    <w:semiHidden/>
    <w:rsid w:val="00556D7C"/>
    <w:rPr>
      <w:sz w:val="20"/>
    </w:rPr>
  </w:style>
  <w:style w:type="character" w:customStyle="1" w:styleId="FootnoteTextChar">
    <w:name w:val="Footnote Text Char"/>
    <w:basedOn w:val="DefaultParagraphFont"/>
    <w:link w:val="FootnoteText"/>
    <w:uiPriority w:val="99"/>
    <w:semiHidden/>
    <w:rsid w:val="00CC6A8C"/>
    <w:rPr>
      <w:sz w:val="20"/>
      <w:szCs w:val="20"/>
    </w:rPr>
  </w:style>
  <w:style w:type="character" w:styleId="FootnoteReference">
    <w:name w:val="footnote reference"/>
    <w:basedOn w:val="DefaultParagraphFont"/>
    <w:uiPriority w:val="99"/>
    <w:semiHidden/>
    <w:rsid w:val="00556D7C"/>
    <w:rPr>
      <w:rFonts w:cs="Times New Roman"/>
      <w:vertAlign w:val="superscript"/>
    </w:rPr>
  </w:style>
  <w:style w:type="paragraph" w:styleId="ListParagraph">
    <w:name w:val="List Paragraph"/>
    <w:basedOn w:val="Normal"/>
    <w:uiPriority w:val="99"/>
    <w:qFormat/>
    <w:rsid w:val="00AA04B1"/>
    <w:pPr>
      <w:ind w:left="720"/>
      <w:contextualSpacing/>
    </w:pPr>
  </w:style>
  <w:style w:type="paragraph" w:styleId="EndnoteText">
    <w:name w:val="endnote text"/>
    <w:basedOn w:val="Normal"/>
    <w:link w:val="EndnoteTextChar"/>
    <w:uiPriority w:val="99"/>
    <w:semiHidden/>
    <w:unhideWhenUsed/>
    <w:rsid w:val="00294FDF"/>
    <w:rPr>
      <w:sz w:val="20"/>
    </w:rPr>
  </w:style>
  <w:style w:type="character" w:customStyle="1" w:styleId="EndnoteTextChar">
    <w:name w:val="Endnote Text Char"/>
    <w:basedOn w:val="DefaultParagraphFont"/>
    <w:link w:val="EndnoteText"/>
    <w:uiPriority w:val="99"/>
    <w:semiHidden/>
    <w:rsid w:val="00294FDF"/>
    <w:rPr>
      <w:sz w:val="20"/>
      <w:szCs w:val="20"/>
    </w:rPr>
  </w:style>
  <w:style w:type="character" w:styleId="EndnoteReference">
    <w:name w:val="endnote reference"/>
    <w:basedOn w:val="DefaultParagraphFont"/>
    <w:uiPriority w:val="99"/>
    <w:semiHidden/>
    <w:unhideWhenUsed/>
    <w:rsid w:val="00294FDF"/>
    <w:rPr>
      <w:vertAlign w:val="superscript"/>
    </w:rPr>
  </w:style>
  <w:style w:type="paragraph" w:styleId="BodyText">
    <w:name w:val="Body Text"/>
    <w:basedOn w:val="Normal"/>
    <w:link w:val="BodyTextChar"/>
    <w:uiPriority w:val="99"/>
    <w:semiHidden/>
    <w:unhideWhenUsed/>
    <w:rsid w:val="00BB0032"/>
    <w:pPr>
      <w:spacing w:after="120"/>
    </w:pPr>
  </w:style>
  <w:style w:type="character" w:customStyle="1" w:styleId="BodyTextChar">
    <w:name w:val="Body Text Char"/>
    <w:basedOn w:val="DefaultParagraphFont"/>
    <w:link w:val="BodyText"/>
    <w:uiPriority w:val="99"/>
    <w:semiHidden/>
    <w:rsid w:val="00BB0032"/>
    <w:rPr>
      <w:sz w:val="24"/>
      <w:szCs w:val="20"/>
    </w:rPr>
  </w:style>
  <w:style w:type="character" w:styleId="CommentReference">
    <w:name w:val="annotation reference"/>
    <w:basedOn w:val="DefaultParagraphFont"/>
    <w:uiPriority w:val="99"/>
    <w:semiHidden/>
    <w:unhideWhenUsed/>
    <w:rsid w:val="00E1658C"/>
    <w:rPr>
      <w:sz w:val="16"/>
      <w:szCs w:val="16"/>
    </w:rPr>
  </w:style>
  <w:style w:type="paragraph" w:styleId="CommentText">
    <w:name w:val="annotation text"/>
    <w:basedOn w:val="Normal"/>
    <w:link w:val="CommentTextChar"/>
    <w:uiPriority w:val="99"/>
    <w:semiHidden/>
    <w:unhideWhenUsed/>
    <w:rsid w:val="00E1658C"/>
    <w:rPr>
      <w:sz w:val="20"/>
    </w:rPr>
  </w:style>
  <w:style w:type="character" w:customStyle="1" w:styleId="CommentTextChar">
    <w:name w:val="Comment Text Char"/>
    <w:basedOn w:val="DefaultParagraphFont"/>
    <w:link w:val="CommentText"/>
    <w:uiPriority w:val="99"/>
    <w:semiHidden/>
    <w:rsid w:val="00E1658C"/>
    <w:rPr>
      <w:sz w:val="20"/>
      <w:szCs w:val="20"/>
    </w:rPr>
  </w:style>
  <w:style w:type="paragraph" w:styleId="CommentSubject">
    <w:name w:val="annotation subject"/>
    <w:basedOn w:val="CommentText"/>
    <w:next w:val="CommentText"/>
    <w:link w:val="CommentSubjectChar"/>
    <w:uiPriority w:val="99"/>
    <w:semiHidden/>
    <w:unhideWhenUsed/>
    <w:rsid w:val="00E1658C"/>
    <w:rPr>
      <w:b/>
      <w:bCs/>
    </w:rPr>
  </w:style>
  <w:style w:type="character" w:customStyle="1" w:styleId="CommentSubjectChar">
    <w:name w:val="Comment Subject Char"/>
    <w:basedOn w:val="CommentTextChar"/>
    <w:link w:val="CommentSubject"/>
    <w:uiPriority w:val="99"/>
    <w:semiHidden/>
    <w:rsid w:val="00E1658C"/>
    <w:rPr>
      <w:b/>
      <w:bCs/>
      <w:sz w:val="20"/>
      <w:szCs w:val="20"/>
    </w:rPr>
  </w:style>
  <w:style w:type="character" w:customStyle="1" w:styleId="Heading1Char">
    <w:name w:val="Heading 1 Char"/>
    <w:basedOn w:val="DefaultParagraphFont"/>
    <w:link w:val="Heading1"/>
    <w:rsid w:val="00002576"/>
    <w:rPr>
      <w:rFonts w:asciiTheme="majorHAnsi" w:eastAsiaTheme="majorEastAsia" w:hAnsiTheme="majorHAnsi" w:cstheme="majorBidi"/>
      <w:color w:val="365F91" w:themeColor="accent1" w:themeShade="BF"/>
      <w:sz w:val="32"/>
      <w:szCs w:val="32"/>
    </w:rPr>
  </w:style>
  <w:style w:type="character" w:customStyle="1" w:styleId="ssparacontent">
    <w:name w:val="ss_paracontent"/>
    <w:basedOn w:val="DefaultParagraphFont"/>
    <w:rsid w:val="0053257D"/>
  </w:style>
  <w:style w:type="character" w:customStyle="1" w:styleId="ssparalabel">
    <w:name w:val="ss_paralabel"/>
    <w:basedOn w:val="DefaultParagraphFont"/>
    <w:rsid w:val="0053257D"/>
  </w:style>
  <w:style w:type="character" w:customStyle="1" w:styleId="ssbf">
    <w:name w:val="ss_bf"/>
    <w:basedOn w:val="DefaultParagraphFont"/>
    <w:rsid w:val="0053257D"/>
  </w:style>
  <w:style w:type="character" w:styleId="UnresolvedMention">
    <w:name w:val="Unresolved Mention"/>
    <w:basedOn w:val="DefaultParagraphFont"/>
    <w:uiPriority w:val="99"/>
    <w:semiHidden/>
    <w:unhideWhenUsed/>
    <w:rsid w:val="00401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69217">
      <w:bodyDiv w:val="1"/>
      <w:marLeft w:val="0"/>
      <w:marRight w:val="0"/>
      <w:marTop w:val="0"/>
      <w:marBottom w:val="0"/>
      <w:divBdr>
        <w:top w:val="none" w:sz="0" w:space="0" w:color="auto"/>
        <w:left w:val="none" w:sz="0" w:space="0" w:color="auto"/>
        <w:bottom w:val="none" w:sz="0" w:space="0" w:color="auto"/>
        <w:right w:val="none" w:sz="0" w:space="0" w:color="auto"/>
      </w:divBdr>
      <w:divsChild>
        <w:div w:id="1400978520">
          <w:marLeft w:val="0"/>
          <w:marRight w:val="0"/>
          <w:marTop w:val="0"/>
          <w:marBottom w:val="0"/>
          <w:divBdr>
            <w:top w:val="none" w:sz="0" w:space="0" w:color="auto"/>
            <w:left w:val="none" w:sz="0" w:space="0" w:color="auto"/>
            <w:bottom w:val="none" w:sz="0" w:space="0" w:color="auto"/>
            <w:right w:val="none" w:sz="0" w:space="0" w:color="auto"/>
          </w:divBdr>
        </w:div>
      </w:divsChild>
    </w:div>
    <w:div w:id="10366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l@smxblaw.com" TargetMode="External"/><Relationship Id="rId13" Type="http://schemas.openxmlformats.org/officeDocument/2006/relationships/hyperlink" Target="mailto:John.jones@ohioattorneygeneral.gov" TargetMode="External"/><Relationship Id="rId18" Type="http://schemas.openxmlformats.org/officeDocument/2006/relationships/hyperlink" Target="mailto:william.michael@occ.ohio.gov" TargetMode="External"/><Relationship Id="rId26" Type="http://schemas.openxmlformats.org/officeDocument/2006/relationships/hyperlink" Target="mailto:michael.nugent@igs.com" TargetMode="External"/><Relationship Id="rId3" Type="http://schemas.openxmlformats.org/officeDocument/2006/relationships/styles" Target="styles.xml"/><Relationship Id="rId21" Type="http://schemas.openxmlformats.org/officeDocument/2006/relationships/hyperlink" Target="mailto:jkylercohn@BKLlawfirm.com" TargetMode="External"/><Relationship Id="rId7" Type="http://schemas.openxmlformats.org/officeDocument/2006/relationships/endnotes" Target="endnotes.xml"/><Relationship Id="rId12" Type="http://schemas.openxmlformats.org/officeDocument/2006/relationships/hyperlink" Target="mailto:angela.obrien@occ.ohio.gov" TargetMode="External"/><Relationship Id="rId17" Type="http://schemas.openxmlformats.org/officeDocument/2006/relationships/hyperlink" Target="mailto:amy.botschner.obrien@occ.ohio.gov" TargetMode="External"/><Relationship Id="rId25" Type="http://schemas.openxmlformats.org/officeDocument/2006/relationships/hyperlink" Target="mailto:joe.oliker@igs.com" TargetMode="External"/><Relationship Id="rId2" Type="http://schemas.openxmlformats.org/officeDocument/2006/relationships/numbering" Target="numbering.xml"/><Relationship Id="rId16" Type="http://schemas.openxmlformats.org/officeDocument/2006/relationships/hyperlink" Target="mailto:rendris@firstenergycorp.com" TargetMode="External"/><Relationship Id="rId20" Type="http://schemas.openxmlformats.org/officeDocument/2006/relationships/hyperlink" Target="mailto:kboehm@BKLlawfir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bethany.allen@igs.com" TargetMode="External"/><Relationship Id="rId5" Type="http://schemas.openxmlformats.org/officeDocument/2006/relationships/webSettings" Target="webSettings.xml"/><Relationship Id="rId15" Type="http://schemas.openxmlformats.org/officeDocument/2006/relationships/hyperlink" Target="mailto:dstinson@bricker.com" TargetMode="External"/><Relationship Id="rId23" Type="http://schemas.openxmlformats.org/officeDocument/2006/relationships/hyperlink" Target="mailto:paul@carpenterlipps.co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mkurtz@BKLlawfirm.com" TargetMode="External"/><Relationship Id="rId4" Type="http://schemas.openxmlformats.org/officeDocument/2006/relationships/settings" Target="settings.xml"/><Relationship Id="rId9" Type="http://schemas.openxmlformats.org/officeDocument/2006/relationships/hyperlink" Target="mailto:jrb@smxblaw.com" TargetMode="External"/><Relationship Id="rId14" Type="http://schemas.openxmlformats.org/officeDocument/2006/relationships/hyperlink" Target="mailto:gkrassen@bricker.com" TargetMode="External"/><Relationship Id="rId22" Type="http://schemas.openxmlformats.org/officeDocument/2006/relationships/hyperlink" Target="mailto:bojko@carpenterlipp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1606B-13D0-4A19-AEBA-623A96F1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2020-10-05T15:36:00Z</dcterms:created>
  <dcterms:modified xsi:type="dcterms:W3CDTF">2020-10-05T15:36:00Z</dcterms:modified>
</cp:coreProperties>
</file>