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2E2195" w:rsidRPr="0066616B" w14:paraId="46386ADF" w14:textId="77777777">
      <w:pPr>
        <w:pStyle w:val="HTMLPreformatted"/>
        <w:jc w:val="center"/>
        <w:rPr>
          <w:rFonts w:ascii="Times New Roman" w:hAnsi="Times New Roman" w:cs="Times New Roman"/>
          <w:b/>
          <w:bCs/>
          <w:sz w:val="24"/>
          <w:szCs w:val="24"/>
        </w:rPr>
      </w:pPr>
      <w:r w:rsidRPr="0066616B">
        <w:rPr>
          <w:rFonts w:ascii="Times New Roman" w:hAnsi="Times New Roman" w:cs="Times New Roman"/>
          <w:b/>
          <w:bCs/>
          <w:sz w:val="24"/>
          <w:szCs w:val="24"/>
        </w:rPr>
        <w:t>BEFORE</w:t>
      </w:r>
    </w:p>
    <w:p w:rsidR="002E2195" w:rsidRPr="0066616B" w14:paraId="7D68D456" w14:textId="77777777">
      <w:pPr>
        <w:pStyle w:val="HTMLPreformatted"/>
        <w:jc w:val="center"/>
        <w:rPr>
          <w:rFonts w:ascii="Times New Roman" w:hAnsi="Times New Roman" w:cs="Times New Roman"/>
          <w:sz w:val="24"/>
          <w:szCs w:val="24"/>
        </w:rPr>
      </w:pPr>
      <w:r w:rsidRPr="0066616B">
        <w:rPr>
          <w:rFonts w:ascii="Times New Roman" w:hAnsi="Times New Roman" w:cs="Times New Roman"/>
          <w:b/>
          <w:bCs/>
          <w:sz w:val="24"/>
          <w:szCs w:val="24"/>
        </w:rPr>
        <w:t>THE PUBLIC UTILITIES COMMISSION OF OHIO</w:t>
      </w:r>
    </w:p>
    <w:p w:rsidR="002E2195" w:rsidRPr="0066616B" w14:paraId="39A6D397" w14:textId="77777777">
      <w:pPr>
        <w:pStyle w:val="HTMLPreformatted"/>
        <w:rPr>
          <w:rFonts w:ascii="Times New Roman" w:hAnsi="Times New Roman" w:cs="Times New Roman"/>
          <w:sz w:val="24"/>
          <w:szCs w:val="24"/>
        </w:rPr>
      </w:pPr>
    </w:p>
    <w:tbl>
      <w:tblPr>
        <w:tblW w:w="8838" w:type="dxa"/>
        <w:tblInd w:w="0" w:type="dxa"/>
        <w:tblCellMar>
          <w:top w:w="0" w:type="dxa"/>
          <w:left w:w="108" w:type="dxa"/>
          <w:bottom w:w="0" w:type="dxa"/>
          <w:right w:w="108" w:type="dxa"/>
        </w:tblCellMar>
        <w:tblLook w:val="01E0"/>
      </w:tblPr>
      <w:tblGrid>
        <w:gridCol w:w="4230"/>
        <w:gridCol w:w="630"/>
        <w:gridCol w:w="3978"/>
      </w:tblGrid>
      <w:tr w14:paraId="69A228F3" w14:textId="77777777" w:rsidTr="00AE4A7E">
        <w:tblPrEx>
          <w:tblW w:w="8838" w:type="dxa"/>
          <w:tblInd w:w="0" w:type="dxa"/>
          <w:tblCellMar>
            <w:top w:w="0" w:type="dxa"/>
            <w:left w:w="108" w:type="dxa"/>
            <w:bottom w:w="0" w:type="dxa"/>
            <w:right w:w="108" w:type="dxa"/>
          </w:tblCellMar>
          <w:tblLook w:val="01E0"/>
        </w:tblPrEx>
        <w:trPr>
          <w:trHeight w:val="807"/>
        </w:trPr>
        <w:tc>
          <w:tcPr>
            <w:tcW w:w="4230" w:type="dxa"/>
            <w:shd w:val="clear" w:color="auto" w:fill="auto"/>
          </w:tcPr>
          <w:p w:rsidR="002468C0" w:rsidP="002468C0" w14:paraId="073D38BC" w14:textId="03CED575">
            <w:pPr>
              <w:autoSpaceDE w:val="0"/>
              <w:autoSpaceDN w:val="0"/>
              <w:adjustRightInd w:val="0"/>
              <w:ind w:right="-282"/>
              <w:rPr>
                <w:rStyle w:val="DefaultParagraphFont"/>
                <w:sz w:val="24"/>
                <w:szCs w:val="24"/>
                <w:lang w:val="en-US" w:eastAsia="en-US" w:bidi="ar-SA"/>
              </w:rPr>
            </w:pPr>
            <w:r w:rsidRPr="0066616B">
              <w:rPr>
                <w:sz w:val="24"/>
                <w:szCs w:val="24"/>
                <w:lang w:val="en-US" w:eastAsia="en-US" w:bidi="ar-SA"/>
              </w:rPr>
              <w:t xml:space="preserve">In the Matter of the </w:t>
            </w:r>
            <w:r w:rsidR="0079057D">
              <w:rPr>
                <w:sz w:val="24"/>
                <w:szCs w:val="24"/>
                <w:lang w:val="en-US" w:eastAsia="en-US" w:bidi="ar-SA"/>
              </w:rPr>
              <w:t xml:space="preserve">Commission’s </w:t>
            </w:r>
            <w:r w:rsidRPr="0066616B" w:rsidR="008005E5">
              <w:rPr>
                <w:sz w:val="24"/>
                <w:szCs w:val="24"/>
                <w:lang w:val="en-US" w:eastAsia="en-US" w:bidi="ar-SA"/>
              </w:rPr>
              <w:t xml:space="preserve">Review of the Distribution Investment Rider </w:t>
            </w:r>
            <w:r w:rsidR="0079057D">
              <w:rPr>
                <w:sz w:val="24"/>
                <w:szCs w:val="24"/>
                <w:lang w:val="en-US" w:eastAsia="en-US" w:bidi="ar-SA"/>
              </w:rPr>
              <w:t xml:space="preserve">Work Plan for 2024 of The Dayton </w:t>
            </w:r>
            <w:r w:rsidRPr="0066616B" w:rsidR="008005E5">
              <w:rPr>
                <w:sz w:val="24"/>
                <w:szCs w:val="24"/>
                <w:lang w:val="en-US" w:eastAsia="en-US" w:bidi="ar-SA"/>
              </w:rPr>
              <w:t xml:space="preserve">Power </w:t>
            </w:r>
            <w:r w:rsidR="0079057D">
              <w:rPr>
                <w:sz w:val="24"/>
                <w:szCs w:val="24"/>
                <w:lang w:val="en-US" w:eastAsia="en-US" w:bidi="ar-SA"/>
              </w:rPr>
              <w:t xml:space="preserve">and Light </w:t>
            </w:r>
            <w:r w:rsidRPr="0066616B" w:rsidR="008005E5">
              <w:rPr>
                <w:sz w:val="24"/>
                <w:szCs w:val="24"/>
                <w:lang w:val="en-US" w:eastAsia="en-US" w:bidi="ar-SA"/>
              </w:rPr>
              <w:t>Company</w:t>
            </w:r>
            <w:r w:rsidR="0079057D">
              <w:rPr>
                <w:sz w:val="24"/>
                <w:szCs w:val="24"/>
                <w:lang w:val="en-US" w:eastAsia="en-US" w:bidi="ar-SA"/>
              </w:rPr>
              <w:t xml:space="preserve"> d/b/a AES</w:t>
            </w:r>
            <w:r w:rsidR="00B62CF9">
              <w:rPr>
                <w:sz w:val="24"/>
                <w:szCs w:val="24"/>
                <w:lang w:val="en-US" w:eastAsia="en-US" w:bidi="ar-SA"/>
              </w:rPr>
              <w:t xml:space="preserve"> </w:t>
            </w:r>
          </w:p>
          <w:p w:rsidR="002E2195" w:rsidRPr="0066616B" w:rsidP="002468C0" w14:paraId="50101482" w14:textId="326E76CE">
            <w:pPr>
              <w:autoSpaceDE w:val="0"/>
              <w:autoSpaceDN w:val="0"/>
              <w:adjustRightInd w:val="0"/>
              <w:ind w:right="-282"/>
              <w:rPr>
                <w:rStyle w:val="DefaultParagraphFont"/>
                <w:sz w:val="24"/>
                <w:szCs w:val="24"/>
                <w:lang w:val="en-US" w:eastAsia="en-US" w:bidi="ar-SA"/>
              </w:rPr>
            </w:pPr>
            <w:r>
              <w:rPr>
                <w:sz w:val="24"/>
                <w:szCs w:val="24"/>
                <w:lang w:val="en-US" w:eastAsia="en-US" w:bidi="ar-SA"/>
              </w:rPr>
              <w:t>Ohio</w:t>
            </w:r>
            <w:r w:rsidRPr="0066616B" w:rsidR="008005E5">
              <w:rPr>
                <w:sz w:val="24"/>
                <w:szCs w:val="24"/>
                <w:lang w:val="en-US" w:eastAsia="en-US" w:bidi="ar-SA"/>
              </w:rPr>
              <w:t>.</w:t>
            </w:r>
          </w:p>
        </w:tc>
        <w:tc>
          <w:tcPr>
            <w:tcW w:w="630" w:type="dxa"/>
            <w:shd w:val="clear" w:color="auto" w:fill="auto"/>
          </w:tcPr>
          <w:p w:rsidR="002E2195" w:rsidRPr="0066616B" w14:paraId="13EF921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6616B">
              <w:rPr>
                <w:rFonts w:ascii="Times New Roman" w:eastAsia="Courier New" w:hAnsi="Times New Roman" w:cs="Times New Roman"/>
                <w:sz w:val="24"/>
                <w:szCs w:val="24"/>
                <w:lang w:val="en-US" w:eastAsia="en-US" w:bidi="ar-SA"/>
              </w:rPr>
              <w:t>)</w:t>
            </w:r>
          </w:p>
          <w:p w:rsidR="002E2195" w:rsidRPr="0066616B" w14:paraId="68C49ED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6616B">
              <w:rPr>
                <w:rFonts w:ascii="Times New Roman" w:eastAsia="Courier New" w:hAnsi="Times New Roman" w:cs="Times New Roman"/>
                <w:sz w:val="24"/>
                <w:szCs w:val="24"/>
                <w:lang w:val="en-US" w:eastAsia="en-US" w:bidi="ar-SA"/>
              </w:rPr>
              <w:t>)</w:t>
            </w:r>
          </w:p>
          <w:p w:rsidR="002E2195" w:rsidP="00574184" w14:paraId="313C198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6616B">
              <w:rPr>
                <w:rFonts w:ascii="Times New Roman" w:eastAsia="Courier New" w:hAnsi="Times New Roman" w:cs="Times New Roman"/>
                <w:sz w:val="24"/>
                <w:szCs w:val="24"/>
                <w:lang w:val="en-US" w:eastAsia="en-US" w:bidi="ar-SA"/>
              </w:rPr>
              <w:t>)</w:t>
            </w:r>
            <w:r w:rsidR="002468C0">
              <w:rPr>
                <w:rFonts w:ascii="Times New Roman" w:eastAsia="Courier New" w:hAnsi="Times New Roman" w:cs="Times New Roman"/>
                <w:sz w:val="24"/>
                <w:szCs w:val="24"/>
                <w:lang w:val="en-US" w:eastAsia="en-US" w:bidi="ar-SA"/>
              </w:rPr>
              <w:t xml:space="preserve"> </w:t>
            </w:r>
          </w:p>
          <w:p w:rsidR="002468C0" w:rsidP="00574184" w14:paraId="73C15CC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2468C0" w:rsidRPr="0066616B" w:rsidP="00574184" w14:paraId="2BBA5E14" w14:textId="5C124E6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tc>
        <w:tc>
          <w:tcPr>
            <w:tcW w:w="3978" w:type="dxa"/>
            <w:shd w:val="clear" w:color="auto" w:fill="auto"/>
          </w:tcPr>
          <w:p w:rsidR="00BD435F" w:rsidRPr="0066616B" w:rsidP="002E2195" w14:paraId="27B7DF4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2E2195" w:rsidRPr="0066616B" w:rsidP="002E2195" w14:paraId="53FCD771" w14:textId="604FEED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6616B">
              <w:rPr>
                <w:rFonts w:ascii="Times New Roman" w:eastAsia="Courier New" w:hAnsi="Times New Roman" w:cs="Times New Roman"/>
                <w:sz w:val="24"/>
                <w:szCs w:val="24"/>
                <w:lang w:val="en-US" w:eastAsia="en-US" w:bidi="ar-SA"/>
              </w:rPr>
              <w:t xml:space="preserve">Case No. </w:t>
            </w:r>
            <w:r w:rsidRPr="0066616B" w:rsidR="008005E5">
              <w:rPr>
                <w:rFonts w:ascii="Times New Roman" w:eastAsia="Courier New" w:hAnsi="Times New Roman" w:cs="Times New Roman"/>
                <w:sz w:val="24"/>
                <w:szCs w:val="24"/>
                <w:lang w:val="en-US" w:eastAsia="en-US" w:bidi="ar-SA"/>
              </w:rPr>
              <w:t>2</w:t>
            </w:r>
            <w:r w:rsidRPr="0066616B" w:rsidR="00270B40">
              <w:rPr>
                <w:rFonts w:ascii="Times New Roman" w:eastAsia="Courier New" w:hAnsi="Times New Roman" w:cs="Times New Roman"/>
                <w:sz w:val="24"/>
                <w:szCs w:val="24"/>
                <w:lang w:val="en-US" w:eastAsia="en-US" w:bidi="ar-SA"/>
              </w:rPr>
              <w:t>3-1</w:t>
            </w:r>
            <w:r w:rsidR="0079057D">
              <w:rPr>
                <w:rFonts w:ascii="Times New Roman" w:eastAsia="Courier New" w:hAnsi="Times New Roman" w:cs="Times New Roman"/>
                <w:sz w:val="24"/>
                <w:szCs w:val="24"/>
                <w:lang w:val="en-US" w:eastAsia="en-US" w:bidi="ar-SA"/>
              </w:rPr>
              <w:t>176</w:t>
            </w:r>
            <w:r w:rsidRPr="0066616B" w:rsidR="008005E5">
              <w:rPr>
                <w:rFonts w:ascii="Times New Roman" w:eastAsia="Courier New" w:hAnsi="Times New Roman" w:cs="Times New Roman"/>
                <w:sz w:val="24"/>
                <w:szCs w:val="24"/>
                <w:lang w:val="en-US" w:eastAsia="en-US" w:bidi="ar-SA"/>
              </w:rPr>
              <w:t>-EL-RDR</w:t>
            </w:r>
          </w:p>
          <w:p w:rsidR="002E2195" w:rsidRPr="0066616B" w:rsidP="002E2195" w14:paraId="25E1FC8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r>
    </w:tbl>
    <w:p w:rsidR="002E2195" w:rsidRPr="0066616B" w14:paraId="0D09E4EC" w14:textId="77777777">
      <w:pPr>
        <w:pStyle w:val="HTMLPreformatted"/>
        <w:rPr>
          <w:rFonts w:ascii="Times New Roman" w:hAnsi="Times New Roman" w:cs="Times New Roman"/>
          <w:sz w:val="24"/>
          <w:szCs w:val="24"/>
        </w:rPr>
      </w:pPr>
    </w:p>
    <w:p w:rsidR="002E2195" w:rsidRPr="0066616B" w14:paraId="4F9FE1C3" w14:textId="77777777">
      <w:pPr>
        <w:pStyle w:val="HTMLPreformatted"/>
        <w:pBdr>
          <w:top w:val="single" w:sz="12" w:space="1" w:color="auto"/>
        </w:pBdr>
        <w:rPr>
          <w:rFonts w:ascii="Times New Roman" w:hAnsi="Times New Roman" w:cs="Times New Roman"/>
          <w:sz w:val="24"/>
          <w:szCs w:val="24"/>
        </w:rPr>
      </w:pPr>
    </w:p>
    <w:p w:rsidR="00C2626D" w:rsidRPr="0066616B" w:rsidP="00C2626D" w14:paraId="43A4E03D" w14:textId="77777777">
      <w:pPr>
        <w:jc w:val="center"/>
        <w:rPr>
          <w:b/>
          <w:bCs/>
          <w:szCs w:val="24"/>
        </w:rPr>
      </w:pPr>
      <w:r w:rsidRPr="0066616B">
        <w:rPr>
          <w:b/>
          <w:bCs/>
          <w:szCs w:val="24"/>
        </w:rPr>
        <w:t>MOTION TO INTERVENE</w:t>
      </w:r>
    </w:p>
    <w:p w:rsidR="00C2626D" w:rsidRPr="0066616B" w:rsidP="00C2626D" w14:paraId="273B5B4E" w14:textId="77777777">
      <w:pPr>
        <w:jc w:val="center"/>
        <w:rPr>
          <w:b/>
          <w:bCs/>
          <w:szCs w:val="24"/>
        </w:rPr>
      </w:pPr>
      <w:r w:rsidRPr="0066616B">
        <w:rPr>
          <w:b/>
          <w:bCs/>
          <w:szCs w:val="24"/>
        </w:rPr>
        <w:t>BY</w:t>
      </w:r>
    </w:p>
    <w:p w:rsidR="00C2626D" w:rsidRPr="0066616B" w:rsidP="00C2626D" w14:paraId="2B2A7C54" w14:textId="77777777">
      <w:pPr>
        <w:jc w:val="center"/>
        <w:rPr>
          <w:b/>
          <w:bCs/>
          <w:szCs w:val="24"/>
        </w:rPr>
      </w:pPr>
      <w:r w:rsidRPr="0066616B">
        <w:rPr>
          <w:b/>
          <w:bCs/>
          <w:szCs w:val="24"/>
        </w:rPr>
        <w:t>OFFICE OF THE OHIO CONSUMERS’ COUNSEL</w:t>
      </w:r>
    </w:p>
    <w:p w:rsidR="002E2195" w:rsidRPr="0066616B" w:rsidP="004A5750" w14:paraId="17F076D0" w14:textId="77777777">
      <w:pPr>
        <w:pBdr>
          <w:bottom w:val="single" w:sz="12" w:space="1" w:color="auto"/>
        </w:pBdr>
        <w:tabs>
          <w:tab w:val="left" w:pos="4320"/>
        </w:tabs>
        <w:spacing w:after="240"/>
        <w:rPr>
          <w:szCs w:val="24"/>
        </w:rPr>
      </w:pPr>
    </w:p>
    <w:p w:rsidR="00C52F84" w:rsidP="00784F2F" w14:paraId="133941D0" w14:textId="6096F390">
      <w:pPr>
        <w:spacing w:line="480" w:lineRule="auto"/>
        <w:ind w:firstLine="720"/>
        <w:rPr>
          <w:szCs w:val="24"/>
        </w:rPr>
      </w:pPr>
      <w:r w:rsidRPr="0066616B">
        <w:rPr>
          <w:szCs w:val="24"/>
        </w:rPr>
        <w:t>AE</w:t>
      </w:r>
      <w:r w:rsidR="00FE28CF">
        <w:rPr>
          <w:szCs w:val="24"/>
        </w:rPr>
        <w:t>S</w:t>
      </w:r>
      <w:r w:rsidRPr="0066616B" w:rsidR="000325D1">
        <w:rPr>
          <w:szCs w:val="24"/>
        </w:rPr>
        <w:t xml:space="preserve"> </w:t>
      </w:r>
      <w:r w:rsidR="003729ED">
        <w:rPr>
          <w:szCs w:val="24"/>
        </w:rPr>
        <w:t xml:space="preserve">Ohio </w:t>
      </w:r>
      <w:r w:rsidR="00FE28CF">
        <w:rPr>
          <w:szCs w:val="24"/>
        </w:rPr>
        <w:t>seeks to</w:t>
      </w:r>
      <w:r w:rsidRPr="0066616B" w:rsidR="000325D1">
        <w:rPr>
          <w:szCs w:val="24"/>
        </w:rPr>
        <w:t xml:space="preserve"> charge its consumers </w:t>
      </w:r>
      <w:r w:rsidR="00FE28CF">
        <w:rPr>
          <w:szCs w:val="24"/>
        </w:rPr>
        <w:t>over $137</w:t>
      </w:r>
      <w:r w:rsidRPr="0066616B" w:rsidR="000325D1">
        <w:rPr>
          <w:szCs w:val="24"/>
        </w:rPr>
        <w:t xml:space="preserve"> million dollars </w:t>
      </w:r>
      <w:r w:rsidRPr="0066616B">
        <w:rPr>
          <w:szCs w:val="24"/>
        </w:rPr>
        <w:t>under its Distribution Investment Rider (“DIR”)</w:t>
      </w:r>
      <w:r>
        <w:rPr>
          <w:rStyle w:val="FootnoteReference"/>
          <w:szCs w:val="24"/>
        </w:rPr>
        <w:footnoteReference w:id="2"/>
      </w:r>
      <w:r w:rsidR="003729ED">
        <w:rPr>
          <w:szCs w:val="24"/>
        </w:rPr>
        <w:t xml:space="preserve"> over the course of 2024</w:t>
      </w:r>
      <w:r w:rsidRPr="0066616B">
        <w:rPr>
          <w:szCs w:val="24"/>
        </w:rPr>
        <w:t>.</w:t>
      </w:r>
      <w:r w:rsidR="000248BE">
        <w:rPr>
          <w:szCs w:val="24"/>
        </w:rPr>
        <w:t xml:space="preserve"> </w:t>
      </w:r>
      <w:r w:rsidR="00DE7D52">
        <w:rPr>
          <w:szCs w:val="24"/>
        </w:rPr>
        <w:t>That amount is $100 million more than what it was permitted to charge consumers by PUCO Order dated August 9, 2023 in Case No. 22-900-EL-SSO</w:t>
      </w:r>
      <w:r w:rsidR="0079386B">
        <w:rPr>
          <w:szCs w:val="24"/>
        </w:rPr>
        <w:t>, et al</w:t>
      </w:r>
      <w:r w:rsidR="00DE7D52">
        <w:rPr>
          <w:szCs w:val="24"/>
        </w:rPr>
        <w:t>.</w:t>
      </w:r>
      <w:r>
        <w:rPr>
          <w:rStyle w:val="FootnoteReference"/>
          <w:szCs w:val="24"/>
        </w:rPr>
        <w:footnoteReference w:id="3"/>
      </w:r>
      <w:r w:rsidR="00784F2F">
        <w:rPr>
          <w:szCs w:val="24"/>
        </w:rPr>
        <w:t xml:space="preserve"> And though AES Ohio claims the DIR is “</w:t>
      </w:r>
      <w:r w:rsidR="00784F2F">
        <w:t>part of AES Ohio's strategic focus on reliability”</w:t>
      </w:r>
      <w:r>
        <w:rPr>
          <w:rStyle w:val="FootnoteReference"/>
        </w:rPr>
        <w:footnoteReference w:id="4"/>
      </w:r>
      <w:r w:rsidR="00784F2F">
        <w:t xml:space="preserve"> $73 million would be charged to </w:t>
      </w:r>
      <w:r w:rsidR="00372DDE">
        <w:rPr>
          <w:szCs w:val="24"/>
        </w:rPr>
        <w:t>existing DP&amp;L consumers for distribution and transformer investment to support economic development or accommodate new growth customers in the territory.</w:t>
      </w:r>
      <w:r>
        <w:rPr>
          <w:rStyle w:val="FootnoteReference"/>
          <w:szCs w:val="24"/>
        </w:rPr>
        <w:footnoteReference w:id="5"/>
      </w:r>
      <w:r w:rsidR="00B62CF9">
        <w:rPr>
          <w:szCs w:val="24"/>
        </w:rPr>
        <w:t xml:space="preserve"> </w:t>
      </w:r>
      <w:r w:rsidR="00784F2F">
        <w:rPr>
          <w:szCs w:val="24"/>
        </w:rPr>
        <w:t>Ironically, this is the company who hasn’t been able to supply reliable service to its existing consumers over the past four years, but wants to roll out the red carpet for new consumers, with existing customers paying more.</w:t>
      </w:r>
      <w:r w:rsidR="0079386B">
        <w:rPr>
          <w:szCs w:val="24"/>
        </w:rPr>
        <w:t xml:space="preserve"> </w:t>
      </w:r>
      <w:r w:rsidR="00784F2F">
        <w:rPr>
          <w:szCs w:val="24"/>
        </w:rPr>
        <w:t xml:space="preserve">That problem aside, DP&amp;L’s Work </w:t>
      </w:r>
      <w:r w:rsidR="00784F2F">
        <w:rPr>
          <w:szCs w:val="24"/>
        </w:rPr>
        <w:t>plan lists lots of project that do not event have a budget assigned to them.</w:t>
      </w:r>
      <w:r w:rsidR="00B62CF9">
        <w:rPr>
          <w:szCs w:val="24"/>
        </w:rPr>
        <w:t xml:space="preserve"> </w:t>
      </w:r>
      <w:r w:rsidR="00784F2F">
        <w:rPr>
          <w:szCs w:val="24"/>
        </w:rPr>
        <w:t>This spells trouble for DP&amp;L consumers who would have to pay for it all.</w:t>
      </w:r>
      <w:r w:rsidR="00B62CF9">
        <w:rPr>
          <w:szCs w:val="24"/>
        </w:rPr>
        <w:t xml:space="preserve"> </w:t>
      </w:r>
    </w:p>
    <w:p w:rsidR="00555BD4" w:rsidRPr="0066616B" w:rsidP="00555BD4" w14:paraId="5BFFC36A" w14:textId="6B51C5BD">
      <w:pPr>
        <w:spacing w:line="480" w:lineRule="auto"/>
        <w:ind w:firstLine="720"/>
        <w:rPr>
          <w:color w:val="000000"/>
          <w:szCs w:val="24"/>
        </w:rPr>
      </w:pPr>
      <w:r w:rsidRPr="0066616B">
        <w:rPr>
          <w:szCs w:val="24"/>
        </w:rPr>
        <w:t xml:space="preserve">It is imperative that </w:t>
      </w:r>
      <w:r w:rsidR="0087704D">
        <w:rPr>
          <w:szCs w:val="24"/>
        </w:rPr>
        <w:t>AES Ohio</w:t>
      </w:r>
      <w:r w:rsidRPr="0066616B">
        <w:rPr>
          <w:szCs w:val="24"/>
        </w:rPr>
        <w:t>’s 202</w:t>
      </w:r>
      <w:r w:rsidR="00B71F18">
        <w:rPr>
          <w:szCs w:val="24"/>
        </w:rPr>
        <w:t>4</w:t>
      </w:r>
      <w:r w:rsidRPr="0066616B">
        <w:rPr>
          <w:szCs w:val="24"/>
        </w:rPr>
        <w:t xml:space="preserve"> </w:t>
      </w:r>
      <w:r w:rsidR="00B71F18">
        <w:rPr>
          <w:szCs w:val="24"/>
        </w:rPr>
        <w:t>proposed DIR</w:t>
      </w:r>
      <w:r w:rsidRPr="0066616B">
        <w:rPr>
          <w:szCs w:val="24"/>
        </w:rPr>
        <w:t xml:space="preserve"> spending is thoroughly </w:t>
      </w:r>
      <w:r w:rsidR="00B71F18">
        <w:rPr>
          <w:szCs w:val="24"/>
        </w:rPr>
        <w:t xml:space="preserve">reviewed to protect consumers from </w:t>
      </w:r>
      <w:r w:rsidR="00A01A4F">
        <w:rPr>
          <w:szCs w:val="24"/>
        </w:rPr>
        <w:t xml:space="preserve">excessive or misdirected spending which does not resolve </w:t>
      </w:r>
      <w:r w:rsidR="00B71F18">
        <w:rPr>
          <w:szCs w:val="24"/>
        </w:rPr>
        <w:t xml:space="preserve">the repeated service reliability shortfalls that AES </w:t>
      </w:r>
      <w:r w:rsidR="00A01A4F">
        <w:rPr>
          <w:szCs w:val="24"/>
        </w:rPr>
        <w:t xml:space="preserve">Ohio </w:t>
      </w:r>
      <w:r w:rsidR="00B71F18">
        <w:rPr>
          <w:szCs w:val="24"/>
        </w:rPr>
        <w:t>has subjected them to over the last several years</w:t>
      </w:r>
      <w:r w:rsidRPr="0066616B">
        <w:rPr>
          <w:szCs w:val="24"/>
        </w:rPr>
        <w:t>.</w:t>
      </w:r>
      <w:r w:rsidR="000248BE">
        <w:rPr>
          <w:szCs w:val="24"/>
        </w:rPr>
        <w:t xml:space="preserve"> </w:t>
      </w:r>
      <w:r w:rsidRPr="0066616B" w:rsidR="00990A62">
        <w:rPr>
          <w:szCs w:val="24"/>
        </w:rPr>
        <w:t>The</w:t>
      </w:r>
      <w:r w:rsidR="002B1AF4">
        <w:rPr>
          <w:szCs w:val="24"/>
        </w:rPr>
        <w:t xml:space="preserve"> PUCO’s</w:t>
      </w:r>
      <w:r w:rsidRPr="0066616B" w:rsidR="00990A62">
        <w:rPr>
          <w:szCs w:val="24"/>
        </w:rPr>
        <w:t xml:space="preserve"> </w:t>
      </w:r>
      <w:r w:rsidR="00B71F18">
        <w:rPr>
          <w:szCs w:val="24"/>
        </w:rPr>
        <w:t>review</w:t>
      </w:r>
      <w:r w:rsidRPr="0066616B" w:rsidR="00990A62">
        <w:rPr>
          <w:szCs w:val="24"/>
        </w:rPr>
        <w:t xml:space="preserve"> should </w:t>
      </w:r>
      <w:r w:rsidRPr="0066616B" w:rsidR="00D17059">
        <w:rPr>
          <w:szCs w:val="24"/>
        </w:rPr>
        <w:t xml:space="preserve">confirm </w:t>
      </w:r>
      <w:r w:rsidR="00A01A4F">
        <w:rPr>
          <w:szCs w:val="24"/>
        </w:rPr>
        <w:t xml:space="preserve">that any proposed </w:t>
      </w:r>
      <w:r w:rsidR="00B71F18">
        <w:rPr>
          <w:szCs w:val="24"/>
        </w:rPr>
        <w:t>DIR charges to</w:t>
      </w:r>
      <w:r w:rsidRPr="0066616B" w:rsidR="001C5755">
        <w:rPr>
          <w:szCs w:val="24"/>
        </w:rPr>
        <w:t xml:space="preserve"> </w:t>
      </w:r>
      <w:r w:rsidRPr="0066616B" w:rsidR="004A3F52">
        <w:rPr>
          <w:szCs w:val="24"/>
        </w:rPr>
        <w:t xml:space="preserve">consumers </w:t>
      </w:r>
      <w:r w:rsidR="00B71F18">
        <w:rPr>
          <w:szCs w:val="24"/>
        </w:rPr>
        <w:t xml:space="preserve">are </w:t>
      </w:r>
      <w:r w:rsidRPr="0066616B" w:rsidR="006E17B2">
        <w:rPr>
          <w:szCs w:val="24"/>
        </w:rPr>
        <w:t>just</w:t>
      </w:r>
      <w:r w:rsidR="00056687">
        <w:rPr>
          <w:szCs w:val="24"/>
        </w:rPr>
        <w:t>,</w:t>
      </w:r>
      <w:r w:rsidRPr="0066616B" w:rsidR="006E17B2">
        <w:rPr>
          <w:szCs w:val="24"/>
        </w:rPr>
        <w:t xml:space="preserve"> reasonable</w:t>
      </w:r>
      <w:r w:rsidR="00B71F18">
        <w:rPr>
          <w:szCs w:val="24"/>
        </w:rPr>
        <w:t>,</w:t>
      </w:r>
      <w:r w:rsidRPr="0066616B" w:rsidR="000B78DB">
        <w:rPr>
          <w:szCs w:val="24"/>
        </w:rPr>
        <w:t xml:space="preserve"> </w:t>
      </w:r>
      <w:r w:rsidR="00056687">
        <w:rPr>
          <w:szCs w:val="24"/>
        </w:rPr>
        <w:t xml:space="preserve">do not exceed the PUCO set caps, </w:t>
      </w:r>
      <w:r w:rsidRPr="0066616B" w:rsidR="000B78DB">
        <w:rPr>
          <w:szCs w:val="24"/>
        </w:rPr>
        <w:t xml:space="preserve">and </w:t>
      </w:r>
      <w:r w:rsidR="00B71F18">
        <w:rPr>
          <w:szCs w:val="24"/>
        </w:rPr>
        <w:t xml:space="preserve">will </w:t>
      </w:r>
      <w:r w:rsidRPr="0066616B" w:rsidR="000B78DB">
        <w:rPr>
          <w:szCs w:val="24"/>
        </w:rPr>
        <w:t>result in meaningful and measurable improvements in electric service reliability.</w:t>
      </w:r>
      <w:r w:rsidR="000248BE">
        <w:rPr>
          <w:szCs w:val="24"/>
        </w:rPr>
        <w:t xml:space="preserve"> </w:t>
      </w:r>
      <w:r w:rsidR="00EB27E1">
        <w:rPr>
          <w:szCs w:val="24"/>
        </w:rPr>
        <w:t>The PUCO’s review should also include an assessment of cost responsibility for the various projects, including economic development projects which represent more than half of the DIR expenditures the utility wants to charge its consumers.</w:t>
      </w:r>
      <w:r w:rsidR="00B62CF9">
        <w:rPr>
          <w:szCs w:val="24"/>
        </w:rPr>
        <w:t xml:space="preserve"> </w:t>
      </w:r>
      <w:r w:rsidR="00B71F18">
        <w:rPr>
          <w:szCs w:val="24"/>
        </w:rPr>
        <w:t>T</w:t>
      </w:r>
      <w:r w:rsidRPr="0066616B" w:rsidR="000B78DB">
        <w:rPr>
          <w:szCs w:val="24"/>
        </w:rPr>
        <w:t xml:space="preserve">he </w:t>
      </w:r>
      <w:r w:rsidR="00B71F18">
        <w:rPr>
          <w:szCs w:val="24"/>
        </w:rPr>
        <w:t>review</w:t>
      </w:r>
      <w:r w:rsidRPr="0066616B" w:rsidR="000B78DB">
        <w:rPr>
          <w:szCs w:val="24"/>
        </w:rPr>
        <w:t xml:space="preserve"> should </w:t>
      </w:r>
      <w:r w:rsidR="00056687">
        <w:rPr>
          <w:szCs w:val="24"/>
        </w:rPr>
        <w:t xml:space="preserve">also </w:t>
      </w:r>
      <w:r w:rsidRPr="0066616B" w:rsidR="000B78DB">
        <w:rPr>
          <w:szCs w:val="24"/>
        </w:rPr>
        <w:t xml:space="preserve">confirm </w:t>
      </w:r>
      <w:r w:rsidRPr="0066616B" w:rsidR="00675C12">
        <w:rPr>
          <w:szCs w:val="24"/>
        </w:rPr>
        <w:t xml:space="preserve">that </w:t>
      </w:r>
      <w:r w:rsidR="00B26846">
        <w:rPr>
          <w:szCs w:val="24"/>
        </w:rPr>
        <w:t>AES O</w:t>
      </w:r>
      <w:r w:rsidR="002B1AF4">
        <w:rPr>
          <w:szCs w:val="24"/>
        </w:rPr>
        <w:t>hio</w:t>
      </w:r>
      <w:r w:rsidRPr="0066616B" w:rsidR="00675C12">
        <w:rPr>
          <w:szCs w:val="24"/>
        </w:rPr>
        <w:t xml:space="preserve"> is providing </w:t>
      </w:r>
      <w:r w:rsidRPr="0066616B" w:rsidR="006F067B">
        <w:rPr>
          <w:szCs w:val="24"/>
        </w:rPr>
        <w:t>a service</w:t>
      </w:r>
      <w:r w:rsidRPr="0066616B" w:rsidR="00675C12">
        <w:rPr>
          <w:szCs w:val="24"/>
        </w:rPr>
        <w:t xml:space="preserve"> to </w:t>
      </w:r>
      <w:r w:rsidR="00EB27E1">
        <w:rPr>
          <w:szCs w:val="24"/>
        </w:rPr>
        <w:t xml:space="preserve">its </w:t>
      </w:r>
      <w:r w:rsidRPr="0066616B" w:rsidR="00675C12">
        <w:rPr>
          <w:szCs w:val="24"/>
        </w:rPr>
        <w:t xml:space="preserve">consumers that is adequate </w:t>
      </w:r>
      <w:r w:rsidRPr="0066616B" w:rsidR="00773907">
        <w:rPr>
          <w:szCs w:val="24"/>
        </w:rPr>
        <w:t>and, in all respects,</w:t>
      </w:r>
      <w:r w:rsidRPr="0066616B" w:rsidR="00675C12">
        <w:rPr>
          <w:szCs w:val="24"/>
        </w:rPr>
        <w:t xml:space="preserve"> just and reasonable</w:t>
      </w:r>
      <w:r w:rsidRPr="0066616B" w:rsidR="00BE4776">
        <w:rPr>
          <w:szCs w:val="24"/>
        </w:rPr>
        <w:t>, a</w:t>
      </w:r>
      <w:r w:rsidRPr="0066616B" w:rsidR="004A3F52">
        <w:rPr>
          <w:color w:val="000000"/>
          <w:szCs w:val="24"/>
        </w:rPr>
        <w:t xml:space="preserve">s </w:t>
      </w:r>
      <w:r w:rsidRPr="0066616B" w:rsidR="00A32FBC">
        <w:rPr>
          <w:color w:val="000000"/>
          <w:szCs w:val="24"/>
        </w:rPr>
        <w:t>required by R.C. 4905.22.</w:t>
      </w:r>
      <w:r w:rsidRPr="0066616B" w:rsidR="00DD478F">
        <w:rPr>
          <w:color w:val="000000"/>
          <w:szCs w:val="24"/>
        </w:rPr>
        <w:t xml:space="preserve"> </w:t>
      </w:r>
    </w:p>
    <w:p w:rsidR="00BF57BA" w:rsidP="00467CF6" w14:paraId="4417108E" w14:textId="33D66F57">
      <w:pPr>
        <w:spacing w:line="480" w:lineRule="auto"/>
        <w:ind w:firstLine="720"/>
        <w:rPr>
          <w:szCs w:val="24"/>
        </w:rPr>
      </w:pPr>
      <w:r w:rsidRPr="0066616B">
        <w:rPr>
          <w:color w:val="000000"/>
          <w:szCs w:val="24"/>
        </w:rPr>
        <w:t xml:space="preserve"> </w:t>
      </w:r>
      <w:r w:rsidRPr="0066616B">
        <w:rPr>
          <w:szCs w:val="24"/>
        </w:rPr>
        <w:t>OCC</w:t>
      </w:r>
      <w:r w:rsidRPr="0066616B" w:rsidR="002E2195">
        <w:rPr>
          <w:szCs w:val="24"/>
        </w:rPr>
        <w:t xml:space="preserve"> </w:t>
      </w:r>
      <w:r w:rsidRPr="0066616B">
        <w:rPr>
          <w:szCs w:val="24"/>
        </w:rPr>
        <w:t>is</w:t>
      </w:r>
      <w:r w:rsidRPr="0066616B" w:rsidR="002E2195">
        <w:rPr>
          <w:szCs w:val="24"/>
        </w:rPr>
        <w:t xml:space="preserve"> </w:t>
      </w:r>
      <w:r w:rsidRPr="0066616B" w:rsidR="000325D1">
        <w:rPr>
          <w:szCs w:val="24"/>
        </w:rPr>
        <w:t>moving to intervene</w:t>
      </w:r>
      <w:r>
        <w:rPr>
          <w:rStyle w:val="FootnoteReference"/>
          <w:szCs w:val="24"/>
        </w:rPr>
        <w:footnoteReference w:id="6"/>
      </w:r>
      <w:r w:rsidRPr="0066616B" w:rsidR="000325D1">
        <w:rPr>
          <w:szCs w:val="24"/>
        </w:rPr>
        <w:t xml:space="preserve"> </w:t>
      </w:r>
      <w:r w:rsidRPr="0066616B" w:rsidR="002E2195">
        <w:rPr>
          <w:szCs w:val="24"/>
        </w:rPr>
        <w:t xml:space="preserve">on behalf of </w:t>
      </w:r>
      <w:r w:rsidRPr="0066616B" w:rsidR="009C08D1">
        <w:rPr>
          <w:szCs w:val="24"/>
        </w:rPr>
        <w:t>AE</w:t>
      </w:r>
      <w:r w:rsidR="00FE28CF">
        <w:rPr>
          <w:szCs w:val="24"/>
        </w:rPr>
        <w:t>S Ohio</w:t>
      </w:r>
      <w:r w:rsidRPr="0066616B" w:rsidR="009C08D1">
        <w:rPr>
          <w:szCs w:val="24"/>
        </w:rPr>
        <w:t>’s</w:t>
      </w:r>
      <w:r w:rsidRPr="0066616B" w:rsidR="00A936A9">
        <w:rPr>
          <w:szCs w:val="24"/>
        </w:rPr>
        <w:t xml:space="preserve"> </w:t>
      </w:r>
      <w:r w:rsidR="00D35145">
        <w:rPr>
          <w:szCs w:val="24"/>
        </w:rPr>
        <w:t xml:space="preserve">approximately </w:t>
      </w:r>
      <w:r w:rsidR="00FE28CF">
        <w:rPr>
          <w:szCs w:val="24"/>
        </w:rPr>
        <w:t>479,000</w:t>
      </w:r>
      <w:r w:rsidRPr="0066616B" w:rsidR="009C08D1">
        <w:rPr>
          <w:szCs w:val="24"/>
        </w:rPr>
        <w:t xml:space="preserve"> </w:t>
      </w:r>
      <w:r w:rsidRPr="0066616B">
        <w:rPr>
          <w:szCs w:val="24"/>
        </w:rPr>
        <w:t>residential electric consumers</w:t>
      </w:r>
      <w:r w:rsidRPr="0066616B" w:rsidR="004F1D33">
        <w:rPr>
          <w:szCs w:val="24"/>
        </w:rPr>
        <w:t>.</w:t>
      </w:r>
      <w:r w:rsidRPr="0066616B" w:rsidR="002E2195">
        <w:rPr>
          <w:szCs w:val="24"/>
        </w:rPr>
        <w:t xml:space="preserve"> The reasons the PUCO should grant </w:t>
      </w:r>
      <w:r w:rsidRPr="0066616B">
        <w:rPr>
          <w:szCs w:val="24"/>
        </w:rPr>
        <w:t>OCC’s</w:t>
      </w:r>
      <w:r w:rsidRPr="0066616B" w:rsidR="002E2195">
        <w:rPr>
          <w:szCs w:val="24"/>
        </w:rPr>
        <w:t xml:space="preserve"> Motion are further set forth in the attached Memorandum in Support. </w:t>
      </w:r>
    </w:p>
    <w:p w:rsidR="009435EA" w14:paraId="37FF77B5" w14:textId="77777777">
      <w:pPr>
        <w:rPr>
          <w:szCs w:val="24"/>
        </w:rPr>
      </w:pPr>
      <w:r>
        <w:rPr>
          <w:szCs w:val="24"/>
        </w:rPr>
        <w:br w:type="page"/>
      </w:r>
    </w:p>
    <w:p w:rsidR="002E2195" w:rsidRPr="0066616B" w:rsidP="00957AD4" w14:paraId="75F2A1A5" w14:textId="3D3F146D">
      <w:pPr>
        <w:spacing w:line="480" w:lineRule="auto"/>
        <w:ind w:left="3960" w:firstLine="360"/>
        <w:rPr>
          <w:szCs w:val="24"/>
        </w:rPr>
      </w:pPr>
      <w:r w:rsidRPr="0066616B">
        <w:rPr>
          <w:szCs w:val="24"/>
        </w:rPr>
        <w:t>Respectfully submitted,</w:t>
      </w:r>
    </w:p>
    <w:p w:rsidR="00270B40" w:rsidRPr="0066616B" w:rsidP="00270B40" w14:paraId="120FCE07" w14:textId="77777777">
      <w:pPr>
        <w:ind w:left="4320"/>
        <w:rPr>
          <w:szCs w:val="24"/>
        </w:rPr>
      </w:pPr>
      <w:r w:rsidRPr="0066616B">
        <w:rPr>
          <w:szCs w:val="24"/>
        </w:rPr>
        <w:t>Maureen R. Willis (0020847)</w:t>
      </w:r>
    </w:p>
    <w:p w:rsidR="00270B40" w:rsidRPr="0066616B" w:rsidP="00270B40" w14:paraId="035FA755" w14:textId="77777777">
      <w:pPr>
        <w:ind w:left="4320"/>
        <w:rPr>
          <w:szCs w:val="24"/>
        </w:rPr>
      </w:pPr>
      <w:r w:rsidRPr="0066616B">
        <w:rPr>
          <w:szCs w:val="24"/>
        </w:rPr>
        <w:t>Ohio Consumers’ Counsel</w:t>
      </w:r>
    </w:p>
    <w:p w:rsidR="00270B40" w:rsidRPr="0066616B" w:rsidP="00270B40" w14:paraId="07A31D1F" w14:textId="77777777">
      <w:pPr>
        <w:ind w:left="4320"/>
        <w:rPr>
          <w:szCs w:val="24"/>
        </w:rPr>
      </w:pPr>
    </w:p>
    <w:p w:rsidR="00270B40" w:rsidRPr="0066616B" w:rsidP="00270B40" w14:paraId="17A0D0B2" w14:textId="3D3FD988">
      <w:pPr>
        <w:ind w:left="4320"/>
        <w:rPr>
          <w:i/>
          <w:iCs/>
          <w:szCs w:val="24"/>
          <w:u w:val="single"/>
        </w:rPr>
      </w:pPr>
      <w:r w:rsidRPr="0066616B">
        <w:rPr>
          <w:i/>
          <w:iCs/>
          <w:szCs w:val="24"/>
          <w:u w:val="single"/>
        </w:rPr>
        <w:t xml:space="preserve">/s/ </w:t>
      </w:r>
      <w:r w:rsidR="00BE5381">
        <w:rPr>
          <w:i/>
          <w:iCs/>
          <w:szCs w:val="24"/>
          <w:u w:val="single"/>
        </w:rPr>
        <w:t>John Finnigan</w:t>
      </w:r>
    </w:p>
    <w:p w:rsidR="00270B40" w:rsidRPr="0066616B" w:rsidP="00270B40" w14:paraId="0F72EEC2" w14:textId="738EECBD">
      <w:pPr>
        <w:ind w:left="4320"/>
        <w:rPr>
          <w:szCs w:val="24"/>
        </w:rPr>
      </w:pPr>
      <w:r>
        <w:rPr>
          <w:szCs w:val="24"/>
        </w:rPr>
        <w:t>John Finnigan</w:t>
      </w:r>
      <w:r w:rsidRPr="0066616B">
        <w:rPr>
          <w:szCs w:val="24"/>
        </w:rPr>
        <w:t xml:space="preserve"> (00</w:t>
      </w:r>
      <w:r>
        <w:rPr>
          <w:szCs w:val="24"/>
        </w:rPr>
        <w:t>18689</w:t>
      </w:r>
      <w:r w:rsidRPr="0066616B">
        <w:rPr>
          <w:szCs w:val="24"/>
        </w:rPr>
        <w:t>)</w:t>
      </w:r>
    </w:p>
    <w:p w:rsidR="00270B40" w:rsidRPr="0066616B" w:rsidP="00270B40" w14:paraId="473E3924" w14:textId="77777777">
      <w:pPr>
        <w:ind w:left="4320"/>
        <w:rPr>
          <w:szCs w:val="24"/>
        </w:rPr>
      </w:pPr>
      <w:r w:rsidRPr="0066616B">
        <w:rPr>
          <w:szCs w:val="24"/>
        </w:rPr>
        <w:t>Counsel of Record</w:t>
      </w:r>
    </w:p>
    <w:p w:rsidR="006F1233" w:rsidRPr="00E5365E" w:rsidP="006F1233" w14:paraId="2B6C6839" w14:textId="77777777">
      <w:pPr>
        <w:ind w:left="4320"/>
        <w:rPr>
          <w:szCs w:val="24"/>
        </w:rPr>
      </w:pPr>
      <w:r>
        <w:rPr>
          <w:szCs w:val="24"/>
        </w:rPr>
        <w:t>Thomas Brodbeck</w:t>
      </w:r>
      <w:r w:rsidRPr="00E5365E">
        <w:rPr>
          <w:szCs w:val="24"/>
        </w:rPr>
        <w:t xml:space="preserve"> (00</w:t>
      </w:r>
      <w:r>
        <w:rPr>
          <w:szCs w:val="24"/>
        </w:rPr>
        <w:t>93920</w:t>
      </w:r>
      <w:r w:rsidRPr="00E5365E">
        <w:rPr>
          <w:szCs w:val="24"/>
        </w:rPr>
        <w:t>)</w:t>
      </w:r>
      <w:r w:rsidRPr="00E5365E">
        <w:rPr>
          <w:szCs w:val="24"/>
        </w:rPr>
        <w:tab/>
      </w:r>
    </w:p>
    <w:p w:rsidR="006F1233" w:rsidRPr="0066616B" w:rsidP="006F1233" w14:paraId="78E71F35" w14:textId="77777777">
      <w:pPr>
        <w:ind w:left="4320"/>
        <w:rPr>
          <w:szCs w:val="24"/>
        </w:rPr>
      </w:pPr>
      <w:r w:rsidRPr="00E5365E">
        <w:rPr>
          <w:szCs w:val="24"/>
        </w:rPr>
        <w:t>Assistant Consumers’ Counsel</w:t>
      </w:r>
    </w:p>
    <w:p w:rsidR="006F1233" w:rsidRPr="0066616B" w:rsidP="006F1233" w14:paraId="55A51F8D" w14:textId="77777777">
      <w:pPr>
        <w:ind w:left="4320"/>
        <w:rPr>
          <w:szCs w:val="24"/>
        </w:rPr>
      </w:pPr>
    </w:p>
    <w:p w:rsidR="006F1233" w:rsidRPr="0066616B" w:rsidP="006F1233" w14:paraId="3AB84242" w14:textId="77777777">
      <w:pPr>
        <w:ind w:left="4320"/>
        <w:rPr>
          <w:b/>
          <w:bCs/>
          <w:szCs w:val="24"/>
        </w:rPr>
      </w:pPr>
      <w:r w:rsidRPr="0066616B">
        <w:rPr>
          <w:b/>
          <w:bCs/>
          <w:szCs w:val="24"/>
        </w:rPr>
        <w:t>Office of the Ohio Consumers' Counsel</w:t>
      </w:r>
    </w:p>
    <w:p w:rsidR="006F1233" w:rsidRPr="0066616B" w:rsidP="006F1233" w14:paraId="49D2B63E" w14:textId="77777777">
      <w:pPr>
        <w:ind w:left="4320"/>
        <w:rPr>
          <w:szCs w:val="24"/>
        </w:rPr>
      </w:pPr>
      <w:r w:rsidRPr="0066616B">
        <w:rPr>
          <w:szCs w:val="24"/>
        </w:rPr>
        <w:t>65 East State Street, Suite 700</w:t>
      </w:r>
    </w:p>
    <w:p w:rsidR="006F1233" w:rsidRPr="0066616B" w:rsidP="006F1233" w14:paraId="33A64151" w14:textId="77777777">
      <w:pPr>
        <w:ind w:left="4320"/>
        <w:rPr>
          <w:szCs w:val="24"/>
        </w:rPr>
      </w:pPr>
      <w:r w:rsidRPr="0066616B">
        <w:rPr>
          <w:szCs w:val="24"/>
        </w:rPr>
        <w:t>Columbus, Ohio 43215</w:t>
      </w:r>
    </w:p>
    <w:p w:rsidR="006F1233" w:rsidRPr="0066616B" w:rsidP="006F1233" w14:paraId="0C247D45" w14:textId="77777777">
      <w:pPr>
        <w:ind w:left="4320"/>
        <w:rPr>
          <w:szCs w:val="24"/>
        </w:rPr>
      </w:pPr>
      <w:r w:rsidRPr="0066616B">
        <w:rPr>
          <w:szCs w:val="24"/>
        </w:rPr>
        <w:t>Telephone: [</w:t>
      </w:r>
      <w:r>
        <w:rPr>
          <w:szCs w:val="24"/>
        </w:rPr>
        <w:t>Finnigan</w:t>
      </w:r>
      <w:r w:rsidRPr="0066616B">
        <w:rPr>
          <w:szCs w:val="24"/>
        </w:rPr>
        <w:t>] (614) 466-</w:t>
      </w:r>
      <w:r>
        <w:rPr>
          <w:szCs w:val="24"/>
        </w:rPr>
        <w:t>9585</w:t>
      </w:r>
    </w:p>
    <w:p w:rsidR="006F1233" w:rsidRPr="0066616B" w:rsidP="006F1233" w14:paraId="6EE6866C" w14:textId="77777777">
      <w:pPr>
        <w:ind w:left="4320"/>
        <w:rPr>
          <w:szCs w:val="24"/>
        </w:rPr>
      </w:pPr>
      <w:r w:rsidRPr="00E5365E">
        <w:rPr>
          <w:szCs w:val="24"/>
        </w:rPr>
        <w:t>Telephone [</w:t>
      </w:r>
      <w:r>
        <w:rPr>
          <w:szCs w:val="24"/>
        </w:rPr>
        <w:t>Brodbeck</w:t>
      </w:r>
      <w:r w:rsidRPr="00E5365E">
        <w:rPr>
          <w:szCs w:val="24"/>
        </w:rPr>
        <w:t>] (614) 466-95</w:t>
      </w:r>
      <w:r>
        <w:rPr>
          <w:szCs w:val="24"/>
        </w:rPr>
        <w:t>65</w:t>
      </w:r>
    </w:p>
    <w:p w:rsidR="006F1233" w:rsidRPr="0066616B" w:rsidP="006F1233" w14:paraId="1CBFCC95" w14:textId="77777777">
      <w:pPr>
        <w:ind w:left="4320"/>
        <w:rPr>
          <w:szCs w:val="24"/>
        </w:rPr>
      </w:pPr>
      <w:hyperlink r:id="rId6" w:history="1">
        <w:r w:rsidRPr="008B0F8A" w:rsidR="00841501">
          <w:rPr>
            <w:rStyle w:val="Hyperlink"/>
            <w:szCs w:val="24"/>
          </w:rPr>
          <w:t>john.finnigan@occ.ohio.gov</w:t>
        </w:r>
      </w:hyperlink>
    </w:p>
    <w:p w:rsidR="006F1233" w:rsidP="006F1233" w14:paraId="0518209D" w14:textId="77777777">
      <w:pPr>
        <w:ind w:left="4320"/>
        <w:rPr>
          <w:szCs w:val="24"/>
        </w:rPr>
      </w:pPr>
      <w:hyperlink r:id="rId7" w:history="1">
        <w:r w:rsidRPr="00114088" w:rsidR="00841501">
          <w:rPr>
            <w:rStyle w:val="Hyperlink"/>
            <w:szCs w:val="24"/>
          </w:rPr>
          <w:t>Thomas.broadbeck@occ.ohio.gov</w:t>
        </w:r>
      </w:hyperlink>
    </w:p>
    <w:p w:rsidR="006F1233" w:rsidRPr="0066616B" w:rsidP="006F1233" w14:paraId="09A7C828" w14:textId="77777777">
      <w:pPr>
        <w:ind w:left="4320"/>
        <w:rPr>
          <w:szCs w:val="24"/>
        </w:rPr>
      </w:pPr>
      <w:r w:rsidRPr="0066616B">
        <w:rPr>
          <w:szCs w:val="24"/>
        </w:rPr>
        <w:t>(willing to accept service by e-mail)</w:t>
      </w:r>
    </w:p>
    <w:p w:rsidR="00270B40" w:rsidRPr="0066616B" w:rsidP="00270B40" w14:paraId="6FC334DF" w14:textId="77777777">
      <w:pPr>
        <w:ind w:left="4320"/>
        <w:rPr>
          <w:szCs w:val="24"/>
        </w:rPr>
      </w:pPr>
    </w:p>
    <w:p w:rsidR="00957AD4" w:rsidRPr="0066616B" w14:paraId="6193FDB7" w14:textId="77777777">
      <w:pPr>
        <w:rPr>
          <w:rFonts w:eastAsia="Courier New"/>
          <w:b/>
          <w:bCs/>
          <w:szCs w:val="24"/>
        </w:rPr>
        <w:sectPr w:rsidSect="00660A6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65"/>
        </w:sectPr>
      </w:pPr>
    </w:p>
    <w:p w:rsidR="002E2195" w:rsidRPr="0066616B" w14:paraId="668C1BF8" w14:textId="2ED04E8B">
      <w:pPr>
        <w:pStyle w:val="HTMLPreformatted"/>
        <w:jc w:val="center"/>
        <w:rPr>
          <w:rFonts w:ascii="Times New Roman" w:hAnsi="Times New Roman" w:cs="Times New Roman"/>
          <w:b/>
          <w:bCs/>
          <w:sz w:val="24"/>
          <w:szCs w:val="24"/>
        </w:rPr>
      </w:pPr>
      <w:r w:rsidRPr="0066616B">
        <w:rPr>
          <w:rFonts w:ascii="Times New Roman" w:hAnsi="Times New Roman" w:cs="Times New Roman"/>
          <w:b/>
          <w:bCs/>
          <w:sz w:val="24"/>
          <w:szCs w:val="24"/>
        </w:rPr>
        <w:t>BEFORE</w:t>
      </w:r>
    </w:p>
    <w:p w:rsidR="002E2195" w:rsidRPr="0066616B" w14:paraId="2819D808" w14:textId="77777777">
      <w:pPr>
        <w:pStyle w:val="HTMLPreformatted"/>
        <w:jc w:val="center"/>
        <w:rPr>
          <w:rFonts w:ascii="Times New Roman" w:hAnsi="Times New Roman" w:cs="Times New Roman"/>
          <w:sz w:val="24"/>
          <w:szCs w:val="24"/>
        </w:rPr>
      </w:pPr>
      <w:r w:rsidRPr="0066616B">
        <w:rPr>
          <w:rFonts w:ascii="Times New Roman" w:hAnsi="Times New Roman" w:cs="Times New Roman"/>
          <w:b/>
          <w:bCs/>
          <w:sz w:val="24"/>
          <w:szCs w:val="24"/>
        </w:rPr>
        <w:t>THE PUBLIC UTILITIES COMMISSION OF OHIO</w:t>
      </w:r>
    </w:p>
    <w:p w:rsidR="002E2195" w:rsidRPr="0066616B" w14:paraId="028163B5" w14:textId="77777777">
      <w:pPr>
        <w:pStyle w:val="HTMLPreformatted"/>
        <w:rPr>
          <w:rFonts w:ascii="Times New Roman" w:hAnsi="Times New Roman" w:cs="Times New Roman"/>
          <w:sz w:val="24"/>
          <w:szCs w:val="24"/>
        </w:rPr>
      </w:pPr>
    </w:p>
    <w:tbl>
      <w:tblPr>
        <w:tblW w:w="8838" w:type="dxa"/>
        <w:tblInd w:w="0" w:type="dxa"/>
        <w:tblCellMar>
          <w:top w:w="0" w:type="dxa"/>
          <w:left w:w="108" w:type="dxa"/>
          <w:bottom w:w="0" w:type="dxa"/>
          <w:right w:w="108" w:type="dxa"/>
        </w:tblCellMar>
        <w:tblLook w:val="01E0"/>
      </w:tblPr>
      <w:tblGrid>
        <w:gridCol w:w="4230"/>
        <w:gridCol w:w="630"/>
        <w:gridCol w:w="3978"/>
      </w:tblGrid>
      <w:tr w14:paraId="4A889D0B" w14:textId="77777777" w:rsidTr="00F477FC">
        <w:tblPrEx>
          <w:tblW w:w="8838" w:type="dxa"/>
          <w:tblInd w:w="0" w:type="dxa"/>
          <w:tblCellMar>
            <w:top w:w="0" w:type="dxa"/>
            <w:left w:w="108" w:type="dxa"/>
            <w:bottom w:w="0" w:type="dxa"/>
            <w:right w:w="108" w:type="dxa"/>
          </w:tblCellMar>
          <w:tblLook w:val="01E0"/>
        </w:tblPrEx>
        <w:trPr>
          <w:trHeight w:val="807"/>
        </w:trPr>
        <w:tc>
          <w:tcPr>
            <w:tcW w:w="4230" w:type="dxa"/>
            <w:shd w:val="clear" w:color="auto" w:fill="auto"/>
          </w:tcPr>
          <w:p w:rsidR="00AF58B6" w:rsidRPr="0066616B" w:rsidP="00AF58B6" w14:paraId="5465D020" w14:textId="410C3A56">
            <w:pPr>
              <w:autoSpaceDE w:val="0"/>
              <w:autoSpaceDN w:val="0"/>
              <w:adjustRightInd w:val="0"/>
              <w:rPr>
                <w:rStyle w:val="DefaultParagraphFont"/>
                <w:sz w:val="24"/>
                <w:szCs w:val="24"/>
                <w:lang w:val="en-US" w:eastAsia="en-US" w:bidi="ar-SA"/>
              </w:rPr>
            </w:pPr>
            <w:r w:rsidRPr="0066616B">
              <w:rPr>
                <w:sz w:val="24"/>
                <w:szCs w:val="24"/>
                <w:lang w:val="en-US" w:eastAsia="en-US" w:bidi="ar-SA"/>
              </w:rPr>
              <w:t xml:space="preserve">In the Matter of the </w:t>
            </w:r>
            <w:r>
              <w:rPr>
                <w:sz w:val="24"/>
                <w:szCs w:val="24"/>
                <w:lang w:val="en-US" w:eastAsia="en-US" w:bidi="ar-SA"/>
              </w:rPr>
              <w:t xml:space="preserve">Commission’s </w:t>
            </w:r>
            <w:r w:rsidRPr="0066616B">
              <w:rPr>
                <w:sz w:val="24"/>
                <w:szCs w:val="24"/>
                <w:lang w:val="en-US" w:eastAsia="en-US" w:bidi="ar-SA"/>
              </w:rPr>
              <w:t xml:space="preserve">Review of the Distribution Investment Rider </w:t>
            </w:r>
            <w:r>
              <w:rPr>
                <w:sz w:val="24"/>
                <w:szCs w:val="24"/>
                <w:lang w:val="en-US" w:eastAsia="en-US" w:bidi="ar-SA"/>
              </w:rPr>
              <w:t xml:space="preserve">Work Plan for 2024 of The Dayton </w:t>
            </w:r>
            <w:r w:rsidRPr="0066616B">
              <w:rPr>
                <w:sz w:val="24"/>
                <w:szCs w:val="24"/>
                <w:lang w:val="en-US" w:eastAsia="en-US" w:bidi="ar-SA"/>
              </w:rPr>
              <w:t xml:space="preserve">Power </w:t>
            </w:r>
            <w:r>
              <w:rPr>
                <w:sz w:val="24"/>
                <w:szCs w:val="24"/>
                <w:lang w:val="en-US" w:eastAsia="en-US" w:bidi="ar-SA"/>
              </w:rPr>
              <w:t xml:space="preserve">and Light </w:t>
            </w:r>
            <w:r w:rsidRPr="0066616B">
              <w:rPr>
                <w:sz w:val="24"/>
                <w:szCs w:val="24"/>
                <w:lang w:val="en-US" w:eastAsia="en-US" w:bidi="ar-SA"/>
              </w:rPr>
              <w:t>Company</w:t>
            </w:r>
            <w:r>
              <w:rPr>
                <w:sz w:val="24"/>
                <w:szCs w:val="24"/>
                <w:lang w:val="en-US" w:eastAsia="en-US" w:bidi="ar-SA"/>
              </w:rPr>
              <w:t xml:space="preserve"> d/b/a AES Ohio</w:t>
            </w:r>
            <w:r w:rsidRPr="0066616B">
              <w:rPr>
                <w:sz w:val="24"/>
                <w:szCs w:val="24"/>
                <w:lang w:val="en-US" w:eastAsia="en-US" w:bidi="ar-SA"/>
              </w:rPr>
              <w:t>.</w:t>
            </w:r>
          </w:p>
        </w:tc>
        <w:tc>
          <w:tcPr>
            <w:tcW w:w="630" w:type="dxa"/>
            <w:shd w:val="clear" w:color="auto" w:fill="auto"/>
          </w:tcPr>
          <w:p w:rsidR="00AF58B6" w:rsidRPr="0066616B" w:rsidP="00AF58B6" w14:paraId="26029D5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6616B">
              <w:rPr>
                <w:rFonts w:ascii="Times New Roman" w:eastAsia="Courier New" w:hAnsi="Times New Roman" w:cs="Times New Roman"/>
                <w:sz w:val="24"/>
                <w:szCs w:val="24"/>
                <w:lang w:val="en-US" w:eastAsia="en-US" w:bidi="ar-SA"/>
              </w:rPr>
              <w:t>)</w:t>
            </w:r>
          </w:p>
          <w:p w:rsidR="00AF58B6" w:rsidRPr="0066616B" w:rsidP="00AF58B6" w14:paraId="4D5C026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6616B">
              <w:rPr>
                <w:rFonts w:ascii="Times New Roman" w:eastAsia="Courier New" w:hAnsi="Times New Roman" w:cs="Times New Roman"/>
                <w:sz w:val="24"/>
                <w:szCs w:val="24"/>
                <w:lang w:val="en-US" w:eastAsia="en-US" w:bidi="ar-SA"/>
              </w:rPr>
              <w:t>)</w:t>
            </w:r>
          </w:p>
          <w:p w:rsidR="00AF58B6" w:rsidP="00AF58B6" w14:paraId="27FA737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6616B">
              <w:rPr>
                <w:rFonts w:ascii="Times New Roman" w:eastAsia="Courier New" w:hAnsi="Times New Roman" w:cs="Times New Roman"/>
                <w:sz w:val="24"/>
                <w:szCs w:val="24"/>
                <w:lang w:val="en-US" w:eastAsia="en-US" w:bidi="ar-SA"/>
              </w:rPr>
              <w:t>)</w:t>
            </w:r>
          </w:p>
          <w:p w:rsidR="002468C0" w:rsidP="00AF58B6" w14:paraId="5D59D0C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2468C0" w:rsidRPr="0066616B" w:rsidP="00AF58B6" w14:paraId="37C8AF0A" w14:textId="59AACA9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tc>
        <w:tc>
          <w:tcPr>
            <w:tcW w:w="3978" w:type="dxa"/>
            <w:shd w:val="clear" w:color="auto" w:fill="auto"/>
          </w:tcPr>
          <w:p w:rsidR="00AF58B6" w:rsidRPr="0066616B" w:rsidP="00AF58B6" w14:paraId="7648F2B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AF58B6" w:rsidRPr="0066616B" w:rsidP="00AF58B6" w14:paraId="67953A1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6616B">
              <w:rPr>
                <w:rFonts w:ascii="Times New Roman" w:eastAsia="Courier New" w:hAnsi="Times New Roman" w:cs="Times New Roman"/>
                <w:sz w:val="24"/>
                <w:szCs w:val="24"/>
                <w:lang w:val="en-US" w:eastAsia="en-US" w:bidi="ar-SA"/>
              </w:rPr>
              <w:t>Case No. 23-1</w:t>
            </w:r>
            <w:r>
              <w:rPr>
                <w:rFonts w:ascii="Times New Roman" w:eastAsia="Courier New" w:hAnsi="Times New Roman" w:cs="Times New Roman"/>
                <w:sz w:val="24"/>
                <w:szCs w:val="24"/>
                <w:lang w:val="en-US" w:eastAsia="en-US" w:bidi="ar-SA"/>
              </w:rPr>
              <w:t>176</w:t>
            </w:r>
            <w:r w:rsidRPr="0066616B">
              <w:rPr>
                <w:rFonts w:ascii="Times New Roman" w:eastAsia="Courier New" w:hAnsi="Times New Roman" w:cs="Times New Roman"/>
                <w:sz w:val="24"/>
                <w:szCs w:val="24"/>
                <w:lang w:val="en-US" w:eastAsia="en-US" w:bidi="ar-SA"/>
              </w:rPr>
              <w:t>-EL-RDR</w:t>
            </w:r>
          </w:p>
          <w:p w:rsidR="00AF58B6" w:rsidRPr="0066616B" w:rsidP="00AF58B6" w14:paraId="7947976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r>
    </w:tbl>
    <w:p w:rsidR="002E2195" w:rsidRPr="0066616B" w14:paraId="2B8415DD" w14:textId="77777777">
      <w:pPr>
        <w:pStyle w:val="Heading2"/>
        <w:pBdr>
          <w:bottom w:val="single" w:sz="12" w:space="1" w:color="auto"/>
        </w:pBdr>
        <w:jc w:val="left"/>
        <w:rPr>
          <w:b w:val="0"/>
          <w:szCs w:val="24"/>
        </w:rPr>
      </w:pPr>
    </w:p>
    <w:p w:rsidR="002E2195" w:rsidRPr="0066616B" w14:paraId="05477F0E" w14:textId="77777777">
      <w:pPr>
        <w:pStyle w:val="Heading2"/>
        <w:rPr>
          <w:szCs w:val="24"/>
        </w:rPr>
      </w:pPr>
    </w:p>
    <w:p w:rsidR="002E2195" w:rsidRPr="0066616B" w:rsidP="00187E1D" w14:paraId="22E1DF4E" w14:textId="77777777">
      <w:pPr>
        <w:pStyle w:val="Heading2"/>
        <w:pBdr>
          <w:bottom w:val="single" w:sz="12" w:space="1" w:color="auto"/>
        </w:pBdr>
        <w:spacing w:after="240"/>
        <w:rPr>
          <w:szCs w:val="24"/>
        </w:rPr>
      </w:pPr>
      <w:r w:rsidRPr="0066616B">
        <w:rPr>
          <w:szCs w:val="24"/>
        </w:rPr>
        <w:t>MEMORANDUM IN SUPPORT</w:t>
      </w:r>
      <w:r w:rsidRPr="0066616B">
        <w:rPr>
          <w:szCs w:val="24"/>
        </w:rPr>
        <w:br/>
      </w:r>
    </w:p>
    <w:p w:rsidR="00EB27E1" w:rsidP="002E2195" w14:paraId="2C1518C8" w14:textId="43DD7394">
      <w:pPr>
        <w:pStyle w:val="BodyTextIndent3"/>
        <w:suppressAutoHyphens/>
        <w:spacing w:line="480" w:lineRule="auto"/>
        <w:rPr>
          <w:szCs w:val="24"/>
        </w:rPr>
      </w:pPr>
      <w:r w:rsidRPr="0066616B">
        <w:rPr>
          <w:szCs w:val="24"/>
        </w:rPr>
        <w:t>Ohio law (R.C. 4905.22) guarantees c</w:t>
      </w:r>
      <w:r w:rsidRPr="0066616B" w:rsidR="004A3F52">
        <w:rPr>
          <w:szCs w:val="24"/>
        </w:rPr>
        <w:t xml:space="preserve">onsumers </w:t>
      </w:r>
      <w:r w:rsidRPr="0066616B" w:rsidR="004A3F52">
        <w:rPr>
          <w:color w:val="000000"/>
          <w:szCs w:val="24"/>
        </w:rPr>
        <w:t>adequate utility service</w:t>
      </w:r>
      <w:r w:rsidRPr="0066616B" w:rsidR="009909EA">
        <w:rPr>
          <w:color w:val="000000"/>
          <w:szCs w:val="24"/>
        </w:rPr>
        <w:t xml:space="preserve"> at just and reasonable rates</w:t>
      </w:r>
      <w:r w:rsidRPr="0066616B" w:rsidR="004A3F52">
        <w:rPr>
          <w:color w:val="000000"/>
          <w:szCs w:val="24"/>
        </w:rPr>
        <w:t>.</w:t>
      </w:r>
      <w:r w:rsidRPr="0066616B" w:rsidR="006537B2">
        <w:rPr>
          <w:color w:val="000000"/>
          <w:szCs w:val="24"/>
        </w:rPr>
        <w:t xml:space="preserve"> </w:t>
      </w:r>
      <w:r w:rsidRPr="00D35145" w:rsidR="00D35145">
        <w:rPr>
          <w:szCs w:val="24"/>
        </w:rPr>
        <w:t xml:space="preserve">In this matter, </w:t>
      </w:r>
      <w:r w:rsidR="002B1AF4">
        <w:rPr>
          <w:szCs w:val="24"/>
        </w:rPr>
        <w:t xml:space="preserve">the PUCO will </w:t>
      </w:r>
      <w:r w:rsidRPr="00D35145" w:rsidR="00D35145">
        <w:rPr>
          <w:szCs w:val="24"/>
        </w:rPr>
        <w:t>review AES Ohio’s proposed 2024 DIR spending.</w:t>
      </w:r>
      <w:r w:rsidR="002B1AF4">
        <w:rPr>
          <w:szCs w:val="24"/>
        </w:rPr>
        <w:t xml:space="preserve"> </w:t>
      </w:r>
      <w:r w:rsidR="000F13E3">
        <w:rPr>
          <w:szCs w:val="24"/>
        </w:rPr>
        <w:t>AES Ohio claims the DIR is “</w:t>
      </w:r>
      <w:r w:rsidR="000F13E3">
        <w:t xml:space="preserve">part of AES Ohio's strategic focus on reliability and will address recovery related to specific distribution assets through </w:t>
      </w:r>
      <w:r w:rsidR="000F13E3">
        <w:rPr>
          <w:szCs w:val="24"/>
        </w:rPr>
        <w:t>charges to consumers.</w:t>
      </w:r>
      <w:r>
        <w:rPr>
          <w:rStyle w:val="FootnoteReference"/>
          <w:szCs w:val="24"/>
        </w:rPr>
        <w:footnoteReference w:id="7"/>
      </w:r>
      <w:r w:rsidRPr="00D35145" w:rsidR="00D35145">
        <w:rPr>
          <w:szCs w:val="24"/>
        </w:rPr>
        <w:t xml:space="preserve"> All</w:t>
      </w:r>
      <w:r w:rsidR="000248BE">
        <w:rPr>
          <w:szCs w:val="24"/>
        </w:rPr>
        <w:t xml:space="preserve"> </w:t>
      </w:r>
      <w:r w:rsidRPr="00D35145" w:rsidR="00D35145">
        <w:rPr>
          <w:szCs w:val="24"/>
        </w:rPr>
        <w:t>of</w:t>
      </w:r>
      <w:r w:rsidR="008A2EAB">
        <w:rPr>
          <w:szCs w:val="24"/>
        </w:rPr>
        <w:t xml:space="preserve"> this</w:t>
      </w:r>
      <w:r w:rsidRPr="00D35145" w:rsidR="00D35145">
        <w:rPr>
          <w:szCs w:val="24"/>
        </w:rPr>
        <w:t xml:space="preserve"> </w:t>
      </w:r>
      <w:r w:rsidR="009435EA">
        <w:rPr>
          <w:szCs w:val="24"/>
        </w:rPr>
        <w:t>so-called</w:t>
      </w:r>
      <w:r>
        <w:rPr>
          <w:szCs w:val="24"/>
        </w:rPr>
        <w:t xml:space="preserve"> </w:t>
      </w:r>
      <w:r w:rsidR="000F13E3">
        <w:rPr>
          <w:szCs w:val="24"/>
        </w:rPr>
        <w:t xml:space="preserve">reliability related </w:t>
      </w:r>
      <w:r w:rsidRPr="00D35145" w:rsidR="00D35145">
        <w:rPr>
          <w:szCs w:val="24"/>
        </w:rPr>
        <w:t>spending is charged to consumers through the DIR</w:t>
      </w:r>
      <w:r w:rsidR="008A2EAB">
        <w:rPr>
          <w:szCs w:val="24"/>
        </w:rPr>
        <w:t>.</w:t>
      </w:r>
    </w:p>
    <w:p w:rsidR="00686434" w:rsidRPr="0066616B" w:rsidP="002E2195" w14:paraId="6FBF6D69" w14:textId="027C542A">
      <w:pPr>
        <w:pStyle w:val="BodyTextIndent3"/>
        <w:suppressAutoHyphens/>
        <w:spacing w:line="480" w:lineRule="auto"/>
        <w:rPr>
          <w:szCs w:val="24"/>
        </w:rPr>
      </w:pPr>
      <w:r>
        <w:rPr>
          <w:szCs w:val="24"/>
        </w:rPr>
        <w:t xml:space="preserve"> </w:t>
      </w:r>
      <w:r w:rsidRPr="00D35145" w:rsidR="00D35145">
        <w:rPr>
          <w:szCs w:val="24"/>
        </w:rPr>
        <w:t xml:space="preserve">It is imperative that this proposed spending be thoroughly reviewed to protect consumers from excessive or misdirected spending and to ensure progress towards the resolution of AES Ohio’s repeated service reliability shortfalls. </w:t>
      </w:r>
      <w:r w:rsidRPr="00D35145" w:rsidR="00157FF7">
        <w:rPr>
          <w:szCs w:val="24"/>
        </w:rPr>
        <w:t>OCC</w:t>
      </w:r>
      <w:r w:rsidRPr="00D35145" w:rsidR="003B5F36">
        <w:rPr>
          <w:szCs w:val="24"/>
        </w:rPr>
        <w:t xml:space="preserve"> seek</w:t>
      </w:r>
      <w:r w:rsidRPr="00D35145" w:rsidR="00157FF7">
        <w:rPr>
          <w:szCs w:val="24"/>
        </w:rPr>
        <w:t>s</w:t>
      </w:r>
      <w:r w:rsidRPr="00D35145" w:rsidR="003B5F36">
        <w:rPr>
          <w:szCs w:val="24"/>
        </w:rPr>
        <w:t xml:space="preserve"> consumer protection for </w:t>
      </w:r>
      <w:r w:rsidRPr="00D35145" w:rsidR="00B26846">
        <w:rPr>
          <w:szCs w:val="24"/>
        </w:rPr>
        <w:t>AES O</w:t>
      </w:r>
      <w:r w:rsidRPr="00D35145" w:rsidR="00D35145">
        <w:rPr>
          <w:szCs w:val="24"/>
        </w:rPr>
        <w:t>hio</w:t>
      </w:r>
      <w:r w:rsidRPr="00D35145" w:rsidR="009C08D1">
        <w:rPr>
          <w:szCs w:val="24"/>
        </w:rPr>
        <w:t>’</w:t>
      </w:r>
      <w:r w:rsidRPr="00D35145" w:rsidR="00514776">
        <w:rPr>
          <w:szCs w:val="24"/>
        </w:rPr>
        <w:t>s</w:t>
      </w:r>
      <w:r w:rsidRPr="00D35145" w:rsidR="00157FF7">
        <w:rPr>
          <w:szCs w:val="24"/>
        </w:rPr>
        <w:t xml:space="preserve"> approximately </w:t>
      </w:r>
      <w:r w:rsidRPr="00D35145" w:rsidR="00D35145">
        <w:rPr>
          <w:szCs w:val="24"/>
        </w:rPr>
        <w:t>479,000 residential electric consumers</w:t>
      </w:r>
      <w:r w:rsidRPr="00D35145" w:rsidR="00AF0A13">
        <w:rPr>
          <w:szCs w:val="24"/>
        </w:rPr>
        <w:t xml:space="preserve"> by interven</w:t>
      </w:r>
      <w:r w:rsidRPr="00D35145" w:rsidR="00BE4776">
        <w:rPr>
          <w:szCs w:val="24"/>
        </w:rPr>
        <w:t>ing</w:t>
      </w:r>
      <w:r w:rsidRPr="00D35145" w:rsidR="00AF0A13">
        <w:rPr>
          <w:szCs w:val="24"/>
        </w:rPr>
        <w:t xml:space="preserve"> in this proceeding</w:t>
      </w:r>
      <w:r w:rsidRPr="00D35145" w:rsidR="00157FF7">
        <w:rPr>
          <w:szCs w:val="24"/>
        </w:rPr>
        <w:t>.</w:t>
      </w:r>
      <w:r w:rsidRPr="004B0951" w:rsidR="004B0951">
        <w:rPr>
          <w:szCs w:val="24"/>
        </w:rPr>
        <w:t xml:space="preserve"> </w:t>
      </w:r>
      <w:r w:rsidR="004B0951">
        <w:rPr>
          <w:szCs w:val="24"/>
        </w:rPr>
        <w:t>The PUCO’s review should also include an assessment of cost responsibility for the various projects, including economic development projects which represent more than half of the DIR expenditures the utility wants to charge its consumers.</w:t>
      </w:r>
      <w:r w:rsidR="00B62CF9">
        <w:rPr>
          <w:szCs w:val="24"/>
        </w:rPr>
        <w:t xml:space="preserve"> </w:t>
      </w:r>
    </w:p>
    <w:p w:rsidR="002E2195" w:rsidRPr="0066616B" w:rsidP="002E2195" w14:paraId="1DD54431" w14:textId="1B93AE47">
      <w:pPr>
        <w:pStyle w:val="BodyTextIndent3"/>
        <w:suppressAutoHyphens/>
        <w:spacing w:line="480" w:lineRule="auto"/>
        <w:rPr>
          <w:szCs w:val="24"/>
        </w:rPr>
      </w:pPr>
      <w:r w:rsidRPr="0066616B">
        <w:rPr>
          <w:szCs w:val="24"/>
        </w:rPr>
        <w:t xml:space="preserve">R.C. 4903.221 provides, in part, that any person “who may be adversely affected” by a PUCO proceeding is entitled to seek intervention in that proceeding. The interests of </w:t>
      </w:r>
      <w:r w:rsidR="00B26846">
        <w:rPr>
          <w:szCs w:val="24"/>
        </w:rPr>
        <w:t>AES O</w:t>
      </w:r>
      <w:r w:rsidR="00BE5381">
        <w:rPr>
          <w:szCs w:val="24"/>
        </w:rPr>
        <w:t>hio</w:t>
      </w:r>
      <w:r w:rsidRPr="0066616B" w:rsidR="00387688">
        <w:rPr>
          <w:szCs w:val="24"/>
        </w:rPr>
        <w:t>’s</w:t>
      </w:r>
      <w:r w:rsidRPr="0066616B">
        <w:rPr>
          <w:szCs w:val="24"/>
        </w:rPr>
        <w:t xml:space="preserve"> residential </w:t>
      </w:r>
      <w:r w:rsidRPr="0066616B" w:rsidR="000F2BFE">
        <w:rPr>
          <w:szCs w:val="24"/>
        </w:rPr>
        <w:t>consumer</w:t>
      </w:r>
      <w:r w:rsidRPr="0066616B">
        <w:rPr>
          <w:szCs w:val="24"/>
        </w:rPr>
        <w:t xml:space="preserve">s may be “adversely affected” by this case </w:t>
      </w:r>
      <w:r w:rsidRPr="0066616B" w:rsidR="007D63A9">
        <w:rPr>
          <w:szCs w:val="24"/>
        </w:rPr>
        <w:t>where</w:t>
      </w:r>
      <w:r w:rsidRPr="0066616B" w:rsidR="00524C67">
        <w:rPr>
          <w:szCs w:val="24"/>
        </w:rPr>
        <w:t xml:space="preserve"> </w:t>
      </w:r>
      <w:r w:rsidR="00B26846">
        <w:rPr>
          <w:szCs w:val="24"/>
        </w:rPr>
        <w:t>AES O</w:t>
      </w:r>
      <w:r w:rsidR="00BE5381">
        <w:rPr>
          <w:szCs w:val="24"/>
        </w:rPr>
        <w:t>hio</w:t>
      </w:r>
      <w:r w:rsidRPr="0066616B" w:rsidR="00382EFE">
        <w:rPr>
          <w:szCs w:val="24"/>
        </w:rPr>
        <w:t xml:space="preserve">’s </w:t>
      </w:r>
      <w:r w:rsidR="007607CB">
        <w:rPr>
          <w:szCs w:val="24"/>
        </w:rPr>
        <w:t xml:space="preserve">proposed </w:t>
      </w:r>
      <w:r w:rsidRPr="0066616B" w:rsidR="00382EFE">
        <w:rPr>
          <w:szCs w:val="24"/>
        </w:rPr>
        <w:t xml:space="preserve">spending </w:t>
      </w:r>
      <w:r w:rsidR="007607CB">
        <w:rPr>
          <w:szCs w:val="24"/>
        </w:rPr>
        <w:t>under the DIR</w:t>
      </w:r>
      <w:r w:rsidRPr="0066616B" w:rsidR="00382EFE">
        <w:rPr>
          <w:szCs w:val="24"/>
        </w:rPr>
        <w:t xml:space="preserve"> is being </w:t>
      </w:r>
      <w:r w:rsidR="007607CB">
        <w:rPr>
          <w:szCs w:val="24"/>
        </w:rPr>
        <w:t xml:space="preserve">reviewed, potentially dramatically increased, and will be </w:t>
      </w:r>
      <w:r w:rsidR="00BE5381">
        <w:rPr>
          <w:szCs w:val="24"/>
        </w:rPr>
        <w:t xml:space="preserve">charged </w:t>
      </w:r>
      <w:r w:rsidR="007607CB">
        <w:rPr>
          <w:szCs w:val="24"/>
        </w:rPr>
        <w:t xml:space="preserve">directly </w:t>
      </w:r>
      <w:r w:rsidR="00BE5381">
        <w:rPr>
          <w:szCs w:val="24"/>
        </w:rPr>
        <w:t xml:space="preserve">to </w:t>
      </w:r>
      <w:r w:rsidR="007607CB">
        <w:rPr>
          <w:szCs w:val="24"/>
        </w:rPr>
        <w:t>consumers</w:t>
      </w:r>
      <w:r w:rsidRPr="0066616B" w:rsidR="00604016">
        <w:rPr>
          <w:szCs w:val="24"/>
        </w:rPr>
        <w:t>.</w:t>
      </w:r>
      <w:r w:rsidR="000248BE">
        <w:rPr>
          <w:szCs w:val="24"/>
        </w:rPr>
        <w:t xml:space="preserve"> </w:t>
      </w:r>
      <w:r w:rsidRPr="0066616B">
        <w:rPr>
          <w:szCs w:val="24"/>
        </w:rPr>
        <w:t xml:space="preserve">Thus, this element of the intervention standard in R.C. 4903.221 is satisfied. </w:t>
      </w:r>
    </w:p>
    <w:p w:rsidR="002E2195" w:rsidRPr="0066616B" w:rsidP="002E2195" w14:paraId="19A5C6C6" w14:textId="31F25F81">
      <w:pPr>
        <w:suppressAutoHyphens/>
        <w:spacing w:line="480" w:lineRule="auto"/>
        <w:ind w:firstLine="720"/>
        <w:rPr>
          <w:szCs w:val="24"/>
        </w:rPr>
      </w:pPr>
      <w:r w:rsidRPr="0066616B">
        <w:rPr>
          <w:szCs w:val="24"/>
        </w:rPr>
        <w:t>R.C. 4903.221(B) requires the PUCO to consider the following criteria in ruling on motions to intervene:</w:t>
      </w:r>
    </w:p>
    <w:p w:rsidR="002E2195" w:rsidRPr="0066616B" w:rsidP="000C573E" w14:paraId="07C74B89" w14:textId="77777777">
      <w:pPr>
        <w:tabs>
          <w:tab w:val="left" w:pos="1530"/>
        </w:tabs>
        <w:ind w:left="1440" w:right="720" w:hanging="720"/>
        <w:rPr>
          <w:szCs w:val="24"/>
        </w:rPr>
      </w:pPr>
      <w:r w:rsidRPr="0066616B">
        <w:rPr>
          <w:szCs w:val="24"/>
        </w:rPr>
        <w:t>(1)</w:t>
      </w:r>
      <w:r w:rsidRPr="0066616B">
        <w:rPr>
          <w:szCs w:val="24"/>
        </w:rPr>
        <w:tab/>
        <w:t>The nature and extent of the prospective intervenor’s interest;</w:t>
      </w:r>
    </w:p>
    <w:p w:rsidR="002E2195" w:rsidRPr="0066616B" w:rsidP="000C573E" w14:paraId="03A983B1" w14:textId="77777777">
      <w:pPr>
        <w:tabs>
          <w:tab w:val="left" w:pos="1530"/>
        </w:tabs>
        <w:spacing w:before="240"/>
        <w:ind w:left="1440" w:right="720" w:hanging="720"/>
        <w:rPr>
          <w:szCs w:val="24"/>
        </w:rPr>
      </w:pPr>
      <w:r w:rsidRPr="0066616B">
        <w:rPr>
          <w:szCs w:val="24"/>
        </w:rPr>
        <w:t>(2)</w:t>
      </w:r>
      <w:r w:rsidRPr="0066616B">
        <w:rPr>
          <w:szCs w:val="24"/>
        </w:rPr>
        <w:tab/>
        <w:t>The legal position advanced by the prospective intervenor and its probable relation to the merits of the case;</w:t>
      </w:r>
    </w:p>
    <w:p w:rsidR="002E2195" w:rsidRPr="0066616B" w:rsidP="000C573E" w14:paraId="192DC444" w14:textId="24CBB884">
      <w:pPr>
        <w:tabs>
          <w:tab w:val="left" w:pos="1530"/>
        </w:tabs>
        <w:spacing w:before="240"/>
        <w:ind w:left="1440" w:right="720" w:hanging="720"/>
        <w:rPr>
          <w:szCs w:val="24"/>
        </w:rPr>
      </w:pPr>
      <w:r w:rsidRPr="0066616B">
        <w:rPr>
          <w:szCs w:val="24"/>
        </w:rPr>
        <w:t>(3)</w:t>
      </w:r>
      <w:r w:rsidRPr="0066616B">
        <w:rPr>
          <w:szCs w:val="24"/>
        </w:rPr>
        <w:tab/>
        <w:t xml:space="preserve">Whether the intervention by the prospective intervenor will unduly prolong or delay the proceedings; </w:t>
      </w:r>
      <w:r w:rsidRPr="0066616B" w:rsidR="000C573E">
        <w:rPr>
          <w:szCs w:val="24"/>
        </w:rPr>
        <w:t>and</w:t>
      </w:r>
    </w:p>
    <w:p w:rsidR="002E2195" w:rsidRPr="0066616B" w:rsidP="000C573E" w14:paraId="0BCF2991" w14:textId="77777777">
      <w:pPr>
        <w:pStyle w:val="BodyTextIndent2"/>
        <w:tabs>
          <w:tab w:val="clear" w:pos="720"/>
          <w:tab w:val="left" w:pos="1530"/>
        </w:tabs>
        <w:ind w:left="1440" w:right="720" w:hanging="720"/>
        <w:rPr>
          <w:szCs w:val="24"/>
        </w:rPr>
      </w:pPr>
      <w:r w:rsidRPr="0066616B">
        <w:rPr>
          <w:szCs w:val="24"/>
        </w:rPr>
        <w:t>(4)</w:t>
      </w:r>
      <w:r w:rsidRPr="0066616B">
        <w:rPr>
          <w:szCs w:val="24"/>
        </w:rPr>
        <w:tab/>
        <w:t>Whether the prospective intervenor will significantly contribute to full development and equitable resolution of the factual issues.</w:t>
      </w:r>
    </w:p>
    <w:p w:rsidR="002E2195" w:rsidRPr="0066616B" w:rsidP="002E2195" w14:paraId="257A5062" w14:textId="4B6CF50D">
      <w:pPr>
        <w:pStyle w:val="BodyTextIndent3"/>
        <w:suppressAutoHyphens/>
        <w:spacing w:line="480" w:lineRule="auto"/>
        <w:rPr>
          <w:szCs w:val="24"/>
        </w:rPr>
      </w:pPr>
      <w:r w:rsidRPr="0066616B">
        <w:rPr>
          <w:szCs w:val="24"/>
        </w:rPr>
        <w:t xml:space="preserve">First, the nature and extent of </w:t>
      </w:r>
      <w:r w:rsidRPr="0066616B" w:rsidR="00524C67">
        <w:rPr>
          <w:szCs w:val="24"/>
        </w:rPr>
        <w:t>OCC</w:t>
      </w:r>
      <w:r w:rsidRPr="0066616B" w:rsidR="00604016">
        <w:rPr>
          <w:szCs w:val="24"/>
        </w:rPr>
        <w:t>’</w:t>
      </w:r>
      <w:r w:rsidRPr="0066616B" w:rsidR="00524C67">
        <w:rPr>
          <w:szCs w:val="24"/>
        </w:rPr>
        <w:t>s</w:t>
      </w:r>
      <w:r w:rsidRPr="0066616B">
        <w:rPr>
          <w:szCs w:val="24"/>
        </w:rPr>
        <w:t xml:space="preserve"> interest is representing </w:t>
      </w:r>
      <w:r w:rsidR="00B26846">
        <w:rPr>
          <w:szCs w:val="24"/>
        </w:rPr>
        <w:t>AES O</w:t>
      </w:r>
      <w:r w:rsidR="00BE5381">
        <w:rPr>
          <w:szCs w:val="24"/>
        </w:rPr>
        <w:t>hio</w:t>
      </w:r>
      <w:r w:rsidRPr="0066616B" w:rsidR="00BE4776">
        <w:rPr>
          <w:szCs w:val="24"/>
        </w:rPr>
        <w:t>’s</w:t>
      </w:r>
      <w:r w:rsidRPr="0066616B" w:rsidR="00F56F3B">
        <w:rPr>
          <w:szCs w:val="24"/>
        </w:rPr>
        <w:t xml:space="preserve"> </w:t>
      </w:r>
      <w:r w:rsidRPr="0066616B">
        <w:rPr>
          <w:szCs w:val="24"/>
        </w:rPr>
        <w:t xml:space="preserve">residential </w:t>
      </w:r>
      <w:r w:rsidRPr="0066616B" w:rsidR="00F56F3B">
        <w:rPr>
          <w:szCs w:val="24"/>
        </w:rPr>
        <w:t xml:space="preserve">utility </w:t>
      </w:r>
      <w:r w:rsidRPr="0066616B">
        <w:rPr>
          <w:szCs w:val="24"/>
        </w:rPr>
        <w:t>c</w:t>
      </w:r>
      <w:r w:rsidRPr="0066616B" w:rsidR="00DE51F6">
        <w:rPr>
          <w:szCs w:val="24"/>
        </w:rPr>
        <w:t>onsumers</w:t>
      </w:r>
      <w:r w:rsidRPr="0066616B">
        <w:rPr>
          <w:szCs w:val="24"/>
        </w:rPr>
        <w:t xml:space="preserve"> </w:t>
      </w:r>
      <w:r w:rsidRPr="0066616B" w:rsidR="00EF537C">
        <w:rPr>
          <w:szCs w:val="24"/>
        </w:rPr>
        <w:t xml:space="preserve">where </w:t>
      </w:r>
      <w:r w:rsidR="003C2ACA">
        <w:rPr>
          <w:szCs w:val="24"/>
        </w:rPr>
        <w:t>AES O</w:t>
      </w:r>
      <w:r w:rsidR="00BE5381">
        <w:rPr>
          <w:szCs w:val="24"/>
        </w:rPr>
        <w:t>hio</w:t>
      </w:r>
      <w:r w:rsidRPr="0066616B" w:rsidR="003C2ACA">
        <w:rPr>
          <w:szCs w:val="24"/>
        </w:rPr>
        <w:t xml:space="preserve">’s </w:t>
      </w:r>
      <w:r w:rsidR="003C2ACA">
        <w:rPr>
          <w:szCs w:val="24"/>
        </w:rPr>
        <w:t xml:space="preserve">proposed </w:t>
      </w:r>
      <w:r w:rsidRPr="0066616B" w:rsidR="003C2ACA">
        <w:rPr>
          <w:szCs w:val="24"/>
        </w:rPr>
        <w:t xml:space="preserve">spending </w:t>
      </w:r>
      <w:r w:rsidR="003C2ACA">
        <w:rPr>
          <w:szCs w:val="24"/>
        </w:rPr>
        <w:t>under the DIR</w:t>
      </w:r>
      <w:r w:rsidRPr="0066616B" w:rsidR="003C2ACA">
        <w:rPr>
          <w:szCs w:val="24"/>
        </w:rPr>
        <w:t xml:space="preserve"> is being </w:t>
      </w:r>
      <w:r w:rsidR="003C2ACA">
        <w:rPr>
          <w:szCs w:val="24"/>
        </w:rPr>
        <w:t xml:space="preserve">reviewed, potentially dramatically increased, and will be </w:t>
      </w:r>
      <w:r w:rsidR="00BE5381">
        <w:rPr>
          <w:szCs w:val="24"/>
        </w:rPr>
        <w:t xml:space="preserve">charged </w:t>
      </w:r>
      <w:r w:rsidR="003C2ACA">
        <w:rPr>
          <w:szCs w:val="24"/>
        </w:rPr>
        <w:t xml:space="preserve">directly </w:t>
      </w:r>
      <w:r w:rsidR="00BE5381">
        <w:rPr>
          <w:szCs w:val="24"/>
        </w:rPr>
        <w:t>to</w:t>
      </w:r>
      <w:r w:rsidR="003C2ACA">
        <w:rPr>
          <w:szCs w:val="24"/>
        </w:rPr>
        <w:t xml:space="preserve"> consumers</w:t>
      </w:r>
      <w:r w:rsidRPr="0066616B" w:rsidR="003C2ACA">
        <w:rPr>
          <w:szCs w:val="24"/>
        </w:rPr>
        <w:t>.</w:t>
      </w:r>
      <w:r w:rsidR="000248BE">
        <w:rPr>
          <w:szCs w:val="24"/>
        </w:rPr>
        <w:t xml:space="preserve"> </w:t>
      </w:r>
      <w:r w:rsidRPr="0066616B" w:rsidR="00604016">
        <w:rPr>
          <w:szCs w:val="24"/>
        </w:rPr>
        <w:t xml:space="preserve">This interest includes </w:t>
      </w:r>
      <w:r w:rsidRPr="0066616B" w:rsidR="002A6E7C">
        <w:rPr>
          <w:szCs w:val="24"/>
        </w:rPr>
        <w:t xml:space="preserve">confirming through the </w:t>
      </w:r>
      <w:r w:rsidR="003C2ACA">
        <w:rPr>
          <w:szCs w:val="24"/>
        </w:rPr>
        <w:t>review</w:t>
      </w:r>
      <w:r w:rsidRPr="0066616B" w:rsidR="00604016">
        <w:rPr>
          <w:szCs w:val="24"/>
        </w:rPr>
        <w:t xml:space="preserve"> that consumers are </w:t>
      </w:r>
      <w:r w:rsidR="003C2ACA">
        <w:rPr>
          <w:szCs w:val="24"/>
        </w:rPr>
        <w:t>not being overcharged</w:t>
      </w:r>
      <w:r w:rsidRPr="0066616B" w:rsidR="00604016">
        <w:rPr>
          <w:szCs w:val="24"/>
        </w:rPr>
        <w:t xml:space="preserve"> under the DIR</w:t>
      </w:r>
      <w:r w:rsidR="003C2ACA">
        <w:rPr>
          <w:szCs w:val="24"/>
        </w:rPr>
        <w:t xml:space="preserve">, and the proposed charges benefit </w:t>
      </w:r>
      <w:r w:rsidR="005B7F33">
        <w:rPr>
          <w:szCs w:val="24"/>
        </w:rPr>
        <w:t xml:space="preserve">the </w:t>
      </w:r>
      <w:r w:rsidR="003C2ACA">
        <w:rPr>
          <w:szCs w:val="24"/>
        </w:rPr>
        <w:t>consumers</w:t>
      </w:r>
      <w:r w:rsidR="005B7F33">
        <w:rPr>
          <w:szCs w:val="24"/>
        </w:rPr>
        <w:t xml:space="preserve"> who must fund them</w:t>
      </w:r>
      <w:r w:rsidRPr="0066616B" w:rsidR="00604016">
        <w:rPr>
          <w:szCs w:val="24"/>
        </w:rPr>
        <w:t xml:space="preserve"> – </w:t>
      </w:r>
      <w:r w:rsidRPr="0066616B" w:rsidR="002A6E7C">
        <w:rPr>
          <w:szCs w:val="24"/>
        </w:rPr>
        <w:t xml:space="preserve">including </w:t>
      </w:r>
      <w:r w:rsidR="003C2ACA">
        <w:rPr>
          <w:szCs w:val="24"/>
        </w:rPr>
        <w:t xml:space="preserve">through </w:t>
      </w:r>
      <w:r w:rsidRPr="0066616B" w:rsidR="00604016">
        <w:rPr>
          <w:szCs w:val="24"/>
        </w:rPr>
        <w:t xml:space="preserve">improved </w:t>
      </w:r>
      <w:r w:rsidR="00BE5381">
        <w:rPr>
          <w:szCs w:val="24"/>
        </w:rPr>
        <w:t xml:space="preserve">service </w:t>
      </w:r>
      <w:r w:rsidRPr="0066616B" w:rsidR="00604016">
        <w:rPr>
          <w:szCs w:val="24"/>
        </w:rPr>
        <w:t>reliability.</w:t>
      </w:r>
      <w:r w:rsidRPr="0066616B" w:rsidR="006537B2">
        <w:rPr>
          <w:szCs w:val="24"/>
        </w:rPr>
        <w:t xml:space="preserve"> </w:t>
      </w:r>
      <w:r w:rsidR="004B0951">
        <w:rPr>
          <w:szCs w:val="24"/>
        </w:rPr>
        <w:t xml:space="preserve">Additionally, OCC has an interest in assuring that the utility is properly assigning cost responsibility for the charges under the DIR, which include $73 million for distribution and transformer investment to support economic development or accommodate new growth customers in </w:t>
      </w:r>
      <w:r w:rsidR="004B0951">
        <w:rPr>
          <w:szCs w:val="24"/>
        </w:rPr>
        <w:t>the territory.</w:t>
      </w:r>
      <w:r>
        <w:rPr>
          <w:rStyle w:val="FootnoteReference"/>
          <w:szCs w:val="24"/>
        </w:rPr>
        <w:footnoteReference w:id="8"/>
      </w:r>
      <w:r w:rsidR="00B62CF9">
        <w:rPr>
          <w:szCs w:val="24"/>
        </w:rPr>
        <w:t xml:space="preserve"> </w:t>
      </w:r>
      <w:r w:rsidRPr="0066616B">
        <w:rPr>
          <w:szCs w:val="24"/>
        </w:rPr>
        <w:t>This interest is different from that of any other party and especially different from that of the utility</w:t>
      </w:r>
      <w:r w:rsidRPr="0066616B" w:rsidR="00BE4776">
        <w:rPr>
          <w:szCs w:val="24"/>
        </w:rPr>
        <w:t>,</w:t>
      </w:r>
      <w:r w:rsidRPr="0066616B">
        <w:rPr>
          <w:szCs w:val="24"/>
        </w:rPr>
        <w:t xml:space="preserve"> whose advocacy includes the financial interest of stockholders.</w:t>
      </w:r>
      <w:r w:rsidR="00C13A61">
        <w:rPr>
          <w:szCs w:val="24"/>
        </w:rPr>
        <w:t xml:space="preserve"> OCC was one of the few</w:t>
      </w:r>
      <w:r w:rsidR="003D25FF">
        <w:rPr>
          <w:szCs w:val="24"/>
        </w:rPr>
        <w:t xml:space="preserve">, if not </w:t>
      </w:r>
      <w:r w:rsidR="00844DCE">
        <w:rPr>
          <w:szCs w:val="24"/>
        </w:rPr>
        <w:t xml:space="preserve">the </w:t>
      </w:r>
      <w:r w:rsidR="003D25FF">
        <w:rPr>
          <w:szCs w:val="24"/>
        </w:rPr>
        <w:t xml:space="preserve">only, </w:t>
      </w:r>
      <w:r w:rsidR="004054AE">
        <w:rPr>
          <w:szCs w:val="24"/>
        </w:rPr>
        <w:t>parties</w:t>
      </w:r>
      <w:r w:rsidR="003D25FF">
        <w:rPr>
          <w:szCs w:val="24"/>
        </w:rPr>
        <w:t xml:space="preserve"> who opposed the ESP settlement that allowed for, among other things, increased DIR spending.</w:t>
      </w:r>
      <w:r w:rsidR="00B62CF9">
        <w:rPr>
          <w:szCs w:val="24"/>
        </w:rPr>
        <w:t xml:space="preserve"> </w:t>
      </w:r>
    </w:p>
    <w:p w:rsidR="002E2195" w:rsidRPr="0066616B" w:rsidP="002E2195" w14:paraId="606A75A0" w14:textId="2FEEC7F7">
      <w:pPr>
        <w:pStyle w:val="Footer"/>
        <w:tabs>
          <w:tab w:val="clear" w:pos="4320"/>
          <w:tab w:val="clear" w:pos="8640"/>
        </w:tabs>
        <w:suppressAutoHyphens/>
        <w:spacing w:line="480" w:lineRule="auto"/>
        <w:ind w:firstLine="720"/>
        <w:rPr>
          <w:sz w:val="24"/>
          <w:szCs w:val="24"/>
        </w:rPr>
      </w:pPr>
      <w:r w:rsidRPr="0066616B">
        <w:rPr>
          <w:sz w:val="24"/>
          <w:szCs w:val="24"/>
        </w:rPr>
        <w:t xml:space="preserve">Second, </w:t>
      </w:r>
      <w:r w:rsidRPr="0066616B" w:rsidR="00524C67">
        <w:rPr>
          <w:sz w:val="24"/>
          <w:szCs w:val="24"/>
        </w:rPr>
        <w:t>OCC’s</w:t>
      </w:r>
      <w:r w:rsidRPr="0066616B">
        <w:rPr>
          <w:sz w:val="24"/>
          <w:szCs w:val="24"/>
        </w:rPr>
        <w:t xml:space="preserve"> advocacy for residential c</w:t>
      </w:r>
      <w:r w:rsidRPr="0066616B" w:rsidR="00DE51F6">
        <w:rPr>
          <w:sz w:val="24"/>
          <w:szCs w:val="24"/>
        </w:rPr>
        <w:t>onsumers</w:t>
      </w:r>
      <w:r w:rsidRPr="0066616B">
        <w:rPr>
          <w:sz w:val="24"/>
          <w:szCs w:val="24"/>
        </w:rPr>
        <w:t xml:space="preserve"> will include advancing the position that </w:t>
      </w:r>
      <w:r w:rsidRPr="0066616B" w:rsidR="000F2BFE">
        <w:rPr>
          <w:sz w:val="24"/>
          <w:szCs w:val="24"/>
        </w:rPr>
        <w:t>consumer</w:t>
      </w:r>
      <w:r w:rsidRPr="0066616B" w:rsidR="006629FC">
        <w:rPr>
          <w:sz w:val="24"/>
          <w:szCs w:val="24"/>
        </w:rPr>
        <w:t xml:space="preserve">s </w:t>
      </w:r>
      <w:r w:rsidRPr="0066616B" w:rsidR="00514776">
        <w:rPr>
          <w:sz w:val="24"/>
          <w:szCs w:val="24"/>
        </w:rPr>
        <w:t>are entitled to safe, reliable</w:t>
      </w:r>
      <w:r w:rsidRPr="0066616B" w:rsidR="00387688">
        <w:rPr>
          <w:sz w:val="24"/>
          <w:szCs w:val="24"/>
        </w:rPr>
        <w:t>,</w:t>
      </w:r>
      <w:r w:rsidRPr="0066616B" w:rsidR="00660AEE">
        <w:rPr>
          <w:sz w:val="24"/>
          <w:szCs w:val="24"/>
        </w:rPr>
        <w:t xml:space="preserve"> and adequate</w:t>
      </w:r>
      <w:r w:rsidRPr="0066616B" w:rsidR="00514776">
        <w:rPr>
          <w:sz w:val="24"/>
          <w:szCs w:val="24"/>
        </w:rPr>
        <w:t xml:space="preserve"> service at a reasonable price</w:t>
      </w:r>
      <w:r w:rsidRPr="0066616B" w:rsidR="00524C67">
        <w:rPr>
          <w:sz w:val="24"/>
          <w:szCs w:val="24"/>
        </w:rPr>
        <w:t>.</w:t>
      </w:r>
      <w:r w:rsidRPr="0066616B" w:rsidR="006629FC">
        <w:rPr>
          <w:sz w:val="24"/>
          <w:szCs w:val="24"/>
        </w:rPr>
        <w:t xml:space="preserve"> </w:t>
      </w:r>
      <w:r w:rsidRPr="0066616B" w:rsidR="00524C67">
        <w:rPr>
          <w:sz w:val="24"/>
          <w:szCs w:val="24"/>
        </w:rPr>
        <w:t>OCC’s</w:t>
      </w:r>
      <w:r w:rsidRPr="0066616B" w:rsidR="001D3E54">
        <w:rPr>
          <w:sz w:val="24"/>
          <w:szCs w:val="24"/>
        </w:rPr>
        <w:t xml:space="preserve"> </w:t>
      </w:r>
      <w:r w:rsidRPr="0066616B">
        <w:rPr>
          <w:sz w:val="24"/>
          <w:szCs w:val="24"/>
        </w:rPr>
        <w:t>position is therefore directly related to the merits of this case that is before the PUCO</w:t>
      </w:r>
      <w:r w:rsidRPr="0066616B" w:rsidR="0023099F">
        <w:rPr>
          <w:sz w:val="24"/>
          <w:szCs w:val="24"/>
        </w:rPr>
        <w:t>.</w:t>
      </w:r>
      <w:r w:rsidRPr="0066616B" w:rsidR="00583227">
        <w:rPr>
          <w:sz w:val="24"/>
          <w:szCs w:val="24"/>
        </w:rPr>
        <w:t xml:space="preserve"> </w:t>
      </w:r>
      <w:r w:rsidR="004E33AF">
        <w:rPr>
          <w:sz w:val="24"/>
          <w:szCs w:val="24"/>
        </w:rPr>
        <w:t>This is especially important here, as AES Ohio has failed to meet its service reliability obligations to consumers for 4 of the last five years</w:t>
      </w:r>
      <w:r>
        <w:rPr>
          <w:rStyle w:val="FootnoteReference"/>
          <w:sz w:val="24"/>
          <w:szCs w:val="24"/>
        </w:rPr>
        <w:footnoteReference w:id="9"/>
      </w:r>
      <w:r w:rsidR="00E17514">
        <w:rPr>
          <w:sz w:val="24"/>
          <w:szCs w:val="24"/>
        </w:rPr>
        <w:t>, highlighting the critical need for consumer advocacy in this matter</w:t>
      </w:r>
      <w:r w:rsidR="004E33AF">
        <w:rPr>
          <w:sz w:val="24"/>
          <w:szCs w:val="24"/>
        </w:rPr>
        <w:t>.</w:t>
      </w:r>
      <w:r w:rsidR="004B0951">
        <w:rPr>
          <w:sz w:val="24"/>
          <w:szCs w:val="24"/>
        </w:rPr>
        <w:t xml:space="preserve"> </w:t>
      </w:r>
    </w:p>
    <w:p w:rsidR="005F5833" w:rsidP="005F5833" w14:paraId="2E64006F" w14:textId="425FB0B7">
      <w:pPr>
        <w:pStyle w:val="BodyTextIndent3"/>
        <w:suppressAutoHyphens/>
        <w:spacing w:line="480" w:lineRule="auto"/>
        <w:rPr>
          <w:szCs w:val="24"/>
        </w:rPr>
      </w:pPr>
      <w:r w:rsidRPr="0066616B">
        <w:rPr>
          <w:szCs w:val="24"/>
        </w:rPr>
        <w:t xml:space="preserve">Third, </w:t>
      </w:r>
      <w:r w:rsidRPr="0066616B" w:rsidR="00524C67">
        <w:rPr>
          <w:szCs w:val="24"/>
        </w:rPr>
        <w:t>OCC’s</w:t>
      </w:r>
      <w:r w:rsidRPr="0066616B" w:rsidR="001D3E54">
        <w:rPr>
          <w:szCs w:val="24"/>
        </w:rPr>
        <w:t xml:space="preserve"> </w:t>
      </w:r>
      <w:r w:rsidRPr="0066616B">
        <w:rPr>
          <w:szCs w:val="24"/>
        </w:rPr>
        <w:t>intervention will not unduly prolong or delay the proceedings</w:t>
      </w:r>
      <w:r>
        <w:rPr>
          <w:szCs w:val="24"/>
        </w:rPr>
        <w:t>.</w:t>
      </w:r>
      <w:r w:rsidR="00782275">
        <w:rPr>
          <w:szCs w:val="24"/>
        </w:rPr>
        <w:t xml:space="preserve"> </w:t>
      </w:r>
      <w:r>
        <w:rPr>
          <w:szCs w:val="24"/>
        </w:rPr>
        <w:t>Delay in and of itself does not mean that intervention should be denied.</w:t>
      </w:r>
      <w:r w:rsidR="00782275">
        <w:rPr>
          <w:szCs w:val="24"/>
        </w:rPr>
        <w:t xml:space="preserve"> </w:t>
      </w:r>
      <w:r>
        <w:rPr>
          <w:szCs w:val="24"/>
        </w:rPr>
        <w:t xml:space="preserve">The key consideration is whether the intervention will cause “undue delay.” Here OCC’s intervention will not cause undue delay. </w:t>
      </w:r>
    </w:p>
    <w:p w:rsidR="005F5833" w:rsidP="002E2195" w14:paraId="6703A86D" w14:textId="0278FA6A">
      <w:pPr>
        <w:pStyle w:val="BodyTextIndent3"/>
        <w:suppressAutoHyphens/>
        <w:spacing w:line="480" w:lineRule="auto"/>
        <w:rPr>
          <w:szCs w:val="24"/>
        </w:rPr>
      </w:pPr>
      <w:r>
        <w:rPr>
          <w:szCs w:val="24"/>
        </w:rPr>
        <w:t>OCC is promptly seeking leave to intervene. The case has not progressed beyond the filing of AES Ohio’s work plan.</w:t>
      </w:r>
      <w:r w:rsidR="00782275">
        <w:rPr>
          <w:szCs w:val="24"/>
        </w:rPr>
        <w:t xml:space="preserve"> </w:t>
      </w:r>
      <w:r>
        <w:rPr>
          <w:szCs w:val="24"/>
        </w:rPr>
        <w:t>The PUCO has not yet set a procedural schedule for review of the work plan.</w:t>
      </w:r>
      <w:r w:rsidR="00782275">
        <w:rPr>
          <w:szCs w:val="24"/>
        </w:rPr>
        <w:t xml:space="preserve"> </w:t>
      </w:r>
      <w:r>
        <w:rPr>
          <w:szCs w:val="24"/>
        </w:rPr>
        <w:t>No hearing has been scheduled such that granting intervention would delay that.</w:t>
      </w:r>
      <w:r w:rsidR="00782275">
        <w:rPr>
          <w:szCs w:val="24"/>
        </w:rPr>
        <w:t xml:space="preserve"> </w:t>
      </w:r>
      <w:r>
        <w:rPr>
          <w:szCs w:val="24"/>
        </w:rPr>
        <w:t>The PUCO has not issued any dispositive rulings.</w:t>
      </w:r>
    </w:p>
    <w:p w:rsidR="005F5833" w:rsidP="002E2195" w14:paraId="65A03A6D" w14:textId="0DAEE784">
      <w:pPr>
        <w:pStyle w:val="BodyTextIndent3"/>
        <w:suppressAutoHyphens/>
        <w:spacing w:line="480" w:lineRule="auto"/>
        <w:rPr>
          <w:szCs w:val="24"/>
        </w:rPr>
      </w:pPr>
      <w:r>
        <w:rPr>
          <w:szCs w:val="24"/>
        </w:rPr>
        <w:t>OCC will simply be exercising its discovery that it is entitled to under law and PUCO rules.</w:t>
      </w:r>
      <w:r w:rsidRPr="0066616B" w:rsidR="006A111F">
        <w:rPr>
          <w:szCs w:val="24"/>
        </w:rPr>
        <w:t xml:space="preserve"> </w:t>
      </w:r>
      <w:r>
        <w:rPr>
          <w:szCs w:val="24"/>
        </w:rPr>
        <w:t>OCC will attempt to avoid duplicative discovery in this proceeding.</w:t>
      </w:r>
      <w:r w:rsidR="00782275">
        <w:rPr>
          <w:szCs w:val="24"/>
        </w:rPr>
        <w:t xml:space="preserve"> </w:t>
      </w:r>
      <w:r>
        <w:rPr>
          <w:szCs w:val="24"/>
        </w:rPr>
        <w:t xml:space="preserve">OCC will also use </w:t>
      </w:r>
      <w:r w:rsidR="00782275">
        <w:rPr>
          <w:szCs w:val="24"/>
        </w:rPr>
        <w:t>its best</w:t>
      </w:r>
      <w:r>
        <w:rPr>
          <w:szCs w:val="24"/>
        </w:rPr>
        <w:t xml:space="preserve"> efforts to comply with the procedural schedule that the PUCO adopts for this proceeding.</w:t>
      </w:r>
      <w:r w:rsidR="00782275">
        <w:rPr>
          <w:szCs w:val="24"/>
        </w:rPr>
        <w:t xml:space="preserve"> </w:t>
      </w:r>
    </w:p>
    <w:p w:rsidR="004B0951" w:rsidP="002E2195" w14:paraId="25C64905" w14:textId="7A8F46E8">
      <w:pPr>
        <w:pStyle w:val="BodyTextIndent3"/>
        <w:suppressAutoHyphens/>
        <w:spacing w:line="480" w:lineRule="auto"/>
        <w:rPr>
          <w:szCs w:val="24"/>
        </w:rPr>
      </w:pPr>
      <w:r>
        <w:rPr>
          <w:szCs w:val="24"/>
        </w:rPr>
        <w:t xml:space="preserve">Given the vast amount of money </w:t>
      </w:r>
      <w:r w:rsidR="00C13A61">
        <w:rPr>
          <w:szCs w:val="24"/>
        </w:rPr>
        <w:t>that</w:t>
      </w:r>
      <w:r w:rsidR="00B62CF9">
        <w:rPr>
          <w:szCs w:val="24"/>
        </w:rPr>
        <w:t xml:space="preserve"> </w:t>
      </w:r>
      <w:r>
        <w:rPr>
          <w:szCs w:val="24"/>
        </w:rPr>
        <w:t xml:space="preserve">DP&amp;L </w:t>
      </w:r>
      <w:r w:rsidR="00C13A61">
        <w:rPr>
          <w:szCs w:val="24"/>
        </w:rPr>
        <w:t xml:space="preserve">seeks from its </w:t>
      </w:r>
      <w:r>
        <w:rPr>
          <w:szCs w:val="24"/>
        </w:rPr>
        <w:t>consumers, the PUCO should not consider the normal discovery that parties are entitled</w:t>
      </w:r>
      <w:r w:rsidR="003D25FF">
        <w:rPr>
          <w:szCs w:val="24"/>
        </w:rPr>
        <w:t xml:space="preserve"> to under R.C. 4903.082</w:t>
      </w:r>
      <w:r w:rsidR="00B62CF9">
        <w:rPr>
          <w:szCs w:val="24"/>
        </w:rPr>
        <w:t xml:space="preserve"> </w:t>
      </w:r>
      <w:r>
        <w:rPr>
          <w:szCs w:val="24"/>
        </w:rPr>
        <w:t xml:space="preserve">as contributing to “undue” delay. </w:t>
      </w:r>
      <w:r w:rsidR="003D25FF">
        <w:rPr>
          <w:szCs w:val="24"/>
        </w:rPr>
        <w:t xml:space="preserve">Rather the expectation is and should be that when vast amounts of money are sought from utility consumers, </w:t>
      </w:r>
      <w:r w:rsidR="00953A8E">
        <w:rPr>
          <w:szCs w:val="24"/>
        </w:rPr>
        <w:t>the utility must expect some delay while parties explore the soundness of the utility’s case.</w:t>
      </w:r>
      <w:r w:rsidR="00B62CF9">
        <w:rPr>
          <w:szCs w:val="24"/>
        </w:rPr>
        <w:t xml:space="preserve"> </w:t>
      </w:r>
    </w:p>
    <w:p w:rsidR="002E2195" w:rsidRPr="0066616B" w:rsidP="002E2195" w14:paraId="6F2F538A" w14:textId="13037913">
      <w:pPr>
        <w:pStyle w:val="BodyTextIndent3"/>
        <w:suppressAutoHyphens/>
        <w:spacing w:line="480" w:lineRule="auto"/>
        <w:rPr>
          <w:szCs w:val="24"/>
        </w:rPr>
      </w:pPr>
      <w:r>
        <w:rPr>
          <w:szCs w:val="24"/>
        </w:rPr>
        <w:t xml:space="preserve"> </w:t>
      </w:r>
      <w:r w:rsidR="001C577F">
        <w:rPr>
          <w:szCs w:val="24"/>
        </w:rPr>
        <w:t xml:space="preserve">In addition, </w:t>
      </w:r>
      <w:r w:rsidRPr="0066616B" w:rsidR="00524C67">
        <w:rPr>
          <w:szCs w:val="24"/>
        </w:rPr>
        <w:t>OCC,</w:t>
      </w:r>
      <w:r w:rsidRPr="0066616B" w:rsidR="003F0A69">
        <w:rPr>
          <w:szCs w:val="24"/>
        </w:rPr>
        <w:t xml:space="preserve"> with </w:t>
      </w:r>
      <w:r w:rsidRPr="0066616B" w:rsidR="00524C67">
        <w:rPr>
          <w:szCs w:val="24"/>
        </w:rPr>
        <w:t>its</w:t>
      </w:r>
      <w:r w:rsidRPr="0066616B" w:rsidR="003F0A69">
        <w:rPr>
          <w:szCs w:val="24"/>
        </w:rPr>
        <w:t xml:space="preserve"> longstanding expertise and experience in PUCO proceedings </w:t>
      </w:r>
      <w:r w:rsidRPr="0066616B" w:rsidR="001D3E54">
        <w:rPr>
          <w:szCs w:val="24"/>
        </w:rPr>
        <w:t xml:space="preserve">and </w:t>
      </w:r>
      <w:r w:rsidRPr="0066616B" w:rsidR="005B53F6">
        <w:rPr>
          <w:szCs w:val="24"/>
        </w:rPr>
        <w:t>consumer protection advocacy</w:t>
      </w:r>
      <w:r w:rsidRPr="0066616B" w:rsidR="00BE4776">
        <w:rPr>
          <w:szCs w:val="24"/>
        </w:rPr>
        <w:t>,</w:t>
      </w:r>
      <w:r w:rsidRPr="0066616B" w:rsidR="005B53F6">
        <w:rPr>
          <w:szCs w:val="24"/>
        </w:rPr>
        <w:t xml:space="preserve"> </w:t>
      </w:r>
      <w:r w:rsidRPr="0066616B" w:rsidR="003F0A69">
        <w:rPr>
          <w:szCs w:val="24"/>
        </w:rPr>
        <w:t>will duly allow for the efficient processing of the case with consideration of the public interest.</w:t>
      </w:r>
      <w:r w:rsidR="001C577F">
        <w:rPr>
          <w:szCs w:val="24"/>
        </w:rPr>
        <w:t xml:space="preserve"> OCC has been permitted to intervene in other cases regarding AES Ohio’s DIR.</w:t>
      </w:r>
      <w:r>
        <w:rPr>
          <w:rStyle w:val="FootnoteReference"/>
          <w:szCs w:val="24"/>
        </w:rPr>
        <w:footnoteReference w:id="10"/>
      </w:r>
      <w:r w:rsidR="00B62CF9">
        <w:rPr>
          <w:szCs w:val="24"/>
        </w:rPr>
        <w:t xml:space="preserve"> </w:t>
      </w:r>
    </w:p>
    <w:p w:rsidR="002E2195" w:rsidRPr="0066616B" w:rsidP="00844EC5" w14:paraId="05A4BBDD" w14:textId="75BD664F">
      <w:pPr>
        <w:pStyle w:val="Footer"/>
        <w:tabs>
          <w:tab w:val="clear" w:pos="4320"/>
          <w:tab w:val="clear" w:pos="8640"/>
        </w:tabs>
        <w:suppressAutoHyphens/>
        <w:spacing w:line="480" w:lineRule="auto"/>
        <w:ind w:firstLine="720"/>
        <w:rPr>
          <w:sz w:val="24"/>
          <w:szCs w:val="24"/>
        </w:rPr>
      </w:pPr>
      <w:r w:rsidRPr="0066616B">
        <w:rPr>
          <w:sz w:val="24"/>
          <w:szCs w:val="24"/>
        </w:rPr>
        <w:t xml:space="preserve">Fourth, </w:t>
      </w:r>
      <w:r w:rsidRPr="0066616B" w:rsidR="00524C67">
        <w:rPr>
          <w:sz w:val="24"/>
          <w:szCs w:val="24"/>
        </w:rPr>
        <w:t xml:space="preserve">OCC’s </w:t>
      </w:r>
      <w:r w:rsidRPr="0066616B">
        <w:rPr>
          <w:sz w:val="24"/>
          <w:szCs w:val="24"/>
        </w:rPr>
        <w:t xml:space="preserve">intervention will significantly contribute to full development and equitable resolution of the factual issues. </w:t>
      </w:r>
      <w:r w:rsidRPr="0066616B" w:rsidR="00524C67">
        <w:rPr>
          <w:sz w:val="24"/>
          <w:szCs w:val="24"/>
        </w:rPr>
        <w:t>OCC</w:t>
      </w:r>
      <w:r w:rsidRPr="0066616B">
        <w:rPr>
          <w:sz w:val="24"/>
          <w:szCs w:val="24"/>
        </w:rPr>
        <w:t xml:space="preserve"> will obtain and develop information that the PUCO should consider for equitably and lawfully deciding the case in the public interest. </w:t>
      </w:r>
      <w:r w:rsidRPr="0066616B" w:rsidR="0052544B">
        <w:rPr>
          <w:sz w:val="24"/>
          <w:szCs w:val="24"/>
        </w:rPr>
        <w:t xml:space="preserve">This includes </w:t>
      </w:r>
      <w:r w:rsidR="001C577F">
        <w:rPr>
          <w:sz w:val="24"/>
          <w:szCs w:val="24"/>
        </w:rPr>
        <w:t xml:space="preserve">evaluating whether </w:t>
      </w:r>
      <w:r w:rsidR="00B26846">
        <w:rPr>
          <w:sz w:val="24"/>
          <w:szCs w:val="24"/>
        </w:rPr>
        <w:t>AES O</w:t>
      </w:r>
      <w:r w:rsidR="001C577F">
        <w:rPr>
          <w:sz w:val="24"/>
          <w:szCs w:val="24"/>
        </w:rPr>
        <w:t>hio</w:t>
      </w:r>
      <w:r w:rsidRPr="0066616B" w:rsidR="00BE4776">
        <w:rPr>
          <w:sz w:val="24"/>
          <w:szCs w:val="24"/>
        </w:rPr>
        <w:t>’s</w:t>
      </w:r>
      <w:r w:rsidRPr="0066616B" w:rsidR="00BD1760">
        <w:rPr>
          <w:sz w:val="24"/>
          <w:szCs w:val="24"/>
        </w:rPr>
        <w:t xml:space="preserve"> </w:t>
      </w:r>
      <w:r w:rsidRPr="0066616B" w:rsidR="00604016">
        <w:rPr>
          <w:sz w:val="24"/>
          <w:szCs w:val="24"/>
        </w:rPr>
        <w:t xml:space="preserve">distribution investment spending </w:t>
      </w:r>
      <w:r w:rsidR="001C577F">
        <w:rPr>
          <w:sz w:val="24"/>
          <w:szCs w:val="24"/>
        </w:rPr>
        <w:t xml:space="preserve">is </w:t>
      </w:r>
      <w:r w:rsidRPr="0066616B" w:rsidR="00604016">
        <w:rPr>
          <w:sz w:val="24"/>
          <w:szCs w:val="24"/>
        </w:rPr>
        <w:t xml:space="preserve">just and reasonable, accurately accounted for, </w:t>
      </w:r>
      <w:r w:rsidR="00844EC5">
        <w:rPr>
          <w:sz w:val="24"/>
          <w:szCs w:val="24"/>
        </w:rPr>
        <w:t xml:space="preserve">properly allocated, </w:t>
      </w:r>
      <w:r w:rsidRPr="0066616B" w:rsidR="00604016">
        <w:rPr>
          <w:sz w:val="24"/>
          <w:szCs w:val="24"/>
        </w:rPr>
        <w:t>prudent, in compliance with governing requirements</w:t>
      </w:r>
      <w:r w:rsidR="00844EC5">
        <w:rPr>
          <w:sz w:val="24"/>
          <w:szCs w:val="24"/>
        </w:rPr>
        <w:t>.</w:t>
      </w:r>
      <w:r w:rsidR="00782275">
        <w:rPr>
          <w:sz w:val="24"/>
          <w:szCs w:val="24"/>
        </w:rPr>
        <w:t xml:space="preserve"> </w:t>
      </w:r>
      <w:r w:rsidR="00844EC5">
        <w:rPr>
          <w:sz w:val="24"/>
          <w:szCs w:val="24"/>
        </w:rPr>
        <w:t>OCC</w:t>
      </w:r>
      <w:r w:rsidR="00E17514">
        <w:rPr>
          <w:sz w:val="24"/>
          <w:szCs w:val="24"/>
        </w:rPr>
        <w:t xml:space="preserve"> </w:t>
      </w:r>
      <w:r w:rsidR="00844EC5">
        <w:rPr>
          <w:sz w:val="24"/>
          <w:szCs w:val="24"/>
        </w:rPr>
        <w:t xml:space="preserve">will also be evaluating whether the work plan will </w:t>
      </w:r>
      <w:r w:rsidR="00E17514">
        <w:rPr>
          <w:sz w:val="24"/>
          <w:szCs w:val="24"/>
        </w:rPr>
        <w:t>resolv</w:t>
      </w:r>
      <w:r w:rsidR="001C577F">
        <w:rPr>
          <w:sz w:val="24"/>
          <w:szCs w:val="24"/>
        </w:rPr>
        <w:t>e</w:t>
      </w:r>
      <w:r w:rsidR="00E17514">
        <w:rPr>
          <w:sz w:val="24"/>
          <w:szCs w:val="24"/>
        </w:rPr>
        <w:t xml:space="preserve"> </w:t>
      </w:r>
      <w:r w:rsidR="00844EC5">
        <w:rPr>
          <w:sz w:val="24"/>
          <w:szCs w:val="24"/>
        </w:rPr>
        <w:t xml:space="preserve">AES’s </w:t>
      </w:r>
      <w:r w:rsidR="00E17514">
        <w:rPr>
          <w:sz w:val="24"/>
          <w:szCs w:val="24"/>
        </w:rPr>
        <w:t>continued</w:t>
      </w:r>
      <w:r w:rsidR="00844EC5">
        <w:rPr>
          <w:sz w:val="24"/>
          <w:szCs w:val="24"/>
        </w:rPr>
        <w:t xml:space="preserve"> inability </w:t>
      </w:r>
      <w:r w:rsidR="00E17514">
        <w:rPr>
          <w:sz w:val="24"/>
          <w:szCs w:val="24"/>
        </w:rPr>
        <w:t>to meet service reliability obligations to consumers</w:t>
      </w:r>
      <w:r w:rsidRPr="0066616B" w:rsidR="00E2247E">
        <w:rPr>
          <w:sz w:val="24"/>
          <w:szCs w:val="24"/>
        </w:rPr>
        <w:t>.</w:t>
      </w:r>
      <w:r w:rsidRPr="0066616B" w:rsidR="00384FA9">
        <w:rPr>
          <w:sz w:val="24"/>
          <w:szCs w:val="24"/>
        </w:rPr>
        <w:t xml:space="preserve"> </w:t>
      </w:r>
    </w:p>
    <w:p w:rsidR="002E2195" w:rsidRPr="0066616B" w:rsidP="002E2195" w14:paraId="1BC7C1F6" w14:textId="7596B43C">
      <w:pPr>
        <w:pStyle w:val="WW-BodyTextIndent3"/>
        <w:spacing w:line="480" w:lineRule="auto"/>
        <w:rPr>
          <w:szCs w:val="24"/>
        </w:rPr>
      </w:pPr>
      <w:r w:rsidRPr="0066616B">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w:t>
      </w:r>
      <w:r w:rsidR="003B0CAC">
        <w:rPr>
          <w:szCs w:val="24"/>
        </w:rPr>
        <w:t>O.A.C.</w:t>
      </w:r>
      <w:r w:rsidRPr="0066616B">
        <w:rPr>
          <w:szCs w:val="24"/>
        </w:rPr>
        <w:t xml:space="preserve"> 4901-1-11(A)(2).</w:t>
      </w:r>
      <w:r w:rsidRPr="0066616B" w:rsidR="006A111F">
        <w:rPr>
          <w:szCs w:val="24"/>
        </w:rPr>
        <w:t xml:space="preserve"> </w:t>
      </w:r>
      <w:r w:rsidRPr="0066616B">
        <w:rPr>
          <w:szCs w:val="24"/>
        </w:rPr>
        <w:t>As the statutory advocate for residential utility c</w:t>
      </w:r>
      <w:r w:rsidRPr="0066616B" w:rsidR="00DE51F6">
        <w:rPr>
          <w:szCs w:val="24"/>
        </w:rPr>
        <w:t>onsumers</w:t>
      </w:r>
      <w:r w:rsidRPr="0066616B">
        <w:rPr>
          <w:szCs w:val="24"/>
        </w:rPr>
        <w:t xml:space="preserve">, OCC has a very real and substantial interest in this case where </w:t>
      </w:r>
      <w:r w:rsidR="00476E8E">
        <w:rPr>
          <w:szCs w:val="24"/>
        </w:rPr>
        <w:t>AES O</w:t>
      </w:r>
      <w:r w:rsidR="001C577F">
        <w:rPr>
          <w:szCs w:val="24"/>
        </w:rPr>
        <w:t>hio</w:t>
      </w:r>
      <w:r w:rsidRPr="0066616B" w:rsidR="00476E8E">
        <w:rPr>
          <w:szCs w:val="24"/>
        </w:rPr>
        <w:t xml:space="preserve">’s </w:t>
      </w:r>
      <w:r w:rsidR="00476E8E">
        <w:rPr>
          <w:szCs w:val="24"/>
        </w:rPr>
        <w:t xml:space="preserve">proposed </w:t>
      </w:r>
      <w:r w:rsidRPr="0066616B" w:rsidR="00476E8E">
        <w:rPr>
          <w:szCs w:val="24"/>
        </w:rPr>
        <w:t xml:space="preserve">spending </w:t>
      </w:r>
      <w:r w:rsidR="00476E8E">
        <w:rPr>
          <w:szCs w:val="24"/>
        </w:rPr>
        <w:t>under the DIR</w:t>
      </w:r>
      <w:r w:rsidRPr="0066616B" w:rsidR="00476E8E">
        <w:rPr>
          <w:szCs w:val="24"/>
        </w:rPr>
        <w:t xml:space="preserve"> is being </w:t>
      </w:r>
      <w:r w:rsidR="00476E8E">
        <w:rPr>
          <w:szCs w:val="24"/>
        </w:rPr>
        <w:t xml:space="preserve">reviewed, potentially dramatically increased, and will be </w:t>
      </w:r>
      <w:r w:rsidR="003D25FF">
        <w:rPr>
          <w:szCs w:val="24"/>
        </w:rPr>
        <w:t xml:space="preserve">collected </w:t>
      </w:r>
      <w:r w:rsidR="00476E8E">
        <w:rPr>
          <w:szCs w:val="24"/>
        </w:rPr>
        <w:t>directly from consumers</w:t>
      </w:r>
      <w:r w:rsidRPr="0066616B" w:rsidR="00604016">
        <w:rPr>
          <w:szCs w:val="24"/>
        </w:rPr>
        <w:t>.</w:t>
      </w:r>
      <w:r w:rsidRPr="0066616B">
        <w:rPr>
          <w:szCs w:val="24"/>
        </w:rPr>
        <w:t xml:space="preserve"> </w:t>
      </w:r>
    </w:p>
    <w:p w:rsidR="002E2195" w:rsidRPr="0066616B" w:rsidP="002E2195" w14:paraId="5968C871" w14:textId="7A0821FF">
      <w:pPr>
        <w:pStyle w:val="BodyTextIndent3"/>
        <w:suppressAutoHyphens/>
        <w:spacing w:line="480" w:lineRule="auto"/>
        <w:rPr>
          <w:szCs w:val="24"/>
        </w:rPr>
      </w:pPr>
      <w:r w:rsidRPr="0066616B">
        <w:rPr>
          <w:szCs w:val="24"/>
        </w:rPr>
        <w:t xml:space="preserve">In addition, </w:t>
      </w:r>
      <w:r w:rsidRPr="0066616B" w:rsidR="00524C67">
        <w:rPr>
          <w:szCs w:val="24"/>
        </w:rPr>
        <w:t>OCC</w:t>
      </w:r>
      <w:r w:rsidRPr="0066616B">
        <w:rPr>
          <w:szCs w:val="24"/>
        </w:rPr>
        <w:t xml:space="preserve"> meets the criteria of </w:t>
      </w:r>
      <w:r w:rsidR="003B0CAC">
        <w:rPr>
          <w:szCs w:val="24"/>
        </w:rPr>
        <w:t>O.A.C.</w:t>
      </w:r>
      <w:r w:rsidRPr="0066616B">
        <w:rPr>
          <w:szCs w:val="24"/>
        </w:rPr>
        <w:t xml:space="preserve"> 4901-1-11(B)(1)-(4).</w:t>
      </w:r>
      <w:r w:rsidRPr="0066616B" w:rsidR="006A111F">
        <w:rPr>
          <w:szCs w:val="24"/>
        </w:rPr>
        <w:t xml:space="preserve"> </w:t>
      </w:r>
      <w:r w:rsidRPr="0066616B">
        <w:rPr>
          <w:szCs w:val="24"/>
        </w:rPr>
        <w:t xml:space="preserve">These criteria mirror the statutory criteria in R.C. 4903.221(B) </w:t>
      </w:r>
      <w:r w:rsidR="00E17514">
        <w:rPr>
          <w:szCs w:val="24"/>
        </w:rPr>
        <w:t>which</w:t>
      </w:r>
      <w:r w:rsidRPr="0066616B">
        <w:rPr>
          <w:szCs w:val="24"/>
        </w:rPr>
        <w:t xml:space="preserve"> </w:t>
      </w:r>
      <w:r w:rsidRPr="0066616B" w:rsidR="00524C67">
        <w:rPr>
          <w:szCs w:val="24"/>
        </w:rPr>
        <w:t>OCC</w:t>
      </w:r>
      <w:r w:rsidRPr="0066616B">
        <w:rPr>
          <w:szCs w:val="24"/>
        </w:rPr>
        <w:t xml:space="preserve"> has addressed</w:t>
      </w:r>
      <w:r w:rsidR="00E17514">
        <w:rPr>
          <w:szCs w:val="24"/>
        </w:rPr>
        <w:t xml:space="preserve"> above</w:t>
      </w:r>
      <w:r w:rsidRPr="0066616B">
        <w:rPr>
          <w:szCs w:val="24"/>
        </w:rPr>
        <w:t xml:space="preserve"> and </w:t>
      </w:r>
      <w:r w:rsidRPr="0066616B" w:rsidR="00387688">
        <w:rPr>
          <w:szCs w:val="24"/>
        </w:rPr>
        <w:t>satisfie</w:t>
      </w:r>
      <w:r w:rsidR="00E17514">
        <w:rPr>
          <w:szCs w:val="24"/>
        </w:rPr>
        <w:t>d</w:t>
      </w:r>
      <w:r w:rsidRPr="0066616B" w:rsidR="001D3E54">
        <w:rPr>
          <w:szCs w:val="24"/>
        </w:rPr>
        <w:t>.</w:t>
      </w:r>
    </w:p>
    <w:p w:rsidR="002E2195" w:rsidRPr="0066616B" w:rsidP="002E2195" w14:paraId="23DE7B3B" w14:textId="30093859">
      <w:pPr>
        <w:pStyle w:val="BodyTextIndent3"/>
        <w:suppressAutoHyphens/>
        <w:spacing w:line="480" w:lineRule="auto"/>
        <w:rPr>
          <w:szCs w:val="24"/>
        </w:rPr>
      </w:pPr>
      <w:r>
        <w:rPr>
          <w:szCs w:val="24"/>
        </w:rPr>
        <w:t>O.A.C.</w:t>
      </w:r>
      <w:r w:rsidRPr="0066616B" w:rsidR="00157FF7">
        <w:rPr>
          <w:szCs w:val="24"/>
        </w:rPr>
        <w:t xml:space="preserve"> 4901-1-11(B)(5) states that the PUCO shall consider “The extent to which the person’s interest is represented by existing parties.” While </w:t>
      </w:r>
      <w:r w:rsidRPr="0066616B" w:rsidR="00524C67">
        <w:rPr>
          <w:szCs w:val="24"/>
        </w:rPr>
        <w:t>OCC</w:t>
      </w:r>
      <w:r w:rsidRPr="0066616B" w:rsidR="00157FF7">
        <w:rPr>
          <w:szCs w:val="24"/>
        </w:rPr>
        <w:t xml:space="preserve"> do</w:t>
      </w:r>
      <w:r w:rsidRPr="0066616B" w:rsidR="00524C67">
        <w:rPr>
          <w:szCs w:val="24"/>
        </w:rPr>
        <w:t>es</w:t>
      </w:r>
      <w:r w:rsidRPr="0066616B" w:rsidR="00157FF7">
        <w:rPr>
          <w:szCs w:val="24"/>
        </w:rPr>
        <w:t xml:space="preserve"> not concede the lawfulness of this criterion, </w:t>
      </w:r>
      <w:r w:rsidRPr="0066616B" w:rsidR="00524C67">
        <w:rPr>
          <w:szCs w:val="24"/>
        </w:rPr>
        <w:t>OCC</w:t>
      </w:r>
      <w:r w:rsidRPr="0066616B" w:rsidR="001D3E54">
        <w:rPr>
          <w:szCs w:val="24"/>
        </w:rPr>
        <w:t xml:space="preserve"> </w:t>
      </w:r>
      <w:r w:rsidRPr="0066616B" w:rsidR="00157FF7">
        <w:rPr>
          <w:szCs w:val="24"/>
        </w:rPr>
        <w:t>satisf</w:t>
      </w:r>
      <w:r w:rsidRPr="0066616B" w:rsidR="00524C67">
        <w:rPr>
          <w:szCs w:val="24"/>
        </w:rPr>
        <w:t>ies</w:t>
      </w:r>
      <w:r w:rsidRPr="0066616B" w:rsidR="00157FF7">
        <w:rPr>
          <w:szCs w:val="24"/>
        </w:rPr>
        <w:t xml:space="preserve"> this criterion in that </w:t>
      </w:r>
      <w:r w:rsidRPr="0066616B" w:rsidR="003B5F36">
        <w:rPr>
          <w:szCs w:val="24"/>
        </w:rPr>
        <w:t>OCC has been</w:t>
      </w:r>
      <w:r w:rsidRPr="0066616B" w:rsidR="00157FF7">
        <w:rPr>
          <w:szCs w:val="24"/>
        </w:rPr>
        <w:t xml:space="preserve"> uniquely designated as the state representative of the interests of Ohio’s residential utility c</w:t>
      </w:r>
      <w:r w:rsidRPr="0066616B" w:rsidR="00DE51F6">
        <w:rPr>
          <w:szCs w:val="24"/>
        </w:rPr>
        <w:t>onsumers</w:t>
      </w:r>
      <w:r w:rsidRPr="0066616B" w:rsidR="00157FF7">
        <w:rPr>
          <w:szCs w:val="24"/>
        </w:rPr>
        <w:t xml:space="preserve">. </w:t>
      </w:r>
      <w:r w:rsidRPr="0066616B" w:rsidR="00524C67">
        <w:rPr>
          <w:szCs w:val="24"/>
        </w:rPr>
        <w:t>OCC’s</w:t>
      </w:r>
      <w:r w:rsidRPr="0066616B" w:rsidR="001D3E54">
        <w:rPr>
          <w:szCs w:val="24"/>
        </w:rPr>
        <w:t xml:space="preserve"> interest is different from, and not represented by, any other entity in Ohio.</w:t>
      </w:r>
    </w:p>
    <w:p w:rsidR="002E2195" w:rsidRPr="0066616B" w:rsidP="002E2195" w14:paraId="292A5AA8" w14:textId="77777777">
      <w:pPr>
        <w:pStyle w:val="WW-BodyTextIndent3"/>
        <w:spacing w:line="480" w:lineRule="auto"/>
        <w:rPr>
          <w:szCs w:val="24"/>
        </w:rPr>
      </w:pPr>
      <w:r w:rsidRPr="0066616B">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11"/>
      </w:r>
      <w:r w:rsidRPr="0066616B">
        <w:rPr>
          <w:szCs w:val="24"/>
        </w:rPr>
        <w:t xml:space="preserve"> </w:t>
      </w:r>
    </w:p>
    <w:p w:rsidR="009C58BD" w14:paraId="6E3CD301" w14:textId="77777777">
      <w:pPr>
        <w:rPr>
          <w:szCs w:val="24"/>
        </w:rPr>
      </w:pPr>
      <w:r>
        <w:rPr>
          <w:szCs w:val="24"/>
        </w:rPr>
        <w:br w:type="page"/>
      </w:r>
    </w:p>
    <w:p w:rsidR="00583227" w:rsidRPr="0066616B" w:rsidP="00583227" w14:paraId="58E498CD" w14:textId="4840850B">
      <w:pPr>
        <w:pStyle w:val="BodyTextIndent3"/>
        <w:widowControl w:val="0"/>
        <w:spacing w:line="480" w:lineRule="auto"/>
        <w:rPr>
          <w:szCs w:val="24"/>
        </w:rPr>
      </w:pPr>
      <w:r w:rsidRPr="0066616B">
        <w:rPr>
          <w:szCs w:val="24"/>
        </w:rPr>
        <w:t>OCC</w:t>
      </w:r>
      <w:r w:rsidRPr="0066616B" w:rsidR="000353B6">
        <w:rPr>
          <w:szCs w:val="24"/>
        </w:rPr>
        <w:t xml:space="preserve"> </w:t>
      </w:r>
      <w:r w:rsidRPr="0066616B" w:rsidR="002E2195">
        <w:rPr>
          <w:szCs w:val="24"/>
        </w:rPr>
        <w:t>meet</w:t>
      </w:r>
      <w:r w:rsidRPr="0066616B">
        <w:rPr>
          <w:szCs w:val="24"/>
        </w:rPr>
        <w:t>s</w:t>
      </w:r>
      <w:r w:rsidRPr="0066616B" w:rsidR="002E2195">
        <w:rPr>
          <w:szCs w:val="24"/>
        </w:rPr>
        <w:t xml:space="preserve"> the criteria set forth in R.C. 4903.221, </w:t>
      </w:r>
      <w:r w:rsidR="003B0CAC">
        <w:rPr>
          <w:szCs w:val="24"/>
        </w:rPr>
        <w:t>O.A.C.</w:t>
      </w:r>
      <w:r w:rsidRPr="0066616B" w:rsidR="002E2195">
        <w:rPr>
          <w:szCs w:val="24"/>
        </w:rPr>
        <w:t xml:space="preserve"> 4901-1-11, and the precedent established by the Supreme Court of Ohio for intervention. On behalf of Ohio residential </w:t>
      </w:r>
      <w:r w:rsidRPr="0066616B" w:rsidR="000F2BFE">
        <w:rPr>
          <w:szCs w:val="24"/>
        </w:rPr>
        <w:t>consumer</w:t>
      </w:r>
      <w:r w:rsidRPr="0066616B" w:rsidR="002E2195">
        <w:rPr>
          <w:szCs w:val="24"/>
        </w:rPr>
        <w:t xml:space="preserve">s, the PUCO should grant </w:t>
      </w:r>
      <w:r w:rsidRPr="0066616B">
        <w:rPr>
          <w:szCs w:val="24"/>
        </w:rPr>
        <w:t>OCC’s</w:t>
      </w:r>
      <w:r w:rsidRPr="0066616B" w:rsidR="002E2195">
        <w:rPr>
          <w:szCs w:val="24"/>
        </w:rPr>
        <w:t xml:space="preserve"> Motion to Intervene.</w:t>
      </w:r>
    </w:p>
    <w:p w:rsidR="004054AE" w:rsidP="00583227" w14:paraId="01BCF1D8" w14:textId="77777777">
      <w:pPr>
        <w:pStyle w:val="BodyTextIndent3"/>
        <w:widowControl w:val="0"/>
        <w:spacing w:line="480" w:lineRule="auto"/>
        <w:rPr>
          <w:szCs w:val="24"/>
        </w:rPr>
      </w:pPr>
      <w:r w:rsidRPr="0066616B">
        <w:rPr>
          <w:szCs w:val="24"/>
        </w:rPr>
        <w:tab/>
      </w:r>
      <w:r w:rsidRPr="0066616B">
        <w:rPr>
          <w:szCs w:val="24"/>
        </w:rPr>
        <w:tab/>
      </w:r>
      <w:r w:rsidRPr="0066616B">
        <w:rPr>
          <w:szCs w:val="24"/>
        </w:rPr>
        <w:tab/>
      </w:r>
      <w:r w:rsidRPr="0066616B">
        <w:rPr>
          <w:szCs w:val="24"/>
        </w:rPr>
        <w:tab/>
      </w:r>
      <w:r w:rsidRPr="0066616B">
        <w:rPr>
          <w:szCs w:val="24"/>
        </w:rPr>
        <w:tab/>
      </w:r>
    </w:p>
    <w:p w:rsidR="00270B40" w:rsidP="009C58BD" w14:paraId="318982FA" w14:textId="456681CD">
      <w:pPr>
        <w:ind w:left="3600" w:firstLine="720"/>
        <w:rPr>
          <w:szCs w:val="24"/>
        </w:rPr>
      </w:pPr>
      <w:r w:rsidRPr="0066616B">
        <w:rPr>
          <w:szCs w:val="24"/>
        </w:rPr>
        <w:t xml:space="preserve">Respectfully submitted, </w:t>
      </w:r>
    </w:p>
    <w:p w:rsidR="009C58BD" w:rsidRPr="0066616B" w:rsidP="009C58BD" w14:paraId="5C3FB700" w14:textId="77777777">
      <w:pPr>
        <w:ind w:left="3600" w:firstLine="720"/>
        <w:rPr>
          <w:szCs w:val="24"/>
        </w:rPr>
      </w:pPr>
    </w:p>
    <w:p w:rsidR="00270B40" w:rsidRPr="0066616B" w:rsidP="00270B40" w14:paraId="261E04D6" w14:textId="77777777">
      <w:pPr>
        <w:ind w:left="4320"/>
        <w:rPr>
          <w:szCs w:val="24"/>
        </w:rPr>
      </w:pPr>
      <w:bookmarkStart w:id="0" w:name="_Hlk147320616"/>
      <w:r w:rsidRPr="0066616B">
        <w:rPr>
          <w:szCs w:val="24"/>
        </w:rPr>
        <w:t>Maureen R. Willis (0020847)</w:t>
      </w:r>
    </w:p>
    <w:p w:rsidR="00270B40" w:rsidRPr="0066616B" w:rsidP="00270B40" w14:paraId="68AC5C35" w14:textId="14EA40D4">
      <w:pPr>
        <w:ind w:left="4320"/>
        <w:rPr>
          <w:szCs w:val="24"/>
        </w:rPr>
      </w:pPr>
      <w:r w:rsidRPr="0066616B">
        <w:rPr>
          <w:szCs w:val="24"/>
        </w:rPr>
        <w:t>Ohio Consumers’ Counsel</w:t>
      </w:r>
    </w:p>
    <w:p w:rsidR="00270B40" w:rsidRPr="0066616B" w:rsidP="00270B40" w14:paraId="375A4E9F" w14:textId="77777777">
      <w:pPr>
        <w:ind w:left="4320"/>
        <w:rPr>
          <w:szCs w:val="24"/>
        </w:rPr>
      </w:pPr>
    </w:p>
    <w:p w:rsidR="00270B40" w:rsidRPr="0066616B" w:rsidP="00270B40" w14:paraId="1E86FCC9" w14:textId="5A22B227">
      <w:pPr>
        <w:ind w:left="4320"/>
        <w:rPr>
          <w:i/>
          <w:iCs/>
          <w:szCs w:val="24"/>
          <w:u w:val="single"/>
        </w:rPr>
      </w:pPr>
      <w:r w:rsidRPr="0066616B">
        <w:rPr>
          <w:i/>
          <w:iCs/>
          <w:szCs w:val="24"/>
          <w:u w:val="single"/>
        </w:rPr>
        <w:t xml:space="preserve">/s/ </w:t>
      </w:r>
      <w:r w:rsidR="005B36A7">
        <w:rPr>
          <w:i/>
          <w:iCs/>
          <w:szCs w:val="24"/>
          <w:u w:val="single"/>
        </w:rPr>
        <w:t>John Finnigan</w:t>
      </w:r>
    </w:p>
    <w:p w:rsidR="00270B40" w:rsidRPr="0066616B" w:rsidP="00270B40" w14:paraId="3B9C6863" w14:textId="67430D9D">
      <w:pPr>
        <w:ind w:left="4320"/>
        <w:rPr>
          <w:szCs w:val="24"/>
        </w:rPr>
      </w:pPr>
      <w:r>
        <w:rPr>
          <w:szCs w:val="24"/>
        </w:rPr>
        <w:t>John Finnigan</w:t>
      </w:r>
      <w:r w:rsidRPr="0066616B">
        <w:rPr>
          <w:szCs w:val="24"/>
        </w:rPr>
        <w:t xml:space="preserve"> (0018689)</w:t>
      </w:r>
    </w:p>
    <w:p w:rsidR="00270B40" w:rsidRPr="0066616B" w:rsidP="00270B40" w14:paraId="7A5D6EBC" w14:textId="77777777">
      <w:pPr>
        <w:ind w:left="4320"/>
        <w:rPr>
          <w:szCs w:val="24"/>
        </w:rPr>
      </w:pPr>
      <w:r w:rsidRPr="0066616B">
        <w:rPr>
          <w:szCs w:val="24"/>
        </w:rPr>
        <w:t>Counsel of Record</w:t>
      </w:r>
    </w:p>
    <w:p w:rsidR="00270B40" w:rsidRPr="00E5365E" w:rsidP="00FE215D" w14:paraId="6D6E1B27" w14:textId="67C21F8D">
      <w:pPr>
        <w:ind w:left="4320"/>
        <w:rPr>
          <w:szCs w:val="24"/>
        </w:rPr>
      </w:pPr>
      <w:r>
        <w:rPr>
          <w:szCs w:val="24"/>
        </w:rPr>
        <w:t>Thomas Brodbeck</w:t>
      </w:r>
      <w:r w:rsidRPr="00E5365E" w:rsidR="003F0A69">
        <w:rPr>
          <w:szCs w:val="24"/>
        </w:rPr>
        <w:t xml:space="preserve"> (</w:t>
      </w:r>
      <w:r w:rsidRPr="00E5365E" w:rsidR="005B36A7">
        <w:rPr>
          <w:szCs w:val="24"/>
        </w:rPr>
        <w:t>00</w:t>
      </w:r>
      <w:r>
        <w:rPr>
          <w:szCs w:val="24"/>
        </w:rPr>
        <w:t>93920</w:t>
      </w:r>
      <w:r w:rsidRPr="00E5365E" w:rsidR="003F0A69">
        <w:rPr>
          <w:szCs w:val="24"/>
        </w:rPr>
        <w:t>)</w:t>
      </w:r>
      <w:r w:rsidRPr="00E5365E" w:rsidR="003F0A69">
        <w:rPr>
          <w:szCs w:val="24"/>
        </w:rPr>
        <w:tab/>
      </w:r>
    </w:p>
    <w:p w:rsidR="00270B40" w:rsidRPr="0066616B" w:rsidP="00270B40" w14:paraId="3414A6EC" w14:textId="77777777">
      <w:pPr>
        <w:ind w:left="4320"/>
        <w:rPr>
          <w:szCs w:val="24"/>
        </w:rPr>
      </w:pPr>
      <w:r w:rsidRPr="00E5365E">
        <w:rPr>
          <w:szCs w:val="24"/>
        </w:rPr>
        <w:t>Assistant Consumers’ Counsel</w:t>
      </w:r>
    </w:p>
    <w:p w:rsidR="00270B40" w:rsidRPr="0066616B" w:rsidP="00270B40" w14:paraId="17547A0A" w14:textId="77777777">
      <w:pPr>
        <w:ind w:left="4320"/>
        <w:rPr>
          <w:szCs w:val="24"/>
        </w:rPr>
      </w:pPr>
    </w:p>
    <w:p w:rsidR="00270B40" w:rsidRPr="0066616B" w:rsidP="00270B40" w14:paraId="1EDA7DFE" w14:textId="77777777">
      <w:pPr>
        <w:ind w:left="4320"/>
        <w:rPr>
          <w:b/>
          <w:bCs/>
          <w:szCs w:val="24"/>
        </w:rPr>
      </w:pPr>
      <w:r w:rsidRPr="0066616B">
        <w:rPr>
          <w:b/>
          <w:bCs/>
          <w:szCs w:val="24"/>
        </w:rPr>
        <w:t>Office of the Ohio Consumers' Counsel</w:t>
      </w:r>
    </w:p>
    <w:p w:rsidR="00270B40" w:rsidRPr="0066616B" w:rsidP="00270B40" w14:paraId="3F204121" w14:textId="77777777">
      <w:pPr>
        <w:ind w:left="4320"/>
        <w:rPr>
          <w:szCs w:val="24"/>
        </w:rPr>
      </w:pPr>
      <w:r w:rsidRPr="0066616B">
        <w:rPr>
          <w:szCs w:val="24"/>
        </w:rPr>
        <w:t>65 East State Street, Suite 700</w:t>
      </w:r>
    </w:p>
    <w:p w:rsidR="00270B40" w:rsidRPr="0066616B" w:rsidP="00270B40" w14:paraId="536F703F" w14:textId="77777777">
      <w:pPr>
        <w:ind w:left="4320"/>
        <w:rPr>
          <w:szCs w:val="24"/>
        </w:rPr>
      </w:pPr>
      <w:r w:rsidRPr="0066616B">
        <w:rPr>
          <w:szCs w:val="24"/>
        </w:rPr>
        <w:t>Columbus, Ohio 43215</w:t>
      </w:r>
    </w:p>
    <w:p w:rsidR="00270B40" w:rsidRPr="0066616B" w:rsidP="00270B40" w14:paraId="7531F1E2" w14:textId="5D949F6A">
      <w:pPr>
        <w:ind w:left="4320"/>
        <w:rPr>
          <w:szCs w:val="24"/>
        </w:rPr>
      </w:pPr>
      <w:r w:rsidRPr="0066616B">
        <w:rPr>
          <w:szCs w:val="24"/>
        </w:rPr>
        <w:t>Telephone: [</w:t>
      </w:r>
      <w:r w:rsidR="005B36A7">
        <w:rPr>
          <w:szCs w:val="24"/>
        </w:rPr>
        <w:t>Finnigan</w:t>
      </w:r>
      <w:r w:rsidRPr="0066616B">
        <w:rPr>
          <w:szCs w:val="24"/>
        </w:rPr>
        <w:t>] (614) 466-</w:t>
      </w:r>
      <w:r w:rsidR="005B36A7">
        <w:rPr>
          <w:szCs w:val="24"/>
        </w:rPr>
        <w:t>9585</w:t>
      </w:r>
    </w:p>
    <w:p w:rsidR="00E177A6" w:rsidRPr="0066616B" w:rsidP="00270B40" w14:paraId="7A6EF05C" w14:textId="78B4E9C8">
      <w:pPr>
        <w:ind w:left="4320"/>
        <w:rPr>
          <w:szCs w:val="24"/>
        </w:rPr>
      </w:pPr>
      <w:r w:rsidRPr="00E5365E">
        <w:rPr>
          <w:szCs w:val="24"/>
        </w:rPr>
        <w:t>Telephone [</w:t>
      </w:r>
      <w:r w:rsidR="00E5365E">
        <w:rPr>
          <w:szCs w:val="24"/>
        </w:rPr>
        <w:t>Brodbeck</w:t>
      </w:r>
      <w:r w:rsidRPr="00E5365E">
        <w:rPr>
          <w:szCs w:val="24"/>
        </w:rPr>
        <w:t>] (614) 466-95</w:t>
      </w:r>
      <w:r w:rsidR="00E5365E">
        <w:rPr>
          <w:szCs w:val="24"/>
        </w:rPr>
        <w:t>65</w:t>
      </w:r>
    </w:p>
    <w:p w:rsidR="00270B40" w:rsidRPr="0066616B" w:rsidP="00270B40" w14:paraId="1E7EEBD1" w14:textId="72F538BC">
      <w:pPr>
        <w:ind w:left="4320"/>
        <w:rPr>
          <w:szCs w:val="24"/>
        </w:rPr>
      </w:pPr>
      <w:hyperlink r:id="rId6" w:history="1">
        <w:r w:rsidRPr="008B0F8A" w:rsidR="005B36A7">
          <w:rPr>
            <w:rStyle w:val="Hyperlink"/>
            <w:szCs w:val="24"/>
          </w:rPr>
          <w:t>john.finnigan@occ.ohio.gov</w:t>
        </w:r>
      </w:hyperlink>
    </w:p>
    <w:p w:rsidR="00E5365E" w:rsidP="00270B40" w14:paraId="165E5AA6" w14:textId="46DF6A10">
      <w:pPr>
        <w:ind w:left="4320"/>
        <w:rPr>
          <w:szCs w:val="24"/>
        </w:rPr>
      </w:pPr>
      <w:hyperlink r:id="rId7" w:history="1">
        <w:r w:rsidRPr="00114088" w:rsidR="00841501">
          <w:rPr>
            <w:rStyle w:val="Hyperlink"/>
            <w:szCs w:val="24"/>
          </w:rPr>
          <w:t>Thomas.broadbeck@occ.ohio.gov</w:t>
        </w:r>
      </w:hyperlink>
    </w:p>
    <w:p w:rsidR="00270B40" w:rsidRPr="0066616B" w:rsidP="00270B40" w14:paraId="001F9103" w14:textId="08ED6592">
      <w:pPr>
        <w:ind w:left="4320"/>
        <w:rPr>
          <w:szCs w:val="24"/>
        </w:rPr>
      </w:pPr>
      <w:r w:rsidRPr="0066616B">
        <w:rPr>
          <w:szCs w:val="24"/>
        </w:rPr>
        <w:t>(willing to accept service by e-mail)</w:t>
      </w:r>
    </w:p>
    <w:bookmarkEnd w:id="0"/>
    <w:p w:rsidR="005E68A0" w:rsidRPr="0066616B" w14:paraId="104D8C0B" w14:textId="77777777">
      <w:pPr>
        <w:rPr>
          <w:rFonts w:eastAsia="Courier New"/>
          <w:szCs w:val="24"/>
        </w:rPr>
      </w:pPr>
      <w:r w:rsidRPr="0066616B">
        <w:rPr>
          <w:szCs w:val="24"/>
        </w:rPr>
        <w:br w:type="page"/>
      </w:r>
    </w:p>
    <w:p w:rsidR="002E2195" w:rsidRPr="0066616B" w:rsidP="005E68A0" w14:paraId="4960217B" w14:textId="14BAAE98">
      <w:pPr>
        <w:pStyle w:val="HTMLPreformatted"/>
        <w:jc w:val="center"/>
        <w:rPr>
          <w:rFonts w:ascii="Times New Roman" w:hAnsi="Times New Roman" w:cs="Times New Roman"/>
          <w:b/>
          <w:bCs/>
          <w:sz w:val="24"/>
          <w:szCs w:val="24"/>
          <w:u w:val="single"/>
        </w:rPr>
      </w:pPr>
      <w:r w:rsidRPr="0066616B">
        <w:rPr>
          <w:rFonts w:ascii="Times New Roman" w:hAnsi="Times New Roman" w:cs="Times New Roman"/>
          <w:b/>
          <w:bCs/>
          <w:sz w:val="24"/>
          <w:szCs w:val="24"/>
          <w:u w:val="single"/>
        </w:rPr>
        <w:t>CERTIFICATE OF SERVICE</w:t>
      </w:r>
    </w:p>
    <w:p w:rsidR="005E68A0" w:rsidRPr="0066616B" w:rsidP="005E68A0" w14:paraId="58C8C167" w14:textId="77777777">
      <w:pPr>
        <w:pStyle w:val="HTMLPreformatted"/>
        <w:jc w:val="center"/>
        <w:rPr>
          <w:rFonts w:ascii="Times New Roman" w:hAnsi="Times New Roman" w:cs="Times New Roman"/>
          <w:b/>
          <w:bCs/>
          <w:sz w:val="24"/>
          <w:szCs w:val="24"/>
          <w:u w:val="single"/>
        </w:rPr>
      </w:pPr>
    </w:p>
    <w:p w:rsidR="002E2195" w:rsidRPr="0066616B" w:rsidP="002E2195" w14:paraId="07F138F0" w14:textId="7B6DA9CF">
      <w:pPr>
        <w:spacing w:line="480" w:lineRule="auto"/>
        <w:rPr>
          <w:szCs w:val="24"/>
        </w:rPr>
      </w:pPr>
      <w:r w:rsidRPr="0066616B">
        <w:rPr>
          <w:szCs w:val="24"/>
        </w:rPr>
        <w:tab/>
        <w:t xml:space="preserve">I hereby certify that a copy of this Motion to Intervene was served on the persons stated below via electronic transmission, this </w:t>
      </w:r>
      <w:r w:rsidR="004054AE">
        <w:rPr>
          <w:szCs w:val="24"/>
        </w:rPr>
        <w:t>18</w:t>
      </w:r>
      <w:r w:rsidRPr="004054AE" w:rsidR="004054AE">
        <w:rPr>
          <w:szCs w:val="24"/>
          <w:vertAlign w:val="superscript"/>
        </w:rPr>
        <w:t>th</w:t>
      </w:r>
      <w:r w:rsidR="004054AE">
        <w:rPr>
          <w:szCs w:val="24"/>
        </w:rPr>
        <w:t xml:space="preserve"> </w:t>
      </w:r>
      <w:r w:rsidRPr="0066616B">
        <w:rPr>
          <w:szCs w:val="24"/>
        </w:rPr>
        <w:t xml:space="preserve">day of </w:t>
      </w:r>
      <w:r w:rsidR="005B36A7">
        <w:rPr>
          <w:szCs w:val="24"/>
        </w:rPr>
        <w:t>January</w:t>
      </w:r>
      <w:r w:rsidRPr="0066616B">
        <w:rPr>
          <w:szCs w:val="24"/>
        </w:rPr>
        <w:t xml:space="preserve"> 20</w:t>
      </w:r>
      <w:r w:rsidRPr="0066616B" w:rsidR="00BA364E">
        <w:rPr>
          <w:szCs w:val="24"/>
        </w:rPr>
        <w:t>2</w:t>
      </w:r>
      <w:r w:rsidR="005B36A7">
        <w:rPr>
          <w:szCs w:val="24"/>
        </w:rPr>
        <w:t>4</w:t>
      </w:r>
      <w:r w:rsidRPr="0066616B">
        <w:rPr>
          <w:szCs w:val="24"/>
        </w:rPr>
        <w:t>.</w:t>
      </w:r>
    </w:p>
    <w:p w:rsidR="002E2195" w:rsidRPr="0066616B" w14:paraId="4C220D14" w14:textId="718995E7">
      <w:pPr>
        <w:tabs>
          <w:tab w:val="left" w:pos="4320"/>
        </w:tabs>
        <w:rPr>
          <w:i/>
          <w:iCs/>
          <w:szCs w:val="24"/>
          <w:u w:val="single"/>
        </w:rPr>
      </w:pPr>
      <w:r w:rsidRPr="0066616B">
        <w:rPr>
          <w:szCs w:val="24"/>
        </w:rPr>
        <w:tab/>
      </w:r>
      <w:r w:rsidRPr="0066616B">
        <w:rPr>
          <w:i/>
          <w:iCs/>
          <w:szCs w:val="24"/>
          <w:u w:val="single"/>
        </w:rPr>
        <w:t xml:space="preserve">/s/ </w:t>
      </w:r>
      <w:r w:rsidR="005B36A7">
        <w:rPr>
          <w:i/>
          <w:iCs/>
          <w:szCs w:val="24"/>
          <w:u w:val="single"/>
        </w:rPr>
        <w:t>John Finnigan</w:t>
      </w:r>
    </w:p>
    <w:p w:rsidR="002E2195" w:rsidRPr="0066616B" w14:paraId="515C9374" w14:textId="66E8965B">
      <w:pPr>
        <w:tabs>
          <w:tab w:val="left" w:pos="4320"/>
        </w:tabs>
        <w:rPr>
          <w:szCs w:val="24"/>
        </w:rPr>
      </w:pPr>
      <w:r w:rsidRPr="0066616B">
        <w:rPr>
          <w:szCs w:val="24"/>
        </w:rPr>
        <w:tab/>
      </w:r>
      <w:r w:rsidR="005B36A7">
        <w:rPr>
          <w:szCs w:val="24"/>
        </w:rPr>
        <w:t>John Finnigan</w:t>
      </w:r>
    </w:p>
    <w:p w:rsidR="002E2195" w:rsidRPr="0066616B" w14:paraId="5979A51B" w14:textId="77777777">
      <w:pPr>
        <w:tabs>
          <w:tab w:val="left" w:pos="4320"/>
        </w:tabs>
        <w:rPr>
          <w:szCs w:val="24"/>
        </w:rPr>
      </w:pPr>
      <w:r w:rsidRPr="0066616B">
        <w:rPr>
          <w:szCs w:val="24"/>
        </w:rPr>
        <w:tab/>
        <w:t>Assistant Consumers’ Counsel</w:t>
      </w:r>
    </w:p>
    <w:p w:rsidR="001A4C26" w:rsidRPr="0066616B" w14:paraId="2ABFD1C7" w14:textId="77777777">
      <w:pPr>
        <w:tabs>
          <w:tab w:val="left" w:pos="4320"/>
        </w:tabs>
        <w:rPr>
          <w:szCs w:val="24"/>
        </w:rPr>
      </w:pPr>
    </w:p>
    <w:p w:rsidR="001A4C26" w:rsidRPr="0066616B" w:rsidP="001A4C26" w14:paraId="1BDF9863" w14:textId="77777777">
      <w:pPr>
        <w:pStyle w:val="CommentText"/>
      </w:pPr>
      <w:r w:rsidRPr="0066616B">
        <w:t>The PUCO’s e-filing system will electronically serve notice of the filing of this document on the following parties:</w:t>
      </w:r>
    </w:p>
    <w:p w:rsidR="002E2195" w:rsidRPr="0066616B" w14:paraId="680FBFA9" w14:textId="77777777">
      <w:pPr>
        <w:pStyle w:val="CommentText"/>
      </w:pPr>
    </w:p>
    <w:p w:rsidR="002E2195" w:rsidRPr="0066616B" w14:paraId="3F38A750" w14:textId="6C26AE9F">
      <w:pPr>
        <w:pStyle w:val="CommentText"/>
        <w:jc w:val="center"/>
        <w:rPr>
          <w:b/>
          <w:u w:val="single"/>
        </w:rPr>
      </w:pPr>
      <w:r w:rsidRPr="0066616B">
        <w:rPr>
          <w:b/>
          <w:u w:val="single"/>
        </w:rPr>
        <w:t>SERVICE LIST</w:t>
      </w:r>
    </w:p>
    <w:p w:rsidR="004C4382" w:rsidRPr="0066616B" w14:paraId="2305E7CC" w14:textId="349A5573">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14:paraId="73F35304" w14:textId="77777777" w:rsidTr="00AD5C6E">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17157A" w:rsidRPr="0066616B" w:rsidP="004C4382" w14:paraId="3BAE5F6E" w14:textId="77777777">
            <w:pPr>
              <w:pStyle w:val="CommentText"/>
              <w:jc w:val="both"/>
              <w:rPr>
                <w:rStyle w:val="DefaultParagraphFont"/>
                <w:bCs/>
                <w:sz w:val="24"/>
                <w:szCs w:val="24"/>
                <w:lang w:val="en-US" w:eastAsia="en-US" w:bidi="ar-SA"/>
              </w:rPr>
            </w:pPr>
          </w:p>
          <w:p w:rsidR="00CE1AFC" w:rsidRPr="008A1D56" w:rsidP="004C4382" w14:paraId="56195C8A" w14:textId="2E93DE6E">
            <w:pPr>
              <w:pStyle w:val="CommentText"/>
              <w:jc w:val="both"/>
              <w:rPr>
                <w:rStyle w:val="DefaultParagraphFont"/>
                <w:bCs/>
                <w:sz w:val="24"/>
                <w:szCs w:val="24"/>
                <w:lang w:val="en-US" w:eastAsia="en-US" w:bidi="ar-SA"/>
              </w:rPr>
            </w:pPr>
            <w:r w:rsidRPr="008A1D56">
              <w:rPr>
                <w:bCs/>
                <w:sz w:val="24"/>
                <w:szCs w:val="24"/>
                <w:lang w:val="en-US" w:eastAsia="en-US" w:bidi="ar-SA"/>
              </w:rPr>
              <w:t>Attorney Examiner</w:t>
            </w:r>
            <w:r w:rsidRPr="008A1D56" w:rsidR="00176CE4">
              <w:rPr>
                <w:bCs/>
                <w:sz w:val="24"/>
                <w:szCs w:val="24"/>
                <w:lang w:val="en-US" w:eastAsia="en-US" w:bidi="ar-SA"/>
              </w:rPr>
              <w:t>s</w:t>
            </w:r>
            <w:r w:rsidRPr="008A1D56">
              <w:rPr>
                <w:bCs/>
                <w:sz w:val="24"/>
                <w:szCs w:val="24"/>
                <w:lang w:val="en-US" w:eastAsia="en-US" w:bidi="ar-SA"/>
              </w:rPr>
              <w:t>:</w:t>
            </w:r>
          </w:p>
          <w:p w:rsidR="00CE1AFC" w:rsidP="00CE1AFC" w14:paraId="4D9D9108" w14:textId="24F19059">
            <w:pPr>
              <w:pStyle w:val="CommentText"/>
              <w:jc w:val="both"/>
              <w:rPr>
                <w:rStyle w:val="DefaultParagraphFont"/>
                <w:bCs/>
                <w:sz w:val="24"/>
                <w:szCs w:val="24"/>
                <w:lang w:val="en-US" w:eastAsia="en-US" w:bidi="ar-SA"/>
              </w:rPr>
            </w:pPr>
            <w:hyperlink r:id="rId14" w:history="1">
              <w:r w:rsidRPr="00114088" w:rsidR="008A1D56">
                <w:rPr>
                  <w:rStyle w:val="Hyperlink"/>
                  <w:bCs/>
                  <w:color w:val="0000FF"/>
                  <w:sz w:val="24"/>
                  <w:szCs w:val="24"/>
                  <w:u w:val="single"/>
                  <w:lang w:val="en-US" w:eastAsia="en-US" w:bidi="ar-SA"/>
                </w:rPr>
                <w:t>Gregory.price@puco.ohio.gov</w:t>
              </w:r>
            </w:hyperlink>
          </w:p>
          <w:p w:rsidR="008A1D56" w:rsidP="00CE1AFC" w14:paraId="6236C738" w14:textId="115BA782">
            <w:pPr>
              <w:pStyle w:val="CommentText"/>
              <w:jc w:val="both"/>
              <w:rPr>
                <w:rStyle w:val="DefaultParagraphFont"/>
                <w:bCs/>
                <w:sz w:val="24"/>
                <w:szCs w:val="24"/>
                <w:lang w:val="en-US" w:eastAsia="en-US" w:bidi="ar-SA"/>
              </w:rPr>
            </w:pPr>
            <w:hyperlink r:id="rId15" w:history="1">
              <w:r w:rsidRPr="003F0A69" w:rsidR="003F0A69">
                <w:rPr>
                  <w:rStyle w:val="Hyperlink"/>
                  <w:bCs/>
                  <w:color w:val="0000FF"/>
                  <w:sz w:val="24"/>
                  <w:szCs w:val="24"/>
                  <w:u w:val="single"/>
                  <w:lang w:val="en-US" w:eastAsia="en-US" w:bidi="ar-SA"/>
                </w:rPr>
                <w:t>Patricia.Schabo@puco.ohio.gov</w:t>
              </w:r>
            </w:hyperlink>
          </w:p>
          <w:p w:rsidR="008A1D56" w:rsidRPr="008A1D56" w:rsidP="00CE1AFC" w14:paraId="5793BAA3" w14:textId="77777777">
            <w:pPr>
              <w:pStyle w:val="CommentText"/>
              <w:jc w:val="both"/>
              <w:rPr>
                <w:rStyle w:val="DefaultParagraphFont"/>
                <w:bCs/>
                <w:sz w:val="24"/>
                <w:szCs w:val="24"/>
                <w:lang w:val="en-US" w:eastAsia="en-US" w:bidi="ar-SA"/>
              </w:rPr>
            </w:pPr>
          </w:p>
          <w:p w:rsidR="00157FF7" w:rsidRPr="0066616B" w:rsidP="00CE1AFC" w14:paraId="08D9EF0D" w14:textId="0924B72A">
            <w:pPr>
              <w:pStyle w:val="CommentText"/>
              <w:jc w:val="both"/>
              <w:rPr>
                <w:rStyle w:val="DefaultParagraphFont"/>
                <w:bCs/>
                <w:sz w:val="24"/>
                <w:szCs w:val="24"/>
                <w:lang w:val="en-US" w:eastAsia="en-US" w:bidi="ar-SA"/>
              </w:rPr>
            </w:pPr>
          </w:p>
          <w:p w:rsidR="00157FF7" w:rsidRPr="0066616B" w:rsidP="00CE1AFC" w14:paraId="47226BDF" w14:textId="21925C8C">
            <w:pPr>
              <w:pStyle w:val="CommentText"/>
              <w:jc w:val="both"/>
              <w:rPr>
                <w:rStyle w:val="DefaultParagraphFont"/>
                <w:bCs/>
                <w:sz w:val="24"/>
                <w:szCs w:val="24"/>
                <w:lang w:val="en-US" w:eastAsia="en-US" w:bidi="ar-SA"/>
              </w:rPr>
            </w:pPr>
          </w:p>
        </w:tc>
        <w:tc>
          <w:tcPr>
            <w:tcW w:w="4315" w:type="dxa"/>
          </w:tcPr>
          <w:p w:rsidR="004C4382" w:rsidRPr="0066616B" w:rsidP="002C2E75" w14:paraId="56F3F485" w14:textId="3B724E7A">
            <w:pPr>
              <w:pStyle w:val="CommentText"/>
              <w:ind w:left="-19"/>
              <w:rPr>
                <w:rStyle w:val="DefaultParagraphFont"/>
                <w:color w:val="0000FF"/>
                <w:sz w:val="24"/>
                <w:szCs w:val="24"/>
                <w:lang w:val="en-US" w:eastAsia="en-US" w:bidi="ar-SA"/>
              </w:rPr>
            </w:pPr>
          </w:p>
          <w:p w:rsidR="00157FF7" w:rsidRPr="0066616B" w:rsidP="00AD5C6E" w14:paraId="0F03A70E" w14:textId="77777777">
            <w:pPr>
              <w:pStyle w:val="CommentText"/>
              <w:ind w:left="791"/>
              <w:rPr>
                <w:rStyle w:val="DefaultParagraphFont"/>
                <w:color w:val="0000FF"/>
                <w:sz w:val="24"/>
                <w:szCs w:val="24"/>
                <w:lang w:val="en-US" w:eastAsia="en-US" w:bidi="ar-SA"/>
              </w:rPr>
            </w:pPr>
          </w:p>
          <w:p w:rsidR="004054AE" w:rsidP="004054AE" w14:paraId="1379F799" w14:textId="77777777">
            <w:pPr>
              <w:pStyle w:val="CommentText"/>
              <w:jc w:val="both"/>
              <w:rPr>
                <w:rStyle w:val="DefaultParagraphFont"/>
                <w:bCs/>
                <w:sz w:val="24"/>
                <w:szCs w:val="24"/>
                <w:lang w:val="en-US" w:eastAsia="en-US" w:bidi="ar-SA"/>
              </w:rPr>
            </w:pPr>
            <w:hyperlink r:id="rId16" w:history="1">
              <w:r w:rsidRPr="00114088" w:rsidR="00841501">
                <w:rPr>
                  <w:rStyle w:val="Hyperlink"/>
                  <w:bCs/>
                  <w:color w:val="0000FF"/>
                  <w:sz w:val="24"/>
                  <w:szCs w:val="24"/>
                  <w:u w:val="single"/>
                  <w:lang w:val="en-US" w:eastAsia="en-US" w:bidi="ar-SA"/>
                </w:rPr>
                <w:t>Christopher.Hollon@aes.com</w:t>
              </w:r>
            </w:hyperlink>
          </w:p>
          <w:p w:rsidR="00E00494" w:rsidRPr="0066616B" w:rsidP="00AD5C6E" w14:paraId="6D62E2E5" w14:textId="77777777">
            <w:pPr>
              <w:pStyle w:val="CommentText"/>
              <w:ind w:left="791"/>
              <w:rPr>
                <w:rStyle w:val="DefaultParagraphFont"/>
                <w:color w:val="0000FF"/>
                <w:sz w:val="24"/>
                <w:szCs w:val="24"/>
                <w:lang w:val="en-US" w:eastAsia="en-US" w:bidi="ar-SA"/>
              </w:rPr>
            </w:pPr>
          </w:p>
          <w:p w:rsidR="004C4382" w:rsidRPr="0066616B" w:rsidP="004C4382" w14:paraId="0E9136E3" w14:textId="58EB53A0">
            <w:pPr>
              <w:pStyle w:val="CommentText"/>
              <w:rPr>
                <w:rStyle w:val="DefaultParagraphFont"/>
                <w:b/>
                <w:sz w:val="24"/>
                <w:szCs w:val="24"/>
                <w:u w:val="single"/>
                <w:lang w:val="en-US" w:eastAsia="en-US" w:bidi="ar-SA"/>
              </w:rPr>
            </w:pPr>
          </w:p>
        </w:tc>
      </w:tr>
    </w:tbl>
    <w:p w:rsidR="002E2195" w:rsidRPr="0066616B" w14:paraId="0D936A04" w14:textId="77777777">
      <w:pPr>
        <w:pStyle w:val="BodyText"/>
        <w:rPr>
          <w:bCs/>
          <w:szCs w:val="24"/>
        </w:rPr>
      </w:pPr>
    </w:p>
    <w:sectPr w:rsidSect="00660A6E">
      <w:footerReference w:type="first" r:id="rId17"/>
      <w:pgSz w:w="12240" w:h="15840"/>
      <w:pgMar w:top="1440" w:right="1800" w:bottom="1440" w:left="180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Calibri"/>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F16" w14:paraId="1416F8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04208279"/>
      <w:docPartObj>
        <w:docPartGallery w:val="Page Numbers (Bottom of Page)"/>
        <w:docPartUnique/>
      </w:docPartObj>
    </w:sdtPr>
    <w:sdtEndPr>
      <w:rPr>
        <w:noProof/>
        <w:sz w:val="24"/>
        <w:szCs w:val="24"/>
      </w:rPr>
    </w:sdtEndPr>
    <w:sdtContent>
      <w:p w:rsidR="00C910E7" w:rsidRPr="00C910E7" w14:paraId="5797E1B2" w14:textId="39399443">
        <w:pPr>
          <w:pStyle w:val="Footer"/>
          <w:jc w:val="center"/>
          <w:rPr>
            <w:sz w:val="24"/>
            <w:szCs w:val="24"/>
          </w:rPr>
        </w:pPr>
        <w:r w:rsidRPr="00C910E7">
          <w:rPr>
            <w:sz w:val="24"/>
            <w:szCs w:val="24"/>
          </w:rPr>
          <w:fldChar w:fldCharType="begin"/>
        </w:r>
        <w:r w:rsidRPr="00C910E7">
          <w:rPr>
            <w:sz w:val="24"/>
            <w:szCs w:val="24"/>
          </w:rPr>
          <w:instrText xml:space="preserve"> PAGE   \* MERGEFORMAT </w:instrText>
        </w:r>
        <w:r w:rsidRPr="00C910E7">
          <w:rPr>
            <w:sz w:val="24"/>
            <w:szCs w:val="24"/>
          </w:rPr>
          <w:fldChar w:fldCharType="separate"/>
        </w:r>
        <w:r w:rsidRPr="00C910E7">
          <w:rPr>
            <w:noProof/>
            <w:sz w:val="24"/>
            <w:szCs w:val="24"/>
          </w:rPr>
          <w:t>2</w:t>
        </w:r>
        <w:r w:rsidRPr="00C910E7">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7AD4" w14:paraId="1E0F7206" w14:textId="73CDD71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7205359"/>
      <w:docPartObj>
        <w:docPartGallery w:val="Page Numbers (Bottom of Page)"/>
        <w:docPartUnique/>
      </w:docPartObj>
    </w:sdtPr>
    <w:sdtEndPr>
      <w:rPr>
        <w:noProof/>
      </w:rPr>
    </w:sdtEndPr>
    <w:sdtContent>
      <w:p w:rsidR="00957AD4" w14:paraId="238351F8" w14:textId="25DB1D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0A6E" w14:paraId="5DC8286F" w14:textId="77777777">
      <w:r>
        <w:separator/>
      </w:r>
    </w:p>
  </w:footnote>
  <w:footnote w:type="continuationSeparator" w:id="1">
    <w:p w:rsidR="00660A6E" w14:paraId="1608A39D" w14:textId="77777777">
      <w:r>
        <w:continuationSeparator/>
      </w:r>
    </w:p>
  </w:footnote>
  <w:footnote w:id="2">
    <w:p w:rsidR="00FE28CF" w:rsidRPr="00191606" w:rsidP="00191606" w14:paraId="6197B2AB" w14:textId="69A9C299">
      <w:pPr>
        <w:pStyle w:val="FootnoteText"/>
      </w:pPr>
      <w:r>
        <w:rPr>
          <w:rStyle w:val="FootnoteReference"/>
        </w:rPr>
        <w:footnoteRef/>
      </w:r>
      <w:r>
        <w:t xml:space="preserve"> </w:t>
      </w:r>
      <w:r>
        <w:rPr>
          <w:i/>
          <w:iCs/>
        </w:rPr>
        <w:t>In the Matter of the Commission’s Review of the Distribution Investment Rider Work Plan for 2024 of the Dayton</w:t>
      </w:r>
      <w:r w:rsidR="00191606">
        <w:rPr>
          <w:i/>
          <w:iCs/>
        </w:rPr>
        <w:t xml:space="preserve"> Power and Light Company d/b/a AES Ohio</w:t>
      </w:r>
      <w:r w:rsidR="00191606">
        <w:t>, Case No. 23-1176-EL-RDR, Notice of AES Ohio’s Annual Work Plan for its Distribution Investment Rider (Dec</w:t>
      </w:r>
      <w:r w:rsidR="00E5365E">
        <w:t>ember</w:t>
      </w:r>
      <w:r w:rsidR="00191606">
        <w:t xml:space="preserve"> 29, 2023)</w:t>
      </w:r>
      <w:r w:rsidR="00053172">
        <w:t xml:space="preserve"> (“Notice”)</w:t>
      </w:r>
      <w:r w:rsidR="00191606">
        <w:t xml:space="preserve"> at p.3 of </w:t>
      </w:r>
      <w:r w:rsidR="00E86083">
        <w:t>attachment titled “AES Ohio 2024 DIR Work Plan” (“Work Plan”).</w:t>
      </w:r>
    </w:p>
  </w:footnote>
  <w:footnote w:id="3">
    <w:p w:rsidR="00DE7D52" w:rsidP="00DE7D52" w14:paraId="0248A742" w14:textId="14EDB458">
      <w:pPr>
        <w:pStyle w:val="FootnoteText"/>
      </w:pPr>
      <w:r>
        <w:rPr>
          <w:rStyle w:val="FootnoteReference"/>
        </w:rPr>
        <w:footnoteRef/>
      </w:r>
      <w:r>
        <w:t xml:space="preserve"> </w:t>
      </w:r>
      <w:r>
        <w:rPr>
          <w:i/>
          <w:iCs/>
        </w:rPr>
        <w:t>In the Matter of the Application of The Dayton Power and Light Company d/b/a AES Ohio for Approval of Its Electric Security Plan</w:t>
      </w:r>
      <w:r>
        <w:t>, Case No. 22-900-EL-SSO,</w:t>
      </w:r>
      <w:r w:rsidR="0079386B">
        <w:t xml:space="preserve"> et al.</w:t>
      </w:r>
      <w:r>
        <w:t xml:space="preserve"> Order and Opinion </w:t>
      </w:r>
      <w:r w:rsidR="00535869">
        <w:t>at 26 (Aug</w:t>
      </w:r>
      <w:r w:rsidR="009435EA">
        <w:t xml:space="preserve">ust </w:t>
      </w:r>
      <w:r w:rsidR="00535869">
        <w:t>9, 2023)</w:t>
      </w:r>
      <w:r>
        <w:t>.</w:t>
      </w:r>
    </w:p>
  </w:footnote>
  <w:footnote w:id="4">
    <w:p w:rsidR="005C65EF" w14:paraId="42C5932C" w14:textId="6ACB9AA8">
      <w:pPr>
        <w:pStyle w:val="FootnoteText"/>
      </w:pPr>
      <w:r>
        <w:rPr>
          <w:rStyle w:val="FootnoteReference"/>
        </w:rPr>
        <w:footnoteRef/>
      </w:r>
      <w:r>
        <w:t xml:space="preserve"> </w:t>
      </w:r>
      <w:r>
        <w:rPr>
          <w:i/>
          <w:iCs/>
        </w:rPr>
        <w:t>In the Matter of the Application of The Dayton Power and Light Company d/b/a AES Ohio for Approval of Its Electric Security Plan</w:t>
      </w:r>
      <w:r>
        <w:t>, Case No. 22-900-EL-SSO</w:t>
      </w:r>
      <w:r w:rsidR="0079386B">
        <w:t>, et al.</w:t>
      </w:r>
      <w:r>
        <w:t xml:space="preserve"> Direct Testimony of Robert J. Adams (Sept</w:t>
      </w:r>
      <w:r w:rsidR="009435EA">
        <w:t>ember</w:t>
      </w:r>
      <w:r>
        <w:t xml:space="preserve"> 27, 2022) at p.3:2-12.</w:t>
      </w:r>
    </w:p>
  </w:footnote>
  <w:footnote w:id="5">
    <w:p w:rsidR="00372DDE" w14:paraId="06C0AAD2" w14:textId="68DB67FA">
      <w:pPr>
        <w:pStyle w:val="FootnoteText"/>
      </w:pPr>
      <w:r>
        <w:rPr>
          <w:rStyle w:val="FootnoteReference"/>
        </w:rPr>
        <w:footnoteRef/>
      </w:r>
      <w:r>
        <w:t xml:space="preserve"> AES Work Plan. </w:t>
      </w:r>
    </w:p>
  </w:footnote>
  <w:footnote w:id="6">
    <w:p w:rsidR="003C1495" w14:paraId="1892801F" w14:textId="1F92B022">
      <w:pPr>
        <w:pStyle w:val="FootnoteText"/>
      </w:pPr>
      <w:r>
        <w:rPr>
          <w:rStyle w:val="FootnoteReference"/>
        </w:rPr>
        <w:footnoteRef/>
      </w:r>
      <w:r>
        <w:t xml:space="preserve"> </w:t>
      </w:r>
      <w:r w:rsidRPr="009B246C">
        <w:rPr>
          <w:i/>
        </w:rPr>
        <w:t>See</w:t>
      </w:r>
      <w:r>
        <w:t xml:space="preserve"> R.C. Chapter 4911, R.C. 4903.221 and O.A.C. 4901-1-11.</w:t>
      </w:r>
    </w:p>
  </w:footnote>
  <w:footnote w:id="7">
    <w:p w:rsidR="000F13E3" w:rsidP="000F13E3" w14:paraId="0C6BE091" w14:textId="019070FE">
      <w:pPr>
        <w:pStyle w:val="FootnoteText"/>
      </w:pPr>
      <w:r>
        <w:rPr>
          <w:rStyle w:val="FootnoteReference"/>
        </w:rPr>
        <w:footnoteRef/>
      </w:r>
      <w:r>
        <w:t xml:space="preserve"> </w:t>
      </w:r>
      <w:r>
        <w:rPr>
          <w:i/>
          <w:iCs/>
        </w:rPr>
        <w:t>In the Matter of the Application of The Dayton Power and Light Company d/b/a AES Ohio for Approval of Its Electric Security Plan</w:t>
      </w:r>
      <w:r>
        <w:t>, Case No. 22-900-EL-SSO,</w:t>
      </w:r>
      <w:r w:rsidR="0079386B">
        <w:t xml:space="preserve"> et al.</w:t>
      </w:r>
      <w:r>
        <w:t xml:space="preserve"> Direct Testimony of Robert J. Adams (Sept</w:t>
      </w:r>
      <w:r w:rsidR="009435EA">
        <w:t>ember</w:t>
      </w:r>
      <w:r>
        <w:t xml:space="preserve"> 27, 2022) at p.3:2-12.</w:t>
      </w:r>
    </w:p>
  </w:footnote>
  <w:footnote w:id="8">
    <w:p w:rsidR="004B0951" w:rsidP="004B0951" w14:paraId="35519775" w14:textId="77777777">
      <w:pPr>
        <w:pStyle w:val="FootnoteText"/>
      </w:pPr>
      <w:r>
        <w:rPr>
          <w:rStyle w:val="FootnoteReference"/>
        </w:rPr>
        <w:footnoteRef/>
      </w:r>
      <w:r>
        <w:t xml:space="preserve"> AES Work Plan. </w:t>
      </w:r>
    </w:p>
  </w:footnote>
  <w:footnote w:id="9">
    <w:p w:rsidR="00E17514" w:rsidRPr="004B118F" w14:paraId="7C3F7CA4" w14:textId="57C7E364">
      <w:pPr>
        <w:pStyle w:val="FootnoteText"/>
      </w:pPr>
      <w:r>
        <w:rPr>
          <w:rStyle w:val="FootnoteReference"/>
        </w:rPr>
        <w:footnoteRef/>
      </w:r>
      <w:r>
        <w:t xml:space="preserve"> </w:t>
      </w:r>
      <w:r w:rsidRPr="0079386B" w:rsidR="005B36A7">
        <w:rPr>
          <w:i/>
          <w:iCs/>
        </w:rPr>
        <w:t xml:space="preserve">See </w:t>
      </w:r>
      <w:r w:rsidRPr="006C0A85" w:rsidR="006C0A85">
        <w:rPr>
          <w:i/>
          <w:iCs/>
        </w:rPr>
        <w:t>In the matter of the Annual Report of Electric Distribution System Reliability Pursuant to Rule 4901:1- 10-10(C)</w:t>
      </w:r>
      <w:r w:rsidR="006C0A85">
        <w:t>, Case No. 22-995-EL-ESS, Annual Reliability Report for 2021 (Mar</w:t>
      </w:r>
      <w:r w:rsidR="00E5365E">
        <w:t>ch</w:t>
      </w:r>
      <w:r w:rsidR="006C0A85">
        <w:t xml:space="preserve"> 31, 2022)</w:t>
      </w:r>
      <w:r w:rsidR="004B118F">
        <w:t xml:space="preserve">; </w:t>
      </w:r>
      <w:r w:rsidRPr="00B510F3" w:rsidR="005B36A7">
        <w:rPr>
          <w:i/>
          <w:iCs/>
        </w:rPr>
        <w:t>See</w:t>
      </w:r>
      <w:r w:rsidR="005B36A7">
        <w:t xml:space="preserve"> </w:t>
      </w:r>
      <w:r w:rsidR="004B118F">
        <w:rPr>
          <w:i/>
          <w:iCs/>
        </w:rPr>
        <w:t>In the Matter of the Annual Report of Electric Distribution System Reliability Pursuant to Rule 4901:1-10-10(C)</w:t>
      </w:r>
      <w:r w:rsidR="004B118F">
        <w:t>, Case No. 23-995-EL-ESS, Electric Service and Safety Standards Annual Report of the Dayton Power and Light Company d/b/a AES Ohio (March 31, 2023)</w:t>
      </w:r>
      <w:r w:rsidR="000248BE">
        <w:t>.</w:t>
      </w:r>
    </w:p>
  </w:footnote>
  <w:footnote w:id="10">
    <w:p w:rsidR="00707FCE" w:rsidRPr="00F0002D" w14:paraId="51D53EF5" w14:textId="5C4955AD">
      <w:pPr>
        <w:pStyle w:val="FootnoteText"/>
      </w:pPr>
      <w:r>
        <w:rPr>
          <w:rStyle w:val="FootnoteReference"/>
        </w:rPr>
        <w:footnoteRef/>
      </w:r>
      <w:r>
        <w:t xml:space="preserve"> </w:t>
      </w:r>
      <w:r w:rsidRPr="0079386B" w:rsidR="00F0002D">
        <w:rPr>
          <w:i/>
          <w:iCs/>
        </w:rPr>
        <w:t xml:space="preserve">See </w:t>
      </w:r>
      <w:r>
        <w:rPr>
          <w:i/>
          <w:iCs/>
        </w:rPr>
        <w:t>In the Matter of the Application of The Dayton Power and Light Company d/b/a AES Ohio for Approval of Its Electric Security Plan</w:t>
      </w:r>
      <w:r>
        <w:t>, Case No. 22-900-EL-SSO</w:t>
      </w:r>
      <w:r w:rsidR="0079386B">
        <w:t>, et al.</w:t>
      </w:r>
      <w:r>
        <w:t xml:space="preserve">; </w:t>
      </w:r>
      <w:r w:rsidR="00F0002D">
        <w:rPr>
          <w:i/>
          <w:iCs/>
        </w:rPr>
        <w:t>In the Matter of the 2018 Review of the Distribution Investment Rider Contained in the Tariff of Dayton Power and Light Company</w:t>
      </w:r>
      <w:r w:rsidR="00F0002D">
        <w:t xml:space="preserve">, Case No. 19-439-EL-RDR; </w:t>
      </w:r>
      <w:r w:rsidR="00DD3768">
        <w:rPr>
          <w:i/>
          <w:iCs/>
        </w:rPr>
        <w:t xml:space="preserve">In the Matter of the Application of </w:t>
      </w:r>
      <w:r w:rsidR="00953A8E">
        <w:rPr>
          <w:i/>
          <w:iCs/>
        </w:rPr>
        <w:t>the</w:t>
      </w:r>
      <w:r w:rsidR="00DD3768">
        <w:rPr>
          <w:i/>
          <w:iCs/>
        </w:rPr>
        <w:t xml:space="preserve"> Dayton Power and Light Company to Establish a Standard Service Offer in the Form of an Electric Security Plan</w:t>
      </w:r>
      <w:r w:rsidR="00DD3768">
        <w:t>,</w:t>
      </w:r>
      <w:r w:rsidR="00DD3768">
        <w:rPr>
          <w:i/>
          <w:iCs/>
        </w:rPr>
        <w:t xml:space="preserve"> </w:t>
      </w:r>
      <w:r w:rsidR="00DD3768">
        <w:t xml:space="preserve">Case No. 16-395-EL-SSO; and </w:t>
      </w:r>
      <w:r w:rsidR="00F0002D">
        <w:rPr>
          <w:i/>
          <w:iCs/>
        </w:rPr>
        <w:t>In the Matter of the Application of the Dayton Power and Light Company for an Increase in its Electric Distribution Rates</w:t>
      </w:r>
      <w:r w:rsidR="00F0002D">
        <w:t>, Case No. 15-1830-EL-AIR</w:t>
      </w:r>
      <w:r w:rsidR="00DD3768">
        <w:t>.</w:t>
      </w:r>
      <w:r w:rsidR="00F0002D">
        <w:t xml:space="preserve"> </w:t>
      </w:r>
    </w:p>
  </w:footnote>
  <w:footnote w:id="11">
    <w:p w:rsidR="002E2195" w:rsidRPr="000353B6" w:rsidP="00D015B8" w14:paraId="4A6F98CE" w14:textId="09D18350">
      <w:pPr>
        <w:pStyle w:val="FootnoteText"/>
      </w:pPr>
      <w:r w:rsidRPr="000353B6">
        <w:rPr>
          <w:rStyle w:val="FootnoteReference"/>
        </w:rPr>
        <w:footnoteRef/>
      </w:r>
      <w:r w:rsidRPr="000353B6">
        <w:rPr>
          <w:i/>
        </w:rPr>
        <w:t xml:space="preserve"> See Ohio Consumers’ Counsel v. Pub. Util. Comm</w:t>
      </w:r>
      <w:r w:rsidRPr="000353B6">
        <w:t>., 111 Ohio St.3d 384, 2006-Ohio-5853, ¶¶</w:t>
      </w:r>
      <w:r w:rsidR="00344032">
        <w:t xml:space="preserve"> </w:t>
      </w:r>
      <w:r w:rsidRPr="000353B6">
        <w:t>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F16" w14:paraId="4D2A9E0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F16" w14:paraId="0AB6B73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F16" w14:paraId="50E4D31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116A1"/>
    <w:rsid w:val="00016913"/>
    <w:rsid w:val="000248BE"/>
    <w:rsid w:val="00025F44"/>
    <w:rsid w:val="000274CC"/>
    <w:rsid w:val="000325D1"/>
    <w:rsid w:val="000346EF"/>
    <w:rsid w:val="000353B6"/>
    <w:rsid w:val="000366C7"/>
    <w:rsid w:val="0004062B"/>
    <w:rsid w:val="00043651"/>
    <w:rsid w:val="00045186"/>
    <w:rsid w:val="0005057F"/>
    <w:rsid w:val="00053172"/>
    <w:rsid w:val="0005603E"/>
    <w:rsid w:val="00056687"/>
    <w:rsid w:val="00061137"/>
    <w:rsid w:val="00072B5B"/>
    <w:rsid w:val="0007700A"/>
    <w:rsid w:val="000773AE"/>
    <w:rsid w:val="00080423"/>
    <w:rsid w:val="0008205E"/>
    <w:rsid w:val="00082323"/>
    <w:rsid w:val="00082FAA"/>
    <w:rsid w:val="000B68FE"/>
    <w:rsid w:val="000B78DB"/>
    <w:rsid w:val="000C2952"/>
    <w:rsid w:val="000C3DF5"/>
    <w:rsid w:val="000C4253"/>
    <w:rsid w:val="000C573E"/>
    <w:rsid w:val="000D24BE"/>
    <w:rsid w:val="000D490E"/>
    <w:rsid w:val="000E5A64"/>
    <w:rsid w:val="000F03C4"/>
    <w:rsid w:val="000F13E3"/>
    <w:rsid w:val="000F13FC"/>
    <w:rsid w:val="000F2BFE"/>
    <w:rsid w:val="000F6349"/>
    <w:rsid w:val="0010116C"/>
    <w:rsid w:val="00101D00"/>
    <w:rsid w:val="00106ED1"/>
    <w:rsid w:val="00110E9A"/>
    <w:rsid w:val="00114088"/>
    <w:rsid w:val="001259E8"/>
    <w:rsid w:val="00140FD4"/>
    <w:rsid w:val="00144FAA"/>
    <w:rsid w:val="00157FF7"/>
    <w:rsid w:val="001632D5"/>
    <w:rsid w:val="00163BE3"/>
    <w:rsid w:val="001669CB"/>
    <w:rsid w:val="0017157A"/>
    <w:rsid w:val="00171F21"/>
    <w:rsid w:val="00174977"/>
    <w:rsid w:val="00176CE4"/>
    <w:rsid w:val="001871BB"/>
    <w:rsid w:val="00187E1D"/>
    <w:rsid w:val="00191606"/>
    <w:rsid w:val="00194544"/>
    <w:rsid w:val="001A247C"/>
    <w:rsid w:val="001A4C26"/>
    <w:rsid w:val="001B733C"/>
    <w:rsid w:val="001C2A10"/>
    <w:rsid w:val="001C2ABB"/>
    <w:rsid w:val="001C4E87"/>
    <w:rsid w:val="001C5755"/>
    <w:rsid w:val="001C577F"/>
    <w:rsid w:val="001C653F"/>
    <w:rsid w:val="001D3E54"/>
    <w:rsid w:val="001E71E5"/>
    <w:rsid w:val="001E7E35"/>
    <w:rsid w:val="001F6829"/>
    <w:rsid w:val="002209A6"/>
    <w:rsid w:val="002217C9"/>
    <w:rsid w:val="00222190"/>
    <w:rsid w:val="0022284A"/>
    <w:rsid w:val="00224CAF"/>
    <w:rsid w:val="00227C49"/>
    <w:rsid w:val="0023099F"/>
    <w:rsid w:val="00232C8A"/>
    <w:rsid w:val="002330AD"/>
    <w:rsid w:val="00236C3B"/>
    <w:rsid w:val="00236E9B"/>
    <w:rsid w:val="0024017B"/>
    <w:rsid w:val="002468C0"/>
    <w:rsid w:val="002506A4"/>
    <w:rsid w:val="00251ACD"/>
    <w:rsid w:val="00252CA3"/>
    <w:rsid w:val="00261AD3"/>
    <w:rsid w:val="00270B40"/>
    <w:rsid w:val="00272DB3"/>
    <w:rsid w:val="00274189"/>
    <w:rsid w:val="0027467F"/>
    <w:rsid w:val="002775ED"/>
    <w:rsid w:val="00282508"/>
    <w:rsid w:val="00284C3F"/>
    <w:rsid w:val="002865D8"/>
    <w:rsid w:val="0029151B"/>
    <w:rsid w:val="002932A1"/>
    <w:rsid w:val="002A4912"/>
    <w:rsid w:val="002A6E7C"/>
    <w:rsid w:val="002B1AF4"/>
    <w:rsid w:val="002B60BC"/>
    <w:rsid w:val="002C2E75"/>
    <w:rsid w:val="002C6F04"/>
    <w:rsid w:val="002D564E"/>
    <w:rsid w:val="002D6564"/>
    <w:rsid w:val="002E0896"/>
    <w:rsid w:val="002E2195"/>
    <w:rsid w:val="002F2C21"/>
    <w:rsid w:val="002F3AF7"/>
    <w:rsid w:val="002F4818"/>
    <w:rsid w:val="002F4D86"/>
    <w:rsid w:val="002F5E15"/>
    <w:rsid w:val="0032455B"/>
    <w:rsid w:val="00330B07"/>
    <w:rsid w:val="00334ABA"/>
    <w:rsid w:val="00344032"/>
    <w:rsid w:val="00352761"/>
    <w:rsid w:val="003546DF"/>
    <w:rsid w:val="003563B5"/>
    <w:rsid w:val="00363954"/>
    <w:rsid w:val="003664BD"/>
    <w:rsid w:val="00371490"/>
    <w:rsid w:val="003729ED"/>
    <w:rsid w:val="00372DDE"/>
    <w:rsid w:val="00372DE3"/>
    <w:rsid w:val="0037390F"/>
    <w:rsid w:val="003813E0"/>
    <w:rsid w:val="00382EFE"/>
    <w:rsid w:val="00384FA9"/>
    <w:rsid w:val="00387688"/>
    <w:rsid w:val="00387EB3"/>
    <w:rsid w:val="00390941"/>
    <w:rsid w:val="003A4ECB"/>
    <w:rsid w:val="003A6677"/>
    <w:rsid w:val="003B0CAC"/>
    <w:rsid w:val="003B4A59"/>
    <w:rsid w:val="003B5F36"/>
    <w:rsid w:val="003C1495"/>
    <w:rsid w:val="003C2ACA"/>
    <w:rsid w:val="003D25FF"/>
    <w:rsid w:val="003D50AB"/>
    <w:rsid w:val="003E139B"/>
    <w:rsid w:val="003E34A5"/>
    <w:rsid w:val="003E547A"/>
    <w:rsid w:val="003F0259"/>
    <w:rsid w:val="003F0A69"/>
    <w:rsid w:val="003F0B8C"/>
    <w:rsid w:val="003F559A"/>
    <w:rsid w:val="003F575C"/>
    <w:rsid w:val="003F7E60"/>
    <w:rsid w:val="004054AE"/>
    <w:rsid w:val="0040563E"/>
    <w:rsid w:val="00415653"/>
    <w:rsid w:val="00427399"/>
    <w:rsid w:val="00453601"/>
    <w:rsid w:val="00462554"/>
    <w:rsid w:val="00466E3A"/>
    <w:rsid w:val="004675A4"/>
    <w:rsid w:val="00467CF6"/>
    <w:rsid w:val="004720CB"/>
    <w:rsid w:val="00476E8E"/>
    <w:rsid w:val="004843F6"/>
    <w:rsid w:val="00496744"/>
    <w:rsid w:val="004A3CB6"/>
    <w:rsid w:val="004A3F52"/>
    <w:rsid w:val="004A5750"/>
    <w:rsid w:val="004B0951"/>
    <w:rsid w:val="004B118F"/>
    <w:rsid w:val="004B1ABC"/>
    <w:rsid w:val="004B2E4A"/>
    <w:rsid w:val="004B5A65"/>
    <w:rsid w:val="004B6A53"/>
    <w:rsid w:val="004C4382"/>
    <w:rsid w:val="004C6614"/>
    <w:rsid w:val="004D2452"/>
    <w:rsid w:val="004E0D6E"/>
    <w:rsid w:val="004E33AF"/>
    <w:rsid w:val="004F1D33"/>
    <w:rsid w:val="004F7A3B"/>
    <w:rsid w:val="00501884"/>
    <w:rsid w:val="0050227D"/>
    <w:rsid w:val="00504A70"/>
    <w:rsid w:val="005106C0"/>
    <w:rsid w:val="00514776"/>
    <w:rsid w:val="00520790"/>
    <w:rsid w:val="00524C67"/>
    <w:rsid w:val="0052544B"/>
    <w:rsid w:val="00535869"/>
    <w:rsid w:val="00536159"/>
    <w:rsid w:val="005369CC"/>
    <w:rsid w:val="00551D45"/>
    <w:rsid w:val="00551FFF"/>
    <w:rsid w:val="005538BA"/>
    <w:rsid w:val="00555BD4"/>
    <w:rsid w:val="005705FC"/>
    <w:rsid w:val="00571F3E"/>
    <w:rsid w:val="00572294"/>
    <w:rsid w:val="00574184"/>
    <w:rsid w:val="00576F02"/>
    <w:rsid w:val="00577D19"/>
    <w:rsid w:val="00583227"/>
    <w:rsid w:val="00586119"/>
    <w:rsid w:val="00590429"/>
    <w:rsid w:val="00593D38"/>
    <w:rsid w:val="00594C69"/>
    <w:rsid w:val="005A412D"/>
    <w:rsid w:val="005A63D7"/>
    <w:rsid w:val="005A7E7F"/>
    <w:rsid w:val="005B36A7"/>
    <w:rsid w:val="005B3F59"/>
    <w:rsid w:val="005B53F6"/>
    <w:rsid w:val="005B7F33"/>
    <w:rsid w:val="005C65EF"/>
    <w:rsid w:val="005D037C"/>
    <w:rsid w:val="005D10A7"/>
    <w:rsid w:val="005D7E26"/>
    <w:rsid w:val="005E68A0"/>
    <w:rsid w:val="005F5833"/>
    <w:rsid w:val="005F6BFB"/>
    <w:rsid w:val="006005C0"/>
    <w:rsid w:val="00604016"/>
    <w:rsid w:val="00610313"/>
    <w:rsid w:val="00610888"/>
    <w:rsid w:val="0061402C"/>
    <w:rsid w:val="006320AC"/>
    <w:rsid w:val="00645BE2"/>
    <w:rsid w:val="006537B2"/>
    <w:rsid w:val="00660A6E"/>
    <w:rsid w:val="00660AEE"/>
    <w:rsid w:val="006629FC"/>
    <w:rsid w:val="0066475A"/>
    <w:rsid w:val="0066616B"/>
    <w:rsid w:val="0066695F"/>
    <w:rsid w:val="00671585"/>
    <w:rsid w:val="00674FC7"/>
    <w:rsid w:val="00675C12"/>
    <w:rsid w:val="00676683"/>
    <w:rsid w:val="006807B9"/>
    <w:rsid w:val="00686434"/>
    <w:rsid w:val="00697B6E"/>
    <w:rsid w:val="006A111F"/>
    <w:rsid w:val="006B4E02"/>
    <w:rsid w:val="006B602B"/>
    <w:rsid w:val="006C0A85"/>
    <w:rsid w:val="006C138C"/>
    <w:rsid w:val="006E17B2"/>
    <w:rsid w:val="006E2AEC"/>
    <w:rsid w:val="006E4891"/>
    <w:rsid w:val="006F05F0"/>
    <w:rsid w:val="006F067B"/>
    <w:rsid w:val="006F1233"/>
    <w:rsid w:val="006F5CC4"/>
    <w:rsid w:val="00701430"/>
    <w:rsid w:val="00707FCE"/>
    <w:rsid w:val="00710E80"/>
    <w:rsid w:val="0071125C"/>
    <w:rsid w:val="00713017"/>
    <w:rsid w:val="0071430F"/>
    <w:rsid w:val="007144E9"/>
    <w:rsid w:val="00715EFA"/>
    <w:rsid w:val="007257FB"/>
    <w:rsid w:val="00731F59"/>
    <w:rsid w:val="00733CE0"/>
    <w:rsid w:val="007351AF"/>
    <w:rsid w:val="00742FC0"/>
    <w:rsid w:val="00746CA6"/>
    <w:rsid w:val="00747CC4"/>
    <w:rsid w:val="00753167"/>
    <w:rsid w:val="007574F6"/>
    <w:rsid w:val="007607CB"/>
    <w:rsid w:val="00765781"/>
    <w:rsid w:val="00767265"/>
    <w:rsid w:val="007706B3"/>
    <w:rsid w:val="00773907"/>
    <w:rsid w:val="00782275"/>
    <w:rsid w:val="0078378C"/>
    <w:rsid w:val="007845BC"/>
    <w:rsid w:val="00784F2F"/>
    <w:rsid w:val="0079004F"/>
    <w:rsid w:val="0079057D"/>
    <w:rsid w:val="007928EE"/>
    <w:rsid w:val="0079386B"/>
    <w:rsid w:val="007A176F"/>
    <w:rsid w:val="007A5257"/>
    <w:rsid w:val="007A5821"/>
    <w:rsid w:val="007D63A9"/>
    <w:rsid w:val="007E119C"/>
    <w:rsid w:val="007E45BE"/>
    <w:rsid w:val="007E6D00"/>
    <w:rsid w:val="007F1AFA"/>
    <w:rsid w:val="008005E5"/>
    <w:rsid w:val="00805675"/>
    <w:rsid w:val="00807022"/>
    <w:rsid w:val="008140D5"/>
    <w:rsid w:val="00817DB1"/>
    <w:rsid w:val="00820839"/>
    <w:rsid w:val="00821BAC"/>
    <w:rsid w:val="008228D4"/>
    <w:rsid w:val="0082376E"/>
    <w:rsid w:val="0083438E"/>
    <w:rsid w:val="008413E5"/>
    <w:rsid w:val="00841501"/>
    <w:rsid w:val="00841E51"/>
    <w:rsid w:val="00844DCE"/>
    <w:rsid w:val="00844EC5"/>
    <w:rsid w:val="00846570"/>
    <w:rsid w:val="00851801"/>
    <w:rsid w:val="00851979"/>
    <w:rsid w:val="00853355"/>
    <w:rsid w:val="00862C2E"/>
    <w:rsid w:val="0087247A"/>
    <w:rsid w:val="00875A15"/>
    <w:rsid w:val="0087704D"/>
    <w:rsid w:val="00885396"/>
    <w:rsid w:val="008A0710"/>
    <w:rsid w:val="008A1475"/>
    <w:rsid w:val="008A1D56"/>
    <w:rsid w:val="008A27B3"/>
    <w:rsid w:val="008A2EAB"/>
    <w:rsid w:val="008A3591"/>
    <w:rsid w:val="008A6DE3"/>
    <w:rsid w:val="008B0E0E"/>
    <w:rsid w:val="008B0F8A"/>
    <w:rsid w:val="008B3C05"/>
    <w:rsid w:val="008C650D"/>
    <w:rsid w:val="008D2B2D"/>
    <w:rsid w:val="009135AC"/>
    <w:rsid w:val="00926524"/>
    <w:rsid w:val="009279D2"/>
    <w:rsid w:val="00930C77"/>
    <w:rsid w:val="009323B2"/>
    <w:rsid w:val="009374B5"/>
    <w:rsid w:val="009435EA"/>
    <w:rsid w:val="00945C91"/>
    <w:rsid w:val="00950E15"/>
    <w:rsid w:val="00951F84"/>
    <w:rsid w:val="009535A4"/>
    <w:rsid w:val="00953A8E"/>
    <w:rsid w:val="00953BE0"/>
    <w:rsid w:val="00957AD4"/>
    <w:rsid w:val="0096100F"/>
    <w:rsid w:val="009670E2"/>
    <w:rsid w:val="00971301"/>
    <w:rsid w:val="00982083"/>
    <w:rsid w:val="0098723C"/>
    <w:rsid w:val="00990117"/>
    <w:rsid w:val="009909EA"/>
    <w:rsid w:val="00990A62"/>
    <w:rsid w:val="009938D6"/>
    <w:rsid w:val="00995F51"/>
    <w:rsid w:val="00996CA7"/>
    <w:rsid w:val="009A05B9"/>
    <w:rsid w:val="009B18D1"/>
    <w:rsid w:val="009B246C"/>
    <w:rsid w:val="009B615C"/>
    <w:rsid w:val="009C08D1"/>
    <w:rsid w:val="009C3535"/>
    <w:rsid w:val="009C46F4"/>
    <w:rsid w:val="009C58BD"/>
    <w:rsid w:val="009C607F"/>
    <w:rsid w:val="009D019D"/>
    <w:rsid w:val="009D191B"/>
    <w:rsid w:val="009E08C0"/>
    <w:rsid w:val="009E2D95"/>
    <w:rsid w:val="009E3EBA"/>
    <w:rsid w:val="009E61FC"/>
    <w:rsid w:val="009F1A0D"/>
    <w:rsid w:val="009F6F6B"/>
    <w:rsid w:val="00A01A4F"/>
    <w:rsid w:val="00A044B5"/>
    <w:rsid w:val="00A04DBA"/>
    <w:rsid w:val="00A13B48"/>
    <w:rsid w:val="00A17FF3"/>
    <w:rsid w:val="00A25EF2"/>
    <w:rsid w:val="00A32909"/>
    <w:rsid w:val="00A32FBC"/>
    <w:rsid w:val="00A33E47"/>
    <w:rsid w:val="00A51233"/>
    <w:rsid w:val="00A53ABE"/>
    <w:rsid w:val="00A56774"/>
    <w:rsid w:val="00A62965"/>
    <w:rsid w:val="00A647C3"/>
    <w:rsid w:val="00A84F6A"/>
    <w:rsid w:val="00A92CCD"/>
    <w:rsid w:val="00A936A9"/>
    <w:rsid w:val="00A95B5F"/>
    <w:rsid w:val="00AA1925"/>
    <w:rsid w:val="00AA226A"/>
    <w:rsid w:val="00AA69B8"/>
    <w:rsid w:val="00AB0F71"/>
    <w:rsid w:val="00AB3AB4"/>
    <w:rsid w:val="00AB4C51"/>
    <w:rsid w:val="00AC1C9B"/>
    <w:rsid w:val="00AC1EE4"/>
    <w:rsid w:val="00AC64A0"/>
    <w:rsid w:val="00AD53FE"/>
    <w:rsid w:val="00AD5C6E"/>
    <w:rsid w:val="00AE4914"/>
    <w:rsid w:val="00AE4A7E"/>
    <w:rsid w:val="00AE72A4"/>
    <w:rsid w:val="00AF0A13"/>
    <w:rsid w:val="00AF0EA0"/>
    <w:rsid w:val="00AF58B6"/>
    <w:rsid w:val="00B01F54"/>
    <w:rsid w:val="00B03C7A"/>
    <w:rsid w:val="00B120B6"/>
    <w:rsid w:val="00B1314B"/>
    <w:rsid w:val="00B1439F"/>
    <w:rsid w:val="00B21BEC"/>
    <w:rsid w:val="00B23853"/>
    <w:rsid w:val="00B25198"/>
    <w:rsid w:val="00B26846"/>
    <w:rsid w:val="00B27907"/>
    <w:rsid w:val="00B43080"/>
    <w:rsid w:val="00B45B2D"/>
    <w:rsid w:val="00B510F3"/>
    <w:rsid w:val="00B56A16"/>
    <w:rsid w:val="00B57CF7"/>
    <w:rsid w:val="00B62CF9"/>
    <w:rsid w:val="00B71F18"/>
    <w:rsid w:val="00B735E2"/>
    <w:rsid w:val="00B801DA"/>
    <w:rsid w:val="00B80662"/>
    <w:rsid w:val="00B80961"/>
    <w:rsid w:val="00B83549"/>
    <w:rsid w:val="00B913E0"/>
    <w:rsid w:val="00B91844"/>
    <w:rsid w:val="00B91F20"/>
    <w:rsid w:val="00B9358D"/>
    <w:rsid w:val="00BA364E"/>
    <w:rsid w:val="00BA4E2C"/>
    <w:rsid w:val="00BA56CB"/>
    <w:rsid w:val="00BB3EBD"/>
    <w:rsid w:val="00BC7FB4"/>
    <w:rsid w:val="00BD1760"/>
    <w:rsid w:val="00BD435F"/>
    <w:rsid w:val="00BE169E"/>
    <w:rsid w:val="00BE37AE"/>
    <w:rsid w:val="00BE4776"/>
    <w:rsid w:val="00BE5381"/>
    <w:rsid w:val="00BF16A8"/>
    <w:rsid w:val="00BF23EC"/>
    <w:rsid w:val="00BF436C"/>
    <w:rsid w:val="00BF4724"/>
    <w:rsid w:val="00BF57BA"/>
    <w:rsid w:val="00BF6C9E"/>
    <w:rsid w:val="00C010EF"/>
    <w:rsid w:val="00C02BF2"/>
    <w:rsid w:val="00C04E59"/>
    <w:rsid w:val="00C114A0"/>
    <w:rsid w:val="00C13A61"/>
    <w:rsid w:val="00C2626D"/>
    <w:rsid w:val="00C27D9E"/>
    <w:rsid w:val="00C40F8F"/>
    <w:rsid w:val="00C52F84"/>
    <w:rsid w:val="00C54E38"/>
    <w:rsid w:val="00C6261C"/>
    <w:rsid w:val="00C65DF3"/>
    <w:rsid w:val="00C66579"/>
    <w:rsid w:val="00C77FEC"/>
    <w:rsid w:val="00C82C55"/>
    <w:rsid w:val="00C83C99"/>
    <w:rsid w:val="00C910E7"/>
    <w:rsid w:val="00CA7C9C"/>
    <w:rsid w:val="00CB0778"/>
    <w:rsid w:val="00CB3482"/>
    <w:rsid w:val="00CD2486"/>
    <w:rsid w:val="00CD2833"/>
    <w:rsid w:val="00CE0147"/>
    <w:rsid w:val="00CE1AFC"/>
    <w:rsid w:val="00CE499A"/>
    <w:rsid w:val="00CE6563"/>
    <w:rsid w:val="00CE7402"/>
    <w:rsid w:val="00CF1CBF"/>
    <w:rsid w:val="00D015B8"/>
    <w:rsid w:val="00D12905"/>
    <w:rsid w:val="00D17059"/>
    <w:rsid w:val="00D23F16"/>
    <w:rsid w:val="00D35145"/>
    <w:rsid w:val="00D3696A"/>
    <w:rsid w:val="00D36EE4"/>
    <w:rsid w:val="00D416C9"/>
    <w:rsid w:val="00D45C3E"/>
    <w:rsid w:val="00D46F5E"/>
    <w:rsid w:val="00D4731B"/>
    <w:rsid w:val="00D50E87"/>
    <w:rsid w:val="00D67C02"/>
    <w:rsid w:val="00D77C7E"/>
    <w:rsid w:val="00D874F2"/>
    <w:rsid w:val="00D920BC"/>
    <w:rsid w:val="00D92A65"/>
    <w:rsid w:val="00D93EA5"/>
    <w:rsid w:val="00DA4408"/>
    <w:rsid w:val="00DA4E73"/>
    <w:rsid w:val="00DB2234"/>
    <w:rsid w:val="00DC09DE"/>
    <w:rsid w:val="00DC543C"/>
    <w:rsid w:val="00DD2475"/>
    <w:rsid w:val="00DD3768"/>
    <w:rsid w:val="00DD478F"/>
    <w:rsid w:val="00DD48D4"/>
    <w:rsid w:val="00DE51F6"/>
    <w:rsid w:val="00DE57D8"/>
    <w:rsid w:val="00DE5E39"/>
    <w:rsid w:val="00DE6F3D"/>
    <w:rsid w:val="00DE7D52"/>
    <w:rsid w:val="00DF2890"/>
    <w:rsid w:val="00DF2FE3"/>
    <w:rsid w:val="00E000DF"/>
    <w:rsid w:val="00E00494"/>
    <w:rsid w:val="00E067F7"/>
    <w:rsid w:val="00E076AC"/>
    <w:rsid w:val="00E118C2"/>
    <w:rsid w:val="00E13FAC"/>
    <w:rsid w:val="00E17514"/>
    <w:rsid w:val="00E177A6"/>
    <w:rsid w:val="00E21EF4"/>
    <w:rsid w:val="00E2247E"/>
    <w:rsid w:val="00E34FC3"/>
    <w:rsid w:val="00E3753E"/>
    <w:rsid w:val="00E5365E"/>
    <w:rsid w:val="00E655D1"/>
    <w:rsid w:val="00E67543"/>
    <w:rsid w:val="00E70D1F"/>
    <w:rsid w:val="00E731A1"/>
    <w:rsid w:val="00E83685"/>
    <w:rsid w:val="00E8422C"/>
    <w:rsid w:val="00E86083"/>
    <w:rsid w:val="00E917F9"/>
    <w:rsid w:val="00E938F1"/>
    <w:rsid w:val="00E9763A"/>
    <w:rsid w:val="00E97C4F"/>
    <w:rsid w:val="00EA47F9"/>
    <w:rsid w:val="00EA5011"/>
    <w:rsid w:val="00EB27E1"/>
    <w:rsid w:val="00EC0D10"/>
    <w:rsid w:val="00ED353F"/>
    <w:rsid w:val="00EE1B3B"/>
    <w:rsid w:val="00EF537C"/>
    <w:rsid w:val="00EF739F"/>
    <w:rsid w:val="00F0002D"/>
    <w:rsid w:val="00F16FC8"/>
    <w:rsid w:val="00F22094"/>
    <w:rsid w:val="00F24BCE"/>
    <w:rsid w:val="00F31615"/>
    <w:rsid w:val="00F36848"/>
    <w:rsid w:val="00F40B6C"/>
    <w:rsid w:val="00F477FC"/>
    <w:rsid w:val="00F56338"/>
    <w:rsid w:val="00F56F3B"/>
    <w:rsid w:val="00F63037"/>
    <w:rsid w:val="00F72151"/>
    <w:rsid w:val="00F83884"/>
    <w:rsid w:val="00F85F99"/>
    <w:rsid w:val="00FB5D75"/>
    <w:rsid w:val="00FB7302"/>
    <w:rsid w:val="00FD0A28"/>
    <w:rsid w:val="00FE05A8"/>
    <w:rsid w:val="00FE215D"/>
    <w:rsid w:val="00FE28CF"/>
    <w:rsid w:val="00FE4E72"/>
    <w:rsid w:val="00FF0BAC"/>
    <w:rsid w:val="00FF5ECD"/>
    <w:rsid w:val="00FF7F0D"/>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8A0"/>
    <w:rPr>
      <w:sz w:val="24"/>
    </w:rPr>
  </w:style>
  <w:style w:type="paragraph" w:styleId="Heading1">
    <w:name w:val="heading 1"/>
    <w:basedOn w:val="Normal"/>
    <w:next w:val="Normal"/>
    <w:link w:val="Heading1Char"/>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semiHidden/>
    <w:rsid w:val="005E1B54"/>
    <w:pPr>
      <w:spacing w:after="120"/>
    </w:pPr>
    <w:rPr>
      <w:sz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paragraph" w:styleId="Revision">
    <w:name w:val="Revision"/>
    <w:hidden/>
    <w:uiPriority w:val="99"/>
    <w:semiHidden/>
    <w:rsid w:val="00CF21CA"/>
    <w:rPr>
      <w:sz w:val="24"/>
    </w:rPr>
  </w:style>
  <w:style w:type="character" w:customStyle="1" w:styleId="BodyTextChar">
    <w:name w:val="Body Text Char"/>
    <w:link w:val="BodyText"/>
    <w:rsid w:val="005E1B54"/>
    <w:rPr>
      <w:sz w:val="24"/>
    </w:rPr>
  </w:style>
  <w:style w:type="character" w:customStyle="1" w:styleId="BodyTextIndentChar">
    <w:name w:val="Body Text Indent Char"/>
    <w:link w:val="BodyTextIndent"/>
    <w:rsid w:val="005E1B54"/>
    <w:rPr>
      <w:sz w:val="24"/>
    </w:rPr>
  </w:style>
  <w:style w:type="character" w:customStyle="1" w:styleId="UnresolvedMention1">
    <w:name w:val="Unresolved Mention1"/>
    <w:uiPriority w:val="99"/>
    <w:semiHidden/>
    <w:unhideWhenUsed/>
    <w:rsid w:val="001C4E87"/>
    <w:rPr>
      <w:color w:val="605E5C"/>
      <w:shd w:val="clear" w:color="auto" w:fill="E1DFDD"/>
    </w:rPr>
  </w:style>
  <w:style w:type="character" w:customStyle="1" w:styleId="FooterChar">
    <w:name w:val="Footer Char"/>
    <w:link w:val="Footer"/>
    <w:uiPriority w:val="99"/>
    <w:rsid w:val="009E61FC"/>
    <w:rPr>
      <w:lang w:bidi="ar-SA"/>
    </w:rPr>
  </w:style>
  <w:style w:type="character" w:customStyle="1" w:styleId="Heading1Char">
    <w:name w:val="Heading 1 Char"/>
    <w:link w:val="Heading1"/>
    <w:rsid w:val="00462554"/>
    <w:rPr>
      <w:b/>
      <w:sz w:val="24"/>
      <w:szCs w:val="24"/>
      <w:u w:val="single"/>
    </w:rPr>
  </w:style>
  <w:style w:type="character" w:customStyle="1" w:styleId="BodyTextIndent3Char">
    <w:name w:val="Body Text Indent 3 Char"/>
    <w:link w:val="BodyTextIndent3"/>
    <w:rsid w:val="00462554"/>
    <w:rPr>
      <w:sz w:val="24"/>
    </w:rPr>
  </w:style>
  <w:style w:type="character" w:customStyle="1" w:styleId="CommentTextChar">
    <w:name w:val="Comment Text Char"/>
    <w:link w:val="CommentText"/>
    <w:uiPriority w:val="99"/>
    <w:semiHidden/>
    <w:rsid w:val="001A4C26"/>
    <w:rPr>
      <w:sz w:val="24"/>
      <w:szCs w:val="24"/>
    </w:rPr>
  </w:style>
  <w:style w:type="character" w:customStyle="1" w:styleId="HTMLPreformattedChar">
    <w:name w:val="HTML Preformatted Char"/>
    <w:basedOn w:val="DefaultParagraphFont"/>
    <w:link w:val="HTMLPreformatted"/>
    <w:rsid w:val="00AA226A"/>
    <w:rPr>
      <w:rFonts w:ascii="Courier New" w:eastAsia="Courier New" w:hAnsi="Courier New" w:cs="Courier New"/>
    </w:rPr>
  </w:style>
  <w:style w:type="character" w:customStyle="1" w:styleId="UnresolvedMention2">
    <w:name w:val="Unresolved Mention2"/>
    <w:basedOn w:val="DefaultParagraphFont"/>
    <w:rsid w:val="00B27907"/>
    <w:rPr>
      <w:color w:val="605E5C"/>
      <w:shd w:val="clear" w:color="auto" w:fill="E1DFDD"/>
    </w:rPr>
  </w:style>
  <w:style w:type="character" w:customStyle="1" w:styleId="UnresolvedMention3">
    <w:name w:val="Unresolved Mention3"/>
    <w:basedOn w:val="DefaultParagraphFont"/>
    <w:rsid w:val="00270B40"/>
    <w:rPr>
      <w:color w:val="605E5C"/>
      <w:shd w:val="clear" w:color="auto" w:fill="E1DFDD"/>
    </w:rPr>
  </w:style>
  <w:style w:type="character" w:customStyle="1" w:styleId="UnresolvedMention4">
    <w:name w:val="Unresolved Mention4"/>
    <w:basedOn w:val="DefaultParagraphFont"/>
    <w:rsid w:val="00171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mailto:Gregory.price@puco.ohio.gov" TargetMode="External" /><Relationship Id="rId15" Type="http://schemas.openxmlformats.org/officeDocument/2006/relationships/hyperlink" Target="mailto:Patricia.Schabo@puco.ohio.gov" TargetMode="External" /><Relationship Id="rId16" Type="http://schemas.openxmlformats.org/officeDocument/2006/relationships/hyperlink" Target="mailto:Christopher.Hollon@aes.com" TargetMode="Externa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john.finnigan@occ.ohio.gov" TargetMode="External" /><Relationship Id="rId7" Type="http://schemas.openxmlformats.org/officeDocument/2006/relationships/hyperlink" Target="mailto:Thomas.broadbeck@occ.ohio.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AB4FF-C67D-45E1-A404-07C73E75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2024-01-18T20:16:16Z</dcterms:created>
  <dcterms:modified xsi:type="dcterms:W3CDTF">2024-01-18T20:16:16Z</dcterms:modified>
</cp:coreProperties>
</file>