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A9D" w:rsidRDefault="004E2E09">
      <w:pPr>
        <w:spacing w:line="240" w:lineRule="auto"/>
        <w:jc w:val="center"/>
        <w:rPr>
          <w:rFonts w:cs="Arial"/>
          <w:b/>
          <w:smallCaps/>
          <w:sz w:val="28"/>
          <w:szCs w:val="28"/>
        </w:rPr>
      </w:pPr>
      <w:r>
        <w:rPr>
          <w:rFonts w:cs="Arial"/>
          <w:b/>
          <w:smallCaps/>
          <w:sz w:val="28"/>
          <w:szCs w:val="28"/>
        </w:rPr>
        <w:t>Before</w:t>
      </w:r>
    </w:p>
    <w:p w:rsidR="000C0A9D" w:rsidRDefault="004E2E09">
      <w:pPr>
        <w:spacing w:line="240" w:lineRule="auto"/>
        <w:jc w:val="center"/>
        <w:rPr>
          <w:rFonts w:cs="Arial"/>
          <w:b/>
          <w:smallCaps/>
          <w:sz w:val="28"/>
          <w:szCs w:val="28"/>
        </w:rPr>
      </w:pPr>
      <w:r>
        <w:rPr>
          <w:rFonts w:cs="Arial"/>
          <w:b/>
          <w:smallCaps/>
          <w:sz w:val="28"/>
          <w:szCs w:val="28"/>
        </w:rPr>
        <w:t>The Public Utilities Commission of Ohio</w:t>
      </w:r>
    </w:p>
    <w:p w:rsidR="000C0A9D" w:rsidRDefault="000C0A9D">
      <w:pPr>
        <w:spacing w:line="240" w:lineRule="auto"/>
        <w:rPr>
          <w:rFonts w:cs="Arial"/>
          <w:sz w:val="21"/>
        </w:rPr>
      </w:pPr>
    </w:p>
    <w:tbl>
      <w:tblPr>
        <w:tblW w:w="9092" w:type="dxa"/>
        <w:tblLook w:val="01E0" w:firstRow="1" w:lastRow="1" w:firstColumn="1" w:lastColumn="1" w:noHBand="0" w:noVBand="0"/>
      </w:tblPr>
      <w:tblGrid>
        <w:gridCol w:w="5328"/>
        <w:gridCol w:w="450"/>
        <w:gridCol w:w="3314"/>
      </w:tblGrid>
      <w:tr w:rsidR="000C0A9D">
        <w:trPr>
          <w:trHeight w:val="807"/>
        </w:trPr>
        <w:tc>
          <w:tcPr>
            <w:tcW w:w="5328" w:type="dxa"/>
          </w:tcPr>
          <w:p w:rsidR="000C0A9D" w:rsidRDefault="004E2E09">
            <w:pPr>
              <w:autoSpaceDE w:val="0"/>
              <w:autoSpaceDN w:val="0"/>
              <w:adjustRightInd w:val="0"/>
              <w:spacing w:line="240" w:lineRule="auto"/>
              <w:rPr>
                <w:rFonts w:cs="Arial"/>
              </w:rPr>
            </w:pPr>
            <w:r>
              <w:rPr>
                <w:rFonts w:cs="Arial"/>
              </w:rPr>
              <w:t>In the Matter of the Fuel Adjustment Clauses for Columbus Southern Power Company and Ohio Power Company and Related Matters</w:t>
            </w:r>
          </w:p>
        </w:tc>
        <w:tc>
          <w:tcPr>
            <w:tcW w:w="450" w:type="dxa"/>
          </w:tcPr>
          <w:p w:rsidR="000C0A9D" w:rsidRDefault="004E2E09">
            <w:pPr>
              <w:tabs>
                <w:tab w:val="left" w:pos="1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68" w:right="-204"/>
              <w:rPr>
                <w:rFonts w:eastAsia="Calibri" w:cs="Arial"/>
              </w:rPr>
            </w:pPr>
            <w:r>
              <w:rPr>
                <w:rFonts w:eastAsia="Calibri" w:cs="Arial"/>
              </w:rPr>
              <w:t>)</w:t>
            </w:r>
          </w:p>
          <w:p w:rsidR="000C0A9D" w:rsidRDefault="004E2E09">
            <w:pPr>
              <w:tabs>
                <w:tab w:val="left" w:pos="1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68" w:right="-204"/>
              <w:rPr>
                <w:rFonts w:eastAsia="Calibri" w:cs="Arial"/>
              </w:rPr>
            </w:pPr>
            <w:r>
              <w:rPr>
                <w:rFonts w:eastAsia="Calibri" w:cs="Arial"/>
              </w:rPr>
              <w:t>)</w:t>
            </w:r>
          </w:p>
          <w:p w:rsidR="000C0A9D" w:rsidRDefault="004E2E09">
            <w:pPr>
              <w:tabs>
                <w:tab w:val="left" w:pos="1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68" w:right="-204"/>
              <w:rPr>
                <w:rFonts w:eastAsia="Calibri" w:cs="Arial"/>
              </w:rPr>
            </w:pPr>
            <w:r>
              <w:rPr>
                <w:rFonts w:eastAsia="Calibri" w:cs="Arial"/>
              </w:rPr>
              <w:t>)</w:t>
            </w:r>
          </w:p>
        </w:tc>
        <w:tc>
          <w:tcPr>
            <w:tcW w:w="3314" w:type="dxa"/>
          </w:tcPr>
          <w:p w:rsidR="000C0A9D" w:rsidRDefault="000C0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Arial"/>
              </w:rPr>
            </w:pPr>
          </w:p>
          <w:p w:rsidR="000C0A9D" w:rsidRDefault="004E2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Arial"/>
              </w:rPr>
            </w:pPr>
            <w:r>
              <w:rPr>
                <w:rFonts w:eastAsia="Calibri" w:cs="Arial"/>
                <w:bCs/>
              </w:rPr>
              <w:t>Case No. 11-5906-EL-FAC</w:t>
            </w:r>
          </w:p>
        </w:tc>
      </w:tr>
    </w:tbl>
    <w:p w:rsidR="000C0A9D" w:rsidRDefault="000C0A9D">
      <w:pPr>
        <w:spacing w:line="240" w:lineRule="auto"/>
        <w:rPr>
          <w:rFonts w:cs="Arial"/>
        </w:rPr>
      </w:pPr>
    </w:p>
    <w:tbl>
      <w:tblPr>
        <w:tblW w:w="9092" w:type="dxa"/>
        <w:tblLook w:val="01E0" w:firstRow="1" w:lastRow="1" w:firstColumn="1" w:lastColumn="1" w:noHBand="0" w:noVBand="0"/>
      </w:tblPr>
      <w:tblGrid>
        <w:gridCol w:w="5328"/>
        <w:gridCol w:w="450"/>
        <w:gridCol w:w="3314"/>
      </w:tblGrid>
      <w:tr w:rsidR="000C0A9D">
        <w:trPr>
          <w:trHeight w:val="807"/>
        </w:trPr>
        <w:tc>
          <w:tcPr>
            <w:tcW w:w="5328" w:type="dxa"/>
          </w:tcPr>
          <w:p w:rsidR="000C0A9D" w:rsidRDefault="004E2E09">
            <w:pPr>
              <w:autoSpaceDE w:val="0"/>
              <w:autoSpaceDN w:val="0"/>
              <w:adjustRightInd w:val="0"/>
              <w:spacing w:line="240" w:lineRule="auto"/>
              <w:rPr>
                <w:rFonts w:cs="Arial"/>
              </w:rPr>
            </w:pPr>
            <w:r>
              <w:rPr>
                <w:rFonts w:cs="Arial"/>
              </w:rPr>
              <w:t xml:space="preserve">In the Matter of the Fuel Adjustment Clauses for Columbus Southern Power Company and Ohio Power Company </w:t>
            </w:r>
          </w:p>
        </w:tc>
        <w:tc>
          <w:tcPr>
            <w:tcW w:w="450" w:type="dxa"/>
          </w:tcPr>
          <w:p w:rsidR="000C0A9D" w:rsidRDefault="004E2E09">
            <w:pPr>
              <w:tabs>
                <w:tab w:val="left" w:pos="1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68" w:right="-204"/>
              <w:rPr>
                <w:rFonts w:eastAsia="Calibri" w:cs="Arial"/>
              </w:rPr>
            </w:pPr>
            <w:r>
              <w:rPr>
                <w:rFonts w:eastAsia="Calibri" w:cs="Arial"/>
              </w:rPr>
              <w:t>)</w:t>
            </w:r>
          </w:p>
          <w:p w:rsidR="000C0A9D" w:rsidRDefault="004E2E09">
            <w:pPr>
              <w:tabs>
                <w:tab w:val="left" w:pos="1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68" w:right="-204"/>
              <w:rPr>
                <w:rFonts w:eastAsia="Calibri" w:cs="Arial"/>
              </w:rPr>
            </w:pPr>
            <w:r>
              <w:rPr>
                <w:rFonts w:eastAsia="Calibri" w:cs="Arial"/>
              </w:rPr>
              <w:t>)</w:t>
            </w:r>
          </w:p>
          <w:p w:rsidR="000C0A9D" w:rsidRDefault="004E2E09">
            <w:pPr>
              <w:tabs>
                <w:tab w:val="left" w:pos="1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68" w:right="-204"/>
              <w:rPr>
                <w:rFonts w:eastAsia="Calibri" w:cs="Arial"/>
              </w:rPr>
            </w:pPr>
            <w:r>
              <w:rPr>
                <w:rFonts w:eastAsia="Calibri" w:cs="Arial"/>
              </w:rPr>
              <w:t>)</w:t>
            </w:r>
          </w:p>
        </w:tc>
        <w:tc>
          <w:tcPr>
            <w:tcW w:w="3314" w:type="dxa"/>
          </w:tcPr>
          <w:p w:rsidR="000C0A9D" w:rsidRDefault="000C0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Arial"/>
              </w:rPr>
            </w:pPr>
          </w:p>
          <w:p w:rsidR="000C0A9D" w:rsidRDefault="004E2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Arial"/>
              </w:rPr>
            </w:pPr>
            <w:r>
              <w:rPr>
                <w:rFonts w:eastAsia="Calibri" w:cs="Arial"/>
                <w:bCs/>
              </w:rPr>
              <w:t>Case No. 12-3133-EL-FAC</w:t>
            </w:r>
          </w:p>
        </w:tc>
      </w:tr>
    </w:tbl>
    <w:p w:rsidR="000C0A9D" w:rsidRDefault="000C0A9D">
      <w:pPr>
        <w:spacing w:line="240" w:lineRule="auto"/>
        <w:rPr>
          <w:rFonts w:cs="Arial"/>
        </w:rPr>
      </w:pPr>
    </w:p>
    <w:tbl>
      <w:tblPr>
        <w:tblW w:w="9092" w:type="dxa"/>
        <w:tblLook w:val="01E0" w:firstRow="1" w:lastRow="1" w:firstColumn="1" w:lastColumn="1" w:noHBand="0" w:noVBand="0"/>
      </w:tblPr>
      <w:tblGrid>
        <w:gridCol w:w="5328"/>
        <w:gridCol w:w="450"/>
        <w:gridCol w:w="3314"/>
      </w:tblGrid>
      <w:tr w:rsidR="000C0A9D">
        <w:trPr>
          <w:trHeight w:val="558"/>
        </w:trPr>
        <w:tc>
          <w:tcPr>
            <w:tcW w:w="5328" w:type="dxa"/>
          </w:tcPr>
          <w:p w:rsidR="000C0A9D" w:rsidRDefault="004E2E09">
            <w:pPr>
              <w:autoSpaceDE w:val="0"/>
              <w:autoSpaceDN w:val="0"/>
              <w:adjustRightInd w:val="0"/>
              <w:spacing w:line="240" w:lineRule="auto"/>
              <w:rPr>
                <w:rFonts w:cs="Arial"/>
              </w:rPr>
            </w:pPr>
            <w:r>
              <w:rPr>
                <w:rFonts w:cs="Arial"/>
              </w:rPr>
              <w:t xml:space="preserve">In the Matter of the Fuel Adjustment Clauses for Ohio Power Company </w:t>
            </w:r>
          </w:p>
        </w:tc>
        <w:tc>
          <w:tcPr>
            <w:tcW w:w="450" w:type="dxa"/>
          </w:tcPr>
          <w:p w:rsidR="000C0A9D" w:rsidRDefault="004E2E09">
            <w:pPr>
              <w:tabs>
                <w:tab w:val="left" w:pos="1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68" w:right="-204"/>
              <w:rPr>
                <w:rFonts w:eastAsia="Calibri" w:cs="Arial"/>
              </w:rPr>
            </w:pPr>
            <w:r>
              <w:rPr>
                <w:rFonts w:eastAsia="Calibri" w:cs="Arial"/>
              </w:rPr>
              <w:t>)</w:t>
            </w:r>
          </w:p>
          <w:p w:rsidR="000C0A9D" w:rsidRDefault="004E2E09">
            <w:pPr>
              <w:tabs>
                <w:tab w:val="left" w:pos="1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68" w:right="-204"/>
              <w:rPr>
                <w:rFonts w:eastAsia="Calibri" w:cs="Arial"/>
              </w:rPr>
            </w:pPr>
            <w:r>
              <w:rPr>
                <w:rFonts w:eastAsia="Calibri" w:cs="Arial"/>
              </w:rPr>
              <w:t>)</w:t>
            </w:r>
          </w:p>
        </w:tc>
        <w:tc>
          <w:tcPr>
            <w:tcW w:w="3314" w:type="dxa"/>
          </w:tcPr>
          <w:p w:rsidR="000C0A9D" w:rsidRDefault="004E2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Arial"/>
              </w:rPr>
            </w:pPr>
            <w:r>
              <w:rPr>
                <w:rFonts w:eastAsia="Calibri" w:cs="Arial"/>
                <w:bCs/>
              </w:rPr>
              <w:t>Case No. 13-572-EL-FAC</w:t>
            </w:r>
          </w:p>
        </w:tc>
      </w:tr>
    </w:tbl>
    <w:p w:rsidR="000C0A9D" w:rsidRDefault="000C0A9D">
      <w:pPr>
        <w:spacing w:line="240" w:lineRule="auto"/>
        <w:rPr>
          <w:rFonts w:cs="Arial"/>
        </w:rPr>
      </w:pPr>
    </w:p>
    <w:tbl>
      <w:tblPr>
        <w:tblW w:w="9092" w:type="dxa"/>
        <w:tblLook w:val="01E0" w:firstRow="1" w:lastRow="1" w:firstColumn="1" w:lastColumn="1" w:noHBand="0" w:noVBand="0"/>
      </w:tblPr>
      <w:tblGrid>
        <w:gridCol w:w="5328"/>
        <w:gridCol w:w="450"/>
        <w:gridCol w:w="3314"/>
      </w:tblGrid>
      <w:tr w:rsidR="000C0A9D">
        <w:trPr>
          <w:trHeight w:val="558"/>
        </w:trPr>
        <w:tc>
          <w:tcPr>
            <w:tcW w:w="5328" w:type="dxa"/>
          </w:tcPr>
          <w:p w:rsidR="000C0A9D" w:rsidRDefault="004E2E09">
            <w:pPr>
              <w:autoSpaceDE w:val="0"/>
              <w:autoSpaceDN w:val="0"/>
              <w:adjustRightInd w:val="0"/>
              <w:spacing w:line="240" w:lineRule="auto"/>
              <w:rPr>
                <w:rFonts w:cs="Arial"/>
              </w:rPr>
            </w:pPr>
            <w:r>
              <w:rPr>
                <w:rFonts w:cs="Arial"/>
              </w:rPr>
              <w:t xml:space="preserve">In the Matter of the Fuel Adjustment Clauses for Ohio Power Company </w:t>
            </w:r>
          </w:p>
        </w:tc>
        <w:tc>
          <w:tcPr>
            <w:tcW w:w="450" w:type="dxa"/>
          </w:tcPr>
          <w:p w:rsidR="000C0A9D" w:rsidRDefault="004E2E09">
            <w:pPr>
              <w:tabs>
                <w:tab w:val="left" w:pos="1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68" w:right="-204"/>
              <w:rPr>
                <w:rFonts w:eastAsia="Calibri" w:cs="Arial"/>
              </w:rPr>
            </w:pPr>
            <w:r>
              <w:rPr>
                <w:rFonts w:eastAsia="Calibri" w:cs="Arial"/>
              </w:rPr>
              <w:t>)</w:t>
            </w:r>
          </w:p>
          <w:p w:rsidR="000C0A9D" w:rsidRDefault="004E2E09">
            <w:pPr>
              <w:tabs>
                <w:tab w:val="left" w:pos="1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68" w:right="-204"/>
              <w:rPr>
                <w:rFonts w:eastAsia="Calibri" w:cs="Arial"/>
              </w:rPr>
            </w:pPr>
            <w:r>
              <w:rPr>
                <w:rFonts w:eastAsia="Calibri" w:cs="Arial"/>
              </w:rPr>
              <w:t>)</w:t>
            </w:r>
          </w:p>
        </w:tc>
        <w:tc>
          <w:tcPr>
            <w:tcW w:w="3314" w:type="dxa"/>
          </w:tcPr>
          <w:p w:rsidR="000C0A9D" w:rsidRDefault="004E2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Arial"/>
              </w:rPr>
            </w:pPr>
            <w:r>
              <w:rPr>
                <w:rFonts w:eastAsia="Calibri" w:cs="Arial"/>
                <w:bCs/>
              </w:rPr>
              <w:t>Case No. 13-1286-EL-FAC</w:t>
            </w:r>
          </w:p>
        </w:tc>
      </w:tr>
    </w:tbl>
    <w:p w:rsidR="000C0A9D" w:rsidRDefault="000C0A9D">
      <w:pPr>
        <w:spacing w:line="240" w:lineRule="auto"/>
        <w:rPr>
          <w:rFonts w:cs="Arial"/>
        </w:rPr>
      </w:pPr>
    </w:p>
    <w:tbl>
      <w:tblPr>
        <w:tblW w:w="9092" w:type="dxa"/>
        <w:tblLook w:val="01E0" w:firstRow="1" w:lastRow="1" w:firstColumn="1" w:lastColumn="1" w:noHBand="0" w:noVBand="0"/>
      </w:tblPr>
      <w:tblGrid>
        <w:gridCol w:w="5328"/>
        <w:gridCol w:w="450"/>
        <w:gridCol w:w="3314"/>
      </w:tblGrid>
      <w:tr w:rsidR="000C0A9D">
        <w:trPr>
          <w:trHeight w:val="648"/>
        </w:trPr>
        <w:tc>
          <w:tcPr>
            <w:tcW w:w="5328" w:type="dxa"/>
          </w:tcPr>
          <w:p w:rsidR="000C0A9D" w:rsidRDefault="004E2E09">
            <w:pPr>
              <w:autoSpaceDE w:val="0"/>
              <w:autoSpaceDN w:val="0"/>
              <w:adjustRightInd w:val="0"/>
              <w:spacing w:line="240" w:lineRule="auto"/>
              <w:rPr>
                <w:rFonts w:cs="Arial"/>
              </w:rPr>
            </w:pPr>
            <w:r>
              <w:rPr>
                <w:rFonts w:cs="Arial"/>
              </w:rPr>
              <w:t xml:space="preserve">In the Matter of the Fuel Adjustment Clauses for Ohio Power Company </w:t>
            </w:r>
          </w:p>
        </w:tc>
        <w:tc>
          <w:tcPr>
            <w:tcW w:w="450" w:type="dxa"/>
          </w:tcPr>
          <w:p w:rsidR="000C0A9D" w:rsidRDefault="004E2E09">
            <w:pPr>
              <w:tabs>
                <w:tab w:val="left" w:pos="1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68" w:right="-204"/>
              <w:rPr>
                <w:rFonts w:eastAsia="Calibri" w:cs="Arial"/>
              </w:rPr>
            </w:pPr>
            <w:r>
              <w:rPr>
                <w:rFonts w:eastAsia="Calibri" w:cs="Arial"/>
              </w:rPr>
              <w:t>)</w:t>
            </w:r>
          </w:p>
          <w:p w:rsidR="000C0A9D" w:rsidRDefault="004E2E09">
            <w:pPr>
              <w:tabs>
                <w:tab w:val="left" w:pos="1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68" w:right="-204"/>
              <w:rPr>
                <w:rFonts w:eastAsia="Calibri" w:cs="Arial"/>
              </w:rPr>
            </w:pPr>
            <w:r>
              <w:rPr>
                <w:rFonts w:eastAsia="Calibri" w:cs="Arial"/>
              </w:rPr>
              <w:t>)</w:t>
            </w:r>
          </w:p>
        </w:tc>
        <w:tc>
          <w:tcPr>
            <w:tcW w:w="3314" w:type="dxa"/>
          </w:tcPr>
          <w:p w:rsidR="000C0A9D" w:rsidRDefault="004E2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Calibri" w:cs="Arial"/>
              </w:rPr>
            </w:pPr>
            <w:r>
              <w:rPr>
                <w:rFonts w:eastAsia="Calibri" w:cs="Arial"/>
                <w:bCs/>
              </w:rPr>
              <w:t>Case No. 13-1892-EL-FAC</w:t>
            </w:r>
          </w:p>
        </w:tc>
      </w:tr>
    </w:tbl>
    <w:p w:rsidR="000C0A9D" w:rsidRDefault="000C0A9D">
      <w:pPr>
        <w:spacing w:line="240" w:lineRule="auto"/>
        <w:jc w:val="center"/>
        <w:rPr>
          <w:b/>
        </w:rPr>
      </w:pPr>
    </w:p>
    <w:p w:rsidR="000C0A9D" w:rsidRDefault="000C0A9D">
      <w:pPr>
        <w:pStyle w:val="BodyText"/>
        <w:tabs>
          <w:tab w:val="left" w:pos="5040"/>
        </w:tabs>
        <w:spacing w:after="0" w:line="240" w:lineRule="auto"/>
      </w:pPr>
    </w:p>
    <w:p w:rsidR="000C0A9D" w:rsidRDefault="000C0A9D">
      <w:pPr>
        <w:pBdr>
          <w:top w:val="single" w:sz="12" w:space="1" w:color="auto"/>
        </w:pBdr>
        <w:tabs>
          <w:tab w:val="left" w:pos="7320"/>
        </w:tabs>
        <w:spacing w:line="240" w:lineRule="auto"/>
        <w:rPr>
          <w:rFonts w:cs="Arial"/>
          <w:sz w:val="20"/>
          <w:szCs w:val="20"/>
        </w:rPr>
      </w:pPr>
    </w:p>
    <w:p w:rsidR="000C0A9D" w:rsidRDefault="004E2E09">
      <w:pPr>
        <w:spacing w:line="240" w:lineRule="auto"/>
        <w:jc w:val="center"/>
        <w:rPr>
          <w:b/>
          <w:smallCaps/>
          <w:sz w:val="28"/>
          <w:szCs w:val="28"/>
        </w:rPr>
      </w:pPr>
      <w:r>
        <w:rPr>
          <w:b/>
          <w:smallCaps/>
          <w:sz w:val="28"/>
          <w:szCs w:val="28"/>
        </w:rPr>
        <w:t>Industrial Energy Users-Ohio’s Reply to</w:t>
      </w:r>
    </w:p>
    <w:p w:rsidR="000C0A9D" w:rsidRDefault="004E2E09">
      <w:pPr>
        <w:spacing w:line="240" w:lineRule="auto"/>
        <w:jc w:val="center"/>
        <w:rPr>
          <w:b/>
          <w:smallCaps/>
          <w:sz w:val="28"/>
          <w:szCs w:val="28"/>
        </w:rPr>
      </w:pPr>
      <w:r>
        <w:rPr>
          <w:b/>
          <w:smallCaps/>
          <w:sz w:val="28"/>
          <w:szCs w:val="28"/>
        </w:rPr>
        <w:t>Ohio Power Company’s Memorandum Contra to</w:t>
      </w:r>
    </w:p>
    <w:p w:rsidR="000C0A9D" w:rsidRDefault="004E2E09">
      <w:pPr>
        <w:spacing w:line="240" w:lineRule="auto"/>
        <w:jc w:val="center"/>
        <w:rPr>
          <w:smallCaps/>
          <w:sz w:val="28"/>
          <w:szCs w:val="28"/>
        </w:rPr>
      </w:pPr>
      <w:r>
        <w:rPr>
          <w:b/>
          <w:smallCaps/>
          <w:sz w:val="28"/>
          <w:szCs w:val="28"/>
        </w:rPr>
        <w:t>the Office of the Ohio Consumers’ Counsel’s Motion to Compe</w:t>
      </w:r>
      <w:r>
        <w:rPr>
          <w:smallCaps/>
          <w:sz w:val="28"/>
          <w:szCs w:val="28"/>
        </w:rPr>
        <w:t>l</w:t>
      </w:r>
    </w:p>
    <w:p w:rsidR="000C0A9D" w:rsidRDefault="000C0A9D">
      <w:pPr>
        <w:pBdr>
          <w:bottom w:val="single" w:sz="12" w:space="1" w:color="auto"/>
        </w:pBdr>
        <w:tabs>
          <w:tab w:val="left" w:pos="7320"/>
        </w:tabs>
        <w:spacing w:line="240" w:lineRule="auto"/>
        <w:rPr>
          <w:rFonts w:cs="Arial"/>
          <w:sz w:val="20"/>
          <w:szCs w:val="20"/>
        </w:rPr>
      </w:pPr>
    </w:p>
    <w:p w:rsidR="000C0A9D" w:rsidRDefault="000C0A9D">
      <w:pPr>
        <w:widowControl w:val="0"/>
        <w:tabs>
          <w:tab w:val="left" w:pos="4320"/>
        </w:tabs>
        <w:spacing w:line="240" w:lineRule="auto"/>
        <w:ind w:left="4320"/>
        <w:rPr>
          <w:rFonts w:eastAsia="Calibri" w:cs="Arial"/>
          <w:bCs/>
        </w:rPr>
      </w:pPr>
    </w:p>
    <w:p w:rsidR="000C0A9D" w:rsidRDefault="000C0A9D">
      <w:pPr>
        <w:widowControl w:val="0"/>
        <w:tabs>
          <w:tab w:val="left" w:pos="4320"/>
        </w:tabs>
        <w:spacing w:line="240" w:lineRule="auto"/>
        <w:ind w:left="4320"/>
        <w:rPr>
          <w:rFonts w:eastAsia="Calibri" w:cs="Arial"/>
          <w:bCs/>
        </w:rPr>
      </w:pPr>
    </w:p>
    <w:p w:rsidR="000C0A9D" w:rsidRDefault="000C0A9D">
      <w:pPr>
        <w:widowControl w:val="0"/>
        <w:tabs>
          <w:tab w:val="left" w:pos="4320"/>
        </w:tabs>
        <w:spacing w:line="240" w:lineRule="auto"/>
        <w:ind w:left="4320"/>
        <w:rPr>
          <w:rFonts w:eastAsia="Calibri" w:cs="Arial"/>
          <w:bCs/>
        </w:rPr>
      </w:pPr>
    </w:p>
    <w:p w:rsidR="00141C9A" w:rsidRDefault="00141C9A">
      <w:pPr>
        <w:widowControl w:val="0"/>
        <w:tabs>
          <w:tab w:val="left" w:pos="4320"/>
        </w:tabs>
        <w:spacing w:line="240" w:lineRule="auto"/>
        <w:ind w:left="4320"/>
        <w:rPr>
          <w:rFonts w:eastAsia="Calibri" w:cs="Arial"/>
          <w:bCs/>
        </w:rPr>
      </w:pPr>
    </w:p>
    <w:p w:rsidR="000C0A9D" w:rsidRDefault="000C0A9D">
      <w:pPr>
        <w:widowControl w:val="0"/>
        <w:tabs>
          <w:tab w:val="left" w:pos="4320"/>
        </w:tabs>
        <w:spacing w:line="240" w:lineRule="auto"/>
        <w:ind w:left="4320"/>
        <w:rPr>
          <w:rFonts w:eastAsia="Calibri" w:cs="Arial"/>
          <w:bCs/>
        </w:rPr>
      </w:pPr>
    </w:p>
    <w:p w:rsidR="000C0A9D" w:rsidRDefault="000C0A9D">
      <w:pPr>
        <w:widowControl w:val="0"/>
        <w:tabs>
          <w:tab w:val="left" w:pos="4320"/>
        </w:tabs>
        <w:spacing w:line="240" w:lineRule="auto"/>
        <w:ind w:left="4320"/>
        <w:rPr>
          <w:rFonts w:eastAsia="Calibri" w:cs="Arial"/>
          <w:bCs/>
        </w:rPr>
      </w:pPr>
    </w:p>
    <w:p w:rsidR="000C0A9D" w:rsidRDefault="004E2E09">
      <w:pPr>
        <w:widowControl w:val="0"/>
        <w:tabs>
          <w:tab w:val="left" w:pos="4320"/>
        </w:tabs>
        <w:spacing w:line="240" w:lineRule="auto"/>
        <w:ind w:left="4320"/>
        <w:rPr>
          <w:rFonts w:eastAsia="Calibri" w:cs="Arial"/>
          <w:bCs/>
        </w:rPr>
      </w:pPr>
      <w:r>
        <w:rPr>
          <w:rFonts w:eastAsia="Calibri" w:cs="Arial"/>
          <w:bCs/>
        </w:rPr>
        <w:t>Frank P. Darr (Counsel of Record)</w:t>
      </w:r>
    </w:p>
    <w:p w:rsidR="000C0A9D" w:rsidRDefault="004E2E09">
      <w:pPr>
        <w:widowControl w:val="0"/>
        <w:tabs>
          <w:tab w:val="left" w:pos="4320"/>
        </w:tabs>
        <w:spacing w:line="240" w:lineRule="auto"/>
        <w:ind w:left="4320"/>
        <w:rPr>
          <w:rFonts w:eastAsia="Calibri" w:cs="Arial"/>
          <w:bCs/>
        </w:rPr>
      </w:pPr>
      <w:r>
        <w:rPr>
          <w:rFonts w:eastAsia="Calibri" w:cs="Arial"/>
          <w:bCs/>
        </w:rPr>
        <w:t>(Reg. No. 0025469)</w:t>
      </w:r>
    </w:p>
    <w:p w:rsidR="000C0A9D" w:rsidRDefault="004E2E09">
      <w:pPr>
        <w:widowControl w:val="0"/>
        <w:tabs>
          <w:tab w:val="left" w:pos="4320"/>
        </w:tabs>
        <w:spacing w:line="240" w:lineRule="auto"/>
        <w:ind w:left="4320"/>
        <w:rPr>
          <w:rFonts w:eastAsia="Calibri" w:cs="Arial"/>
          <w:b/>
          <w:bCs/>
        </w:rPr>
      </w:pPr>
      <w:r>
        <w:rPr>
          <w:rFonts w:eastAsia="Calibri" w:cs="Arial"/>
          <w:bCs/>
        </w:rPr>
        <w:t>Matthew R. Pritchard (Reg. No. 0088070)</w:t>
      </w:r>
    </w:p>
    <w:p w:rsidR="000C0A9D" w:rsidRDefault="004E2E09">
      <w:pPr>
        <w:widowControl w:val="0"/>
        <w:tabs>
          <w:tab w:val="left" w:pos="4320"/>
        </w:tabs>
        <w:spacing w:line="240" w:lineRule="auto"/>
        <w:ind w:left="4320"/>
        <w:rPr>
          <w:rFonts w:eastAsia="Calibri" w:cs="Arial"/>
          <w:b/>
          <w:bCs/>
          <w:smallCaps/>
        </w:rPr>
      </w:pPr>
      <w:r>
        <w:rPr>
          <w:rFonts w:eastAsia="Calibri" w:cs="Arial"/>
          <w:bCs/>
          <w:smallCaps/>
        </w:rPr>
        <w:t>McNees Wallace &amp; Nurick LLC</w:t>
      </w:r>
    </w:p>
    <w:p w:rsidR="000C0A9D" w:rsidRDefault="004E2E09">
      <w:pPr>
        <w:widowControl w:val="0"/>
        <w:tabs>
          <w:tab w:val="left" w:pos="4320"/>
        </w:tabs>
        <w:spacing w:line="240" w:lineRule="auto"/>
        <w:ind w:left="4320"/>
        <w:rPr>
          <w:rFonts w:eastAsia="Calibri" w:cs="Arial"/>
          <w:b/>
          <w:bCs/>
        </w:rPr>
      </w:pPr>
      <w:r>
        <w:rPr>
          <w:rFonts w:eastAsia="Calibri" w:cs="Arial"/>
          <w:bCs/>
        </w:rPr>
        <w:t>21 East State Street, 17</w:t>
      </w:r>
      <w:r>
        <w:rPr>
          <w:rFonts w:eastAsia="Calibri" w:cs="Arial"/>
          <w:bCs/>
          <w:vertAlign w:val="superscript"/>
        </w:rPr>
        <w:t>TH</w:t>
      </w:r>
      <w:r>
        <w:rPr>
          <w:rFonts w:eastAsia="Calibri" w:cs="Arial"/>
          <w:bCs/>
        </w:rPr>
        <w:t xml:space="preserve"> Floor</w:t>
      </w:r>
    </w:p>
    <w:p w:rsidR="000C0A9D" w:rsidRDefault="004E2E09">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Calibri" w:cs="Arial"/>
        </w:rPr>
      </w:pPr>
      <w:r>
        <w:rPr>
          <w:rFonts w:eastAsia="Calibri" w:cs="Arial"/>
        </w:rPr>
        <w:t>Columbus, OH  43215</w:t>
      </w:r>
    </w:p>
    <w:p w:rsidR="000C0A9D" w:rsidRDefault="004E2E09">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Calibri" w:cs="Arial"/>
        </w:rPr>
      </w:pPr>
      <w:r>
        <w:rPr>
          <w:rFonts w:eastAsia="Calibri" w:cs="Arial"/>
        </w:rPr>
        <w:t>Telephone:  (614) 469-8000</w:t>
      </w:r>
    </w:p>
    <w:p w:rsidR="000C0A9D" w:rsidRDefault="004E2E09">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Calibri" w:cs="Arial"/>
        </w:rPr>
      </w:pPr>
      <w:r>
        <w:rPr>
          <w:rFonts w:eastAsia="Calibri" w:cs="Arial"/>
        </w:rPr>
        <w:t>Telecopier:  (614) 469-4653</w:t>
      </w:r>
    </w:p>
    <w:p w:rsidR="000C0A9D" w:rsidRDefault="004E2E09">
      <w:pPr>
        <w:tabs>
          <w:tab w:val="left" w:pos="-1440"/>
          <w:tab w:val="left" w:pos="-720"/>
          <w:tab w:val="left" w:pos="5040"/>
          <w:tab w:val="center" w:pos="7200"/>
        </w:tabs>
        <w:overflowPunct w:val="0"/>
        <w:autoSpaceDE w:val="0"/>
        <w:autoSpaceDN w:val="0"/>
        <w:adjustRightInd w:val="0"/>
        <w:spacing w:line="240" w:lineRule="auto"/>
        <w:ind w:left="4320"/>
        <w:rPr>
          <w:rFonts w:eastAsia="Calibri" w:cs="Arial"/>
          <w:color w:val="000000"/>
        </w:rPr>
      </w:pPr>
      <w:r>
        <w:rPr>
          <w:rFonts w:eastAsia="Calibri" w:cs="Arial"/>
        </w:rPr>
        <w:t>fdarr@mwncmh.com</w:t>
      </w:r>
    </w:p>
    <w:p w:rsidR="000C0A9D" w:rsidRDefault="004E2E09">
      <w:pPr>
        <w:tabs>
          <w:tab w:val="left" w:pos="-1440"/>
          <w:tab w:val="left" w:pos="-720"/>
          <w:tab w:val="left" w:pos="5040"/>
          <w:tab w:val="center" w:pos="7200"/>
        </w:tabs>
        <w:overflowPunct w:val="0"/>
        <w:autoSpaceDE w:val="0"/>
        <w:autoSpaceDN w:val="0"/>
        <w:adjustRightInd w:val="0"/>
        <w:spacing w:line="240" w:lineRule="auto"/>
        <w:ind w:left="4320"/>
        <w:rPr>
          <w:rFonts w:eastAsia="Calibri" w:cs="Arial"/>
          <w:color w:val="000000"/>
        </w:rPr>
      </w:pPr>
      <w:r>
        <w:rPr>
          <w:rFonts w:eastAsia="Calibri" w:cs="Arial"/>
          <w:color w:val="000000"/>
        </w:rPr>
        <w:t>(willing to accept service by e-mail)</w:t>
      </w:r>
    </w:p>
    <w:p w:rsidR="000C0A9D" w:rsidRDefault="004E2E09">
      <w:pPr>
        <w:tabs>
          <w:tab w:val="left" w:pos="-1440"/>
          <w:tab w:val="left" w:pos="-720"/>
          <w:tab w:val="left" w:pos="5040"/>
          <w:tab w:val="center" w:pos="7200"/>
        </w:tabs>
        <w:overflowPunct w:val="0"/>
        <w:autoSpaceDE w:val="0"/>
        <w:autoSpaceDN w:val="0"/>
        <w:adjustRightInd w:val="0"/>
        <w:spacing w:line="240" w:lineRule="auto"/>
        <w:ind w:left="4320"/>
        <w:rPr>
          <w:rFonts w:eastAsia="Calibri" w:cs="Arial"/>
          <w:smallCaps/>
          <w:color w:val="000000"/>
        </w:rPr>
      </w:pPr>
      <w:r>
        <w:rPr>
          <w:rFonts w:eastAsia="Calibri" w:cs="Arial"/>
          <w:color w:val="000000"/>
        </w:rPr>
        <w:t>mpritchard@mwncmh.com</w:t>
      </w:r>
    </w:p>
    <w:p w:rsidR="000C0A9D" w:rsidRDefault="004E2E09">
      <w:pPr>
        <w:tabs>
          <w:tab w:val="left" w:pos="-1440"/>
          <w:tab w:val="left" w:pos="-720"/>
          <w:tab w:val="left" w:pos="5040"/>
          <w:tab w:val="center" w:pos="7200"/>
        </w:tabs>
        <w:overflowPunct w:val="0"/>
        <w:autoSpaceDE w:val="0"/>
        <w:autoSpaceDN w:val="0"/>
        <w:adjustRightInd w:val="0"/>
        <w:spacing w:line="240" w:lineRule="auto"/>
        <w:ind w:left="4320"/>
        <w:rPr>
          <w:rFonts w:eastAsia="Calibri" w:cs="Arial"/>
          <w:color w:val="000000"/>
        </w:rPr>
      </w:pPr>
      <w:r>
        <w:rPr>
          <w:rFonts w:eastAsia="Calibri" w:cs="Arial"/>
          <w:color w:val="000000"/>
        </w:rPr>
        <w:t>(willing to accept service by e-mail)</w:t>
      </w:r>
    </w:p>
    <w:p w:rsidR="000C0A9D" w:rsidRDefault="000C0A9D">
      <w:pPr>
        <w:tabs>
          <w:tab w:val="left" w:pos="-1440"/>
          <w:tab w:val="left" w:pos="-720"/>
          <w:tab w:val="left" w:pos="5040"/>
          <w:tab w:val="center" w:pos="7200"/>
        </w:tabs>
        <w:overflowPunct w:val="0"/>
        <w:autoSpaceDE w:val="0"/>
        <w:autoSpaceDN w:val="0"/>
        <w:adjustRightInd w:val="0"/>
        <w:spacing w:line="240" w:lineRule="auto"/>
        <w:ind w:left="4320"/>
        <w:rPr>
          <w:rFonts w:eastAsia="Calibri" w:cs="Arial"/>
          <w:b/>
          <w:smallCaps/>
        </w:rPr>
      </w:pPr>
      <w:bookmarkStart w:id="0" w:name="_GoBack"/>
      <w:bookmarkEnd w:id="0"/>
    </w:p>
    <w:p w:rsidR="000C0A9D" w:rsidRDefault="004E2E09">
      <w:pPr>
        <w:tabs>
          <w:tab w:val="left" w:pos="-1440"/>
          <w:tab w:val="left" w:pos="-720"/>
          <w:tab w:val="left" w:pos="4500"/>
          <w:tab w:val="left" w:pos="5040"/>
        </w:tabs>
        <w:spacing w:line="240" w:lineRule="auto"/>
        <w:ind w:left="4320" w:hanging="4320"/>
        <w:rPr>
          <w:rFonts w:eastAsia="Calibri" w:cs="Arial"/>
          <w:b/>
        </w:rPr>
        <w:sectPr w:rsidR="000C0A9D" w:rsidSect="00141C9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08" w:left="1440" w:header="720" w:footer="720" w:gutter="0"/>
          <w:cols w:space="720"/>
          <w:titlePg/>
          <w:docGrid w:linePitch="360"/>
        </w:sectPr>
      </w:pPr>
      <w:r>
        <w:rPr>
          <w:rFonts w:eastAsia="Calibri" w:cs="Arial"/>
          <w:b/>
        </w:rPr>
        <w:t>August 7, 2015</w:t>
      </w:r>
      <w:r>
        <w:rPr>
          <w:rFonts w:eastAsia="Calibri" w:cs="Arial"/>
          <w:b/>
        </w:rPr>
        <w:tab/>
        <w:t>Attorneys for Industrial Energy Users-Ohio</w:t>
      </w:r>
    </w:p>
    <w:p w:rsidR="000C0A9D" w:rsidRDefault="004E2E09" w:rsidP="00141C9A">
      <w:pPr>
        <w:tabs>
          <w:tab w:val="left" w:pos="-1440"/>
          <w:tab w:val="left" w:pos="-720"/>
          <w:tab w:val="left" w:pos="4500"/>
          <w:tab w:val="left" w:pos="5040"/>
        </w:tabs>
        <w:spacing w:line="240" w:lineRule="auto"/>
        <w:ind w:left="4320" w:hanging="4320"/>
        <w:jc w:val="center"/>
        <w:rPr>
          <w:rFonts w:ascii="Arial Bold" w:hAnsi="Arial Bold" w:cs="Arial"/>
          <w:smallCaps/>
          <w:sz w:val="28"/>
          <w:szCs w:val="28"/>
        </w:rPr>
      </w:pPr>
      <w:r>
        <w:rPr>
          <w:rFonts w:ascii="Arial Bold" w:hAnsi="Arial Bold" w:cs="Arial"/>
          <w:smallCaps/>
          <w:sz w:val="28"/>
          <w:szCs w:val="28"/>
        </w:rPr>
        <w:lastRenderedPageBreak/>
        <w:t>Before</w:t>
      </w:r>
    </w:p>
    <w:p w:rsidR="000C0A9D" w:rsidRDefault="004E2E09">
      <w:pPr>
        <w:spacing w:line="240" w:lineRule="auto"/>
        <w:jc w:val="center"/>
        <w:rPr>
          <w:rFonts w:ascii="Arial Bold" w:hAnsi="Arial Bold" w:cs="Arial"/>
          <w:b/>
          <w:caps/>
          <w:sz w:val="28"/>
          <w:szCs w:val="28"/>
        </w:rPr>
      </w:pPr>
      <w:r>
        <w:rPr>
          <w:rFonts w:ascii="Arial Bold" w:hAnsi="Arial Bold" w:cs="Arial"/>
          <w:b/>
          <w:smallCaps/>
          <w:sz w:val="28"/>
          <w:szCs w:val="28"/>
        </w:rPr>
        <w:t>The Public Utilities Commission of Ohio</w:t>
      </w:r>
    </w:p>
    <w:p w:rsidR="000C0A9D" w:rsidRDefault="000C0A9D">
      <w:pPr>
        <w:pStyle w:val="BodyTextIndent2"/>
        <w:spacing w:after="0" w:line="240" w:lineRule="auto"/>
        <w:ind w:left="0"/>
      </w:pPr>
    </w:p>
    <w:tbl>
      <w:tblPr>
        <w:tblW w:w="9092" w:type="dxa"/>
        <w:tblLook w:val="01E0" w:firstRow="1" w:lastRow="1" w:firstColumn="1" w:lastColumn="1" w:noHBand="0" w:noVBand="0"/>
      </w:tblPr>
      <w:tblGrid>
        <w:gridCol w:w="5328"/>
        <w:gridCol w:w="450"/>
        <w:gridCol w:w="3314"/>
      </w:tblGrid>
      <w:tr w:rsidR="000C0A9D">
        <w:trPr>
          <w:trHeight w:val="807"/>
        </w:trPr>
        <w:tc>
          <w:tcPr>
            <w:tcW w:w="5328" w:type="dxa"/>
          </w:tcPr>
          <w:p w:rsidR="000C0A9D" w:rsidRDefault="004E2E09">
            <w:pPr>
              <w:autoSpaceDE w:val="0"/>
              <w:autoSpaceDN w:val="0"/>
              <w:adjustRightInd w:val="0"/>
              <w:spacing w:line="240" w:lineRule="auto"/>
              <w:rPr>
                <w:rFonts w:cs="Arial"/>
              </w:rPr>
            </w:pPr>
            <w:r>
              <w:rPr>
                <w:rFonts w:cs="Arial"/>
              </w:rPr>
              <w:t>In the Matter of the Fuel Adjustment Clauses for Columbus Southern Power Company and Ohio Power Company and Related Matters</w:t>
            </w:r>
          </w:p>
        </w:tc>
        <w:tc>
          <w:tcPr>
            <w:tcW w:w="450" w:type="dxa"/>
          </w:tcPr>
          <w:p w:rsidR="000C0A9D" w:rsidRDefault="004E2E09">
            <w:pPr>
              <w:pStyle w:val="HTMLPreformatted"/>
              <w:tabs>
                <w:tab w:val="left" w:pos="168"/>
              </w:tabs>
              <w:ind w:left="168" w:right="-204"/>
              <w:rPr>
                <w:rFonts w:ascii="Arial" w:hAnsi="Arial" w:cs="Arial"/>
                <w:sz w:val="24"/>
                <w:szCs w:val="24"/>
              </w:rPr>
            </w:pPr>
            <w:r>
              <w:rPr>
                <w:rFonts w:ascii="Arial" w:hAnsi="Arial" w:cs="Arial"/>
                <w:sz w:val="24"/>
                <w:szCs w:val="24"/>
              </w:rPr>
              <w:t>)</w:t>
            </w:r>
          </w:p>
          <w:p w:rsidR="000C0A9D" w:rsidRDefault="004E2E09">
            <w:pPr>
              <w:pStyle w:val="HTMLPreformatted"/>
              <w:tabs>
                <w:tab w:val="left" w:pos="168"/>
              </w:tabs>
              <w:ind w:left="168" w:right="-204"/>
              <w:rPr>
                <w:rFonts w:ascii="Arial" w:hAnsi="Arial" w:cs="Arial"/>
                <w:sz w:val="24"/>
                <w:szCs w:val="24"/>
              </w:rPr>
            </w:pPr>
            <w:r>
              <w:rPr>
                <w:rFonts w:ascii="Arial" w:hAnsi="Arial" w:cs="Arial"/>
                <w:sz w:val="24"/>
                <w:szCs w:val="24"/>
              </w:rPr>
              <w:t>)</w:t>
            </w:r>
          </w:p>
          <w:p w:rsidR="000C0A9D" w:rsidRDefault="004E2E09">
            <w:pPr>
              <w:pStyle w:val="HTMLPreformatted"/>
              <w:tabs>
                <w:tab w:val="left" w:pos="168"/>
              </w:tabs>
              <w:ind w:left="168" w:right="-204"/>
              <w:rPr>
                <w:rFonts w:ascii="Arial" w:hAnsi="Arial" w:cs="Arial"/>
                <w:sz w:val="24"/>
                <w:szCs w:val="24"/>
              </w:rPr>
            </w:pPr>
            <w:r>
              <w:rPr>
                <w:rFonts w:ascii="Arial" w:hAnsi="Arial" w:cs="Arial"/>
                <w:sz w:val="24"/>
                <w:szCs w:val="24"/>
              </w:rPr>
              <w:t>)</w:t>
            </w:r>
          </w:p>
        </w:tc>
        <w:tc>
          <w:tcPr>
            <w:tcW w:w="3314" w:type="dxa"/>
          </w:tcPr>
          <w:p w:rsidR="000C0A9D" w:rsidRDefault="000C0A9D">
            <w:pPr>
              <w:pStyle w:val="HTMLPreformatted"/>
              <w:rPr>
                <w:rFonts w:ascii="Arial" w:hAnsi="Arial" w:cs="Arial"/>
                <w:sz w:val="24"/>
                <w:szCs w:val="24"/>
              </w:rPr>
            </w:pPr>
          </w:p>
          <w:p w:rsidR="000C0A9D" w:rsidRDefault="004E2E09">
            <w:pPr>
              <w:pStyle w:val="HTMLPreformatted"/>
              <w:rPr>
                <w:rFonts w:ascii="Arial" w:hAnsi="Arial" w:cs="Arial"/>
                <w:sz w:val="24"/>
                <w:szCs w:val="24"/>
              </w:rPr>
            </w:pPr>
            <w:r>
              <w:rPr>
                <w:rFonts w:ascii="Arial" w:hAnsi="Arial" w:cs="Arial"/>
                <w:bCs/>
                <w:sz w:val="24"/>
                <w:szCs w:val="24"/>
              </w:rPr>
              <w:t>Case No. 11-5906-EL-FAC</w:t>
            </w:r>
          </w:p>
        </w:tc>
      </w:tr>
    </w:tbl>
    <w:p w:rsidR="000C0A9D" w:rsidRDefault="000C0A9D">
      <w:pPr>
        <w:spacing w:line="240" w:lineRule="auto"/>
        <w:rPr>
          <w:rFonts w:cs="Arial"/>
        </w:rPr>
      </w:pPr>
    </w:p>
    <w:tbl>
      <w:tblPr>
        <w:tblW w:w="9092" w:type="dxa"/>
        <w:tblLook w:val="01E0" w:firstRow="1" w:lastRow="1" w:firstColumn="1" w:lastColumn="1" w:noHBand="0" w:noVBand="0"/>
      </w:tblPr>
      <w:tblGrid>
        <w:gridCol w:w="5328"/>
        <w:gridCol w:w="450"/>
        <w:gridCol w:w="3314"/>
      </w:tblGrid>
      <w:tr w:rsidR="000C0A9D">
        <w:trPr>
          <w:trHeight w:val="807"/>
        </w:trPr>
        <w:tc>
          <w:tcPr>
            <w:tcW w:w="5328" w:type="dxa"/>
          </w:tcPr>
          <w:p w:rsidR="000C0A9D" w:rsidRDefault="004E2E09">
            <w:pPr>
              <w:autoSpaceDE w:val="0"/>
              <w:autoSpaceDN w:val="0"/>
              <w:adjustRightInd w:val="0"/>
              <w:spacing w:line="240" w:lineRule="auto"/>
              <w:rPr>
                <w:rFonts w:cs="Arial"/>
              </w:rPr>
            </w:pPr>
            <w:r>
              <w:rPr>
                <w:rFonts w:cs="Arial"/>
              </w:rPr>
              <w:t xml:space="preserve">In the Matter of the Fuel Adjustment Clauses for Columbus Southern Power Company and Ohio Power Company </w:t>
            </w:r>
          </w:p>
        </w:tc>
        <w:tc>
          <w:tcPr>
            <w:tcW w:w="450" w:type="dxa"/>
          </w:tcPr>
          <w:p w:rsidR="000C0A9D" w:rsidRDefault="004E2E09">
            <w:pPr>
              <w:pStyle w:val="HTMLPreformatted"/>
              <w:tabs>
                <w:tab w:val="left" w:pos="168"/>
              </w:tabs>
              <w:ind w:left="168" w:right="-204"/>
              <w:rPr>
                <w:rFonts w:ascii="Arial" w:hAnsi="Arial" w:cs="Arial"/>
                <w:sz w:val="24"/>
                <w:szCs w:val="24"/>
              </w:rPr>
            </w:pPr>
            <w:r>
              <w:rPr>
                <w:rFonts w:ascii="Arial" w:hAnsi="Arial" w:cs="Arial"/>
                <w:sz w:val="24"/>
                <w:szCs w:val="24"/>
              </w:rPr>
              <w:t>)</w:t>
            </w:r>
          </w:p>
          <w:p w:rsidR="000C0A9D" w:rsidRDefault="004E2E09">
            <w:pPr>
              <w:pStyle w:val="HTMLPreformatted"/>
              <w:tabs>
                <w:tab w:val="left" w:pos="168"/>
              </w:tabs>
              <w:ind w:left="168" w:right="-204"/>
              <w:rPr>
                <w:rFonts w:ascii="Arial" w:hAnsi="Arial" w:cs="Arial"/>
                <w:sz w:val="24"/>
                <w:szCs w:val="24"/>
              </w:rPr>
            </w:pPr>
            <w:r>
              <w:rPr>
                <w:rFonts w:ascii="Arial" w:hAnsi="Arial" w:cs="Arial"/>
                <w:sz w:val="24"/>
                <w:szCs w:val="24"/>
              </w:rPr>
              <w:t>)</w:t>
            </w:r>
          </w:p>
          <w:p w:rsidR="000C0A9D" w:rsidRDefault="004E2E09">
            <w:pPr>
              <w:pStyle w:val="HTMLPreformatted"/>
              <w:tabs>
                <w:tab w:val="left" w:pos="168"/>
              </w:tabs>
              <w:ind w:left="168" w:right="-204"/>
              <w:rPr>
                <w:rFonts w:ascii="Arial" w:hAnsi="Arial" w:cs="Arial"/>
                <w:sz w:val="24"/>
                <w:szCs w:val="24"/>
              </w:rPr>
            </w:pPr>
            <w:r>
              <w:rPr>
                <w:rFonts w:ascii="Arial" w:hAnsi="Arial" w:cs="Arial"/>
                <w:sz w:val="24"/>
                <w:szCs w:val="24"/>
              </w:rPr>
              <w:t>)</w:t>
            </w:r>
          </w:p>
        </w:tc>
        <w:tc>
          <w:tcPr>
            <w:tcW w:w="3314" w:type="dxa"/>
          </w:tcPr>
          <w:p w:rsidR="000C0A9D" w:rsidRDefault="000C0A9D">
            <w:pPr>
              <w:pStyle w:val="HTMLPreformatted"/>
              <w:rPr>
                <w:rFonts w:ascii="Arial" w:hAnsi="Arial" w:cs="Arial"/>
                <w:sz w:val="24"/>
                <w:szCs w:val="24"/>
              </w:rPr>
            </w:pPr>
          </w:p>
          <w:p w:rsidR="000C0A9D" w:rsidRDefault="004E2E09">
            <w:pPr>
              <w:pStyle w:val="HTMLPreformatted"/>
              <w:rPr>
                <w:rFonts w:ascii="Arial" w:hAnsi="Arial" w:cs="Arial"/>
                <w:sz w:val="24"/>
                <w:szCs w:val="24"/>
              </w:rPr>
            </w:pPr>
            <w:r>
              <w:rPr>
                <w:rFonts w:ascii="Arial" w:hAnsi="Arial" w:cs="Arial"/>
                <w:bCs/>
                <w:sz w:val="24"/>
                <w:szCs w:val="24"/>
              </w:rPr>
              <w:t>Case No. 12-3133-EL-FAC</w:t>
            </w:r>
          </w:p>
        </w:tc>
      </w:tr>
    </w:tbl>
    <w:p w:rsidR="000C0A9D" w:rsidRDefault="000C0A9D">
      <w:pPr>
        <w:spacing w:line="240" w:lineRule="auto"/>
        <w:rPr>
          <w:rFonts w:cs="Arial"/>
        </w:rPr>
      </w:pPr>
    </w:p>
    <w:tbl>
      <w:tblPr>
        <w:tblW w:w="9092" w:type="dxa"/>
        <w:tblLook w:val="01E0" w:firstRow="1" w:lastRow="1" w:firstColumn="1" w:lastColumn="1" w:noHBand="0" w:noVBand="0"/>
      </w:tblPr>
      <w:tblGrid>
        <w:gridCol w:w="5328"/>
        <w:gridCol w:w="450"/>
        <w:gridCol w:w="3314"/>
      </w:tblGrid>
      <w:tr w:rsidR="000C0A9D">
        <w:trPr>
          <w:trHeight w:val="558"/>
        </w:trPr>
        <w:tc>
          <w:tcPr>
            <w:tcW w:w="5328" w:type="dxa"/>
          </w:tcPr>
          <w:p w:rsidR="000C0A9D" w:rsidRDefault="004E2E09">
            <w:pPr>
              <w:autoSpaceDE w:val="0"/>
              <w:autoSpaceDN w:val="0"/>
              <w:adjustRightInd w:val="0"/>
              <w:spacing w:line="240" w:lineRule="auto"/>
              <w:rPr>
                <w:rFonts w:cs="Arial"/>
              </w:rPr>
            </w:pPr>
            <w:r>
              <w:rPr>
                <w:rFonts w:cs="Arial"/>
              </w:rPr>
              <w:t xml:space="preserve">In the Matter of the Fuel Adjustment Clauses for Ohio Power Company </w:t>
            </w:r>
          </w:p>
        </w:tc>
        <w:tc>
          <w:tcPr>
            <w:tcW w:w="450" w:type="dxa"/>
          </w:tcPr>
          <w:p w:rsidR="000C0A9D" w:rsidRDefault="004E2E09">
            <w:pPr>
              <w:pStyle w:val="HTMLPreformatted"/>
              <w:tabs>
                <w:tab w:val="left" w:pos="168"/>
              </w:tabs>
              <w:ind w:left="168" w:right="-204"/>
              <w:rPr>
                <w:rFonts w:ascii="Arial" w:hAnsi="Arial" w:cs="Arial"/>
                <w:sz w:val="24"/>
                <w:szCs w:val="24"/>
              </w:rPr>
            </w:pPr>
            <w:r>
              <w:rPr>
                <w:rFonts w:ascii="Arial" w:hAnsi="Arial" w:cs="Arial"/>
                <w:sz w:val="24"/>
                <w:szCs w:val="24"/>
              </w:rPr>
              <w:t>)</w:t>
            </w:r>
          </w:p>
          <w:p w:rsidR="000C0A9D" w:rsidRDefault="004E2E09">
            <w:pPr>
              <w:pStyle w:val="HTMLPreformatted"/>
              <w:tabs>
                <w:tab w:val="left" w:pos="168"/>
              </w:tabs>
              <w:ind w:left="168" w:right="-204"/>
              <w:rPr>
                <w:rFonts w:ascii="Arial" w:hAnsi="Arial" w:cs="Arial"/>
                <w:sz w:val="24"/>
                <w:szCs w:val="24"/>
              </w:rPr>
            </w:pPr>
            <w:r>
              <w:rPr>
                <w:rFonts w:ascii="Arial" w:hAnsi="Arial" w:cs="Arial"/>
                <w:sz w:val="24"/>
                <w:szCs w:val="24"/>
              </w:rPr>
              <w:t>)</w:t>
            </w:r>
          </w:p>
        </w:tc>
        <w:tc>
          <w:tcPr>
            <w:tcW w:w="3314" w:type="dxa"/>
          </w:tcPr>
          <w:p w:rsidR="000C0A9D" w:rsidRDefault="004E2E09">
            <w:pPr>
              <w:pStyle w:val="HTMLPreformatted"/>
              <w:rPr>
                <w:rFonts w:ascii="Arial" w:hAnsi="Arial" w:cs="Arial"/>
                <w:sz w:val="24"/>
                <w:szCs w:val="24"/>
              </w:rPr>
            </w:pPr>
            <w:r>
              <w:rPr>
                <w:rFonts w:ascii="Arial" w:hAnsi="Arial" w:cs="Arial"/>
                <w:bCs/>
                <w:sz w:val="24"/>
                <w:szCs w:val="24"/>
              </w:rPr>
              <w:t>Case No. 13-572-EL-FAC</w:t>
            </w:r>
          </w:p>
        </w:tc>
      </w:tr>
    </w:tbl>
    <w:p w:rsidR="000C0A9D" w:rsidRDefault="000C0A9D">
      <w:pPr>
        <w:spacing w:line="240" w:lineRule="auto"/>
        <w:rPr>
          <w:rFonts w:cs="Arial"/>
        </w:rPr>
      </w:pPr>
    </w:p>
    <w:tbl>
      <w:tblPr>
        <w:tblW w:w="9092" w:type="dxa"/>
        <w:tblLook w:val="01E0" w:firstRow="1" w:lastRow="1" w:firstColumn="1" w:lastColumn="1" w:noHBand="0" w:noVBand="0"/>
      </w:tblPr>
      <w:tblGrid>
        <w:gridCol w:w="5328"/>
        <w:gridCol w:w="450"/>
        <w:gridCol w:w="3314"/>
      </w:tblGrid>
      <w:tr w:rsidR="000C0A9D">
        <w:trPr>
          <w:trHeight w:val="558"/>
        </w:trPr>
        <w:tc>
          <w:tcPr>
            <w:tcW w:w="5328" w:type="dxa"/>
          </w:tcPr>
          <w:p w:rsidR="000C0A9D" w:rsidRDefault="004E2E09">
            <w:pPr>
              <w:autoSpaceDE w:val="0"/>
              <w:autoSpaceDN w:val="0"/>
              <w:adjustRightInd w:val="0"/>
              <w:spacing w:line="240" w:lineRule="auto"/>
              <w:rPr>
                <w:rFonts w:cs="Arial"/>
              </w:rPr>
            </w:pPr>
            <w:r>
              <w:rPr>
                <w:rFonts w:cs="Arial"/>
              </w:rPr>
              <w:t xml:space="preserve">In the Matter of the Fuel Adjustment Clauses for Ohio Power Company </w:t>
            </w:r>
          </w:p>
        </w:tc>
        <w:tc>
          <w:tcPr>
            <w:tcW w:w="450" w:type="dxa"/>
          </w:tcPr>
          <w:p w:rsidR="000C0A9D" w:rsidRDefault="004E2E09">
            <w:pPr>
              <w:pStyle w:val="HTMLPreformatted"/>
              <w:tabs>
                <w:tab w:val="left" w:pos="168"/>
              </w:tabs>
              <w:ind w:left="168" w:right="-204"/>
              <w:rPr>
                <w:rFonts w:ascii="Arial" w:hAnsi="Arial" w:cs="Arial"/>
                <w:sz w:val="24"/>
                <w:szCs w:val="24"/>
              </w:rPr>
            </w:pPr>
            <w:r>
              <w:rPr>
                <w:rFonts w:ascii="Arial" w:hAnsi="Arial" w:cs="Arial"/>
                <w:sz w:val="24"/>
                <w:szCs w:val="24"/>
              </w:rPr>
              <w:t>)</w:t>
            </w:r>
          </w:p>
          <w:p w:rsidR="000C0A9D" w:rsidRDefault="004E2E09">
            <w:pPr>
              <w:pStyle w:val="HTMLPreformatted"/>
              <w:tabs>
                <w:tab w:val="left" w:pos="168"/>
              </w:tabs>
              <w:ind w:left="168" w:right="-204"/>
              <w:rPr>
                <w:rFonts w:ascii="Arial" w:hAnsi="Arial" w:cs="Arial"/>
                <w:sz w:val="24"/>
                <w:szCs w:val="24"/>
              </w:rPr>
            </w:pPr>
            <w:r>
              <w:rPr>
                <w:rFonts w:ascii="Arial" w:hAnsi="Arial" w:cs="Arial"/>
                <w:sz w:val="24"/>
                <w:szCs w:val="24"/>
              </w:rPr>
              <w:t>)</w:t>
            </w:r>
          </w:p>
        </w:tc>
        <w:tc>
          <w:tcPr>
            <w:tcW w:w="3314" w:type="dxa"/>
          </w:tcPr>
          <w:p w:rsidR="000C0A9D" w:rsidRDefault="004E2E09">
            <w:pPr>
              <w:pStyle w:val="HTMLPreformatted"/>
              <w:rPr>
                <w:rFonts w:ascii="Arial" w:hAnsi="Arial" w:cs="Arial"/>
                <w:sz w:val="24"/>
                <w:szCs w:val="24"/>
              </w:rPr>
            </w:pPr>
            <w:r>
              <w:rPr>
                <w:rFonts w:ascii="Arial" w:hAnsi="Arial" w:cs="Arial"/>
                <w:bCs/>
                <w:sz w:val="24"/>
                <w:szCs w:val="24"/>
              </w:rPr>
              <w:t>Case No. 13-1286-EL-FAC</w:t>
            </w:r>
          </w:p>
        </w:tc>
      </w:tr>
    </w:tbl>
    <w:p w:rsidR="000C0A9D" w:rsidRDefault="000C0A9D">
      <w:pPr>
        <w:spacing w:line="240" w:lineRule="auto"/>
        <w:rPr>
          <w:rFonts w:cs="Arial"/>
        </w:rPr>
      </w:pPr>
    </w:p>
    <w:tbl>
      <w:tblPr>
        <w:tblW w:w="9092" w:type="dxa"/>
        <w:tblLook w:val="01E0" w:firstRow="1" w:lastRow="1" w:firstColumn="1" w:lastColumn="1" w:noHBand="0" w:noVBand="0"/>
      </w:tblPr>
      <w:tblGrid>
        <w:gridCol w:w="5328"/>
        <w:gridCol w:w="450"/>
        <w:gridCol w:w="3314"/>
      </w:tblGrid>
      <w:tr w:rsidR="000C0A9D">
        <w:trPr>
          <w:trHeight w:val="648"/>
        </w:trPr>
        <w:tc>
          <w:tcPr>
            <w:tcW w:w="5328" w:type="dxa"/>
          </w:tcPr>
          <w:p w:rsidR="000C0A9D" w:rsidRDefault="004E2E09">
            <w:pPr>
              <w:autoSpaceDE w:val="0"/>
              <w:autoSpaceDN w:val="0"/>
              <w:adjustRightInd w:val="0"/>
              <w:spacing w:line="240" w:lineRule="auto"/>
              <w:rPr>
                <w:rFonts w:cs="Arial"/>
              </w:rPr>
            </w:pPr>
            <w:r>
              <w:rPr>
                <w:rFonts w:cs="Arial"/>
              </w:rPr>
              <w:t xml:space="preserve">In the Matter of the Fuel Adjustment Clauses for Ohio Power Company </w:t>
            </w:r>
          </w:p>
        </w:tc>
        <w:tc>
          <w:tcPr>
            <w:tcW w:w="450" w:type="dxa"/>
          </w:tcPr>
          <w:p w:rsidR="000C0A9D" w:rsidRDefault="004E2E09">
            <w:pPr>
              <w:pStyle w:val="HTMLPreformatted"/>
              <w:tabs>
                <w:tab w:val="left" w:pos="168"/>
              </w:tabs>
              <w:ind w:left="168" w:right="-204"/>
              <w:rPr>
                <w:rFonts w:ascii="Arial" w:hAnsi="Arial" w:cs="Arial"/>
                <w:sz w:val="24"/>
                <w:szCs w:val="24"/>
              </w:rPr>
            </w:pPr>
            <w:r>
              <w:rPr>
                <w:rFonts w:ascii="Arial" w:hAnsi="Arial" w:cs="Arial"/>
                <w:sz w:val="24"/>
                <w:szCs w:val="24"/>
              </w:rPr>
              <w:t>)</w:t>
            </w:r>
          </w:p>
          <w:p w:rsidR="000C0A9D" w:rsidRDefault="004E2E09">
            <w:pPr>
              <w:pStyle w:val="HTMLPreformatted"/>
              <w:tabs>
                <w:tab w:val="left" w:pos="168"/>
              </w:tabs>
              <w:ind w:left="168" w:right="-204"/>
              <w:rPr>
                <w:rFonts w:ascii="Arial" w:hAnsi="Arial" w:cs="Arial"/>
                <w:sz w:val="24"/>
                <w:szCs w:val="24"/>
              </w:rPr>
            </w:pPr>
            <w:r>
              <w:rPr>
                <w:rFonts w:ascii="Arial" w:hAnsi="Arial" w:cs="Arial"/>
                <w:sz w:val="24"/>
                <w:szCs w:val="24"/>
              </w:rPr>
              <w:t>)</w:t>
            </w:r>
          </w:p>
        </w:tc>
        <w:tc>
          <w:tcPr>
            <w:tcW w:w="3314" w:type="dxa"/>
          </w:tcPr>
          <w:p w:rsidR="000C0A9D" w:rsidRDefault="004E2E09">
            <w:pPr>
              <w:pStyle w:val="HTMLPreformatted"/>
              <w:rPr>
                <w:rFonts w:ascii="Arial" w:hAnsi="Arial" w:cs="Arial"/>
                <w:sz w:val="24"/>
                <w:szCs w:val="24"/>
              </w:rPr>
            </w:pPr>
            <w:r>
              <w:rPr>
                <w:rFonts w:ascii="Arial" w:hAnsi="Arial" w:cs="Arial"/>
                <w:bCs/>
                <w:sz w:val="24"/>
                <w:szCs w:val="24"/>
              </w:rPr>
              <w:t>Case No. 13-1892-EL-FAC</w:t>
            </w:r>
          </w:p>
        </w:tc>
      </w:tr>
    </w:tbl>
    <w:p w:rsidR="000C0A9D" w:rsidRDefault="000C0A9D">
      <w:pPr>
        <w:spacing w:line="240" w:lineRule="auto"/>
        <w:jc w:val="center"/>
        <w:rPr>
          <w:b/>
        </w:rPr>
      </w:pPr>
    </w:p>
    <w:p w:rsidR="000C0A9D" w:rsidRDefault="000C0A9D">
      <w:pPr>
        <w:pStyle w:val="BodyText"/>
        <w:tabs>
          <w:tab w:val="left" w:pos="5040"/>
        </w:tabs>
        <w:spacing w:after="0" w:line="240" w:lineRule="auto"/>
      </w:pPr>
    </w:p>
    <w:p w:rsidR="000C0A9D" w:rsidRDefault="000C0A9D">
      <w:pPr>
        <w:pBdr>
          <w:top w:val="single" w:sz="12" w:space="1" w:color="auto"/>
        </w:pBdr>
        <w:tabs>
          <w:tab w:val="left" w:pos="7320"/>
        </w:tabs>
        <w:spacing w:line="240" w:lineRule="auto"/>
        <w:rPr>
          <w:rFonts w:cs="Arial"/>
          <w:sz w:val="20"/>
          <w:szCs w:val="20"/>
        </w:rPr>
      </w:pPr>
    </w:p>
    <w:p w:rsidR="000C0A9D" w:rsidRDefault="004E2E09">
      <w:pPr>
        <w:spacing w:line="240" w:lineRule="auto"/>
        <w:jc w:val="center"/>
        <w:rPr>
          <w:b/>
          <w:smallCaps/>
          <w:sz w:val="28"/>
          <w:szCs w:val="28"/>
        </w:rPr>
      </w:pPr>
      <w:r>
        <w:rPr>
          <w:b/>
          <w:smallCaps/>
          <w:sz w:val="28"/>
          <w:szCs w:val="28"/>
        </w:rPr>
        <w:t>Industrial Energy Users-Ohio’s Reply to</w:t>
      </w:r>
    </w:p>
    <w:p w:rsidR="000C0A9D" w:rsidRDefault="004E2E09">
      <w:pPr>
        <w:spacing w:line="240" w:lineRule="auto"/>
        <w:jc w:val="center"/>
        <w:rPr>
          <w:b/>
          <w:smallCaps/>
          <w:sz w:val="28"/>
          <w:szCs w:val="28"/>
        </w:rPr>
      </w:pPr>
      <w:r>
        <w:rPr>
          <w:b/>
          <w:smallCaps/>
          <w:sz w:val="28"/>
          <w:szCs w:val="28"/>
        </w:rPr>
        <w:t>Ohio Power Company’s Memorandum Contra to</w:t>
      </w:r>
    </w:p>
    <w:p w:rsidR="000C0A9D" w:rsidRDefault="004E2E09">
      <w:pPr>
        <w:spacing w:line="240" w:lineRule="auto"/>
        <w:jc w:val="center"/>
        <w:rPr>
          <w:smallCaps/>
          <w:sz w:val="28"/>
          <w:szCs w:val="28"/>
        </w:rPr>
      </w:pPr>
      <w:r>
        <w:rPr>
          <w:b/>
          <w:smallCaps/>
          <w:sz w:val="28"/>
          <w:szCs w:val="28"/>
        </w:rPr>
        <w:t>the Office of the Ohio Consumers’ Counsel’s Motion to Compe</w:t>
      </w:r>
      <w:r>
        <w:rPr>
          <w:smallCaps/>
          <w:sz w:val="28"/>
          <w:szCs w:val="28"/>
        </w:rPr>
        <w:t>l</w:t>
      </w:r>
    </w:p>
    <w:p w:rsidR="000C0A9D" w:rsidRDefault="000C0A9D">
      <w:pPr>
        <w:pBdr>
          <w:bottom w:val="single" w:sz="12" w:space="1" w:color="auto"/>
        </w:pBdr>
        <w:tabs>
          <w:tab w:val="left" w:pos="7320"/>
        </w:tabs>
        <w:spacing w:line="240" w:lineRule="auto"/>
        <w:rPr>
          <w:rFonts w:cs="Arial"/>
          <w:sz w:val="20"/>
          <w:szCs w:val="20"/>
        </w:rPr>
      </w:pPr>
    </w:p>
    <w:p w:rsidR="000C0A9D" w:rsidRDefault="000C0A9D">
      <w:pPr>
        <w:widowControl w:val="0"/>
        <w:tabs>
          <w:tab w:val="left" w:pos="4320"/>
        </w:tabs>
        <w:spacing w:line="240" w:lineRule="auto"/>
        <w:ind w:left="4320"/>
        <w:rPr>
          <w:rFonts w:eastAsia="Calibri" w:cs="Arial"/>
          <w:bCs/>
        </w:rPr>
      </w:pPr>
    </w:p>
    <w:p w:rsidR="000C0A9D" w:rsidRDefault="000C0A9D">
      <w:pPr>
        <w:spacing w:line="240" w:lineRule="auto"/>
        <w:jc w:val="left"/>
        <w:rPr>
          <w:b/>
        </w:rPr>
      </w:pPr>
    </w:p>
    <w:p w:rsidR="000C0A9D" w:rsidRDefault="004E2E09">
      <w:r>
        <w:tab/>
        <w:t>The Office of the Ohio Consumers’ Counsel (“OCC”) has sought discovery regarding the revenue Ohio Power Company (“AEP-Ohio”) collected through its Retail Stability Rider (“RSR”) from August 2012 through the most recent month for which AEP</w:t>
      </w:r>
      <w:r>
        <w:noBreakHyphen/>
        <w:t>Ohio has data.</w:t>
      </w:r>
      <w:r>
        <w:rPr>
          <w:rStyle w:val="FootnoteReference"/>
        </w:rPr>
        <w:footnoteReference w:id="1"/>
      </w:r>
      <w:r>
        <w:t xml:space="preserve">  AEP-Ohio refused to provide the information in response to OCC’s legitimate discovery request, prompting OCC to file a Motion to Compel with the Public Utilities Commission of Ohio (“Commission”) on July 16, 2015.  AEP-Ohio responded to OCC’s Motion to Compel and has used its </w:t>
      </w:r>
      <w:r w:rsidR="00C302DE">
        <w:t xml:space="preserve">Memo </w:t>
      </w:r>
      <w:r>
        <w:t>Contra</w:t>
      </w:r>
      <w:r w:rsidR="00C302DE">
        <w:rPr>
          <w:rStyle w:val="FootnoteReference"/>
        </w:rPr>
        <w:footnoteReference w:id="2"/>
      </w:r>
      <w:r>
        <w:t xml:space="preserve"> as an </w:t>
      </w:r>
      <w:r>
        <w:lastRenderedPageBreak/>
        <w:t xml:space="preserve">opportunity to advance claims that the Commission should restrict the scope of the review of AEP-Ohio’s double-recovery of certain capacity costs.  For the following reasons, the Commission should </w:t>
      </w:r>
      <w:r>
        <w:rPr>
          <w:i/>
          <w:u w:val="single"/>
        </w:rPr>
        <w:t>again</w:t>
      </w:r>
      <w:r>
        <w:t xml:space="preserve"> deny AEP-Ohio’s attempt to redefine the scope of the review of AEP-Ohio’s double-recovery.</w:t>
      </w:r>
    </w:p>
    <w:p w:rsidR="000C0A9D" w:rsidRDefault="004E2E09">
      <w:pPr>
        <w:pStyle w:val="Heading1"/>
      </w:pPr>
      <w:r>
        <w:t>Background</w:t>
      </w:r>
    </w:p>
    <w:p w:rsidR="000C0A9D" w:rsidRDefault="004E2E09">
      <w:r>
        <w:tab/>
        <w:t>In 2010, AEP-Ohio made a filing at the Federal Energy Regulatory Commission (“FERC”) requesting that FERC authorize a significant above-market price increase for capacity service such that AEP-Ohio’s compensation for capacity service was $355 per megawatt-day (“MW-day”).</w:t>
      </w:r>
      <w:r>
        <w:rPr>
          <w:vertAlign w:val="superscript"/>
        </w:rPr>
        <w:footnoteReference w:id="3"/>
      </w:r>
      <w:r>
        <w:t xml:space="preserve">  Review of AEP-Ohio’s requested above-market increase in its capacity compensation ultimately made its way to the Commission.  In the </w:t>
      </w:r>
      <w:r>
        <w:rPr>
          <w:i/>
        </w:rPr>
        <w:t>Capacity Case</w:t>
      </w:r>
      <w:r>
        <w:rPr>
          <w:rStyle w:val="FootnoteReference"/>
          <w:i/>
        </w:rPr>
        <w:footnoteReference w:id="4"/>
      </w:r>
      <w:r>
        <w:rPr>
          <w:i/>
        </w:rPr>
        <w:t xml:space="preserve"> </w:t>
      </w:r>
      <w:r>
        <w:t xml:space="preserve">before this Commission, AEP-Ohio offered a witness, Mr. Allen, to support its request to charge the proposed $355/MW-day price to competitive retail electric service (“CRES”) providers serving shopping customers in its territory.  In the </w:t>
      </w:r>
      <w:r>
        <w:rPr>
          <w:i/>
        </w:rPr>
        <w:t>Capacity Case</w:t>
      </w:r>
      <w:r>
        <w:t>, Mr. Allen testified that AEP-Ohio’s base generation rates produced compensation roughly equivalent to a $355/MW-day charge.</w:t>
      </w:r>
      <w:r>
        <w:rPr>
          <w:rStyle w:val="FootnoteReference"/>
          <w:rFonts w:cs="Arial"/>
        </w:rPr>
        <w:footnoteReference w:id="5"/>
      </w:r>
      <w:r>
        <w:t xml:space="preserve">  Mr. Allen also testified in the </w:t>
      </w:r>
      <w:r>
        <w:rPr>
          <w:i/>
        </w:rPr>
        <w:t>ESP II Case</w:t>
      </w:r>
      <w:r>
        <w:rPr>
          <w:vertAlign w:val="superscript"/>
        </w:rPr>
        <w:footnoteReference w:id="6"/>
      </w:r>
      <w:r>
        <w:rPr>
          <w:i/>
        </w:rPr>
        <w:t xml:space="preserve"> </w:t>
      </w:r>
      <w:r>
        <w:t>claiming that AEP-Ohio’s base generation rates “are essentially the same” as its proposed $355/MW-day rate.</w:t>
      </w:r>
      <w:r>
        <w:rPr>
          <w:rStyle w:val="FootnoteReference"/>
        </w:rPr>
        <w:footnoteReference w:id="7"/>
      </w:r>
      <w:r>
        <w:t xml:space="preserve"> </w:t>
      </w:r>
    </w:p>
    <w:p w:rsidR="000C0A9D" w:rsidRDefault="004E2E09">
      <w:r>
        <w:lastRenderedPageBreak/>
        <w:tab/>
        <w:t xml:space="preserve">In the </w:t>
      </w:r>
      <w:r>
        <w:rPr>
          <w:i/>
        </w:rPr>
        <w:t>Capacity Case</w:t>
      </w:r>
      <w:r>
        <w:t>, the Commission largely relied upon AEP-Ohio’s claimed “costs” as inputs into the ratemaking methodology that the Commission utilized to conclude that AEP-Ohio’s “cost” of capacity was $188/MW-day.</w:t>
      </w:r>
      <w:r>
        <w:rPr>
          <w:rStyle w:val="FootnoteReference"/>
        </w:rPr>
        <w:footnoteReference w:id="8"/>
      </w:r>
      <w:r>
        <w:t xml:space="preserve">  The main difference between the $355/MW-day price and the $188/MW-day price was the energy revenue offset that the Commission found was appropriate to take into account.</w:t>
      </w:r>
      <w:r>
        <w:rPr>
          <w:rStyle w:val="FootnoteReference"/>
        </w:rPr>
        <w:footnoteReference w:id="9"/>
      </w:r>
      <w:r>
        <w:t xml:space="preserve">  The Commission authorized AEP-Ohio to collect a portion of the $188/MW-day price through May 31, 2015, and authorized accounting changes for AEP-Ohio to permit AEP-Ohio to defer the remaining portion of the $188/MW-day price.</w:t>
      </w:r>
      <w:r>
        <w:rPr>
          <w:rStyle w:val="FootnoteReference"/>
        </w:rPr>
        <w:footnoteReference w:id="10"/>
      </w:r>
    </w:p>
    <w:p w:rsidR="000C0A9D" w:rsidRDefault="004E2E09">
      <w:r>
        <w:tab/>
        <w:t xml:space="preserve">In the </w:t>
      </w:r>
      <w:r>
        <w:rPr>
          <w:i/>
        </w:rPr>
        <w:t>ESP II Case</w:t>
      </w:r>
      <w:r>
        <w:t>, the Commission authorized a nonbypassable charge, the RSR, at a rate of $3.50 per megawatt-hour (“MWh”) and $4.00/MWh during the term of the ESP II.</w:t>
      </w:r>
      <w:r>
        <w:rPr>
          <w:rStyle w:val="FootnoteReference"/>
        </w:rPr>
        <w:footnoteReference w:id="11"/>
      </w:r>
      <w:r>
        <w:t xml:space="preserve">  The Commission directed AEP-Ohio to apply $1/MWh of the RSR revenue as a credit against the accumulating capacity deferral authorized in the </w:t>
      </w:r>
      <w:r>
        <w:rPr>
          <w:i/>
        </w:rPr>
        <w:t>Capacity Case.</w:t>
      </w:r>
      <w:r>
        <w:rPr>
          <w:rStyle w:val="FootnoteReference"/>
          <w:i/>
        </w:rPr>
        <w:footnoteReference w:id="12"/>
      </w:r>
      <w:r>
        <w:t xml:space="preserve">  In the </w:t>
      </w:r>
      <w:r>
        <w:rPr>
          <w:i/>
        </w:rPr>
        <w:t>ESP II Case</w:t>
      </w:r>
      <w:r>
        <w:t>, the Commission also directed AEP-Ohio to conduct energy-only auctions in increasing percentages over the term of the ESP II.</w:t>
      </w:r>
    </w:p>
    <w:p w:rsidR="000C0A9D" w:rsidRDefault="004E2E09">
      <w:r>
        <w:tab/>
        <w:t xml:space="preserve">Subsequently, in the </w:t>
      </w:r>
      <w:r>
        <w:rPr>
          <w:i/>
        </w:rPr>
        <w:t>CBP Case</w:t>
      </w:r>
      <w:r>
        <w:rPr>
          <w:vertAlign w:val="superscript"/>
        </w:rPr>
        <w:footnoteReference w:id="13"/>
      </w:r>
      <w:r>
        <w:tab/>
        <w:t xml:space="preserve"> AEP-Ohio requested authority to bifurcate the Fuel Adjustment Clause (“FAC”) into two components, the Auction Phase-in Rider and the Fixed Cost Rider (“FCR”); the latter of which is relevant here.  Under the FCR, AEP</w:t>
      </w:r>
      <w:r>
        <w:noBreakHyphen/>
        <w:t xml:space="preserve">Ohio proposed to continue collecting from customers its fixed demand costs (also referred to herein as capacity costs) associated with its purchase power arrangements </w:t>
      </w:r>
      <w:r>
        <w:lastRenderedPageBreak/>
        <w:t>with the Lawrenceburg Generating Station (“Lawrenceburg”) and the Ohio Valley Electric Corporation (“OVEC”).  AEP-Ohio also proposed to adjust base generation rates for the final five months of the ESP II to $188/MW-day.</w:t>
      </w:r>
      <w:r>
        <w:rPr>
          <w:rStyle w:val="FootnoteReference"/>
        </w:rPr>
        <w:footnoteReference w:id="14"/>
      </w:r>
      <w:r>
        <w:t xml:space="preserve">  </w:t>
      </w:r>
    </w:p>
    <w:p w:rsidR="000C0A9D" w:rsidRDefault="004E2E09">
      <w:r>
        <w:tab/>
        <w:t xml:space="preserve">During the hearing in the </w:t>
      </w:r>
      <w:r>
        <w:rPr>
          <w:i/>
        </w:rPr>
        <w:t>CBP Case</w:t>
      </w:r>
      <w:r>
        <w:t>, various parties including the Industrial Energy Users-Ohio (“IEU-Ohio”) urged the Commission to reject the FCR on grounds that authorizing the FCR and extending it through the end of the ESP II would allow AEP-Ohio to double-recover its capacity costs.</w:t>
      </w:r>
      <w:r>
        <w:rPr>
          <w:vertAlign w:val="superscript"/>
        </w:rPr>
        <w:footnoteReference w:id="15"/>
      </w:r>
      <w:r>
        <w:t xml:space="preserve">  As the evidence in the </w:t>
      </w:r>
      <w:r>
        <w:rPr>
          <w:i/>
        </w:rPr>
        <w:t>CBP Case</w:t>
      </w:r>
      <w:r>
        <w:t xml:space="preserve"> demonstrated, AEP-Ohio was recovering the Lawrenceburg and OVEC capacity costs through the $188/MW-day price.</w:t>
      </w:r>
      <w:r>
        <w:rPr>
          <w:rStyle w:val="FootnoteReference"/>
        </w:rPr>
        <w:footnoteReference w:id="16"/>
      </w:r>
      <w:r>
        <w:t xml:space="preserve">  Base generation rates during the ESP II were also set at rates equal to or greater than $188/MW-day.</w:t>
      </w:r>
      <w:r>
        <w:rPr>
          <w:rStyle w:val="FootnoteReference"/>
        </w:rPr>
        <w:footnoteReference w:id="17"/>
      </w:r>
      <w:r>
        <w:t xml:space="preserve">  Accordingly, IEU-Ohio and others argued that the combination of base generation rates and the $188/MW-day price applicable to shopping load allowed AEP</w:t>
      </w:r>
      <w:r>
        <w:noBreakHyphen/>
        <w:t>Ohio to fully recover the Lawrenceburg and OVEC capacity costs.</w:t>
      </w:r>
      <w:r>
        <w:rPr>
          <w:rStyle w:val="FootnoteReference"/>
        </w:rPr>
        <w:footnoteReference w:id="18"/>
      </w:r>
      <w:r>
        <w:t xml:space="preserve">  Based on this conclusion, IEU-Ohio and others argued that the extension of the FCR would allow AEP-Ohio to double-recover the Lawrenceburg and OVEC capacity costs.</w:t>
      </w:r>
      <w:r>
        <w:rPr>
          <w:vertAlign w:val="superscript"/>
        </w:rPr>
        <w:footnoteReference w:id="19"/>
      </w:r>
    </w:p>
    <w:p w:rsidR="000C0A9D" w:rsidRDefault="004E2E09">
      <w:r>
        <w:tab/>
        <w:t>The Commission authorized AEP-Ohio’s requested bifurcation, but directed AEP</w:t>
      </w:r>
      <w:r>
        <w:noBreakHyphen/>
        <w:t xml:space="preserve">Ohio to begin blending the $188/MW-day price into AEP-Ohio’s base generation rates (which were approximately $355/MW-day) with the commencement of AEP-Ohio’s </w:t>
      </w:r>
      <w:r>
        <w:lastRenderedPageBreak/>
        <w:t>energy-only auctions.</w:t>
      </w:r>
      <w:r>
        <w:rPr>
          <w:rStyle w:val="FootnoteReference"/>
        </w:rPr>
        <w:footnoteReference w:id="20"/>
      </w:r>
      <w:r>
        <w:t xml:space="preserve">  The Commission further held that the </w:t>
      </w:r>
      <w:r>
        <w:rPr>
          <w:i/>
        </w:rPr>
        <w:t xml:space="preserve">CBP Case </w:t>
      </w:r>
      <w:r>
        <w:t>was not the appropriate proceeding to review whether AEP-Ohio’s FAC/FCR were recovering costs that AEP-Ohio was already recovering elsewhere.</w:t>
      </w:r>
      <w:r>
        <w:rPr>
          <w:rStyle w:val="FootnoteReference"/>
        </w:rPr>
        <w:footnoteReference w:id="21"/>
      </w:r>
    </w:p>
    <w:p w:rsidR="000C0A9D" w:rsidRDefault="004E2E09">
      <w:r>
        <w:tab/>
        <w:t>In its Entry selecting an auditor for AEP-Ohio’s FAC in this proceeding, the Commission found that it was appropriate to review the double-recovery allegations in this proceeding.</w:t>
      </w:r>
      <w:r>
        <w:rPr>
          <w:rStyle w:val="FootnoteReference"/>
        </w:rPr>
        <w:footnoteReference w:id="22"/>
      </w:r>
    </w:p>
    <w:p w:rsidR="000C0A9D" w:rsidRDefault="004E2E09">
      <w:pPr>
        <w:pStyle w:val="Heading1"/>
      </w:pPr>
      <w:r>
        <w:t>argument</w:t>
      </w:r>
    </w:p>
    <w:p w:rsidR="000C0A9D" w:rsidRDefault="004E2E09">
      <w:pPr>
        <w:pStyle w:val="Heading2"/>
      </w:pPr>
      <w:r>
        <w:t>The Commission’s rules are designed to allow a broad scope of discovery</w:t>
      </w:r>
    </w:p>
    <w:p w:rsidR="000C0A9D" w:rsidRDefault="004E2E09">
      <w:r>
        <w:tab/>
        <w:t>Rule 4901-1-16(B), Ohio Administrative Code (“O.A.C.”), provides “any party to a commission proceeding may obtain discovery of any matter, not privileged, which is relevant to the subject matter of the proceeding.”  The Rule continues “[i]t is not a ground for objection that the information sought would be inadmissible at the hearing, if the information sought appears reasonably calculated to lead to the discovery of admissible evidence.”  Thus, discovery is proper if it seeks evidence that is either relevant or if the discovery is reasonably calculated to lead to the discovery of admissible evidence.  As noted by the Commission, its “rules are designed to allow broad discovery of material that is relevant to the proceeding in question and to allow the parties to prepare thoroughly and adequately for hearing.”</w:t>
      </w:r>
      <w:r>
        <w:rPr>
          <w:rStyle w:val="FootnoteReference"/>
        </w:rPr>
        <w:footnoteReference w:id="23"/>
      </w:r>
      <w:r>
        <w:t xml:space="preserve">  OCC’s discovery request at issue in its Motion to Compel falls within the Commission’s broad scope of permissible discovery.</w:t>
      </w:r>
    </w:p>
    <w:p w:rsidR="000C0A9D" w:rsidRDefault="004E2E09">
      <w:pPr>
        <w:pStyle w:val="Heading2"/>
      </w:pPr>
      <w:r>
        <w:lastRenderedPageBreak/>
        <w:t>OCC’s Motion to Compel should be granted because even under AEP-Ohio’s preferred audit scope, AEP-Ohio’s own admissions support a finding that OCC’s discovery is reasonably calculated to lead to the discovery of admissible evidence</w:t>
      </w:r>
    </w:p>
    <w:p w:rsidR="000C0A9D" w:rsidRDefault="004E2E09">
      <w:r>
        <w:tab/>
        <w:t>In its Memo Contra, AEP-Ohio admits that there is a “connection between collected RSR revenues,” OCC’s discovery request, “and the $188.88/MW-day SCM rate;” the latter AEP-Ohio acknowledges is a relevant matter within what it views as a proper audit scope.</w:t>
      </w:r>
      <w:r>
        <w:rPr>
          <w:rStyle w:val="FootnoteReference"/>
        </w:rPr>
        <w:footnoteReference w:id="24"/>
      </w:r>
      <w:r>
        <w:t xml:space="preserve">  In the same vein, AEP-Ohio also acknowledges that a portion of the RSR revenue relates to the capacity deferral.</w:t>
      </w:r>
      <w:r>
        <w:rPr>
          <w:rStyle w:val="FootnoteReference"/>
        </w:rPr>
        <w:footnoteReference w:id="25"/>
      </w:r>
      <w:r>
        <w:t xml:space="preserve">  Having admitted that OCC’s discovery request is connected to (and relates to) what AEP-Ohio also admits is a relevant matter, AEP-Ohio fails to provide any convincing argument regarding how the discovery is not reasonably calculated to lead to the discovery of admissible evidence.  Accordingly, even under AEP-Ohio’s already-rejected preferred narrow audit scope (see Section C below), OCC’s discovery request would still fall within the proper scope of discovery as it is reasonably calculated to lead to the discovery of admissible evidence.</w:t>
      </w:r>
    </w:p>
    <w:p w:rsidR="000C0A9D" w:rsidRDefault="004E2E09">
      <w:pPr>
        <w:pStyle w:val="Heading2"/>
      </w:pPr>
      <w:r>
        <w:t>The Commission should again reject AEP-Ohio’s attempt to narrow the scope of the double-recovery audit in this proceeding</w:t>
      </w:r>
    </w:p>
    <w:p w:rsidR="000C0A9D" w:rsidRDefault="004E2E09">
      <w:r>
        <w:tab/>
        <w:t>As noted above, in its Entry selecting an auditor for AEP-Ohio’s FAC/FCR in this proceeding, the Commission directed that the auditor review the alleged double-recovery of AEP-Ohio’s capacity costs.</w:t>
      </w:r>
      <w:r>
        <w:rPr>
          <w:rStyle w:val="FootnoteReference"/>
        </w:rPr>
        <w:footnoteReference w:id="26"/>
      </w:r>
      <w:r>
        <w:t xml:space="preserve">  AEP-Ohio filed an Application for Rehearing raising three arguments in support of its effort to prevent an audit of the alleged double-recovery in this proceeding.</w:t>
      </w:r>
      <w:r>
        <w:rPr>
          <w:vertAlign w:val="superscript"/>
        </w:rPr>
        <w:footnoteReference w:id="27"/>
      </w:r>
      <w:r>
        <w:t xml:space="preserve">  The Commission denied rehearing, but AEP-Ohio now recycles those same arguments that the Commission rejected as grounds to deny </w:t>
      </w:r>
      <w:r>
        <w:lastRenderedPageBreak/>
        <w:t>OCC’s Motion to Compel.  The Commission should once again refuse to approve AEP</w:t>
      </w:r>
      <w:r>
        <w:noBreakHyphen/>
        <w:t>Ohio’s attempt to limit the scope of the Commission’s review of the double-recovery.</w:t>
      </w:r>
    </w:p>
    <w:p w:rsidR="000C0A9D" w:rsidRDefault="004E2E09">
      <w:r>
        <w:tab/>
        <w:t>Initially, in its January 3, 2014 Application for Rehearing, AEP-Ohio argued that it was inappropriate to review the double-recovery in this proceeding.  The Commission rejected AEP-Ohio’s argument:</w:t>
      </w:r>
    </w:p>
    <w:p w:rsidR="000C0A9D" w:rsidRDefault="004E2E09">
      <w:pPr>
        <w:spacing w:line="240" w:lineRule="auto"/>
        <w:ind w:left="720" w:right="720"/>
      </w:pPr>
      <w:r>
        <w:t xml:space="preserve">The Commission finds that AEP Ohio's first ground for rehearing lacks merit.  In the </w:t>
      </w:r>
      <w:r>
        <w:rPr>
          <w:i/>
        </w:rPr>
        <w:t>CBP Case</w:t>
      </w:r>
      <w:r>
        <w:t xml:space="preserve">, we acknowledged the double-recovery allegations raised by the intervenors, but determined that the </w:t>
      </w:r>
      <w:r>
        <w:rPr>
          <w:i/>
        </w:rPr>
        <w:t>CBP Case</w:t>
      </w:r>
      <w:r>
        <w:t xml:space="preserve"> was not the proper forum for resolution of the alleged double recovery. </w:t>
      </w:r>
      <w:r>
        <w:rPr>
          <w:i/>
        </w:rPr>
        <w:t>CBP Case</w:t>
      </w:r>
      <w:r>
        <w:t xml:space="preserve">, Opinion and Order (Nov. 13, 2013) at 16.  Subsequently, in the FAC Audit Entry, the Commission reasonably directed that the double-recovery allegations raised in the </w:t>
      </w:r>
      <w:r>
        <w:rPr>
          <w:i/>
        </w:rPr>
        <w:t>CBP Case</w:t>
      </w:r>
      <w:r>
        <w:t xml:space="preserve"> be reviewed and investigated in these FAC proceedings.  The alleged double recovery partially stems from capacity costs that are currently recovered through AEP Ohio's FAC and are soon to be recovered, upon unbundling of the FAC, through the FCR. Therefore, the Commission does not agree that the alleged double recovery is not a FAC-related issue or is in any way not a proper subject for review in these FAC proceedings.</w:t>
      </w:r>
      <w:r>
        <w:rPr>
          <w:rStyle w:val="FootnoteReference"/>
        </w:rPr>
        <w:footnoteReference w:id="28"/>
      </w:r>
    </w:p>
    <w:p w:rsidR="000C0A9D" w:rsidRDefault="000C0A9D">
      <w:pPr>
        <w:spacing w:line="240" w:lineRule="auto"/>
        <w:ind w:left="720" w:right="720"/>
      </w:pPr>
    </w:p>
    <w:p w:rsidR="000C0A9D" w:rsidRDefault="004E2E09">
      <w:r>
        <w:t xml:space="preserve">As reflected in its Entry on Rehearing, the Commission held that the proper scope of the double-recovery audit would include a review of the “allegations” raised by parties in the </w:t>
      </w:r>
      <w:r>
        <w:rPr>
          <w:i/>
        </w:rPr>
        <w:t>CBP Case</w:t>
      </w:r>
      <w:r>
        <w:t>.  These “allegations” included claims that AEP-Ohio was recovering all of the Lawrenceburg and OVEC costs through the FAC/FCR, and then double-recovering those same costs through the $188/MW-day capacity price applicable to shopping load, and through base generation rates (which were blended with the $188/MW-day Generation Cost Rider (“GCR”) rates).</w:t>
      </w:r>
      <w:r>
        <w:rPr>
          <w:vertAlign w:val="superscript"/>
        </w:rPr>
        <w:footnoteReference w:id="29"/>
      </w:r>
      <w:r>
        <w:t xml:space="preserve"> </w:t>
      </w:r>
      <w:r>
        <w:tab/>
      </w:r>
    </w:p>
    <w:p w:rsidR="000C0A9D" w:rsidRDefault="004E2E09">
      <w:r>
        <w:lastRenderedPageBreak/>
        <w:tab/>
        <w:t>AEP-Ohio also previously argued that “multiple limitations” should have been imposed on the scope of the audit.</w:t>
      </w:r>
      <w:r>
        <w:rPr>
          <w:vertAlign w:val="superscript"/>
        </w:rPr>
        <w:footnoteReference w:id="30"/>
      </w:r>
      <w:r>
        <w:t xml:space="preserve">  Among these, AEP-Ohio claimed that it was unlawful and unreasonable for the Commission to leave the scope of the double-recovery audit “open-ended.”  The Commission rejected AEP-Ohio’s argument that the “open-ended” scope of the double-recovery audit was unlawful or unreasonable.</w:t>
      </w:r>
      <w:r>
        <w:rPr>
          <w:vertAlign w:val="superscript"/>
        </w:rPr>
        <w:footnoteReference w:id="31"/>
      </w:r>
      <w:r>
        <w:tab/>
      </w:r>
    </w:p>
    <w:p w:rsidR="000C0A9D" w:rsidRDefault="004E2E09">
      <w:r>
        <w:tab/>
        <w:t>Finally, AEP-Ohio attempted to limit the scope of the hearing by presenting arguments on the merits claiming that there could be no double-recovery.  The Commission noted that because these arguments “appear to concern</w:t>
      </w:r>
      <w:r>
        <w:rPr>
          <w:i/>
        </w:rPr>
        <w:t xml:space="preserve"> </w:t>
      </w:r>
      <w:r>
        <w:rPr>
          <w:i/>
          <w:u w:val="single"/>
        </w:rPr>
        <w:t>the merits</w:t>
      </w:r>
      <w:r>
        <w:t xml:space="preserve"> of the double recovery allegations” it was not appropriate to rule on them at that stage of the proceeding.</w:t>
      </w:r>
      <w:r>
        <w:rPr>
          <w:rStyle w:val="FootnoteReference"/>
        </w:rPr>
        <w:footnoteReference w:id="32"/>
      </w:r>
      <w:r>
        <w:t xml:space="preserve">  The Commission further provided that “[i]f the investigation reveals that double-recovery has occurred and adjustments are recommended, the Commission will, at that point, establish a process for AEP Ohio and intervenors to address the findings and recommendations in the audit report.”</w:t>
      </w:r>
      <w:r>
        <w:rPr>
          <w:vertAlign w:val="superscript"/>
        </w:rPr>
        <w:footnoteReference w:id="33"/>
      </w:r>
      <w:r>
        <w:t xml:space="preserve">  At this point, there has been an audit report issued by Baker Tilly concluding that a double-recovery occurred.</w:t>
      </w:r>
      <w:r>
        <w:rPr>
          <w:rStyle w:val="FootnoteReference"/>
        </w:rPr>
        <w:footnoteReference w:id="34"/>
      </w:r>
      <w:r>
        <w:t xml:space="preserve">  Presumably, after Energy Ventures Analysis, Inc. (“EVA”) concludes the audits for 2014 and the first five months of 2015, the Commission will establish the aforementioned process by setting this matter for a hearing to allow AEP-Ohio, IEU-Ohio, and others to present the merit arguments the Commission deferred ruling on.</w:t>
      </w:r>
    </w:p>
    <w:p w:rsidR="000C0A9D" w:rsidRDefault="004E2E09">
      <w:r>
        <w:tab/>
        <w:t xml:space="preserve">In a renewed attempt to limit the scope of this proceeding through its opposition to providing discovery responses, AEP-Ohio restates the same arguments that the Commission previously rejected.  Specifically, in its Memo Contra to OCC’s Motion to </w:t>
      </w:r>
      <w:r>
        <w:lastRenderedPageBreak/>
        <w:t>Compel, AEP-Ohio requests that this proceeding be limited to a review of “the extent, if any, to which the Company has double-recovered demand charges under the Lawrenceburg and OVEC purchased power contracts through both: (1) the Fuel Adjustment Clause (FAC), which was subsequently unbundled into the Fixed Cost Rider (FCR), and (2) the State Compensation Mechanism (SCM) established by the Commission ….”</w:t>
      </w:r>
      <w:r>
        <w:rPr>
          <w:rStyle w:val="FootnoteReference"/>
        </w:rPr>
        <w:footnoteReference w:id="35"/>
      </w:r>
      <w:r>
        <w:t xml:space="preserve">  Again, AEP-Ohio seeks to present its merit arguments regarding what should and should not be considered in calculating the extent of the alleged double-recovery in an attempt to limit the scope of the Commission’s review.  For the same reasons relied upon by the Commission in its February 13, 2014 Entry on Rehearing, the Commission should again reject AEP-Ohio’s arguments that go to the merits of the magnitude of AEP-Ohio’s double-recovery, and should instead allow parties to fully present their positions at an evidentiary hearing. </w:t>
      </w:r>
    </w:p>
    <w:p w:rsidR="000C0A9D" w:rsidRDefault="004E2E09">
      <w:r>
        <w:tab/>
        <w:t>In sum, in its Memo Contra, AEP-Ohio recycles arguments that the Commission has already rejected in an attempt to secure a favorable ruling on the merits of AEP</w:t>
      </w:r>
      <w:r>
        <w:noBreakHyphen/>
        <w:t>Ohio’s claims prior to an evidentiary hearing.  The Commission should again reject AEP-Ohio’s arguments to narrow the scope of the hearing in a manner that could prevent parties from otherwise presenting relevant evidence during the hearing on the issue of the magnitude of AEP-Ohio’s double-recovery of OVEC and Lawrenceburg capacity costs.</w:t>
      </w:r>
      <w:r>
        <w:rPr>
          <w:rStyle w:val="FootnoteReference"/>
        </w:rPr>
        <w:footnoteReference w:id="36"/>
      </w:r>
    </w:p>
    <w:p w:rsidR="00141C9A" w:rsidRDefault="00141C9A">
      <w:pPr>
        <w:spacing w:after="120" w:line="240" w:lineRule="auto"/>
        <w:jc w:val="left"/>
        <w:rPr>
          <w:rFonts w:eastAsiaTheme="majorEastAsia" w:cs="Arial"/>
          <w:b/>
          <w:bCs/>
          <w:caps/>
          <w:szCs w:val="28"/>
          <w:u w:val="single"/>
        </w:rPr>
      </w:pPr>
      <w:r>
        <w:br w:type="page"/>
      </w:r>
    </w:p>
    <w:p w:rsidR="000C0A9D" w:rsidRDefault="004E2E09">
      <w:pPr>
        <w:pStyle w:val="Heading1"/>
      </w:pPr>
      <w:r>
        <w:lastRenderedPageBreak/>
        <w:t>conclusion</w:t>
      </w:r>
    </w:p>
    <w:p w:rsidR="000C0A9D" w:rsidRDefault="004E2E09">
      <w:r>
        <w:tab/>
        <w:t>Because AEP-Ohio admits that OCC’s discovery request is related to the recovery of the same capacity costs at issue in the double-recovery audit in this proceeding, it is evident that OCC’s request is reasonably calculated to lead to the discovery of admissible evidence.  The Commission should also uphold its prior Entry on Rehearing in this matter and should again reject AEP-Ohio’s arguments seeking to narrow the scope of this hearing.  Accordingly, the Commission should grant OCC’s Motion to Compel.</w:t>
      </w:r>
    </w:p>
    <w:p w:rsidR="000C0A9D" w:rsidRDefault="004E2E09" w:rsidP="00141C9A">
      <w:pPr>
        <w:tabs>
          <w:tab w:val="left" w:pos="4320"/>
          <w:tab w:val="right" w:pos="8640"/>
        </w:tabs>
        <w:spacing w:line="240" w:lineRule="auto"/>
        <w:ind w:left="4320"/>
        <w:rPr>
          <w:rFonts w:cs="Arial"/>
        </w:rPr>
      </w:pPr>
      <w:r>
        <w:rPr>
          <w:rFonts w:cs="Arial"/>
        </w:rPr>
        <w:t>Respectfully submitted,</w:t>
      </w:r>
    </w:p>
    <w:p w:rsidR="000C0A9D" w:rsidRDefault="000C0A9D" w:rsidP="00141C9A">
      <w:pPr>
        <w:tabs>
          <w:tab w:val="left" w:pos="4320"/>
          <w:tab w:val="right" w:pos="8640"/>
        </w:tabs>
        <w:spacing w:line="240" w:lineRule="auto"/>
        <w:ind w:left="4320"/>
        <w:rPr>
          <w:rFonts w:cs="Arial"/>
        </w:rPr>
      </w:pPr>
    </w:p>
    <w:p w:rsidR="000C0A9D" w:rsidRDefault="004E2E09" w:rsidP="00141C9A">
      <w:pPr>
        <w:tabs>
          <w:tab w:val="left" w:pos="4320"/>
          <w:tab w:val="right" w:pos="8640"/>
        </w:tabs>
        <w:spacing w:line="240" w:lineRule="auto"/>
        <w:ind w:left="4320"/>
        <w:rPr>
          <w:rFonts w:cs="Arial"/>
          <w:i/>
          <w:u w:val="single"/>
        </w:rPr>
      </w:pPr>
      <w:r>
        <w:rPr>
          <w:rFonts w:cs="Arial"/>
          <w:i/>
          <w:u w:val="single"/>
        </w:rPr>
        <w:t>/s/ Matthew R. Pritchard</w:t>
      </w:r>
      <w:r>
        <w:rPr>
          <w:rFonts w:cs="Arial"/>
          <w:i/>
          <w:u w:val="single"/>
        </w:rPr>
        <w:tab/>
      </w:r>
    </w:p>
    <w:p w:rsidR="000C0A9D" w:rsidRDefault="004E2E09" w:rsidP="00141C9A">
      <w:pPr>
        <w:widowControl w:val="0"/>
        <w:spacing w:line="240" w:lineRule="auto"/>
        <w:ind w:left="4320"/>
        <w:rPr>
          <w:rFonts w:cs="Arial"/>
          <w:bCs/>
        </w:rPr>
      </w:pPr>
      <w:r>
        <w:rPr>
          <w:rFonts w:cs="Arial"/>
          <w:bCs/>
        </w:rPr>
        <w:t>Frank P. Darr (Reg. No. 0025469)</w:t>
      </w:r>
    </w:p>
    <w:p w:rsidR="000C0A9D" w:rsidRDefault="004E2E09" w:rsidP="00141C9A">
      <w:pPr>
        <w:widowControl w:val="0"/>
        <w:spacing w:line="240" w:lineRule="auto"/>
        <w:ind w:left="4320"/>
        <w:rPr>
          <w:rFonts w:cs="Arial"/>
          <w:bCs/>
        </w:rPr>
      </w:pPr>
      <w:r>
        <w:rPr>
          <w:rFonts w:cs="Arial"/>
          <w:bCs/>
        </w:rPr>
        <w:t xml:space="preserve">  (Counsel of Record)</w:t>
      </w:r>
    </w:p>
    <w:p w:rsidR="000C0A9D" w:rsidRDefault="004E2E09" w:rsidP="00141C9A">
      <w:pPr>
        <w:widowControl w:val="0"/>
        <w:spacing w:line="240" w:lineRule="auto"/>
        <w:ind w:left="4320"/>
        <w:rPr>
          <w:rFonts w:cs="Arial"/>
          <w:b/>
          <w:bCs/>
        </w:rPr>
      </w:pPr>
      <w:r>
        <w:rPr>
          <w:rFonts w:cs="Arial"/>
          <w:bCs/>
        </w:rPr>
        <w:t>Matthew R. Pritchard (Reg. No. 0088070)</w:t>
      </w:r>
    </w:p>
    <w:p w:rsidR="000C0A9D" w:rsidRDefault="004E2E09" w:rsidP="00141C9A">
      <w:pPr>
        <w:widowControl w:val="0"/>
        <w:spacing w:line="240" w:lineRule="auto"/>
        <w:ind w:left="4320"/>
        <w:rPr>
          <w:rFonts w:cs="Arial"/>
          <w:b/>
          <w:bCs/>
          <w:smallCaps/>
        </w:rPr>
      </w:pPr>
      <w:r>
        <w:rPr>
          <w:rFonts w:cs="Arial"/>
          <w:bCs/>
          <w:smallCaps/>
        </w:rPr>
        <w:t>McNees Wallace &amp; Nurick LLC</w:t>
      </w:r>
    </w:p>
    <w:p w:rsidR="000C0A9D" w:rsidRDefault="004E2E09" w:rsidP="00141C9A">
      <w:pPr>
        <w:widowControl w:val="0"/>
        <w:spacing w:line="240" w:lineRule="auto"/>
        <w:ind w:left="4320"/>
        <w:rPr>
          <w:rFonts w:cs="Arial"/>
          <w:b/>
          <w:bCs/>
        </w:rPr>
      </w:pPr>
      <w:r>
        <w:rPr>
          <w:rFonts w:cs="Arial"/>
          <w:bCs/>
        </w:rPr>
        <w:t>21 East State Street, 17</w:t>
      </w:r>
      <w:r>
        <w:rPr>
          <w:rFonts w:cs="Arial"/>
          <w:bCs/>
          <w:vertAlign w:val="superscript"/>
        </w:rPr>
        <w:t>TH</w:t>
      </w:r>
      <w:r>
        <w:rPr>
          <w:rFonts w:cs="Arial"/>
          <w:bCs/>
        </w:rPr>
        <w:t xml:space="preserve"> Floor</w:t>
      </w:r>
    </w:p>
    <w:p w:rsidR="000C0A9D" w:rsidRDefault="004E2E09" w:rsidP="00141C9A">
      <w:pPr>
        <w:tabs>
          <w:tab w:val="left" w:pos="-1440"/>
          <w:tab w:val="left" w:pos="-720"/>
          <w:tab w:val="left" w:pos="5040"/>
          <w:tab w:val="center" w:pos="7200"/>
        </w:tabs>
        <w:overflowPunct w:val="0"/>
        <w:autoSpaceDE w:val="0"/>
        <w:autoSpaceDN w:val="0"/>
        <w:adjustRightInd w:val="0"/>
        <w:spacing w:line="240" w:lineRule="auto"/>
        <w:ind w:left="4320"/>
        <w:rPr>
          <w:rFonts w:cs="Arial"/>
        </w:rPr>
      </w:pPr>
      <w:r>
        <w:rPr>
          <w:rFonts w:cs="Arial"/>
        </w:rPr>
        <w:t>Columbus, OH  43215</w:t>
      </w:r>
    </w:p>
    <w:p w:rsidR="000C0A9D" w:rsidRDefault="004E2E09" w:rsidP="00141C9A">
      <w:pPr>
        <w:tabs>
          <w:tab w:val="left" w:pos="-1440"/>
          <w:tab w:val="left" w:pos="-720"/>
          <w:tab w:val="left" w:pos="5040"/>
          <w:tab w:val="center" w:pos="7200"/>
        </w:tabs>
        <w:overflowPunct w:val="0"/>
        <w:autoSpaceDE w:val="0"/>
        <w:autoSpaceDN w:val="0"/>
        <w:adjustRightInd w:val="0"/>
        <w:spacing w:line="240" w:lineRule="auto"/>
        <w:ind w:left="4320"/>
        <w:rPr>
          <w:rFonts w:cs="Arial"/>
        </w:rPr>
      </w:pPr>
      <w:r>
        <w:rPr>
          <w:rFonts w:cs="Arial"/>
        </w:rPr>
        <w:t>Telephone:  (614) 469-8000</w:t>
      </w:r>
    </w:p>
    <w:p w:rsidR="000C0A9D" w:rsidRDefault="004E2E09" w:rsidP="00141C9A">
      <w:pPr>
        <w:tabs>
          <w:tab w:val="left" w:pos="-1440"/>
          <w:tab w:val="left" w:pos="-720"/>
          <w:tab w:val="left" w:pos="5040"/>
          <w:tab w:val="center" w:pos="7200"/>
        </w:tabs>
        <w:overflowPunct w:val="0"/>
        <w:autoSpaceDE w:val="0"/>
        <w:autoSpaceDN w:val="0"/>
        <w:adjustRightInd w:val="0"/>
        <w:spacing w:line="240" w:lineRule="auto"/>
        <w:ind w:left="4320"/>
        <w:rPr>
          <w:rFonts w:cs="Arial"/>
          <w:color w:val="000000" w:themeColor="text1"/>
        </w:rPr>
      </w:pPr>
      <w:r>
        <w:rPr>
          <w:rFonts w:cs="Arial"/>
          <w:color w:val="000000" w:themeColor="text1"/>
        </w:rPr>
        <w:t>Telecopier:  (614) 469-4653</w:t>
      </w:r>
    </w:p>
    <w:p w:rsidR="000C0A9D" w:rsidRDefault="004E2E09" w:rsidP="00141C9A">
      <w:pPr>
        <w:tabs>
          <w:tab w:val="left" w:pos="-1440"/>
          <w:tab w:val="left" w:pos="-720"/>
          <w:tab w:val="left" w:pos="5040"/>
          <w:tab w:val="center" w:pos="7200"/>
        </w:tabs>
        <w:overflowPunct w:val="0"/>
        <w:autoSpaceDE w:val="0"/>
        <w:autoSpaceDN w:val="0"/>
        <w:adjustRightInd w:val="0"/>
        <w:spacing w:line="240" w:lineRule="auto"/>
        <w:ind w:left="4320"/>
        <w:rPr>
          <w:rFonts w:cs="Arial"/>
          <w:color w:val="000000" w:themeColor="text1"/>
        </w:rPr>
      </w:pPr>
      <w:r>
        <w:rPr>
          <w:rFonts w:cs="Arial"/>
        </w:rPr>
        <w:t>fdarr@mwncmh.com</w:t>
      </w:r>
    </w:p>
    <w:p w:rsidR="000C0A9D" w:rsidRPr="00141C9A" w:rsidRDefault="00141C9A" w:rsidP="00141C9A">
      <w:pPr>
        <w:tabs>
          <w:tab w:val="left" w:pos="-1440"/>
          <w:tab w:val="left" w:pos="-720"/>
          <w:tab w:val="left" w:pos="5040"/>
          <w:tab w:val="center" w:pos="7200"/>
        </w:tabs>
        <w:overflowPunct w:val="0"/>
        <w:autoSpaceDE w:val="0"/>
        <w:autoSpaceDN w:val="0"/>
        <w:adjustRightInd w:val="0"/>
        <w:spacing w:line="240" w:lineRule="auto"/>
        <w:ind w:left="4320"/>
        <w:rPr>
          <w:rFonts w:cs="Arial"/>
          <w:color w:val="000000" w:themeColor="text1"/>
        </w:rPr>
      </w:pPr>
      <w:r w:rsidRPr="004E2E09">
        <w:rPr>
          <w:rFonts w:cs="Arial"/>
          <w:color w:val="000000" w:themeColor="text1"/>
        </w:rPr>
        <w:t>mpritchard@mwncmh.com</w:t>
      </w:r>
    </w:p>
    <w:p w:rsidR="00141C9A" w:rsidRDefault="00141C9A" w:rsidP="00141C9A">
      <w:pPr>
        <w:tabs>
          <w:tab w:val="left" w:pos="-1440"/>
          <w:tab w:val="left" w:pos="-720"/>
          <w:tab w:val="left" w:pos="5040"/>
          <w:tab w:val="center" w:pos="7200"/>
        </w:tabs>
        <w:overflowPunct w:val="0"/>
        <w:autoSpaceDE w:val="0"/>
        <w:autoSpaceDN w:val="0"/>
        <w:adjustRightInd w:val="0"/>
        <w:spacing w:line="240" w:lineRule="auto"/>
        <w:ind w:left="4320"/>
        <w:rPr>
          <w:rFonts w:cs="Arial"/>
          <w:color w:val="000000" w:themeColor="text1"/>
        </w:rPr>
      </w:pPr>
    </w:p>
    <w:p w:rsidR="00141C9A" w:rsidRPr="00141C9A" w:rsidRDefault="00141C9A" w:rsidP="00141C9A">
      <w:pPr>
        <w:tabs>
          <w:tab w:val="left" w:pos="-1440"/>
          <w:tab w:val="left" w:pos="-720"/>
          <w:tab w:val="left" w:pos="5040"/>
          <w:tab w:val="center" w:pos="7200"/>
        </w:tabs>
        <w:overflowPunct w:val="0"/>
        <w:autoSpaceDE w:val="0"/>
        <w:autoSpaceDN w:val="0"/>
        <w:adjustRightInd w:val="0"/>
        <w:spacing w:line="240" w:lineRule="auto"/>
        <w:ind w:left="4320"/>
        <w:rPr>
          <w:rFonts w:ascii="Arial Bold" w:hAnsi="Arial Bold" w:cs="Arial"/>
          <w:b/>
          <w:color w:val="000000" w:themeColor="text1"/>
        </w:rPr>
      </w:pPr>
      <w:r w:rsidRPr="00141C9A">
        <w:rPr>
          <w:rFonts w:ascii="Arial Bold" w:hAnsi="Arial Bold" w:cs="Arial"/>
          <w:b/>
          <w:color w:val="000000" w:themeColor="text1"/>
        </w:rPr>
        <w:t>Attorneys</w:t>
      </w:r>
      <w:r>
        <w:rPr>
          <w:rFonts w:ascii="Arial Bold" w:hAnsi="Arial Bold" w:cs="Arial"/>
          <w:b/>
          <w:color w:val="000000" w:themeColor="text1"/>
        </w:rPr>
        <w:t xml:space="preserve"> for Industrial Energy Users</w:t>
      </w:r>
      <w:r>
        <w:rPr>
          <w:rFonts w:ascii="Arial Bold" w:hAnsi="Arial Bold" w:cs="Arial"/>
          <w:b/>
          <w:color w:val="000000" w:themeColor="text1"/>
        </w:rPr>
        <w:noBreakHyphen/>
        <w:t>Ohio</w:t>
      </w:r>
    </w:p>
    <w:p w:rsidR="000C0A9D" w:rsidRDefault="000C0A9D"/>
    <w:p w:rsidR="000C0A9D" w:rsidRDefault="000C0A9D">
      <w:pPr>
        <w:spacing w:after="120" w:line="240" w:lineRule="auto"/>
        <w:jc w:val="left"/>
        <w:sectPr w:rsidR="000C0A9D" w:rsidSect="00141C9A">
          <w:pgSz w:w="12240" w:h="15840" w:code="1"/>
          <w:pgMar w:top="1296" w:right="1440" w:bottom="1152" w:left="1440" w:header="720" w:footer="720" w:gutter="0"/>
          <w:pgNumType w:start="1"/>
          <w:cols w:space="720"/>
          <w:titlePg/>
          <w:docGrid w:linePitch="360"/>
        </w:sectPr>
      </w:pPr>
    </w:p>
    <w:p w:rsidR="00936E51" w:rsidRPr="00141C9A" w:rsidRDefault="00936E51" w:rsidP="00141C9A">
      <w:pPr>
        <w:tabs>
          <w:tab w:val="left" w:pos="2160"/>
          <w:tab w:val="left" w:pos="2280"/>
        </w:tabs>
        <w:spacing w:line="240" w:lineRule="auto"/>
        <w:jc w:val="center"/>
        <w:rPr>
          <w:rFonts w:cs="Arial"/>
          <w:b/>
          <w:smallCaps/>
          <w:sz w:val="28"/>
          <w:szCs w:val="28"/>
          <w:u w:val="single"/>
        </w:rPr>
      </w:pPr>
      <w:r w:rsidRPr="00141C9A">
        <w:rPr>
          <w:rFonts w:cs="Arial"/>
          <w:b/>
          <w:smallCaps/>
          <w:sz w:val="28"/>
          <w:szCs w:val="28"/>
          <w:u w:val="single"/>
        </w:rPr>
        <w:lastRenderedPageBreak/>
        <w:t>Certificate of Service</w:t>
      </w:r>
    </w:p>
    <w:p w:rsidR="00936E51" w:rsidRPr="00141C9A" w:rsidRDefault="00936E51" w:rsidP="00141C9A">
      <w:pPr>
        <w:spacing w:line="240" w:lineRule="auto"/>
        <w:rPr>
          <w:rFonts w:cs="Arial"/>
          <w:sz w:val="28"/>
          <w:szCs w:val="28"/>
        </w:rPr>
      </w:pPr>
    </w:p>
    <w:p w:rsidR="00936E51" w:rsidRPr="00141C9A" w:rsidRDefault="00936E51" w:rsidP="00141C9A">
      <w:pPr>
        <w:pStyle w:val="BodyText"/>
        <w:spacing w:after="0" w:line="480" w:lineRule="auto"/>
        <w:ind w:firstLine="720"/>
        <w:rPr>
          <w:rFonts w:ascii="Arial" w:hAnsi="Arial" w:cs="Arial"/>
          <w:b w:val="0"/>
          <w:u w:val="none"/>
        </w:rPr>
      </w:pPr>
      <w:r w:rsidRPr="00141C9A">
        <w:rPr>
          <w:rFonts w:ascii="Arial" w:hAnsi="Arial" w:cs="Arial"/>
          <w:b w:val="0"/>
          <w:u w:val="none"/>
        </w:rPr>
        <w:t xml:space="preserve">In accordance with Rule 4901-1-05, Ohio Administrative Code, the PUCO's e-filing system will electronically serve notice of the filing of this document upon the following parties.  In addition, I hereby certify that a service copy of the foregoing </w:t>
      </w:r>
      <w:r w:rsidRPr="00141C9A">
        <w:rPr>
          <w:rFonts w:ascii="Arial" w:hAnsi="Arial" w:cs="Arial"/>
          <w:b w:val="0"/>
          <w:i/>
          <w:u w:val="none"/>
        </w:rPr>
        <w:t xml:space="preserve">Industrial Energy Users-Ohio’s Reply to Ohio Power Company’s Memorandum Contra to the Office of the Ohio Consumers’ Counsel’s Motion to Compel, </w:t>
      </w:r>
      <w:r w:rsidRPr="00141C9A">
        <w:rPr>
          <w:rFonts w:ascii="Arial" w:hAnsi="Arial" w:cs="Arial"/>
          <w:b w:val="0"/>
          <w:u w:val="none"/>
        </w:rPr>
        <w:t>was sent by, or on behalf of, the undersigned counsel for IEU-Ohio, to the following parties of record this 7</w:t>
      </w:r>
      <w:r w:rsidRPr="00141C9A">
        <w:rPr>
          <w:rFonts w:ascii="Arial" w:hAnsi="Arial" w:cs="Arial"/>
          <w:b w:val="0"/>
          <w:u w:val="none"/>
          <w:vertAlign w:val="superscript"/>
        </w:rPr>
        <w:t>th</w:t>
      </w:r>
      <w:r w:rsidRPr="00141C9A">
        <w:rPr>
          <w:rFonts w:ascii="Arial" w:hAnsi="Arial" w:cs="Arial"/>
          <w:b w:val="0"/>
          <w:u w:val="none"/>
        </w:rPr>
        <w:t xml:space="preserve"> day of August, 2015, </w:t>
      </w:r>
      <w:r w:rsidRPr="00141C9A">
        <w:rPr>
          <w:rFonts w:ascii="Arial" w:hAnsi="Arial" w:cs="Arial"/>
          <w:b w:val="0"/>
          <w:i/>
          <w:u w:val="none"/>
        </w:rPr>
        <w:t>via</w:t>
      </w:r>
      <w:r w:rsidRPr="00141C9A">
        <w:rPr>
          <w:rFonts w:ascii="Arial" w:hAnsi="Arial" w:cs="Arial"/>
          <w:b w:val="0"/>
          <w:u w:val="none"/>
        </w:rPr>
        <w:t xml:space="preserve"> electronic transmission. </w:t>
      </w:r>
    </w:p>
    <w:p w:rsidR="00936E51" w:rsidRPr="00141C9A" w:rsidRDefault="00936E51" w:rsidP="00141C9A">
      <w:pPr>
        <w:tabs>
          <w:tab w:val="center" w:pos="7200"/>
          <w:tab w:val="right" w:pos="9360"/>
        </w:tabs>
        <w:spacing w:line="240" w:lineRule="auto"/>
        <w:ind w:left="5040"/>
        <w:rPr>
          <w:rFonts w:cs="Arial"/>
          <w:i/>
          <w:u w:val="single"/>
        </w:rPr>
      </w:pPr>
      <w:r w:rsidRPr="00141C9A">
        <w:rPr>
          <w:rFonts w:cs="Arial"/>
          <w:i/>
          <w:u w:val="single"/>
        </w:rPr>
        <w:t>/s/ Matthew R. Pritchard</w:t>
      </w:r>
      <w:r w:rsidRPr="00141C9A">
        <w:rPr>
          <w:rFonts w:cs="Arial"/>
          <w:i/>
          <w:u w:val="single"/>
        </w:rPr>
        <w:tab/>
      </w:r>
    </w:p>
    <w:p w:rsidR="00936E51" w:rsidRDefault="00936E51" w:rsidP="00141C9A">
      <w:pPr>
        <w:tabs>
          <w:tab w:val="center" w:pos="7200"/>
          <w:tab w:val="right" w:pos="9360"/>
        </w:tabs>
        <w:spacing w:line="240" w:lineRule="auto"/>
        <w:ind w:left="5760"/>
        <w:rPr>
          <w:rFonts w:cs="Arial"/>
        </w:rPr>
      </w:pPr>
      <w:r w:rsidRPr="00141C9A">
        <w:rPr>
          <w:rFonts w:cs="Arial"/>
        </w:rPr>
        <w:t>Matthew R. Pritchard</w:t>
      </w:r>
    </w:p>
    <w:p w:rsidR="00936E51" w:rsidRPr="00141C9A" w:rsidRDefault="00936E51" w:rsidP="00141C9A">
      <w:pPr>
        <w:tabs>
          <w:tab w:val="center" w:pos="7200"/>
          <w:tab w:val="right" w:pos="9360"/>
        </w:tabs>
        <w:spacing w:line="240" w:lineRule="auto"/>
        <w:ind w:left="5760"/>
        <w:rPr>
          <w:rFonts w:cs="Arial"/>
          <w:u w:val="single"/>
        </w:rPr>
      </w:pPr>
    </w:p>
    <w:p w:rsidR="00936E51" w:rsidRDefault="00936E51" w:rsidP="00936E51">
      <w:pPr>
        <w:spacing w:line="240" w:lineRule="auto"/>
        <w:rPr>
          <w:color w:val="000000" w:themeColor="text1"/>
          <w:sz w:val="22"/>
          <w:szCs w:val="22"/>
        </w:rPr>
        <w:sectPr w:rsidR="00936E51">
          <w:pgSz w:w="12240" w:h="15840" w:code="1"/>
          <w:pgMar w:top="1440" w:right="1440" w:bottom="1440" w:left="1440" w:header="720" w:footer="720" w:gutter="0"/>
          <w:pgNumType w:start="1"/>
          <w:cols w:space="720"/>
          <w:titlePg/>
          <w:docGrid w:linePitch="360"/>
        </w:sectPr>
      </w:pPr>
    </w:p>
    <w:p w:rsidR="00936E51" w:rsidRPr="00141C9A" w:rsidRDefault="00936E51" w:rsidP="00141C9A">
      <w:pPr>
        <w:spacing w:line="240" w:lineRule="auto"/>
        <w:rPr>
          <w:color w:val="000000" w:themeColor="text1"/>
          <w:sz w:val="22"/>
          <w:szCs w:val="22"/>
        </w:rPr>
      </w:pPr>
      <w:r w:rsidRPr="00141C9A">
        <w:rPr>
          <w:color w:val="000000" w:themeColor="text1"/>
          <w:sz w:val="22"/>
          <w:szCs w:val="22"/>
        </w:rPr>
        <w:lastRenderedPageBreak/>
        <w:t>Steven T. Nourse</w:t>
      </w:r>
    </w:p>
    <w:p w:rsidR="00936E51" w:rsidRPr="00141C9A" w:rsidRDefault="00936E51" w:rsidP="00141C9A">
      <w:pPr>
        <w:spacing w:line="240" w:lineRule="auto"/>
        <w:rPr>
          <w:color w:val="000000" w:themeColor="text1"/>
          <w:sz w:val="22"/>
          <w:szCs w:val="22"/>
        </w:rPr>
      </w:pPr>
      <w:r w:rsidRPr="00141C9A">
        <w:rPr>
          <w:color w:val="000000" w:themeColor="text1"/>
          <w:sz w:val="22"/>
          <w:szCs w:val="22"/>
        </w:rPr>
        <w:t>Matthew J. Satterwhite</w:t>
      </w:r>
    </w:p>
    <w:p w:rsidR="00936E51" w:rsidRPr="00141C9A" w:rsidRDefault="00936E51" w:rsidP="00141C9A">
      <w:pPr>
        <w:spacing w:line="240" w:lineRule="auto"/>
        <w:rPr>
          <w:color w:val="000000" w:themeColor="text1"/>
          <w:sz w:val="22"/>
          <w:szCs w:val="22"/>
        </w:rPr>
      </w:pPr>
      <w:r w:rsidRPr="00141C9A">
        <w:rPr>
          <w:color w:val="000000" w:themeColor="text1"/>
          <w:sz w:val="22"/>
          <w:szCs w:val="22"/>
        </w:rPr>
        <w:t>American Electric Power Service Corporation</w:t>
      </w:r>
    </w:p>
    <w:p w:rsidR="00936E51" w:rsidRPr="00141C9A" w:rsidRDefault="00936E51" w:rsidP="00141C9A">
      <w:pPr>
        <w:spacing w:line="240" w:lineRule="auto"/>
        <w:rPr>
          <w:color w:val="000000" w:themeColor="text1"/>
          <w:sz w:val="22"/>
          <w:szCs w:val="22"/>
        </w:rPr>
      </w:pPr>
      <w:r w:rsidRPr="00141C9A">
        <w:rPr>
          <w:color w:val="000000" w:themeColor="text1"/>
          <w:sz w:val="22"/>
          <w:szCs w:val="22"/>
        </w:rPr>
        <w:t>1 Riverside Plaza, 29</w:t>
      </w:r>
      <w:r w:rsidRPr="00141C9A">
        <w:rPr>
          <w:color w:val="000000" w:themeColor="text1"/>
          <w:sz w:val="22"/>
          <w:szCs w:val="22"/>
          <w:vertAlign w:val="superscript"/>
        </w:rPr>
        <w:t>th</w:t>
      </w:r>
      <w:r w:rsidRPr="00141C9A">
        <w:rPr>
          <w:color w:val="000000" w:themeColor="text1"/>
          <w:sz w:val="22"/>
          <w:szCs w:val="22"/>
        </w:rPr>
        <w:t xml:space="preserve"> Floor</w:t>
      </w:r>
    </w:p>
    <w:p w:rsidR="00936E51" w:rsidRPr="00141C9A" w:rsidRDefault="00936E51" w:rsidP="00141C9A">
      <w:pPr>
        <w:spacing w:line="240" w:lineRule="auto"/>
        <w:rPr>
          <w:color w:val="000000" w:themeColor="text1"/>
          <w:sz w:val="22"/>
          <w:szCs w:val="22"/>
        </w:rPr>
      </w:pPr>
      <w:r w:rsidRPr="00141C9A">
        <w:rPr>
          <w:color w:val="000000" w:themeColor="text1"/>
          <w:sz w:val="22"/>
          <w:szCs w:val="22"/>
        </w:rPr>
        <w:t>Columbus, OH  43215</w:t>
      </w:r>
    </w:p>
    <w:p w:rsidR="00936E51" w:rsidRPr="00141C9A" w:rsidRDefault="00936E51" w:rsidP="00141C9A">
      <w:pPr>
        <w:spacing w:line="240" w:lineRule="auto"/>
        <w:rPr>
          <w:color w:val="000000" w:themeColor="text1"/>
          <w:sz w:val="22"/>
          <w:szCs w:val="22"/>
        </w:rPr>
      </w:pPr>
      <w:r w:rsidRPr="00141C9A">
        <w:rPr>
          <w:sz w:val="22"/>
          <w:szCs w:val="22"/>
        </w:rPr>
        <w:t>stnourse@aep.com</w:t>
      </w:r>
      <w:r w:rsidRPr="00141C9A">
        <w:rPr>
          <w:color w:val="000000" w:themeColor="text1"/>
          <w:sz w:val="22"/>
          <w:szCs w:val="22"/>
        </w:rPr>
        <w:t xml:space="preserve"> </w:t>
      </w:r>
    </w:p>
    <w:p w:rsidR="00936E51" w:rsidRPr="00141C9A" w:rsidRDefault="00936E51" w:rsidP="00141C9A">
      <w:pPr>
        <w:spacing w:line="240" w:lineRule="auto"/>
        <w:rPr>
          <w:color w:val="000000" w:themeColor="text1"/>
          <w:sz w:val="22"/>
          <w:szCs w:val="22"/>
        </w:rPr>
      </w:pPr>
      <w:r w:rsidRPr="00141C9A">
        <w:rPr>
          <w:sz w:val="22"/>
          <w:szCs w:val="22"/>
        </w:rPr>
        <w:t>mjsatterwhite@aep.com</w:t>
      </w:r>
    </w:p>
    <w:p w:rsidR="00936E51" w:rsidRPr="00141C9A" w:rsidRDefault="00936E51" w:rsidP="00141C9A">
      <w:pPr>
        <w:spacing w:line="240" w:lineRule="auto"/>
        <w:rPr>
          <w:color w:val="000000" w:themeColor="text1"/>
          <w:sz w:val="22"/>
          <w:szCs w:val="22"/>
        </w:rPr>
      </w:pPr>
    </w:p>
    <w:p w:rsidR="00936E51" w:rsidRPr="00141C9A" w:rsidRDefault="00936E51" w:rsidP="00141C9A">
      <w:pPr>
        <w:spacing w:line="240" w:lineRule="auto"/>
        <w:rPr>
          <w:color w:val="000000" w:themeColor="text1"/>
          <w:sz w:val="22"/>
          <w:szCs w:val="22"/>
        </w:rPr>
      </w:pPr>
      <w:r w:rsidRPr="00141C9A">
        <w:rPr>
          <w:color w:val="000000" w:themeColor="text1"/>
          <w:sz w:val="22"/>
          <w:szCs w:val="22"/>
        </w:rPr>
        <w:t>Daniel R. Conway</w:t>
      </w:r>
    </w:p>
    <w:p w:rsidR="00936E51" w:rsidRPr="00141C9A" w:rsidRDefault="00936E51" w:rsidP="00141C9A">
      <w:pPr>
        <w:spacing w:line="240" w:lineRule="auto"/>
        <w:rPr>
          <w:color w:val="000000" w:themeColor="text1"/>
          <w:sz w:val="22"/>
          <w:szCs w:val="22"/>
        </w:rPr>
      </w:pPr>
      <w:r w:rsidRPr="00141C9A">
        <w:rPr>
          <w:color w:val="000000" w:themeColor="text1"/>
          <w:sz w:val="22"/>
          <w:szCs w:val="22"/>
        </w:rPr>
        <w:t>Porter Wright Morris &amp; Arthur</w:t>
      </w:r>
    </w:p>
    <w:p w:rsidR="00936E51" w:rsidRPr="00141C9A" w:rsidRDefault="00936E51" w:rsidP="00141C9A">
      <w:pPr>
        <w:spacing w:line="240" w:lineRule="auto"/>
        <w:rPr>
          <w:color w:val="000000" w:themeColor="text1"/>
          <w:sz w:val="22"/>
          <w:szCs w:val="22"/>
        </w:rPr>
      </w:pPr>
      <w:r w:rsidRPr="00141C9A">
        <w:rPr>
          <w:color w:val="000000" w:themeColor="text1"/>
          <w:sz w:val="22"/>
          <w:szCs w:val="22"/>
        </w:rPr>
        <w:t>Huntington Center</w:t>
      </w:r>
    </w:p>
    <w:p w:rsidR="00936E51" w:rsidRPr="00141C9A" w:rsidRDefault="00936E51" w:rsidP="00141C9A">
      <w:pPr>
        <w:spacing w:line="240" w:lineRule="auto"/>
        <w:rPr>
          <w:color w:val="000000" w:themeColor="text1"/>
          <w:sz w:val="22"/>
          <w:szCs w:val="22"/>
        </w:rPr>
      </w:pPr>
      <w:r w:rsidRPr="00141C9A">
        <w:rPr>
          <w:color w:val="000000" w:themeColor="text1"/>
          <w:sz w:val="22"/>
          <w:szCs w:val="22"/>
        </w:rPr>
        <w:t>41 S. High Street</w:t>
      </w:r>
    </w:p>
    <w:p w:rsidR="00936E51" w:rsidRPr="00141C9A" w:rsidRDefault="00936E51" w:rsidP="00141C9A">
      <w:pPr>
        <w:spacing w:line="240" w:lineRule="auto"/>
        <w:rPr>
          <w:color w:val="000000" w:themeColor="text1"/>
          <w:sz w:val="22"/>
          <w:szCs w:val="22"/>
        </w:rPr>
      </w:pPr>
      <w:r w:rsidRPr="00141C9A">
        <w:rPr>
          <w:color w:val="000000" w:themeColor="text1"/>
          <w:sz w:val="22"/>
          <w:szCs w:val="22"/>
        </w:rPr>
        <w:t>Columbus, OH  43215</w:t>
      </w:r>
    </w:p>
    <w:p w:rsidR="00936E51" w:rsidRPr="00141C9A" w:rsidRDefault="00936E51" w:rsidP="00141C9A">
      <w:pPr>
        <w:spacing w:line="240" w:lineRule="auto"/>
        <w:rPr>
          <w:color w:val="000000" w:themeColor="text1"/>
          <w:sz w:val="22"/>
          <w:szCs w:val="22"/>
        </w:rPr>
      </w:pPr>
      <w:r w:rsidRPr="00141C9A">
        <w:rPr>
          <w:sz w:val="22"/>
          <w:szCs w:val="22"/>
        </w:rPr>
        <w:t>dconway@porterwright.com</w:t>
      </w:r>
      <w:r w:rsidRPr="00141C9A">
        <w:rPr>
          <w:color w:val="000000" w:themeColor="text1"/>
          <w:sz w:val="22"/>
          <w:szCs w:val="22"/>
        </w:rPr>
        <w:t xml:space="preserve"> </w:t>
      </w:r>
    </w:p>
    <w:p w:rsidR="00936E51" w:rsidRPr="00141C9A" w:rsidRDefault="00936E51" w:rsidP="00141C9A">
      <w:pPr>
        <w:spacing w:line="240" w:lineRule="auto"/>
        <w:rPr>
          <w:color w:val="000000" w:themeColor="text1"/>
          <w:sz w:val="22"/>
          <w:szCs w:val="22"/>
        </w:rPr>
      </w:pPr>
    </w:p>
    <w:p w:rsidR="00936E51" w:rsidRPr="00141C9A" w:rsidRDefault="00936E51" w:rsidP="00141C9A">
      <w:pPr>
        <w:spacing w:line="240" w:lineRule="auto"/>
        <w:rPr>
          <w:b/>
          <w:smallCaps/>
          <w:color w:val="000000" w:themeColor="text1"/>
          <w:sz w:val="22"/>
          <w:szCs w:val="22"/>
        </w:rPr>
      </w:pPr>
      <w:r w:rsidRPr="00141C9A">
        <w:rPr>
          <w:b/>
          <w:smallCaps/>
          <w:color w:val="000000" w:themeColor="text1"/>
          <w:sz w:val="22"/>
          <w:szCs w:val="22"/>
        </w:rPr>
        <w:t>On Behalf of Ohio Power Company and Columbus Southern Power Company</w:t>
      </w:r>
    </w:p>
    <w:p w:rsidR="00936E51" w:rsidRPr="00141C9A" w:rsidRDefault="00936E51" w:rsidP="00141C9A">
      <w:pPr>
        <w:spacing w:line="240" w:lineRule="auto"/>
        <w:rPr>
          <w:color w:val="000000" w:themeColor="text1"/>
          <w:sz w:val="22"/>
          <w:szCs w:val="22"/>
        </w:rPr>
      </w:pPr>
    </w:p>
    <w:p w:rsidR="00936E51" w:rsidRPr="00141C9A" w:rsidRDefault="00936E51" w:rsidP="00141C9A">
      <w:pPr>
        <w:spacing w:line="240" w:lineRule="auto"/>
        <w:rPr>
          <w:color w:val="000000" w:themeColor="text1"/>
          <w:sz w:val="22"/>
          <w:szCs w:val="22"/>
        </w:rPr>
      </w:pPr>
      <w:r w:rsidRPr="00141C9A">
        <w:rPr>
          <w:color w:val="000000" w:themeColor="text1"/>
          <w:sz w:val="22"/>
          <w:szCs w:val="22"/>
        </w:rPr>
        <w:t>Maureen R. Grady</w:t>
      </w:r>
    </w:p>
    <w:p w:rsidR="00936E51" w:rsidRPr="00141C9A" w:rsidRDefault="00936E51" w:rsidP="00141C9A">
      <w:pPr>
        <w:spacing w:line="240" w:lineRule="auto"/>
        <w:rPr>
          <w:color w:val="000000" w:themeColor="text1"/>
          <w:sz w:val="22"/>
          <w:szCs w:val="22"/>
        </w:rPr>
      </w:pPr>
      <w:r w:rsidRPr="00141C9A">
        <w:rPr>
          <w:color w:val="000000" w:themeColor="text1"/>
          <w:sz w:val="22"/>
          <w:szCs w:val="22"/>
        </w:rPr>
        <w:t>Terry L. Etter</w:t>
      </w:r>
    </w:p>
    <w:p w:rsidR="00936E51" w:rsidRPr="00141C9A" w:rsidRDefault="00936E51" w:rsidP="00141C9A">
      <w:pPr>
        <w:spacing w:line="240" w:lineRule="auto"/>
        <w:rPr>
          <w:color w:val="000000" w:themeColor="text1"/>
          <w:sz w:val="22"/>
          <w:szCs w:val="22"/>
        </w:rPr>
      </w:pPr>
      <w:r w:rsidRPr="00141C9A">
        <w:rPr>
          <w:color w:val="000000" w:themeColor="text1"/>
          <w:sz w:val="22"/>
          <w:szCs w:val="22"/>
        </w:rPr>
        <w:t>Assistant Consumers’ Counsel</w:t>
      </w:r>
    </w:p>
    <w:p w:rsidR="00936E51" w:rsidRPr="00141C9A" w:rsidRDefault="00936E51" w:rsidP="00141C9A">
      <w:pPr>
        <w:spacing w:line="240" w:lineRule="auto"/>
        <w:rPr>
          <w:bCs/>
          <w:color w:val="000000" w:themeColor="text1"/>
          <w:sz w:val="22"/>
          <w:szCs w:val="22"/>
        </w:rPr>
      </w:pPr>
      <w:r w:rsidRPr="00141C9A">
        <w:rPr>
          <w:bCs/>
          <w:color w:val="000000" w:themeColor="text1"/>
          <w:sz w:val="22"/>
          <w:szCs w:val="22"/>
        </w:rPr>
        <w:t>Office of the Ohio Consumers’ Counsel</w:t>
      </w:r>
    </w:p>
    <w:p w:rsidR="00936E51" w:rsidRPr="00141C9A" w:rsidRDefault="00936E51" w:rsidP="00141C9A">
      <w:pPr>
        <w:spacing w:line="240" w:lineRule="auto"/>
        <w:rPr>
          <w:color w:val="000000" w:themeColor="text1"/>
          <w:sz w:val="22"/>
          <w:szCs w:val="22"/>
        </w:rPr>
      </w:pPr>
      <w:r w:rsidRPr="00141C9A">
        <w:rPr>
          <w:color w:val="000000" w:themeColor="text1"/>
          <w:sz w:val="22"/>
          <w:szCs w:val="22"/>
        </w:rPr>
        <w:t>10 West Broad Street, Suite 1800</w:t>
      </w:r>
    </w:p>
    <w:p w:rsidR="00936E51" w:rsidRPr="00141C9A" w:rsidRDefault="00936E51" w:rsidP="00141C9A">
      <w:pPr>
        <w:spacing w:line="240" w:lineRule="auto"/>
        <w:rPr>
          <w:color w:val="000000" w:themeColor="text1"/>
          <w:sz w:val="22"/>
          <w:szCs w:val="22"/>
        </w:rPr>
      </w:pPr>
      <w:r w:rsidRPr="00141C9A">
        <w:rPr>
          <w:color w:val="000000" w:themeColor="text1"/>
          <w:sz w:val="22"/>
          <w:szCs w:val="22"/>
        </w:rPr>
        <w:t>Columbus, OH  43215-3485</w:t>
      </w:r>
    </w:p>
    <w:p w:rsidR="00936E51" w:rsidRPr="00141C9A" w:rsidRDefault="00936E51" w:rsidP="00141C9A">
      <w:pPr>
        <w:spacing w:line="240" w:lineRule="auto"/>
        <w:rPr>
          <w:color w:val="000000" w:themeColor="text1"/>
          <w:sz w:val="22"/>
          <w:szCs w:val="22"/>
        </w:rPr>
      </w:pPr>
      <w:r w:rsidRPr="00141C9A">
        <w:rPr>
          <w:sz w:val="22"/>
          <w:szCs w:val="22"/>
        </w:rPr>
        <w:t>etter@occ.state.oh.us</w:t>
      </w:r>
      <w:r w:rsidRPr="00141C9A">
        <w:rPr>
          <w:color w:val="000000" w:themeColor="text1"/>
          <w:sz w:val="22"/>
          <w:szCs w:val="22"/>
        </w:rPr>
        <w:t xml:space="preserve"> </w:t>
      </w:r>
    </w:p>
    <w:p w:rsidR="00936E51" w:rsidRPr="00141C9A" w:rsidRDefault="00936E51" w:rsidP="00141C9A">
      <w:pPr>
        <w:spacing w:line="240" w:lineRule="auto"/>
        <w:rPr>
          <w:color w:val="000000" w:themeColor="text1"/>
          <w:sz w:val="22"/>
          <w:szCs w:val="22"/>
        </w:rPr>
      </w:pPr>
      <w:r w:rsidRPr="00141C9A">
        <w:rPr>
          <w:color w:val="000000" w:themeColor="text1"/>
          <w:sz w:val="22"/>
          <w:szCs w:val="22"/>
        </w:rPr>
        <w:t>grady@occ.state.oh.us</w:t>
      </w:r>
    </w:p>
    <w:p w:rsidR="00936E51" w:rsidRPr="00141C9A" w:rsidRDefault="00936E51" w:rsidP="00141C9A">
      <w:pPr>
        <w:spacing w:line="240" w:lineRule="auto"/>
        <w:rPr>
          <w:color w:val="000000" w:themeColor="text1"/>
          <w:sz w:val="22"/>
          <w:szCs w:val="22"/>
        </w:rPr>
      </w:pPr>
    </w:p>
    <w:p w:rsidR="00936E51" w:rsidRPr="00141C9A" w:rsidRDefault="00936E51" w:rsidP="00141C9A">
      <w:pPr>
        <w:spacing w:line="240" w:lineRule="auto"/>
        <w:rPr>
          <w:color w:val="000000" w:themeColor="text1"/>
          <w:sz w:val="22"/>
          <w:szCs w:val="22"/>
        </w:rPr>
      </w:pPr>
      <w:r w:rsidRPr="00141C9A">
        <w:rPr>
          <w:rFonts w:ascii="Arial Bold" w:hAnsi="Arial Bold"/>
          <w:b/>
          <w:smallCaps/>
          <w:color w:val="000000" w:themeColor="text1"/>
          <w:sz w:val="22"/>
          <w:szCs w:val="22"/>
        </w:rPr>
        <w:t>On Behalf of the Office of the Ohio Consumers’ Counsel</w:t>
      </w:r>
    </w:p>
    <w:p w:rsidR="00936E51" w:rsidRPr="00141C9A" w:rsidRDefault="00936E51" w:rsidP="00141C9A">
      <w:pPr>
        <w:spacing w:line="240" w:lineRule="auto"/>
        <w:rPr>
          <w:color w:val="000000" w:themeColor="text1"/>
          <w:sz w:val="22"/>
          <w:szCs w:val="22"/>
        </w:rPr>
      </w:pPr>
      <w:r w:rsidRPr="00141C9A">
        <w:rPr>
          <w:color w:val="000000" w:themeColor="text1"/>
          <w:sz w:val="22"/>
          <w:szCs w:val="22"/>
        </w:rPr>
        <w:br w:type="column"/>
      </w:r>
      <w:r w:rsidRPr="00141C9A">
        <w:rPr>
          <w:color w:val="000000" w:themeColor="text1"/>
          <w:sz w:val="22"/>
          <w:szCs w:val="22"/>
        </w:rPr>
        <w:lastRenderedPageBreak/>
        <w:t xml:space="preserve">Dane Stinson </w:t>
      </w:r>
    </w:p>
    <w:p w:rsidR="00936E51" w:rsidRPr="00141C9A" w:rsidRDefault="00936E51" w:rsidP="00141C9A">
      <w:pPr>
        <w:spacing w:line="240" w:lineRule="auto"/>
        <w:rPr>
          <w:color w:val="000000" w:themeColor="text1"/>
          <w:sz w:val="22"/>
          <w:szCs w:val="22"/>
        </w:rPr>
      </w:pPr>
      <w:r w:rsidRPr="00141C9A">
        <w:rPr>
          <w:color w:val="000000" w:themeColor="text1"/>
          <w:sz w:val="22"/>
          <w:szCs w:val="22"/>
        </w:rPr>
        <w:t>Bricker and Eckler LLP</w:t>
      </w:r>
    </w:p>
    <w:p w:rsidR="00936E51" w:rsidRPr="00141C9A" w:rsidRDefault="00936E51" w:rsidP="00141C9A">
      <w:pPr>
        <w:spacing w:line="240" w:lineRule="auto"/>
        <w:rPr>
          <w:color w:val="000000" w:themeColor="text1"/>
          <w:sz w:val="22"/>
          <w:szCs w:val="22"/>
        </w:rPr>
      </w:pPr>
      <w:r w:rsidRPr="00141C9A">
        <w:rPr>
          <w:color w:val="000000" w:themeColor="text1"/>
          <w:sz w:val="22"/>
          <w:szCs w:val="22"/>
        </w:rPr>
        <w:t>100 South Third Street</w:t>
      </w:r>
    </w:p>
    <w:p w:rsidR="00936E51" w:rsidRPr="00141C9A" w:rsidRDefault="00936E51" w:rsidP="00141C9A">
      <w:pPr>
        <w:spacing w:line="240" w:lineRule="auto"/>
        <w:rPr>
          <w:color w:val="000000" w:themeColor="text1"/>
          <w:sz w:val="22"/>
          <w:szCs w:val="22"/>
        </w:rPr>
      </w:pPr>
      <w:r w:rsidRPr="00141C9A">
        <w:rPr>
          <w:color w:val="000000" w:themeColor="text1"/>
          <w:sz w:val="22"/>
          <w:szCs w:val="22"/>
        </w:rPr>
        <w:t>Columbus, Ohio 43215</w:t>
      </w:r>
    </w:p>
    <w:p w:rsidR="00936E51" w:rsidRPr="00141C9A" w:rsidRDefault="00936E51" w:rsidP="00141C9A">
      <w:pPr>
        <w:spacing w:line="240" w:lineRule="auto"/>
        <w:rPr>
          <w:color w:val="000000" w:themeColor="text1"/>
          <w:sz w:val="22"/>
          <w:szCs w:val="22"/>
        </w:rPr>
      </w:pPr>
      <w:r w:rsidRPr="00141C9A">
        <w:rPr>
          <w:color w:val="000000" w:themeColor="text1"/>
          <w:sz w:val="22"/>
          <w:szCs w:val="22"/>
        </w:rPr>
        <w:t>dstinson@bricker.com</w:t>
      </w:r>
    </w:p>
    <w:p w:rsidR="00936E51" w:rsidRPr="00141C9A" w:rsidRDefault="00936E51" w:rsidP="00141C9A">
      <w:pPr>
        <w:spacing w:line="240" w:lineRule="auto"/>
        <w:rPr>
          <w:color w:val="000000" w:themeColor="text1"/>
          <w:sz w:val="22"/>
          <w:szCs w:val="22"/>
        </w:rPr>
      </w:pPr>
    </w:p>
    <w:p w:rsidR="00936E51" w:rsidRPr="00141C9A" w:rsidRDefault="00AA2F4A" w:rsidP="00141C9A">
      <w:pPr>
        <w:spacing w:line="240" w:lineRule="auto"/>
        <w:rPr>
          <w:color w:val="000000" w:themeColor="text1"/>
          <w:sz w:val="22"/>
          <w:szCs w:val="22"/>
        </w:rPr>
      </w:pPr>
      <w:r w:rsidRPr="009925C0">
        <w:rPr>
          <w:rFonts w:ascii="Arial Bold" w:hAnsi="Arial Bold"/>
          <w:b/>
          <w:smallCaps/>
          <w:color w:val="000000" w:themeColor="text1"/>
          <w:sz w:val="22"/>
          <w:szCs w:val="22"/>
        </w:rPr>
        <w:t xml:space="preserve">Outside Counsel for </w:t>
      </w:r>
      <w:r w:rsidRPr="00141C9A">
        <w:rPr>
          <w:rFonts w:ascii="Arial Bold" w:hAnsi="Arial Bold"/>
          <w:b/>
          <w:smallCaps/>
          <w:color w:val="000000" w:themeColor="text1"/>
          <w:sz w:val="22"/>
          <w:szCs w:val="22"/>
        </w:rPr>
        <w:t>the Office of the Ohio Consumers' Counsel</w:t>
      </w:r>
    </w:p>
    <w:p w:rsidR="00AA2F4A" w:rsidRDefault="00AA2F4A" w:rsidP="00141C9A">
      <w:pPr>
        <w:spacing w:line="240" w:lineRule="auto"/>
        <w:rPr>
          <w:color w:val="000000" w:themeColor="text1"/>
          <w:sz w:val="22"/>
          <w:szCs w:val="22"/>
        </w:rPr>
      </w:pPr>
    </w:p>
    <w:p w:rsidR="00936E51" w:rsidRPr="00141C9A" w:rsidRDefault="00936E51" w:rsidP="00141C9A">
      <w:pPr>
        <w:spacing w:line="240" w:lineRule="auto"/>
        <w:rPr>
          <w:color w:val="000000" w:themeColor="text1"/>
          <w:sz w:val="22"/>
          <w:szCs w:val="22"/>
        </w:rPr>
      </w:pPr>
      <w:r w:rsidRPr="00141C9A">
        <w:rPr>
          <w:color w:val="000000" w:themeColor="text1"/>
          <w:sz w:val="22"/>
          <w:szCs w:val="22"/>
        </w:rPr>
        <w:t>Emma F. Hand, Counsel of Record</w:t>
      </w:r>
    </w:p>
    <w:p w:rsidR="00936E51" w:rsidRPr="00141C9A" w:rsidRDefault="00936E51" w:rsidP="00141C9A">
      <w:pPr>
        <w:spacing w:line="240" w:lineRule="auto"/>
        <w:rPr>
          <w:color w:val="000000" w:themeColor="text1"/>
          <w:sz w:val="22"/>
          <w:szCs w:val="22"/>
        </w:rPr>
      </w:pPr>
      <w:r w:rsidRPr="00141C9A">
        <w:rPr>
          <w:color w:val="000000" w:themeColor="text1"/>
          <w:sz w:val="22"/>
          <w:szCs w:val="22"/>
        </w:rPr>
        <w:t>SNR Denton LLP</w:t>
      </w:r>
    </w:p>
    <w:p w:rsidR="00936E51" w:rsidRPr="00141C9A" w:rsidRDefault="00936E51" w:rsidP="00141C9A">
      <w:pPr>
        <w:spacing w:line="240" w:lineRule="auto"/>
        <w:rPr>
          <w:color w:val="000000" w:themeColor="text1"/>
          <w:sz w:val="22"/>
          <w:szCs w:val="22"/>
        </w:rPr>
      </w:pPr>
      <w:r w:rsidRPr="00141C9A">
        <w:rPr>
          <w:color w:val="000000" w:themeColor="text1"/>
          <w:sz w:val="22"/>
          <w:szCs w:val="22"/>
        </w:rPr>
        <w:t>1301 K Street NW</w:t>
      </w:r>
    </w:p>
    <w:p w:rsidR="00936E51" w:rsidRPr="00141C9A" w:rsidRDefault="00936E51" w:rsidP="00141C9A">
      <w:pPr>
        <w:spacing w:line="240" w:lineRule="auto"/>
        <w:rPr>
          <w:color w:val="000000" w:themeColor="text1"/>
          <w:sz w:val="22"/>
          <w:szCs w:val="22"/>
        </w:rPr>
      </w:pPr>
      <w:r w:rsidRPr="00141C9A">
        <w:rPr>
          <w:color w:val="000000" w:themeColor="text1"/>
          <w:sz w:val="22"/>
          <w:szCs w:val="22"/>
        </w:rPr>
        <w:t>Suite 600, East Tower</w:t>
      </w:r>
    </w:p>
    <w:p w:rsidR="00936E51" w:rsidRPr="00141C9A" w:rsidRDefault="00936E51" w:rsidP="00141C9A">
      <w:pPr>
        <w:spacing w:line="240" w:lineRule="auto"/>
        <w:rPr>
          <w:color w:val="000000" w:themeColor="text1"/>
          <w:sz w:val="22"/>
          <w:szCs w:val="22"/>
        </w:rPr>
      </w:pPr>
      <w:r w:rsidRPr="00141C9A">
        <w:rPr>
          <w:color w:val="000000" w:themeColor="text1"/>
          <w:sz w:val="22"/>
          <w:szCs w:val="22"/>
        </w:rPr>
        <w:t>Washington, DC  20005</w:t>
      </w:r>
    </w:p>
    <w:p w:rsidR="00936E51" w:rsidRPr="00141C9A" w:rsidRDefault="00936E51" w:rsidP="00141C9A">
      <w:pPr>
        <w:spacing w:line="240" w:lineRule="auto"/>
        <w:rPr>
          <w:color w:val="000000" w:themeColor="text1"/>
          <w:sz w:val="22"/>
          <w:szCs w:val="22"/>
        </w:rPr>
      </w:pPr>
      <w:r w:rsidRPr="00141C9A">
        <w:rPr>
          <w:color w:val="000000" w:themeColor="text1"/>
          <w:sz w:val="22"/>
          <w:szCs w:val="22"/>
        </w:rPr>
        <w:t>Emma.hand@snrdenton.com</w:t>
      </w:r>
    </w:p>
    <w:p w:rsidR="00936E51" w:rsidRPr="00141C9A" w:rsidRDefault="00936E51" w:rsidP="00141C9A">
      <w:pPr>
        <w:spacing w:line="240" w:lineRule="auto"/>
        <w:rPr>
          <w:color w:val="000000" w:themeColor="text1"/>
          <w:sz w:val="22"/>
          <w:szCs w:val="22"/>
        </w:rPr>
      </w:pPr>
    </w:p>
    <w:p w:rsidR="00936E51" w:rsidRPr="00141C9A" w:rsidRDefault="00936E51" w:rsidP="00141C9A">
      <w:pPr>
        <w:spacing w:line="240" w:lineRule="auto"/>
        <w:rPr>
          <w:rFonts w:ascii="Arial Bold" w:hAnsi="Arial Bold"/>
          <w:b/>
          <w:smallCaps/>
          <w:color w:val="000000" w:themeColor="text1"/>
          <w:sz w:val="22"/>
          <w:szCs w:val="22"/>
        </w:rPr>
      </w:pPr>
      <w:r w:rsidRPr="00141C9A">
        <w:rPr>
          <w:rFonts w:ascii="Arial Bold" w:hAnsi="Arial Bold"/>
          <w:b/>
          <w:smallCaps/>
          <w:color w:val="000000" w:themeColor="text1"/>
          <w:sz w:val="22"/>
          <w:szCs w:val="22"/>
        </w:rPr>
        <w:t>On Behalf of Ormet Primary Aluminum Corporation</w:t>
      </w:r>
    </w:p>
    <w:p w:rsidR="00936E51" w:rsidRPr="00141C9A" w:rsidRDefault="00936E51" w:rsidP="00141C9A">
      <w:pPr>
        <w:spacing w:line="240" w:lineRule="auto"/>
        <w:rPr>
          <w:color w:val="000000" w:themeColor="text1"/>
          <w:sz w:val="22"/>
          <w:szCs w:val="22"/>
        </w:rPr>
      </w:pPr>
    </w:p>
    <w:p w:rsidR="00936E51" w:rsidRPr="00141C9A" w:rsidRDefault="00936E51" w:rsidP="00141C9A">
      <w:pPr>
        <w:spacing w:line="240" w:lineRule="auto"/>
        <w:rPr>
          <w:color w:val="000000" w:themeColor="text1"/>
          <w:sz w:val="22"/>
          <w:szCs w:val="22"/>
        </w:rPr>
      </w:pPr>
      <w:r w:rsidRPr="00141C9A">
        <w:rPr>
          <w:color w:val="000000" w:themeColor="text1"/>
          <w:sz w:val="22"/>
          <w:szCs w:val="22"/>
        </w:rPr>
        <w:t>Matthew White</w:t>
      </w:r>
    </w:p>
    <w:p w:rsidR="00936E51" w:rsidRPr="00141C9A" w:rsidRDefault="00936E51" w:rsidP="00141C9A">
      <w:pPr>
        <w:spacing w:line="240" w:lineRule="auto"/>
        <w:rPr>
          <w:color w:val="000000" w:themeColor="text1"/>
          <w:sz w:val="22"/>
          <w:szCs w:val="22"/>
        </w:rPr>
      </w:pPr>
      <w:r w:rsidRPr="00141C9A">
        <w:rPr>
          <w:color w:val="000000" w:themeColor="text1"/>
          <w:sz w:val="22"/>
          <w:szCs w:val="22"/>
        </w:rPr>
        <w:t>Counsel of Record</w:t>
      </w:r>
    </w:p>
    <w:p w:rsidR="00936E51" w:rsidRPr="00141C9A" w:rsidRDefault="00936E51" w:rsidP="00141C9A">
      <w:pPr>
        <w:spacing w:line="240" w:lineRule="auto"/>
        <w:rPr>
          <w:color w:val="000000" w:themeColor="text1"/>
          <w:sz w:val="22"/>
          <w:szCs w:val="22"/>
        </w:rPr>
      </w:pPr>
      <w:r w:rsidRPr="00141C9A">
        <w:rPr>
          <w:color w:val="000000" w:themeColor="text1"/>
          <w:sz w:val="22"/>
          <w:szCs w:val="22"/>
        </w:rPr>
        <w:t>IGS Energy</w:t>
      </w:r>
    </w:p>
    <w:p w:rsidR="00936E51" w:rsidRPr="00141C9A" w:rsidRDefault="00936E51" w:rsidP="00141C9A">
      <w:pPr>
        <w:spacing w:line="240" w:lineRule="auto"/>
        <w:rPr>
          <w:color w:val="000000" w:themeColor="text1"/>
          <w:sz w:val="22"/>
          <w:szCs w:val="22"/>
        </w:rPr>
      </w:pPr>
      <w:r w:rsidRPr="00141C9A">
        <w:rPr>
          <w:color w:val="000000" w:themeColor="text1"/>
          <w:sz w:val="22"/>
          <w:szCs w:val="22"/>
        </w:rPr>
        <w:t>6100 Emerald Parkway</w:t>
      </w:r>
    </w:p>
    <w:p w:rsidR="00936E51" w:rsidRPr="00141C9A" w:rsidRDefault="00936E51" w:rsidP="00141C9A">
      <w:pPr>
        <w:spacing w:line="240" w:lineRule="auto"/>
        <w:rPr>
          <w:color w:val="000000" w:themeColor="text1"/>
          <w:sz w:val="22"/>
          <w:szCs w:val="22"/>
        </w:rPr>
      </w:pPr>
      <w:r w:rsidRPr="00141C9A">
        <w:rPr>
          <w:color w:val="000000" w:themeColor="text1"/>
          <w:sz w:val="22"/>
          <w:szCs w:val="22"/>
        </w:rPr>
        <w:t>Dublin, Ohio 43016</w:t>
      </w:r>
    </w:p>
    <w:p w:rsidR="00936E51" w:rsidRPr="00141C9A" w:rsidRDefault="00936E51" w:rsidP="00141C9A">
      <w:pPr>
        <w:spacing w:line="240" w:lineRule="auto"/>
        <w:rPr>
          <w:color w:val="000000" w:themeColor="text1"/>
          <w:sz w:val="22"/>
          <w:szCs w:val="22"/>
        </w:rPr>
      </w:pPr>
      <w:r w:rsidRPr="00141C9A">
        <w:rPr>
          <w:color w:val="000000" w:themeColor="text1"/>
          <w:sz w:val="22"/>
          <w:szCs w:val="22"/>
        </w:rPr>
        <w:t>mswhite@igsenergy.com</w:t>
      </w:r>
    </w:p>
    <w:p w:rsidR="00936E51" w:rsidRPr="00141C9A" w:rsidRDefault="00936E51" w:rsidP="00141C9A">
      <w:pPr>
        <w:spacing w:line="240" w:lineRule="auto"/>
        <w:rPr>
          <w:color w:val="000000" w:themeColor="text1"/>
          <w:sz w:val="22"/>
          <w:szCs w:val="22"/>
        </w:rPr>
      </w:pPr>
    </w:p>
    <w:p w:rsidR="00936E51" w:rsidRPr="00141C9A" w:rsidRDefault="00936E51" w:rsidP="00141C9A">
      <w:pPr>
        <w:spacing w:line="240" w:lineRule="auto"/>
        <w:rPr>
          <w:rFonts w:ascii="Arial Bold" w:hAnsi="Arial Bold"/>
          <w:b/>
          <w:smallCaps/>
          <w:color w:val="000000" w:themeColor="text1"/>
          <w:sz w:val="22"/>
          <w:szCs w:val="22"/>
        </w:rPr>
      </w:pPr>
      <w:r w:rsidRPr="00141C9A">
        <w:rPr>
          <w:rFonts w:ascii="Arial Bold" w:hAnsi="Arial Bold"/>
          <w:b/>
          <w:smallCaps/>
          <w:color w:val="000000" w:themeColor="text1"/>
          <w:sz w:val="22"/>
          <w:szCs w:val="22"/>
        </w:rPr>
        <w:t>On Behalf of IGS Energy</w:t>
      </w:r>
    </w:p>
    <w:p w:rsidR="00936E51" w:rsidRPr="00141C9A" w:rsidRDefault="00936E51" w:rsidP="00141C9A">
      <w:pPr>
        <w:spacing w:line="240" w:lineRule="auto"/>
        <w:rPr>
          <w:color w:val="000000" w:themeColor="text1"/>
          <w:sz w:val="22"/>
          <w:szCs w:val="22"/>
        </w:rPr>
      </w:pPr>
    </w:p>
    <w:p w:rsidR="00936E51" w:rsidRPr="00141C9A" w:rsidRDefault="00936E51" w:rsidP="00936E51">
      <w:pPr>
        <w:spacing w:line="240" w:lineRule="auto"/>
        <w:rPr>
          <w:color w:val="000000" w:themeColor="text1"/>
          <w:sz w:val="22"/>
          <w:szCs w:val="22"/>
        </w:rPr>
        <w:sectPr w:rsidR="00936E51" w:rsidRPr="00141C9A" w:rsidSect="00936E51">
          <w:type w:val="continuous"/>
          <w:pgSz w:w="12240" w:h="15840" w:code="1"/>
          <w:pgMar w:top="1440" w:right="1440" w:bottom="1440" w:left="1440" w:header="720" w:footer="720" w:gutter="0"/>
          <w:pgNumType w:start="1"/>
          <w:cols w:num="2" w:space="720"/>
          <w:titlePg/>
          <w:docGrid w:linePitch="360"/>
        </w:sectPr>
      </w:pPr>
    </w:p>
    <w:p w:rsidR="00936E51" w:rsidRPr="00141C9A" w:rsidRDefault="00936E51" w:rsidP="00141C9A">
      <w:pPr>
        <w:spacing w:line="240" w:lineRule="auto"/>
        <w:rPr>
          <w:color w:val="000000" w:themeColor="text1"/>
          <w:sz w:val="22"/>
          <w:szCs w:val="22"/>
        </w:rPr>
      </w:pPr>
      <w:r w:rsidRPr="00141C9A">
        <w:rPr>
          <w:color w:val="000000" w:themeColor="text1"/>
          <w:sz w:val="22"/>
          <w:szCs w:val="22"/>
        </w:rPr>
        <w:lastRenderedPageBreak/>
        <w:t>Kimberly W. Bojko</w:t>
      </w:r>
    </w:p>
    <w:p w:rsidR="00936E51" w:rsidRPr="00141C9A" w:rsidRDefault="00936E51" w:rsidP="00141C9A">
      <w:pPr>
        <w:spacing w:line="240" w:lineRule="auto"/>
        <w:rPr>
          <w:color w:val="000000" w:themeColor="text1"/>
          <w:sz w:val="22"/>
          <w:szCs w:val="22"/>
        </w:rPr>
      </w:pPr>
      <w:r w:rsidRPr="00141C9A">
        <w:rPr>
          <w:color w:val="000000" w:themeColor="text1"/>
          <w:sz w:val="22"/>
          <w:szCs w:val="22"/>
        </w:rPr>
        <w:t>Rebecca L. Hussey</w:t>
      </w:r>
    </w:p>
    <w:p w:rsidR="00936E51" w:rsidRPr="00141C9A" w:rsidRDefault="00936E51" w:rsidP="00141C9A">
      <w:pPr>
        <w:spacing w:line="240" w:lineRule="auto"/>
        <w:rPr>
          <w:color w:val="000000" w:themeColor="text1"/>
          <w:sz w:val="22"/>
          <w:szCs w:val="22"/>
        </w:rPr>
      </w:pPr>
      <w:r w:rsidRPr="00141C9A">
        <w:rPr>
          <w:color w:val="000000" w:themeColor="text1"/>
          <w:sz w:val="22"/>
          <w:szCs w:val="22"/>
        </w:rPr>
        <w:t>Carpenter Lipps &amp; Leland LLP</w:t>
      </w:r>
    </w:p>
    <w:p w:rsidR="00936E51" w:rsidRPr="00141C9A" w:rsidRDefault="00936E51" w:rsidP="00141C9A">
      <w:pPr>
        <w:spacing w:line="240" w:lineRule="auto"/>
        <w:rPr>
          <w:color w:val="000000" w:themeColor="text1"/>
          <w:sz w:val="22"/>
          <w:szCs w:val="22"/>
        </w:rPr>
      </w:pPr>
      <w:r w:rsidRPr="00141C9A">
        <w:rPr>
          <w:color w:val="000000" w:themeColor="text1"/>
          <w:sz w:val="22"/>
          <w:szCs w:val="22"/>
        </w:rPr>
        <w:t>280 Plaza, suite 1300</w:t>
      </w:r>
    </w:p>
    <w:p w:rsidR="00936E51" w:rsidRPr="00141C9A" w:rsidRDefault="00936E51" w:rsidP="00141C9A">
      <w:pPr>
        <w:spacing w:line="240" w:lineRule="auto"/>
        <w:rPr>
          <w:color w:val="000000" w:themeColor="text1"/>
          <w:sz w:val="22"/>
          <w:szCs w:val="22"/>
        </w:rPr>
      </w:pPr>
      <w:r w:rsidRPr="00141C9A">
        <w:rPr>
          <w:color w:val="000000" w:themeColor="text1"/>
          <w:sz w:val="22"/>
          <w:szCs w:val="22"/>
        </w:rPr>
        <w:t>280 North High Street – Suite 1300</w:t>
      </w:r>
    </w:p>
    <w:p w:rsidR="00936E51" w:rsidRPr="00141C9A" w:rsidRDefault="00936E51" w:rsidP="00141C9A">
      <w:pPr>
        <w:spacing w:line="240" w:lineRule="auto"/>
        <w:rPr>
          <w:color w:val="000000" w:themeColor="text1"/>
          <w:sz w:val="22"/>
          <w:szCs w:val="22"/>
        </w:rPr>
      </w:pPr>
      <w:r w:rsidRPr="00141C9A">
        <w:rPr>
          <w:color w:val="000000" w:themeColor="text1"/>
          <w:sz w:val="22"/>
          <w:szCs w:val="22"/>
        </w:rPr>
        <w:t>Columbus, OH  43215</w:t>
      </w:r>
    </w:p>
    <w:p w:rsidR="00936E51" w:rsidRPr="00141C9A" w:rsidRDefault="00936E51" w:rsidP="00141C9A">
      <w:pPr>
        <w:spacing w:line="240" w:lineRule="auto"/>
        <w:rPr>
          <w:color w:val="000000" w:themeColor="text1"/>
          <w:sz w:val="22"/>
          <w:szCs w:val="22"/>
        </w:rPr>
      </w:pPr>
      <w:r w:rsidRPr="00141C9A">
        <w:rPr>
          <w:color w:val="000000" w:themeColor="text1"/>
          <w:sz w:val="22"/>
          <w:szCs w:val="22"/>
        </w:rPr>
        <w:t>Bojko@carpenterlipps.com</w:t>
      </w:r>
    </w:p>
    <w:p w:rsidR="00936E51" w:rsidRPr="00141C9A" w:rsidRDefault="00936E51" w:rsidP="00141C9A">
      <w:pPr>
        <w:spacing w:line="240" w:lineRule="auto"/>
        <w:rPr>
          <w:color w:val="000000" w:themeColor="text1"/>
          <w:sz w:val="22"/>
          <w:szCs w:val="22"/>
        </w:rPr>
      </w:pPr>
      <w:r w:rsidRPr="00141C9A">
        <w:rPr>
          <w:color w:val="000000" w:themeColor="text1"/>
          <w:sz w:val="22"/>
          <w:szCs w:val="22"/>
        </w:rPr>
        <w:t>hussey@carpenterlipps.com</w:t>
      </w:r>
    </w:p>
    <w:p w:rsidR="00936E51" w:rsidRPr="00141C9A" w:rsidRDefault="00936E51" w:rsidP="00141C9A">
      <w:pPr>
        <w:spacing w:line="240" w:lineRule="auto"/>
        <w:rPr>
          <w:color w:val="000000" w:themeColor="text1"/>
          <w:sz w:val="22"/>
          <w:szCs w:val="22"/>
        </w:rPr>
      </w:pPr>
    </w:p>
    <w:p w:rsidR="00936E51" w:rsidRPr="00141C9A" w:rsidRDefault="00936E51" w:rsidP="00141C9A">
      <w:pPr>
        <w:spacing w:line="240" w:lineRule="auto"/>
        <w:rPr>
          <w:rFonts w:ascii="Arial Bold" w:hAnsi="Arial Bold"/>
          <w:b/>
          <w:smallCaps/>
          <w:color w:val="000000" w:themeColor="text1"/>
          <w:sz w:val="22"/>
          <w:szCs w:val="22"/>
        </w:rPr>
      </w:pPr>
      <w:r w:rsidRPr="00141C9A">
        <w:rPr>
          <w:rFonts w:ascii="Arial Bold" w:hAnsi="Arial Bold"/>
          <w:b/>
          <w:smallCaps/>
          <w:color w:val="000000" w:themeColor="text1"/>
          <w:sz w:val="22"/>
          <w:szCs w:val="22"/>
        </w:rPr>
        <w:t>On Behalf of Ohio Manufacturers' Association Energy Group</w:t>
      </w:r>
    </w:p>
    <w:p w:rsidR="00936E51" w:rsidRPr="00141C9A" w:rsidRDefault="00936E51" w:rsidP="00141C9A">
      <w:pPr>
        <w:spacing w:line="240" w:lineRule="auto"/>
        <w:rPr>
          <w:rFonts w:ascii="Arial Bold" w:hAnsi="Arial Bold"/>
          <w:b/>
          <w:smallCaps/>
          <w:color w:val="000000" w:themeColor="text1"/>
          <w:sz w:val="22"/>
          <w:szCs w:val="22"/>
        </w:rPr>
      </w:pPr>
    </w:p>
    <w:p w:rsidR="00936E51" w:rsidRPr="00141C9A" w:rsidRDefault="00936E51" w:rsidP="00141C9A">
      <w:pPr>
        <w:spacing w:line="240" w:lineRule="auto"/>
        <w:rPr>
          <w:color w:val="000000" w:themeColor="text1"/>
          <w:sz w:val="22"/>
          <w:szCs w:val="22"/>
        </w:rPr>
      </w:pPr>
      <w:r w:rsidRPr="00141C9A">
        <w:rPr>
          <w:color w:val="000000" w:themeColor="text1"/>
          <w:sz w:val="22"/>
          <w:szCs w:val="22"/>
        </w:rPr>
        <w:t>M. Howard Petricoff</w:t>
      </w:r>
    </w:p>
    <w:p w:rsidR="00936E51" w:rsidRPr="00141C9A" w:rsidRDefault="00936E51" w:rsidP="00141C9A">
      <w:pPr>
        <w:spacing w:line="240" w:lineRule="auto"/>
        <w:rPr>
          <w:color w:val="000000" w:themeColor="text1"/>
          <w:sz w:val="22"/>
          <w:szCs w:val="22"/>
        </w:rPr>
      </w:pPr>
      <w:r w:rsidRPr="00141C9A">
        <w:rPr>
          <w:color w:val="000000" w:themeColor="text1"/>
          <w:sz w:val="22"/>
          <w:szCs w:val="22"/>
        </w:rPr>
        <w:t>Michael J. Settineri</w:t>
      </w:r>
    </w:p>
    <w:p w:rsidR="00936E51" w:rsidRPr="00141C9A" w:rsidRDefault="00936E51" w:rsidP="00141C9A">
      <w:pPr>
        <w:spacing w:line="240" w:lineRule="auto"/>
        <w:rPr>
          <w:color w:val="000000" w:themeColor="text1"/>
          <w:sz w:val="22"/>
          <w:szCs w:val="22"/>
        </w:rPr>
      </w:pPr>
      <w:r w:rsidRPr="00141C9A">
        <w:rPr>
          <w:color w:val="000000" w:themeColor="text1"/>
          <w:sz w:val="22"/>
          <w:szCs w:val="22"/>
        </w:rPr>
        <w:t>Gretchen L. Petrucci</w:t>
      </w:r>
    </w:p>
    <w:p w:rsidR="00936E51" w:rsidRPr="00141C9A" w:rsidRDefault="00936E51" w:rsidP="00141C9A">
      <w:pPr>
        <w:spacing w:line="240" w:lineRule="auto"/>
        <w:rPr>
          <w:color w:val="000000" w:themeColor="text1"/>
          <w:sz w:val="22"/>
          <w:szCs w:val="22"/>
        </w:rPr>
      </w:pPr>
      <w:r w:rsidRPr="00141C9A">
        <w:rPr>
          <w:color w:val="000000" w:themeColor="text1"/>
          <w:sz w:val="22"/>
          <w:szCs w:val="22"/>
        </w:rPr>
        <w:t>Vorys, Sater, Seymour and Pease LLP</w:t>
      </w:r>
    </w:p>
    <w:p w:rsidR="00936E51" w:rsidRPr="00141C9A" w:rsidRDefault="00936E51" w:rsidP="00141C9A">
      <w:pPr>
        <w:spacing w:line="240" w:lineRule="auto"/>
        <w:rPr>
          <w:color w:val="000000" w:themeColor="text1"/>
          <w:sz w:val="22"/>
          <w:szCs w:val="22"/>
        </w:rPr>
      </w:pPr>
      <w:r w:rsidRPr="00141C9A">
        <w:rPr>
          <w:color w:val="000000" w:themeColor="text1"/>
          <w:sz w:val="22"/>
          <w:szCs w:val="22"/>
        </w:rPr>
        <w:t>52 East Gay Street</w:t>
      </w:r>
    </w:p>
    <w:p w:rsidR="00936E51" w:rsidRPr="00141C9A" w:rsidRDefault="00936E51" w:rsidP="00141C9A">
      <w:pPr>
        <w:spacing w:line="240" w:lineRule="auto"/>
        <w:rPr>
          <w:color w:val="000000" w:themeColor="text1"/>
          <w:sz w:val="22"/>
          <w:szCs w:val="22"/>
        </w:rPr>
      </w:pPr>
      <w:r w:rsidRPr="00141C9A">
        <w:rPr>
          <w:color w:val="000000" w:themeColor="text1"/>
          <w:sz w:val="22"/>
          <w:szCs w:val="22"/>
        </w:rPr>
        <w:t>Columbus, OH  43215</w:t>
      </w:r>
    </w:p>
    <w:p w:rsidR="00936E51" w:rsidRPr="00141C9A" w:rsidRDefault="00936E51" w:rsidP="00141C9A">
      <w:pPr>
        <w:spacing w:line="240" w:lineRule="auto"/>
        <w:rPr>
          <w:color w:val="000000" w:themeColor="text1"/>
          <w:sz w:val="22"/>
          <w:szCs w:val="22"/>
        </w:rPr>
      </w:pPr>
      <w:r w:rsidRPr="00141C9A">
        <w:rPr>
          <w:color w:val="000000" w:themeColor="text1"/>
          <w:sz w:val="22"/>
          <w:szCs w:val="22"/>
        </w:rPr>
        <w:t>mhpetricoff@vorys.com</w:t>
      </w:r>
    </w:p>
    <w:p w:rsidR="00936E51" w:rsidRPr="00141C9A" w:rsidRDefault="00936E51" w:rsidP="00141C9A">
      <w:pPr>
        <w:spacing w:line="240" w:lineRule="auto"/>
        <w:rPr>
          <w:color w:val="000000" w:themeColor="text1"/>
          <w:sz w:val="22"/>
          <w:szCs w:val="22"/>
        </w:rPr>
      </w:pPr>
      <w:r w:rsidRPr="00141C9A">
        <w:rPr>
          <w:color w:val="000000" w:themeColor="text1"/>
          <w:sz w:val="22"/>
          <w:szCs w:val="22"/>
        </w:rPr>
        <w:t>misettineri@vorys.com</w:t>
      </w:r>
    </w:p>
    <w:p w:rsidR="00936E51" w:rsidRPr="00141C9A" w:rsidRDefault="00936E51" w:rsidP="00141C9A">
      <w:pPr>
        <w:spacing w:line="240" w:lineRule="auto"/>
        <w:rPr>
          <w:color w:val="000000" w:themeColor="text1"/>
          <w:sz w:val="22"/>
          <w:szCs w:val="22"/>
        </w:rPr>
      </w:pPr>
      <w:r w:rsidRPr="00141C9A">
        <w:rPr>
          <w:color w:val="000000" w:themeColor="text1"/>
          <w:sz w:val="22"/>
          <w:szCs w:val="22"/>
        </w:rPr>
        <w:t>glpetrucci@vorys.com</w:t>
      </w:r>
    </w:p>
    <w:p w:rsidR="00936E51" w:rsidRPr="00141C9A" w:rsidRDefault="00936E51" w:rsidP="00141C9A">
      <w:pPr>
        <w:spacing w:line="240" w:lineRule="auto"/>
        <w:rPr>
          <w:color w:val="000000" w:themeColor="text1"/>
          <w:sz w:val="22"/>
          <w:szCs w:val="22"/>
        </w:rPr>
      </w:pPr>
    </w:p>
    <w:p w:rsidR="00936E51" w:rsidRPr="00141C9A" w:rsidRDefault="00936E51" w:rsidP="00141C9A">
      <w:pPr>
        <w:spacing w:line="240" w:lineRule="auto"/>
        <w:rPr>
          <w:rFonts w:ascii="Arial Bold" w:hAnsi="Arial Bold"/>
          <w:b/>
          <w:smallCaps/>
          <w:color w:val="000000" w:themeColor="text1"/>
          <w:sz w:val="22"/>
          <w:szCs w:val="22"/>
        </w:rPr>
      </w:pPr>
      <w:r w:rsidRPr="00141C9A">
        <w:rPr>
          <w:rFonts w:ascii="Arial Bold" w:hAnsi="Arial Bold"/>
          <w:b/>
          <w:smallCaps/>
          <w:color w:val="000000" w:themeColor="text1"/>
          <w:sz w:val="22"/>
          <w:szCs w:val="22"/>
        </w:rPr>
        <w:t>On Behalf of Retail Energy Supply Association</w:t>
      </w:r>
    </w:p>
    <w:p w:rsidR="00936E51" w:rsidRPr="00141C9A" w:rsidRDefault="00936E51" w:rsidP="00141C9A">
      <w:pPr>
        <w:spacing w:line="240" w:lineRule="auto"/>
        <w:rPr>
          <w:color w:val="000000" w:themeColor="text1"/>
          <w:sz w:val="22"/>
          <w:szCs w:val="22"/>
        </w:rPr>
      </w:pPr>
    </w:p>
    <w:p w:rsidR="00936E51" w:rsidRPr="00141C9A" w:rsidRDefault="00936E51" w:rsidP="00141C9A">
      <w:pPr>
        <w:spacing w:line="240" w:lineRule="auto"/>
        <w:rPr>
          <w:color w:val="000000" w:themeColor="text1"/>
          <w:sz w:val="22"/>
          <w:szCs w:val="22"/>
        </w:rPr>
      </w:pPr>
      <w:r w:rsidRPr="00141C9A">
        <w:rPr>
          <w:color w:val="000000" w:themeColor="text1"/>
          <w:sz w:val="22"/>
          <w:szCs w:val="22"/>
        </w:rPr>
        <w:t>Thomas McNamee</w:t>
      </w:r>
    </w:p>
    <w:p w:rsidR="00936E51" w:rsidRPr="00141C9A" w:rsidRDefault="00936E51" w:rsidP="00141C9A">
      <w:pPr>
        <w:spacing w:line="240" w:lineRule="auto"/>
        <w:rPr>
          <w:color w:val="000000" w:themeColor="text1"/>
          <w:sz w:val="22"/>
          <w:szCs w:val="22"/>
        </w:rPr>
      </w:pPr>
      <w:r w:rsidRPr="00141C9A">
        <w:rPr>
          <w:color w:val="000000" w:themeColor="text1"/>
          <w:sz w:val="22"/>
          <w:szCs w:val="22"/>
        </w:rPr>
        <w:t>Steven Beeler</w:t>
      </w:r>
    </w:p>
    <w:p w:rsidR="00936E51" w:rsidRPr="00141C9A" w:rsidRDefault="00936E51" w:rsidP="00141C9A">
      <w:pPr>
        <w:spacing w:line="240" w:lineRule="auto"/>
        <w:rPr>
          <w:color w:val="000000" w:themeColor="text1"/>
          <w:sz w:val="22"/>
          <w:szCs w:val="22"/>
        </w:rPr>
      </w:pPr>
      <w:r w:rsidRPr="00141C9A">
        <w:rPr>
          <w:color w:val="000000" w:themeColor="text1"/>
          <w:sz w:val="22"/>
          <w:szCs w:val="22"/>
        </w:rPr>
        <w:t xml:space="preserve">Assistant Attorneys General </w:t>
      </w:r>
    </w:p>
    <w:p w:rsidR="00936E51" w:rsidRPr="00141C9A" w:rsidRDefault="00936E51" w:rsidP="00141C9A">
      <w:pPr>
        <w:spacing w:line="240" w:lineRule="auto"/>
        <w:rPr>
          <w:color w:val="000000" w:themeColor="text1"/>
          <w:sz w:val="22"/>
          <w:szCs w:val="22"/>
        </w:rPr>
      </w:pPr>
      <w:r w:rsidRPr="00141C9A">
        <w:rPr>
          <w:color w:val="000000" w:themeColor="text1"/>
          <w:sz w:val="22"/>
          <w:szCs w:val="22"/>
        </w:rPr>
        <w:t>Public Utilities Section</w:t>
      </w:r>
    </w:p>
    <w:p w:rsidR="00936E51" w:rsidRPr="00141C9A" w:rsidRDefault="00936E51" w:rsidP="00141C9A">
      <w:pPr>
        <w:spacing w:line="240" w:lineRule="auto"/>
        <w:rPr>
          <w:color w:val="000000" w:themeColor="text1"/>
          <w:sz w:val="22"/>
          <w:szCs w:val="22"/>
        </w:rPr>
      </w:pPr>
      <w:r w:rsidRPr="00141C9A">
        <w:rPr>
          <w:color w:val="000000" w:themeColor="text1"/>
          <w:sz w:val="22"/>
          <w:szCs w:val="22"/>
        </w:rPr>
        <w:t>180 East Broad Street, 12th Floor</w:t>
      </w:r>
    </w:p>
    <w:p w:rsidR="00936E51" w:rsidRPr="00141C9A" w:rsidRDefault="00936E51" w:rsidP="00141C9A">
      <w:pPr>
        <w:spacing w:line="240" w:lineRule="auto"/>
        <w:rPr>
          <w:color w:val="000000" w:themeColor="text1"/>
          <w:sz w:val="22"/>
          <w:szCs w:val="22"/>
        </w:rPr>
      </w:pPr>
      <w:r w:rsidRPr="00141C9A">
        <w:rPr>
          <w:color w:val="000000" w:themeColor="text1"/>
          <w:sz w:val="22"/>
          <w:szCs w:val="22"/>
        </w:rPr>
        <w:t>Columbus, OH  43215</w:t>
      </w:r>
    </w:p>
    <w:p w:rsidR="00936E51" w:rsidRPr="00141C9A" w:rsidRDefault="00936E51" w:rsidP="00141C9A">
      <w:pPr>
        <w:spacing w:line="240" w:lineRule="auto"/>
        <w:rPr>
          <w:sz w:val="22"/>
          <w:szCs w:val="22"/>
        </w:rPr>
      </w:pPr>
      <w:r w:rsidRPr="00141C9A">
        <w:rPr>
          <w:sz w:val="22"/>
          <w:szCs w:val="22"/>
        </w:rPr>
        <w:t>thomas.mcnamee@puc.state.oh.us</w:t>
      </w:r>
    </w:p>
    <w:p w:rsidR="00936E51" w:rsidRPr="00141C9A" w:rsidRDefault="00936E51" w:rsidP="00141C9A">
      <w:pPr>
        <w:spacing w:line="240" w:lineRule="auto"/>
        <w:rPr>
          <w:sz w:val="22"/>
          <w:szCs w:val="22"/>
        </w:rPr>
      </w:pPr>
      <w:r w:rsidRPr="00141C9A">
        <w:rPr>
          <w:sz w:val="22"/>
          <w:szCs w:val="22"/>
        </w:rPr>
        <w:t>steven.beeler@puc.state.oh.us</w:t>
      </w:r>
    </w:p>
    <w:p w:rsidR="00936E51" w:rsidRPr="00141C9A" w:rsidRDefault="00936E51" w:rsidP="00141C9A">
      <w:pPr>
        <w:spacing w:line="240" w:lineRule="auto"/>
        <w:rPr>
          <w:color w:val="000000" w:themeColor="text1"/>
          <w:sz w:val="22"/>
          <w:szCs w:val="22"/>
        </w:rPr>
      </w:pPr>
    </w:p>
    <w:p w:rsidR="00936E51" w:rsidRPr="00141C9A" w:rsidRDefault="00936E51" w:rsidP="00141C9A">
      <w:pPr>
        <w:spacing w:line="240" w:lineRule="auto"/>
        <w:rPr>
          <w:rFonts w:ascii="Arial Bold" w:hAnsi="Arial Bold"/>
          <w:b/>
          <w:smallCaps/>
          <w:color w:val="000000" w:themeColor="text1"/>
          <w:sz w:val="22"/>
          <w:szCs w:val="22"/>
        </w:rPr>
      </w:pPr>
      <w:r w:rsidRPr="00141C9A">
        <w:rPr>
          <w:rFonts w:ascii="Arial Bold" w:hAnsi="Arial Bold"/>
          <w:b/>
          <w:smallCaps/>
          <w:color w:val="000000" w:themeColor="text1"/>
          <w:sz w:val="22"/>
          <w:szCs w:val="22"/>
        </w:rPr>
        <w:t>On Behalf of the Staff of the Public Utilities Commission of Ohio</w:t>
      </w:r>
    </w:p>
    <w:p w:rsidR="00936E51" w:rsidRPr="00141C9A" w:rsidRDefault="00936E51" w:rsidP="00141C9A">
      <w:pPr>
        <w:spacing w:line="240" w:lineRule="auto"/>
        <w:rPr>
          <w:sz w:val="22"/>
          <w:szCs w:val="22"/>
        </w:rPr>
      </w:pPr>
    </w:p>
    <w:p w:rsidR="00936E51" w:rsidRPr="00141C9A" w:rsidRDefault="00936E51" w:rsidP="00141C9A">
      <w:pPr>
        <w:autoSpaceDE w:val="0"/>
        <w:autoSpaceDN w:val="0"/>
        <w:adjustRightInd w:val="0"/>
        <w:spacing w:line="240" w:lineRule="auto"/>
        <w:rPr>
          <w:rFonts w:cs="Arial"/>
          <w:color w:val="000000" w:themeColor="text1"/>
          <w:sz w:val="22"/>
          <w:szCs w:val="22"/>
        </w:rPr>
      </w:pPr>
      <w:r w:rsidRPr="00141C9A">
        <w:rPr>
          <w:rFonts w:cs="Arial"/>
          <w:color w:val="000000" w:themeColor="text1"/>
          <w:sz w:val="22"/>
          <w:szCs w:val="22"/>
        </w:rPr>
        <w:t>Sarah Parrot</w:t>
      </w:r>
    </w:p>
    <w:p w:rsidR="00936E51" w:rsidRPr="00141C9A" w:rsidRDefault="00936E51" w:rsidP="00141C9A">
      <w:pPr>
        <w:autoSpaceDE w:val="0"/>
        <w:autoSpaceDN w:val="0"/>
        <w:adjustRightInd w:val="0"/>
        <w:spacing w:line="240" w:lineRule="auto"/>
        <w:rPr>
          <w:rFonts w:cs="Arial"/>
          <w:color w:val="000000" w:themeColor="text1"/>
          <w:sz w:val="22"/>
          <w:szCs w:val="22"/>
        </w:rPr>
      </w:pPr>
      <w:r w:rsidRPr="00141C9A">
        <w:rPr>
          <w:rFonts w:cs="Arial"/>
          <w:color w:val="000000" w:themeColor="text1"/>
          <w:sz w:val="22"/>
          <w:szCs w:val="22"/>
        </w:rPr>
        <w:t>Greta See</w:t>
      </w:r>
    </w:p>
    <w:p w:rsidR="00936E51" w:rsidRPr="00141C9A" w:rsidRDefault="00936E51" w:rsidP="00141C9A">
      <w:pPr>
        <w:tabs>
          <w:tab w:val="left" w:pos="2160"/>
          <w:tab w:val="left" w:pos="2280"/>
        </w:tabs>
        <w:spacing w:line="240" w:lineRule="auto"/>
        <w:rPr>
          <w:rFonts w:cs="Arial"/>
          <w:color w:val="000000" w:themeColor="text1"/>
          <w:sz w:val="22"/>
          <w:szCs w:val="22"/>
        </w:rPr>
      </w:pPr>
      <w:r w:rsidRPr="00141C9A">
        <w:rPr>
          <w:rFonts w:cs="Arial"/>
          <w:color w:val="000000" w:themeColor="text1"/>
          <w:sz w:val="22"/>
          <w:szCs w:val="22"/>
        </w:rPr>
        <w:t>Attorney Examiners</w:t>
      </w:r>
    </w:p>
    <w:p w:rsidR="00936E51" w:rsidRPr="00141C9A" w:rsidRDefault="00936E51" w:rsidP="00141C9A">
      <w:pPr>
        <w:tabs>
          <w:tab w:val="left" w:pos="2160"/>
          <w:tab w:val="left" w:pos="2280"/>
        </w:tabs>
        <w:spacing w:line="240" w:lineRule="auto"/>
        <w:rPr>
          <w:rFonts w:cs="Arial"/>
          <w:color w:val="000000" w:themeColor="text1"/>
          <w:sz w:val="22"/>
          <w:szCs w:val="22"/>
        </w:rPr>
      </w:pPr>
      <w:r w:rsidRPr="00141C9A">
        <w:rPr>
          <w:rFonts w:cs="Arial"/>
          <w:color w:val="000000" w:themeColor="text1"/>
          <w:sz w:val="22"/>
          <w:szCs w:val="22"/>
        </w:rPr>
        <w:t>Public Utilities Commission of Ohio</w:t>
      </w:r>
    </w:p>
    <w:p w:rsidR="00936E51" w:rsidRPr="00141C9A" w:rsidRDefault="00936E51" w:rsidP="00141C9A">
      <w:pPr>
        <w:tabs>
          <w:tab w:val="left" w:pos="2160"/>
          <w:tab w:val="left" w:pos="2280"/>
        </w:tabs>
        <w:spacing w:line="240" w:lineRule="auto"/>
        <w:rPr>
          <w:rFonts w:cs="Arial"/>
          <w:color w:val="000000" w:themeColor="text1"/>
          <w:sz w:val="22"/>
          <w:szCs w:val="22"/>
        </w:rPr>
      </w:pPr>
      <w:r w:rsidRPr="00141C9A">
        <w:rPr>
          <w:rFonts w:cs="Arial"/>
          <w:color w:val="000000" w:themeColor="text1"/>
          <w:sz w:val="22"/>
          <w:szCs w:val="22"/>
        </w:rPr>
        <w:t>180 E. Broad Street</w:t>
      </w:r>
    </w:p>
    <w:p w:rsidR="00936E51" w:rsidRPr="00141C9A" w:rsidRDefault="00936E51" w:rsidP="00141C9A">
      <w:pPr>
        <w:tabs>
          <w:tab w:val="left" w:pos="2160"/>
          <w:tab w:val="left" w:pos="2280"/>
        </w:tabs>
        <w:spacing w:line="240" w:lineRule="auto"/>
        <w:rPr>
          <w:rFonts w:cs="Arial"/>
          <w:color w:val="000000" w:themeColor="text1"/>
          <w:sz w:val="22"/>
          <w:szCs w:val="22"/>
        </w:rPr>
      </w:pPr>
      <w:r w:rsidRPr="00141C9A">
        <w:rPr>
          <w:rFonts w:cs="Arial"/>
          <w:color w:val="000000" w:themeColor="text1"/>
          <w:sz w:val="22"/>
          <w:szCs w:val="22"/>
        </w:rPr>
        <w:t>Columbus, OH  43215-3793</w:t>
      </w:r>
    </w:p>
    <w:p w:rsidR="00936E51" w:rsidRPr="00141C9A" w:rsidRDefault="00936E51" w:rsidP="00141C9A">
      <w:pPr>
        <w:tabs>
          <w:tab w:val="left" w:pos="2160"/>
          <w:tab w:val="left" w:pos="2280"/>
        </w:tabs>
        <w:spacing w:line="240" w:lineRule="auto"/>
        <w:rPr>
          <w:rFonts w:cs="Arial"/>
          <w:color w:val="000000" w:themeColor="text1"/>
          <w:sz w:val="22"/>
          <w:szCs w:val="22"/>
        </w:rPr>
      </w:pPr>
      <w:r w:rsidRPr="00141C9A">
        <w:rPr>
          <w:rFonts w:cs="Arial"/>
          <w:color w:val="000000" w:themeColor="text1"/>
          <w:sz w:val="22"/>
          <w:szCs w:val="22"/>
        </w:rPr>
        <w:t>sarah.parrot@puc.state.oh.us</w:t>
      </w:r>
    </w:p>
    <w:p w:rsidR="00936E51" w:rsidRPr="00141C9A" w:rsidRDefault="00936E51" w:rsidP="00141C9A">
      <w:pPr>
        <w:tabs>
          <w:tab w:val="left" w:pos="2160"/>
          <w:tab w:val="left" w:pos="2280"/>
        </w:tabs>
        <w:spacing w:line="240" w:lineRule="auto"/>
        <w:rPr>
          <w:rFonts w:cs="Arial"/>
          <w:color w:val="000000" w:themeColor="text1"/>
          <w:sz w:val="22"/>
          <w:szCs w:val="22"/>
        </w:rPr>
      </w:pPr>
      <w:r w:rsidRPr="00141C9A">
        <w:rPr>
          <w:rFonts w:cs="Arial"/>
          <w:color w:val="000000" w:themeColor="text1"/>
          <w:sz w:val="22"/>
          <w:szCs w:val="22"/>
        </w:rPr>
        <w:t>Greta.See@puc.state.oh.us</w:t>
      </w:r>
    </w:p>
    <w:p w:rsidR="00936E51" w:rsidRPr="00141C9A" w:rsidRDefault="00936E51" w:rsidP="00141C9A">
      <w:pPr>
        <w:tabs>
          <w:tab w:val="left" w:pos="2160"/>
          <w:tab w:val="left" w:pos="2280"/>
        </w:tabs>
        <w:spacing w:line="240" w:lineRule="auto"/>
        <w:rPr>
          <w:rFonts w:cs="Arial"/>
          <w:color w:val="000000" w:themeColor="text1"/>
          <w:sz w:val="22"/>
          <w:szCs w:val="22"/>
        </w:rPr>
      </w:pPr>
    </w:p>
    <w:p w:rsidR="00936E51" w:rsidRPr="00141C9A" w:rsidRDefault="00936E51" w:rsidP="00141C9A">
      <w:pPr>
        <w:tabs>
          <w:tab w:val="left" w:pos="2160"/>
          <w:tab w:val="left" w:pos="2280"/>
        </w:tabs>
        <w:spacing w:line="240" w:lineRule="auto"/>
        <w:rPr>
          <w:rFonts w:cs="Arial"/>
          <w:b/>
          <w:smallCaps/>
          <w:color w:val="000000" w:themeColor="text1"/>
          <w:sz w:val="22"/>
          <w:szCs w:val="22"/>
        </w:rPr>
      </w:pPr>
      <w:r w:rsidRPr="00141C9A">
        <w:rPr>
          <w:rFonts w:cs="Arial"/>
          <w:b/>
          <w:smallCaps/>
          <w:color w:val="000000" w:themeColor="text1"/>
          <w:sz w:val="22"/>
          <w:szCs w:val="22"/>
        </w:rPr>
        <w:t>Attorney Examiners</w:t>
      </w:r>
    </w:p>
    <w:p w:rsidR="000C0A9D" w:rsidRPr="00141C9A" w:rsidRDefault="000C0A9D" w:rsidP="00141C9A">
      <w:pPr>
        <w:spacing w:line="240" w:lineRule="auto"/>
        <w:jc w:val="left"/>
        <w:rPr>
          <w:rFonts w:cs="Arial"/>
          <w:b/>
        </w:rPr>
      </w:pPr>
    </w:p>
    <w:sectPr w:rsidR="000C0A9D" w:rsidRPr="00141C9A" w:rsidSect="00141C9A">
      <w:pgSz w:w="12240" w:h="15840" w:code="1"/>
      <w:pgMar w:top="1440" w:right="1440" w:bottom="1440" w:left="1440" w:header="720" w:footer="720" w:gutter="0"/>
      <w:pgNumType w:start="1"/>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A9D" w:rsidRDefault="004E2E09">
      <w:pPr>
        <w:spacing w:line="240" w:lineRule="auto"/>
      </w:pPr>
      <w:r>
        <w:separator/>
      </w:r>
    </w:p>
  </w:endnote>
  <w:endnote w:type="continuationSeparator" w:id="0">
    <w:p w:rsidR="000C0A9D" w:rsidRDefault="004E2E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0FD" w:rsidRDefault="00C370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A9D" w:rsidRDefault="00C370FD">
    <w:pPr>
      <w:pStyle w:val="Footer"/>
    </w:pPr>
    <w:r w:rsidRPr="00C370FD">
      <w:rPr>
        <w:noProof/>
        <w:sz w:val="16"/>
      </w:rPr>
      <w:t>{C47893:2 }</w:t>
    </w:r>
    <w:r w:rsidR="004E2E09">
      <w:rPr>
        <w:noProof/>
        <w:sz w:val="16"/>
      </w:rPr>
      <w:tab/>
    </w:r>
    <w:r w:rsidR="004E2E09">
      <w:rPr>
        <w:noProof/>
        <w:sz w:val="22"/>
        <w:szCs w:val="22"/>
      </w:rPr>
      <w:fldChar w:fldCharType="begin"/>
    </w:r>
    <w:r w:rsidR="004E2E09">
      <w:rPr>
        <w:noProof/>
        <w:sz w:val="22"/>
        <w:szCs w:val="22"/>
      </w:rPr>
      <w:instrText xml:space="preserve"> PAGE   \* MERGEFORMAT </w:instrText>
    </w:r>
    <w:r w:rsidR="004E2E09">
      <w:rPr>
        <w:noProof/>
        <w:sz w:val="22"/>
        <w:szCs w:val="22"/>
      </w:rPr>
      <w:fldChar w:fldCharType="separate"/>
    </w:r>
    <w:r w:rsidR="00970FC8">
      <w:rPr>
        <w:noProof/>
        <w:sz w:val="22"/>
        <w:szCs w:val="22"/>
      </w:rPr>
      <w:t>3</w:t>
    </w:r>
    <w:r w:rsidR="004E2E09">
      <w:rPr>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A9D" w:rsidRDefault="00C370FD">
    <w:pPr>
      <w:pStyle w:val="Footer"/>
    </w:pPr>
    <w:r w:rsidRPr="00C370FD">
      <w:rPr>
        <w:noProof/>
        <w:sz w:val="16"/>
      </w:rPr>
      <w:t>{C47893:2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A9D" w:rsidRDefault="004E2E09">
      <w:pPr>
        <w:spacing w:line="240" w:lineRule="auto"/>
        <w:rPr>
          <w:noProof/>
        </w:rPr>
      </w:pPr>
      <w:r>
        <w:rPr>
          <w:noProof/>
        </w:rPr>
        <w:separator/>
      </w:r>
    </w:p>
  </w:footnote>
  <w:footnote w:type="continuationSeparator" w:id="0">
    <w:p w:rsidR="000C0A9D" w:rsidRDefault="004E2E09">
      <w:pPr>
        <w:spacing w:line="240" w:lineRule="auto"/>
      </w:pPr>
      <w:r>
        <w:continuationSeparator/>
      </w:r>
    </w:p>
  </w:footnote>
  <w:footnote w:id="1">
    <w:p w:rsidR="000C0A9D" w:rsidRDefault="004E2E09">
      <w:pPr>
        <w:pStyle w:val="FootnoteText"/>
      </w:pPr>
      <w:r>
        <w:rPr>
          <w:rStyle w:val="FootnoteReference"/>
        </w:rPr>
        <w:footnoteRef/>
      </w:r>
      <w:r>
        <w:t xml:space="preserve"> </w:t>
      </w:r>
      <w:r w:rsidR="00C302DE">
        <w:t>Motion to Compel of the Office of the Ohio Consumers’ Counsel at 1 (July 16, 2015) (“OCC Motion to Compel”).</w:t>
      </w:r>
    </w:p>
  </w:footnote>
  <w:footnote w:id="2">
    <w:p w:rsidR="00C302DE" w:rsidRDefault="00C302DE">
      <w:pPr>
        <w:pStyle w:val="FootnoteText"/>
      </w:pPr>
      <w:r>
        <w:rPr>
          <w:rStyle w:val="FootnoteReference"/>
        </w:rPr>
        <w:footnoteRef/>
      </w:r>
      <w:r>
        <w:t xml:space="preserve"> Memorandum Contra of Ohio Power Company to the Office of the Ohio Consumers’ Counsel’s Motion to Compel (“AEP</w:t>
      </w:r>
      <w:r>
        <w:noBreakHyphen/>
        <w:t>Ohio Memo Contra”).</w:t>
      </w:r>
    </w:p>
  </w:footnote>
  <w:footnote w:id="3">
    <w:p w:rsidR="000C0A9D" w:rsidRDefault="004E2E09">
      <w:pPr>
        <w:pStyle w:val="FootnoteText"/>
      </w:pPr>
      <w:r>
        <w:rPr>
          <w:rStyle w:val="FootnoteReference"/>
        </w:rPr>
        <w:footnoteRef/>
      </w:r>
      <w:r>
        <w:t xml:space="preserve"> </w:t>
      </w:r>
      <w:r>
        <w:rPr>
          <w:i/>
        </w:rPr>
        <w:t>American Electric Power Service Corporation</w:t>
      </w:r>
      <w:r>
        <w:t>, FERC Docket No. ER11-2183, Application at 3 (Nov. 24, 2010).  This filing was made by American Electric Power Service Corp. (“AEPSC”) on AEP-Ohio’s behalf.</w:t>
      </w:r>
    </w:p>
  </w:footnote>
  <w:footnote w:id="4">
    <w:p w:rsidR="000C0A9D" w:rsidRDefault="004E2E09">
      <w:pPr>
        <w:pStyle w:val="FootnoteText"/>
      </w:pPr>
      <w:r>
        <w:rPr>
          <w:rStyle w:val="FootnoteReference"/>
        </w:rPr>
        <w:footnoteRef/>
      </w:r>
      <w:r>
        <w:t xml:space="preserve"> </w:t>
      </w:r>
      <w:r>
        <w:rPr>
          <w:i/>
        </w:rPr>
        <w:t>In the Matter of the Commission Review of the Capacity Charges of Ohio Power Company and Columbus Southern Power Company</w:t>
      </w:r>
      <w:r>
        <w:t>, Case No. 10-2929-EL-UNC (“</w:t>
      </w:r>
      <w:r>
        <w:rPr>
          <w:i/>
        </w:rPr>
        <w:t>Capacity Case</w:t>
      </w:r>
      <w:r>
        <w:t>”).</w:t>
      </w:r>
    </w:p>
  </w:footnote>
  <w:footnote w:id="5">
    <w:p w:rsidR="000C0A9D" w:rsidRDefault="004E2E09">
      <w:pPr>
        <w:pStyle w:val="FootnoteText"/>
        <w:rPr>
          <w:rFonts w:cs="Arial"/>
        </w:rPr>
      </w:pPr>
      <w:r>
        <w:rPr>
          <w:rStyle w:val="FootnoteReference"/>
          <w:rFonts w:cs="Arial"/>
        </w:rPr>
        <w:footnoteRef/>
      </w:r>
      <w:r>
        <w:rPr>
          <w:rFonts w:cs="Arial"/>
        </w:rPr>
        <w:t xml:space="preserve"> </w:t>
      </w:r>
      <w:r>
        <w:rPr>
          <w:rFonts w:cs="Arial"/>
          <w:i/>
        </w:rPr>
        <w:t>Capacity Case</w:t>
      </w:r>
      <w:r>
        <w:rPr>
          <w:rFonts w:cs="Arial"/>
        </w:rPr>
        <w:t>, Tr. Vol. III at 635-637.</w:t>
      </w:r>
    </w:p>
  </w:footnote>
  <w:footnote w:id="6">
    <w:p w:rsidR="000C0A9D" w:rsidRDefault="004E2E09">
      <w:pPr>
        <w:pStyle w:val="FootnoteText"/>
      </w:pPr>
      <w:r>
        <w:rPr>
          <w:rStyle w:val="FootnoteReference"/>
        </w:rPr>
        <w:footnoteRef/>
      </w:r>
      <w:r>
        <w:t xml:space="preserve"> </w:t>
      </w:r>
      <w:r>
        <w:rPr>
          <w:i/>
        </w:rPr>
        <w:t>In the Matter of the Application of Columbus Southern Power Company and Ohio Power Company for Authority to Establish a Standard Service Offer Pursuant to Section 4928.143, Revised Code, in the Form of an Electric Security Plan</w:t>
      </w:r>
      <w:r>
        <w:t xml:space="preserve">, Case Nos. 11-346-EL-SSO, </w:t>
      </w:r>
      <w:r>
        <w:rPr>
          <w:i/>
        </w:rPr>
        <w:t xml:space="preserve">et al. </w:t>
      </w:r>
      <w:r>
        <w:t>(“</w:t>
      </w:r>
      <w:r>
        <w:rPr>
          <w:i/>
        </w:rPr>
        <w:t>ESP II Case;</w:t>
      </w:r>
      <w:r>
        <w:t>” “ESP” refers to electric security plan).</w:t>
      </w:r>
    </w:p>
  </w:footnote>
  <w:footnote w:id="7">
    <w:p w:rsidR="000C0A9D" w:rsidRDefault="004E2E09">
      <w:pPr>
        <w:pStyle w:val="FootnoteText"/>
      </w:pPr>
      <w:r>
        <w:rPr>
          <w:rStyle w:val="FootnoteReference"/>
        </w:rPr>
        <w:footnoteRef/>
      </w:r>
      <w:r>
        <w:t xml:space="preserve"> </w:t>
      </w:r>
      <w:r>
        <w:rPr>
          <w:i/>
        </w:rPr>
        <w:t>ESP II Case</w:t>
      </w:r>
      <w:r>
        <w:t>, Direct Testimony of William A. Allen at 9 (Mar. 30, 2012).</w:t>
      </w:r>
    </w:p>
  </w:footnote>
  <w:footnote w:id="8">
    <w:p w:rsidR="000C0A9D" w:rsidRDefault="004E2E09">
      <w:pPr>
        <w:pStyle w:val="FootnoteText"/>
      </w:pPr>
      <w:r>
        <w:rPr>
          <w:rStyle w:val="FootnoteReference"/>
        </w:rPr>
        <w:footnoteRef/>
      </w:r>
      <w:r>
        <w:t xml:space="preserve"> </w:t>
      </w:r>
      <w:r>
        <w:rPr>
          <w:i/>
        </w:rPr>
        <w:t>Capacity Case</w:t>
      </w:r>
      <w:r>
        <w:t>, Opinion and Order at 33-34 (July 2, 2012).</w:t>
      </w:r>
    </w:p>
  </w:footnote>
  <w:footnote w:id="9">
    <w:p w:rsidR="000C0A9D" w:rsidRDefault="004E2E09">
      <w:pPr>
        <w:pStyle w:val="FootnoteText"/>
      </w:pPr>
      <w:r>
        <w:rPr>
          <w:rStyle w:val="FootnoteReference"/>
        </w:rPr>
        <w:footnoteRef/>
      </w:r>
      <w:r>
        <w:t xml:space="preserve"> </w:t>
      </w:r>
      <w:r>
        <w:rPr>
          <w:i/>
        </w:rPr>
        <w:t>Id.</w:t>
      </w:r>
      <w:r>
        <w:t xml:space="preserve"> at 34-35.</w:t>
      </w:r>
    </w:p>
  </w:footnote>
  <w:footnote w:id="10">
    <w:p w:rsidR="000C0A9D" w:rsidRDefault="004E2E09">
      <w:pPr>
        <w:pStyle w:val="FootnoteText"/>
      </w:pPr>
      <w:r>
        <w:rPr>
          <w:rStyle w:val="FootnoteReference"/>
        </w:rPr>
        <w:footnoteRef/>
      </w:r>
      <w:r>
        <w:t xml:space="preserve"> </w:t>
      </w:r>
      <w:r>
        <w:rPr>
          <w:i/>
        </w:rPr>
        <w:t>Id.</w:t>
      </w:r>
      <w:r>
        <w:t xml:space="preserve"> at 23.</w:t>
      </w:r>
    </w:p>
  </w:footnote>
  <w:footnote w:id="11">
    <w:p w:rsidR="000C0A9D" w:rsidRDefault="004E2E09">
      <w:pPr>
        <w:pStyle w:val="FootnoteText"/>
      </w:pPr>
      <w:r>
        <w:rPr>
          <w:rStyle w:val="FootnoteReference"/>
        </w:rPr>
        <w:footnoteRef/>
      </w:r>
      <w:r>
        <w:t xml:space="preserve"> </w:t>
      </w:r>
      <w:r>
        <w:rPr>
          <w:i/>
        </w:rPr>
        <w:t>ESP II Case</w:t>
      </w:r>
      <w:r>
        <w:t>, Opinion and Order at 36 (Aug. 8, 2012).</w:t>
      </w:r>
    </w:p>
  </w:footnote>
  <w:footnote w:id="12">
    <w:p w:rsidR="000C0A9D" w:rsidRDefault="004E2E09">
      <w:pPr>
        <w:pStyle w:val="FootnoteText"/>
        <w:rPr>
          <w:i/>
        </w:rPr>
      </w:pPr>
      <w:r>
        <w:rPr>
          <w:rStyle w:val="FootnoteReference"/>
        </w:rPr>
        <w:footnoteRef/>
      </w:r>
      <w:r>
        <w:t xml:space="preserve"> </w:t>
      </w:r>
      <w:r>
        <w:rPr>
          <w:i/>
        </w:rPr>
        <w:t>Id.</w:t>
      </w:r>
    </w:p>
  </w:footnote>
  <w:footnote w:id="13">
    <w:p w:rsidR="000C0A9D" w:rsidRDefault="004E2E09">
      <w:pPr>
        <w:pStyle w:val="FootnoteText"/>
      </w:pPr>
      <w:r>
        <w:rPr>
          <w:rStyle w:val="FootnoteReference"/>
        </w:rPr>
        <w:footnoteRef/>
      </w:r>
      <w:r>
        <w:t xml:space="preserve"> </w:t>
      </w:r>
      <w:r>
        <w:rPr>
          <w:i/>
        </w:rPr>
        <w:t>In the Matter of the Application of Ohio Power Company to Establish a Competitive Bidding Process for Procurement of Energy to Support Its Standard Service Offer</w:t>
      </w:r>
      <w:r>
        <w:t>, Case No. 12-3254-EL-UNC (the “</w:t>
      </w:r>
      <w:r>
        <w:rPr>
          <w:i/>
        </w:rPr>
        <w:t>CBP Case</w:t>
      </w:r>
      <w:r>
        <w:t>”).</w:t>
      </w:r>
    </w:p>
  </w:footnote>
  <w:footnote w:id="14">
    <w:p w:rsidR="000C0A9D" w:rsidRDefault="004E2E09">
      <w:pPr>
        <w:pStyle w:val="FootnoteText"/>
      </w:pPr>
      <w:r>
        <w:rPr>
          <w:rStyle w:val="FootnoteReference"/>
        </w:rPr>
        <w:footnoteRef/>
      </w:r>
      <w:r>
        <w:t xml:space="preserve"> </w:t>
      </w:r>
      <w:r>
        <w:rPr>
          <w:i/>
        </w:rPr>
        <w:t>CBP Case</w:t>
      </w:r>
      <w:r w:rsidR="00C302DE">
        <w:rPr>
          <w:i/>
        </w:rPr>
        <w:t>,</w:t>
      </w:r>
      <w:r>
        <w:t xml:space="preserve"> Direct Testimony of David M. Roush at 6 (June 14, 2013).</w:t>
      </w:r>
    </w:p>
  </w:footnote>
  <w:footnote w:id="15">
    <w:p w:rsidR="000C0A9D" w:rsidRDefault="004E2E09">
      <w:pPr>
        <w:pStyle w:val="FootnoteText"/>
      </w:pPr>
      <w:r>
        <w:rPr>
          <w:rStyle w:val="FootnoteReference"/>
        </w:rPr>
        <w:footnoteRef/>
      </w:r>
      <w:r>
        <w:t xml:space="preserve"> </w:t>
      </w:r>
      <w:r>
        <w:rPr>
          <w:i/>
        </w:rPr>
        <w:t>CBP Case</w:t>
      </w:r>
      <w:r>
        <w:t xml:space="preserve">, Initial Brief of IEU-Ohio at 10-11, 11 at n.39 (Aug.16, 2013); </w:t>
      </w:r>
      <w:r>
        <w:rPr>
          <w:i/>
        </w:rPr>
        <w:t>CBP Case</w:t>
      </w:r>
      <w:r>
        <w:t>, Tr. Vol. I at 242; FirstEnergy Solutions (“FES”) Initial Brief at 11-14 (Aug 16. 2013).</w:t>
      </w:r>
    </w:p>
  </w:footnote>
  <w:footnote w:id="16">
    <w:p w:rsidR="000C0A9D" w:rsidRDefault="004E2E09">
      <w:pPr>
        <w:pStyle w:val="FootnoteText"/>
        <w:rPr>
          <w:i/>
        </w:rPr>
      </w:pPr>
      <w:r>
        <w:rPr>
          <w:rStyle w:val="FootnoteReference"/>
        </w:rPr>
        <w:footnoteRef/>
      </w:r>
      <w:r>
        <w:t xml:space="preserve"> </w:t>
      </w:r>
      <w:r>
        <w:rPr>
          <w:i/>
        </w:rPr>
        <w:t>Id.</w:t>
      </w:r>
    </w:p>
  </w:footnote>
  <w:footnote w:id="17">
    <w:p w:rsidR="000C0A9D" w:rsidRDefault="004E2E09">
      <w:pPr>
        <w:pStyle w:val="FootnoteText"/>
        <w:rPr>
          <w:i/>
        </w:rPr>
      </w:pPr>
      <w:r>
        <w:rPr>
          <w:rStyle w:val="FootnoteReference"/>
        </w:rPr>
        <w:footnoteRef/>
      </w:r>
      <w:r>
        <w:t xml:space="preserve"> </w:t>
      </w:r>
      <w:r>
        <w:rPr>
          <w:i/>
        </w:rPr>
        <w:t>Id.</w:t>
      </w:r>
      <w:r>
        <w:t xml:space="preserve">; </w:t>
      </w:r>
      <w:r>
        <w:rPr>
          <w:i/>
        </w:rPr>
        <w:t>CBP Case</w:t>
      </w:r>
      <w:r>
        <w:t>, Opinion and Order at 14 (Nov. 13, 2013) (ordering that the $355/MW-day base generation rate be blended with the $188/MW-day rate over the term of the ESP II).</w:t>
      </w:r>
    </w:p>
  </w:footnote>
  <w:footnote w:id="18">
    <w:p w:rsidR="000C0A9D" w:rsidRDefault="004E2E09">
      <w:pPr>
        <w:pStyle w:val="FootnoteText"/>
        <w:rPr>
          <w:i/>
        </w:rPr>
      </w:pPr>
      <w:r>
        <w:rPr>
          <w:rStyle w:val="FootnoteReference"/>
        </w:rPr>
        <w:footnoteRef/>
      </w:r>
      <w:r>
        <w:t xml:space="preserve"> </w:t>
      </w:r>
      <w:r>
        <w:rPr>
          <w:i/>
        </w:rPr>
        <w:t>CBP Case</w:t>
      </w:r>
      <w:r>
        <w:t xml:space="preserve">, Initial Brief of IEU-Ohio at 10-11, 11 at n.39 (Aug.16, 2013); </w:t>
      </w:r>
      <w:r>
        <w:rPr>
          <w:i/>
        </w:rPr>
        <w:t>CBP Case</w:t>
      </w:r>
      <w:r>
        <w:t>, Tr. Vol. I at 242; FES Initial Brief at 11-14 (Aug 16. 2013).</w:t>
      </w:r>
    </w:p>
  </w:footnote>
  <w:footnote w:id="19">
    <w:p w:rsidR="000C0A9D" w:rsidRDefault="004E2E09">
      <w:pPr>
        <w:pStyle w:val="FootnoteText"/>
      </w:pPr>
      <w:r>
        <w:rPr>
          <w:rStyle w:val="FootnoteReference"/>
        </w:rPr>
        <w:footnoteRef/>
      </w:r>
      <w:r>
        <w:t xml:space="preserve"> </w:t>
      </w:r>
      <w:r>
        <w:rPr>
          <w:i/>
        </w:rPr>
        <w:t>Id.</w:t>
      </w:r>
    </w:p>
  </w:footnote>
  <w:footnote w:id="20">
    <w:p w:rsidR="000C0A9D" w:rsidRDefault="004E2E09">
      <w:pPr>
        <w:pStyle w:val="FootnoteText"/>
      </w:pPr>
      <w:r>
        <w:rPr>
          <w:rStyle w:val="FootnoteReference"/>
        </w:rPr>
        <w:footnoteRef/>
      </w:r>
      <w:r>
        <w:t xml:space="preserve"> </w:t>
      </w:r>
      <w:r>
        <w:rPr>
          <w:i/>
        </w:rPr>
        <w:t>CBP Case</w:t>
      </w:r>
      <w:r>
        <w:t>, Opinion and Order at 14 (Nov. 13, 2013).</w:t>
      </w:r>
    </w:p>
  </w:footnote>
  <w:footnote w:id="21">
    <w:p w:rsidR="000C0A9D" w:rsidRDefault="004E2E09">
      <w:pPr>
        <w:pStyle w:val="FootnoteText"/>
      </w:pPr>
      <w:r>
        <w:rPr>
          <w:rStyle w:val="FootnoteReference"/>
        </w:rPr>
        <w:footnoteRef/>
      </w:r>
      <w:r>
        <w:t xml:space="preserve"> </w:t>
      </w:r>
      <w:r>
        <w:rPr>
          <w:i/>
        </w:rPr>
        <w:t>Id</w:t>
      </w:r>
      <w:r>
        <w:t>.</w:t>
      </w:r>
    </w:p>
  </w:footnote>
  <w:footnote w:id="22">
    <w:p w:rsidR="000C0A9D" w:rsidRDefault="004E2E09">
      <w:pPr>
        <w:pStyle w:val="FootnoteText"/>
      </w:pPr>
      <w:r>
        <w:rPr>
          <w:rStyle w:val="FootnoteReference"/>
        </w:rPr>
        <w:footnoteRef/>
      </w:r>
      <w:r>
        <w:t xml:space="preserve"> Entry at 3-4 (Dec. 4, 2013).</w:t>
      </w:r>
    </w:p>
  </w:footnote>
  <w:footnote w:id="23">
    <w:p w:rsidR="000C0A9D" w:rsidRDefault="004E2E09">
      <w:pPr>
        <w:pStyle w:val="FootnoteText"/>
      </w:pPr>
      <w:r>
        <w:rPr>
          <w:rStyle w:val="FootnoteReference"/>
        </w:rPr>
        <w:footnoteRef/>
      </w:r>
      <w:r>
        <w:t xml:space="preserve"> </w:t>
      </w:r>
      <w:r>
        <w:rPr>
          <w:i/>
        </w:rPr>
        <w:t>In the Matter of the Application of Duke Energy Ohio, Inc., for Approval of an Electric Security Plan</w:t>
      </w:r>
      <w:r>
        <w:t xml:space="preserve">, Case Nos. 08-920-EL-SSO, </w:t>
      </w:r>
      <w:r>
        <w:rPr>
          <w:i/>
        </w:rPr>
        <w:t>et al.</w:t>
      </w:r>
      <w:r>
        <w:t>, Entry at 3 (Oct. 1, 2008).</w:t>
      </w:r>
    </w:p>
  </w:footnote>
  <w:footnote w:id="24">
    <w:p w:rsidR="000C0A9D" w:rsidRDefault="004E2E09">
      <w:pPr>
        <w:pStyle w:val="FootnoteText"/>
      </w:pPr>
      <w:r>
        <w:rPr>
          <w:rStyle w:val="FootnoteReference"/>
        </w:rPr>
        <w:footnoteRef/>
      </w:r>
      <w:r>
        <w:t xml:space="preserve"> AEP-Ohio Memo Contra at 4.</w:t>
      </w:r>
    </w:p>
  </w:footnote>
  <w:footnote w:id="25">
    <w:p w:rsidR="000C0A9D" w:rsidRDefault="004E2E09">
      <w:pPr>
        <w:pStyle w:val="FootnoteText"/>
      </w:pPr>
      <w:r>
        <w:rPr>
          <w:rStyle w:val="FootnoteReference"/>
        </w:rPr>
        <w:footnoteRef/>
      </w:r>
      <w:r>
        <w:t xml:space="preserve"> </w:t>
      </w:r>
      <w:r>
        <w:rPr>
          <w:i/>
        </w:rPr>
        <w:t>Id.</w:t>
      </w:r>
      <w:r>
        <w:t xml:space="preserve"> at 5.</w:t>
      </w:r>
    </w:p>
  </w:footnote>
  <w:footnote w:id="26">
    <w:p w:rsidR="000C0A9D" w:rsidRDefault="004E2E09">
      <w:pPr>
        <w:pStyle w:val="FootnoteText"/>
      </w:pPr>
      <w:r>
        <w:rPr>
          <w:rStyle w:val="FootnoteReference"/>
        </w:rPr>
        <w:footnoteRef/>
      </w:r>
      <w:r>
        <w:t xml:space="preserve"> Entry at 3-4 (Dec. 4, 2013).</w:t>
      </w:r>
    </w:p>
  </w:footnote>
  <w:footnote w:id="27">
    <w:p w:rsidR="000C0A9D" w:rsidRDefault="004E2E09">
      <w:pPr>
        <w:pStyle w:val="FootnoteText"/>
      </w:pPr>
      <w:r>
        <w:rPr>
          <w:rStyle w:val="FootnoteReference"/>
        </w:rPr>
        <w:footnoteRef/>
      </w:r>
      <w:r>
        <w:t xml:space="preserve"> Application for Rehearing of AEP-Ohio (Jan. 3, 2014).</w:t>
      </w:r>
    </w:p>
  </w:footnote>
  <w:footnote w:id="28">
    <w:p w:rsidR="000C0A9D" w:rsidRDefault="004E2E09">
      <w:pPr>
        <w:pStyle w:val="FootnoteText"/>
      </w:pPr>
      <w:r>
        <w:rPr>
          <w:rStyle w:val="FootnoteReference"/>
        </w:rPr>
        <w:footnoteRef/>
      </w:r>
      <w:r>
        <w:t xml:space="preserve"> Entry on Rehearing at 4 (Feb. 13, 2014).</w:t>
      </w:r>
    </w:p>
  </w:footnote>
  <w:footnote w:id="29">
    <w:p w:rsidR="000C0A9D" w:rsidRDefault="004E2E09">
      <w:pPr>
        <w:pStyle w:val="FootnoteText"/>
      </w:pPr>
      <w:r>
        <w:rPr>
          <w:rStyle w:val="FootnoteReference"/>
        </w:rPr>
        <w:footnoteRef/>
      </w:r>
      <w:r>
        <w:t xml:space="preserve"> </w:t>
      </w:r>
      <w:r>
        <w:rPr>
          <w:i/>
        </w:rPr>
        <w:t>CBP Case</w:t>
      </w:r>
      <w:r>
        <w:t xml:space="preserve">, Initial Brief of IEU-Ohio at 10-11, 11 at n.39 (Aug.16, 2013); </w:t>
      </w:r>
      <w:r>
        <w:rPr>
          <w:i/>
        </w:rPr>
        <w:t>CBP Case</w:t>
      </w:r>
      <w:r>
        <w:t>, Tr. Vol. I at 242; FES Initial Brief at 11-14 (Aug 16. 2013).</w:t>
      </w:r>
    </w:p>
  </w:footnote>
  <w:footnote w:id="30">
    <w:p w:rsidR="000C0A9D" w:rsidRDefault="004E2E09">
      <w:pPr>
        <w:pStyle w:val="FootnoteText"/>
      </w:pPr>
      <w:r>
        <w:rPr>
          <w:rStyle w:val="FootnoteReference"/>
        </w:rPr>
        <w:footnoteRef/>
      </w:r>
      <w:r>
        <w:t xml:space="preserve"> AEP-Ohio Application for Rehearing at 4 (Jan. 3, 2014).</w:t>
      </w:r>
    </w:p>
  </w:footnote>
  <w:footnote w:id="31">
    <w:p w:rsidR="000C0A9D" w:rsidRDefault="004E2E09">
      <w:pPr>
        <w:pStyle w:val="FootnoteText"/>
      </w:pPr>
      <w:r>
        <w:rPr>
          <w:rStyle w:val="FootnoteReference"/>
        </w:rPr>
        <w:footnoteRef/>
      </w:r>
      <w:r>
        <w:t xml:space="preserve"> Entry on Rehearing at 5 (Feb. 13, 2014).</w:t>
      </w:r>
    </w:p>
  </w:footnote>
  <w:footnote w:id="32">
    <w:p w:rsidR="000C0A9D" w:rsidRDefault="004E2E09">
      <w:pPr>
        <w:pStyle w:val="FootnoteText"/>
        <w:rPr>
          <w:i/>
        </w:rPr>
      </w:pPr>
      <w:r>
        <w:rPr>
          <w:rStyle w:val="FootnoteReference"/>
        </w:rPr>
        <w:footnoteRef/>
      </w:r>
      <w:r>
        <w:t xml:space="preserve"> </w:t>
      </w:r>
      <w:r>
        <w:rPr>
          <w:i/>
        </w:rPr>
        <w:t xml:space="preserve">Id. </w:t>
      </w:r>
      <w:r w:rsidRPr="00141C9A">
        <w:t>(emphasis added).</w:t>
      </w:r>
    </w:p>
  </w:footnote>
  <w:footnote w:id="33">
    <w:p w:rsidR="000C0A9D" w:rsidRDefault="004E2E09">
      <w:pPr>
        <w:pStyle w:val="FootnoteText"/>
      </w:pPr>
      <w:r>
        <w:rPr>
          <w:rStyle w:val="FootnoteReference"/>
        </w:rPr>
        <w:footnoteRef/>
      </w:r>
      <w:r>
        <w:t xml:space="preserve"> </w:t>
      </w:r>
      <w:r w:rsidR="00141C9A">
        <w:rPr>
          <w:i/>
        </w:rPr>
        <w:t>Id.</w:t>
      </w:r>
    </w:p>
  </w:footnote>
  <w:footnote w:id="34">
    <w:p w:rsidR="000C0A9D" w:rsidRDefault="004E2E09">
      <w:pPr>
        <w:pStyle w:val="FootnoteText"/>
      </w:pPr>
      <w:r>
        <w:rPr>
          <w:rStyle w:val="FootnoteReference"/>
        </w:rPr>
        <w:footnoteRef/>
      </w:r>
      <w:r>
        <w:t xml:space="preserve"> Cite</w:t>
      </w:r>
    </w:p>
  </w:footnote>
  <w:footnote w:id="35">
    <w:p w:rsidR="000C0A9D" w:rsidRDefault="004E2E09">
      <w:pPr>
        <w:pStyle w:val="FootnoteText"/>
      </w:pPr>
      <w:r>
        <w:rPr>
          <w:rStyle w:val="FootnoteReference"/>
        </w:rPr>
        <w:footnoteRef/>
      </w:r>
      <w:r>
        <w:t xml:space="preserve"> AEP-Ohio Memo Contra at 1.</w:t>
      </w:r>
    </w:p>
  </w:footnote>
  <w:footnote w:id="36">
    <w:p w:rsidR="000C0A9D" w:rsidRDefault="004E2E09">
      <w:pPr>
        <w:pStyle w:val="FootnoteText"/>
      </w:pPr>
      <w:r>
        <w:rPr>
          <w:rStyle w:val="FootnoteReference"/>
        </w:rPr>
        <w:footnoteRef/>
      </w:r>
      <w:r>
        <w:t xml:space="preserve"> Additionally, the Attorney Examiners are well versed in ruling on parties’ relevance objections, and AEP-Ohio has not presented any new or legitimate reason for the Commission to deprive the Attorney Examiners of the ability to rule on relevance objections during the hearing in this matter.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0FD" w:rsidRDefault="00C370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0FD" w:rsidRDefault="00C370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0FD" w:rsidRDefault="00C37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03CCFE8"/>
    <w:lvl w:ilvl="0">
      <w:start w:val="1"/>
      <w:numFmt w:val="decimal"/>
      <w:pStyle w:val="ListNumber"/>
      <w:lvlText w:val="%1."/>
      <w:lvlJc w:val="left"/>
      <w:pPr>
        <w:tabs>
          <w:tab w:val="num" w:pos="1440"/>
        </w:tabs>
        <w:ind w:left="1440" w:hanging="720"/>
      </w:pPr>
      <w:rPr>
        <w:rFonts w:hint="default"/>
      </w:rPr>
    </w:lvl>
  </w:abstractNum>
  <w:abstractNum w:abstractNumId="1">
    <w:nsid w:val="FFFFFF89"/>
    <w:multiLevelType w:val="singleLevel"/>
    <w:tmpl w:val="4AC003AE"/>
    <w:lvl w:ilvl="0">
      <w:start w:val="1"/>
      <w:numFmt w:val="bullet"/>
      <w:lvlText w:val=""/>
      <w:lvlJc w:val="left"/>
      <w:pPr>
        <w:tabs>
          <w:tab w:val="num" w:pos="360"/>
        </w:tabs>
        <w:ind w:left="360" w:hanging="360"/>
      </w:pPr>
      <w:rPr>
        <w:rFonts w:ascii="Symbol" w:hAnsi="Symbol" w:hint="default"/>
      </w:rPr>
    </w:lvl>
  </w:abstractNum>
  <w:abstractNum w:abstractNumId="2">
    <w:nsid w:val="3C0C6724"/>
    <w:multiLevelType w:val="hybridMultilevel"/>
    <w:tmpl w:val="70B2FD68"/>
    <w:lvl w:ilvl="0" w:tplc="0E1E1934">
      <w:start w:val="1"/>
      <w:numFmt w:val="bullet"/>
      <w:pStyle w:val="ListBullet"/>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B71568"/>
    <w:multiLevelType w:val="multilevel"/>
    <w:tmpl w:val="E3248562"/>
    <w:name w:val="IEU Basic-PUCO"/>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abstractNum w:abstractNumId="4">
    <w:nsid w:val="7CDA060D"/>
    <w:multiLevelType w:val="hybridMultilevel"/>
    <w:tmpl w:val="F0A0C1F0"/>
    <w:lvl w:ilvl="0" w:tplc="5CC2E2D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1"/>
  </w:num>
  <w:num w:numId="6">
    <w:abstractNumId w:val="2"/>
  </w:num>
  <w:num w:numId="7">
    <w:abstractNumId w:val="0"/>
  </w:num>
  <w:num w:numId="8">
    <w:abstractNumId w:val="0"/>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2"/>
  </w:num>
  <w:num w:numId="20">
    <w:abstractNumId w:val="0"/>
  </w:num>
  <w:num w:numId="21">
    <w:abstractNumId w:val="3"/>
  </w:num>
  <w:num w:numId="22">
    <w:abstractNumId w:val="3"/>
  </w:num>
  <w:num w:numId="23">
    <w:abstractNumId w:val="3"/>
  </w:num>
  <w:num w:numId="24">
    <w:abstractNumId w:val="3"/>
  </w:num>
  <w:num w:numId="25">
    <w:abstractNumId w:val="3"/>
  </w:num>
  <w:num w:numId="26">
    <w:abstractNumId w:val="2"/>
  </w:num>
  <w:num w:numId="27">
    <w:abstractNumId w:val="0"/>
  </w:num>
  <w:num w:numId="28">
    <w:abstractNumId w:val="3"/>
  </w:num>
  <w:num w:numId="29">
    <w:abstractNumId w:val="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0C0A9D"/>
    <w:rsid w:val="000C0A9D"/>
    <w:rsid w:val="00141C9A"/>
    <w:rsid w:val="004E2E09"/>
    <w:rsid w:val="00936E51"/>
    <w:rsid w:val="00951223"/>
    <w:rsid w:val="00970FC8"/>
    <w:rsid w:val="00AA2F4A"/>
    <w:rsid w:val="00C302DE"/>
    <w:rsid w:val="00C370FD"/>
    <w:rsid w:val="00D03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List Bullet" w:qFormat="1"/>
    <w:lsdException w:name="List Number" w:qFormat="1"/>
    <w:lsdException w:name="Title" w:semiHidden="0" w:uiPriority="0" w:unhideWhenUsed="0" w:qFormat="1"/>
    <w:lsdException w:name="Signature" w:uiPriority="3" w:qFormat="1"/>
    <w:lsdException w:name="Default Paragraph Font" w:uiPriority="1"/>
    <w:lsdException w:name="Body Text" w:uiPriority="0"/>
    <w:lsdException w:name="Subtitle" w:semiHidden="0" w:uiPriority="11" w:unhideWhenUsed="0"/>
    <w:lsdException w:name="Body Text Inden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5"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0" w:line="480" w:lineRule="auto"/>
      <w:jc w:val="both"/>
    </w:pPr>
    <w:rPr>
      <w:rFonts w:ascii="Arial" w:hAnsi="Arial" w:cstheme="minorBidi"/>
      <w:sz w:val="24"/>
      <w:szCs w:val="24"/>
    </w:rPr>
  </w:style>
  <w:style w:type="paragraph" w:styleId="Heading1">
    <w:name w:val="heading 1"/>
    <w:basedOn w:val="Normal"/>
    <w:next w:val="Normal"/>
    <w:link w:val="Heading1Char"/>
    <w:uiPriority w:val="9"/>
    <w:qFormat/>
    <w:pPr>
      <w:numPr>
        <w:numId w:val="30"/>
      </w:numPr>
      <w:spacing w:before="240" w:after="240" w:line="240" w:lineRule="auto"/>
      <w:outlineLvl w:val="0"/>
    </w:pPr>
    <w:rPr>
      <w:rFonts w:eastAsiaTheme="majorEastAsia" w:cs="Arial"/>
      <w:b/>
      <w:bCs/>
      <w:caps/>
      <w:szCs w:val="28"/>
      <w:u w:val="single"/>
    </w:rPr>
  </w:style>
  <w:style w:type="paragraph" w:styleId="Heading2">
    <w:name w:val="heading 2"/>
    <w:basedOn w:val="Normal"/>
    <w:next w:val="Normal"/>
    <w:link w:val="Heading2Char"/>
    <w:uiPriority w:val="9"/>
    <w:qFormat/>
    <w:pPr>
      <w:numPr>
        <w:ilvl w:val="1"/>
        <w:numId w:val="30"/>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qFormat/>
    <w:pPr>
      <w:numPr>
        <w:ilvl w:val="2"/>
        <w:numId w:val="30"/>
      </w:numPr>
      <w:spacing w:after="240" w:line="240" w:lineRule="auto"/>
      <w:outlineLvl w:val="2"/>
    </w:pPr>
    <w:rPr>
      <w:rFonts w:eastAsiaTheme="majorEastAsia" w:cs="Arial"/>
      <w:b/>
      <w:bCs/>
    </w:rPr>
  </w:style>
  <w:style w:type="paragraph" w:styleId="Heading4">
    <w:name w:val="heading 4"/>
    <w:basedOn w:val="Normal"/>
    <w:next w:val="Normal"/>
    <w:link w:val="Heading4Char"/>
    <w:uiPriority w:val="4"/>
    <w:unhideWhenUsed/>
    <w:qFormat/>
    <w:pPr>
      <w:numPr>
        <w:ilvl w:val="3"/>
        <w:numId w:val="30"/>
      </w:numPr>
      <w:spacing w:after="240" w:line="240" w:lineRule="auto"/>
      <w:outlineLvl w:val="3"/>
    </w:pPr>
    <w:rPr>
      <w:rFonts w:eastAsiaTheme="majorEastAsia" w:cs="Arial"/>
      <w:b/>
      <w:bCs/>
      <w:i/>
      <w:iCs/>
    </w:rPr>
  </w:style>
  <w:style w:type="paragraph" w:styleId="Heading5">
    <w:name w:val="heading 5"/>
    <w:basedOn w:val="Normal"/>
    <w:next w:val="Normal"/>
    <w:link w:val="Heading5Char"/>
    <w:uiPriority w:val="9"/>
    <w:semiHidden/>
    <w:unhideWhenUsed/>
    <w:pPr>
      <w:numPr>
        <w:ilvl w:val="4"/>
        <w:numId w:val="30"/>
      </w:numPr>
      <w:spacing w:after="240" w:line="240" w:lineRule="auto"/>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pPr>
      <w:numPr>
        <w:ilvl w:val="5"/>
        <w:numId w:val="30"/>
      </w:numPr>
      <w:spacing w:after="240" w:line="240" w:lineRule="auto"/>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pPr>
      <w:numPr>
        <w:ilvl w:val="6"/>
        <w:numId w:val="30"/>
      </w:numPr>
      <w:spacing w:after="240" w:line="240" w:lineRule="auto"/>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pPr>
      <w:numPr>
        <w:ilvl w:val="7"/>
        <w:numId w:val="30"/>
      </w:numPr>
      <w:spacing w:after="240" w:line="240" w:lineRule="auto"/>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pPr>
      <w:numPr>
        <w:ilvl w:val="8"/>
        <w:numId w:val="30"/>
      </w:numPr>
      <w:spacing w:after="240" w:line="240" w:lineRule="auto"/>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Theme="majorEastAsia" w:hAnsi="Arial" w:cs="Arial"/>
      <w:b/>
      <w:bCs/>
      <w:caps/>
      <w:sz w:val="24"/>
      <w:szCs w:val="28"/>
      <w:u w:val="single"/>
    </w:rPr>
  </w:style>
  <w:style w:type="character" w:customStyle="1" w:styleId="Heading2Char">
    <w:name w:val="Heading 2 Char"/>
    <w:basedOn w:val="DefaultParagraphFont"/>
    <w:link w:val="Heading2"/>
    <w:uiPriority w:val="9"/>
    <w:rPr>
      <w:rFonts w:ascii="Arial" w:eastAsiaTheme="majorEastAsia" w:hAnsi="Arial" w:cs="Arial"/>
      <w:b/>
      <w:bCs/>
      <w:sz w:val="24"/>
      <w:szCs w:val="26"/>
    </w:rPr>
  </w:style>
  <w:style w:type="character" w:customStyle="1" w:styleId="Heading3Char">
    <w:name w:val="Heading 3 Char"/>
    <w:basedOn w:val="DefaultParagraphFont"/>
    <w:link w:val="Heading3"/>
    <w:uiPriority w:val="9"/>
    <w:rPr>
      <w:rFonts w:ascii="Arial" w:eastAsiaTheme="majorEastAsia" w:hAnsi="Arial" w:cs="Arial"/>
      <w:b/>
      <w:bCs/>
      <w:sz w:val="24"/>
      <w:szCs w:val="24"/>
    </w:rPr>
  </w:style>
  <w:style w:type="character" w:customStyle="1" w:styleId="Heading4Char">
    <w:name w:val="Heading 4 Char"/>
    <w:basedOn w:val="DefaultParagraphFont"/>
    <w:link w:val="Heading4"/>
    <w:uiPriority w:val="4"/>
    <w:rPr>
      <w:rFonts w:ascii="Arial" w:eastAsiaTheme="majorEastAsia" w:hAnsi="Arial" w:cs="Arial"/>
      <w:b/>
      <w:bCs/>
      <w:i/>
      <w:iCs/>
      <w:sz w:val="24"/>
      <w:szCs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unhideWhenUsed/>
    <w:qFormat/>
    <w:pPr>
      <w:spacing w:after="120" w:line="240" w:lineRule="auto"/>
    </w:pPr>
    <w:rPr>
      <w:rFonts w:eastAsia="Calibri" w:cs="Times New Roman"/>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rFonts w:ascii="Arial" w:eastAsia="Calibri" w:hAnsi="Arial"/>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ListBullet">
    <w:name w:val="List Bullet"/>
    <w:basedOn w:val="Normal"/>
    <w:uiPriority w:val="99"/>
    <w:qFormat/>
    <w:pPr>
      <w:numPr>
        <w:numId w:val="26"/>
      </w:numPr>
      <w:spacing w:after="240"/>
      <w:contextualSpacing/>
    </w:pPr>
  </w:style>
  <w:style w:type="paragraph" w:styleId="ListNumber">
    <w:name w:val="List Number"/>
    <w:basedOn w:val="Normal"/>
    <w:uiPriority w:val="99"/>
    <w:qFormat/>
    <w:pPr>
      <w:numPr>
        <w:numId w:val="27"/>
      </w:numPr>
      <w:spacing w:after="240"/>
      <w:contextualSpacing/>
    </w:pPr>
  </w:style>
  <w:style w:type="paragraph" w:styleId="Title">
    <w:name w:val="Title"/>
    <w:basedOn w:val="Normal"/>
    <w:link w:val="TitleChar"/>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rPr>
  </w:style>
  <w:style w:type="paragraph" w:styleId="Signature">
    <w:name w:val="Signature"/>
    <w:basedOn w:val="Normal"/>
    <w:link w:val="SignatureChar"/>
    <w:uiPriority w:val="3"/>
    <w:qFormat/>
    <w:pPr>
      <w:spacing w:after="240"/>
      <w:ind w:left="4320"/>
      <w:contextualSpacing/>
    </w:pPr>
    <w:rPr>
      <w:sz w:val="23"/>
    </w:rPr>
  </w:style>
  <w:style w:type="character" w:customStyle="1" w:styleId="SignatureChar">
    <w:name w:val="Signature Char"/>
    <w:basedOn w:val="DefaultParagraphFont"/>
    <w:link w:val="Signature"/>
    <w:uiPriority w:val="3"/>
    <w:rPr>
      <w:sz w:val="23"/>
    </w:rPr>
  </w:style>
  <w:style w:type="paragraph" w:styleId="TOCHeading">
    <w:name w:val="TOC Heading"/>
    <w:basedOn w:val="Heading1"/>
    <w:next w:val="Normal"/>
    <w:uiPriority w:val="39"/>
    <w:unhideWhenUsed/>
    <w:qFormat/>
    <w:pPr>
      <w:numPr>
        <w:numId w:val="0"/>
      </w:numPr>
      <w:spacing w:before="480"/>
      <w:outlineLvl w:val="9"/>
    </w:pPr>
    <w:rPr>
      <w:rFonts w:asciiTheme="majorHAnsi" w:hAnsiTheme="majorHAnsi"/>
      <w:b w:val="0"/>
      <w:color w:val="365F91" w:themeColor="accent1" w:themeShade="BF"/>
      <w:sz w:val="28"/>
    </w:rPr>
  </w:style>
  <w:style w:type="paragraph" w:customStyle="1" w:styleId="DoubleIndent1">
    <w:name w:val="Double Indent 1"/>
    <w:aliases w:val="DblInd1"/>
    <w:basedOn w:val="Normal"/>
    <w:uiPriority w:val="2"/>
    <w:qFormat/>
    <w:pPr>
      <w:spacing w:after="240"/>
      <w:ind w:left="1440" w:right="1440"/>
    </w:pPr>
  </w:style>
  <w:style w:type="paragraph" w:customStyle="1" w:styleId="LeftIndent">
    <w:name w:val="Left Indent"/>
    <w:aliases w:val="LeftInd"/>
    <w:basedOn w:val="Normal"/>
    <w:uiPriority w:val="11"/>
    <w:qFormat/>
    <w:pPr>
      <w:spacing w:after="240"/>
    </w:pPr>
  </w:style>
  <w:style w:type="paragraph" w:customStyle="1" w:styleId="FirstLineIndent">
    <w:name w:val="First Line Indent"/>
    <w:aliases w:val="FirstInd"/>
    <w:basedOn w:val="Normal"/>
    <w:uiPriority w:val="1"/>
    <w:qFormat/>
    <w:pPr>
      <w:spacing w:after="240"/>
      <w:ind w:firstLine="720"/>
    </w:pPr>
  </w:style>
  <w:style w:type="paragraph" w:customStyle="1" w:styleId="NoIndent">
    <w:name w:val="No Indent"/>
    <w:aliases w:val="NoInd"/>
    <w:basedOn w:val="Normal"/>
    <w:uiPriority w:val="6"/>
    <w:qFormat/>
    <w:pPr>
      <w:spacing w:after="240"/>
    </w:pPr>
  </w:style>
  <w:style w:type="paragraph" w:customStyle="1" w:styleId="DoubleIndent5">
    <w:name w:val="Double Indent .5"/>
    <w:aliases w:val="DblInd5"/>
    <w:basedOn w:val="Normal"/>
    <w:uiPriority w:val="2"/>
    <w:qFormat/>
    <w:pPr>
      <w:spacing w:after="240"/>
      <w:ind w:right="720"/>
    </w:pPr>
    <w:rPr>
      <w:iCs/>
    </w:rPr>
  </w:style>
  <w:style w:type="paragraph" w:customStyle="1" w:styleId="SCFootnotes">
    <w:name w:val="S.C. Footnotes"/>
    <w:basedOn w:val="FootnoteText"/>
    <w:qFormat/>
    <w:pPr>
      <w:jc w:val="left"/>
    </w:pPr>
    <w:rPr>
      <w:rFonts w:ascii="Times New Roman" w:eastAsia="Times New Roman" w:hAnsi="Times New Roman"/>
      <w:sz w:val="24"/>
      <w:szCs w:val="24"/>
    </w:rPr>
  </w:style>
  <w:style w:type="paragraph" w:customStyle="1" w:styleId="PUCOFootnotes">
    <w:name w:val="PUCO Footnotes"/>
    <w:qFormat/>
    <w:pPr>
      <w:jc w:val="both"/>
    </w:pPr>
    <w:rPr>
      <w:rFonts w:ascii="Arial" w:eastAsia="Calibri" w:hAnsi="Arial"/>
    </w:rPr>
  </w:style>
  <w:style w:type="paragraph" w:customStyle="1" w:styleId="SCBody">
    <w:name w:val="S.C. Body"/>
    <w:basedOn w:val="Heading1"/>
    <w:qFormat/>
    <w:pPr>
      <w:numPr>
        <w:numId w:val="0"/>
      </w:numPr>
      <w:spacing w:after="0"/>
      <w:jc w:val="left"/>
      <w:outlineLvl w:val="9"/>
    </w:pPr>
    <w:rPr>
      <w:rFonts w:ascii="Times New Roman" w:hAnsi="Times New Roman"/>
      <w:b w:val="0"/>
      <w:caps w:val="0"/>
      <w:u w:val="none"/>
    </w:rPr>
  </w:style>
  <w:style w:type="character" w:styleId="FootnoteReference">
    <w:name w:val="footnote reference"/>
    <w:aliases w:val="Style 42,o,fr,(NECG) Footnote Reference,Style 17,Style 20,Style 13,Style 12,o1,fr1,o2,fr2,o3,fr3,Style 15,Style 8,Style 9,Style 18,Style 7,Style 19,Style 28"/>
    <w:basedOn w:val="DefaultParagraphFont"/>
    <w:uiPriority w:val="99"/>
    <w:unhideWhenUsed/>
    <w:rPr>
      <w:vertAlign w:val="superscript"/>
    </w:rPr>
  </w:style>
  <w:style w:type="paragraph" w:styleId="Header">
    <w:name w:val="header"/>
    <w:basedOn w:val="Normal"/>
    <w:link w:val="HeaderChar"/>
    <w:unhideWhenUsed/>
    <w:pPr>
      <w:tabs>
        <w:tab w:val="center" w:pos="4680"/>
        <w:tab w:val="right" w:pos="9360"/>
      </w:tabs>
      <w:spacing w:line="240" w:lineRule="auto"/>
    </w:pPr>
  </w:style>
  <w:style w:type="character" w:customStyle="1" w:styleId="HeaderChar">
    <w:name w:val="Header Char"/>
    <w:basedOn w:val="DefaultParagraphFont"/>
    <w:link w:val="Header"/>
    <w:rPr>
      <w:rFonts w:ascii="Arial" w:hAnsi="Arial" w:cstheme="minorBidi"/>
      <w:sz w:val="24"/>
      <w:szCs w:val="24"/>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Arial" w:hAnsi="Arial" w:cstheme="minorBidi"/>
      <w:sz w:val="24"/>
      <w:szCs w:val="24"/>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spacing w:line="276" w:lineRule="auto"/>
      <w:ind w:left="720"/>
      <w:contextualSpacing/>
      <w:jc w:val="left"/>
    </w:pPr>
    <w:rPr>
      <w:szCs w:val="22"/>
    </w:rPr>
  </w:style>
  <w:style w:type="paragraph" w:styleId="BodyTextIndent2">
    <w:name w:val="Body Text Indent 2"/>
    <w:basedOn w:val="Normal"/>
    <w:link w:val="BodyTextIndent2Char"/>
    <w:pPr>
      <w:spacing w:after="240" w:line="360" w:lineRule="auto"/>
      <w:ind w:left="720" w:hanging="720"/>
    </w:pPr>
    <w:rPr>
      <w:rFonts w:ascii="Times New Roman" w:eastAsia="Times New Roman" w:hAnsi="Times New Roman" w:cs="Times New Roman"/>
      <w:b/>
    </w:rPr>
  </w:style>
  <w:style w:type="character" w:customStyle="1" w:styleId="BodyTextIndent2Char">
    <w:name w:val="Body Text Indent 2 Char"/>
    <w:basedOn w:val="DefaultParagraphFont"/>
    <w:link w:val="BodyTextIndent2"/>
    <w:rPr>
      <w:rFonts w:eastAsia="Times New Roman"/>
      <w:b/>
      <w:sz w:val="24"/>
      <w:szCs w:val="24"/>
    </w:rPr>
  </w:style>
  <w:style w:type="paragraph" w:styleId="BodyText">
    <w:name w:val="Body Text"/>
    <w:basedOn w:val="Normal"/>
    <w:link w:val="BodyTextChar"/>
    <w:pPr>
      <w:spacing w:after="240" w:line="360" w:lineRule="auto"/>
    </w:pPr>
    <w:rPr>
      <w:rFonts w:ascii="Times New Roman" w:eastAsia="Times New Roman" w:hAnsi="Times New Roman" w:cs="Times New Roman"/>
      <w:b/>
      <w:u w:val="single"/>
    </w:rPr>
  </w:style>
  <w:style w:type="character" w:customStyle="1" w:styleId="BodyTextChar">
    <w:name w:val="Body Text Char"/>
    <w:basedOn w:val="DefaultParagraphFont"/>
    <w:link w:val="BodyText"/>
    <w:rPr>
      <w:rFonts w:eastAsia="Times New Roman"/>
      <w:b/>
      <w:sz w:val="24"/>
      <w:szCs w:val="24"/>
      <w:u w:val="single"/>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Calibri" w:hAnsi="Courier New" w:cs="Courier New"/>
    </w:rPr>
  </w:style>
  <w:style w:type="character" w:customStyle="1" w:styleId="Heading5Char">
    <w:name w:val="Heading 5 Char"/>
    <w:basedOn w:val="DefaultParagraphFont"/>
    <w:link w:val="Heading5"/>
    <w:uiPriority w:val="9"/>
    <w:semiHidden/>
    <w:rPr>
      <w:rFonts w:asciiTheme="majorHAnsi" w:eastAsiaTheme="majorEastAsia" w:hAnsiTheme="majorHAnsi" w:cs="Arial"/>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Arial"/>
      <w:iCs/>
      <w:color w:val="243F60" w:themeColor="accent1" w:themeShade="7F"/>
      <w:sz w:val="24"/>
      <w:szCs w:val="24"/>
    </w:rPr>
  </w:style>
  <w:style w:type="character" w:customStyle="1" w:styleId="Heading7Char">
    <w:name w:val="Heading 7 Char"/>
    <w:basedOn w:val="DefaultParagraphFont"/>
    <w:link w:val="Heading7"/>
    <w:uiPriority w:val="9"/>
    <w:semiHidden/>
    <w:rPr>
      <w:rFonts w:asciiTheme="majorHAnsi" w:eastAsiaTheme="majorEastAsia" w:hAnsiTheme="majorHAnsi" w:cs="Arial"/>
      <w:iCs/>
      <w:color w:val="404040" w:themeColor="text1" w:themeTint="BF"/>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Arial"/>
      <w:color w:val="404040" w:themeColor="text1" w:themeTint="BF"/>
      <w:sz w:val="24"/>
    </w:rPr>
  </w:style>
  <w:style w:type="character" w:customStyle="1" w:styleId="Heading9Char">
    <w:name w:val="Heading 9 Char"/>
    <w:basedOn w:val="DefaultParagraphFont"/>
    <w:link w:val="Heading9"/>
    <w:uiPriority w:val="9"/>
    <w:semiHidden/>
    <w:rPr>
      <w:rFonts w:asciiTheme="majorHAnsi" w:eastAsiaTheme="majorEastAsia" w:hAnsiTheme="majorHAnsi" w:cs="Arial"/>
      <w:iCs/>
      <w:color w:val="404040" w:themeColor="text1" w:themeTint="BF"/>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cstheme="minorBid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cstheme="minorBidi"/>
      <w:b/>
      <w:bCs/>
    </w:rPr>
  </w:style>
  <w:style w:type="character" w:styleId="Hyperlink">
    <w:name w:val="Hyperlink"/>
    <w:basedOn w:val="DefaultParagraphFont"/>
    <w:uiPriority w:val="99"/>
    <w:unhideWhenUsed/>
    <w:rsid w:val="00141C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List Number" w:qFormat="1"/>
    <w:lsdException w:name="Title" w:semiHidden="0" w:uiPriority="7" w:unhideWhenUsed="0" w:qFormat="1"/>
    <w:lsdException w:name="Signature" w:uiPriority="3"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5"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0" w:line="480" w:lineRule="auto"/>
      <w:jc w:val="both"/>
    </w:pPr>
    <w:rPr>
      <w:rFonts w:ascii="Arial" w:hAnsi="Arial" w:cstheme="minorBidi"/>
      <w:sz w:val="24"/>
      <w:szCs w:val="24"/>
    </w:rPr>
  </w:style>
  <w:style w:type="paragraph" w:styleId="Heading1">
    <w:name w:val="heading 1"/>
    <w:basedOn w:val="Normal"/>
    <w:next w:val="Normal"/>
    <w:link w:val="Heading1Char"/>
    <w:uiPriority w:val="9"/>
    <w:qFormat/>
    <w:pPr>
      <w:numPr>
        <w:numId w:val="30"/>
      </w:numPr>
      <w:spacing w:after="240"/>
      <w:outlineLvl w:val="0"/>
    </w:pPr>
    <w:rPr>
      <w:rFonts w:ascii="Arial Bold" w:eastAsiaTheme="majorEastAsia" w:hAnsi="Arial Bold" w:cs="Arial"/>
      <w:b/>
      <w:bCs/>
      <w:caps/>
      <w:szCs w:val="28"/>
      <w:u w:val="single"/>
    </w:rPr>
  </w:style>
  <w:style w:type="paragraph" w:styleId="Heading2">
    <w:name w:val="heading 2"/>
    <w:basedOn w:val="Normal"/>
    <w:next w:val="Normal"/>
    <w:link w:val="Heading2Char"/>
    <w:uiPriority w:val="9"/>
    <w:qFormat/>
    <w:pPr>
      <w:numPr>
        <w:ilvl w:val="1"/>
        <w:numId w:val="30"/>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qFormat/>
    <w:pPr>
      <w:numPr>
        <w:ilvl w:val="2"/>
        <w:numId w:val="30"/>
      </w:numPr>
      <w:spacing w:after="240"/>
      <w:outlineLvl w:val="2"/>
    </w:pPr>
    <w:rPr>
      <w:rFonts w:eastAsiaTheme="majorEastAsia" w:cs="Arial"/>
      <w:b/>
      <w:bCs/>
    </w:rPr>
  </w:style>
  <w:style w:type="paragraph" w:styleId="Heading4">
    <w:name w:val="heading 4"/>
    <w:basedOn w:val="Normal"/>
    <w:next w:val="Normal"/>
    <w:link w:val="Heading4Char"/>
    <w:uiPriority w:val="4"/>
    <w:unhideWhenUsed/>
    <w:qFormat/>
    <w:pPr>
      <w:numPr>
        <w:ilvl w:val="3"/>
        <w:numId w:val="30"/>
      </w:numPr>
      <w:spacing w:after="240"/>
      <w:outlineLvl w:val="3"/>
    </w:pPr>
    <w:rPr>
      <w:rFonts w:eastAsiaTheme="majorEastAsia"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Bold" w:eastAsiaTheme="majorEastAsia" w:hAnsi="Arial Bold" w:cs="Arial"/>
      <w:b/>
      <w:bCs/>
      <w:caps/>
      <w:sz w:val="24"/>
      <w:szCs w:val="28"/>
      <w:u w:val="single"/>
    </w:rPr>
  </w:style>
  <w:style w:type="character" w:customStyle="1" w:styleId="Heading2Char">
    <w:name w:val="Heading 2 Char"/>
    <w:basedOn w:val="DefaultParagraphFont"/>
    <w:link w:val="Heading2"/>
    <w:uiPriority w:val="9"/>
    <w:rPr>
      <w:rFonts w:ascii="Arial" w:eastAsiaTheme="majorEastAsia" w:hAnsi="Arial" w:cs="Arial"/>
      <w:b/>
      <w:bCs/>
      <w:sz w:val="24"/>
      <w:szCs w:val="26"/>
    </w:rPr>
  </w:style>
  <w:style w:type="character" w:customStyle="1" w:styleId="Heading3Char">
    <w:name w:val="Heading 3 Char"/>
    <w:basedOn w:val="DefaultParagraphFont"/>
    <w:link w:val="Heading3"/>
    <w:uiPriority w:val="9"/>
    <w:rPr>
      <w:rFonts w:ascii="Arial" w:eastAsiaTheme="majorEastAsia" w:hAnsi="Arial" w:cs="Arial"/>
      <w:b/>
      <w:bCs/>
      <w:sz w:val="24"/>
      <w:szCs w:val="24"/>
    </w:rPr>
  </w:style>
  <w:style w:type="character" w:customStyle="1" w:styleId="Heading4Char">
    <w:name w:val="Heading 4 Char"/>
    <w:basedOn w:val="DefaultParagraphFont"/>
    <w:link w:val="Heading4"/>
    <w:uiPriority w:val="4"/>
    <w:rPr>
      <w:rFonts w:ascii="Arial" w:eastAsiaTheme="majorEastAsia" w:hAnsi="Arial" w:cs="Arial"/>
      <w:b/>
      <w:bCs/>
      <w:i/>
      <w:iCs/>
      <w:sz w:val="24"/>
      <w:szCs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unhideWhenUsed/>
    <w:qFormat/>
    <w:pPr>
      <w:spacing w:after="120" w:line="240" w:lineRule="auto"/>
    </w:pPr>
    <w:rPr>
      <w:rFonts w:eastAsia="Calibri" w:cs="Times New Roman"/>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rFonts w:ascii="Arial" w:eastAsia="Calibri" w:hAnsi="Arial"/>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ListBullet">
    <w:name w:val="List Bullet"/>
    <w:basedOn w:val="Normal"/>
    <w:uiPriority w:val="99"/>
    <w:qFormat/>
    <w:pPr>
      <w:numPr>
        <w:numId w:val="26"/>
      </w:numPr>
      <w:spacing w:after="240"/>
      <w:contextualSpacing/>
    </w:pPr>
  </w:style>
  <w:style w:type="paragraph" w:styleId="ListNumber">
    <w:name w:val="List Number"/>
    <w:basedOn w:val="Normal"/>
    <w:uiPriority w:val="99"/>
    <w:qFormat/>
    <w:pPr>
      <w:numPr>
        <w:numId w:val="27"/>
      </w:numPr>
      <w:spacing w:after="240"/>
      <w:contextualSpacing/>
    </w:pPr>
  </w:style>
  <w:style w:type="paragraph" w:styleId="Title">
    <w:name w:val="Title"/>
    <w:basedOn w:val="Normal"/>
    <w:link w:val="TitleChar"/>
    <w:uiPriority w:val="7"/>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7"/>
    <w:rPr>
      <w:rFonts w:asciiTheme="majorHAnsi" w:eastAsiaTheme="majorEastAsia" w:hAnsiTheme="majorHAnsi" w:cstheme="majorBidi"/>
      <w:color w:val="17365D" w:themeColor="text2" w:themeShade="BF"/>
      <w:spacing w:val="5"/>
      <w:kern w:val="28"/>
      <w:sz w:val="52"/>
      <w:szCs w:val="52"/>
    </w:rPr>
  </w:style>
  <w:style w:type="paragraph" w:styleId="Signature">
    <w:name w:val="Signature"/>
    <w:basedOn w:val="Normal"/>
    <w:link w:val="SignatureChar"/>
    <w:uiPriority w:val="3"/>
    <w:qFormat/>
    <w:pPr>
      <w:spacing w:after="240"/>
      <w:ind w:left="4320"/>
      <w:contextualSpacing/>
    </w:pPr>
    <w:rPr>
      <w:sz w:val="23"/>
    </w:rPr>
  </w:style>
  <w:style w:type="character" w:customStyle="1" w:styleId="SignatureChar">
    <w:name w:val="Signature Char"/>
    <w:basedOn w:val="DefaultParagraphFont"/>
    <w:link w:val="Signature"/>
    <w:uiPriority w:val="3"/>
    <w:rPr>
      <w:sz w:val="23"/>
    </w:rPr>
  </w:style>
  <w:style w:type="paragraph" w:styleId="TOCHeading">
    <w:name w:val="TOC Heading"/>
    <w:basedOn w:val="Heading1"/>
    <w:next w:val="Normal"/>
    <w:uiPriority w:val="39"/>
    <w:unhideWhenUsed/>
    <w:qFormat/>
    <w:pPr>
      <w:numPr>
        <w:numId w:val="0"/>
      </w:numPr>
      <w:spacing w:before="480"/>
      <w:outlineLvl w:val="9"/>
    </w:pPr>
    <w:rPr>
      <w:rFonts w:asciiTheme="majorHAnsi" w:hAnsiTheme="majorHAnsi"/>
      <w:b w:val="0"/>
      <w:color w:val="365F91" w:themeColor="accent1" w:themeShade="BF"/>
      <w:sz w:val="28"/>
    </w:rPr>
  </w:style>
  <w:style w:type="paragraph" w:customStyle="1" w:styleId="DoubleIndent1">
    <w:name w:val="Double Indent 1"/>
    <w:aliases w:val="DblInd1"/>
    <w:basedOn w:val="Normal"/>
    <w:uiPriority w:val="2"/>
    <w:qFormat/>
    <w:pPr>
      <w:spacing w:after="240"/>
      <w:ind w:left="1440" w:right="1440"/>
    </w:pPr>
  </w:style>
  <w:style w:type="paragraph" w:customStyle="1" w:styleId="LeftIndent">
    <w:name w:val="Left Indent"/>
    <w:aliases w:val="LeftInd"/>
    <w:basedOn w:val="Normal"/>
    <w:uiPriority w:val="11"/>
    <w:qFormat/>
    <w:pPr>
      <w:spacing w:after="240"/>
    </w:pPr>
  </w:style>
  <w:style w:type="paragraph" w:customStyle="1" w:styleId="FirstLineIndent">
    <w:name w:val="First Line Indent"/>
    <w:aliases w:val="FirstInd"/>
    <w:basedOn w:val="Normal"/>
    <w:uiPriority w:val="1"/>
    <w:qFormat/>
    <w:pPr>
      <w:spacing w:after="240"/>
      <w:ind w:firstLine="720"/>
    </w:pPr>
  </w:style>
  <w:style w:type="paragraph" w:customStyle="1" w:styleId="NoIndent">
    <w:name w:val="No Indent"/>
    <w:aliases w:val="NoInd"/>
    <w:basedOn w:val="Normal"/>
    <w:uiPriority w:val="6"/>
    <w:qFormat/>
    <w:pPr>
      <w:spacing w:after="240"/>
    </w:pPr>
  </w:style>
  <w:style w:type="paragraph" w:customStyle="1" w:styleId="DoubleIndent5">
    <w:name w:val="Double Indent .5"/>
    <w:aliases w:val="DblInd5"/>
    <w:basedOn w:val="Normal"/>
    <w:uiPriority w:val="2"/>
    <w:qFormat/>
    <w:pPr>
      <w:spacing w:after="240"/>
      <w:ind w:right="720"/>
    </w:pPr>
    <w:rPr>
      <w:iCs/>
    </w:rPr>
  </w:style>
  <w:style w:type="paragraph" w:customStyle="1" w:styleId="SCFootnotes">
    <w:name w:val="S.C. Footnotes"/>
    <w:basedOn w:val="FootnoteText"/>
    <w:qFormat/>
    <w:pPr>
      <w:jc w:val="left"/>
    </w:pPr>
    <w:rPr>
      <w:rFonts w:ascii="Times New Roman" w:eastAsia="Times New Roman" w:hAnsi="Times New Roman"/>
      <w:sz w:val="24"/>
      <w:szCs w:val="24"/>
    </w:rPr>
  </w:style>
  <w:style w:type="paragraph" w:customStyle="1" w:styleId="PUCOFootnotes">
    <w:name w:val="PUCO Footnotes"/>
    <w:qFormat/>
    <w:pPr>
      <w:jc w:val="both"/>
    </w:pPr>
    <w:rPr>
      <w:rFonts w:ascii="Arial" w:eastAsia="Calibri" w:hAnsi="Arial"/>
    </w:rPr>
  </w:style>
  <w:style w:type="paragraph" w:customStyle="1" w:styleId="SCBody">
    <w:name w:val="S.C. Body"/>
    <w:basedOn w:val="Heading1"/>
    <w:qFormat/>
    <w:pPr>
      <w:numPr>
        <w:numId w:val="0"/>
      </w:numPr>
      <w:spacing w:after="0"/>
      <w:jc w:val="left"/>
      <w:outlineLvl w:val="9"/>
    </w:pPr>
    <w:rPr>
      <w:rFonts w:ascii="Times New Roman" w:hAnsi="Times New Roman"/>
      <w:b w:val="0"/>
      <w:caps w:val="0"/>
      <w:u w:val="none"/>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semiHidden/>
    <w:unhideWhenUsed/>
    <w:pPr>
      <w:tabs>
        <w:tab w:val="center" w:pos="4680"/>
        <w:tab w:val="right" w:pos="9360"/>
      </w:tabs>
      <w:spacing w:line="240" w:lineRule="auto"/>
    </w:pPr>
  </w:style>
  <w:style w:type="character" w:customStyle="1" w:styleId="HeaderChar">
    <w:name w:val="Header Char"/>
    <w:basedOn w:val="DefaultParagraphFont"/>
    <w:link w:val="Header"/>
    <w:uiPriority w:val="99"/>
    <w:semiHidden/>
    <w:rPr>
      <w:rFonts w:ascii="Arial" w:hAnsi="Arial" w:cstheme="minorBidi"/>
      <w:sz w:val="24"/>
      <w:szCs w:val="24"/>
    </w:rPr>
  </w:style>
  <w:style w:type="paragraph" w:styleId="Footer">
    <w:name w:val="footer"/>
    <w:basedOn w:val="Normal"/>
    <w:link w:val="FooterChar"/>
    <w:uiPriority w:val="99"/>
    <w:semiHidden/>
    <w:unhideWhenUsed/>
    <w:pPr>
      <w:tabs>
        <w:tab w:val="center" w:pos="4680"/>
        <w:tab w:val="right" w:pos="9360"/>
      </w:tabs>
      <w:spacing w:line="240" w:lineRule="auto"/>
    </w:pPr>
  </w:style>
  <w:style w:type="character" w:customStyle="1" w:styleId="FooterChar">
    <w:name w:val="Footer Char"/>
    <w:basedOn w:val="DefaultParagraphFont"/>
    <w:link w:val="Footer"/>
    <w:uiPriority w:val="99"/>
    <w:semiHidden/>
    <w:rPr>
      <w:rFonts w:ascii="Arial" w:hAnsi="Arial" w:cstheme="minorBidi"/>
      <w:sz w:val="24"/>
      <w:szCs w:val="24"/>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2752</Words>
  <Characters>15538</Characters>
  <Application>Microsoft Office Word</Application>
  <DocSecurity>0</DocSecurity>
  <PresentationFormat>12|.DOCX</PresentationFormat>
  <Lines>431</Lines>
  <Paragraphs>189</Paragraphs>
  <ScaleCrop>false</ScaleCrop>
  <HeadingPairs>
    <vt:vector size="2" baseType="variant">
      <vt:variant>
        <vt:lpstr>Title</vt:lpstr>
      </vt:variant>
      <vt:variant>
        <vt:i4>1</vt:i4>
      </vt:variant>
    </vt:vector>
  </HeadingPairs>
  <TitlesOfParts>
    <vt:vector size="1" baseType="lpstr">
      <vt:lpstr>11-5906-EL-FAC IEU-Ohio Reply to OP's Memo Contra OCC's Motion to Compel (C47893-2).DOCX</vt:lpstr>
    </vt:vector>
  </TitlesOfParts>
  <Company>Some Company, Inc.</Company>
  <LinksUpToDate>false</LinksUpToDate>
  <CharactersWithSpaces>18201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11-5906-EL-FAC IEU-Ohio Reply to OP's Memo Contra OCC's Motion to Compel (C47893-2).DOCX</dc:title>
  <dc:subject>C47893:2 /font=8</dc:subject>
  <dc:creator>Debbie Ryan</dc:creator>
  <cp:lastModifiedBy>Debbie Ryan</cp:lastModifiedBy>
  <cp:revision>2</cp:revision>
  <dcterms:created xsi:type="dcterms:W3CDTF">2015-08-07T18:48:00Z</dcterms:created>
  <dcterms:modified xsi:type="dcterms:W3CDTF">2015-08-07T18:48:00Z</dcterms:modified>
</cp:coreProperties>
</file>