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PUBLIC UTILITIES COMMISSION OF </w:t>
      </w:r>
      <w:smartTag w:uri="urn:schemas-microsoft-com:office:smarttags" w:element="place">
        <w:smartTag w:uri="urn:schemas-microsoft-com:office:smarttags" w:element="State">
          <w:r w:rsidRPr="002D54AC">
            <w:rPr>
              <w:b/>
              <w:sz w:val="26"/>
              <w:szCs w:val="26"/>
            </w:rPr>
            <w:t>OHIO</w:t>
          </w:r>
        </w:smartTag>
      </w:smartTag>
    </w:p>
    <w:p w:rsidR="00663D6A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289"/>
        <w:gridCol w:w="4477"/>
      </w:tblGrid>
      <w:tr w:rsidR="007E69DF" w:rsidTr="00D84A06">
        <w:tc>
          <w:tcPr>
            <w:tcW w:w="4594" w:type="dxa"/>
          </w:tcPr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Regulation of the Purchased Gas Adjustment Clause Contained Within the Rate Schedules of Duke Energy Ohio, Inc., and Related Matters.</w:t>
            </w:r>
            <w:proofErr w:type="gramEnd"/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In the Matter of the Uncollectible Expense Rider of duke energy Ohio, Inc., and Related Matters.</w:t>
            </w:r>
            <w:proofErr w:type="gramEnd"/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Pr="00221496" w:rsidRDefault="007E69DF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the Matter of the Percentage of Income Payment Plan Rider of Duke Energy Ohio, Inc.</w:t>
            </w:r>
          </w:p>
        </w:tc>
        <w:tc>
          <w:tcPr>
            <w:tcW w:w="289" w:type="dxa"/>
          </w:tcPr>
          <w:p w:rsidR="007E69DF" w:rsidRPr="00221496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Pr="00221496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E69DF" w:rsidRPr="00221496" w:rsidRDefault="007E69DF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477" w:type="dxa"/>
          </w:tcPr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15-218-GA-GCR</w:t>
            </w: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F86632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15-318-GA-UEX</w:t>
            </w: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E69DF" w:rsidRPr="00221496" w:rsidRDefault="007E69DF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F86632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15-418-GA-PIP</w:t>
            </w:r>
          </w:p>
        </w:tc>
      </w:tr>
    </w:tbl>
    <w:p w:rsidR="003B12DD" w:rsidRPr="00D84A06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16"/>
          <w:szCs w:val="16"/>
          <w:u w:val="single"/>
        </w:rPr>
      </w:pPr>
      <w:r w:rsidRPr="00D84A06">
        <w:rPr>
          <w:rFonts w:ascii="Times New Roman" w:hAnsi="Times New Roman"/>
          <w:sz w:val="16"/>
          <w:szCs w:val="16"/>
          <w:u w:val="single"/>
        </w:rPr>
        <w:tab/>
      </w:r>
    </w:p>
    <w:p w:rsidR="00E10679" w:rsidRPr="00E10679" w:rsidRDefault="00E10679" w:rsidP="00E10679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POST-HEARING BRIEF</w:t>
      </w:r>
    </w:p>
    <w:p w:rsidR="00663D6A" w:rsidRPr="00D84A06" w:rsidRDefault="00663D6A" w:rsidP="00D84A06">
      <w:pPr>
        <w:jc w:val="center"/>
        <w:rPr>
          <w:b/>
          <w:sz w:val="28"/>
          <w:szCs w:val="28"/>
        </w:rPr>
      </w:pPr>
      <w:bookmarkStart w:id="0" w:name="_Toc257632572"/>
      <w:bookmarkStart w:id="1" w:name="_Toc257632676"/>
      <w:bookmarkStart w:id="2" w:name="_Toc257637808"/>
      <w:bookmarkStart w:id="3" w:name="_Toc257798062"/>
      <w:bookmarkStart w:id="4" w:name="_Toc260124108"/>
      <w:bookmarkStart w:id="5" w:name="_Toc260125213"/>
      <w:bookmarkStart w:id="6" w:name="_Toc260212953"/>
      <w:r w:rsidRPr="00D84A06">
        <w:rPr>
          <w:b/>
          <w:sz w:val="28"/>
          <w:szCs w:val="28"/>
        </w:rPr>
        <w:t>SUBMITTED ON BEHALF OF THE STAFF OF</w:t>
      </w:r>
      <w:bookmarkEnd w:id="0"/>
      <w:bookmarkEnd w:id="1"/>
      <w:bookmarkEnd w:id="2"/>
      <w:bookmarkEnd w:id="3"/>
      <w:bookmarkEnd w:id="4"/>
      <w:bookmarkEnd w:id="5"/>
      <w:bookmarkEnd w:id="6"/>
    </w:p>
    <w:p w:rsidR="00663D6A" w:rsidRPr="00D84A06" w:rsidRDefault="00663D6A" w:rsidP="00D84A06">
      <w:pPr>
        <w:jc w:val="center"/>
        <w:rPr>
          <w:b/>
          <w:sz w:val="28"/>
          <w:szCs w:val="28"/>
        </w:rPr>
      </w:pPr>
      <w:bookmarkStart w:id="7" w:name="_Toc257632573"/>
      <w:bookmarkStart w:id="8" w:name="_Toc257632677"/>
      <w:bookmarkStart w:id="9" w:name="_Toc257637809"/>
      <w:bookmarkStart w:id="10" w:name="_Toc257798063"/>
      <w:bookmarkStart w:id="11" w:name="_Toc260124109"/>
      <w:bookmarkStart w:id="12" w:name="_Toc260125214"/>
      <w:bookmarkStart w:id="13" w:name="_Toc260212954"/>
      <w:r w:rsidRPr="00D84A06">
        <w:rPr>
          <w:b/>
          <w:sz w:val="28"/>
          <w:szCs w:val="28"/>
        </w:rPr>
        <w:t>THE PUBLIC UTILITIES COMMISSION OF OHIO</w:t>
      </w:r>
      <w:bookmarkEnd w:id="7"/>
      <w:bookmarkEnd w:id="8"/>
      <w:bookmarkEnd w:id="9"/>
      <w:bookmarkEnd w:id="10"/>
      <w:bookmarkEnd w:id="11"/>
      <w:bookmarkEnd w:id="12"/>
      <w:bookmarkEnd w:id="13"/>
    </w:p>
    <w:p w:rsidR="002B69F6" w:rsidRPr="002B69F6" w:rsidRDefault="00E10679" w:rsidP="002B69F6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16"/>
          <w:szCs w:val="16"/>
          <w:u w:val="single"/>
        </w:rPr>
      </w:pPr>
      <w:r w:rsidRPr="00D84A06">
        <w:rPr>
          <w:rFonts w:ascii="Times New Roman" w:hAnsi="Times New Roman"/>
          <w:sz w:val="16"/>
          <w:szCs w:val="16"/>
          <w:u w:val="single"/>
        </w:rPr>
        <w:tab/>
      </w:r>
    </w:p>
    <w:p w:rsidR="002B69F6" w:rsidRDefault="002B69F6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Default="002B69F6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0964">
        <w:rPr>
          <w:rFonts w:ascii="Times New Roman" w:hAnsi="Times New Roman"/>
          <w:b/>
          <w:sz w:val="26"/>
          <w:szCs w:val="26"/>
        </w:rPr>
        <w:t>Michael DeWine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Ohio </w:t>
      </w:r>
      <w:r w:rsidR="00721F2D">
        <w:rPr>
          <w:rFonts w:ascii="Times New Roman" w:hAnsi="Times New Roman"/>
          <w:sz w:val="26"/>
          <w:szCs w:val="26"/>
        </w:rPr>
        <w:t>Attorney</w:t>
      </w:r>
      <w:r>
        <w:rPr>
          <w:rFonts w:ascii="Times New Roman" w:hAnsi="Times New Roman"/>
          <w:sz w:val="26"/>
          <w:szCs w:val="26"/>
        </w:rPr>
        <w:t xml:space="preserve"> General</w:t>
      </w:r>
    </w:p>
    <w:p w:rsidR="00E10679" w:rsidRPr="00D84A06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BC5B75">
        <w:rPr>
          <w:rFonts w:ascii="Times New Roman" w:hAnsi="Times New Roman"/>
          <w:b/>
          <w:sz w:val="26"/>
          <w:szCs w:val="26"/>
        </w:rPr>
        <w:t>William L. Wright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E10679" w:rsidRPr="00D84A06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E10679" w:rsidRDefault="00E10679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84A06">
        <w:rPr>
          <w:rFonts w:ascii="Times New Roman" w:hAnsi="Times New Roman"/>
          <w:b/>
          <w:sz w:val="26"/>
          <w:szCs w:val="26"/>
        </w:rPr>
        <w:t>Thomas W. McNamee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Natalia V. Messenger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21F2D">
        <w:rPr>
          <w:rFonts w:ascii="Times New Roman" w:hAnsi="Times New Roman"/>
          <w:sz w:val="26"/>
          <w:szCs w:val="26"/>
        </w:rPr>
        <w:t>Assistant</w:t>
      </w:r>
      <w:r>
        <w:rPr>
          <w:rFonts w:ascii="Times New Roman" w:hAnsi="Times New Roman"/>
          <w:sz w:val="26"/>
          <w:szCs w:val="26"/>
        </w:rPr>
        <w:t xml:space="preserve"> Attorneys General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Public </w:t>
      </w:r>
      <w:r w:rsidR="00721F2D">
        <w:rPr>
          <w:rFonts w:ascii="Times New Roman" w:hAnsi="Times New Roman"/>
          <w:sz w:val="26"/>
          <w:szCs w:val="26"/>
        </w:rPr>
        <w:t>Utilities</w:t>
      </w:r>
      <w:r>
        <w:rPr>
          <w:rFonts w:ascii="Times New Roman" w:hAnsi="Times New Roman"/>
          <w:sz w:val="26"/>
          <w:szCs w:val="26"/>
        </w:rPr>
        <w:t xml:space="preserve"> Section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84A06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0 East Broad Street, </w:t>
      </w:r>
      <w:r w:rsidR="00D84A0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9" w:history="1">
        <w:r w:rsidR="00D84A06" w:rsidRPr="004C70BB">
          <w:rPr>
            <w:rStyle w:val="Hyperlink"/>
            <w:rFonts w:ascii="Times New Roman" w:hAnsi="Times New Roman"/>
            <w:sz w:val="26"/>
            <w:szCs w:val="26"/>
          </w:rPr>
          <w:t>thomas.mcnamee@ohioattorneygeneral.gov</w:t>
        </w:r>
      </w:hyperlink>
    </w:p>
    <w:p w:rsidR="00E10679" w:rsidRDefault="00E10679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10" w:history="1">
        <w:r w:rsidR="00D84A06" w:rsidRPr="004C70BB">
          <w:rPr>
            <w:rStyle w:val="Hyperlink"/>
            <w:rFonts w:ascii="Times New Roman" w:hAnsi="Times New Roman"/>
            <w:sz w:val="26"/>
            <w:szCs w:val="26"/>
          </w:rPr>
          <w:t>natalia.messenger@ohioattorneygeneral.gov</w:t>
        </w:r>
      </w:hyperlink>
    </w:p>
    <w:p w:rsidR="00D84A06" w:rsidRPr="00D84A06" w:rsidRDefault="00D84A06" w:rsidP="00E10679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D84A06" w:rsidRPr="002B69F6" w:rsidRDefault="00D84A06" w:rsidP="002B69F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On behalf of the Staff of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ab/>
        <w:t>The Public Utilities Commission of Ohio</w:t>
      </w:r>
    </w:p>
    <w:p w:rsidR="002B69F6" w:rsidRDefault="002B69F6" w:rsidP="004B6358">
      <w:pPr>
        <w:pStyle w:val="PlainText"/>
        <w:rPr>
          <w:rFonts w:ascii="Times New Roman" w:hAnsi="Times New Roman"/>
          <w:sz w:val="26"/>
          <w:szCs w:val="26"/>
        </w:rPr>
      </w:pPr>
    </w:p>
    <w:p w:rsidR="00663D6A" w:rsidRPr="002D54AC" w:rsidRDefault="00D84A06" w:rsidP="004B6358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May 17, 2016</w:t>
      </w:r>
    </w:p>
    <w:p w:rsidR="003B12DD" w:rsidRDefault="003B12DD" w:rsidP="00663D6A">
      <w:pPr>
        <w:jc w:val="center"/>
        <w:rPr>
          <w:b/>
          <w:sz w:val="26"/>
          <w:szCs w:val="26"/>
        </w:rPr>
        <w:sectPr w:rsidR="003B12DD" w:rsidSect="003B12DD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CB5644" w:rsidRPr="002D54AC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lastRenderedPageBreak/>
        <w:t>BEFORE</w:t>
      </w:r>
    </w:p>
    <w:p w:rsidR="00CB5644" w:rsidRDefault="00CB5644" w:rsidP="00CB5644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>THE PUBLIC UTILITIES COMMISSION OF OHIO</w:t>
      </w:r>
    </w:p>
    <w:p w:rsidR="00E10679" w:rsidRDefault="00E10679" w:rsidP="00CB5644">
      <w:pPr>
        <w:jc w:val="center"/>
        <w:rPr>
          <w:b/>
          <w:sz w:val="26"/>
          <w:szCs w:val="26"/>
        </w:rPr>
      </w:pPr>
    </w:p>
    <w:p w:rsidR="00E10679" w:rsidRDefault="00E10679" w:rsidP="00CB5644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289"/>
        <w:gridCol w:w="4477"/>
      </w:tblGrid>
      <w:tr w:rsidR="00D84A06" w:rsidTr="009278C7">
        <w:tc>
          <w:tcPr>
            <w:tcW w:w="4594" w:type="dxa"/>
          </w:tcPr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 Regulation of the Purchased Gas Adjustment Clause Contained Within the Rate Schedules of Duke Energy Ohio, Inc., and Related Matters.</w:t>
            </w:r>
            <w:proofErr w:type="gramEnd"/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In the Matter of the Uncollectible Expense Rider of duke energy Ohio, Inc., and Related Matters.</w:t>
            </w:r>
            <w:proofErr w:type="gramEnd"/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the Matter of the Percentage of Income Payment Plan Rider of Duke Energy Ohio, Inc.</w:t>
            </w:r>
          </w:p>
          <w:p w:rsidR="00831FF5" w:rsidRDefault="00831FF5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831FF5" w:rsidRPr="00221496" w:rsidRDefault="00831FF5" w:rsidP="009278C7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D84A06" w:rsidRPr="0022149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Pr="0022149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84A06" w:rsidRPr="00221496" w:rsidRDefault="00D84A06" w:rsidP="009278C7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477" w:type="dxa"/>
          </w:tcPr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15-218-GA-GCR</w:t>
            </w: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F86632"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>15-318-GA-UEX</w:t>
            </w: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84A06" w:rsidRPr="00221496" w:rsidRDefault="00D84A06" w:rsidP="009278C7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F86632">
              <w:rPr>
                <w:rFonts w:ascii="Times New Roman" w:hAnsi="Times New Roman"/>
                <w:sz w:val="26"/>
                <w:szCs w:val="26"/>
              </w:rPr>
              <w:tab/>
            </w:r>
            <w:bookmarkStart w:id="14" w:name="_GoBack"/>
            <w:bookmarkEnd w:id="14"/>
            <w:r>
              <w:rPr>
                <w:rFonts w:ascii="Times New Roman" w:hAnsi="Times New Roman"/>
                <w:sz w:val="26"/>
                <w:szCs w:val="26"/>
              </w:rPr>
              <w:t>15-418-GA-PIP</w:t>
            </w:r>
          </w:p>
        </w:tc>
      </w:tr>
    </w:tbl>
    <w:p w:rsidR="00D84A06" w:rsidRPr="00D84A06" w:rsidRDefault="00D84A06" w:rsidP="00D84A06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16"/>
          <w:szCs w:val="16"/>
          <w:u w:val="single"/>
        </w:rPr>
      </w:pPr>
      <w:r w:rsidRPr="00D84A06">
        <w:rPr>
          <w:rFonts w:ascii="Times New Roman" w:hAnsi="Times New Roman"/>
          <w:sz w:val="16"/>
          <w:szCs w:val="16"/>
          <w:u w:val="single"/>
        </w:rPr>
        <w:tab/>
      </w:r>
    </w:p>
    <w:p w:rsidR="00D84A06" w:rsidRPr="00E10679" w:rsidRDefault="00D84A06" w:rsidP="00D84A06">
      <w:pPr>
        <w:pStyle w:val="Title"/>
        <w:tabs>
          <w:tab w:val="left" w:pos="936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POST-HEARING BRIEF</w:t>
      </w:r>
    </w:p>
    <w:p w:rsidR="00D84A06" w:rsidRPr="00D84A06" w:rsidRDefault="00D84A06" w:rsidP="00D84A06">
      <w:pPr>
        <w:jc w:val="center"/>
        <w:rPr>
          <w:b/>
          <w:sz w:val="28"/>
          <w:szCs w:val="28"/>
        </w:rPr>
      </w:pPr>
      <w:r w:rsidRPr="00D84A06">
        <w:rPr>
          <w:b/>
          <w:sz w:val="28"/>
          <w:szCs w:val="28"/>
        </w:rPr>
        <w:t>SUBMITTED ON BEHALF OF THE STAFF OF</w:t>
      </w:r>
    </w:p>
    <w:p w:rsidR="00D84A06" w:rsidRPr="00D84A06" w:rsidRDefault="00D84A06" w:rsidP="00D84A06">
      <w:pPr>
        <w:jc w:val="center"/>
        <w:rPr>
          <w:b/>
          <w:sz w:val="28"/>
          <w:szCs w:val="28"/>
        </w:rPr>
      </w:pPr>
      <w:r w:rsidRPr="00D84A06">
        <w:rPr>
          <w:b/>
          <w:sz w:val="28"/>
          <w:szCs w:val="28"/>
        </w:rPr>
        <w:t>THE PUBLIC UTILITIES COMMISSION OF OHIO</w:t>
      </w:r>
    </w:p>
    <w:p w:rsidR="00D84A06" w:rsidRPr="00D84A06" w:rsidRDefault="00D84A06" w:rsidP="00D84A06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16"/>
          <w:szCs w:val="16"/>
          <w:u w:val="single"/>
        </w:rPr>
      </w:pPr>
      <w:r w:rsidRPr="00D84A06">
        <w:rPr>
          <w:rFonts w:ascii="Times New Roman" w:hAnsi="Times New Roman"/>
          <w:sz w:val="16"/>
          <w:szCs w:val="16"/>
          <w:u w:val="single"/>
        </w:rPr>
        <w:tab/>
      </w:r>
    </w:p>
    <w:p w:rsidR="00CB5644" w:rsidRPr="00613023" w:rsidRDefault="00CB5644" w:rsidP="0064436A">
      <w:pPr>
        <w:pStyle w:val="Heading1"/>
      </w:pPr>
      <w:bookmarkStart w:id="15" w:name="_Toc450207869"/>
      <w:r w:rsidRPr="00613023">
        <w:t>INTRODUCTION</w:t>
      </w:r>
      <w:bookmarkEnd w:id="15"/>
    </w:p>
    <w:p w:rsidR="00E10679" w:rsidRDefault="0064436A" w:rsidP="00233969">
      <w:pPr>
        <w:pStyle w:val="textstyle0"/>
      </w:pPr>
      <w:r>
        <w:tab/>
      </w:r>
      <w:r w:rsidR="00233969" w:rsidRPr="00710AD0">
        <w:t xml:space="preserve">The Stipulation </w:t>
      </w:r>
      <w:r w:rsidR="00233969">
        <w:t xml:space="preserve">and Recommendation (Stipulation) </w:t>
      </w:r>
      <w:r w:rsidR="00233969" w:rsidRPr="00710AD0">
        <w:t>presented in this matter bene</w:t>
      </w:r>
      <w:r w:rsidR="00233969">
        <w:softHyphen/>
      </w:r>
      <w:r w:rsidR="00233969" w:rsidRPr="00710AD0">
        <w:t>fits the ratepayers of Duke Energy Ohio (Duke or the Company), while efficiently resolv</w:t>
      </w:r>
      <w:r w:rsidR="00233969">
        <w:softHyphen/>
      </w:r>
      <w:r w:rsidR="00233969" w:rsidRPr="00710AD0">
        <w:t xml:space="preserve">ing the issues presented in this case. </w:t>
      </w:r>
      <w:r w:rsidR="00233969">
        <w:t xml:space="preserve"> </w:t>
      </w:r>
      <w:r w:rsidR="00233969" w:rsidRPr="00710AD0">
        <w:t xml:space="preserve">The Stipulation represents compromises by Duke and </w:t>
      </w:r>
      <w:r w:rsidR="00233969">
        <w:t xml:space="preserve">the </w:t>
      </w:r>
      <w:r w:rsidR="00233969" w:rsidRPr="00710AD0">
        <w:t xml:space="preserve">Staff (the Parties) </w:t>
      </w:r>
      <w:r w:rsidR="00233969">
        <w:t xml:space="preserve">of the Public Utilities Commission of Ohio (Commission) </w:t>
      </w:r>
      <w:r w:rsidR="00F0270D">
        <w:t>to resolve those</w:t>
      </w:r>
      <w:r w:rsidR="00233969" w:rsidRPr="00710AD0">
        <w:t xml:space="preserve"> issue</w:t>
      </w:r>
      <w:r w:rsidR="00F0270D">
        <w:t>s</w:t>
      </w:r>
      <w:r w:rsidR="00233969" w:rsidRPr="00710AD0">
        <w:t xml:space="preserve"> efficiently and miti</w:t>
      </w:r>
      <w:r w:rsidR="00233969" w:rsidRPr="00710AD0">
        <w:softHyphen/>
        <w:t xml:space="preserve">gate the costly risk to ratepayers inherent in these proceedings.  The </w:t>
      </w:r>
      <w:r w:rsidR="00233969">
        <w:t xml:space="preserve">Commission </w:t>
      </w:r>
      <w:r w:rsidR="00233969" w:rsidRPr="00710AD0">
        <w:t>should approve the Stipulation and give consumers cer</w:t>
      </w:r>
      <w:r w:rsidR="00233969">
        <w:softHyphen/>
      </w:r>
      <w:r w:rsidR="00233969" w:rsidRPr="00710AD0">
        <w:t>tainty moving forward.</w:t>
      </w:r>
    </w:p>
    <w:p w:rsidR="00E10679" w:rsidRDefault="00E10679" w:rsidP="00E10679">
      <w:pPr>
        <w:pStyle w:val="Heading1"/>
      </w:pPr>
      <w:bookmarkStart w:id="16" w:name="_Toc450207870"/>
      <w:r>
        <w:lastRenderedPageBreak/>
        <w:t>DISCUSSION</w:t>
      </w:r>
      <w:bookmarkEnd w:id="16"/>
    </w:p>
    <w:p w:rsidR="00233969" w:rsidRPr="00992450" w:rsidRDefault="00E10679" w:rsidP="00233969">
      <w:pPr>
        <w:pStyle w:val="textstyle0"/>
        <w:rPr>
          <w:b/>
        </w:rPr>
      </w:pPr>
      <w:r>
        <w:tab/>
      </w:r>
      <w:bookmarkStart w:id="17" w:name="_Toc450207871"/>
      <w:r w:rsidR="00233969" w:rsidRPr="00992450">
        <w:t>Rule 4901-1-30, Ohio Adm. Code, authorizes parties to Commission proceedings to enter into stipulations.  Although not binding upon the Commission, the terms of such agree</w:t>
      </w:r>
      <w:r w:rsidR="00233969" w:rsidRPr="00992450">
        <w:softHyphen/>
        <w:t>ments are to be accorded substantial weight.</w:t>
      </w:r>
      <w:r w:rsidR="00233969" w:rsidRPr="00992450">
        <w:rPr>
          <w:vertAlign w:val="superscript"/>
        </w:rPr>
        <w:footnoteReference w:id="1"/>
      </w:r>
      <w:r w:rsidR="00233969" w:rsidRPr="00992450">
        <w:t xml:space="preserve">  The ultimate issue for the Commis</w:t>
      </w:r>
      <w:r w:rsidR="00233969" w:rsidRPr="00992450">
        <w:softHyphen/>
        <w:t>sion’s consideration is whether the agreement is reasonable and should be adopted.  In considering the reasonableness of a stipulation, the Com</w:t>
      </w:r>
      <w:r w:rsidR="00233969" w:rsidRPr="00992450">
        <w:softHyphen/>
        <w:t>mission has used the following criteria;</w:t>
      </w:r>
    </w:p>
    <w:p w:rsidR="00233969" w:rsidRPr="00233969" w:rsidRDefault="00233969" w:rsidP="00233969">
      <w:pPr>
        <w:numPr>
          <w:ilvl w:val="0"/>
          <w:numId w:val="7"/>
        </w:numPr>
        <w:spacing w:line="480" w:lineRule="auto"/>
        <w:ind w:left="1440" w:right="720" w:hanging="720"/>
        <w:rPr>
          <w:sz w:val="26"/>
          <w:szCs w:val="26"/>
        </w:rPr>
      </w:pPr>
      <w:r w:rsidRPr="00233969">
        <w:rPr>
          <w:sz w:val="26"/>
          <w:szCs w:val="26"/>
        </w:rPr>
        <w:t>Is the settlement a product of serious bargaining among capable, knowledgeable parties?</w:t>
      </w:r>
    </w:p>
    <w:p w:rsidR="00233969" w:rsidRPr="00233969" w:rsidRDefault="00233969" w:rsidP="00233969">
      <w:pPr>
        <w:numPr>
          <w:ilvl w:val="0"/>
          <w:numId w:val="7"/>
        </w:numPr>
        <w:spacing w:line="480" w:lineRule="auto"/>
        <w:ind w:left="1440" w:right="720" w:hanging="720"/>
        <w:rPr>
          <w:sz w:val="26"/>
          <w:szCs w:val="26"/>
        </w:rPr>
      </w:pPr>
      <w:r w:rsidRPr="00233969">
        <w:rPr>
          <w:sz w:val="26"/>
          <w:szCs w:val="26"/>
        </w:rPr>
        <w:t>Does the settlement, as a package, benefit ratepayers and the public interest?</w:t>
      </w:r>
    </w:p>
    <w:p w:rsidR="00233969" w:rsidRPr="00233969" w:rsidRDefault="00233969" w:rsidP="00233969">
      <w:pPr>
        <w:numPr>
          <w:ilvl w:val="0"/>
          <w:numId w:val="7"/>
        </w:numPr>
        <w:spacing w:line="480" w:lineRule="auto"/>
        <w:ind w:left="1440" w:right="720" w:hanging="720"/>
        <w:rPr>
          <w:sz w:val="26"/>
          <w:szCs w:val="26"/>
        </w:rPr>
      </w:pPr>
      <w:r w:rsidRPr="00233969">
        <w:rPr>
          <w:sz w:val="26"/>
          <w:szCs w:val="26"/>
        </w:rPr>
        <w:t>Does the settlement package violate any important regulatory prin</w:t>
      </w:r>
      <w:r w:rsidR="00B36A9B">
        <w:rPr>
          <w:sz w:val="26"/>
          <w:szCs w:val="26"/>
        </w:rPr>
        <w:softHyphen/>
      </w:r>
      <w:r w:rsidRPr="00233969">
        <w:rPr>
          <w:sz w:val="26"/>
          <w:szCs w:val="26"/>
        </w:rPr>
        <w:t>ciple or practice?</w:t>
      </w:r>
      <w:r w:rsidRPr="00233969">
        <w:rPr>
          <w:sz w:val="26"/>
          <w:szCs w:val="26"/>
          <w:vertAlign w:val="superscript"/>
        </w:rPr>
        <w:footnoteReference w:id="2"/>
      </w:r>
      <w:r w:rsidRPr="00233969">
        <w:rPr>
          <w:sz w:val="26"/>
          <w:szCs w:val="26"/>
          <w:vertAlign w:val="superscript"/>
        </w:rPr>
        <w:t xml:space="preserve"> </w:t>
      </w:r>
    </w:p>
    <w:p w:rsidR="00233969" w:rsidRPr="00992450" w:rsidRDefault="00233969" w:rsidP="00233969">
      <w:pPr>
        <w:pStyle w:val="textstyle0"/>
        <w:rPr>
          <w:bCs/>
        </w:rPr>
      </w:pPr>
      <w:r w:rsidRPr="00992450">
        <w:tab/>
        <w:t>The Ohio Supreme Court has endorsed the Commission's analysis using these cri</w:t>
      </w:r>
      <w:r w:rsidRPr="00992450">
        <w:softHyphen/>
        <w:t>teria to resolve cases.</w:t>
      </w:r>
      <w:r w:rsidRPr="00992450">
        <w:rPr>
          <w:vertAlign w:val="superscript"/>
        </w:rPr>
        <w:footnoteReference w:id="3"/>
      </w:r>
      <w:r w:rsidRPr="00992450">
        <w:t xml:space="preserve">  When the Commission reviews a contested stipulation, as is the </w:t>
      </w:r>
      <w:r w:rsidRPr="00992450">
        <w:lastRenderedPageBreak/>
        <w:t xml:space="preserve">case here, the Court has also been clear that the requirement of evidentiary support remains operative.  While the Commission “may place substantial weight on the terms of a stipulation,” it “must determine, </w:t>
      </w:r>
      <w:r w:rsidRPr="00992450">
        <w:rPr>
          <w:iCs/>
        </w:rPr>
        <w:t>from the evidence</w:t>
      </w:r>
      <w:r w:rsidRPr="00992450">
        <w:t>, what is just and reasonable.”</w:t>
      </w:r>
      <w:r w:rsidRPr="00992450">
        <w:rPr>
          <w:vertAlign w:val="superscript"/>
        </w:rPr>
        <w:footnoteReference w:id="4"/>
      </w:r>
      <w:r w:rsidRPr="00992450">
        <w:t xml:space="preserve">  </w:t>
      </w:r>
    </w:p>
    <w:p w:rsidR="00233969" w:rsidRPr="00710AD0" w:rsidRDefault="00233969" w:rsidP="00233969">
      <w:pPr>
        <w:pStyle w:val="textstyle0"/>
      </w:pPr>
      <w:r w:rsidRPr="00992450">
        <w:tab/>
        <w:t>The signatory parties respectfully submit that the stipulation here satisfies the rea</w:t>
      </w:r>
      <w:r w:rsidRPr="00992450">
        <w:softHyphen/>
        <w:t>sonableness criteria, and that the evidence of record supports and justifies a finding that its term</w:t>
      </w:r>
      <w:r w:rsidRPr="00710AD0">
        <w:t>s are just and reasonable.</w:t>
      </w:r>
    </w:p>
    <w:p w:rsidR="006A3730" w:rsidRDefault="006A3730" w:rsidP="00233969">
      <w:pPr>
        <w:pStyle w:val="Heading2"/>
      </w:pPr>
      <w:r>
        <w:t>A.</w:t>
      </w:r>
      <w:r>
        <w:tab/>
      </w:r>
      <w:bookmarkEnd w:id="17"/>
      <w:r w:rsidR="00233969" w:rsidRPr="00710AD0">
        <w:t>The Stipulation is the product of serious bargaining among capa</w:t>
      </w:r>
      <w:r w:rsidR="00233969">
        <w:softHyphen/>
      </w:r>
      <w:r w:rsidR="00233969" w:rsidRPr="00710AD0">
        <w:t>ble, knowledgeable parties</w:t>
      </w:r>
      <w:r w:rsidR="00233969">
        <w:t>.</w:t>
      </w:r>
    </w:p>
    <w:p w:rsidR="006A3730" w:rsidRDefault="006A3730" w:rsidP="00233969">
      <w:pPr>
        <w:pStyle w:val="textstyle0"/>
      </w:pPr>
      <w:r>
        <w:tab/>
      </w:r>
      <w:r w:rsidR="00233969" w:rsidRPr="00710AD0">
        <w:t>The Stipulation was the product of serious bargaining among capable, knowledge</w:t>
      </w:r>
      <w:r w:rsidR="00233969">
        <w:softHyphen/>
      </w:r>
      <w:r w:rsidR="00233969" w:rsidRPr="00710AD0">
        <w:t xml:space="preserve">able parties. </w:t>
      </w:r>
      <w:r w:rsidR="00233969">
        <w:t xml:space="preserve"> </w:t>
      </w:r>
      <w:r w:rsidR="00233969" w:rsidRPr="00710AD0">
        <w:t xml:space="preserve">The signatory parties, Staff and Duke, represent diverse interests. </w:t>
      </w:r>
      <w:r w:rsidR="00233969">
        <w:t xml:space="preserve"> </w:t>
      </w:r>
      <w:r w:rsidR="00233969" w:rsidRPr="00710AD0">
        <w:t>The Stip</w:t>
      </w:r>
      <w:r w:rsidR="00233969">
        <w:softHyphen/>
      </w:r>
      <w:r w:rsidR="00233969" w:rsidRPr="00710AD0">
        <w:t>ulation is the result of a transparent negotiation process</w:t>
      </w:r>
      <w:r w:rsidR="00F0270D">
        <w:t xml:space="preserve"> in which Staff, the Company, IGS Energy, and the Ohio Consumers’ Counsel</w:t>
      </w:r>
      <w:r w:rsidR="00F0270D">
        <w:rPr>
          <w:rStyle w:val="FootnoteReference"/>
        </w:rPr>
        <w:footnoteReference w:id="5"/>
      </w:r>
      <w:r w:rsidR="00F0270D">
        <w:t xml:space="preserve"> participated. All parties were represented by</w:t>
      </w:r>
      <w:r w:rsidR="00233969" w:rsidRPr="00710AD0">
        <w:t xml:space="preserve"> experienced counsel </w:t>
      </w:r>
      <w:r w:rsidR="00F0270D">
        <w:t>during the negotiations</w:t>
      </w:r>
      <w:r w:rsidR="00233969" w:rsidRPr="00710AD0">
        <w:t>.</w:t>
      </w:r>
    </w:p>
    <w:p w:rsidR="00587D9C" w:rsidRDefault="00587D9C" w:rsidP="00587D9C">
      <w:pPr>
        <w:pStyle w:val="Heading2"/>
      </w:pPr>
      <w:bookmarkStart w:id="18" w:name="_Toc450207872"/>
      <w:r>
        <w:t>B.</w:t>
      </w:r>
      <w:r>
        <w:tab/>
      </w:r>
      <w:bookmarkEnd w:id="18"/>
      <w:r w:rsidR="00233969" w:rsidRPr="00233969">
        <w:t>The Stipulation benefits consumers and the public interest.</w:t>
      </w:r>
    </w:p>
    <w:p w:rsidR="00233969" w:rsidRPr="00710AD0" w:rsidRDefault="00233969" w:rsidP="00233969">
      <w:pPr>
        <w:pStyle w:val="textstyle0"/>
      </w:pPr>
      <w:r>
        <w:tab/>
      </w:r>
      <w:r w:rsidRPr="00710AD0">
        <w:t xml:space="preserve">The Stipulation benefits consumers and the public interest in many ways. </w:t>
      </w:r>
      <w:r>
        <w:t xml:space="preserve"> </w:t>
      </w:r>
      <w:r w:rsidRPr="00710AD0">
        <w:t>The Company has agreed to adopt the findings of a financial audit performed by Deloitte &amp; Touche</w:t>
      </w:r>
      <w:r>
        <w:t>,</w:t>
      </w:r>
      <w:r w:rsidRPr="00710AD0">
        <w:t xml:space="preserve"> LLP</w:t>
      </w:r>
      <w:r>
        <w:t>,</w:t>
      </w:r>
      <w:r w:rsidRPr="00710AD0">
        <w:t xml:space="preserve"> and a management and performance audit performed by Exeter Associates, </w:t>
      </w:r>
      <w:r w:rsidRPr="00710AD0">
        <w:lastRenderedPageBreak/>
        <w:t>Inc.</w:t>
      </w:r>
      <w:r w:rsidR="00A11111">
        <w:rPr>
          <w:rStyle w:val="FootnoteReference"/>
        </w:rPr>
        <w:footnoteReference w:id="6"/>
      </w:r>
      <w:r w:rsidRPr="00710AD0">
        <w:t xml:space="preserve"> </w:t>
      </w:r>
      <w:r>
        <w:t xml:space="preserve"> </w:t>
      </w:r>
      <w:r w:rsidRPr="00710AD0">
        <w:t>Both of the audits were performed by a neutral third party contracted to ensure rea</w:t>
      </w:r>
      <w:r>
        <w:softHyphen/>
      </w:r>
      <w:r w:rsidRPr="00710AD0">
        <w:t>sonable accounting and management of Duke’s gas procurement practices and policies, thus protecting Duke’s consumers and the public from impru</w:t>
      </w:r>
      <w:r w:rsidR="00757235">
        <w:t>dent</w:t>
      </w:r>
      <w:r w:rsidR="005B539E">
        <w:t xml:space="preserve"> costs and</w:t>
      </w:r>
      <w:r w:rsidRPr="00710AD0">
        <w:t xml:space="preserve"> practices. </w:t>
      </w:r>
    </w:p>
    <w:p w:rsidR="00233969" w:rsidRPr="00710AD0" w:rsidRDefault="00233969" w:rsidP="00233969">
      <w:pPr>
        <w:pStyle w:val="textstyle0"/>
      </w:pPr>
      <w:r w:rsidRPr="00710AD0">
        <w:tab/>
        <w:t>Specifically, the Stipulation provides that:</w:t>
      </w: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ensure that, in the event KO Transmission files for an increase in base rates, personnel representing KO Transmission and Duke will be func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tionally separate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 xml:space="preserve"> (Sec. 8(a))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reevaluate and, if necessary, adjust its current KO Transmission capacity entitlements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 xml:space="preserve"> (Sec. 8(b))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develop and refine a design day model that utilizes daily data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 xml:space="preserve"> (Sec. 8(c))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assess the potential for losing the two remaining propane facili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ties and evaluate the optimal portfolio necessary for replacing the loss of supply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>(Sec. 8(d))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include $237,245 in the Contract Commitment Cost Rider for one year, which is credited to the GCR, and to investigate the potential for a supplier to avoid the assignment of capacity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>(Sec. 8(e))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reevaluate whether it could meet its firm customers’ balancing requirements at reduced storage levels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 xml:space="preserve"> (Sec. 8(f))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33969" w:rsidRPr="00233969" w:rsidRDefault="00233969" w:rsidP="00233969">
      <w:pPr>
        <w:pStyle w:val="ListParagraph"/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</w:p>
    <w:p w:rsidR="00233969" w:rsidRPr="00233969" w:rsidRDefault="00233969" w:rsidP="0023396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6"/>
          <w:szCs w:val="26"/>
        </w:rPr>
      </w:pPr>
      <w:r w:rsidRPr="00233969">
        <w:rPr>
          <w:rFonts w:ascii="Times New Roman" w:eastAsia="Times New Roman" w:hAnsi="Times New Roman" w:cs="Times New Roman"/>
          <w:sz w:val="26"/>
          <w:szCs w:val="26"/>
        </w:rPr>
        <w:t>Duke will assess whether adopting daily balancing tolerances for IT service would improve the Company’s ability to manage storage and/or reduce its contract storage capacity entitlements, and to investigate making changes to the rates charged for interruptible monthly balancing service</w:t>
      </w:r>
      <w:r w:rsidR="00A11111">
        <w:rPr>
          <w:rFonts w:ascii="Times New Roman" w:eastAsia="Times New Roman" w:hAnsi="Times New Roman" w:cs="Times New Roman"/>
          <w:sz w:val="26"/>
          <w:szCs w:val="26"/>
        </w:rPr>
        <w:t xml:space="preserve"> (Sec. 8(g))</w:t>
      </w:r>
      <w:r w:rsidRPr="0023396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3969" w:rsidRPr="00710AD0" w:rsidRDefault="00233969" w:rsidP="0023396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3969" w:rsidRPr="00710AD0" w:rsidRDefault="00233969" w:rsidP="00233969">
      <w:pPr>
        <w:pStyle w:val="textstyle0"/>
      </w:pPr>
      <w:r w:rsidRPr="00710AD0">
        <w:t xml:space="preserve">These provisions benefit Duke’s consumers and the public interest. </w:t>
      </w:r>
      <w:r>
        <w:t xml:space="preserve"> </w:t>
      </w:r>
      <w:r w:rsidRPr="00710AD0">
        <w:t>Staff asks that the Commission exercise its discretion to find that the Stipulation, as a whole, benefits the public interest.</w:t>
      </w:r>
    </w:p>
    <w:p w:rsidR="00FB4C8A" w:rsidRDefault="00FB4C8A" w:rsidP="00233969">
      <w:pPr>
        <w:pStyle w:val="Heading2"/>
      </w:pPr>
      <w:bookmarkStart w:id="19" w:name="_Toc450207873"/>
      <w:r w:rsidRPr="00233969">
        <w:lastRenderedPageBreak/>
        <w:t>C.</w:t>
      </w:r>
      <w:r w:rsidRPr="00233969">
        <w:tab/>
      </w:r>
      <w:r w:rsidR="00233969" w:rsidRPr="00233969">
        <w:t>The Stipulation does not violate any important regulatory prin</w:t>
      </w:r>
      <w:r w:rsidR="00B36A9B">
        <w:softHyphen/>
      </w:r>
      <w:r w:rsidR="00233969" w:rsidRPr="00233969">
        <w:t>ciple or practice.</w:t>
      </w:r>
      <w:bookmarkEnd w:id="19"/>
    </w:p>
    <w:p w:rsidR="00233969" w:rsidRPr="00233969" w:rsidRDefault="00233969" w:rsidP="00233969">
      <w:pPr>
        <w:pStyle w:val="textstyle0"/>
      </w:pPr>
      <w:r>
        <w:tab/>
      </w:r>
      <w:r w:rsidRPr="00710AD0">
        <w:t>The Stipulation does not violate any important regulatory principle or practice.</w:t>
      </w:r>
      <w:r>
        <w:t xml:space="preserve"> </w:t>
      </w:r>
      <w:r w:rsidRPr="00710AD0">
        <w:t xml:space="preserve"> In fact, the Stipulation reasonably and efficiently resolves the issues presented in this case, avoiding the need for protracted litigation.</w:t>
      </w:r>
      <w:r>
        <w:t xml:space="preserve">  </w:t>
      </w:r>
      <w:r w:rsidRPr="00710AD0">
        <w:t>Because, as a whole, it is favorable to con</w:t>
      </w:r>
      <w:r>
        <w:softHyphen/>
      </w:r>
      <w:r w:rsidRPr="00710AD0">
        <w:t>sumers, the Commission should approve the Stipulation.</w:t>
      </w:r>
    </w:p>
    <w:p w:rsidR="001A5C2F" w:rsidRDefault="001A5C2F" w:rsidP="001A5C2F">
      <w:pPr>
        <w:pStyle w:val="Heading1"/>
      </w:pPr>
      <w:bookmarkStart w:id="20" w:name="_Toc450207874"/>
      <w:r>
        <w:t>CONCLUSION</w:t>
      </w:r>
      <w:bookmarkEnd w:id="20"/>
    </w:p>
    <w:p w:rsidR="00E10679" w:rsidRDefault="001A5C2F" w:rsidP="00233969">
      <w:pPr>
        <w:pStyle w:val="textstyle0"/>
      </w:pPr>
      <w:r>
        <w:tab/>
      </w:r>
      <w:r w:rsidR="00233969" w:rsidRPr="00710AD0">
        <w:t xml:space="preserve">The Stipulation meets all prongs of the three-part test. </w:t>
      </w:r>
      <w:r w:rsidR="00233969">
        <w:t xml:space="preserve"> </w:t>
      </w:r>
      <w:r w:rsidR="00233969" w:rsidRPr="00710AD0">
        <w:t>It is the product of serious bargaining among knowledgeable, capable parties; it benefits consumers and the public interest; and it does not violate any important regulatory principle or practice.  Therefore, the Commission should approve the Stipulation in this case.</w:t>
      </w:r>
    </w:p>
    <w:p w:rsidR="00200A0A" w:rsidRPr="0064436A" w:rsidRDefault="00200A0A" w:rsidP="00D84A06">
      <w:pPr>
        <w:tabs>
          <w:tab w:val="left" w:pos="9348"/>
        </w:tabs>
        <w:spacing w:line="480" w:lineRule="auto"/>
        <w:ind w:left="4320"/>
        <w:rPr>
          <w:sz w:val="26"/>
          <w:szCs w:val="26"/>
        </w:rPr>
      </w:pPr>
      <w:r w:rsidRPr="0064436A">
        <w:rPr>
          <w:sz w:val="26"/>
          <w:szCs w:val="26"/>
        </w:rPr>
        <w:t>Respectfully submitted,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bookmarkStart w:id="21" w:name="_Toc205862526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Michael DeWine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Ohio Attorney General</w:t>
      </w:r>
    </w:p>
    <w:p w:rsidR="00D84A06" w:rsidRP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William L. Wright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Section Chief</w:t>
      </w:r>
    </w:p>
    <w:p w:rsidR="002B69F6" w:rsidRPr="002B69F6" w:rsidRDefault="002B69F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D84A06" w:rsidRPr="002B69F6" w:rsidRDefault="00D84A06" w:rsidP="00D84A06">
      <w:pPr>
        <w:pStyle w:val="Title"/>
        <w:tabs>
          <w:tab w:val="left" w:pos="4320"/>
          <w:tab w:val="left" w:pos="9360"/>
        </w:tabs>
        <w:jc w:val="left"/>
        <w:rPr>
          <w:rFonts w:ascii="Lucida Calligraphy" w:hAnsi="Lucida Calligraphy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="002B69F6" w:rsidRPr="002B69F6">
        <w:rPr>
          <w:rFonts w:ascii="Lucida Calligraphy" w:hAnsi="Lucida Calligraphy"/>
          <w:sz w:val="26"/>
          <w:szCs w:val="26"/>
          <w:u w:val="single"/>
        </w:rPr>
        <w:t>/s/ Natalia V. Messenger</w:t>
      </w:r>
      <w:r w:rsidRPr="002B69F6">
        <w:rPr>
          <w:rFonts w:ascii="Lucida Calligraphy" w:hAnsi="Lucida Calligraphy"/>
          <w:sz w:val="26"/>
          <w:szCs w:val="26"/>
          <w:u w:val="single"/>
        </w:rPr>
        <w:tab/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Thomas W. McNamee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Natalia V. Messenger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Assistant Attorneys General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Public Utilities Section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30 East Broad Street, 16</w:t>
      </w:r>
      <w:r w:rsidRPr="00E10679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Floor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Columbus, OH  43215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614.466.4397 (telephone)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614.644.8764 (fax)</w:t>
      </w:r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13" w:history="1">
        <w:r w:rsidRPr="004C70BB">
          <w:rPr>
            <w:rStyle w:val="Hyperlink"/>
            <w:rFonts w:ascii="Times New Roman" w:hAnsi="Times New Roman"/>
            <w:sz w:val="26"/>
            <w:szCs w:val="26"/>
          </w:rPr>
          <w:t>thomas.mcnamee@ohioattorneygeneral.gov</w:t>
        </w:r>
      </w:hyperlink>
    </w:p>
    <w:p w:rsid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hyperlink r:id="rId14" w:history="1">
        <w:r w:rsidRPr="004C70BB">
          <w:rPr>
            <w:rStyle w:val="Hyperlink"/>
            <w:rFonts w:ascii="Times New Roman" w:hAnsi="Times New Roman"/>
            <w:sz w:val="26"/>
            <w:szCs w:val="26"/>
          </w:rPr>
          <w:t>natalia.messenger@ohioattorneygeneral.gov</w:t>
        </w:r>
      </w:hyperlink>
    </w:p>
    <w:p w:rsidR="00D84A06" w:rsidRPr="00D84A06" w:rsidRDefault="00D84A06" w:rsidP="00D84A06">
      <w:pPr>
        <w:pStyle w:val="Title"/>
        <w:tabs>
          <w:tab w:val="left" w:pos="4320"/>
        </w:tabs>
        <w:jc w:val="left"/>
        <w:rPr>
          <w:rFonts w:ascii="Times New Roman" w:hAnsi="Times New Roman"/>
          <w:sz w:val="16"/>
          <w:szCs w:val="16"/>
        </w:rPr>
      </w:pPr>
    </w:p>
    <w:p w:rsidR="002B69F6" w:rsidRDefault="00D84A06" w:rsidP="002B69F6">
      <w:pPr>
        <w:pStyle w:val="Title"/>
        <w:tabs>
          <w:tab w:val="left" w:pos="4320"/>
        </w:tabs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On behalf of the Staff of</w:t>
      </w: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ab/>
        <w:t>The Public Utilities Commission of Ohio</w:t>
      </w:r>
    </w:p>
    <w:p w:rsidR="00200A0A" w:rsidRPr="00934B92" w:rsidRDefault="00C95499" w:rsidP="0064436A">
      <w:pPr>
        <w:pStyle w:val="Heading1"/>
      </w:pPr>
      <w:bookmarkStart w:id="22" w:name="_Toc450207875"/>
      <w:r w:rsidRPr="00934B92">
        <w:rPr>
          <w:caps w:val="0"/>
        </w:rPr>
        <w:lastRenderedPageBreak/>
        <w:t>PROOF OF SERVICE</w:t>
      </w:r>
      <w:bookmarkEnd w:id="21"/>
      <w:bookmarkEnd w:id="22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721F2D">
        <w:rPr>
          <w:b/>
        </w:rPr>
        <w:t>Post-Hearing Brief</w:t>
      </w:r>
      <w:r>
        <w:rPr>
          <w:b/>
        </w:rPr>
        <w:t xml:space="preserve">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>was served by regular U.S. mail, postage pre</w:t>
      </w:r>
      <w:r w:rsidR="00200A0A" w:rsidRPr="00934B92">
        <w:softHyphen/>
        <w:t xml:space="preserve">paid, or hand-delivered, upon </w:t>
      </w:r>
      <w:r w:rsidR="00977F01">
        <w:t>the following Parties of Record</w:t>
      </w:r>
      <w:r w:rsidR="00721F2D">
        <w:t xml:space="preserve">, </w:t>
      </w:r>
      <w:r w:rsidR="00200A0A" w:rsidRPr="00934B92">
        <w:t>this</w:t>
      </w:r>
      <w:r w:rsidR="00D84A06">
        <w:t xml:space="preserve"> 17</w:t>
      </w:r>
      <w:r w:rsidR="00D84A06" w:rsidRPr="00D84A06">
        <w:rPr>
          <w:vertAlign w:val="superscript"/>
        </w:rPr>
        <w:t>th</w:t>
      </w:r>
      <w:r w:rsidR="00D84A06">
        <w:t xml:space="preserve"> </w:t>
      </w:r>
      <w:r w:rsidR="004B6358">
        <w:t>d</w:t>
      </w:r>
      <w:r w:rsidR="00200A0A" w:rsidRPr="00934B92">
        <w:t xml:space="preserve">ay of </w:t>
      </w:r>
      <w:r w:rsidR="00D84A06">
        <w:t>May, 2016</w:t>
      </w:r>
      <w:r w:rsidR="00200A0A" w:rsidRPr="00934B92">
        <w:t>.</w:t>
      </w:r>
    </w:p>
    <w:p w:rsidR="00200A0A" w:rsidRPr="00DF3D54" w:rsidRDefault="002B69F6" w:rsidP="00200A0A">
      <w:pPr>
        <w:tabs>
          <w:tab w:val="right" w:pos="9360"/>
        </w:tabs>
        <w:ind w:left="4320"/>
        <w:jc w:val="both"/>
        <w:rPr>
          <w:u w:val="single"/>
        </w:rPr>
      </w:pPr>
      <w:r w:rsidRPr="002B69F6">
        <w:rPr>
          <w:rFonts w:ascii="Lucida Calligraphy" w:hAnsi="Lucida Calligraphy"/>
          <w:sz w:val="26"/>
          <w:szCs w:val="26"/>
          <w:u w:val="single"/>
        </w:rPr>
        <w:t>/s/ Natalia V. Messenger</w:t>
      </w:r>
      <w:r w:rsidR="00200A0A" w:rsidRPr="00DF3D54">
        <w:rPr>
          <w:u w:val="single"/>
        </w:rPr>
        <w:tab/>
      </w:r>
    </w:p>
    <w:p w:rsidR="00200A0A" w:rsidRPr="00DF3D54" w:rsidRDefault="00D84A06" w:rsidP="00200A0A">
      <w:pPr>
        <w:ind w:left="433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Natalia V. Messenger</w:t>
      </w:r>
    </w:p>
    <w:p w:rsidR="00200A0A" w:rsidRDefault="00200A0A" w:rsidP="00200A0A">
      <w:pPr>
        <w:ind w:left="4332"/>
        <w:jc w:val="both"/>
        <w:rPr>
          <w:sz w:val="26"/>
          <w:szCs w:val="26"/>
        </w:rPr>
      </w:pPr>
      <w:r w:rsidRPr="00DF3D54">
        <w:rPr>
          <w:sz w:val="26"/>
          <w:szCs w:val="26"/>
        </w:rPr>
        <w:t>Assistant Attorney General</w:t>
      </w:r>
    </w:p>
    <w:p w:rsidR="00977F01" w:rsidRDefault="00977F01" w:rsidP="00200A0A">
      <w:pPr>
        <w:ind w:left="4332"/>
        <w:jc w:val="both"/>
        <w:rPr>
          <w:sz w:val="26"/>
          <w:szCs w:val="26"/>
        </w:rPr>
      </w:pP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DF3D54" w:rsidRDefault="00977F01" w:rsidP="00977F01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D2703A" w:rsidTr="002273AC">
        <w:tc>
          <w:tcPr>
            <w:tcW w:w="4788" w:type="dxa"/>
          </w:tcPr>
          <w:p w:rsidR="00977F01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Elizabeth H. Watts</w:t>
            </w:r>
          </w:p>
          <w:p w:rsidR="00D84A06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Amy B. Spiller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Duke Energy Ohio, Inc.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East Fourth Street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  45202</w:t>
            </w:r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15" w:history="1">
              <w:r w:rsidR="00D84A06" w:rsidRPr="004C70BB">
                <w:rPr>
                  <w:rStyle w:val="Hyperlink"/>
                  <w:sz w:val="26"/>
                  <w:szCs w:val="26"/>
                </w:rPr>
                <w:t>elizabeth.watts@duke-energy.com</w:t>
              </w:r>
            </w:hyperlink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16" w:history="1">
              <w:r w:rsidR="00D84A06" w:rsidRPr="004C70BB">
                <w:rPr>
                  <w:rStyle w:val="Hyperlink"/>
                  <w:sz w:val="26"/>
                  <w:szCs w:val="26"/>
                </w:rPr>
                <w:t>amy.spiller@duke-energy.com</w:t>
              </w:r>
            </w:hyperlink>
          </w:p>
          <w:p w:rsidR="00977F01" w:rsidRDefault="00977F01" w:rsidP="002273AC">
            <w:pPr>
              <w:rPr>
                <w:sz w:val="26"/>
                <w:szCs w:val="26"/>
              </w:rPr>
            </w:pPr>
          </w:p>
          <w:p w:rsidR="00977F01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Ajay Kumar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Assistant Consumers’ Counsel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 of the Ohio Consumers’ Counsel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West Broad Street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Suite 1800</w:t>
            </w:r>
          </w:p>
          <w:p w:rsidR="00977F01" w:rsidRDefault="00977F01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977F01" w:rsidRDefault="00CF1D45" w:rsidP="00D84A06">
            <w:pPr>
              <w:rPr>
                <w:rStyle w:val="Hyperlink"/>
              </w:rPr>
            </w:pPr>
            <w:hyperlink r:id="rId17" w:history="1">
              <w:r w:rsidR="00D84A06" w:rsidRPr="004C70BB">
                <w:rPr>
                  <w:rStyle w:val="Hyperlink"/>
                  <w:sz w:val="26"/>
                  <w:szCs w:val="26"/>
                </w:rPr>
                <w:t>ajay.kumar@occ.state.oh.us</w:t>
              </w:r>
            </w:hyperlink>
          </w:p>
          <w:p w:rsidR="00D84A06" w:rsidRDefault="00D84A06" w:rsidP="00D84A06">
            <w:pPr>
              <w:rPr>
                <w:rStyle w:val="Hyperlink"/>
              </w:rPr>
            </w:pPr>
          </w:p>
          <w:p w:rsidR="00D84A06" w:rsidRPr="00EA07C8" w:rsidRDefault="00D84A06" w:rsidP="00D84A06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Dane Stinson</w:t>
            </w:r>
          </w:p>
          <w:p w:rsidR="00D84A06" w:rsidRDefault="00D84A06" w:rsidP="00D84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Bricker &amp; Eckler</w:t>
            </w:r>
          </w:p>
          <w:p w:rsidR="00D84A06" w:rsidRDefault="00D84A06" w:rsidP="00D84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South Third Street</w:t>
            </w:r>
          </w:p>
          <w:p w:rsidR="00D84A06" w:rsidRDefault="00D84A06" w:rsidP="00D84A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43215-4291</w:t>
            </w:r>
          </w:p>
          <w:p w:rsidR="00D84A06" w:rsidRPr="00221496" w:rsidRDefault="00CF1D45" w:rsidP="00D84A06">
            <w:pPr>
              <w:rPr>
                <w:sz w:val="26"/>
                <w:szCs w:val="26"/>
              </w:rPr>
            </w:pPr>
            <w:hyperlink r:id="rId18" w:history="1">
              <w:r w:rsidR="00D84A06" w:rsidRPr="004C70BB">
                <w:rPr>
                  <w:rStyle w:val="Hyperlink"/>
                  <w:sz w:val="26"/>
                  <w:szCs w:val="26"/>
                </w:rPr>
                <w:t>dstinson@bricker.com</w:t>
              </w:r>
            </w:hyperlink>
          </w:p>
        </w:tc>
        <w:tc>
          <w:tcPr>
            <w:tcW w:w="4788" w:type="dxa"/>
          </w:tcPr>
          <w:p w:rsidR="00977F01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Joseph Oliker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IGS Energy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 Emerald Parkway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Dublin, OH  43016</w:t>
            </w:r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19" w:history="1">
              <w:r w:rsidR="00D84A06" w:rsidRPr="004C70BB">
                <w:rPr>
                  <w:rStyle w:val="Hyperlink"/>
                  <w:sz w:val="26"/>
                  <w:szCs w:val="26"/>
                </w:rPr>
                <w:t>joliker@igsenergy.com</w:t>
              </w:r>
            </w:hyperlink>
          </w:p>
          <w:p w:rsidR="00D84A06" w:rsidRDefault="00D84A06" w:rsidP="002273AC">
            <w:pPr>
              <w:rPr>
                <w:sz w:val="26"/>
                <w:szCs w:val="26"/>
              </w:rPr>
            </w:pPr>
          </w:p>
          <w:p w:rsidR="00D84A06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Michael J. Settineri</w:t>
            </w:r>
          </w:p>
          <w:p w:rsidR="00D84A06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Gretchen Petrucci</w:t>
            </w:r>
          </w:p>
          <w:p w:rsidR="00D84A06" w:rsidRPr="00EA07C8" w:rsidRDefault="00D84A06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Stephen M. Howard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Vorys Sater Seymour &amp; Pease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East Gay Street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1008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43216-1008</w:t>
            </w:r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20" w:history="1">
              <w:r w:rsidR="00D84A06" w:rsidRPr="004C70BB">
                <w:rPr>
                  <w:rStyle w:val="Hyperlink"/>
                  <w:sz w:val="26"/>
                  <w:szCs w:val="26"/>
                </w:rPr>
                <w:t>mjsettineri@vorys.com</w:t>
              </w:r>
            </w:hyperlink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21" w:history="1">
              <w:r w:rsidR="00D84A06" w:rsidRPr="004C70BB">
                <w:rPr>
                  <w:rStyle w:val="Hyperlink"/>
                  <w:sz w:val="26"/>
                  <w:szCs w:val="26"/>
                </w:rPr>
                <w:t>glpetrucci@vorys.com</w:t>
              </w:r>
            </w:hyperlink>
          </w:p>
          <w:p w:rsidR="00D84A06" w:rsidRDefault="00CF1D45" w:rsidP="002273AC">
            <w:pPr>
              <w:rPr>
                <w:sz w:val="26"/>
                <w:szCs w:val="26"/>
              </w:rPr>
            </w:pPr>
            <w:hyperlink r:id="rId22" w:history="1">
              <w:r w:rsidR="00D84A06" w:rsidRPr="004C70BB">
                <w:rPr>
                  <w:rStyle w:val="Hyperlink"/>
                  <w:sz w:val="26"/>
                  <w:szCs w:val="26"/>
                </w:rPr>
                <w:t>smhoward@vorys.com</w:t>
              </w:r>
            </w:hyperlink>
          </w:p>
          <w:p w:rsidR="00977F01" w:rsidRDefault="00977F01" w:rsidP="002273AC">
            <w:pPr>
              <w:rPr>
                <w:sz w:val="26"/>
                <w:szCs w:val="26"/>
              </w:rPr>
            </w:pPr>
          </w:p>
          <w:p w:rsidR="00977F01" w:rsidRPr="00EA07C8" w:rsidRDefault="00977F01" w:rsidP="002273AC">
            <w:pPr>
              <w:rPr>
                <w:b/>
                <w:sz w:val="26"/>
                <w:szCs w:val="26"/>
              </w:rPr>
            </w:pPr>
            <w:r w:rsidRPr="00EA07C8">
              <w:rPr>
                <w:b/>
                <w:sz w:val="26"/>
                <w:szCs w:val="26"/>
              </w:rPr>
              <w:t>Colleen L. Mooney</w:t>
            </w:r>
          </w:p>
          <w:p w:rsidR="00D84A06" w:rsidRDefault="00D84A06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Ohio Partners for Affordable Energy</w:t>
            </w:r>
          </w:p>
          <w:p w:rsidR="00977F01" w:rsidRDefault="00D84A06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 West Lima Street</w:t>
            </w:r>
          </w:p>
          <w:p w:rsidR="00D84A06" w:rsidRDefault="00D84A06" w:rsidP="002273AC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Findlay, OH  45840</w:t>
            </w:r>
          </w:p>
          <w:p w:rsidR="00977F01" w:rsidRPr="00221496" w:rsidRDefault="00CF1D45" w:rsidP="00D84A06">
            <w:pPr>
              <w:ind w:left="720" w:hanging="720"/>
              <w:rPr>
                <w:sz w:val="26"/>
                <w:szCs w:val="26"/>
              </w:rPr>
            </w:pPr>
            <w:hyperlink r:id="rId23" w:history="1">
              <w:r w:rsidR="00D84A06" w:rsidRPr="004C70BB">
                <w:rPr>
                  <w:rStyle w:val="Hyperlink"/>
                  <w:sz w:val="26"/>
                  <w:szCs w:val="26"/>
                </w:rPr>
                <w:t>cmooney@ohiopartners.org</w:t>
              </w:r>
            </w:hyperlink>
          </w:p>
        </w:tc>
      </w:tr>
    </w:tbl>
    <w:p w:rsidR="00977F01" w:rsidRPr="00DF3D54" w:rsidRDefault="00977F01" w:rsidP="00200A0A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headerReference w:type="default" r:id="rId24"/>
      <w:footerReference w:type="default" r:id="rId25"/>
      <w:headerReference w:type="first" r:id="rId26"/>
      <w:footerReference w:type="first" r:id="rId27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EA" w:rsidRDefault="009B50EA" w:rsidP="008866FC">
      <w:pPr>
        <w:pStyle w:val="Title"/>
      </w:pPr>
      <w:r>
        <w:separator/>
      </w:r>
    </w:p>
  </w:endnote>
  <w:endnote w:type="continuationSeparator" w:id="0">
    <w:p w:rsidR="009B50EA" w:rsidRDefault="009B50EA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Default="00BF0931" w:rsidP="003B12DD">
    <w:pPr>
      <w:pStyle w:val="Footer"/>
      <w:jc w:val="center"/>
    </w:pPr>
    <w:r>
      <w:rPr>
        <w:rStyle w:val="PageNumber"/>
      </w:rPr>
      <w:fldChar w:fldCharType="begin"/>
    </w:r>
    <w:r w:rsidR="00FB4C8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6632">
      <w:rPr>
        <w:rStyle w:val="PageNumber"/>
        <w:noProof/>
      </w:rPr>
      <w:t>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CF1D45">
      <w:rPr>
        <w:rStyle w:val="PageNumber"/>
        <w:noProof/>
        <w:sz w:val="24"/>
        <w:szCs w:val="24"/>
      </w:rPr>
      <w:t>6</w:t>
    </w:r>
    <w:r w:rsidRPr="007F5520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C95499" w:rsidRDefault="00FB4C8A" w:rsidP="00C95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EA" w:rsidRDefault="009B50EA" w:rsidP="00663D6A">
      <w:pPr>
        <w:pStyle w:val="Title"/>
        <w:jc w:val="left"/>
      </w:pPr>
      <w:r>
        <w:separator/>
      </w:r>
    </w:p>
  </w:footnote>
  <w:footnote w:type="continuationSeparator" w:id="0">
    <w:p w:rsidR="009B50EA" w:rsidRDefault="009B50EA" w:rsidP="008866FC">
      <w:pPr>
        <w:pStyle w:val="Title"/>
      </w:pPr>
      <w:r>
        <w:continuationSeparator/>
      </w:r>
    </w:p>
  </w:footnote>
  <w:footnote w:id="1">
    <w:p w:rsidR="00233969" w:rsidRPr="00AA22CB" w:rsidRDefault="00233969" w:rsidP="00233969">
      <w:pPr>
        <w:pStyle w:val="FootnoteText"/>
        <w:rPr>
          <w:sz w:val="22"/>
          <w:szCs w:val="22"/>
        </w:rPr>
      </w:pPr>
      <w:r w:rsidRPr="00AA22CB">
        <w:rPr>
          <w:rStyle w:val="FootnoteReference"/>
          <w:sz w:val="22"/>
          <w:szCs w:val="22"/>
        </w:rPr>
        <w:footnoteRef/>
      </w:r>
      <w:r w:rsidRPr="00AA22CB">
        <w:rPr>
          <w:sz w:val="22"/>
          <w:szCs w:val="22"/>
        </w:rPr>
        <w:t xml:space="preserve"> </w:t>
      </w:r>
      <w:r w:rsidRPr="00AA22C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A22CB">
        <w:rPr>
          <w:i/>
          <w:sz w:val="22"/>
          <w:szCs w:val="22"/>
        </w:rPr>
        <w:t>Consumers' Counsel v. Pub. Util. Comm</w:t>
      </w:r>
      <w:r>
        <w:rPr>
          <w:sz w:val="22"/>
          <w:szCs w:val="22"/>
        </w:rPr>
        <w:t>., 64 Ohio St, 3d 123</w:t>
      </w:r>
      <w:r w:rsidRPr="00AA22CB">
        <w:rPr>
          <w:sz w:val="22"/>
          <w:szCs w:val="22"/>
        </w:rPr>
        <w:t xml:space="preserve"> at 125 (1992), citing </w:t>
      </w:r>
      <w:r w:rsidRPr="00AA22CB">
        <w:rPr>
          <w:i/>
          <w:sz w:val="22"/>
          <w:szCs w:val="22"/>
        </w:rPr>
        <w:t>Akron v. Pub. Util. Comm</w:t>
      </w:r>
      <w:r>
        <w:rPr>
          <w:sz w:val="22"/>
          <w:szCs w:val="22"/>
        </w:rPr>
        <w:t>., 55 Ohio St.</w:t>
      </w:r>
      <w:r w:rsidRPr="00AA22CB">
        <w:rPr>
          <w:sz w:val="22"/>
          <w:szCs w:val="22"/>
        </w:rPr>
        <w:t>2d 155 (1978).</w:t>
      </w:r>
    </w:p>
  </w:footnote>
  <w:footnote w:id="2">
    <w:p w:rsidR="00233969" w:rsidRDefault="00233969" w:rsidP="002339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</w:r>
      <w:r w:rsidRPr="00C37628">
        <w:rPr>
          <w:i/>
          <w:sz w:val="22"/>
          <w:szCs w:val="22"/>
        </w:rPr>
        <w:t>See, e.g.</w:t>
      </w:r>
      <w:r w:rsidRPr="00AA22CB">
        <w:rPr>
          <w:sz w:val="22"/>
          <w:szCs w:val="22"/>
        </w:rPr>
        <w:t xml:space="preserve">, </w:t>
      </w:r>
      <w:r w:rsidRPr="00AA22CB">
        <w:rPr>
          <w:i/>
          <w:sz w:val="22"/>
          <w:szCs w:val="22"/>
        </w:rPr>
        <w:t>Cincinnati Gas &amp; Electric Co.</w:t>
      </w:r>
      <w:r>
        <w:rPr>
          <w:sz w:val="22"/>
          <w:szCs w:val="22"/>
        </w:rPr>
        <w:t>, Case No. 91-410-EL-AIR (Order on Remand) (Apr.</w:t>
      </w:r>
      <w:r w:rsidRPr="00AA22CB">
        <w:rPr>
          <w:sz w:val="22"/>
          <w:szCs w:val="22"/>
        </w:rPr>
        <w:t xml:space="preserve"> 14, 1994); </w:t>
      </w:r>
      <w:r w:rsidRPr="00AA22CB">
        <w:rPr>
          <w:i/>
          <w:sz w:val="22"/>
          <w:szCs w:val="22"/>
        </w:rPr>
        <w:t>Ohio Edison Co</w:t>
      </w:r>
      <w:r w:rsidRPr="00AA22CB">
        <w:rPr>
          <w:sz w:val="22"/>
          <w:szCs w:val="22"/>
        </w:rPr>
        <w:t>., Case No. 92-1463-GA-AIR,</w:t>
      </w:r>
      <w:r w:rsidRPr="00C37628">
        <w:rPr>
          <w:i/>
          <w:sz w:val="22"/>
          <w:szCs w:val="22"/>
        </w:rPr>
        <w:t xml:space="preserve"> et al</w:t>
      </w:r>
      <w:r w:rsidRPr="00AA22C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(Opinion and Order) </w:t>
      </w:r>
      <w:r w:rsidRPr="00AA22CB">
        <w:rPr>
          <w:sz w:val="22"/>
          <w:szCs w:val="22"/>
        </w:rPr>
        <w:t>(Aug</w:t>
      </w:r>
      <w:r>
        <w:rPr>
          <w:sz w:val="22"/>
          <w:szCs w:val="22"/>
        </w:rPr>
        <w:t>. </w:t>
      </w:r>
      <w:r w:rsidRPr="00AA22CB">
        <w:rPr>
          <w:sz w:val="22"/>
          <w:szCs w:val="22"/>
        </w:rPr>
        <w:t xml:space="preserve">26, 1993); </w:t>
      </w:r>
      <w:r w:rsidRPr="00AA22CB">
        <w:rPr>
          <w:i/>
          <w:sz w:val="22"/>
          <w:szCs w:val="22"/>
        </w:rPr>
        <w:t>Ohio Edison Co</w:t>
      </w:r>
      <w:r w:rsidRPr="00AA22CB">
        <w:rPr>
          <w:sz w:val="22"/>
          <w:szCs w:val="22"/>
        </w:rPr>
        <w:t xml:space="preserve">., Case No. 89-1001-EL-AIR </w:t>
      </w:r>
      <w:r>
        <w:rPr>
          <w:sz w:val="22"/>
          <w:szCs w:val="22"/>
        </w:rPr>
        <w:t xml:space="preserve">(Order on Remand) </w:t>
      </w:r>
      <w:r w:rsidRPr="00AA22CB">
        <w:rPr>
          <w:sz w:val="22"/>
          <w:szCs w:val="22"/>
        </w:rPr>
        <w:t>(Aug</w:t>
      </w:r>
      <w:r>
        <w:rPr>
          <w:sz w:val="22"/>
          <w:szCs w:val="22"/>
        </w:rPr>
        <w:t>.</w:t>
      </w:r>
      <w:r w:rsidRPr="00AA22CB">
        <w:rPr>
          <w:sz w:val="22"/>
          <w:szCs w:val="22"/>
        </w:rPr>
        <w:t xml:space="preserve"> 19, 1993); </w:t>
      </w:r>
      <w:r w:rsidRPr="00AA22CB">
        <w:rPr>
          <w:i/>
          <w:sz w:val="22"/>
          <w:szCs w:val="22"/>
        </w:rPr>
        <w:t>The Cleveland Electric Illumination Co.</w:t>
      </w:r>
      <w:r w:rsidRPr="00AA22CB">
        <w:rPr>
          <w:sz w:val="22"/>
          <w:szCs w:val="22"/>
        </w:rPr>
        <w:t xml:space="preserve">, Case No. 88-170-EL-AIR </w:t>
      </w:r>
      <w:r>
        <w:rPr>
          <w:sz w:val="22"/>
          <w:szCs w:val="22"/>
        </w:rPr>
        <w:t xml:space="preserve">(Opinion and Order) </w:t>
      </w:r>
      <w:r w:rsidRPr="00AA22CB">
        <w:rPr>
          <w:sz w:val="22"/>
          <w:szCs w:val="22"/>
        </w:rPr>
        <w:t>(Jan</w:t>
      </w:r>
      <w:r>
        <w:rPr>
          <w:sz w:val="22"/>
          <w:szCs w:val="22"/>
        </w:rPr>
        <w:t>.</w:t>
      </w:r>
      <w:r w:rsidRPr="00AA22CB">
        <w:rPr>
          <w:sz w:val="22"/>
          <w:szCs w:val="22"/>
        </w:rPr>
        <w:t xml:space="preserve"> 31, 1989); and </w:t>
      </w:r>
      <w:r w:rsidRPr="00AA22CB">
        <w:rPr>
          <w:i/>
          <w:sz w:val="22"/>
          <w:szCs w:val="22"/>
        </w:rPr>
        <w:t>Restatement of Accounts and Records (Zimmer Plant)</w:t>
      </w:r>
      <w:r w:rsidRPr="00AA22CB">
        <w:rPr>
          <w:sz w:val="22"/>
          <w:szCs w:val="22"/>
        </w:rPr>
        <w:t xml:space="preserve">; Case No, 84-1187-EL-UNC </w:t>
      </w:r>
      <w:r>
        <w:rPr>
          <w:sz w:val="22"/>
          <w:szCs w:val="22"/>
        </w:rPr>
        <w:t xml:space="preserve">(Opinion and Order) </w:t>
      </w:r>
      <w:r w:rsidRPr="00AA22CB">
        <w:rPr>
          <w:sz w:val="22"/>
          <w:szCs w:val="22"/>
        </w:rPr>
        <w:t>(Nov</w:t>
      </w:r>
      <w:r>
        <w:rPr>
          <w:sz w:val="22"/>
          <w:szCs w:val="22"/>
        </w:rPr>
        <w:t>.</w:t>
      </w:r>
      <w:r w:rsidRPr="00AA22CB">
        <w:rPr>
          <w:sz w:val="22"/>
          <w:szCs w:val="22"/>
        </w:rPr>
        <w:t xml:space="preserve"> 26, 1985).</w:t>
      </w:r>
    </w:p>
  </w:footnote>
  <w:footnote w:id="3">
    <w:p w:rsidR="00233969" w:rsidRPr="00AA22CB" w:rsidRDefault="00233969" w:rsidP="00233969">
      <w:pPr>
        <w:pStyle w:val="FootnoteText"/>
        <w:rPr>
          <w:sz w:val="22"/>
          <w:szCs w:val="22"/>
        </w:rPr>
      </w:pPr>
      <w:r w:rsidRPr="00AA22CB">
        <w:rPr>
          <w:rStyle w:val="FootnoteReference"/>
          <w:sz w:val="22"/>
          <w:szCs w:val="22"/>
        </w:rPr>
        <w:footnoteRef/>
      </w:r>
      <w:r w:rsidRPr="00AA22CB">
        <w:rPr>
          <w:sz w:val="22"/>
          <w:szCs w:val="22"/>
        </w:rPr>
        <w:t xml:space="preserve"> </w:t>
      </w:r>
      <w:r w:rsidRPr="00AA22C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A22CB">
        <w:rPr>
          <w:i/>
          <w:sz w:val="22"/>
          <w:szCs w:val="22"/>
        </w:rPr>
        <w:t>Indus. Energy Consumers of Ohio Power Co. v. Pub. Util. Comm.</w:t>
      </w:r>
      <w:r w:rsidRPr="00AA22CB">
        <w:rPr>
          <w:sz w:val="22"/>
          <w:szCs w:val="22"/>
        </w:rPr>
        <w:t xml:space="preserve">, 68 Ohio St. 3d 559 (1994), citing, </w:t>
      </w:r>
      <w:r w:rsidRPr="00C37628">
        <w:rPr>
          <w:i/>
          <w:sz w:val="22"/>
          <w:szCs w:val="22"/>
        </w:rPr>
        <w:t>Consumers' Counsel, supra</w:t>
      </w:r>
      <w:r w:rsidRPr="00AA22CB">
        <w:rPr>
          <w:sz w:val="22"/>
          <w:szCs w:val="22"/>
        </w:rPr>
        <w:t>, at 126.</w:t>
      </w:r>
    </w:p>
  </w:footnote>
  <w:footnote w:id="4">
    <w:p w:rsidR="00233969" w:rsidRPr="00AA22CB" w:rsidRDefault="00233969" w:rsidP="00233969">
      <w:pPr>
        <w:pStyle w:val="FootnoteText"/>
        <w:rPr>
          <w:sz w:val="22"/>
          <w:szCs w:val="22"/>
        </w:rPr>
      </w:pPr>
      <w:r w:rsidRPr="00AA22CB">
        <w:rPr>
          <w:rStyle w:val="FootnoteReference"/>
          <w:sz w:val="22"/>
          <w:szCs w:val="22"/>
        </w:rPr>
        <w:footnoteRef/>
      </w:r>
      <w:r w:rsidRPr="00AA22CB">
        <w:rPr>
          <w:sz w:val="22"/>
          <w:szCs w:val="22"/>
        </w:rPr>
        <w:t xml:space="preserve"> </w:t>
      </w:r>
      <w:r w:rsidRPr="00AA22C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A22CB">
        <w:rPr>
          <w:i/>
          <w:iCs/>
          <w:sz w:val="22"/>
          <w:szCs w:val="22"/>
        </w:rPr>
        <w:t>Consumers’ Counsel v. Pub. Util. Comm.</w:t>
      </w:r>
      <w:r w:rsidRPr="00AA22CB">
        <w:rPr>
          <w:sz w:val="22"/>
          <w:szCs w:val="22"/>
        </w:rPr>
        <w:t>, 64 Ohio St.3d 123, 126, 592 N.E.2d 1370</w:t>
      </w:r>
      <w:r w:rsidRPr="00AA22CB">
        <w:rPr>
          <w:i/>
          <w:iCs/>
          <w:sz w:val="22"/>
          <w:szCs w:val="22"/>
        </w:rPr>
        <w:t xml:space="preserve"> </w:t>
      </w:r>
      <w:r w:rsidRPr="00AA22CB">
        <w:rPr>
          <w:sz w:val="22"/>
          <w:szCs w:val="22"/>
        </w:rPr>
        <w:t>(1992).</w:t>
      </w:r>
    </w:p>
  </w:footnote>
  <w:footnote w:id="5">
    <w:p w:rsidR="00F0270D" w:rsidRDefault="00F027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>IGS Energy and OCC were the only parties that intervened in this case prior to the Stipulation being filed.</w:t>
      </w:r>
    </w:p>
  </w:footnote>
  <w:footnote w:id="6">
    <w:p w:rsidR="00A11111" w:rsidRDefault="00A111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tab/>
        <w:t>Stipulation at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Default="00FB4C8A" w:rsidP="003B12DD">
    <w:pPr>
      <w:pStyle w:val="Header"/>
      <w:jc w:val="center"/>
      <w:rPr>
        <w:b/>
        <w:color w:val="FF0000"/>
      </w:rPr>
    </w:pPr>
    <w:r>
      <w:rPr>
        <w:b/>
        <w:color w:val="FF0000"/>
      </w:rPr>
      <w:t xml:space="preserve">DRAFT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DATE \@ "M/d/yyyy" </w:instrText>
    </w:r>
    <w:r w:rsidR="00BF0931">
      <w:rPr>
        <w:b/>
        <w:color w:val="FF0000"/>
      </w:rPr>
      <w:fldChar w:fldCharType="separate"/>
    </w:r>
    <w:r w:rsidR="00CF1D45">
      <w:rPr>
        <w:b/>
        <w:noProof/>
        <w:color w:val="FF0000"/>
      </w:rPr>
      <w:t>5/17/2016</w:t>
    </w:r>
    <w:r w:rsidR="00BF0931">
      <w:rPr>
        <w:b/>
        <w:color w:val="FF0000"/>
      </w:rPr>
      <w:fldChar w:fldCharType="end"/>
    </w:r>
    <w:r>
      <w:rPr>
        <w:b/>
        <w:color w:val="FF0000"/>
      </w:rPr>
      <w:t xml:space="preserve"> - </w:t>
    </w:r>
    <w:r w:rsidR="00BF0931">
      <w:rPr>
        <w:b/>
        <w:color w:val="FF0000"/>
      </w:rPr>
      <w:fldChar w:fldCharType="begin"/>
    </w:r>
    <w:r>
      <w:rPr>
        <w:b/>
        <w:color w:val="FF0000"/>
      </w:rPr>
      <w:instrText xml:space="preserve"> TIME \@ "h:mm:ss am/pm" </w:instrText>
    </w:r>
    <w:r w:rsidR="00BF0931">
      <w:rPr>
        <w:b/>
        <w:color w:val="FF0000"/>
      </w:rPr>
      <w:fldChar w:fldCharType="separate"/>
    </w:r>
    <w:r w:rsidR="00CF1D45">
      <w:rPr>
        <w:b/>
        <w:noProof/>
        <w:color w:val="FF0000"/>
      </w:rPr>
      <w:t>1:46:32 PM</w:t>
    </w:r>
    <w:r w:rsidR="00BF0931">
      <w:rPr>
        <w:b/>
        <w:color w:val="FF0000"/>
      </w:rPr>
      <w:fldChar w:fldCharType="end"/>
    </w:r>
  </w:p>
  <w:p w:rsidR="00FB4C8A" w:rsidRPr="003B12DD" w:rsidRDefault="00BF0931" w:rsidP="003B12DD">
    <w:pPr>
      <w:pStyle w:val="Header"/>
      <w:jc w:val="center"/>
      <w:rPr>
        <w:b/>
        <w:color w:val="FF0000"/>
      </w:rPr>
    </w:pPr>
    <w:r w:rsidRPr="003B12DD">
      <w:rPr>
        <w:b/>
        <w:color w:val="FF0000"/>
      </w:rPr>
      <w:fldChar w:fldCharType="begin"/>
    </w:r>
    <w:r w:rsidR="00FB4C8A" w:rsidRPr="003B12DD">
      <w:rPr>
        <w:b/>
        <w:color w:val="FF0000"/>
      </w:rPr>
      <w:instrText xml:space="preserve"> FILENAME \p </w:instrText>
    </w:r>
    <w:r w:rsidRPr="003B12DD">
      <w:rPr>
        <w:b/>
        <w:color w:val="FF0000"/>
      </w:rPr>
      <w:fldChar w:fldCharType="separate"/>
    </w:r>
    <w:r w:rsidR="00CF1D45">
      <w:rPr>
        <w:b/>
        <w:noProof/>
        <w:color w:val="FF0000"/>
      </w:rPr>
      <w:t>F:\Public Utilities\Attorneys\Messenger\Commission Cases\Gas\15-218-GA-GCR\Brief 051716.docx</w:t>
    </w:r>
    <w:r w:rsidRPr="003B12DD">
      <w:rPr>
        <w:b/>
        <w:color w:val="FF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C41E15" w:rsidRDefault="00FB4C8A" w:rsidP="00C41E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C41E15" w:rsidRDefault="00FB4C8A" w:rsidP="00C41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44FD6"/>
    <w:multiLevelType w:val="hybridMultilevel"/>
    <w:tmpl w:val="315CE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0A53E0"/>
    <w:multiLevelType w:val="hybridMultilevel"/>
    <w:tmpl w:val="E40AEED2"/>
    <w:lvl w:ilvl="0" w:tplc="700286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DF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0FE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BED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3969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9F6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1B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6D27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438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39E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235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9DF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1FF5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BE2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0EA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111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A9B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3D6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1E15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64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D45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77C22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A06"/>
    <w:rsid w:val="00D84C9E"/>
    <w:rsid w:val="00D84DA5"/>
    <w:rsid w:val="00D85915"/>
    <w:rsid w:val="00D85B0B"/>
    <w:rsid w:val="00D86E5F"/>
    <w:rsid w:val="00D86E9C"/>
    <w:rsid w:val="00D86FE9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7C8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70D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6632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5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33969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uiPriority w:val="99"/>
    <w:locked/>
    <w:rsid w:val="006A3730"/>
    <w:rPr>
      <w:sz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233969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233969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233969"/>
    <w:rPr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233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233969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uiPriority w:val="99"/>
    <w:locked/>
    <w:rsid w:val="006A3730"/>
    <w:rPr>
      <w:sz w:val="24"/>
    </w:rPr>
  </w:style>
  <w:style w:type="character" w:styleId="FootnoteReference">
    <w:name w:val="footnote reference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233969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233969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233969"/>
    <w:rPr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233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omas.mcnamee@ohioattorneygeneral.gov" TargetMode="External"/><Relationship Id="rId18" Type="http://schemas.openxmlformats.org/officeDocument/2006/relationships/hyperlink" Target="mailto:dstinson@bricker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glpetrucci@vory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ajay.kumar@occ.state.oh.us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amy.spiller@duke-energy.com" TargetMode="External"/><Relationship Id="rId20" Type="http://schemas.openxmlformats.org/officeDocument/2006/relationships/hyperlink" Target="mailto:mjsettineri@vorys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lizabeth.watts@duke-energy.com" TargetMode="External"/><Relationship Id="rId23" Type="http://schemas.openxmlformats.org/officeDocument/2006/relationships/hyperlink" Target="mailto:cmooney@ohiopartner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talia.messenger@ohioattorneygeneral.gov" TargetMode="External"/><Relationship Id="rId19" Type="http://schemas.openxmlformats.org/officeDocument/2006/relationships/hyperlink" Target="mailto:joliker@igsenerg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homas.mcnamee@ohioattorneygeneral.gov" TargetMode="External"/><Relationship Id="rId14" Type="http://schemas.openxmlformats.org/officeDocument/2006/relationships/hyperlink" Target="mailto:natalia.messenger@ohioattorneygeneral.gov" TargetMode="External"/><Relationship Id="rId22" Type="http://schemas.openxmlformats.org/officeDocument/2006/relationships/hyperlink" Target="mailto:smhoward@vorys.com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BDD4-C251-4A0E-BF4E-D6067DD9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1219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9133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Kim Keeton</cp:lastModifiedBy>
  <cp:revision>10</cp:revision>
  <cp:lastPrinted>2016-05-17T17:46:00Z</cp:lastPrinted>
  <dcterms:created xsi:type="dcterms:W3CDTF">2016-05-16T19:22:00Z</dcterms:created>
  <dcterms:modified xsi:type="dcterms:W3CDTF">2016-05-17T17:48:00Z</dcterms:modified>
</cp:coreProperties>
</file>