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8B1879" w:rsidRPr="00C751D0" w:rsidP="00DC517F" w14:paraId="2E187335" w14:textId="63CBCFD9">
      <w:pPr>
        <w:pStyle w:val="HTMLPreformatted"/>
        <w:jc w:val="center"/>
        <w:rPr>
          <w:rFonts w:ascii="Times New Roman" w:hAnsi="Times New Roman" w:cs="Times New Roman"/>
          <w:b/>
          <w:bCs/>
          <w:sz w:val="24"/>
          <w:szCs w:val="24"/>
        </w:rPr>
      </w:pPr>
      <w:r w:rsidRPr="00C751D0">
        <w:rPr>
          <w:rFonts w:ascii="Times New Roman" w:hAnsi="Times New Roman" w:cs="Times New Roman"/>
          <w:b/>
          <w:bCs/>
          <w:sz w:val="24"/>
          <w:szCs w:val="24"/>
        </w:rPr>
        <w:t>BEFORE</w:t>
      </w:r>
    </w:p>
    <w:p w:rsidR="00A5637F" w:rsidRPr="00C751D0" w14:paraId="46FC91B4" w14:textId="77777777">
      <w:pPr>
        <w:pStyle w:val="HTMLPreformatted"/>
        <w:jc w:val="center"/>
        <w:rPr>
          <w:rFonts w:ascii="Times New Roman" w:hAnsi="Times New Roman" w:cs="Times New Roman"/>
          <w:b/>
          <w:sz w:val="24"/>
          <w:szCs w:val="24"/>
        </w:rPr>
      </w:pPr>
      <w:r w:rsidRPr="00C751D0">
        <w:rPr>
          <w:rFonts w:ascii="Times New Roman" w:hAnsi="Times New Roman" w:cs="Times New Roman"/>
          <w:b/>
          <w:bCs/>
          <w:sz w:val="24"/>
          <w:szCs w:val="24"/>
        </w:rPr>
        <w:t>THE PUBLIC UTILITIES COMMISSION OF OHIO</w:t>
      </w:r>
    </w:p>
    <w:p w:rsidR="00A5637F" w:rsidRPr="00C751D0" w:rsidP="00DB6639" w14:paraId="626E78F6" w14:textId="77777777">
      <w:pPr>
        <w:pStyle w:val="HTMLPreformatted"/>
        <w:jc w:val="center"/>
        <w:rPr>
          <w:rFonts w:ascii="Times New Roman" w:hAnsi="Times New Roman" w:cs="Times New Roman"/>
          <w:b/>
          <w:sz w:val="24"/>
          <w:szCs w:val="24"/>
        </w:rPr>
      </w:pPr>
    </w:p>
    <w:tbl>
      <w:tblPr>
        <w:tblW w:w="8897" w:type="dxa"/>
        <w:tblInd w:w="0" w:type="dxa"/>
        <w:tblCellMar>
          <w:top w:w="0" w:type="dxa"/>
          <w:left w:w="108" w:type="dxa"/>
          <w:bottom w:w="0" w:type="dxa"/>
          <w:right w:w="108" w:type="dxa"/>
        </w:tblCellMar>
        <w:tblLook w:val="01E0"/>
      </w:tblPr>
      <w:tblGrid>
        <w:gridCol w:w="4577"/>
        <w:gridCol w:w="553"/>
        <w:gridCol w:w="3767"/>
      </w:tblGrid>
      <w:tr w14:paraId="15B67F5F" w14:textId="77777777" w:rsidTr="00204F3C">
        <w:tblPrEx>
          <w:tblW w:w="8897" w:type="dxa"/>
          <w:tblInd w:w="0" w:type="dxa"/>
          <w:tblCellMar>
            <w:top w:w="0" w:type="dxa"/>
            <w:left w:w="108" w:type="dxa"/>
            <w:bottom w:w="0" w:type="dxa"/>
            <w:right w:w="108" w:type="dxa"/>
          </w:tblCellMar>
          <w:tblLook w:val="01E0"/>
        </w:tblPrEx>
        <w:trPr>
          <w:trHeight w:val="807"/>
        </w:trPr>
        <w:tc>
          <w:tcPr>
            <w:tcW w:w="4577" w:type="dxa"/>
            <w:shd w:val="clear" w:color="auto" w:fill="auto"/>
          </w:tcPr>
          <w:p w:rsidR="002C7D60" w:rsidRPr="00C751D0" w:rsidP="00DB6639" w14:paraId="6F0EF852" w14:textId="77777777">
            <w:pPr>
              <w:autoSpaceDE w:val="0"/>
              <w:autoSpaceDN w:val="0"/>
              <w:adjustRightInd w:val="0"/>
              <w:rPr>
                <w:sz w:val="24"/>
                <w:szCs w:val="24"/>
                <w:lang w:val="en-US" w:eastAsia="en-US" w:bidi="ar-SA"/>
              </w:rPr>
            </w:pPr>
            <w:r w:rsidRPr="00C751D0">
              <w:rPr>
                <w:sz w:val="24"/>
                <w:szCs w:val="24"/>
                <w:lang w:val="en-US" w:eastAsia="en-US" w:bidi="ar-SA"/>
              </w:rPr>
              <w:t>In the Matter of the Application of Duke Energy Ohio, Inc., for Authority to Establish a Standard Service Offer Pursuant to Ohio Revised Code Section 4928.143 in the Form of an Electric Security Plan.</w:t>
            </w:r>
          </w:p>
          <w:p w:rsidR="00B43B6E" w:rsidRPr="00C751D0" w:rsidP="00DB6639" w14:paraId="77E98EDE" w14:textId="77777777">
            <w:pPr>
              <w:autoSpaceDE w:val="0"/>
              <w:autoSpaceDN w:val="0"/>
              <w:adjustRightInd w:val="0"/>
              <w:rPr>
                <w:sz w:val="24"/>
                <w:szCs w:val="24"/>
                <w:highlight w:val="cyan"/>
                <w:lang w:val="en-US" w:eastAsia="en-US" w:bidi="ar-SA"/>
              </w:rPr>
            </w:pPr>
          </w:p>
          <w:p w:rsidR="00B43B6E" w:rsidRPr="00C751D0" w:rsidP="00DB6639" w14:paraId="7EE71E5C" w14:textId="77777777">
            <w:pPr>
              <w:autoSpaceDE w:val="0"/>
              <w:autoSpaceDN w:val="0"/>
              <w:adjustRightInd w:val="0"/>
              <w:rPr>
                <w:sz w:val="24"/>
                <w:szCs w:val="24"/>
                <w:lang w:val="en-US" w:eastAsia="en-US" w:bidi="ar-SA"/>
              </w:rPr>
            </w:pPr>
            <w:r w:rsidRPr="00C751D0">
              <w:rPr>
                <w:sz w:val="24"/>
                <w:szCs w:val="24"/>
                <w:lang w:val="en-US" w:eastAsia="en-US" w:bidi="ar-SA"/>
              </w:rPr>
              <w:t>In the Matter of the Application of Duke Energy Ohio, Inc., for Authority to Amend Tariffs, including its Certified Supplier Tariff, P.U.C.O. No. 20 and to Implement New Tariffs.</w:t>
            </w:r>
          </w:p>
          <w:p w:rsidR="00B43B6E" w:rsidRPr="00C751D0" w:rsidP="00DB6639" w14:paraId="11E29B03" w14:textId="77777777">
            <w:pPr>
              <w:autoSpaceDE w:val="0"/>
              <w:autoSpaceDN w:val="0"/>
              <w:adjustRightInd w:val="0"/>
              <w:rPr>
                <w:sz w:val="24"/>
                <w:szCs w:val="24"/>
                <w:highlight w:val="cyan"/>
                <w:lang w:val="en-US" w:eastAsia="en-US" w:bidi="ar-SA"/>
              </w:rPr>
            </w:pPr>
          </w:p>
          <w:p w:rsidR="00B43B6E" w:rsidRPr="00C751D0" w:rsidP="00DB6639" w14:paraId="432355A6" w14:textId="76ACC7C3">
            <w:pPr>
              <w:autoSpaceDE w:val="0"/>
              <w:autoSpaceDN w:val="0"/>
              <w:adjustRightInd w:val="0"/>
              <w:rPr>
                <w:sz w:val="24"/>
                <w:szCs w:val="24"/>
                <w:highlight w:val="cyan"/>
                <w:lang w:val="en-US" w:eastAsia="en-US" w:bidi="ar-SA"/>
              </w:rPr>
            </w:pPr>
            <w:r w:rsidRPr="00C751D0">
              <w:rPr>
                <w:sz w:val="24"/>
                <w:szCs w:val="24"/>
                <w:lang w:val="en-US" w:eastAsia="en-US" w:bidi="ar-SA"/>
              </w:rPr>
              <w:t>In the Matter of the Application of Duke Energy Ohio, Inc., for Accounting Authority, including any Necessary Deferrals.</w:t>
            </w:r>
          </w:p>
        </w:tc>
        <w:tc>
          <w:tcPr>
            <w:tcW w:w="553" w:type="dxa"/>
            <w:shd w:val="clear" w:color="auto" w:fill="auto"/>
          </w:tcPr>
          <w:p w:rsidR="002C7D60" w:rsidRPr="00C751D0" w:rsidP="003F6E1A" w14:paraId="3D99AAC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2C7D60" w:rsidRPr="00C751D0" w:rsidP="003F6E1A" w14:paraId="4B3A711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2C7D60" w:rsidRPr="00C751D0" w:rsidP="003F6E1A" w14:paraId="0194CF8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B43B6E" w:rsidRPr="00C751D0" w:rsidP="003F6E1A" w14:paraId="432C180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B43B6E" w:rsidRPr="00C751D0" w:rsidP="003F6E1A" w14:paraId="371859A2" w14:textId="5335635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B43B6E" w:rsidRPr="00C751D0" w:rsidP="003F6E1A" w14:paraId="1A7F384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B43B6E" w:rsidRPr="00C751D0" w:rsidP="003F6E1A" w14:paraId="5D4603E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B43B6E" w:rsidRPr="00C751D0" w:rsidP="003F6E1A" w14:paraId="6828FC8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B43B6E" w:rsidRPr="00C751D0" w:rsidP="003F6E1A" w14:paraId="40036FF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B43B6E" w:rsidRPr="00C751D0" w:rsidP="003F6E1A" w14:paraId="4BA9343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B43B6E" w:rsidRPr="00C751D0" w:rsidP="003F6E1A" w14:paraId="3332EFD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B43B6E" w:rsidRPr="00C751D0" w:rsidP="003F6E1A" w14:paraId="7648A61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B43B6E" w:rsidRPr="00C751D0" w:rsidP="003F6E1A" w14:paraId="4D9FD2F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B43B6E" w:rsidRPr="00C751D0" w:rsidP="003F6E1A" w14:paraId="3C8FF21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B43B6E" w:rsidRPr="00C751D0" w:rsidP="003F6E1A" w14:paraId="1C112113" w14:textId="55E5C0A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tc>
        <w:tc>
          <w:tcPr>
            <w:tcW w:w="3767" w:type="dxa"/>
            <w:shd w:val="clear" w:color="auto" w:fill="auto"/>
          </w:tcPr>
          <w:p w:rsidR="002C7D60" w:rsidRPr="00C751D0" w:rsidP="003F6E1A" w14:paraId="582EA5B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highlight w:val="cyan"/>
                <w:lang w:val="en-US" w:eastAsia="en-US" w:bidi="ar-SA"/>
              </w:rPr>
            </w:pPr>
          </w:p>
          <w:p w:rsidR="00DA3122" w:rsidRPr="00C751D0" w:rsidP="003F6E1A" w14:paraId="2A9D627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2C7D60" w:rsidRPr="00C751D0" w:rsidP="003F6E1A" w14:paraId="15A82955" w14:textId="27F6300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Case No. 24-278-EL-SSO</w:t>
            </w:r>
          </w:p>
          <w:p w:rsidR="00B43B6E" w:rsidRPr="00C751D0" w:rsidP="003F6E1A" w14:paraId="791CEC0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B43B6E" w:rsidRPr="00C751D0" w:rsidP="003F6E1A" w14:paraId="0A9B5D8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B43B6E" w:rsidRPr="00C751D0" w:rsidP="003F6E1A" w14:paraId="4E8A225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B43B6E" w:rsidRPr="00C751D0" w:rsidP="003F6E1A" w14:paraId="3C2B066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B43B6E" w:rsidRPr="00C751D0" w:rsidP="003F6E1A" w14:paraId="740D7FB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B43B6E" w:rsidRPr="00C751D0" w:rsidP="003F6E1A" w14:paraId="6978FD9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Case No. 24-279-EL-ATA</w:t>
            </w:r>
          </w:p>
          <w:p w:rsidR="00B43B6E" w:rsidRPr="00C751D0" w:rsidP="003F6E1A" w14:paraId="0C2004F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B43B6E" w:rsidRPr="00C751D0" w:rsidP="003F6E1A" w14:paraId="18A0B65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B43B6E" w:rsidRPr="00C751D0" w:rsidP="003F6E1A" w14:paraId="2179AF2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B43B6E" w:rsidRPr="00C751D0" w:rsidP="003F6E1A" w14:paraId="70CE9E7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B43B6E" w:rsidRPr="00C751D0" w:rsidP="003F6E1A" w14:paraId="100B1F25" w14:textId="49D2313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Case No. 24-280-EL-AAM</w:t>
            </w:r>
          </w:p>
        </w:tc>
      </w:tr>
    </w:tbl>
    <w:p w:rsidR="00A5637F" w:rsidRPr="00C751D0" w:rsidP="00DB6639" w14:paraId="15412A71" w14:textId="77777777">
      <w:pPr>
        <w:pStyle w:val="InsideAddress"/>
        <w:pBdr>
          <w:bottom w:val="single" w:sz="12" w:space="1" w:color="auto"/>
        </w:pBdr>
        <w:rPr>
          <w:rFonts w:ascii="Times New Roman" w:hAnsi="Times New Roman"/>
          <w:szCs w:val="24"/>
        </w:rPr>
      </w:pPr>
    </w:p>
    <w:p w:rsidR="00A5637F" w:rsidRPr="00C751D0" w:rsidP="00DB6639" w14:paraId="0005FD1B" w14:textId="77777777">
      <w:pPr>
        <w:pStyle w:val="InsideAddress"/>
        <w:rPr>
          <w:rFonts w:ascii="Times New Roman" w:hAnsi="Times New Roman"/>
          <w:szCs w:val="24"/>
        </w:rPr>
      </w:pPr>
    </w:p>
    <w:p w:rsidR="00E372F2" w:rsidRPr="00C751D0" w:rsidP="00DB6639" w14:paraId="4E9FFCD0" w14:textId="21A35047">
      <w:pPr>
        <w:pStyle w:val="Footer"/>
        <w:tabs>
          <w:tab w:val="clear" w:pos="4320"/>
          <w:tab w:val="clear" w:pos="8640"/>
        </w:tabs>
        <w:spacing w:line="240" w:lineRule="auto"/>
        <w:jc w:val="center"/>
        <w:rPr>
          <w:b/>
        </w:rPr>
      </w:pPr>
      <w:r w:rsidRPr="00C751D0">
        <w:rPr>
          <w:b/>
        </w:rPr>
        <w:t>MOTION TO INTERVENE</w:t>
      </w:r>
    </w:p>
    <w:p w:rsidR="00A5637F" w:rsidRPr="00C751D0" w:rsidP="00DB6639" w14:paraId="221D5203" w14:textId="77777777">
      <w:pPr>
        <w:pStyle w:val="Footer"/>
        <w:tabs>
          <w:tab w:val="clear" w:pos="4320"/>
          <w:tab w:val="clear" w:pos="8640"/>
        </w:tabs>
        <w:spacing w:line="240" w:lineRule="auto"/>
        <w:jc w:val="center"/>
        <w:rPr>
          <w:b/>
        </w:rPr>
      </w:pPr>
      <w:r w:rsidRPr="00C751D0">
        <w:rPr>
          <w:b/>
        </w:rPr>
        <w:t>BY</w:t>
      </w:r>
    </w:p>
    <w:p w:rsidR="002C7D60" w:rsidRPr="00C751D0" w:rsidP="002C7D60" w14:paraId="59DFFA66" w14:textId="1E186BB6">
      <w:pPr>
        <w:jc w:val="center"/>
        <w:rPr>
          <w:b/>
          <w:bCs/>
        </w:rPr>
      </w:pPr>
      <w:r w:rsidRPr="00C751D0">
        <w:rPr>
          <w:b/>
          <w:bCs/>
        </w:rPr>
        <w:t>OFFICE OF THE OHIO CONSUMERS</w:t>
      </w:r>
      <w:r w:rsidR="00D63311">
        <w:rPr>
          <w:b/>
          <w:bCs/>
        </w:rPr>
        <w:t>’</w:t>
      </w:r>
      <w:r w:rsidRPr="00C751D0">
        <w:rPr>
          <w:b/>
          <w:bCs/>
        </w:rPr>
        <w:t xml:space="preserve"> COUNSEL</w:t>
      </w:r>
    </w:p>
    <w:p w:rsidR="00A5637F" w:rsidRPr="00C751D0" w:rsidP="00DB6639" w14:paraId="0095FDA1" w14:textId="77777777">
      <w:pPr>
        <w:pStyle w:val="Footer"/>
        <w:pBdr>
          <w:bottom w:val="single" w:sz="12" w:space="1" w:color="auto"/>
        </w:pBdr>
        <w:tabs>
          <w:tab w:val="clear" w:pos="4320"/>
          <w:tab w:val="clear" w:pos="8640"/>
        </w:tabs>
        <w:spacing w:line="240" w:lineRule="auto"/>
        <w:rPr>
          <w:b/>
        </w:rPr>
      </w:pPr>
    </w:p>
    <w:p w:rsidR="00A5637F" w:rsidRPr="00C751D0" w:rsidP="00DB6639" w14:paraId="152FA7C3" w14:textId="77777777">
      <w:pPr>
        <w:pStyle w:val="Footer"/>
        <w:tabs>
          <w:tab w:val="clear" w:pos="4320"/>
          <w:tab w:val="clear" w:pos="8640"/>
        </w:tabs>
        <w:spacing w:line="240" w:lineRule="auto"/>
        <w:jc w:val="center"/>
        <w:rPr>
          <w:b/>
        </w:rPr>
      </w:pPr>
    </w:p>
    <w:p w:rsidR="00B91F9F" w:rsidRPr="00C751D0" w:rsidP="000A6BA5" w14:paraId="087B04BF" w14:textId="545C07A3">
      <w:pPr>
        <w:pStyle w:val="Footer"/>
        <w:tabs>
          <w:tab w:val="left" w:pos="4320"/>
          <w:tab w:val="clear" w:pos="8640"/>
        </w:tabs>
      </w:pPr>
      <w:r w:rsidRPr="00C751D0">
        <w:tab/>
      </w:r>
      <w:r w:rsidRPr="00C751D0" w:rsidR="00844294">
        <w:t>The Office of the Ohio Consumers</w:t>
      </w:r>
      <w:r w:rsidR="00D63311">
        <w:t>’</w:t>
      </w:r>
      <w:r w:rsidRPr="00C751D0" w:rsidR="00844294">
        <w:t xml:space="preserve"> Counsel (</w:t>
      </w:r>
      <w:r w:rsidR="00D63311">
        <w:t>“</w:t>
      </w:r>
      <w:r w:rsidRPr="00C751D0" w:rsidR="00844294">
        <w:t>OCC</w:t>
      </w:r>
      <w:r w:rsidR="00D63311">
        <w:t>”</w:t>
      </w:r>
      <w:r w:rsidRPr="00C751D0" w:rsidR="00844294">
        <w:t>) moves to intervene</w:t>
      </w:r>
      <w:r w:rsidRPr="00C751D0" w:rsidR="00A044B5">
        <w:t xml:space="preserve"> in this case</w:t>
      </w:r>
      <w:r w:rsidRPr="00C751D0" w:rsidR="00844294">
        <w:t xml:space="preserve"> where</w:t>
      </w:r>
      <w:r w:rsidRPr="00C751D0" w:rsidR="003E1329">
        <w:t xml:space="preserve"> Duke Energy Ohio, Inc. (</w:t>
      </w:r>
      <w:r w:rsidR="00D63311">
        <w:t>“</w:t>
      </w:r>
      <w:r w:rsidRPr="00C751D0" w:rsidR="003E1329">
        <w:t>Duke</w:t>
      </w:r>
      <w:r w:rsidR="00D63311">
        <w:t>”</w:t>
      </w:r>
      <w:r w:rsidRPr="00C751D0" w:rsidR="003E1329">
        <w:t xml:space="preserve">) seeks approval </w:t>
      </w:r>
      <w:r w:rsidRPr="00C751D0" w:rsidR="00A942E0">
        <w:t xml:space="preserve">of </w:t>
      </w:r>
      <w:r w:rsidRPr="00C751D0" w:rsidR="004D783E">
        <w:t xml:space="preserve">a proposed electric security plan </w:t>
      </w:r>
      <w:r w:rsidRPr="00C751D0" w:rsidR="00590435">
        <w:t>t</w:t>
      </w:r>
      <w:r w:rsidRPr="00C751D0" w:rsidR="00A942E0">
        <w:t xml:space="preserve">hat will increase charges consumers pay for distribution service by </w:t>
      </w:r>
      <w:r w:rsidRPr="00C751D0">
        <w:t>an additional $11.27 per</w:t>
      </w:r>
      <w:r w:rsidRPr="00C751D0" w:rsidR="00590435">
        <w:t xml:space="preserve"> month by the end of Duke</w:t>
      </w:r>
      <w:r w:rsidR="00D63311">
        <w:t>’</w:t>
      </w:r>
      <w:r w:rsidRPr="00C751D0" w:rsidR="00590435">
        <w:t xml:space="preserve">s plan. </w:t>
      </w:r>
    </w:p>
    <w:p w:rsidR="00AB5851" w:rsidRPr="00C751D0" w:rsidP="004F142D" w14:paraId="7730D6DF" w14:textId="68FD18D2">
      <w:pPr>
        <w:pStyle w:val="BodyTextIndent3"/>
        <w:widowControl w:val="0"/>
        <w:spacing w:line="480" w:lineRule="auto"/>
        <w:rPr>
          <w:szCs w:val="24"/>
        </w:rPr>
      </w:pPr>
      <w:r w:rsidRPr="00C751D0">
        <w:rPr>
          <w:szCs w:val="24"/>
        </w:rPr>
        <w:t xml:space="preserve">OCC is </w:t>
      </w:r>
      <w:r w:rsidRPr="00C751D0" w:rsidR="0072721B">
        <w:rPr>
          <w:szCs w:val="24"/>
        </w:rPr>
        <w:t>filing</w:t>
      </w:r>
      <w:r w:rsidRPr="00C751D0">
        <w:rPr>
          <w:szCs w:val="24"/>
        </w:rPr>
        <w:t xml:space="preserve"> on</w:t>
      </w:r>
      <w:r w:rsidRPr="00C751D0" w:rsidR="00D55177">
        <w:rPr>
          <w:szCs w:val="24"/>
        </w:rPr>
        <w:t xml:space="preserve"> behalf of </w:t>
      </w:r>
      <w:r w:rsidRPr="00C751D0" w:rsidR="001D0897">
        <w:rPr>
          <w:szCs w:val="24"/>
        </w:rPr>
        <w:t>the</w:t>
      </w:r>
      <w:r w:rsidRPr="00C751D0">
        <w:rPr>
          <w:szCs w:val="24"/>
        </w:rPr>
        <w:t xml:space="preserve"> </w:t>
      </w:r>
      <w:r w:rsidRPr="00C751D0" w:rsidR="004D783E">
        <w:rPr>
          <w:szCs w:val="24"/>
        </w:rPr>
        <w:t>910,000</w:t>
      </w:r>
      <w:r w:rsidRPr="00C751D0" w:rsidR="003258C2">
        <w:rPr>
          <w:szCs w:val="24"/>
        </w:rPr>
        <w:t xml:space="preserve"> </w:t>
      </w:r>
      <w:r w:rsidRPr="00C751D0" w:rsidR="00A51347">
        <w:rPr>
          <w:szCs w:val="24"/>
        </w:rPr>
        <w:t xml:space="preserve">residential </w:t>
      </w:r>
      <w:r w:rsidRPr="00C751D0">
        <w:rPr>
          <w:szCs w:val="24"/>
        </w:rPr>
        <w:t xml:space="preserve">utility </w:t>
      </w:r>
      <w:r w:rsidRPr="00C751D0" w:rsidR="003E7261">
        <w:rPr>
          <w:szCs w:val="24"/>
        </w:rPr>
        <w:t>consumers</w:t>
      </w:r>
      <w:r w:rsidRPr="00C751D0" w:rsidR="008B1879">
        <w:rPr>
          <w:szCs w:val="24"/>
        </w:rPr>
        <w:t xml:space="preserve"> of </w:t>
      </w:r>
      <w:r w:rsidRPr="00C751D0" w:rsidR="009A1CFA">
        <w:rPr>
          <w:szCs w:val="24"/>
        </w:rPr>
        <w:t>Duke</w:t>
      </w:r>
      <w:r w:rsidRPr="00C751D0">
        <w:rPr>
          <w:szCs w:val="24"/>
        </w:rPr>
        <w:t>.</w:t>
      </w:r>
      <w:r w:rsidRPr="00C751D0" w:rsidR="006A1F80">
        <w:rPr>
          <w:szCs w:val="24"/>
        </w:rPr>
        <w:t xml:space="preserve"> </w:t>
      </w:r>
      <w:r w:rsidRPr="00C751D0">
        <w:rPr>
          <w:szCs w:val="24"/>
        </w:rPr>
        <w:t>The reasons the Public Utilities C</w:t>
      </w:r>
      <w:r w:rsidRPr="00C751D0" w:rsidR="00641070">
        <w:rPr>
          <w:szCs w:val="24"/>
        </w:rPr>
        <w:t>ommission</w:t>
      </w:r>
      <w:r w:rsidRPr="00C751D0" w:rsidR="00844294">
        <w:rPr>
          <w:szCs w:val="24"/>
        </w:rPr>
        <w:t xml:space="preserve"> of </w:t>
      </w:r>
      <w:r w:rsidRPr="00C751D0" w:rsidR="00641070">
        <w:rPr>
          <w:szCs w:val="24"/>
        </w:rPr>
        <w:t>Ohio (</w:t>
      </w:r>
      <w:r w:rsidR="00D63311">
        <w:rPr>
          <w:szCs w:val="24"/>
        </w:rPr>
        <w:t>“</w:t>
      </w:r>
      <w:r w:rsidRPr="00C751D0" w:rsidR="00844294">
        <w:rPr>
          <w:szCs w:val="24"/>
        </w:rPr>
        <w:t>PUCO</w:t>
      </w:r>
      <w:r w:rsidR="00D63311">
        <w:rPr>
          <w:szCs w:val="24"/>
        </w:rPr>
        <w:t>”</w:t>
      </w:r>
      <w:r w:rsidRPr="00C751D0">
        <w:rPr>
          <w:szCs w:val="24"/>
        </w:rPr>
        <w:t>)</w:t>
      </w:r>
      <w:r w:rsidRPr="00C751D0" w:rsidR="00844294">
        <w:rPr>
          <w:szCs w:val="24"/>
        </w:rPr>
        <w:t xml:space="preserve"> should grant OCC</w:t>
      </w:r>
      <w:r w:rsidR="00D63311">
        <w:rPr>
          <w:szCs w:val="24"/>
        </w:rPr>
        <w:t>’</w:t>
      </w:r>
      <w:r w:rsidRPr="00C751D0" w:rsidR="00844294">
        <w:rPr>
          <w:szCs w:val="24"/>
        </w:rPr>
        <w:t xml:space="preserve">s </w:t>
      </w:r>
      <w:r w:rsidRPr="00C751D0">
        <w:rPr>
          <w:szCs w:val="24"/>
        </w:rPr>
        <w:t xml:space="preserve">Motion are </w:t>
      </w:r>
      <w:r w:rsidRPr="00C751D0" w:rsidR="00844294">
        <w:rPr>
          <w:szCs w:val="24"/>
        </w:rPr>
        <w:t xml:space="preserve">set forth in the attached </w:t>
      </w:r>
      <w:r w:rsidRPr="00C751D0">
        <w:rPr>
          <w:szCs w:val="24"/>
        </w:rPr>
        <w:t>Memorandum</w:t>
      </w:r>
      <w:r w:rsidRPr="00C751D0" w:rsidR="00844294">
        <w:rPr>
          <w:szCs w:val="24"/>
        </w:rPr>
        <w:t xml:space="preserve"> in </w:t>
      </w:r>
      <w:r w:rsidRPr="00C751D0">
        <w:rPr>
          <w:szCs w:val="24"/>
        </w:rPr>
        <w:t>Support</w:t>
      </w:r>
      <w:r w:rsidRPr="00C751D0" w:rsidR="00844294">
        <w:rPr>
          <w:szCs w:val="24"/>
        </w:rPr>
        <w:t>.</w:t>
      </w:r>
    </w:p>
    <w:p w:rsidR="009A0F0A" w14:paraId="40C0F4B4" w14:textId="77777777">
      <w:pPr>
        <w:rPr>
          <w:rFonts w:eastAsia="Courier New"/>
        </w:rPr>
      </w:pPr>
      <w:r>
        <w:rPr>
          <w:rFonts w:eastAsia="Courier New"/>
        </w:rPr>
        <w:br w:type="page"/>
      </w:r>
    </w:p>
    <w:p w:rsidR="00667426" w:rsidRPr="00C751D0" w:rsidP="00DB1191" w14:paraId="7CA30B3A" w14:textId="1A080553">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C751D0">
        <w:rPr>
          <w:rFonts w:eastAsia="Courier New"/>
        </w:rPr>
        <w:t>Respectfully submitted,</w:t>
      </w:r>
    </w:p>
    <w:p w:rsidR="00667426" w:rsidRPr="00C751D0" w:rsidP="00DB1191" w14:paraId="15F2A809"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p>
    <w:p w:rsidR="00667426" w:rsidRPr="00C751D0" w:rsidP="00DB1191" w14:paraId="19250D68"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C751D0">
        <w:rPr>
          <w:rFonts w:eastAsia="Courier New"/>
        </w:rPr>
        <w:t>Maureen R. Willis (0020847)</w:t>
      </w:r>
    </w:p>
    <w:p w:rsidR="00667426" w:rsidRPr="00C751D0" w:rsidP="00DB1191" w14:paraId="3D8001BC" w14:textId="444AF1AC">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C751D0">
        <w:t>Ohio Consumers</w:t>
      </w:r>
      <w:r w:rsidR="00D63311">
        <w:t>’</w:t>
      </w:r>
      <w:r w:rsidRPr="00C751D0">
        <w:t xml:space="preserve"> Counsel</w:t>
      </w:r>
    </w:p>
    <w:p w:rsidR="00667426" w:rsidRPr="00C751D0" w:rsidP="00DB1191" w14:paraId="72CF508D" w14:textId="77777777">
      <w:pPr>
        <w:tabs>
          <w:tab w:val="left" w:pos="4320"/>
        </w:tabs>
        <w:ind w:left="4320"/>
      </w:pPr>
    </w:p>
    <w:p w:rsidR="00667426" w:rsidRPr="00C751D0" w:rsidP="00DB1191" w14:paraId="16522776" w14:textId="15196B32">
      <w:pPr>
        <w:tabs>
          <w:tab w:val="left" w:pos="4320"/>
        </w:tabs>
        <w:ind w:left="4320"/>
        <w:rPr>
          <w:i/>
          <w:iCs/>
          <w:u w:val="single"/>
        </w:rPr>
      </w:pPr>
      <w:r w:rsidRPr="00C751D0">
        <w:rPr>
          <w:i/>
          <w:iCs/>
          <w:u w:val="single"/>
        </w:rPr>
        <w:t>/s</w:t>
      </w:r>
      <w:r w:rsidRPr="00C751D0" w:rsidR="00757448">
        <w:rPr>
          <w:i/>
          <w:iCs/>
          <w:u w:val="single"/>
        </w:rPr>
        <w:t>/ John Finnigan</w:t>
      </w:r>
    </w:p>
    <w:p w:rsidR="00667426" w:rsidRPr="00C751D0" w:rsidP="00DB1191" w14:paraId="68C0A59E" w14:textId="10CA071B">
      <w:pPr>
        <w:tabs>
          <w:tab w:val="left" w:pos="4320"/>
        </w:tabs>
        <w:ind w:left="4320"/>
      </w:pPr>
      <w:r w:rsidRPr="00C751D0">
        <w:t>John Finnigan (</w:t>
      </w:r>
      <w:r w:rsidRPr="00C751D0" w:rsidR="00D158F9">
        <w:t>0018689)</w:t>
      </w:r>
    </w:p>
    <w:p w:rsidR="00DD090F" w:rsidRPr="00C751D0" w:rsidP="00DB1191" w14:paraId="1A9F20F2" w14:textId="5021F79B">
      <w:pPr>
        <w:tabs>
          <w:tab w:val="left" w:pos="4320"/>
        </w:tabs>
        <w:ind w:left="4320"/>
      </w:pPr>
      <w:r w:rsidRPr="00C751D0">
        <w:t>Counsel of Record</w:t>
      </w:r>
    </w:p>
    <w:p w:rsidR="00667426" w:rsidRPr="00C751D0" w:rsidP="00DB1191" w14:paraId="18F6AF19" w14:textId="24B31584">
      <w:pPr>
        <w:tabs>
          <w:tab w:val="left" w:pos="4320"/>
        </w:tabs>
        <w:ind w:left="4320"/>
      </w:pPr>
      <w:r w:rsidRPr="00C751D0">
        <w:t>John R. Varanese (0044176)</w:t>
      </w:r>
    </w:p>
    <w:p w:rsidR="007F72A3" w:rsidRPr="00C751D0" w:rsidP="007F72A3" w14:paraId="4BB83AF3" w14:textId="0636A858">
      <w:pPr>
        <w:tabs>
          <w:tab w:val="left" w:pos="4320"/>
        </w:tabs>
        <w:ind w:left="4320"/>
      </w:pPr>
      <w:r w:rsidRPr="00C751D0">
        <w:t>Thomas J. Brodbeck (0093920)</w:t>
      </w:r>
    </w:p>
    <w:p w:rsidR="00667426" w:rsidRPr="00C751D0" w:rsidP="00DB1191" w14:paraId="4AA81D29" w14:textId="748627C1">
      <w:pPr>
        <w:tabs>
          <w:tab w:val="left" w:pos="4320"/>
        </w:tabs>
        <w:ind w:left="4320"/>
      </w:pPr>
      <w:r w:rsidRPr="00C751D0">
        <w:t>Assistant Consumers</w:t>
      </w:r>
      <w:r w:rsidR="00D63311">
        <w:t>’</w:t>
      </w:r>
      <w:r w:rsidRPr="00C751D0">
        <w:t xml:space="preserve"> Counsel</w:t>
      </w:r>
    </w:p>
    <w:p w:rsidR="00667426" w:rsidRPr="00C751D0" w:rsidP="00DB1191" w14:paraId="2E7387E3" w14:textId="77777777">
      <w:pPr>
        <w:tabs>
          <w:tab w:val="left" w:pos="4320"/>
        </w:tabs>
        <w:ind w:left="4320"/>
        <w:rPr>
          <w:highlight w:val="cyan"/>
        </w:rPr>
      </w:pPr>
    </w:p>
    <w:p w:rsidR="00667426" w:rsidRPr="00C751D0" w:rsidP="00DB1191" w14:paraId="2130C8B6" w14:textId="51EEA205">
      <w:pPr>
        <w:keepNext/>
        <w:ind w:left="4320" w:right="-648"/>
        <w:outlineLvl w:val="0"/>
        <w:rPr>
          <w:b/>
        </w:rPr>
      </w:pPr>
      <w:r w:rsidRPr="00C751D0">
        <w:rPr>
          <w:b/>
        </w:rPr>
        <w:t>Office of the Ohio Consumers</w:t>
      </w:r>
      <w:r w:rsidR="00D63311">
        <w:rPr>
          <w:b/>
        </w:rPr>
        <w:t>’</w:t>
      </w:r>
      <w:r w:rsidRPr="00C751D0">
        <w:rPr>
          <w:b/>
        </w:rPr>
        <w:t xml:space="preserve"> Counsel</w:t>
      </w:r>
    </w:p>
    <w:p w:rsidR="00667426" w:rsidRPr="00C751D0" w:rsidP="00DB1191" w14:paraId="6790BF43" w14:textId="77777777">
      <w:pPr>
        <w:keepNext/>
        <w:ind w:left="4320" w:right="-648"/>
        <w:outlineLvl w:val="0"/>
      </w:pPr>
      <w:r w:rsidRPr="00C751D0">
        <w:t>65 East State Street, Suite 700</w:t>
      </w:r>
    </w:p>
    <w:p w:rsidR="00667426" w:rsidRPr="00C751D0" w:rsidP="00DB1191" w14:paraId="370662AE" w14:textId="77777777">
      <w:pPr>
        <w:keepNext/>
        <w:ind w:left="4320" w:right="-648"/>
        <w:outlineLvl w:val="0"/>
      </w:pPr>
      <w:r w:rsidRPr="00C751D0">
        <w:t>Columbus, Ohio 43215</w:t>
      </w:r>
    </w:p>
    <w:p w:rsidR="00604843" w:rsidRPr="00C751D0" w:rsidP="00604843" w14:paraId="23DE2D3F" w14:textId="5AD2DE4B">
      <w:pPr>
        <w:autoSpaceDE w:val="0"/>
        <w:autoSpaceDN w:val="0"/>
        <w:adjustRightInd w:val="0"/>
        <w:ind w:left="3600" w:firstLine="720"/>
      </w:pPr>
      <w:r w:rsidRPr="00C751D0">
        <w:t>Telephone [Finnigan]: (614) 466-9585</w:t>
      </w:r>
    </w:p>
    <w:p w:rsidR="007F72A3" w:rsidRPr="00C751D0" w:rsidP="00DB1191" w14:paraId="5F70F757" w14:textId="2A58255E">
      <w:pPr>
        <w:ind w:left="4320"/>
      </w:pPr>
      <w:r w:rsidRPr="00C751D0">
        <w:t>Telephone [Varanese]: (614) 387-2965</w:t>
      </w:r>
    </w:p>
    <w:p w:rsidR="00604843" w:rsidRPr="00C751D0" w:rsidP="00604843" w14:paraId="181D818C" w14:textId="44131FCF">
      <w:pPr>
        <w:autoSpaceDE w:val="0"/>
        <w:autoSpaceDN w:val="0"/>
        <w:adjustRightInd w:val="0"/>
        <w:ind w:left="4320"/>
      </w:pPr>
      <w:r w:rsidRPr="00C751D0">
        <w:t>Telephone [Brodbeck]: (614) 466-9565</w:t>
      </w:r>
    </w:p>
    <w:p w:rsidR="00604843" w:rsidRPr="00C751D0" w:rsidP="00604843" w14:paraId="10A432E8" w14:textId="77777777">
      <w:pPr>
        <w:ind w:left="4320"/>
        <w:rPr>
          <w:rStyle w:val="Hyperlink"/>
        </w:rPr>
      </w:pPr>
      <w:hyperlink r:id="rId6" w:history="1">
        <w:r w:rsidRPr="00C751D0">
          <w:rPr>
            <w:rStyle w:val="Hyperlink"/>
          </w:rPr>
          <w:t>john.finnigan@occ.ohio.gov</w:t>
        </w:r>
      </w:hyperlink>
    </w:p>
    <w:p w:rsidR="00604843" w:rsidRPr="00C751D0" w:rsidP="00604843" w14:paraId="611C2AD6" w14:textId="7F5C14EE">
      <w:pPr>
        <w:ind w:left="4320"/>
      </w:pPr>
      <w:r w:rsidRPr="00C751D0">
        <w:rPr>
          <w:rStyle w:val="Hyperlink"/>
        </w:rPr>
        <w:t>john.varanese@occ.ohio.gov</w:t>
      </w:r>
    </w:p>
    <w:p w:rsidR="00604843" w:rsidRPr="00C751D0" w:rsidP="00604843" w14:paraId="55857B56" w14:textId="0A9BE41A">
      <w:pPr>
        <w:autoSpaceDE w:val="0"/>
        <w:autoSpaceDN w:val="0"/>
        <w:adjustRightInd w:val="0"/>
        <w:ind w:left="4320"/>
      </w:pPr>
      <w:hyperlink r:id="rId7" w:history="1">
        <w:r w:rsidRPr="00C751D0">
          <w:rPr>
            <w:rFonts w:eastAsia="Courier New"/>
            <w:color w:val="0000FF"/>
            <w:u w:val="single"/>
          </w:rPr>
          <w:t>thomas.brodbeck@occ.ohio.gov</w:t>
        </w:r>
      </w:hyperlink>
    </w:p>
    <w:p w:rsidR="00DD090F" w:rsidRPr="00C751D0" w:rsidP="00DB1191" w14:paraId="541C1520" w14:textId="79E4F3FC">
      <w:pPr>
        <w:ind w:left="4320"/>
      </w:pPr>
      <w:r w:rsidRPr="00C751D0">
        <w:t>(willing to accept service by e-mail)</w:t>
      </w:r>
    </w:p>
    <w:p w:rsidR="00667426" w:rsidRPr="00C751D0" w:rsidP="00DD090F" w14:paraId="444F8D41" w14:textId="6FF63A00">
      <w:pPr>
        <w:autoSpaceDE w:val="0"/>
        <w:autoSpaceDN w:val="0"/>
        <w:adjustRightInd w:val="0"/>
        <w:ind w:left="4320"/>
        <w:rPr>
          <w:highlight w:val="cyan"/>
        </w:rPr>
      </w:pPr>
    </w:p>
    <w:p w:rsidR="00A044B5" w:rsidRPr="00C751D0" w14:paraId="482C58C1" w14:textId="77777777"/>
    <w:p w:rsidR="00A044B5" w:rsidRPr="00C751D0" w14:paraId="6855C046" w14:textId="77777777">
      <w:pPr>
        <w:ind w:left="4320" w:firstLine="720"/>
        <w:jc w:val="both"/>
      </w:pPr>
    </w:p>
    <w:p w:rsidR="00600468" w:rsidRPr="00C751D0" w:rsidP="00DB6639" w14:paraId="4294F051" w14:textId="3373A130">
      <w:pPr>
        <w:pStyle w:val="BodyTextIndent3"/>
        <w:widowControl w:val="0"/>
        <w:spacing w:line="480" w:lineRule="auto"/>
        <w:rPr>
          <w:b/>
          <w:szCs w:val="24"/>
        </w:rPr>
        <w:sectPr w:rsidSect="00F70A2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326"/>
        </w:sectPr>
      </w:pPr>
    </w:p>
    <w:p w:rsidR="00A5637F" w:rsidRPr="00C751D0" w:rsidP="00DB6639" w14:paraId="675B72E8" w14:textId="3F7A51EB">
      <w:pPr>
        <w:jc w:val="center"/>
        <w:rPr>
          <w:b/>
        </w:rPr>
      </w:pPr>
      <w:r w:rsidRPr="00C751D0">
        <w:rPr>
          <w:b/>
        </w:rPr>
        <w:t>BEFORE</w:t>
      </w:r>
    </w:p>
    <w:p w:rsidR="00A5637F" w:rsidRPr="00C751D0" w:rsidP="00BB4C86" w14:paraId="3A542CD6" w14:textId="77777777">
      <w:pPr>
        <w:pStyle w:val="HTMLPreformatted"/>
        <w:jc w:val="center"/>
        <w:rPr>
          <w:rFonts w:ascii="Times New Roman" w:hAnsi="Times New Roman" w:cs="Times New Roman"/>
          <w:b/>
          <w:sz w:val="24"/>
          <w:szCs w:val="24"/>
        </w:rPr>
      </w:pPr>
      <w:r w:rsidRPr="00C751D0">
        <w:rPr>
          <w:rFonts w:ascii="Times New Roman" w:hAnsi="Times New Roman" w:cs="Times New Roman"/>
          <w:b/>
          <w:bCs/>
          <w:sz w:val="24"/>
          <w:szCs w:val="24"/>
        </w:rPr>
        <w:t>THE PUBLIC UTILITIES COMMISSION OF OHIO</w:t>
      </w:r>
    </w:p>
    <w:p w:rsidR="00A5637F" w:rsidRPr="00C751D0" w:rsidP="00DB6639" w14:paraId="4A48DF90" w14:textId="77777777">
      <w:pPr>
        <w:pStyle w:val="HTMLPreformatted"/>
        <w:jc w:val="center"/>
        <w:rPr>
          <w:rFonts w:ascii="Times New Roman" w:hAnsi="Times New Roman" w:cs="Times New Roman"/>
          <w:b/>
          <w:sz w:val="24"/>
          <w:szCs w:val="24"/>
        </w:rPr>
      </w:pPr>
    </w:p>
    <w:tbl>
      <w:tblPr>
        <w:tblW w:w="8897" w:type="dxa"/>
        <w:tblInd w:w="0" w:type="dxa"/>
        <w:tblCellMar>
          <w:top w:w="0" w:type="dxa"/>
          <w:left w:w="108" w:type="dxa"/>
          <w:bottom w:w="0" w:type="dxa"/>
          <w:right w:w="108" w:type="dxa"/>
        </w:tblCellMar>
        <w:tblLook w:val="01E0"/>
      </w:tblPr>
      <w:tblGrid>
        <w:gridCol w:w="4577"/>
        <w:gridCol w:w="553"/>
        <w:gridCol w:w="3767"/>
      </w:tblGrid>
      <w:tr w14:paraId="0028959E" w14:textId="77777777" w:rsidTr="001134B5">
        <w:tblPrEx>
          <w:tblW w:w="8897" w:type="dxa"/>
          <w:tblInd w:w="0" w:type="dxa"/>
          <w:tblCellMar>
            <w:top w:w="0" w:type="dxa"/>
            <w:left w:w="108" w:type="dxa"/>
            <w:bottom w:w="0" w:type="dxa"/>
            <w:right w:w="108" w:type="dxa"/>
          </w:tblCellMar>
          <w:tblLook w:val="01E0"/>
        </w:tblPrEx>
        <w:trPr>
          <w:trHeight w:val="807"/>
        </w:trPr>
        <w:tc>
          <w:tcPr>
            <w:tcW w:w="4577" w:type="dxa"/>
            <w:shd w:val="clear" w:color="auto" w:fill="auto"/>
          </w:tcPr>
          <w:p w:rsidR="00EA4179" w:rsidRPr="00C751D0" w:rsidP="001134B5" w14:paraId="148F9793" w14:textId="77777777">
            <w:pPr>
              <w:autoSpaceDE w:val="0"/>
              <w:autoSpaceDN w:val="0"/>
              <w:adjustRightInd w:val="0"/>
              <w:rPr>
                <w:sz w:val="24"/>
                <w:szCs w:val="24"/>
                <w:lang w:val="en-US" w:eastAsia="en-US" w:bidi="ar-SA"/>
              </w:rPr>
            </w:pPr>
            <w:r w:rsidRPr="00C751D0">
              <w:rPr>
                <w:sz w:val="24"/>
                <w:szCs w:val="24"/>
                <w:lang w:val="en-US" w:eastAsia="en-US" w:bidi="ar-SA"/>
              </w:rPr>
              <w:t>In the Matter of the Application of Duke Energy Ohio, Inc., for Authority to Establish a Standard Service Offer Pursuant to Ohio Revised Code Section 4928.143 in the Form of an Electric Security Plan.</w:t>
            </w:r>
          </w:p>
          <w:p w:rsidR="00EA4179" w:rsidRPr="00C751D0" w:rsidP="001134B5" w14:paraId="63B69B59" w14:textId="77777777">
            <w:pPr>
              <w:autoSpaceDE w:val="0"/>
              <w:autoSpaceDN w:val="0"/>
              <w:adjustRightInd w:val="0"/>
              <w:rPr>
                <w:sz w:val="24"/>
                <w:szCs w:val="24"/>
                <w:highlight w:val="cyan"/>
                <w:lang w:val="en-US" w:eastAsia="en-US" w:bidi="ar-SA"/>
              </w:rPr>
            </w:pPr>
          </w:p>
          <w:p w:rsidR="00EA4179" w:rsidRPr="00C751D0" w:rsidP="001134B5" w14:paraId="6F7280F7" w14:textId="77777777">
            <w:pPr>
              <w:autoSpaceDE w:val="0"/>
              <w:autoSpaceDN w:val="0"/>
              <w:adjustRightInd w:val="0"/>
              <w:rPr>
                <w:sz w:val="24"/>
                <w:szCs w:val="24"/>
                <w:lang w:val="en-US" w:eastAsia="en-US" w:bidi="ar-SA"/>
              </w:rPr>
            </w:pPr>
            <w:r w:rsidRPr="00C751D0">
              <w:rPr>
                <w:sz w:val="24"/>
                <w:szCs w:val="24"/>
                <w:lang w:val="en-US" w:eastAsia="en-US" w:bidi="ar-SA"/>
              </w:rPr>
              <w:t>In the Matter of the Application of Duke Energy Ohio, Inc., for Authority to Amend Tariffs, including its Certified Supplier Tariff, P.U.C.O. No. 20 and to Implement New Tariffs.</w:t>
            </w:r>
          </w:p>
          <w:p w:rsidR="00EA4179" w:rsidRPr="00C751D0" w:rsidP="001134B5" w14:paraId="16CA898E" w14:textId="77777777">
            <w:pPr>
              <w:autoSpaceDE w:val="0"/>
              <w:autoSpaceDN w:val="0"/>
              <w:adjustRightInd w:val="0"/>
              <w:rPr>
                <w:sz w:val="24"/>
                <w:szCs w:val="24"/>
                <w:highlight w:val="cyan"/>
                <w:lang w:val="en-US" w:eastAsia="en-US" w:bidi="ar-SA"/>
              </w:rPr>
            </w:pPr>
          </w:p>
          <w:p w:rsidR="00EA4179" w:rsidRPr="00C751D0" w:rsidP="001134B5" w14:paraId="730BCFF2" w14:textId="77777777">
            <w:pPr>
              <w:autoSpaceDE w:val="0"/>
              <w:autoSpaceDN w:val="0"/>
              <w:adjustRightInd w:val="0"/>
              <w:rPr>
                <w:sz w:val="24"/>
                <w:szCs w:val="24"/>
                <w:highlight w:val="cyan"/>
                <w:lang w:val="en-US" w:eastAsia="en-US" w:bidi="ar-SA"/>
              </w:rPr>
            </w:pPr>
            <w:r w:rsidRPr="00C751D0">
              <w:rPr>
                <w:sz w:val="24"/>
                <w:szCs w:val="24"/>
                <w:lang w:val="en-US" w:eastAsia="en-US" w:bidi="ar-SA"/>
              </w:rPr>
              <w:t>In the Matter of the Application of Duke Energy Ohio, Inc., for Accounting Authority, including any Necessary Deferrals.</w:t>
            </w:r>
          </w:p>
        </w:tc>
        <w:tc>
          <w:tcPr>
            <w:tcW w:w="553" w:type="dxa"/>
            <w:shd w:val="clear" w:color="auto" w:fill="auto"/>
          </w:tcPr>
          <w:p w:rsidR="00EA4179" w:rsidRPr="00C751D0" w:rsidP="001134B5" w14:paraId="27355C1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EA4179" w:rsidRPr="00C751D0" w:rsidP="001134B5" w14:paraId="4519DA6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EA4179" w:rsidRPr="00C751D0" w:rsidP="001134B5" w14:paraId="0BDCA6A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EA4179" w:rsidRPr="00C751D0" w:rsidP="001134B5" w14:paraId="2AF1B9C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EA4179" w:rsidRPr="00C751D0" w:rsidP="001134B5" w14:paraId="16708C6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EA4179" w:rsidRPr="00C751D0" w:rsidP="001134B5" w14:paraId="76C6994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A4179" w:rsidRPr="00C751D0" w:rsidP="001134B5" w14:paraId="3BF3983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EA4179" w:rsidRPr="00C751D0" w:rsidP="001134B5" w14:paraId="0B23DC1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EA4179" w:rsidRPr="00C751D0" w:rsidP="001134B5" w14:paraId="79BF0AD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EA4179" w:rsidRPr="00C751D0" w:rsidP="001134B5" w14:paraId="3110961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EA4179" w:rsidRPr="00C751D0" w:rsidP="001134B5" w14:paraId="645A565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EA4179" w:rsidRPr="00C751D0" w:rsidP="001134B5" w14:paraId="78AFB9C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A4179" w:rsidRPr="00C751D0" w:rsidP="001134B5" w14:paraId="0876BD2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EA4179" w:rsidRPr="00C751D0" w:rsidP="001134B5" w14:paraId="4E43E52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p w:rsidR="00EA4179" w:rsidRPr="00C751D0" w:rsidP="001134B5" w14:paraId="1DBBBEE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w:t>
            </w:r>
          </w:p>
        </w:tc>
        <w:tc>
          <w:tcPr>
            <w:tcW w:w="3767" w:type="dxa"/>
            <w:shd w:val="clear" w:color="auto" w:fill="auto"/>
          </w:tcPr>
          <w:p w:rsidR="00EA4179" w:rsidRPr="00C751D0" w:rsidP="001134B5" w14:paraId="469839D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highlight w:val="cyan"/>
                <w:lang w:val="en-US" w:eastAsia="en-US" w:bidi="ar-SA"/>
              </w:rPr>
            </w:pPr>
          </w:p>
          <w:p w:rsidR="00EA4179" w:rsidRPr="00C751D0" w:rsidP="001134B5" w14:paraId="58EF488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A4179" w:rsidRPr="00C751D0" w:rsidP="001134B5" w14:paraId="6EBEBDC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Case No. 24-278-EL-SSO</w:t>
            </w:r>
          </w:p>
          <w:p w:rsidR="00EA4179" w:rsidRPr="00C751D0" w:rsidP="001134B5" w14:paraId="26829D5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A4179" w:rsidRPr="00C751D0" w:rsidP="001134B5" w14:paraId="7BDAA86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A4179" w:rsidRPr="00C751D0" w:rsidP="001134B5" w14:paraId="0E7B988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A4179" w:rsidRPr="00C751D0" w:rsidP="001134B5" w14:paraId="3696C7C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A4179" w:rsidRPr="00C751D0" w:rsidP="001134B5" w14:paraId="517C317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A4179" w:rsidRPr="00C751D0" w:rsidP="001134B5" w14:paraId="2482268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Case No. 24-279-EL-ATA</w:t>
            </w:r>
          </w:p>
          <w:p w:rsidR="00EA4179" w:rsidRPr="00C751D0" w:rsidP="001134B5" w14:paraId="300BE3E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A4179" w:rsidRPr="00C751D0" w:rsidP="001134B5" w14:paraId="5332E1D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A4179" w:rsidRPr="00C751D0" w:rsidP="001134B5" w14:paraId="620FF06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A4179" w:rsidRPr="00C751D0" w:rsidP="001134B5" w14:paraId="1886180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A4179" w:rsidRPr="00C751D0" w:rsidP="001134B5" w14:paraId="6B53928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C751D0">
              <w:rPr>
                <w:rFonts w:ascii="Times New Roman" w:eastAsia="Courier New" w:hAnsi="Times New Roman" w:cs="Times New Roman"/>
                <w:sz w:val="24"/>
                <w:szCs w:val="24"/>
                <w:lang w:val="en-US" w:eastAsia="en-US" w:bidi="ar-SA"/>
              </w:rPr>
              <w:t>Case No. 24-280-EL-AAM</w:t>
            </w:r>
          </w:p>
        </w:tc>
      </w:tr>
    </w:tbl>
    <w:p w:rsidR="00A5637F" w:rsidRPr="00C751D0" w:rsidP="00DB6639" w14:paraId="295E824B" w14:textId="77777777">
      <w:pPr>
        <w:pStyle w:val="HTMLPreformatted"/>
        <w:rPr>
          <w:rFonts w:ascii="Times New Roman" w:hAnsi="Times New Roman" w:cs="Times New Roman"/>
          <w:b/>
          <w:sz w:val="24"/>
          <w:szCs w:val="24"/>
        </w:rPr>
      </w:pPr>
    </w:p>
    <w:p w:rsidR="00A5637F" w:rsidRPr="00C751D0" w:rsidP="00DB6639" w14:paraId="29B94DF1" w14:textId="77777777">
      <w:pPr>
        <w:pStyle w:val="Footer"/>
        <w:pBdr>
          <w:top w:val="single" w:sz="12" w:space="1" w:color="auto"/>
        </w:pBdr>
        <w:tabs>
          <w:tab w:val="left" w:pos="4320"/>
          <w:tab w:val="clear" w:pos="8640"/>
        </w:tabs>
        <w:spacing w:line="240" w:lineRule="auto"/>
      </w:pPr>
    </w:p>
    <w:p w:rsidR="00A5637F" w:rsidRPr="00C751D0" w:rsidP="00DB6639" w14:paraId="44EFD019" w14:textId="1598D0B6">
      <w:pPr>
        <w:pStyle w:val="Footer"/>
        <w:tabs>
          <w:tab w:val="left" w:pos="4320"/>
          <w:tab w:val="clear" w:pos="8640"/>
        </w:tabs>
        <w:spacing w:line="240" w:lineRule="auto"/>
        <w:jc w:val="center"/>
      </w:pPr>
      <w:r w:rsidRPr="00C751D0">
        <w:rPr>
          <w:b/>
        </w:rPr>
        <w:t>MEMORANDUM IN SUPPORT</w:t>
      </w:r>
    </w:p>
    <w:p w:rsidR="00A5637F" w:rsidRPr="00C751D0" w:rsidP="00DB6639" w14:paraId="3F0F15BD" w14:textId="77777777">
      <w:pPr>
        <w:pStyle w:val="Footer"/>
        <w:pBdr>
          <w:bottom w:val="single" w:sz="12" w:space="1" w:color="auto"/>
        </w:pBdr>
        <w:tabs>
          <w:tab w:val="left" w:pos="4320"/>
          <w:tab w:val="clear" w:pos="8640"/>
        </w:tabs>
        <w:spacing w:line="240" w:lineRule="auto"/>
      </w:pPr>
    </w:p>
    <w:p w:rsidR="00BE06F7" w:rsidRPr="00C751D0" w:rsidP="00DB1191" w14:paraId="41715C98" w14:textId="77777777">
      <w:pPr>
        <w:pStyle w:val="BodyTextIndent3"/>
        <w:widowControl w:val="0"/>
        <w:spacing w:line="240" w:lineRule="auto"/>
        <w:ind w:right="-24"/>
        <w:rPr>
          <w:szCs w:val="24"/>
        </w:rPr>
      </w:pPr>
    </w:p>
    <w:p w:rsidR="00113CBA" w:rsidRPr="00C751D0" w:rsidP="00113CBA" w14:paraId="34B29A88" w14:textId="631E3F18">
      <w:pPr>
        <w:pStyle w:val="Footer"/>
        <w:tabs>
          <w:tab w:val="left" w:pos="4320"/>
          <w:tab w:val="clear" w:pos="8640"/>
        </w:tabs>
      </w:pPr>
      <w:r w:rsidRPr="00C751D0">
        <w:tab/>
      </w:r>
      <w:r w:rsidRPr="00C751D0" w:rsidR="00A942E0">
        <w:t>Duke</w:t>
      </w:r>
      <w:r w:rsidR="00D63311">
        <w:t>’</w:t>
      </w:r>
      <w:r w:rsidRPr="00C751D0" w:rsidR="00A942E0">
        <w:t>s proposed</w:t>
      </w:r>
      <w:r w:rsidRPr="00C751D0">
        <w:t xml:space="preserve"> ESP </w:t>
      </w:r>
      <w:r w:rsidRPr="00C751D0" w:rsidR="00A942E0">
        <w:t>starts out slow with a 1.7% increase to consumers</w:t>
      </w:r>
      <w:r w:rsidRPr="00C751D0">
        <w:t xml:space="preserve"> in the first year</w:t>
      </w:r>
      <w:r w:rsidRPr="00C751D0" w:rsidR="00A942E0">
        <w:t>.</w:t>
      </w:r>
      <w:r w:rsidR="00D63311">
        <w:t xml:space="preserve"> </w:t>
      </w:r>
      <w:r w:rsidRPr="00C751D0" w:rsidR="003C33FE">
        <w:t>Subsequent yearly rate increases add up so that by the end of Duke</w:t>
      </w:r>
      <w:r w:rsidR="00D63311">
        <w:t>’</w:t>
      </w:r>
      <w:r w:rsidRPr="00C751D0" w:rsidR="003C33FE">
        <w:t xml:space="preserve">s electric security plan consumers </w:t>
      </w:r>
      <w:r w:rsidRPr="00C751D0">
        <w:t>are paying anywhere from 6.19% to 7.87% more, depending on their usage and time of year.</w:t>
      </w:r>
      <w:r>
        <w:rPr>
          <w:rStyle w:val="FootnoteReference"/>
        </w:rPr>
        <w:footnoteReference w:id="3"/>
      </w:r>
      <w:r w:rsidRPr="00C751D0">
        <w:t xml:space="preserve"> </w:t>
      </w:r>
      <w:r w:rsidRPr="00C751D0" w:rsidR="008D50BC">
        <w:t>A typical</w:t>
      </w:r>
      <w:r w:rsidRPr="00C751D0" w:rsidR="003C33FE">
        <w:t xml:space="preserve"> consumer using </w:t>
      </w:r>
      <w:r w:rsidRPr="00C751D0" w:rsidR="008D50BC">
        <w:t>1,000 kWh per month could see a monthly bill increase of $11</w:t>
      </w:r>
      <w:r w:rsidRPr="00C751D0" w:rsidR="00704AA2">
        <w:t>.</w:t>
      </w:r>
      <w:r w:rsidRPr="00C751D0" w:rsidR="008D50BC">
        <w:t>27.</w:t>
      </w:r>
      <w:r>
        <w:rPr>
          <w:rStyle w:val="FootnoteReference"/>
        </w:rPr>
        <w:footnoteReference w:id="4"/>
      </w:r>
      <w:r w:rsidRPr="00C751D0" w:rsidR="000A6BA5">
        <w:t xml:space="preserve"> </w:t>
      </w:r>
      <w:r w:rsidRPr="00C751D0">
        <w:t xml:space="preserve">In total, Duke projects </w:t>
      </w:r>
      <w:r w:rsidRPr="00C751D0" w:rsidR="003C33FE">
        <w:t xml:space="preserve">its plan will </w:t>
      </w:r>
      <w:r w:rsidRPr="00C751D0" w:rsidR="00590435">
        <w:t xml:space="preserve">cost consumers </w:t>
      </w:r>
      <w:r w:rsidRPr="00C751D0">
        <w:t>$75,439,567</w:t>
      </w:r>
      <w:r w:rsidRPr="00C751D0" w:rsidR="003C33FE">
        <w:t xml:space="preserve"> over </w:t>
      </w:r>
      <w:r w:rsidR="00D74F21">
        <w:t>three</w:t>
      </w:r>
      <w:r w:rsidRPr="001B6B05" w:rsidR="003C33FE">
        <w:t xml:space="preserve"> years</w:t>
      </w:r>
      <w:r w:rsidRPr="00C751D0">
        <w:t>.</w:t>
      </w:r>
      <w:r>
        <w:rPr>
          <w:rStyle w:val="FootnoteReference"/>
        </w:rPr>
        <w:footnoteReference w:id="5"/>
      </w:r>
    </w:p>
    <w:p w:rsidR="00E17E12" w:rsidRPr="00C751D0" w:rsidP="00E17E12" w14:paraId="7D7B5BD9" w14:textId="49505B3B">
      <w:pPr>
        <w:pStyle w:val="Footer"/>
        <w:tabs>
          <w:tab w:val="left" w:pos="4320"/>
          <w:tab w:val="clear" w:pos="8640"/>
        </w:tabs>
      </w:pPr>
      <w:r w:rsidRPr="00C751D0">
        <w:tab/>
      </w:r>
      <w:r w:rsidRPr="00C751D0" w:rsidR="00F75798">
        <w:t>Duke</w:t>
      </w:r>
      <w:r w:rsidRPr="00C751D0" w:rsidR="004A2E1F">
        <w:t xml:space="preserve"> </w:t>
      </w:r>
      <w:r w:rsidRPr="00C751D0" w:rsidR="002907E3">
        <w:t xml:space="preserve">seeks </w:t>
      </w:r>
      <w:r w:rsidRPr="00C751D0" w:rsidR="003C33FE">
        <w:t xml:space="preserve">to collect this rate increase </w:t>
      </w:r>
      <w:r w:rsidRPr="00C751D0">
        <w:t>through add-on charges known as riders.</w:t>
      </w:r>
      <w:r w:rsidR="00D63311">
        <w:t xml:space="preserve"> </w:t>
      </w:r>
      <w:r w:rsidRPr="00C751D0">
        <w:t>T</w:t>
      </w:r>
      <w:r w:rsidRPr="00C751D0" w:rsidR="00F75798">
        <w:t>he</w:t>
      </w:r>
      <w:r w:rsidRPr="00C751D0" w:rsidR="00E71251">
        <w:t xml:space="preserve"> amount consumers pay under these</w:t>
      </w:r>
      <w:r w:rsidRPr="00C751D0" w:rsidR="00F75798">
        <w:t xml:space="preserve"> riders </w:t>
      </w:r>
      <w:r w:rsidRPr="00C751D0" w:rsidR="00126FFD">
        <w:t>is</w:t>
      </w:r>
      <w:r w:rsidRPr="00C751D0" w:rsidR="00F75798">
        <w:t xml:space="preserve"> </w:t>
      </w:r>
      <w:r w:rsidRPr="00C751D0" w:rsidR="00E71251">
        <w:t xml:space="preserve">in addition to the amounts they already pay </w:t>
      </w:r>
      <w:r w:rsidRPr="00C751D0">
        <w:t xml:space="preserve">to Duke as part of the </w:t>
      </w:r>
      <w:r w:rsidRPr="00C751D0" w:rsidR="00F75798">
        <w:t>base</w:t>
      </w:r>
      <w:r w:rsidRPr="00C751D0" w:rsidR="00E71251">
        <w:t xml:space="preserve"> distribution</w:t>
      </w:r>
      <w:r w:rsidRPr="00C751D0" w:rsidR="00F75798">
        <w:t xml:space="preserve"> rate</w:t>
      </w:r>
      <w:r w:rsidRPr="00C751D0" w:rsidR="00E71251">
        <w:t>s. The riders</w:t>
      </w:r>
      <w:r w:rsidRPr="00C751D0" w:rsidR="006127CF">
        <w:t xml:space="preserve"> fund</w:t>
      </w:r>
      <w:r w:rsidRPr="00C751D0" w:rsidR="00F75798">
        <w:t xml:space="preserve"> </w:t>
      </w:r>
      <w:r w:rsidRPr="00C751D0" w:rsidR="006127CF">
        <w:t>Duke</w:t>
      </w:r>
      <w:r w:rsidR="00D63311">
        <w:t>’</w:t>
      </w:r>
      <w:r w:rsidRPr="00C751D0" w:rsidR="006127CF">
        <w:t xml:space="preserve">s </w:t>
      </w:r>
      <w:r w:rsidRPr="00C751D0" w:rsidR="00F75798">
        <w:t>programs and initiatives</w:t>
      </w:r>
      <w:r w:rsidRPr="00C751D0" w:rsidR="00E71251">
        <w:t>, which</w:t>
      </w:r>
      <w:r w:rsidRPr="00C751D0" w:rsidR="006127CF">
        <w:t xml:space="preserve"> may not directly benefit residential consumers</w:t>
      </w:r>
      <w:r w:rsidRPr="00C751D0" w:rsidR="00F75798">
        <w:t xml:space="preserve">. </w:t>
      </w:r>
    </w:p>
    <w:p w:rsidR="00590435" w:rsidRPr="00C751D0" w:rsidP="00DB6639" w14:paraId="72DC52DE" w14:textId="2BCBB6F2">
      <w:pPr>
        <w:pStyle w:val="Footer"/>
        <w:tabs>
          <w:tab w:val="left" w:pos="4320"/>
          <w:tab w:val="clear" w:pos="8640"/>
        </w:tabs>
      </w:pPr>
      <w:r w:rsidRPr="00C751D0">
        <w:tab/>
      </w:r>
      <w:r w:rsidRPr="00C751D0">
        <w:t>For example, Duke proposes to collect costs for two electric vehicle programs through the Infrastructure Modernization Rider.</w:t>
      </w:r>
      <w:r>
        <w:rPr>
          <w:rStyle w:val="FootnoteReference"/>
        </w:rPr>
        <w:footnoteReference w:id="6"/>
      </w:r>
      <w:r w:rsidRPr="00C751D0">
        <w:t xml:space="preserve"> Most residential utility consumers do not even own or drive an electric vehicle. Consumers who cannot afford electric vehicles should not be required to subsidize consumers who can. Duke also has included </w:t>
      </w:r>
      <w:r w:rsidRPr="00C751D0" w:rsidR="000977C9">
        <w:t xml:space="preserve">add on charges for energy efficiency programs even though such </w:t>
      </w:r>
      <w:r w:rsidRPr="00C751D0">
        <w:t>programs are no longer statutorily required and are available in the competitive marke</w:t>
      </w:r>
      <w:r w:rsidRPr="00C751D0" w:rsidR="000977C9">
        <w:t>t.</w:t>
      </w:r>
      <w:r w:rsidR="00D63311">
        <w:t xml:space="preserve"> </w:t>
      </w:r>
    </w:p>
    <w:p w:rsidR="005F5849" w:rsidRPr="00C751D0" w:rsidP="00DB6639" w14:paraId="765C8666" w14:textId="1A4C0827">
      <w:pPr>
        <w:pStyle w:val="Footer"/>
        <w:tabs>
          <w:tab w:val="left" w:pos="4320"/>
          <w:tab w:val="clear" w:pos="8640"/>
        </w:tabs>
      </w:pPr>
      <w:r w:rsidRPr="00C751D0">
        <w:tab/>
      </w:r>
      <w:r w:rsidRPr="00C751D0" w:rsidR="002B197A">
        <w:t>OCC has authority to represent the interests of Duke</w:t>
      </w:r>
      <w:r w:rsidR="00D63311">
        <w:t>’</w:t>
      </w:r>
      <w:r w:rsidRPr="00C751D0" w:rsidR="002B197A">
        <w:t>s 910,000 residential utility consumers of Duke, under R.C. Chapter 4911.</w:t>
      </w:r>
    </w:p>
    <w:p w:rsidR="00165484" w:rsidRPr="00C751D0" w:rsidP="008B1879" w14:paraId="07B3685A" w14:textId="759C1EE1">
      <w:pPr>
        <w:pStyle w:val="Footer"/>
        <w:tabs>
          <w:tab w:val="left" w:pos="4320"/>
          <w:tab w:val="clear" w:pos="8640"/>
        </w:tabs>
      </w:pPr>
      <w:r w:rsidRPr="00C751D0">
        <w:tab/>
      </w:r>
      <w:r w:rsidRPr="00C751D0" w:rsidR="006755BB">
        <w:t>R.C. 4903.221 provides</w:t>
      </w:r>
      <w:r w:rsidRPr="00C751D0" w:rsidR="00F92877">
        <w:t xml:space="preserve"> the standard for permissive intervention – where the PUCO may exercise discretion in ruling upon a party</w:t>
      </w:r>
      <w:r w:rsidR="00D63311">
        <w:t>’</w:t>
      </w:r>
      <w:r w:rsidRPr="00C751D0" w:rsidR="00F92877">
        <w:t>s motion to intervene.</w:t>
      </w:r>
      <w:r w:rsidRPr="00C751D0" w:rsidR="00A46DBC">
        <w:t xml:space="preserve"> </w:t>
      </w:r>
      <w:r w:rsidRPr="00C751D0" w:rsidR="00F92877">
        <w:t>That law provides</w:t>
      </w:r>
      <w:r w:rsidRPr="00C751D0" w:rsidR="006755BB">
        <w:t xml:space="preserve">, in part, that any person </w:t>
      </w:r>
      <w:r w:rsidR="00D63311">
        <w:t>“</w:t>
      </w:r>
      <w:r w:rsidRPr="00C751D0" w:rsidR="006755BB">
        <w:t>who may be adversely affected</w:t>
      </w:r>
      <w:r w:rsidR="00D63311">
        <w:t>”</w:t>
      </w:r>
      <w:r w:rsidRPr="00C751D0" w:rsidR="006755BB">
        <w:t xml:space="preserve"> by a PUCO proceeding is entitled to seek intervention in that proceeding.</w:t>
      </w:r>
    </w:p>
    <w:p w:rsidR="004D14D4" w:rsidRPr="00C751D0" w:rsidP="00DB6639" w14:paraId="7B31A4D2" w14:textId="662F76BE">
      <w:pPr>
        <w:pStyle w:val="Footer"/>
        <w:tabs>
          <w:tab w:val="left" w:pos="4320"/>
          <w:tab w:val="clear" w:pos="8640"/>
        </w:tabs>
      </w:pPr>
      <w:r w:rsidRPr="00C751D0">
        <w:tab/>
      </w:r>
      <w:r w:rsidRPr="00C751D0" w:rsidR="006755BB">
        <w:t xml:space="preserve">The interests of </w:t>
      </w:r>
      <w:r w:rsidRPr="00C751D0" w:rsidR="001E0A51">
        <w:t>Duke</w:t>
      </w:r>
      <w:r w:rsidR="00D63311">
        <w:t>’</w:t>
      </w:r>
      <w:r w:rsidRPr="00C751D0" w:rsidR="001E0A51">
        <w:t>s</w:t>
      </w:r>
      <w:r w:rsidRPr="00C751D0" w:rsidR="006755BB">
        <w:t xml:space="preserve"> residential </w:t>
      </w:r>
      <w:r w:rsidRPr="00C751D0" w:rsidR="00DA6AE4">
        <w:t>consumer</w:t>
      </w:r>
      <w:r w:rsidRPr="00C751D0" w:rsidR="006755BB">
        <w:t xml:space="preserve">s may be </w:t>
      </w:r>
      <w:r w:rsidR="00D63311">
        <w:t>“</w:t>
      </w:r>
      <w:r w:rsidRPr="00C751D0" w:rsidR="006755BB">
        <w:t>adversely affected</w:t>
      </w:r>
      <w:r w:rsidR="00D63311">
        <w:t>”</w:t>
      </w:r>
      <w:r w:rsidRPr="00C751D0" w:rsidR="006755BB">
        <w:t xml:space="preserve"> by this case</w:t>
      </w:r>
      <w:r w:rsidRPr="00C751D0" w:rsidR="00A044B5">
        <w:t>,</w:t>
      </w:r>
      <w:r w:rsidRPr="00C751D0" w:rsidR="000330D3">
        <w:t xml:space="preserve"> especially </w:t>
      </w:r>
      <w:r w:rsidRPr="00C751D0" w:rsidR="006755BB">
        <w:t xml:space="preserve">if </w:t>
      </w:r>
      <w:r w:rsidRPr="00C751D0" w:rsidR="00A044B5">
        <w:t xml:space="preserve">the </w:t>
      </w:r>
      <w:r w:rsidRPr="00C751D0" w:rsidR="003E7261">
        <w:t>consumers</w:t>
      </w:r>
      <w:r w:rsidRPr="00C751D0" w:rsidR="00A044B5">
        <w:t xml:space="preserve"> </w:t>
      </w:r>
      <w:r w:rsidRPr="00C751D0" w:rsidR="006755BB">
        <w:t xml:space="preserve">were unrepresented in a proceeding </w:t>
      </w:r>
      <w:r w:rsidRPr="00C751D0" w:rsidR="003A5AB3">
        <w:t>where Duke seeks to</w:t>
      </w:r>
      <w:r w:rsidRPr="00C751D0" w:rsidR="00F0514F">
        <w:t xml:space="preserve"> increase </w:t>
      </w:r>
      <w:r w:rsidRPr="00C751D0" w:rsidR="00C937CD">
        <w:t>the rates</w:t>
      </w:r>
      <w:r w:rsidRPr="00C751D0" w:rsidR="00F0514F">
        <w:t xml:space="preserve"> residential consumers pay</w:t>
      </w:r>
      <w:r w:rsidRPr="00C751D0" w:rsidR="003409E3">
        <w:t>.</w:t>
      </w:r>
      <w:r w:rsidRPr="00C751D0" w:rsidR="003A5AB3">
        <w:t xml:space="preserve"> </w:t>
      </w:r>
      <w:r w:rsidRPr="00C751D0" w:rsidR="006755BB">
        <w:t>Thus, this element of the</w:t>
      </w:r>
      <w:r w:rsidRPr="00C751D0">
        <w:t xml:space="preserve"> permissive</w:t>
      </w:r>
      <w:r w:rsidRPr="00C751D0" w:rsidR="006755BB">
        <w:t xml:space="preserve"> intervention standard in R.C. 4903.221 is satisfied. </w:t>
      </w:r>
    </w:p>
    <w:p w:rsidR="004D14D4" w:rsidRPr="00C751D0" w:rsidP="004D14D4" w14:paraId="3A8D0659" w14:textId="48F8C391">
      <w:pPr>
        <w:spacing w:line="480" w:lineRule="auto"/>
        <w:ind w:firstLine="720"/>
      </w:pPr>
      <w:r w:rsidRPr="00C751D0">
        <w:t xml:space="preserve">R.C. 4903.221(B) requires the PUCO to consider the following criteria in ruling on </w:t>
      </w:r>
      <w:r w:rsidRPr="00C751D0" w:rsidR="00F92877">
        <w:t xml:space="preserve">permissive </w:t>
      </w:r>
      <w:r w:rsidRPr="00C751D0">
        <w:t>interven</w:t>
      </w:r>
      <w:r w:rsidRPr="00C751D0" w:rsidR="00F92877">
        <w:t>tion</w:t>
      </w:r>
      <w:r w:rsidRPr="00C751D0">
        <w:t>:</w:t>
      </w:r>
    </w:p>
    <w:p w:rsidR="004D14D4" w:rsidRPr="00C751D0" w:rsidP="00DB6639" w14:paraId="4F395A20" w14:textId="6FCED118">
      <w:pPr>
        <w:ind w:left="1440" w:hanging="720"/>
      </w:pPr>
      <w:r w:rsidRPr="00C751D0">
        <w:t>(1)</w:t>
      </w:r>
      <w:r w:rsidRPr="00C751D0">
        <w:tab/>
        <w:t>The nature and extent of the prospective intervenor</w:t>
      </w:r>
      <w:r w:rsidR="00D63311">
        <w:t>’</w:t>
      </w:r>
      <w:r w:rsidRPr="00C751D0">
        <w:t>s interest;</w:t>
      </w:r>
    </w:p>
    <w:p w:rsidR="004D14D4" w:rsidRPr="00C751D0" w:rsidP="00DB6639" w14:paraId="664356A3" w14:textId="77777777">
      <w:pPr>
        <w:spacing w:before="240"/>
        <w:ind w:left="1440" w:hanging="720"/>
      </w:pPr>
      <w:r w:rsidRPr="00C751D0">
        <w:t>(2)</w:t>
      </w:r>
      <w:r w:rsidRPr="00C751D0">
        <w:tab/>
        <w:t>The legal position advanced by the prospective intervenor and its probable relation to the merits of the case;</w:t>
      </w:r>
    </w:p>
    <w:p w:rsidR="00F620D7" w:rsidRPr="00C751D0" w:rsidP="00DB6639" w14:paraId="2A4407A3" w14:textId="08EF71A6">
      <w:pPr>
        <w:spacing w:before="240"/>
        <w:ind w:left="1440" w:hanging="720"/>
      </w:pPr>
      <w:r w:rsidRPr="00C751D0">
        <w:t>(3)</w:t>
      </w:r>
      <w:r w:rsidRPr="00C751D0">
        <w:tab/>
        <w:t>Whether the intervention by the prospective intervenor will unduly prolong or delay the proceeding; and</w:t>
      </w:r>
    </w:p>
    <w:p w:rsidR="004D14D4" w:rsidRPr="00C751D0" w:rsidP="00302790" w14:paraId="30098783" w14:textId="77777777">
      <w:pPr>
        <w:pStyle w:val="BodyTextIndent2"/>
        <w:spacing w:before="240"/>
        <w:ind w:left="1440"/>
        <w:rPr>
          <w:b w:val="0"/>
        </w:rPr>
      </w:pPr>
      <w:r w:rsidRPr="00C751D0">
        <w:rPr>
          <w:b w:val="0"/>
        </w:rPr>
        <w:t>(4)</w:t>
      </w:r>
      <w:r w:rsidRPr="00C751D0">
        <w:rPr>
          <w:b w:val="0"/>
        </w:rPr>
        <w:tab/>
        <w:t>Whether the prospective intervenor will significantly contribute to</w:t>
      </w:r>
      <w:r w:rsidRPr="00C751D0">
        <w:rPr>
          <w:b w:val="0"/>
          <w:bCs w:val="0"/>
        </w:rPr>
        <w:t xml:space="preserve"> the</w:t>
      </w:r>
      <w:r w:rsidRPr="00C751D0">
        <w:rPr>
          <w:b w:val="0"/>
        </w:rPr>
        <w:t xml:space="preserve"> full development and equitable resolution of the factual issues.</w:t>
      </w:r>
    </w:p>
    <w:p w:rsidR="000330D3" w:rsidRPr="00C751D0" w:rsidP="000330D3" w14:paraId="3BED3F3E" w14:textId="7671B893">
      <w:pPr>
        <w:pStyle w:val="BodyTextIndent3"/>
        <w:spacing w:line="480" w:lineRule="auto"/>
        <w:rPr>
          <w:szCs w:val="24"/>
        </w:rPr>
      </w:pPr>
      <w:r w:rsidRPr="00C751D0">
        <w:rPr>
          <w:szCs w:val="24"/>
        </w:rPr>
        <w:t>First, the nature and extent of OCC</w:t>
      </w:r>
      <w:r w:rsidR="00D63311">
        <w:rPr>
          <w:szCs w:val="24"/>
        </w:rPr>
        <w:t>’</w:t>
      </w:r>
      <w:r w:rsidRPr="00C751D0">
        <w:rPr>
          <w:szCs w:val="24"/>
        </w:rPr>
        <w:t xml:space="preserve">s interest is representing </w:t>
      </w:r>
      <w:r w:rsidRPr="00C751D0" w:rsidR="00A044B5">
        <w:rPr>
          <w:szCs w:val="24"/>
        </w:rPr>
        <w:t>the</w:t>
      </w:r>
      <w:r w:rsidRPr="00C751D0">
        <w:rPr>
          <w:szCs w:val="24"/>
        </w:rPr>
        <w:t xml:space="preserve"> residential </w:t>
      </w:r>
      <w:r w:rsidRPr="00C751D0" w:rsidR="00DA6AE4">
        <w:rPr>
          <w:szCs w:val="24"/>
        </w:rPr>
        <w:t>consumer</w:t>
      </w:r>
      <w:r w:rsidRPr="00C751D0">
        <w:rPr>
          <w:szCs w:val="24"/>
        </w:rPr>
        <w:t>s in this case</w:t>
      </w:r>
      <w:r w:rsidRPr="00C751D0" w:rsidR="00A044B5">
        <w:rPr>
          <w:szCs w:val="24"/>
        </w:rPr>
        <w:t xml:space="preserve"> </w:t>
      </w:r>
      <w:r w:rsidRPr="00C751D0" w:rsidR="003409E3">
        <w:rPr>
          <w:szCs w:val="24"/>
        </w:rPr>
        <w:t>regarding Duke</w:t>
      </w:r>
      <w:r w:rsidR="00D63311">
        <w:rPr>
          <w:szCs w:val="24"/>
        </w:rPr>
        <w:t>’</w:t>
      </w:r>
      <w:r w:rsidRPr="00C751D0" w:rsidR="003409E3">
        <w:rPr>
          <w:szCs w:val="24"/>
        </w:rPr>
        <w:t xml:space="preserve">s proposal (through its electric security plan) to charge consumers more for electric distribution service through </w:t>
      </w:r>
      <w:r w:rsidRPr="00C751D0" w:rsidR="00C937CD">
        <w:rPr>
          <w:szCs w:val="24"/>
        </w:rPr>
        <w:t>add on charges (riders)</w:t>
      </w:r>
      <w:r w:rsidRPr="00C751D0" w:rsidR="003409E3">
        <w:rPr>
          <w:szCs w:val="24"/>
        </w:rPr>
        <w:t>.</w:t>
      </w:r>
      <w:r w:rsidRPr="00C751D0" w:rsidR="00A46DBC">
        <w:rPr>
          <w:szCs w:val="24"/>
        </w:rPr>
        <w:t xml:space="preserve"> </w:t>
      </w:r>
      <w:r w:rsidRPr="00C751D0" w:rsidR="001E0A51">
        <w:rPr>
          <w:szCs w:val="24"/>
        </w:rPr>
        <w:t>OCC</w:t>
      </w:r>
      <w:r w:rsidR="00D63311">
        <w:rPr>
          <w:szCs w:val="24"/>
        </w:rPr>
        <w:t>’</w:t>
      </w:r>
      <w:r w:rsidRPr="00C751D0" w:rsidR="001E0A51">
        <w:rPr>
          <w:szCs w:val="24"/>
        </w:rPr>
        <w:t xml:space="preserve">s </w:t>
      </w:r>
      <w:r w:rsidRPr="00C751D0">
        <w:rPr>
          <w:szCs w:val="24"/>
        </w:rPr>
        <w:t xml:space="preserve">interest is different than that of any other party and especially different than that of </w:t>
      </w:r>
      <w:r w:rsidRPr="00C751D0" w:rsidR="003409E3">
        <w:rPr>
          <w:szCs w:val="24"/>
        </w:rPr>
        <w:t>Duke</w:t>
      </w:r>
      <w:r w:rsidRPr="00C751D0" w:rsidR="001E0A51">
        <w:rPr>
          <w:szCs w:val="24"/>
        </w:rPr>
        <w:t>,</w:t>
      </w:r>
      <w:r w:rsidRPr="00C751D0">
        <w:rPr>
          <w:szCs w:val="24"/>
        </w:rPr>
        <w:t xml:space="preserve"> whose advocacy includes the financial interest of stockholders.</w:t>
      </w:r>
    </w:p>
    <w:p w:rsidR="000330D3" w:rsidRPr="00C751D0" w:rsidP="00302790" w14:paraId="62436CA7" w14:textId="2E5EF570">
      <w:pPr>
        <w:pStyle w:val="BodyTextIndent3"/>
        <w:spacing w:line="480" w:lineRule="auto"/>
        <w:rPr>
          <w:szCs w:val="24"/>
        </w:rPr>
      </w:pPr>
      <w:r w:rsidRPr="00C751D0">
        <w:rPr>
          <w:szCs w:val="24"/>
        </w:rPr>
        <w:t>Second, OCC</w:t>
      </w:r>
      <w:r w:rsidR="00D63311">
        <w:rPr>
          <w:szCs w:val="24"/>
        </w:rPr>
        <w:t>’</w:t>
      </w:r>
      <w:r w:rsidRPr="00C751D0">
        <w:rPr>
          <w:szCs w:val="24"/>
        </w:rPr>
        <w:t xml:space="preserve">s advocacy for residential </w:t>
      </w:r>
      <w:r w:rsidRPr="00C751D0" w:rsidR="00DA6AE4">
        <w:rPr>
          <w:szCs w:val="24"/>
        </w:rPr>
        <w:t>consumer</w:t>
      </w:r>
      <w:r w:rsidRPr="00C751D0">
        <w:rPr>
          <w:szCs w:val="24"/>
        </w:rPr>
        <w:t>s will include</w:t>
      </w:r>
      <w:r w:rsidRPr="00C751D0" w:rsidR="0055107B">
        <w:rPr>
          <w:szCs w:val="24"/>
        </w:rPr>
        <w:t>, among other things,</w:t>
      </w:r>
      <w:r w:rsidRPr="00C751D0">
        <w:rPr>
          <w:szCs w:val="24"/>
        </w:rPr>
        <w:t xml:space="preserve"> advancing the position that </w:t>
      </w:r>
      <w:r w:rsidRPr="00C751D0" w:rsidR="00A044B5">
        <w:rPr>
          <w:szCs w:val="24"/>
        </w:rPr>
        <w:t>rates</w:t>
      </w:r>
      <w:r w:rsidRPr="00C751D0">
        <w:rPr>
          <w:szCs w:val="24"/>
        </w:rPr>
        <w:t xml:space="preserve"> should </w:t>
      </w:r>
      <w:r w:rsidRPr="00C751D0" w:rsidR="00A044B5">
        <w:rPr>
          <w:szCs w:val="24"/>
        </w:rPr>
        <w:t>be</w:t>
      </w:r>
      <w:r w:rsidRPr="00C751D0">
        <w:rPr>
          <w:szCs w:val="24"/>
        </w:rPr>
        <w:t xml:space="preserve"> no more than what is </w:t>
      </w:r>
      <w:r w:rsidRPr="00C751D0" w:rsidR="001E0A51">
        <w:rPr>
          <w:szCs w:val="24"/>
        </w:rPr>
        <w:t xml:space="preserve">just and </w:t>
      </w:r>
      <w:r w:rsidRPr="00C751D0">
        <w:rPr>
          <w:szCs w:val="24"/>
        </w:rPr>
        <w:t>reasonable</w:t>
      </w:r>
      <w:r w:rsidRPr="00C751D0" w:rsidR="00A044B5">
        <w:rPr>
          <w:szCs w:val="24"/>
        </w:rPr>
        <w:t xml:space="preserve"> and lawful</w:t>
      </w:r>
      <w:r w:rsidRPr="00C751D0">
        <w:rPr>
          <w:szCs w:val="24"/>
        </w:rPr>
        <w:t xml:space="preserve">, for service that is </w:t>
      </w:r>
      <w:r w:rsidRPr="00C751D0" w:rsidR="00A044B5">
        <w:rPr>
          <w:szCs w:val="24"/>
        </w:rPr>
        <w:t>adequate</w:t>
      </w:r>
      <w:r w:rsidRPr="00C751D0">
        <w:rPr>
          <w:szCs w:val="24"/>
        </w:rPr>
        <w:t xml:space="preserve"> under Ohio law</w:t>
      </w:r>
      <w:r w:rsidRPr="00C751D0" w:rsidR="00A044B5">
        <w:rPr>
          <w:szCs w:val="24"/>
        </w:rPr>
        <w:t>.</w:t>
      </w:r>
      <w:r w:rsidRPr="00C751D0" w:rsidR="00450F0C">
        <w:rPr>
          <w:szCs w:val="24"/>
        </w:rPr>
        <w:t xml:space="preserve"> </w:t>
      </w:r>
      <w:r w:rsidRPr="00C751D0" w:rsidR="001E0A51">
        <w:rPr>
          <w:szCs w:val="24"/>
        </w:rPr>
        <w:t>As noted above, Duke propose</w:t>
      </w:r>
      <w:r w:rsidRPr="00C751D0" w:rsidR="003409E3">
        <w:rPr>
          <w:szCs w:val="24"/>
        </w:rPr>
        <w:t xml:space="preserve">s to </w:t>
      </w:r>
      <w:r w:rsidRPr="00C751D0" w:rsidR="00C937CD">
        <w:rPr>
          <w:szCs w:val="24"/>
        </w:rPr>
        <w:t xml:space="preserve">increase </w:t>
      </w:r>
      <w:r w:rsidRPr="00C751D0" w:rsidR="003409E3">
        <w:rPr>
          <w:szCs w:val="24"/>
        </w:rPr>
        <w:t>charge</w:t>
      </w:r>
      <w:r w:rsidRPr="00C751D0" w:rsidR="00C937CD">
        <w:rPr>
          <w:szCs w:val="24"/>
        </w:rPr>
        <w:t>s to</w:t>
      </w:r>
      <w:r w:rsidRPr="00C751D0" w:rsidR="003409E3">
        <w:rPr>
          <w:szCs w:val="24"/>
        </w:rPr>
        <w:t xml:space="preserve"> consumers for </w:t>
      </w:r>
      <w:r w:rsidRPr="00C751D0" w:rsidR="00450F0C">
        <w:rPr>
          <w:szCs w:val="24"/>
        </w:rPr>
        <w:t xml:space="preserve">initiatives which </w:t>
      </w:r>
      <w:r w:rsidRPr="00C751D0" w:rsidR="00C937CD">
        <w:rPr>
          <w:szCs w:val="24"/>
        </w:rPr>
        <w:t>may have</w:t>
      </w:r>
      <w:r w:rsidRPr="00C751D0" w:rsidR="00450F0C">
        <w:rPr>
          <w:szCs w:val="24"/>
        </w:rPr>
        <w:t xml:space="preserve"> </w:t>
      </w:r>
      <w:r w:rsidRPr="00C751D0" w:rsidR="001913E6">
        <w:rPr>
          <w:szCs w:val="24"/>
        </w:rPr>
        <w:t xml:space="preserve">limited benefit to </w:t>
      </w:r>
      <w:r w:rsidRPr="00C751D0" w:rsidR="00C937CD">
        <w:rPr>
          <w:szCs w:val="24"/>
        </w:rPr>
        <w:t>them</w:t>
      </w:r>
      <w:r w:rsidRPr="00C751D0" w:rsidR="00450F0C">
        <w:rPr>
          <w:szCs w:val="24"/>
        </w:rPr>
        <w:t>.</w:t>
      </w:r>
      <w:r w:rsidRPr="00C751D0" w:rsidR="00E4117D">
        <w:rPr>
          <w:szCs w:val="24"/>
        </w:rPr>
        <w:t xml:space="preserve"> </w:t>
      </w:r>
      <w:r w:rsidRPr="00C751D0">
        <w:rPr>
          <w:szCs w:val="24"/>
        </w:rPr>
        <w:t>OCC</w:t>
      </w:r>
      <w:r w:rsidR="00D63311">
        <w:rPr>
          <w:szCs w:val="24"/>
        </w:rPr>
        <w:t>’</w:t>
      </w:r>
      <w:r w:rsidRPr="00C751D0">
        <w:rPr>
          <w:szCs w:val="24"/>
        </w:rPr>
        <w:t>s position is therefore directly related to the merits of this case</w:t>
      </w:r>
      <w:r w:rsidRPr="00C751D0" w:rsidR="0055107B">
        <w:rPr>
          <w:szCs w:val="24"/>
        </w:rPr>
        <w:t>, which</w:t>
      </w:r>
      <w:r w:rsidRPr="00C751D0">
        <w:rPr>
          <w:szCs w:val="24"/>
        </w:rPr>
        <w:t xml:space="preserve"> is pending before the PUCO, the authority with regulatory control of </w:t>
      </w:r>
      <w:r w:rsidRPr="00C751D0" w:rsidR="001E0A51">
        <w:rPr>
          <w:szCs w:val="24"/>
        </w:rPr>
        <w:t>Duke</w:t>
      </w:r>
      <w:r w:rsidR="00D63311">
        <w:rPr>
          <w:szCs w:val="24"/>
        </w:rPr>
        <w:t>’</w:t>
      </w:r>
      <w:r w:rsidRPr="00C751D0" w:rsidR="001E0A51">
        <w:rPr>
          <w:szCs w:val="24"/>
        </w:rPr>
        <w:t xml:space="preserve">s </w:t>
      </w:r>
      <w:r w:rsidRPr="00C751D0">
        <w:rPr>
          <w:szCs w:val="24"/>
        </w:rPr>
        <w:t xml:space="preserve">rates and service quality. </w:t>
      </w:r>
    </w:p>
    <w:p w:rsidR="00320F5D" w:rsidRPr="00C751D0" w:rsidP="00DB6639" w14:paraId="1C00AA42" w14:textId="0EFDA567">
      <w:pPr>
        <w:pStyle w:val="BodyTextIndent3"/>
        <w:spacing w:line="480" w:lineRule="auto"/>
        <w:rPr>
          <w:szCs w:val="24"/>
        </w:rPr>
      </w:pPr>
      <w:r w:rsidRPr="00C751D0">
        <w:rPr>
          <w:szCs w:val="24"/>
        </w:rPr>
        <w:t>Third, OCC</w:t>
      </w:r>
      <w:r w:rsidR="00D63311">
        <w:rPr>
          <w:szCs w:val="24"/>
        </w:rPr>
        <w:t>’</w:t>
      </w:r>
      <w:r w:rsidRPr="00C751D0">
        <w:rPr>
          <w:szCs w:val="24"/>
        </w:rPr>
        <w:t>s intervention will not unduly prolong or delay the proceedings.</w:t>
      </w:r>
      <w:r w:rsidRPr="00C751D0" w:rsidR="00A46DBC">
        <w:rPr>
          <w:szCs w:val="24"/>
        </w:rPr>
        <w:t xml:space="preserve"> </w:t>
      </w:r>
      <w:r w:rsidRPr="00C751D0">
        <w:rPr>
          <w:szCs w:val="24"/>
        </w:rPr>
        <w:t>Delay in and of itself does not mean that intervention should be denied.</w:t>
      </w:r>
      <w:r w:rsidRPr="00C751D0" w:rsidR="00A46DBC">
        <w:rPr>
          <w:szCs w:val="24"/>
        </w:rPr>
        <w:t xml:space="preserve"> </w:t>
      </w:r>
      <w:r w:rsidRPr="00C751D0">
        <w:rPr>
          <w:szCs w:val="24"/>
        </w:rPr>
        <w:t xml:space="preserve">The key consideration is whether the intervention will cause </w:t>
      </w:r>
      <w:r w:rsidR="00D63311">
        <w:rPr>
          <w:szCs w:val="24"/>
        </w:rPr>
        <w:t>“</w:t>
      </w:r>
      <w:r w:rsidRPr="00C751D0">
        <w:rPr>
          <w:szCs w:val="24"/>
        </w:rPr>
        <w:t>undue delay.</w:t>
      </w:r>
      <w:r w:rsidR="00D63311">
        <w:rPr>
          <w:szCs w:val="24"/>
        </w:rPr>
        <w:t>”</w:t>
      </w:r>
      <w:r w:rsidRPr="00C751D0">
        <w:rPr>
          <w:szCs w:val="24"/>
        </w:rPr>
        <w:t xml:space="preserve"> Here OCC</w:t>
      </w:r>
      <w:r w:rsidR="00D63311">
        <w:rPr>
          <w:szCs w:val="24"/>
        </w:rPr>
        <w:t>’</w:t>
      </w:r>
      <w:r w:rsidRPr="00C751D0">
        <w:rPr>
          <w:szCs w:val="24"/>
        </w:rPr>
        <w:t>s intervention will not cause undue delay.</w:t>
      </w:r>
      <w:r w:rsidRPr="00C751D0" w:rsidR="004C3F8D">
        <w:rPr>
          <w:szCs w:val="24"/>
        </w:rPr>
        <w:t xml:space="preserve"> </w:t>
      </w:r>
      <w:r w:rsidRPr="00C751D0" w:rsidR="00E4117D">
        <w:rPr>
          <w:szCs w:val="24"/>
        </w:rPr>
        <w:t xml:space="preserve">This case is still in its early stages, with Duke having filed its </w:t>
      </w:r>
      <w:r w:rsidRPr="00C751D0" w:rsidR="001E0A51">
        <w:rPr>
          <w:szCs w:val="24"/>
        </w:rPr>
        <w:t>A</w:t>
      </w:r>
      <w:r w:rsidRPr="00C751D0" w:rsidR="00E4117D">
        <w:rPr>
          <w:szCs w:val="24"/>
        </w:rPr>
        <w:t xml:space="preserve">pplication on April 1, 2024. </w:t>
      </w:r>
      <w:r w:rsidRPr="00C751D0" w:rsidR="001913E6">
        <w:rPr>
          <w:szCs w:val="24"/>
        </w:rPr>
        <w:t>T</w:t>
      </w:r>
      <w:r w:rsidRPr="00C751D0" w:rsidR="00E4117D">
        <w:rPr>
          <w:szCs w:val="24"/>
        </w:rPr>
        <w:t>here have</w:t>
      </w:r>
      <w:r w:rsidRPr="00C751D0" w:rsidR="00C937CD">
        <w:rPr>
          <w:szCs w:val="24"/>
        </w:rPr>
        <w:t xml:space="preserve"> been no </w:t>
      </w:r>
      <w:r w:rsidRPr="00C751D0" w:rsidR="00E4117D">
        <w:rPr>
          <w:szCs w:val="24"/>
        </w:rPr>
        <w:t>rulings by the PUCO</w:t>
      </w:r>
      <w:r w:rsidRPr="00C751D0" w:rsidR="001913E6">
        <w:rPr>
          <w:szCs w:val="24"/>
        </w:rPr>
        <w:t xml:space="preserve"> and no procedural schedule has been set</w:t>
      </w:r>
      <w:r w:rsidRPr="00C751D0" w:rsidR="00E4117D">
        <w:rPr>
          <w:szCs w:val="24"/>
        </w:rPr>
        <w:t>. OCC</w:t>
      </w:r>
      <w:r w:rsidR="00D63311">
        <w:rPr>
          <w:szCs w:val="24"/>
        </w:rPr>
        <w:t>’</w:t>
      </w:r>
      <w:r w:rsidRPr="00C751D0" w:rsidR="00E4117D">
        <w:rPr>
          <w:szCs w:val="24"/>
        </w:rPr>
        <w:t xml:space="preserve">s </w:t>
      </w:r>
      <w:r w:rsidRPr="00C751D0" w:rsidR="001E0A51">
        <w:rPr>
          <w:szCs w:val="24"/>
        </w:rPr>
        <w:t>M</w:t>
      </w:r>
      <w:r w:rsidRPr="00C751D0" w:rsidR="00E4117D">
        <w:rPr>
          <w:szCs w:val="24"/>
        </w:rPr>
        <w:t xml:space="preserve">otion to </w:t>
      </w:r>
      <w:r w:rsidRPr="00C751D0" w:rsidR="001E0A51">
        <w:rPr>
          <w:szCs w:val="24"/>
        </w:rPr>
        <w:t>I</w:t>
      </w:r>
      <w:r w:rsidRPr="00C751D0" w:rsidR="00E4117D">
        <w:rPr>
          <w:szCs w:val="24"/>
        </w:rPr>
        <w:t xml:space="preserve">ntervene is timely, and </w:t>
      </w:r>
      <w:r w:rsidRPr="00C751D0" w:rsidR="005E4247">
        <w:rPr>
          <w:szCs w:val="24"/>
        </w:rPr>
        <w:t>OCC</w:t>
      </w:r>
      <w:r w:rsidR="00D63311">
        <w:rPr>
          <w:szCs w:val="24"/>
        </w:rPr>
        <w:t>’</w:t>
      </w:r>
      <w:r w:rsidRPr="00C751D0" w:rsidR="005E4247">
        <w:rPr>
          <w:szCs w:val="24"/>
        </w:rPr>
        <w:t>s intervention will not prolong or delay the proceedings.</w:t>
      </w:r>
    </w:p>
    <w:p w:rsidR="00054998" w:rsidRPr="00C751D0" w:rsidP="007C5DF4" w14:paraId="3FF9A881" w14:textId="0DD22B3B">
      <w:pPr>
        <w:pStyle w:val="BodyTextIndent3"/>
        <w:suppressAutoHyphens/>
        <w:spacing w:line="480" w:lineRule="auto"/>
        <w:rPr>
          <w:szCs w:val="24"/>
        </w:rPr>
      </w:pPr>
      <w:r w:rsidRPr="00C751D0">
        <w:rPr>
          <w:szCs w:val="24"/>
        </w:rPr>
        <w:t xml:space="preserve"> OCC will </w:t>
      </w:r>
      <w:r w:rsidRPr="00C751D0" w:rsidR="004A330E">
        <w:rPr>
          <w:szCs w:val="24"/>
        </w:rPr>
        <w:t>attempt to avoid duplicative discovery in the proceeding.</w:t>
      </w:r>
      <w:r w:rsidRPr="00C751D0" w:rsidR="00A46DBC">
        <w:rPr>
          <w:szCs w:val="24"/>
        </w:rPr>
        <w:t xml:space="preserve"> </w:t>
      </w:r>
      <w:r w:rsidRPr="00C751D0" w:rsidR="004A330E">
        <w:rPr>
          <w:szCs w:val="24"/>
        </w:rPr>
        <w:t xml:space="preserve">The issues OCC will raise </w:t>
      </w:r>
      <w:r w:rsidRPr="00C751D0" w:rsidR="001E0A51">
        <w:rPr>
          <w:szCs w:val="24"/>
        </w:rPr>
        <w:t xml:space="preserve">will relate to </w:t>
      </w:r>
      <w:r w:rsidRPr="00C751D0" w:rsidR="004A330E">
        <w:rPr>
          <w:szCs w:val="24"/>
        </w:rPr>
        <w:t>the scope of the proceeding</w:t>
      </w:r>
      <w:r w:rsidRPr="00C751D0" w:rsidR="001E0A51">
        <w:rPr>
          <w:szCs w:val="24"/>
        </w:rPr>
        <w:t>, where Duke</w:t>
      </w:r>
      <w:r w:rsidRPr="00C751D0" w:rsidR="004A2E1F">
        <w:rPr>
          <w:szCs w:val="24"/>
        </w:rPr>
        <w:t xml:space="preserve"> </w:t>
      </w:r>
      <w:r w:rsidRPr="00C751D0" w:rsidR="005E4247">
        <w:rPr>
          <w:szCs w:val="24"/>
        </w:rPr>
        <w:t xml:space="preserve">seeks approval to </w:t>
      </w:r>
      <w:r w:rsidRPr="00C751D0" w:rsidR="00C937CD">
        <w:rPr>
          <w:szCs w:val="24"/>
        </w:rPr>
        <w:t>charge consumers increased rates under</w:t>
      </w:r>
      <w:r w:rsidRPr="00C751D0" w:rsidR="001E0A51">
        <w:rPr>
          <w:szCs w:val="24"/>
        </w:rPr>
        <w:t xml:space="preserve"> its</w:t>
      </w:r>
      <w:r w:rsidRPr="00C751D0" w:rsidR="005E4247">
        <w:rPr>
          <w:szCs w:val="24"/>
        </w:rPr>
        <w:t xml:space="preserve"> proposed ESP</w:t>
      </w:r>
      <w:r w:rsidRPr="00C751D0" w:rsidR="00EB4DEC">
        <w:rPr>
          <w:szCs w:val="24"/>
        </w:rPr>
        <w:t>.</w:t>
      </w:r>
      <w:r w:rsidRPr="00C751D0" w:rsidR="007C5DF4">
        <w:rPr>
          <w:szCs w:val="24"/>
        </w:rPr>
        <w:t xml:space="preserve"> In addition, </w:t>
      </w:r>
      <w:r w:rsidRPr="00C751D0">
        <w:rPr>
          <w:szCs w:val="24"/>
        </w:rPr>
        <w:t>OCC will also use its best efforts to comply with any procedural schedule that the PUCO may adopt for this proceeding.</w:t>
      </w:r>
      <w:r w:rsidRPr="00C751D0" w:rsidR="00A46DBC">
        <w:rPr>
          <w:szCs w:val="24"/>
        </w:rPr>
        <w:t xml:space="preserve"> </w:t>
      </w:r>
    </w:p>
    <w:p w:rsidR="004D14D4" w:rsidRPr="00C751D0" w:rsidP="004256EA" w14:paraId="0B6C7235" w14:textId="64B8AD28">
      <w:pPr>
        <w:pStyle w:val="BodyTextIndent3"/>
        <w:suppressAutoHyphens/>
        <w:spacing w:line="480" w:lineRule="auto"/>
        <w:rPr>
          <w:szCs w:val="24"/>
        </w:rPr>
      </w:pPr>
      <w:r w:rsidRPr="00C751D0">
        <w:rPr>
          <w:szCs w:val="24"/>
        </w:rPr>
        <w:t xml:space="preserve">Further, </w:t>
      </w:r>
      <w:r w:rsidRPr="00C751D0" w:rsidR="00FB5C69">
        <w:rPr>
          <w:szCs w:val="24"/>
        </w:rPr>
        <w:t>O</w:t>
      </w:r>
      <w:r w:rsidRPr="00C751D0" w:rsidR="009A775D">
        <w:rPr>
          <w:szCs w:val="24"/>
        </w:rPr>
        <w:t>CC, with its longstanding expertise and experience in PUCO proceedings</w:t>
      </w:r>
      <w:r w:rsidRPr="00C751D0" w:rsidR="008B0AFF">
        <w:rPr>
          <w:szCs w:val="24"/>
        </w:rPr>
        <w:t xml:space="preserve"> and consumer protection advocacy</w:t>
      </w:r>
      <w:r w:rsidRPr="00C751D0" w:rsidR="009A775D">
        <w:rPr>
          <w:szCs w:val="24"/>
        </w:rPr>
        <w:t>, will duly allow for the efficient processing of the case with consideration of the public interest.</w:t>
      </w:r>
      <w:r w:rsidRPr="00C751D0">
        <w:rPr>
          <w:szCs w:val="24"/>
        </w:rPr>
        <w:t xml:space="preserve"> OCC regularly intervenes and participates in cases regarding</w:t>
      </w:r>
      <w:r w:rsidRPr="00C751D0" w:rsidR="001913E6">
        <w:rPr>
          <w:szCs w:val="24"/>
        </w:rPr>
        <w:t xml:space="preserve"> electric security plans</w:t>
      </w:r>
      <w:r w:rsidRPr="00C751D0" w:rsidR="005D08D2">
        <w:rPr>
          <w:szCs w:val="24"/>
        </w:rPr>
        <w:t>.</w:t>
      </w:r>
      <w:r>
        <w:rPr>
          <w:rStyle w:val="FootnoteReference"/>
          <w:szCs w:val="24"/>
        </w:rPr>
        <w:footnoteReference w:id="7"/>
      </w:r>
      <w:r w:rsidRPr="00C751D0">
        <w:rPr>
          <w:szCs w:val="24"/>
        </w:rPr>
        <w:t xml:space="preserve"> </w:t>
      </w:r>
      <w:r w:rsidRPr="00C751D0" w:rsidR="008B0AFF">
        <w:rPr>
          <w:szCs w:val="24"/>
        </w:rPr>
        <w:t xml:space="preserve">There will be no prejudice to </w:t>
      </w:r>
      <w:r w:rsidRPr="00C751D0" w:rsidR="009C40B1">
        <w:rPr>
          <w:szCs w:val="24"/>
        </w:rPr>
        <w:t xml:space="preserve">the </w:t>
      </w:r>
      <w:r w:rsidRPr="00C751D0" w:rsidR="008B0AFF">
        <w:rPr>
          <w:szCs w:val="24"/>
        </w:rPr>
        <w:t xml:space="preserve">PUCO Staff and </w:t>
      </w:r>
      <w:r w:rsidRPr="00C751D0" w:rsidR="004F77DC">
        <w:rPr>
          <w:szCs w:val="24"/>
        </w:rPr>
        <w:t>Duke</w:t>
      </w:r>
      <w:r w:rsidRPr="00C751D0" w:rsidR="008B0AFF">
        <w:rPr>
          <w:szCs w:val="24"/>
        </w:rPr>
        <w:t xml:space="preserve"> in granting OCC intervention.</w:t>
      </w:r>
    </w:p>
    <w:p w:rsidR="00D62ADA" w14:paraId="1647A504" w14:textId="21723FA8">
      <w:pPr>
        <w:pStyle w:val="Footer"/>
        <w:tabs>
          <w:tab w:val="clear" w:pos="4320"/>
          <w:tab w:val="clear" w:pos="8640"/>
        </w:tabs>
        <w:ind w:firstLine="720"/>
      </w:pPr>
      <w:r w:rsidRPr="00C751D0">
        <w:t>Fourth, OCC</w:t>
      </w:r>
      <w:r w:rsidR="00D63311">
        <w:t>’</w:t>
      </w:r>
      <w:r w:rsidRPr="00C751D0">
        <w:t>s intervention will significantly contribute to full development and equitable resolution of the factual issues.</w:t>
      </w:r>
      <w:r w:rsidRPr="00C751D0" w:rsidR="005D08D2">
        <w:t xml:space="preserve"> </w:t>
      </w:r>
      <w:r w:rsidRPr="00C751D0" w:rsidR="00CF0F6C">
        <w:t xml:space="preserve">In this case, OCC will conduct a thorough review of </w:t>
      </w:r>
      <w:r w:rsidRPr="00C751D0" w:rsidR="001913E6">
        <w:t>Duke</w:t>
      </w:r>
      <w:r w:rsidR="00D63311">
        <w:t>’</w:t>
      </w:r>
      <w:r w:rsidRPr="00C751D0" w:rsidR="001913E6">
        <w:t>s proposed electric security plan</w:t>
      </w:r>
      <w:r w:rsidRPr="00C751D0" w:rsidR="00CF0F6C">
        <w:t xml:space="preserve">. </w:t>
      </w:r>
      <w:r w:rsidRPr="00C751D0">
        <w:t>OCC</w:t>
      </w:r>
      <w:r w:rsidR="00D63311">
        <w:t>’</w:t>
      </w:r>
      <w:r w:rsidRPr="00C751D0" w:rsidR="00C37973">
        <w:t>s interest in protecting residential consumers will lead it to fully and carefully examine issues regarding</w:t>
      </w:r>
      <w:r w:rsidRPr="00C751D0" w:rsidR="005D08D2">
        <w:t xml:space="preserve"> </w:t>
      </w:r>
      <w:r w:rsidRPr="00C751D0" w:rsidR="00CF0F6C">
        <w:t xml:space="preserve">the </w:t>
      </w:r>
      <w:r w:rsidRPr="00C751D0" w:rsidR="00D12BC0">
        <w:t>effect</w:t>
      </w:r>
      <w:r w:rsidRPr="00C751D0" w:rsidR="00CF0F6C">
        <w:t xml:space="preserve"> and impact of the </w:t>
      </w:r>
      <w:r w:rsidRPr="00C751D0" w:rsidR="001913E6">
        <w:t>electric security plan</w:t>
      </w:r>
      <w:r w:rsidRPr="00C751D0" w:rsidR="00CF0F6C">
        <w:t xml:space="preserve"> and its associated riders on residential consumers</w:t>
      </w:r>
      <w:r w:rsidRPr="00C751D0" w:rsidR="005D08D2">
        <w:t>.</w:t>
      </w:r>
      <w:r w:rsidRPr="00C751D0" w:rsidR="00C37973">
        <w:t xml:space="preserve"> No other party is solely focused on the needs of residential consumers and thus, there can be no equitable resolution of the factual issues in this case absent OCC</w:t>
      </w:r>
      <w:r w:rsidR="00D63311">
        <w:t>’</w:t>
      </w:r>
      <w:r w:rsidRPr="00C751D0" w:rsidR="00C37973">
        <w:t>s participation.</w:t>
      </w:r>
      <w:r w:rsidRPr="00C751D0" w:rsidR="00A46DBC">
        <w:t xml:space="preserve"> </w:t>
      </w:r>
      <w:r w:rsidRPr="00C751D0" w:rsidR="00C37973">
        <w:t>OCC</w:t>
      </w:r>
      <w:r w:rsidRPr="00C751D0">
        <w:t xml:space="preserve"> will obtain and develop information that the PUCO should consider for equitably and lawfully deciding the case in the public interest.</w:t>
      </w:r>
    </w:p>
    <w:p w:rsidR="00D62ADA" w14:paraId="3700DBDC" w14:textId="77777777">
      <w:r>
        <w:br w:type="page"/>
      </w:r>
    </w:p>
    <w:p w:rsidR="003C1DCE" w:rsidRPr="00C751D0" w:rsidP="004569A0" w14:paraId="78EEFF2B" w14:textId="6EBFCD21">
      <w:pPr>
        <w:pStyle w:val="WW-BodyTextIndent3"/>
        <w:widowControl w:val="0"/>
        <w:spacing w:line="480" w:lineRule="auto"/>
        <w:rPr>
          <w:szCs w:val="24"/>
        </w:rPr>
      </w:pPr>
      <w:r w:rsidRPr="00C751D0">
        <w:rPr>
          <w:szCs w:val="24"/>
        </w:rPr>
        <w:t xml:space="preserve">OCC also satisfies the intervention criteria in </w:t>
      </w:r>
      <w:r w:rsidRPr="00C751D0" w:rsidR="001E0A51">
        <w:rPr>
          <w:szCs w:val="24"/>
        </w:rPr>
        <w:t xml:space="preserve">O.A.C. </w:t>
      </w:r>
      <w:r w:rsidRPr="00C751D0" w:rsidR="008B0AFF">
        <w:rPr>
          <w:szCs w:val="24"/>
        </w:rPr>
        <w:t xml:space="preserve">4901-1-11(A) which sets the standard for </w:t>
      </w:r>
      <w:r w:rsidRPr="00C751D0" w:rsidR="008B0AFF">
        <w:rPr>
          <w:i/>
          <w:iCs/>
          <w:szCs w:val="24"/>
        </w:rPr>
        <w:t>intervention as of right</w:t>
      </w:r>
      <w:r w:rsidRPr="00C751D0" w:rsidR="008B0AFF">
        <w:rPr>
          <w:szCs w:val="24"/>
        </w:rPr>
        <w:t>, mirroring Ohio Civil Rule 24(A).</w:t>
      </w:r>
      <w:r w:rsidRPr="00C751D0" w:rsidR="00A46DBC">
        <w:rPr>
          <w:szCs w:val="24"/>
        </w:rPr>
        <w:t xml:space="preserve"> </w:t>
      </w:r>
      <w:r w:rsidRPr="00C751D0" w:rsidR="008B0AFF">
        <w:rPr>
          <w:szCs w:val="24"/>
        </w:rPr>
        <w:t xml:space="preserve">Under </w:t>
      </w:r>
      <w:r w:rsidRPr="00C751D0" w:rsidR="001E0A51">
        <w:rPr>
          <w:szCs w:val="24"/>
        </w:rPr>
        <w:t xml:space="preserve">O.A.C. </w:t>
      </w:r>
      <w:r w:rsidRPr="00C751D0" w:rsidR="008B0AFF">
        <w:rPr>
          <w:szCs w:val="24"/>
        </w:rPr>
        <w:t xml:space="preserve">4901:1-11(A)(2) a person shall be granted intervention as of right if it has a real and substantial interest in a proceeding and is </w:t>
      </w:r>
      <w:r w:rsidR="00D63311">
        <w:rPr>
          <w:szCs w:val="24"/>
        </w:rPr>
        <w:t>“</w:t>
      </w:r>
      <w:r w:rsidRPr="00C751D0" w:rsidR="008B0AFF">
        <w:rPr>
          <w:szCs w:val="24"/>
        </w:rPr>
        <w:t xml:space="preserve">so situated that disposition of </w:t>
      </w:r>
      <w:r w:rsidRPr="00C751D0">
        <w:rPr>
          <w:szCs w:val="24"/>
        </w:rPr>
        <w:t>the proceeding may, as a practical matter, impair or impede his or her ability to protect that interest, unless the person</w:t>
      </w:r>
      <w:r w:rsidR="00D63311">
        <w:rPr>
          <w:szCs w:val="24"/>
        </w:rPr>
        <w:t>’</w:t>
      </w:r>
      <w:r w:rsidRPr="00C751D0">
        <w:rPr>
          <w:szCs w:val="24"/>
        </w:rPr>
        <w:t>s interest is adequately represented by existing parties.</w:t>
      </w:r>
      <w:r w:rsidR="00D63311">
        <w:rPr>
          <w:szCs w:val="24"/>
        </w:rPr>
        <w:t>”</w:t>
      </w:r>
      <w:r w:rsidRPr="00C751D0">
        <w:rPr>
          <w:szCs w:val="24"/>
        </w:rPr>
        <w:t xml:space="preserve"> </w:t>
      </w:r>
    </w:p>
    <w:p w:rsidR="004D14D4" w:rsidRPr="00C751D0" w:rsidP="00DB6639" w14:paraId="55924E7D" w14:textId="1A765F92">
      <w:pPr>
        <w:pStyle w:val="WW-BodyTextIndent3"/>
        <w:widowControl w:val="0"/>
        <w:spacing w:line="480" w:lineRule="auto"/>
        <w:rPr>
          <w:szCs w:val="24"/>
        </w:rPr>
      </w:pPr>
      <w:r w:rsidRPr="00C751D0">
        <w:rPr>
          <w:szCs w:val="24"/>
        </w:rPr>
        <w:t>A</w:t>
      </w:r>
      <w:r w:rsidRPr="00C751D0" w:rsidR="009A775D">
        <w:rPr>
          <w:szCs w:val="24"/>
        </w:rPr>
        <w:t xml:space="preserve">s the </w:t>
      </w:r>
      <w:r w:rsidRPr="00C751D0">
        <w:rPr>
          <w:szCs w:val="24"/>
        </w:rPr>
        <w:t xml:space="preserve">statutory </w:t>
      </w:r>
      <w:r w:rsidRPr="00C751D0" w:rsidR="009A775D">
        <w:rPr>
          <w:szCs w:val="24"/>
        </w:rPr>
        <w:t xml:space="preserve">advocate for residential utility </w:t>
      </w:r>
      <w:r w:rsidRPr="00C751D0" w:rsidR="00DA6AE4">
        <w:rPr>
          <w:szCs w:val="24"/>
        </w:rPr>
        <w:t>consumer</w:t>
      </w:r>
      <w:r w:rsidRPr="00C751D0" w:rsidR="009A775D">
        <w:rPr>
          <w:szCs w:val="24"/>
        </w:rPr>
        <w:t xml:space="preserve">s, OCC has a very real and substantial interest in this case where </w:t>
      </w:r>
      <w:r w:rsidRPr="00C751D0" w:rsidR="00CF0F6C">
        <w:rPr>
          <w:szCs w:val="24"/>
        </w:rPr>
        <w:t xml:space="preserve">Duke is seeking approval </w:t>
      </w:r>
      <w:r w:rsidRPr="00C751D0" w:rsidR="001913E6">
        <w:rPr>
          <w:szCs w:val="24"/>
        </w:rPr>
        <w:t xml:space="preserve">to charge consumers </w:t>
      </w:r>
      <w:r w:rsidRPr="00C751D0" w:rsidR="00C937CD">
        <w:rPr>
          <w:szCs w:val="24"/>
        </w:rPr>
        <w:t>rate increases</w:t>
      </w:r>
      <w:r w:rsidRPr="00C751D0" w:rsidR="001913E6">
        <w:rPr>
          <w:szCs w:val="24"/>
        </w:rPr>
        <w:t xml:space="preserve"> under </w:t>
      </w:r>
      <w:r w:rsidRPr="00C751D0" w:rsidR="00CF0F6C">
        <w:rPr>
          <w:szCs w:val="24"/>
        </w:rPr>
        <w:t xml:space="preserve">a new </w:t>
      </w:r>
      <w:r w:rsidRPr="00C751D0" w:rsidR="001913E6">
        <w:rPr>
          <w:szCs w:val="24"/>
        </w:rPr>
        <w:t>electric security plan</w:t>
      </w:r>
      <w:r w:rsidRPr="00C751D0" w:rsidR="00A044B5">
        <w:rPr>
          <w:szCs w:val="24"/>
        </w:rPr>
        <w:t>.</w:t>
      </w:r>
      <w:r w:rsidRPr="00C751D0" w:rsidR="006A1F80">
        <w:rPr>
          <w:szCs w:val="24"/>
        </w:rPr>
        <w:t xml:space="preserve"> </w:t>
      </w:r>
      <w:r w:rsidRPr="00C751D0">
        <w:rPr>
          <w:szCs w:val="24"/>
        </w:rPr>
        <w:t>Disposition of this proceeding may, as a practical matter, impair or impede OCC</w:t>
      </w:r>
      <w:r w:rsidR="00D63311">
        <w:rPr>
          <w:szCs w:val="24"/>
        </w:rPr>
        <w:t>’</w:t>
      </w:r>
      <w:r w:rsidRPr="00C751D0">
        <w:rPr>
          <w:szCs w:val="24"/>
        </w:rPr>
        <w:t>s ability to protect that interest where the interest is not adequately represented by existing parties - the PUCO Staff and the utility.</w:t>
      </w:r>
      <w:r w:rsidRPr="00C751D0" w:rsidR="00A46DBC">
        <w:rPr>
          <w:szCs w:val="24"/>
        </w:rPr>
        <w:t xml:space="preserve"> </w:t>
      </w:r>
      <w:r w:rsidRPr="00C751D0">
        <w:rPr>
          <w:szCs w:val="24"/>
        </w:rPr>
        <w:t>OCC should be granted intervention as of right under O.A.C. 4901-1-11(A)(2)</w:t>
      </w:r>
      <w:r w:rsidRPr="00C751D0" w:rsidR="009C40B1">
        <w:rPr>
          <w:szCs w:val="24"/>
        </w:rPr>
        <w:t>.</w:t>
      </w:r>
    </w:p>
    <w:p w:rsidR="004D14D4" w:rsidRPr="00C751D0" w:rsidP="00DB6639" w14:paraId="68D9E88D" w14:textId="1369A283">
      <w:pPr>
        <w:pStyle w:val="BodyTextIndent3"/>
        <w:widowControl w:val="0"/>
        <w:spacing w:line="480" w:lineRule="auto"/>
        <w:rPr>
          <w:szCs w:val="24"/>
        </w:rPr>
      </w:pPr>
      <w:r w:rsidRPr="00C751D0">
        <w:rPr>
          <w:szCs w:val="24"/>
        </w:rPr>
        <w:t xml:space="preserve">In addition, OCC meets the </w:t>
      </w:r>
      <w:r w:rsidRPr="00C751D0" w:rsidR="003C1DCE">
        <w:rPr>
          <w:szCs w:val="24"/>
        </w:rPr>
        <w:t xml:space="preserve">permissive intervention </w:t>
      </w:r>
      <w:r w:rsidRPr="00C751D0">
        <w:rPr>
          <w:szCs w:val="24"/>
        </w:rPr>
        <w:t xml:space="preserve">criteria of </w:t>
      </w:r>
      <w:r w:rsidRPr="00C751D0" w:rsidR="00CE38C7">
        <w:rPr>
          <w:szCs w:val="24"/>
        </w:rPr>
        <w:t>O.A.C.</w:t>
      </w:r>
      <w:r w:rsidRPr="00C751D0">
        <w:rPr>
          <w:szCs w:val="24"/>
        </w:rPr>
        <w:t xml:space="preserve"> 4901-1-11(B)(1)-(4).</w:t>
      </w:r>
      <w:r w:rsidRPr="00C751D0" w:rsidR="00692036">
        <w:rPr>
          <w:szCs w:val="24"/>
        </w:rPr>
        <w:t xml:space="preserve"> </w:t>
      </w:r>
      <w:r w:rsidRPr="00C751D0">
        <w:rPr>
          <w:szCs w:val="24"/>
        </w:rPr>
        <w:t xml:space="preserve">These criteria mirror the </w:t>
      </w:r>
      <w:r w:rsidRPr="00C751D0" w:rsidR="003C1DCE">
        <w:rPr>
          <w:szCs w:val="24"/>
        </w:rPr>
        <w:t xml:space="preserve">permissive intervention </w:t>
      </w:r>
      <w:r w:rsidRPr="00C751D0">
        <w:rPr>
          <w:szCs w:val="24"/>
        </w:rPr>
        <w:t>criteria in R.C. 4903.221(B) that OCC already has addressed and that OCC satisfies.</w:t>
      </w:r>
    </w:p>
    <w:p w:rsidR="0084217B" w:rsidRPr="00C751D0" w:rsidP="000E26D5" w14:paraId="5519FF6E" w14:textId="03EAFBE8">
      <w:pPr>
        <w:pStyle w:val="BodyTextIndent3"/>
        <w:widowControl w:val="0"/>
        <w:spacing w:line="480" w:lineRule="auto"/>
        <w:rPr>
          <w:szCs w:val="24"/>
        </w:rPr>
      </w:pPr>
      <w:r w:rsidRPr="00C751D0">
        <w:rPr>
          <w:szCs w:val="24"/>
        </w:rPr>
        <w:t xml:space="preserve">O.A.C. 4901-1-11(B)(5) states that the PUCO shall consider </w:t>
      </w:r>
      <w:r w:rsidR="00D63311">
        <w:rPr>
          <w:szCs w:val="24"/>
        </w:rPr>
        <w:t>“</w:t>
      </w:r>
      <w:r w:rsidRPr="00C751D0" w:rsidR="002D29C3">
        <w:rPr>
          <w:szCs w:val="24"/>
        </w:rPr>
        <w:t>(t)</w:t>
      </w:r>
      <w:r w:rsidRPr="00C751D0">
        <w:rPr>
          <w:szCs w:val="24"/>
        </w:rPr>
        <w:t>he extent to which the person</w:t>
      </w:r>
      <w:r w:rsidR="00D63311">
        <w:rPr>
          <w:szCs w:val="24"/>
        </w:rPr>
        <w:t>’</w:t>
      </w:r>
      <w:r w:rsidRPr="00C751D0">
        <w:rPr>
          <w:szCs w:val="24"/>
        </w:rPr>
        <w:t>s interest is represented by existing parties.</w:t>
      </w:r>
      <w:r w:rsidR="00D63311">
        <w:rPr>
          <w:szCs w:val="24"/>
        </w:rPr>
        <w:t>”</w:t>
      </w:r>
      <w:r w:rsidRPr="00C751D0">
        <w:rPr>
          <w:szCs w:val="24"/>
        </w:rPr>
        <w:t xml:space="preserve"> While OCC does not concede the lawfulness of this criterion, OCC satisfies this criterion in that it has been </w:t>
      </w:r>
      <w:r w:rsidRPr="00C751D0" w:rsidR="003C1DCE">
        <w:rPr>
          <w:szCs w:val="24"/>
        </w:rPr>
        <w:t xml:space="preserve">uniquely </w:t>
      </w:r>
      <w:r w:rsidRPr="00C751D0">
        <w:rPr>
          <w:szCs w:val="24"/>
        </w:rPr>
        <w:t>designated as the state representative of the interests of Ohio</w:t>
      </w:r>
      <w:r w:rsidR="00D63311">
        <w:rPr>
          <w:szCs w:val="24"/>
        </w:rPr>
        <w:t>’</w:t>
      </w:r>
      <w:r w:rsidRPr="00C751D0">
        <w:rPr>
          <w:szCs w:val="24"/>
        </w:rPr>
        <w:t>s residential utility consumer</w:t>
      </w:r>
      <w:r w:rsidRPr="00C751D0" w:rsidR="006755BB">
        <w:rPr>
          <w:szCs w:val="24"/>
        </w:rPr>
        <w:t xml:space="preserve">s. </w:t>
      </w:r>
      <w:r w:rsidRPr="00C751D0" w:rsidR="003C1DCE">
        <w:rPr>
          <w:szCs w:val="24"/>
        </w:rPr>
        <w:t>OCC</w:t>
      </w:r>
      <w:r w:rsidR="00D63311">
        <w:rPr>
          <w:szCs w:val="24"/>
        </w:rPr>
        <w:t>’</w:t>
      </w:r>
      <w:r w:rsidRPr="00C751D0" w:rsidR="003C1DCE">
        <w:rPr>
          <w:szCs w:val="24"/>
        </w:rPr>
        <w:t>s i</w:t>
      </w:r>
      <w:r w:rsidRPr="00C751D0" w:rsidR="006755BB">
        <w:rPr>
          <w:szCs w:val="24"/>
        </w:rPr>
        <w:t>nterest is different from, and not represented by, any other entity in Ohio.</w:t>
      </w:r>
    </w:p>
    <w:p w:rsidR="00F523BB" w:rsidRPr="00C751D0" w:rsidP="00DB6639" w14:paraId="79A68205" w14:textId="151F21FE">
      <w:pPr>
        <w:pStyle w:val="BodyTextIndent3"/>
        <w:widowControl w:val="0"/>
        <w:spacing w:line="480" w:lineRule="auto"/>
        <w:rPr>
          <w:szCs w:val="24"/>
        </w:rPr>
      </w:pPr>
      <w:r w:rsidRPr="00C751D0">
        <w:rPr>
          <w:szCs w:val="24"/>
        </w:rPr>
        <w:t>Moreover</w:t>
      </w:r>
      <w:r w:rsidRPr="00C751D0" w:rsidR="00C37973">
        <w:rPr>
          <w:szCs w:val="24"/>
        </w:rPr>
        <w:t xml:space="preserve">, the </w:t>
      </w:r>
      <w:r w:rsidRPr="00C751D0" w:rsidR="009A775D">
        <w:rPr>
          <w:szCs w:val="24"/>
        </w:rPr>
        <w:t>Supreme Court of Ohio confirmed OCC</w:t>
      </w:r>
      <w:r w:rsidR="00D63311">
        <w:rPr>
          <w:szCs w:val="24"/>
        </w:rPr>
        <w:t>’</w:t>
      </w:r>
      <w:r w:rsidRPr="00C751D0" w:rsidR="009A775D">
        <w:rPr>
          <w:szCs w:val="24"/>
        </w:rPr>
        <w:t>s right to intervene in PUCO proceedings, in deciding two appeals in which OCC claimed the PUCO erred by denying its interventions. The Court found that the PUCO abused its discretion in denying OCC</w:t>
      </w:r>
      <w:r w:rsidR="00D63311">
        <w:rPr>
          <w:szCs w:val="24"/>
        </w:rPr>
        <w:t>’</w:t>
      </w:r>
      <w:r w:rsidRPr="00C751D0" w:rsidR="009A775D">
        <w:rPr>
          <w:szCs w:val="24"/>
        </w:rPr>
        <w:t>s interventions and that OCC should have been granted intervention in both proceedings.</w:t>
      </w:r>
      <w:r>
        <w:rPr>
          <w:rStyle w:val="FootnoteReference"/>
          <w:szCs w:val="24"/>
        </w:rPr>
        <w:footnoteReference w:id="8"/>
      </w:r>
      <w:r w:rsidRPr="00C751D0" w:rsidR="00692036">
        <w:rPr>
          <w:szCs w:val="24"/>
        </w:rPr>
        <w:t xml:space="preserve"> </w:t>
      </w:r>
    </w:p>
    <w:p w:rsidR="00296D7F" w:rsidRPr="00C751D0" w:rsidP="00625CB2" w14:paraId="1D96277A" w14:textId="096CD111">
      <w:pPr>
        <w:pStyle w:val="BodyTextIndent3"/>
        <w:widowControl w:val="0"/>
        <w:spacing w:line="480" w:lineRule="auto"/>
        <w:rPr>
          <w:rFonts w:eastAsia="Courier New"/>
          <w:szCs w:val="24"/>
        </w:rPr>
      </w:pPr>
      <w:r w:rsidRPr="00C751D0">
        <w:rPr>
          <w:szCs w:val="24"/>
        </w:rPr>
        <w:t>OCC meets the criteria set forth in R.C. 4903.221, O.A.C. 4901-1-11,</w:t>
      </w:r>
      <w:r w:rsidRPr="00C751D0" w:rsidR="003C1DCE">
        <w:rPr>
          <w:szCs w:val="24"/>
        </w:rPr>
        <w:t xml:space="preserve"> </w:t>
      </w:r>
      <w:r w:rsidRPr="00C751D0">
        <w:rPr>
          <w:szCs w:val="24"/>
        </w:rPr>
        <w:t>and the precedent established by the Supreme Court of Ohio for intervention. On behalf of Ohio residential consumers, the PUCO should grant OCC</w:t>
      </w:r>
      <w:r w:rsidR="00D63311">
        <w:rPr>
          <w:szCs w:val="24"/>
        </w:rPr>
        <w:t>’</w:t>
      </w:r>
      <w:r w:rsidRPr="00C751D0">
        <w:rPr>
          <w:szCs w:val="24"/>
        </w:rPr>
        <w:t>s Motion to Intervene.</w:t>
      </w:r>
    </w:p>
    <w:p w:rsidR="00BB2841" w:rsidRPr="00C751D0" w:rsidP="00BB2841" w14:paraId="7732AE23" w14:textId="72BB7C22">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C751D0">
        <w:rPr>
          <w:rFonts w:eastAsia="Courier New"/>
        </w:rPr>
        <w:t>Respectfully submitted,</w:t>
      </w:r>
    </w:p>
    <w:p w:rsidR="00BB2841" w:rsidRPr="00C751D0" w:rsidP="00BB2841" w14:paraId="6E4F5AFD"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p>
    <w:p w:rsidR="00BB2841" w:rsidRPr="00C751D0" w:rsidP="00BB2841" w14:paraId="756299DD" w14:textId="77777777">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C751D0">
        <w:rPr>
          <w:rFonts w:eastAsia="Courier New"/>
        </w:rPr>
        <w:t>Maureen R. Willis (0020847)</w:t>
      </w:r>
    </w:p>
    <w:p w:rsidR="00BB2841" w:rsidRPr="00C751D0" w:rsidP="00BB2841" w14:paraId="62B59A29" w14:textId="5D6C80F9">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rFonts w:eastAsia="Courier New"/>
        </w:rPr>
      </w:pPr>
      <w:r w:rsidRPr="00C751D0">
        <w:t>Ohio Consumers</w:t>
      </w:r>
      <w:r w:rsidR="00D63311">
        <w:t>’</w:t>
      </w:r>
      <w:r w:rsidRPr="00C751D0">
        <w:t xml:space="preserve"> Counsel</w:t>
      </w:r>
    </w:p>
    <w:p w:rsidR="00BB2841" w:rsidRPr="00C751D0" w:rsidP="00BB2841" w14:paraId="6BE7FFDE" w14:textId="77777777">
      <w:pPr>
        <w:tabs>
          <w:tab w:val="left" w:pos="4320"/>
        </w:tabs>
        <w:ind w:left="4320"/>
      </w:pPr>
    </w:p>
    <w:p w:rsidR="00BB2841" w:rsidRPr="00C751D0" w:rsidP="00BB2841" w14:paraId="3E4FD3D8" w14:textId="77777777">
      <w:pPr>
        <w:tabs>
          <w:tab w:val="left" w:pos="4320"/>
        </w:tabs>
        <w:ind w:left="4320"/>
        <w:rPr>
          <w:i/>
          <w:iCs/>
          <w:u w:val="single"/>
        </w:rPr>
      </w:pPr>
      <w:r w:rsidRPr="00C751D0">
        <w:rPr>
          <w:i/>
          <w:iCs/>
          <w:u w:val="single"/>
        </w:rPr>
        <w:t>/s/ John Finnigan</w:t>
      </w:r>
    </w:p>
    <w:p w:rsidR="00BB2841" w:rsidRPr="00C751D0" w:rsidP="00BB2841" w14:paraId="177EEA66" w14:textId="77777777">
      <w:pPr>
        <w:tabs>
          <w:tab w:val="left" w:pos="4320"/>
        </w:tabs>
        <w:ind w:left="4320"/>
      </w:pPr>
      <w:r w:rsidRPr="00C751D0">
        <w:t>John Finnigan (0018689)</w:t>
      </w:r>
    </w:p>
    <w:p w:rsidR="00BB2841" w:rsidRPr="00C751D0" w:rsidP="00BB2841" w14:paraId="7AF3183A" w14:textId="77777777">
      <w:pPr>
        <w:tabs>
          <w:tab w:val="left" w:pos="4320"/>
        </w:tabs>
        <w:ind w:left="4320"/>
      </w:pPr>
      <w:r w:rsidRPr="00C751D0">
        <w:t>Counsel of Record</w:t>
      </w:r>
    </w:p>
    <w:p w:rsidR="00BB2841" w:rsidRPr="00C751D0" w:rsidP="00BB2841" w14:paraId="5AF56CB8" w14:textId="77777777">
      <w:pPr>
        <w:tabs>
          <w:tab w:val="left" w:pos="4320"/>
        </w:tabs>
        <w:ind w:left="4320"/>
      </w:pPr>
      <w:r w:rsidRPr="00C751D0">
        <w:t>John R. Varanese (0044176)</w:t>
      </w:r>
    </w:p>
    <w:p w:rsidR="00BB2841" w:rsidRPr="00C751D0" w:rsidP="00BB2841" w14:paraId="1458AE3B" w14:textId="77777777">
      <w:pPr>
        <w:tabs>
          <w:tab w:val="left" w:pos="4320"/>
        </w:tabs>
        <w:ind w:left="4320"/>
      </w:pPr>
      <w:r w:rsidRPr="00C751D0">
        <w:t>Thomas J. Brodbeck (0093920)</w:t>
      </w:r>
    </w:p>
    <w:p w:rsidR="00BB2841" w:rsidRPr="00C751D0" w:rsidP="00BB2841" w14:paraId="2920C9AD" w14:textId="62A87E01">
      <w:pPr>
        <w:tabs>
          <w:tab w:val="left" w:pos="4320"/>
        </w:tabs>
        <w:ind w:left="4320"/>
      </w:pPr>
      <w:r w:rsidRPr="00C751D0">
        <w:t>Assistant Consumers</w:t>
      </w:r>
      <w:r w:rsidR="00D63311">
        <w:t>’</w:t>
      </w:r>
      <w:r w:rsidRPr="00C751D0">
        <w:t xml:space="preserve"> Counsel</w:t>
      </w:r>
    </w:p>
    <w:p w:rsidR="00BB2841" w:rsidRPr="00C751D0" w:rsidP="00BB2841" w14:paraId="69E5CD2F" w14:textId="77777777">
      <w:pPr>
        <w:tabs>
          <w:tab w:val="left" w:pos="4320"/>
        </w:tabs>
        <w:ind w:left="4320"/>
        <w:rPr>
          <w:highlight w:val="cyan"/>
        </w:rPr>
      </w:pPr>
    </w:p>
    <w:p w:rsidR="00BB2841" w:rsidRPr="00C751D0" w:rsidP="00BB2841" w14:paraId="2FFD6E06" w14:textId="3D6BA48B">
      <w:pPr>
        <w:keepNext/>
        <w:ind w:left="4320" w:right="-648"/>
        <w:outlineLvl w:val="0"/>
        <w:rPr>
          <w:b/>
        </w:rPr>
      </w:pPr>
      <w:r w:rsidRPr="00C751D0">
        <w:rPr>
          <w:b/>
        </w:rPr>
        <w:t>Office of the Ohio Consumers</w:t>
      </w:r>
      <w:r w:rsidR="00D63311">
        <w:rPr>
          <w:b/>
        </w:rPr>
        <w:t>’</w:t>
      </w:r>
      <w:r w:rsidRPr="00C751D0">
        <w:rPr>
          <w:b/>
        </w:rPr>
        <w:t xml:space="preserve"> Counsel</w:t>
      </w:r>
    </w:p>
    <w:p w:rsidR="00BB2841" w:rsidRPr="00C751D0" w:rsidP="00BB2841" w14:paraId="2872AFE0" w14:textId="77777777">
      <w:pPr>
        <w:keepNext/>
        <w:ind w:left="4320" w:right="-648"/>
        <w:outlineLvl w:val="0"/>
      </w:pPr>
      <w:r w:rsidRPr="00C751D0">
        <w:t>65 East State Street, Suite 700</w:t>
      </w:r>
    </w:p>
    <w:p w:rsidR="00BB2841" w:rsidRPr="00C751D0" w:rsidP="00BB2841" w14:paraId="52D1FA18" w14:textId="77777777">
      <w:pPr>
        <w:keepNext/>
        <w:ind w:left="4320" w:right="-648"/>
        <w:outlineLvl w:val="0"/>
      </w:pPr>
      <w:r w:rsidRPr="00C751D0">
        <w:t>Columbus, Ohio 43215</w:t>
      </w:r>
    </w:p>
    <w:p w:rsidR="00BB2841" w:rsidRPr="00C751D0" w:rsidP="00BB2841" w14:paraId="5C743CC4" w14:textId="77777777">
      <w:pPr>
        <w:autoSpaceDE w:val="0"/>
        <w:autoSpaceDN w:val="0"/>
        <w:adjustRightInd w:val="0"/>
        <w:ind w:left="3600" w:firstLine="720"/>
      </w:pPr>
      <w:r w:rsidRPr="00C751D0">
        <w:t>Telephone [Finnigan]: (614) 466-9585</w:t>
      </w:r>
    </w:p>
    <w:p w:rsidR="00BB2841" w:rsidRPr="00C751D0" w:rsidP="00BB2841" w14:paraId="724C0111" w14:textId="77777777">
      <w:pPr>
        <w:ind w:left="4320"/>
      </w:pPr>
      <w:r w:rsidRPr="00C751D0">
        <w:t>Telephone [Varanese]: (614) 387-2965</w:t>
      </w:r>
    </w:p>
    <w:p w:rsidR="00BB2841" w:rsidRPr="00C751D0" w:rsidP="00BB2841" w14:paraId="68D1EF85" w14:textId="77777777">
      <w:pPr>
        <w:autoSpaceDE w:val="0"/>
        <w:autoSpaceDN w:val="0"/>
        <w:adjustRightInd w:val="0"/>
        <w:ind w:left="4320"/>
      </w:pPr>
      <w:r w:rsidRPr="00C751D0">
        <w:t>Telephone [Brodbeck]: (614) 466-9565</w:t>
      </w:r>
    </w:p>
    <w:p w:rsidR="00BB2841" w:rsidRPr="00C751D0" w:rsidP="00BB2841" w14:paraId="58DEB561" w14:textId="77777777">
      <w:pPr>
        <w:ind w:left="4320"/>
        <w:rPr>
          <w:rStyle w:val="Hyperlink"/>
        </w:rPr>
      </w:pPr>
      <w:hyperlink r:id="rId6" w:history="1">
        <w:r w:rsidRPr="00C751D0">
          <w:rPr>
            <w:rStyle w:val="Hyperlink"/>
          </w:rPr>
          <w:t>john.finnigan@occ.ohio.gov</w:t>
        </w:r>
      </w:hyperlink>
    </w:p>
    <w:p w:rsidR="00BB2841" w:rsidRPr="00C751D0" w:rsidP="00BB2841" w14:paraId="72E131F0" w14:textId="77777777">
      <w:pPr>
        <w:ind w:left="4320"/>
      </w:pPr>
      <w:r w:rsidRPr="00C751D0">
        <w:rPr>
          <w:rStyle w:val="Hyperlink"/>
        </w:rPr>
        <w:t>john.varanese@occ.ohio.gov</w:t>
      </w:r>
    </w:p>
    <w:p w:rsidR="00BB2841" w:rsidRPr="00C751D0" w:rsidP="00BB2841" w14:paraId="4445AD03" w14:textId="77777777">
      <w:pPr>
        <w:autoSpaceDE w:val="0"/>
        <w:autoSpaceDN w:val="0"/>
        <w:adjustRightInd w:val="0"/>
        <w:ind w:left="4320"/>
      </w:pPr>
      <w:hyperlink r:id="rId7" w:history="1">
        <w:r w:rsidRPr="00C751D0">
          <w:rPr>
            <w:rFonts w:eastAsia="Courier New"/>
            <w:color w:val="0000FF"/>
            <w:u w:val="single"/>
          </w:rPr>
          <w:t>thomas.brodbeck@occ.ohio.gov</w:t>
        </w:r>
      </w:hyperlink>
    </w:p>
    <w:p w:rsidR="00BB2841" w:rsidRPr="00C751D0" w:rsidP="00793416" w14:paraId="59539973" w14:textId="7142EB89">
      <w:pPr>
        <w:ind w:left="4320"/>
      </w:pPr>
      <w:r w:rsidRPr="00C751D0">
        <w:t>(willing to accept service by e-mail)</w:t>
      </w:r>
    </w:p>
    <w:p w:rsidR="00503587" w:rsidRPr="00C751D0" w14:paraId="1A59B0F0" w14:textId="77777777">
      <w:pPr>
        <w:rPr>
          <w:rFonts w:eastAsia="Courier New"/>
        </w:rPr>
      </w:pPr>
      <w:r w:rsidRPr="00C751D0">
        <w:rPr>
          <w:rFonts w:eastAsia="Courier New"/>
        </w:rPr>
        <w:br w:type="page"/>
      </w:r>
    </w:p>
    <w:p w:rsidR="00A5637F" w:rsidRPr="00C751D0" w:rsidP="00DB6639" w14:paraId="610DF17B" w14:textId="7C6B91A8">
      <w:pPr>
        <w:pStyle w:val="ANSWER"/>
        <w:ind w:left="720"/>
        <w:jc w:val="center"/>
        <w:rPr>
          <w:b/>
          <w:szCs w:val="24"/>
          <w:u w:val="single"/>
        </w:rPr>
      </w:pPr>
      <w:r w:rsidRPr="00C751D0">
        <w:rPr>
          <w:b/>
          <w:szCs w:val="24"/>
          <w:u w:val="single"/>
        </w:rPr>
        <w:t>CERTIFICATE OF SERVICE</w:t>
      </w:r>
    </w:p>
    <w:p w:rsidR="00A044B5" w:rsidRPr="00C751D0" w:rsidP="00991D10" w14:paraId="0F322DE7" w14:textId="61C757C7">
      <w:pPr>
        <w:spacing w:line="480" w:lineRule="auto"/>
      </w:pPr>
      <w:r w:rsidRPr="00C751D0">
        <w:tab/>
        <w:t>I hereby certify that a copy of the foregoing Motion to Intervene</w:t>
      </w:r>
      <w:r w:rsidRPr="00C751D0" w:rsidR="00114B63">
        <w:t xml:space="preserve"> </w:t>
      </w:r>
      <w:r w:rsidRPr="00C751D0">
        <w:t>has been served electronically upon those persons listed below this</w:t>
      </w:r>
      <w:r w:rsidRPr="00C751D0" w:rsidR="00D037AC">
        <w:t xml:space="preserve"> </w:t>
      </w:r>
      <w:r w:rsidR="002732A8">
        <w:t>24</w:t>
      </w:r>
      <w:r w:rsidRPr="002732A8" w:rsidR="002732A8">
        <w:rPr>
          <w:vertAlign w:val="superscript"/>
        </w:rPr>
        <w:t>th</w:t>
      </w:r>
      <w:r w:rsidR="002732A8">
        <w:t xml:space="preserve"> </w:t>
      </w:r>
      <w:r w:rsidRPr="00C751D0">
        <w:t xml:space="preserve">day of </w:t>
      </w:r>
      <w:r w:rsidRPr="00C751D0" w:rsidR="00C73589">
        <w:t>April</w:t>
      </w:r>
      <w:r w:rsidRPr="00C751D0">
        <w:t xml:space="preserve"> 20</w:t>
      </w:r>
      <w:r w:rsidRPr="00C751D0" w:rsidR="00C9764F">
        <w:t>24</w:t>
      </w:r>
      <w:r w:rsidRPr="00C751D0">
        <w:t>.</w:t>
      </w:r>
    </w:p>
    <w:p w:rsidR="00BC5216" w:rsidRPr="00C751D0" w:rsidP="00BC5216" w14:paraId="20C2B0AA" w14:textId="77777777">
      <w:pPr>
        <w:tabs>
          <w:tab w:val="left" w:pos="4320"/>
        </w:tabs>
        <w:rPr>
          <w:i/>
          <w:iCs/>
          <w:u w:val="single"/>
        </w:rPr>
      </w:pPr>
      <w:r w:rsidRPr="00C751D0">
        <w:tab/>
      </w:r>
      <w:r w:rsidRPr="00C751D0">
        <w:rPr>
          <w:i/>
          <w:iCs/>
          <w:u w:val="single"/>
        </w:rPr>
        <w:t>/s/ John Finnigan</w:t>
      </w:r>
    </w:p>
    <w:p w:rsidR="00BC5216" w:rsidRPr="00C751D0" w:rsidP="00BC5216" w14:paraId="68002BFE" w14:textId="77777777">
      <w:pPr>
        <w:tabs>
          <w:tab w:val="left" w:pos="4320"/>
        </w:tabs>
      </w:pPr>
      <w:r w:rsidRPr="00C751D0">
        <w:tab/>
        <w:t>John Finnigan</w:t>
      </w:r>
    </w:p>
    <w:p w:rsidR="00BC5216" w:rsidRPr="00C751D0" w:rsidP="00BC5216" w14:paraId="69A49EFD" w14:textId="0057D63C">
      <w:pPr>
        <w:tabs>
          <w:tab w:val="left" w:pos="4320"/>
        </w:tabs>
      </w:pPr>
      <w:r w:rsidRPr="00C751D0">
        <w:tab/>
        <w:t>Assistant Consumers</w:t>
      </w:r>
      <w:r w:rsidR="00D63311">
        <w:t>’</w:t>
      </w:r>
      <w:r w:rsidRPr="00C751D0">
        <w:t xml:space="preserve"> Counsel</w:t>
      </w:r>
    </w:p>
    <w:p w:rsidR="002C7D60" w:rsidRPr="00C751D0" w:rsidP="00BC5216" w14:paraId="268A0765" w14:textId="6B744971">
      <w:pPr>
        <w:tabs>
          <w:tab w:val="left" w:pos="4320"/>
        </w:tabs>
      </w:pPr>
    </w:p>
    <w:p w:rsidR="002C7D60" w:rsidRPr="00C751D0" w:rsidP="002C7D60" w14:paraId="184A87AF" w14:textId="702879A3">
      <w:pPr>
        <w:pStyle w:val="CommentText"/>
      </w:pPr>
      <w:r w:rsidRPr="00C751D0">
        <w:t>The PUCO</w:t>
      </w:r>
      <w:r w:rsidR="00D63311">
        <w:t>’</w:t>
      </w:r>
      <w:r w:rsidRPr="00C751D0">
        <w:t>s e-filing system will electronically serve notice of the filing of this document on the following parties:</w:t>
      </w:r>
    </w:p>
    <w:p w:rsidR="002C7D60" w:rsidRPr="00C751D0" w:rsidP="00DB6639" w14:paraId="7E43FDD1" w14:textId="77777777">
      <w:pPr>
        <w:tabs>
          <w:tab w:val="left" w:pos="4320"/>
        </w:tabs>
      </w:pPr>
    </w:p>
    <w:p w:rsidR="002C7D60" w:rsidRPr="00C751D0" w:rsidP="002C7D60" w14:paraId="116D3271" w14:textId="77777777">
      <w:pPr>
        <w:pStyle w:val="CommentText"/>
        <w:jc w:val="center"/>
        <w:rPr>
          <w:b/>
          <w:u w:val="single"/>
        </w:rPr>
      </w:pPr>
      <w:r w:rsidRPr="00C751D0">
        <w:rPr>
          <w:b/>
          <w:u w:val="single"/>
        </w:rPr>
        <w:t>SERVICE LIST</w:t>
      </w:r>
    </w:p>
    <w:p w:rsidR="00B65BFA" w:rsidRPr="00C751D0" w:rsidP="002C7D60" w14:paraId="157FDDB9" w14:textId="77777777">
      <w:pPr>
        <w:pStyle w:val="CommentText"/>
        <w:jc w:val="center"/>
        <w:rPr>
          <w:b/>
          <w:u w:val="single"/>
        </w:rPr>
      </w:pPr>
    </w:p>
    <w:tbl>
      <w:tblPr>
        <w:tblW w:w="8640" w:type="dxa"/>
        <w:tblInd w:w="0" w:type="dxa"/>
        <w:tblCellMar>
          <w:top w:w="0" w:type="dxa"/>
          <w:left w:w="108" w:type="dxa"/>
          <w:bottom w:w="0" w:type="dxa"/>
          <w:right w:w="108" w:type="dxa"/>
        </w:tblCellMar>
        <w:tblLook w:val="04A0"/>
      </w:tblPr>
      <w:tblGrid>
        <w:gridCol w:w="4320"/>
        <w:gridCol w:w="4320"/>
      </w:tblGrid>
      <w:tr w14:paraId="0BCFD7FC" w14:textId="77777777" w:rsidTr="001134B5">
        <w:tblPrEx>
          <w:tblW w:w="8640" w:type="dxa"/>
          <w:tblInd w:w="0" w:type="dxa"/>
          <w:tblCellMar>
            <w:top w:w="0" w:type="dxa"/>
            <w:left w:w="108" w:type="dxa"/>
            <w:bottom w:w="0" w:type="dxa"/>
            <w:right w:w="108" w:type="dxa"/>
          </w:tblCellMar>
          <w:tblLook w:val="04A0"/>
        </w:tblPrEx>
        <w:tc>
          <w:tcPr>
            <w:tcW w:w="4320" w:type="dxa"/>
            <w:shd w:val="clear" w:color="auto" w:fill="auto"/>
          </w:tcPr>
          <w:p w:rsidR="00C50B3F" w:rsidRPr="00C751D0" w:rsidP="001134B5" w14:paraId="6936F082" w14:textId="19508245">
            <w:pPr>
              <w:rPr>
                <w:sz w:val="24"/>
                <w:szCs w:val="24"/>
                <w:lang w:val="en-US" w:eastAsia="en-US" w:bidi="ar-SA"/>
              </w:rPr>
            </w:pPr>
            <w:hyperlink r:id="rId14" w:history="1">
              <w:r w:rsidRPr="00C751D0" w:rsidR="0009026E">
                <w:rPr>
                  <w:rStyle w:val="Hyperlink"/>
                  <w:color w:val="0000FF"/>
                  <w:sz w:val="24"/>
                  <w:szCs w:val="24"/>
                  <w:u w:val="single"/>
                  <w:lang w:val="en-US" w:eastAsia="en-US" w:bidi="ar-SA"/>
                </w:rPr>
                <w:t>ambrosia.wilson@ohioago.gov</w:t>
              </w:r>
            </w:hyperlink>
          </w:p>
          <w:p w:rsidR="0009026E" w:rsidRPr="00C751D0" w:rsidP="001134B5" w14:paraId="3ABDA554" w14:textId="7A52C238">
            <w:pPr>
              <w:rPr>
                <w:sz w:val="24"/>
                <w:szCs w:val="24"/>
                <w:lang w:val="en-US" w:eastAsia="en-US" w:bidi="ar-SA"/>
              </w:rPr>
            </w:pPr>
            <w:hyperlink r:id="rId15" w:history="1">
              <w:r w:rsidRPr="00C751D0">
                <w:rPr>
                  <w:rStyle w:val="Hyperlink"/>
                  <w:color w:val="0000FF"/>
                  <w:sz w:val="24"/>
                  <w:szCs w:val="24"/>
                  <w:u w:val="single"/>
                  <w:lang w:val="en-US" w:eastAsia="en-US" w:bidi="ar-SA"/>
                </w:rPr>
                <w:t>janet.gregory@ohioago.gov</w:t>
              </w:r>
            </w:hyperlink>
          </w:p>
          <w:p w:rsidR="0009026E" w:rsidRPr="00C751D0" w:rsidP="001134B5" w14:paraId="3A2CD132" w14:textId="5A7178E2">
            <w:pPr>
              <w:rPr>
                <w:rStyle w:val="Hyperlink"/>
                <w:bCs/>
                <w:color w:val="0000FF"/>
                <w:sz w:val="24"/>
                <w:szCs w:val="24"/>
                <w:u w:val="single"/>
                <w:lang w:val="en-US" w:eastAsia="en-US" w:bidi="ar-SA"/>
              </w:rPr>
            </w:pPr>
            <w:r w:rsidRPr="00C751D0">
              <w:rPr>
                <w:rStyle w:val="Hyperlink"/>
                <w:bCs/>
                <w:color w:val="0000FF"/>
                <w:sz w:val="24"/>
                <w:szCs w:val="24"/>
                <w:u w:val="single"/>
                <w:lang w:val="en-US" w:eastAsia="en-US" w:bidi="ar-SA"/>
              </w:rPr>
              <w:t>connor.semple@ohioago.gov</w:t>
            </w:r>
          </w:p>
          <w:p w:rsidR="00C50B3F" w:rsidRPr="00C751D0" w:rsidP="001134B5" w14:paraId="774AE083" w14:textId="46C06F0E">
            <w:pPr>
              <w:rPr>
                <w:sz w:val="24"/>
                <w:szCs w:val="24"/>
                <w:lang w:val="en-US" w:eastAsia="en-US" w:bidi="ar-SA"/>
              </w:rPr>
            </w:pPr>
            <w:hyperlink r:id="rId16" w:history="1">
              <w:r w:rsidRPr="00C751D0">
                <w:rPr>
                  <w:rStyle w:val="Hyperlink"/>
                  <w:color w:val="0000FF"/>
                  <w:sz w:val="24"/>
                  <w:szCs w:val="24"/>
                  <w:u w:val="single"/>
                  <w:lang w:val="en-US" w:eastAsia="en-US" w:bidi="ar-SA"/>
                </w:rPr>
                <w:t>knordstrom@theOEC.org</w:t>
              </w:r>
            </w:hyperlink>
          </w:p>
          <w:p w:rsidR="00C50B3F" w:rsidP="001134B5" w14:paraId="00343288" w14:textId="59C5DC35">
            <w:pPr>
              <w:rPr>
                <w:rStyle w:val="Hyperlink"/>
                <w:color w:val="0000FF"/>
                <w:sz w:val="24"/>
                <w:szCs w:val="24"/>
                <w:u w:val="single"/>
                <w:lang w:val="en-US" w:eastAsia="en-US" w:bidi="ar-SA"/>
              </w:rPr>
            </w:pPr>
            <w:hyperlink r:id="rId17" w:history="1">
              <w:r w:rsidRPr="00C751D0">
                <w:rPr>
                  <w:rStyle w:val="Hyperlink"/>
                  <w:color w:val="0000FF"/>
                  <w:sz w:val="24"/>
                  <w:szCs w:val="24"/>
                  <w:u w:val="single"/>
                  <w:lang w:val="en-US" w:eastAsia="en-US" w:bidi="ar-SA"/>
                </w:rPr>
                <w:t>ctavenor@theOEC.org</w:t>
              </w:r>
            </w:hyperlink>
          </w:p>
          <w:p w:rsidR="00CE541F" w:rsidP="001134B5" w14:paraId="2D60C3C0" w14:textId="09A81610">
            <w:pPr>
              <w:rPr>
                <w:sz w:val="24"/>
                <w:szCs w:val="24"/>
                <w:lang w:val="en-US" w:eastAsia="en-US" w:bidi="ar-SA"/>
              </w:rPr>
            </w:pPr>
            <w:hyperlink r:id="rId18" w:history="1">
              <w:r w:rsidRPr="00B43E94">
                <w:rPr>
                  <w:rStyle w:val="Hyperlink"/>
                  <w:color w:val="0000FF"/>
                  <w:sz w:val="24"/>
                  <w:szCs w:val="24"/>
                  <w:u w:val="single"/>
                  <w:lang w:val="en-US" w:eastAsia="en-US" w:bidi="ar-SA"/>
                </w:rPr>
                <w:t>jdunn@oneenergyllc.com</w:t>
              </w:r>
            </w:hyperlink>
          </w:p>
          <w:p w:rsidR="00CE541F" w:rsidP="001134B5" w14:paraId="1E641370" w14:textId="2E1FBD08">
            <w:pPr>
              <w:rPr>
                <w:sz w:val="24"/>
                <w:szCs w:val="24"/>
                <w:lang w:val="en-US" w:eastAsia="en-US" w:bidi="ar-SA"/>
              </w:rPr>
            </w:pPr>
            <w:hyperlink r:id="rId19" w:history="1">
              <w:r w:rsidRPr="00B43E94">
                <w:rPr>
                  <w:rStyle w:val="Hyperlink"/>
                  <w:color w:val="0000FF"/>
                  <w:sz w:val="24"/>
                  <w:szCs w:val="24"/>
                  <w:u w:val="single"/>
                  <w:lang w:val="en-US" w:eastAsia="en-US" w:bidi="ar-SA"/>
                </w:rPr>
                <w:t>ktreadway@oneenergyllc.com</w:t>
              </w:r>
            </w:hyperlink>
          </w:p>
          <w:p w:rsidR="00CE541F" w:rsidRPr="00C751D0" w:rsidP="001134B5" w14:paraId="78C4A60D" w14:textId="77777777">
            <w:pPr>
              <w:rPr>
                <w:sz w:val="24"/>
                <w:szCs w:val="24"/>
                <w:lang w:val="en-US" w:eastAsia="en-US" w:bidi="ar-SA"/>
              </w:rPr>
            </w:pPr>
          </w:p>
          <w:p w:rsidR="00C50B3F" w:rsidRPr="00C751D0" w:rsidP="001134B5" w14:paraId="256ABC15" w14:textId="77777777">
            <w:pPr>
              <w:rPr>
                <w:bCs/>
                <w:sz w:val="24"/>
                <w:szCs w:val="24"/>
                <w:lang w:val="en-US" w:eastAsia="en-US" w:bidi="ar-SA"/>
              </w:rPr>
            </w:pPr>
          </w:p>
          <w:p w:rsidR="00A25988" w:rsidRPr="00C751D0" w:rsidP="001134B5" w14:paraId="326F2B58" w14:textId="77777777">
            <w:pPr>
              <w:rPr>
                <w:bCs/>
                <w:sz w:val="24"/>
                <w:szCs w:val="24"/>
                <w:lang w:val="en-US" w:eastAsia="en-US" w:bidi="ar-SA"/>
              </w:rPr>
            </w:pPr>
          </w:p>
        </w:tc>
        <w:tc>
          <w:tcPr>
            <w:tcW w:w="4320" w:type="dxa"/>
            <w:shd w:val="clear" w:color="auto" w:fill="auto"/>
          </w:tcPr>
          <w:p w:rsidR="00A25988" w:rsidRPr="00C751D0" w:rsidP="001134B5" w14:paraId="268A8793" w14:textId="6F197472">
            <w:pPr>
              <w:rPr>
                <w:sz w:val="24"/>
                <w:szCs w:val="24"/>
                <w:lang w:val="en-US" w:eastAsia="en-US" w:bidi="ar-SA"/>
              </w:rPr>
            </w:pPr>
            <w:hyperlink r:id="rId20" w:history="1">
              <w:r w:rsidRPr="00C751D0">
                <w:rPr>
                  <w:rStyle w:val="Hyperlink"/>
                  <w:color w:val="0000FF"/>
                  <w:sz w:val="24"/>
                  <w:szCs w:val="24"/>
                  <w:u w:val="single"/>
                  <w:lang w:val="en-US" w:eastAsia="en-US" w:bidi="ar-SA"/>
                </w:rPr>
                <w:t>rocco.dascenzo@duke-energy.com</w:t>
              </w:r>
            </w:hyperlink>
          </w:p>
          <w:p w:rsidR="00A25988" w:rsidRPr="00C751D0" w:rsidP="001134B5" w14:paraId="354372BE" w14:textId="55AD2E27">
            <w:pPr>
              <w:rPr>
                <w:sz w:val="24"/>
                <w:szCs w:val="24"/>
                <w:lang w:val="en-US" w:eastAsia="en-US" w:bidi="ar-SA"/>
              </w:rPr>
            </w:pPr>
            <w:hyperlink r:id="rId21" w:history="1">
              <w:r w:rsidRPr="00C751D0">
                <w:rPr>
                  <w:rStyle w:val="Hyperlink"/>
                  <w:color w:val="0000FF"/>
                  <w:sz w:val="24"/>
                  <w:szCs w:val="24"/>
                  <w:u w:val="single"/>
                  <w:lang w:val="en-US" w:eastAsia="en-US" w:bidi="ar-SA"/>
                </w:rPr>
                <w:t>jeanne.kingery@duke-energy.com</w:t>
              </w:r>
            </w:hyperlink>
          </w:p>
          <w:p w:rsidR="00A25988" w:rsidRPr="00C751D0" w:rsidP="001134B5" w14:paraId="6F517450" w14:textId="2DEF9C04">
            <w:pPr>
              <w:rPr>
                <w:sz w:val="24"/>
                <w:szCs w:val="24"/>
                <w:lang w:val="en-US" w:eastAsia="en-US" w:bidi="ar-SA"/>
              </w:rPr>
            </w:pPr>
            <w:hyperlink r:id="rId22" w:history="1">
              <w:r w:rsidRPr="00C751D0">
                <w:rPr>
                  <w:rStyle w:val="Hyperlink"/>
                  <w:color w:val="0000FF"/>
                  <w:sz w:val="24"/>
                  <w:szCs w:val="24"/>
                  <w:u w:val="single"/>
                  <w:lang w:val="en-US" w:eastAsia="en-US" w:bidi="ar-SA"/>
                </w:rPr>
                <w:t>larisa.vaysman@duke-energy.com</w:t>
              </w:r>
            </w:hyperlink>
          </w:p>
          <w:p w:rsidR="00A25988" w:rsidRPr="00C751D0" w:rsidP="001134B5" w14:paraId="5223E689" w14:textId="448BE18F">
            <w:pPr>
              <w:rPr>
                <w:sz w:val="24"/>
                <w:szCs w:val="24"/>
                <w:lang w:val="en-US" w:eastAsia="en-US" w:bidi="ar-SA"/>
              </w:rPr>
            </w:pPr>
            <w:hyperlink r:id="rId23" w:history="1">
              <w:r w:rsidRPr="00C751D0">
                <w:rPr>
                  <w:rStyle w:val="Hyperlink"/>
                  <w:color w:val="0000FF"/>
                  <w:sz w:val="24"/>
                  <w:szCs w:val="24"/>
                  <w:u w:val="single"/>
                  <w:lang w:val="en-US" w:eastAsia="en-US" w:bidi="ar-SA"/>
                </w:rPr>
                <w:t>elyse.akhbari@duke-energy.com</w:t>
              </w:r>
            </w:hyperlink>
          </w:p>
          <w:p w:rsidR="00642375" w:rsidRPr="00C751D0" w:rsidP="001134B5" w14:paraId="718A0902" w14:textId="3437E572">
            <w:pPr>
              <w:rPr>
                <w:sz w:val="24"/>
                <w:szCs w:val="24"/>
                <w:lang w:val="en-US" w:eastAsia="en-US" w:bidi="ar-SA"/>
              </w:rPr>
            </w:pPr>
            <w:hyperlink r:id="rId24" w:history="1">
              <w:r w:rsidRPr="00C751D0">
                <w:rPr>
                  <w:rStyle w:val="Hyperlink"/>
                  <w:color w:val="0000FF"/>
                  <w:sz w:val="24"/>
                  <w:szCs w:val="24"/>
                  <w:u w:val="single"/>
                  <w:lang w:val="en-US" w:eastAsia="en-US" w:bidi="ar-SA"/>
                </w:rPr>
                <w:t>mkurtz@BKLlawfirm.com</w:t>
              </w:r>
            </w:hyperlink>
          </w:p>
          <w:p w:rsidR="00A25988" w:rsidP="001134B5" w14:paraId="72186F9D" w14:textId="040E7C9F">
            <w:pPr>
              <w:rPr>
                <w:rStyle w:val="Hyperlink"/>
                <w:color w:val="0000FF"/>
                <w:sz w:val="24"/>
                <w:szCs w:val="24"/>
                <w:u w:val="single"/>
                <w:lang w:val="en-US" w:eastAsia="en-US" w:bidi="ar-SA"/>
              </w:rPr>
            </w:pPr>
            <w:hyperlink r:id="rId25" w:history="1">
              <w:r w:rsidRPr="00C751D0" w:rsidR="00642375">
                <w:rPr>
                  <w:rStyle w:val="Hyperlink"/>
                  <w:color w:val="0000FF"/>
                  <w:sz w:val="24"/>
                  <w:szCs w:val="24"/>
                  <w:u w:val="single"/>
                  <w:lang w:val="en-US" w:eastAsia="en-US" w:bidi="ar-SA"/>
                </w:rPr>
                <w:t>jkylercohn@BKLlawfirm.com</w:t>
              </w:r>
            </w:hyperlink>
          </w:p>
          <w:p w:rsidR="0047392A" w:rsidP="001134B5" w14:paraId="3F552916" w14:textId="4E542E6C">
            <w:pPr>
              <w:rPr>
                <w:sz w:val="24"/>
                <w:szCs w:val="24"/>
                <w:lang w:val="en-US" w:eastAsia="en-US" w:bidi="ar-SA"/>
              </w:rPr>
            </w:pPr>
            <w:hyperlink r:id="rId26" w:history="1">
              <w:r w:rsidRPr="00B43E94">
                <w:rPr>
                  <w:rStyle w:val="Hyperlink"/>
                  <w:color w:val="0000FF"/>
                  <w:sz w:val="24"/>
                  <w:szCs w:val="24"/>
                  <w:u w:val="single"/>
                  <w:lang w:val="en-US" w:eastAsia="en-US" w:bidi="ar-SA"/>
                </w:rPr>
                <w:t>dproano@bakerlaw.com</w:t>
              </w:r>
            </w:hyperlink>
          </w:p>
          <w:p w:rsidR="0047392A" w:rsidP="001134B5" w14:paraId="5F676C5C" w14:textId="7656E4C6">
            <w:pPr>
              <w:rPr>
                <w:sz w:val="24"/>
                <w:szCs w:val="24"/>
                <w:lang w:val="en-US" w:eastAsia="en-US" w:bidi="ar-SA"/>
              </w:rPr>
            </w:pPr>
            <w:hyperlink r:id="rId27" w:history="1">
              <w:r w:rsidRPr="00B43E94">
                <w:rPr>
                  <w:rStyle w:val="Hyperlink"/>
                  <w:color w:val="0000FF"/>
                  <w:sz w:val="24"/>
                  <w:szCs w:val="24"/>
                  <w:u w:val="single"/>
                  <w:lang w:val="en-US" w:eastAsia="en-US" w:bidi="ar-SA"/>
                </w:rPr>
                <w:t>pwillison@bakerlaw.com</w:t>
              </w:r>
            </w:hyperlink>
          </w:p>
          <w:p w:rsidR="0047392A" w:rsidRPr="00C751D0" w:rsidP="001134B5" w14:paraId="13287852" w14:textId="77777777">
            <w:pPr>
              <w:rPr>
                <w:sz w:val="24"/>
                <w:szCs w:val="24"/>
                <w:lang w:val="en-US" w:eastAsia="en-US" w:bidi="ar-SA"/>
              </w:rPr>
            </w:pPr>
          </w:p>
          <w:p w:rsidR="00642375" w:rsidRPr="00C751D0" w:rsidP="001134B5" w14:paraId="0FCB7839" w14:textId="5F6A05BA">
            <w:pPr>
              <w:rPr>
                <w:bCs/>
                <w:sz w:val="24"/>
                <w:szCs w:val="24"/>
                <w:lang w:val="en-US" w:eastAsia="en-US" w:bidi="ar-SA"/>
              </w:rPr>
            </w:pPr>
          </w:p>
        </w:tc>
      </w:tr>
    </w:tbl>
    <w:p w:rsidR="00A5637F" w:rsidRPr="00C751D0" w:rsidP="00DB6639" w14:paraId="00A354A7" w14:textId="77777777">
      <w:pPr>
        <w:tabs>
          <w:tab w:val="left" w:pos="4320"/>
        </w:tabs>
      </w:pPr>
    </w:p>
    <w:sectPr w:rsidSect="00F70A21">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6E21" w14:paraId="742E47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7190339"/>
      <w:docPartObj>
        <w:docPartGallery w:val="Page Numbers (Bottom of Page)"/>
        <w:docPartUnique/>
      </w:docPartObj>
    </w:sdtPr>
    <w:sdtEndPr>
      <w:rPr>
        <w:noProof/>
      </w:rPr>
    </w:sdtEndPr>
    <w:sdtContent>
      <w:p w:rsidR="008936C2" w:rsidRPr="000F0A9C" w:rsidP="000F0A9C" w14:paraId="515FFC7A" w14:textId="18917D07">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87F" w:rsidP="00DB6639" w14:paraId="18E08110" w14:textId="3BB02CFC">
    <w:pPr>
      <w:pStyle w:val="Footer"/>
      <w:spacing w:line="240" w:lineRule="auto"/>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7DDC93F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9023565"/>
      <w:docPartObj>
        <w:docPartGallery w:val="Page Numbers (Bottom of Page)"/>
        <w:docPartUnique/>
      </w:docPartObj>
    </w:sdtPr>
    <w:sdtEndPr>
      <w:rPr>
        <w:noProof/>
      </w:rPr>
    </w:sdtEndPr>
    <w:sdtContent>
      <w:p w:rsidR="00983F12" w:rsidP="0021581F" w14:paraId="6D62D1F4" w14:textId="19E2624A">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0248183"/>
      <w:docPartObj>
        <w:docPartGallery w:val="Page Numbers (Bottom of Page)"/>
        <w:docPartUnique/>
      </w:docPartObj>
    </w:sdtPr>
    <w:sdtEndPr>
      <w:rPr>
        <w:noProof/>
      </w:rPr>
    </w:sdtEndPr>
    <w:sdtContent>
      <w:p w:rsidR="00983F12" w:rsidP="0021581F" w14:paraId="12F85826" w14:textId="10663417">
        <w:pPr>
          <w:pStyle w:val="Footer"/>
          <w:spacing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0A21" w14:paraId="41A5F8B5" w14:textId="77777777">
      <w:r>
        <w:separator/>
      </w:r>
    </w:p>
  </w:footnote>
  <w:footnote w:type="continuationSeparator" w:id="1">
    <w:p w:rsidR="00F70A21" w14:paraId="012C7B3C" w14:textId="77777777">
      <w:r>
        <w:continuationSeparator/>
      </w:r>
    </w:p>
  </w:footnote>
  <w:footnote w:type="continuationNotice" w:id="2">
    <w:p w:rsidR="00F70A21" w14:paraId="3053A21D" w14:textId="77777777"/>
  </w:footnote>
  <w:footnote w:id="3">
    <w:p w:rsidR="00113CBA" w:rsidP="00D63311" w14:paraId="14E8086D" w14:textId="3AF6EE46">
      <w:pPr>
        <w:pStyle w:val="FootnoteText"/>
        <w:spacing w:before="0" w:after="120"/>
      </w:pPr>
      <w:r>
        <w:rPr>
          <w:rStyle w:val="FootnoteReference"/>
        </w:rPr>
        <w:footnoteRef/>
      </w:r>
      <w:r>
        <w:t xml:space="preserve"> </w:t>
      </w:r>
      <w:r>
        <w:rPr>
          <w:i/>
          <w:iCs/>
        </w:rPr>
        <w:t>I</w:t>
      </w:r>
      <w:r w:rsidR="006376AA">
        <w:rPr>
          <w:i/>
          <w:iCs/>
        </w:rPr>
        <w:t>d</w:t>
      </w:r>
      <w:r w:rsidR="000F02EF">
        <w:rPr>
          <w:i/>
          <w:iCs/>
        </w:rPr>
        <w:t>.</w:t>
      </w:r>
      <w:r>
        <w:t>, Attachment JEZ-3 at 2.</w:t>
      </w:r>
      <w:r w:rsidRPr="003C33FE" w:rsidR="003C33FE">
        <w:t xml:space="preserve"> </w:t>
      </w:r>
      <w:r w:rsidRPr="00977970" w:rsidR="003C33FE">
        <w:t>This may understate the actual amount of the increase because it appears that Duke included the commodity cost in its calculation.</w:t>
      </w:r>
    </w:p>
  </w:footnote>
  <w:footnote w:id="4">
    <w:p w:rsidR="008D50BC" w:rsidRPr="003C33FE" w:rsidP="00D63311" w14:paraId="70825C7C" w14:textId="31F35F1B">
      <w:pPr>
        <w:pStyle w:val="FootnoteText"/>
        <w:spacing w:before="0" w:after="120"/>
        <w:rPr>
          <w:i/>
          <w:iCs/>
        </w:rPr>
      </w:pPr>
      <w:r>
        <w:rPr>
          <w:rStyle w:val="FootnoteReference"/>
        </w:rPr>
        <w:footnoteRef/>
      </w:r>
      <w:r>
        <w:t xml:space="preserve"> </w:t>
      </w:r>
      <w:r w:rsidR="006376AA">
        <w:rPr>
          <w:i/>
          <w:iCs/>
        </w:rPr>
        <w:t xml:space="preserve">Id., </w:t>
      </w:r>
      <w:r w:rsidR="006376AA">
        <w:t>Attachment JEZ-2 at 2</w:t>
      </w:r>
      <w:r w:rsidR="00DD5F06">
        <w:t>.</w:t>
      </w:r>
    </w:p>
  </w:footnote>
  <w:footnote w:id="5">
    <w:p w:rsidR="00113CBA" w:rsidRPr="0051553B" w:rsidP="00D63311" w14:paraId="24980CE0" w14:textId="77777777">
      <w:pPr>
        <w:pStyle w:val="FootnoteText"/>
        <w:spacing w:before="0" w:after="120"/>
      </w:pPr>
      <w:r>
        <w:rPr>
          <w:rStyle w:val="FootnoteReference"/>
        </w:rPr>
        <w:footnoteRef/>
      </w:r>
      <w:r>
        <w:t xml:space="preserve"> </w:t>
      </w:r>
      <w:r>
        <w:rPr>
          <w:i/>
          <w:iCs/>
        </w:rPr>
        <w:t xml:space="preserve">Id., </w:t>
      </w:r>
      <w:r>
        <w:t>Attachment JEZ-5 at 1.</w:t>
      </w:r>
    </w:p>
  </w:footnote>
  <w:footnote w:id="6">
    <w:p w:rsidR="00590435" w:rsidRPr="00E2454D" w:rsidP="00D63311" w14:paraId="50D6F9F1" w14:textId="77777777">
      <w:pPr>
        <w:pStyle w:val="FootnoteText"/>
        <w:spacing w:before="0" w:after="120"/>
      </w:pPr>
      <w:r>
        <w:rPr>
          <w:rStyle w:val="FootnoteReference"/>
        </w:rPr>
        <w:footnoteRef/>
      </w:r>
      <w:r>
        <w:t xml:space="preserve"> </w:t>
      </w:r>
      <w:r>
        <w:rPr>
          <w:i/>
          <w:iCs/>
        </w:rPr>
        <w:t xml:space="preserve">Id., </w:t>
      </w:r>
      <w:r>
        <w:t>Application at 21 (April 1, 2024).</w:t>
      </w:r>
    </w:p>
  </w:footnote>
  <w:footnote w:id="7">
    <w:p w:rsidR="005E4247" w:rsidRPr="004F4C27" w:rsidP="00D63311" w14:paraId="3ED42C2C" w14:textId="58B9EE48">
      <w:pPr>
        <w:pStyle w:val="FootnoteText"/>
        <w:spacing w:before="0" w:after="120"/>
      </w:pPr>
      <w:r>
        <w:rPr>
          <w:rStyle w:val="FootnoteReference"/>
        </w:rPr>
        <w:footnoteRef/>
      </w:r>
      <w:r>
        <w:t xml:space="preserve"> </w:t>
      </w:r>
      <w:r w:rsidR="001913E6">
        <w:rPr>
          <w:i/>
          <w:iCs/>
        </w:rPr>
        <w:t xml:space="preserve">See e.g. </w:t>
      </w:r>
      <w:r w:rsidR="00921B81">
        <w:rPr>
          <w:i/>
          <w:iCs/>
        </w:rPr>
        <w:t xml:space="preserve">In the Matter of the Application of Ohio Edison Company, The Cleveland Electric Illuminating Company and </w:t>
      </w:r>
      <w:r w:rsidR="005F5098">
        <w:rPr>
          <w:i/>
          <w:iCs/>
        </w:rPr>
        <w:t xml:space="preserve">The </w:t>
      </w:r>
      <w:r w:rsidR="00921B81">
        <w:rPr>
          <w:i/>
          <w:iCs/>
        </w:rPr>
        <w:t>Toledo Edison Company for Authority to Establish a Standard Service Offer Pursuant to R.C. 4928.143 in the Form of an Electric Security Plan</w:t>
      </w:r>
      <w:r w:rsidR="00921B81">
        <w:t>, Case No. 23-301-EL-SSO</w:t>
      </w:r>
      <w:r w:rsidR="004F4C27">
        <w:t>, Entry (Oct. 11, 2023) at ¶</w:t>
      </w:r>
      <w:r w:rsidR="0013126D">
        <w:t xml:space="preserve"> </w:t>
      </w:r>
      <w:r w:rsidR="004F4C27">
        <w:t>8</w:t>
      </w:r>
      <w:r w:rsidR="00921B81">
        <w:t xml:space="preserve">; </w:t>
      </w:r>
      <w:r w:rsidR="00027908">
        <w:rPr>
          <w:i/>
          <w:iCs/>
        </w:rPr>
        <w:t>In the Matter of the Application of Ohio Power Company for Authority to Establish a Standard Service Offer Pursuant to R.C. 4928.143</w:t>
      </w:r>
      <w:r w:rsidR="004B0215">
        <w:rPr>
          <w:i/>
          <w:iCs/>
        </w:rPr>
        <w:t xml:space="preserve"> i</w:t>
      </w:r>
      <w:r w:rsidR="00027908">
        <w:rPr>
          <w:i/>
          <w:iCs/>
        </w:rPr>
        <w:t xml:space="preserve">n the Form of an Electric Security </w:t>
      </w:r>
      <w:r w:rsidRPr="00027908" w:rsidR="00027908">
        <w:rPr>
          <w:i/>
          <w:iCs/>
        </w:rPr>
        <w:t>Plan</w:t>
      </w:r>
      <w:r w:rsidR="00027908">
        <w:t>, Case No. 23-23-EL-SSO,</w:t>
      </w:r>
      <w:r w:rsidR="004D3545">
        <w:t xml:space="preserve"> et al.,</w:t>
      </w:r>
      <w:r w:rsidR="00027908">
        <w:t xml:space="preserve"> Entry (April 17, 2023) at</w:t>
      </w:r>
      <w:r w:rsidR="004A2E1F">
        <w:t xml:space="preserve"> </w:t>
      </w:r>
      <w:r w:rsidR="00027908">
        <w:t>¶</w:t>
      </w:r>
      <w:r w:rsidR="0013126D">
        <w:t xml:space="preserve"> </w:t>
      </w:r>
      <w:r w:rsidR="00027908">
        <w:t xml:space="preserve">7; </w:t>
      </w:r>
      <w:r w:rsidRPr="00027908" w:rsidR="00921B81">
        <w:rPr>
          <w:i/>
          <w:iCs/>
        </w:rPr>
        <w:t>In</w:t>
      </w:r>
      <w:r w:rsidR="00921B81">
        <w:rPr>
          <w:i/>
          <w:iCs/>
        </w:rPr>
        <w:t xml:space="preserve"> the Matter of the Application of The Dayton Power and Light Company d/b/a AES Ohio for Approval of Its Electric Security Plan</w:t>
      </w:r>
      <w:r w:rsidR="00921B81">
        <w:t xml:space="preserve">, Case No. 22-900-EL-SSO, </w:t>
      </w:r>
      <w:r w:rsidR="002742A2">
        <w:t xml:space="preserve">et al., </w:t>
      </w:r>
      <w:r w:rsidR="00921B81">
        <w:t>Entry (Jan. 20, 2023) at ¶</w:t>
      </w:r>
      <w:r w:rsidR="002742A2">
        <w:t xml:space="preserve"> </w:t>
      </w:r>
      <w:r w:rsidR="00921B81">
        <w:t>5;</w:t>
      </w:r>
      <w:r w:rsidR="001913E6">
        <w:t xml:space="preserve"> and</w:t>
      </w:r>
      <w:r w:rsidR="004F4C27">
        <w:t xml:space="preserve"> </w:t>
      </w:r>
      <w:r w:rsidR="004F4C27">
        <w:rPr>
          <w:i/>
          <w:iCs/>
        </w:rPr>
        <w:t>In the Matter of the Application of Duke Energy Ohio, Inc., for Authority to Establish a Standard Service Offer Pursuant to R.C. 4923.143 in the Form of an Electric Security Plan, Accounting Modifications, and Tariffs for Generation Service</w:t>
      </w:r>
      <w:r w:rsidR="004F4C27">
        <w:t>, Case No. 17-1263-EL-SSO, Entry (Sept. 28, 2017) at</w:t>
      </w:r>
      <w:r w:rsidR="004A2E1F">
        <w:t xml:space="preserve"> </w:t>
      </w:r>
      <w:r w:rsidR="004F4C27">
        <w:t>¶</w:t>
      </w:r>
      <w:r w:rsidR="002742A2">
        <w:t xml:space="preserve"> </w:t>
      </w:r>
      <w:r w:rsidR="00027908">
        <w:t>3.</w:t>
      </w:r>
    </w:p>
  </w:footnote>
  <w:footnote w:id="8">
    <w:p w:rsidR="004D14D4" w:rsidP="00D63311" w14:paraId="6EFC569F" w14:textId="3D80FA4F">
      <w:pPr>
        <w:pStyle w:val="FootnoteText"/>
        <w:spacing w:before="0" w:after="120"/>
      </w:pPr>
      <w:r>
        <w:rPr>
          <w:rStyle w:val="FootnoteReference"/>
        </w:rPr>
        <w:footnoteRef/>
      </w:r>
      <w:r>
        <w:rPr>
          <w:i/>
        </w:rPr>
        <w:t xml:space="preserve"> See Ohio Consumers</w:t>
      </w:r>
      <w:r w:rsidR="00D63311">
        <w:rPr>
          <w:i/>
        </w:rPr>
        <w:t>’</w:t>
      </w:r>
      <w:r>
        <w:rPr>
          <w:i/>
        </w:rPr>
        <w:t xml:space="preserve"> Counsel v. Pub. Util. Comm</w:t>
      </w:r>
      <w:r>
        <w:t>., 111 Ohio St.3d 384, 2006-Ohio-5853, ¶¶</w:t>
      </w:r>
      <w:r w:rsidR="00B64BA9">
        <w:t xml:space="preserve"> </w:t>
      </w:r>
      <w:r>
        <w:t>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6E21" w14:paraId="0B6C85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6E21" w14:paraId="6137906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06F7" w:rsidP="00BE06F7" w14:paraId="56387751" w14:textId="77777777">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12BEB48A" w14:textId="3DF9FB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3832EFE4" w14:textId="24ED17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6504398C" w14:textId="702A1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853B8"/>
    <w:multiLevelType w:val="hybridMultilevel"/>
    <w:tmpl w:val="CE24F0F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265E"/>
    <w:multiLevelType w:val="hybridMultilevel"/>
    <w:tmpl w:val="F9D04498"/>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F5304C4"/>
    <w:multiLevelType w:val="multilevel"/>
    <w:tmpl w:val="1D906BB4"/>
    <w:lvl w:ilvl="0">
      <w:start w:val="3"/>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2178CF"/>
    <w:multiLevelType w:val="hybridMultilevel"/>
    <w:tmpl w:val="FF04E49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5B4443"/>
    <w:multiLevelType w:val="hybridMultilevel"/>
    <w:tmpl w:val="EBA2656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22F00834"/>
    <w:multiLevelType w:val="hybridMultilevel"/>
    <w:tmpl w:val="48CC0796"/>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47C5BE3"/>
    <w:multiLevelType w:val="hybridMultilevel"/>
    <w:tmpl w:val="C3D2DADA"/>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2BDD7EEB"/>
    <w:multiLevelType w:val="hybridMultilevel"/>
    <w:tmpl w:val="8E5490F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2C8055A1"/>
    <w:multiLevelType w:val="hybridMultilevel"/>
    <w:tmpl w:val="FB72E85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37B72D01"/>
    <w:multiLevelType w:val="hybridMultilevel"/>
    <w:tmpl w:val="69DA3EF2"/>
    <w:lvl w:ilvl="0">
      <w:start w:val="4"/>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88F51B5"/>
    <w:multiLevelType w:val="hybridMultilevel"/>
    <w:tmpl w:val="9892C3C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9B32278"/>
    <w:multiLevelType w:val="hybridMultilevel"/>
    <w:tmpl w:val="53CE7B0C"/>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B8616F9"/>
    <w:multiLevelType w:val="hybridMultilevel"/>
    <w:tmpl w:val="C598D7F6"/>
    <w:lvl w:ilvl="0">
      <w:start w:val="7"/>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EEA2B4A"/>
    <w:multiLevelType w:val="hybridMultilevel"/>
    <w:tmpl w:val="0868E87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61636F23"/>
    <w:multiLevelType w:val="hybridMultilevel"/>
    <w:tmpl w:val="C2F0022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5077CD2"/>
    <w:multiLevelType w:val="hybridMultilevel"/>
    <w:tmpl w:val="1DFA6CC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nsid w:val="66547110"/>
    <w:multiLevelType w:val="hybridMultilevel"/>
    <w:tmpl w:val="872E893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7035615A"/>
    <w:multiLevelType w:val="hybridMultilevel"/>
    <w:tmpl w:val="2B84AE2E"/>
    <w:lvl w:ilvl="0">
      <w:start w:val="1"/>
      <w:numFmt w:val="bullet"/>
      <w:lvlText w:val=""/>
      <w:lvlJc w:val="left"/>
      <w:pPr>
        <w:tabs>
          <w:tab w:val="num" w:pos="1560"/>
        </w:tabs>
        <w:ind w:left="1560" w:hanging="360"/>
      </w:pPr>
      <w:rPr>
        <w:rFonts w:ascii="Symbol" w:hAnsi="Symbol" w:hint="default"/>
      </w:rPr>
    </w:lvl>
    <w:lvl w:ilvl="1" w:tentative="1">
      <w:start w:val="1"/>
      <w:numFmt w:val="bullet"/>
      <w:lvlText w:val="o"/>
      <w:lvlJc w:val="left"/>
      <w:pPr>
        <w:tabs>
          <w:tab w:val="num" w:pos="2280"/>
        </w:tabs>
        <w:ind w:left="2280" w:hanging="360"/>
      </w:pPr>
      <w:rPr>
        <w:rFonts w:ascii="Courier New" w:hAnsi="Courier New" w:cs="Microsoft Sans Serif"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cs="Microsoft Sans Serif"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cs="Microsoft Sans Serif"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23">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4">
    <w:nsid w:val="7A1307C2"/>
    <w:multiLevelType w:val="hybridMultilevel"/>
    <w:tmpl w:val="C0D2AD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nsid w:val="7D394F2C"/>
    <w:multiLevelType w:val="hybridMultilevel"/>
    <w:tmpl w:val="7B82BC94"/>
    <w:lvl w:ilvl="0">
      <w:start w:val="3"/>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6"/>
  </w:num>
  <w:num w:numId="4">
    <w:abstractNumId w:val="2"/>
  </w:num>
  <w:num w:numId="5">
    <w:abstractNumId w:val="13"/>
  </w:num>
  <w:num w:numId="6">
    <w:abstractNumId w:val="12"/>
  </w:num>
  <w:num w:numId="7">
    <w:abstractNumId w:val="3"/>
  </w:num>
  <w:num w:numId="8">
    <w:abstractNumId w:val="7"/>
  </w:num>
  <w:num w:numId="9">
    <w:abstractNumId w:val="5"/>
  </w:num>
  <w:num w:numId="10">
    <w:abstractNumId w:val="21"/>
  </w:num>
  <w:num w:numId="11">
    <w:abstractNumId w:val="0"/>
  </w:num>
  <w:num w:numId="12">
    <w:abstractNumId w:val="18"/>
  </w:num>
  <w:num w:numId="13">
    <w:abstractNumId w:val="25"/>
  </w:num>
  <w:num w:numId="14">
    <w:abstractNumId w:val="10"/>
  </w:num>
  <w:num w:numId="15">
    <w:abstractNumId w:val="22"/>
  </w:num>
  <w:num w:numId="16">
    <w:abstractNumId w:val="24"/>
  </w:num>
  <w:num w:numId="17">
    <w:abstractNumId w:val="8"/>
  </w:num>
  <w:num w:numId="18">
    <w:abstractNumId w:val="11"/>
  </w:num>
  <w:num w:numId="19">
    <w:abstractNumId w:val="19"/>
  </w:num>
  <w:num w:numId="20">
    <w:abstractNumId w:val="4"/>
  </w:num>
  <w:num w:numId="21">
    <w:abstractNumId w:val="16"/>
  </w:num>
  <w:num w:numId="22">
    <w:abstractNumId w:val="15"/>
  </w:num>
  <w:num w:numId="23">
    <w:abstractNumId w:val="20"/>
  </w:num>
  <w:num w:numId="24">
    <w:abstractNumId w:val="17"/>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doNotEmbedSmartTag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DE"/>
    <w:rsid w:val="0000380B"/>
    <w:rsid w:val="000277A9"/>
    <w:rsid w:val="00027908"/>
    <w:rsid w:val="000330D3"/>
    <w:rsid w:val="00034C46"/>
    <w:rsid w:val="000457B7"/>
    <w:rsid w:val="0005101E"/>
    <w:rsid w:val="000511D6"/>
    <w:rsid w:val="000519DA"/>
    <w:rsid w:val="00054998"/>
    <w:rsid w:val="00061469"/>
    <w:rsid w:val="00067A34"/>
    <w:rsid w:val="00082870"/>
    <w:rsid w:val="00087A0A"/>
    <w:rsid w:val="0009026E"/>
    <w:rsid w:val="00090C9A"/>
    <w:rsid w:val="00094959"/>
    <w:rsid w:val="000977C9"/>
    <w:rsid w:val="000A1059"/>
    <w:rsid w:val="000A35C6"/>
    <w:rsid w:val="000A6BA5"/>
    <w:rsid w:val="000C20F7"/>
    <w:rsid w:val="000C4282"/>
    <w:rsid w:val="000D15A6"/>
    <w:rsid w:val="000D587F"/>
    <w:rsid w:val="000E0D5C"/>
    <w:rsid w:val="000E1935"/>
    <w:rsid w:val="000E26D5"/>
    <w:rsid w:val="000E2C8B"/>
    <w:rsid w:val="000F02EF"/>
    <w:rsid w:val="000F0A9C"/>
    <w:rsid w:val="00106E82"/>
    <w:rsid w:val="001075A8"/>
    <w:rsid w:val="001107BE"/>
    <w:rsid w:val="0011134C"/>
    <w:rsid w:val="00112E29"/>
    <w:rsid w:val="001134B5"/>
    <w:rsid w:val="00113CBA"/>
    <w:rsid w:val="00114B63"/>
    <w:rsid w:val="0012231D"/>
    <w:rsid w:val="00126FFD"/>
    <w:rsid w:val="0013126D"/>
    <w:rsid w:val="00133319"/>
    <w:rsid w:val="00136CD8"/>
    <w:rsid w:val="00136E3A"/>
    <w:rsid w:val="0014292A"/>
    <w:rsid w:val="00142EBC"/>
    <w:rsid w:val="001454B6"/>
    <w:rsid w:val="00151D3D"/>
    <w:rsid w:val="00156BF8"/>
    <w:rsid w:val="00163005"/>
    <w:rsid w:val="00164481"/>
    <w:rsid w:val="00165484"/>
    <w:rsid w:val="00180197"/>
    <w:rsid w:val="001850AE"/>
    <w:rsid w:val="001913E6"/>
    <w:rsid w:val="00191627"/>
    <w:rsid w:val="0019554F"/>
    <w:rsid w:val="001B4F98"/>
    <w:rsid w:val="001B5AF3"/>
    <w:rsid w:val="001B6B05"/>
    <w:rsid w:val="001C0912"/>
    <w:rsid w:val="001D0897"/>
    <w:rsid w:val="001D6BA8"/>
    <w:rsid w:val="001E0A51"/>
    <w:rsid w:val="001F46B8"/>
    <w:rsid w:val="001F5C86"/>
    <w:rsid w:val="00204F3C"/>
    <w:rsid w:val="0021581F"/>
    <w:rsid w:val="00217FAE"/>
    <w:rsid w:val="00221AF9"/>
    <w:rsid w:val="00222591"/>
    <w:rsid w:val="00236255"/>
    <w:rsid w:val="00240F08"/>
    <w:rsid w:val="002423F2"/>
    <w:rsid w:val="0024284C"/>
    <w:rsid w:val="00251300"/>
    <w:rsid w:val="00253A21"/>
    <w:rsid w:val="00254476"/>
    <w:rsid w:val="00255A79"/>
    <w:rsid w:val="00270856"/>
    <w:rsid w:val="0027171F"/>
    <w:rsid w:val="002719D1"/>
    <w:rsid w:val="002732A8"/>
    <w:rsid w:val="00273CEA"/>
    <w:rsid w:val="002742A2"/>
    <w:rsid w:val="0027466D"/>
    <w:rsid w:val="00282DD0"/>
    <w:rsid w:val="0028384C"/>
    <w:rsid w:val="002907E3"/>
    <w:rsid w:val="00292131"/>
    <w:rsid w:val="00292B26"/>
    <w:rsid w:val="00296D7F"/>
    <w:rsid w:val="002A4912"/>
    <w:rsid w:val="002B197A"/>
    <w:rsid w:val="002C20F3"/>
    <w:rsid w:val="002C48DC"/>
    <w:rsid w:val="002C7D60"/>
    <w:rsid w:val="002D1902"/>
    <w:rsid w:val="002D29C3"/>
    <w:rsid w:val="002D3482"/>
    <w:rsid w:val="002E21B0"/>
    <w:rsid w:val="002E61B7"/>
    <w:rsid w:val="002F205E"/>
    <w:rsid w:val="00300C8A"/>
    <w:rsid w:val="003026A8"/>
    <w:rsid w:val="00302790"/>
    <w:rsid w:val="00311285"/>
    <w:rsid w:val="0031242C"/>
    <w:rsid w:val="00315C60"/>
    <w:rsid w:val="0032025C"/>
    <w:rsid w:val="00320F5D"/>
    <w:rsid w:val="003258C2"/>
    <w:rsid w:val="00337BBD"/>
    <w:rsid w:val="003409E3"/>
    <w:rsid w:val="003418A8"/>
    <w:rsid w:val="00343FD2"/>
    <w:rsid w:val="003558EF"/>
    <w:rsid w:val="00371F5D"/>
    <w:rsid w:val="00372776"/>
    <w:rsid w:val="0037614B"/>
    <w:rsid w:val="003801D3"/>
    <w:rsid w:val="0038311C"/>
    <w:rsid w:val="0038477A"/>
    <w:rsid w:val="003864B5"/>
    <w:rsid w:val="00387C2C"/>
    <w:rsid w:val="00392196"/>
    <w:rsid w:val="003943B4"/>
    <w:rsid w:val="00395981"/>
    <w:rsid w:val="00397C34"/>
    <w:rsid w:val="003A2BCE"/>
    <w:rsid w:val="003A52BE"/>
    <w:rsid w:val="003A5AB3"/>
    <w:rsid w:val="003B2653"/>
    <w:rsid w:val="003B3BA0"/>
    <w:rsid w:val="003B5A65"/>
    <w:rsid w:val="003B7CA8"/>
    <w:rsid w:val="003C1DCE"/>
    <w:rsid w:val="003C240A"/>
    <w:rsid w:val="003C33FE"/>
    <w:rsid w:val="003D1A04"/>
    <w:rsid w:val="003D23A5"/>
    <w:rsid w:val="003D4F9A"/>
    <w:rsid w:val="003D7A0C"/>
    <w:rsid w:val="003E1329"/>
    <w:rsid w:val="003E41D6"/>
    <w:rsid w:val="003E6509"/>
    <w:rsid w:val="003E6D05"/>
    <w:rsid w:val="003E7261"/>
    <w:rsid w:val="003F0FBF"/>
    <w:rsid w:val="003F1FFD"/>
    <w:rsid w:val="003F52E7"/>
    <w:rsid w:val="003F6E1A"/>
    <w:rsid w:val="004015F8"/>
    <w:rsid w:val="00415A83"/>
    <w:rsid w:val="004256EA"/>
    <w:rsid w:val="004306B9"/>
    <w:rsid w:val="00435E44"/>
    <w:rsid w:val="00437A5C"/>
    <w:rsid w:val="004417B3"/>
    <w:rsid w:val="00450F0C"/>
    <w:rsid w:val="004569A0"/>
    <w:rsid w:val="00465278"/>
    <w:rsid w:val="0046726D"/>
    <w:rsid w:val="0047251D"/>
    <w:rsid w:val="0047392A"/>
    <w:rsid w:val="00476981"/>
    <w:rsid w:val="00492D19"/>
    <w:rsid w:val="00493B13"/>
    <w:rsid w:val="00493B5B"/>
    <w:rsid w:val="00496E1F"/>
    <w:rsid w:val="00497B9F"/>
    <w:rsid w:val="004A2E1F"/>
    <w:rsid w:val="004A330E"/>
    <w:rsid w:val="004A3C94"/>
    <w:rsid w:val="004A7AF2"/>
    <w:rsid w:val="004B0215"/>
    <w:rsid w:val="004B7158"/>
    <w:rsid w:val="004C3F8D"/>
    <w:rsid w:val="004C5420"/>
    <w:rsid w:val="004C5A66"/>
    <w:rsid w:val="004D14D4"/>
    <w:rsid w:val="004D2020"/>
    <w:rsid w:val="004D2087"/>
    <w:rsid w:val="004D2153"/>
    <w:rsid w:val="004D3545"/>
    <w:rsid w:val="004D783E"/>
    <w:rsid w:val="004E0696"/>
    <w:rsid w:val="004E40A2"/>
    <w:rsid w:val="004E78F9"/>
    <w:rsid w:val="004F142D"/>
    <w:rsid w:val="004F20DA"/>
    <w:rsid w:val="004F2E70"/>
    <w:rsid w:val="004F4C27"/>
    <w:rsid w:val="004F77DC"/>
    <w:rsid w:val="00502946"/>
    <w:rsid w:val="00502B03"/>
    <w:rsid w:val="00503587"/>
    <w:rsid w:val="00504C2E"/>
    <w:rsid w:val="005075C1"/>
    <w:rsid w:val="00512B71"/>
    <w:rsid w:val="0051520D"/>
    <w:rsid w:val="0051553B"/>
    <w:rsid w:val="005234CD"/>
    <w:rsid w:val="00526491"/>
    <w:rsid w:val="00526A48"/>
    <w:rsid w:val="005270F0"/>
    <w:rsid w:val="00527999"/>
    <w:rsid w:val="00534756"/>
    <w:rsid w:val="00546956"/>
    <w:rsid w:val="0055107B"/>
    <w:rsid w:val="0055143F"/>
    <w:rsid w:val="00555315"/>
    <w:rsid w:val="00557F89"/>
    <w:rsid w:val="00561894"/>
    <w:rsid w:val="00576439"/>
    <w:rsid w:val="00580E1B"/>
    <w:rsid w:val="00590435"/>
    <w:rsid w:val="0059543B"/>
    <w:rsid w:val="005959CA"/>
    <w:rsid w:val="005A6744"/>
    <w:rsid w:val="005A6D15"/>
    <w:rsid w:val="005B209C"/>
    <w:rsid w:val="005B4B0A"/>
    <w:rsid w:val="005C1331"/>
    <w:rsid w:val="005C33FF"/>
    <w:rsid w:val="005D08D2"/>
    <w:rsid w:val="005E4247"/>
    <w:rsid w:val="005E6DAD"/>
    <w:rsid w:val="005F1D3B"/>
    <w:rsid w:val="005F5098"/>
    <w:rsid w:val="005F5849"/>
    <w:rsid w:val="005F7781"/>
    <w:rsid w:val="00600468"/>
    <w:rsid w:val="00601A67"/>
    <w:rsid w:val="00604843"/>
    <w:rsid w:val="00604F8E"/>
    <w:rsid w:val="006127CF"/>
    <w:rsid w:val="0062108F"/>
    <w:rsid w:val="00624184"/>
    <w:rsid w:val="00625CB2"/>
    <w:rsid w:val="0063027F"/>
    <w:rsid w:val="00631CC7"/>
    <w:rsid w:val="00633A6B"/>
    <w:rsid w:val="006376AA"/>
    <w:rsid w:val="00637ED7"/>
    <w:rsid w:val="00641070"/>
    <w:rsid w:val="00641BAF"/>
    <w:rsid w:val="0064211D"/>
    <w:rsid w:val="00642375"/>
    <w:rsid w:val="0064262C"/>
    <w:rsid w:val="00644835"/>
    <w:rsid w:val="00650CFA"/>
    <w:rsid w:val="0065217E"/>
    <w:rsid w:val="0066433D"/>
    <w:rsid w:val="00665EE2"/>
    <w:rsid w:val="00667426"/>
    <w:rsid w:val="00673F15"/>
    <w:rsid w:val="006755BB"/>
    <w:rsid w:val="00692036"/>
    <w:rsid w:val="0069241E"/>
    <w:rsid w:val="006A1F80"/>
    <w:rsid w:val="006B3D4D"/>
    <w:rsid w:val="006C522E"/>
    <w:rsid w:val="006C5841"/>
    <w:rsid w:val="006C5A50"/>
    <w:rsid w:val="006D2F15"/>
    <w:rsid w:val="006E1293"/>
    <w:rsid w:val="006E3A5C"/>
    <w:rsid w:val="006E3B64"/>
    <w:rsid w:val="006E5A36"/>
    <w:rsid w:val="006E6967"/>
    <w:rsid w:val="006E7561"/>
    <w:rsid w:val="006F6268"/>
    <w:rsid w:val="006F6C88"/>
    <w:rsid w:val="006F71E7"/>
    <w:rsid w:val="00704AA2"/>
    <w:rsid w:val="00705DD2"/>
    <w:rsid w:val="00711444"/>
    <w:rsid w:val="00714F95"/>
    <w:rsid w:val="0072005F"/>
    <w:rsid w:val="0072721B"/>
    <w:rsid w:val="00730C0C"/>
    <w:rsid w:val="007362CB"/>
    <w:rsid w:val="00736E21"/>
    <w:rsid w:val="0075325F"/>
    <w:rsid w:val="00757448"/>
    <w:rsid w:val="00760606"/>
    <w:rsid w:val="00760DE9"/>
    <w:rsid w:val="00764DB5"/>
    <w:rsid w:val="0076652C"/>
    <w:rsid w:val="00766692"/>
    <w:rsid w:val="00783CE2"/>
    <w:rsid w:val="00784859"/>
    <w:rsid w:val="00784D8A"/>
    <w:rsid w:val="00786C43"/>
    <w:rsid w:val="0078718F"/>
    <w:rsid w:val="00793416"/>
    <w:rsid w:val="007A408C"/>
    <w:rsid w:val="007B6430"/>
    <w:rsid w:val="007C5DF4"/>
    <w:rsid w:val="007D076D"/>
    <w:rsid w:val="007E000E"/>
    <w:rsid w:val="007E015D"/>
    <w:rsid w:val="007E0B3F"/>
    <w:rsid w:val="007F18AC"/>
    <w:rsid w:val="007F72A3"/>
    <w:rsid w:val="00806351"/>
    <w:rsid w:val="00806B12"/>
    <w:rsid w:val="00827211"/>
    <w:rsid w:val="00830862"/>
    <w:rsid w:val="00830D91"/>
    <w:rsid w:val="008318BD"/>
    <w:rsid w:val="0083578A"/>
    <w:rsid w:val="00837736"/>
    <w:rsid w:val="00837FCB"/>
    <w:rsid w:val="0084217B"/>
    <w:rsid w:val="00843D9A"/>
    <w:rsid w:val="00844294"/>
    <w:rsid w:val="00845A5D"/>
    <w:rsid w:val="008471F8"/>
    <w:rsid w:val="00852654"/>
    <w:rsid w:val="00857EE9"/>
    <w:rsid w:val="00865E16"/>
    <w:rsid w:val="008663A9"/>
    <w:rsid w:val="00883415"/>
    <w:rsid w:val="0088535C"/>
    <w:rsid w:val="00891076"/>
    <w:rsid w:val="00891DF4"/>
    <w:rsid w:val="008936C2"/>
    <w:rsid w:val="00897278"/>
    <w:rsid w:val="008A1894"/>
    <w:rsid w:val="008A7BF2"/>
    <w:rsid w:val="008B0351"/>
    <w:rsid w:val="008B0AFF"/>
    <w:rsid w:val="008B1879"/>
    <w:rsid w:val="008B1FAA"/>
    <w:rsid w:val="008B571A"/>
    <w:rsid w:val="008B5EEF"/>
    <w:rsid w:val="008C3730"/>
    <w:rsid w:val="008C3DAE"/>
    <w:rsid w:val="008D07C9"/>
    <w:rsid w:val="008D33C8"/>
    <w:rsid w:val="008D3A4F"/>
    <w:rsid w:val="008D50BC"/>
    <w:rsid w:val="008E02E5"/>
    <w:rsid w:val="008E5CF6"/>
    <w:rsid w:val="008F2320"/>
    <w:rsid w:val="008F2C24"/>
    <w:rsid w:val="008F4272"/>
    <w:rsid w:val="009119FC"/>
    <w:rsid w:val="00913CB7"/>
    <w:rsid w:val="00920EF7"/>
    <w:rsid w:val="00921B81"/>
    <w:rsid w:val="00925488"/>
    <w:rsid w:val="00931325"/>
    <w:rsid w:val="00933D87"/>
    <w:rsid w:val="00934A3F"/>
    <w:rsid w:val="00936A26"/>
    <w:rsid w:val="00940545"/>
    <w:rsid w:val="00943AF2"/>
    <w:rsid w:val="009512E6"/>
    <w:rsid w:val="00954D51"/>
    <w:rsid w:val="00956600"/>
    <w:rsid w:val="00961D96"/>
    <w:rsid w:val="00971D8D"/>
    <w:rsid w:val="0097629E"/>
    <w:rsid w:val="00977970"/>
    <w:rsid w:val="00982990"/>
    <w:rsid w:val="00983F12"/>
    <w:rsid w:val="0099127C"/>
    <w:rsid w:val="00991D10"/>
    <w:rsid w:val="00992355"/>
    <w:rsid w:val="00992E47"/>
    <w:rsid w:val="009974EE"/>
    <w:rsid w:val="009A0F0A"/>
    <w:rsid w:val="009A1CFA"/>
    <w:rsid w:val="009A775D"/>
    <w:rsid w:val="009B246C"/>
    <w:rsid w:val="009B6D8B"/>
    <w:rsid w:val="009B79D5"/>
    <w:rsid w:val="009C3DA4"/>
    <w:rsid w:val="009C40B1"/>
    <w:rsid w:val="009D31FF"/>
    <w:rsid w:val="009D3A0B"/>
    <w:rsid w:val="009D468C"/>
    <w:rsid w:val="009E706C"/>
    <w:rsid w:val="009F067A"/>
    <w:rsid w:val="009F144B"/>
    <w:rsid w:val="009F553E"/>
    <w:rsid w:val="00A044B5"/>
    <w:rsid w:val="00A0729B"/>
    <w:rsid w:val="00A12ADC"/>
    <w:rsid w:val="00A13D5B"/>
    <w:rsid w:val="00A14281"/>
    <w:rsid w:val="00A25988"/>
    <w:rsid w:val="00A367E7"/>
    <w:rsid w:val="00A410DE"/>
    <w:rsid w:val="00A46DBC"/>
    <w:rsid w:val="00A47CD2"/>
    <w:rsid w:val="00A501F7"/>
    <w:rsid w:val="00A51347"/>
    <w:rsid w:val="00A5231A"/>
    <w:rsid w:val="00A5514C"/>
    <w:rsid w:val="00A555B5"/>
    <w:rsid w:val="00A5637F"/>
    <w:rsid w:val="00A62965"/>
    <w:rsid w:val="00A72885"/>
    <w:rsid w:val="00A858A6"/>
    <w:rsid w:val="00A92D24"/>
    <w:rsid w:val="00A942E0"/>
    <w:rsid w:val="00AA7682"/>
    <w:rsid w:val="00AB5851"/>
    <w:rsid w:val="00AB76EC"/>
    <w:rsid w:val="00AC05F4"/>
    <w:rsid w:val="00AC0C27"/>
    <w:rsid w:val="00AC102B"/>
    <w:rsid w:val="00AC29E2"/>
    <w:rsid w:val="00AD135E"/>
    <w:rsid w:val="00AE0747"/>
    <w:rsid w:val="00AE2BF5"/>
    <w:rsid w:val="00AE437E"/>
    <w:rsid w:val="00B00F18"/>
    <w:rsid w:val="00B02598"/>
    <w:rsid w:val="00B1108C"/>
    <w:rsid w:val="00B178E3"/>
    <w:rsid w:val="00B34C0E"/>
    <w:rsid w:val="00B41BAE"/>
    <w:rsid w:val="00B43B6E"/>
    <w:rsid w:val="00B43E94"/>
    <w:rsid w:val="00B446B3"/>
    <w:rsid w:val="00B5044A"/>
    <w:rsid w:val="00B560F2"/>
    <w:rsid w:val="00B56EF6"/>
    <w:rsid w:val="00B64BA9"/>
    <w:rsid w:val="00B65BFA"/>
    <w:rsid w:val="00B7380A"/>
    <w:rsid w:val="00B742C1"/>
    <w:rsid w:val="00B75F55"/>
    <w:rsid w:val="00B773D6"/>
    <w:rsid w:val="00B77B93"/>
    <w:rsid w:val="00B84C55"/>
    <w:rsid w:val="00B9127F"/>
    <w:rsid w:val="00B91F9F"/>
    <w:rsid w:val="00B96A88"/>
    <w:rsid w:val="00BA335C"/>
    <w:rsid w:val="00BA5213"/>
    <w:rsid w:val="00BA7E3C"/>
    <w:rsid w:val="00BB0C01"/>
    <w:rsid w:val="00BB0E09"/>
    <w:rsid w:val="00BB208D"/>
    <w:rsid w:val="00BB2841"/>
    <w:rsid w:val="00BB4C86"/>
    <w:rsid w:val="00BB77DD"/>
    <w:rsid w:val="00BC08B2"/>
    <w:rsid w:val="00BC0B1E"/>
    <w:rsid w:val="00BC5216"/>
    <w:rsid w:val="00BC7A39"/>
    <w:rsid w:val="00BC7AB9"/>
    <w:rsid w:val="00BD41FA"/>
    <w:rsid w:val="00BD6C32"/>
    <w:rsid w:val="00BE06F7"/>
    <w:rsid w:val="00BE209C"/>
    <w:rsid w:val="00BF0449"/>
    <w:rsid w:val="00BF71DF"/>
    <w:rsid w:val="00C03686"/>
    <w:rsid w:val="00C14D59"/>
    <w:rsid w:val="00C16711"/>
    <w:rsid w:val="00C233E1"/>
    <w:rsid w:val="00C309E1"/>
    <w:rsid w:val="00C3282B"/>
    <w:rsid w:val="00C371CD"/>
    <w:rsid w:val="00C377D2"/>
    <w:rsid w:val="00C37973"/>
    <w:rsid w:val="00C4142F"/>
    <w:rsid w:val="00C417A5"/>
    <w:rsid w:val="00C4744B"/>
    <w:rsid w:val="00C50B3F"/>
    <w:rsid w:val="00C52461"/>
    <w:rsid w:val="00C55795"/>
    <w:rsid w:val="00C6286A"/>
    <w:rsid w:val="00C7183B"/>
    <w:rsid w:val="00C73589"/>
    <w:rsid w:val="00C751D0"/>
    <w:rsid w:val="00C80F09"/>
    <w:rsid w:val="00C85D4D"/>
    <w:rsid w:val="00C864EE"/>
    <w:rsid w:val="00C90305"/>
    <w:rsid w:val="00C910AC"/>
    <w:rsid w:val="00C937CD"/>
    <w:rsid w:val="00C9764F"/>
    <w:rsid w:val="00CA086F"/>
    <w:rsid w:val="00CA16E1"/>
    <w:rsid w:val="00CA3F81"/>
    <w:rsid w:val="00CB3339"/>
    <w:rsid w:val="00CB48FC"/>
    <w:rsid w:val="00CB5C31"/>
    <w:rsid w:val="00CB7047"/>
    <w:rsid w:val="00CB757A"/>
    <w:rsid w:val="00CC15AB"/>
    <w:rsid w:val="00CD40A1"/>
    <w:rsid w:val="00CE04EA"/>
    <w:rsid w:val="00CE0EBD"/>
    <w:rsid w:val="00CE2C72"/>
    <w:rsid w:val="00CE3699"/>
    <w:rsid w:val="00CE38C7"/>
    <w:rsid w:val="00CE541F"/>
    <w:rsid w:val="00CF081A"/>
    <w:rsid w:val="00CF0F6C"/>
    <w:rsid w:val="00CF2632"/>
    <w:rsid w:val="00CF2964"/>
    <w:rsid w:val="00CF4480"/>
    <w:rsid w:val="00D0222B"/>
    <w:rsid w:val="00D037AC"/>
    <w:rsid w:val="00D115BD"/>
    <w:rsid w:val="00D12BC0"/>
    <w:rsid w:val="00D1405D"/>
    <w:rsid w:val="00D14189"/>
    <w:rsid w:val="00D14B97"/>
    <w:rsid w:val="00D158F9"/>
    <w:rsid w:val="00D23A6B"/>
    <w:rsid w:val="00D264A9"/>
    <w:rsid w:val="00D412F3"/>
    <w:rsid w:val="00D417AA"/>
    <w:rsid w:val="00D42952"/>
    <w:rsid w:val="00D55177"/>
    <w:rsid w:val="00D57504"/>
    <w:rsid w:val="00D62ADA"/>
    <w:rsid w:val="00D63311"/>
    <w:rsid w:val="00D678B0"/>
    <w:rsid w:val="00D678B2"/>
    <w:rsid w:val="00D71790"/>
    <w:rsid w:val="00D71D52"/>
    <w:rsid w:val="00D73160"/>
    <w:rsid w:val="00D7482E"/>
    <w:rsid w:val="00D74838"/>
    <w:rsid w:val="00D74BAB"/>
    <w:rsid w:val="00D74F21"/>
    <w:rsid w:val="00D761A4"/>
    <w:rsid w:val="00D867B4"/>
    <w:rsid w:val="00D93D5B"/>
    <w:rsid w:val="00D96FBC"/>
    <w:rsid w:val="00DA3122"/>
    <w:rsid w:val="00DA489A"/>
    <w:rsid w:val="00DA6AE4"/>
    <w:rsid w:val="00DB1191"/>
    <w:rsid w:val="00DB6639"/>
    <w:rsid w:val="00DC517F"/>
    <w:rsid w:val="00DD090F"/>
    <w:rsid w:val="00DD5F06"/>
    <w:rsid w:val="00DD72A3"/>
    <w:rsid w:val="00DE2B27"/>
    <w:rsid w:val="00DE3BDA"/>
    <w:rsid w:val="00DF2D72"/>
    <w:rsid w:val="00E03228"/>
    <w:rsid w:val="00E149D7"/>
    <w:rsid w:val="00E17E12"/>
    <w:rsid w:val="00E2102F"/>
    <w:rsid w:val="00E236BD"/>
    <w:rsid w:val="00E2454D"/>
    <w:rsid w:val="00E33698"/>
    <w:rsid w:val="00E336D8"/>
    <w:rsid w:val="00E372F2"/>
    <w:rsid w:val="00E4117D"/>
    <w:rsid w:val="00E444D2"/>
    <w:rsid w:val="00E4538D"/>
    <w:rsid w:val="00E47615"/>
    <w:rsid w:val="00E50AD8"/>
    <w:rsid w:val="00E511B4"/>
    <w:rsid w:val="00E571C5"/>
    <w:rsid w:val="00E668F3"/>
    <w:rsid w:val="00E71251"/>
    <w:rsid w:val="00E71EB8"/>
    <w:rsid w:val="00E75D2C"/>
    <w:rsid w:val="00E80601"/>
    <w:rsid w:val="00E80AB7"/>
    <w:rsid w:val="00E81587"/>
    <w:rsid w:val="00E91E1E"/>
    <w:rsid w:val="00E93A2E"/>
    <w:rsid w:val="00E94038"/>
    <w:rsid w:val="00EA4179"/>
    <w:rsid w:val="00EA7F2D"/>
    <w:rsid w:val="00EB4800"/>
    <w:rsid w:val="00EB4DEC"/>
    <w:rsid w:val="00EC368A"/>
    <w:rsid w:val="00EC4963"/>
    <w:rsid w:val="00ED4464"/>
    <w:rsid w:val="00ED4A50"/>
    <w:rsid w:val="00ED606A"/>
    <w:rsid w:val="00EE0768"/>
    <w:rsid w:val="00EF0215"/>
    <w:rsid w:val="00EF35E6"/>
    <w:rsid w:val="00EF3AD6"/>
    <w:rsid w:val="00F017A2"/>
    <w:rsid w:val="00F02C6C"/>
    <w:rsid w:val="00F036E7"/>
    <w:rsid w:val="00F0404C"/>
    <w:rsid w:val="00F0417E"/>
    <w:rsid w:val="00F046A2"/>
    <w:rsid w:val="00F04FC3"/>
    <w:rsid w:val="00F0514F"/>
    <w:rsid w:val="00F1341B"/>
    <w:rsid w:val="00F1450F"/>
    <w:rsid w:val="00F16812"/>
    <w:rsid w:val="00F21D4C"/>
    <w:rsid w:val="00F24D02"/>
    <w:rsid w:val="00F348AA"/>
    <w:rsid w:val="00F46148"/>
    <w:rsid w:val="00F523BB"/>
    <w:rsid w:val="00F56829"/>
    <w:rsid w:val="00F56D26"/>
    <w:rsid w:val="00F620D7"/>
    <w:rsid w:val="00F659ED"/>
    <w:rsid w:val="00F661B9"/>
    <w:rsid w:val="00F70A21"/>
    <w:rsid w:val="00F71E01"/>
    <w:rsid w:val="00F75798"/>
    <w:rsid w:val="00F83B55"/>
    <w:rsid w:val="00F83F48"/>
    <w:rsid w:val="00F8420C"/>
    <w:rsid w:val="00F92877"/>
    <w:rsid w:val="00F9433C"/>
    <w:rsid w:val="00F95917"/>
    <w:rsid w:val="00FA0B06"/>
    <w:rsid w:val="00FA3275"/>
    <w:rsid w:val="00FA5B9C"/>
    <w:rsid w:val="00FA7F63"/>
    <w:rsid w:val="00FB5C69"/>
    <w:rsid w:val="00FC1A7D"/>
    <w:rsid w:val="00FD12B3"/>
    <w:rsid w:val="00FE05A8"/>
    <w:rsid w:val="00FE5950"/>
    <w:rsid w:val="00FF2ACA"/>
    <w:rsid w:val="00FF70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4:docId w14:val="08A84B82"/>
  <w15:chartTrackingRefBased/>
  <w15:docId w15:val="{11E462BC-5A0C-4221-9E28-DFE89943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41"/>
    <w:rPr>
      <w:sz w:val="24"/>
      <w:szCs w:val="24"/>
    </w:rPr>
  </w:style>
  <w:style w:type="paragraph" w:styleId="Heading1">
    <w:name w:val="heading 1"/>
    <w:basedOn w:val="Normal"/>
    <w:next w:val="Normal"/>
    <w:qFormat/>
    <w:rsid w:val="000F0A9C"/>
    <w:pPr>
      <w:keepNext/>
      <w:spacing w:after="240"/>
      <w:outlineLvl w:val="0"/>
    </w:pPr>
    <w:rPr>
      <w:b/>
      <w:bCs/>
    </w:rPr>
  </w:style>
  <w:style w:type="paragraph" w:styleId="Heading2">
    <w:name w:val="heading 2"/>
    <w:basedOn w:val="Normal"/>
    <w:next w:val="Normal"/>
    <w:qFormat/>
    <w:rsid w:val="000F0A9C"/>
    <w:pPr>
      <w:keepNext/>
      <w:tabs>
        <w:tab w:val="left" w:pos="0"/>
        <w:tab w:val="left" w:pos="720"/>
      </w:tabs>
      <w:spacing w:after="240"/>
      <w:ind w:left="1440" w:hanging="720"/>
      <w:outlineLvl w:val="1"/>
    </w:pPr>
    <w:rPr>
      <w:b/>
      <w:bCs/>
    </w:rPr>
  </w:style>
  <w:style w:type="paragraph" w:styleId="Heading3">
    <w:name w:val="heading 3"/>
    <w:basedOn w:val="Normal"/>
    <w:next w:val="Normal"/>
    <w:qFormat/>
    <w:rsid w:val="000F0A9C"/>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rsid w:val="000F0A9C"/>
    <w:pPr>
      <w:tabs>
        <w:tab w:val="left" w:pos="0"/>
        <w:tab w:val="left" w:pos="720"/>
        <w:tab w:val="center" w:pos="4320"/>
        <w:tab w:val="right" w:pos="8640"/>
      </w:tabs>
      <w:spacing w:line="480" w:lineRule="auto"/>
    </w:pPr>
  </w:style>
  <w:style w:type="paragraph" w:styleId="BodyText">
    <w:name w:val="Body Text"/>
    <w:basedOn w:val="Normal"/>
    <w:rsid w:val="000F0A9C"/>
    <w:pPr>
      <w:tabs>
        <w:tab w:val="left" w:pos="0"/>
        <w:tab w:val="left" w:pos="720"/>
      </w:tabs>
      <w:spacing w:line="480" w:lineRule="auto"/>
      <w:ind w:firstLine="720"/>
    </w:pPr>
    <w:rPr>
      <w:szCs w:val="20"/>
    </w:rPr>
  </w:style>
  <w:style w:type="paragraph" w:styleId="FootnoteText">
    <w:name w:val="footnote text"/>
    <w:basedOn w:val="Normal"/>
    <w:link w:val="FootnoteTextChar"/>
    <w:semiHidden/>
    <w:rsid w:val="000F0A9C"/>
    <w:pPr>
      <w:spacing w:before="120"/>
    </w:pPr>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0F0A9C"/>
    <w:pPr>
      <w:spacing w:line="480" w:lineRule="auto"/>
      <w:ind w:firstLine="720"/>
    </w:pPr>
    <w:rPr>
      <w:szCs w:val="20"/>
    </w:rPr>
  </w:style>
  <w:style w:type="paragraph" w:styleId="BodyTextIndent3">
    <w:name w:val="Body Text Indent 3"/>
    <w:basedOn w:val="Normal"/>
    <w:link w:val="BodyTextIndent3Char"/>
    <w:rsid w:val="000F0A9C"/>
    <w:pPr>
      <w:spacing w:line="480" w:lineRule="atLeast"/>
      <w:ind w:firstLine="720"/>
    </w:pPr>
    <w:rPr>
      <w:szCs w:val="20"/>
    </w:rPr>
  </w:style>
  <w:style w:type="paragraph" w:customStyle="1" w:styleId="Quote1">
    <w:name w:val="Quote1"/>
    <w:basedOn w:val="Normal"/>
    <w:autoRedefine/>
    <w:pPr>
      <w:spacing w:after="240"/>
      <w:ind w:left="720" w:right="720"/>
    </w:pPr>
    <w:rPr>
      <w:bCs/>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rsid w:val="000F0A9C"/>
  </w:style>
  <w:style w:type="paragraph" w:styleId="CommentSubject">
    <w:name w:val="annotation subject"/>
    <w:basedOn w:val="CommentText"/>
    <w:next w:val="CommentText"/>
    <w:semiHidden/>
    <w:rsid w:val="000F0A9C"/>
  </w:style>
  <w:style w:type="paragraph" w:styleId="BodyTextIndent2">
    <w:name w:val="Body Text Indent 2"/>
    <w:basedOn w:val="Normal"/>
    <w:rsid w:val="000F0A9C"/>
    <w:pPr>
      <w:spacing w:after="240"/>
      <w:ind w:left="2160" w:hanging="720"/>
    </w:pPr>
    <w:rPr>
      <w:b/>
      <w:bCs/>
    </w:rPr>
  </w:style>
  <w:style w:type="character" w:styleId="Hyperlink">
    <w:name w:val="Hyperlink"/>
    <w:rPr>
      <w:color w:val="0000FF"/>
      <w:u w:val="single"/>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b/>
      <w:szCs w:val="20"/>
    </w:rPr>
  </w:style>
  <w:style w:type="paragraph" w:styleId="EndnoteText">
    <w:name w:val="endnote text"/>
    <w:basedOn w:val="Normal"/>
    <w:semiHidden/>
    <w:rsid w:val="000F0A9C"/>
    <w:pPr>
      <w:widowControl w:val="0"/>
    </w:pPr>
    <w:rPr>
      <w:rFonts w:ascii="Courier New" w:hAnsi="Courier New"/>
      <w:snapToGrid w:val="0"/>
      <w:szCs w:val="20"/>
    </w:rPr>
  </w:style>
  <w:style w:type="paragraph" w:styleId="HTMLPreformatted">
    <w:name w:val="HTML Preformatted"/>
    <w:aliases w:val=" 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 Char1 Char"/>
    <w:link w:val="Footer"/>
    <w:locked/>
    <w:rPr>
      <w:sz w:val="24"/>
      <w:szCs w:val="24"/>
    </w:rPr>
  </w:style>
  <w:style w:type="paragraph" w:customStyle="1" w:styleId="ANSWER">
    <w:name w:val="ANSWER"/>
    <w:basedOn w:val="Normal"/>
    <w:pPr>
      <w:spacing w:line="480" w:lineRule="auto"/>
      <w:ind w:left="1008" w:hanging="720"/>
    </w:pPr>
    <w:rPr>
      <w:szCs w:val="20"/>
    </w:rPr>
  </w:style>
  <w:style w:type="paragraph" w:customStyle="1" w:styleId="InsideAddress">
    <w:name w:val="Inside Address"/>
    <w:basedOn w:val="Normal"/>
    <w:rPr>
      <w:rFonts w:ascii="Times" w:eastAsia="Times" w:hAnsi="Times"/>
      <w:szCs w:val="20"/>
    </w:rPr>
  </w:style>
  <w:style w:type="character" w:customStyle="1" w:styleId="HTMLPreformattedChar">
    <w:name w:val="HTML Preformatted Char"/>
    <w:aliases w:val=" Char Char"/>
    <w:link w:val="HTMLPreformatted"/>
    <w:locked/>
    <w:rPr>
      <w:rFonts w:ascii="Courier New" w:eastAsia="Courier New" w:hAnsi="Courier New" w:cs="Courier New"/>
      <w:lang w:val="en-US" w:eastAsia="en-US" w:bidi="ar-SA"/>
    </w:rPr>
  </w:style>
  <w:style w:type="character" w:customStyle="1" w:styleId="CharChar0">
    <w:name w:val="Char Char"/>
    <w:semiHidden/>
    <w:locked/>
    <w:rPr>
      <w:rFonts w:ascii="Courier New" w:eastAsia="Courier New" w:hAnsi="Courier New" w:cs="Courier New"/>
      <w:lang w:val="en-US" w:eastAsia="en-US" w:bidi="ar-SA"/>
    </w:rPr>
  </w:style>
  <w:style w:type="character" w:customStyle="1" w:styleId="ssleftalign">
    <w:name w:val="ss_leftalign"/>
    <w:rsid w:val="00424902"/>
  </w:style>
  <w:style w:type="character" w:customStyle="1" w:styleId="sssh">
    <w:name w:val="ss_sh"/>
    <w:rsid w:val="00424902"/>
  </w:style>
  <w:style w:type="character" w:customStyle="1" w:styleId="ssit">
    <w:name w:val="ss_it"/>
    <w:rsid w:val="00424902"/>
  </w:style>
  <w:style w:type="character" w:customStyle="1" w:styleId="CommentTextChar">
    <w:name w:val="Comment Text Char"/>
    <w:link w:val="CommentText"/>
    <w:uiPriority w:val="99"/>
    <w:rsid w:val="002C7D60"/>
    <w:rPr>
      <w:sz w:val="24"/>
      <w:szCs w:val="24"/>
    </w:rPr>
  </w:style>
  <w:style w:type="character" w:customStyle="1" w:styleId="UnresolvedMention1">
    <w:name w:val="Unresolved Mention1"/>
    <w:uiPriority w:val="99"/>
    <w:semiHidden/>
    <w:unhideWhenUsed/>
    <w:rsid w:val="003026A8"/>
    <w:rPr>
      <w:color w:val="605E5C"/>
      <w:shd w:val="clear" w:color="auto" w:fill="E1DFDD"/>
    </w:rPr>
  </w:style>
  <w:style w:type="character" w:customStyle="1" w:styleId="BodyTextIndent3Char">
    <w:name w:val="Body Text Indent 3 Char"/>
    <w:basedOn w:val="DefaultParagraphFont"/>
    <w:link w:val="BodyTextIndent3"/>
    <w:rsid w:val="00600468"/>
    <w:rPr>
      <w:sz w:val="24"/>
    </w:rPr>
  </w:style>
  <w:style w:type="paragraph" w:styleId="ListParagraph">
    <w:name w:val="List Paragraph"/>
    <w:basedOn w:val="Normal"/>
    <w:uiPriority w:val="34"/>
    <w:qFormat/>
    <w:rsid w:val="00600468"/>
    <w:pPr>
      <w:ind w:left="720"/>
      <w:contextualSpacing/>
    </w:pPr>
    <w:rPr>
      <w:rFonts w:eastAsiaTheme="minorHAnsi"/>
      <w:bCs/>
      <w:color w:val="000000"/>
      <w:szCs w:val="19"/>
    </w:rPr>
  </w:style>
  <w:style w:type="character" w:customStyle="1" w:styleId="FootnoteTextChar">
    <w:name w:val="Footnote Text Char"/>
    <w:basedOn w:val="DefaultParagraphFont"/>
    <w:link w:val="FootnoteText"/>
    <w:semiHidden/>
    <w:rsid w:val="00BC7A39"/>
  </w:style>
  <w:style w:type="paragraph" w:customStyle="1" w:styleId="WW-BodyTextIndent3">
    <w:name w:val="WW-Body Text Indent 3"/>
    <w:basedOn w:val="Normal"/>
    <w:rsid w:val="000F0A9C"/>
    <w:pPr>
      <w:suppressAutoHyphens/>
      <w:spacing w:line="480" w:lineRule="atLeast"/>
      <w:ind w:firstLine="720"/>
    </w:pPr>
    <w:rPr>
      <w:szCs w:val="20"/>
      <w:lang w:eastAsia="ar-SA"/>
    </w:rPr>
  </w:style>
  <w:style w:type="character" w:customStyle="1" w:styleId="UnresolvedMention2">
    <w:name w:val="Unresolved Mention2"/>
    <w:basedOn w:val="DefaultParagraphFont"/>
    <w:rsid w:val="002E21B0"/>
    <w:rPr>
      <w:color w:val="605E5C"/>
      <w:shd w:val="clear" w:color="auto" w:fill="E1DFDD"/>
    </w:rPr>
  </w:style>
  <w:style w:type="paragraph" w:styleId="Revision">
    <w:name w:val="Revision"/>
    <w:hidden/>
    <w:uiPriority w:val="99"/>
    <w:rsid w:val="000F0A9C"/>
    <w:rPr>
      <w:sz w:val="24"/>
      <w:szCs w:val="24"/>
    </w:rPr>
  </w:style>
  <w:style w:type="character" w:customStyle="1" w:styleId="UnresolvedMention3">
    <w:name w:val="Unresolved Mention3"/>
    <w:basedOn w:val="DefaultParagraphFont"/>
    <w:rsid w:val="009119FC"/>
    <w:rPr>
      <w:color w:val="605E5C"/>
      <w:shd w:val="clear" w:color="auto" w:fill="E1DFDD"/>
    </w:rPr>
  </w:style>
  <w:style w:type="character" w:customStyle="1" w:styleId="UnresolvedMention4">
    <w:name w:val="Unresolved Mention4"/>
    <w:basedOn w:val="DefaultParagraphFont"/>
    <w:rsid w:val="00B41BAE"/>
    <w:rPr>
      <w:color w:val="605E5C"/>
      <w:shd w:val="clear" w:color="auto" w:fill="E1DFDD"/>
    </w:rPr>
  </w:style>
  <w:style w:type="paragraph" w:styleId="BlockText">
    <w:name w:val="Block Text"/>
    <w:basedOn w:val="Normal"/>
    <w:rsid w:val="000F0A9C"/>
    <w:pPr>
      <w:ind w:left="1440" w:right="720"/>
    </w:pPr>
    <w:rPr>
      <w:szCs w:val="20"/>
    </w:rPr>
  </w:style>
  <w:style w:type="character" w:styleId="EndnoteReference">
    <w:name w:val="endnote reference"/>
    <w:rsid w:val="000F0A9C"/>
    <w:rPr>
      <w:vertAlign w:val="superscript"/>
    </w:rPr>
  </w:style>
  <w:style w:type="paragraph" w:styleId="BodyText2">
    <w:name w:val="Body Text 2"/>
    <w:basedOn w:val="Normal"/>
    <w:link w:val="BodyText2Char"/>
    <w:rsid w:val="000F0A9C"/>
    <w:pPr>
      <w:spacing w:line="480" w:lineRule="auto"/>
      <w:ind w:right="1440"/>
    </w:pPr>
    <w:rPr>
      <w:szCs w:val="20"/>
    </w:rPr>
  </w:style>
  <w:style w:type="character" w:customStyle="1" w:styleId="BodyText2Char">
    <w:name w:val="Body Text 2 Char"/>
    <w:basedOn w:val="DefaultParagraphFont"/>
    <w:link w:val="BodyText2"/>
    <w:rsid w:val="000F0A9C"/>
    <w:rPr>
      <w:sz w:val="24"/>
    </w:rPr>
  </w:style>
  <w:style w:type="character" w:styleId="FollowedHyperlink">
    <w:name w:val="FollowedHyperlink"/>
    <w:rsid w:val="000F0A9C"/>
    <w:rPr>
      <w:color w:val="800080"/>
      <w:u w:val="single"/>
    </w:rPr>
  </w:style>
  <w:style w:type="character" w:customStyle="1" w:styleId="term1">
    <w:name w:val="term1"/>
    <w:rsid w:val="000F0A9C"/>
    <w:rPr>
      <w:b/>
      <w:bCs/>
    </w:rPr>
  </w:style>
  <w:style w:type="character" w:customStyle="1" w:styleId="UnresolvedMention">
    <w:name w:val="Unresolved Mention"/>
    <w:basedOn w:val="DefaultParagraphFont"/>
    <w:rsid w:val="00A25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ailto:ambrosia.wilson@ohioago.gov" TargetMode="External" /><Relationship Id="rId15" Type="http://schemas.openxmlformats.org/officeDocument/2006/relationships/hyperlink" Target="mailto:janet.gregory@ohioago.gov" TargetMode="External" /><Relationship Id="rId16" Type="http://schemas.openxmlformats.org/officeDocument/2006/relationships/hyperlink" Target="mailto:knordstrom@theOEC.org" TargetMode="External" /><Relationship Id="rId17" Type="http://schemas.openxmlformats.org/officeDocument/2006/relationships/hyperlink" Target="mailto:ctavenor@theOEC.org" TargetMode="External" /><Relationship Id="rId18" Type="http://schemas.openxmlformats.org/officeDocument/2006/relationships/hyperlink" Target="mailto:jdunn@oneenergyllc.com" TargetMode="External" /><Relationship Id="rId19" Type="http://schemas.openxmlformats.org/officeDocument/2006/relationships/hyperlink" Target="mailto:ktreadway@oneenergyllc.com" TargetMode="External" /><Relationship Id="rId2" Type="http://schemas.openxmlformats.org/officeDocument/2006/relationships/settings" Target="settings.xml" /><Relationship Id="rId20" Type="http://schemas.openxmlformats.org/officeDocument/2006/relationships/hyperlink" Target="mailto:rocco.dascenzo@duke-energy.com" TargetMode="External" /><Relationship Id="rId21" Type="http://schemas.openxmlformats.org/officeDocument/2006/relationships/hyperlink" Target="mailto:jeanne.kingery@duke-energy.com" TargetMode="External" /><Relationship Id="rId22" Type="http://schemas.openxmlformats.org/officeDocument/2006/relationships/hyperlink" Target="mailto:larisa.vaysman@duke-energy.com" TargetMode="External" /><Relationship Id="rId23" Type="http://schemas.openxmlformats.org/officeDocument/2006/relationships/hyperlink" Target="mailto:elyse.akhbari@duke-energy.com" TargetMode="External" /><Relationship Id="rId24" Type="http://schemas.openxmlformats.org/officeDocument/2006/relationships/hyperlink" Target="mailto:mkurtz@BKLlawfirm.com" TargetMode="External" /><Relationship Id="rId25" Type="http://schemas.openxmlformats.org/officeDocument/2006/relationships/hyperlink" Target="mailto:jkylercohn@BKLlawfirm.com" TargetMode="External" /><Relationship Id="rId26" Type="http://schemas.openxmlformats.org/officeDocument/2006/relationships/hyperlink" Target="mailto:dproano@bakerlaw.com" TargetMode="External" /><Relationship Id="rId27" Type="http://schemas.openxmlformats.org/officeDocument/2006/relationships/hyperlink" Target="mailto:pwillison@bakerlaw.com" TargetMode="External" /><Relationship Id="rId28" Type="http://schemas.openxmlformats.org/officeDocument/2006/relationships/header" Target="header4.xml" /><Relationship Id="rId29" Type="http://schemas.openxmlformats.org/officeDocument/2006/relationships/header" Target="header5.xml" /><Relationship Id="rId3" Type="http://schemas.openxmlformats.org/officeDocument/2006/relationships/webSettings" Target="webSettings.xml" /><Relationship Id="rId30" Type="http://schemas.openxmlformats.org/officeDocument/2006/relationships/footer" Target="footer4.xml" /><Relationship Id="rId31" Type="http://schemas.openxmlformats.org/officeDocument/2006/relationships/footer" Target="footer5.xml" /><Relationship Id="rId32" Type="http://schemas.openxmlformats.org/officeDocument/2006/relationships/header" Target="header6.xml" /><Relationship Id="rId33" Type="http://schemas.openxmlformats.org/officeDocument/2006/relationships/footer" Target="footer6.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yperlink" Target="mailto:thomas.brodbeck@occ.ohio.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5C40-AFBA-4F2A-A6DB-C8C7C71B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2024-04-24T14:50:51Z</dcterms:created>
  <dcterms:modified xsi:type="dcterms:W3CDTF">2024-04-24T14:50:51Z</dcterms:modified>
</cp:coreProperties>
</file>