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320" w:lineRule="exact"/>
        <w:jc w:val="center"/>
        <w:rPr>
          <w:rFonts w:ascii="Palatino Linotype" w:hAnsi="Palatino Linotype"/>
          <w:b/>
          <w:spacing w:val="-12"/>
          <w:kern w:val="24"/>
        </w:rPr>
      </w:pPr>
      <w:r>
        <w:rPr>
          <w:rFonts w:ascii="Palatino Linotype" w:hAnsi="Palatino Linotype"/>
          <w:b/>
          <w:spacing w:val="-12"/>
          <w:kern w:val="24"/>
        </w:rPr>
        <w:t>BEFORE</w:t>
      </w:r>
    </w:p>
    <w:p>
      <w:pPr>
        <w:spacing w:line="320" w:lineRule="exact"/>
        <w:jc w:val="center"/>
        <w:rPr>
          <w:rFonts w:ascii="Palatino Linotype" w:hAnsi="Palatino Linotype"/>
          <w:b/>
          <w:spacing w:val="-12"/>
          <w:kern w:val="24"/>
        </w:rPr>
      </w:pPr>
      <w:r>
        <w:rPr>
          <w:rFonts w:ascii="Palatino Linotype" w:hAnsi="Palatino Linotype"/>
          <w:b/>
          <w:spacing w:val="-12"/>
          <w:kern w:val="24"/>
        </w:rPr>
        <w:t>THE PUBLIC UTILITIES COMMISSION OF OHIO</w:t>
      </w:r>
    </w:p>
    <w:p>
      <w:pPr>
        <w:spacing w:line="320" w:lineRule="exact"/>
        <w:rPr>
          <w:rFonts w:ascii="Palatino Linotype" w:hAnsi="Palatino Linotype"/>
          <w:spacing w:val="-12"/>
        </w:rPr>
      </w:pPr>
    </w:p>
    <w:tbl>
      <w:tblPr>
        <w:tblW w:w="0" w:type="auto"/>
        <w:tblLook w:val="01E0"/>
      </w:tblPr>
      <w:tblGrid>
        <w:gridCol w:w="4428"/>
        <w:gridCol w:w="360"/>
        <w:gridCol w:w="4068"/>
      </w:tblGrid>
      <w:tr>
        <w:tc>
          <w:tcPr>
            <w:tcW w:w="4428" w:type="dxa"/>
          </w:tcPr>
          <w:p>
            <w:pPr>
              <w:suppressAutoHyphens/>
              <w:spacing w:line="320" w:lineRule="exact"/>
              <w:jc w:val="both"/>
              <w:rPr>
                <w:rFonts w:ascii="Palatino Linotype" w:hAnsi="Palatino Linotype"/>
              </w:rPr>
            </w:pPr>
            <w:r>
              <w:rPr>
                <w:rFonts w:ascii="Palatino Linotype" w:hAnsi="Palatino Linotype"/>
              </w:rPr>
              <w:t>In the Matter of the Joint Motion to Modify the December 2, 2009 Opinion and Order and the September 7, 2011 Second Opinion and Order in Case No. 08-1344-GA-EXM</w:t>
            </w:r>
          </w:p>
        </w:tc>
        <w:tc>
          <w:tcPr>
            <w:tcW w:w="360" w:type="dxa"/>
          </w:tcPr>
          <w:p>
            <w:pPr>
              <w:spacing w:line="320" w:lineRule="exact"/>
              <w:rPr>
                <w:rFonts w:ascii="Palatino Linotype" w:hAnsi="Palatino Linotype"/>
              </w:rPr>
            </w:pPr>
            <w:r>
              <w:rPr>
                <w:rFonts w:ascii="Palatino Linotype" w:hAnsi="Palatino Linotype"/>
              </w:rPr>
              <w:t>)</w:t>
            </w:r>
          </w:p>
          <w:p>
            <w:pPr>
              <w:spacing w:line="320" w:lineRule="exact"/>
              <w:rPr>
                <w:rFonts w:ascii="Palatino Linotype" w:hAnsi="Palatino Linotype"/>
              </w:rPr>
            </w:pPr>
            <w:r>
              <w:rPr>
                <w:rFonts w:ascii="Palatino Linotype" w:hAnsi="Palatino Linotype"/>
              </w:rPr>
              <w:t>)</w:t>
            </w:r>
          </w:p>
          <w:p>
            <w:pPr>
              <w:spacing w:line="320" w:lineRule="exact"/>
              <w:rPr>
                <w:rFonts w:ascii="Palatino Linotype" w:hAnsi="Palatino Linotype"/>
              </w:rPr>
            </w:pPr>
            <w:r>
              <w:rPr>
                <w:rFonts w:ascii="Palatino Linotype" w:hAnsi="Palatino Linotype"/>
              </w:rPr>
              <w:t>)</w:t>
            </w:r>
          </w:p>
          <w:p>
            <w:pPr>
              <w:spacing w:line="320" w:lineRule="exact"/>
              <w:rPr>
                <w:rFonts w:ascii="Palatino Linotype" w:hAnsi="Palatino Linotype"/>
              </w:rPr>
            </w:pPr>
            <w:r>
              <w:rPr>
                <w:rFonts w:ascii="Palatino Linotype" w:hAnsi="Palatino Linotype"/>
              </w:rPr>
              <w:t>)</w:t>
            </w:r>
          </w:p>
          <w:p>
            <w:pPr>
              <w:spacing w:line="320" w:lineRule="exact"/>
              <w:rPr>
                <w:rFonts w:ascii="Palatino Linotype" w:hAnsi="Palatino Linotype"/>
              </w:rPr>
            </w:pPr>
            <w:r>
              <w:rPr>
                <w:rFonts w:ascii="Palatino Linotype" w:hAnsi="Palatino Linotype"/>
              </w:rPr>
              <w:t>)</w:t>
            </w:r>
          </w:p>
        </w:tc>
        <w:tc>
          <w:tcPr>
            <w:tcW w:w="4068" w:type="dxa"/>
          </w:tcPr>
          <w:p>
            <w:pPr>
              <w:spacing w:line="320" w:lineRule="exact"/>
              <w:rPr>
                <w:rFonts w:ascii="Palatino Linotype" w:hAnsi="Palatino Linotype"/>
              </w:rPr>
            </w:pPr>
          </w:p>
          <w:p>
            <w:pPr>
              <w:spacing w:line="320" w:lineRule="exact"/>
              <w:rPr>
                <w:rFonts w:ascii="Palatino Linotype" w:hAnsi="Palatino Linotype"/>
              </w:rPr>
            </w:pPr>
          </w:p>
          <w:p>
            <w:pPr>
              <w:spacing w:line="320" w:lineRule="exact"/>
              <w:rPr>
                <w:rFonts w:ascii="Palatino Linotype" w:hAnsi="Palatino Linotype"/>
              </w:rPr>
            </w:pPr>
            <w:r>
              <w:rPr>
                <w:rFonts w:ascii="Palatino Linotype" w:hAnsi="Palatino Linotype"/>
              </w:rPr>
              <w:t>Case No. 12-2637-GA-EXM</w:t>
            </w:r>
          </w:p>
          <w:p>
            <w:pPr>
              <w:spacing w:line="320" w:lineRule="exact"/>
              <w:rPr>
                <w:rFonts w:ascii="Palatino Linotype" w:hAnsi="Palatino Linotype"/>
              </w:rPr>
            </w:pPr>
          </w:p>
        </w:tc>
      </w:tr>
    </w:tbl>
    <w:p>
      <w:pPr>
        <w:spacing w:line="320" w:lineRule="exact"/>
        <w:jc w:val="center"/>
        <w:rPr>
          <w:rFonts w:ascii="Palatino Linotype" w:hAnsi="Palatino Linotype"/>
          <w:b/>
          <w:u w:val="double"/>
        </w:rPr>
      </w:pP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p>
    <w:p>
      <w:pPr>
        <w:spacing w:line="320" w:lineRule="exact"/>
        <w:jc w:val="center"/>
        <w:rPr>
          <w:rFonts w:ascii="Palatino Linotype" w:hAnsi="Palatino Linotype"/>
          <w:b/>
        </w:rPr>
      </w:pPr>
    </w:p>
    <w:p>
      <w:pPr>
        <w:spacing w:line="320" w:lineRule="exact"/>
        <w:jc w:val="center"/>
        <w:rPr>
          <w:rFonts w:ascii="Palatino Linotype" w:hAnsi="Palatino Linotype"/>
          <w:b/>
          <w:spacing w:val="-12"/>
          <w:kern w:val="26"/>
          <w:sz w:val="26"/>
          <w:szCs w:val="26"/>
        </w:rPr>
      </w:pPr>
      <w:r>
        <w:rPr>
          <w:rFonts w:ascii="Palatino Linotype" w:hAnsi="Palatino Linotype"/>
          <w:b/>
          <w:spacing w:val="-12"/>
          <w:kern w:val="26"/>
          <w:sz w:val="26"/>
          <w:szCs w:val="26"/>
        </w:rPr>
        <w:t>POST-HEARING BRIEF OF</w:t>
      </w:r>
    </w:p>
    <w:p>
      <w:pPr>
        <w:spacing w:line="320" w:lineRule="exact"/>
        <w:jc w:val="center"/>
        <w:rPr>
          <w:rFonts w:ascii="Palatino Linotype" w:hAnsi="Palatino Linotype"/>
          <w:b/>
          <w:spacing w:val="-12"/>
          <w:kern w:val="26"/>
          <w:sz w:val="26"/>
          <w:szCs w:val="26"/>
        </w:rPr>
      </w:pPr>
      <w:r>
        <w:rPr>
          <w:rFonts w:ascii="Palatino Linotype" w:hAnsi="Palatino Linotype"/>
          <w:b/>
          <w:spacing w:val="-12"/>
          <w:kern w:val="26"/>
          <w:sz w:val="26"/>
          <w:szCs w:val="26"/>
        </w:rPr>
        <w:t>COLUMBIA GAS OF OHIO, INC.</w:t>
      </w:r>
    </w:p>
    <w:p>
      <w:pPr>
        <w:spacing w:after="320" w:line="320" w:lineRule="exact"/>
        <w:jc w:val="center"/>
        <w:rPr>
          <w:rFonts w:ascii="Palatino Linotype" w:hAnsi="Palatino Linotype"/>
          <w:b/>
          <w:u w:val="double"/>
        </w:rPr>
      </w:pP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p>
    <w:p>
      <w:pPr>
        <w:spacing w:after="320" w:line="320" w:lineRule="exact"/>
        <w:jc w:val="center"/>
        <w:rPr>
          <w:rFonts w:ascii="Palatino Linotype" w:hAnsi="Palatino Linotype"/>
          <w:b/>
          <w:u w:val="double"/>
        </w:rPr>
      </w:pPr>
    </w:p>
    <w:p>
      <w:pPr>
        <w:spacing w:after="320" w:line="320" w:lineRule="exact"/>
        <w:rPr>
          <w:rFonts w:ascii="Palatino Linotype" w:hAnsi="Palatino Linotype"/>
          <w:b/>
          <w:u w:val="doub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tc>
          <w:tcPr>
            <w:tcW w:w="4428" w:type="dxa"/>
          </w:tcPr>
          <w:p>
            <w:pPr>
              <w:keepNext/>
              <w:spacing w:line="320" w:lineRule="exact"/>
              <w:rPr>
                <w:rFonts w:ascii="Palatino Linotype" w:hAnsi="Palatino Linotype"/>
              </w:rPr>
            </w:pPr>
            <w:r>
              <w:rPr>
                <w:rFonts w:ascii="Palatino Linotype" w:hAnsi="Palatino Linotype"/>
              </w:rPr>
              <w:t>Daniel R. Conway</w:t>
            </w:r>
          </w:p>
          <w:p>
            <w:pPr>
              <w:keepNext/>
              <w:spacing w:line="320" w:lineRule="exact"/>
              <w:rPr>
                <w:rFonts w:ascii="Palatino Linotype" w:hAnsi="Palatino Linotype"/>
              </w:rPr>
            </w:pPr>
            <w:r>
              <w:rPr>
                <w:rFonts w:ascii="Palatino Linotype" w:hAnsi="Palatino Linotype"/>
              </w:rPr>
              <w:t>Mark S. Stemm</w:t>
            </w:r>
          </w:p>
          <w:p>
            <w:pPr>
              <w:keepNext/>
              <w:spacing w:line="320" w:lineRule="exact"/>
              <w:rPr>
                <w:rFonts w:ascii="Palatino Linotype" w:hAnsi="Palatino Linotype"/>
              </w:rPr>
            </w:pPr>
            <w:r>
              <w:rPr>
                <w:rFonts w:ascii="Palatino Linotype" w:hAnsi="Palatino Linotype"/>
              </w:rPr>
              <w:t>Eric B. Gallon</w:t>
            </w:r>
          </w:p>
          <w:p>
            <w:pPr>
              <w:keepNext/>
              <w:spacing w:line="320" w:lineRule="exact"/>
              <w:rPr>
                <w:rFonts w:ascii="Palatino Linotype" w:hAnsi="Palatino Linotype"/>
              </w:rPr>
            </w:pPr>
            <w:r>
              <w:rPr>
                <w:rFonts w:ascii="Palatino Linotype" w:hAnsi="Palatino Linotype"/>
              </w:rPr>
              <w:t>Porter Wright Morris &amp; Arthur LLP</w:t>
            </w:r>
          </w:p>
          <w:p>
            <w:pPr>
              <w:keepNext/>
              <w:spacing w:line="320" w:lineRule="exact"/>
              <w:rPr>
                <w:rFonts w:ascii="Palatino Linotype" w:hAnsi="Palatino Linotype"/>
              </w:rPr>
            </w:pPr>
            <w:r>
              <w:rPr>
                <w:rFonts w:ascii="Palatino Linotype" w:hAnsi="Palatino Linotype"/>
              </w:rPr>
              <w:t>Huntington Center</w:t>
            </w:r>
          </w:p>
          <w:p>
            <w:pPr>
              <w:keepNext/>
              <w:spacing w:line="320" w:lineRule="exact"/>
              <w:rPr>
                <w:rFonts w:ascii="Palatino Linotype" w:hAnsi="Palatino Linotype"/>
              </w:rPr>
            </w:pPr>
            <w:r>
              <w:rPr>
                <w:rFonts w:ascii="Palatino Linotype" w:hAnsi="Palatino Linotype"/>
              </w:rPr>
              <w:t>41 South High Street</w:t>
            </w:r>
          </w:p>
          <w:p>
            <w:pPr>
              <w:keepNext/>
              <w:spacing w:line="320" w:lineRule="exact"/>
              <w:rPr>
                <w:rFonts w:ascii="Palatino Linotype" w:hAnsi="Palatino Linotype"/>
              </w:rPr>
            </w:pPr>
            <w:r>
              <w:rPr>
                <w:rFonts w:ascii="Palatino Linotype" w:hAnsi="Palatino Linotype"/>
              </w:rPr>
              <w:t>Columbus, Ohio  43215</w:t>
            </w:r>
          </w:p>
          <w:p>
            <w:pPr>
              <w:keepNext/>
              <w:spacing w:line="320" w:lineRule="exact"/>
              <w:rPr>
                <w:rFonts w:ascii="Palatino Linotype" w:hAnsi="Palatino Linotype"/>
              </w:rPr>
            </w:pPr>
            <w:r>
              <w:rPr>
                <w:rFonts w:ascii="Palatino Linotype" w:hAnsi="Palatino Linotype"/>
              </w:rPr>
              <w:t xml:space="preserve">Telephone:  </w:t>
            </w:r>
            <w:r>
              <w:rPr>
                <w:rFonts w:ascii="Palatino Linotype" w:hAnsi="Palatino Linotype"/>
              </w:rPr>
              <w:tab/>
              <w:t>(614) 227-2270</w:t>
            </w:r>
          </w:p>
          <w:p>
            <w:pPr>
              <w:keepNext/>
              <w:spacing w:line="320" w:lineRule="exact"/>
              <w:rPr>
                <w:rFonts w:ascii="Palatino Linotype" w:hAnsi="Palatino Linotype"/>
              </w:rPr>
            </w:pPr>
            <w:r>
              <w:rPr>
                <w:rFonts w:ascii="Palatino Linotype" w:hAnsi="Palatino Linotype"/>
              </w:rPr>
              <w:tab/>
            </w:r>
            <w:r>
              <w:rPr>
                <w:rFonts w:ascii="Palatino Linotype" w:hAnsi="Palatino Linotype"/>
              </w:rPr>
              <w:tab/>
              <w:t>(614) 227-2092</w:t>
            </w:r>
          </w:p>
          <w:p>
            <w:pPr>
              <w:keepNext/>
              <w:spacing w:line="320" w:lineRule="exact"/>
              <w:rPr>
                <w:rFonts w:ascii="Palatino Linotype" w:hAnsi="Palatino Linotype"/>
              </w:rPr>
            </w:pPr>
            <w:r>
              <w:rPr>
                <w:rFonts w:ascii="Palatino Linotype" w:hAnsi="Palatino Linotype"/>
              </w:rPr>
              <w:tab/>
            </w:r>
            <w:r>
              <w:rPr>
                <w:rFonts w:ascii="Palatino Linotype" w:hAnsi="Palatino Linotype"/>
              </w:rPr>
              <w:tab/>
              <w:t>(614) 227-2190</w:t>
            </w:r>
          </w:p>
          <w:p>
            <w:pPr>
              <w:keepNext/>
              <w:spacing w:line="320" w:lineRule="exact"/>
              <w:rPr>
                <w:rFonts w:ascii="Palatino Linotype" w:hAnsi="Palatino Linotype"/>
              </w:rPr>
            </w:pPr>
            <w:r>
              <w:rPr>
                <w:rFonts w:ascii="Palatino Linotype" w:hAnsi="Palatino Linotype"/>
              </w:rPr>
              <w:t>Fax:</w:t>
            </w:r>
            <w:r>
              <w:rPr>
                <w:rFonts w:ascii="Palatino Linotype" w:hAnsi="Palatino Linotype"/>
              </w:rPr>
              <w:tab/>
            </w:r>
            <w:r>
              <w:rPr>
                <w:rFonts w:ascii="Palatino Linotype" w:hAnsi="Palatino Linotype"/>
              </w:rPr>
              <w:tab/>
              <w:t>(614) 227-2100</w:t>
            </w:r>
          </w:p>
          <w:p>
            <w:pPr>
              <w:keepNext/>
              <w:tabs>
                <w:tab w:val="right" w:pos="3780"/>
                <w:tab w:val="right" w:pos="7560"/>
              </w:tabs>
              <w:spacing w:line="320" w:lineRule="exact"/>
              <w:rPr>
                <w:rFonts w:ascii="Palatino Linotype" w:hAnsi="Palatino Linotype"/>
              </w:rPr>
            </w:pPr>
            <w:r>
              <w:rPr>
                <w:rFonts w:ascii="Palatino Linotype" w:hAnsi="Palatino Linotype"/>
              </w:rPr>
              <w:t>Email:</w:t>
            </w:r>
            <w:r>
              <w:rPr>
                <w:rFonts w:ascii="Palatino Linotype" w:hAnsi="Palatino Linotype"/>
              </w:rPr>
              <w:tab/>
              <w:t>dconway@porterwright.com</w:t>
            </w:r>
          </w:p>
          <w:p>
            <w:pPr>
              <w:keepNext/>
              <w:tabs>
                <w:tab w:val="right" w:pos="3780"/>
                <w:tab w:val="left" w:pos="4590"/>
                <w:tab w:val="right" w:pos="7560"/>
              </w:tabs>
              <w:spacing w:line="320" w:lineRule="exact"/>
              <w:rPr>
                <w:rFonts w:ascii="Palatino Linotype" w:hAnsi="Palatino Linotype"/>
              </w:rPr>
            </w:pPr>
            <w:r>
              <w:rPr>
                <w:rFonts w:ascii="Palatino Linotype" w:hAnsi="Palatino Linotype"/>
              </w:rPr>
              <w:tab/>
              <w:t>mstemm@porterwright.com</w:t>
            </w:r>
          </w:p>
          <w:p>
            <w:pPr>
              <w:keepNext/>
              <w:tabs>
                <w:tab w:val="right" w:pos="3780"/>
                <w:tab w:val="left" w:pos="4590"/>
                <w:tab w:val="right" w:pos="7560"/>
              </w:tabs>
              <w:spacing w:line="320" w:lineRule="exact"/>
              <w:rPr>
                <w:rFonts w:ascii="Palatino Linotype" w:hAnsi="Palatino Linotype"/>
              </w:rPr>
            </w:pPr>
            <w:r>
              <w:rPr>
                <w:rFonts w:ascii="Palatino Linotype" w:hAnsi="Palatino Linotype"/>
              </w:rPr>
              <w:tab/>
              <w:t>egallon@porterwright.com</w:t>
            </w:r>
            <w:r>
              <w:rPr>
                <w:rFonts w:ascii="Palatino Linotype" w:hAnsi="Palatino Linotype"/>
              </w:rPr>
              <w:tab/>
              <w:t xml:space="preserve">  </w:t>
            </w:r>
          </w:p>
        </w:tc>
        <w:tc>
          <w:tcPr>
            <w:tcW w:w="4428" w:type="dxa"/>
          </w:tcPr>
          <w:p>
            <w:pPr>
              <w:keepNext/>
              <w:spacing w:line="320" w:lineRule="exact"/>
              <w:rPr>
                <w:rFonts w:ascii="Palatino Linotype" w:hAnsi="Palatino Linotype"/>
              </w:rPr>
            </w:pPr>
            <w:r>
              <w:rPr>
                <w:rFonts w:ascii="Palatino Linotype" w:hAnsi="Palatino Linotype"/>
              </w:rPr>
              <w:t xml:space="preserve">Stephen B. Seiple (Counsel of Record), </w:t>
            </w:r>
          </w:p>
          <w:p>
            <w:pPr>
              <w:keepNext/>
              <w:spacing w:line="320" w:lineRule="exact"/>
              <w:rPr>
                <w:rFonts w:ascii="Palatino Linotype" w:hAnsi="Palatino Linotype"/>
              </w:rPr>
            </w:pPr>
            <w:r>
              <w:rPr>
                <w:rFonts w:ascii="Palatino Linotype" w:hAnsi="Palatino Linotype"/>
              </w:rPr>
              <w:t>Assistant General Counsel</w:t>
            </w:r>
          </w:p>
          <w:p>
            <w:pPr>
              <w:keepNext/>
              <w:spacing w:line="320" w:lineRule="exact"/>
              <w:rPr>
                <w:rFonts w:ascii="Palatino Linotype" w:hAnsi="Palatino Linotype"/>
              </w:rPr>
            </w:pPr>
            <w:r>
              <w:rPr>
                <w:rFonts w:ascii="Palatino Linotype" w:hAnsi="Palatino Linotype"/>
              </w:rPr>
              <w:t>Brooke E. Leslie, Counsel</w:t>
            </w:r>
          </w:p>
          <w:p>
            <w:pPr>
              <w:keepNext/>
              <w:spacing w:line="320" w:lineRule="exact"/>
              <w:rPr>
                <w:rFonts w:ascii="Palatino Linotype" w:hAnsi="Palatino Linotype"/>
              </w:rPr>
            </w:pPr>
            <w:r>
              <w:rPr>
                <w:rFonts w:ascii="Palatino Linotype" w:hAnsi="Palatino Linotype"/>
              </w:rPr>
              <w:t>200 Civic Center Drive</w:t>
            </w:r>
          </w:p>
          <w:p>
            <w:pPr>
              <w:keepNext/>
              <w:spacing w:line="320" w:lineRule="exact"/>
              <w:rPr>
                <w:rFonts w:ascii="Palatino Linotype" w:hAnsi="Palatino Linotype"/>
              </w:rPr>
            </w:pPr>
            <w:r>
              <w:rPr>
                <w:rFonts w:ascii="Palatino Linotype" w:hAnsi="Palatino Linotype"/>
              </w:rPr>
              <w:t>P. O. Box 117</w:t>
            </w:r>
          </w:p>
          <w:p>
            <w:pPr>
              <w:keepNext/>
              <w:spacing w:line="320" w:lineRule="exact"/>
              <w:rPr>
                <w:rFonts w:ascii="Palatino Linotype" w:hAnsi="Palatino Linotype"/>
              </w:rPr>
            </w:pPr>
            <w:r>
              <w:rPr>
                <w:rFonts w:ascii="Palatino Linotype" w:hAnsi="Palatino Linotype"/>
              </w:rPr>
              <w:t>Columbus, Ohio 43216-0117</w:t>
            </w:r>
          </w:p>
          <w:p>
            <w:pPr>
              <w:keepNext/>
              <w:spacing w:line="320" w:lineRule="exact"/>
              <w:rPr>
                <w:rFonts w:ascii="Palatino Linotype" w:hAnsi="Palatino Linotype"/>
              </w:rPr>
            </w:pPr>
            <w:r>
              <w:rPr>
                <w:rFonts w:ascii="Palatino Linotype" w:hAnsi="Palatino Linotype"/>
              </w:rPr>
              <w:t xml:space="preserve">Telephone: </w:t>
            </w:r>
            <w:r>
              <w:rPr>
                <w:rFonts w:ascii="Palatino Linotype" w:hAnsi="Palatino Linotype"/>
              </w:rPr>
              <w:tab/>
              <w:t>(614) 460-4648</w:t>
            </w:r>
          </w:p>
          <w:p>
            <w:pPr>
              <w:keepNext/>
              <w:spacing w:line="320" w:lineRule="exact"/>
              <w:rPr>
                <w:rFonts w:ascii="Palatino Linotype" w:hAnsi="Palatino Linotype"/>
              </w:rPr>
            </w:pPr>
            <w:r>
              <w:rPr>
                <w:rFonts w:ascii="Palatino Linotype" w:hAnsi="Palatino Linotype"/>
              </w:rPr>
              <w:tab/>
            </w:r>
            <w:r>
              <w:rPr>
                <w:rFonts w:ascii="Palatino Linotype" w:hAnsi="Palatino Linotype"/>
              </w:rPr>
              <w:tab/>
              <w:t>(614) 460-5558</w:t>
            </w:r>
          </w:p>
          <w:p>
            <w:pPr>
              <w:keepNext/>
              <w:spacing w:line="320" w:lineRule="exact"/>
              <w:rPr>
                <w:rFonts w:ascii="Palatino Linotype" w:hAnsi="Palatino Linotype"/>
              </w:rPr>
            </w:pPr>
            <w:r>
              <w:rPr>
                <w:rFonts w:ascii="Palatino Linotype" w:hAnsi="Palatino Linotype"/>
              </w:rPr>
              <w:t xml:space="preserve">Fax: </w:t>
            </w:r>
            <w:r>
              <w:rPr>
                <w:rFonts w:ascii="Palatino Linotype" w:hAnsi="Palatino Linotype"/>
              </w:rPr>
              <w:tab/>
            </w:r>
            <w:r>
              <w:rPr>
                <w:rFonts w:ascii="Palatino Linotype" w:hAnsi="Palatino Linotype"/>
              </w:rPr>
              <w:tab/>
              <w:t>(614) 460-6986</w:t>
            </w:r>
          </w:p>
          <w:p>
            <w:pPr>
              <w:keepNext/>
              <w:tabs>
                <w:tab w:val="right" w:pos="3240"/>
              </w:tabs>
              <w:spacing w:line="320" w:lineRule="exact"/>
              <w:rPr>
                <w:rFonts w:ascii="Palatino Linotype" w:hAnsi="Palatino Linotype"/>
              </w:rPr>
            </w:pPr>
            <w:r>
              <w:rPr>
                <w:rFonts w:ascii="Palatino Linotype" w:hAnsi="Palatino Linotype"/>
              </w:rPr>
              <w:t>Email:</w:t>
            </w:r>
            <w:r>
              <w:rPr>
                <w:rFonts w:ascii="Palatino Linotype" w:hAnsi="Palatino Linotype"/>
              </w:rPr>
              <w:tab/>
              <w:t>sseiple@nisource.com</w:t>
            </w:r>
          </w:p>
          <w:p>
            <w:pPr>
              <w:keepNext/>
              <w:tabs>
                <w:tab w:val="right" w:pos="3240"/>
              </w:tabs>
              <w:spacing w:line="320" w:lineRule="exact"/>
              <w:rPr>
                <w:rFonts w:ascii="Palatino Linotype" w:hAnsi="Palatino Linotype"/>
              </w:rPr>
            </w:pPr>
            <w:r>
              <w:rPr>
                <w:rFonts w:ascii="Palatino Linotype" w:hAnsi="Palatino Linotype"/>
              </w:rPr>
              <w:tab/>
              <w:t>bleslie@nisource.com</w:t>
            </w:r>
          </w:p>
          <w:p>
            <w:pPr>
              <w:spacing w:after="320" w:line="320" w:lineRule="exact"/>
              <w:jc w:val="center"/>
              <w:rPr>
                <w:rFonts w:ascii="Palatino Linotype" w:hAnsi="Palatino Linotype"/>
                <w:b/>
                <w:u w:val="double"/>
              </w:rPr>
            </w:pPr>
          </w:p>
        </w:tc>
      </w:tr>
    </w:tbl>
    <w:p>
      <w:pPr>
        <w:widowControl w:val="0"/>
        <w:spacing w:line="320" w:lineRule="exact"/>
        <w:ind w:left="4320" w:right="360"/>
        <w:jc w:val="both"/>
        <w:rPr>
          <w:rFonts w:ascii="Palatino Linotype" w:hAnsi="Palatino Linotype"/>
          <w:b/>
        </w:rPr>
      </w:pPr>
    </w:p>
    <w:p>
      <w:pPr>
        <w:widowControl w:val="0"/>
        <w:spacing w:line="320" w:lineRule="exact"/>
        <w:ind w:left="4320" w:right="360"/>
        <w:jc w:val="both"/>
        <w:rPr>
          <w:rFonts w:ascii="Palatino Linotype" w:hAnsi="Palatino Linotype"/>
          <w:b/>
        </w:rPr>
      </w:pPr>
      <w:r>
        <w:rPr>
          <w:rFonts w:ascii="Palatino Linotype" w:hAnsi="Palatino Linotype"/>
          <w:b/>
        </w:rPr>
        <w:t>Attorneys for Movant</w:t>
      </w:r>
    </w:p>
    <w:p>
      <w:pPr>
        <w:widowControl w:val="0"/>
        <w:spacing w:line="320" w:lineRule="exact"/>
        <w:ind w:left="4320" w:right="360"/>
        <w:jc w:val="both"/>
        <w:rPr>
          <w:rFonts w:ascii="Palatino Linotype" w:hAnsi="Palatino Linotype"/>
          <w:b/>
          <w:u w:val="double"/>
        </w:rPr>
      </w:pPr>
      <w:r>
        <w:rPr>
          <w:rFonts w:ascii="Palatino Linotype" w:hAnsi="Palatino Linotype"/>
          <w:b/>
          <w:spacing w:val="-12"/>
          <w:kern w:val="2"/>
        </w:rPr>
        <w:t>COLUMBIA GAS OF OHIO, INC.</w:t>
      </w:r>
    </w:p>
    <w:p/>
    <w:p>
      <w:pPr>
        <w:spacing w:after="320" w:line="320" w:lineRule="exact"/>
        <w:rPr>
          <w:rFonts w:ascii="Palatino Linotype" w:hAnsi="Palatino Linotype"/>
          <w:b/>
        </w:rPr>
      </w:pPr>
    </w:p>
    <w:p>
      <w:pPr>
        <w:spacing w:after="320" w:line="320" w:lineRule="exact"/>
        <w:rPr>
          <w:rFonts w:ascii="Palatino Linotype" w:hAnsi="Palatino Linotype"/>
          <w:b/>
        </w:rPr>
      </w:pPr>
      <w:r>
        <w:rPr>
          <w:rFonts w:ascii="Palatino Linotype" w:hAnsi="Palatino Linotype"/>
          <w:b/>
        </w:rPr>
        <w:t>December 11, 2012</w:t>
      </w:r>
    </w:p>
    <w:p>
      <w:pPr>
        <w:pStyle w:val="BodyText"/>
        <w:spacing w:after="320" w:line="320" w:lineRule="exact"/>
        <w:jc w:val="both"/>
        <w:rPr>
          <w:rFonts w:ascii="Palatino Linotype" w:hAnsi="Palatino Linotype"/>
          <w:b/>
          <w:spacing w:val="-12"/>
          <w:kern w:val="16"/>
        </w:rPr>
        <w:sectPr>
          <w:footerReference w:type="even" r:id="rId7"/>
          <w:footerReference w:type="default" r:id="rId8"/>
          <w:pgSz w:w="12240" w:h="15840"/>
          <w:pgMar w:top="1440" w:right="1800" w:bottom="1440" w:left="1800" w:header="720" w:footer="720" w:gutter="0"/>
          <w:pgNumType w:start="1"/>
          <w:cols w:space="720"/>
          <w:titlePg/>
          <w:docGrid w:linePitch="360"/>
        </w:sectPr>
      </w:pPr>
    </w:p>
    <w:p>
      <w:pPr>
        <w:spacing w:line="320" w:lineRule="exact"/>
        <w:jc w:val="center"/>
        <w:rPr>
          <w:rFonts w:ascii="Palatino Linotype" w:hAnsi="Palatino Linotype"/>
          <w:b/>
          <w:spacing w:val="-12"/>
          <w:kern w:val="26"/>
          <w:sz w:val="26"/>
          <w:szCs w:val="26"/>
        </w:rPr>
      </w:pPr>
      <w:bookmarkStart w:id="0" w:name="_Toc342925487"/>
      <w:r>
        <w:rPr>
          <w:rFonts w:ascii="Palatino Linotype" w:hAnsi="Palatino Linotype"/>
          <w:b/>
          <w:spacing w:val="-12"/>
          <w:kern w:val="26"/>
          <w:sz w:val="26"/>
          <w:szCs w:val="26"/>
        </w:rPr>
        <w:lastRenderedPageBreak/>
        <w:t>TABLE OF CONTENTS</w:t>
      </w:r>
    </w:p>
    <w:p/>
    <w:p>
      <w:pPr>
        <w:pStyle w:val="TOC1"/>
        <w:rPr>
          <w:rFonts w:asciiTheme="minorHAnsi" w:eastAsiaTheme="minorEastAsia" w:hAnsiTheme="minorHAnsi" w:cstheme="minorBidi"/>
          <w:sz w:val="22"/>
          <w:szCs w:val="22"/>
        </w:rPr>
      </w:pPr>
      <w:r>
        <w:rPr>
          <w:rFonts w:ascii="Palatino Linotype" w:hAnsi="Palatino Linotype"/>
        </w:rPr>
        <w:fldChar w:fldCharType="begin"/>
      </w:r>
      <w:r>
        <w:rPr>
          <w:rFonts w:ascii="Palatino Linotype" w:hAnsi="Palatino Linotype"/>
        </w:rPr>
        <w:instrText xml:space="preserve"> TOC \o "1-4" \h \z \u </w:instrText>
      </w:r>
      <w:r>
        <w:rPr>
          <w:rFonts w:ascii="Palatino Linotype" w:hAnsi="Palatino Linotype"/>
        </w:rPr>
        <w:fldChar w:fldCharType="separate"/>
      </w:r>
      <w:hyperlink w:anchor="_Toc342982195" w:history="1">
        <w:r>
          <w:rPr>
            <w:rStyle w:val="Hyperlink"/>
          </w:rPr>
          <w:t>INTRODUCTION</w:t>
        </w:r>
        <w:r>
          <w:rPr>
            <w:webHidden/>
          </w:rPr>
          <w:tab/>
        </w:r>
        <w:r>
          <w:rPr>
            <w:webHidden/>
          </w:rPr>
          <w:fldChar w:fldCharType="begin"/>
        </w:r>
        <w:r>
          <w:rPr>
            <w:webHidden/>
          </w:rPr>
          <w:instrText xml:space="preserve"> PAGEREF _Toc342982195 \h </w:instrText>
        </w:r>
        <w:r>
          <w:rPr>
            <w:webHidden/>
          </w:rPr>
        </w:r>
        <w:r>
          <w:rPr>
            <w:webHidden/>
          </w:rPr>
          <w:fldChar w:fldCharType="separate"/>
        </w:r>
        <w:r>
          <w:rPr>
            <w:webHidden/>
          </w:rPr>
          <w:t>1</w:t>
        </w:r>
        <w:r>
          <w:rPr>
            <w:webHidden/>
          </w:rPr>
          <w:fldChar w:fldCharType="end"/>
        </w:r>
      </w:hyperlink>
    </w:p>
    <w:p>
      <w:pPr>
        <w:pStyle w:val="TOC1"/>
        <w:rPr>
          <w:rFonts w:asciiTheme="minorHAnsi" w:eastAsiaTheme="minorEastAsia" w:hAnsiTheme="minorHAnsi" w:cstheme="minorBidi"/>
          <w:sz w:val="22"/>
          <w:szCs w:val="22"/>
        </w:rPr>
      </w:pPr>
      <w:hyperlink w:anchor="_Toc342982196" w:history="1">
        <w:r>
          <w:rPr>
            <w:rStyle w:val="Hyperlink"/>
          </w:rPr>
          <w:t>ARGUMENT</w:t>
        </w:r>
        <w:r>
          <w:rPr>
            <w:webHidden/>
          </w:rPr>
          <w:tab/>
        </w:r>
        <w:r>
          <w:rPr>
            <w:webHidden/>
          </w:rPr>
          <w:fldChar w:fldCharType="begin"/>
        </w:r>
        <w:r>
          <w:rPr>
            <w:webHidden/>
          </w:rPr>
          <w:instrText xml:space="preserve"> PAGEREF _Toc342982196 \h </w:instrText>
        </w:r>
        <w:r>
          <w:rPr>
            <w:webHidden/>
          </w:rPr>
        </w:r>
        <w:r>
          <w:rPr>
            <w:webHidden/>
          </w:rPr>
          <w:fldChar w:fldCharType="separate"/>
        </w:r>
        <w:r>
          <w:rPr>
            <w:webHidden/>
          </w:rPr>
          <w:t>4</w:t>
        </w:r>
        <w:r>
          <w:rPr>
            <w:webHidden/>
          </w:rPr>
          <w:fldChar w:fldCharType="end"/>
        </w:r>
      </w:hyperlink>
    </w:p>
    <w:p>
      <w:pPr>
        <w:pStyle w:val="TOC2"/>
        <w:tabs>
          <w:tab w:val="left" w:pos="720"/>
          <w:tab w:val="right" w:leader="dot" w:pos="8630"/>
        </w:tabs>
        <w:spacing w:line="320" w:lineRule="exact"/>
        <w:rPr>
          <w:rFonts w:asciiTheme="minorHAnsi" w:eastAsiaTheme="minorEastAsia" w:hAnsiTheme="minorHAnsi" w:cstheme="minorBidi"/>
          <w:smallCaps w:val="0"/>
          <w:noProof/>
          <w:sz w:val="22"/>
          <w:szCs w:val="22"/>
        </w:rPr>
      </w:pPr>
      <w:hyperlink w:anchor="_Toc342982197" w:history="1">
        <w:r>
          <w:rPr>
            <w:rStyle w:val="Hyperlink"/>
            <w:noProof/>
            <w:kern w:val="16"/>
          </w:rPr>
          <w:t>1.</w:t>
        </w:r>
        <w:r>
          <w:rPr>
            <w:rFonts w:asciiTheme="minorHAnsi" w:eastAsiaTheme="minorEastAsia" w:hAnsiTheme="minorHAnsi" w:cstheme="minorBidi"/>
            <w:smallCaps w:val="0"/>
            <w:noProof/>
            <w:sz w:val="22"/>
            <w:szCs w:val="22"/>
          </w:rPr>
          <w:tab/>
        </w:r>
        <w:r>
          <w:rPr>
            <w:rStyle w:val="Hyperlink"/>
            <w:noProof/>
            <w:kern w:val="16"/>
          </w:rPr>
          <w:t>The Commission Has Authority To Modify Its Exemption Orders.</w:t>
        </w:r>
        <w:r>
          <w:rPr>
            <w:noProof/>
            <w:webHidden/>
          </w:rPr>
          <w:tab/>
        </w:r>
        <w:r>
          <w:rPr>
            <w:noProof/>
            <w:webHidden/>
          </w:rPr>
          <w:fldChar w:fldCharType="begin"/>
        </w:r>
        <w:r>
          <w:rPr>
            <w:noProof/>
            <w:webHidden/>
          </w:rPr>
          <w:instrText xml:space="preserve"> PAGEREF _Toc342982197 \h </w:instrText>
        </w:r>
        <w:r>
          <w:rPr>
            <w:noProof/>
            <w:webHidden/>
          </w:rPr>
        </w:r>
        <w:r>
          <w:rPr>
            <w:noProof/>
            <w:webHidden/>
          </w:rPr>
          <w:fldChar w:fldCharType="separate"/>
        </w:r>
        <w:r>
          <w:rPr>
            <w:noProof/>
            <w:webHidden/>
          </w:rPr>
          <w:t>4</w:t>
        </w:r>
        <w:r>
          <w:rPr>
            <w:noProof/>
            <w:webHidden/>
          </w:rPr>
          <w:fldChar w:fldCharType="end"/>
        </w:r>
      </w:hyperlink>
    </w:p>
    <w:p>
      <w:pPr>
        <w:pStyle w:val="TOC3"/>
        <w:spacing w:line="320" w:lineRule="exact"/>
        <w:rPr>
          <w:rFonts w:asciiTheme="minorHAnsi" w:eastAsiaTheme="minorEastAsia" w:hAnsiTheme="minorHAnsi" w:cstheme="minorBidi"/>
          <w:noProof/>
          <w:sz w:val="22"/>
          <w:szCs w:val="22"/>
        </w:rPr>
      </w:pPr>
      <w:hyperlink w:anchor="_Toc342982198" w:history="1">
        <w:r>
          <w:rPr>
            <w:rStyle w:val="Hyperlink"/>
            <w:noProof/>
            <w:kern w:val="16"/>
          </w:rPr>
          <w:t>1.1.</w:t>
        </w:r>
        <w:r>
          <w:rPr>
            <w:rFonts w:asciiTheme="minorHAnsi" w:eastAsiaTheme="minorEastAsia" w:hAnsiTheme="minorHAnsi" w:cstheme="minorBidi"/>
            <w:noProof/>
            <w:sz w:val="22"/>
            <w:szCs w:val="22"/>
          </w:rPr>
          <w:tab/>
        </w:r>
        <w:r>
          <w:rPr>
            <w:rStyle w:val="Hyperlink"/>
            <w:noProof/>
            <w:kern w:val="16"/>
          </w:rPr>
          <w:t>The 2009 Stipulation, general Commission authority to modify its prior orders, and R.C. 4929.08 all permit the Commission to grant the Joint Motion and approve the Amended Stipulation.</w:t>
        </w:r>
        <w:r>
          <w:rPr>
            <w:noProof/>
            <w:webHidden/>
          </w:rPr>
          <w:tab/>
        </w:r>
        <w:r>
          <w:rPr>
            <w:noProof/>
            <w:webHidden/>
          </w:rPr>
          <w:fldChar w:fldCharType="begin"/>
        </w:r>
        <w:r>
          <w:rPr>
            <w:noProof/>
            <w:webHidden/>
          </w:rPr>
          <w:instrText xml:space="preserve"> PAGEREF _Toc342982198 \h </w:instrText>
        </w:r>
        <w:r>
          <w:rPr>
            <w:noProof/>
            <w:webHidden/>
          </w:rPr>
        </w:r>
        <w:r>
          <w:rPr>
            <w:noProof/>
            <w:webHidden/>
          </w:rPr>
          <w:fldChar w:fldCharType="separate"/>
        </w:r>
        <w:r>
          <w:rPr>
            <w:noProof/>
            <w:webHidden/>
          </w:rPr>
          <w:t>4</w:t>
        </w:r>
        <w:r>
          <w:rPr>
            <w:noProof/>
            <w:webHidden/>
          </w:rPr>
          <w:fldChar w:fldCharType="end"/>
        </w:r>
      </w:hyperlink>
    </w:p>
    <w:p>
      <w:pPr>
        <w:pStyle w:val="TOC3"/>
        <w:spacing w:line="320" w:lineRule="exact"/>
        <w:rPr>
          <w:rFonts w:asciiTheme="minorHAnsi" w:eastAsiaTheme="minorEastAsia" w:hAnsiTheme="minorHAnsi" w:cstheme="minorBidi"/>
          <w:noProof/>
          <w:sz w:val="22"/>
          <w:szCs w:val="22"/>
        </w:rPr>
      </w:pPr>
      <w:hyperlink w:anchor="_Toc342982199" w:history="1">
        <w:r>
          <w:rPr>
            <w:rStyle w:val="Hyperlink"/>
            <w:noProof/>
            <w:kern w:val="16"/>
          </w:rPr>
          <w:t>1.2.</w:t>
        </w:r>
        <w:r>
          <w:rPr>
            <w:rFonts w:asciiTheme="minorHAnsi" w:eastAsiaTheme="minorEastAsia" w:hAnsiTheme="minorHAnsi" w:cstheme="minorBidi"/>
            <w:noProof/>
            <w:sz w:val="22"/>
            <w:szCs w:val="22"/>
          </w:rPr>
          <w:tab/>
        </w:r>
        <w:r>
          <w:rPr>
            <w:rStyle w:val="Hyperlink"/>
            <w:noProof/>
            <w:kern w:val="16"/>
          </w:rPr>
          <w:t>The 2009 Stipulation did not prohibit the filing of the Amended Stipulation.</w:t>
        </w:r>
        <w:r>
          <w:rPr>
            <w:noProof/>
            <w:webHidden/>
          </w:rPr>
          <w:tab/>
        </w:r>
        <w:r>
          <w:rPr>
            <w:noProof/>
            <w:webHidden/>
          </w:rPr>
          <w:fldChar w:fldCharType="begin"/>
        </w:r>
        <w:r>
          <w:rPr>
            <w:noProof/>
            <w:webHidden/>
          </w:rPr>
          <w:instrText xml:space="preserve"> PAGEREF _Toc342982199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720"/>
          <w:tab w:val="right" w:leader="dot" w:pos="8630"/>
        </w:tabs>
        <w:spacing w:line="320" w:lineRule="exact"/>
        <w:rPr>
          <w:rFonts w:asciiTheme="minorHAnsi" w:eastAsiaTheme="minorEastAsia" w:hAnsiTheme="minorHAnsi" w:cstheme="minorBidi"/>
          <w:smallCaps w:val="0"/>
          <w:noProof/>
          <w:sz w:val="22"/>
          <w:szCs w:val="22"/>
        </w:rPr>
      </w:pPr>
      <w:hyperlink w:anchor="_Toc342982200" w:history="1">
        <w:r>
          <w:rPr>
            <w:rStyle w:val="Hyperlink"/>
            <w:noProof/>
            <w:kern w:val="16"/>
          </w:rPr>
          <w:t>2.</w:t>
        </w:r>
        <w:r>
          <w:rPr>
            <w:rFonts w:asciiTheme="minorHAnsi" w:eastAsiaTheme="minorEastAsia" w:hAnsiTheme="minorHAnsi" w:cstheme="minorBidi"/>
            <w:smallCaps w:val="0"/>
            <w:noProof/>
            <w:sz w:val="22"/>
            <w:szCs w:val="22"/>
          </w:rPr>
          <w:tab/>
        </w:r>
        <w:r>
          <w:rPr>
            <w:rStyle w:val="Hyperlink"/>
            <w:noProof/>
            <w:kern w:val="16"/>
          </w:rPr>
          <w:t>The Commission Should Modify The Exemption Orders.</w:t>
        </w:r>
        <w:r>
          <w:rPr>
            <w:noProof/>
            <w:webHidden/>
          </w:rPr>
          <w:tab/>
        </w:r>
        <w:r>
          <w:rPr>
            <w:noProof/>
            <w:webHidden/>
          </w:rPr>
          <w:fldChar w:fldCharType="begin"/>
        </w:r>
        <w:r>
          <w:rPr>
            <w:noProof/>
            <w:webHidden/>
          </w:rPr>
          <w:instrText xml:space="preserve"> PAGEREF _Toc342982200 \h </w:instrText>
        </w:r>
        <w:r>
          <w:rPr>
            <w:noProof/>
            <w:webHidden/>
          </w:rPr>
        </w:r>
        <w:r>
          <w:rPr>
            <w:noProof/>
            <w:webHidden/>
          </w:rPr>
          <w:fldChar w:fldCharType="separate"/>
        </w:r>
        <w:r>
          <w:rPr>
            <w:noProof/>
            <w:webHidden/>
          </w:rPr>
          <w:t>7</w:t>
        </w:r>
        <w:r>
          <w:rPr>
            <w:noProof/>
            <w:webHidden/>
          </w:rPr>
          <w:fldChar w:fldCharType="end"/>
        </w:r>
      </w:hyperlink>
    </w:p>
    <w:p>
      <w:pPr>
        <w:pStyle w:val="TOC3"/>
        <w:spacing w:line="320" w:lineRule="exact"/>
        <w:rPr>
          <w:rFonts w:asciiTheme="minorHAnsi" w:eastAsiaTheme="minorEastAsia" w:hAnsiTheme="minorHAnsi" w:cstheme="minorBidi"/>
          <w:noProof/>
          <w:sz w:val="22"/>
          <w:szCs w:val="22"/>
        </w:rPr>
      </w:pPr>
      <w:hyperlink w:anchor="_Toc342982201" w:history="1">
        <w:r>
          <w:rPr>
            <w:rStyle w:val="Hyperlink"/>
            <w:noProof/>
            <w:kern w:val="16"/>
          </w:rPr>
          <w:t>2.1.</w:t>
        </w:r>
        <w:r>
          <w:rPr>
            <w:rFonts w:asciiTheme="minorHAnsi" w:eastAsiaTheme="minorEastAsia" w:hAnsiTheme="minorHAnsi" w:cstheme="minorBidi"/>
            <w:noProof/>
            <w:sz w:val="22"/>
            <w:szCs w:val="22"/>
          </w:rPr>
          <w:tab/>
        </w:r>
        <w:r>
          <w:rPr>
            <w:rStyle w:val="Hyperlink"/>
            <w:noProof/>
            <w:kern w:val="16"/>
          </w:rPr>
          <w:t>Certain findings upon which the Exemption Orders were based are no longer valid, adversely affecting Columbia.</w:t>
        </w:r>
        <w:r>
          <w:rPr>
            <w:noProof/>
            <w:webHidden/>
          </w:rPr>
          <w:tab/>
        </w:r>
        <w:r>
          <w:rPr>
            <w:noProof/>
            <w:webHidden/>
          </w:rPr>
          <w:fldChar w:fldCharType="begin"/>
        </w:r>
        <w:r>
          <w:rPr>
            <w:noProof/>
            <w:webHidden/>
          </w:rPr>
          <w:instrText xml:space="preserve"> PAGEREF _Toc342982201 \h </w:instrText>
        </w:r>
        <w:r>
          <w:rPr>
            <w:noProof/>
            <w:webHidden/>
          </w:rPr>
        </w:r>
        <w:r>
          <w:rPr>
            <w:noProof/>
            <w:webHidden/>
          </w:rPr>
          <w:fldChar w:fldCharType="separate"/>
        </w:r>
        <w:r>
          <w:rPr>
            <w:noProof/>
            <w:webHidden/>
          </w:rPr>
          <w:t>7</w:t>
        </w:r>
        <w:r>
          <w:rPr>
            <w:noProof/>
            <w:webHidden/>
          </w:rPr>
          <w:fldChar w:fldCharType="end"/>
        </w:r>
      </w:hyperlink>
    </w:p>
    <w:p>
      <w:pPr>
        <w:pStyle w:val="TOC3"/>
        <w:spacing w:line="320" w:lineRule="exact"/>
        <w:rPr>
          <w:rFonts w:asciiTheme="minorHAnsi" w:eastAsiaTheme="minorEastAsia" w:hAnsiTheme="minorHAnsi" w:cstheme="minorBidi"/>
          <w:noProof/>
          <w:sz w:val="22"/>
          <w:szCs w:val="22"/>
        </w:rPr>
      </w:pPr>
      <w:hyperlink w:anchor="_Toc342982202" w:history="1">
        <w:r>
          <w:rPr>
            <w:rStyle w:val="Hyperlink"/>
            <w:noProof/>
            <w:kern w:val="16"/>
          </w:rPr>
          <w:t>2.2.</w:t>
        </w:r>
        <w:r>
          <w:rPr>
            <w:rFonts w:asciiTheme="minorHAnsi" w:eastAsiaTheme="minorEastAsia" w:hAnsiTheme="minorHAnsi" w:cstheme="minorBidi"/>
            <w:noProof/>
            <w:sz w:val="22"/>
            <w:szCs w:val="22"/>
          </w:rPr>
          <w:tab/>
        </w:r>
        <w:r>
          <w:rPr>
            <w:rStyle w:val="Hyperlink"/>
            <w:noProof/>
            <w:kern w:val="16"/>
          </w:rPr>
          <w:t>Modifying the Exemption Orders is in the public interest.</w:t>
        </w:r>
        <w:r>
          <w:rPr>
            <w:noProof/>
            <w:webHidden/>
          </w:rPr>
          <w:tab/>
        </w:r>
        <w:r>
          <w:rPr>
            <w:noProof/>
            <w:webHidden/>
          </w:rPr>
          <w:fldChar w:fldCharType="begin"/>
        </w:r>
        <w:r>
          <w:rPr>
            <w:noProof/>
            <w:webHidden/>
          </w:rPr>
          <w:instrText xml:space="preserve"> PAGEREF _Toc342982202 \h </w:instrText>
        </w:r>
        <w:r>
          <w:rPr>
            <w:noProof/>
            <w:webHidden/>
          </w:rPr>
        </w:r>
        <w:r>
          <w:rPr>
            <w:noProof/>
            <w:webHidden/>
          </w:rPr>
          <w:fldChar w:fldCharType="separate"/>
        </w:r>
        <w:r>
          <w:rPr>
            <w:noProof/>
            <w:webHidden/>
          </w:rPr>
          <w:t>8</w:t>
        </w:r>
        <w:r>
          <w:rPr>
            <w:noProof/>
            <w:webHidden/>
          </w:rPr>
          <w:fldChar w:fldCharType="end"/>
        </w:r>
      </w:hyperlink>
    </w:p>
    <w:p>
      <w:pPr>
        <w:pStyle w:val="TOC4"/>
        <w:spacing w:line="320" w:lineRule="exact"/>
        <w:rPr>
          <w:rFonts w:asciiTheme="minorHAnsi" w:eastAsiaTheme="minorEastAsia" w:hAnsiTheme="minorHAnsi" w:cstheme="minorBidi"/>
          <w:noProof/>
          <w:sz w:val="22"/>
          <w:szCs w:val="22"/>
        </w:rPr>
      </w:pPr>
      <w:hyperlink w:anchor="_Toc342982203" w:history="1">
        <w:r>
          <w:rPr>
            <w:rStyle w:val="Hyperlink"/>
            <w:noProof/>
            <w:kern w:val="16"/>
          </w:rPr>
          <w:t>2.2.1.</w:t>
        </w:r>
        <w:r>
          <w:rPr>
            <w:rFonts w:asciiTheme="minorHAnsi" w:eastAsiaTheme="minorEastAsia" w:hAnsiTheme="minorHAnsi" w:cstheme="minorBidi"/>
            <w:noProof/>
            <w:sz w:val="22"/>
            <w:szCs w:val="22"/>
          </w:rPr>
          <w:tab/>
        </w:r>
        <w:r>
          <w:rPr>
            <w:rStyle w:val="Hyperlink"/>
            <w:noProof/>
            <w:kern w:val="16"/>
          </w:rPr>
          <w:t>Modifying Columbia’s capacity portfolio would permit Columbia to retain flexibility in a rapidly evolving marketplace.</w:t>
        </w:r>
        <w:r>
          <w:rPr>
            <w:noProof/>
            <w:webHidden/>
          </w:rPr>
          <w:tab/>
        </w:r>
        <w:r>
          <w:rPr>
            <w:noProof/>
            <w:webHidden/>
          </w:rPr>
          <w:fldChar w:fldCharType="begin"/>
        </w:r>
        <w:r>
          <w:rPr>
            <w:noProof/>
            <w:webHidden/>
          </w:rPr>
          <w:instrText xml:space="preserve"> PAGEREF _Toc342982203 \h </w:instrText>
        </w:r>
        <w:r>
          <w:rPr>
            <w:noProof/>
            <w:webHidden/>
          </w:rPr>
        </w:r>
        <w:r>
          <w:rPr>
            <w:noProof/>
            <w:webHidden/>
          </w:rPr>
          <w:fldChar w:fldCharType="separate"/>
        </w:r>
        <w:r>
          <w:rPr>
            <w:noProof/>
            <w:webHidden/>
          </w:rPr>
          <w:t>8</w:t>
        </w:r>
        <w:r>
          <w:rPr>
            <w:noProof/>
            <w:webHidden/>
          </w:rPr>
          <w:fldChar w:fldCharType="end"/>
        </w:r>
      </w:hyperlink>
    </w:p>
    <w:p>
      <w:pPr>
        <w:pStyle w:val="TOC4"/>
        <w:spacing w:line="320" w:lineRule="exact"/>
        <w:rPr>
          <w:rFonts w:asciiTheme="minorHAnsi" w:eastAsiaTheme="minorEastAsia" w:hAnsiTheme="minorHAnsi" w:cstheme="minorBidi"/>
          <w:noProof/>
          <w:sz w:val="22"/>
          <w:szCs w:val="22"/>
        </w:rPr>
      </w:pPr>
      <w:hyperlink w:anchor="_Toc342982204" w:history="1">
        <w:r>
          <w:rPr>
            <w:rStyle w:val="Hyperlink"/>
            <w:noProof/>
            <w:kern w:val="16"/>
          </w:rPr>
          <w:t>2.2.2.</w:t>
        </w:r>
        <w:r>
          <w:rPr>
            <w:rFonts w:asciiTheme="minorHAnsi" w:eastAsiaTheme="minorEastAsia" w:hAnsiTheme="minorHAnsi" w:cstheme="minorBidi"/>
            <w:noProof/>
            <w:sz w:val="22"/>
            <w:szCs w:val="22"/>
          </w:rPr>
          <w:tab/>
        </w:r>
        <w:r>
          <w:rPr>
            <w:rStyle w:val="Hyperlink"/>
            <w:noProof/>
            <w:kern w:val="16"/>
          </w:rPr>
          <w:t>Modifying the Balancing Fee would improve rate transparency.</w:t>
        </w:r>
        <w:r>
          <w:rPr>
            <w:noProof/>
            <w:webHidden/>
          </w:rPr>
          <w:tab/>
        </w:r>
        <w:r>
          <w:rPr>
            <w:noProof/>
            <w:webHidden/>
          </w:rPr>
          <w:fldChar w:fldCharType="begin"/>
        </w:r>
        <w:r>
          <w:rPr>
            <w:noProof/>
            <w:webHidden/>
          </w:rPr>
          <w:instrText xml:space="preserve"> PAGEREF _Toc342982204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720"/>
          <w:tab w:val="right" w:leader="dot" w:pos="8630"/>
        </w:tabs>
        <w:spacing w:line="320" w:lineRule="exact"/>
        <w:rPr>
          <w:rFonts w:asciiTheme="minorHAnsi" w:eastAsiaTheme="minorEastAsia" w:hAnsiTheme="minorHAnsi" w:cstheme="minorBidi"/>
          <w:smallCaps w:val="0"/>
          <w:noProof/>
          <w:sz w:val="22"/>
          <w:szCs w:val="22"/>
        </w:rPr>
      </w:pPr>
      <w:hyperlink w:anchor="_Toc342982205" w:history="1">
        <w:r>
          <w:rPr>
            <w:rStyle w:val="Hyperlink"/>
            <w:noProof/>
            <w:kern w:val="16"/>
          </w:rPr>
          <w:t>3.</w:t>
        </w:r>
        <w:r>
          <w:rPr>
            <w:rFonts w:asciiTheme="minorHAnsi" w:eastAsiaTheme="minorEastAsia" w:hAnsiTheme="minorHAnsi" w:cstheme="minorBidi"/>
            <w:smallCaps w:val="0"/>
            <w:noProof/>
            <w:sz w:val="22"/>
            <w:szCs w:val="22"/>
          </w:rPr>
          <w:tab/>
        </w:r>
        <w:r>
          <w:rPr>
            <w:rStyle w:val="Hyperlink"/>
            <w:noProof/>
            <w:kern w:val="16"/>
          </w:rPr>
          <w:t>The Commission Should Approve The Amended Stipulation.</w:t>
        </w:r>
        <w:r>
          <w:rPr>
            <w:noProof/>
            <w:webHidden/>
          </w:rPr>
          <w:tab/>
        </w:r>
        <w:r>
          <w:rPr>
            <w:noProof/>
            <w:webHidden/>
          </w:rPr>
          <w:fldChar w:fldCharType="begin"/>
        </w:r>
        <w:r>
          <w:rPr>
            <w:noProof/>
            <w:webHidden/>
          </w:rPr>
          <w:instrText xml:space="preserve"> PAGEREF _Toc342982205 \h </w:instrText>
        </w:r>
        <w:r>
          <w:rPr>
            <w:noProof/>
            <w:webHidden/>
          </w:rPr>
        </w:r>
        <w:r>
          <w:rPr>
            <w:noProof/>
            <w:webHidden/>
          </w:rPr>
          <w:fldChar w:fldCharType="separate"/>
        </w:r>
        <w:r>
          <w:rPr>
            <w:noProof/>
            <w:webHidden/>
          </w:rPr>
          <w:t>10</w:t>
        </w:r>
        <w:r>
          <w:rPr>
            <w:noProof/>
            <w:webHidden/>
          </w:rPr>
          <w:fldChar w:fldCharType="end"/>
        </w:r>
      </w:hyperlink>
    </w:p>
    <w:p>
      <w:pPr>
        <w:pStyle w:val="TOC3"/>
        <w:spacing w:line="320" w:lineRule="exact"/>
        <w:rPr>
          <w:rFonts w:asciiTheme="minorHAnsi" w:eastAsiaTheme="minorEastAsia" w:hAnsiTheme="minorHAnsi" w:cstheme="minorBidi"/>
          <w:noProof/>
          <w:sz w:val="22"/>
          <w:szCs w:val="22"/>
        </w:rPr>
      </w:pPr>
      <w:hyperlink w:anchor="_Toc342982206" w:history="1">
        <w:r>
          <w:rPr>
            <w:rStyle w:val="Hyperlink"/>
            <w:noProof/>
            <w:kern w:val="16"/>
          </w:rPr>
          <w:t>3.1.</w:t>
        </w:r>
        <w:r>
          <w:rPr>
            <w:rFonts w:asciiTheme="minorHAnsi" w:eastAsiaTheme="minorEastAsia" w:hAnsiTheme="minorHAnsi" w:cstheme="minorBidi"/>
            <w:noProof/>
            <w:sz w:val="22"/>
            <w:szCs w:val="22"/>
          </w:rPr>
          <w:tab/>
        </w:r>
        <w:r>
          <w:rPr>
            <w:rStyle w:val="Hyperlink"/>
            <w:noProof/>
            <w:kern w:val="16"/>
          </w:rPr>
          <w:t>The Amended Stipulation is the result of serious bargaining among capable, knowledgeable parties.</w:t>
        </w:r>
        <w:r>
          <w:rPr>
            <w:noProof/>
            <w:webHidden/>
          </w:rPr>
          <w:tab/>
        </w:r>
        <w:r>
          <w:rPr>
            <w:noProof/>
            <w:webHidden/>
          </w:rPr>
          <w:fldChar w:fldCharType="begin"/>
        </w:r>
        <w:r>
          <w:rPr>
            <w:noProof/>
            <w:webHidden/>
          </w:rPr>
          <w:instrText xml:space="preserve"> PAGEREF _Toc342982206 \h </w:instrText>
        </w:r>
        <w:r>
          <w:rPr>
            <w:noProof/>
            <w:webHidden/>
          </w:rPr>
        </w:r>
        <w:r>
          <w:rPr>
            <w:noProof/>
            <w:webHidden/>
          </w:rPr>
          <w:fldChar w:fldCharType="separate"/>
        </w:r>
        <w:r>
          <w:rPr>
            <w:noProof/>
            <w:webHidden/>
          </w:rPr>
          <w:t>10</w:t>
        </w:r>
        <w:r>
          <w:rPr>
            <w:noProof/>
            <w:webHidden/>
          </w:rPr>
          <w:fldChar w:fldCharType="end"/>
        </w:r>
      </w:hyperlink>
    </w:p>
    <w:p>
      <w:pPr>
        <w:pStyle w:val="TOC3"/>
        <w:spacing w:line="320" w:lineRule="exact"/>
        <w:rPr>
          <w:rFonts w:asciiTheme="minorHAnsi" w:eastAsiaTheme="minorEastAsia" w:hAnsiTheme="minorHAnsi" w:cstheme="minorBidi"/>
          <w:noProof/>
          <w:sz w:val="22"/>
          <w:szCs w:val="22"/>
        </w:rPr>
      </w:pPr>
      <w:hyperlink w:anchor="_Toc342982207" w:history="1">
        <w:r>
          <w:rPr>
            <w:rStyle w:val="Hyperlink"/>
            <w:noProof/>
            <w:kern w:val="16"/>
          </w:rPr>
          <w:t>3.2.</w:t>
        </w:r>
        <w:r>
          <w:rPr>
            <w:rFonts w:asciiTheme="minorHAnsi" w:eastAsiaTheme="minorEastAsia" w:hAnsiTheme="minorHAnsi" w:cstheme="minorBidi"/>
            <w:noProof/>
            <w:sz w:val="22"/>
            <w:szCs w:val="22"/>
          </w:rPr>
          <w:tab/>
        </w:r>
        <w:r>
          <w:rPr>
            <w:rStyle w:val="Hyperlink"/>
            <w:noProof/>
            <w:kern w:val="16"/>
          </w:rPr>
          <w:t>The Amended Stipulation benefits ratepayers and the public interest.</w:t>
        </w:r>
        <w:r>
          <w:rPr>
            <w:noProof/>
            <w:webHidden/>
          </w:rPr>
          <w:tab/>
        </w:r>
        <w:r>
          <w:rPr>
            <w:noProof/>
            <w:webHidden/>
          </w:rPr>
          <w:fldChar w:fldCharType="begin"/>
        </w:r>
        <w:r>
          <w:rPr>
            <w:noProof/>
            <w:webHidden/>
          </w:rPr>
          <w:instrText xml:space="preserve"> PAGEREF _Toc342982207 \h </w:instrText>
        </w:r>
        <w:r>
          <w:rPr>
            <w:noProof/>
            <w:webHidden/>
          </w:rPr>
        </w:r>
        <w:r>
          <w:rPr>
            <w:noProof/>
            <w:webHidden/>
          </w:rPr>
          <w:fldChar w:fldCharType="separate"/>
        </w:r>
        <w:r>
          <w:rPr>
            <w:noProof/>
            <w:webHidden/>
          </w:rPr>
          <w:t>11</w:t>
        </w:r>
        <w:r>
          <w:rPr>
            <w:noProof/>
            <w:webHidden/>
          </w:rPr>
          <w:fldChar w:fldCharType="end"/>
        </w:r>
      </w:hyperlink>
    </w:p>
    <w:p>
      <w:pPr>
        <w:pStyle w:val="TOC4"/>
        <w:spacing w:line="320" w:lineRule="exact"/>
        <w:rPr>
          <w:rFonts w:asciiTheme="minorHAnsi" w:eastAsiaTheme="minorEastAsia" w:hAnsiTheme="minorHAnsi" w:cstheme="minorBidi"/>
          <w:noProof/>
          <w:sz w:val="22"/>
          <w:szCs w:val="22"/>
        </w:rPr>
      </w:pPr>
      <w:hyperlink w:anchor="_Toc342982208" w:history="1">
        <w:r>
          <w:rPr>
            <w:rStyle w:val="Hyperlink"/>
            <w:noProof/>
            <w:kern w:val="16"/>
          </w:rPr>
          <w:t>3.2.1.</w:t>
        </w:r>
        <w:r>
          <w:rPr>
            <w:rFonts w:asciiTheme="minorHAnsi" w:eastAsiaTheme="minorEastAsia" w:hAnsiTheme="minorHAnsi" w:cstheme="minorBidi"/>
            <w:noProof/>
            <w:sz w:val="22"/>
            <w:szCs w:val="22"/>
          </w:rPr>
          <w:tab/>
        </w:r>
        <w:r>
          <w:rPr>
            <w:rStyle w:val="Hyperlink"/>
            <w:noProof/>
            <w:kern w:val="16"/>
          </w:rPr>
          <w:t>Supplier Security Agreements</w:t>
        </w:r>
        <w:r>
          <w:rPr>
            <w:noProof/>
            <w:webHidden/>
          </w:rPr>
          <w:tab/>
        </w:r>
        <w:r>
          <w:rPr>
            <w:noProof/>
            <w:webHidden/>
          </w:rPr>
          <w:fldChar w:fldCharType="begin"/>
        </w:r>
        <w:r>
          <w:rPr>
            <w:noProof/>
            <w:webHidden/>
          </w:rPr>
          <w:instrText xml:space="preserve"> PAGEREF _Toc342982208 \h </w:instrText>
        </w:r>
        <w:r>
          <w:rPr>
            <w:noProof/>
            <w:webHidden/>
          </w:rPr>
        </w:r>
        <w:r>
          <w:rPr>
            <w:noProof/>
            <w:webHidden/>
          </w:rPr>
          <w:fldChar w:fldCharType="separate"/>
        </w:r>
        <w:r>
          <w:rPr>
            <w:noProof/>
            <w:webHidden/>
          </w:rPr>
          <w:t>11</w:t>
        </w:r>
        <w:r>
          <w:rPr>
            <w:noProof/>
            <w:webHidden/>
          </w:rPr>
          <w:fldChar w:fldCharType="end"/>
        </w:r>
      </w:hyperlink>
    </w:p>
    <w:p>
      <w:pPr>
        <w:pStyle w:val="TOC4"/>
        <w:spacing w:line="320" w:lineRule="exact"/>
        <w:rPr>
          <w:rFonts w:asciiTheme="minorHAnsi" w:eastAsiaTheme="minorEastAsia" w:hAnsiTheme="minorHAnsi" w:cstheme="minorBidi"/>
          <w:noProof/>
          <w:sz w:val="22"/>
          <w:szCs w:val="22"/>
        </w:rPr>
      </w:pPr>
      <w:hyperlink w:anchor="_Toc342982209" w:history="1">
        <w:r>
          <w:rPr>
            <w:rStyle w:val="Hyperlink"/>
            <w:noProof/>
            <w:kern w:val="16"/>
          </w:rPr>
          <w:t>3.2.2.</w:t>
        </w:r>
        <w:r>
          <w:rPr>
            <w:rFonts w:asciiTheme="minorHAnsi" w:eastAsiaTheme="minorEastAsia" w:hAnsiTheme="minorHAnsi" w:cstheme="minorBidi"/>
            <w:noProof/>
            <w:sz w:val="22"/>
            <w:szCs w:val="22"/>
          </w:rPr>
          <w:tab/>
        </w:r>
        <w:r>
          <w:rPr>
            <w:rStyle w:val="Hyperlink"/>
            <w:noProof/>
            <w:kern w:val="16"/>
          </w:rPr>
          <w:t>Capacity Contracts</w:t>
        </w:r>
        <w:r>
          <w:rPr>
            <w:noProof/>
            <w:webHidden/>
          </w:rPr>
          <w:tab/>
        </w:r>
        <w:r>
          <w:rPr>
            <w:noProof/>
            <w:webHidden/>
          </w:rPr>
          <w:fldChar w:fldCharType="begin"/>
        </w:r>
        <w:r>
          <w:rPr>
            <w:noProof/>
            <w:webHidden/>
          </w:rPr>
          <w:instrText xml:space="preserve"> PAGEREF _Toc342982209 \h </w:instrText>
        </w:r>
        <w:r>
          <w:rPr>
            <w:noProof/>
            <w:webHidden/>
          </w:rPr>
        </w:r>
        <w:r>
          <w:rPr>
            <w:noProof/>
            <w:webHidden/>
          </w:rPr>
          <w:fldChar w:fldCharType="separate"/>
        </w:r>
        <w:r>
          <w:rPr>
            <w:noProof/>
            <w:webHidden/>
          </w:rPr>
          <w:t>12</w:t>
        </w:r>
        <w:r>
          <w:rPr>
            <w:noProof/>
            <w:webHidden/>
          </w:rPr>
          <w:fldChar w:fldCharType="end"/>
        </w:r>
      </w:hyperlink>
    </w:p>
    <w:p>
      <w:pPr>
        <w:pStyle w:val="TOC4"/>
        <w:spacing w:line="320" w:lineRule="exact"/>
        <w:rPr>
          <w:rFonts w:asciiTheme="minorHAnsi" w:eastAsiaTheme="minorEastAsia" w:hAnsiTheme="minorHAnsi" w:cstheme="minorBidi"/>
          <w:noProof/>
          <w:sz w:val="22"/>
          <w:szCs w:val="22"/>
        </w:rPr>
      </w:pPr>
      <w:hyperlink w:anchor="_Toc342982210" w:history="1">
        <w:r>
          <w:rPr>
            <w:rStyle w:val="Hyperlink"/>
            <w:noProof/>
            <w:kern w:val="16"/>
          </w:rPr>
          <w:t>3.2.3.</w:t>
        </w:r>
        <w:r>
          <w:rPr>
            <w:rFonts w:asciiTheme="minorHAnsi" w:eastAsiaTheme="minorEastAsia" w:hAnsiTheme="minorHAnsi" w:cstheme="minorBidi"/>
            <w:noProof/>
            <w:sz w:val="22"/>
            <w:szCs w:val="22"/>
          </w:rPr>
          <w:tab/>
        </w:r>
        <w:r>
          <w:rPr>
            <w:rStyle w:val="Hyperlink"/>
            <w:noProof/>
            <w:kern w:val="16"/>
          </w:rPr>
          <w:t>Capacity Allocation</w:t>
        </w:r>
        <w:r>
          <w:rPr>
            <w:noProof/>
            <w:webHidden/>
          </w:rPr>
          <w:tab/>
        </w:r>
        <w:r>
          <w:rPr>
            <w:noProof/>
            <w:webHidden/>
          </w:rPr>
          <w:fldChar w:fldCharType="begin"/>
        </w:r>
        <w:r>
          <w:rPr>
            <w:noProof/>
            <w:webHidden/>
          </w:rPr>
          <w:instrText xml:space="preserve"> PAGEREF _Toc342982210 \h </w:instrText>
        </w:r>
        <w:r>
          <w:rPr>
            <w:noProof/>
            <w:webHidden/>
          </w:rPr>
        </w:r>
        <w:r>
          <w:rPr>
            <w:noProof/>
            <w:webHidden/>
          </w:rPr>
          <w:fldChar w:fldCharType="separate"/>
        </w:r>
        <w:r>
          <w:rPr>
            <w:noProof/>
            <w:webHidden/>
          </w:rPr>
          <w:t>14</w:t>
        </w:r>
        <w:r>
          <w:rPr>
            <w:noProof/>
            <w:webHidden/>
          </w:rPr>
          <w:fldChar w:fldCharType="end"/>
        </w:r>
      </w:hyperlink>
    </w:p>
    <w:p>
      <w:pPr>
        <w:pStyle w:val="TOC4"/>
        <w:spacing w:line="320" w:lineRule="exact"/>
        <w:rPr>
          <w:rFonts w:asciiTheme="minorHAnsi" w:eastAsiaTheme="minorEastAsia" w:hAnsiTheme="minorHAnsi" w:cstheme="minorBidi"/>
          <w:noProof/>
          <w:sz w:val="22"/>
          <w:szCs w:val="22"/>
        </w:rPr>
      </w:pPr>
      <w:hyperlink w:anchor="_Toc342982211" w:history="1">
        <w:r>
          <w:rPr>
            <w:rStyle w:val="Hyperlink"/>
            <w:noProof/>
            <w:kern w:val="16"/>
          </w:rPr>
          <w:t>3.2.4.</w:t>
        </w:r>
        <w:r>
          <w:rPr>
            <w:rFonts w:asciiTheme="minorHAnsi" w:eastAsiaTheme="minorEastAsia" w:hAnsiTheme="minorHAnsi" w:cstheme="minorBidi"/>
            <w:noProof/>
            <w:sz w:val="22"/>
            <w:szCs w:val="22"/>
          </w:rPr>
          <w:tab/>
        </w:r>
        <w:r>
          <w:rPr>
            <w:rStyle w:val="Hyperlink"/>
            <w:noProof/>
            <w:kern w:val="16"/>
          </w:rPr>
          <w:t>Off-System Sales and Capacity Release</w:t>
        </w:r>
        <w:r>
          <w:rPr>
            <w:noProof/>
            <w:webHidden/>
          </w:rPr>
          <w:tab/>
        </w:r>
        <w:r>
          <w:rPr>
            <w:noProof/>
            <w:webHidden/>
          </w:rPr>
          <w:fldChar w:fldCharType="begin"/>
        </w:r>
        <w:r>
          <w:rPr>
            <w:noProof/>
            <w:webHidden/>
          </w:rPr>
          <w:instrText xml:space="preserve"> PAGEREF _Toc342982211 \h </w:instrText>
        </w:r>
        <w:r>
          <w:rPr>
            <w:noProof/>
            <w:webHidden/>
          </w:rPr>
        </w:r>
        <w:r>
          <w:rPr>
            <w:noProof/>
            <w:webHidden/>
          </w:rPr>
          <w:fldChar w:fldCharType="separate"/>
        </w:r>
        <w:r>
          <w:rPr>
            <w:noProof/>
            <w:webHidden/>
          </w:rPr>
          <w:t>16</w:t>
        </w:r>
        <w:r>
          <w:rPr>
            <w:noProof/>
            <w:webHidden/>
          </w:rPr>
          <w:fldChar w:fldCharType="end"/>
        </w:r>
      </w:hyperlink>
    </w:p>
    <w:p>
      <w:pPr>
        <w:pStyle w:val="TOC4"/>
        <w:spacing w:line="320" w:lineRule="exact"/>
        <w:rPr>
          <w:rFonts w:asciiTheme="minorHAnsi" w:eastAsiaTheme="minorEastAsia" w:hAnsiTheme="minorHAnsi" w:cstheme="minorBidi"/>
          <w:noProof/>
          <w:sz w:val="22"/>
          <w:szCs w:val="22"/>
        </w:rPr>
      </w:pPr>
      <w:hyperlink w:anchor="_Toc342982212" w:history="1">
        <w:r>
          <w:rPr>
            <w:rStyle w:val="Hyperlink"/>
            <w:noProof/>
            <w:kern w:val="16"/>
          </w:rPr>
          <w:t>3.2.5.</w:t>
        </w:r>
        <w:r>
          <w:rPr>
            <w:rFonts w:asciiTheme="minorHAnsi" w:eastAsiaTheme="minorEastAsia" w:hAnsiTheme="minorHAnsi" w:cstheme="minorBidi"/>
            <w:noProof/>
            <w:sz w:val="22"/>
            <w:szCs w:val="22"/>
          </w:rPr>
          <w:tab/>
        </w:r>
        <w:r>
          <w:rPr>
            <w:rStyle w:val="Hyperlink"/>
            <w:noProof/>
            <w:kern w:val="16"/>
          </w:rPr>
          <w:t>Exit from the Merchant Function</w:t>
        </w:r>
        <w:r>
          <w:rPr>
            <w:noProof/>
            <w:webHidden/>
          </w:rPr>
          <w:tab/>
        </w:r>
        <w:r>
          <w:rPr>
            <w:noProof/>
            <w:webHidden/>
          </w:rPr>
          <w:fldChar w:fldCharType="begin"/>
        </w:r>
        <w:r>
          <w:rPr>
            <w:noProof/>
            <w:webHidden/>
          </w:rPr>
          <w:instrText xml:space="preserve"> PAGEREF _Toc342982212 \h </w:instrText>
        </w:r>
        <w:r>
          <w:rPr>
            <w:noProof/>
            <w:webHidden/>
          </w:rPr>
        </w:r>
        <w:r>
          <w:rPr>
            <w:noProof/>
            <w:webHidden/>
          </w:rPr>
          <w:fldChar w:fldCharType="separate"/>
        </w:r>
        <w:r>
          <w:rPr>
            <w:noProof/>
            <w:webHidden/>
          </w:rPr>
          <w:t>18</w:t>
        </w:r>
        <w:r>
          <w:rPr>
            <w:noProof/>
            <w:webHidden/>
          </w:rPr>
          <w:fldChar w:fldCharType="end"/>
        </w:r>
      </w:hyperlink>
    </w:p>
    <w:p>
      <w:pPr>
        <w:pStyle w:val="TOC4"/>
        <w:spacing w:line="320" w:lineRule="exact"/>
        <w:rPr>
          <w:rFonts w:asciiTheme="minorHAnsi" w:eastAsiaTheme="minorEastAsia" w:hAnsiTheme="minorHAnsi" w:cstheme="minorBidi"/>
          <w:noProof/>
          <w:sz w:val="22"/>
          <w:szCs w:val="22"/>
        </w:rPr>
      </w:pPr>
      <w:hyperlink w:anchor="_Toc342982213" w:history="1">
        <w:r>
          <w:rPr>
            <w:rStyle w:val="Hyperlink"/>
            <w:noProof/>
            <w:kern w:val="16"/>
          </w:rPr>
          <w:t>3.2.6.</w:t>
        </w:r>
        <w:r>
          <w:rPr>
            <w:rFonts w:asciiTheme="minorHAnsi" w:eastAsiaTheme="minorEastAsia" w:hAnsiTheme="minorHAnsi" w:cstheme="minorBidi"/>
            <w:noProof/>
            <w:sz w:val="22"/>
            <w:szCs w:val="22"/>
          </w:rPr>
          <w:tab/>
        </w:r>
        <w:r>
          <w:rPr>
            <w:rStyle w:val="Hyperlink"/>
            <w:noProof/>
            <w:kern w:val="16"/>
          </w:rPr>
          <w:t>Monthly Variable Rate (“MVR”) Program</w:t>
        </w:r>
        <w:r>
          <w:rPr>
            <w:noProof/>
            <w:webHidden/>
          </w:rPr>
          <w:tab/>
        </w:r>
        <w:r>
          <w:rPr>
            <w:noProof/>
            <w:webHidden/>
          </w:rPr>
          <w:fldChar w:fldCharType="begin"/>
        </w:r>
        <w:r>
          <w:rPr>
            <w:noProof/>
            <w:webHidden/>
          </w:rPr>
          <w:instrText xml:space="preserve"> PAGEREF _Toc342982213 \h </w:instrText>
        </w:r>
        <w:r>
          <w:rPr>
            <w:noProof/>
            <w:webHidden/>
          </w:rPr>
        </w:r>
        <w:r>
          <w:rPr>
            <w:noProof/>
            <w:webHidden/>
          </w:rPr>
          <w:fldChar w:fldCharType="separate"/>
        </w:r>
        <w:r>
          <w:rPr>
            <w:noProof/>
            <w:webHidden/>
          </w:rPr>
          <w:t>19</w:t>
        </w:r>
        <w:r>
          <w:rPr>
            <w:noProof/>
            <w:webHidden/>
          </w:rPr>
          <w:fldChar w:fldCharType="end"/>
        </w:r>
      </w:hyperlink>
    </w:p>
    <w:p>
      <w:pPr>
        <w:pStyle w:val="TOC4"/>
        <w:spacing w:line="320" w:lineRule="exact"/>
        <w:rPr>
          <w:rFonts w:asciiTheme="minorHAnsi" w:eastAsiaTheme="minorEastAsia" w:hAnsiTheme="minorHAnsi" w:cstheme="minorBidi"/>
          <w:noProof/>
          <w:sz w:val="22"/>
          <w:szCs w:val="22"/>
        </w:rPr>
      </w:pPr>
      <w:hyperlink w:anchor="_Toc342982214" w:history="1">
        <w:r>
          <w:rPr>
            <w:rStyle w:val="Hyperlink"/>
            <w:noProof/>
            <w:kern w:val="16"/>
          </w:rPr>
          <w:t>3.2.7.</w:t>
        </w:r>
        <w:r>
          <w:rPr>
            <w:rFonts w:asciiTheme="minorHAnsi" w:eastAsiaTheme="minorEastAsia" w:hAnsiTheme="minorHAnsi" w:cstheme="minorBidi"/>
            <w:noProof/>
            <w:sz w:val="22"/>
            <w:szCs w:val="22"/>
          </w:rPr>
          <w:tab/>
        </w:r>
        <w:r>
          <w:rPr>
            <w:rStyle w:val="Hyperlink"/>
            <w:noProof/>
            <w:kern w:val="16"/>
          </w:rPr>
          <w:t>Billing Enhancements</w:t>
        </w:r>
        <w:r>
          <w:rPr>
            <w:noProof/>
            <w:webHidden/>
          </w:rPr>
          <w:tab/>
        </w:r>
        <w:r>
          <w:rPr>
            <w:noProof/>
            <w:webHidden/>
          </w:rPr>
          <w:fldChar w:fldCharType="begin"/>
        </w:r>
        <w:r>
          <w:rPr>
            <w:noProof/>
            <w:webHidden/>
          </w:rPr>
          <w:instrText xml:space="preserve"> PAGEREF _Toc342982214 \h </w:instrText>
        </w:r>
        <w:r>
          <w:rPr>
            <w:noProof/>
            <w:webHidden/>
          </w:rPr>
        </w:r>
        <w:r>
          <w:rPr>
            <w:noProof/>
            <w:webHidden/>
          </w:rPr>
          <w:fldChar w:fldCharType="separate"/>
        </w:r>
        <w:r>
          <w:rPr>
            <w:noProof/>
            <w:webHidden/>
          </w:rPr>
          <w:t>22</w:t>
        </w:r>
        <w:r>
          <w:rPr>
            <w:noProof/>
            <w:webHidden/>
          </w:rPr>
          <w:fldChar w:fldCharType="end"/>
        </w:r>
      </w:hyperlink>
    </w:p>
    <w:p>
      <w:pPr>
        <w:pStyle w:val="TOC3"/>
        <w:spacing w:line="320" w:lineRule="exact"/>
        <w:rPr>
          <w:rFonts w:asciiTheme="minorHAnsi" w:eastAsiaTheme="minorEastAsia" w:hAnsiTheme="minorHAnsi" w:cstheme="minorBidi"/>
          <w:noProof/>
          <w:sz w:val="22"/>
          <w:szCs w:val="22"/>
        </w:rPr>
      </w:pPr>
      <w:hyperlink w:anchor="_Toc342982215" w:history="1">
        <w:r>
          <w:rPr>
            <w:rStyle w:val="Hyperlink"/>
            <w:noProof/>
            <w:kern w:val="16"/>
          </w:rPr>
          <w:t>3.3.</w:t>
        </w:r>
        <w:r>
          <w:rPr>
            <w:rFonts w:asciiTheme="minorHAnsi" w:eastAsiaTheme="minorEastAsia" w:hAnsiTheme="minorHAnsi" w:cstheme="minorBidi"/>
            <w:noProof/>
            <w:sz w:val="22"/>
            <w:szCs w:val="22"/>
          </w:rPr>
          <w:tab/>
        </w:r>
        <w:r>
          <w:rPr>
            <w:rStyle w:val="Hyperlink"/>
            <w:noProof/>
            <w:kern w:val="16"/>
          </w:rPr>
          <w:t>The Amended Stipulation does not violate any important regulatory principle or practice.</w:t>
        </w:r>
        <w:r>
          <w:rPr>
            <w:noProof/>
            <w:webHidden/>
          </w:rPr>
          <w:tab/>
        </w:r>
        <w:r>
          <w:rPr>
            <w:noProof/>
            <w:webHidden/>
          </w:rPr>
          <w:fldChar w:fldCharType="begin"/>
        </w:r>
        <w:r>
          <w:rPr>
            <w:noProof/>
            <w:webHidden/>
          </w:rPr>
          <w:instrText xml:space="preserve"> PAGEREF _Toc342982215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sz w:val="22"/>
          <w:szCs w:val="22"/>
        </w:rPr>
      </w:pPr>
      <w:hyperlink w:anchor="_Toc342982216" w:history="1">
        <w:r>
          <w:rPr>
            <w:rStyle w:val="Hyperlink"/>
          </w:rPr>
          <w:t>CONCLUSION</w:t>
        </w:r>
        <w:r>
          <w:rPr>
            <w:webHidden/>
          </w:rPr>
          <w:tab/>
        </w:r>
        <w:r>
          <w:rPr>
            <w:webHidden/>
          </w:rPr>
          <w:fldChar w:fldCharType="begin"/>
        </w:r>
        <w:r>
          <w:rPr>
            <w:webHidden/>
          </w:rPr>
          <w:instrText xml:space="preserve"> PAGEREF _Toc342982216 \h </w:instrText>
        </w:r>
        <w:r>
          <w:rPr>
            <w:webHidden/>
          </w:rPr>
        </w:r>
        <w:r>
          <w:rPr>
            <w:webHidden/>
          </w:rPr>
          <w:fldChar w:fldCharType="separate"/>
        </w:r>
        <w:r>
          <w:rPr>
            <w:webHidden/>
          </w:rPr>
          <w:t>26</w:t>
        </w:r>
        <w:r>
          <w:rPr>
            <w:webHidden/>
          </w:rPr>
          <w:fldChar w:fldCharType="end"/>
        </w:r>
      </w:hyperlink>
    </w:p>
    <w:p>
      <w:pPr>
        <w:pStyle w:val="BodyText"/>
        <w:spacing w:after="320" w:line="320" w:lineRule="exact"/>
        <w:jc w:val="both"/>
        <w:outlineLvl w:val="0"/>
        <w:rPr>
          <w:rFonts w:ascii="Palatino Linotype" w:hAnsi="Palatino Linotype"/>
          <w:b/>
          <w:spacing w:val="-12"/>
          <w:kern w:val="16"/>
        </w:rPr>
      </w:pPr>
      <w:r>
        <w:rPr>
          <w:rFonts w:ascii="Palatino Linotype" w:hAnsi="Palatino Linotype"/>
          <w:spacing w:val="-12"/>
          <w:kern w:val="16"/>
        </w:rPr>
        <w:fldChar w:fldCharType="end"/>
      </w:r>
    </w:p>
    <w:p>
      <w:pPr>
        <w:pStyle w:val="BodyText"/>
        <w:spacing w:after="320" w:line="320" w:lineRule="exact"/>
        <w:jc w:val="both"/>
        <w:outlineLvl w:val="0"/>
        <w:rPr>
          <w:rFonts w:ascii="Palatino Linotype" w:hAnsi="Palatino Linotype"/>
          <w:b/>
          <w:spacing w:val="-12"/>
          <w:kern w:val="16"/>
        </w:rPr>
      </w:pPr>
    </w:p>
    <w:p>
      <w:pPr>
        <w:pStyle w:val="BodyText"/>
        <w:spacing w:after="320" w:line="320" w:lineRule="exact"/>
        <w:jc w:val="both"/>
        <w:outlineLvl w:val="0"/>
        <w:rPr>
          <w:rFonts w:ascii="Palatino Linotype" w:hAnsi="Palatino Linotype"/>
          <w:b/>
          <w:spacing w:val="-12"/>
          <w:kern w:val="16"/>
        </w:rPr>
        <w:sectPr>
          <w:pgSz w:w="12240" w:h="15840"/>
          <w:pgMar w:top="1440" w:right="1800" w:bottom="1440" w:left="1800" w:header="720" w:footer="720" w:gutter="0"/>
          <w:pgNumType w:start="1"/>
          <w:cols w:space="720"/>
          <w:titlePg/>
          <w:docGrid w:linePitch="360"/>
        </w:sectPr>
      </w:pPr>
      <w:bookmarkStart w:id="1" w:name="_GoBack"/>
      <w:bookmarkEnd w:id="1"/>
    </w:p>
    <w:p>
      <w:pPr>
        <w:pStyle w:val="BodyText"/>
        <w:spacing w:after="320" w:line="320" w:lineRule="exact"/>
        <w:jc w:val="both"/>
        <w:outlineLvl w:val="0"/>
        <w:rPr>
          <w:rFonts w:ascii="Palatino Linotype" w:hAnsi="Palatino Linotype"/>
          <w:b/>
          <w:spacing w:val="-12"/>
          <w:kern w:val="16"/>
        </w:rPr>
      </w:pPr>
      <w:bookmarkStart w:id="2" w:name="_Toc342982195"/>
      <w:r>
        <w:rPr>
          <w:rFonts w:ascii="Palatino Linotype" w:hAnsi="Palatino Linotype"/>
          <w:b/>
          <w:spacing w:val="-12"/>
          <w:kern w:val="16"/>
        </w:rPr>
        <w:lastRenderedPageBreak/>
        <w:t>INTRODUCTION</w:t>
      </w:r>
      <w:bookmarkEnd w:id="0"/>
      <w:bookmarkEnd w:id="2"/>
    </w:p>
    <w:p>
      <w:pPr>
        <w:pStyle w:val="BodyText"/>
        <w:spacing w:after="320" w:line="320" w:lineRule="exact"/>
        <w:ind w:firstLine="720"/>
        <w:jc w:val="both"/>
        <w:rPr>
          <w:rFonts w:ascii="Palatino Linotype" w:hAnsi="Palatino Linotype"/>
          <w:kern w:val="16"/>
        </w:rPr>
      </w:pPr>
      <w:r>
        <w:rPr>
          <w:rFonts w:ascii="Palatino Linotype" w:hAnsi="Palatino Linotype"/>
          <w:kern w:val="16"/>
        </w:rPr>
        <w:t xml:space="preserve">On December 2, 2009, in Case No. 08-1344-GA-EXM, the Commission issued an Opinion and Order (“First Opinion and Order”) granting Columbia Gas of Ohio, Inc. (“Columbia”) a general exemption of certain natural gas commodity sales services or ancillary services contained in Chapters 4905, 4909, and 4935, Revised Code. In that First Opinion and Order, the Commission adopted a Joint Stipulation and Recommendation (“2009 Stipulation”) that: </w:t>
      </w:r>
    </w:p>
    <w:p>
      <w:pPr>
        <w:pStyle w:val="BodyText"/>
        <w:numPr>
          <w:ilvl w:val="0"/>
          <w:numId w:val="45"/>
        </w:numPr>
        <w:spacing w:after="320" w:line="320" w:lineRule="exact"/>
        <w:ind w:left="720"/>
        <w:jc w:val="both"/>
        <w:rPr>
          <w:rFonts w:ascii="Palatino Linotype" w:hAnsi="Palatino Linotype"/>
          <w:kern w:val="16"/>
        </w:rPr>
      </w:pPr>
      <w:r>
        <w:rPr>
          <w:rFonts w:ascii="Palatino Linotype" w:hAnsi="Palatino Linotype"/>
          <w:kern w:val="16"/>
        </w:rPr>
        <w:t>eliminated Columbia’s gas cost recovery mechanism and replaced it with two annual Standard Service Offer (“SSO”) auctions, followed by annual Standard Choice Offer (“SCO”) auctions (</w:t>
      </w:r>
      <w:r>
        <w:rPr>
          <w:rFonts w:ascii="Palatino Linotype" w:hAnsi="Palatino Linotype"/>
          <w:i/>
          <w:kern w:val="16"/>
        </w:rPr>
        <w:t xml:space="preserve">see </w:t>
      </w:r>
      <w:r>
        <w:rPr>
          <w:rFonts w:ascii="Palatino Linotype" w:hAnsi="Palatino Linotype"/>
          <w:kern w:val="16"/>
        </w:rPr>
        <w:t xml:space="preserve">First Opinion and Order at 7-8); </w:t>
      </w:r>
    </w:p>
    <w:p>
      <w:pPr>
        <w:pStyle w:val="BodyText"/>
        <w:numPr>
          <w:ilvl w:val="0"/>
          <w:numId w:val="45"/>
        </w:numPr>
        <w:spacing w:after="320" w:line="320" w:lineRule="exact"/>
        <w:ind w:left="720"/>
        <w:jc w:val="both"/>
        <w:rPr>
          <w:rFonts w:ascii="Palatino Linotype" w:hAnsi="Palatino Linotype"/>
          <w:kern w:val="16"/>
        </w:rPr>
      </w:pPr>
      <w:r>
        <w:rPr>
          <w:rFonts w:ascii="Palatino Linotype" w:hAnsi="Palatino Linotype"/>
          <w:kern w:val="16"/>
        </w:rPr>
        <w:t>established Columbia’s peak-day demand and peak-day capacity portfolio (</w:t>
      </w:r>
      <w:r>
        <w:rPr>
          <w:rFonts w:ascii="Palatino Linotype" w:hAnsi="Palatino Linotype"/>
          <w:i/>
          <w:kern w:val="16"/>
        </w:rPr>
        <w:t>see id.</w:t>
      </w:r>
      <w:r>
        <w:rPr>
          <w:rFonts w:ascii="Palatino Linotype" w:hAnsi="Palatino Linotype"/>
          <w:kern w:val="16"/>
        </w:rPr>
        <w:t xml:space="preserve"> at 9);</w:t>
      </w:r>
    </w:p>
    <w:p>
      <w:pPr>
        <w:pStyle w:val="BodyText"/>
        <w:numPr>
          <w:ilvl w:val="0"/>
          <w:numId w:val="45"/>
        </w:numPr>
        <w:spacing w:after="320" w:line="320" w:lineRule="exact"/>
        <w:ind w:left="720"/>
        <w:jc w:val="both"/>
        <w:rPr>
          <w:rFonts w:ascii="Palatino Linotype" w:hAnsi="Palatino Linotype"/>
          <w:kern w:val="16"/>
        </w:rPr>
      </w:pPr>
      <w:r>
        <w:rPr>
          <w:rFonts w:ascii="Palatino Linotype" w:hAnsi="Palatino Linotype"/>
          <w:kern w:val="16"/>
        </w:rPr>
        <w:t>imposed a non-temperature balancing and peaking service fee (“Balancing Fee”) of $0.32/Mcf on CHOICE/SSO/SCO suppliers (</w:t>
      </w:r>
      <w:r>
        <w:rPr>
          <w:rFonts w:ascii="Palatino Linotype" w:hAnsi="Palatino Linotype"/>
          <w:i/>
          <w:kern w:val="16"/>
        </w:rPr>
        <w:t>see id.</w:t>
      </w:r>
      <w:r>
        <w:rPr>
          <w:rFonts w:ascii="Palatino Linotype" w:hAnsi="Palatino Linotype"/>
          <w:kern w:val="16"/>
        </w:rPr>
        <w:t>);</w:t>
      </w:r>
    </w:p>
    <w:p>
      <w:pPr>
        <w:pStyle w:val="BodyText"/>
        <w:numPr>
          <w:ilvl w:val="0"/>
          <w:numId w:val="45"/>
        </w:numPr>
        <w:spacing w:after="320" w:line="320" w:lineRule="exact"/>
        <w:ind w:left="720"/>
        <w:jc w:val="both"/>
        <w:rPr>
          <w:rFonts w:ascii="Palatino Linotype" w:hAnsi="Palatino Linotype"/>
          <w:kern w:val="16"/>
        </w:rPr>
      </w:pPr>
      <w:r>
        <w:rPr>
          <w:rFonts w:ascii="Palatino Linotype" w:hAnsi="Palatino Linotype"/>
          <w:kern w:val="16"/>
        </w:rPr>
        <w:t>established a mechanism for sharing revenues from Columbia’s off-system sales and capacity release with Columbia’s customers (</w:t>
      </w:r>
      <w:r>
        <w:rPr>
          <w:rFonts w:ascii="Palatino Linotype" w:hAnsi="Palatino Linotype"/>
          <w:i/>
          <w:kern w:val="16"/>
        </w:rPr>
        <w:t>see id.</w:t>
      </w:r>
      <w:r>
        <w:rPr>
          <w:rFonts w:ascii="Palatino Linotype" w:hAnsi="Palatino Linotype"/>
          <w:kern w:val="16"/>
        </w:rPr>
        <w:t xml:space="preserve"> at 10; </w:t>
      </w:r>
      <w:r>
        <w:rPr>
          <w:rFonts w:ascii="Palatino Linotype" w:hAnsi="Palatino Linotype"/>
          <w:i/>
          <w:kern w:val="16"/>
        </w:rPr>
        <w:t xml:space="preserve">see also </w:t>
      </w:r>
      <w:r>
        <w:rPr>
          <w:rFonts w:ascii="Palatino Linotype" w:hAnsi="Palatino Linotype"/>
          <w:kern w:val="16"/>
        </w:rPr>
        <w:t>2009 Stipulation at 14); and,</w:t>
      </w:r>
    </w:p>
    <w:p>
      <w:pPr>
        <w:pStyle w:val="BodyText"/>
        <w:numPr>
          <w:ilvl w:val="0"/>
          <w:numId w:val="45"/>
        </w:numPr>
        <w:spacing w:after="320" w:line="320" w:lineRule="exact"/>
        <w:ind w:left="720"/>
        <w:jc w:val="both"/>
        <w:rPr>
          <w:rFonts w:ascii="Palatino Linotype" w:hAnsi="Palatino Linotype"/>
          <w:kern w:val="16"/>
        </w:rPr>
      </w:pPr>
      <w:r>
        <w:rPr>
          <w:rFonts w:ascii="Palatino Linotype" w:hAnsi="Palatino Linotype"/>
          <w:kern w:val="16"/>
        </w:rPr>
        <w:t>established a CHOICE/SSO/SCO Reconciliation Rider (“CSRR”) to, among other things, recover Columbia’s incremental SSO/SCO program costs, recover/pass back imbalances between gas costs and recoveries to affected customers; flow-through refunds; and flow-through customers’ shares of off-system sales revenues (</w:t>
      </w:r>
      <w:r>
        <w:rPr>
          <w:rFonts w:ascii="Palatino Linotype" w:hAnsi="Palatino Linotype"/>
          <w:i/>
          <w:kern w:val="16"/>
        </w:rPr>
        <w:t>see id.</w:t>
      </w:r>
      <w:r>
        <w:rPr>
          <w:rFonts w:ascii="Palatino Linotype" w:hAnsi="Palatino Linotype"/>
          <w:kern w:val="16"/>
        </w:rPr>
        <w:t xml:space="preserve"> at 10-11). </w:t>
      </w:r>
    </w:p>
    <w:p>
      <w:pPr>
        <w:pStyle w:val="BodyText"/>
        <w:spacing w:after="320" w:line="320" w:lineRule="exact"/>
        <w:jc w:val="both"/>
        <w:rPr>
          <w:rFonts w:ascii="Palatino Linotype" w:hAnsi="Palatino Linotype"/>
          <w:kern w:val="16"/>
        </w:rPr>
      </w:pPr>
      <w:r>
        <w:rPr>
          <w:rFonts w:ascii="Palatino Linotype" w:hAnsi="Palatino Linotype"/>
          <w:kern w:val="16"/>
        </w:rPr>
        <w:t xml:space="preserve">After a hearing, the Commission issued a Second Opinion and Order on September 7, 2011, in which it reaffirmed Columbia’s transition to an SCO auction.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Most provisions of the 2009 Stipulation were set to continue after the initial term of the 2009 Stipulation expires on March 31, 2013. (</w:t>
      </w:r>
      <w:r>
        <w:rPr>
          <w:rFonts w:ascii="Palatino Linotype" w:hAnsi="Palatino Linotype"/>
          <w:i/>
          <w:kern w:val="16"/>
        </w:rPr>
        <w:t xml:space="preserve">See </w:t>
      </w:r>
      <w:r>
        <w:rPr>
          <w:rFonts w:ascii="Palatino Linotype" w:hAnsi="Palatino Linotype"/>
          <w:kern w:val="16"/>
        </w:rPr>
        <w:t>First Opinion and Order at 11; 2009 Stipulation at 8.) Several provisions expire on March 31, 2013, however, including Columbia’s specified levels of peak day demand and peak day capacity portfolio (</w:t>
      </w:r>
      <w:r>
        <w:rPr>
          <w:rFonts w:ascii="Palatino Linotype" w:hAnsi="Palatino Linotype"/>
          <w:i/>
          <w:kern w:val="16"/>
        </w:rPr>
        <w:t xml:space="preserve">see </w:t>
      </w:r>
      <w:r>
        <w:rPr>
          <w:rFonts w:ascii="Palatino Linotype" w:hAnsi="Palatino Linotype"/>
          <w:kern w:val="16"/>
        </w:rPr>
        <w:t>2009 Stipulation at 10), some of Columbia’s interstate pipeline contracts, and the current off-system sales/capacity release revenue sharing mechanism (</w:t>
      </w:r>
      <w:r>
        <w:rPr>
          <w:rFonts w:ascii="Palatino Linotype" w:hAnsi="Palatino Linotype"/>
          <w:i/>
          <w:kern w:val="16"/>
        </w:rPr>
        <w:t>see id.</w:t>
      </w:r>
      <w:r>
        <w:rPr>
          <w:rFonts w:ascii="Palatino Linotype" w:hAnsi="Palatino Linotype"/>
          <w:kern w:val="16"/>
        </w:rPr>
        <w:t xml:space="preserve"> at 8, 15). Accordingly, Columbia’s stakeholder group met for several months in 2012 to discuss these issues. Those discussions resulted in Columbia, Commission Staff, Ohio Gas Marketers Group, Retail Energy Supply Association, and Dominion Retail, Inc. (“the Joint Movants”) filing a Joint Motion to Modify Orders Granting Exemption (“Joint Motion”) in this proceeding on October 4, 2012. The Joint Movants attached a Joint Stipulation and Recommendation (“Joint Stipulation”), which laid out their agreement to continue the 2009 Stipulation, with modifications, for an additional five years.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 xml:space="preserve">On November 27, 2012, after several weeks of additional negotiations and discussions with the Office of the Ohio Consumers’ Counsel (“OCC”), the Joint Movants filed an Amended Joint Motion to Modify Orders Granting Exemption (“Amended Joint Motion”) (Jt. Ex. 2). Attached to that Amended Joint Motion was an Amended Stipulation and Recommendation (“Amended Stipulation”) (Jt. Ex. 1), which modified the Joint Stipulation to address several of OCC’s concerns with the original filing.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The Amended Stipulation proposes several modifications to the Commission’s First Opinion and Order and Second Opinion and Order (“the Exemption Orders”) for the period from April 1, 2013, through March 31, 2018, including:</w:t>
      </w:r>
    </w:p>
    <w:p>
      <w:pPr>
        <w:pStyle w:val="BodyText"/>
        <w:numPr>
          <w:ilvl w:val="0"/>
          <w:numId w:val="45"/>
        </w:numPr>
        <w:spacing w:after="320" w:line="320" w:lineRule="exact"/>
        <w:ind w:left="720"/>
        <w:jc w:val="both"/>
        <w:rPr>
          <w:rFonts w:ascii="Palatino Linotype" w:hAnsi="Palatino Linotype"/>
          <w:kern w:val="16"/>
        </w:rPr>
      </w:pPr>
      <w:r>
        <w:rPr>
          <w:rFonts w:ascii="Palatino Linotype" w:hAnsi="Palatino Linotype"/>
          <w:kern w:val="16"/>
        </w:rPr>
        <w:t>establishing a new $0.06/Mcf security deposit for winning SCO suppliers, to cover any expenses incurred by Columbia as the result of a supplier default;</w:t>
      </w:r>
    </w:p>
    <w:p>
      <w:pPr>
        <w:pStyle w:val="BodyText"/>
        <w:numPr>
          <w:ilvl w:val="0"/>
          <w:numId w:val="45"/>
        </w:numPr>
        <w:spacing w:after="320" w:line="320" w:lineRule="exact"/>
        <w:ind w:left="720"/>
        <w:jc w:val="both"/>
        <w:rPr>
          <w:rFonts w:ascii="Palatino Linotype" w:hAnsi="Palatino Linotype"/>
          <w:kern w:val="16"/>
        </w:rPr>
      </w:pPr>
      <w:r>
        <w:rPr>
          <w:rFonts w:ascii="Palatino Linotype" w:hAnsi="Palatino Linotype"/>
          <w:kern w:val="16"/>
        </w:rPr>
        <w:t>reducing the Balancing Fee to $0.27/Mcf and charging it directly to customers, while prohibiting CHOICE suppliers from including the prior $0.32/Mcf Balancing Fee in their rates after April 1, 2013;</w:t>
      </w:r>
    </w:p>
    <w:p>
      <w:pPr>
        <w:pStyle w:val="BodyText"/>
        <w:numPr>
          <w:ilvl w:val="0"/>
          <w:numId w:val="45"/>
        </w:numPr>
        <w:spacing w:after="320" w:line="320" w:lineRule="exact"/>
        <w:ind w:left="720"/>
        <w:jc w:val="both"/>
        <w:rPr>
          <w:rFonts w:ascii="Palatino Linotype" w:hAnsi="Palatino Linotype"/>
          <w:kern w:val="16"/>
        </w:rPr>
      </w:pPr>
      <w:r>
        <w:rPr>
          <w:rFonts w:ascii="Palatino Linotype" w:hAnsi="Palatino Linotype"/>
          <w:kern w:val="16"/>
        </w:rPr>
        <w:t>adjusting Columbia’s firm city gate interstate and intrastate pipeline transportation and storage capacity and terminating certain capacity contracts;</w:t>
      </w:r>
    </w:p>
    <w:p>
      <w:pPr>
        <w:pStyle w:val="BodyText"/>
        <w:numPr>
          <w:ilvl w:val="0"/>
          <w:numId w:val="45"/>
        </w:numPr>
        <w:spacing w:after="320" w:line="320" w:lineRule="exact"/>
        <w:ind w:left="720"/>
        <w:jc w:val="both"/>
        <w:rPr>
          <w:rFonts w:ascii="Palatino Linotype" w:hAnsi="Palatino Linotype"/>
          <w:kern w:val="16"/>
        </w:rPr>
      </w:pPr>
      <w:r>
        <w:rPr>
          <w:rFonts w:ascii="Palatino Linotype" w:hAnsi="Palatino Linotype"/>
          <w:kern w:val="16"/>
        </w:rPr>
        <w:t>reducing the amount of revenue from off-system sales and capacity release that Columbia can recover each year from $20 million to $14 million and imposing a total recovery limit of $55 million for the next five-year term;</w:t>
      </w:r>
    </w:p>
    <w:p>
      <w:pPr>
        <w:pStyle w:val="BodyText"/>
        <w:numPr>
          <w:ilvl w:val="0"/>
          <w:numId w:val="45"/>
        </w:numPr>
        <w:spacing w:after="320" w:line="320" w:lineRule="exact"/>
        <w:ind w:left="720"/>
        <w:jc w:val="both"/>
        <w:rPr>
          <w:rFonts w:ascii="Palatino Linotype" w:hAnsi="Palatino Linotype"/>
          <w:kern w:val="16"/>
        </w:rPr>
      </w:pPr>
      <w:r>
        <w:rPr>
          <w:rFonts w:ascii="Palatino Linotype" w:hAnsi="Palatino Linotype"/>
          <w:kern w:val="16"/>
        </w:rPr>
        <w:t xml:space="preserve">authorizing Columbia to exit from the merchant function for CHOICE-eligible non-residential customers if at least 70% of those customers participate in Columbia’s CHOICE program for at least three consecutive months; </w:t>
      </w:r>
    </w:p>
    <w:p>
      <w:pPr>
        <w:pStyle w:val="BodyText"/>
        <w:numPr>
          <w:ilvl w:val="0"/>
          <w:numId w:val="45"/>
        </w:numPr>
        <w:spacing w:after="320" w:line="320" w:lineRule="exact"/>
        <w:ind w:left="720"/>
        <w:jc w:val="both"/>
        <w:rPr>
          <w:rFonts w:ascii="Palatino Linotype" w:hAnsi="Palatino Linotype"/>
          <w:kern w:val="16"/>
        </w:rPr>
      </w:pPr>
      <w:r>
        <w:rPr>
          <w:rFonts w:ascii="Palatino Linotype" w:hAnsi="Palatino Linotype"/>
          <w:kern w:val="16"/>
        </w:rPr>
        <w:t xml:space="preserve">allowing Columbia to file an application to exit from the merchant function for CHOICE-eligible residential customers, if at least 70% of those customers participate in Columbia’s CHOICE program for at least three consecutive months and Columbia has already exited the merchant function for non-residential customers at least twenty-two months earlier; </w:t>
      </w:r>
    </w:p>
    <w:p>
      <w:pPr>
        <w:pStyle w:val="BodyText"/>
        <w:numPr>
          <w:ilvl w:val="0"/>
          <w:numId w:val="45"/>
        </w:numPr>
        <w:spacing w:after="320" w:line="320" w:lineRule="exact"/>
        <w:ind w:left="720"/>
        <w:jc w:val="both"/>
        <w:rPr>
          <w:rFonts w:ascii="Palatino Linotype" w:hAnsi="Palatino Linotype"/>
          <w:kern w:val="16"/>
        </w:rPr>
      </w:pPr>
      <w:r>
        <w:rPr>
          <w:rFonts w:ascii="Palatino Linotype" w:hAnsi="Palatino Linotype"/>
          <w:kern w:val="16"/>
        </w:rPr>
        <w:t>establishing a Monthly Variable Rate program to provide commodity service, after an exit from the merchant function, for CHOICE-eligible customers who have not selected a CHOICE supplier and are not served through a government aggregation program; and,</w:t>
      </w:r>
    </w:p>
    <w:p>
      <w:pPr>
        <w:pStyle w:val="BodyText"/>
        <w:numPr>
          <w:ilvl w:val="0"/>
          <w:numId w:val="45"/>
        </w:numPr>
        <w:spacing w:after="320" w:line="320" w:lineRule="exact"/>
        <w:ind w:left="720"/>
        <w:jc w:val="both"/>
        <w:rPr>
          <w:rFonts w:ascii="Palatino Linotype" w:hAnsi="Palatino Linotype"/>
          <w:kern w:val="16"/>
        </w:rPr>
      </w:pPr>
      <w:r>
        <w:rPr>
          <w:rFonts w:ascii="Palatino Linotype" w:hAnsi="Palatino Linotype"/>
          <w:kern w:val="16"/>
        </w:rPr>
        <w:t>authorizing Columbia to recover, through the CSRR, IT programming expenses that Columbia will incur to expand its billing options for CHOICE customers.</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 xml:space="preserve">On October 31, 2012, Columbia filed a Revised Program Outline and Revised Tariffs in the docket for this proceeding. Those filings reflected the changes to the prior SCO Program Outline and to Columbia’s tariffs that would be necessary to implement the Joint Stipulation filed on October 4, 2012, if approved by the Commission. Subsequently, on November 28, 2012, Columbia filed a Second Revised Program Outline and Revised Tariffs that reflected the changes to the Program Outline and to Columbia’s tariffs that would be necessary to implement the Amended Stipulation.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The Commission held a brief hearing on December 3, 2012, to allow public comment on the Amended Joint Motion and Amended Stipulation. The Commission then held an evidentiary hearing in this proceeding on December 5 and 6, 2012. At that hearing, the parties opposing portions of the Amended Stipulation – Ohio Partners for Affordable Energy (OPAE) and Hess Corporation (“Hess”) –presented witness testimony challenging only the exit-the-merchant-function, Monthly Variable Rate, and SCO supplier security provisions of the Amended Stipulation. (</w:t>
      </w:r>
      <w:r>
        <w:rPr>
          <w:rFonts w:ascii="Palatino Linotype" w:hAnsi="Palatino Linotype"/>
          <w:i/>
          <w:kern w:val="16"/>
        </w:rPr>
        <w:t xml:space="preserve">See generally </w:t>
      </w:r>
      <w:r>
        <w:rPr>
          <w:rFonts w:ascii="Palatino Linotype" w:hAnsi="Palatino Linotype"/>
          <w:kern w:val="16"/>
        </w:rPr>
        <w:t>Harper Testimony (OPAE Exs. 2 and 2A), Magnani Testimony (Hess Ex. 1).)</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Columbia now asks the Commission to grant the Amended Joint Motion (Jt. Ex. 2) and adopt the Amended Stipulation (Jt. Ex. 1), along with the Revised Program Outline (Columbia Ex. 2) and tariffs (Columbia Ex. 3) for the reasons provided below.</w:t>
      </w:r>
    </w:p>
    <w:p>
      <w:pPr>
        <w:pStyle w:val="BodyText"/>
        <w:keepNext/>
        <w:spacing w:after="320" w:line="320" w:lineRule="exact"/>
        <w:jc w:val="both"/>
        <w:outlineLvl w:val="0"/>
        <w:rPr>
          <w:rFonts w:ascii="Palatino Linotype" w:hAnsi="Palatino Linotype"/>
          <w:b/>
          <w:spacing w:val="-12"/>
          <w:kern w:val="16"/>
        </w:rPr>
      </w:pPr>
      <w:bookmarkStart w:id="3" w:name="_Toc342925488"/>
      <w:bookmarkStart w:id="4" w:name="_Toc342982196"/>
      <w:r>
        <w:rPr>
          <w:rFonts w:ascii="Palatino Linotype" w:hAnsi="Palatino Linotype"/>
          <w:b/>
          <w:spacing w:val="-12"/>
          <w:kern w:val="16"/>
        </w:rPr>
        <w:t>ARGUMENT</w:t>
      </w:r>
      <w:bookmarkEnd w:id="3"/>
      <w:bookmarkEnd w:id="4"/>
    </w:p>
    <w:p>
      <w:pPr>
        <w:pStyle w:val="BodyText"/>
        <w:keepNext/>
        <w:numPr>
          <w:ilvl w:val="0"/>
          <w:numId w:val="49"/>
        </w:numPr>
        <w:spacing w:after="320" w:line="320" w:lineRule="exact"/>
        <w:ind w:left="720" w:hanging="720"/>
        <w:jc w:val="both"/>
        <w:outlineLvl w:val="1"/>
        <w:rPr>
          <w:rFonts w:ascii="Palatino Linotype" w:hAnsi="Palatino Linotype"/>
          <w:b/>
          <w:kern w:val="16"/>
          <w:szCs w:val="24"/>
        </w:rPr>
      </w:pPr>
      <w:bookmarkStart w:id="5" w:name="_Toc342925489"/>
      <w:bookmarkStart w:id="6" w:name="_Toc342982197"/>
      <w:r>
        <w:rPr>
          <w:rFonts w:ascii="Palatino Linotype" w:hAnsi="Palatino Linotype"/>
          <w:b/>
          <w:kern w:val="16"/>
          <w:szCs w:val="24"/>
        </w:rPr>
        <w:t>The Commission Has Authority To Modify Its Exemption Orders.</w:t>
      </w:r>
      <w:bookmarkEnd w:id="5"/>
      <w:bookmarkEnd w:id="6"/>
    </w:p>
    <w:p>
      <w:pPr>
        <w:pStyle w:val="BodyText"/>
        <w:spacing w:after="320" w:line="320" w:lineRule="exact"/>
        <w:ind w:firstLine="720"/>
        <w:jc w:val="both"/>
        <w:rPr>
          <w:rFonts w:ascii="Palatino Linotype" w:hAnsi="Palatino Linotype"/>
          <w:kern w:val="16"/>
        </w:rPr>
      </w:pPr>
      <w:r>
        <w:rPr>
          <w:rFonts w:ascii="Palatino Linotype" w:hAnsi="Palatino Linotype"/>
          <w:kern w:val="16"/>
        </w:rPr>
        <w:t>Only one of the intervenors has challenged the Commission’s jurisdiction to consider the Amended Joint Motion.</w:t>
      </w:r>
      <w:r>
        <w:rPr>
          <w:rStyle w:val="FootnoteReference"/>
          <w:rFonts w:ascii="Palatino Linotype" w:hAnsi="Palatino Linotype"/>
          <w:kern w:val="16"/>
        </w:rPr>
        <w:footnoteReference w:id="1"/>
      </w:r>
      <w:r>
        <w:rPr>
          <w:rFonts w:ascii="Palatino Linotype" w:hAnsi="Palatino Linotype"/>
          <w:kern w:val="16"/>
        </w:rPr>
        <w:t xml:space="preserve"> OPAE asserted, in its Initial Comments in this proceeding (filed November 5, 2012), that the Joint Motion was unlawful and that the Joint Stipulation violated Columbia’s commitments in the 2009 Stipulation. OPAE’s arguments are incorrect as a matter of fact and law.</w:t>
      </w:r>
    </w:p>
    <w:p>
      <w:pPr>
        <w:pStyle w:val="BodyText"/>
        <w:keepNext/>
        <w:numPr>
          <w:ilvl w:val="1"/>
          <w:numId w:val="49"/>
        </w:numPr>
        <w:spacing w:after="320" w:line="320" w:lineRule="exact"/>
        <w:ind w:left="1440" w:hanging="720"/>
        <w:jc w:val="both"/>
        <w:outlineLvl w:val="2"/>
        <w:rPr>
          <w:rFonts w:ascii="Palatino Linotype" w:hAnsi="Palatino Linotype"/>
          <w:b/>
          <w:kern w:val="16"/>
        </w:rPr>
      </w:pPr>
      <w:bookmarkStart w:id="7" w:name="_Toc342925490"/>
      <w:bookmarkStart w:id="8" w:name="_Toc342982198"/>
      <w:r>
        <w:rPr>
          <w:rFonts w:ascii="Palatino Linotype" w:hAnsi="Palatino Linotype"/>
          <w:b/>
          <w:kern w:val="16"/>
        </w:rPr>
        <w:t>The 2009 Stipulation, general Commission authority to modify its prior orders, and R.C. 4929.08 all permit the Commission to grant the Joint Motion and approve the Amended Stipulation.</w:t>
      </w:r>
      <w:bookmarkEnd w:id="7"/>
      <w:bookmarkEnd w:id="8"/>
    </w:p>
    <w:p>
      <w:pPr>
        <w:pStyle w:val="BodyText"/>
        <w:spacing w:after="320" w:line="320" w:lineRule="exact"/>
        <w:ind w:firstLine="720"/>
        <w:jc w:val="both"/>
        <w:rPr>
          <w:rFonts w:ascii="Palatino Linotype" w:hAnsi="Palatino Linotype"/>
          <w:kern w:val="16"/>
        </w:rPr>
      </w:pPr>
      <w:r>
        <w:rPr>
          <w:rFonts w:ascii="Palatino Linotype" w:hAnsi="Palatino Linotype"/>
          <w:kern w:val="16"/>
        </w:rPr>
        <w:t>OPAE has argued that the only ways for the Joint Movants to extend and modify the terms of the 2009 Stipulation were by filing an entirely new application for exemption under Section 4929.04, Revised Code, or a self-complaint under Section 4929.08, Revised Code. (OPAE Initial Cmts. at 8 (OPAE Ex. 1).) OPAE further argued that the Joint Movants had not met the standards of Section 4929.08, Revised Code, because they had not shown that they were “adversely affected” by the prior Exemption Orders, that “the findings upon which the order[s] [were] based are no longer valid,” or that the “modification is in the public interest[.]” Section 4929.08(A)(1), Revised Code.</w:t>
      </w:r>
      <w:r>
        <w:rPr>
          <w:rStyle w:val="FootnoteReference"/>
          <w:rFonts w:ascii="Palatino Linotype" w:hAnsi="Palatino Linotype"/>
          <w:kern w:val="16"/>
        </w:rPr>
        <w:footnoteReference w:id="2"/>
      </w:r>
      <w:r>
        <w:rPr>
          <w:rFonts w:ascii="Palatino Linotype" w:hAnsi="Palatino Linotype"/>
          <w:kern w:val="16"/>
        </w:rPr>
        <w:t xml:space="preserve"> These arguments misinterpret the scope of Commission authority.</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 xml:space="preserve">As a general matter, “the Commission retains the authority to modify a prior order adopting a stipulation,” if there are “sufficient grounds” to do so. </w:t>
      </w:r>
      <w:r>
        <w:rPr>
          <w:rFonts w:ascii="Palatino Linotype" w:hAnsi="Palatino Linotype"/>
          <w:i/>
          <w:kern w:val="16"/>
        </w:rPr>
        <w:t>In the Matter of Ohio Edison Company, The Cleveland Electric Illuminating Company, and The Toledo Edison Company for Authority to Provide for a Standard Service Offer Pursuant to Section 4928.143, Revised Code, in the Form of an Electric Security Plan</w:t>
      </w:r>
      <w:r>
        <w:rPr>
          <w:rFonts w:ascii="Palatino Linotype" w:hAnsi="Palatino Linotype"/>
          <w:kern w:val="16"/>
        </w:rPr>
        <w:t xml:space="preserve">, Case No. 12-1230-EL-SSO, Opinion and Order at 42 (July 18, 2012). </w:t>
      </w:r>
      <w:r>
        <w:rPr>
          <w:rFonts w:ascii="Palatino Linotype" w:hAnsi="Palatino Linotype"/>
          <w:i/>
          <w:kern w:val="16"/>
        </w:rPr>
        <w:t>Cf. In the Matter of the Commission Review of the Capacity Charges of Ohio Power Company and Columbus Southern Power Company</w:t>
      </w:r>
      <w:r>
        <w:rPr>
          <w:rFonts w:ascii="Palatino Linotype" w:hAnsi="Palatino Linotype"/>
          <w:kern w:val="16"/>
        </w:rPr>
        <w:t>, Case No. 10-2929-EL-UNC, Entry on Rehearing, ¶39 (Oct. 17, 2012) (reaffirming the Commission’s authority to modify a mechanism established in a prior Commission order). Moreover, the 2009 Stipulation, which the Commission’s First Opinion and Order approved in its entirety, specifically allowed its signatories to seek, and the Commission to grant, modifications to the exemption’s terms for the period after the 2009 Stipulation’s initial term. In the 2009 Stipulation, the signatory parties “reserve[d] the right to propose changes to the Agreement to become effective after the end of the initial term.” (2009 Stipulation at 8.) On the same page, the parties agreed that the provisions of the 2009 Stipulation would “continue [after the expiration of the initial term] until modified by the Commission.” (</w:t>
      </w:r>
      <w:r>
        <w:rPr>
          <w:rFonts w:ascii="Palatino Linotype" w:hAnsi="Palatino Linotype"/>
          <w:i/>
          <w:kern w:val="16"/>
        </w:rPr>
        <w:t>Id.</w:t>
      </w:r>
      <w:r>
        <w:rPr>
          <w:rFonts w:ascii="Palatino Linotype" w:hAnsi="Palatino Linotype"/>
          <w:kern w:val="16"/>
        </w:rPr>
        <w:t>) Thus, both the Commission’s general powers and the Commission-approved 2009 Stipulation give the Commission the authority to modify the 2009 Stipulation.</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 xml:space="preserve">The Joint Motion also meets the requirements of Section 4929.08(A), Revised Code. </w:t>
      </w:r>
      <w:r>
        <w:rPr>
          <w:rFonts w:ascii="Palatino Linotype" w:hAnsi="Palatino Linotype"/>
          <w:i/>
          <w:iCs/>
          <w:kern w:val="16"/>
        </w:rPr>
        <w:t>See generally In the Matter of the Application to Modify, in Accordance with Section 4929.08, Revised Code, the Exemption Granted to The East Ohio Gas Company d/b/a Dominion East Ohio in Case No. 07-1224-GA-EXM</w:t>
      </w:r>
      <w:r>
        <w:rPr>
          <w:rFonts w:ascii="Palatino Linotype" w:hAnsi="Palatino Linotype"/>
          <w:kern w:val="16"/>
        </w:rPr>
        <w:t xml:space="preserve">, Case No. 11-6076-GA-EXM, Opinion and Order, at 5 (Feb. 14, 2012); </w:t>
      </w:r>
      <w:r>
        <w:rPr>
          <w:rFonts w:ascii="Palatino Linotype" w:hAnsi="Palatino Linotype"/>
          <w:i/>
          <w:kern w:val="16"/>
        </w:rPr>
        <w:t>In the Matter of the Application and Joint Stipulation and Recommendation of Vectren Energy Delivery of Ohio, Inc., for Approval of its Exemption Authority Granted in Case No. 07-1285-GA-EXM</w:t>
      </w:r>
      <w:r>
        <w:rPr>
          <w:rFonts w:ascii="Palatino Linotype" w:hAnsi="Palatino Linotype"/>
          <w:kern w:val="16"/>
        </w:rPr>
        <w:t>, Case No. 12-483-GA-EXM, Opinion and Order, at 5 (May 16, 2012) (granting motions to modify previous Commission orders granting exemptions). R.C. 4929.08(A) provides, in relevant part:</w:t>
      </w:r>
    </w:p>
    <w:p>
      <w:pPr>
        <w:pStyle w:val="BodyText"/>
        <w:spacing w:after="260" w:line="260" w:lineRule="exact"/>
        <w:ind w:left="1080" w:right="1080"/>
        <w:jc w:val="both"/>
        <w:rPr>
          <w:rFonts w:ascii="Palatino Linotype" w:hAnsi="Palatino Linotype"/>
          <w:sz w:val="22"/>
        </w:rPr>
      </w:pPr>
      <w:r>
        <w:rPr>
          <w:rFonts w:ascii="Palatino Linotype" w:hAnsi="Palatino Linotype"/>
          <w:sz w:val="22"/>
        </w:rPr>
        <w:t>The public utilities commission has jurisdiction over every natural gas company that has been granted an exemption or alternative rate regulation under section 4929.04 or 4929.05 of the Revised Code. As to any such company, the commission, upon its own motion or upon the motion of any person adversely affected by such exemption or alternative rate regulation authority, and after notice and hearing and subject to this division, may abrogate or modify any order granting such an exemption or authority only under both of the following conditions:</w:t>
      </w:r>
    </w:p>
    <w:p>
      <w:pPr>
        <w:pStyle w:val="BodyText"/>
        <w:spacing w:after="260" w:line="260" w:lineRule="exact"/>
        <w:ind w:left="1080" w:right="1080" w:firstLine="720"/>
        <w:jc w:val="both"/>
        <w:rPr>
          <w:rFonts w:ascii="Palatino Linotype" w:hAnsi="Palatino Linotype"/>
          <w:sz w:val="22"/>
        </w:rPr>
      </w:pPr>
      <w:r>
        <w:rPr>
          <w:rFonts w:ascii="Palatino Linotype" w:hAnsi="Palatino Linotype"/>
          <w:sz w:val="22"/>
        </w:rPr>
        <w:t>(1) The commission determines that the findings upon which the order was based are no longer valid and that the abrogation or modification is in the public interest * *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As discussed below, certain findings upon which the Exemption Orders were based are no longer valid. As a result, Columbia is adversely affected by the exemption as it currently stands, and modification of the Exemption Orders is in the public interest. Therefore, under both the Commission’s First Opinion and Order and statute, the Commission has the authority to modify the Exemption Orders granting Columbia’s exemption.</w:t>
      </w:r>
    </w:p>
    <w:p>
      <w:pPr>
        <w:pStyle w:val="BodyText"/>
        <w:numPr>
          <w:ilvl w:val="1"/>
          <w:numId w:val="49"/>
        </w:numPr>
        <w:spacing w:after="320" w:line="320" w:lineRule="exact"/>
        <w:ind w:left="1440" w:hanging="706"/>
        <w:jc w:val="both"/>
        <w:outlineLvl w:val="2"/>
        <w:rPr>
          <w:rFonts w:ascii="Palatino Linotype" w:hAnsi="Palatino Linotype"/>
          <w:b/>
          <w:kern w:val="16"/>
        </w:rPr>
      </w:pPr>
      <w:bookmarkStart w:id="9" w:name="_Toc342925491"/>
      <w:bookmarkStart w:id="10" w:name="_Toc342982199"/>
      <w:r>
        <w:rPr>
          <w:rFonts w:ascii="Palatino Linotype" w:hAnsi="Palatino Linotype"/>
          <w:b/>
          <w:kern w:val="16"/>
        </w:rPr>
        <w:t>The 2009 Stipulation did not prohibit the filing of the Amended Stipulation.</w:t>
      </w:r>
      <w:bookmarkEnd w:id="9"/>
      <w:bookmarkEnd w:id="10"/>
    </w:p>
    <w:p>
      <w:pPr>
        <w:pStyle w:val="BodyText"/>
        <w:spacing w:after="320" w:line="320" w:lineRule="exact"/>
        <w:ind w:firstLine="720"/>
        <w:jc w:val="both"/>
        <w:rPr>
          <w:rFonts w:ascii="Palatino Linotype" w:hAnsi="Palatino Linotype" w:cs="Palatino Linotype"/>
        </w:rPr>
      </w:pPr>
      <w:r>
        <w:rPr>
          <w:rFonts w:ascii="Palatino Linotype" w:hAnsi="Palatino Linotype"/>
          <w:kern w:val="16"/>
        </w:rPr>
        <w:t>As a secondary argument, OPAE asserts that Columbia committed in the 2009 Stipulation “not to modify the [SCO] program substantively and not to propose to exit the merchant function * * *.” (</w:t>
      </w:r>
      <w:r>
        <w:rPr>
          <w:rFonts w:ascii="Palatino Linotype" w:hAnsi="Palatino Linotype" w:cs="Palatino Linotype"/>
        </w:rPr>
        <w:t>OPAE Initial Cmts. at 7 (OPAE Ex. 1).) This argument is, at best, frivolous. The parties to the 2009 Stipulation did not commit not to modify the program outline substantively. They agreed, instead, that the “implementation of the Program Outline may be amended by the signatory parties without subsequent Commission approval so long as the amendments are non[-] substantive[.]” (2009 Stipulation at 8.) Columbia is, in this proceeding, seeking approval for the substantive amendments to its Program Outline submitted on October 31 and November 28, 2012. Columbia also did not commit, in the 2009 Stipulation, not to exit the merchant function. Instead, Columbia stated that it “ha[d] not expressed a present intent to, nor does this Agreement contemplate that Columbia seeks to, exit the merchant function.” (</w:t>
      </w:r>
      <w:r>
        <w:rPr>
          <w:rFonts w:ascii="Palatino Linotype" w:hAnsi="Palatino Linotype" w:cs="Palatino Linotype"/>
          <w:i/>
          <w:iCs/>
        </w:rPr>
        <w:t xml:space="preserve">Id. </w:t>
      </w:r>
      <w:r>
        <w:rPr>
          <w:rFonts w:ascii="Palatino Linotype" w:hAnsi="Palatino Linotype" w:cs="Palatino Linotype"/>
        </w:rPr>
        <w:t xml:space="preserve">at 9.) Columbia’s intent and request to exit the merchant function arose after the submission of the 2009 Stipulation, during the negotiation of the Joint Stipulation in this proceeding. Thus, there was nothing in the 2009 stipulation that prohibited the filing of a motion like the Amended Joint Motion or the Amended Stipulation. </w:t>
      </w:r>
    </w:p>
    <w:p>
      <w:pPr>
        <w:spacing w:after="320" w:line="320" w:lineRule="exact"/>
        <w:ind w:firstLine="720"/>
        <w:jc w:val="both"/>
        <w:rPr>
          <w:rFonts w:ascii="Palatino Linotype" w:hAnsi="Palatino Linotype"/>
        </w:rPr>
      </w:pPr>
      <w:r>
        <w:rPr>
          <w:rFonts w:ascii="Palatino Linotype" w:hAnsi="Palatino Linotype"/>
        </w:rPr>
        <w:t xml:space="preserve">OPAE also notes that the Commission, in its Second Opinion and Order, ordered PUCO Staff to study "customer migration from the SCO to the Choice program" and "the types of products and services offered to customers that provide added value to participating in the Choice program" no later than September 1, 2013. (OPAE Initial Cmts. at 8-9 (OPAE Ex. 1), </w:t>
      </w:r>
      <w:r>
        <w:rPr>
          <w:rFonts w:ascii="Palatino Linotype" w:hAnsi="Palatino Linotype"/>
          <w:i/>
        </w:rPr>
        <w:t>quoting</w:t>
      </w:r>
      <w:r>
        <w:rPr>
          <w:rFonts w:ascii="Palatino Linotype" w:hAnsi="Palatino Linotype"/>
        </w:rPr>
        <w:t xml:space="preserve"> Second Opinion and Order at 13.) This does not, however, and should not be interpreted to, prevent the approval of the Amended Stipulation. Under the Amended Stipulation, the earliest that Columbia could exit the merchant function for CHOICE-eligible non-residential customers is April 1, 2014 – well after Commission Staff will produce its study of the SCO. (</w:t>
      </w:r>
      <w:r>
        <w:rPr>
          <w:rFonts w:ascii="Palatino Linotype" w:hAnsi="Palatino Linotype"/>
          <w:i/>
        </w:rPr>
        <w:t xml:space="preserve">See </w:t>
      </w:r>
      <w:r>
        <w:rPr>
          <w:rFonts w:ascii="Palatino Linotype" w:hAnsi="Palatino Linotype"/>
        </w:rPr>
        <w:t>Am. Stip. at 9, §28 (Jt. Ex. 1).) Additionally, Columbia cannot exit the merchant function for its residential customers until at least twenty-two months after Columbia exits the merchant function for its non-residential customers – or, in other words, until February 1, 2016, at the very earliest. (</w:t>
      </w:r>
      <w:r>
        <w:rPr>
          <w:rFonts w:ascii="Palatino Linotype" w:hAnsi="Palatino Linotype"/>
          <w:i/>
        </w:rPr>
        <w:t>Id.</w:t>
      </w:r>
      <w:r>
        <w:rPr>
          <w:rFonts w:ascii="Palatino Linotype" w:hAnsi="Palatino Linotype"/>
        </w:rPr>
        <w:t xml:space="preserve"> at 10, §31.) The Commission thus will have the benefit of its SCO study for at least two and a half years before it would ever see an application to exit the merchant function for residential customers. Consequently, the Commission's prior direction that its Staff study customer migration from the SCO to the CHOICE program is no reason to delay consideration of the Amended Joint Motion and Amended Stipulation.</w:t>
      </w:r>
    </w:p>
    <w:p>
      <w:pPr>
        <w:pStyle w:val="BodyText"/>
        <w:keepNext/>
        <w:numPr>
          <w:ilvl w:val="0"/>
          <w:numId w:val="49"/>
        </w:numPr>
        <w:spacing w:after="320" w:line="320" w:lineRule="exact"/>
        <w:ind w:left="720" w:hanging="720"/>
        <w:jc w:val="both"/>
        <w:outlineLvl w:val="1"/>
        <w:rPr>
          <w:rFonts w:ascii="Palatino Linotype" w:hAnsi="Palatino Linotype"/>
          <w:b/>
          <w:kern w:val="16"/>
          <w:szCs w:val="24"/>
        </w:rPr>
      </w:pPr>
      <w:bookmarkStart w:id="11" w:name="_Toc342925492"/>
      <w:bookmarkStart w:id="12" w:name="_Toc342982200"/>
      <w:r>
        <w:rPr>
          <w:rFonts w:ascii="Palatino Linotype" w:hAnsi="Palatino Linotype"/>
          <w:b/>
          <w:kern w:val="16"/>
          <w:szCs w:val="24"/>
        </w:rPr>
        <w:t>The Commission Should Modify The Exemption Orders.</w:t>
      </w:r>
      <w:bookmarkEnd w:id="11"/>
      <w:bookmarkEnd w:id="12"/>
    </w:p>
    <w:p>
      <w:pPr>
        <w:pStyle w:val="BodyText"/>
        <w:keepNext/>
        <w:numPr>
          <w:ilvl w:val="1"/>
          <w:numId w:val="49"/>
        </w:numPr>
        <w:spacing w:after="320" w:line="320" w:lineRule="exact"/>
        <w:ind w:left="1440" w:hanging="720"/>
        <w:jc w:val="both"/>
        <w:outlineLvl w:val="2"/>
        <w:rPr>
          <w:rFonts w:ascii="Palatino Linotype" w:hAnsi="Palatino Linotype"/>
          <w:b/>
          <w:kern w:val="16"/>
        </w:rPr>
      </w:pPr>
      <w:bookmarkStart w:id="13" w:name="_Toc342925493"/>
      <w:bookmarkStart w:id="14" w:name="_Toc342982201"/>
      <w:r>
        <w:rPr>
          <w:rFonts w:ascii="Palatino Linotype" w:hAnsi="Palatino Linotype"/>
          <w:b/>
          <w:kern w:val="16"/>
        </w:rPr>
        <w:t>Certain findings upon which the Exemption Orders were based are no longer valid, adversely affecting Columbia.</w:t>
      </w:r>
      <w:bookmarkEnd w:id="13"/>
      <w:bookmarkEnd w:id="14"/>
    </w:p>
    <w:p>
      <w:pPr>
        <w:pStyle w:val="BodyText"/>
        <w:spacing w:after="320" w:line="320" w:lineRule="exact"/>
        <w:ind w:firstLine="720"/>
        <w:jc w:val="both"/>
        <w:rPr>
          <w:rFonts w:ascii="Palatino Linotype" w:hAnsi="Palatino Linotype"/>
          <w:kern w:val="16"/>
        </w:rPr>
      </w:pPr>
      <w:r>
        <w:rPr>
          <w:rFonts w:ascii="Palatino Linotype" w:hAnsi="Palatino Linotype"/>
          <w:kern w:val="16"/>
        </w:rPr>
        <w:t>The exemption from regulation granted Columbia in Case No. 08-1344-GA-EXM was the first such exemption for Columbia. In abandoning the GCR and implementing gas supply auctions, Columbia was initiating a new method of supplying gas to customers. (Brown Testimony at 18 (Columbia Ex. 6).) The auction process is now no longer new or novel, and there is no longer uncertainty about the auction process. Columbia has held three auctions, and the parties agree that the auctions have provided customer benefits. (</w:t>
      </w:r>
      <w:r>
        <w:rPr>
          <w:rFonts w:ascii="Palatino Linotype" w:hAnsi="Palatino Linotype"/>
          <w:i/>
          <w:kern w:val="16"/>
        </w:rPr>
        <w:t>Id.</w:t>
      </w:r>
      <w:r>
        <w:rPr>
          <w:rFonts w:ascii="Palatino Linotype" w:hAnsi="Palatino Linotype"/>
          <w:kern w:val="16"/>
        </w:rPr>
        <w:t xml:space="preserve">)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While there is now less uncertainty about the auction process, since the 2009 Stipulation was approved in December 2009, the introduction of shale gas into the marketplace has created greater uncertainty about Columbia’s best use of interstate pipeline capacity. The introduction of Marcellus shale gas, and subsequently Utica shale gas, has created the potential for new gas supply opportunities in Ohio. How these opportunities will develop is unknown, but the opportunities could potentially impact Ohio utilities’ use of interstate pipeline capacity. (</w:t>
      </w:r>
      <w:r>
        <w:rPr>
          <w:rFonts w:ascii="Palatino Linotype" w:hAnsi="Palatino Linotype"/>
          <w:i/>
          <w:kern w:val="16"/>
        </w:rPr>
        <w:t>Id.</w:t>
      </w:r>
      <w:r>
        <w:rPr>
          <w:rFonts w:ascii="Palatino Linotype" w:hAnsi="Palatino Linotype"/>
          <w:kern w:val="16"/>
        </w:rPr>
        <w:t>) It will likely take several years to fully assess the full impacts of shale gas on Ohio markets, and until all market participants can assess these impacts it makes sense not to make long-term interstate pipeline capacity contract decisions that could adversely impact Columbia’s ability to make the best use of all pipeline capacity available to it.</w:t>
      </w:r>
      <w:r>
        <w:rPr>
          <w:rStyle w:val="FootnoteReference"/>
          <w:rFonts w:ascii="Palatino Linotype" w:hAnsi="Palatino Linotype"/>
          <w:kern w:val="16"/>
        </w:rPr>
        <w:footnoteReference w:id="3"/>
      </w:r>
      <w:r>
        <w:rPr>
          <w:rFonts w:ascii="Palatino Linotype" w:hAnsi="Palatino Linotype"/>
          <w:kern w:val="16"/>
        </w:rPr>
        <w:t xml:space="preserve"> Consequently, the factual assumptions underlying Columbia’s capacity contracts have changed since the Commission issued the Exemption Orders. Yet, the 2009 Stipulation approved by the Exemption Orders provides for a peak day capacity portfolio that is not geared to meet Columbia’s needs during the period after the 2009 Stipulation’s initial term. (</w:t>
      </w:r>
      <w:r>
        <w:rPr>
          <w:rFonts w:ascii="Palatino Linotype" w:hAnsi="Palatino Linotype"/>
          <w:i/>
          <w:kern w:val="16"/>
        </w:rPr>
        <w:t>Id.</w:t>
      </w:r>
      <w:r>
        <w:rPr>
          <w:rFonts w:ascii="Palatino Linotype" w:hAnsi="Palatino Linotype"/>
          <w:kern w:val="16"/>
        </w:rPr>
        <w:t xml:space="preserve"> at 18-19.)</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Columbia has also begun to plan for a possible exiting of the merchant function. When the 2009 Stipulation was approved, Columbia had not expressed an intent to, and did not contemplate seeking to, exit the merchant function. Since then, some stakeholders believe an exit may be warranted, if participation in Columbia’s CHOICE program meets sufficient levels. (</w:t>
      </w:r>
      <w:r>
        <w:rPr>
          <w:rFonts w:ascii="Palatino Linotype" w:hAnsi="Palatino Linotype"/>
          <w:i/>
          <w:kern w:val="16"/>
        </w:rPr>
        <w:t>Id.</w:t>
      </w:r>
      <w:r>
        <w:rPr>
          <w:rFonts w:ascii="Palatino Linotype" w:hAnsi="Palatino Linotype"/>
          <w:kern w:val="16"/>
        </w:rPr>
        <w:t xml:space="preserve"> at 19.) The Exemption Orders do not, however, authorize an exit from the merchant function.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 xml:space="preserve">For these reasons, the Exemption Orders are adversely affecting Columbia, the findings underlying the Commission’s Exemption Orders are no longer valid, and modifications to those Orders should be granted. </w:t>
      </w:r>
    </w:p>
    <w:p>
      <w:pPr>
        <w:pStyle w:val="BodyText"/>
        <w:keepNext/>
        <w:numPr>
          <w:ilvl w:val="1"/>
          <w:numId w:val="49"/>
        </w:numPr>
        <w:spacing w:after="320" w:line="320" w:lineRule="exact"/>
        <w:ind w:left="1440" w:hanging="720"/>
        <w:jc w:val="both"/>
        <w:outlineLvl w:val="2"/>
        <w:rPr>
          <w:rFonts w:ascii="Palatino Linotype" w:hAnsi="Palatino Linotype"/>
          <w:b/>
          <w:kern w:val="16"/>
        </w:rPr>
      </w:pPr>
      <w:bookmarkStart w:id="15" w:name="_Toc342925494"/>
      <w:bookmarkStart w:id="16" w:name="_Toc342982202"/>
      <w:r>
        <w:rPr>
          <w:rFonts w:ascii="Palatino Linotype" w:hAnsi="Palatino Linotype"/>
          <w:b/>
          <w:kern w:val="16"/>
        </w:rPr>
        <w:t>Modifying the Exemption Orders is in the public interest.</w:t>
      </w:r>
      <w:bookmarkEnd w:id="15"/>
      <w:bookmarkEnd w:id="16"/>
    </w:p>
    <w:p>
      <w:pPr>
        <w:pStyle w:val="BodyText"/>
        <w:spacing w:after="320" w:line="320" w:lineRule="exact"/>
        <w:ind w:firstLine="720"/>
        <w:jc w:val="both"/>
        <w:rPr>
          <w:rFonts w:ascii="Palatino Linotype" w:hAnsi="Palatino Linotype"/>
          <w:kern w:val="16"/>
        </w:rPr>
      </w:pPr>
      <w:r>
        <w:rPr>
          <w:rFonts w:ascii="Palatino Linotype" w:hAnsi="Palatino Linotype"/>
          <w:kern w:val="16"/>
        </w:rPr>
        <w:t xml:space="preserve">The Amended Stipulation would modify the details of Columbia’s exemption for a term that will commence on April 1, 2013, and continue until March 31, 2018. There are benefits to be derived from continuing the current exemption agreement, with modifications. </w:t>
      </w:r>
    </w:p>
    <w:p>
      <w:pPr>
        <w:pStyle w:val="BodyText"/>
        <w:keepNext/>
        <w:numPr>
          <w:ilvl w:val="2"/>
          <w:numId w:val="49"/>
        </w:numPr>
        <w:spacing w:after="320" w:line="320" w:lineRule="exact"/>
        <w:ind w:left="2160" w:hanging="720"/>
        <w:jc w:val="both"/>
        <w:outlineLvl w:val="3"/>
        <w:rPr>
          <w:rFonts w:ascii="Palatino Linotype" w:hAnsi="Palatino Linotype"/>
          <w:b/>
          <w:kern w:val="16"/>
        </w:rPr>
      </w:pPr>
      <w:bookmarkStart w:id="17" w:name="_Toc342982203"/>
      <w:r>
        <w:rPr>
          <w:rFonts w:ascii="Palatino Linotype" w:hAnsi="Palatino Linotype"/>
          <w:b/>
          <w:kern w:val="16"/>
        </w:rPr>
        <w:t>Modifying Columbia’s capacity portfolio would permit Columbia to retain flexibility in a rapidly evolving marketplace.</w:t>
      </w:r>
      <w:bookmarkEnd w:id="17"/>
      <w:r>
        <w:rPr>
          <w:rFonts w:ascii="Palatino Linotype" w:hAnsi="Palatino Linotype"/>
          <w:b/>
          <w:kern w:val="16"/>
        </w:rPr>
        <w:t xml:space="preserve">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Currently, a majority of the gas that is consumed by Columbia’s customers originates in the Gulf Coast region and is transported by Columbia Gulf to Columbia Gas Transmission, LLC (“TCO”) and on TCO into Ohio. (Anderson Testimony at 8 (Columbia Ex. 4).) Maintaining the Columbia Gulf capacity gives Columbia flexibility, because there are multiple sources of supply and/or supply basis available to the Columbia Gulf system. (</w:t>
      </w:r>
      <w:r>
        <w:rPr>
          <w:rFonts w:ascii="Palatino Linotype" w:hAnsi="Palatino Linotype"/>
          <w:i/>
          <w:kern w:val="16"/>
        </w:rPr>
        <w:t>Id.</w:t>
      </w:r>
      <w:r>
        <w:rPr>
          <w:rFonts w:ascii="Palatino Linotype" w:hAnsi="Palatino Linotype"/>
          <w:kern w:val="16"/>
        </w:rPr>
        <w:t xml:space="preserve"> at 25.) Appalachian Basin shale gas cannot yet take the place of Columbia Gulf-delivered supplies, because, with limited exceptions, shale gas supplies do not physically flow on TCO’s system to a point where they can be delivered into the majority of Columbia’s markets, including injection into storage. (</w:t>
      </w:r>
      <w:r>
        <w:rPr>
          <w:rFonts w:ascii="Palatino Linotype" w:hAnsi="Palatino Linotype"/>
          <w:i/>
          <w:kern w:val="16"/>
        </w:rPr>
        <w:t>Id.</w:t>
      </w:r>
      <w:r>
        <w:rPr>
          <w:rFonts w:ascii="Palatino Linotype" w:hAnsi="Palatino Linotype"/>
          <w:kern w:val="16"/>
        </w:rPr>
        <w:t xml:space="preserve"> at 8.) At present, Columbia is aware of at least four pipeline projects that would move gas west from the Marcellus/Utica region, but none of them is considered a viable replacement to Columbia Gulf at this time. Two of the projects would have very limited city gate access to Columbia’s markets and be more expensive than present alternatives. (</w:t>
      </w:r>
      <w:r>
        <w:rPr>
          <w:rFonts w:ascii="Palatino Linotype" w:hAnsi="Palatino Linotype"/>
          <w:i/>
          <w:kern w:val="16"/>
        </w:rPr>
        <w:t>See id.</w:t>
      </w:r>
      <w:r>
        <w:rPr>
          <w:rFonts w:ascii="Palatino Linotype" w:hAnsi="Palatino Linotype"/>
          <w:kern w:val="16"/>
        </w:rPr>
        <w:t xml:space="preserve"> at 22.) The third project has been unable to obtain sufficient firm support to move forward, but would require additional downstream capacity to replace Columbia Gulf and has higher expected costs. (</w:t>
      </w:r>
      <w:r>
        <w:rPr>
          <w:rFonts w:ascii="Palatino Linotype" w:hAnsi="Palatino Linotype"/>
          <w:i/>
          <w:kern w:val="16"/>
        </w:rPr>
        <w:t>See id.</w:t>
      </w:r>
      <w:r>
        <w:rPr>
          <w:rFonts w:ascii="Palatino Linotype" w:hAnsi="Palatino Linotype"/>
          <w:kern w:val="16"/>
        </w:rPr>
        <w:t xml:space="preserve"> at 22-23.) The fourth project is very early in the routing stages, but it is limited to northern Ohio and has projected rates that are significantly higher than Columbia Gulf. (</w:t>
      </w:r>
      <w:r>
        <w:rPr>
          <w:rFonts w:ascii="Palatino Linotype" w:hAnsi="Palatino Linotype"/>
          <w:i/>
          <w:kern w:val="16"/>
        </w:rPr>
        <w:t>See id.</w:t>
      </w:r>
      <w:r>
        <w:rPr>
          <w:rFonts w:ascii="Palatino Linotype" w:hAnsi="Palatino Linotype"/>
          <w:kern w:val="16"/>
        </w:rPr>
        <w:t xml:space="preserve"> at 23.)</w:t>
      </w:r>
      <w:r>
        <w:rPr>
          <w:rStyle w:val="FootnoteReference"/>
          <w:rFonts w:ascii="Palatino Linotype" w:hAnsi="Palatino Linotype"/>
          <w:kern w:val="16"/>
        </w:rPr>
        <w:footnoteReference w:id="4"/>
      </w:r>
    </w:p>
    <w:p>
      <w:pPr>
        <w:pStyle w:val="BodyText"/>
        <w:spacing w:after="320" w:line="320" w:lineRule="exact"/>
        <w:ind w:firstLine="720"/>
        <w:jc w:val="both"/>
        <w:rPr>
          <w:rFonts w:ascii="Palatino Linotype" w:hAnsi="Palatino Linotype"/>
          <w:kern w:val="16"/>
        </w:rPr>
      </w:pPr>
      <w:r>
        <w:rPr>
          <w:rFonts w:ascii="Palatino Linotype" w:hAnsi="Palatino Linotype"/>
          <w:kern w:val="16"/>
        </w:rPr>
        <w:t>Consequently, consistent with the Amended Stipulation, Columbia provided Columbia Gulf with a contractually obligated notice of intent to renew its capacity contract with Columbia Gulf on or around September 30, 2012. Nonetheless, Columbia will reduce its Columbia Gulf contract capacity by 25% in April, 2016, as a means to test whether Appalachian Basin shale gas supplies can be relied upon to meet the physical needs of Columbia’s customers. (</w:t>
      </w:r>
      <w:r>
        <w:rPr>
          <w:rFonts w:ascii="Palatino Linotype" w:hAnsi="Palatino Linotype"/>
          <w:i/>
          <w:kern w:val="16"/>
        </w:rPr>
        <w:t>Id.</w:t>
      </w:r>
      <w:r>
        <w:rPr>
          <w:rFonts w:ascii="Palatino Linotype" w:hAnsi="Palatino Linotype"/>
          <w:kern w:val="16"/>
        </w:rPr>
        <w:t xml:space="preserve"> at 10.) It is in the public interest for the Commission to permit Columbia and its stakeholders to maintain flexibility, particularly with regard to interstate pipeline capacity, thus enabling Columbia to assess whether the ability to physically transport shale gas to its markets has developed. (</w:t>
      </w:r>
      <w:r>
        <w:rPr>
          <w:rFonts w:ascii="Palatino Linotype" w:hAnsi="Palatino Linotype"/>
          <w:i/>
          <w:kern w:val="16"/>
        </w:rPr>
        <w:t>Id.</w:t>
      </w:r>
      <w:r>
        <w:rPr>
          <w:rFonts w:ascii="Palatino Linotype" w:hAnsi="Palatino Linotype"/>
          <w:kern w:val="16"/>
        </w:rPr>
        <w:t xml:space="preserve"> at 19.)</w:t>
      </w:r>
    </w:p>
    <w:p>
      <w:pPr>
        <w:pStyle w:val="BodyText"/>
        <w:keepNext/>
        <w:numPr>
          <w:ilvl w:val="2"/>
          <w:numId w:val="49"/>
        </w:numPr>
        <w:spacing w:after="320" w:line="320" w:lineRule="exact"/>
        <w:ind w:left="2160" w:hanging="720"/>
        <w:jc w:val="both"/>
        <w:outlineLvl w:val="3"/>
        <w:rPr>
          <w:rFonts w:ascii="Palatino Linotype" w:hAnsi="Palatino Linotype"/>
          <w:b/>
          <w:kern w:val="16"/>
        </w:rPr>
      </w:pPr>
      <w:bookmarkStart w:id="18" w:name="_Toc342982204"/>
      <w:r>
        <w:rPr>
          <w:rFonts w:ascii="Palatino Linotype" w:hAnsi="Palatino Linotype"/>
          <w:b/>
          <w:kern w:val="16"/>
        </w:rPr>
        <w:t>Modifying the Balancing Fee would improve rate transparency.</w:t>
      </w:r>
      <w:bookmarkEnd w:id="18"/>
    </w:p>
    <w:p>
      <w:pPr>
        <w:pStyle w:val="BodyText"/>
        <w:spacing w:after="320" w:line="320" w:lineRule="exact"/>
        <w:ind w:firstLine="720"/>
        <w:jc w:val="both"/>
        <w:rPr>
          <w:rFonts w:ascii="Palatino Linotype" w:hAnsi="Palatino Linotype"/>
          <w:kern w:val="16"/>
        </w:rPr>
      </w:pPr>
      <w:r>
        <w:rPr>
          <w:rFonts w:ascii="Palatino Linotype" w:hAnsi="Palatino Linotype"/>
          <w:kern w:val="16"/>
        </w:rPr>
        <w:t>Modifying the Balancing Fee, which is currently charged to Suppliers (and potentially factored into Suppliers’ charged rates), to instead charge it directly to customers would make clearer suppliers’ actual costs for providing gas commodity service to customers. (</w:t>
      </w:r>
      <w:r>
        <w:rPr>
          <w:rFonts w:ascii="Palatino Linotype" w:hAnsi="Palatino Linotype"/>
          <w:i/>
          <w:kern w:val="16"/>
        </w:rPr>
        <w:t>Id.</w:t>
      </w:r>
      <w:r>
        <w:rPr>
          <w:rFonts w:ascii="Palatino Linotype" w:hAnsi="Palatino Linotype"/>
          <w:kern w:val="16"/>
        </w:rPr>
        <w:t xml:space="preserve"> at 17.) The Amended Stipulation’s prohibition against CHOICE suppliers charging rates that include the prior Balancing Fee, moreover, would ensure that this change will not result in any customer paying the Balancing Fee twice. (</w:t>
      </w:r>
      <w:r>
        <w:rPr>
          <w:rFonts w:ascii="Palatino Linotype" w:hAnsi="Palatino Linotype"/>
          <w:i/>
          <w:kern w:val="16"/>
        </w:rPr>
        <w:t xml:space="preserve">See </w:t>
      </w:r>
      <w:r>
        <w:rPr>
          <w:rFonts w:ascii="Palatino Linotype" w:hAnsi="Palatino Linotype"/>
          <w:kern w:val="16"/>
        </w:rPr>
        <w:t>Supp. Brown Testimony at 10 (Columbia Ex. 7).) CHOICE Suppliers who have the current Balancing Fee built into their rates would need to modify their contracts to avoid “double-billing” their customers for the Balancing Fee. (Vol. II, p. 46.)</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Some intervenors have questioned how the prohibition on “double-billing” the Balancing Fee will be enforced. The details for such enforcement must still be worked out. (Vol. II, pp. 47, 61-62.) As a practical matter, however, the SCO price will help ensure that the CHOICE Suppliers comply with their obligations. Because the Balancing Fee will no longer be charged to SCO suppliers as of April 1, 2013, the Retail Price Adjustment component of the SCO price will likely decrease. (</w:t>
      </w:r>
      <w:r>
        <w:rPr>
          <w:rFonts w:ascii="Palatino Linotype" w:hAnsi="Palatino Linotype"/>
          <w:i/>
          <w:kern w:val="16"/>
        </w:rPr>
        <w:t xml:space="preserve">See </w:t>
      </w:r>
      <w:r>
        <w:rPr>
          <w:rFonts w:ascii="Palatino Linotype" w:hAnsi="Palatino Linotype"/>
          <w:kern w:val="16"/>
        </w:rPr>
        <w:t>Anderson Testimony at 18 (Columbia Ex. 4).) This will provide a strong signal to CHOICE and Governmental Aggregation suppliers to reduce their prices to compete with the SCO auction or risk losing their customers. (</w:t>
      </w:r>
      <w:r>
        <w:rPr>
          <w:rFonts w:ascii="Palatino Linotype" w:hAnsi="Palatino Linotype"/>
          <w:i/>
          <w:kern w:val="16"/>
        </w:rPr>
        <w:t>Id.</w:t>
      </w:r>
      <w:r>
        <w:rPr>
          <w:rFonts w:ascii="Palatino Linotype" w:hAnsi="Palatino Linotype"/>
          <w:kern w:val="16"/>
        </w:rPr>
        <w:t>)</w:t>
      </w:r>
    </w:p>
    <w:p>
      <w:pPr>
        <w:pStyle w:val="BodyText"/>
        <w:keepNext/>
        <w:numPr>
          <w:ilvl w:val="0"/>
          <w:numId w:val="49"/>
        </w:numPr>
        <w:spacing w:after="320" w:line="320" w:lineRule="exact"/>
        <w:ind w:left="720" w:hanging="720"/>
        <w:jc w:val="both"/>
        <w:outlineLvl w:val="1"/>
        <w:rPr>
          <w:rFonts w:ascii="Palatino Linotype" w:hAnsi="Palatino Linotype"/>
          <w:b/>
          <w:kern w:val="16"/>
        </w:rPr>
      </w:pPr>
      <w:bookmarkStart w:id="19" w:name="_Toc342925495"/>
      <w:bookmarkStart w:id="20" w:name="_Toc342982205"/>
      <w:r>
        <w:rPr>
          <w:rFonts w:ascii="Palatino Linotype" w:hAnsi="Palatino Linotype"/>
          <w:b/>
          <w:kern w:val="16"/>
        </w:rPr>
        <w:t>The Commission Should Approve The Amended Stipulation.</w:t>
      </w:r>
      <w:bookmarkEnd w:id="19"/>
      <w:bookmarkEnd w:id="20"/>
    </w:p>
    <w:p>
      <w:pPr>
        <w:pStyle w:val="BodyText"/>
        <w:numPr>
          <w:ilvl w:val="1"/>
          <w:numId w:val="49"/>
        </w:numPr>
        <w:spacing w:after="320" w:line="320" w:lineRule="exact"/>
        <w:ind w:left="1440" w:hanging="720"/>
        <w:jc w:val="both"/>
        <w:outlineLvl w:val="2"/>
        <w:rPr>
          <w:rFonts w:ascii="Palatino Linotype" w:hAnsi="Palatino Linotype"/>
          <w:b/>
          <w:kern w:val="16"/>
        </w:rPr>
      </w:pPr>
      <w:bookmarkStart w:id="21" w:name="_Toc342925496"/>
      <w:bookmarkStart w:id="22" w:name="_Toc342982206"/>
      <w:r>
        <w:rPr>
          <w:rFonts w:ascii="Palatino Linotype" w:hAnsi="Palatino Linotype"/>
          <w:b/>
          <w:kern w:val="16"/>
        </w:rPr>
        <w:t>The Amended Stipulation is the result of serious bargaining among capable, knowledgeable parties.</w:t>
      </w:r>
      <w:bookmarkEnd w:id="21"/>
      <w:bookmarkEnd w:id="22"/>
    </w:p>
    <w:p>
      <w:pPr>
        <w:pStyle w:val="BodyText"/>
        <w:spacing w:after="320" w:line="320" w:lineRule="exact"/>
        <w:ind w:firstLine="720"/>
        <w:jc w:val="both"/>
        <w:rPr>
          <w:rFonts w:ascii="Palatino Linotype" w:hAnsi="Palatino Linotype" w:cs="PalatinoLinotype"/>
        </w:rPr>
      </w:pPr>
      <w:r>
        <w:rPr>
          <w:rFonts w:ascii="Palatino Linotype" w:hAnsi="Palatino Linotype" w:cs="PalatinoLinotype"/>
        </w:rPr>
        <w:t>The Stipulation is the product of an open process in which all parties were represented by able counsel and technical experts. Beginning in March, 2012, Columbia conducted a series of open meetings with its stakeholder group to discuss the status of its marketplace and the need for modification of the Exemption Orders. (Brown Testimony at 22 (Columbia Ex. 6).) Columbia’s Stakeholder Group is comprised of a large and diverse group of suppliers servicing Columbia’s Transportation Service customers, Competitive Retail Natural Gas Suppliers servicing Columbia’s CHOICE customers, SSO/SCO Suppliers, numerous municipalities, industrial and commercial customer groups, representatives of residential customers and the Staff of the Public Utilities Commission of Ohio. (</w:t>
      </w:r>
      <w:r>
        <w:rPr>
          <w:rFonts w:ascii="Palatino Linotype" w:hAnsi="Palatino Linotype" w:cs="PalatinoLinotype"/>
          <w:i/>
        </w:rPr>
        <w:t>Id.</w:t>
      </w:r>
      <w:r>
        <w:rPr>
          <w:rFonts w:ascii="Palatino Linotype" w:hAnsi="Palatino Linotype" w:cs="PalatinoLinotype"/>
        </w:rPr>
        <w:t>) Even though not all stakeholders agreed to the Stipulation, all those parties had ample opportunity to participate in the stakeholder meetings and negotiations that eventually resulted in the Amended Stipulation. (</w:t>
      </w:r>
      <w:r>
        <w:rPr>
          <w:rFonts w:ascii="Palatino Linotype" w:hAnsi="Palatino Linotype" w:cs="PalatinoLinotype"/>
          <w:i/>
        </w:rPr>
        <w:t>Id.</w:t>
      </w:r>
      <w:r>
        <w:rPr>
          <w:rFonts w:ascii="Palatino Linotype" w:hAnsi="Palatino Linotype" w:cs="PalatinoLinotype"/>
        </w:rPr>
        <w:t xml:space="preserve"> at 22-23.)</w:t>
      </w:r>
    </w:p>
    <w:p>
      <w:pPr>
        <w:pStyle w:val="BodyText"/>
        <w:spacing w:after="320" w:line="320" w:lineRule="exact"/>
        <w:ind w:firstLine="720"/>
        <w:jc w:val="both"/>
        <w:rPr>
          <w:rFonts w:ascii="Palatino Linotype" w:hAnsi="Palatino Linotype" w:cs="PalatinoLinotype"/>
        </w:rPr>
      </w:pPr>
      <w:r>
        <w:rPr>
          <w:rFonts w:ascii="Palatino Linotype" w:hAnsi="Palatino Linotype" w:cs="PalatinoLinotype"/>
        </w:rPr>
        <w:t>During the course of the spring and summer there were extensive discussions and negotiations. (</w:t>
      </w:r>
      <w:r>
        <w:rPr>
          <w:rFonts w:ascii="Palatino Linotype" w:hAnsi="Palatino Linotype" w:cs="PalatinoLinotype"/>
          <w:i/>
        </w:rPr>
        <w:t>Id.</w:t>
      </w:r>
      <w:r>
        <w:rPr>
          <w:rFonts w:ascii="Palatino Linotype" w:hAnsi="Palatino Linotype" w:cs="PalatinoLinotype"/>
        </w:rPr>
        <w:t xml:space="preserve"> at 22.) After the filing of the original Joint Motion in this proceeding on October 4, the Joint Movants continued to meet with representatives of the OCC to discuss the issues raised in that Motion. (Brown Supp. Testimony at 4 (Columbia Ex. 7).) After approximately seven weeks of additional negotiations, the Joint Movants and OCC were able to reach agreement on revisions to the Joint Stipulation that addressed many of OCC's concerns. (</w:t>
      </w:r>
      <w:r>
        <w:rPr>
          <w:rFonts w:ascii="Palatino Linotype" w:hAnsi="Palatino Linotype" w:cs="PalatinoLinotype"/>
          <w:i/>
        </w:rPr>
        <w:t>Id.</w:t>
      </w:r>
      <w:r>
        <w:rPr>
          <w:rFonts w:ascii="Palatino Linotype" w:hAnsi="Palatino Linotype" w:cs="PalatinoLinotype"/>
        </w:rPr>
        <w:t xml:space="preserve">) Accordingly, OCC joined and signed the Amended Stipulation filed on November 27, 2012.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For example, the proposed change in the manner in which Columbia charges its Balancing Fee (directly to customers, rather than to suppliers) came about through discussions with Commission Staff and OCC regarding the difference between the latest Retail Price Adjustment levels of Dominion East Ohio and Columbia. One of the two major factors that influenced the different Retail Price Adjustment levels was that Dominion East Ohio charged its balancing fee to customers. Consequently, Columbia proposed the change to bring its practice into line with the method used by Dominion East Ohio Gas as part of its auction process. (Anderson at 17-18 (Columbia Ex. 4).) As another example, the “trigger” for Columbia to exit the merchant function (participation by at least 70% of CHOICE-eligible non-residential customers for at least three consecutive months) was a compromise benchmark reached by the negotiating parties. (Vol. II, pp. 54-55.)</w:t>
      </w:r>
    </w:p>
    <w:p>
      <w:pPr>
        <w:pStyle w:val="BodyText"/>
        <w:spacing w:after="320" w:line="320" w:lineRule="exact"/>
        <w:ind w:firstLine="720"/>
        <w:jc w:val="both"/>
        <w:rPr>
          <w:rFonts w:ascii="Palatino Linotype" w:hAnsi="Palatino Linotype" w:cs="PalatinoLinotype"/>
        </w:rPr>
      </w:pPr>
      <w:r>
        <w:rPr>
          <w:rFonts w:ascii="Palatino Linotype" w:hAnsi="Palatino Linotype" w:cs="PalatinoLinotype"/>
        </w:rPr>
        <w:t xml:space="preserve">Each party to the Amended Stipulation regularly participates in rate proceedings and other regulatory matters before the Commission, and each party was represented by similarly experienced and competent counsel. (Brown Testimony at 23 (Columbia Ex. 6).) The signatory parties have adopted it as a reasonable resolution of all of the issues. The Stipulation recommended by the Parties for adoption and approval by the Commission is a fair, balanced and reasonable resolution of this proceeding.  </w:t>
      </w:r>
    </w:p>
    <w:p>
      <w:pPr>
        <w:pStyle w:val="BodyText"/>
        <w:numPr>
          <w:ilvl w:val="1"/>
          <w:numId w:val="49"/>
        </w:numPr>
        <w:spacing w:after="320" w:line="320" w:lineRule="exact"/>
        <w:ind w:left="1440" w:hanging="720"/>
        <w:jc w:val="both"/>
        <w:outlineLvl w:val="2"/>
        <w:rPr>
          <w:rFonts w:ascii="Palatino Linotype" w:hAnsi="Palatino Linotype"/>
          <w:b/>
          <w:kern w:val="16"/>
        </w:rPr>
      </w:pPr>
      <w:bookmarkStart w:id="23" w:name="_Toc342925497"/>
      <w:bookmarkStart w:id="24" w:name="_Toc342982207"/>
      <w:r>
        <w:rPr>
          <w:rFonts w:ascii="Palatino Linotype" w:hAnsi="Palatino Linotype"/>
          <w:b/>
          <w:kern w:val="16"/>
        </w:rPr>
        <w:t>The Amended Stipulation benefits ratepayers and the public interest.</w:t>
      </w:r>
      <w:bookmarkEnd w:id="23"/>
      <w:bookmarkEnd w:id="24"/>
    </w:p>
    <w:p>
      <w:pPr>
        <w:pStyle w:val="BodyText"/>
        <w:numPr>
          <w:ilvl w:val="2"/>
          <w:numId w:val="49"/>
        </w:numPr>
        <w:spacing w:after="320" w:line="320" w:lineRule="exact"/>
        <w:ind w:left="2160" w:hanging="720"/>
        <w:jc w:val="both"/>
        <w:outlineLvl w:val="3"/>
        <w:rPr>
          <w:rFonts w:ascii="Palatino Linotype" w:hAnsi="Palatino Linotype"/>
          <w:b/>
          <w:kern w:val="16"/>
        </w:rPr>
      </w:pPr>
      <w:bookmarkStart w:id="25" w:name="_Toc342982208"/>
      <w:r>
        <w:rPr>
          <w:rFonts w:ascii="Palatino Linotype" w:hAnsi="Palatino Linotype"/>
          <w:b/>
          <w:kern w:val="16"/>
        </w:rPr>
        <w:t>Supplier Security Agreements</w:t>
      </w:r>
      <w:bookmarkEnd w:id="25"/>
    </w:p>
    <w:p>
      <w:pPr>
        <w:pStyle w:val="BodyText"/>
        <w:spacing w:after="320" w:line="320" w:lineRule="exact"/>
        <w:ind w:firstLine="720"/>
        <w:jc w:val="both"/>
        <w:rPr>
          <w:rFonts w:ascii="Palatino Linotype" w:hAnsi="Palatino Linotype" w:cs="PalatinoLinotype"/>
        </w:rPr>
      </w:pPr>
      <w:r>
        <w:rPr>
          <w:rFonts w:ascii="Palatino Linotype" w:hAnsi="Palatino Linotype" w:cs="PalatinoLinotype"/>
        </w:rPr>
        <w:t>Under the Amended Stipulation, SCO Suppliers will be required to pro- vide Columbia with a cash deposit in the amount of $0.06 per Mcf multiplied by the initial estimated annual delivery requirements for the SCO Program Year of the tranches won by that SCO Supplier. (Am. Stip. at 4, §9 (Jt. Ex. 1).) The purpose of the security is to provide Columbia with a liquid account to meet any supply default expenses it incurs other than compensation to the non-defaulting SCO Suppliers. (</w:t>
      </w:r>
      <w:r>
        <w:rPr>
          <w:rFonts w:ascii="Palatino Linotype" w:hAnsi="Palatino Linotype" w:cs="PalatinoLinotype"/>
          <w:i/>
        </w:rPr>
        <w:t>Id.</w:t>
      </w:r>
      <w:r>
        <w:rPr>
          <w:rFonts w:ascii="Palatino Linotype" w:hAnsi="Palatino Linotype" w:cs="PalatinoLinotype"/>
        </w:rPr>
        <w:t xml:space="preserve">) </w:t>
      </w:r>
    </w:p>
    <w:p>
      <w:pPr>
        <w:pStyle w:val="BodyText"/>
        <w:spacing w:after="320" w:line="320" w:lineRule="exact"/>
        <w:ind w:firstLine="720"/>
        <w:jc w:val="both"/>
        <w:rPr>
          <w:rFonts w:ascii="Palatino Linotype" w:hAnsi="Palatino Linotype" w:cs="PalatinoLinotype"/>
        </w:rPr>
      </w:pPr>
      <w:r>
        <w:rPr>
          <w:rFonts w:ascii="Palatino Linotype" w:hAnsi="Palatino Linotype" w:cs="PalatinoLinotype"/>
        </w:rPr>
        <w:t>OPAE has suggested that Columbia could instead collect its costs associated with an SCO supplier default through the CSRR, if the CSRR mechanism were modified. (Vol. II, p. 49; Harper Testimony at 30 (OPAE Ex. 2).) Under that alternative, Columbia’s customers would pay those costs. Under the Amended Stipulation, however, each SCO supplier would pay a deposit to defray any such costs. And, any unused portion of that liquid deposit account would be credited to the CSRR at the end of each Program Year (Brown Testimony at 8 (Columbia Ex. 6)), where it would offset the costs of implementing the CHOICE education program, the pre-exit-the-merchant-function education programs, and the billing enhancements described in the Amended Stipulation. (</w:t>
      </w:r>
      <w:r>
        <w:rPr>
          <w:rFonts w:ascii="Palatino Linotype" w:hAnsi="Palatino Linotype" w:cs="PalatinoLinotype"/>
          <w:i/>
        </w:rPr>
        <w:t xml:space="preserve">See </w:t>
      </w:r>
      <w:r>
        <w:rPr>
          <w:rFonts w:ascii="Palatino Linotype" w:hAnsi="Palatino Linotype" w:cs="PalatinoLinotype"/>
        </w:rPr>
        <w:t>Am. Stip. at 16, §47 (Jt. Ex. 1).) Consequently, the security requirement proposed in the Amended Stipulation would provide greater benefits to ratepayers and the public than the alternative suggested by OPAE.</w:t>
      </w:r>
    </w:p>
    <w:p>
      <w:pPr>
        <w:pStyle w:val="BodyText"/>
        <w:numPr>
          <w:ilvl w:val="2"/>
          <w:numId w:val="49"/>
        </w:numPr>
        <w:spacing w:after="320" w:line="320" w:lineRule="exact"/>
        <w:ind w:left="2160" w:hanging="720"/>
        <w:jc w:val="both"/>
        <w:outlineLvl w:val="3"/>
        <w:rPr>
          <w:rFonts w:ascii="Palatino Linotype" w:hAnsi="Palatino Linotype"/>
          <w:b/>
          <w:kern w:val="16"/>
        </w:rPr>
      </w:pPr>
      <w:bookmarkStart w:id="26" w:name="_Toc342982209"/>
      <w:r>
        <w:rPr>
          <w:rFonts w:ascii="Palatino Linotype" w:hAnsi="Palatino Linotype"/>
          <w:b/>
          <w:kern w:val="16"/>
        </w:rPr>
        <w:t>Capacity Contracts</w:t>
      </w:r>
      <w:bookmarkEnd w:id="26"/>
    </w:p>
    <w:p>
      <w:pPr>
        <w:pStyle w:val="BodyText"/>
        <w:spacing w:after="320" w:line="320" w:lineRule="exact"/>
        <w:ind w:firstLine="720"/>
        <w:jc w:val="both"/>
        <w:rPr>
          <w:rFonts w:ascii="Palatino Linotype" w:hAnsi="Palatino Linotype" w:cs="PalatinoLinotype"/>
        </w:rPr>
      </w:pPr>
      <w:r>
        <w:rPr>
          <w:rFonts w:ascii="Palatino Linotype" w:hAnsi="Palatino Linotype" w:cs="PalatinoLinotype"/>
        </w:rPr>
        <w:t xml:space="preserve">Under the Amended Stipulation, Columbia will retain a combination of firm interstate and intrastate pipeline transportation and storage capacity and local gas supplies that in aggregate will provide firm city gate deliverability of 1,963,178 Dth as of April 1, 2013, reduced to 1,940,214 Dth effective November 1, 2013. (Am. Rev. Program Outline at 24, §18.A.1 (Columbia Ex. 2); </w:t>
      </w:r>
      <w:r>
        <w:rPr>
          <w:rFonts w:ascii="Palatino Linotype" w:hAnsi="Palatino Linotype" w:cs="PalatinoLinotype"/>
          <w:i/>
        </w:rPr>
        <w:t xml:space="preserve">see also </w:t>
      </w:r>
      <w:r>
        <w:rPr>
          <w:rFonts w:ascii="Palatino Linotype" w:hAnsi="Palatino Linotype" w:cs="PalatinoLinotype"/>
        </w:rPr>
        <w:t>Am. Stip. at 5, §11 (Jt. Ex. 1).)</w:t>
      </w:r>
    </w:p>
    <w:p>
      <w:pPr>
        <w:pStyle w:val="BodyText"/>
        <w:spacing w:after="320" w:line="320" w:lineRule="exact"/>
        <w:ind w:firstLine="720"/>
        <w:jc w:val="both"/>
        <w:rPr>
          <w:rFonts w:ascii="Palatino Linotype" w:hAnsi="Palatino Linotype" w:cs="PalatinoLinotype"/>
        </w:rPr>
      </w:pPr>
      <w:r>
        <w:rPr>
          <w:rFonts w:ascii="Palatino Linotype" w:hAnsi="Palatino Linotype" w:cs="PalatinoLinotype"/>
        </w:rPr>
        <w:t>Columbia has two categories of upstream interstate pipeline contracts. (Anderson Testimony at 24 (Columbia Ex. 4).) In the first category are the pipelines that deliver gas directly to Columbia’s city gates. (</w:t>
      </w:r>
      <w:r>
        <w:rPr>
          <w:rFonts w:ascii="Palatino Linotype" w:hAnsi="Palatino Linotype" w:cs="PalatinoLinotype"/>
          <w:i/>
        </w:rPr>
        <w:t>Id.</w:t>
      </w:r>
      <w:r>
        <w:rPr>
          <w:rFonts w:ascii="Palatino Linotype" w:hAnsi="Palatino Linotype" w:cs="PalatinoLinotype"/>
        </w:rPr>
        <w:t>) These include North Coast Gas Transmission, LLC (which serves the Parma, Findlay, Fostoria, Oberlin, and Norwalk markets), Panhandle Eastern Pipe Line Company (which serves the Maumee market), and TCO. (</w:t>
      </w:r>
      <w:r>
        <w:rPr>
          <w:rFonts w:ascii="Palatino Linotype" w:hAnsi="Palatino Linotype" w:cs="PalatinoLinotype"/>
          <w:i/>
        </w:rPr>
        <w:t>Id.</w:t>
      </w:r>
      <w:r>
        <w:rPr>
          <w:rFonts w:ascii="Palatino Linotype" w:hAnsi="Palatino Linotype" w:cs="PalatinoLinotype"/>
        </w:rPr>
        <w:t xml:space="preserve"> at 4, 24.) Columbia’s distribution network consists of several hundred, often isolated, distribution systems spread out over sixty counties throughout the State of Ohio. (</w:t>
      </w:r>
      <w:r>
        <w:rPr>
          <w:rFonts w:ascii="Palatino Linotype" w:hAnsi="Palatino Linotype" w:cs="PalatinoLinotype"/>
          <w:i/>
        </w:rPr>
        <w:t>Id.</w:t>
      </w:r>
      <w:r>
        <w:rPr>
          <w:rFonts w:ascii="Palatino Linotype" w:hAnsi="Palatino Linotype" w:cs="PalatinoLinotype"/>
        </w:rPr>
        <w:t xml:space="preserve"> at 2.) Columbia’s distribution systems are served by over 840 separate points of delivery from upstream interstate pipeline companies. (</w:t>
      </w:r>
      <w:r>
        <w:rPr>
          <w:rFonts w:ascii="Palatino Linotype" w:hAnsi="Palatino Linotype" w:cs="PalatinoLinotype"/>
          <w:i/>
        </w:rPr>
        <w:t>Id</w:t>
      </w:r>
      <w:r>
        <w:rPr>
          <w:rFonts w:ascii="Palatino Linotype" w:hAnsi="Palatino Linotype" w:cs="PalatinoLinotype"/>
        </w:rPr>
        <w:t>.) Columbia receives service through twelve Pipeline Scheduling Points. (</w:t>
      </w:r>
      <w:r>
        <w:rPr>
          <w:rFonts w:ascii="Palatino Linotype" w:hAnsi="Palatino Linotype" w:cs="PalatinoLinotype"/>
          <w:i/>
        </w:rPr>
        <w:t>Id.</w:t>
      </w:r>
      <w:r>
        <w:rPr>
          <w:rFonts w:ascii="Palatino Linotype" w:hAnsi="Palatino Linotype" w:cs="PalatinoLinotype"/>
        </w:rPr>
        <w:t xml:space="preserve">) </w:t>
      </w:r>
    </w:p>
    <w:p>
      <w:pPr>
        <w:pStyle w:val="BodyText"/>
        <w:spacing w:after="320" w:line="320" w:lineRule="exact"/>
        <w:ind w:firstLine="720"/>
        <w:jc w:val="both"/>
        <w:rPr>
          <w:rFonts w:ascii="Palatino Linotype" w:hAnsi="Palatino Linotype" w:cs="PalatinoLinotype"/>
        </w:rPr>
      </w:pPr>
      <w:r>
        <w:rPr>
          <w:rFonts w:ascii="Palatino Linotype" w:hAnsi="Palatino Linotype" w:cs="PalatinoLinotype"/>
        </w:rPr>
        <w:t>Under the Amended Stipulation, Columbia will renew its Panhandle and TCO capacity contracts through March 31, 2018. (</w:t>
      </w:r>
      <w:r>
        <w:rPr>
          <w:rFonts w:ascii="Palatino Linotype" w:hAnsi="Palatino Linotype" w:cs="PalatinoLinotype"/>
          <w:i/>
        </w:rPr>
        <w:t xml:space="preserve">See </w:t>
      </w:r>
      <w:r>
        <w:rPr>
          <w:rFonts w:ascii="Palatino Linotype" w:hAnsi="Palatino Linotype" w:cs="PalatinoLinotype"/>
        </w:rPr>
        <w:t xml:space="preserve">Am. Stip. at 5, §14 (Jt. Ex. 1); Vol. II, p. 29.) A major influence for renewing the TCO contract was the desire for consistency, i.e., the suppliers’ desire to know what they were going to be receiving for the next five years. (Vol. II, p. 30.) Additionally, </w:t>
      </w:r>
      <w:r>
        <w:rPr>
          <w:rFonts w:ascii="Palatino Linotype" w:hAnsi="Palatino Linotype"/>
          <w:kern w:val="16"/>
        </w:rPr>
        <w:t>Columbia’s distribution network is integrated with TCO’s pipeline. The vast majority of Columbia’s distribution systems are connected to TCO, and the vast majority of those distribution systems have no alternative pipeline options. (Anderson Testimony</w:t>
      </w:r>
      <w:r>
        <w:rPr>
          <w:rFonts w:ascii="Palatino Linotype" w:hAnsi="Palatino Linotype"/>
          <w:i/>
          <w:kern w:val="16"/>
        </w:rPr>
        <w:t xml:space="preserve"> </w:t>
      </w:r>
      <w:r>
        <w:rPr>
          <w:rFonts w:ascii="Palatino Linotype" w:hAnsi="Palatino Linotype"/>
          <w:kern w:val="16"/>
        </w:rPr>
        <w:t>at 3 (Columbia Ex. 4).) Given the large number of points of delivery, the diverse service territory, and the temperature-sensitive demand of the vast majority of customers that Columbia contracts for capacity to serve, TCO provides the most efficient, cost-effective capacity. (</w:t>
      </w:r>
      <w:r>
        <w:rPr>
          <w:rFonts w:ascii="Palatino Linotype" w:hAnsi="Palatino Linotype"/>
          <w:i/>
          <w:kern w:val="16"/>
        </w:rPr>
        <w:t>Id.</w:t>
      </w:r>
      <w:r>
        <w:rPr>
          <w:rFonts w:ascii="Palatino Linotype" w:hAnsi="Palatino Linotype"/>
          <w:kern w:val="16"/>
        </w:rPr>
        <w:t xml:space="preserve"> at 5.) </w:t>
      </w:r>
      <w:r>
        <w:rPr>
          <w:rFonts w:ascii="Palatino Linotype" w:hAnsi="Palatino Linotype" w:cs="PalatinoLinotype"/>
        </w:rPr>
        <w:t xml:space="preserve">Columbia is terminating, however, </w:t>
      </w:r>
      <w:r>
        <w:rPr>
          <w:rFonts w:ascii="Palatino Linotype" w:hAnsi="Palatino Linotype" w:cs="Palatino Linotype"/>
        </w:rPr>
        <w:t>22,964 Dth/day of North Coast transportation capacity and 23,255 Dth/day of associated transportation capacity from the Crossroads Pipeline Company when those respective contracts expire October 31, 2013. (Am. Stip. at 5, ¶14 (Jt. Ex. 1); Anderson Testimony at 10 (Columbia Ex. 4).) Columbia is terminating or reducing these capacity volumes primarily to bring Columbia’s city gate capacity portfolio in line with its design peak day forecast and because other capacity exists in the same markets that costs less. (Anderson Testimony at 10 (Columbia Ex. 4).)</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Linotype"/>
        </w:rPr>
        <w:t>In the second category of upstream interstate pipeline contracts are the pipelines that deliver gas to the pipelines in the first category. These pipelines providing “</w:t>
      </w:r>
      <w:r>
        <w:rPr>
          <w:rFonts w:ascii="Palatino Linotype" w:hAnsi="Palatino Linotype" w:cs="Palatino Linotype"/>
        </w:rPr>
        <w:t xml:space="preserve">capacity upstream of city gate” </w:t>
      </w:r>
      <w:r>
        <w:rPr>
          <w:rFonts w:ascii="Palatino Linotype" w:hAnsi="Palatino Linotype" w:cs="PalatinoLinotype"/>
        </w:rPr>
        <w:t>are Columbia Gulf, Tennessee Gas Pipeline Company, Crossroads Pipeline Company and Trunkline. (</w:t>
      </w:r>
      <w:r>
        <w:rPr>
          <w:rFonts w:ascii="Palatino Linotype" w:hAnsi="Palatino Linotype" w:cs="PalatinoLinotype"/>
          <w:i/>
        </w:rPr>
        <w:t>Id.</w:t>
      </w:r>
      <w:r>
        <w:rPr>
          <w:rFonts w:ascii="Palatino Linotype" w:hAnsi="Palatino Linotype" w:cs="PalatinoLinotype"/>
        </w:rPr>
        <w:t xml:space="preserve">) </w:t>
      </w:r>
      <w:r>
        <w:rPr>
          <w:rFonts w:ascii="Palatino Linotype" w:hAnsi="Palatino Linotype" w:cs="Palatino Linotype"/>
        </w:rPr>
        <w:t xml:space="preserve">Columbia will renew the Tennessee Gas Pipeline and Trunkline contracts through March 31, 2018. (Am. Rev. Program Outline at 25, §18.B (Columbia Ex. 2).) And, as discussed above, Columbia provided Columbia Gulf with a contractually-obligated notice of intent to renew its existing Columbia Gulf Firm Transportation Service contracts through March 31, 2018, reducing its contracted capacity level by 25% for the last two years (Am. Stip. at 5, ¶14 (Jt. Ex. 1)), to give Columbia the flexibility </w:t>
      </w:r>
      <w:r>
        <w:rPr>
          <w:rFonts w:ascii="Palatino Linotype" w:hAnsi="Palatino Linotype"/>
          <w:kern w:val="16"/>
        </w:rPr>
        <w:t>to see whether Appalachian Basin shale gas supplies can be relied upon to meet the physical needs of Columbia’s customers. (Anderson Testimony at 10 (Columbia Ex. 4).)</w:t>
      </w:r>
      <w:r>
        <w:rPr>
          <w:rFonts w:ascii="Palatino Linotype" w:hAnsi="Palatino Linotype" w:cs="Palatino Linotype"/>
        </w:rPr>
        <w:t xml:space="preserve"> The gas supplies delivered by Columbia Gulf and Tennessee Gas Pipeline are critical to Columbia’s ability to provide reliable service to its firm customers (</w:t>
      </w:r>
      <w:r>
        <w:rPr>
          <w:rFonts w:ascii="Palatino Linotype" w:hAnsi="Palatino Linotype" w:cs="Palatino Linotype"/>
          <w:i/>
        </w:rPr>
        <w:t>Id.</w:t>
      </w:r>
      <w:r>
        <w:rPr>
          <w:rFonts w:ascii="Palatino Linotype" w:hAnsi="Palatino Linotype" w:cs="Palatino Linotype"/>
        </w:rPr>
        <w:t xml:space="preserve"> at 24-25), i.e., residential customers and those small commercial and industrial customers who do not qualify for, or chose not to take service under, Columbia’s Transportation Service program (</w:t>
      </w:r>
      <w:r>
        <w:rPr>
          <w:rFonts w:ascii="Palatino Linotype" w:hAnsi="Palatino Linotype" w:cs="Palatino Linotype"/>
          <w:i/>
        </w:rPr>
        <w:t>id.</w:t>
      </w:r>
      <w:r>
        <w:rPr>
          <w:rFonts w:ascii="Palatino Linotype" w:hAnsi="Palatino Linotype" w:cs="Palatino Linotype"/>
        </w:rPr>
        <w:t xml:space="preserve"> at 11-12).</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Linotype"/>
        </w:rPr>
        <w:t>Columbia also has a separate category of non-pipeline capacity resources. (Anderson Testimony at 4 (Columbia Ex. 4).) Columbia has a peaking contract provided by J. P. Morgan Ventures Energy Corporation, which provides service to Columbia’s Parma market; a full requirements contract with Gatherco, Inc., which serves numerous Columbia markets; local gas supply contracts with Producer’s Gas Sales, Inc., which serve portions of Columbia’s markets in Coshocton, Zanesville and Newark; and numerous local gas contracts with small gas producers. (</w:t>
      </w:r>
      <w:r>
        <w:rPr>
          <w:rFonts w:ascii="Palatino Linotype" w:hAnsi="Palatino Linotype" w:cs="PalatinoLinotype"/>
          <w:i/>
        </w:rPr>
        <w:t>Id.</w:t>
      </w:r>
      <w:r>
        <w:rPr>
          <w:rFonts w:ascii="Palatino Linotype" w:hAnsi="Palatino Linotype" w:cs="PalatinoLinotype"/>
        </w:rPr>
        <w:t xml:space="preserve">) Columbia is not renewing the peaking contract. (Am. Stip. at 5, §14 (Jt. Ex. 1); Anderson Testimony at 10 (Columbia Ex. 4).) Again, Columbia is doing this to </w:t>
      </w:r>
      <w:r>
        <w:rPr>
          <w:rFonts w:ascii="Palatino Linotype" w:hAnsi="Palatino Linotype" w:cs="Palatino Linotype"/>
        </w:rPr>
        <w:t>bring Columbia’s city gate capacity portfolio in line with its design peak day forecast and because other capacity exists in these same markets that costs less. (Anderson Testimony at 10 (Columbia Ex. 4).)</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OPAE complained, in its Initial Comments, that Columbia is executing “long-term contracts with its own affiliates for capacity that may well be unnecessary if local shale gas production matches expectations.” (OPAE Initial Cmts. at 16 (OPAE Ex. 1).) Columbia disagrees that a five-year period is considered “long-term” for interstate pipeline capacity contracts. (Anderson Testimony at 25 (Columbia Ex. 4).) Regardless, as discussed above, local shale gas production is not yet in a position to meet Columbia’s needs. OPAE has not  specified the amount of pipeline capacity purchased from a Columbia affiliate that it believes “may * * * be unnecessary.” Indeed, OPAE offered no witness testimony to support its criticisms at all.</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 xml:space="preserve">Similarly, OPAE complained that Columbia’s renewal of its capacity contracts would “choke off the use of shale gas at a time when state policy is to promote markets for that commodity.” (OPAE Initial Cmts. at 11 (OPAE Ex. 1).) But, again, OPAE offered no testimony or other evidence to support that assertion. Columbia’s witness, Michael Anderson, testified that Columbia’s renewal of its interstate pipeline contracts would have no perceptible impact on the development of shale resources in Ohio. (Anderson Testimony at 26 (Columbia Ex. 4).) </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In short, Columbia’s capacity portfolio is designed to meet its customers’ needs in the most efficient, cost-effective manner possible, while providing Columbia with the flexibility to respond to developments of new pipeline capacity in the Appalachian Basin as they arise. Columbia’s modifications to its city gate capacity portfolio for the next five years are designed to bring that portfolio in line with its design peak day forecast and because Columbia has other, cheaper capacity options in the relevant markets. Columbia’s capacity contracts therefore benefit ratepayers and the public.</w:t>
      </w:r>
    </w:p>
    <w:p>
      <w:pPr>
        <w:pStyle w:val="BodyText"/>
        <w:keepNext/>
        <w:numPr>
          <w:ilvl w:val="2"/>
          <w:numId w:val="49"/>
        </w:numPr>
        <w:spacing w:after="320" w:line="320" w:lineRule="exact"/>
        <w:ind w:left="2160" w:hanging="720"/>
        <w:jc w:val="both"/>
        <w:outlineLvl w:val="3"/>
        <w:rPr>
          <w:rFonts w:ascii="Palatino Linotype" w:hAnsi="Palatino Linotype"/>
          <w:b/>
          <w:kern w:val="16"/>
        </w:rPr>
      </w:pPr>
      <w:bookmarkStart w:id="27" w:name="_Toc342982210"/>
      <w:r>
        <w:rPr>
          <w:rFonts w:ascii="Palatino Linotype" w:hAnsi="Palatino Linotype"/>
          <w:b/>
          <w:kern w:val="16"/>
        </w:rPr>
        <w:t>Capacity Allocation</w:t>
      </w:r>
      <w:bookmarkEnd w:id="27"/>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After Columbia retains enough storage to provide system balancing services for the CHOICE and SCO suppliers, Columbia’s assigns a “slice of the pie” to all CHOICE and SCO suppliers on a “level playing field” basis. (Anderson Testimony at 13 (Columbia Ex. 4).) In other words, Columbia assigns Firm Transportation Service and storage capacity on an equal percent of design peak day demand basis across Columbia’s twelve Pipeline Scheduling Points. (</w:t>
      </w:r>
      <w:r>
        <w:rPr>
          <w:rFonts w:ascii="Palatino Linotype" w:hAnsi="Palatino Linotype" w:cs="Palatino Linotype"/>
          <w:i/>
        </w:rPr>
        <w:t>Id.</w:t>
      </w:r>
      <w:r>
        <w:rPr>
          <w:rFonts w:ascii="Palatino Linotype" w:hAnsi="Palatino Linotype" w:cs="Palatino Linotype"/>
        </w:rPr>
        <w:t>) Additionally, Columbia assigns a “slice of the pie” within each Pipeline Scheduling Point. (</w:t>
      </w:r>
      <w:r>
        <w:rPr>
          <w:rFonts w:ascii="Palatino Linotype" w:hAnsi="Palatino Linotype" w:cs="Palatino Linotype"/>
          <w:i/>
        </w:rPr>
        <w:t>Id.</w:t>
      </w:r>
      <w:r>
        <w:rPr>
          <w:rFonts w:ascii="Palatino Linotype" w:hAnsi="Palatino Linotype" w:cs="Palatino Linotype"/>
        </w:rPr>
        <w:t xml:space="preserve"> at 13-14.) For example, suppliers in the Toledo Pipeline Scheduling Point are assigned a percentage of storage and Firm Transportation Service identical to that assigned to suppliers in the Columbus Pipeline Scheduling Point (although suppliers at different Pipeline Scheduling Points receive capacity from different pipeline companies). (</w:t>
      </w:r>
      <w:r>
        <w:rPr>
          <w:rFonts w:ascii="Palatino Linotype" w:hAnsi="Palatino Linotype" w:cs="Palatino Linotype"/>
          <w:i/>
        </w:rPr>
        <w:t>Id.</w:t>
      </w:r>
      <w:r>
        <w:rPr>
          <w:rFonts w:ascii="Palatino Linotype" w:hAnsi="Palatino Linotype" w:cs="Palatino Linotype"/>
        </w:rPr>
        <w:t xml:space="preserve"> at 14.) This process is designed to maximize assignment to CHOICE and SCO suppliers. (</w:t>
      </w:r>
      <w:r>
        <w:rPr>
          <w:rFonts w:ascii="Palatino Linotype" w:hAnsi="Palatino Linotype" w:cs="Palatino Linotype"/>
          <w:i/>
        </w:rPr>
        <w:t>Id.</w:t>
      </w:r>
      <w:r>
        <w:rPr>
          <w:rFonts w:ascii="Palatino Linotype" w:hAnsi="Palatino Linotype" w:cs="Palatino Linotype"/>
        </w:rPr>
        <w:t>)</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There is some capacity Columbia is not able to assign to suppliers as part of this process. (</w:t>
      </w:r>
      <w:r>
        <w:rPr>
          <w:rFonts w:ascii="Palatino Linotype" w:hAnsi="Palatino Linotype" w:cs="Palatino Linotype"/>
          <w:i/>
        </w:rPr>
        <w:t xml:space="preserve">See id. </w:t>
      </w:r>
      <w:r>
        <w:rPr>
          <w:rFonts w:ascii="Palatino Linotype" w:hAnsi="Palatino Linotype" w:cs="Palatino Linotype"/>
        </w:rPr>
        <w:t>at 14, 15.) Columbia incorporates that capacity into the peaking service Columbia provides to CHOICE and SCO suppliers. (</w:t>
      </w:r>
      <w:r>
        <w:rPr>
          <w:rFonts w:ascii="Palatino Linotype" w:hAnsi="Palatino Linotype" w:cs="Palatino Linotype"/>
          <w:i/>
        </w:rPr>
        <w:t xml:space="preserve">Id. </w:t>
      </w:r>
      <w:r>
        <w:rPr>
          <w:rFonts w:ascii="Palatino Linotype" w:hAnsi="Palatino Linotype" w:cs="Palatino Linotype"/>
        </w:rPr>
        <w:t>at 14.) Columbia also uses it to supplement supplier-provided supplies as needed to maintain system reliability. (</w:t>
      </w:r>
      <w:r>
        <w:rPr>
          <w:rFonts w:ascii="Palatino Linotype" w:hAnsi="Palatino Linotype" w:cs="Palatino Linotype"/>
          <w:i/>
        </w:rPr>
        <w:t>Id.</w:t>
      </w:r>
      <w:r>
        <w:rPr>
          <w:rFonts w:ascii="Palatino Linotype" w:hAnsi="Palatino Linotype" w:cs="Palatino Linotype"/>
        </w:rPr>
        <w:t>) For example, if the supply requirement to meet the firm delivery obligations in an area of Columbia’s service territory exceeded the aggregate minimum delivery requirements for CHOICE and SCO suppliers in that area, Columbia would provide additional supplies via the retained capacity in order to assure system reliability in that area. (</w:t>
      </w:r>
      <w:r>
        <w:rPr>
          <w:rFonts w:ascii="Palatino Linotype" w:hAnsi="Palatino Linotype" w:cs="Palatino Linotype"/>
          <w:i/>
        </w:rPr>
        <w:t>See id.</w:t>
      </w:r>
      <w:r>
        <w:rPr>
          <w:rFonts w:ascii="Palatino Linotype" w:hAnsi="Palatino Linotype" w:cs="Palatino Linotype"/>
        </w:rPr>
        <w:t xml:space="preserve"> at 14-15.)</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OPAE has argued that the “level playing field” approach to capacity allocation is anti-competitive because it prevents marketers from competing on balancing costs and transportation pricing. OPAE asserts: “The price customers pay for competitive natural gas service is based on the price of the commodity and transportation (and balancing fees). Eliminating competition for pipeline fees limits competition.” (OPAE Initial Cmts. at 12 (OPAE Ex. 1).) This is incorrect for multiple reasons: it fails to recognize the complexity of Columbia’s markets; it fails to recognize the need to assure reliable service; it reflects the mistaken belief that shale supplies can replace firm capacity rights; and, it reflects the misconception that alternative balancing services exist. Suppliers are free to use the capacity Columbia assigns to them however they see fit. They could use an alternative to the capacity they purchase from Columbia to deliver gas to Ohio end-use customers. (Vol. II, pp. 26-27.)</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Regardless, Columbia’s assignment mechanism provides numerous benefits that outweigh any theoretical anti-competitive effects. It maintains service reliability for Columbia’s customers. (Anderson Testimony at 15 (Columbia Ex. 4).) It provides a consistent and level playing field between CHOICE and SCO suppliers. (</w:t>
      </w:r>
      <w:r>
        <w:rPr>
          <w:rFonts w:ascii="Palatino Linotype" w:hAnsi="Palatino Linotype" w:cs="Palatino Linotype"/>
          <w:i/>
        </w:rPr>
        <w:t>Id.</w:t>
      </w:r>
      <w:r>
        <w:rPr>
          <w:rFonts w:ascii="Palatino Linotype" w:hAnsi="Palatino Linotype" w:cs="Palatino Linotype"/>
        </w:rPr>
        <w:t>) It minimizes operational complexities and creates stability and certainty for all market participants. (</w:t>
      </w:r>
      <w:r>
        <w:rPr>
          <w:rFonts w:ascii="Palatino Linotype" w:hAnsi="Palatino Linotype" w:cs="Palatino Linotype"/>
          <w:i/>
        </w:rPr>
        <w:t>Id.</w:t>
      </w:r>
      <w:r>
        <w:rPr>
          <w:rFonts w:ascii="Palatino Linotype" w:hAnsi="Palatino Linotype" w:cs="Palatino Linotype"/>
        </w:rPr>
        <w:t>) Because Columbia assigns suppliers capacity that matches the suppliers’ customer groups’ needs, those suppliers (particularly SCO suppliers, who do not know how many customers they will have month to month) do not have to go out and acquire capacity they may not ultimately need. Having Columbia assign capacity largely eliminates this uncertainty and thereby minimizes costs to customers, particularly SCO customers. (</w:t>
      </w:r>
      <w:r>
        <w:rPr>
          <w:rFonts w:ascii="Palatino Linotype" w:hAnsi="Palatino Linotype" w:cs="Palatino Linotype"/>
          <w:i/>
        </w:rPr>
        <w:t>Id.</w:t>
      </w:r>
      <w:r>
        <w:rPr>
          <w:rFonts w:ascii="Palatino Linotype" w:hAnsi="Palatino Linotype" w:cs="Palatino Linotype"/>
        </w:rPr>
        <w:t xml:space="preserve"> at 30.) And, by assigning capacity to suppliers, Columbia lowers barriers to entry for potential new suppliers. (</w:t>
      </w:r>
      <w:r>
        <w:rPr>
          <w:rFonts w:ascii="Palatino Linotype" w:hAnsi="Palatino Linotype" w:cs="Palatino Linotype"/>
          <w:i/>
        </w:rPr>
        <w:t>Id.</w:t>
      </w:r>
      <w:r>
        <w:rPr>
          <w:rFonts w:ascii="Palatino Linotype" w:hAnsi="Palatino Linotype" w:cs="Palatino Linotype"/>
        </w:rPr>
        <w:t xml:space="preserve"> at 15.) Columbia’s capacity allocation methodology therefore provides a variety of benefits to ratepayers and the public. </w:t>
      </w:r>
    </w:p>
    <w:p>
      <w:pPr>
        <w:pStyle w:val="BodyText"/>
        <w:keepNext/>
        <w:numPr>
          <w:ilvl w:val="2"/>
          <w:numId w:val="49"/>
        </w:numPr>
        <w:spacing w:after="320" w:line="320" w:lineRule="exact"/>
        <w:ind w:left="2160" w:hanging="720"/>
        <w:jc w:val="both"/>
        <w:outlineLvl w:val="3"/>
        <w:rPr>
          <w:rFonts w:ascii="Palatino Linotype" w:hAnsi="Palatino Linotype"/>
          <w:b/>
          <w:kern w:val="16"/>
        </w:rPr>
      </w:pPr>
      <w:bookmarkStart w:id="28" w:name="_Toc342982211"/>
      <w:r>
        <w:rPr>
          <w:rFonts w:ascii="Palatino Linotype" w:hAnsi="Palatino Linotype"/>
          <w:b/>
          <w:kern w:val="16"/>
        </w:rPr>
        <w:t>Off-System Sales and Capacity Release</w:t>
      </w:r>
      <w:bookmarkEnd w:id="28"/>
    </w:p>
    <w:p>
      <w:pPr>
        <w:pStyle w:val="BodyText"/>
        <w:spacing w:after="320" w:line="320" w:lineRule="exact"/>
        <w:ind w:firstLine="720"/>
        <w:jc w:val="both"/>
        <w:rPr>
          <w:rFonts w:ascii="Palatino Linotype" w:hAnsi="Palatino Linotype"/>
          <w:kern w:val="16"/>
        </w:rPr>
      </w:pPr>
      <w:r>
        <w:rPr>
          <w:rFonts w:ascii="Palatino Linotype" w:hAnsi="Palatino Linotype"/>
          <w:kern w:val="16"/>
        </w:rPr>
        <w:t>Once Columbia has assured service reliability to its firm customers, Columbia’s traders identify opportunities for off-system sales using the available capacity and gas supply resources and make contacts with Columbia’s industry trading partners to determine if interest exists to execute a transaction. (Anderson Testimony at 27 (Columbia Ex. 4).) Similarly, each month Columbia analyzes what transportation capacity may be needed to assure service reliability to its firm customers. (</w:t>
      </w:r>
      <w:r>
        <w:rPr>
          <w:rFonts w:ascii="Palatino Linotype" w:hAnsi="Palatino Linotype"/>
          <w:i/>
          <w:kern w:val="16"/>
        </w:rPr>
        <w:t>Id.</w:t>
      </w:r>
      <w:r>
        <w:rPr>
          <w:rFonts w:ascii="Palatino Linotype" w:hAnsi="Palatino Linotype"/>
          <w:kern w:val="16"/>
        </w:rPr>
        <w:t>) Once that level of capacity has been determined, Columbia solicits bids with potential buyers of capacity available for temporary release. (</w:t>
      </w:r>
      <w:r>
        <w:rPr>
          <w:rFonts w:ascii="Palatino Linotype" w:hAnsi="Palatino Linotype"/>
          <w:i/>
          <w:kern w:val="16"/>
        </w:rPr>
        <w:t>Id.</w:t>
      </w:r>
      <w:r>
        <w:rPr>
          <w:rFonts w:ascii="Palatino Linotype" w:hAnsi="Palatino Linotype"/>
          <w:kern w:val="16"/>
        </w:rPr>
        <w:t>) If acceptable bids are forwarded, Columbia releases the capacity through the capacity release process approved by FERC for each interstate pipeline. (</w:t>
      </w:r>
      <w:r>
        <w:rPr>
          <w:rFonts w:ascii="Palatino Linotype" w:hAnsi="Palatino Linotype"/>
          <w:i/>
          <w:kern w:val="16"/>
        </w:rPr>
        <w:t>Id.</w:t>
      </w:r>
      <w:r>
        <w:rPr>
          <w:rFonts w:ascii="Palatino Linotype" w:hAnsi="Palatino Linotype"/>
          <w:kern w:val="16"/>
        </w:rPr>
        <w:t>) And, through t</w:t>
      </w:r>
      <w:r>
        <w:rPr>
          <w:rFonts w:ascii="Palatino Linotype" w:hAnsi="Palatino Linotype" w:cs="Palatino Linotype"/>
        </w:rPr>
        <w:t>he off-system sales and capacity release revenue sharing mechanism provisions of the Amended Stipulations, Columbia will continue to share the revenues from these off-system sales and releases of capacity.</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Under the revenue sharing mechanism that is currently in place, Columbia retains 100% of the revenue from the first $2 million of off-system sales each year, 50% of the revenue from the next $18 million of off-system sales each year, and 25% of the revenue from off-system sales over $20 million each year. The remaining revenue is shared with Columbia’s customers, as a credit to Columbia’s CSRR. The 2009 Stipulation also imposes a $20 million annual cap and a $42 million cumulative cap (which works out to an average of $14 million per year for the three-year term of the 2009 Stipulation) on Columbia’s share of the revenues. Again, any revenues over the caps is shared with customers through the CSRR. (</w:t>
      </w:r>
      <w:r>
        <w:rPr>
          <w:rFonts w:ascii="Palatino Linotype" w:hAnsi="Palatino Linotype" w:cs="Palatino Linotype"/>
          <w:i/>
        </w:rPr>
        <w:t xml:space="preserve">See </w:t>
      </w:r>
      <w:r>
        <w:rPr>
          <w:rFonts w:ascii="Palatino Linotype" w:hAnsi="Palatino Linotype" w:cs="Palatino Linotype"/>
        </w:rPr>
        <w:t>2009 Stipulation at 14.)</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 xml:space="preserve">Under the revised off-system sales and capacity release revenue sharing mechanism in the Amended Stipulation, however, Columbia would retain only 50% of the revenue from the first $1 million of off-system sales each year, 100% of the revenue from the next $1 million of off-system sales each year, and 50% of the revenue from the next $25 million of off-system sales each year. The remaining revenue would be shared with Columbia’s customers, as a credit to Columbia’s CSRR. Thus, under the Amended Stipulation, customers would see an immediate credit to the CSRR with Columbia’s first off-system sale. The Amended Stipulation would also impose a much lower, $14 million annual cap ($6 million less than the current mechanism) and a $55 million cumulative cap (which works out to an average of only $11 million per year, $3 million per year less than the current sharing mechanism, for the five-year term of the Amended Stipulation) on Columbia’s share of the revenue. And, again, any revenues over the caps would be shared with customers through the CSRR. (Am. Stip. at 6, ¶18 (Jt. Ex. 1.) Thus, the changes to the off-system sales and capacity release revenue mechanism should provide benefits to ratepayers. </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 xml:space="preserve">OPAE has suggested that Columbia should not receive any of the revenues from off-system sales or capacity release, describing the sharing mechanism as “unjust enrichment” derived from selling “excess capacity” “paid for by customers.” (OPAE Initial Cmts. at 11 (OPAE Ex. 1).) These criticisms are off-base for several reasons.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First, the capacity that Columbia sells off-system is not “excess capacity.” (Anderson Testimony at 29 (Columbia Ex. 4).) Columbia does not have excess capacity. All the capacity in Columbia’s capacity portfolio is needed to meet projected demands. (</w:t>
      </w:r>
      <w:r>
        <w:rPr>
          <w:rFonts w:ascii="Palatino Linotype" w:hAnsi="Palatino Linotype"/>
          <w:i/>
          <w:kern w:val="16"/>
        </w:rPr>
        <w:t>Id.</w:t>
      </w:r>
      <w:r>
        <w:rPr>
          <w:rFonts w:ascii="Palatino Linotype" w:hAnsi="Palatino Linotype"/>
          <w:kern w:val="16"/>
        </w:rPr>
        <w:t xml:space="preserve"> at 12.) Indeed, Columbia’s latest Peak Day Forecast shows firm demand that slightly exceeds its available firm capacity entitlements by 20,186 Dth or 1.05%. (</w:t>
      </w:r>
      <w:r>
        <w:rPr>
          <w:rFonts w:ascii="Palatino Linotype" w:hAnsi="Palatino Linotype"/>
          <w:i/>
          <w:kern w:val="16"/>
        </w:rPr>
        <w:t>Id</w:t>
      </w:r>
      <w:r>
        <w:rPr>
          <w:rFonts w:ascii="Palatino Linotype" w:hAnsi="Palatino Linotype"/>
          <w:kern w:val="16"/>
        </w:rPr>
        <w:t xml:space="preserve">.) </w:t>
      </w:r>
    </w:p>
    <w:p>
      <w:pPr>
        <w:pStyle w:val="BodyText"/>
        <w:spacing w:after="320" w:line="320" w:lineRule="exact"/>
        <w:ind w:firstLine="720"/>
        <w:jc w:val="both"/>
        <w:rPr>
          <w:rFonts w:ascii="Palatino Linotype" w:hAnsi="Palatino Linotype"/>
        </w:rPr>
      </w:pPr>
      <w:r>
        <w:rPr>
          <w:rFonts w:ascii="Palatino Linotype" w:hAnsi="Palatino Linotype"/>
        </w:rPr>
        <w:t xml:space="preserve">Second, the Commission has long rejected arguments that ratepayers are entitled to the revenues generated by a utility using assets paid for by customers. In 1988, the Commission held that the fact that Columbus Southern Power's electric fuel component (EFC) rate "contained a component for the rental of [certain] equipment * * * based on the depreciation of the equipment" did not mean that the customers who paid that rate were entitled to a reduction in the EFC rate when Columbus Southern Power sold that equipment. Much as OPAE argues here, OCC argued that the customers' payment of the EFC rate gave then an ownership interest in the assets. The Commission rejected that argument. </w:t>
      </w:r>
      <w:r>
        <w:rPr>
          <w:rFonts w:ascii="Palatino Linotype" w:hAnsi="Palatino Linotype"/>
          <w:i/>
        </w:rPr>
        <w:t xml:space="preserve">See In the Matter of the Regulation of the Electric Fuel Component Contained within the Rate Schedules of Columbus Southern Power Company and Related Matters </w:t>
      </w:r>
      <w:r>
        <w:rPr>
          <w:rFonts w:ascii="Palatino Linotype" w:hAnsi="Palatino Linotype"/>
        </w:rPr>
        <w:t>(“</w:t>
      </w:r>
      <w:r>
        <w:rPr>
          <w:rFonts w:ascii="Palatino Linotype" w:hAnsi="Palatino Linotype"/>
          <w:i/>
        </w:rPr>
        <w:t>In re CSP EFC</w:t>
      </w:r>
      <w:r>
        <w:rPr>
          <w:rFonts w:ascii="Palatino Linotype" w:hAnsi="Palatino Linotype"/>
        </w:rPr>
        <w:t xml:space="preserve">”), Case No. 88-102-EL-EFC, Entry on Rehearing, 1988 Ohio PUC LEXIS 1151, *13 (Dec. 20, 1988). </w:t>
      </w:r>
      <w:r>
        <w:rPr>
          <w:rFonts w:ascii="Palatino Linotype" w:hAnsi="Palatino Linotype"/>
          <w:i/>
        </w:rPr>
        <w:t>See also In the Matter of the Fuel Adjustment Clauses for Columbus Southern Power Company and Ohio Power Company</w:t>
      </w:r>
      <w:r>
        <w:rPr>
          <w:rFonts w:ascii="Palatino Linotype" w:hAnsi="Palatino Linotype"/>
        </w:rPr>
        <w:t xml:space="preserve">, Case Nos. 09-872-EL-FAC and 09-873-EL-FAC, Entry on Rehearing (Apr. 11, 2012) (citing </w:t>
      </w:r>
      <w:r>
        <w:rPr>
          <w:rFonts w:ascii="Palatino Linotype" w:hAnsi="Palatino Linotype"/>
          <w:i/>
        </w:rPr>
        <w:t>In re CSP EFC</w:t>
      </w:r>
      <w:r>
        <w:rPr>
          <w:rFonts w:ascii="Palatino Linotype" w:hAnsi="Palatino Linotype"/>
        </w:rPr>
        <w:t>).</w:t>
      </w:r>
    </w:p>
    <w:p>
      <w:pPr>
        <w:pStyle w:val="BodyText"/>
        <w:spacing w:after="320" w:line="320" w:lineRule="exact"/>
        <w:ind w:firstLine="720"/>
        <w:jc w:val="both"/>
        <w:rPr>
          <w:rFonts w:ascii="Palatino Linotype" w:hAnsi="Palatino Linotype"/>
          <w:kern w:val="16"/>
        </w:rPr>
      </w:pPr>
      <w:r>
        <w:rPr>
          <w:rFonts w:ascii="Palatino Linotype" w:hAnsi="Palatino Linotype"/>
        </w:rPr>
        <w:t xml:space="preserve">Third, abolishing the revenue sharing mechanism entirely would be inconsistent with Commission precedent. </w:t>
      </w:r>
      <w:r>
        <w:rPr>
          <w:rFonts w:ascii="Palatino Linotype" w:hAnsi="Palatino Linotype"/>
          <w:kern w:val="16"/>
        </w:rPr>
        <w:t xml:space="preserve">In 2004, for example, the Commission approved a mechanism by which Columbia would share revenues from off-system sales and capacity release for the period from November 1, 2004, to November 1, 2008. Under that approved mechanism, Columbia would retain the first $25 million in such revenues in any calendar year. Any additional revenues would be shared with Columbia's customers. The portion of those additional revenues retained by Columbia would depend on the level of CHOICE participation by Columbia's customers each year – the higher the CHOICE participation, the greater Columbia’s share of the revenues. </w:t>
      </w:r>
      <w:r>
        <w:rPr>
          <w:rFonts w:ascii="Palatino Linotype" w:hAnsi="Palatino Linotype"/>
          <w:i/>
          <w:kern w:val="16"/>
        </w:rPr>
        <w:t>See In the Matter of the Application of Columbia Gas of Ohio, Inc. for Authority to Amend Filed Tariffs to Increase the Rates and Charges for Gas Service</w:t>
      </w:r>
      <w:r>
        <w:rPr>
          <w:rFonts w:ascii="Palatino Linotype" w:hAnsi="Palatino Linotype"/>
          <w:kern w:val="16"/>
        </w:rPr>
        <w:t xml:space="preserve">, Case No. 94-987-GA-AIR, Entry on Rehearing, at p. 10 (May 5, 2004). The Commission held that the sharing mechanism adopted for the period from 2004 to 2008 would "not disadvantage choice customers, and [would] provide an incentive to Columbia to appropriately engage in [off system sales and capacity release]." </w:t>
      </w:r>
      <w:r>
        <w:rPr>
          <w:rFonts w:ascii="Palatino Linotype" w:hAnsi="Palatino Linotype"/>
          <w:i/>
          <w:kern w:val="16"/>
        </w:rPr>
        <w:t>Id</w:t>
      </w:r>
      <w:r>
        <w:rPr>
          <w:rFonts w:ascii="Palatino Linotype" w:hAnsi="Palatino Linotype"/>
          <w:kern w:val="16"/>
        </w:rPr>
        <w:t>. at p. 9. It follows that the revenue sharing mechanism Columbia seeks here, which provides significantly greater percentages of off-system sales and capacity release revenues to Columbia's customers than the 2004 to 2008 mechanism, should be approved as reasonable, beneficial to Columbia's customers, and in the public interest.</w:t>
      </w:r>
    </w:p>
    <w:p>
      <w:pPr>
        <w:pStyle w:val="BodyText"/>
        <w:keepNext/>
        <w:numPr>
          <w:ilvl w:val="2"/>
          <w:numId w:val="49"/>
        </w:numPr>
        <w:spacing w:after="320" w:line="320" w:lineRule="exact"/>
        <w:ind w:left="2160" w:hanging="720"/>
        <w:jc w:val="both"/>
        <w:outlineLvl w:val="3"/>
        <w:rPr>
          <w:rFonts w:ascii="Palatino Linotype" w:hAnsi="Palatino Linotype"/>
          <w:b/>
          <w:kern w:val="16"/>
        </w:rPr>
      </w:pPr>
      <w:bookmarkStart w:id="29" w:name="_Toc342982212"/>
      <w:r>
        <w:rPr>
          <w:rFonts w:ascii="Palatino Linotype" w:hAnsi="Palatino Linotype"/>
          <w:b/>
          <w:kern w:val="16"/>
        </w:rPr>
        <w:t>Exit from the Merchant Function</w:t>
      </w:r>
      <w:bookmarkEnd w:id="29"/>
    </w:p>
    <w:p>
      <w:pPr>
        <w:pStyle w:val="BodyText"/>
        <w:spacing w:after="320" w:line="320" w:lineRule="exact"/>
        <w:ind w:firstLine="720"/>
        <w:jc w:val="both"/>
        <w:rPr>
          <w:rFonts w:ascii="Palatino Linotype" w:hAnsi="Palatino Linotype"/>
          <w:kern w:val="16"/>
        </w:rPr>
      </w:pPr>
      <w:r>
        <w:rPr>
          <w:rFonts w:ascii="Palatino Linotype" w:hAnsi="Palatino Linotype"/>
          <w:kern w:val="16"/>
        </w:rPr>
        <w:t>Columbia has over 877,500 customers served by SCO/Default Sales Service suppliers. (Brown Testimony at 15 (Columbia Ex. 6).) Columbia’s SCO program provides the largest pool of demand of any such program in the nation by a significant margin. (</w:t>
      </w:r>
      <w:r>
        <w:rPr>
          <w:rFonts w:ascii="Palatino Linotype" w:hAnsi="Palatino Linotype"/>
          <w:i/>
          <w:kern w:val="16"/>
        </w:rPr>
        <w:t>Id.</w:t>
      </w:r>
      <w:r>
        <w:rPr>
          <w:rFonts w:ascii="Palatino Linotype" w:hAnsi="Palatino Linotype"/>
          <w:kern w:val="16"/>
        </w:rPr>
        <w:t>) The SCO program provides strong and stable competition to CHOICE and the Joint Stipulation does not change that in the near-term. (</w:t>
      </w:r>
      <w:r>
        <w:rPr>
          <w:rFonts w:ascii="Palatino Linotype" w:hAnsi="Palatino Linotype"/>
          <w:i/>
          <w:kern w:val="16"/>
        </w:rPr>
        <w:t>Id.</w:t>
      </w:r>
      <w:r>
        <w:rPr>
          <w:rFonts w:ascii="Palatino Linotype" w:hAnsi="Palatino Linotype"/>
          <w:kern w:val="16"/>
        </w:rPr>
        <w:t xml:space="preserve">)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However, Columbia will begin evaluating non-residential customer participation in Columbia’s CHOICE program in April 2013. On August 1 of each year, Columbia will calculate whether the percentage of CHOICE-eligible non-residential customers participating in the CHOICE program has reached 70% or more for at least three consecutive months. If it has, then Columbia will exit the merchant function with regard to its non-residential customers as of the next April 1. (Am. Stip. at 9, §28 (Jt. Ex. 1).) OCC has not joined the provisions of the Amended Stipulation that relate to the non-residential exit from the merchant function. (</w:t>
      </w:r>
      <w:r>
        <w:rPr>
          <w:rFonts w:ascii="Palatino Linotype" w:hAnsi="Palatino Linotype"/>
          <w:i/>
          <w:kern w:val="16"/>
        </w:rPr>
        <w:t>Id</w:t>
      </w:r>
      <w:r>
        <w:rPr>
          <w:rFonts w:ascii="Palatino Linotype" w:hAnsi="Palatino Linotype"/>
          <w:kern w:val="16"/>
        </w:rPr>
        <w:t>. at 1 n.1.) Hess Corporation, which did not sign the Amended Stipulation, has nonetheless urged the Commission to approve the non-residential exit framework. (Magnani Testimony at 5 (Hess Ex. 1.)</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 xml:space="preserve">If at least 70% of Columbia’s CHOICE-eligible residential customers have participated in Columbia’s CHOICE program for at least three consecutive months, and at least 22 months (and two winter heating seasons) have passed since Columbia exited the merchant function for its CHOICE-eligible non-residential customers, Columbia may file an application to exit the merchant function for its CHOICE-eligible residential customers. (Am. Stip. at 10, §31 (Jt. Ex. 1).) This would take the form of a </w:t>
      </w:r>
      <w:r>
        <w:rPr>
          <w:rFonts w:ascii="Palatino Linotype" w:hAnsi="Palatino Linotype"/>
          <w:i/>
          <w:kern w:val="16"/>
        </w:rPr>
        <w:t xml:space="preserve">de novo </w:t>
      </w:r>
      <w:r>
        <w:rPr>
          <w:rFonts w:ascii="Palatino Linotype" w:hAnsi="Palatino Linotype"/>
          <w:kern w:val="16"/>
        </w:rPr>
        <w:t xml:space="preserve">application to exit the merchant function, in compliance with whatever Commission rules are in place at the time that relate to an application to exit the merchant function. (Vol. II, p. 56.)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Hess Corporation is not supporting the residential exit from the merchant function. However, Hess is not currently in the residential market (Vol. III, p. 155) and is not sure that it would accept residential customers under the MVR program if Columbia exited the merchant function for residential customers (</w:t>
      </w:r>
      <w:r>
        <w:rPr>
          <w:rFonts w:ascii="Palatino Linotype" w:hAnsi="Palatino Linotype"/>
          <w:i/>
          <w:kern w:val="16"/>
        </w:rPr>
        <w:t>id.</w:t>
      </w:r>
      <w:r>
        <w:rPr>
          <w:rFonts w:ascii="Palatino Linotype" w:hAnsi="Palatino Linotype"/>
          <w:kern w:val="16"/>
        </w:rPr>
        <w:t xml:space="preserve"> at pp. 155-156). Consequently, Hess has no standing to challenge the residential exit. </w:t>
      </w:r>
      <w:r>
        <w:rPr>
          <w:rFonts w:ascii="Palatino Linotype" w:hAnsi="Palatino Linotype"/>
          <w:i/>
          <w:kern w:val="16"/>
        </w:rPr>
        <w:t xml:space="preserve">See. </w:t>
      </w:r>
      <w:r>
        <w:rPr>
          <w:rFonts w:ascii="Palatino Linotype" w:hAnsi="Palatino Linotype"/>
          <w:kern w:val="16"/>
        </w:rPr>
        <w:t>Entry at ¶6 (Nov. 21, 2012) (limiting Stand Energy’s intervention in this matter to issues on which “Stand is representing its own interests”).</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Columbia views the exit for residential customers to be an option for the Commission to consider as it looks at how the evolution in commodity sales service within the State of Ohio is progressing and whether an exit is an appropriate path to follow and consistent with state policy and goals. The 70% level provides a good benchmark at which time Commission review would be appropriate. (Brown Testimony at 14 (Columbia Ex. 6).) Additionally, in order for Columbia to file such an application, participation rates in Columbia’s CHOICE program must approximately double from present levels – levels achieved after approximately fifteen years of statewide CHOICE availability. (</w:t>
      </w:r>
      <w:r>
        <w:rPr>
          <w:rFonts w:ascii="Palatino Linotype" w:hAnsi="Palatino Linotype"/>
          <w:i/>
          <w:kern w:val="16"/>
        </w:rPr>
        <w:t>Id.</w:t>
      </w:r>
      <w:r>
        <w:rPr>
          <w:rFonts w:ascii="Palatino Linotype" w:hAnsi="Palatino Linotype"/>
          <w:kern w:val="16"/>
        </w:rPr>
        <w:t>) Should customers actively choose a CHOICE supplier at double the present rate, they would be sending a strong message that would justify review by the Commission. (</w:t>
      </w:r>
      <w:r>
        <w:rPr>
          <w:rFonts w:ascii="Palatino Linotype" w:hAnsi="Palatino Linotype"/>
          <w:i/>
          <w:kern w:val="16"/>
        </w:rPr>
        <w:t>Id.</w:t>
      </w:r>
      <w:r>
        <w:rPr>
          <w:rFonts w:ascii="Palatino Linotype" w:hAnsi="Palatino Linotype"/>
          <w:kern w:val="16"/>
        </w:rPr>
        <w:t>)</w:t>
      </w:r>
    </w:p>
    <w:p>
      <w:pPr>
        <w:pStyle w:val="BodyText"/>
        <w:numPr>
          <w:ilvl w:val="2"/>
          <w:numId w:val="49"/>
        </w:numPr>
        <w:spacing w:after="320" w:line="320" w:lineRule="exact"/>
        <w:ind w:left="2160" w:hanging="720"/>
        <w:jc w:val="both"/>
        <w:outlineLvl w:val="3"/>
        <w:rPr>
          <w:rFonts w:ascii="Palatino Linotype" w:hAnsi="Palatino Linotype"/>
          <w:b/>
          <w:kern w:val="16"/>
        </w:rPr>
      </w:pPr>
      <w:bookmarkStart w:id="30" w:name="_Toc342982213"/>
      <w:r>
        <w:rPr>
          <w:rFonts w:ascii="Palatino Linotype" w:hAnsi="Palatino Linotype"/>
          <w:b/>
          <w:kern w:val="16"/>
        </w:rPr>
        <w:t>Monthly Variable Rate (“MVR”) Program</w:t>
      </w:r>
      <w:bookmarkEnd w:id="30"/>
    </w:p>
    <w:p>
      <w:pPr>
        <w:pStyle w:val="BodyText"/>
        <w:spacing w:after="320" w:line="320" w:lineRule="exact"/>
        <w:ind w:firstLine="720"/>
        <w:jc w:val="both"/>
        <w:rPr>
          <w:rFonts w:ascii="Palatino Linotype" w:hAnsi="Palatino Linotype"/>
          <w:kern w:val="16"/>
        </w:rPr>
      </w:pPr>
      <w:r>
        <w:rPr>
          <w:rFonts w:ascii="Palatino Linotype" w:hAnsi="Palatino Linotype"/>
          <w:kern w:val="16"/>
        </w:rPr>
        <w:t>Under the Amended Stipulation, if Columbia exits from the merchant function for any customer class, those CHOICE-eligible customers in the customer class that do not enroll with a CHOICE Supplier</w:t>
      </w:r>
      <w:r>
        <w:rPr>
          <w:rFonts w:ascii="Palatino Linotype" w:hAnsi="Palatino Linotype" w:cs="Palatino Linotype"/>
        </w:rPr>
        <w:t xml:space="preserve"> </w:t>
      </w:r>
      <w:r>
        <w:rPr>
          <w:rFonts w:ascii="Palatino Linotype" w:hAnsi="Palatino Linotype"/>
          <w:kern w:val="16"/>
        </w:rPr>
        <w:t>and are not served through a government aggregation program will be assigned to an MVR Supplier. (Am. Stip. at 12, §37 (Jt. Ex. 1).) MVR Suppliers will be CHOICE Suppliers who choose to participate in the MVR program. (</w:t>
      </w:r>
      <w:r>
        <w:rPr>
          <w:rFonts w:ascii="Palatino Linotype" w:hAnsi="Palatino Linotype"/>
          <w:i/>
          <w:kern w:val="16"/>
        </w:rPr>
        <w:t>Id.</w:t>
      </w:r>
      <w:r>
        <w:rPr>
          <w:rFonts w:ascii="Palatino Linotype" w:hAnsi="Palatino Linotype"/>
          <w:kern w:val="16"/>
        </w:rPr>
        <w:t xml:space="preserve"> at 13, §38.) The pricing for customers in the MVR program will be based on the closing New York Mercantile Exchange ("NYMEX") price plus basis (the monthly variable rate or "MVR" price). (</w:t>
      </w:r>
      <w:r>
        <w:rPr>
          <w:rFonts w:ascii="Palatino Linotype" w:hAnsi="Palatino Linotype"/>
          <w:i/>
          <w:kern w:val="16"/>
        </w:rPr>
        <w:t>Id</w:t>
      </w:r>
      <w:r>
        <w:rPr>
          <w:rFonts w:ascii="Palatino Linotype" w:hAnsi="Palatino Linotype"/>
          <w:kern w:val="16"/>
        </w:rPr>
        <w:t>. at 7, §20.) MVR Suppliers will provide their MVR prices to Columbia and the OCC each month and have those prices posted on the Commission’s Apples to Apples Chart. (</w:t>
      </w:r>
      <w:r>
        <w:rPr>
          <w:rFonts w:ascii="Palatino Linotype" w:hAnsi="Palatino Linotype"/>
          <w:i/>
          <w:kern w:val="16"/>
        </w:rPr>
        <w:t>Id.</w:t>
      </w:r>
      <w:r>
        <w:rPr>
          <w:rFonts w:ascii="Palatino Linotype" w:hAnsi="Palatino Linotype"/>
          <w:kern w:val="16"/>
        </w:rPr>
        <w:t xml:space="preserve"> at 13, §40.)</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No customer will be forced to accept commodity service through the MVR. Customers would be able to leave the MVR program by enrolling with a CHOICE supplier or participating in a governmental aggregation program. (</w:t>
      </w:r>
      <w:r>
        <w:rPr>
          <w:rFonts w:ascii="Palatino Linotype" w:hAnsi="Palatino Linotype"/>
          <w:i/>
          <w:kern w:val="16"/>
        </w:rPr>
        <w:t>Id.</w:t>
      </w:r>
      <w:r>
        <w:rPr>
          <w:rFonts w:ascii="Palatino Linotype" w:hAnsi="Palatino Linotype"/>
          <w:kern w:val="16"/>
        </w:rPr>
        <w:t xml:space="preserve"> at 14, §41; </w:t>
      </w:r>
      <w:r>
        <w:rPr>
          <w:rFonts w:ascii="Palatino Linotype" w:hAnsi="Palatino Linotype"/>
          <w:i/>
          <w:kern w:val="16"/>
        </w:rPr>
        <w:t xml:space="preserve">see also </w:t>
      </w:r>
      <w:r>
        <w:rPr>
          <w:rFonts w:ascii="Palatino Linotype" w:hAnsi="Palatino Linotype"/>
          <w:kern w:val="16"/>
        </w:rPr>
        <w:t>Vol. II, p. 73.) Moreover, MVR Suppliers would be prohibited from charging termination or cancellation fees to customers who are assigned to MVR Suppliers but then choose to enroll with CHOICE suppliers. (</w:t>
      </w:r>
      <w:r>
        <w:rPr>
          <w:rFonts w:ascii="Palatino Linotype" w:hAnsi="Palatino Linotype"/>
          <w:i/>
          <w:kern w:val="16"/>
        </w:rPr>
        <w:t>Id.</w:t>
      </w:r>
      <w:r>
        <w:rPr>
          <w:rFonts w:ascii="Palatino Linotype" w:hAnsi="Palatino Linotype"/>
          <w:kern w:val="16"/>
        </w:rPr>
        <w:t xml:space="preserve">; </w:t>
      </w:r>
      <w:r>
        <w:rPr>
          <w:rFonts w:ascii="Palatino Linotype" w:hAnsi="Palatino Linotype"/>
          <w:i/>
          <w:kern w:val="16"/>
        </w:rPr>
        <w:t>see also id.</w:t>
      </w:r>
      <w:r>
        <w:rPr>
          <w:rFonts w:ascii="Palatino Linotype" w:hAnsi="Palatino Linotype"/>
          <w:kern w:val="16"/>
        </w:rPr>
        <w:t xml:space="preserve"> at 12, §35.)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The Amended Stipulation does not specify a methodology for assigning customers to MVR Suppliers. (</w:t>
      </w:r>
      <w:r>
        <w:rPr>
          <w:rFonts w:ascii="Palatino Linotype" w:hAnsi="Palatino Linotype"/>
          <w:i/>
          <w:kern w:val="16"/>
        </w:rPr>
        <w:t>See id.</w:t>
      </w:r>
      <w:r>
        <w:rPr>
          <w:rFonts w:ascii="Palatino Linotype" w:hAnsi="Palatino Linotype"/>
          <w:kern w:val="16"/>
        </w:rPr>
        <w:t xml:space="preserve"> at 13, §39.) Columbia supports the initial allocation of customers to MVR Suppliers on a proportional basis, as compared to the MVR Supplier’s CHOICE enrollment at the time of allocation. Each MVR supplier would receive a percentage of MVR customers equal to the percentage of Columbia CHOICE customers served by that MVR Supplier at the time of the exit. For example, if 20% of Columbia’s CHOICE customers in a particular customer class (e.g., non-residential) were enrolled with CHOICE Supplier “X” when Columbia exited the merchant function for that class, and CHOICE Supplier “X” chose to participate in the MVR program, “X” would receive an initial allocation of 20% of the MVR customers in that class. A minimum of 1% would be assigned to an MVR Supplier with equal to, or less than 1% CHOICE enrollment. This initial allocation would preserve the relative market shares of the CHOICE suppliers at the time of the exit. On-going customer allocations would be done on a random, rotating basis based upon the list of participating MVR Suppliers. (Brown Testimony at 16 (Columbia Ex. 6).)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Columbia does not support Hess’s recommendation to include “each supplier’s * * * average historical SSO and SCO tranche ownership” in determining each supplier’s “proportional market share at the time of exit.” (Magnani Testimony at 7 (Hess Ex. 1).) As Hess’s witness acknowledged at hearing, such an allocation methodology could result in companies that are no longer CHOICE suppliers receiving allocations of MVR customers. (</w:t>
      </w:r>
      <w:r>
        <w:rPr>
          <w:rFonts w:ascii="Palatino Linotype" w:hAnsi="Palatino Linotype"/>
          <w:i/>
          <w:kern w:val="16"/>
        </w:rPr>
        <w:t xml:space="preserve">See </w:t>
      </w:r>
      <w:r>
        <w:rPr>
          <w:rFonts w:ascii="Palatino Linotype" w:hAnsi="Palatino Linotype"/>
          <w:kern w:val="16"/>
        </w:rPr>
        <w:t>Vol. III, pp. 152-153.) It could also result in SCO suppliers receiving allocations of MVR customers that they do not want; some SCO suppliers, such as Hess, are not in the residential market and might not accept residential MVR customers. (</w:t>
      </w:r>
      <w:r>
        <w:rPr>
          <w:rFonts w:ascii="Palatino Linotype" w:hAnsi="Palatino Linotype"/>
          <w:i/>
          <w:kern w:val="16"/>
        </w:rPr>
        <w:t>See id.</w:t>
      </w:r>
      <w:r>
        <w:rPr>
          <w:rFonts w:ascii="Palatino Linotype" w:hAnsi="Palatino Linotype"/>
          <w:kern w:val="16"/>
        </w:rPr>
        <w:t>, pp. 155-156.) In such cases, the MVR customers allocated to the companies that are no longer CHOICE suppliers or that do not wish to accept MVR customers would have to be reallocated. (</w:t>
      </w:r>
      <w:r>
        <w:rPr>
          <w:rFonts w:ascii="Palatino Linotype" w:hAnsi="Palatino Linotype"/>
          <w:i/>
          <w:kern w:val="16"/>
        </w:rPr>
        <w:t>See id.</w:t>
      </w:r>
      <w:r>
        <w:rPr>
          <w:rFonts w:ascii="Palatino Linotype" w:hAnsi="Palatino Linotype"/>
          <w:kern w:val="16"/>
        </w:rPr>
        <w:t xml:space="preserve">, pp. 156-157.) Hess’s suggested MVR allocation methodology is unnecessarily complicated and should be rejected. </w:t>
      </w:r>
    </w:p>
    <w:p>
      <w:pPr>
        <w:pStyle w:val="BodyText"/>
        <w:spacing w:after="320" w:line="320" w:lineRule="exact"/>
        <w:ind w:firstLine="720"/>
        <w:jc w:val="both"/>
        <w:rPr>
          <w:rFonts w:ascii="Palatino Linotype" w:hAnsi="Palatino Linotype"/>
          <w:bCs/>
          <w:kern w:val="16"/>
        </w:rPr>
      </w:pPr>
      <w:r>
        <w:rPr>
          <w:rFonts w:ascii="Palatino Linotype" w:hAnsi="Palatino Linotype"/>
          <w:kern w:val="16"/>
        </w:rPr>
        <w:t xml:space="preserve">OPAE has argued that moving from the SCO to a Monthly Variable Rate program would increase customer costs, noting that, </w:t>
      </w:r>
      <w:r>
        <w:rPr>
          <w:rFonts w:ascii="Palatino Linotype" w:hAnsi="Palatino Linotype"/>
          <w:bCs/>
          <w:kern w:val="16"/>
        </w:rPr>
        <w:t xml:space="preserve">according to Columbia’s “shadow billing” data, CHOICE customers have paid $884,587,332 more than GCR, SSO, or SCO customers since 1997. However, this is not a relevant figure, for several reasons.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 xml:space="preserve">First, discussion of the figure implies that the CHOICE program was designed to generate guaranteed savings. That is simply not the case. The intent of the CHOICE program has always been to provide customers with competitive alternatives for the purchase of their gas supply. (Brown Testimony at 20 (Columbia Ex. 6).) Similarly, it is not state policy to ensure customers the lowest possible price. Instead, it is state policy to “[p]romote the availability to consumers of adequate, reliable, and </w:t>
      </w:r>
      <w:r>
        <w:rPr>
          <w:rFonts w:ascii="Palatino Linotype" w:hAnsi="Palatino Linotype"/>
          <w:i/>
          <w:kern w:val="16"/>
        </w:rPr>
        <w:t>reasonably priced</w:t>
      </w:r>
      <w:r>
        <w:rPr>
          <w:rFonts w:ascii="Palatino Linotype" w:hAnsi="Palatino Linotype"/>
          <w:kern w:val="16"/>
        </w:rPr>
        <w:t xml:space="preserve"> natural gas services and goods[.]” Section 4929.02(A)(1), Revised Code (emphasis added). OPAE has not, and cannot, argue that prices set by bilateral contracts between Columbia’s customers and CHOICE suppliers are not “reasonable.” Indeed, any such argument would necessarily fail, as the Ohio legislature has supported customer choice since 2001, when it passed Sub. H.B. 9. OPAE’s cost-based arguments boil down to a contention that CHOICE contracts are themselves contrary to state policy, which is clearly unsupportable.</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Second, the shadow-billing figure that OPAE cites is a combined, cumulative total for all Columbia CHOICE customers over the past fifteen-and-a-half years. It tells the Commission nothing about the cost difference for an average customer in any particular month. (Brown Testimony at 20 (Columbia Ex. 6).) Third, that figure includes calculated cost differences for commercial, industrial, and residential customers. (</w:t>
      </w:r>
      <w:r>
        <w:rPr>
          <w:rFonts w:ascii="Palatino Linotype" w:hAnsi="Palatino Linotype"/>
          <w:i/>
          <w:kern w:val="16"/>
        </w:rPr>
        <w:t>Id.</w:t>
      </w:r>
      <w:r>
        <w:rPr>
          <w:rFonts w:ascii="Palatino Linotype" w:hAnsi="Palatino Linotype"/>
          <w:kern w:val="16"/>
        </w:rPr>
        <w:t>) If the Commission grants the Joint Motion, it would be approving an exit from the merchant function for only commercial and industrial customers. The cost differences for residential customers are irrelevant to weighing the merits of a non-residential exit. Fourth, most of that figure represents the theoretical cost savings for customers under the GCR or SSO programs. (</w:t>
      </w:r>
      <w:r>
        <w:rPr>
          <w:rFonts w:ascii="Palatino Linotype" w:hAnsi="Palatino Linotype"/>
          <w:i/>
          <w:kern w:val="16"/>
        </w:rPr>
        <w:t>Id.</w:t>
      </w:r>
      <w:r>
        <w:rPr>
          <w:rFonts w:ascii="Palatino Linotype" w:hAnsi="Palatino Linotype"/>
          <w:kern w:val="16"/>
        </w:rPr>
        <w:t>) The SCO is the program OPAE wants to keep, and Columbia has offered that program only since April 2012. (</w:t>
      </w:r>
      <w:r>
        <w:rPr>
          <w:rFonts w:ascii="Palatino Linotype" w:hAnsi="Palatino Linotype"/>
          <w:i/>
          <w:kern w:val="16"/>
        </w:rPr>
        <w:t>Id.</w:t>
      </w:r>
      <w:r>
        <w:rPr>
          <w:rFonts w:ascii="Palatino Linotype" w:hAnsi="Palatino Linotype"/>
          <w:kern w:val="16"/>
        </w:rPr>
        <w:t xml:space="preserve">)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Fifth, Columbia’s “shadow billing” data is, at best, a crude measure of the cost differences between GCR, SSO, or SCO rates and CHOICE rates. The programs offer different kinds of rates – for example, many CHOICE contracts offer long-term, fixed rates, whereas the SCO rates are short-term, variable rates – with different tax treatments. It is not an apples-to-apples comparison. (</w:t>
      </w:r>
      <w:r>
        <w:rPr>
          <w:rFonts w:ascii="Palatino Linotype" w:hAnsi="Palatino Linotype"/>
          <w:i/>
          <w:kern w:val="16"/>
        </w:rPr>
        <w:t>Id.</w:t>
      </w:r>
      <w:r>
        <w:rPr>
          <w:rFonts w:ascii="Palatino Linotype" w:hAnsi="Palatino Linotype"/>
          <w:kern w:val="16"/>
        </w:rPr>
        <w:t xml:space="preserve">) </w:t>
      </w:r>
    </w:p>
    <w:p>
      <w:pPr>
        <w:pStyle w:val="BodyText"/>
        <w:spacing w:after="320" w:line="320" w:lineRule="exact"/>
        <w:ind w:firstLine="720"/>
        <w:jc w:val="both"/>
        <w:rPr>
          <w:rFonts w:ascii="Palatino Linotype" w:hAnsi="Palatino Linotype"/>
        </w:rPr>
      </w:pPr>
      <w:r>
        <w:rPr>
          <w:rFonts w:ascii="Palatino Linotype" w:hAnsi="Palatino Linotype"/>
          <w:kern w:val="16"/>
        </w:rPr>
        <w:t xml:space="preserve">Finally, the “shadow billing” data is irrelevant because it says nothing about future costs. If Columbia exits the merchant function for non-residential customers, it will replace the SCO for those customers with the MVR program. Stating that SSO and SCO customers have sometimes paid more than CHOICE customers in the past tells the Commission nothing about the likely relative costs of the CHOICE and MVR programs in the future. And, </w:t>
      </w:r>
      <w:r>
        <w:rPr>
          <w:rFonts w:ascii="Palatino Linotype" w:hAnsi="Palatino Linotype"/>
        </w:rPr>
        <w:t>OPAE’s testimony in this proceeding never established that the current state of successful competition would suffer or that prices would rise from discontinuance of the SCO. The Commission struck OPAE’s only purported evidence on this point (regarding the purported effects from Atlanta Gas and Light shifting customers to bilateral contracts in 1999 (</w:t>
      </w:r>
      <w:r>
        <w:rPr>
          <w:rFonts w:ascii="Palatino Linotype" w:hAnsi="Palatino Linotype"/>
          <w:i/>
        </w:rPr>
        <w:t xml:space="preserve">see </w:t>
      </w:r>
      <w:r>
        <w:rPr>
          <w:rFonts w:ascii="Palatino Linotype" w:hAnsi="Palatino Linotype"/>
        </w:rPr>
        <w:t>Harper Testimony at 25-26 (OPAE Exs. 2 and 2A))) because of its lack of basis.</w:t>
      </w:r>
      <w:r>
        <w:rPr>
          <w:rStyle w:val="FootnoteReference"/>
          <w:rFonts w:ascii="Palatino Linotype" w:hAnsi="Palatino Linotype"/>
        </w:rPr>
        <w:footnoteReference w:id="5"/>
      </w:r>
      <w:r>
        <w:rPr>
          <w:rFonts w:ascii="Palatino Linotype" w:hAnsi="Palatino Linotype"/>
        </w:rPr>
        <w:t xml:space="preserve"> Thus, OPAE’s “shadow billing” arguments provide no basis for avoiding a move to a pure, market-based, MVR program following Columbia’s exit from the merchant function for any customer class. </w:t>
      </w:r>
    </w:p>
    <w:p>
      <w:pPr>
        <w:pStyle w:val="BodyText"/>
        <w:keepNext/>
        <w:numPr>
          <w:ilvl w:val="2"/>
          <w:numId w:val="49"/>
        </w:numPr>
        <w:spacing w:after="320" w:line="320" w:lineRule="exact"/>
        <w:ind w:left="2160" w:hanging="720"/>
        <w:jc w:val="both"/>
        <w:outlineLvl w:val="3"/>
        <w:rPr>
          <w:rFonts w:ascii="Palatino Linotype" w:hAnsi="Palatino Linotype"/>
          <w:b/>
          <w:kern w:val="16"/>
        </w:rPr>
      </w:pPr>
      <w:bookmarkStart w:id="31" w:name="_Toc342982214"/>
      <w:r>
        <w:rPr>
          <w:rFonts w:ascii="Palatino Linotype" w:hAnsi="Palatino Linotype"/>
          <w:b/>
          <w:kern w:val="16"/>
        </w:rPr>
        <w:t>Billing Enhancements</w:t>
      </w:r>
      <w:bookmarkEnd w:id="31"/>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Lastly, Columbia has agreed to implement numerous enhancements to its current billing system to provide Suppliers with greater flexibility for enrolling customers. These enhancements will benefit current CHOICE Customers and any other customer who wants to keep open the option of choosing a CHOICE supplier. (</w:t>
      </w:r>
      <w:r>
        <w:rPr>
          <w:rFonts w:ascii="Palatino Linotype" w:hAnsi="Palatino Linotype"/>
        </w:rPr>
        <w:t>Vol. II, pp. 36, 37.)</w:t>
      </w:r>
      <w:r>
        <w:rPr>
          <w:rFonts w:ascii="Palatino Linotype" w:hAnsi="Palatino Linotype" w:cs="Palatino Linotype"/>
        </w:rPr>
        <w:t xml:space="preserve"> Columbia has agreed to use its best effort to implement as many of those changes as reasonably possible by April 1, 2013. (</w:t>
      </w:r>
      <w:r>
        <w:rPr>
          <w:rFonts w:ascii="Palatino Linotype" w:hAnsi="Palatino Linotype" w:cs="Palatino Linotype"/>
          <w:i/>
        </w:rPr>
        <w:t xml:space="preserve">See </w:t>
      </w:r>
      <w:r>
        <w:rPr>
          <w:rFonts w:ascii="Palatino Linotype" w:hAnsi="Palatino Linotype" w:cs="Palatino Linotype"/>
        </w:rPr>
        <w:t>Am. Stip. at 14-16, ¶¶43-44 (Jt. Ex. 1).)</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As a result of these enhancements, customers will be able to choose among a number of new products and billing options, including flat fee contracts; contracts with rates based upon monthly NYMEX</w:t>
      </w:r>
      <w:r>
        <w:rPr>
          <w:rFonts w:ascii="Palatino Linotype" w:hAnsi="Palatino Linotype" w:cs="Palatino Linotype"/>
        </w:rPr>
        <w:softHyphen/>
      </w:r>
      <w:r>
        <w:rPr>
          <w:rFonts w:ascii="Palatino Linotype" w:hAnsi="Palatino Linotype" w:cs="Palatino Linotype"/>
        </w:rPr>
        <w:softHyphen/>
        <w:t xml:space="preserve"> prices, plus or minus a value; and prepaid contracts. (</w:t>
      </w:r>
      <w:r>
        <w:rPr>
          <w:rFonts w:ascii="Palatino Linotype" w:hAnsi="Palatino Linotype" w:cs="Palatino Linotype"/>
          <w:i/>
        </w:rPr>
        <w:t>See id</w:t>
      </w:r>
      <w:r>
        <w:rPr>
          <w:rFonts w:ascii="Palatino Linotype" w:hAnsi="Palatino Linotype" w:cs="Palatino Linotype"/>
        </w:rPr>
        <w:t>.) Columbia will increase its rate ready billing codes to 100 per Supplier (</w:t>
      </w:r>
      <w:r>
        <w:rPr>
          <w:rFonts w:ascii="Palatino Linotype" w:hAnsi="Palatino Linotype" w:cs="Palatino Linotype"/>
          <w:i/>
        </w:rPr>
        <w:t>id.</w:t>
      </w:r>
      <w:r>
        <w:rPr>
          <w:rFonts w:ascii="Palatino Linotype" w:hAnsi="Palatino Linotype" w:cs="Palatino Linotype"/>
        </w:rPr>
        <w:t xml:space="preserve"> at 14, ¶43), which means Suppliers will be able to offer an expanded number of pricing offers to customers. (Caddell Testimony at 5 (Columbia Ex. 5).)</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Customers will be able to enroll in the CHOICE program when they first request service with Columbia and transfer their existing CHOICE contracts to new service addresses if they move within Columbia’s service territory. (</w:t>
      </w:r>
      <w:r>
        <w:rPr>
          <w:rFonts w:ascii="Palatino Linotype" w:hAnsi="Palatino Linotype" w:cs="Palatino Linotype"/>
          <w:i/>
        </w:rPr>
        <w:t>Id.</w:t>
      </w:r>
      <w:r>
        <w:rPr>
          <w:rFonts w:ascii="Palatino Linotype" w:hAnsi="Palatino Linotype" w:cs="Palatino Linotype"/>
        </w:rPr>
        <w:t>) This will improve the customer experience, because customers will not have to contact their CHOICE Suppliers to re-enroll at their new addresses. (</w:t>
      </w:r>
      <w:r>
        <w:rPr>
          <w:rFonts w:ascii="Palatino Linotype" w:hAnsi="Palatino Linotype" w:cs="Palatino Linotype"/>
          <w:i/>
        </w:rPr>
        <w:t>Id.</w:t>
      </w:r>
      <w:r>
        <w:rPr>
          <w:rFonts w:ascii="Palatino Linotype" w:hAnsi="Palatino Linotype" w:cs="Palatino Linotype"/>
        </w:rPr>
        <w:t>.) Columbia will also be able to permit rolling rate change submission. Suppliers will be able to submit rate change transactions for existing CHOICE customers each processing day, with those changes made effective as of the next billing cycle. (</w:t>
      </w:r>
      <w:r>
        <w:rPr>
          <w:rFonts w:ascii="Palatino Linotype" w:hAnsi="Palatino Linotype" w:cs="Palatino Linotype"/>
          <w:i/>
        </w:rPr>
        <w:t xml:space="preserve">See </w:t>
      </w:r>
      <w:r>
        <w:rPr>
          <w:rFonts w:ascii="Palatino Linotype" w:hAnsi="Palatino Linotype" w:cs="Palatino Linotype"/>
        </w:rPr>
        <w:t>Am. Stip. at 15, ¶43 (Jt. Ex. 1).) This will enhance the customers’ experience, and reduce the number of customer inquiries related to the amount of time it takes for a Supplier’s rate change to appear on the customer bill. (Caddell Testimony at 5 (Columbia Ex. 5).)</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Additionally, for a competitively neutral fee, Suppliers can opt to have their logo enlarged and placed in the top margin of the front page of the bill for consolidated bills for CHOICE Customers. (Am. Stip. at 14-16, ¶¶43-44 (Jt. Ex. 1).) The net revenues for this service will be credited to the CSRR (</w:t>
      </w:r>
      <w:r>
        <w:rPr>
          <w:rFonts w:ascii="Palatino Linotype" w:hAnsi="Palatino Linotype" w:cs="Palatino Linotype"/>
          <w:i/>
        </w:rPr>
        <w:t>id.</w:t>
      </w:r>
      <w:r>
        <w:rPr>
          <w:rFonts w:ascii="Palatino Linotype" w:hAnsi="Palatino Linotype" w:cs="Palatino Linotype"/>
        </w:rPr>
        <w:t xml:space="preserve">), which will save customers money, and the enlarged logo will improve customer awareness. (Caddell Testimony at 5 (Columbia Ex. 5).) </w:t>
      </w:r>
    </w:p>
    <w:p>
      <w:pPr>
        <w:pStyle w:val="BodyText"/>
        <w:spacing w:after="320" w:line="320" w:lineRule="exact"/>
        <w:ind w:firstLine="720"/>
        <w:jc w:val="both"/>
        <w:rPr>
          <w:rFonts w:ascii="Palatino Linotype" w:hAnsi="Palatino Linotype" w:cs="Palatino Linotype"/>
        </w:rPr>
      </w:pPr>
      <w:r>
        <w:rPr>
          <w:rFonts w:ascii="Palatino Linotype" w:hAnsi="Palatino Linotype" w:cs="Palatino Linotype"/>
        </w:rPr>
        <w:t>Finally, the costs for these billing enhancements (as well as the costs for implementing programs to educate customers about the CHOICE program and, if Columbia meets the necessary CHOICE participation thresholds, programs to educate non-residential customers about Columbia’s exit from the merchant function) would be subject to review during the Commission’s annual audit of the CSRR. (Am. Stip. at 16, §47 (Jt. Ex. 1).) The Amended Stipulation specifically preserves OCC’s rights in CSRR proceedings to challenge the reasonableness of Columbia’s costs for the billing system enhancements outlined above. (</w:t>
      </w:r>
      <w:r>
        <w:rPr>
          <w:rFonts w:ascii="Palatino Linotype" w:hAnsi="Palatino Linotype" w:cs="Palatino Linotype"/>
          <w:i/>
        </w:rPr>
        <w:t>Id.</w:t>
      </w:r>
      <w:r>
        <w:rPr>
          <w:rFonts w:ascii="Palatino Linotype" w:hAnsi="Palatino Linotype" w:cs="Palatino Linotype"/>
        </w:rPr>
        <w:t>) Thus, the Commission’s audit of the CSRR and OCC’s independent review of Columbia’s expenditures to enhance its billing system will ensure that those enhancements benefit ratepayers and the public.</w:t>
      </w:r>
    </w:p>
    <w:p>
      <w:pPr>
        <w:pStyle w:val="BodyText"/>
        <w:keepNext/>
        <w:numPr>
          <w:ilvl w:val="1"/>
          <w:numId w:val="49"/>
        </w:numPr>
        <w:spacing w:after="320" w:line="320" w:lineRule="exact"/>
        <w:ind w:left="1440" w:hanging="720"/>
        <w:jc w:val="both"/>
        <w:outlineLvl w:val="2"/>
        <w:rPr>
          <w:rFonts w:ascii="Palatino Linotype" w:hAnsi="Palatino Linotype"/>
          <w:b/>
          <w:kern w:val="16"/>
        </w:rPr>
      </w:pPr>
      <w:bookmarkStart w:id="32" w:name="_Toc342925498"/>
      <w:bookmarkStart w:id="33" w:name="_Toc342982215"/>
      <w:r>
        <w:rPr>
          <w:rFonts w:ascii="Palatino Linotype" w:hAnsi="Palatino Linotype"/>
          <w:b/>
          <w:kern w:val="16"/>
        </w:rPr>
        <w:t>The Amended Stipulation does not violate any important regulatory principle or practice.</w:t>
      </w:r>
      <w:bookmarkEnd w:id="32"/>
      <w:bookmarkEnd w:id="33"/>
    </w:p>
    <w:p>
      <w:pPr>
        <w:pStyle w:val="BodyText"/>
        <w:spacing w:after="320" w:line="320" w:lineRule="exact"/>
        <w:ind w:firstLine="720"/>
        <w:jc w:val="both"/>
        <w:rPr>
          <w:rFonts w:ascii="Palatino Linotype" w:hAnsi="Palatino Linotype"/>
          <w:kern w:val="16"/>
        </w:rPr>
      </w:pPr>
      <w:r>
        <w:rPr>
          <w:rFonts w:ascii="Palatino Linotype" w:hAnsi="Palatino Linotype"/>
          <w:kern w:val="16"/>
        </w:rPr>
        <w:t>The Amended Stipulation does not violate any important regulatory principle or practice. OPAE has argued that the new $0.06/Mcf security deposit required of SCO suppliers is discriminatory, because it is not charged to CHOICE suppliers. This criticism is misguided, because SCO supplier defaults are not comparable to CHOICE supplier defaults. The risk, and potential costs, to Columbia of a default by an SCO supplier are significantly greater than the risks to Columbia of a default by a CHOICE supplier. (Brown Testimony at 8-9 (Columbia Ex. 6).) Moreover, a default by an SCO Supplier is more likely to cause a direct and immediate impact on Columbia. A CHOICE Supplier default would be absorbed in the first instance by the SCO suppliers. (</w:t>
      </w:r>
      <w:r>
        <w:rPr>
          <w:rFonts w:ascii="Palatino Linotype" w:hAnsi="Palatino Linotype"/>
          <w:i/>
          <w:kern w:val="16"/>
        </w:rPr>
        <w:t>Id.</w:t>
      </w:r>
      <w:r>
        <w:rPr>
          <w:rFonts w:ascii="Palatino Linotype" w:hAnsi="Palatino Linotype"/>
          <w:kern w:val="16"/>
        </w:rPr>
        <w:t xml:space="preserve"> at 9.) An SCO Supplier default would be absorbed in the first instance by the remaining SCO suppliers, up to an amount not to exceed 150% of each SCO Supplier’s initial annual delivery requirement. (Amd. Rev. Program Outline § 16.5.i. (Columbia Ex. 2).) If, due to the 150% limit, the allocation described above did not result in all of the unassigned demand being assigned to nondefaulting SCO Suppliers, then Columbia would supply the remaining demand. (</w:t>
      </w:r>
      <w:r>
        <w:rPr>
          <w:rFonts w:ascii="Palatino Linotype" w:hAnsi="Palatino Linotype"/>
          <w:i/>
          <w:kern w:val="16"/>
        </w:rPr>
        <w:t>Id.</w:t>
      </w:r>
      <w:r>
        <w:rPr>
          <w:rFonts w:ascii="Palatino Linotype" w:hAnsi="Palatino Linotype"/>
          <w:kern w:val="16"/>
        </w:rPr>
        <w:t xml:space="preserve"> § 16.5.ii.) In short, an SCO Supplier default would leave fewer other suppliers to absorb that Supplier’s demand than a default by a CHOICE supplier. The $0.06/Mcf deposit gives Columbia additional security against such costs. (Brown Testimony at 8 (Columbia Ex. 6).)</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Contrary to some intervenors’ arguments, the Amended Stipulation furthers the State’s policies with regard to competitive retail natural gas service, as expressed in the Ohio Revised Code. For example, changing the Balancing Fee, so that it is charged directly to customers rather than indirectly to (potentially) some customers through their CHOICE or SCO Suppliers, will increase price transparency. This furthers the state policy to “[e]ncourage cost-effective and efficient access to information regarding the operation of the distribution systems of natural gas companies in order to promote effective customer choice of natural gas services and goods[.]” Section 4929.02(A)(5), Revised Code.</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The SCO program is the product of regulation by the Commission. (Vol. III, p. 291.) The SCO auction is an artificial market, in which suppliers bid for the right to obtain large groups of customers without “the cost of customer acquisition [that] is [usually] part and parcel of a competitive model[.]” (</w:t>
      </w:r>
      <w:r>
        <w:rPr>
          <w:rFonts w:ascii="Palatino Linotype" w:hAnsi="Palatino Linotype"/>
          <w:i/>
          <w:kern w:val="16"/>
        </w:rPr>
        <w:t>Id.</w:t>
      </w:r>
      <w:r>
        <w:rPr>
          <w:rFonts w:ascii="Palatino Linotype" w:hAnsi="Palatino Linotype"/>
          <w:kern w:val="16"/>
        </w:rPr>
        <w:t>, p. 290.) Hence, exiting the merchant function, if 70% of Columbia's CHOICE-eligible non-residential customers migrate to CHOICE, would "[r]ecognize the continuing emergence of competitive natural gas markets through the development and implementation of flexible regulatory treatment[,]" and effect "an expeditious transition to the provision of natural gas services and goods in a manner that achieves effective competition and transactions between willing buyers and willing sellers." Section 4929.02(A)(6) and (7), Revised Code.</w:t>
      </w:r>
      <w:r>
        <w:rPr>
          <w:rStyle w:val="FootnoteReference"/>
          <w:rFonts w:ascii="Palatino Linotype" w:hAnsi="Palatino Linotype"/>
          <w:kern w:val="16"/>
        </w:rPr>
        <w:footnoteReference w:id="6"/>
      </w:r>
      <w:r>
        <w:rPr>
          <w:rFonts w:ascii="Palatino Linotype" w:hAnsi="Palatino Linotype"/>
          <w:kern w:val="16"/>
        </w:rPr>
        <w:t xml:space="preserve"> OPAE’s testifying witness, Stacia Harper, asserted in her testimony that a customer receiving service through the MVR program after an exit from the merchant function would not be a “willing buyer[ ]” (Section 4929.02(A)(7), Revised Code) “because the customer is assigned to the supplier without the customer’s consent” and without any negotiation of price. (Harper Testimony at 15 (OPAE Ex. 2).) This ignores, however, that no customer is required to remain in the MVR program. Any customer may migrate from the MVR program, without incurring any cancellation fee, by enrolling with a CHOICE supplier. (Am. Stip. at 14, §41 (Jt. Ex. 1).) Ms. Harper’s complaint is also inconsistent with her position regarding the SCO. At hearing, Ms. Harper testified that a customer who decides not to participate in the CHOICE program and instead receives service through the SCO program, at whatever price the SCO auction established, has made a “conscious decision,” asserting, “I’m a firm believer in passive choice.” (Vol. III, pp. 293-294.) If the “passive choice” to receive service through the SCO program satisfies the state policy expressed in Section 4929.02(A)(7), Revised Code, then the “passive choice” to receive service through the MVR (by not selecting a CHOICE supplier and then remaining with the MVR supplier once the customer is assigned) must similarly satisfy state policy. </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Finally, the enhanced billing options for competitive retail natural gas suppliers further the state policy of providing consumers with "the price, terms, conditions, and quality options they elect" and "encourage innovation and market access for cost-effective supply- * * * side natural gas services and goods" (R.C. § 4929.02(A)(2) and (4)) by enabling customers to enter into new kinds of contracts with CHOICE suppliers, including flat fee contracts and contracts in which the supplier charges the monthly NYMEX (New York Mercantile Exchange) rate, plus or minus a set value. Customers will also be able to transfer their CHOICE contracts to new addresses within Columbia's service area and prepay the commodity portions of their bills.</w:t>
      </w:r>
    </w:p>
    <w:p>
      <w:pPr>
        <w:pStyle w:val="BodyText"/>
        <w:spacing w:after="320" w:line="320" w:lineRule="exact"/>
        <w:ind w:firstLine="720"/>
        <w:jc w:val="both"/>
        <w:rPr>
          <w:rFonts w:ascii="Palatino Linotype" w:hAnsi="Palatino Linotype"/>
          <w:kern w:val="16"/>
        </w:rPr>
      </w:pPr>
      <w:r>
        <w:rPr>
          <w:rFonts w:ascii="Palatino Linotype" w:hAnsi="Palatino Linotype"/>
          <w:kern w:val="16"/>
        </w:rPr>
        <w:t>Thus, the modifications to the Exemption Orders proposed in the Amended Stipulation would further the state’s policies, as outlined in R.C. 4929.02, to “[e]ncourage innovation and market access for cost-effective supply- * * * side natural gas services and goods[,]” “[r]ecognize the continuing emergence of competitive natural gas markets through the development and implementation of flexible regulatory treatment[,]” and “[p]romote an expeditious transition to the provision of natural gas services and goods in a manner that achieves effective competition and transactions between willing buyers and willing sellers to reduce or eliminate the need for regulation of natural gas services and goods under Chapters 4905. and 4909. of the Revised Code[.]” R.C. 4929.02(5), (6), and (7).</w:t>
      </w:r>
    </w:p>
    <w:p>
      <w:pPr>
        <w:pStyle w:val="BodyText"/>
        <w:spacing w:after="320" w:line="320" w:lineRule="exact"/>
        <w:jc w:val="both"/>
        <w:outlineLvl w:val="0"/>
        <w:rPr>
          <w:rFonts w:ascii="Palatino Linotype" w:hAnsi="Palatino Linotype"/>
          <w:b/>
          <w:spacing w:val="-12"/>
          <w:kern w:val="16"/>
        </w:rPr>
      </w:pPr>
      <w:bookmarkStart w:id="34" w:name="_Toc342925499"/>
      <w:bookmarkStart w:id="35" w:name="_Toc342982216"/>
      <w:r>
        <w:rPr>
          <w:rFonts w:ascii="Palatino Linotype" w:hAnsi="Palatino Linotype"/>
          <w:b/>
          <w:spacing w:val="-12"/>
          <w:kern w:val="16"/>
        </w:rPr>
        <w:t>CONCLUSION</w:t>
      </w:r>
      <w:bookmarkEnd w:id="34"/>
      <w:bookmarkEnd w:id="35"/>
    </w:p>
    <w:p>
      <w:pPr>
        <w:spacing w:after="320" w:line="320" w:lineRule="exact"/>
        <w:ind w:firstLine="720"/>
        <w:jc w:val="both"/>
        <w:rPr>
          <w:rFonts w:ascii="Palatino Linotype" w:hAnsi="Palatino Linotype"/>
        </w:rPr>
      </w:pPr>
      <w:r>
        <w:rPr>
          <w:rFonts w:ascii="Palatino Linotype" w:hAnsi="Palatino Linotype"/>
        </w:rPr>
        <w:t>For all of the reasons expressed above, Columbia Gas of Ohio, Inc. respectfully requests that the Commission approve the Joint Stipulation (along with the Revised Program Outline and tariffs) and modify the Commission’s prior exemption orders in the manner described in the Joint Motion.</w:t>
      </w:r>
    </w:p>
    <w:p/>
    <w:p/>
    <w:p>
      <w:pPr>
        <w:keepNext/>
        <w:spacing w:line="320" w:lineRule="exact"/>
        <w:ind w:left="3600"/>
        <w:rPr>
          <w:rFonts w:ascii="Palatino Linotype" w:hAnsi="Palatino Linotype"/>
        </w:rPr>
      </w:pPr>
      <w:r>
        <w:rPr>
          <w:rFonts w:ascii="Palatino Linotype" w:hAnsi="Palatino Linotype"/>
        </w:rPr>
        <w:t>Respectfully submitted,</w:t>
      </w:r>
    </w:p>
    <w:p>
      <w:pPr>
        <w:keepNext/>
        <w:spacing w:line="320" w:lineRule="exact"/>
        <w:ind w:left="3600"/>
        <w:rPr>
          <w:rFonts w:ascii="Palatino Linotype" w:hAnsi="Palatino Linotype"/>
        </w:rPr>
      </w:pPr>
    </w:p>
    <w:p>
      <w:pPr>
        <w:keepNext/>
        <w:spacing w:line="320" w:lineRule="exact"/>
        <w:ind w:left="3600"/>
        <w:rPr>
          <w:rFonts w:ascii="Palatino Linotype" w:hAnsi="Palatino Linotype"/>
        </w:rPr>
      </w:pPr>
    </w:p>
    <w:p>
      <w:pPr>
        <w:keepNext/>
        <w:spacing w:line="320" w:lineRule="exact"/>
        <w:ind w:left="3600"/>
        <w:rPr>
          <w:rFonts w:ascii="Palatino Linotype" w:hAnsi="Palatino Linotype"/>
          <w:u w:val="single"/>
        </w:rPr>
      </w:pPr>
      <w:r>
        <w:rPr>
          <w:rFonts w:ascii="Palatino Linotype" w:hAnsi="Palatino Linotype"/>
          <w:u w:val="single"/>
        </w:rPr>
        <w:t>/s/ Stephen B. Seiple</w:t>
      </w:r>
      <w:r>
        <w:rPr>
          <w:rFonts w:ascii="Palatino Linotype" w:hAnsi="Palatino Linotype"/>
          <w:u w:val="single"/>
        </w:rPr>
        <w:tab/>
      </w:r>
      <w:r>
        <w:rPr>
          <w:rFonts w:ascii="Palatino Linotype" w:hAnsi="Palatino Linotype"/>
          <w:u w:val="single"/>
        </w:rPr>
        <w:tab/>
      </w:r>
    </w:p>
    <w:p>
      <w:pPr>
        <w:keepNext/>
        <w:spacing w:line="320" w:lineRule="exact"/>
        <w:ind w:left="3600"/>
        <w:rPr>
          <w:rFonts w:ascii="Palatino Linotype" w:hAnsi="Palatino Linotype"/>
        </w:rPr>
      </w:pPr>
      <w:r>
        <w:rPr>
          <w:rFonts w:ascii="Palatino Linotype" w:hAnsi="Palatino Linotype"/>
        </w:rPr>
        <w:t xml:space="preserve">Stephen B. Seiple (Counsel of Record), </w:t>
      </w:r>
    </w:p>
    <w:p>
      <w:pPr>
        <w:keepNext/>
        <w:spacing w:line="320" w:lineRule="exact"/>
        <w:ind w:left="3600"/>
        <w:rPr>
          <w:rFonts w:ascii="Palatino Linotype" w:hAnsi="Palatino Linotype"/>
        </w:rPr>
      </w:pPr>
      <w:r>
        <w:rPr>
          <w:rFonts w:ascii="Palatino Linotype" w:hAnsi="Palatino Linotype"/>
        </w:rPr>
        <w:t>Assistant General Counsel</w:t>
      </w:r>
    </w:p>
    <w:p>
      <w:pPr>
        <w:keepNext/>
        <w:spacing w:line="320" w:lineRule="exact"/>
        <w:ind w:left="3600"/>
        <w:rPr>
          <w:rFonts w:ascii="Palatino Linotype" w:hAnsi="Palatino Linotype"/>
        </w:rPr>
      </w:pPr>
      <w:r>
        <w:rPr>
          <w:rFonts w:ascii="Palatino Linotype" w:hAnsi="Palatino Linotype"/>
        </w:rPr>
        <w:t>Brooke E. Leslie, Counsel</w:t>
      </w:r>
    </w:p>
    <w:p>
      <w:pPr>
        <w:keepNext/>
        <w:spacing w:line="320" w:lineRule="exact"/>
        <w:ind w:left="3600"/>
        <w:rPr>
          <w:rFonts w:ascii="Palatino Linotype" w:hAnsi="Palatino Linotype"/>
        </w:rPr>
      </w:pPr>
      <w:r>
        <w:rPr>
          <w:rFonts w:ascii="Palatino Linotype" w:hAnsi="Palatino Linotype"/>
        </w:rPr>
        <w:t>200 Civic Center Drive</w:t>
      </w:r>
    </w:p>
    <w:p>
      <w:pPr>
        <w:keepNext/>
        <w:spacing w:line="320" w:lineRule="exact"/>
        <w:ind w:left="3600"/>
        <w:rPr>
          <w:rFonts w:ascii="Palatino Linotype" w:hAnsi="Palatino Linotype"/>
        </w:rPr>
      </w:pPr>
      <w:r>
        <w:rPr>
          <w:rFonts w:ascii="Palatino Linotype" w:hAnsi="Palatino Linotype"/>
        </w:rPr>
        <w:t>P. O. Box 117</w:t>
      </w:r>
    </w:p>
    <w:p>
      <w:pPr>
        <w:keepNext/>
        <w:spacing w:line="320" w:lineRule="exact"/>
        <w:ind w:left="3600"/>
        <w:rPr>
          <w:rFonts w:ascii="Palatino Linotype" w:hAnsi="Palatino Linotype"/>
        </w:rPr>
      </w:pPr>
      <w:r>
        <w:rPr>
          <w:rFonts w:ascii="Palatino Linotype" w:hAnsi="Palatino Linotype"/>
        </w:rPr>
        <w:t>Columbus, Ohio 43216-0117</w:t>
      </w:r>
    </w:p>
    <w:p>
      <w:pPr>
        <w:keepNext/>
        <w:spacing w:line="320" w:lineRule="exact"/>
        <w:ind w:left="3600"/>
        <w:rPr>
          <w:rFonts w:ascii="Palatino Linotype" w:hAnsi="Palatino Linotype"/>
        </w:rPr>
      </w:pPr>
      <w:r>
        <w:rPr>
          <w:rFonts w:ascii="Palatino Linotype" w:hAnsi="Palatino Linotype"/>
        </w:rPr>
        <w:t xml:space="preserve">Telephone: </w:t>
      </w:r>
      <w:r>
        <w:rPr>
          <w:rFonts w:ascii="Palatino Linotype" w:hAnsi="Palatino Linotype"/>
        </w:rPr>
        <w:tab/>
        <w:t>(614) 460-4648</w:t>
      </w:r>
    </w:p>
    <w:p>
      <w:pPr>
        <w:keepNext/>
        <w:spacing w:line="320" w:lineRule="exact"/>
        <w:ind w:left="3600"/>
        <w:rPr>
          <w:rFonts w:ascii="Palatino Linotype" w:hAnsi="Palatino Linotype"/>
        </w:rPr>
      </w:pPr>
      <w:r>
        <w:rPr>
          <w:rFonts w:ascii="Palatino Linotype" w:hAnsi="Palatino Linotype"/>
        </w:rPr>
        <w:tab/>
      </w:r>
      <w:r>
        <w:rPr>
          <w:rFonts w:ascii="Palatino Linotype" w:hAnsi="Palatino Linotype"/>
        </w:rPr>
        <w:tab/>
        <w:t>(614) 460-5558</w:t>
      </w:r>
    </w:p>
    <w:p>
      <w:pPr>
        <w:keepNext/>
        <w:spacing w:line="320" w:lineRule="exact"/>
        <w:ind w:left="3600"/>
        <w:rPr>
          <w:rFonts w:ascii="Palatino Linotype" w:hAnsi="Palatino Linotype"/>
        </w:rPr>
      </w:pPr>
      <w:r>
        <w:rPr>
          <w:rFonts w:ascii="Palatino Linotype" w:hAnsi="Palatino Linotype"/>
        </w:rPr>
        <w:t xml:space="preserve">Fax: </w:t>
      </w:r>
      <w:r>
        <w:rPr>
          <w:rFonts w:ascii="Palatino Linotype" w:hAnsi="Palatino Linotype"/>
        </w:rPr>
        <w:tab/>
      </w:r>
      <w:r>
        <w:rPr>
          <w:rFonts w:ascii="Palatino Linotype" w:hAnsi="Palatino Linotype"/>
        </w:rPr>
        <w:tab/>
        <w:t>(614) 460-6986</w:t>
      </w:r>
    </w:p>
    <w:p>
      <w:pPr>
        <w:keepNext/>
        <w:tabs>
          <w:tab w:val="right" w:pos="6840"/>
        </w:tabs>
        <w:spacing w:line="320" w:lineRule="exact"/>
        <w:ind w:left="3600"/>
        <w:rPr>
          <w:rFonts w:ascii="Palatino Linotype" w:hAnsi="Palatino Linotype"/>
        </w:rPr>
      </w:pPr>
      <w:r>
        <w:rPr>
          <w:rFonts w:ascii="Palatino Linotype" w:hAnsi="Palatino Linotype"/>
        </w:rPr>
        <w:t>Email:</w:t>
      </w:r>
      <w:r>
        <w:rPr>
          <w:rFonts w:ascii="Palatino Linotype" w:hAnsi="Palatino Linotype"/>
        </w:rPr>
        <w:tab/>
        <w:t>sseiple@nisource.com</w:t>
      </w:r>
    </w:p>
    <w:p>
      <w:pPr>
        <w:keepNext/>
        <w:tabs>
          <w:tab w:val="right" w:pos="6840"/>
        </w:tabs>
        <w:spacing w:line="320" w:lineRule="exact"/>
        <w:ind w:left="3600"/>
        <w:rPr>
          <w:rFonts w:ascii="Palatino Linotype" w:hAnsi="Palatino Linotype"/>
        </w:rPr>
      </w:pPr>
      <w:r>
        <w:rPr>
          <w:rFonts w:ascii="Palatino Linotype" w:hAnsi="Palatino Linotype"/>
        </w:rPr>
        <w:tab/>
        <w:t>bleslie@nisource.com</w:t>
      </w:r>
    </w:p>
    <w:p>
      <w:pPr>
        <w:spacing w:line="320" w:lineRule="exact"/>
        <w:ind w:left="3600"/>
        <w:rPr>
          <w:rFonts w:ascii="Palatino Linotype" w:hAnsi="Palatino Linotype"/>
        </w:rPr>
      </w:pPr>
    </w:p>
    <w:p>
      <w:pPr>
        <w:keepNext/>
        <w:spacing w:line="320" w:lineRule="exact"/>
        <w:ind w:left="3600"/>
        <w:rPr>
          <w:rFonts w:ascii="Palatino Linotype" w:hAnsi="Palatino Linotype"/>
        </w:rPr>
      </w:pPr>
      <w:r>
        <w:rPr>
          <w:rFonts w:ascii="Palatino Linotype" w:hAnsi="Palatino Linotype"/>
        </w:rPr>
        <w:t>Daniel R. Conway</w:t>
      </w:r>
    </w:p>
    <w:p>
      <w:pPr>
        <w:keepNext/>
        <w:spacing w:line="320" w:lineRule="exact"/>
        <w:ind w:left="3600"/>
        <w:rPr>
          <w:rFonts w:ascii="Palatino Linotype" w:hAnsi="Palatino Linotype"/>
        </w:rPr>
      </w:pPr>
      <w:r>
        <w:rPr>
          <w:rFonts w:ascii="Palatino Linotype" w:hAnsi="Palatino Linotype"/>
        </w:rPr>
        <w:t>Mark S. Stemm</w:t>
      </w:r>
    </w:p>
    <w:p>
      <w:pPr>
        <w:keepNext/>
        <w:spacing w:line="320" w:lineRule="exact"/>
        <w:ind w:left="3600"/>
        <w:rPr>
          <w:rFonts w:ascii="Palatino Linotype" w:hAnsi="Palatino Linotype"/>
        </w:rPr>
      </w:pPr>
      <w:r>
        <w:rPr>
          <w:rFonts w:ascii="Palatino Linotype" w:hAnsi="Palatino Linotype"/>
        </w:rPr>
        <w:t>Eric B. Gallon</w:t>
      </w:r>
    </w:p>
    <w:p>
      <w:pPr>
        <w:keepNext/>
        <w:spacing w:line="320" w:lineRule="exact"/>
        <w:ind w:left="3600"/>
        <w:rPr>
          <w:rFonts w:ascii="Palatino Linotype" w:hAnsi="Palatino Linotype"/>
        </w:rPr>
      </w:pPr>
      <w:r>
        <w:rPr>
          <w:rFonts w:ascii="Palatino Linotype" w:hAnsi="Palatino Linotype"/>
        </w:rPr>
        <w:t>Porter Wright Morris &amp; Arthur LLP</w:t>
      </w:r>
    </w:p>
    <w:p>
      <w:pPr>
        <w:keepNext/>
        <w:spacing w:line="320" w:lineRule="exact"/>
        <w:ind w:left="3600"/>
        <w:rPr>
          <w:rFonts w:ascii="Palatino Linotype" w:hAnsi="Palatino Linotype"/>
        </w:rPr>
      </w:pPr>
      <w:r>
        <w:rPr>
          <w:rFonts w:ascii="Palatino Linotype" w:hAnsi="Palatino Linotype"/>
        </w:rPr>
        <w:t>Huntington Center</w:t>
      </w:r>
    </w:p>
    <w:p>
      <w:pPr>
        <w:keepNext/>
        <w:spacing w:line="320" w:lineRule="exact"/>
        <w:ind w:left="3600"/>
        <w:rPr>
          <w:rFonts w:ascii="Palatino Linotype" w:hAnsi="Palatino Linotype"/>
        </w:rPr>
      </w:pPr>
      <w:r>
        <w:rPr>
          <w:rFonts w:ascii="Palatino Linotype" w:hAnsi="Palatino Linotype"/>
        </w:rPr>
        <w:t>41 South High Street</w:t>
      </w:r>
    </w:p>
    <w:p>
      <w:pPr>
        <w:keepNext/>
        <w:spacing w:line="320" w:lineRule="exact"/>
        <w:ind w:left="3600"/>
        <w:rPr>
          <w:rFonts w:ascii="Palatino Linotype" w:hAnsi="Palatino Linotype"/>
        </w:rPr>
      </w:pPr>
      <w:r>
        <w:rPr>
          <w:rFonts w:ascii="Palatino Linotype" w:hAnsi="Palatino Linotype"/>
        </w:rPr>
        <w:t>Columbus, Ohio  43215</w:t>
      </w:r>
    </w:p>
    <w:p>
      <w:pPr>
        <w:keepNext/>
        <w:spacing w:line="320" w:lineRule="exact"/>
        <w:ind w:left="3600"/>
        <w:rPr>
          <w:rFonts w:ascii="Palatino Linotype" w:hAnsi="Palatino Linotype"/>
        </w:rPr>
      </w:pPr>
      <w:r>
        <w:rPr>
          <w:rFonts w:ascii="Palatino Linotype" w:hAnsi="Palatino Linotype"/>
        </w:rPr>
        <w:t xml:space="preserve">Telephone:  </w:t>
      </w:r>
      <w:r>
        <w:rPr>
          <w:rFonts w:ascii="Palatino Linotype" w:hAnsi="Palatino Linotype"/>
        </w:rPr>
        <w:tab/>
        <w:t>(614) 227-2270</w:t>
      </w:r>
    </w:p>
    <w:p>
      <w:pPr>
        <w:keepNext/>
        <w:spacing w:line="320" w:lineRule="exact"/>
        <w:ind w:left="3600"/>
        <w:rPr>
          <w:rFonts w:ascii="Palatino Linotype" w:hAnsi="Palatino Linotype"/>
        </w:rPr>
      </w:pPr>
      <w:r>
        <w:rPr>
          <w:rFonts w:ascii="Palatino Linotype" w:hAnsi="Palatino Linotype"/>
        </w:rPr>
        <w:tab/>
      </w:r>
      <w:r>
        <w:rPr>
          <w:rFonts w:ascii="Palatino Linotype" w:hAnsi="Palatino Linotype"/>
        </w:rPr>
        <w:tab/>
        <w:t>(614) 227-2092</w:t>
      </w:r>
    </w:p>
    <w:p>
      <w:pPr>
        <w:keepNext/>
        <w:spacing w:line="320" w:lineRule="exact"/>
        <w:ind w:left="3600"/>
        <w:rPr>
          <w:rFonts w:ascii="Palatino Linotype" w:hAnsi="Palatino Linotype"/>
        </w:rPr>
      </w:pPr>
      <w:r>
        <w:rPr>
          <w:rFonts w:ascii="Palatino Linotype" w:hAnsi="Palatino Linotype"/>
        </w:rPr>
        <w:tab/>
      </w:r>
      <w:r>
        <w:rPr>
          <w:rFonts w:ascii="Palatino Linotype" w:hAnsi="Palatino Linotype"/>
        </w:rPr>
        <w:tab/>
        <w:t>(614) 227-2190</w:t>
      </w:r>
    </w:p>
    <w:p>
      <w:pPr>
        <w:keepNext/>
        <w:spacing w:line="320" w:lineRule="exact"/>
        <w:ind w:left="3600"/>
        <w:rPr>
          <w:rFonts w:ascii="Palatino Linotype" w:hAnsi="Palatino Linotype"/>
        </w:rPr>
      </w:pPr>
      <w:r>
        <w:rPr>
          <w:rFonts w:ascii="Palatino Linotype" w:hAnsi="Palatino Linotype"/>
        </w:rPr>
        <w:t>Fax:</w:t>
      </w:r>
      <w:r>
        <w:rPr>
          <w:rFonts w:ascii="Palatino Linotype" w:hAnsi="Palatino Linotype"/>
        </w:rPr>
        <w:tab/>
      </w:r>
      <w:r>
        <w:rPr>
          <w:rFonts w:ascii="Palatino Linotype" w:hAnsi="Palatino Linotype"/>
        </w:rPr>
        <w:tab/>
        <w:t>(614) 227-2100</w:t>
      </w:r>
    </w:p>
    <w:p>
      <w:pPr>
        <w:keepNext/>
        <w:tabs>
          <w:tab w:val="right" w:pos="7560"/>
        </w:tabs>
        <w:spacing w:line="320" w:lineRule="exact"/>
        <w:ind w:left="3600"/>
        <w:rPr>
          <w:rFonts w:ascii="Palatino Linotype" w:hAnsi="Palatino Linotype"/>
        </w:rPr>
      </w:pPr>
      <w:r>
        <w:rPr>
          <w:rFonts w:ascii="Palatino Linotype" w:hAnsi="Palatino Linotype"/>
        </w:rPr>
        <w:t>Email:</w:t>
      </w:r>
      <w:r>
        <w:rPr>
          <w:rFonts w:ascii="Palatino Linotype" w:hAnsi="Palatino Linotype"/>
        </w:rPr>
        <w:tab/>
        <w:t>dconway@porterwright.com</w:t>
      </w:r>
    </w:p>
    <w:p>
      <w:pPr>
        <w:keepNext/>
        <w:tabs>
          <w:tab w:val="left" w:pos="4590"/>
          <w:tab w:val="right" w:pos="7560"/>
        </w:tabs>
        <w:spacing w:line="320" w:lineRule="exact"/>
        <w:rPr>
          <w:rFonts w:ascii="Palatino Linotype" w:hAnsi="Palatino Linotype"/>
        </w:rPr>
      </w:pPr>
      <w:r>
        <w:rPr>
          <w:rFonts w:ascii="Palatino Linotype" w:hAnsi="Palatino Linotype"/>
        </w:rPr>
        <w:tab/>
        <w:t>mstemm@porterwright.com</w:t>
      </w:r>
    </w:p>
    <w:p>
      <w:pPr>
        <w:keepNext/>
        <w:tabs>
          <w:tab w:val="left" w:pos="4590"/>
          <w:tab w:val="right" w:pos="7560"/>
        </w:tabs>
        <w:spacing w:line="320" w:lineRule="exact"/>
        <w:rPr>
          <w:rFonts w:ascii="Palatino Linotype" w:hAnsi="Palatino Linotype"/>
        </w:rPr>
      </w:pPr>
      <w:r>
        <w:rPr>
          <w:rFonts w:ascii="Palatino Linotype" w:hAnsi="Palatino Linotype"/>
        </w:rPr>
        <w:tab/>
        <w:t>egallon@porterwright.com</w:t>
      </w:r>
      <w:r>
        <w:rPr>
          <w:rFonts w:ascii="Palatino Linotype" w:hAnsi="Palatino Linotype"/>
        </w:rPr>
        <w:tab/>
        <w:t xml:space="preserve">  </w:t>
      </w:r>
    </w:p>
    <w:p>
      <w:pPr>
        <w:widowControl w:val="0"/>
        <w:spacing w:line="320" w:lineRule="exact"/>
        <w:ind w:left="4320"/>
        <w:jc w:val="both"/>
        <w:rPr>
          <w:rFonts w:ascii="Palatino Linotype" w:hAnsi="Palatino Linotype"/>
        </w:rPr>
      </w:pPr>
    </w:p>
    <w:p>
      <w:pPr>
        <w:widowControl w:val="0"/>
        <w:spacing w:line="320" w:lineRule="exact"/>
        <w:ind w:left="4320" w:right="360"/>
        <w:jc w:val="both"/>
        <w:rPr>
          <w:rFonts w:ascii="Palatino Linotype" w:hAnsi="Palatino Linotype"/>
          <w:b/>
        </w:rPr>
      </w:pPr>
      <w:r>
        <w:rPr>
          <w:rFonts w:ascii="Palatino Linotype" w:hAnsi="Palatino Linotype"/>
          <w:b/>
        </w:rPr>
        <w:t>Attorneys for Movant</w:t>
      </w:r>
    </w:p>
    <w:p>
      <w:pPr>
        <w:widowControl w:val="0"/>
        <w:spacing w:line="320" w:lineRule="exact"/>
        <w:ind w:left="4320" w:right="360"/>
        <w:jc w:val="both"/>
        <w:rPr>
          <w:rFonts w:ascii="Palatino Linotype" w:hAnsi="Palatino Linotype"/>
          <w:b/>
          <w:spacing w:val="-12"/>
          <w:kern w:val="24"/>
          <w:u w:val="single"/>
        </w:rPr>
      </w:pPr>
      <w:r>
        <w:rPr>
          <w:rFonts w:ascii="Palatino Linotype" w:hAnsi="Palatino Linotype"/>
          <w:b/>
          <w:spacing w:val="-12"/>
          <w:kern w:val="2"/>
        </w:rPr>
        <w:t>COLUMBIA GAS OF OHIO, INC.</w:t>
      </w:r>
    </w:p>
    <w:p>
      <w:pPr>
        <w:spacing w:line="320" w:lineRule="exact"/>
        <w:jc w:val="center"/>
        <w:rPr>
          <w:rFonts w:ascii="Palatino Linotype" w:hAnsi="Palatino Linotype"/>
          <w:spacing w:val="-12"/>
          <w:kern w:val="24"/>
        </w:rPr>
      </w:pPr>
      <w:r>
        <w:rPr>
          <w:rFonts w:ascii="Palatino Linotype" w:hAnsi="Palatino Linotype"/>
          <w:b/>
          <w:spacing w:val="-12"/>
          <w:kern w:val="24"/>
          <w:u w:val="single"/>
        </w:rPr>
        <w:br w:type="page"/>
        <w:t>CERTIFICATE OF SERVICE</w:t>
      </w:r>
    </w:p>
    <w:p>
      <w:pPr>
        <w:spacing w:line="320" w:lineRule="exact"/>
        <w:jc w:val="center"/>
        <w:rPr>
          <w:rFonts w:ascii="Palatino Linotype" w:hAnsi="Palatino Linotype"/>
        </w:rPr>
      </w:pPr>
    </w:p>
    <w:p>
      <w:pPr>
        <w:spacing w:after="320" w:line="320" w:lineRule="exact"/>
        <w:ind w:firstLine="720"/>
        <w:jc w:val="both"/>
        <w:rPr>
          <w:rFonts w:ascii="Palatino Linotype" w:hAnsi="Palatino Linotype"/>
          <w:b/>
        </w:rPr>
      </w:pPr>
      <w:r>
        <w:rPr>
          <w:rFonts w:ascii="Palatino Linotype" w:hAnsi="Palatino Linotype"/>
        </w:rPr>
        <w:t>I hereby certify that a true and accurate copy of the foregoing Post-Hearing Brief of Columbia Gas of Ohio, Inc. was served by electronic mail upon the following parties this 11th day of December, 2012:</w:t>
      </w:r>
    </w:p>
    <w:tbl>
      <w:tblPr>
        <w:tblW w:w="0" w:type="auto"/>
        <w:tblLook w:val="01E0"/>
      </w:tblPr>
      <w:tblGrid>
        <w:gridCol w:w="4401"/>
        <w:gridCol w:w="4455"/>
      </w:tblGrid>
      <w:tr>
        <w:trPr>
          <w:cantSplit/>
        </w:trPr>
        <w:tc>
          <w:tcPr>
            <w:tcW w:w="4401" w:type="dxa"/>
          </w:tcPr>
          <w:p>
            <w:pPr>
              <w:spacing w:line="320" w:lineRule="exact"/>
              <w:jc w:val="both"/>
              <w:rPr>
                <w:rFonts w:ascii="Palatino Linotype" w:hAnsi="Palatino Linotype"/>
              </w:rPr>
            </w:pPr>
            <w:r>
              <w:rPr>
                <w:rFonts w:ascii="Palatino Linotype" w:hAnsi="Palatino Linotype"/>
              </w:rPr>
              <w:t>Stephen Reilly</w:t>
            </w:r>
          </w:p>
          <w:p>
            <w:pPr>
              <w:spacing w:line="320" w:lineRule="exact"/>
              <w:jc w:val="both"/>
              <w:rPr>
                <w:rFonts w:ascii="Palatino Linotype" w:hAnsi="Palatino Linotype"/>
              </w:rPr>
            </w:pPr>
            <w:r>
              <w:rPr>
                <w:rFonts w:ascii="Palatino Linotype" w:hAnsi="Palatino Linotype"/>
              </w:rPr>
              <w:t>Assistant Attorney General,</w:t>
            </w:r>
          </w:p>
          <w:p>
            <w:pPr>
              <w:spacing w:line="320" w:lineRule="exact"/>
              <w:jc w:val="both"/>
              <w:rPr>
                <w:rFonts w:ascii="Palatino Linotype" w:hAnsi="Palatino Linotype"/>
              </w:rPr>
            </w:pPr>
            <w:r>
              <w:rPr>
                <w:rFonts w:ascii="Palatino Linotype" w:hAnsi="Palatino Linotype"/>
              </w:rPr>
              <w:t>Public Utilities Section</w:t>
            </w:r>
          </w:p>
          <w:p>
            <w:pPr>
              <w:spacing w:line="320" w:lineRule="exact"/>
              <w:jc w:val="both"/>
              <w:rPr>
                <w:rFonts w:ascii="Palatino Linotype" w:hAnsi="Palatino Linotype"/>
              </w:rPr>
            </w:pPr>
            <w:r>
              <w:rPr>
                <w:rFonts w:ascii="Palatino Linotype" w:hAnsi="Palatino Linotype"/>
              </w:rPr>
              <w:t>Ohio Attorney General Mike DeWine</w:t>
            </w:r>
          </w:p>
          <w:p>
            <w:pPr>
              <w:spacing w:line="320" w:lineRule="exact"/>
              <w:jc w:val="both"/>
              <w:rPr>
                <w:rFonts w:ascii="Palatino Linotype" w:hAnsi="Palatino Linotype"/>
              </w:rPr>
            </w:pPr>
            <w:r>
              <w:rPr>
                <w:rFonts w:ascii="Palatino Linotype" w:hAnsi="Palatino Linotype"/>
              </w:rPr>
              <w:t>180 East Broad Street, 6th Floor</w:t>
            </w:r>
          </w:p>
          <w:p>
            <w:pPr>
              <w:spacing w:line="320" w:lineRule="exact"/>
              <w:jc w:val="both"/>
              <w:rPr>
                <w:rFonts w:ascii="Palatino Linotype" w:hAnsi="Palatino Linotype"/>
              </w:rPr>
            </w:pPr>
            <w:r>
              <w:rPr>
                <w:rFonts w:ascii="Palatino Linotype" w:hAnsi="Palatino Linotype"/>
              </w:rPr>
              <w:t>Columbus, Ohio 43215-3793</w:t>
            </w:r>
          </w:p>
          <w:p>
            <w:pPr>
              <w:spacing w:line="320" w:lineRule="exact"/>
              <w:jc w:val="both"/>
              <w:rPr>
                <w:rFonts w:ascii="Palatino Linotype" w:hAnsi="Palatino Linotype"/>
              </w:rPr>
            </w:pPr>
            <w:r>
              <w:rPr>
                <w:rFonts w:ascii="Palatino Linotype" w:hAnsi="Palatino Linotype"/>
              </w:rPr>
              <w:t>stephen.reilly@puc.state.oh.us</w:t>
            </w:r>
          </w:p>
          <w:p>
            <w:pPr>
              <w:spacing w:line="320" w:lineRule="exact"/>
              <w:jc w:val="both"/>
              <w:rPr>
                <w:rFonts w:ascii="Palatino Linotype" w:hAnsi="Palatino Linotype"/>
              </w:rPr>
            </w:pPr>
          </w:p>
          <w:p>
            <w:pPr>
              <w:spacing w:line="320" w:lineRule="exact"/>
              <w:jc w:val="both"/>
              <w:rPr>
                <w:rFonts w:ascii="Palatino Linotype" w:hAnsi="Palatino Linotype"/>
              </w:rPr>
            </w:pPr>
            <w:r>
              <w:rPr>
                <w:rFonts w:ascii="Palatino Linotype" w:hAnsi="Palatino Linotype"/>
              </w:rPr>
              <w:t>Attorney for</w:t>
            </w:r>
          </w:p>
          <w:p>
            <w:pPr>
              <w:spacing w:line="320" w:lineRule="exact"/>
              <w:jc w:val="both"/>
              <w:rPr>
                <w:rFonts w:ascii="Palatino Linotype" w:hAnsi="Palatino Linotype"/>
                <w:b/>
                <w:caps/>
                <w:spacing w:val="-12"/>
              </w:rPr>
            </w:pPr>
            <w:r>
              <w:rPr>
                <w:rFonts w:ascii="Palatino Linotype" w:hAnsi="Palatino Linotype"/>
                <w:b/>
                <w:caps/>
                <w:spacing w:val="-12"/>
              </w:rPr>
              <w:t>Staff of the Public Utilities Commission of Ohio</w:t>
            </w:r>
          </w:p>
          <w:p>
            <w:pPr>
              <w:spacing w:line="320" w:lineRule="exact"/>
              <w:jc w:val="both"/>
              <w:rPr>
                <w:rFonts w:ascii="Palatino Linotype" w:hAnsi="Palatino Linotype"/>
              </w:rPr>
            </w:pPr>
          </w:p>
        </w:tc>
        <w:tc>
          <w:tcPr>
            <w:tcW w:w="4455" w:type="dxa"/>
          </w:tcPr>
          <w:p>
            <w:pPr>
              <w:spacing w:line="320" w:lineRule="exact"/>
              <w:jc w:val="both"/>
              <w:rPr>
                <w:rFonts w:ascii="Palatino Linotype" w:hAnsi="Palatino Linotype"/>
              </w:rPr>
            </w:pPr>
            <w:r>
              <w:rPr>
                <w:rFonts w:ascii="Palatino Linotype" w:hAnsi="Palatino Linotype"/>
              </w:rPr>
              <w:t>M. Howard Petricoff</w:t>
            </w:r>
          </w:p>
          <w:p>
            <w:pPr>
              <w:spacing w:line="320" w:lineRule="exact"/>
              <w:jc w:val="both"/>
              <w:rPr>
                <w:rFonts w:ascii="Palatino Linotype" w:hAnsi="Palatino Linotype"/>
              </w:rPr>
            </w:pPr>
            <w:r>
              <w:rPr>
                <w:rFonts w:ascii="Palatino Linotype" w:hAnsi="Palatino Linotype"/>
              </w:rPr>
              <w:t>Vorys, Sater, Seymour and Pease LLP</w:t>
            </w:r>
          </w:p>
          <w:p>
            <w:pPr>
              <w:spacing w:line="320" w:lineRule="exact"/>
              <w:jc w:val="both"/>
              <w:rPr>
                <w:rFonts w:ascii="Palatino Linotype" w:hAnsi="Palatino Linotype"/>
              </w:rPr>
            </w:pPr>
            <w:r>
              <w:rPr>
                <w:rFonts w:ascii="Palatino Linotype" w:hAnsi="Palatino Linotype"/>
              </w:rPr>
              <w:t>52 East Gay Street</w:t>
            </w:r>
          </w:p>
          <w:p>
            <w:pPr>
              <w:spacing w:line="320" w:lineRule="exact"/>
              <w:jc w:val="both"/>
              <w:rPr>
                <w:rFonts w:ascii="Palatino Linotype" w:hAnsi="Palatino Linotype"/>
              </w:rPr>
            </w:pPr>
            <w:r>
              <w:rPr>
                <w:rFonts w:ascii="Palatino Linotype" w:hAnsi="Palatino Linotype"/>
              </w:rPr>
              <w:t>P.O. Box 1008</w:t>
            </w:r>
          </w:p>
          <w:p>
            <w:pPr>
              <w:spacing w:line="320" w:lineRule="exact"/>
              <w:jc w:val="both"/>
              <w:rPr>
                <w:rFonts w:ascii="Palatino Linotype" w:hAnsi="Palatino Linotype"/>
              </w:rPr>
            </w:pPr>
            <w:r>
              <w:rPr>
                <w:rFonts w:ascii="Palatino Linotype" w:hAnsi="Palatino Linotype"/>
              </w:rPr>
              <w:t>Columbus, OH 43216-1008</w:t>
            </w:r>
          </w:p>
          <w:p>
            <w:pPr>
              <w:spacing w:line="320" w:lineRule="exact"/>
              <w:jc w:val="both"/>
              <w:rPr>
                <w:rFonts w:ascii="Palatino Linotype" w:hAnsi="Palatino Linotype"/>
              </w:rPr>
            </w:pPr>
            <w:r>
              <w:rPr>
                <w:rFonts w:ascii="Palatino Linotype" w:hAnsi="Palatino Linotype"/>
              </w:rPr>
              <w:t>mhpetricoff@vorys.com</w:t>
            </w:r>
          </w:p>
          <w:p>
            <w:pPr>
              <w:spacing w:line="320" w:lineRule="exact"/>
              <w:jc w:val="both"/>
              <w:rPr>
                <w:rFonts w:ascii="Palatino Linotype" w:hAnsi="Palatino Linotype"/>
              </w:rPr>
            </w:pPr>
          </w:p>
          <w:p>
            <w:pPr>
              <w:spacing w:line="320" w:lineRule="exact"/>
              <w:jc w:val="both"/>
              <w:rPr>
                <w:rFonts w:ascii="Palatino Linotype" w:hAnsi="Palatino Linotype"/>
              </w:rPr>
            </w:pPr>
            <w:r>
              <w:rPr>
                <w:rFonts w:ascii="Palatino Linotype" w:hAnsi="Palatino Linotype"/>
              </w:rPr>
              <w:t>Attorney for</w:t>
            </w:r>
          </w:p>
          <w:p>
            <w:pPr>
              <w:spacing w:line="320" w:lineRule="exact"/>
              <w:jc w:val="both"/>
              <w:rPr>
                <w:rFonts w:ascii="Palatino Linotype" w:hAnsi="Palatino Linotype"/>
                <w:b/>
                <w:caps/>
                <w:spacing w:val="-12"/>
              </w:rPr>
            </w:pPr>
            <w:r>
              <w:rPr>
                <w:rFonts w:ascii="Palatino Linotype" w:hAnsi="Palatino Linotype"/>
                <w:b/>
                <w:caps/>
                <w:spacing w:val="-12"/>
              </w:rPr>
              <w:t>Ohio Gas Marketers Group, Retail Energy Supply</w:t>
            </w:r>
          </w:p>
          <w:p>
            <w:pPr>
              <w:spacing w:line="320" w:lineRule="exact"/>
              <w:jc w:val="both"/>
              <w:rPr>
                <w:rFonts w:ascii="Palatino Linotype" w:hAnsi="Palatino Linotype"/>
                <w:b/>
                <w:caps/>
                <w:spacing w:val="-12"/>
              </w:rPr>
            </w:pPr>
            <w:r>
              <w:rPr>
                <w:rFonts w:ascii="Palatino Linotype" w:hAnsi="Palatino Linotype"/>
                <w:b/>
                <w:caps/>
                <w:spacing w:val="-12"/>
              </w:rPr>
              <w:t>Association</w:t>
            </w:r>
          </w:p>
          <w:p>
            <w:pPr>
              <w:spacing w:line="320" w:lineRule="exact"/>
              <w:jc w:val="both"/>
              <w:rPr>
                <w:rFonts w:ascii="Palatino Linotype" w:hAnsi="Palatino Linotype"/>
              </w:rPr>
            </w:pPr>
          </w:p>
        </w:tc>
      </w:tr>
      <w:tr>
        <w:trPr>
          <w:cantSplit/>
        </w:trPr>
        <w:tc>
          <w:tcPr>
            <w:tcW w:w="4401" w:type="dxa"/>
          </w:tcPr>
          <w:p>
            <w:pPr>
              <w:spacing w:line="320" w:lineRule="exact"/>
              <w:rPr>
                <w:rFonts w:ascii="Palatino Linotype" w:hAnsi="Palatino Linotype"/>
              </w:rPr>
            </w:pPr>
            <w:r>
              <w:rPr>
                <w:rFonts w:ascii="Palatino Linotype" w:hAnsi="Palatino Linotype"/>
              </w:rPr>
              <w:t>Barth E. Royer</w:t>
            </w:r>
            <w:r>
              <w:rPr>
                <w:rFonts w:ascii="Palatino Linotype" w:hAnsi="Palatino Linotype"/>
              </w:rPr>
              <w:br/>
              <w:t>Bell &amp; Royer Co., LPA</w:t>
            </w:r>
            <w:r>
              <w:rPr>
                <w:rFonts w:ascii="Palatino Linotype" w:hAnsi="Palatino Linotype"/>
              </w:rPr>
              <w:br/>
              <w:t>33 South Grant Avenue</w:t>
            </w:r>
            <w:r>
              <w:rPr>
                <w:rFonts w:ascii="Palatino Linotype" w:hAnsi="Palatino Linotype"/>
              </w:rPr>
              <w:br/>
              <w:t>Columbus, Ohio 43215-3927</w:t>
            </w:r>
            <w:r>
              <w:rPr>
                <w:rFonts w:ascii="Palatino Linotype" w:hAnsi="Palatino Linotype"/>
              </w:rPr>
              <w:br/>
              <w:t>BarthRoyer@aol.com</w:t>
            </w:r>
          </w:p>
          <w:p>
            <w:pPr>
              <w:spacing w:line="320" w:lineRule="exact"/>
              <w:rPr>
                <w:rFonts w:ascii="Palatino Linotype" w:hAnsi="Palatino Linotype"/>
              </w:rPr>
            </w:pPr>
          </w:p>
          <w:p>
            <w:pPr>
              <w:spacing w:line="320" w:lineRule="exact"/>
              <w:rPr>
                <w:rFonts w:ascii="Palatino Linotype" w:hAnsi="Palatino Linotype"/>
              </w:rPr>
            </w:pPr>
            <w:r>
              <w:rPr>
                <w:rFonts w:ascii="Palatino Linotype" w:hAnsi="Palatino Linotype"/>
              </w:rPr>
              <w:t>Attorney for</w:t>
            </w:r>
          </w:p>
          <w:p>
            <w:pPr>
              <w:spacing w:line="320" w:lineRule="exact"/>
              <w:jc w:val="both"/>
              <w:rPr>
                <w:rFonts w:ascii="Palatino Linotype" w:hAnsi="Palatino Linotype"/>
                <w:b/>
                <w:spacing w:val="-12"/>
              </w:rPr>
            </w:pPr>
            <w:r>
              <w:rPr>
                <w:rFonts w:ascii="Palatino Linotype" w:hAnsi="Palatino Linotype"/>
                <w:b/>
                <w:spacing w:val="-12"/>
              </w:rPr>
              <w:t>DOMINION RETAIL, INC.</w:t>
            </w:r>
          </w:p>
          <w:p>
            <w:pPr>
              <w:spacing w:line="320" w:lineRule="exact"/>
              <w:jc w:val="both"/>
              <w:rPr>
                <w:rFonts w:ascii="Palatino Linotype" w:hAnsi="Palatino Linotype"/>
                <w:spacing w:val="-12"/>
              </w:rPr>
            </w:pPr>
          </w:p>
        </w:tc>
        <w:tc>
          <w:tcPr>
            <w:tcW w:w="4455" w:type="dxa"/>
          </w:tcPr>
          <w:p>
            <w:pPr>
              <w:spacing w:line="320" w:lineRule="exact"/>
              <w:jc w:val="both"/>
              <w:rPr>
                <w:rFonts w:ascii="Palatino Linotype" w:hAnsi="Palatino Linotype"/>
              </w:rPr>
            </w:pPr>
            <w:r>
              <w:rPr>
                <w:rFonts w:ascii="Palatino Linotype" w:hAnsi="Palatino Linotype"/>
              </w:rPr>
              <w:t>Dane Stinson, Esq.</w:t>
            </w:r>
          </w:p>
          <w:p>
            <w:pPr>
              <w:spacing w:line="320" w:lineRule="exact"/>
              <w:jc w:val="both"/>
              <w:rPr>
                <w:rFonts w:ascii="Palatino Linotype" w:hAnsi="Palatino Linotype"/>
              </w:rPr>
            </w:pPr>
            <w:r>
              <w:rPr>
                <w:rFonts w:ascii="Palatino Linotype" w:hAnsi="Palatino Linotype"/>
              </w:rPr>
              <w:t>Bailey Cavalieri LLC</w:t>
            </w:r>
          </w:p>
          <w:p>
            <w:pPr>
              <w:spacing w:line="320" w:lineRule="exact"/>
              <w:jc w:val="both"/>
              <w:rPr>
                <w:rFonts w:ascii="Palatino Linotype" w:hAnsi="Palatino Linotype"/>
              </w:rPr>
            </w:pPr>
            <w:r>
              <w:rPr>
                <w:rFonts w:ascii="Palatino Linotype" w:hAnsi="Palatino Linotype"/>
              </w:rPr>
              <w:t>10 West Broad Street, Suite 2100</w:t>
            </w:r>
          </w:p>
          <w:p>
            <w:pPr>
              <w:spacing w:line="320" w:lineRule="exact"/>
              <w:jc w:val="both"/>
              <w:rPr>
                <w:rFonts w:ascii="Palatino Linotype" w:hAnsi="Palatino Linotype"/>
              </w:rPr>
            </w:pPr>
            <w:r>
              <w:rPr>
                <w:rFonts w:ascii="Palatino Linotype" w:hAnsi="Palatino Linotype"/>
              </w:rPr>
              <w:t>Columbus, Ohio 43215</w:t>
            </w:r>
          </w:p>
          <w:p>
            <w:pPr>
              <w:spacing w:line="320" w:lineRule="exact"/>
              <w:jc w:val="both"/>
              <w:rPr>
                <w:rFonts w:ascii="Palatino Linotype" w:hAnsi="Palatino Linotype"/>
              </w:rPr>
            </w:pPr>
            <w:r>
              <w:rPr>
                <w:rFonts w:ascii="Palatino Linotype" w:hAnsi="Palatino Linotype"/>
              </w:rPr>
              <w:t>Dane.Stinson@BaileyCavalieri.com</w:t>
            </w:r>
          </w:p>
          <w:p>
            <w:pPr>
              <w:spacing w:line="320" w:lineRule="exact"/>
              <w:jc w:val="both"/>
              <w:rPr>
                <w:rFonts w:ascii="Palatino Linotype" w:hAnsi="Palatino Linotype"/>
              </w:rPr>
            </w:pPr>
          </w:p>
          <w:p>
            <w:pPr>
              <w:spacing w:line="320" w:lineRule="exact"/>
              <w:jc w:val="both"/>
              <w:rPr>
                <w:rFonts w:ascii="Palatino Linotype" w:hAnsi="Palatino Linotype"/>
              </w:rPr>
            </w:pPr>
            <w:r>
              <w:rPr>
                <w:rFonts w:ascii="Palatino Linotype" w:hAnsi="Palatino Linotype"/>
              </w:rPr>
              <w:t xml:space="preserve">Attorney for </w:t>
            </w:r>
          </w:p>
          <w:p>
            <w:pPr>
              <w:spacing w:line="320" w:lineRule="exact"/>
              <w:jc w:val="both"/>
              <w:rPr>
                <w:rFonts w:ascii="Palatino Linotype" w:hAnsi="Palatino Linotype"/>
                <w:b/>
                <w:caps/>
                <w:spacing w:val="-12"/>
              </w:rPr>
            </w:pPr>
            <w:r>
              <w:rPr>
                <w:rFonts w:ascii="Palatino Linotype" w:hAnsi="Palatino Linotype"/>
                <w:b/>
                <w:caps/>
                <w:spacing w:val="-12"/>
              </w:rPr>
              <w:t>Hess Corporation</w:t>
            </w:r>
          </w:p>
        </w:tc>
      </w:tr>
      <w:tr>
        <w:trPr>
          <w:cantSplit/>
        </w:trPr>
        <w:tc>
          <w:tcPr>
            <w:tcW w:w="4401" w:type="dxa"/>
          </w:tcPr>
          <w:p>
            <w:pPr>
              <w:spacing w:line="320" w:lineRule="exact"/>
              <w:jc w:val="both"/>
              <w:rPr>
                <w:rFonts w:ascii="Palatino Linotype" w:hAnsi="Palatino Linotype"/>
              </w:rPr>
            </w:pPr>
            <w:r>
              <w:rPr>
                <w:rFonts w:ascii="Palatino Linotype" w:hAnsi="Palatino Linotype"/>
              </w:rPr>
              <w:t>A. Brian McIntosh</w:t>
            </w:r>
          </w:p>
          <w:p>
            <w:pPr>
              <w:spacing w:line="320" w:lineRule="exact"/>
              <w:jc w:val="both"/>
              <w:rPr>
                <w:rFonts w:ascii="Palatino Linotype" w:hAnsi="Palatino Linotype"/>
              </w:rPr>
            </w:pPr>
            <w:r>
              <w:rPr>
                <w:rFonts w:ascii="Palatino Linotype" w:hAnsi="Palatino Linotype"/>
              </w:rPr>
              <w:t>McIntosh &amp; McIntosh</w:t>
            </w:r>
          </w:p>
          <w:p>
            <w:pPr>
              <w:spacing w:line="320" w:lineRule="exact"/>
              <w:jc w:val="both"/>
              <w:rPr>
                <w:rFonts w:ascii="Palatino Linotype" w:hAnsi="Palatino Linotype"/>
              </w:rPr>
            </w:pPr>
            <w:r>
              <w:rPr>
                <w:rFonts w:ascii="Palatino Linotype" w:hAnsi="Palatino Linotype"/>
              </w:rPr>
              <w:t>1136 Saint Gregory Street, Suite 100</w:t>
            </w:r>
          </w:p>
          <w:p>
            <w:pPr>
              <w:spacing w:line="320" w:lineRule="exact"/>
              <w:jc w:val="both"/>
              <w:rPr>
                <w:rFonts w:ascii="Palatino Linotype" w:hAnsi="Palatino Linotype"/>
              </w:rPr>
            </w:pPr>
            <w:r>
              <w:rPr>
                <w:rFonts w:ascii="Palatino Linotype" w:hAnsi="Palatino Linotype"/>
              </w:rPr>
              <w:t>Cincinnati, Ohio 45202</w:t>
            </w:r>
          </w:p>
          <w:p>
            <w:pPr>
              <w:spacing w:line="320" w:lineRule="exact"/>
              <w:jc w:val="both"/>
              <w:rPr>
                <w:rFonts w:ascii="Palatino Linotype" w:hAnsi="Palatino Linotype"/>
              </w:rPr>
            </w:pPr>
            <w:r>
              <w:rPr>
                <w:rFonts w:ascii="Palatino Linotype" w:hAnsi="Palatino Linotype"/>
              </w:rPr>
              <w:t>brian@mcintoshlaw.com</w:t>
            </w:r>
          </w:p>
          <w:p>
            <w:pPr>
              <w:spacing w:line="320" w:lineRule="exact"/>
              <w:jc w:val="both"/>
              <w:rPr>
                <w:rFonts w:ascii="Palatino Linotype" w:hAnsi="Palatino Linotype"/>
              </w:rPr>
            </w:pPr>
          </w:p>
          <w:p>
            <w:pPr>
              <w:spacing w:line="320" w:lineRule="exact"/>
              <w:jc w:val="both"/>
              <w:rPr>
                <w:rFonts w:ascii="Palatino Linotype" w:hAnsi="Palatino Linotype"/>
              </w:rPr>
            </w:pPr>
            <w:r>
              <w:rPr>
                <w:rFonts w:ascii="Palatino Linotype" w:hAnsi="Palatino Linotype"/>
              </w:rPr>
              <w:t>Attorney for</w:t>
            </w:r>
          </w:p>
          <w:p>
            <w:pPr>
              <w:spacing w:line="320" w:lineRule="exact"/>
              <w:jc w:val="both"/>
              <w:rPr>
                <w:rFonts w:ascii="Palatino Linotype" w:hAnsi="Palatino Linotype"/>
                <w:b/>
                <w:spacing w:val="-12"/>
              </w:rPr>
            </w:pPr>
            <w:r>
              <w:rPr>
                <w:rFonts w:ascii="Palatino Linotype" w:hAnsi="Palatino Linotype"/>
                <w:b/>
                <w:spacing w:val="-12"/>
              </w:rPr>
              <w:t>STAND ENERGY CORPORATION</w:t>
            </w:r>
          </w:p>
          <w:p>
            <w:pPr>
              <w:spacing w:line="320" w:lineRule="exact"/>
              <w:jc w:val="both"/>
              <w:rPr>
                <w:rFonts w:ascii="Palatino Linotype" w:hAnsi="Palatino Linotype"/>
                <w:b/>
                <w:caps/>
                <w:spacing w:val="-12"/>
              </w:rPr>
            </w:pPr>
          </w:p>
        </w:tc>
        <w:tc>
          <w:tcPr>
            <w:tcW w:w="4455" w:type="dxa"/>
          </w:tcPr>
          <w:p>
            <w:pPr>
              <w:spacing w:line="320" w:lineRule="exact"/>
              <w:jc w:val="both"/>
              <w:rPr>
                <w:rFonts w:ascii="Palatino Linotype" w:hAnsi="Palatino Linotype"/>
              </w:rPr>
            </w:pPr>
            <w:r>
              <w:rPr>
                <w:rFonts w:ascii="Palatino Linotype" w:hAnsi="Palatino Linotype"/>
              </w:rPr>
              <w:t>Colleen Mooney</w:t>
            </w:r>
          </w:p>
          <w:p>
            <w:pPr>
              <w:spacing w:line="320" w:lineRule="exact"/>
              <w:jc w:val="both"/>
              <w:rPr>
                <w:rFonts w:ascii="Palatino Linotype" w:hAnsi="Palatino Linotype"/>
              </w:rPr>
            </w:pPr>
            <w:r>
              <w:rPr>
                <w:rFonts w:ascii="Palatino Linotype" w:hAnsi="Palatino Linotype"/>
              </w:rPr>
              <w:t>Ohio Partners for Affordable Energy</w:t>
            </w:r>
          </w:p>
          <w:p>
            <w:pPr>
              <w:spacing w:line="320" w:lineRule="exact"/>
              <w:jc w:val="both"/>
              <w:rPr>
                <w:rFonts w:ascii="Palatino Linotype" w:hAnsi="Palatino Linotype"/>
              </w:rPr>
            </w:pPr>
            <w:r>
              <w:rPr>
                <w:rFonts w:ascii="Palatino Linotype" w:hAnsi="Palatino Linotype"/>
              </w:rPr>
              <w:t>231 West Lima Street</w:t>
            </w:r>
          </w:p>
          <w:p>
            <w:pPr>
              <w:spacing w:line="320" w:lineRule="exact"/>
              <w:jc w:val="both"/>
              <w:rPr>
                <w:rFonts w:ascii="Palatino Linotype" w:hAnsi="Palatino Linotype"/>
              </w:rPr>
            </w:pPr>
            <w:r>
              <w:rPr>
                <w:rFonts w:ascii="Palatino Linotype" w:hAnsi="Palatino Linotype"/>
              </w:rPr>
              <w:t>P.O. Box 1793</w:t>
            </w:r>
          </w:p>
          <w:p>
            <w:pPr>
              <w:spacing w:line="320" w:lineRule="exact"/>
              <w:jc w:val="both"/>
              <w:rPr>
                <w:rFonts w:ascii="Palatino Linotype" w:hAnsi="Palatino Linotype"/>
              </w:rPr>
            </w:pPr>
            <w:r>
              <w:rPr>
                <w:rFonts w:ascii="Palatino Linotype" w:hAnsi="Palatino Linotype"/>
              </w:rPr>
              <w:t>Findlay, OH 45839-1793</w:t>
            </w:r>
          </w:p>
          <w:p>
            <w:pPr>
              <w:spacing w:line="320" w:lineRule="exact"/>
              <w:jc w:val="both"/>
              <w:rPr>
                <w:rFonts w:ascii="Palatino Linotype" w:hAnsi="Palatino Linotype"/>
              </w:rPr>
            </w:pPr>
            <w:r>
              <w:rPr>
                <w:rFonts w:ascii="Palatino Linotype" w:hAnsi="Palatino Linotype"/>
              </w:rPr>
              <w:t>cmooney@ohiopartners.org</w:t>
            </w:r>
          </w:p>
          <w:p>
            <w:pPr>
              <w:spacing w:line="320" w:lineRule="exact"/>
              <w:jc w:val="both"/>
              <w:rPr>
                <w:rFonts w:ascii="Palatino Linotype" w:hAnsi="Palatino Linotype"/>
              </w:rPr>
            </w:pPr>
          </w:p>
          <w:p>
            <w:pPr>
              <w:spacing w:line="320" w:lineRule="exact"/>
              <w:jc w:val="both"/>
              <w:rPr>
                <w:rFonts w:ascii="Palatino Linotype" w:hAnsi="Palatino Linotype"/>
              </w:rPr>
            </w:pPr>
            <w:r>
              <w:rPr>
                <w:rFonts w:ascii="Palatino Linotype" w:hAnsi="Palatino Linotype"/>
              </w:rPr>
              <w:t>Attorney for</w:t>
            </w:r>
          </w:p>
          <w:p>
            <w:pPr>
              <w:spacing w:line="320" w:lineRule="exact"/>
              <w:jc w:val="both"/>
              <w:rPr>
                <w:rFonts w:ascii="Palatino Linotype" w:hAnsi="Palatino Linotype"/>
              </w:rPr>
            </w:pPr>
            <w:r>
              <w:rPr>
                <w:rFonts w:ascii="Palatino Linotype" w:hAnsi="Palatino Linotype"/>
                <w:b/>
                <w:spacing w:val="-12"/>
              </w:rPr>
              <w:t>OHIO PARTNERS FOR AFFORDABLE ENERGY</w:t>
            </w:r>
          </w:p>
        </w:tc>
      </w:tr>
      <w:tr>
        <w:trPr>
          <w:cantSplit/>
        </w:trPr>
        <w:tc>
          <w:tcPr>
            <w:tcW w:w="4401" w:type="dxa"/>
          </w:tcPr>
          <w:p>
            <w:pPr>
              <w:spacing w:line="320" w:lineRule="exact"/>
              <w:jc w:val="both"/>
              <w:rPr>
                <w:rFonts w:ascii="Palatino Linotype" w:hAnsi="Palatino Linotype"/>
              </w:rPr>
            </w:pPr>
            <w:r>
              <w:rPr>
                <w:rFonts w:ascii="Palatino Linotype" w:hAnsi="Palatino Linotype"/>
              </w:rPr>
              <w:t>Larry S. Sauer</w:t>
            </w:r>
          </w:p>
          <w:p>
            <w:pPr>
              <w:spacing w:line="320" w:lineRule="exact"/>
              <w:jc w:val="both"/>
              <w:rPr>
                <w:rFonts w:ascii="Palatino Linotype" w:hAnsi="Palatino Linotype"/>
              </w:rPr>
            </w:pPr>
            <w:r>
              <w:rPr>
                <w:rFonts w:ascii="Palatino Linotype" w:hAnsi="Palatino Linotype"/>
              </w:rPr>
              <w:t>Joseph P. Serio</w:t>
            </w:r>
          </w:p>
          <w:p>
            <w:pPr>
              <w:spacing w:line="320" w:lineRule="exact"/>
              <w:jc w:val="both"/>
              <w:rPr>
                <w:rFonts w:ascii="Palatino Linotype" w:hAnsi="Palatino Linotype"/>
              </w:rPr>
            </w:pPr>
            <w:r>
              <w:rPr>
                <w:rFonts w:ascii="Palatino Linotype" w:hAnsi="Palatino Linotype"/>
              </w:rPr>
              <w:t>Assistant Consumers’ Counsel</w:t>
            </w:r>
          </w:p>
          <w:p>
            <w:pPr>
              <w:spacing w:line="320" w:lineRule="exact"/>
              <w:jc w:val="both"/>
              <w:rPr>
                <w:rFonts w:ascii="Palatino Linotype" w:hAnsi="Palatino Linotype"/>
              </w:rPr>
            </w:pPr>
            <w:r>
              <w:rPr>
                <w:rFonts w:ascii="Palatino Linotype" w:hAnsi="Palatino Linotype"/>
              </w:rPr>
              <w:t>Office of the Ohio Consumers’ Counsel</w:t>
            </w:r>
          </w:p>
          <w:p>
            <w:pPr>
              <w:spacing w:line="320" w:lineRule="exact"/>
              <w:jc w:val="both"/>
              <w:rPr>
                <w:rFonts w:ascii="Palatino Linotype" w:hAnsi="Palatino Linotype"/>
              </w:rPr>
            </w:pPr>
            <w:r>
              <w:rPr>
                <w:rFonts w:ascii="Palatino Linotype" w:hAnsi="Palatino Linotype"/>
              </w:rPr>
              <w:t>10 West Broad Street, Suite 1800</w:t>
            </w:r>
          </w:p>
          <w:p>
            <w:pPr>
              <w:spacing w:line="320" w:lineRule="exact"/>
              <w:jc w:val="both"/>
              <w:rPr>
                <w:rFonts w:ascii="Palatino Linotype" w:hAnsi="Palatino Linotype"/>
              </w:rPr>
            </w:pPr>
            <w:r>
              <w:rPr>
                <w:rFonts w:ascii="Palatino Linotype" w:hAnsi="Palatino Linotype"/>
              </w:rPr>
              <w:t>Columbus, Ohio 43215-3485</w:t>
            </w:r>
          </w:p>
          <w:p>
            <w:pPr>
              <w:spacing w:line="320" w:lineRule="exact"/>
              <w:jc w:val="both"/>
              <w:rPr>
                <w:rFonts w:ascii="Palatino Linotype" w:hAnsi="Palatino Linotype"/>
              </w:rPr>
            </w:pPr>
            <w:r>
              <w:rPr>
                <w:rFonts w:ascii="Palatino Linotype" w:hAnsi="Palatino Linotype"/>
              </w:rPr>
              <w:t>sauer@occ.state.oh.us</w:t>
            </w:r>
          </w:p>
          <w:p>
            <w:pPr>
              <w:spacing w:line="320" w:lineRule="exact"/>
              <w:jc w:val="both"/>
              <w:rPr>
                <w:rFonts w:ascii="Palatino Linotype" w:hAnsi="Palatino Linotype"/>
              </w:rPr>
            </w:pPr>
            <w:r>
              <w:rPr>
                <w:rFonts w:ascii="Palatino Linotype" w:hAnsi="Palatino Linotype"/>
              </w:rPr>
              <w:t>serio@occ.state.oh.us</w:t>
            </w:r>
          </w:p>
          <w:p>
            <w:pPr>
              <w:spacing w:line="320" w:lineRule="exact"/>
              <w:jc w:val="both"/>
              <w:rPr>
                <w:rFonts w:ascii="Palatino Linotype" w:hAnsi="Palatino Linotype"/>
              </w:rPr>
            </w:pPr>
          </w:p>
          <w:p>
            <w:pPr>
              <w:spacing w:line="320" w:lineRule="exact"/>
              <w:jc w:val="both"/>
              <w:rPr>
                <w:rFonts w:ascii="Palatino Linotype" w:hAnsi="Palatino Linotype"/>
              </w:rPr>
            </w:pPr>
            <w:r>
              <w:rPr>
                <w:rFonts w:ascii="Palatino Linotype" w:hAnsi="Palatino Linotype"/>
              </w:rPr>
              <w:t>Attorneys for</w:t>
            </w:r>
          </w:p>
          <w:p>
            <w:pPr>
              <w:spacing w:line="320" w:lineRule="exact"/>
              <w:jc w:val="both"/>
              <w:rPr>
                <w:rFonts w:ascii="Palatino Linotype" w:hAnsi="Palatino Linotype"/>
                <w:b/>
                <w:caps/>
                <w:spacing w:val="-12"/>
              </w:rPr>
            </w:pPr>
            <w:r>
              <w:rPr>
                <w:rFonts w:ascii="Palatino Linotype" w:hAnsi="Palatino Linotype"/>
                <w:b/>
                <w:caps/>
                <w:spacing w:val="-12"/>
              </w:rPr>
              <w:t>Office of the Ohio Consumers’ Counsel</w:t>
            </w:r>
          </w:p>
          <w:p>
            <w:pPr>
              <w:spacing w:line="320" w:lineRule="exact"/>
              <w:jc w:val="both"/>
              <w:rPr>
                <w:rFonts w:ascii="Palatino Linotype" w:hAnsi="Palatino Linotype"/>
                <w:b/>
                <w:spacing w:val="-12"/>
              </w:rPr>
            </w:pPr>
          </w:p>
        </w:tc>
        <w:tc>
          <w:tcPr>
            <w:tcW w:w="4455" w:type="dxa"/>
          </w:tcPr>
          <w:p>
            <w:pPr>
              <w:spacing w:line="320" w:lineRule="exact"/>
              <w:jc w:val="both"/>
              <w:rPr>
                <w:rFonts w:ascii="Palatino Linotype" w:hAnsi="Palatino Linotype"/>
              </w:rPr>
            </w:pPr>
            <w:r>
              <w:rPr>
                <w:rFonts w:ascii="Palatino Linotype" w:hAnsi="Palatino Linotype"/>
              </w:rPr>
              <w:t>Glenn S. Krassen</w:t>
            </w:r>
          </w:p>
          <w:p>
            <w:pPr>
              <w:spacing w:line="320" w:lineRule="exact"/>
              <w:jc w:val="both"/>
              <w:rPr>
                <w:rFonts w:ascii="Palatino Linotype" w:hAnsi="Palatino Linotype"/>
              </w:rPr>
            </w:pPr>
            <w:r>
              <w:rPr>
                <w:rFonts w:ascii="Palatino Linotype" w:hAnsi="Palatino Linotype"/>
              </w:rPr>
              <w:t>Bricker &amp; Eckler LLP</w:t>
            </w:r>
          </w:p>
          <w:p>
            <w:pPr>
              <w:spacing w:line="320" w:lineRule="exact"/>
              <w:jc w:val="both"/>
              <w:rPr>
                <w:rFonts w:ascii="Palatino Linotype" w:hAnsi="Palatino Linotype"/>
              </w:rPr>
            </w:pPr>
            <w:r>
              <w:rPr>
                <w:rFonts w:ascii="Palatino Linotype" w:hAnsi="Palatino Linotype"/>
              </w:rPr>
              <w:t>1001 Lakeside Ave. East, Suite 1350</w:t>
            </w:r>
          </w:p>
          <w:p>
            <w:pPr>
              <w:spacing w:line="320" w:lineRule="exact"/>
              <w:jc w:val="both"/>
              <w:rPr>
                <w:rFonts w:ascii="Palatino Linotype" w:hAnsi="Palatino Linotype"/>
              </w:rPr>
            </w:pPr>
            <w:r>
              <w:rPr>
                <w:rFonts w:ascii="Palatino Linotype" w:hAnsi="Palatino Linotype"/>
              </w:rPr>
              <w:t>Cleveland, Ohio 44114</w:t>
            </w:r>
          </w:p>
          <w:p>
            <w:pPr>
              <w:spacing w:line="320" w:lineRule="exact"/>
              <w:jc w:val="both"/>
              <w:rPr>
                <w:rFonts w:ascii="Palatino Linotype" w:hAnsi="Palatino Linotype"/>
              </w:rPr>
            </w:pPr>
            <w:r>
              <w:rPr>
                <w:rFonts w:ascii="Palatino Linotype" w:hAnsi="Palatino Linotype"/>
              </w:rPr>
              <w:t>gkrassen@bricker.com</w:t>
            </w:r>
          </w:p>
          <w:p>
            <w:pPr>
              <w:spacing w:line="320" w:lineRule="exact"/>
              <w:jc w:val="both"/>
              <w:rPr>
                <w:rFonts w:ascii="Palatino Linotype" w:hAnsi="Palatino Linotype"/>
              </w:rPr>
            </w:pPr>
          </w:p>
          <w:p>
            <w:pPr>
              <w:spacing w:line="320" w:lineRule="exact"/>
              <w:jc w:val="both"/>
              <w:rPr>
                <w:rFonts w:ascii="Palatino Linotype" w:hAnsi="Palatino Linotype"/>
              </w:rPr>
            </w:pPr>
            <w:r>
              <w:rPr>
                <w:rFonts w:ascii="Palatino Linotype" w:hAnsi="Palatino Linotype"/>
              </w:rPr>
              <w:t>Matthew W. Warnock</w:t>
            </w:r>
          </w:p>
          <w:p>
            <w:pPr>
              <w:spacing w:line="320" w:lineRule="exact"/>
              <w:jc w:val="both"/>
              <w:rPr>
                <w:rFonts w:ascii="Palatino Linotype" w:hAnsi="Palatino Linotype"/>
              </w:rPr>
            </w:pPr>
            <w:r>
              <w:rPr>
                <w:rFonts w:ascii="Palatino Linotype" w:hAnsi="Palatino Linotype"/>
              </w:rPr>
              <w:t>Bricker &amp; Eckler LLP</w:t>
            </w:r>
          </w:p>
          <w:p>
            <w:pPr>
              <w:spacing w:line="320" w:lineRule="exact"/>
              <w:jc w:val="both"/>
              <w:rPr>
                <w:rFonts w:ascii="Palatino Linotype" w:hAnsi="Palatino Linotype"/>
              </w:rPr>
            </w:pPr>
            <w:r>
              <w:rPr>
                <w:rFonts w:ascii="Palatino Linotype" w:hAnsi="Palatino Linotype"/>
              </w:rPr>
              <w:t>100 S. Third Street</w:t>
            </w:r>
          </w:p>
          <w:p>
            <w:pPr>
              <w:spacing w:line="320" w:lineRule="exact"/>
              <w:jc w:val="both"/>
              <w:rPr>
                <w:rFonts w:ascii="Palatino Linotype" w:hAnsi="Palatino Linotype"/>
              </w:rPr>
            </w:pPr>
            <w:r>
              <w:rPr>
                <w:rFonts w:ascii="Palatino Linotype" w:hAnsi="Palatino Linotype"/>
              </w:rPr>
              <w:t>Columbus, Ohio 43215</w:t>
            </w:r>
          </w:p>
          <w:p>
            <w:pPr>
              <w:spacing w:line="320" w:lineRule="exact"/>
              <w:jc w:val="both"/>
              <w:rPr>
                <w:rFonts w:ascii="Palatino Linotype" w:hAnsi="Palatino Linotype"/>
              </w:rPr>
            </w:pPr>
            <w:r>
              <w:rPr>
                <w:rFonts w:ascii="Palatino Linotype" w:hAnsi="Palatino Linotype"/>
              </w:rPr>
              <w:t>mwarnock@bricker.com</w:t>
            </w:r>
          </w:p>
          <w:p>
            <w:pPr>
              <w:spacing w:line="320" w:lineRule="exact"/>
              <w:jc w:val="both"/>
              <w:rPr>
                <w:rFonts w:ascii="Palatino Linotype" w:hAnsi="Palatino Linotype"/>
              </w:rPr>
            </w:pPr>
          </w:p>
          <w:p>
            <w:pPr>
              <w:spacing w:line="320" w:lineRule="exact"/>
              <w:jc w:val="both"/>
              <w:rPr>
                <w:rFonts w:ascii="Palatino Linotype" w:hAnsi="Palatino Linotype"/>
              </w:rPr>
            </w:pPr>
            <w:r>
              <w:rPr>
                <w:rFonts w:ascii="Palatino Linotype" w:hAnsi="Palatino Linotype"/>
              </w:rPr>
              <w:t>Attorneys for</w:t>
            </w:r>
          </w:p>
          <w:p>
            <w:pPr>
              <w:spacing w:line="320" w:lineRule="exact"/>
              <w:jc w:val="both"/>
              <w:rPr>
                <w:rFonts w:ascii="Palatino Linotype" w:hAnsi="Palatino Linotype"/>
                <w:b/>
              </w:rPr>
            </w:pPr>
            <w:r>
              <w:rPr>
                <w:rFonts w:ascii="Palatino Linotype" w:hAnsi="Palatino Linotype"/>
                <w:b/>
                <w:spacing w:val="-12"/>
              </w:rPr>
              <w:t>NORTHEAST OHIO PUBLIC ENERGY COUNCIL</w:t>
            </w:r>
            <w:r>
              <w:rPr>
                <w:rFonts w:ascii="Palatino Linotype" w:hAnsi="Palatino Linotype"/>
                <w:b/>
              </w:rPr>
              <w:t xml:space="preserve"> </w:t>
            </w:r>
            <w:r>
              <w:rPr>
                <w:rFonts w:ascii="Palatino Linotype" w:hAnsi="Palatino Linotype"/>
              </w:rPr>
              <w:t>and</w:t>
            </w:r>
          </w:p>
          <w:p>
            <w:pPr>
              <w:spacing w:line="320" w:lineRule="exact"/>
              <w:jc w:val="both"/>
              <w:rPr>
                <w:rFonts w:ascii="Palatino Linotype" w:hAnsi="Palatino Linotype"/>
                <w:b/>
                <w:spacing w:val="-12"/>
              </w:rPr>
            </w:pPr>
            <w:r>
              <w:rPr>
                <w:rFonts w:ascii="Palatino Linotype" w:hAnsi="Palatino Linotype"/>
                <w:b/>
                <w:spacing w:val="-12"/>
              </w:rPr>
              <w:t xml:space="preserve">OHIO SCHOOLS COUNCIL </w:t>
            </w:r>
          </w:p>
          <w:p>
            <w:pPr>
              <w:spacing w:line="320" w:lineRule="exact"/>
              <w:jc w:val="both"/>
              <w:rPr>
                <w:rFonts w:ascii="Palatino Linotype" w:hAnsi="Palatino Linotype"/>
                <w:b/>
              </w:rPr>
            </w:pPr>
          </w:p>
        </w:tc>
      </w:tr>
      <w:tr>
        <w:trPr>
          <w:cantSplit/>
        </w:trPr>
        <w:tc>
          <w:tcPr>
            <w:tcW w:w="4401" w:type="dxa"/>
          </w:tcPr>
          <w:p>
            <w:pPr>
              <w:spacing w:line="320" w:lineRule="exact"/>
              <w:jc w:val="both"/>
              <w:rPr>
                <w:rFonts w:ascii="Palatino Linotype" w:hAnsi="Palatino Linotype"/>
              </w:rPr>
            </w:pPr>
            <w:r>
              <w:rPr>
                <w:rFonts w:ascii="Palatino Linotype" w:hAnsi="Palatino Linotype"/>
              </w:rPr>
              <w:t>John L. Einstein, IV</w:t>
            </w:r>
          </w:p>
          <w:p>
            <w:pPr>
              <w:spacing w:line="320" w:lineRule="exact"/>
              <w:jc w:val="both"/>
              <w:rPr>
                <w:rFonts w:ascii="Palatino Linotype" w:hAnsi="Palatino Linotype"/>
              </w:rPr>
            </w:pPr>
            <w:r>
              <w:rPr>
                <w:rFonts w:ascii="Palatino Linotype" w:hAnsi="Palatino Linotype"/>
              </w:rPr>
              <w:t>790 Windmiller Drive</w:t>
            </w:r>
          </w:p>
          <w:p>
            <w:pPr>
              <w:spacing w:line="320" w:lineRule="exact"/>
              <w:jc w:val="both"/>
              <w:rPr>
                <w:rFonts w:ascii="Palatino Linotype" w:hAnsi="Palatino Linotype"/>
              </w:rPr>
            </w:pPr>
            <w:r>
              <w:rPr>
                <w:rFonts w:ascii="Palatino Linotype" w:hAnsi="Palatino Linotype"/>
              </w:rPr>
              <w:t>Pickerington, Ohio 43147</w:t>
            </w:r>
          </w:p>
          <w:p>
            <w:pPr>
              <w:spacing w:line="320" w:lineRule="exact"/>
              <w:jc w:val="both"/>
              <w:rPr>
                <w:rFonts w:ascii="Palatino Linotype" w:hAnsi="Palatino Linotype"/>
              </w:rPr>
            </w:pPr>
            <w:r>
              <w:rPr>
                <w:rFonts w:ascii="Palatino Linotype" w:hAnsi="Palatino Linotype"/>
              </w:rPr>
              <w:t>jeinstein@volunteerenergy.com</w:t>
            </w:r>
          </w:p>
          <w:p>
            <w:pPr>
              <w:spacing w:line="320" w:lineRule="exact"/>
              <w:jc w:val="both"/>
              <w:rPr>
                <w:rFonts w:ascii="Palatino Linotype" w:hAnsi="Palatino Linotype"/>
              </w:rPr>
            </w:pPr>
          </w:p>
          <w:p>
            <w:pPr>
              <w:spacing w:line="320" w:lineRule="exact"/>
              <w:jc w:val="both"/>
              <w:rPr>
                <w:rFonts w:ascii="Palatino Linotype" w:hAnsi="Palatino Linotype"/>
              </w:rPr>
            </w:pPr>
            <w:r>
              <w:rPr>
                <w:rFonts w:ascii="Palatino Linotype" w:hAnsi="Palatino Linotype"/>
              </w:rPr>
              <w:t>Attorney for</w:t>
            </w:r>
          </w:p>
          <w:p>
            <w:pPr>
              <w:spacing w:line="320" w:lineRule="exact"/>
              <w:jc w:val="both"/>
              <w:rPr>
                <w:rFonts w:ascii="Palatino Linotype" w:hAnsi="Palatino Linotype"/>
                <w:b/>
                <w:caps/>
                <w:spacing w:val="-12"/>
              </w:rPr>
            </w:pPr>
            <w:r>
              <w:rPr>
                <w:rFonts w:ascii="Palatino Linotype" w:hAnsi="Palatino Linotype"/>
                <w:b/>
                <w:caps/>
                <w:spacing w:val="-12"/>
              </w:rPr>
              <w:t>Volunteer Energy Services, Inc.</w:t>
            </w:r>
          </w:p>
        </w:tc>
        <w:tc>
          <w:tcPr>
            <w:tcW w:w="4455" w:type="dxa"/>
          </w:tcPr>
          <w:p>
            <w:pPr>
              <w:spacing w:line="320" w:lineRule="exact"/>
              <w:jc w:val="both"/>
              <w:rPr>
                <w:rFonts w:ascii="Palatino Linotype" w:hAnsi="Palatino Linotype"/>
              </w:rPr>
            </w:pPr>
            <w:r>
              <w:rPr>
                <w:rFonts w:ascii="Palatino Linotype" w:hAnsi="Palatino Linotype"/>
              </w:rPr>
              <w:t>Joseph M. Clark</w:t>
            </w:r>
          </w:p>
          <w:p>
            <w:pPr>
              <w:spacing w:line="320" w:lineRule="exact"/>
              <w:jc w:val="both"/>
              <w:rPr>
                <w:rFonts w:ascii="Palatino Linotype" w:hAnsi="Palatino Linotype"/>
              </w:rPr>
            </w:pPr>
            <w:r>
              <w:rPr>
                <w:rFonts w:ascii="Palatino Linotype" w:hAnsi="Palatino Linotype"/>
              </w:rPr>
              <w:t>6641 North High Street, Suite 200</w:t>
            </w:r>
          </w:p>
          <w:p>
            <w:pPr>
              <w:spacing w:line="320" w:lineRule="exact"/>
              <w:jc w:val="both"/>
              <w:rPr>
                <w:rFonts w:ascii="Palatino Linotype" w:hAnsi="Palatino Linotype"/>
              </w:rPr>
            </w:pPr>
            <w:r>
              <w:rPr>
                <w:rFonts w:ascii="Palatino Linotype" w:hAnsi="Palatino Linotype"/>
              </w:rPr>
              <w:t>Worthington, Ohio 43085</w:t>
            </w:r>
          </w:p>
          <w:p>
            <w:pPr>
              <w:spacing w:line="320" w:lineRule="exact"/>
              <w:jc w:val="both"/>
              <w:rPr>
                <w:rFonts w:ascii="Palatino Linotype" w:hAnsi="Palatino Linotype"/>
              </w:rPr>
            </w:pPr>
            <w:r>
              <w:rPr>
                <w:rFonts w:ascii="Palatino Linotype" w:hAnsi="Palatino Linotype"/>
              </w:rPr>
              <w:t>joseph.clark@directenergy.com</w:t>
            </w:r>
          </w:p>
          <w:p>
            <w:pPr>
              <w:spacing w:line="320" w:lineRule="exact"/>
              <w:jc w:val="both"/>
              <w:rPr>
                <w:rFonts w:ascii="Palatino Linotype" w:hAnsi="Palatino Linotype"/>
              </w:rPr>
            </w:pPr>
          </w:p>
          <w:p>
            <w:pPr>
              <w:spacing w:line="320" w:lineRule="exact"/>
              <w:jc w:val="both"/>
              <w:rPr>
                <w:rFonts w:ascii="Palatino Linotype" w:hAnsi="Palatino Linotype"/>
                <w:b/>
                <w:caps/>
                <w:spacing w:val="-12"/>
              </w:rPr>
            </w:pPr>
            <w:r>
              <w:rPr>
                <w:rFonts w:ascii="Palatino Linotype" w:hAnsi="Palatino Linotype"/>
                <w:b/>
                <w:caps/>
                <w:spacing w:val="-12"/>
              </w:rPr>
              <w:t>Attorney for Direct Energy Services, LLC and Direct Energy Business, LLC</w:t>
            </w:r>
          </w:p>
          <w:p>
            <w:pPr>
              <w:spacing w:line="320" w:lineRule="exact"/>
              <w:jc w:val="both"/>
              <w:rPr>
                <w:rFonts w:ascii="Palatino Linotype" w:hAnsi="Palatino Linotype"/>
                <w:b/>
                <w:caps/>
                <w:spacing w:val="-12"/>
              </w:rPr>
            </w:pPr>
          </w:p>
        </w:tc>
      </w:tr>
      <w:tr>
        <w:trPr>
          <w:cantSplit/>
        </w:trPr>
        <w:tc>
          <w:tcPr>
            <w:tcW w:w="4401" w:type="dxa"/>
          </w:tcPr>
          <w:p>
            <w:pPr>
              <w:spacing w:line="320" w:lineRule="exact"/>
              <w:jc w:val="both"/>
              <w:rPr>
                <w:rFonts w:ascii="Palatino Linotype" w:hAnsi="Palatino Linotype"/>
              </w:rPr>
            </w:pPr>
            <w:r>
              <w:rPr>
                <w:rFonts w:ascii="Palatino Linotype" w:hAnsi="Palatino Linotype"/>
              </w:rPr>
              <w:t>Matthew White</w:t>
            </w:r>
          </w:p>
          <w:p>
            <w:pPr>
              <w:spacing w:line="320" w:lineRule="exact"/>
              <w:jc w:val="both"/>
              <w:rPr>
                <w:rFonts w:ascii="Palatino Linotype" w:hAnsi="Palatino Linotype"/>
              </w:rPr>
            </w:pPr>
            <w:r>
              <w:rPr>
                <w:rFonts w:ascii="Palatino Linotype" w:hAnsi="Palatino Linotype"/>
              </w:rPr>
              <w:t>Interstate Gas Supply, Inc.</w:t>
            </w:r>
          </w:p>
          <w:p>
            <w:pPr>
              <w:spacing w:line="320" w:lineRule="exact"/>
              <w:jc w:val="both"/>
              <w:rPr>
                <w:rFonts w:ascii="Palatino Linotype" w:hAnsi="Palatino Linotype"/>
              </w:rPr>
            </w:pPr>
            <w:r>
              <w:rPr>
                <w:rFonts w:ascii="Palatino Linotype" w:hAnsi="Palatino Linotype"/>
              </w:rPr>
              <w:t>6100 Emerald Parkway</w:t>
            </w:r>
          </w:p>
          <w:p>
            <w:pPr>
              <w:spacing w:line="320" w:lineRule="exact"/>
              <w:jc w:val="both"/>
              <w:rPr>
                <w:rFonts w:ascii="Palatino Linotype" w:hAnsi="Palatino Linotype"/>
              </w:rPr>
            </w:pPr>
            <w:r>
              <w:rPr>
                <w:rFonts w:ascii="Palatino Linotype" w:hAnsi="Palatino Linotype"/>
              </w:rPr>
              <w:t>Dublin, Ohio 43016</w:t>
            </w:r>
          </w:p>
          <w:p>
            <w:pPr>
              <w:spacing w:line="320" w:lineRule="exact"/>
              <w:jc w:val="both"/>
              <w:rPr>
                <w:rFonts w:ascii="Palatino Linotype" w:hAnsi="Palatino Linotype"/>
              </w:rPr>
            </w:pPr>
            <w:r>
              <w:rPr>
                <w:rFonts w:ascii="Palatino Linotype" w:hAnsi="Palatino Linotype"/>
              </w:rPr>
              <w:t>mswhite@igsenergy.com</w:t>
            </w:r>
          </w:p>
          <w:p>
            <w:pPr>
              <w:spacing w:line="320" w:lineRule="exact"/>
              <w:jc w:val="both"/>
              <w:rPr>
                <w:rFonts w:ascii="Palatino Linotype" w:hAnsi="Palatino Linotype"/>
              </w:rPr>
            </w:pPr>
          </w:p>
          <w:p>
            <w:pPr>
              <w:spacing w:line="320" w:lineRule="exact"/>
              <w:jc w:val="both"/>
              <w:rPr>
                <w:rFonts w:ascii="Palatino Linotype" w:hAnsi="Palatino Linotype"/>
              </w:rPr>
            </w:pPr>
            <w:r>
              <w:rPr>
                <w:rFonts w:ascii="Palatino Linotype" w:hAnsi="Palatino Linotype"/>
              </w:rPr>
              <w:t xml:space="preserve">Attorney for </w:t>
            </w:r>
          </w:p>
          <w:p>
            <w:pPr>
              <w:spacing w:line="320" w:lineRule="exact"/>
              <w:jc w:val="both"/>
              <w:rPr>
                <w:rFonts w:ascii="Palatino Linotype" w:hAnsi="Palatino Linotype"/>
                <w:b/>
                <w:caps/>
                <w:spacing w:val="-12"/>
              </w:rPr>
            </w:pPr>
            <w:r>
              <w:rPr>
                <w:rFonts w:ascii="Palatino Linotype" w:hAnsi="Palatino Linotype"/>
                <w:b/>
                <w:caps/>
                <w:spacing w:val="-12"/>
              </w:rPr>
              <w:t>Interstate Gas Supply, Inc.</w:t>
            </w:r>
          </w:p>
        </w:tc>
        <w:tc>
          <w:tcPr>
            <w:tcW w:w="4455" w:type="dxa"/>
          </w:tcPr>
          <w:p>
            <w:pPr>
              <w:spacing w:line="320" w:lineRule="exact"/>
              <w:jc w:val="both"/>
              <w:rPr>
                <w:rFonts w:ascii="Palatino Linotype" w:hAnsi="Palatino Linotype"/>
              </w:rPr>
            </w:pPr>
            <w:r>
              <w:rPr>
                <w:rFonts w:ascii="Palatino Linotype" w:hAnsi="Palatino Linotype"/>
              </w:rPr>
              <w:t>M. Anthony Long</w:t>
            </w:r>
          </w:p>
          <w:p>
            <w:pPr>
              <w:spacing w:line="320" w:lineRule="exact"/>
              <w:jc w:val="both"/>
              <w:rPr>
                <w:rFonts w:ascii="Palatino Linotype" w:hAnsi="Palatino Linotype"/>
              </w:rPr>
            </w:pPr>
            <w:r>
              <w:rPr>
                <w:rFonts w:ascii="Palatino Linotype" w:hAnsi="Palatino Linotype"/>
              </w:rPr>
              <w:t>Senior Assistant Counsel</w:t>
            </w:r>
          </w:p>
          <w:p>
            <w:pPr>
              <w:spacing w:line="320" w:lineRule="exact"/>
              <w:jc w:val="both"/>
              <w:rPr>
                <w:rFonts w:ascii="Palatino Linotype" w:hAnsi="Palatino Linotype"/>
              </w:rPr>
            </w:pPr>
            <w:r>
              <w:rPr>
                <w:rFonts w:ascii="Palatino Linotype" w:hAnsi="Palatino Linotype"/>
              </w:rPr>
              <w:t>Honda of America Mfg., Inc.</w:t>
            </w:r>
          </w:p>
          <w:p>
            <w:pPr>
              <w:spacing w:line="320" w:lineRule="exact"/>
              <w:jc w:val="both"/>
              <w:rPr>
                <w:rFonts w:ascii="Palatino Linotype" w:hAnsi="Palatino Linotype"/>
              </w:rPr>
            </w:pPr>
            <w:r>
              <w:rPr>
                <w:rFonts w:ascii="Palatino Linotype" w:hAnsi="Palatino Linotype"/>
              </w:rPr>
              <w:t>24000 Honda Parkway</w:t>
            </w:r>
          </w:p>
          <w:p>
            <w:pPr>
              <w:spacing w:line="320" w:lineRule="exact"/>
              <w:jc w:val="both"/>
              <w:rPr>
                <w:rFonts w:ascii="Palatino Linotype" w:hAnsi="Palatino Linotype"/>
              </w:rPr>
            </w:pPr>
            <w:r>
              <w:rPr>
                <w:rFonts w:ascii="Palatino Linotype" w:hAnsi="Palatino Linotype"/>
              </w:rPr>
              <w:t>Marysville, OH 43040</w:t>
            </w:r>
          </w:p>
          <w:p>
            <w:pPr>
              <w:spacing w:line="320" w:lineRule="exact"/>
              <w:jc w:val="both"/>
              <w:rPr>
                <w:rFonts w:ascii="Palatino Linotype" w:hAnsi="Palatino Linotype"/>
              </w:rPr>
            </w:pPr>
            <w:r>
              <w:rPr>
                <w:rFonts w:ascii="Palatino Linotype" w:hAnsi="Palatino Linotype"/>
              </w:rPr>
              <w:t xml:space="preserve">Tony_Long@ham.honda.com </w:t>
            </w:r>
          </w:p>
          <w:p>
            <w:pPr>
              <w:spacing w:line="320" w:lineRule="exact"/>
              <w:jc w:val="both"/>
              <w:rPr>
                <w:rFonts w:ascii="Palatino Linotype" w:hAnsi="Palatino Linotype"/>
              </w:rPr>
            </w:pPr>
          </w:p>
          <w:p>
            <w:pPr>
              <w:spacing w:line="320" w:lineRule="exact"/>
              <w:jc w:val="both"/>
              <w:rPr>
                <w:rFonts w:ascii="Palatino Linotype" w:hAnsi="Palatino Linotype"/>
              </w:rPr>
            </w:pPr>
            <w:r>
              <w:rPr>
                <w:rFonts w:ascii="Palatino Linotype" w:hAnsi="Palatino Linotype"/>
              </w:rPr>
              <w:t>Attorney for</w:t>
            </w:r>
          </w:p>
          <w:p>
            <w:pPr>
              <w:spacing w:line="320" w:lineRule="exact"/>
              <w:jc w:val="both"/>
              <w:rPr>
                <w:rFonts w:ascii="Palatino Linotype" w:hAnsi="Palatino Linotype"/>
                <w:b/>
                <w:caps/>
                <w:spacing w:val="-12"/>
              </w:rPr>
            </w:pPr>
            <w:r>
              <w:rPr>
                <w:rFonts w:ascii="Palatino Linotype" w:hAnsi="Palatino Linotype"/>
                <w:b/>
                <w:caps/>
                <w:spacing w:val="-12"/>
              </w:rPr>
              <w:t>Honda of America Mfg., Inc.</w:t>
            </w:r>
          </w:p>
        </w:tc>
      </w:tr>
    </w:tbl>
    <w:p/>
    <w:p>
      <w:pPr>
        <w:rPr>
          <w:rFonts w:ascii="Palatino Linotype" w:hAnsi="Palatino Linotype"/>
        </w:rPr>
      </w:pPr>
    </w:p>
    <w:p>
      <w:pPr>
        <w:spacing w:line="320" w:lineRule="exact"/>
        <w:rPr>
          <w:rFonts w:ascii="Palatino Linotype" w:hAnsi="Palatino Linotype"/>
        </w:rPr>
      </w:pPr>
    </w:p>
    <w:p>
      <w:pPr>
        <w:spacing w:line="320" w:lineRule="exact"/>
        <w:ind w:left="5040"/>
        <w:rPr>
          <w:rFonts w:ascii="Palatino Linotype" w:hAnsi="Palatino Linotype"/>
        </w:rPr>
      </w:pPr>
      <w:r>
        <w:rPr>
          <w:rFonts w:ascii="Palatino Linotype" w:hAnsi="Palatino Linotype"/>
          <w:u w:val="single"/>
        </w:rPr>
        <w:t>/s/ Eric B. Gallon</w:t>
      </w:r>
      <w:r>
        <w:rPr>
          <w:rFonts w:ascii="Palatino Linotype" w:hAnsi="Palatino Linotype"/>
        </w:rPr>
        <w:t>____________</w:t>
      </w:r>
    </w:p>
    <w:p>
      <w:pPr>
        <w:spacing w:line="320" w:lineRule="exact"/>
        <w:ind w:left="5040"/>
      </w:pPr>
      <w:r>
        <w:rPr>
          <w:rFonts w:ascii="Palatino Linotype" w:hAnsi="Palatino Linotype"/>
        </w:rPr>
        <w:t>Eric B. Gallon</w:t>
      </w:r>
    </w:p>
    <w:sectPr>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PalatinoLinotype">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spacing w:after="120"/>
        <w:jc w:val="both"/>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OCC and OPAE originally filed a joint memorandum contra the Joint Motion in which they argued that the Joint Movants had failed to meet the requirements of Section 4929.08, Revised Code. OCC subsequently joined the Joint Movants, however, in signing and supporting the Amended Joint Stipulation (although not the Amended Joint Motion). Accordingly, OCC must now agree the Commission has authority to consider and grant the Amended Joint Stipulation.</w:t>
      </w:r>
    </w:p>
  </w:footnote>
  <w:footnote w:id="2">
    <w:p>
      <w:pPr>
        <w:pStyle w:val="FootnoteText"/>
        <w:spacing w:after="120"/>
        <w:jc w:val="both"/>
        <w:rPr>
          <w:rFonts w:ascii="Palatino Linotype" w:hAnsi="Palatino Linotype"/>
          <w:sz w:val="20"/>
        </w:rPr>
      </w:pPr>
      <w:r>
        <w:rPr>
          <w:rStyle w:val="FootnoteReference"/>
          <w:rFonts w:ascii="Palatino Linotype" w:hAnsi="Palatino Linotype"/>
          <w:sz w:val="20"/>
        </w:rPr>
        <w:footnoteRef/>
      </w:r>
      <w:r>
        <w:rPr>
          <w:rFonts w:ascii="Palatino Linotype" w:hAnsi="Palatino Linotype"/>
          <w:sz w:val="20"/>
        </w:rPr>
        <w:t xml:space="preserve"> Columbia notes that OPAE has recommended several modifications to the 2009 Stipulation, including abolishing the default off-system sales and capacity release revenue sharing mechanism set forth in the prior joint stipulation. (</w:t>
      </w:r>
      <w:r>
        <w:rPr>
          <w:rFonts w:ascii="Palatino Linotype" w:hAnsi="Palatino Linotype"/>
          <w:i/>
          <w:sz w:val="20"/>
        </w:rPr>
        <w:t xml:space="preserve">See </w:t>
      </w:r>
      <w:r>
        <w:rPr>
          <w:rFonts w:ascii="Palatino Linotype" w:hAnsi="Palatino Linotype"/>
          <w:sz w:val="20"/>
        </w:rPr>
        <w:t>OPAE Initial Cmts. at 11 (OPAE Ex. 1).) As OPAE’s own arguments indicate, OPAE was obligated to file an application or complaint case to request such modifications. It did not do so. Accordingly, OPAE's efforts to modify the prior joint stipulation without following the proper process for doing so should be denied.</w:t>
      </w:r>
    </w:p>
  </w:footnote>
  <w:footnote w:id="3">
    <w:p>
      <w:pPr>
        <w:pStyle w:val="FootnoteText"/>
        <w:jc w:val="both"/>
        <w:rPr>
          <w:rFonts w:ascii="Palatino Linotype" w:hAnsi="Palatino Linotype"/>
          <w:sz w:val="20"/>
        </w:rPr>
      </w:pPr>
      <w:r>
        <w:rPr>
          <w:rStyle w:val="FootnoteReference"/>
          <w:rFonts w:ascii="Palatino Linotype" w:hAnsi="Palatino Linotype"/>
          <w:sz w:val="20"/>
        </w:rPr>
        <w:footnoteRef/>
      </w:r>
      <w:r>
        <w:rPr>
          <w:rFonts w:ascii="Palatino Linotype" w:hAnsi="Palatino Linotype"/>
          <w:sz w:val="20"/>
        </w:rPr>
        <w:t xml:space="preserve"> New interstate pipeline capacity contracts that could possibly facilitate direct access to Marcellus or Utica Shale gas supplies require minimum contract terms of 10-20 years, </w:t>
      </w:r>
      <w:r>
        <w:rPr>
          <w:rFonts w:ascii="Palatino Linotype" w:hAnsi="Palatino Linotype"/>
          <w:sz w:val="20"/>
          <w:szCs w:val="20"/>
        </w:rPr>
        <w:t>generally at higher rates, while simultaneously providing limited access to existing supply resources</w:t>
      </w:r>
      <w:r>
        <w:rPr>
          <w:rFonts w:ascii="Palatino Linotype" w:hAnsi="Palatino Linotype"/>
          <w:sz w:val="20"/>
        </w:rPr>
        <w:t>. (</w:t>
      </w:r>
      <w:r>
        <w:rPr>
          <w:rFonts w:ascii="Palatino Linotype" w:hAnsi="Palatino Linotype"/>
          <w:i/>
          <w:sz w:val="20"/>
        </w:rPr>
        <w:t xml:space="preserve">See </w:t>
      </w:r>
      <w:r>
        <w:rPr>
          <w:rFonts w:ascii="Palatino Linotype" w:hAnsi="Palatino Linotype"/>
          <w:sz w:val="20"/>
        </w:rPr>
        <w:t>Anderson Testimony at 21-25 (Columbia Ex. 4).)</w:t>
      </w:r>
    </w:p>
  </w:footnote>
  <w:footnote w:id="4">
    <w:p>
      <w:pPr>
        <w:pStyle w:val="FootnoteText"/>
        <w:jc w:val="both"/>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Although shale gas is not currently a viable supply option for Columbia, shale gas supplies have had a beneficial impact on the prices of commodity gas available to Columbia customers. The increase in natural gas production on both regional and national levels since January 2006 has driven down commodity prices for Columbia’s customers. (</w:t>
      </w:r>
      <w:r>
        <w:rPr>
          <w:rFonts w:ascii="Palatino Linotype" w:hAnsi="Palatino Linotype"/>
          <w:i/>
          <w:sz w:val="20"/>
          <w:szCs w:val="20"/>
        </w:rPr>
        <w:t xml:space="preserve">See </w:t>
      </w:r>
      <w:r>
        <w:rPr>
          <w:rFonts w:ascii="Palatino Linotype" w:hAnsi="Palatino Linotype"/>
          <w:sz w:val="20"/>
          <w:szCs w:val="20"/>
        </w:rPr>
        <w:t>Anderson Testimony at 23-24 (Columbia Ex. 4).)</w:t>
      </w:r>
    </w:p>
  </w:footnote>
  <w:footnote w:id="5">
    <w:p>
      <w:pPr>
        <w:jc w:val="both"/>
        <w:rPr>
          <w:rFonts w:ascii="Palatino Linotype" w:hAnsi="Palatino Linotype"/>
          <w:sz w:val="20"/>
          <w:szCs w:val="20"/>
        </w:rPr>
      </w:pPr>
      <w:r>
        <w:rPr>
          <w:rStyle w:val="FootnoteReference"/>
          <w:rFonts w:ascii="Palatino Linotype" w:hAnsi="Palatino Linotype"/>
          <w:sz w:val="20"/>
          <w:szCs w:val="20"/>
        </w:rPr>
        <w:footnoteRef/>
      </w:r>
      <w:r>
        <w:rPr>
          <w:rFonts w:ascii="Palatino Linotype" w:hAnsi="Palatino Linotype"/>
          <w:sz w:val="20"/>
          <w:szCs w:val="20"/>
        </w:rPr>
        <w:t xml:space="preserve"> OPAE's testifying witness also advanced a hodge-podge of irrelevant and inconsistent general economic theories having no bearing on the state policy and goals at issue in this proceeding. For example, Ms. Harper cited the theoretical benchmark of "perfect competition" but conceded that no economist, to her knowledge, has ever used it to define "effective competition" as the term is used in Section 4929.02(A)(7). (Vol. III, pp. 286, 288.) Without any foundation in logic or economics, she also invented "passive choice" as adequate for defining the term "willing buyer" in Section 4929.02(A)(7). (Vol. III, p. 294.) Further, after expressing concerns about market power based on the current level of market concentration in the CHOICE program, Ms. Harper admitted she is no expert on market power in Columbia’s service territory. (</w:t>
      </w:r>
      <w:r>
        <w:rPr>
          <w:rFonts w:ascii="Palatino Linotype" w:hAnsi="Palatino Linotype"/>
          <w:i/>
          <w:sz w:val="20"/>
          <w:szCs w:val="20"/>
        </w:rPr>
        <w:t>Id.</w:t>
      </w:r>
      <w:r>
        <w:rPr>
          <w:rFonts w:ascii="Palatino Linotype" w:hAnsi="Palatino Linotype"/>
          <w:sz w:val="20"/>
          <w:szCs w:val="20"/>
        </w:rPr>
        <w:t xml:space="preserve">, pp. 312-313.)   </w:t>
      </w:r>
    </w:p>
    <w:p>
      <w:pPr>
        <w:pStyle w:val="FootnoteText"/>
      </w:pPr>
    </w:p>
  </w:footnote>
  <w:footnote w:id="6">
    <w:p>
      <w:pPr>
        <w:pStyle w:val="FootnoteText"/>
        <w:jc w:val="both"/>
        <w:rPr>
          <w:rFonts w:ascii="Palatino Linotype" w:hAnsi="Palatino Linotype"/>
          <w:sz w:val="20"/>
        </w:rPr>
      </w:pPr>
      <w:r>
        <w:rPr>
          <w:rStyle w:val="FootnoteReference"/>
          <w:rFonts w:ascii="Palatino Linotype" w:hAnsi="Palatino Linotype"/>
          <w:sz w:val="20"/>
        </w:rPr>
        <w:footnoteRef/>
      </w:r>
      <w:r>
        <w:rPr>
          <w:rFonts w:ascii="Palatino Linotype" w:hAnsi="Palatino Linotype"/>
          <w:sz w:val="20"/>
        </w:rPr>
        <w:t xml:space="preserve"> </w:t>
      </w:r>
      <w:r>
        <w:rPr>
          <w:rFonts w:ascii="Palatino Linotype" w:hAnsi="Palatino Linotype"/>
          <w:kern w:val="16"/>
          <w:sz w:val="20"/>
        </w:rPr>
        <w:t>Columbia acknowledges that the SCO also meets the state policy in Section 4929.02(A)(7), Revised Code, to “reduce or eliminate the need for regulation of natural gas services and goods under Chapters 4905. and 4909. of the Revised Code[,]” in that Columbia offers the SCO as a result of its exemption from Chapters 4905 and 4909 of the Revised Code.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BF80E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554D31"/>
    <w:multiLevelType w:val="multilevel"/>
    <w:tmpl w:val="7EBA0B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18A45C4"/>
    <w:multiLevelType w:val="hybridMultilevel"/>
    <w:tmpl w:val="675EE6F0"/>
    <w:lvl w:ilvl="0" w:tplc="04090019">
      <w:start w:val="1"/>
      <w:numFmt w:val="lowerLetter"/>
      <w:lvlText w:val="%1."/>
      <w:lvlJc w:val="left"/>
      <w:pPr>
        <w:tabs>
          <w:tab w:val="num" w:pos="2880"/>
        </w:tabs>
        <w:ind w:left="2880" w:hanging="360"/>
      </w:pPr>
      <w:rPr>
        <w:rFonts w:cs="Times New Roman"/>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4">
    <w:nsid w:val="05012BCA"/>
    <w:multiLevelType w:val="hybridMultilevel"/>
    <w:tmpl w:val="4D2AB6A6"/>
    <w:lvl w:ilvl="0" w:tplc="04090019">
      <w:start w:val="1"/>
      <w:numFmt w:val="lowerLetter"/>
      <w:lvlText w:val="%1."/>
      <w:lvlJc w:val="left"/>
      <w:pPr>
        <w:tabs>
          <w:tab w:val="num" w:pos="1560"/>
        </w:tabs>
        <w:ind w:left="1560" w:hanging="360"/>
      </w:pPr>
      <w:rPr>
        <w:rFonts w:cs="Times New Roman"/>
      </w:rPr>
    </w:lvl>
    <w:lvl w:ilvl="1" w:tplc="04090019">
      <w:start w:val="1"/>
      <w:numFmt w:val="lowerLetter"/>
      <w:lvlText w:val="%2."/>
      <w:lvlJc w:val="left"/>
      <w:pPr>
        <w:tabs>
          <w:tab w:val="num" w:pos="2280"/>
        </w:tabs>
        <w:ind w:left="2280" w:hanging="360"/>
      </w:pPr>
      <w:rPr>
        <w:rFonts w:cs="Times New Roman"/>
      </w:rPr>
    </w:lvl>
    <w:lvl w:ilvl="2" w:tplc="0409001B">
      <w:start w:val="1"/>
      <w:numFmt w:val="lowerRoman"/>
      <w:lvlText w:val="%3."/>
      <w:lvlJc w:val="right"/>
      <w:pPr>
        <w:tabs>
          <w:tab w:val="num" w:pos="3000"/>
        </w:tabs>
        <w:ind w:left="3000" w:hanging="180"/>
      </w:pPr>
      <w:rPr>
        <w:rFonts w:cs="Times New Roman"/>
      </w:rPr>
    </w:lvl>
    <w:lvl w:ilvl="3" w:tplc="0409000F">
      <w:start w:val="1"/>
      <w:numFmt w:val="decimal"/>
      <w:lvlText w:val="%4."/>
      <w:lvlJc w:val="left"/>
      <w:pPr>
        <w:tabs>
          <w:tab w:val="num" w:pos="3720"/>
        </w:tabs>
        <w:ind w:left="3720" w:hanging="360"/>
      </w:pPr>
      <w:rPr>
        <w:rFonts w:cs="Times New Roman"/>
      </w:rPr>
    </w:lvl>
    <w:lvl w:ilvl="4" w:tplc="04090019">
      <w:start w:val="1"/>
      <w:numFmt w:val="lowerLetter"/>
      <w:lvlText w:val="%5."/>
      <w:lvlJc w:val="left"/>
      <w:pPr>
        <w:tabs>
          <w:tab w:val="num" w:pos="4440"/>
        </w:tabs>
        <w:ind w:left="4440" w:hanging="360"/>
      </w:pPr>
      <w:rPr>
        <w:rFonts w:cs="Times New Roman"/>
      </w:rPr>
    </w:lvl>
    <w:lvl w:ilvl="5" w:tplc="0409001B">
      <w:start w:val="1"/>
      <w:numFmt w:val="lowerRoman"/>
      <w:lvlText w:val="%6."/>
      <w:lvlJc w:val="right"/>
      <w:pPr>
        <w:tabs>
          <w:tab w:val="num" w:pos="5160"/>
        </w:tabs>
        <w:ind w:left="5160" w:hanging="180"/>
      </w:pPr>
      <w:rPr>
        <w:rFonts w:cs="Times New Roman"/>
      </w:rPr>
    </w:lvl>
    <w:lvl w:ilvl="6" w:tplc="0409000F">
      <w:start w:val="1"/>
      <w:numFmt w:val="decimal"/>
      <w:lvlText w:val="%7."/>
      <w:lvlJc w:val="left"/>
      <w:pPr>
        <w:tabs>
          <w:tab w:val="num" w:pos="5880"/>
        </w:tabs>
        <w:ind w:left="5880" w:hanging="360"/>
      </w:pPr>
      <w:rPr>
        <w:rFonts w:cs="Times New Roman"/>
      </w:rPr>
    </w:lvl>
    <w:lvl w:ilvl="7" w:tplc="04090019">
      <w:start w:val="1"/>
      <w:numFmt w:val="lowerLetter"/>
      <w:lvlText w:val="%8."/>
      <w:lvlJc w:val="left"/>
      <w:pPr>
        <w:tabs>
          <w:tab w:val="num" w:pos="6600"/>
        </w:tabs>
        <w:ind w:left="6600" w:hanging="360"/>
      </w:pPr>
      <w:rPr>
        <w:rFonts w:cs="Times New Roman"/>
      </w:rPr>
    </w:lvl>
    <w:lvl w:ilvl="8" w:tplc="0409001B">
      <w:start w:val="1"/>
      <w:numFmt w:val="lowerRoman"/>
      <w:lvlText w:val="%9."/>
      <w:lvlJc w:val="right"/>
      <w:pPr>
        <w:tabs>
          <w:tab w:val="num" w:pos="7320"/>
        </w:tabs>
        <w:ind w:left="7320" w:hanging="180"/>
      </w:pPr>
      <w:rPr>
        <w:rFonts w:cs="Times New Roman"/>
      </w:rPr>
    </w:lvl>
  </w:abstractNum>
  <w:abstractNum w:abstractNumId="5">
    <w:nsid w:val="074E7002"/>
    <w:multiLevelType w:val="hybridMultilevel"/>
    <w:tmpl w:val="AADC2C4E"/>
    <w:lvl w:ilvl="0" w:tplc="04090019">
      <w:start w:val="1"/>
      <w:numFmt w:val="lowerLetter"/>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6">
    <w:nsid w:val="08B82F31"/>
    <w:multiLevelType w:val="hybridMultilevel"/>
    <w:tmpl w:val="4656C6B2"/>
    <w:lvl w:ilvl="0" w:tplc="FFFFFFFF">
      <w:start w:val="1"/>
      <w:numFmt w:val="decimal"/>
      <w:lvlText w:val="%1."/>
      <w:lvlJc w:val="left"/>
      <w:pPr>
        <w:tabs>
          <w:tab w:val="num" w:pos="1080"/>
        </w:tabs>
        <w:ind w:left="1080" w:hanging="360"/>
      </w:pPr>
      <w:rPr>
        <w:rFonts w:cs="Times New Roman" w:hint="default"/>
      </w:rPr>
    </w:lvl>
    <w:lvl w:ilvl="1" w:tplc="43FA2488">
      <w:start w:val="12"/>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0442EF0"/>
    <w:multiLevelType w:val="hybridMultilevel"/>
    <w:tmpl w:val="E2DA5CEC"/>
    <w:lvl w:ilvl="0" w:tplc="0409000F">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
    <w:nsid w:val="14B76D3F"/>
    <w:multiLevelType w:val="hybridMultilevel"/>
    <w:tmpl w:val="0C80D39E"/>
    <w:lvl w:ilvl="0" w:tplc="FA38F4C4">
      <w:start w:val="1"/>
      <w:numFmt w:val="decimal"/>
      <w:lvlText w:val="%1."/>
      <w:lvlJc w:val="left"/>
      <w:pPr>
        <w:tabs>
          <w:tab w:val="num" w:pos="720"/>
        </w:tabs>
        <w:ind w:left="720" w:hanging="360"/>
      </w:pPr>
      <w:rPr>
        <w:rFonts w:cs="Times New Roman" w:hint="default"/>
        <w:b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A915C54"/>
    <w:multiLevelType w:val="multilevel"/>
    <w:tmpl w:val="91C26DC2"/>
    <w:lvl w:ilvl="0">
      <w:start w:val="1"/>
      <w:numFmt w:val="upperRoman"/>
      <w:pStyle w:val="Heading1"/>
      <w:lvlText w:val="%1."/>
      <w:lvlJc w:val="left"/>
      <w:pPr>
        <w:ind w:left="0" w:firstLine="0"/>
      </w:pPr>
    </w:lvl>
    <w:lvl w:ilvl="1">
      <w:start w:val="1"/>
      <w:numFmt w:val="decimal"/>
      <w:lvlText w:val="%2."/>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1D2D72A6"/>
    <w:multiLevelType w:val="hybridMultilevel"/>
    <w:tmpl w:val="E110B890"/>
    <w:lvl w:ilvl="0" w:tplc="0409000F">
      <w:start w:val="1"/>
      <w:numFmt w:val="decimal"/>
      <w:lvlText w:val="%1."/>
      <w:lvlJc w:val="left"/>
      <w:pPr>
        <w:tabs>
          <w:tab w:val="num" w:pos="720"/>
        </w:tabs>
        <w:ind w:left="720" w:hanging="360"/>
      </w:pPr>
      <w:rPr>
        <w:rFonts w:cs="Times New Roman" w:hint="default"/>
      </w:rPr>
    </w:lvl>
    <w:lvl w:ilvl="1" w:tplc="3EBE8412">
      <w:start w:val="1"/>
      <w:numFmt w:val="lowerLetter"/>
      <w:lvlText w:val="%2."/>
      <w:lvlJc w:val="left"/>
      <w:pPr>
        <w:tabs>
          <w:tab w:val="num" w:pos="1800"/>
        </w:tabs>
        <w:ind w:left="1800" w:hanging="720"/>
      </w:pPr>
      <w:rPr>
        <w:rFonts w:cs="Times New Roman" w:hint="default"/>
      </w:rPr>
    </w:lvl>
    <w:lvl w:ilvl="2" w:tplc="E7487CBC">
      <w:start w:val="1"/>
      <w:numFmt w:val="decimal"/>
      <w:lvlText w:val="%3"/>
      <w:lvlJc w:val="left"/>
      <w:pPr>
        <w:tabs>
          <w:tab w:val="num" w:pos="2340"/>
        </w:tabs>
        <w:ind w:left="2340" w:hanging="360"/>
      </w:pPr>
      <w:rPr>
        <w:rFonts w:ascii="Arial" w:hAnsi="Arial"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DF329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FF2FAB"/>
    <w:multiLevelType w:val="hybridMultilevel"/>
    <w:tmpl w:val="EEBEAF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58F1AB4"/>
    <w:multiLevelType w:val="multilevel"/>
    <w:tmpl w:val="0409001D"/>
    <w:styleLink w:val="Style1"/>
    <w:lvl w:ilvl="0">
      <w:start w:val="1"/>
      <w:numFmt w:val="decimal"/>
      <w:lvlText w:val="%1)"/>
      <w:lvlJc w:val="left"/>
      <w:pPr>
        <w:tabs>
          <w:tab w:val="num" w:pos="360"/>
        </w:tabs>
        <w:ind w:left="360" w:hanging="360"/>
      </w:pPr>
      <w:rPr>
        <w:rFonts w:ascii="Palatino Linotype" w:hAnsi="Palatino Linotype"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ascii="Palatino Linotype" w:hAnsi="Palatino Linotype" w:cs="Times New Roman"/>
        <w:sz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5FD0616"/>
    <w:multiLevelType w:val="hybridMultilevel"/>
    <w:tmpl w:val="2DD6F4DA"/>
    <w:lvl w:ilvl="0" w:tplc="0409000F">
      <w:start w:val="1"/>
      <w:numFmt w:val="decimal"/>
      <w:lvlText w:val="%1."/>
      <w:lvlJc w:val="left"/>
      <w:pPr>
        <w:tabs>
          <w:tab w:val="num" w:pos="1260"/>
        </w:tabs>
        <w:ind w:left="126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6094988E">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5">
    <w:nsid w:val="2BD42A5A"/>
    <w:multiLevelType w:val="hybridMultilevel"/>
    <w:tmpl w:val="15F2393E"/>
    <w:lvl w:ilvl="0" w:tplc="D22A478C">
      <w:start w:val="2"/>
      <w:numFmt w:val="decimal"/>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6B57F4B"/>
    <w:multiLevelType w:val="hybridMultilevel"/>
    <w:tmpl w:val="F892C030"/>
    <w:lvl w:ilvl="0" w:tplc="9D3ED72E">
      <w:start w:val="1"/>
      <w:numFmt w:val="decimal"/>
      <w:lvlText w:val="%1."/>
      <w:lvlJc w:val="left"/>
      <w:pPr>
        <w:tabs>
          <w:tab w:val="num" w:pos="1440"/>
        </w:tabs>
        <w:ind w:left="1440" w:hanging="360"/>
      </w:pPr>
      <w:rPr>
        <w:rFonts w:cs="Times New Roman"/>
        <w:b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nsid w:val="38584851"/>
    <w:multiLevelType w:val="hybridMultilevel"/>
    <w:tmpl w:val="2FB4793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BDE6B10"/>
    <w:multiLevelType w:val="hybridMultilevel"/>
    <w:tmpl w:val="0B7299C0"/>
    <w:lvl w:ilvl="0" w:tplc="F042C0C2">
      <w:start w:val="1"/>
      <w:numFmt w:val="decimal"/>
      <w:lvlText w:val="%1."/>
      <w:lvlJc w:val="left"/>
      <w:pPr>
        <w:tabs>
          <w:tab w:val="num" w:pos="720"/>
        </w:tabs>
        <w:ind w:left="720" w:hanging="360"/>
      </w:pPr>
      <w:rPr>
        <w:rFonts w:cs="Times New Roman"/>
        <w:color w:val="auto"/>
      </w:rPr>
    </w:lvl>
    <w:lvl w:ilvl="1" w:tplc="AE7A232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DEE1409"/>
    <w:multiLevelType w:val="hybridMultilevel"/>
    <w:tmpl w:val="E9C005CC"/>
    <w:lvl w:ilvl="0" w:tplc="CFB0074E">
      <w:start w:val="1"/>
      <w:numFmt w:val="lowerLetter"/>
      <w:lvlText w:val="%1)"/>
      <w:lvlJc w:val="left"/>
      <w:pPr>
        <w:tabs>
          <w:tab w:val="num" w:pos="1080"/>
        </w:tabs>
        <w:ind w:left="1080" w:hanging="360"/>
      </w:pPr>
      <w:rPr>
        <w:rFonts w:cs="Times New Roman" w:hint="default"/>
      </w:rPr>
    </w:lvl>
    <w:lvl w:ilvl="1" w:tplc="CFEC0D94">
      <w:start w:val="2"/>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3FCB17C7"/>
    <w:multiLevelType w:val="hybridMultilevel"/>
    <w:tmpl w:val="C38C787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40140B59"/>
    <w:multiLevelType w:val="multilevel"/>
    <w:tmpl w:val="9BAA6FDA"/>
    <w:lvl w:ilvl="0">
      <w:start w:val="1"/>
      <w:numFmt w:val="decimal"/>
      <w:lvlText w:val="%1."/>
      <w:lvlJc w:val="left"/>
      <w:pPr>
        <w:tabs>
          <w:tab w:val="num" w:pos="720"/>
        </w:tabs>
        <w:ind w:left="720" w:hanging="360"/>
      </w:pPr>
      <w:rPr>
        <w:rFonts w:ascii="Times New Roman" w:hAnsi="Times New Roman" w:cs="Times New Roman" w:hint="default"/>
      </w:rPr>
    </w:lvl>
    <w:lvl w:ilvl="1">
      <w:start w:val="14"/>
      <w:numFmt w:val="decimal"/>
      <w:lvlText w:val="%2."/>
      <w:lvlJc w:val="left"/>
      <w:pPr>
        <w:tabs>
          <w:tab w:val="num" w:pos="1890"/>
        </w:tabs>
        <w:ind w:left="1890" w:hanging="81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0497BAF"/>
    <w:multiLevelType w:val="hybridMultilevel"/>
    <w:tmpl w:val="51F6CB18"/>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3">
    <w:nsid w:val="460B5734"/>
    <w:multiLevelType w:val="hybridMultilevel"/>
    <w:tmpl w:val="38348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B5789E"/>
    <w:multiLevelType w:val="hybridMultilevel"/>
    <w:tmpl w:val="7ED06B9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B1227BD"/>
    <w:multiLevelType w:val="hybridMultilevel"/>
    <w:tmpl w:val="66B6CD14"/>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6">
    <w:nsid w:val="4C4378E1"/>
    <w:multiLevelType w:val="hybridMultilevel"/>
    <w:tmpl w:val="5414F7BE"/>
    <w:lvl w:ilvl="0" w:tplc="CFB0074E">
      <w:start w:val="1"/>
      <w:numFmt w:val="lowerLetter"/>
      <w:lvlText w:val="%1)"/>
      <w:lvlJc w:val="left"/>
      <w:pPr>
        <w:tabs>
          <w:tab w:val="num" w:pos="1398"/>
        </w:tabs>
        <w:ind w:left="1398" w:hanging="360"/>
      </w:pPr>
      <w:rPr>
        <w:rFonts w:cs="Times New Roman" w:hint="default"/>
      </w:rPr>
    </w:lvl>
    <w:lvl w:ilvl="1" w:tplc="FCA28358">
      <w:start w:val="2"/>
      <w:numFmt w:val="decimal"/>
      <w:lvlText w:val="%2."/>
      <w:lvlJc w:val="left"/>
      <w:pPr>
        <w:tabs>
          <w:tab w:val="num" w:pos="2118"/>
        </w:tabs>
        <w:ind w:left="2118" w:hanging="360"/>
      </w:pPr>
      <w:rPr>
        <w:rFonts w:cs="Times New Roman" w:hint="default"/>
      </w:rPr>
    </w:lvl>
    <w:lvl w:ilvl="2" w:tplc="0409001B">
      <w:start w:val="1"/>
      <w:numFmt w:val="lowerRoman"/>
      <w:lvlText w:val="%3."/>
      <w:lvlJc w:val="right"/>
      <w:pPr>
        <w:tabs>
          <w:tab w:val="num" w:pos="2838"/>
        </w:tabs>
        <w:ind w:left="2838" w:hanging="180"/>
      </w:pPr>
      <w:rPr>
        <w:rFonts w:cs="Times New Roman"/>
      </w:rPr>
    </w:lvl>
    <w:lvl w:ilvl="3" w:tplc="0409000F">
      <w:start w:val="1"/>
      <w:numFmt w:val="decimal"/>
      <w:lvlText w:val="%4."/>
      <w:lvlJc w:val="left"/>
      <w:pPr>
        <w:tabs>
          <w:tab w:val="num" w:pos="3558"/>
        </w:tabs>
        <w:ind w:left="3558" w:hanging="360"/>
      </w:pPr>
      <w:rPr>
        <w:rFonts w:cs="Times New Roman"/>
      </w:rPr>
    </w:lvl>
    <w:lvl w:ilvl="4" w:tplc="04090019">
      <w:start w:val="1"/>
      <w:numFmt w:val="lowerLetter"/>
      <w:lvlText w:val="%5."/>
      <w:lvlJc w:val="left"/>
      <w:pPr>
        <w:tabs>
          <w:tab w:val="num" w:pos="4278"/>
        </w:tabs>
        <w:ind w:left="4278" w:hanging="360"/>
      </w:pPr>
      <w:rPr>
        <w:rFonts w:cs="Times New Roman"/>
      </w:rPr>
    </w:lvl>
    <w:lvl w:ilvl="5" w:tplc="0409001B">
      <w:start w:val="1"/>
      <w:numFmt w:val="lowerRoman"/>
      <w:lvlText w:val="%6."/>
      <w:lvlJc w:val="right"/>
      <w:pPr>
        <w:tabs>
          <w:tab w:val="num" w:pos="4998"/>
        </w:tabs>
        <w:ind w:left="4998" w:hanging="180"/>
      </w:pPr>
      <w:rPr>
        <w:rFonts w:cs="Times New Roman"/>
      </w:rPr>
    </w:lvl>
    <w:lvl w:ilvl="6" w:tplc="0409000F">
      <w:start w:val="1"/>
      <w:numFmt w:val="decimal"/>
      <w:lvlText w:val="%7."/>
      <w:lvlJc w:val="left"/>
      <w:pPr>
        <w:tabs>
          <w:tab w:val="num" w:pos="5718"/>
        </w:tabs>
        <w:ind w:left="5718" w:hanging="360"/>
      </w:pPr>
      <w:rPr>
        <w:rFonts w:cs="Times New Roman"/>
      </w:rPr>
    </w:lvl>
    <w:lvl w:ilvl="7" w:tplc="04090019">
      <w:start w:val="1"/>
      <w:numFmt w:val="lowerLetter"/>
      <w:lvlText w:val="%8."/>
      <w:lvlJc w:val="left"/>
      <w:pPr>
        <w:tabs>
          <w:tab w:val="num" w:pos="6438"/>
        </w:tabs>
        <w:ind w:left="6438" w:hanging="360"/>
      </w:pPr>
      <w:rPr>
        <w:rFonts w:cs="Times New Roman"/>
      </w:rPr>
    </w:lvl>
    <w:lvl w:ilvl="8" w:tplc="0409001B">
      <w:start w:val="1"/>
      <w:numFmt w:val="lowerRoman"/>
      <w:lvlText w:val="%9."/>
      <w:lvlJc w:val="right"/>
      <w:pPr>
        <w:tabs>
          <w:tab w:val="num" w:pos="7158"/>
        </w:tabs>
        <w:ind w:left="7158" w:hanging="180"/>
      </w:pPr>
      <w:rPr>
        <w:rFonts w:cs="Times New Roman"/>
      </w:rPr>
    </w:lvl>
  </w:abstractNum>
  <w:abstractNum w:abstractNumId="27">
    <w:nsid w:val="4DD0571A"/>
    <w:multiLevelType w:val="hybridMultilevel"/>
    <w:tmpl w:val="B0F2A072"/>
    <w:lvl w:ilvl="0" w:tplc="04090019">
      <w:start w:val="1"/>
      <w:numFmt w:val="lowerLetter"/>
      <w:lvlText w:val="%1."/>
      <w:lvlJc w:val="left"/>
      <w:pPr>
        <w:tabs>
          <w:tab w:val="num" w:pos="3600"/>
        </w:tabs>
        <w:ind w:left="360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start w:val="1"/>
      <w:numFmt w:val="lowerRoman"/>
      <w:lvlText w:val="%3."/>
      <w:lvlJc w:val="right"/>
      <w:pPr>
        <w:tabs>
          <w:tab w:val="num" w:pos="5040"/>
        </w:tabs>
        <w:ind w:left="5040" w:hanging="180"/>
      </w:pPr>
      <w:rPr>
        <w:rFonts w:cs="Times New Roman"/>
      </w:rPr>
    </w:lvl>
    <w:lvl w:ilvl="3" w:tplc="0409000F">
      <w:start w:val="1"/>
      <w:numFmt w:val="decimal"/>
      <w:lvlText w:val="%4."/>
      <w:lvlJc w:val="left"/>
      <w:pPr>
        <w:tabs>
          <w:tab w:val="num" w:pos="5760"/>
        </w:tabs>
        <w:ind w:left="5760" w:hanging="360"/>
      </w:pPr>
      <w:rPr>
        <w:rFonts w:cs="Times New Roman"/>
      </w:rPr>
    </w:lvl>
    <w:lvl w:ilvl="4" w:tplc="04090019">
      <w:start w:val="1"/>
      <w:numFmt w:val="lowerLetter"/>
      <w:lvlText w:val="%5."/>
      <w:lvlJc w:val="left"/>
      <w:pPr>
        <w:tabs>
          <w:tab w:val="num" w:pos="6480"/>
        </w:tabs>
        <w:ind w:left="6480" w:hanging="360"/>
      </w:pPr>
      <w:rPr>
        <w:rFonts w:cs="Times New Roman"/>
      </w:rPr>
    </w:lvl>
    <w:lvl w:ilvl="5" w:tplc="0409001B">
      <w:start w:val="1"/>
      <w:numFmt w:val="lowerRoman"/>
      <w:lvlText w:val="%6."/>
      <w:lvlJc w:val="right"/>
      <w:pPr>
        <w:tabs>
          <w:tab w:val="num" w:pos="7200"/>
        </w:tabs>
        <w:ind w:left="7200" w:hanging="180"/>
      </w:pPr>
      <w:rPr>
        <w:rFonts w:cs="Times New Roman"/>
      </w:rPr>
    </w:lvl>
    <w:lvl w:ilvl="6" w:tplc="0409000F">
      <w:start w:val="1"/>
      <w:numFmt w:val="decimal"/>
      <w:lvlText w:val="%7."/>
      <w:lvlJc w:val="left"/>
      <w:pPr>
        <w:tabs>
          <w:tab w:val="num" w:pos="7920"/>
        </w:tabs>
        <w:ind w:left="7920" w:hanging="360"/>
      </w:pPr>
      <w:rPr>
        <w:rFonts w:cs="Times New Roman"/>
      </w:rPr>
    </w:lvl>
    <w:lvl w:ilvl="7" w:tplc="04090019">
      <w:start w:val="1"/>
      <w:numFmt w:val="lowerLetter"/>
      <w:lvlText w:val="%8."/>
      <w:lvlJc w:val="left"/>
      <w:pPr>
        <w:tabs>
          <w:tab w:val="num" w:pos="8640"/>
        </w:tabs>
        <w:ind w:left="8640" w:hanging="360"/>
      </w:pPr>
      <w:rPr>
        <w:rFonts w:cs="Times New Roman"/>
      </w:rPr>
    </w:lvl>
    <w:lvl w:ilvl="8" w:tplc="0409001B">
      <w:start w:val="1"/>
      <w:numFmt w:val="lowerRoman"/>
      <w:lvlText w:val="%9."/>
      <w:lvlJc w:val="right"/>
      <w:pPr>
        <w:tabs>
          <w:tab w:val="num" w:pos="9360"/>
        </w:tabs>
        <w:ind w:left="9360" w:hanging="180"/>
      </w:pPr>
      <w:rPr>
        <w:rFonts w:cs="Times New Roman"/>
      </w:rPr>
    </w:lvl>
  </w:abstractNum>
  <w:abstractNum w:abstractNumId="28">
    <w:nsid w:val="4F054652"/>
    <w:multiLevelType w:val="hybridMultilevel"/>
    <w:tmpl w:val="16AA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04959B5"/>
    <w:multiLevelType w:val="singleLevel"/>
    <w:tmpl w:val="6FF4550A"/>
    <w:lvl w:ilvl="0">
      <w:start w:val="1"/>
      <w:numFmt w:val="decimal"/>
      <w:lvlText w:val="%1."/>
      <w:lvlJc w:val="left"/>
      <w:pPr>
        <w:tabs>
          <w:tab w:val="num" w:pos="720"/>
        </w:tabs>
        <w:ind w:left="720" w:hanging="720"/>
      </w:pPr>
      <w:rPr>
        <w:rFonts w:cs="Times New Roman" w:hint="default"/>
      </w:rPr>
    </w:lvl>
  </w:abstractNum>
  <w:abstractNum w:abstractNumId="30">
    <w:nsid w:val="52F25CED"/>
    <w:multiLevelType w:val="hybridMultilevel"/>
    <w:tmpl w:val="6016A948"/>
    <w:lvl w:ilvl="0" w:tplc="AC0A91B8">
      <w:start w:val="1"/>
      <w:numFmt w:val="lowerLetter"/>
      <w:lvlText w:val="%1."/>
      <w:lvlJc w:val="left"/>
      <w:pPr>
        <w:tabs>
          <w:tab w:val="num" w:pos="2160"/>
        </w:tabs>
        <w:ind w:left="2160" w:hanging="360"/>
      </w:pPr>
      <w:rPr>
        <w:rFonts w:ascii="Palatino Linotype" w:eastAsia="Times New Roman" w:hAnsi="Palatino Linotype"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1">
    <w:nsid w:val="54F203E5"/>
    <w:multiLevelType w:val="hybridMultilevel"/>
    <w:tmpl w:val="2B3C0E0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57D849E6"/>
    <w:multiLevelType w:val="hybridMultilevel"/>
    <w:tmpl w:val="5F98E3EC"/>
    <w:lvl w:ilvl="0" w:tplc="C294256A">
      <w:start w:val="1"/>
      <w:numFmt w:val="decimal"/>
      <w:lvlText w:val="%1."/>
      <w:lvlJc w:val="left"/>
      <w:pPr>
        <w:tabs>
          <w:tab w:val="num" w:pos="780"/>
        </w:tabs>
        <w:ind w:left="780" w:hanging="360"/>
      </w:pPr>
      <w:rPr>
        <w:rFonts w:ascii="Times New Roman" w:eastAsia="Times New Roman" w:hAnsi="Times New Roman" w:cs="Times New Roman" w:hint="default"/>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58FA3B13"/>
    <w:multiLevelType w:val="hybridMultilevel"/>
    <w:tmpl w:val="1D6E7E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59EB6550"/>
    <w:multiLevelType w:val="hybridMultilevel"/>
    <w:tmpl w:val="FD88EF5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5E564DAF"/>
    <w:multiLevelType w:val="hybridMultilevel"/>
    <w:tmpl w:val="EF9852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36">
    <w:nsid w:val="60C70392"/>
    <w:multiLevelType w:val="hybridMultilevel"/>
    <w:tmpl w:val="209EB2F4"/>
    <w:lvl w:ilvl="0" w:tplc="CFB0074E">
      <w:start w:val="1"/>
      <w:numFmt w:val="lowerLetter"/>
      <w:lvlText w:val="%1)"/>
      <w:lvlJc w:val="left"/>
      <w:pPr>
        <w:tabs>
          <w:tab w:val="num" w:pos="1446"/>
        </w:tabs>
        <w:ind w:left="1446" w:hanging="360"/>
      </w:pPr>
      <w:rPr>
        <w:rFonts w:cs="Times New Roman" w:hint="default"/>
        <w:color w:val="auto"/>
      </w:rPr>
    </w:lvl>
    <w:lvl w:ilvl="1" w:tplc="AA5C2AB6">
      <w:start w:val="1"/>
      <w:numFmt w:val="decimal"/>
      <w:lvlText w:val="%2."/>
      <w:lvlJc w:val="left"/>
      <w:pPr>
        <w:tabs>
          <w:tab w:val="num" w:pos="2166"/>
        </w:tabs>
        <w:ind w:left="2166" w:hanging="360"/>
      </w:pPr>
      <w:rPr>
        <w:rFonts w:cs="Times New Roman" w:hint="default"/>
      </w:rPr>
    </w:lvl>
    <w:lvl w:ilvl="2" w:tplc="04090005">
      <w:start w:val="1"/>
      <w:numFmt w:val="bullet"/>
      <w:lvlText w:val=""/>
      <w:lvlJc w:val="left"/>
      <w:pPr>
        <w:tabs>
          <w:tab w:val="num" w:pos="2886"/>
        </w:tabs>
        <w:ind w:left="2886" w:hanging="360"/>
      </w:pPr>
      <w:rPr>
        <w:rFonts w:ascii="Wingdings" w:hAnsi="Wingdings" w:hint="default"/>
      </w:rPr>
    </w:lvl>
    <w:lvl w:ilvl="3" w:tplc="04090001">
      <w:start w:val="1"/>
      <w:numFmt w:val="bullet"/>
      <w:lvlText w:val=""/>
      <w:lvlJc w:val="left"/>
      <w:pPr>
        <w:tabs>
          <w:tab w:val="num" w:pos="3606"/>
        </w:tabs>
        <w:ind w:left="3606" w:hanging="360"/>
      </w:pPr>
      <w:rPr>
        <w:rFonts w:ascii="Symbol" w:hAnsi="Symbol" w:hint="default"/>
      </w:rPr>
    </w:lvl>
    <w:lvl w:ilvl="4" w:tplc="04090003">
      <w:start w:val="1"/>
      <w:numFmt w:val="bullet"/>
      <w:lvlText w:val="o"/>
      <w:lvlJc w:val="left"/>
      <w:pPr>
        <w:tabs>
          <w:tab w:val="num" w:pos="4326"/>
        </w:tabs>
        <w:ind w:left="4326" w:hanging="360"/>
      </w:pPr>
      <w:rPr>
        <w:rFonts w:ascii="Courier New" w:hAnsi="Courier New" w:hint="default"/>
      </w:rPr>
    </w:lvl>
    <w:lvl w:ilvl="5" w:tplc="04090005">
      <w:start w:val="1"/>
      <w:numFmt w:val="bullet"/>
      <w:lvlText w:val=""/>
      <w:lvlJc w:val="left"/>
      <w:pPr>
        <w:tabs>
          <w:tab w:val="num" w:pos="5046"/>
        </w:tabs>
        <w:ind w:left="5046" w:hanging="360"/>
      </w:pPr>
      <w:rPr>
        <w:rFonts w:ascii="Wingdings" w:hAnsi="Wingdings" w:hint="default"/>
      </w:rPr>
    </w:lvl>
    <w:lvl w:ilvl="6" w:tplc="04090001">
      <w:start w:val="1"/>
      <w:numFmt w:val="bullet"/>
      <w:lvlText w:val=""/>
      <w:lvlJc w:val="left"/>
      <w:pPr>
        <w:tabs>
          <w:tab w:val="num" w:pos="5766"/>
        </w:tabs>
        <w:ind w:left="5766" w:hanging="360"/>
      </w:pPr>
      <w:rPr>
        <w:rFonts w:ascii="Symbol" w:hAnsi="Symbol" w:hint="default"/>
      </w:rPr>
    </w:lvl>
    <w:lvl w:ilvl="7" w:tplc="04090003">
      <w:start w:val="1"/>
      <w:numFmt w:val="bullet"/>
      <w:lvlText w:val="o"/>
      <w:lvlJc w:val="left"/>
      <w:pPr>
        <w:tabs>
          <w:tab w:val="num" w:pos="6486"/>
        </w:tabs>
        <w:ind w:left="6486" w:hanging="360"/>
      </w:pPr>
      <w:rPr>
        <w:rFonts w:ascii="Courier New" w:hAnsi="Courier New" w:hint="default"/>
      </w:rPr>
    </w:lvl>
    <w:lvl w:ilvl="8" w:tplc="04090005">
      <w:start w:val="1"/>
      <w:numFmt w:val="bullet"/>
      <w:lvlText w:val=""/>
      <w:lvlJc w:val="left"/>
      <w:pPr>
        <w:tabs>
          <w:tab w:val="num" w:pos="7206"/>
        </w:tabs>
        <w:ind w:left="7206" w:hanging="360"/>
      </w:pPr>
      <w:rPr>
        <w:rFonts w:ascii="Wingdings" w:hAnsi="Wingdings" w:hint="default"/>
      </w:rPr>
    </w:lvl>
  </w:abstractNum>
  <w:abstractNum w:abstractNumId="37">
    <w:nsid w:val="63AB69EB"/>
    <w:multiLevelType w:val="hybridMultilevel"/>
    <w:tmpl w:val="F518525C"/>
    <w:lvl w:ilvl="0" w:tplc="B02E7696">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663D03B0"/>
    <w:multiLevelType w:val="hybridMultilevel"/>
    <w:tmpl w:val="389E51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9">
    <w:nsid w:val="66EA7EB0"/>
    <w:multiLevelType w:val="hybridMultilevel"/>
    <w:tmpl w:val="3FCA7744"/>
    <w:lvl w:ilvl="0" w:tplc="DF58D550">
      <w:start w:val="1"/>
      <w:numFmt w:val="decimal"/>
      <w:lvlText w:val="%1."/>
      <w:lvlJc w:val="left"/>
      <w:pPr>
        <w:tabs>
          <w:tab w:val="num" w:pos="780"/>
        </w:tabs>
        <w:ind w:left="780" w:hanging="360"/>
      </w:pPr>
      <w:rPr>
        <w:rFonts w:ascii="Times New Roman" w:eastAsia="Times New Roman" w:hAnsi="Times New Roman" w:cs="Times New Roman"/>
        <w:sz w:val="24"/>
      </w:rPr>
    </w:lvl>
    <w:lvl w:ilvl="1" w:tplc="04090019">
      <w:start w:val="1"/>
      <w:numFmt w:val="lowerLetter"/>
      <w:lvlText w:val="%2."/>
      <w:lvlJc w:val="left"/>
      <w:pPr>
        <w:tabs>
          <w:tab w:val="num" w:pos="1440"/>
        </w:tabs>
        <w:ind w:left="1440" w:hanging="360"/>
      </w:pPr>
      <w:rPr>
        <w:rFonts w:cs="Times New Roman"/>
      </w:rPr>
    </w:lvl>
    <w:lvl w:ilvl="2" w:tplc="04090019">
      <w:start w:val="1"/>
      <w:numFmt w:val="lowerLetter"/>
      <w:lvlText w:val="%3."/>
      <w:lvlJc w:val="left"/>
      <w:pPr>
        <w:tabs>
          <w:tab w:val="num" w:pos="2340"/>
        </w:tabs>
        <w:ind w:left="2340" w:hanging="360"/>
      </w:pPr>
      <w:rPr>
        <w:rFonts w:cs="Times New Roman"/>
        <w:sz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67B019F6"/>
    <w:multiLevelType w:val="hybridMultilevel"/>
    <w:tmpl w:val="507614B8"/>
    <w:lvl w:ilvl="0" w:tplc="04090001">
      <w:start w:val="1"/>
      <w:numFmt w:val="bullet"/>
      <w:lvlText w:val=""/>
      <w:lvlJc w:val="left"/>
      <w:pPr>
        <w:tabs>
          <w:tab w:val="num" w:pos="1814"/>
        </w:tabs>
        <w:ind w:left="1814" w:hanging="360"/>
      </w:pPr>
      <w:rPr>
        <w:rFonts w:ascii="Symbol" w:hAnsi="Symbol" w:hint="default"/>
      </w:rPr>
    </w:lvl>
    <w:lvl w:ilvl="1" w:tplc="04090003">
      <w:start w:val="1"/>
      <w:numFmt w:val="bullet"/>
      <w:lvlText w:val="o"/>
      <w:lvlJc w:val="left"/>
      <w:pPr>
        <w:tabs>
          <w:tab w:val="num" w:pos="2534"/>
        </w:tabs>
        <w:ind w:left="2534" w:hanging="360"/>
      </w:pPr>
      <w:rPr>
        <w:rFonts w:ascii="Courier New" w:hAnsi="Courier New" w:hint="default"/>
      </w:rPr>
    </w:lvl>
    <w:lvl w:ilvl="2" w:tplc="04090005">
      <w:start w:val="1"/>
      <w:numFmt w:val="bullet"/>
      <w:lvlText w:val=""/>
      <w:lvlJc w:val="left"/>
      <w:pPr>
        <w:tabs>
          <w:tab w:val="num" w:pos="3254"/>
        </w:tabs>
        <w:ind w:left="3254" w:hanging="360"/>
      </w:pPr>
      <w:rPr>
        <w:rFonts w:ascii="Wingdings" w:hAnsi="Wingdings" w:hint="default"/>
      </w:rPr>
    </w:lvl>
    <w:lvl w:ilvl="3" w:tplc="04090001">
      <w:start w:val="1"/>
      <w:numFmt w:val="bullet"/>
      <w:lvlText w:val=""/>
      <w:lvlJc w:val="left"/>
      <w:pPr>
        <w:tabs>
          <w:tab w:val="num" w:pos="3974"/>
        </w:tabs>
        <w:ind w:left="3974" w:hanging="360"/>
      </w:pPr>
      <w:rPr>
        <w:rFonts w:ascii="Symbol" w:hAnsi="Symbol" w:hint="default"/>
      </w:rPr>
    </w:lvl>
    <w:lvl w:ilvl="4" w:tplc="04090003">
      <w:start w:val="1"/>
      <w:numFmt w:val="bullet"/>
      <w:lvlText w:val="o"/>
      <w:lvlJc w:val="left"/>
      <w:pPr>
        <w:tabs>
          <w:tab w:val="num" w:pos="4694"/>
        </w:tabs>
        <w:ind w:left="4694" w:hanging="360"/>
      </w:pPr>
      <w:rPr>
        <w:rFonts w:ascii="Courier New" w:hAnsi="Courier New" w:hint="default"/>
      </w:rPr>
    </w:lvl>
    <w:lvl w:ilvl="5" w:tplc="04090005">
      <w:start w:val="1"/>
      <w:numFmt w:val="bullet"/>
      <w:lvlText w:val=""/>
      <w:lvlJc w:val="left"/>
      <w:pPr>
        <w:tabs>
          <w:tab w:val="num" w:pos="5414"/>
        </w:tabs>
        <w:ind w:left="5414" w:hanging="360"/>
      </w:pPr>
      <w:rPr>
        <w:rFonts w:ascii="Wingdings" w:hAnsi="Wingdings" w:hint="default"/>
      </w:rPr>
    </w:lvl>
    <w:lvl w:ilvl="6" w:tplc="04090001">
      <w:start w:val="1"/>
      <w:numFmt w:val="bullet"/>
      <w:lvlText w:val=""/>
      <w:lvlJc w:val="left"/>
      <w:pPr>
        <w:tabs>
          <w:tab w:val="num" w:pos="6134"/>
        </w:tabs>
        <w:ind w:left="6134" w:hanging="360"/>
      </w:pPr>
      <w:rPr>
        <w:rFonts w:ascii="Symbol" w:hAnsi="Symbol" w:hint="default"/>
      </w:rPr>
    </w:lvl>
    <w:lvl w:ilvl="7" w:tplc="04090003">
      <w:start w:val="1"/>
      <w:numFmt w:val="bullet"/>
      <w:lvlText w:val="o"/>
      <w:lvlJc w:val="left"/>
      <w:pPr>
        <w:tabs>
          <w:tab w:val="num" w:pos="6854"/>
        </w:tabs>
        <w:ind w:left="6854" w:hanging="360"/>
      </w:pPr>
      <w:rPr>
        <w:rFonts w:ascii="Courier New" w:hAnsi="Courier New" w:hint="default"/>
      </w:rPr>
    </w:lvl>
    <w:lvl w:ilvl="8" w:tplc="04090005">
      <w:start w:val="1"/>
      <w:numFmt w:val="bullet"/>
      <w:lvlText w:val=""/>
      <w:lvlJc w:val="left"/>
      <w:pPr>
        <w:tabs>
          <w:tab w:val="num" w:pos="7574"/>
        </w:tabs>
        <w:ind w:left="7574" w:hanging="360"/>
      </w:pPr>
      <w:rPr>
        <w:rFonts w:ascii="Wingdings" w:hAnsi="Wingdings" w:hint="default"/>
      </w:rPr>
    </w:lvl>
  </w:abstractNum>
  <w:abstractNum w:abstractNumId="41">
    <w:nsid w:val="6E6435DD"/>
    <w:multiLevelType w:val="hybridMultilevel"/>
    <w:tmpl w:val="3C805966"/>
    <w:lvl w:ilvl="0" w:tplc="04090019">
      <w:start w:val="1"/>
      <w:numFmt w:val="lowerLetter"/>
      <w:lvlText w:val="%1."/>
      <w:lvlJc w:val="left"/>
      <w:pPr>
        <w:tabs>
          <w:tab w:val="num" w:pos="4320"/>
        </w:tabs>
        <w:ind w:left="4320" w:hanging="360"/>
      </w:pPr>
      <w:rPr>
        <w:rFonts w:cs="Times New Roman"/>
      </w:rPr>
    </w:lvl>
    <w:lvl w:ilvl="1" w:tplc="04090019">
      <w:start w:val="1"/>
      <w:numFmt w:val="lowerLetter"/>
      <w:lvlText w:val="%2."/>
      <w:lvlJc w:val="left"/>
      <w:pPr>
        <w:tabs>
          <w:tab w:val="num" w:pos="5040"/>
        </w:tabs>
        <w:ind w:left="5040" w:hanging="360"/>
      </w:pPr>
      <w:rPr>
        <w:rFonts w:cs="Times New Roman"/>
      </w:rPr>
    </w:lvl>
    <w:lvl w:ilvl="2" w:tplc="0409001B">
      <w:start w:val="1"/>
      <w:numFmt w:val="lowerRoman"/>
      <w:lvlText w:val="%3."/>
      <w:lvlJc w:val="right"/>
      <w:pPr>
        <w:tabs>
          <w:tab w:val="num" w:pos="5760"/>
        </w:tabs>
        <w:ind w:left="5760" w:hanging="180"/>
      </w:pPr>
      <w:rPr>
        <w:rFonts w:cs="Times New Roman"/>
      </w:rPr>
    </w:lvl>
    <w:lvl w:ilvl="3" w:tplc="0409000F">
      <w:start w:val="1"/>
      <w:numFmt w:val="decimal"/>
      <w:lvlText w:val="%4."/>
      <w:lvlJc w:val="left"/>
      <w:pPr>
        <w:tabs>
          <w:tab w:val="num" w:pos="6480"/>
        </w:tabs>
        <w:ind w:left="6480" w:hanging="360"/>
      </w:pPr>
      <w:rPr>
        <w:rFonts w:cs="Times New Roman"/>
      </w:rPr>
    </w:lvl>
    <w:lvl w:ilvl="4" w:tplc="04090019">
      <w:start w:val="1"/>
      <w:numFmt w:val="lowerLetter"/>
      <w:lvlText w:val="%5."/>
      <w:lvlJc w:val="left"/>
      <w:pPr>
        <w:tabs>
          <w:tab w:val="num" w:pos="7200"/>
        </w:tabs>
        <w:ind w:left="7200" w:hanging="360"/>
      </w:pPr>
      <w:rPr>
        <w:rFonts w:cs="Times New Roman"/>
      </w:rPr>
    </w:lvl>
    <w:lvl w:ilvl="5" w:tplc="0409001B">
      <w:start w:val="1"/>
      <w:numFmt w:val="lowerRoman"/>
      <w:lvlText w:val="%6."/>
      <w:lvlJc w:val="right"/>
      <w:pPr>
        <w:tabs>
          <w:tab w:val="num" w:pos="7920"/>
        </w:tabs>
        <w:ind w:left="7920" w:hanging="180"/>
      </w:pPr>
      <w:rPr>
        <w:rFonts w:cs="Times New Roman"/>
      </w:rPr>
    </w:lvl>
    <w:lvl w:ilvl="6" w:tplc="0409000F">
      <w:start w:val="1"/>
      <w:numFmt w:val="decimal"/>
      <w:lvlText w:val="%7."/>
      <w:lvlJc w:val="left"/>
      <w:pPr>
        <w:tabs>
          <w:tab w:val="num" w:pos="8640"/>
        </w:tabs>
        <w:ind w:left="8640" w:hanging="360"/>
      </w:pPr>
      <w:rPr>
        <w:rFonts w:cs="Times New Roman"/>
      </w:rPr>
    </w:lvl>
    <w:lvl w:ilvl="7" w:tplc="04090019">
      <w:start w:val="1"/>
      <w:numFmt w:val="lowerLetter"/>
      <w:lvlText w:val="%8."/>
      <w:lvlJc w:val="left"/>
      <w:pPr>
        <w:tabs>
          <w:tab w:val="num" w:pos="9360"/>
        </w:tabs>
        <w:ind w:left="9360" w:hanging="360"/>
      </w:pPr>
      <w:rPr>
        <w:rFonts w:cs="Times New Roman"/>
      </w:rPr>
    </w:lvl>
    <w:lvl w:ilvl="8" w:tplc="0409001B">
      <w:start w:val="1"/>
      <w:numFmt w:val="lowerRoman"/>
      <w:lvlText w:val="%9."/>
      <w:lvlJc w:val="right"/>
      <w:pPr>
        <w:tabs>
          <w:tab w:val="num" w:pos="10080"/>
        </w:tabs>
        <w:ind w:left="10080" w:hanging="180"/>
      </w:pPr>
      <w:rPr>
        <w:rFonts w:cs="Times New Roman"/>
      </w:rPr>
    </w:lvl>
  </w:abstractNum>
  <w:abstractNum w:abstractNumId="42">
    <w:nsid w:val="71F63FC5"/>
    <w:multiLevelType w:val="hybridMultilevel"/>
    <w:tmpl w:val="34A277E6"/>
    <w:lvl w:ilvl="0" w:tplc="04090001">
      <w:start w:val="1"/>
      <w:numFmt w:val="bullet"/>
      <w:lvlText w:val=""/>
      <w:lvlJc w:val="left"/>
      <w:pPr>
        <w:tabs>
          <w:tab w:val="num" w:pos="2760"/>
        </w:tabs>
        <w:ind w:left="2760" w:hanging="360"/>
      </w:pPr>
      <w:rPr>
        <w:rFonts w:ascii="Symbol" w:hAnsi="Symbol" w:hint="default"/>
      </w:rPr>
    </w:lvl>
    <w:lvl w:ilvl="1" w:tplc="04090019">
      <w:start w:val="1"/>
      <w:numFmt w:val="lowerLetter"/>
      <w:lvlText w:val="%2."/>
      <w:lvlJc w:val="left"/>
      <w:pPr>
        <w:tabs>
          <w:tab w:val="num" w:pos="1680"/>
        </w:tabs>
        <w:ind w:left="1680" w:hanging="360"/>
      </w:pPr>
      <w:rPr>
        <w:rFonts w:cs="Times New Roman"/>
      </w:rPr>
    </w:lvl>
    <w:lvl w:ilvl="2" w:tplc="0409001B">
      <w:start w:val="1"/>
      <w:numFmt w:val="lowerRoman"/>
      <w:lvlText w:val="%3."/>
      <w:lvlJc w:val="right"/>
      <w:pPr>
        <w:tabs>
          <w:tab w:val="num" w:pos="2400"/>
        </w:tabs>
        <w:ind w:left="2400" w:hanging="180"/>
      </w:pPr>
      <w:rPr>
        <w:rFonts w:cs="Times New Roman"/>
      </w:rPr>
    </w:lvl>
    <w:lvl w:ilvl="3" w:tplc="0409000F">
      <w:start w:val="1"/>
      <w:numFmt w:val="decimal"/>
      <w:lvlText w:val="%4."/>
      <w:lvlJc w:val="left"/>
      <w:pPr>
        <w:tabs>
          <w:tab w:val="num" w:pos="3120"/>
        </w:tabs>
        <w:ind w:left="3120" w:hanging="360"/>
      </w:pPr>
      <w:rPr>
        <w:rFonts w:cs="Times New Roman"/>
      </w:rPr>
    </w:lvl>
    <w:lvl w:ilvl="4" w:tplc="04090019">
      <w:start w:val="1"/>
      <w:numFmt w:val="lowerLetter"/>
      <w:lvlText w:val="%5."/>
      <w:lvlJc w:val="left"/>
      <w:pPr>
        <w:tabs>
          <w:tab w:val="num" w:pos="3840"/>
        </w:tabs>
        <w:ind w:left="3840" w:hanging="360"/>
      </w:pPr>
      <w:rPr>
        <w:rFonts w:cs="Times New Roman"/>
      </w:rPr>
    </w:lvl>
    <w:lvl w:ilvl="5" w:tplc="0409001B">
      <w:start w:val="1"/>
      <w:numFmt w:val="lowerRoman"/>
      <w:lvlText w:val="%6."/>
      <w:lvlJc w:val="right"/>
      <w:pPr>
        <w:tabs>
          <w:tab w:val="num" w:pos="4560"/>
        </w:tabs>
        <w:ind w:left="4560" w:hanging="180"/>
      </w:pPr>
      <w:rPr>
        <w:rFonts w:cs="Times New Roman"/>
      </w:rPr>
    </w:lvl>
    <w:lvl w:ilvl="6" w:tplc="0409000F">
      <w:start w:val="1"/>
      <w:numFmt w:val="decimal"/>
      <w:lvlText w:val="%7."/>
      <w:lvlJc w:val="left"/>
      <w:pPr>
        <w:tabs>
          <w:tab w:val="num" w:pos="5280"/>
        </w:tabs>
        <w:ind w:left="5280" w:hanging="360"/>
      </w:pPr>
      <w:rPr>
        <w:rFonts w:cs="Times New Roman"/>
      </w:rPr>
    </w:lvl>
    <w:lvl w:ilvl="7" w:tplc="04090019">
      <w:start w:val="1"/>
      <w:numFmt w:val="lowerLetter"/>
      <w:lvlText w:val="%8."/>
      <w:lvlJc w:val="left"/>
      <w:pPr>
        <w:tabs>
          <w:tab w:val="num" w:pos="6000"/>
        </w:tabs>
        <w:ind w:left="6000" w:hanging="360"/>
      </w:pPr>
      <w:rPr>
        <w:rFonts w:cs="Times New Roman"/>
      </w:rPr>
    </w:lvl>
    <w:lvl w:ilvl="8" w:tplc="0409001B">
      <w:start w:val="1"/>
      <w:numFmt w:val="lowerRoman"/>
      <w:lvlText w:val="%9."/>
      <w:lvlJc w:val="right"/>
      <w:pPr>
        <w:tabs>
          <w:tab w:val="num" w:pos="6720"/>
        </w:tabs>
        <w:ind w:left="6720" w:hanging="180"/>
      </w:pPr>
      <w:rPr>
        <w:rFonts w:cs="Times New Roman"/>
      </w:rPr>
    </w:lvl>
  </w:abstractNum>
  <w:abstractNum w:abstractNumId="43">
    <w:nsid w:val="79F62BE2"/>
    <w:multiLevelType w:val="hybridMultilevel"/>
    <w:tmpl w:val="3D66C4A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A404C21"/>
    <w:multiLevelType w:val="hybridMultilevel"/>
    <w:tmpl w:val="BCE2D1F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5">
    <w:nsid w:val="7ABE1A67"/>
    <w:multiLevelType w:val="multilevel"/>
    <w:tmpl w:val="9BAA6FDA"/>
    <w:lvl w:ilvl="0">
      <w:start w:val="1"/>
      <w:numFmt w:val="decimal"/>
      <w:lvlText w:val="%1."/>
      <w:lvlJc w:val="left"/>
      <w:pPr>
        <w:tabs>
          <w:tab w:val="num" w:pos="720"/>
        </w:tabs>
        <w:ind w:left="720" w:hanging="360"/>
      </w:pPr>
      <w:rPr>
        <w:rFonts w:ascii="Times New Roman" w:hAnsi="Times New Roman" w:cs="Times New Roman" w:hint="default"/>
      </w:rPr>
    </w:lvl>
    <w:lvl w:ilvl="1">
      <w:start w:val="14"/>
      <w:numFmt w:val="decimal"/>
      <w:lvlText w:val="%2."/>
      <w:lvlJc w:val="left"/>
      <w:pPr>
        <w:tabs>
          <w:tab w:val="num" w:pos="1890"/>
        </w:tabs>
        <w:ind w:left="1890" w:hanging="81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nsid w:val="7AD63DA8"/>
    <w:multiLevelType w:val="hybridMultilevel"/>
    <w:tmpl w:val="99F60FF8"/>
    <w:lvl w:ilvl="0" w:tplc="B694EA60">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7C26214D"/>
    <w:multiLevelType w:val="hybridMultilevel"/>
    <w:tmpl w:val="727EE278"/>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13"/>
  </w:num>
  <w:num w:numId="2">
    <w:abstractNumId w:val="19"/>
  </w:num>
  <w:num w:numId="3">
    <w:abstractNumId w:val="26"/>
  </w:num>
  <w:num w:numId="4">
    <w:abstractNumId w:val="20"/>
  </w:num>
  <w:num w:numId="5">
    <w:abstractNumId w:val="5"/>
  </w:num>
  <w:num w:numId="6">
    <w:abstractNumId w:val="7"/>
  </w:num>
  <w:num w:numId="7">
    <w:abstractNumId w:val="45"/>
  </w:num>
  <w:num w:numId="8">
    <w:abstractNumId w:val="24"/>
  </w:num>
  <w:num w:numId="9">
    <w:abstractNumId w:val="29"/>
    <w:lvlOverride w:ilvl="0">
      <w:startOverride w:val="1"/>
    </w:lvlOverride>
  </w:num>
  <w:num w:numId="10">
    <w:abstractNumId w:val="22"/>
  </w:num>
  <w:num w:numId="11">
    <w:abstractNumId w:val="15"/>
  </w:num>
  <w:num w:numId="12">
    <w:abstractNumId w:val="46"/>
  </w:num>
  <w:num w:numId="13">
    <w:abstractNumId w:val="43"/>
  </w:num>
  <w:num w:numId="14">
    <w:abstractNumId w:val="34"/>
  </w:num>
  <w:num w:numId="15">
    <w:abstractNumId w:val="18"/>
  </w:num>
  <w:num w:numId="16">
    <w:abstractNumId w:val="39"/>
  </w:num>
  <w:num w:numId="17">
    <w:abstractNumId w:val="4"/>
  </w:num>
  <w:num w:numId="18">
    <w:abstractNumId w:val="30"/>
  </w:num>
  <w:num w:numId="19">
    <w:abstractNumId w:val="3"/>
  </w:num>
  <w:num w:numId="20">
    <w:abstractNumId w:val="27"/>
  </w:num>
  <w:num w:numId="21">
    <w:abstractNumId w:val="41"/>
  </w:num>
  <w:num w:numId="22">
    <w:abstractNumId w:val="6"/>
  </w:num>
  <w:num w:numId="23">
    <w:abstractNumId w:val="25"/>
  </w:num>
  <w:num w:numId="24">
    <w:abstractNumId w:val="40"/>
  </w:num>
  <w:num w:numId="25">
    <w:abstractNumId w:val="42"/>
  </w:num>
  <w:num w:numId="26">
    <w:abstractNumId w:val="16"/>
  </w:num>
  <w:num w:numId="27">
    <w:abstractNumId w:val="47"/>
  </w:num>
  <w:num w:numId="28">
    <w:abstractNumId w:val="10"/>
  </w:num>
  <w:num w:numId="29">
    <w:abstractNumId w:val="8"/>
  </w:num>
  <w:num w:numId="30">
    <w:abstractNumId w:val="31"/>
  </w:num>
  <w:num w:numId="31">
    <w:abstractNumId w:val="17"/>
  </w:num>
  <w:num w:numId="32">
    <w:abstractNumId w:val="33"/>
  </w:num>
  <w:num w:numId="33">
    <w:abstractNumId w:val="44"/>
  </w:num>
  <w:num w:numId="34">
    <w:abstractNumId w:val="36"/>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2"/>
  </w:num>
  <w:num w:numId="38">
    <w:abstractNumId w:val="21"/>
  </w:num>
  <w:num w:numId="39">
    <w:abstractNumId w:val="12"/>
  </w:num>
  <w:num w:numId="40">
    <w:abstractNumId w:val="38"/>
  </w:num>
  <w:num w:numId="41">
    <w:abstractNumId w:val="28"/>
  </w:num>
  <w:num w:numId="42">
    <w:abstractNumId w:val="23"/>
  </w:num>
  <w:num w:numId="43">
    <w:abstractNumId w:val="0"/>
  </w:num>
  <w:num w:numId="44">
    <w:abstractNumId w:val="1"/>
  </w:num>
  <w:num w:numId="45">
    <w:abstractNumId w:val="35"/>
  </w:num>
  <w:num w:numId="46">
    <w:abstractNumId w:val="9"/>
  </w:num>
  <w:num w:numId="47">
    <w:abstractNumId w:val="9"/>
  </w:num>
  <w:num w:numId="48">
    <w:abstractNumId w:val="9"/>
  </w:num>
  <w:num w:numId="49">
    <w:abstractNumId w:val="2"/>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embedSystemFonts/>
  <w:stylePaneFormatFilter w:val="3F01"/>
  <w:defaultTabStop w:val="720"/>
  <w:autoHyphenation/>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toc 4" w:uiPriority="39"/>
    <w:lsdException w:name="footnote text" w:uiPriority="99"/>
    <w:lsdException w:name="footer" w:locked="1"/>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Plain Text" w:locked="1"/>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46"/>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6"/>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locked/>
    <w:pPr>
      <w:keepNext/>
      <w:numPr>
        <w:ilvl w:val="3"/>
        <w:numId w:val="4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pPr>
      <w:numPr>
        <w:ilvl w:val="4"/>
        <w:numId w:val="4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pPr>
      <w:numPr>
        <w:ilvl w:val="5"/>
        <w:numId w:val="4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locked/>
    <w:pPr>
      <w:numPr>
        <w:ilvl w:val="6"/>
        <w:numId w:val="46"/>
      </w:numPr>
      <w:spacing w:before="240" w:after="60"/>
      <w:outlineLvl w:val="6"/>
    </w:pPr>
    <w:rPr>
      <w:rFonts w:ascii="Calibri" w:hAnsi="Calibri"/>
    </w:rPr>
  </w:style>
  <w:style w:type="paragraph" w:styleId="Heading8">
    <w:name w:val="heading 8"/>
    <w:basedOn w:val="Normal"/>
    <w:next w:val="Normal"/>
    <w:link w:val="Heading8Char"/>
    <w:semiHidden/>
    <w:unhideWhenUsed/>
    <w:qFormat/>
    <w:locked/>
    <w:pPr>
      <w:numPr>
        <w:ilvl w:val="7"/>
        <w:numId w:val="46"/>
      </w:numPr>
      <w:spacing w:before="240" w:after="60"/>
      <w:outlineLvl w:val="7"/>
    </w:pPr>
    <w:rPr>
      <w:rFonts w:ascii="Calibri" w:hAnsi="Calibri"/>
      <w:i/>
      <w:iCs/>
    </w:rPr>
  </w:style>
  <w:style w:type="paragraph" w:styleId="Heading9">
    <w:name w:val="heading 9"/>
    <w:basedOn w:val="Normal"/>
    <w:next w:val="Normal"/>
    <w:link w:val="Heading9Char"/>
    <w:semiHidden/>
    <w:unhideWhenUsed/>
    <w:qFormat/>
    <w:locked/>
    <w:pPr>
      <w:numPr>
        <w:ilvl w:val="8"/>
        <w:numId w:val="4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szCs w:val="20"/>
      <w:u w:val="single"/>
    </w:rPr>
  </w:style>
  <w:style w:type="paragraph" w:styleId="FootnoteText">
    <w:name w:val="footnote text"/>
    <w:basedOn w:val="Normal"/>
    <w:link w:val="FootnoteTextChar"/>
    <w:uiPriority w:val="99"/>
    <w:semiHidden/>
    <w:pPr>
      <w:widowControl w:val="0"/>
      <w:autoSpaceDE w:val="0"/>
      <w:autoSpaceDN w:val="0"/>
      <w:adjustRightInd w:val="0"/>
    </w:pPr>
  </w:style>
  <w:style w:type="character" w:styleId="FootnoteReference">
    <w:name w:val="footnote reference"/>
    <w:uiPriority w:val="99"/>
    <w:semiHidden/>
    <w:rPr>
      <w:vertAlign w:val="superscript"/>
    </w:rPr>
  </w:style>
  <w:style w:type="character" w:customStyle="1" w:styleId="CharacterStyle1">
    <w:name w:val="Character Style 1"/>
    <w:rPr>
      <w:rFonts w:ascii="Times New Roman" w:hAnsi="Times New Roman"/>
      <w:sz w:val="24"/>
    </w:rPr>
  </w:style>
  <w:style w:type="paragraph" w:styleId="TOC1">
    <w:name w:val="toc 1"/>
    <w:basedOn w:val="Normal"/>
    <w:next w:val="Normal"/>
    <w:autoRedefine/>
    <w:uiPriority w:val="39"/>
    <w:pPr>
      <w:tabs>
        <w:tab w:val="right" w:leader="dot" w:pos="8630"/>
      </w:tabs>
      <w:spacing w:before="120" w:after="120" w:line="320" w:lineRule="exact"/>
    </w:pPr>
    <w:rPr>
      <w:bCs/>
      <w:caps/>
      <w:noProof/>
      <w:spacing w:val="-12"/>
      <w:kern w:val="16"/>
      <w:sz w:val="20"/>
      <w:szCs w:val="20"/>
    </w:rPr>
  </w:style>
  <w:style w:type="character" w:styleId="Hyperlink">
    <w:name w:val="Hyperlink"/>
    <w:uiPriority w:val="99"/>
    <w:rPr>
      <w:rFonts w:ascii="Palatino Linotype" w:hAnsi="Palatino Linotype"/>
      <w:color w:val="0000FF"/>
      <w:sz w:val="24"/>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szCs w:val="20"/>
    </w:rPr>
  </w:style>
  <w:style w:type="paragraph" w:customStyle="1" w:styleId="vsDraft">
    <w:name w:val="vsDraft"/>
    <w:basedOn w:val="Normal"/>
    <w:pPr>
      <w:tabs>
        <w:tab w:val="left" w:pos="1440"/>
        <w:tab w:val="left" w:pos="2160"/>
        <w:tab w:val="left" w:pos="2880"/>
      </w:tabs>
      <w:spacing w:before="120" w:after="120"/>
      <w:jc w:val="center"/>
    </w:pPr>
    <w:rPr>
      <w:b/>
      <w:szCs w:val="20"/>
    </w:rPr>
  </w:style>
  <w:style w:type="paragraph" w:styleId="BalloonText">
    <w:name w:val="Balloon Text"/>
    <w:basedOn w:val="Normal"/>
    <w:semiHidden/>
    <w:rPr>
      <w:rFonts w:ascii="Tahoma" w:hAnsi="Tahoma" w:cs="Tahoma"/>
      <w:sz w:val="16"/>
      <w:szCs w:val="16"/>
    </w:rPr>
  </w:style>
  <w:style w:type="character" w:styleId="PageNumber">
    <w:name w:val="page number"/>
    <w:rPr>
      <w:rFonts w:cs="Times New Roman"/>
    </w:rPr>
  </w:style>
  <w:style w:type="paragraph" w:styleId="BodyTextIndent">
    <w:name w:val="Body Text Indent"/>
    <w:basedOn w:val="Normal"/>
    <w:pPr>
      <w:ind w:left="720" w:hanging="720"/>
    </w:pPr>
    <w:rPr>
      <w:rFonts w:ascii="Arial" w:hAnsi="Arial"/>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spacing w:after="120"/>
    </w:pPr>
    <w:rPr>
      <w:szCs w:val="20"/>
    </w:rPr>
  </w:style>
  <w:style w:type="character" w:styleId="CommentReference">
    <w:name w:val="annotation reference"/>
    <w:semiHidden/>
    <w:rPr>
      <w:sz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BodyTextChar">
    <w:name w:val="Body Text Char"/>
    <w:link w:val="BodyText"/>
    <w:locked/>
    <w:rPr>
      <w:sz w:val="24"/>
      <w:lang w:val="en-US" w:eastAsia="en-US"/>
    </w:r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uiPriority w:val="39"/>
    <w:pPr>
      <w:tabs>
        <w:tab w:val="left" w:pos="1200"/>
        <w:tab w:val="right" w:leader="dot" w:pos="8630"/>
      </w:tabs>
      <w:ind w:left="1670" w:hanging="1195"/>
    </w:pPr>
    <w:rPr>
      <w:i/>
      <w:iCs/>
      <w:sz w:val="20"/>
      <w:szCs w:val="20"/>
    </w:rPr>
  </w:style>
  <w:style w:type="paragraph" w:styleId="TOC4">
    <w:name w:val="toc 4"/>
    <w:basedOn w:val="Normal"/>
    <w:next w:val="Normal"/>
    <w:autoRedefine/>
    <w:uiPriority w:val="39"/>
    <w:pPr>
      <w:tabs>
        <w:tab w:val="left" w:pos="1440"/>
        <w:tab w:val="right" w:leader="dot" w:pos="8630"/>
      </w:tabs>
      <w:ind w:left="2160" w:hanging="144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Style2">
    <w:name w:val="Style2"/>
    <w:basedOn w:val="TOC1"/>
    <w:autoRedefine/>
    <w:pPr>
      <w:tabs>
        <w:tab w:val="left" w:pos="480"/>
      </w:tabs>
    </w:pPr>
    <w:rPr>
      <w:rFonts w:ascii="Palatino Linotype" w:hAnsi="Palatino Linotype"/>
      <w:b/>
      <w:sz w:val="24"/>
    </w:rPr>
  </w:style>
  <w:style w:type="character" w:customStyle="1" w:styleId="FooterChar">
    <w:name w:val="Footer Char"/>
    <w:link w:val="Footer"/>
    <w:locked/>
    <w:rPr>
      <w:sz w:val="24"/>
    </w:rPr>
  </w:style>
  <w:style w:type="paragraph" w:styleId="Index1">
    <w:name w:val="index 1"/>
    <w:basedOn w:val="Normal"/>
    <w:next w:val="Normal"/>
    <w:autoRedefine/>
    <w:semiHidden/>
    <w:pPr>
      <w:ind w:left="240" w:hanging="240"/>
    </w:pPr>
    <w:rPr>
      <w:rFonts w:ascii="Palatino Linotype" w:hAnsi="Palatino Linotype"/>
    </w:rPr>
  </w:style>
  <w:style w:type="character" w:customStyle="1" w:styleId="LBFileStampAtCursor">
    <w:name w:val="*LBFileStampAtCursor"/>
    <w:aliases w:val="FSC"/>
    <w:basedOn w:val="DefaultParagraphFont"/>
    <w:rPr>
      <w:rFonts w:ascii="Arial" w:hAnsi="Arial" w:cs="Times New Roman"/>
      <w:sz w:val="12"/>
      <w:szCs w:val="32"/>
    </w:rPr>
  </w:style>
  <w:style w:type="paragraph" w:customStyle="1" w:styleId="LBFileStampAtEnd">
    <w:name w:val="*LBFileStampAtEnd"/>
    <w:aliases w:val="FSE"/>
    <w:basedOn w:val="Normal"/>
    <w:pPr>
      <w:spacing w:before="360"/>
    </w:pPr>
    <w:rPr>
      <w:rFonts w:ascii="Arial" w:hAnsi="Arial"/>
      <w:sz w:val="12"/>
      <w:szCs w:val="32"/>
    </w:rPr>
  </w:style>
  <w:style w:type="paragraph" w:styleId="PlainText">
    <w:name w:val="Plain Text"/>
    <w:basedOn w:val="Normal"/>
    <w:link w:val="PlainTextChar"/>
    <w:rPr>
      <w:rFonts w:ascii="Consolas" w:hAnsi="Consolas"/>
      <w:sz w:val="21"/>
      <w:szCs w:val="21"/>
    </w:rPr>
  </w:style>
  <w:style w:type="character" w:customStyle="1" w:styleId="PlainTextChar">
    <w:name w:val="Plain Text Char"/>
    <w:link w:val="PlainText"/>
    <w:locked/>
    <w:rPr>
      <w:rFonts w:ascii="Consolas" w:eastAsia="Times New Roman" w:hAnsi="Consolas" w:cs="Times New Roman"/>
      <w:sz w:val="21"/>
      <w:szCs w:val="21"/>
    </w:rPr>
  </w:style>
  <w:style w:type="character" w:customStyle="1" w:styleId="FootnoteTextChar">
    <w:name w:val="Footnote Text Char"/>
    <w:link w:val="FootnoteText"/>
    <w:uiPriority w:val="99"/>
    <w:locked/>
    <w:rPr>
      <w:rFonts w:cs="Times New Roman"/>
      <w:sz w:val="24"/>
      <w:szCs w:val="24"/>
    </w:rPr>
  </w:style>
  <w:style w:type="paragraph" w:styleId="ListParagraph">
    <w:name w:val="List Paragraph"/>
    <w:basedOn w:val="Normal"/>
    <w:qFormat/>
    <w:pPr>
      <w:ind w:left="720"/>
    </w:pPr>
  </w:style>
  <w:style w:type="numbering" w:customStyle="1" w:styleId="Style1">
    <w:name w:val="Style1"/>
    <w:pPr>
      <w:numPr>
        <w:numId w:val="1"/>
      </w:numPr>
    </w:pPr>
  </w:style>
  <w:style w:type="character" w:customStyle="1" w:styleId="CharChar1">
    <w:name w:val="Char Char1"/>
    <w:locked/>
    <w:rPr>
      <w:sz w:val="24"/>
      <w:szCs w:val="24"/>
      <w:lang w:val="en-US" w:eastAsia="en-US" w:bidi="ar-SA"/>
    </w:rPr>
  </w:style>
  <w:style w:type="character" w:customStyle="1" w:styleId="Heading4Char">
    <w:name w:val="Heading 4 Char"/>
    <w:basedOn w:val="DefaultParagraphFont"/>
    <w:link w:val="Heading4"/>
    <w:semiHidden/>
    <w:rPr>
      <w:rFonts w:ascii="Calibri" w:eastAsia="Times New Roman" w:hAnsi="Calibri" w:cs="Times New Roman"/>
      <w:b/>
      <w:bCs/>
      <w:sz w:val="28"/>
      <w:szCs w:val="28"/>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Pr>
      <w:rFonts w:ascii="Calibri" w:eastAsia="Times New Roman" w:hAnsi="Calibri" w:cs="Times New Roman"/>
      <w:b/>
      <w:bCs/>
      <w:sz w:val="22"/>
      <w:szCs w:val="22"/>
    </w:rPr>
  </w:style>
  <w:style w:type="character" w:customStyle="1" w:styleId="Heading7Char">
    <w:name w:val="Heading 7 Char"/>
    <w:basedOn w:val="DefaultParagraphFont"/>
    <w:link w:val="Heading7"/>
    <w:semiHidden/>
    <w:rPr>
      <w:rFonts w:ascii="Calibri" w:eastAsia="Times New Roman" w:hAnsi="Calibri" w:cs="Times New Roman"/>
      <w:sz w:val="24"/>
      <w:szCs w:val="24"/>
    </w:rPr>
  </w:style>
  <w:style w:type="character" w:customStyle="1" w:styleId="Heading8Char">
    <w:name w:val="Heading 8 Char"/>
    <w:basedOn w:val="DefaultParagraphFont"/>
    <w:link w:val="Heading8"/>
    <w:semiHidden/>
    <w:rPr>
      <w:rFonts w:ascii="Calibri" w:eastAsia="Times New Roman" w:hAnsi="Calibri" w:cs="Times New Roman"/>
      <w:i/>
      <w:iCs/>
      <w:sz w:val="24"/>
      <w:szCs w:val="24"/>
    </w:rPr>
  </w:style>
  <w:style w:type="character" w:customStyle="1" w:styleId="Heading9Char">
    <w:name w:val="Heading 9 Char"/>
    <w:basedOn w:val="DefaultParagraphFont"/>
    <w:link w:val="Heading9"/>
    <w:semiHidden/>
    <w:rPr>
      <w:rFonts w:ascii="Cambria" w:eastAsia="Times New Roman" w:hAnsi="Cambria" w:cs="Times New Roman"/>
      <w:sz w:val="22"/>
      <w:szCs w:val="22"/>
    </w:rPr>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toc 4" w:uiPriority="39"/>
    <w:lsdException w:name="footnote text" w:uiPriority="99"/>
    <w:lsdException w:name="footer" w:locked="1"/>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Plain Text" w:locked="1"/>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46"/>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6"/>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locked/>
    <w:pPr>
      <w:keepNext/>
      <w:numPr>
        <w:ilvl w:val="3"/>
        <w:numId w:val="4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pPr>
      <w:numPr>
        <w:ilvl w:val="4"/>
        <w:numId w:val="4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pPr>
      <w:numPr>
        <w:ilvl w:val="5"/>
        <w:numId w:val="4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locked/>
    <w:pPr>
      <w:numPr>
        <w:ilvl w:val="6"/>
        <w:numId w:val="46"/>
      </w:numPr>
      <w:spacing w:before="240" w:after="60"/>
      <w:outlineLvl w:val="6"/>
    </w:pPr>
    <w:rPr>
      <w:rFonts w:ascii="Calibri" w:hAnsi="Calibri"/>
    </w:rPr>
  </w:style>
  <w:style w:type="paragraph" w:styleId="Heading8">
    <w:name w:val="heading 8"/>
    <w:basedOn w:val="Normal"/>
    <w:next w:val="Normal"/>
    <w:link w:val="Heading8Char"/>
    <w:semiHidden/>
    <w:unhideWhenUsed/>
    <w:qFormat/>
    <w:locked/>
    <w:pPr>
      <w:numPr>
        <w:ilvl w:val="7"/>
        <w:numId w:val="46"/>
      </w:numPr>
      <w:spacing w:before="240" w:after="60"/>
      <w:outlineLvl w:val="7"/>
    </w:pPr>
    <w:rPr>
      <w:rFonts w:ascii="Calibri" w:hAnsi="Calibri"/>
      <w:i/>
      <w:iCs/>
    </w:rPr>
  </w:style>
  <w:style w:type="paragraph" w:styleId="Heading9">
    <w:name w:val="heading 9"/>
    <w:basedOn w:val="Normal"/>
    <w:next w:val="Normal"/>
    <w:link w:val="Heading9Char"/>
    <w:semiHidden/>
    <w:unhideWhenUsed/>
    <w:qFormat/>
    <w:locked/>
    <w:pPr>
      <w:numPr>
        <w:ilvl w:val="8"/>
        <w:numId w:val="4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szCs w:val="20"/>
      <w:u w:val="single"/>
    </w:rPr>
  </w:style>
  <w:style w:type="paragraph" w:styleId="FootnoteText">
    <w:name w:val="footnote text"/>
    <w:basedOn w:val="Normal"/>
    <w:link w:val="FootnoteTextChar"/>
    <w:uiPriority w:val="99"/>
    <w:semiHidden/>
    <w:pPr>
      <w:widowControl w:val="0"/>
      <w:autoSpaceDE w:val="0"/>
      <w:autoSpaceDN w:val="0"/>
      <w:adjustRightInd w:val="0"/>
    </w:pPr>
  </w:style>
  <w:style w:type="character" w:styleId="FootnoteReference">
    <w:name w:val="footnote reference"/>
    <w:uiPriority w:val="99"/>
    <w:semiHidden/>
    <w:rPr>
      <w:vertAlign w:val="superscript"/>
    </w:rPr>
  </w:style>
  <w:style w:type="character" w:customStyle="1" w:styleId="CharacterStyle1">
    <w:name w:val="Character Style 1"/>
    <w:rPr>
      <w:rFonts w:ascii="Times New Roman" w:hAnsi="Times New Roman"/>
      <w:sz w:val="24"/>
    </w:rPr>
  </w:style>
  <w:style w:type="paragraph" w:styleId="TOC1">
    <w:name w:val="toc 1"/>
    <w:basedOn w:val="Normal"/>
    <w:next w:val="Normal"/>
    <w:autoRedefine/>
    <w:uiPriority w:val="39"/>
    <w:rsid w:val="006C3DBA"/>
    <w:pPr>
      <w:tabs>
        <w:tab w:val="right" w:leader="dot" w:pos="8630"/>
      </w:tabs>
      <w:spacing w:before="120" w:after="120" w:line="320" w:lineRule="exact"/>
    </w:pPr>
    <w:rPr>
      <w:bCs/>
      <w:caps/>
      <w:noProof/>
      <w:spacing w:val="-12"/>
      <w:kern w:val="16"/>
      <w:sz w:val="20"/>
      <w:szCs w:val="20"/>
    </w:rPr>
  </w:style>
  <w:style w:type="character" w:styleId="Hyperlink">
    <w:name w:val="Hyperlink"/>
    <w:uiPriority w:val="99"/>
    <w:rPr>
      <w:rFonts w:ascii="Palatino Linotype" w:hAnsi="Palatino Linotype"/>
      <w:color w:val="0000FF"/>
      <w:sz w:val="24"/>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szCs w:val="20"/>
    </w:rPr>
  </w:style>
  <w:style w:type="paragraph" w:customStyle="1" w:styleId="vsDraft">
    <w:name w:val="vsDraft"/>
    <w:basedOn w:val="Normal"/>
    <w:pPr>
      <w:tabs>
        <w:tab w:val="left" w:pos="1440"/>
        <w:tab w:val="left" w:pos="2160"/>
        <w:tab w:val="left" w:pos="2880"/>
      </w:tabs>
      <w:spacing w:before="120" w:after="120"/>
      <w:jc w:val="center"/>
    </w:pPr>
    <w:rPr>
      <w:b/>
      <w:szCs w:val="20"/>
    </w:rPr>
  </w:style>
  <w:style w:type="paragraph" w:styleId="BalloonText">
    <w:name w:val="Balloon Text"/>
    <w:basedOn w:val="Normal"/>
    <w:semiHidden/>
    <w:rPr>
      <w:rFonts w:ascii="Tahoma" w:hAnsi="Tahoma" w:cs="Tahoma"/>
      <w:sz w:val="16"/>
      <w:szCs w:val="16"/>
    </w:rPr>
  </w:style>
  <w:style w:type="character" w:styleId="PageNumber">
    <w:name w:val="page number"/>
    <w:rPr>
      <w:rFonts w:cs="Times New Roman"/>
    </w:rPr>
  </w:style>
  <w:style w:type="paragraph" w:styleId="BodyTextIndent">
    <w:name w:val="Body Text Indent"/>
    <w:basedOn w:val="Normal"/>
    <w:pPr>
      <w:ind w:left="720" w:hanging="720"/>
    </w:pPr>
    <w:rPr>
      <w:rFonts w:ascii="Arial" w:hAnsi="Arial"/>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spacing w:after="120"/>
    </w:pPr>
    <w:rPr>
      <w:szCs w:val="20"/>
    </w:rPr>
  </w:style>
  <w:style w:type="character" w:styleId="CommentReference">
    <w:name w:val="annotation reference"/>
    <w:semiHidden/>
    <w:rPr>
      <w:sz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BodyTextChar">
    <w:name w:val="Body Text Char"/>
    <w:link w:val="BodyText"/>
    <w:locked/>
    <w:rPr>
      <w:sz w:val="24"/>
      <w:lang w:val="en-US" w:eastAsia="en-US"/>
    </w:r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uiPriority w:val="39"/>
    <w:rsid w:val="007D4358"/>
    <w:pPr>
      <w:tabs>
        <w:tab w:val="left" w:pos="1200"/>
        <w:tab w:val="right" w:leader="dot" w:pos="8630"/>
      </w:tabs>
      <w:ind w:left="1670" w:hanging="1195"/>
    </w:pPr>
    <w:rPr>
      <w:i/>
      <w:iCs/>
      <w:sz w:val="20"/>
      <w:szCs w:val="20"/>
    </w:rPr>
  </w:style>
  <w:style w:type="paragraph" w:styleId="TOC4">
    <w:name w:val="toc 4"/>
    <w:basedOn w:val="Normal"/>
    <w:next w:val="Normal"/>
    <w:autoRedefine/>
    <w:uiPriority w:val="39"/>
    <w:rsid w:val="007D4358"/>
    <w:pPr>
      <w:tabs>
        <w:tab w:val="left" w:pos="1440"/>
        <w:tab w:val="right" w:leader="dot" w:pos="8630"/>
      </w:tabs>
      <w:ind w:left="2160" w:hanging="144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Style2">
    <w:name w:val="Style2"/>
    <w:basedOn w:val="TOC1"/>
    <w:autoRedefine/>
    <w:pPr>
      <w:tabs>
        <w:tab w:val="left" w:pos="480"/>
      </w:tabs>
    </w:pPr>
    <w:rPr>
      <w:rFonts w:ascii="Palatino Linotype" w:hAnsi="Palatino Linotype"/>
      <w:b/>
      <w:sz w:val="24"/>
    </w:rPr>
  </w:style>
  <w:style w:type="character" w:customStyle="1" w:styleId="FooterChar">
    <w:name w:val="Footer Char"/>
    <w:link w:val="Footer"/>
    <w:locked/>
    <w:rPr>
      <w:sz w:val="24"/>
    </w:rPr>
  </w:style>
  <w:style w:type="paragraph" w:styleId="Index1">
    <w:name w:val="index 1"/>
    <w:basedOn w:val="Normal"/>
    <w:next w:val="Normal"/>
    <w:autoRedefine/>
    <w:semiHidden/>
    <w:pPr>
      <w:ind w:left="240" w:hanging="240"/>
    </w:pPr>
    <w:rPr>
      <w:rFonts w:ascii="Palatino Linotype" w:hAnsi="Palatino Linotype"/>
    </w:rPr>
  </w:style>
  <w:style w:type="character" w:customStyle="1" w:styleId="LBFileStampAtCursor">
    <w:name w:val="*LBFileStampAtCursor"/>
    <w:aliases w:val="FSC"/>
    <w:basedOn w:val="DefaultParagraphFont"/>
    <w:rPr>
      <w:rFonts w:ascii="Arial" w:hAnsi="Arial" w:cs="Times New Roman"/>
      <w:sz w:val="12"/>
      <w:szCs w:val="32"/>
    </w:rPr>
  </w:style>
  <w:style w:type="paragraph" w:customStyle="1" w:styleId="LBFileStampAtEnd">
    <w:name w:val="*LBFileStampAtEnd"/>
    <w:aliases w:val="FSE"/>
    <w:basedOn w:val="Normal"/>
    <w:pPr>
      <w:spacing w:before="360"/>
    </w:pPr>
    <w:rPr>
      <w:rFonts w:ascii="Arial" w:hAnsi="Arial"/>
      <w:sz w:val="12"/>
      <w:szCs w:val="32"/>
    </w:rPr>
  </w:style>
  <w:style w:type="paragraph" w:styleId="PlainText">
    <w:name w:val="Plain Text"/>
    <w:basedOn w:val="Normal"/>
    <w:link w:val="PlainTextChar"/>
    <w:rPr>
      <w:rFonts w:ascii="Consolas" w:hAnsi="Consolas"/>
      <w:sz w:val="21"/>
      <w:szCs w:val="21"/>
    </w:rPr>
  </w:style>
  <w:style w:type="character" w:customStyle="1" w:styleId="PlainTextChar">
    <w:name w:val="Plain Text Char"/>
    <w:link w:val="PlainText"/>
    <w:locked/>
    <w:rPr>
      <w:rFonts w:ascii="Consolas" w:eastAsia="Times New Roman" w:hAnsi="Consolas" w:cs="Times New Roman"/>
      <w:sz w:val="21"/>
      <w:szCs w:val="21"/>
    </w:rPr>
  </w:style>
  <w:style w:type="character" w:customStyle="1" w:styleId="FootnoteTextChar">
    <w:name w:val="Footnote Text Char"/>
    <w:link w:val="FootnoteText"/>
    <w:uiPriority w:val="99"/>
    <w:locked/>
    <w:rPr>
      <w:rFonts w:cs="Times New Roman"/>
      <w:sz w:val="24"/>
      <w:szCs w:val="24"/>
    </w:rPr>
  </w:style>
  <w:style w:type="paragraph" w:styleId="ListParagraph">
    <w:name w:val="List Paragraph"/>
    <w:basedOn w:val="Normal"/>
    <w:qFormat/>
    <w:pPr>
      <w:ind w:left="720"/>
    </w:pPr>
  </w:style>
  <w:style w:type="numbering" w:customStyle="1" w:styleId="Style1">
    <w:name w:val="Style1"/>
    <w:pPr>
      <w:numPr>
        <w:numId w:val="1"/>
      </w:numPr>
    </w:pPr>
  </w:style>
  <w:style w:type="character" w:customStyle="1" w:styleId="CharChar1">
    <w:name w:val="Char Char1"/>
    <w:locked/>
    <w:rPr>
      <w:sz w:val="24"/>
      <w:szCs w:val="24"/>
      <w:lang w:val="en-US" w:eastAsia="en-US" w:bidi="ar-SA"/>
    </w:rPr>
  </w:style>
  <w:style w:type="character" w:customStyle="1" w:styleId="Heading4Char">
    <w:name w:val="Heading 4 Char"/>
    <w:basedOn w:val="DefaultParagraphFont"/>
    <w:link w:val="Heading4"/>
    <w:semiHidden/>
    <w:rPr>
      <w:rFonts w:ascii="Calibri" w:eastAsia="Times New Roman" w:hAnsi="Calibri" w:cs="Times New Roman"/>
      <w:b/>
      <w:bCs/>
      <w:sz w:val="28"/>
      <w:szCs w:val="28"/>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Pr>
      <w:rFonts w:ascii="Calibri" w:eastAsia="Times New Roman" w:hAnsi="Calibri" w:cs="Times New Roman"/>
      <w:b/>
      <w:bCs/>
      <w:sz w:val="22"/>
      <w:szCs w:val="22"/>
    </w:rPr>
  </w:style>
  <w:style w:type="character" w:customStyle="1" w:styleId="Heading7Char">
    <w:name w:val="Heading 7 Char"/>
    <w:basedOn w:val="DefaultParagraphFont"/>
    <w:link w:val="Heading7"/>
    <w:semiHidden/>
    <w:rPr>
      <w:rFonts w:ascii="Calibri" w:eastAsia="Times New Roman" w:hAnsi="Calibri" w:cs="Times New Roman"/>
      <w:sz w:val="24"/>
      <w:szCs w:val="24"/>
    </w:rPr>
  </w:style>
  <w:style w:type="character" w:customStyle="1" w:styleId="Heading8Char">
    <w:name w:val="Heading 8 Char"/>
    <w:basedOn w:val="DefaultParagraphFont"/>
    <w:link w:val="Heading8"/>
    <w:semiHidden/>
    <w:rPr>
      <w:rFonts w:ascii="Calibri" w:eastAsia="Times New Roman" w:hAnsi="Calibri" w:cs="Times New Roman"/>
      <w:i/>
      <w:iCs/>
      <w:sz w:val="24"/>
      <w:szCs w:val="24"/>
    </w:rPr>
  </w:style>
  <w:style w:type="character" w:customStyle="1" w:styleId="Heading9Char">
    <w:name w:val="Heading 9 Char"/>
    <w:basedOn w:val="DefaultParagraphFont"/>
    <w:link w:val="Heading9"/>
    <w:semiHidden/>
    <w:rPr>
      <w:rFonts w:ascii="Cambria" w:eastAsia="Times New Roman" w:hAnsi="Cambria" w:cs="Times New Roman"/>
      <w:sz w:val="22"/>
      <w:szCs w:val="22"/>
    </w:rPr>
  </w:style>
  <w:style w:type="paragraph" w:styleId="TOCHeading">
    <w:name w:val="TOC Heading"/>
    <w:basedOn w:val="Heading1"/>
    <w:next w:val="Normal"/>
    <w:uiPriority w:val="39"/>
    <w:unhideWhenUsed/>
    <w:qFormat/>
    <w:rsid w:val="00C941A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10733</Words>
  <Characters>59249</Characters>
  <Application>Microsoft Office Word</Application>
  <DocSecurity>4</DocSecurity>
  <Lines>1161</Lines>
  <Paragraphs>358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69624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2012-11-26T17:15:00Z</cp:lastPrinted>
  <dcterms:created xsi:type="dcterms:W3CDTF">2012-12-11T16:09:00Z</dcterms:created>
  <dcterms:modified xsi:type="dcterms:W3CDTF">2012-12-11T16:09:00Z</dcterms:modified>
  <cp:category> </cp:category>
</cp:coreProperties>
</file>