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05" w:rsidRDefault="009D6B0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9D6B05" w:rsidRDefault="009D6B05">
      <w:pPr>
        <w:pStyle w:val="HTMLPreformatted"/>
        <w:jc w:val="center"/>
        <w:rPr>
          <w:rFonts w:ascii="Times New Roman" w:hAnsi="Times New Roman"/>
          <w:sz w:val="24"/>
        </w:rPr>
      </w:pPr>
      <w:r>
        <w:rPr>
          <w:rFonts w:ascii="Times New Roman" w:hAnsi="Times New Roman"/>
          <w:b/>
          <w:bCs/>
          <w:sz w:val="24"/>
        </w:rPr>
        <w:t xml:space="preserve">THE PUBLIC UTILITIES </w:t>
      </w:r>
      <w:r w:rsidR="005851FE">
        <w:rPr>
          <w:rFonts w:ascii="Times New Roman" w:hAnsi="Times New Roman"/>
          <w:b/>
          <w:bCs/>
          <w:sz w:val="24"/>
        </w:rPr>
        <w:t>COMMISSION</w:t>
      </w:r>
      <w:r>
        <w:rPr>
          <w:rFonts w:ascii="Times New Roman" w:hAnsi="Times New Roman"/>
          <w:b/>
          <w:bCs/>
          <w:sz w:val="24"/>
        </w:rPr>
        <w:t xml:space="preserve"> OF OHIO</w:t>
      </w:r>
    </w:p>
    <w:p w:rsidR="009D6B05" w:rsidRDefault="009D6B05">
      <w:pPr>
        <w:pStyle w:val="HTMLPreformatted"/>
        <w:rPr>
          <w:rFonts w:ascii="Times New Roman" w:hAnsi="Times New Roman"/>
          <w:sz w:val="24"/>
        </w:rPr>
      </w:pPr>
    </w:p>
    <w:tbl>
      <w:tblPr>
        <w:tblW w:w="9092" w:type="dxa"/>
        <w:tblLook w:val="01E0" w:firstRow="1" w:lastRow="1" w:firstColumn="1" w:lastColumn="1" w:noHBand="0" w:noVBand="0"/>
      </w:tblPr>
      <w:tblGrid>
        <w:gridCol w:w="4068"/>
        <w:gridCol w:w="540"/>
        <w:gridCol w:w="4484"/>
      </w:tblGrid>
      <w:tr w:rsidR="009D6B05">
        <w:trPr>
          <w:trHeight w:val="807"/>
        </w:trPr>
        <w:tc>
          <w:tcPr>
            <w:tcW w:w="4068" w:type="dxa"/>
            <w:shd w:val="clear" w:color="auto" w:fill="auto"/>
          </w:tcPr>
          <w:p w:rsidR="00A1179F" w:rsidRDefault="009D6B05" w:rsidP="00A1179F">
            <w:pPr>
              <w:pStyle w:val="HTMLPreformatted"/>
              <w:rPr>
                <w:rFonts w:ascii="Times New Roman" w:hAnsi="Times New Roman" w:cs="Times New Roman"/>
                <w:sz w:val="24"/>
                <w:szCs w:val="24"/>
              </w:rPr>
            </w:pPr>
            <w:r>
              <w:rPr>
                <w:rFonts w:ascii="Times New Roman" w:hAnsi="Times New Roman" w:cs="Times New Roman"/>
                <w:sz w:val="24"/>
                <w:szCs w:val="24"/>
              </w:rPr>
              <w:t xml:space="preserve">In the Matter of the Application of </w:t>
            </w:r>
            <w:r w:rsidR="00A1179F">
              <w:rPr>
                <w:rFonts w:ascii="Times New Roman" w:hAnsi="Times New Roman" w:cs="Times New Roman"/>
                <w:sz w:val="24"/>
                <w:szCs w:val="24"/>
              </w:rPr>
              <w:t>The Dayton Power and Light Company for Authority to Recover Certain Storm-Related Services Restoration Costs</w:t>
            </w:r>
          </w:p>
          <w:p w:rsidR="00A1179F" w:rsidRDefault="00A1179F" w:rsidP="00A1179F">
            <w:pPr>
              <w:pStyle w:val="HTMLPreformatted"/>
              <w:rPr>
                <w:rFonts w:ascii="Times New Roman" w:hAnsi="Times New Roman" w:cs="Times New Roman"/>
                <w:sz w:val="24"/>
                <w:szCs w:val="24"/>
              </w:rPr>
            </w:pPr>
          </w:p>
          <w:p w:rsidR="009D6B05" w:rsidRDefault="00A1179F" w:rsidP="00A1179F">
            <w:pPr>
              <w:pStyle w:val="HTMLPreformatted"/>
              <w:rPr>
                <w:rFonts w:ascii="Times New Roman" w:hAnsi="Times New Roman" w:cs="Times New Roman"/>
                <w:sz w:val="24"/>
                <w:szCs w:val="24"/>
              </w:rPr>
            </w:pPr>
            <w:r>
              <w:rPr>
                <w:rFonts w:ascii="Times New Roman" w:hAnsi="Times New Roman" w:cs="Times New Roman"/>
                <w:sz w:val="24"/>
                <w:szCs w:val="24"/>
              </w:rPr>
              <w:t>In the Matter of the Application The Dayton Power and Light Company for Approval of Certain Accounting Authority</w:t>
            </w:r>
            <w:r w:rsidR="009D6B05">
              <w:rPr>
                <w:rFonts w:ascii="Times New Roman" w:hAnsi="Times New Roman" w:cs="Times New Roman"/>
                <w:sz w:val="24"/>
                <w:szCs w:val="24"/>
              </w:rPr>
              <w:t>.</w:t>
            </w:r>
          </w:p>
        </w:tc>
        <w:tc>
          <w:tcPr>
            <w:tcW w:w="540" w:type="dxa"/>
            <w:shd w:val="clear" w:color="auto" w:fill="auto"/>
          </w:tcPr>
          <w:p w:rsidR="009D6B05" w:rsidRDefault="009D6B05">
            <w:pPr>
              <w:pStyle w:val="HTMLPreformatted"/>
              <w:rPr>
                <w:rFonts w:ascii="Times New Roman" w:hAnsi="Times New Roman"/>
                <w:sz w:val="24"/>
              </w:rPr>
            </w:pPr>
            <w:r>
              <w:rPr>
                <w:rFonts w:ascii="Times New Roman" w:hAnsi="Times New Roman"/>
                <w:sz w:val="24"/>
              </w:rPr>
              <w:t>)</w:t>
            </w:r>
          </w:p>
          <w:p w:rsidR="009D6B05" w:rsidRDefault="009D6B05">
            <w:pPr>
              <w:pStyle w:val="HTMLPreformatted"/>
              <w:rPr>
                <w:rFonts w:ascii="Times New Roman" w:hAnsi="Times New Roman"/>
                <w:sz w:val="24"/>
              </w:rPr>
            </w:pPr>
            <w:r>
              <w:rPr>
                <w:rFonts w:ascii="Times New Roman" w:hAnsi="Times New Roman"/>
                <w:sz w:val="24"/>
              </w:rPr>
              <w:t>)</w:t>
            </w:r>
          </w:p>
          <w:p w:rsidR="009D6B05" w:rsidRDefault="009D6B05">
            <w:pPr>
              <w:pStyle w:val="HTMLPreformatted"/>
              <w:rPr>
                <w:rFonts w:ascii="Times New Roman" w:hAnsi="Times New Roman"/>
                <w:sz w:val="24"/>
              </w:rPr>
            </w:pPr>
            <w:r>
              <w:rPr>
                <w:rFonts w:ascii="Times New Roman" w:hAnsi="Times New Roman"/>
                <w:sz w:val="24"/>
              </w:rPr>
              <w:t>)</w:t>
            </w:r>
          </w:p>
          <w:p w:rsidR="009D6B05" w:rsidRDefault="009D6B05">
            <w:pPr>
              <w:pStyle w:val="HTMLPreformatted"/>
              <w:rPr>
                <w:rFonts w:ascii="Times New Roman" w:hAnsi="Times New Roman"/>
                <w:sz w:val="24"/>
              </w:rPr>
            </w:pPr>
            <w:r>
              <w:rPr>
                <w:rFonts w:ascii="Times New Roman" w:hAnsi="Times New Roman"/>
                <w:sz w:val="24"/>
              </w:rPr>
              <w:t>)</w:t>
            </w:r>
          </w:p>
          <w:p w:rsidR="00A1179F" w:rsidRDefault="00A1179F">
            <w:pPr>
              <w:pStyle w:val="HTMLPreformatted"/>
              <w:rPr>
                <w:rFonts w:ascii="Times New Roman" w:hAnsi="Times New Roman"/>
                <w:sz w:val="24"/>
              </w:rPr>
            </w:pPr>
          </w:p>
          <w:p w:rsidR="00A1179F" w:rsidRDefault="00A1179F">
            <w:pPr>
              <w:pStyle w:val="HTMLPreformatted"/>
              <w:rPr>
                <w:rFonts w:ascii="Times New Roman" w:hAnsi="Times New Roman"/>
                <w:sz w:val="24"/>
              </w:rPr>
            </w:pPr>
            <w:r>
              <w:rPr>
                <w:rFonts w:ascii="Times New Roman" w:hAnsi="Times New Roman"/>
                <w:sz w:val="24"/>
              </w:rPr>
              <w:t>)</w:t>
            </w:r>
          </w:p>
          <w:p w:rsidR="00A1179F" w:rsidRDefault="00A1179F">
            <w:pPr>
              <w:pStyle w:val="HTMLPreformatted"/>
              <w:rPr>
                <w:rFonts w:ascii="Times New Roman" w:hAnsi="Times New Roman"/>
                <w:sz w:val="24"/>
              </w:rPr>
            </w:pPr>
            <w:r>
              <w:rPr>
                <w:rFonts w:ascii="Times New Roman" w:hAnsi="Times New Roman"/>
                <w:sz w:val="24"/>
              </w:rPr>
              <w:t>)</w:t>
            </w:r>
          </w:p>
          <w:p w:rsidR="00A1179F" w:rsidRDefault="00A1179F">
            <w:pPr>
              <w:pStyle w:val="HTMLPreformatted"/>
              <w:rPr>
                <w:rFonts w:ascii="Times New Roman" w:hAnsi="Times New Roman"/>
                <w:sz w:val="24"/>
              </w:rPr>
            </w:pPr>
            <w:r>
              <w:rPr>
                <w:rFonts w:ascii="Times New Roman" w:hAnsi="Times New Roman"/>
                <w:sz w:val="24"/>
              </w:rPr>
              <w:t>)</w:t>
            </w:r>
          </w:p>
          <w:p w:rsidR="00A1179F" w:rsidRDefault="00A1179F">
            <w:pPr>
              <w:pStyle w:val="HTMLPreformatted"/>
              <w:rPr>
                <w:rFonts w:ascii="Times New Roman" w:hAnsi="Times New Roman"/>
                <w:sz w:val="24"/>
              </w:rPr>
            </w:pPr>
            <w:r>
              <w:rPr>
                <w:rFonts w:ascii="Times New Roman" w:hAnsi="Times New Roman"/>
                <w:sz w:val="24"/>
              </w:rPr>
              <w:t>)</w:t>
            </w:r>
          </w:p>
        </w:tc>
        <w:tc>
          <w:tcPr>
            <w:tcW w:w="4484" w:type="dxa"/>
            <w:shd w:val="clear" w:color="auto" w:fill="auto"/>
          </w:tcPr>
          <w:p w:rsidR="009D6B05" w:rsidRDefault="009D6B05">
            <w:pPr>
              <w:pStyle w:val="HTMLPreformatted"/>
              <w:rPr>
                <w:rFonts w:ascii="Times New Roman" w:hAnsi="Times New Roman"/>
                <w:sz w:val="24"/>
              </w:rPr>
            </w:pPr>
          </w:p>
          <w:p w:rsidR="009D6B05" w:rsidRDefault="009D6B05">
            <w:pPr>
              <w:pStyle w:val="HTMLPreformatted"/>
              <w:rPr>
                <w:rFonts w:ascii="Times New Roman" w:hAnsi="Times New Roman"/>
                <w:sz w:val="24"/>
              </w:rPr>
            </w:pPr>
            <w:r>
              <w:rPr>
                <w:rFonts w:ascii="Times New Roman" w:hAnsi="Times New Roman"/>
                <w:sz w:val="24"/>
              </w:rPr>
              <w:t xml:space="preserve">Case No. </w:t>
            </w:r>
            <w:r w:rsidR="00A1179F">
              <w:rPr>
                <w:rFonts w:ascii="Times New Roman" w:hAnsi="Times New Roman"/>
                <w:sz w:val="24"/>
              </w:rPr>
              <w:t>12-3062</w:t>
            </w:r>
            <w:r>
              <w:rPr>
                <w:rFonts w:ascii="Times New Roman" w:hAnsi="Times New Roman"/>
                <w:sz w:val="24"/>
              </w:rPr>
              <w:t>-EL-RDR</w:t>
            </w:r>
          </w:p>
          <w:p w:rsidR="00A1179F" w:rsidRDefault="00A1179F">
            <w:pPr>
              <w:pStyle w:val="HTMLPreformatted"/>
              <w:rPr>
                <w:rFonts w:ascii="Times New Roman" w:hAnsi="Times New Roman"/>
                <w:sz w:val="24"/>
              </w:rPr>
            </w:pPr>
          </w:p>
          <w:p w:rsidR="00A1179F" w:rsidRDefault="00A1179F">
            <w:pPr>
              <w:pStyle w:val="HTMLPreformatted"/>
              <w:rPr>
                <w:rFonts w:ascii="Times New Roman" w:hAnsi="Times New Roman"/>
                <w:sz w:val="24"/>
              </w:rPr>
            </w:pPr>
          </w:p>
          <w:p w:rsidR="007A322A" w:rsidRDefault="007A322A" w:rsidP="00A1179F">
            <w:pPr>
              <w:pStyle w:val="HTMLPreformatted"/>
              <w:rPr>
                <w:rFonts w:ascii="Times New Roman" w:hAnsi="Times New Roman"/>
                <w:sz w:val="24"/>
              </w:rPr>
            </w:pPr>
          </w:p>
          <w:p w:rsidR="007A322A" w:rsidRDefault="007A322A" w:rsidP="00A1179F">
            <w:pPr>
              <w:pStyle w:val="HTMLPreformatted"/>
              <w:rPr>
                <w:rFonts w:ascii="Times New Roman" w:hAnsi="Times New Roman"/>
                <w:sz w:val="24"/>
              </w:rPr>
            </w:pPr>
          </w:p>
          <w:p w:rsidR="00A1179F" w:rsidRDefault="00A1179F" w:rsidP="00A1179F">
            <w:pPr>
              <w:pStyle w:val="HTMLPreformatted"/>
              <w:rPr>
                <w:rFonts w:ascii="Times New Roman" w:hAnsi="Times New Roman"/>
                <w:sz w:val="24"/>
              </w:rPr>
            </w:pPr>
            <w:r>
              <w:rPr>
                <w:rFonts w:ascii="Times New Roman" w:hAnsi="Times New Roman"/>
                <w:sz w:val="24"/>
              </w:rPr>
              <w:t>Case No. 12-3266-EL-AAM</w:t>
            </w:r>
          </w:p>
          <w:p w:rsidR="00A1179F" w:rsidRDefault="00A1179F">
            <w:pPr>
              <w:pStyle w:val="HTMLPreformatted"/>
              <w:rPr>
                <w:rFonts w:ascii="Times New Roman" w:hAnsi="Times New Roman"/>
                <w:sz w:val="24"/>
              </w:rPr>
            </w:pPr>
          </w:p>
          <w:p w:rsidR="009D6B05" w:rsidRDefault="009D6B05">
            <w:pPr>
              <w:pStyle w:val="HTMLPreformatted"/>
              <w:rPr>
                <w:rFonts w:ascii="Times New Roman" w:hAnsi="Times New Roman"/>
                <w:sz w:val="24"/>
              </w:rPr>
            </w:pPr>
          </w:p>
        </w:tc>
      </w:tr>
    </w:tbl>
    <w:p w:rsidR="009D6B05" w:rsidRDefault="009D6B05">
      <w:pPr>
        <w:pStyle w:val="HTMLPreformatted"/>
        <w:rPr>
          <w:rFonts w:ascii="Times New Roman" w:hAnsi="Times New Roman"/>
          <w:sz w:val="24"/>
        </w:rPr>
      </w:pPr>
      <w:r>
        <w:rPr>
          <w:rFonts w:ascii="Times New Roman" w:hAnsi="Times New Roman"/>
          <w:sz w:val="24"/>
        </w:rPr>
        <w:tab/>
      </w:r>
    </w:p>
    <w:p w:rsidR="009D6B05" w:rsidRDefault="009D6B05">
      <w:pPr>
        <w:pStyle w:val="HTMLPreformatted"/>
        <w:pBdr>
          <w:top w:val="single" w:sz="12" w:space="1" w:color="auto"/>
        </w:pBdr>
        <w:rPr>
          <w:rFonts w:ascii="Times New Roman" w:hAnsi="Times New Roman"/>
          <w:sz w:val="24"/>
        </w:rPr>
      </w:pPr>
    </w:p>
    <w:p w:rsidR="009D6B05" w:rsidRDefault="00F73EA5">
      <w:pPr>
        <w:jc w:val="center"/>
        <w:rPr>
          <w:b/>
        </w:rPr>
      </w:pPr>
      <w:r>
        <w:rPr>
          <w:b/>
        </w:rPr>
        <w:t xml:space="preserve">MOTION FOR </w:t>
      </w:r>
      <w:r w:rsidR="00E237B6">
        <w:rPr>
          <w:b/>
        </w:rPr>
        <w:t>LOCAL PUBLIC HEARING</w:t>
      </w:r>
      <w:r w:rsidR="00261722">
        <w:rPr>
          <w:b/>
        </w:rPr>
        <w:t>S</w:t>
      </w:r>
    </w:p>
    <w:p w:rsidR="00261722" w:rsidRDefault="003D616A">
      <w:pPr>
        <w:jc w:val="center"/>
        <w:rPr>
          <w:b/>
        </w:rPr>
      </w:pPr>
      <w:r>
        <w:rPr>
          <w:b/>
        </w:rPr>
        <w:t xml:space="preserve">AND </w:t>
      </w:r>
    </w:p>
    <w:p w:rsidR="003D616A" w:rsidRDefault="003D616A">
      <w:pPr>
        <w:jc w:val="center"/>
        <w:rPr>
          <w:b/>
          <w:bCs/>
        </w:rPr>
      </w:pPr>
      <w:r>
        <w:rPr>
          <w:b/>
        </w:rPr>
        <w:t>REQUEST FOR AN EXPEDITED RULING</w:t>
      </w:r>
    </w:p>
    <w:p w:rsidR="009D6B05" w:rsidRDefault="009D6B05">
      <w:pPr>
        <w:jc w:val="center"/>
        <w:rPr>
          <w:b/>
          <w:bCs/>
        </w:rPr>
      </w:pPr>
      <w:r>
        <w:rPr>
          <w:b/>
          <w:bCs/>
        </w:rPr>
        <w:t>BY</w:t>
      </w:r>
    </w:p>
    <w:p w:rsidR="009D6B05" w:rsidRDefault="009D6B05">
      <w:pPr>
        <w:jc w:val="center"/>
        <w:rPr>
          <w:b/>
          <w:bCs/>
        </w:rPr>
      </w:pPr>
      <w:r>
        <w:rPr>
          <w:b/>
          <w:bCs/>
        </w:rPr>
        <w:t>THE OFFICE OF THE OHIO CONSUMERS’ COUNSEL</w:t>
      </w:r>
    </w:p>
    <w:p w:rsidR="009D6B05" w:rsidRDefault="009D6B05">
      <w:pPr>
        <w:pBdr>
          <w:bottom w:val="single" w:sz="12" w:space="1" w:color="auto"/>
        </w:pBdr>
        <w:tabs>
          <w:tab w:val="left" w:pos="4320"/>
        </w:tabs>
      </w:pPr>
    </w:p>
    <w:p w:rsidR="009D6B05" w:rsidRDefault="009D6B05">
      <w:pPr>
        <w:tabs>
          <w:tab w:val="left" w:pos="4320"/>
        </w:tabs>
      </w:pPr>
    </w:p>
    <w:p w:rsidR="00EA7EC4" w:rsidRDefault="00135F48" w:rsidP="0042179A">
      <w:pPr>
        <w:autoSpaceDE w:val="0"/>
        <w:autoSpaceDN w:val="0"/>
        <w:adjustRightInd w:val="0"/>
        <w:spacing w:line="480" w:lineRule="auto"/>
        <w:ind w:firstLine="720"/>
        <w:rPr>
          <w:szCs w:val="24"/>
        </w:rPr>
      </w:pPr>
      <w:r>
        <w:t>The Office of the Ohio Consumers’ Counsel (“OCC”) moves</w:t>
      </w:r>
      <w:r w:rsidR="00261722">
        <w:t xml:space="preserve"> for</w:t>
      </w:r>
      <w:r>
        <w:t xml:space="preserve"> </w:t>
      </w:r>
      <w:r w:rsidR="00974025">
        <w:t>local hearing</w:t>
      </w:r>
      <w:r w:rsidR="009A1E0F">
        <w:t>s</w:t>
      </w:r>
      <w:r w:rsidR="00261722">
        <w:t xml:space="preserve"> where customers </w:t>
      </w:r>
      <w:r w:rsidR="00D97347">
        <w:t>can</w:t>
      </w:r>
      <w:r w:rsidR="00261722">
        <w:t xml:space="preserve"> testify regarding the $64.6 million that</w:t>
      </w:r>
      <w:r w:rsidR="005A24FF">
        <w:t xml:space="preserve"> </w:t>
      </w:r>
      <w:r w:rsidR="005E3A81">
        <w:t xml:space="preserve">Dayton Power and Light Company </w:t>
      </w:r>
      <w:r w:rsidR="009F11C0">
        <w:t>(“</w:t>
      </w:r>
      <w:r w:rsidR="009A1E0F" w:rsidRPr="00EF0C3B">
        <w:t>DP&amp;L</w:t>
      </w:r>
      <w:r w:rsidR="009F11C0">
        <w:t>” or “Utility”)</w:t>
      </w:r>
      <w:r w:rsidR="009A1E0F" w:rsidRPr="00EF0C3B">
        <w:t xml:space="preserve"> </w:t>
      </w:r>
      <w:r w:rsidR="001F280C">
        <w:t>wants to charge</w:t>
      </w:r>
      <w:r w:rsidR="009A1E0F">
        <w:t xml:space="preserve"> </w:t>
      </w:r>
      <w:r w:rsidR="00514EC0">
        <w:t xml:space="preserve">them for </w:t>
      </w:r>
      <w:r w:rsidR="00590D60">
        <w:t xml:space="preserve">repairs related to major </w:t>
      </w:r>
      <w:r w:rsidR="00514EC0">
        <w:t>storm</w:t>
      </w:r>
      <w:r w:rsidR="00590D60">
        <w:t>s that greatly impacted their lives</w:t>
      </w:r>
      <w:r w:rsidR="009A1E0F">
        <w:t xml:space="preserve">.  </w:t>
      </w:r>
      <w:r w:rsidR="00AF6C3B">
        <w:t>Also r</w:t>
      </w:r>
      <w:r w:rsidR="00B715A8">
        <w:t>ipe for public input is t</w:t>
      </w:r>
      <w:r w:rsidR="00590D60">
        <w:t>he</w:t>
      </w:r>
      <w:r w:rsidR="0026458F">
        <w:t xml:space="preserve"> </w:t>
      </w:r>
      <w:r w:rsidR="00590D60">
        <w:t xml:space="preserve">wide </w:t>
      </w:r>
      <w:r w:rsidR="00AF6C3B">
        <w:t>disparity</w:t>
      </w:r>
      <w:r w:rsidR="00590D60">
        <w:t xml:space="preserve"> of proposed charges</w:t>
      </w:r>
      <w:r w:rsidR="0026458F">
        <w:t xml:space="preserve"> between DP&amp;L’</w:t>
      </w:r>
      <w:r w:rsidR="00590D60">
        <w:t xml:space="preserve">s $64.6 million versus the </w:t>
      </w:r>
      <w:r w:rsidR="00571EF3">
        <w:t xml:space="preserve">mere </w:t>
      </w:r>
      <w:r w:rsidR="00AF6C3B">
        <w:t>$1.01 million</w:t>
      </w:r>
      <w:r w:rsidR="00571EF3">
        <w:t xml:space="preserve"> </w:t>
      </w:r>
      <w:r w:rsidR="00B715A8">
        <w:t>advanced by the Staff</w:t>
      </w:r>
      <w:r w:rsidR="00165AA6">
        <w:rPr>
          <w:rStyle w:val="FootnoteReference"/>
        </w:rPr>
        <w:footnoteReference w:id="2"/>
      </w:r>
      <w:r w:rsidR="00B715A8">
        <w:t xml:space="preserve"> of the Public Utilities Commission of Ohio (“PUCO”) and </w:t>
      </w:r>
      <w:r w:rsidR="00571EF3">
        <w:t xml:space="preserve">the </w:t>
      </w:r>
      <w:r w:rsidR="004D1CB8">
        <w:t xml:space="preserve">less than </w:t>
      </w:r>
      <w:r w:rsidR="00571EF3">
        <w:t>$1.</w:t>
      </w:r>
      <w:r w:rsidR="00AF6C3B">
        <w:t xml:space="preserve">0 </w:t>
      </w:r>
      <w:r w:rsidR="00590D60">
        <w:t xml:space="preserve">million </w:t>
      </w:r>
      <w:r w:rsidR="00B715A8">
        <w:t>proposed by OCC</w:t>
      </w:r>
      <w:r w:rsidR="00590D60">
        <w:t>.</w:t>
      </w:r>
      <w:r w:rsidR="0026458F">
        <w:t xml:space="preserve"> </w:t>
      </w:r>
      <w:r w:rsidR="00EA7EC4">
        <w:rPr>
          <w:rStyle w:val="FootnoteReference"/>
        </w:rPr>
        <w:footnoteReference w:id="3"/>
      </w:r>
      <w:r w:rsidR="00EA7EC4">
        <w:t xml:space="preserve"> </w:t>
      </w:r>
      <w:r w:rsidR="005A24FF">
        <w:t xml:space="preserve"> OCC respectfully requests that </w:t>
      </w:r>
      <w:r w:rsidR="00974025">
        <w:t xml:space="preserve">the </w:t>
      </w:r>
      <w:r w:rsidR="005A24FF">
        <w:t>local public hearing</w:t>
      </w:r>
      <w:r w:rsidR="00EA7EC4">
        <w:t>s</w:t>
      </w:r>
      <w:r w:rsidR="005A24FF">
        <w:t xml:space="preserve"> be </w:t>
      </w:r>
      <w:r w:rsidR="00054B4A">
        <w:t>arranged</w:t>
      </w:r>
      <w:r w:rsidR="00B14BA4">
        <w:t xml:space="preserve">, </w:t>
      </w:r>
      <w:r w:rsidR="00B14BA4" w:rsidRPr="006340B1">
        <w:rPr>
          <w:i/>
        </w:rPr>
        <w:t>after thirty days notice,</w:t>
      </w:r>
      <w:r w:rsidR="005A24FF" w:rsidRPr="006340B1">
        <w:rPr>
          <w:i/>
        </w:rPr>
        <w:t xml:space="preserve"> </w:t>
      </w:r>
      <w:r w:rsidR="005E3A81">
        <w:rPr>
          <w:szCs w:val="24"/>
        </w:rPr>
        <w:t>at</w:t>
      </w:r>
      <w:r w:rsidR="005E3A81" w:rsidRPr="00804491">
        <w:rPr>
          <w:szCs w:val="24"/>
        </w:rPr>
        <w:t xml:space="preserve"> the </w:t>
      </w:r>
      <w:r w:rsidR="00EA7EC4">
        <w:rPr>
          <w:szCs w:val="24"/>
        </w:rPr>
        <w:t>following location</w:t>
      </w:r>
      <w:r w:rsidR="003B470E">
        <w:rPr>
          <w:szCs w:val="24"/>
        </w:rPr>
        <w:t>s and approximate times</w:t>
      </w:r>
      <w:r w:rsidR="00A34A64">
        <w:rPr>
          <w:szCs w:val="24"/>
        </w:rPr>
        <w:t>:</w:t>
      </w:r>
    </w:p>
    <w:p w:rsidR="00A34A64" w:rsidRPr="00A34A64" w:rsidRDefault="00A34A64" w:rsidP="0042179A">
      <w:pPr>
        <w:numPr>
          <w:ilvl w:val="0"/>
          <w:numId w:val="22"/>
        </w:numPr>
        <w:autoSpaceDE w:val="0"/>
        <w:autoSpaceDN w:val="0"/>
        <w:adjustRightInd w:val="0"/>
        <w:spacing w:line="480" w:lineRule="auto"/>
        <w:ind w:right="720"/>
      </w:pPr>
      <w:r w:rsidRPr="00804491">
        <w:rPr>
          <w:szCs w:val="24"/>
        </w:rPr>
        <w:lastRenderedPageBreak/>
        <w:t>Dayton Municipal Building, Council Chambers, 101 W. Third Street, Third &amp; Ludlow, Second Floor, Dayton, Ohio 45401</w:t>
      </w:r>
      <w:r>
        <w:rPr>
          <w:szCs w:val="24"/>
        </w:rPr>
        <w:t xml:space="preserve"> at 1:00 P.M; and</w:t>
      </w:r>
    </w:p>
    <w:p w:rsidR="004F6E7D" w:rsidRDefault="005E3A81" w:rsidP="0042179A">
      <w:pPr>
        <w:numPr>
          <w:ilvl w:val="0"/>
          <w:numId w:val="22"/>
        </w:numPr>
        <w:autoSpaceDE w:val="0"/>
        <w:autoSpaceDN w:val="0"/>
        <w:adjustRightInd w:val="0"/>
        <w:spacing w:line="480" w:lineRule="auto"/>
        <w:ind w:right="720"/>
      </w:pPr>
      <w:r w:rsidRPr="00804491">
        <w:rPr>
          <w:szCs w:val="24"/>
        </w:rPr>
        <w:t>Dayton Municipal Building, Council Chambers, 101 W. Third Street, Third &amp; Ludlow, Second Floor, Dayton, Ohio 45401</w:t>
      </w:r>
      <w:r w:rsidR="00A34A64">
        <w:rPr>
          <w:szCs w:val="24"/>
        </w:rPr>
        <w:t xml:space="preserve"> at 6:00 P.M.</w:t>
      </w:r>
      <w:r>
        <w:rPr>
          <w:rStyle w:val="FootnoteReference"/>
          <w:szCs w:val="24"/>
        </w:rPr>
        <w:footnoteReference w:id="4"/>
      </w:r>
    </w:p>
    <w:p w:rsidR="004F6E7D" w:rsidRDefault="004F6E7D" w:rsidP="00446866">
      <w:pPr>
        <w:autoSpaceDE w:val="0"/>
        <w:autoSpaceDN w:val="0"/>
        <w:adjustRightInd w:val="0"/>
      </w:pPr>
    </w:p>
    <w:p w:rsidR="007E4821" w:rsidRDefault="00933C5B" w:rsidP="00476A32">
      <w:pPr>
        <w:autoSpaceDE w:val="0"/>
        <w:autoSpaceDN w:val="0"/>
        <w:adjustRightInd w:val="0"/>
        <w:spacing w:line="480" w:lineRule="auto"/>
      </w:pPr>
      <w:r>
        <w:t>Additionally, OCC requests an expedited ruling on this Motion pursuant to Ohio Adm. Code 4901-1-12(C).</w:t>
      </w:r>
      <w:r w:rsidR="004F6E7D">
        <w:rPr>
          <w:rStyle w:val="FootnoteReference"/>
        </w:rPr>
        <w:footnoteReference w:id="5"/>
      </w:r>
      <w:r>
        <w:t xml:space="preserve">  </w:t>
      </w:r>
      <w:r w:rsidR="007E4821">
        <w:t xml:space="preserve">The reasons the PUCO should grant OCC’s Motion </w:t>
      </w:r>
      <w:r w:rsidR="00264B4F">
        <w:t>are</w:t>
      </w:r>
      <w:r w:rsidR="007E4821">
        <w:t xml:space="preserve"> further set forth in the attached Memorandum in Support.</w:t>
      </w:r>
    </w:p>
    <w:p w:rsidR="0042179A" w:rsidRDefault="0042179A" w:rsidP="00932BF2">
      <w:pPr>
        <w:tabs>
          <w:tab w:val="left" w:pos="4230"/>
        </w:tabs>
        <w:autoSpaceDE w:val="0"/>
        <w:autoSpaceDN w:val="0"/>
        <w:adjustRightInd w:val="0"/>
        <w:ind w:left="4410"/>
        <w:rPr>
          <w:szCs w:val="24"/>
        </w:rPr>
      </w:pPr>
      <w:r>
        <w:rPr>
          <w:szCs w:val="24"/>
        </w:rPr>
        <w:t>Respectfully submitted,</w:t>
      </w:r>
    </w:p>
    <w:p w:rsidR="0042179A" w:rsidRDefault="0042179A" w:rsidP="00932BF2">
      <w:pPr>
        <w:tabs>
          <w:tab w:val="left" w:pos="4230"/>
        </w:tabs>
        <w:autoSpaceDE w:val="0"/>
        <w:autoSpaceDN w:val="0"/>
        <w:adjustRightInd w:val="0"/>
        <w:ind w:left="4410"/>
        <w:rPr>
          <w:szCs w:val="24"/>
        </w:rPr>
      </w:pPr>
    </w:p>
    <w:p w:rsidR="00932BF2" w:rsidRDefault="00932BF2" w:rsidP="00932BF2">
      <w:pPr>
        <w:tabs>
          <w:tab w:val="left" w:pos="4230"/>
        </w:tabs>
        <w:autoSpaceDE w:val="0"/>
        <w:autoSpaceDN w:val="0"/>
        <w:adjustRightInd w:val="0"/>
        <w:ind w:left="4410"/>
        <w:rPr>
          <w:szCs w:val="24"/>
        </w:rPr>
      </w:pPr>
      <w:r>
        <w:rPr>
          <w:szCs w:val="24"/>
        </w:rPr>
        <w:t>BRUCE J. WESTON</w:t>
      </w:r>
    </w:p>
    <w:p w:rsidR="00932BF2" w:rsidRDefault="00932BF2" w:rsidP="00932BF2">
      <w:pPr>
        <w:tabs>
          <w:tab w:val="left" w:pos="4230"/>
        </w:tabs>
        <w:autoSpaceDE w:val="0"/>
        <w:autoSpaceDN w:val="0"/>
        <w:adjustRightInd w:val="0"/>
        <w:ind w:left="4410"/>
        <w:rPr>
          <w:szCs w:val="24"/>
        </w:rPr>
      </w:pPr>
      <w:r>
        <w:rPr>
          <w:szCs w:val="24"/>
        </w:rPr>
        <w:t>OHIO CONSUMERS’ COUNSEL</w:t>
      </w:r>
    </w:p>
    <w:p w:rsidR="00932BF2" w:rsidRDefault="00932BF2" w:rsidP="00932BF2">
      <w:pPr>
        <w:tabs>
          <w:tab w:val="left" w:pos="4230"/>
        </w:tabs>
        <w:autoSpaceDE w:val="0"/>
        <w:autoSpaceDN w:val="0"/>
        <w:adjustRightInd w:val="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32BF2" w:rsidTr="00932BF2">
        <w:tc>
          <w:tcPr>
            <w:tcW w:w="4428" w:type="dxa"/>
            <w:tcBorders>
              <w:top w:val="nil"/>
              <w:left w:val="nil"/>
              <w:bottom w:val="nil"/>
              <w:right w:val="nil"/>
            </w:tcBorders>
          </w:tcPr>
          <w:p w:rsidR="00932BF2" w:rsidRDefault="00932BF2">
            <w:pPr>
              <w:tabs>
                <w:tab w:val="left" w:pos="4230"/>
              </w:tabs>
              <w:autoSpaceDE w:val="0"/>
              <w:autoSpaceDN w:val="0"/>
              <w:adjustRightInd w:val="0"/>
              <w:rPr>
                <w:szCs w:val="24"/>
              </w:rPr>
            </w:pPr>
          </w:p>
        </w:tc>
        <w:tc>
          <w:tcPr>
            <w:tcW w:w="4428" w:type="dxa"/>
            <w:tcBorders>
              <w:top w:val="nil"/>
              <w:left w:val="nil"/>
              <w:bottom w:val="nil"/>
              <w:right w:val="nil"/>
            </w:tcBorders>
          </w:tcPr>
          <w:p w:rsidR="00932BF2" w:rsidRPr="00932BF2" w:rsidRDefault="00932BF2">
            <w:pPr>
              <w:tabs>
                <w:tab w:val="left" w:pos="4230"/>
              </w:tabs>
              <w:autoSpaceDE w:val="0"/>
              <w:autoSpaceDN w:val="0"/>
              <w:adjustRightInd w:val="0"/>
              <w:rPr>
                <w:szCs w:val="24"/>
              </w:rPr>
            </w:pPr>
            <w:r>
              <w:rPr>
                <w:i/>
                <w:szCs w:val="24"/>
                <w:u w:val="single"/>
              </w:rPr>
              <w:t>/s/ Melissa R. Yost</w:t>
            </w:r>
            <w:r w:rsidR="0042179A">
              <w:rPr>
                <w:i/>
                <w:szCs w:val="24"/>
                <w:u w:val="single"/>
              </w:rPr>
              <w:tab/>
            </w:r>
          </w:p>
          <w:p w:rsidR="00932BF2" w:rsidRDefault="00932BF2">
            <w:pPr>
              <w:tabs>
                <w:tab w:val="left" w:pos="4230"/>
              </w:tabs>
              <w:autoSpaceDE w:val="0"/>
              <w:autoSpaceDN w:val="0"/>
              <w:adjustRightInd w:val="0"/>
              <w:rPr>
                <w:szCs w:val="24"/>
              </w:rPr>
            </w:pPr>
            <w:r>
              <w:rPr>
                <w:szCs w:val="24"/>
              </w:rPr>
              <w:t>Melissa R. Yost, Counsel of Record</w:t>
            </w:r>
          </w:p>
          <w:p w:rsidR="00932BF2" w:rsidRDefault="00932BF2">
            <w:pPr>
              <w:tabs>
                <w:tab w:val="left" w:pos="4230"/>
              </w:tabs>
              <w:autoSpaceDE w:val="0"/>
              <w:autoSpaceDN w:val="0"/>
              <w:adjustRightInd w:val="0"/>
              <w:rPr>
                <w:szCs w:val="24"/>
              </w:rPr>
            </w:pPr>
            <w:r>
              <w:rPr>
                <w:szCs w:val="24"/>
              </w:rPr>
              <w:t>Deputy Consumers’ Counsel</w:t>
            </w:r>
          </w:p>
          <w:p w:rsidR="00932BF2" w:rsidRDefault="00932BF2">
            <w:pPr>
              <w:tabs>
                <w:tab w:val="left" w:pos="4230"/>
              </w:tabs>
              <w:autoSpaceDE w:val="0"/>
              <w:autoSpaceDN w:val="0"/>
              <w:adjustRightInd w:val="0"/>
              <w:rPr>
                <w:szCs w:val="24"/>
              </w:rPr>
            </w:pPr>
            <w:r>
              <w:rPr>
                <w:szCs w:val="24"/>
              </w:rPr>
              <w:t>Larry S. Sauer</w:t>
            </w:r>
          </w:p>
          <w:p w:rsidR="00932BF2" w:rsidRDefault="00932BF2">
            <w:pPr>
              <w:tabs>
                <w:tab w:val="left" w:pos="4230"/>
              </w:tabs>
              <w:autoSpaceDE w:val="0"/>
              <w:autoSpaceDN w:val="0"/>
              <w:adjustRightInd w:val="0"/>
              <w:rPr>
                <w:szCs w:val="24"/>
              </w:rPr>
            </w:pPr>
            <w:r>
              <w:rPr>
                <w:szCs w:val="24"/>
              </w:rPr>
              <w:t>Michael J. Schuler</w:t>
            </w:r>
          </w:p>
          <w:p w:rsidR="00932BF2" w:rsidRDefault="00932BF2">
            <w:pPr>
              <w:tabs>
                <w:tab w:val="left" w:pos="4230"/>
              </w:tabs>
              <w:autoSpaceDE w:val="0"/>
              <w:autoSpaceDN w:val="0"/>
              <w:adjustRightInd w:val="0"/>
              <w:rPr>
                <w:szCs w:val="24"/>
              </w:rPr>
            </w:pPr>
            <w:r>
              <w:rPr>
                <w:szCs w:val="24"/>
              </w:rPr>
              <w:t>Assistant Consumers’ Counsel</w:t>
            </w:r>
          </w:p>
          <w:p w:rsidR="006D0403" w:rsidRDefault="006D0403">
            <w:pPr>
              <w:tabs>
                <w:tab w:val="left" w:pos="4230"/>
              </w:tabs>
              <w:autoSpaceDE w:val="0"/>
              <w:autoSpaceDN w:val="0"/>
              <w:adjustRightInd w:val="0"/>
              <w:rPr>
                <w:b/>
                <w:szCs w:val="24"/>
              </w:rPr>
            </w:pPr>
          </w:p>
          <w:p w:rsidR="00932BF2" w:rsidRDefault="00932BF2">
            <w:pPr>
              <w:tabs>
                <w:tab w:val="left" w:pos="4230"/>
              </w:tabs>
              <w:autoSpaceDE w:val="0"/>
              <w:autoSpaceDN w:val="0"/>
              <w:adjustRightInd w:val="0"/>
              <w:rPr>
                <w:b/>
                <w:szCs w:val="24"/>
              </w:rPr>
            </w:pPr>
            <w:r>
              <w:rPr>
                <w:b/>
                <w:szCs w:val="24"/>
              </w:rPr>
              <w:t>Office of the Ohio Consumers’ Counsel</w:t>
            </w:r>
          </w:p>
          <w:p w:rsidR="00932BF2" w:rsidRDefault="00932BF2">
            <w:pPr>
              <w:tabs>
                <w:tab w:val="left" w:pos="4230"/>
              </w:tabs>
              <w:autoSpaceDE w:val="0"/>
              <w:autoSpaceDN w:val="0"/>
              <w:adjustRightInd w:val="0"/>
              <w:rPr>
                <w:szCs w:val="24"/>
              </w:rPr>
            </w:pPr>
            <w:r>
              <w:rPr>
                <w:szCs w:val="24"/>
              </w:rPr>
              <w:t>10 West Broad Street, Suite 1800</w:t>
            </w:r>
          </w:p>
          <w:p w:rsidR="00932BF2" w:rsidRDefault="00932BF2">
            <w:pPr>
              <w:tabs>
                <w:tab w:val="left" w:pos="4230"/>
              </w:tabs>
              <w:autoSpaceDE w:val="0"/>
              <w:autoSpaceDN w:val="0"/>
              <w:adjustRightInd w:val="0"/>
              <w:rPr>
                <w:szCs w:val="24"/>
              </w:rPr>
            </w:pPr>
            <w:r>
              <w:rPr>
                <w:szCs w:val="24"/>
              </w:rPr>
              <w:t>Columbus, Ohio 43215</w:t>
            </w:r>
          </w:p>
          <w:p w:rsidR="00932BF2" w:rsidRDefault="00932BF2">
            <w:pPr>
              <w:tabs>
                <w:tab w:val="left" w:pos="4230"/>
              </w:tabs>
              <w:autoSpaceDE w:val="0"/>
              <w:autoSpaceDN w:val="0"/>
              <w:adjustRightInd w:val="0"/>
              <w:rPr>
                <w:szCs w:val="24"/>
              </w:rPr>
            </w:pPr>
            <w:r>
              <w:rPr>
                <w:szCs w:val="24"/>
              </w:rPr>
              <w:t>(614) 466-1291 (Telephone-Yost)</w:t>
            </w:r>
          </w:p>
          <w:p w:rsidR="00932BF2" w:rsidRDefault="00932BF2">
            <w:pPr>
              <w:tabs>
                <w:tab w:val="left" w:pos="4230"/>
              </w:tabs>
              <w:autoSpaceDE w:val="0"/>
              <w:autoSpaceDN w:val="0"/>
              <w:adjustRightInd w:val="0"/>
              <w:rPr>
                <w:szCs w:val="24"/>
              </w:rPr>
            </w:pPr>
            <w:r>
              <w:rPr>
                <w:szCs w:val="24"/>
              </w:rPr>
              <w:t>(614) 466-1312 (Telephone-Sauer)</w:t>
            </w:r>
          </w:p>
          <w:p w:rsidR="00932BF2" w:rsidRDefault="00932BF2">
            <w:pPr>
              <w:tabs>
                <w:tab w:val="left" w:pos="4230"/>
              </w:tabs>
              <w:autoSpaceDE w:val="0"/>
              <w:autoSpaceDN w:val="0"/>
              <w:adjustRightInd w:val="0"/>
              <w:rPr>
                <w:szCs w:val="24"/>
              </w:rPr>
            </w:pPr>
            <w:r>
              <w:rPr>
                <w:szCs w:val="24"/>
              </w:rPr>
              <w:t>(614) 466-9547 (Telephone-Schuler)</w:t>
            </w:r>
          </w:p>
          <w:p w:rsidR="00932BF2" w:rsidRDefault="00932BF2">
            <w:pPr>
              <w:tabs>
                <w:tab w:val="left" w:pos="4230"/>
              </w:tabs>
              <w:autoSpaceDE w:val="0"/>
              <w:autoSpaceDN w:val="0"/>
              <w:adjustRightInd w:val="0"/>
              <w:rPr>
                <w:szCs w:val="24"/>
              </w:rPr>
            </w:pPr>
            <w:r>
              <w:rPr>
                <w:szCs w:val="24"/>
              </w:rPr>
              <w:t>melissa.yost@occ.ohio.gov</w:t>
            </w:r>
          </w:p>
          <w:p w:rsidR="00932BF2" w:rsidRDefault="00932BF2">
            <w:pPr>
              <w:tabs>
                <w:tab w:val="left" w:pos="4230"/>
              </w:tabs>
              <w:autoSpaceDE w:val="0"/>
              <w:autoSpaceDN w:val="0"/>
              <w:adjustRightInd w:val="0"/>
              <w:rPr>
                <w:szCs w:val="24"/>
              </w:rPr>
            </w:pPr>
            <w:r>
              <w:rPr>
                <w:szCs w:val="24"/>
              </w:rPr>
              <w:t>larry.sauer@occ.ohio.gov</w:t>
            </w:r>
          </w:p>
          <w:p w:rsidR="00932BF2" w:rsidRDefault="00932BF2">
            <w:pPr>
              <w:tabs>
                <w:tab w:val="left" w:pos="4230"/>
              </w:tabs>
              <w:autoSpaceDE w:val="0"/>
              <w:autoSpaceDN w:val="0"/>
              <w:adjustRightInd w:val="0"/>
              <w:rPr>
                <w:szCs w:val="24"/>
              </w:rPr>
            </w:pPr>
            <w:r>
              <w:rPr>
                <w:szCs w:val="24"/>
              </w:rPr>
              <w:t>michael.schuler@occ.ohio.gov</w:t>
            </w:r>
          </w:p>
        </w:tc>
      </w:tr>
    </w:tbl>
    <w:p w:rsidR="00461543" w:rsidRDefault="00461543" w:rsidP="007E4821">
      <w:pPr>
        <w:ind w:left="4320"/>
        <w:rPr>
          <w:rStyle w:val="Hyperlink"/>
          <w:color w:val="auto"/>
          <w:szCs w:val="24"/>
          <w:u w:val="none"/>
        </w:rPr>
      </w:pPr>
    </w:p>
    <w:p w:rsidR="00461543" w:rsidRPr="00746C80" w:rsidRDefault="00461543" w:rsidP="007E4821">
      <w:pPr>
        <w:ind w:left="4320"/>
        <w:rPr>
          <w:szCs w:val="24"/>
        </w:rPr>
      </w:pPr>
    </w:p>
    <w:p w:rsidR="00E051D1" w:rsidRDefault="00E051D1" w:rsidP="00985727">
      <w:pPr>
        <w:pStyle w:val="HTMLPreformatted"/>
        <w:jc w:val="center"/>
        <w:rPr>
          <w:b/>
          <w:u w:val="single"/>
        </w:rPr>
        <w:sectPr w:rsidR="00E051D1" w:rsidSect="0046154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docGrid w:linePitch="326"/>
        </w:sectPr>
      </w:pPr>
    </w:p>
    <w:p w:rsidR="00985727" w:rsidRDefault="00985727" w:rsidP="00985727">
      <w:pPr>
        <w:pStyle w:val="HTMLPreformatted"/>
        <w:jc w:val="center"/>
        <w:rPr>
          <w:rFonts w:ascii="Times New Roman" w:hAnsi="Times New Roman"/>
          <w:b/>
          <w:bCs/>
          <w:sz w:val="24"/>
        </w:rPr>
      </w:pPr>
      <w:r>
        <w:rPr>
          <w:rFonts w:ascii="Times New Roman" w:hAnsi="Times New Roman"/>
          <w:b/>
          <w:bCs/>
          <w:sz w:val="24"/>
        </w:rPr>
        <w:lastRenderedPageBreak/>
        <w:t>BEFORE</w:t>
      </w:r>
    </w:p>
    <w:p w:rsidR="00985727" w:rsidRDefault="00985727" w:rsidP="00985727">
      <w:pPr>
        <w:pStyle w:val="HTMLPreformatted"/>
        <w:jc w:val="center"/>
        <w:rPr>
          <w:rFonts w:ascii="Times New Roman" w:hAnsi="Times New Roman"/>
          <w:sz w:val="24"/>
        </w:rPr>
      </w:pPr>
      <w:r>
        <w:rPr>
          <w:rFonts w:ascii="Times New Roman" w:hAnsi="Times New Roman"/>
          <w:b/>
          <w:bCs/>
          <w:sz w:val="24"/>
        </w:rPr>
        <w:t>THE PUBLIC UTILITIES COMMISSION OF OHIO</w:t>
      </w:r>
    </w:p>
    <w:p w:rsidR="00985727" w:rsidRDefault="00985727" w:rsidP="00985727">
      <w:pPr>
        <w:pStyle w:val="HTMLPreformatted"/>
        <w:rPr>
          <w:rFonts w:ascii="Times New Roman" w:hAnsi="Times New Roman"/>
          <w:sz w:val="24"/>
        </w:rPr>
      </w:pPr>
    </w:p>
    <w:tbl>
      <w:tblPr>
        <w:tblW w:w="9092" w:type="dxa"/>
        <w:tblLook w:val="01E0" w:firstRow="1" w:lastRow="1" w:firstColumn="1" w:lastColumn="1" w:noHBand="0" w:noVBand="0"/>
      </w:tblPr>
      <w:tblGrid>
        <w:gridCol w:w="4068"/>
        <w:gridCol w:w="540"/>
        <w:gridCol w:w="4484"/>
      </w:tblGrid>
      <w:tr w:rsidR="006D0403" w:rsidTr="00AE594F">
        <w:trPr>
          <w:trHeight w:val="807"/>
        </w:trPr>
        <w:tc>
          <w:tcPr>
            <w:tcW w:w="4068" w:type="dxa"/>
            <w:shd w:val="clear" w:color="auto" w:fill="auto"/>
          </w:tcPr>
          <w:p w:rsidR="006D0403" w:rsidRDefault="006D0403" w:rsidP="006F24D2">
            <w:pPr>
              <w:pStyle w:val="HTMLPreformatted"/>
              <w:rPr>
                <w:rFonts w:ascii="Times New Roman" w:hAnsi="Times New Roman" w:cs="Times New Roman"/>
                <w:sz w:val="24"/>
                <w:szCs w:val="24"/>
              </w:rPr>
            </w:pPr>
            <w:r>
              <w:rPr>
                <w:rFonts w:ascii="Times New Roman" w:hAnsi="Times New Roman" w:cs="Times New Roman"/>
                <w:sz w:val="24"/>
                <w:szCs w:val="24"/>
              </w:rPr>
              <w:t>In the Matter of the Application of The Dayton Power and Light Company for Authority to Recover Certain Storm-Related Services Restoration Costs</w:t>
            </w:r>
          </w:p>
          <w:p w:rsidR="006D0403" w:rsidRDefault="006D0403" w:rsidP="006F24D2">
            <w:pPr>
              <w:pStyle w:val="HTMLPreformatted"/>
              <w:rPr>
                <w:rFonts w:ascii="Times New Roman" w:hAnsi="Times New Roman" w:cs="Times New Roman"/>
                <w:sz w:val="24"/>
                <w:szCs w:val="24"/>
              </w:rPr>
            </w:pPr>
          </w:p>
          <w:p w:rsidR="006D0403" w:rsidRDefault="006D0403" w:rsidP="00AE594F">
            <w:pPr>
              <w:pStyle w:val="HTMLPreformatted"/>
              <w:rPr>
                <w:rFonts w:ascii="Times New Roman" w:hAnsi="Times New Roman" w:cs="Times New Roman"/>
                <w:sz w:val="24"/>
                <w:szCs w:val="24"/>
              </w:rPr>
            </w:pPr>
            <w:r>
              <w:rPr>
                <w:rFonts w:ascii="Times New Roman" w:hAnsi="Times New Roman" w:cs="Times New Roman"/>
                <w:sz w:val="24"/>
                <w:szCs w:val="24"/>
              </w:rPr>
              <w:t>In the Matter of the Application The Dayton Power and Light Company for Approval of Certain Accounting Authority.</w:t>
            </w:r>
          </w:p>
        </w:tc>
        <w:tc>
          <w:tcPr>
            <w:tcW w:w="540" w:type="dxa"/>
            <w:shd w:val="clear" w:color="auto" w:fill="auto"/>
          </w:tcPr>
          <w:p w:rsidR="006D0403" w:rsidRDefault="006D0403" w:rsidP="006F24D2">
            <w:pPr>
              <w:pStyle w:val="HTMLPreformatted"/>
              <w:rPr>
                <w:rFonts w:ascii="Times New Roman" w:hAnsi="Times New Roman"/>
                <w:sz w:val="24"/>
              </w:rPr>
            </w:pPr>
            <w:r>
              <w:rPr>
                <w:rFonts w:ascii="Times New Roman" w:hAnsi="Times New Roman"/>
                <w:sz w:val="24"/>
              </w:rPr>
              <w:t>)</w:t>
            </w:r>
          </w:p>
          <w:p w:rsidR="006D0403" w:rsidRDefault="006D0403" w:rsidP="006F24D2">
            <w:pPr>
              <w:pStyle w:val="HTMLPreformatted"/>
              <w:rPr>
                <w:rFonts w:ascii="Times New Roman" w:hAnsi="Times New Roman"/>
                <w:sz w:val="24"/>
              </w:rPr>
            </w:pPr>
            <w:r>
              <w:rPr>
                <w:rFonts w:ascii="Times New Roman" w:hAnsi="Times New Roman"/>
                <w:sz w:val="24"/>
              </w:rPr>
              <w:t>)</w:t>
            </w:r>
          </w:p>
          <w:p w:rsidR="006D0403" w:rsidRDefault="006D0403" w:rsidP="006F24D2">
            <w:pPr>
              <w:pStyle w:val="HTMLPreformatted"/>
              <w:rPr>
                <w:rFonts w:ascii="Times New Roman" w:hAnsi="Times New Roman"/>
                <w:sz w:val="24"/>
              </w:rPr>
            </w:pPr>
            <w:r>
              <w:rPr>
                <w:rFonts w:ascii="Times New Roman" w:hAnsi="Times New Roman"/>
                <w:sz w:val="24"/>
              </w:rPr>
              <w:t>)</w:t>
            </w:r>
          </w:p>
          <w:p w:rsidR="006D0403" w:rsidRDefault="006D0403" w:rsidP="006F24D2">
            <w:pPr>
              <w:pStyle w:val="HTMLPreformatted"/>
              <w:rPr>
                <w:rFonts w:ascii="Times New Roman" w:hAnsi="Times New Roman"/>
                <w:sz w:val="24"/>
              </w:rPr>
            </w:pPr>
            <w:r>
              <w:rPr>
                <w:rFonts w:ascii="Times New Roman" w:hAnsi="Times New Roman"/>
                <w:sz w:val="24"/>
              </w:rPr>
              <w:t>)</w:t>
            </w:r>
          </w:p>
          <w:p w:rsidR="006D0403" w:rsidRDefault="006D0403" w:rsidP="006F24D2">
            <w:pPr>
              <w:pStyle w:val="HTMLPreformatted"/>
              <w:rPr>
                <w:rFonts w:ascii="Times New Roman" w:hAnsi="Times New Roman"/>
                <w:sz w:val="24"/>
              </w:rPr>
            </w:pPr>
          </w:p>
          <w:p w:rsidR="006D0403" w:rsidRDefault="006D0403" w:rsidP="006F24D2">
            <w:pPr>
              <w:pStyle w:val="HTMLPreformatted"/>
              <w:rPr>
                <w:rFonts w:ascii="Times New Roman" w:hAnsi="Times New Roman"/>
                <w:sz w:val="24"/>
              </w:rPr>
            </w:pPr>
            <w:r>
              <w:rPr>
                <w:rFonts w:ascii="Times New Roman" w:hAnsi="Times New Roman"/>
                <w:sz w:val="24"/>
              </w:rPr>
              <w:t>)</w:t>
            </w:r>
          </w:p>
          <w:p w:rsidR="006D0403" w:rsidRDefault="006D0403" w:rsidP="006F24D2">
            <w:pPr>
              <w:pStyle w:val="HTMLPreformatted"/>
              <w:rPr>
                <w:rFonts w:ascii="Times New Roman" w:hAnsi="Times New Roman"/>
                <w:sz w:val="24"/>
              </w:rPr>
            </w:pPr>
            <w:r>
              <w:rPr>
                <w:rFonts w:ascii="Times New Roman" w:hAnsi="Times New Roman"/>
                <w:sz w:val="24"/>
              </w:rPr>
              <w:t>)</w:t>
            </w:r>
          </w:p>
          <w:p w:rsidR="006D0403" w:rsidRDefault="006D0403" w:rsidP="006F24D2">
            <w:pPr>
              <w:pStyle w:val="HTMLPreformatted"/>
              <w:rPr>
                <w:rFonts w:ascii="Times New Roman" w:hAnsi="Times New Roman"/>
                <w:sz w:val="24"/>
              </w:rPr>
            </w:pPr>
            <w:r>
              <w:rPr>
                <w:rFonts w:ascii="Times New Roman" w:hAnsi="Times New Roman"/>
                <w:sz w:val="24"/>
              </w:rPr>
              <w:t>)</w:t>
            </w:r>
          </w:p>
          <w:p w:rsidR="006D0403" w:rsidRDefault="006D0403" w:rsidP="00AE594F">
            <w:pPr>
              <w:pStyle w:val="HTMLPreformatted"/>
              <w:rPr>
                <w:rFonts w:ascii="Times New Roman" w:hAnsi="Times New Roman"/>
                <w:sz w:val="24"/>
              </w:rPr>
            </w:pPr>
            <w:r>
              <w:rPr>
                <w:rFonts w:ascii="Times New Roman" w:hAnsi="Times New Roman"/>
                <w:sz w:val="24"/>
              </w:rPr>
              <w:t>)</w:t>
            </w:r>
          </w:p>
        </w:tc>
        <w:tc>
          <w:tcPr>
            <w:tcW w:w="4484" w:type="dxa"/>
            <w:shd w:val="clear" w:color="auto" w:fill="auto"/>
          </w:tcPr>
          <w:p w:rsidR="006D0403" w:rsidRDefault="006D0403" w:rsidP="006F24D2">
            <w:pPr>
              <w:pStyle w:val="HTMLPreformatted"/>
              <w:rPr>
                <w:rFonts w:ascii="Times New Roman" w:hAnsi="Times New Roman"/>
                <w:sz w:val="24"/>
              </w:rPr>
            </w:pPr>
          </w:p>
          <w:p w:rsidR="006D0403" w:rsidRDefault="006D0403" w:rsidP="006F24D2">
            <w:pPr>
              <w:pStyle w:val="HTMLPreformatted"/>
              <w:rPr>
                <w:rFonts w:ascii="Times New Roman" w:hAnsi="Times New Roman"/>
                <w:sz w:val="24"/>
              </w:rPr>
            </w:pPr>
            <w:r>
              <w:rPr>
                <w:rFonts w:ascii="Times New Roman" w:hAnsi="Times New Roman"/>
                <w:sz w:val="24"/>
              </w:rPr>
              <w:t>Case No. 12-3062-EL-RDR</w:t>
            </w:r>
          </w:p>
          <w:p w:rsidR="006D0403" w:rsidRDefault="006D0403" w:rsidP="006F24D2">
            <w:pPr>
              <w:pStyle w:val="HTMLPreformatted"/>
              <w:rPr>
                <w:rFonts w:ascii="Times New Roman" w:hAnsi="Times New Roman"/>
                <w:sz w:val="24"/>
              </w:rPr>
            </w:pPr>
          </w:p>
          <w:p w:rsidR="006D0403" w:rsidRDefault="006D0403" w:rsidP="006F24D2">
            <w:pPr>
              <w:pStyle w:val="HTMLPreformatted"/>
              <w:rPr>
                <w:rFonts w:ascii="Times New Roman" w:hAnsi="Times New Roman"/>
                <w:sz w:val="24"/>
              </w:rPr>
            </w:pPr>
          </w:p>
          <w:p w:rsidR="007A322A" w:rsidRDefault="007A322A" w:rsidP="006F24D2">
            <w:pPr>
              <w:pStyle w:val="HTMLPreformatted"/>
              <w:rPr>
                <w:rFonts w:ascii="Times New Roman" w:hAnsi="Times New Roman"/>
                <w:sz w:val="24"/>
              </w:rPr>
            </w:pPr>
          </w:p>
          <w:p w:rsidR="007A322A" w:rsidRDefault="007A322A" w:rsidP="006F24D2">
            <w:pPr>
              <w:pStyle w:val="HTMLPreformatted"/>
              <w:rPr>
                <w:rFonts w:ascii="Times New Roman" w:hAnsi="Times New Roman"/>
                <w:sz w:val="24"/>
              </w:rPr>
            </w:pPr>
          </w:p>
          <w:p w:rsidR="006D0403" w:rsidRDefault="006D0403" w:rsidP="006F24D2">
            <w:pPr>
              <w:pStyle w:val="HTMLPreformatted"/>
              <w:rPr>
                <w:rFonts w:ascii="Times New Roman" w:hAnsi="Times New Roman"/>
                <w:sz w:val="24"/>
              </w:rPr>
            </w:pPr>
            <w:r>
              <w:rPr>
                <w:rFonts w:ascii="Times New Roman" w:hAnsi="Times New Roman"/>
                <w:sz w:val="24"/>
              </w:rPr>
              <w:t>Case No. 12-3266-EL-AAM</w:t>
            </w:r>
          </w:p>
          <w:p w:rsidR="006D0403" w:rsidRDefault="006D0403" w:rsidP="006F24D2">
            <w:pPr>
              <w:pStyle w:val="HTMLPreformatted"/>
              <w:rPr>
                <w:rFonts w:ascii="Times New Roman" w:hAnsi="Times New Roman"/>
                <w:sz w:val="24"/>
              </w:rPr>
            </w:pPr>
          </w:p>
          <w:p w:rsidR="006D0403" w:rsidRDefault="006D0403" w:rsidP="00AE594F">
            <w:pPr>
              <w:pStyle w:val="HTMLPreformatted"/>
              <w:rPr>
                <w:rFonts w:ascii="Times New Roman" w:hAnsi="Times New Roman"/>
                <w:sz w:val="24"/>
              </w:rPr>
            </w:pPr>
          </w:p>
        </w:tc>
      </w:tr>
    </w:tbl>
    <w:p w:rsidR="00985727" w:rsidRDefault="00985727" w:rsidP="007E4821">
      <w:pPr>
        <w:tabs>
          <w:tab w:val="left" w:pos="720"/>
        </w:tabs>
        <w:jc w:val="center"/>
        <w:rPr>
          <w:b/>
          <w:u w:val="single"/>
        </w:rPr>
      </w:pPr>
    </w:p>
    <w:p w:rsidR="007E4821" w:rsidRPr="007E4821" w:rsidRDefault="007E4821" w:rsidP="007E4821">
      <w:pPr>
        <w:tabs>
          <w:tab w:val="left" w:pos="720"/>
        </w:tabs>
        <w:jc w:val="center"/>
        <w:rPr>
          <w:b/>
          <w:u w:val="single"/>
        </w:rPr>
      </w:pPr>
      <w:r w:rsidRPr="007E4821">
        <w:rPr>
          <w:b/>
          <w:u w:val="single"/>
        </w:rPr>
        <w:t>MEMORANDUM IN SUPPORT</w:t>
      </w:r>
    </w:p>
    <w:p w:rsidR="007E4821" w:rsidRDefault="007E4821" w:rsidP="00263F40">
      <w:pPr>
        <w:tabs>
          <w:tab w:val="left" w:pos="720"/>
        </w:tabs>
      </w:pPr>
    </w:p>
    <w:p w:rsidR="004478D8" w:rsidRDefault="00135F48" w:rsidP="00147626">
      <w:pPr>
        <w:tabs>
          <w:tab w:val="left" w:pos="720"/>
        </w:tabs>
        <w:spacing w:line="480" w:lineRule="auto"/>
      </w:pPr>
      <w:r>
        <w:tab/>
      </w:r>
      <w:r w:rsidR="006C0167">
        <w:t>DP&amp;</w:t>
      </w:r>
      <w:r w:rsidR="006C189D">
        <w:t xml:space="preserve">L is seeking to </w:t>
      </w:r>
      <w:r w:rsidR="00471FB3">
        <w:t xml:space="preserve">collect </w:t>
      </w:r>
      <w:r w:rsidR="006C189D">
        <w:t>over $64 million in storm restoration costs from its customers for storm</w:t>
      </w:r>
      <w:r w:rsidR="00FA3E55">
        <w:t xml:space="preserve"> damage</w:t>
      </w:r>
      <w:r w:rsidR="006C189D">
        <w:t xml:space="preserve"> that occurred in 2008, 2011 and 2012.</w:t>
      </w:r>
      <w:r w:rsidR="004D1CB8" w:rsidRPr="00EF0C3B">
        <w:rPr>
          <w:rStyle w:val="FootnoteReference"/>
        </w:rPr>
        <w:footnoteReference w:id="6"/>
      </w:r>
      <w:r w:rsidR="006C189D">
        <w:t xml:space="preserve">  </w:t>
      </w:r>
      <w:r w:rsidR="004478D8">
        <w:t>T</w:t>
      </w:r>
      <w:r w:rsidR="00ED53D3">
        <w:t xml:space="preserve">he PUCO </w:t>
      </w:r>
      <w:r w:rsidR="006C189D">
        <w:t xml:space="preserve">has </w:t>
      </w:r>
      <w:r w:rsidR="00ED53D3">
        <w:t xml:space="preserve">already </w:t>
      </w:r>
      <w:r w:rsidR="006C189D">
        <w:t xml:space="preserve">denied DP&amp;L’s ability to </w:t>
      </w:r>
      <w:r w:rsidR="003B470E">
        <w:t>collect</w:t>
      </w:r>
      <w:r w:rsidR="00ED53D3">
        <w:t xml:space="preserve"> over $27</w:t>
      </w:r>
      <w:r w:rsidR="006C189D">
        <w:t xml:space="preserve"> million in capital costs in this case</w:t>
      </w:r>
      <w:r w:rsidR="004478D8">
        <w:t>.</w:t>
      </w:r>
      <w:r w:rsidR="00471FB3">
        <w:rPr>
          <w:rStyle w:val="FootnoteReference"/>
        </w:rPr>
        <w:footnoteReference w:id="7"/>
      </w:r>
      <w:r w:rsidR="006C189D">
        <w:t xml:space="preserve"> </w:t>
      </w:r>
      <w:r w:rsidR="00316FF9">
        <w:t>But</w:t>
      </w:r>
      <w:r w:rsidR="004478D8">
        <w:t xml:space="preserve"> even excluding these capital costs, </w:t>
      </w:r>
      <w:r w:rsidR="006C189D">
        <w:t>DP&amp;L</w:t>
      </w:r>
      <w:r w:rsidR="004478D8">
        <w:t xml:space="preserve">’s request still includes a substantial </w:t>
      </w:r>
      <w:r w:rsidR="00ED53D3">
        <w:t>$37 million</w:t>
      </w:r>
      <w:r w:rsidR="006C189D">
        <w:t xml:space="preserve"> in operation and maintenance (“O&amp;M”) expenses</w:t>
      </w:r>
      <w:r w:rsidR="00763D95">
        <w:t xml:space="preserve"> for customers to bear</w:t>
      </w:r>
      <w:r w:rsidR="006C189D">
        <w:t xml:space="preserve">.  </w:t>
      </w:r>
    </w:p>
    <w:p w:rsidR="00ED5E29" w:rsidRDefault="004478D8" w:rsidP="00147626">
      <w:pPr>
        <w:tabs>
          <w:tab w:val="left" w:pos="720"/>
        </w:tabs>
        <w:spacing w:line="480" w:lineRule="auto"/>
      </w:pPr>
      <w:r>
        <w:tab/>
      </w:r>
      <w:r w:rsidR="006C189D">
        <w:t xml:space="preserve">For the reasons asserted in </w:t>
      </w:r>
      <w:r w:rsidR="00471FB3">
        <w:t>the testimony of OCC’s witnesses</w:t>
      </w:r>
      <w:r w:rsidR="002C0D1C">
        <w:rPr>
          <w:rStyle w:val="FootnoteReference"/>
        </w:rPr>
        <w:footnoteReference w:id="8"/>
      </w:r>
      <w:r w:rsidR="00471FB3">
        <w:t xml:space="preserve"> and</w:t>
      </w:r>
      <w:r w:rsidR="006C189D">
        <w:t xml:space="preserve"> the Staff Audit Report,</w:t>
      </w:r>
      <w:r w:rsidR="002C0D1C">
        <w:rPr>
          <w:rStyle w:val="FootnoteReference"/>
        </w:rPr>
        <w:footnoteReference w:id="9"/>
      </w:r>
      <w:r w:rsidR="006C189D">
        <w:t xml:space="preserve"> DP&amp;L should be permitted to </w:t>
      </w:r>
      <w:r w:rsidR="00471FB3">
        <w:t xml:space="preserve">collect </w:t>
      </w:r>
      <w:r w:rsidR="00264B4F">
        <w:t xml:space="preserve">less </w:t>
      </w:r>
      <w:r w:rsidR="00471FB3">
        <w:t xml:space="preserve">than $1 million </w:t>
      </w:r>
      <w:r w:rsidR="006C189D">
        <w:t xml:space="preserve">in O&amp;M </w:t>
      </w:r>
      <w:r w:rsidR="00BF7F6F">
        <w:t>from customers</w:t>
      </w:r>
      <w:r w:rsidR="002D6F73">
        <w:t xml:space="preserve">. </w:t>
      </w:r>
      <w:r w:rsidR="001F6E6D">
        <w:t xml:space="preserve"> </w:t>
      </w:r>
      <w:r w:rsidR="00D91A1F">
        <w:t>Similar to</w:t>
      </w:r>
      <w:r w:rsidR="002D6F73">
        <w:t xml:space="preserve"> OCC’s position on DP&amp;L’s request, </w:t>
      </w:r>
      <w:r w:rsidR="006C189D">
        <w:t xml:space="preserve">the </w:t>
      </w:r>
      <w:r w:rsidR="00471FB3">
        <w:t xml:space="preserve">PUCO </w:t>
      </w:r>
      <w:r w:rsidR="006C189D">
        <w:t xml:space="preserve">Staff </w:t>
      </w:r>
      <w:r w:rsidR="00471FB3">
        <w:t xml:space="preserve">recommends </w:t>
      </w:r>
      <w:r w:rsidR="006C189D">
        <w:t xml:space="preserve">that the Utility be </w:t>
      </w:r>
      <w:r w:rsidR="00D91A1F">
        <w:t xml:space="preserve">limited  </w:t>
      </w:r>
      <w:r w:rsidR="006C189D">
        <w:t xml:space="preserve">to </w:t>
      </w:r>
      <w:r w:rsidR="00471FB3">
        <w:t>collect</w:t>
      </w:r>
      <w:r w:rsidR="00D91A1F">
        <w:t>ing</w:t>
      </w:r>
      <w:r w:rsidR="00471FB3">
        <w:t xml:space="preserve"> </w:t>
      </w:r>
      <w:r w:rsidR="00D91A1F">
        <w:t xml:space="preserve">a mere </w:t>
      </w:r>
      <w:r w:rsidR="006C189D">
        <w:t>$1</w:t>
      </w:r>
      <w:r w:rsidR="00774114">
        <w:t>.</w:t>
      </w:r>
      <w:r w:rsidR="006C189D">
        <w:t>01</w:t>
      </w:r>
      <w:r w:rsidR="00774114">
        <w:t xml:space="preserve"> million</w:t>
      </w:r>
      <w:r w:rsidR="006C189D">
        <w:t xml:space="preserve"> (plus applicable carrying </w:t>
      </w:r>
      <w:r w:rsidR="006C189D">
        <w:lastRenderedPageBreak/>
        <w:t>costs).</w:t>
      </w:r>
      <w:r w:rsidR="006C189D">
        <w:rPr>
          <w:rStyle w:val="FootnoteReference"/>
        </w:rPr>
        <w:footnoteReference w:id="10"/>
      </w:r>
      <w:r w:rsidR="006C189D">
        <w:t xml:space="preserve">  </w:t>
      </w:r>
      <w:r w:rsidR="00DB4756">
        <w:t>In a case where such disparity exists</w:t>
      </w:r>
      <w:r w:rsidR="002C0D1C">
        <w:t xml:space="preserve"> between the </w:t>
      </w:r>
      <w:r w:rsidR="00EB52C1">
        <w:t xml:space="preserve">high </w:t>
      </w:r>
      <w:r w:rsidR="002C0D1C">
        <w:t xml:space="preserve">amount of money that DP&amp;L </w:t>
      </w:r>
      <w:r w:rsidR="00EB52C1">
        <w:t xml:space="preserve">would </w:t>
      </w:r>
      <w:r w:rsidR="00D91A1F">
        <w:t xml:space="preserve">charge customers </w:t>
      </w:r>
      <w:r w:rsidR="002C0D1C">
        <w:t xml:space="preserve">and the </w:t>
      </w:r>
      <w:r w:rsidR="00EB52C1">
        <w:t xml:space="preserve">limited </w:t>
      </w:r>
      <w:r w:rsidR="002C0D1C">
        <w:t>amount of money that the OCC</w:t>
      </w:r>
      <w:r w:rsidR="001F6E6D">
        <w:t xml:space="preserve"> and the </w:t>
      </w:r>
      <w:r w:rsidR="002C0D1C">
        <w:t>PUCO Staff recommend</w:t>
      </w:r>
      <w:r w:rsidR="00DB4756">
        <w:t xml:space="preserve">, </w:t>
      </w:r>
      <w:r w:rsidR="00147626">
        <w:t>th</w:t>
      </w:r>
      <w:r w:rsidR="001F3BC2">
        <w:t>e PUCO</w:t>
      </w:r>
      <w:r w:rsidR="005A24FF">
        <w:t xml:space="preserve"> should avail itself of the </w:t>
      </w:r>
      <w:r w:rsidR="00EB52C1">
        <w:t xml:space="preserve">perspectives </w:t>
      </w:r>
      <w:r w:rsidR="005A24FF">
        <w:t xml:space="preserve">of </w:t>
      </w:r>
      <w:r w:rsidR="00147626">
        <w:t>DP&amp;L’s</w:t>
      </w:r>
      <w:r w:rsidR="005A24FF">
        <w:t xml:space="preserve"> customers</w:t>
      </w:r>
      <w:r w:rsidR="002116C9">
        <w:t xml:space="preserve"> </w:t>
      </w:r>
      <w:r w:rsidR="002D6F73">
        <w:t>who were without electricity during the 2008, 2011 and 2012 storms that are at issue in this case.  And those customers should not have to travel to Columbus to provide testimony for the PUCO’s consideration.</w:t>
      </w:r>
      <w:r w:rsidR="002116C9">
        <w:t xml:space="preserve"> </w:t>
      </w:r>
      <w:r w:rsidR="007A322A">
        <w:t xml:space="preserve"> </w:t>
      </w:r>
      <w:r w:rsidR="002D6F73">
        <w:t xml:space="preserve">Accordingly, local </w:t>
      </w:r>
      <w:r w:rsidR="002116C9">
        <w:t>public hearings</w:t>
      </w:r>
      <w:r w:rsidR="002D6F73">
        <w:t xml:space="preserve"> are warranted</w:t>
      </w:r>
      <w:r w:rsidR="001B3D4A">
        <w:t>.</w:t>
      </w:r>
    </w:p>
    <w:p w:rsidR="00BB56E1" w:rsidRPr="009F03A6" w:rsidRDefault="00ED5E29" w:rsidP="006340B1">
      <w:pPr>
        <w:tabs>
          <w:tab w:val="left" w:pos="720"/>
        </w:tabs>
        <w:spacing w:line="480" w:lineRule="auto"/>
      </w:pPr>
      <w:r>
        <w:tab/>
      </w:r>
      <w:r w:rsidR="00706867">
        <w:rPr>
          <w:rFonts w:eastAsiaTheme="minorHAnsi"/>
          <w:szCs w:val="24"/>
        </w:rPr>
        <w:t>In the past</w:t>
      </w:r>
      <w:r w:rsidR="00B50B46">
        <w:rPr>
          <w:rFonts w:eastAsiaTheme="minorHAnsi"/>
          <w:szCs w:val="24"/>
        </w:rPr>
        <w:t>,</w:t>
      </w:r>
      <w:r w:rsidR="00706867">
        <w:rPr>
          <w:rFonts w:eastAsiaTheme="minorHAnsi"/>
          <w:szCs w:val="24"/>
        </w:rPr>
        <w:t xml:space="preserve"> the PUCO </w:t>
      </w:r>
      <w:r w:rsidR="00706867" w:rsidRPr="00706867">
        <w:rPr>
          <w:rFonts w:eastAsiaTheme="minorHAnsi"/>
          <w:szCs w:val="24"/>
        </w:rPr>
        <w:t xml:space="preserve">has scheduled local public </w:t>
      </w:r>
      <w:r w:rsidR="00B50B46">
        <w:rPr>
          <w:rFonts w:eastAsiaTheme="minorHAnsi"/>
          <w:szCs w:val="24"/>
        </w:rPr>
        <w:t>hearings</w:t>
      </w:r>
      <w:r w:rsidR="00706867" w:rsidRPr="00706867">
        <w:rPr>
          <w:rFonts w:eastAsiaTheme="minorHAnsi"/>
          <w:szCs w:val="24"/>
        </w:rPr>
        <w:t xml:space="preserve"> even when not required by statute, when it felt the hearings were necessary.</w:t>
      </w:r>
      <w:r w:rsidR="00706867" w:rsidRPr="00706867">
        <w:rPr>
          <w:rFonts w:eastAsiaTheme="minorHAnsi"/>
          <w:szCs w:val="24"/>
          <w:vertAlign w:val="superscript"/>
        </w:rPr>
        <w:footnoteReference w:id="11"/>
      </w:r>
      <w:r w:rsidR="00706867" w:rsidRPr="00706867">
        <w:rPr>
          <w:rFonts w:eastAsiaTheme="minorHAnsi"/>
          <w:szCs w:val="24"/>
        </w:rPr>
        <w:t xml:space="preserve"> </w:t>
      </w:r>
      <w:r w:rsidR="00B50B46">
        <w:rPr>
          <w:rFonts w:eastAsiaTheme="minorHAnsi"/>
          <w:szCs w:val="24"/>
        </w:rPr>
        <w:t xml:space="preserve"> </w:t>
      </w:r>
      <w:r w:rsidR="00D82455">
        <w:rPr>
          <w:rFonts w:eastAsiaTheme="minorHAnsi"/>
          <w:szCs w:val="24"/>
        </w:rPr>
        <w:t xml:space="preserve">In </w:t>
      </w:r>
      <w:r w:rsidR="006222FA">
        <w:rPr>
          <w:rFonts w:eastAsiaTheme="minorHAnsi"/>
          <w:szCs w:val="24"/>
        </w:rPr>
        <w:t>a</w:t>
      </w:r>
      <w:r w:rsidR="00D82455">
        <w:rPr>
          <w:rFonts w:eastAsiaTheme="minorHAnsi"/>
          <w:szCs w:val="24"/>
        </w:rPr>
        <w:t xml:space="preserve"> Columbus So</w:t>
      </w:r>
      <w:r w:rsidR="00D05FAE">
        <w:rPr>
          <w:rFonts w:eastAsiaTheme="minorHAnsi"/>
          <w:szCs w:val="24"/>
        </w:rPr>
        <w:t>u</w:t>
      </w:r>
      <w:r w:rsidR="00D82455">
        <w:rPr>
          <w:rFonts w:eastAsiaTheme="minorHAnsi"/>
          <w:szCs w:val="24"/>
        </w:rPr>
        <w:t xml:space="preserve">thern Power and Ohio Power Company (collectively referred to as “AEP Ohio”) </w:t>
      </w:r>
      <w:r w:rsidR="006222FA">
        <w:rPr>
          <w:rFonts w:eastAsiaTheme="minorHAnsi"/>
          <w:szCs w:val="24"/>
        </w:rPr>
        <w:t xml:space="preserve">case, AEP Ohio </w:t>
      </w:r>
      <w:r w:rsidR="0002253B">
        <w:rPr>
          <w:rFonts w:eastAsiaTheme="minorHAnsi"/>
          <w:szCs w:val="24"/>
        </w:rPr>
        <w:t>filed a self-</w:t>
      </w:r>
      <w:r w:rsidR="00D82455">
        <w:rPr>
          <w:rFonts w:eastAsiaTheme="minorHAnsi"/>
          <w:szCs w:val="24"/>
        </w:rPr>
        <w:t>complaint</w:t>
      </w:r>
      <w:r w:rsidR="00467BA4">
        <w:rPr>
          <w:rFonts w:eastAsiaTheme="minorHAnsi"/>
          <w:szCs w:val="24"/>
        </w:rPr>
        <w:t xml:space="preserve"> for failure to comply with the distribution service reliability requirements </w:t>
      </w:r>
      <w:r w:rsidR="00AC2AEC">
        <w:rPr>
          <w:rFonts w:eastAsiaTheme="minorHAnsi"/>
          <w:szCs w:val="24"/>
        </w:rPr>
        <w:t>set forth in</w:t>
      </w:r>
      <w:r w:rsidR="00467BA4">
        <w:rPr>
          <w:rFonts w:eastAsiaTheme="minorHAnsi"/>
          <w:szCs w:val="24"/>
        </w:rPr>
        <w:t xml:space="preserve"> the settlement in Case No. </w:t>
      </w:r>
      <w:r w:rsidR="00135B72">
        <w:rPr>
          <w:rFonts w:eastAsiaTheme="minorHAnsi"/>
          <w:szCs w:val="24"/>
        </w:rPr>
        <w:t>03-2570-EL-UNC</w:t>
      </w:r>
      <w:r w:rsidR="00467BA4">
        <w:rPr>
          <w:rFonts w:eastAsiaTheme="minorHAnsi"/>
          <w:szCs w:val="24"/>
        </w:rPr>
        <w:t>.</w:t>
      </w:r>
      <w:r w:rsidR="00467BA4">
        <w:rPr>
          <w:rStyle w:val="FootnoteReference"/>
          <w:rFonts w:eastAsiaTheme="minorHAnsi"/>
          <w:szCs w:val="24"/>
        </w:rPr>
        <w:footnoteReference w:id="12"/>
      </w:r>
      <w:r w:rsidR="00467BA4">
        <w:rPr>
          <w:rFonts w:eastAsiaTheme="minorHAnsi"/>
          <w:szCs w:val="24"/>
        </w:rPr>
        <w:t xml:space="preserve">  As part of its self-complaint, AEP Ohio also sought permission to</w:t>
      </w:r>
      <w:r w:rsidR="0002253B">
        <w:rPr>
          <w:rFonts w:eastAsiaTheme="minorHAnsi"/>
          <w:szCs w:val="24"/>
        </w:rPr>
        <w:t xml:space="preserve"> implement enhanced service reliability programs</w:t>
      </w:r>
      <w:r w:rsidR="00467BA4">
        <w:rPr>
          <w:rFonts w:eastAsiaTheme="minorHAnsi"/>
          <w:szCs w:val="24"/>
        </w:rPr>
        <w:t xml:space="preserve"> with </w:t>
      </w:r>
      <w:r w:rsidR="0002253B">
        <w:rPr>
          <w:rFonts w:eastAsiaTheme="minorHAnsi"/>
          <w:szCs w:val="24"/>
        </w:rPr>
        <w:t>related cost recovery through increased distribution rates.</w:t>
      </w:r>
      <w:r w:rsidR="0002253B">
        <w:rPr>
          <w:rStyle w:val="FootnoteReference"/>
          <w:rFonts w:eastAsiaTheme="minorHAnsi"/>
          <w:szCs w:val="24"/>
        </w:rPr>
        <w:footnoteReference w:id="13"/>
      </w:r>
      <w:r w:rsidR="0002253B">
        <w:rPr>
          <w:rFonts w:eastAsiaTheme="minorHAnsi"/>
          <w:szCs w:val="24"/>
        </w:rPr>
        <w:t xml:space="preserve">  </w:t>
      </w:r>
      <w:r w:rsidR="00FF7F24">
        <w:rPr>
          <w:rFonts w:eastAsiaTheme="minorHAnsi"/>
          <w:szCs w:val="24"/>
        </w:rPr>
        <w:t>In considering the reasonableness of the potential charge</w:t>
      </w:r>
      <w:r w:rsidR="0002253B">
        <w:rPr>
          <w:rFonts w:eastAsiaTheme="minorHAnsi"/>
          <w:szCs w:val="24"/>
        </w:rPr>
        <w:t>, the PUCO</w:t>
      </w:r>
      <w:r w:rsidR="00FF7F24">
        <w:rPr>
          <w:rFonts w:eastAsiaTheme="minorHAnsi"/>
          <w:szCs w:val="24"/>
        </w:rPr>
        <w:t xml:space="preserve"> not only scheduled an evidentiary hearing</w:t>
      </w:r>
      <w:r w:rsidR="00F7084A">
        <w:rPr>
          <w:rFonts w:eastAsiaTheme="minorHAnsi"/>
          <w:szCs w:val="24"/>
        </w:rPr>
        <w:t xml:space="preserve"> (as required by R.C. 4905.26)</w:t>
      </w:r>
      <w:r w:rsidR="00FF7F24">
        <w:rPr>
          <w:rFonts w:eastAsiaTheme="minorHAnsi"/>
          <w:szCs w:val="24"/>
        </w:rPr>
        <w:t>, but it also</w:t>
      </w:r>
      <w:r w:rsidR="0002253B">
        <w:rPr>
          <w:rFonts w:eastAsiaTheme="minorHAnsi"/>
          <w:szCs w:val="24"/>
        </w:rPr>
        <w:t xml:space="preserve"> </w:t>
      </w:r>
      <w:r w:rsidR="0002253B">
        <w:rPr>
          <w:rFonts w:eastAsiaTheme="minorHAnsi"/>
          <w:i/>
          <w:szCs w:val="24"/>
        </w:rPr>
        <w:t xml:space="preserve">sua </w:t>
      </w:r>
      <w:r w:rsidR="0002253B" w:rsidRPr="0002253B">
        <w:rPr>
          <w:rFonts w:eastAsiaTheme="minorHAnsi"/>
          <w:i/>
          <w:szCs w:val="24"/>
        </w:rPr>
        <w:t>sponte</w:t>
      </w:r>
      <w:r w:rsidR="0002253B">
        <w:rPr>
          <w:rFonts w:eastAsiaTheme="minorHAnsi"/>
          <w:szCs w:val="24"/>
        </w:rPr>
        <w:t xml:space="preserve"> scheduled local public hearings at six locations.</w:t>
      </w:r>
      <w:r w:rsidR="0002253B">
        <w:rPr>
          <w:rStyle w:val="FootnoteReference"/>
          <w:rFonts w:eastAsiaTheme="minorHAnsi"/>
          <w:szCs w:val="24"/>
        </w:rPr>
        <w:footnoteReference w:id="14"/>
      </w:r>
      <w:r w:rsidR="00BB56E1">
        <w:rPr>
          <w:rFonts w:eastAsiaTheme="minorHAnsi"/>
          <w:szCs w:val="24"/>
        </w:rPr>
        <w:t xml:space="preserve">  </w:t>
      </w:r>
      <w:r w:rsidR="006222FA" w:rsidRPr="009F03A6">
        <w:t>In addition, t</w:t>
      </w:r>
      <w:r w:rsidR="005E3A81" w:rsidRPr="009F03A6">
        <w:t xml:space="preserve">he PUCO </w:t>
      </w:r>
      <w:r w:rsidR="00264B4F">
        <w:t>held</w:t>
      </w:r>
      <w:r w:rsidR="005E3A81" w:rsidRPr="009F03A6">
        <w:t xml:space="preserve"> local public hearings </w:t>
      </w:r>
      <w:r w:rsidR="00DB4756" w:rsidRPr="009F03A6">
        <w:t>in</w:t>
      </w:r>
      <w:r w:rsidR="005E3A81" w:rsidRPr="009F03A6">
        <w:t xml:space="preserve"> </w:t>
      </w:r>
      <w:r w:rsidR="00DB4756" w:rsidRPr="009F03A6">
        <w:t xml:space="preserve">the </w:t>
      </w:r>
      <w:r w:rsidR="001F6E6D" w:rsidRPr="009F03A6">
        <w:t>DP&amp;L</w:t>
      </w:r>
      <w:r w:rsidR="00DB4756" w:rsidRPr="009F03A6">
        <w:t xml:space="preserve">’s ESP case </w:t>
      </w:r>
      <w:r w:rsidR="005E3A81" w:rsidRPr="009F03A6">
        <w:t>“[i]n order to provide customers of DP&amp;L a reasonable opportunity to provide public testimony in this proceeding.”</w:t>
      </w:r>
      <w:r w:rsidR="005E3A81" w:rsidRPr="009F03A6">
        <w:rPr>
          <w:rStyle w:val="FootnoteReference"/>
        </w:rPr>
        <w:footnoteReference w:id="15"/>
      </w:r>
      <w:r w:rsidR="005E3A81" w:rsidRPr="009F03A6">
        <w:t xml:space="preserve"> </w:t>
      </w:r>
      <w:r w:rsidR="00BB56E1" w:rsidRPr="009F03A6">
        <w:t>Similarly, the</w:t>
      </w:r>
      <w:r w:rsidR="00533483" w:rsidRPr="009F03A6">
        <w:t xml:space="preserve"> PUCO </w:t>
      </w:r>
      <w:r w:rsidR="00264B4F">
        <w:t>held</w:t>
      </w:r>
      <w:r w:rsidR="00533483" w:rsidRPr="009F03A6">
        <w:t xml:space="preserve"> local public </w:t>
      </w:r>
      <w:r w:rsidR="00F7084A" w:rsidRPr="009F03A6">
        <w:t>hearings in the FirstEnergy ESP</w:t>
      </w:r>
      <w:r w:rsidR="00F7084A" w:rsidRPr="009F03A6">
        <w:rPr>
          <w:rStyle w:val="FootnoteReference"/>
        </w:rPr>
        <w:footnoteReference w:id="16"/>
      </w:r>
      <w:r w:rsidR="00533483" w:rsidRPr="009F03A6">
        <w:t xml:space="preserve"> and the Duke ESP</w:t>
      </w:r>
      <w:r w:rsidR="00397593" w:rsidRPr="009F03A6">
        <w:rPr>
          <w:rStyle w:val="FootnoteReference"/>
        </w:rPr>
        <w:footnoteReference w:id="17"/>
      </w:r>
      <w:r w:rsidR="00533483" w:rsidRPr="009F03A6">
        <w:t xml:space="preserve"> as well.  </w:t>
      </w:r>
    </w:p>
    <w:p w:rsidR="004A0C1F" w:rsidRDefault="00BB56E1" w:rsidP="006340B1">
      <w:pPr>
        <w:tabs>
          <w:tab w:val="left" w:pos="720"/>
        </w:tabs>
        <w:spacing w:line="480" w:lineRule="auto"/>
      </w:pPr>
      <w:r w:rsidRPr="009F03A6">
        <w:tab/>
      </w:r>
      <w:r w:rsidR="005E3A81" w:rsidRPr="009F03A6">
        <w:rPr>
          <w:rFonts w:eastAsiaTheme="minorHAnsi"/>
          <w:szCs w:val="24"/>
        </w:rPr>
        <w:t>The</w:t>
      </w:r>
      <w:r w:rsidR="00533483" w:rsidRPr="009F03A6">
        <w:rPr>
          <w:rFonts w:eastAsiaTheme="minorHAnsi"/>
          <w:szCs w:val="24"/>
        </w:rPr>
        <w:t>se</w:t>
      </w:r>
      <w:r w:rsidR="005E3A81" w:rsidRPr="009F03A6">
        <w:rPr>
          <w:rFonts w:eastAsiaTheme="minorHAnsi"/>
          <w:szCs w:val="24"/>
        </w:rPr>
        <w:t xml:space="preserve"> actions of the PUCO illustrate the value an</w:t>
      </w:r>
      <w:r w:rsidR="00951832" w:rsidRPr="009F03A6">
        <w:rPr>
          <w:rFonts w:eastAsiaTheme="minorHAnsi"/>
          <w:szCs w:val="24"/>
        </w:rPr>
        <w:t>d importance of customer input</w:t>
      </w:r>
      <w:r w:rsidRPr="009F03A6">
        <w:rPr>
          <w:rFonts w:eastAsiaTheme="minorHAnsi"/>
          <w:szCs w:val="24"/>
        </w:rPr>
        <w:t xml:space="preserve"> and the PUCO’s </w:t>
      </w:r>
      <w:r w:rsidRPr="009F03A6">
        <w:t>commitment to providing customers with a local opportunity to</w:t>
      </w:r>
      <w:r w:rsidR="009F03A6" w:rsidRPr="006340B1">
        <w:t xml:space="preserve"> testify about the rates they pay and the quality of their utility service</w:t>
      </w:r>
      <w:r w:rsidR="00951832" w:rsidRPr="009F03A6">
        <w:rPr>
          <w:rFonts w:eastAsiaTheme="minorHAnsi"/>
          <w:szCs w:val="24"/>
        </w:rPr>
        <w:t>.</w:t>
      </w:r>
      <w:r w:rsidR="004A0C1F" w:rsidRPr="009F03A6">
        <w:rPr>
          <w:rFonts w:eastAsiaTheme="minorHAnsi"/>
          <w:szCs w:val="24"/>
        </w:rPr>
        <w:t xml:space="preserve">  </w:t>
      </w:r>
      <w:r w:rsidRPr="009F03A6">
        <w:t xml:space="preserve">In particular, the AEP self-complaint case indicates the importance of customer input where </w:t>
      </w:r>
      <w:r w:rsidR="006222FA" w:rsidRPr="009F03A6">
        <w:t xml:space="preserve">service </w:t>
      </w:r>
      <w:r w:rsidRPr="009F03A6">
        <w:t>reliability is at issue.  Given the nature of this storms case, where</w:t>
      </w:r>
      <w:r w:rsidR="006222FA" w:rsidRPr="009F03A6">
        <w:t xml:space="preserve"> service </w:t>
      </w:r>
      <w:r w:rsidRPr="009F03A6">
        <w:t xml:space="preserve">reliability is germane to the PUCO’s task of determining the reasonableness of DP&amp;L’s request </w:t>
      </w:r>
      <w:r w:rsidR="00264B4F">
        <w:t>to collect storms costs from customers</w:t>
      </w:r>
      <w:r w:rsidRPr="009F03A6">
        <w:t xml:space="preserve">, </w:t>
      </w:r>
      <w:r w:rsidR="00264B4F">
        <w:t xml:space="preserve">it </w:t>
      </w:r>
      <w:r w:rsidRPr="009F03A6">
        <w:t>is important to allow the Utility’s customers a local opportunity to provide testimony on their outage experiences.</w:t>
      </w:r>
      <w:r>
        <w:t xml:space="preserve">  </w:t>
      </w:r>
      <w:r w:rsidR="00804491" w:rsidRPr="00804491">
        <w:t>DP&amp;L’s</w:t>
      </w:r>
      <w:r w:rsidR="00063742" w:rsidRPr="00804491">
        <w:t xml:space="preserve"> customers </w:t>
      </w:r>
      <w:r w:rsidR="0007269D">
        <w:t>should</w:t>
      </w:r>
      <w:r>
        <w:t xml:space="preserve"> also</w:t>
      </w:r>
      <w:r w:rsidR="0007269D">
        <w:t xml:space="preserve"> be given an opportunity to share</w:t>
      </w:r>
      <w:r w:rsidR="00063742" w:rsidRPr="00804491">
        <w:t xml:space="preserve"> </w:t>
      </w:r>
      <w:r>
        <w:t xml:space="preserve">their </w:t>
      </w:r>
      <w:r w:rsidR="00063742" w:rsidRPr="00804491">
        <w:t>insight</w:t>
      </w:r>
      <w:r w:rsidR="0007269D">
        <w:t>s</w:t>
      </w:r>
      <w:r w:rsidR="00063742" w:rsidRPr="00804491">
        <w:t xml:space="preserve"> regarding the </w:t>
      </w:r>
      <w:r w:rsidR="0007269D">
        <w:t xml:space="preserve">proposed charges and </w:t>
      </w:r>
      <w:r w:rsidR="00063742" w:rsidRPr="00804491">
        <w:t>effect</w:t>
      </w:r>
      <w:r w:rsidR="007D0BA8">
        <w:t>iveness</w:t>
      </w:r>
      <w:r w:rsidR="00063742" w:rsidRPr="00804491">
        <w:t xml:space="preserve"> of</w:t>
      </w:r>
      <w:r w:rsidR="007D0BA8">
        <w:t xml:space="preserve"> the</w:t>
      </w:r>
      <w:r w:rsidR="00CE13B5">
        <w:t xml:space="preserve"> Utility’s</w:t>
      </w:r>
      <w:r w:rsidR="00063742" w:rsidRPr="00804491">
        <w:t xml:space="preserve"> service restoration efforts.  </w:t>
      </w:r>
    </w:p>
    <w:p w:rsidR="00467BA4" w:rsidRDefault="00804491" w:rsidP="00BB56E1">
      <w:pPr>
        <w:spacing w:line="480" w:lineRule="auto"/>
        <w:ind w:firstLine="720"/>
        <w:rPr>
          <w:szCs w:val="24"/>
        </w:rPr>
      </w:pPr>
      <w:r w:rsidRPr="00804491">
        <w:t>OCC asked for similar local public hearings in the Ohio</w:t>
      </w:r>
      <w:r w:rsidR="00A12C6F">
        <w:t xml:space="preserve"> Power</w:t>
      </w:r>
      <w:r w:rsidRPr="00804491">
        <w:t xml:space="preserve"> storms case, Case No. 12-3255-EL-RDR.  </w:t>
      </w:r>
      <w:r w:rsidR="00951832">
        <w:t>In</w:t>
      </w:r>
      <w:r w:rsidRPr="00804491">
        <w:t xml:space="preserve"> </w:t>
      </w:r>
      <w:r w:rsidR="00951832">
        <w:t>denying OCC’s Motion</w:t>
      </w:r>
      <w:r w:rsidRPr="00804491">
        <w:t>, the PUCO</w:t>
      </w:r>
      <w:r w:rsidR="005A24FF" w:rsidRPr="00804491">
        <w:t xml:space="preserve"> </w:t>
      </w:r>
      <w:r w:rsidRPr="00804491">
        <w:t xml:space="preserve">distinguished the </w:t>
      </w:r>
      <w:r w:rsidRPr="00804491">
        <w:rPr>
          <w:i/>
        </w:rPr>
        <w:t>Ohio Bell</w:t>
      </w:r>
      <w:r w:rsidRPr="00804491">
        <w:t xml:space="preserve"> case</w:t>
      </w:r>
      <w:r w:rsidR="00951832">
        <w:t xml:space="preserve"> (to which OCC cited)</w:t>
      </w:r>
      <w:r w:rsidRPr="00804491">
        <w:t xml:space="preserve"> from the </w:t>
      </w:r>
      <w:r w:rsidR="00A12C6F">
        <w:t>Ohio Power</w:t>
      </w:r>
      <w:r w:rsidRPr="00804491">
        <w:t xml:space="preserve"> storms case by pointing out that </w:t>
      </w:r>
      <w:r w:rsidR="00951832">
        <w:t>the former “pertained</w:t>
      </w:r>
      <w:r>
        <w:rPr>
          <w:szCs w:val="24"/>
        </w:rPr>
        <w:t xml:space="preserve"> t</w:t>
      </w:r>
      <w:r w:rsidR="00951832">
        <w:rPr>
          <w:szCs w:val="24"/>
        </w:rPr>
        <w:t>o</w:t>
      </w:r>
      <w:r w:rsidRPr="00804491">
        <w:rPr>
          <w:szCs w:val="24"/>
        </w:rPr>
        <w:t xml:space="preserve"> the establishment of a new service by a utility</w:t>
      </w:r>
      <w:r w:rsidR="00661E83">
        <w:rPr>
          <w:szCs w:val="24"/>
        </w:rPr>
        <w:t>.</w:t>
      </w:r>
      <w:r w:rsidRPr="00804491">
        <w:rPr>
          <w:szCs w:val="24"/>
        </w:rPr>
        <w:t>”</w:t>
      </w:r>
      <w:r w:rsidR="00661E83">
        <w:rPr>
          <w:rStyle w:val="FootnoteReference"/>
          <w:szCs w:val="24"/>
        </w:rPr>
        <w:footnoteReference w:id="18"/>
      </w:r>
      <w:r w:rsidR="00925868">
        <w:rPr>
          <w:szCs w:val="24"/>
        </w:rPr>
        <w:t xml:space="preserve"> </w:t>
      </w:r>
      <w:r w:rsidR="00661E83">
        <w:rPr>
          <w:szCs w:val="24"/>
        </w:rPr>
        <w:t xml:space="preserve"> </w:t>
      </w:r>
      <w:r w:rsidR="0007269D">
        <w:rPr>
          <w:szCs w:val="24"/>
        </w:rPr>
        <w:t>T</w:t>
      </w:r>
      <w:r w:rsidR="006C189D">
        <w:rPr>
          <w:szCs w:val="24"/>
        </w:rPr>
        <w:t>he</w:t>
      </w:r>
      <w:r w:rsidR="00661E83">
        <w:rPr>
          <w:szCs w:val="24"/>
        </w:rPr>
        <w:t xml:space="preserve"> </w:t>
      </w:r>
      <w:r w:rsidR="00661E83">
        <w:rPr>
          <w:i/>
          <w:szCs w:val="24"/>
        </w:rPr>
        <w:t>Ohio Bell</w:t>
      </w:r>
      <w:r w:rsidR="006C189D">
        <w:rPr>
          <w:szCs w:val="24"/>
        </w:rPr>
        <w:t xml:space="preserve"> case</w:t>
      </w:r>
      <w:r w:rsidR="0007269D">
        <w:rPr>
          <w:szCs w:val="24"/>
        </w:rPr>
        <w:t xml:space="preserve"> did</w:t>
      </w:r>
      <w:r w:rsidR="006C189D">
        <w:rPr>
          <w:szCs w:val="24"/>
        </w:rPr>
        <w:t xml:space="preserve"> involve the institution of new service</w:t>
      </w:r>
      <w:r w:rsidR="0007269D">
        <w:rPr>
          <w:szCs w:val="24"/>
        </w:rPr>
        <w:t xml:space="preserve"> (Caller ID)</w:t>
      </w:r>
      <w:r w:rsidR="006C189D">
        <w:rPr>
          <w:szCs w:val="24"/>
        </w:rPr>
        <w:t xml:space="preserve">, but the principle that it could have a substantial effect on the </w:t>
      </w:r>
      <w:r w:rsidR="001F6E6D">
        <w:rPr>
          <w:szCs w:val="24"/>
        </w:rPr>
        <w:t>u</w:t>
      </w:r>
      <w:r w:rsidR="00DB4756">
        <w:rPr>
          <w:szCs w:val="24"/>
        </w:rPr>
        <w:t>tility’s customers</w:t>
      </w:r>
      <w:r w:rsidR="006C189D">
        <w:rPr>
          <w:szCs w:val="24"/>
        </w:rPr>
        <w:t xml:space="preserve"> is </w:t>
      </w:r>
      <w:r w:rsidR="00A12C6F">
        <w:rPr>
          <w:szCs w:val="24"/>
        </w:rPr>
        <w:t>applicable</w:t>
      </w:r>
      <w:r w:rsidR="006C189D">
        <w:rPr>
          <w:szCs w:val="24"/>
        </w:rPr>
        <w:t xml:space="preserve"> in this</w:t>
      </w:r>
      <w:r w:rsidR="00A12C6F">
        <w:rPr>
          <w:szCs w:val="24"/>
        </w:rPr>
        <w:t xml:space="preserve"> case.</w:t>
      </w:r>
    </w:p>
    <w:p w:rsidR="00661E83" w:rsidRPr="00661E83" w:rsidRDefault="00467BA4" w:rsidP="00BB56E1">
      <w:pPr>
        <w:spacing w:line="480" w:lineRule="auto"/>
        <w:ind w:firstLine="720"/>
        <w:rPr>
          <w:szCs w:val="24"/>
        </w:rPr>
      </w:pPr>
      <w:r>
        <w:rPr>
          <w:szCs w:val="24"/>
        </w:rPr>
        <w:t xml:space="preserve">In this case, </w:t>
      </w:r>
      <w:r w:rsidR="00A12C6F">
        <w:rPr>
          <w:szCs w:val="24"/>
        </w:rPr>
        <w:t xml:space="preserve">DP&amp;L is seeking </w:t>
      </w:r>
      <w:r w:rsidR="001F6E6D">
        <w:rPr>
          <w:szCs w:val="24"/>
        </w:rPr>
        <w:t xml:space="preserve">to have customers pay </w:t>
      </w:r>
      <w:r w:rsidR="00A12C6F">
        <w:rPr>
          <w:szCs w:val="24"/>
        </w:rPr>
        <w:t>over $64</w:t>
      </w:r>
      <w:r w:rsidR="006C189D">
        <w:rPr>
          <w:szCs w:val="24"/>
        </w:rPr>
        <w:t xml:space="preserve"> million in storm restoration costs </w:t>
      </w:r>
      <w:r w:rsidR="00ED53D3">
        <w:rPr>
          <w:szCs w:val="24"/>
        </w:rPr>
        <w:t xml:space="preserve">after storms </w:t>
      </w:r>
      <w:r w:rsidR="006C189D">
        <w:rPr>
          <w:szCs w:val="24"/>
        </w:rPr>
        <w:t xml:space="preserve">left customers without power for days, </w:t>
      </w:r>
      <w:r w:rsidR="00A12C6F">
        <w:rPr>
          <w:szCs w:val="24"/>
        </w:rPr>
        <w:t>and in some cases</w:t>
      </w:r>
      <w:r w:rsidR="006C189D">
        <w:rPr>
          <w:szCs w:val="24"/>
        </w:rPr>
        <w:t xml:space="preserve"> weeks.  </w:t>
      </w:r>
      <w:r w:rsidR="00EC36C3">
        <w:rPr>
          <w:szCs w:val="24"/>
        </w:rPr>
        <w:t>Those customers should be given the opportunity to testify</w:t>
      </w:r>
      <w:r w:rsidR="0007269D">
        <w:rPr>
          <w:szCs w:val="24"/>
        </w:rPr>
        <w:t xml:space="preserve"> without having to travel to Columbus</w:t>
      </w:r>
      <w:r w:rsidR="00F85FD7">
        <w:rPr>
          <w:szCs w:val="24"/>
        </w:rPr>
        <w:t xml:space="preserve">.  And the PUCO should allow them the opportunity for their </w:t>
      </w:r>
      <w:r w:rsidR="0007269D">
        <w:rPr>
          <w:szCs w:val="24"/>
        </w:rPr>
        <w:t xml:space="preserve">voices </w:t>
      </w:r>
      <w:r w:rsidR="00F85FD7">
        <w:rPr>
          <w:szCs w:val="24"/>
        </w:rPr>
        <w:t>to be heard.</w:t>
      </w:r>
      <w:r w:rsidR="0007269D">
        <w:rPr>
          <w:szCs w:val="24"/>
        </w:rPr>
        <w:t xml:space="preserve"> </w:t>
      </w:r>
      <w:r w:rsidR="00EC36C3">
        <w:rPr>
          <w:szCs w:val="24"/>
        </w:rPr>
        <w:t xml:space="preserve"> </w:t>
      </w:r>
    </w:p>
    <w:p w:rsidR="00661E83" w:rsidRPr="00661E83" w:rsidRDefault="00AF53DB" w:rsidP="0086438D">
      <w:pPr>
        <w:autoSpaceDE w:val="0"/>
        <w:autoSpaceDN w:val="0"/>
        <w:adjustRightInd w:val="0"/>
        <w:spacing w:line="480" w:lineRule="auto"/>
        <w:ind w:firstLine="720"/>
        <w:rPr>
          <w:szCs w:val="24"/>
        </w:rPr>
      </w:pPr>
      <w:r>
        <w:rPr>
          <w:szCs w:val="24"/>
        </w:rPr>
        <w:t>In</w:t>
      </w:r>
      <w:r w:rsidR="00DB4BD7">
        <w:rPr>
          <w:szCs w:val="24"/>
        </w:rPr>
        <w:t xml:space="preserve"> denying OCC’s request for local public hearings</w:t>
      </w:r>
      <w:r>
        <w:rPr>
          <w:szCs w:val="24"/>
        </w:rPr>
        <w:t xml:space="preserve"> in the Ohio Power </w:t>
      </w:r>
      <w:r w:rsidR="001F6E6D">
        <w:rPr>
          <w:szCs w:val="24"/>
        </w:rPr>
        <w:t>s</w:t>
      </w:r>
      <w:r>
        <w:rPr>
          <w:szCs w:val="24"/>
        </w:rPr>
        <w:t>torms case</w:t>
      </w:r>
      <w:r w:rsidR="00DB4BD7">
        <w:rPr>
          <w:szCs w:val="24"/>
        </w:rPr>
        <w:t xml:space="preserve">, </w:t>
      </w:r>
      <w:r w:rsidR="00CF409B">
        <w:rPr>
          <w:szCs w:val="24"/>
        </w:rPr>
        <w:t>t</w:t>
      </w:r>
      <w:r w:rsidR="00661E83">
        <w:rPr>
          <w:szCs w:val="24"/>
        </w:rPr>
        <w:t xml:space="preserve">he PUCO </w:t>
      </w:r>
      <w:r w:rsidR="00CF409B">
        <w:rPr>
          <w:szCs w:val="24"/>
        </w:rPr>
        <w:t>noted</w:t>
      </w:r>
      <w:r w:rsidR="00661E83">
        <w:rPr>
          <w:szCs w:val="24"/>
        </w:rPr>
        <w:t xml:space="preserve"> that</w:t>
      </w:r>
      <w:r w:rsidR="00925868">
        <w:rPr>
          <w:szCs w:val="24"/>
        </w:rPr>
        <w:t xml:space="preserve"> “nothing precludes members of the public from filing comments in this docket expressing their view and concerns on this matter.”</w:t>
      </w:r>
      <w:r w:rsidR="00804491">
        <w:rPr>
          <w:rStyle w:val="FootnoteReference"/>
          <w:szCs w:val="24"/>
        </w:rPr>
        <w:footnoteReference w:id="19"/>
      </w:r>
      <w:r w:rsidR="00804491">
        <w:rPr>
          <w:szCs w:val="24"/>
        </w:rPr>
        <w:t xml:space="preserve">  </w:t>
      </w:r>
      <w:r w:rsidR="00113503">
        <w:rPr>
          <w:szCs w:val="24"/>
        </w:rPr>
        <w:t>And t</w:t>
      </w:r>
      <w:r w:rsidR="00113503" w:rsidRPr="00804491">
        <w:rPr>
          <w:szCs w:val="24"/>
        </w:rPr>
        <w:t xml:space="preserve">he </w:t>
      </w:r>
      <w:r w:rsidR="00113503">
        <w:rPr>
          <w:szCs w:val="24"/>
        </w:rPr>
        <w:t>PUCO also explained that</w:t>
      </w:r>
      <w:r w:rsidR="00DB4BD7">
        <w:rPr>
          <w:szCs w:val="24"/>
        </w:rPr>
        <w:t xml:space="preserve"> local public hearings were not needed in the Ohio Power storms case because</w:t>
      </w:r>
      <w:r w:rsidR="00113503">
        <w:rPr>
          <w:szCs w:val="24"/>
        </w:rPr>
        <w:t xml:space="preserve"> </w:t>
      </w:r>
      <w:r w:rsidR="00113503" w:rsidRPr="00804491">
        <w:rPr>
          <w:szCs w:val="24"/>
        </w:rPr>
        <w:t>“the interests of residential ratepayers are capably represented through OCC’s intervention in this matter.”</w:t>
      </w:r>
      <w:r w:rsidR="00113503" w:rsidRPr="00804491">
        <w:rPr>
          <w:rStyle w:val="FootnoteReference"/>
          <w:szCs w:val="24"/>
        </w:rPr>
        <w:footnoteReference w:id="20"/>
      </w:r>
      <w:r w:rsidR="00113503">
        <w:rPr>
          <w:szCs w:val="24"/>
        </w:rPr>
        <w:t xml:space="preserve">  OCC is certainly appreciative of the PUCO’s </w:t>
      </w:r>
      <w:r w:rsidR="0097429B">
        <w:rPr>
          <w:szCs w:val="24"/>
        </w:rPr>
        <w:t>words</w:t>
      </w:r>
      <w:r w:rsidR="004A0C1F">
        <w:rPr>
          <w:szCs w:val="24"/>
        </w:rPr>
        <w:t xml:space="preserve"> regarding OCC’s </w:t>
      </w:r>
      <w:r w:rsidR="0097429B">
        <w:rPr>
          <w:szCs w:val="24"/>
        </w:rPr>
        <w:t xml:space="preserve">capable consumer </w:t>
      </w:r>
      <w:r w:rsidR="004A0C1F">
        <w:rPr>
          <w:szCs w:val="24"/>
        </w:rPr>
        <w:t>representation</w:t>
      </w:r>
      <w:r w:rsidR="0086438D">
        <w:rPr>
          <w:szCs w:val="24"/>
        </w:rPr>
        <w:t xml:space="preserve">.  </w:t>
      </w:r>
      <w:r w:rsidR="00113503">
        <w:rPr>
          <w:szCs w:val="24"/>
        </w:rPr>
        <w:t xml:space="preserve">However, </w:t>
      </w:r>
      <w:r w:rsidR="00EC36C3">
        <w:rPr>
          <w:szCs w:val="24"/>
        </w:rPr>
        <w:t xml:space="preserve"> the</w:t>
      </w:r>
      <w:r w:rsidR="0086438D">
        <w:rPr>
          <w:szCs w:val="24"/>
        </w:rPr>
        <w:t xml:space="preserve"> opportunity for consumers to testify is additional to</w:t>
      </w:r>
      <w:r w:rsidR="00EC36C3">
        <w:rPr>
          <w:szCs w:val="24"/>
        </w:rPr>
        <w:t xml:space="preserve"> </w:t>
      </w:r>
      <w:r w:rsidR="00113503">
        <w:rPr>
          <w:szCs w:val="24"/>
        </w:rPr>
        <w:t>opportunit</w:t>
      </w:r>
      <w:r w:rsidR="0086438D">
        <w:rPr>
          <w:szCs w:val="24"/>
        </w:rPr>
        <w:t>ies for consumers</w:t>
      </w:r>
      <w:r w:rsidR="00113503">
        <w:rPr>
          <w:szCs w:val="24"/>
        </w:rPr>
        <w:t xml:space="preserve"> to </w:t>
      </w:r>
      <w:r w:rsidR="00EC36C3">
        <w:rPr>
          <w:szCs w:val="24"/>
        </w:rPr>
        <w:t>fil</w:t>
      </w:r>
      <w:r w:rsidR="00113503">
        <w:rPr>
          <w:szCs w:val="24"/>
        </w:rPr>
        <w:t>e comments and</w:t>
      </w:r>
      <w:r w:rsidR="0086438D">
        <w:rPr>
          <w:szCs w:val="24"/>
        </w:rPr>
        <w:t xml:space="preserve"> to</w:t>
      </w:r>
      <w:r w:rsidR="00113503">
        <w:rPr>
          <w:szCs w:val="24"/>
        </w:rPr>
        <w:t xml:space="preserve"> be represented in a legal proceeding</w:t>
      </w:r>
      <w:r w:rsidR="0086438D">
        <w:rPr>
          <w:szCs w:val="24"/>
        </w:rPr>
        <w:t xml:space="preserve">, as can be seen in the cases over the years where the PUCO has arranged for local hearings.  </w:t>
      </w:r>
    </w:p>
    <w:p w:rsidR="007A6AE8" w:rsidRDefault="00C97D36" w:rsidP="007A6AE8">
      <w:pPr>
        <w:autoSpaceDE w:val="0"/>
        <w:autoSpaceDN w:val="0"/>
        <w:adjustRightInd w:val="0"/>
        <w:spacing w:line="480" w:lineRule="auto"/>
        <w:ind w:firstLine="720"/>
      </w:pPr>
      <w:r>
        <w:rPr>
          <w:szCs w:val="24"/>
        </w:rPr>
        <w:t>There should be a</w:t>
      </w:r>
      <w:r w:rsidR="00933C5B">
        <w:rPr>
          <w:szCs w:val="24"/>
        </w:rPr>
        <w:t xml:space="preserve">dequate notice </w:t>
      </w:r>
      <w:r>
        <w:rPr>
          <w:szCs w:val="24"/>
        </w:rPr>
        <w:t xml:space="preserve">of </w:t>
      </w:r>
      <w:r w:rsidR="00933C5B">
        <w:rPr>
          <w:szCs w:val="24"/>
        </w:rPr>
        <w:t>the local public hearing</w:t>
      </w:r>
      <w:r w:rsidR="00264B4F">
        <w:rPr>
          <w:szCs w:val="24"/>
        </w:rPr>
        <w:t>s</w:t>
      </w:r>
      <w:r w:rsidR="004B2231">
        <w:rPr>
          <w:szCs w:val="24"/>
        </w:rPr>
        <w:t>.</w:t>
      </w:r>
      <w:r>
        <w:rPr>
          <w:szCs w:val="24"/>
        </w:rPr>
        <w:t xml:space="preserve">  The notice should be </w:t>
      </w:r>
      <w:r w:rsidR="006E4304">
        <w:rPr>
          <w:szCs w:val="24"/>
        </w:rPr>
        <w:t xml:space="preserve">written </w:t>
      </w:r>
      <w:r w:rsidR="00774114">
        <w:rPr>
          <w:szCs w:val="24"/>
        </w:rPr>
        <w:t xml:space="preserve">in terms understandable to the public.  The parties’ positions on charges to customers should be disclosed (DP&amp;L proposing $64.6 million; the PUCO Staff proposing $1.01 million; and OCC proposing </w:t>
      </w:r>
      <w:r w:rsidR="003B470E">
        <w:rPr>
          <w:szCs w:val="24"/>
        </w:rPr>
        <w:t xml:space="preserve">less than </w:t>
      </w:r>
      <w:r w:rsidR="00774114">
        <w:rPr>
          <w:szCs w:val="24"/>
        </w:rPr>
        <w:t>$1 million).</w:t>
      </w:r>
      <w:r w:rsidR="009222AB">
        <w:rPr>
          <w:szCs w:val="24"/>
        </w:rPr>
        <w:t xml:space="preserve">  The notice should be published in a newspaper of general circulation in each county of the electric utility’s certified territory.</w:t>
      </w:r>
      <w:r w:rsidR="00C244A6">
        <w:rPr>
          <w:szCs w:val="24"/>
        </w:rPr>
        <w:t xml:space="preserve"> And the notice should explain how customers may submit comments by regular mail and by electronic filing on the PUCO’s website.</w:t>
      </w:r>
      <w:r w:rsidR="007A6AE8" w:rsidRPr="007A6AE8">
        <w:t xml:space="preserve"> </w:t>
      </w:r>
    </w:p>
    <w:p w:rsidR="00933C5B" w:rsidRPr="00804491" w:rsidRDefault="007A6AE8" w:rsidP="007A6AE8">
      <w:pPr>
        <w:autoSpaceDE w:val="0"/>
        <w:autoSpaceDN w:val="0"/>
        <w:adjustRightInd w:val="0"/>
        <w:spacing w:line="480" w:lineRule="auto"/>
        <w:ind w:firstLine="720"/>
        <w:rPr>
          <w:szCs w:val="24"/>
        </w:rPr>
      </w:pPr>
      <w:r>
        <w:t xml:space="preserve">OCC further requests that the PUCO rule on an expedited basis.  </w:t>
      </w:r>
      <w:r>
        <w:rPr>
          <w:szCs w:val="24"/>
        </w:rPr>
        <w:t>Ohio Adm. Code 4901-1-12(C) allows for the PUCO to rule on an expedited basis.</w:t>
      </w:r>
      <w:r>
        <w:rPr>
          <w:rStyle w:val="FootnoteReference"/>
          <w:szCs w:val="24"/>
        </w:rPr>
        <w:footnoteReference w:id="21"/>
      </w:r>
      <w:r>
        <w:rPr>
          <w:szCs w:val="24"/>
        </w:rPr>
        <w:t xml:space="preserve">  The hearing in Columbus is scheduled to commence on March 10, 2014.  </w:t>
      </w:r>
    </w:p>
    <w:p w:rsidR="005A24FF" w:rsidRDefault="005A24FF" w:rsidP="00804491">
      <w:pPr>
        <w:autoSpaceDE w:val="0"/>
        <w:autoSpaceDN w:val="0"/>
        <w:adjustRightInd w:val="0"/>
        <w:spacing w:line="480" w:lineRule="auto"/>
        <w:ind w:firstLine="720"/>
      </w:pPr>
      <w:r w:rsidRPr="00804491">
        <w:t xml:space="preserve">For the reasons stated above, OCC respectfully requests that the PUCO </w:t>
      </w:r>
      <w:r w:rsidR="00113503">
        <w:t xml:space="preserve">schedule </w:t>
      </w:r>
      <w:r w:rsidR="001B454C">
        <w:t xml:space="preserve">at least two </w:t>
      </w:r>
      <w:r w:rsidR="00113503">
        <w:t>local pu</w:t>
      </w:r>
      <w:r w:rsidR="001B454C">
        <w:t>blic</w:t>
      </w:r>
      <w:r w:rsidR="00113503">
        <w:t xml:space="preserve"> hearings </w:t>
      </w:r>
      <w:r w:rsidR="009C14C7">
        <w:t xml:space="preserve">for testimony by </w:t>
      </w:r>
      <w:r w:rsidR="00DE1F4D">
        <w:t>the</w:t>
      </w:r>
      <w:r w:rsidR="001B454C">
        <w:t xml:space="preserve"> customers </w:t>
      </w:r>
      <w:r w:rsidR="009C14C7">
        <w:t xml:space="preserve">that DP&amp;L seeks to charge $64.6 million related to the storms that these customers endured.  </w:t>
      </w:r>
    </w:p>
    <w:p w:rsidR="0042179A" w:rsidRDefault="0042179A" w:rsidP="00932BF2">
      <w:pPr>
        <w:tabs>
          <w:tab w:val="left" w:pos="4230"/>
        </w:tabs>
        <w:autoSpaceDE w:val="0"/>
        <w:autoSpaceDN w:val="0"/>
        <w:adjustRightInd w:val="0"/>
        <w:ind w:left="4410"/>
        <w:rPr>
          <w:szCs w:val="24"/>
        </w:rPr>
      </w:pPr>
      <w:r>
        <w:rPr>
          <w:szCs w:val="24"/>
        </w:rPr>
        <w:br w:type="page"/>
        <w:t>Respectfully submitted,</w:t>
      </w:r>
    </w:p>
    <w:p w:rsidR="0042179A" w:rsidRDefault="0042179A" w:rsidP="00932BF2">
      <w:pPr>
        <w:tabs>
          <w:tab w:val="left" w:pos="4230"/>
        </w:tabs>
        <w:autoSpaceDE w:val="0"/>
        <w:autoSpaceDN w:val="0"/>
        <w:adjustRightInd w:val="0"/>
        <w:ind w:left="4410"/>
        <w:rPr>
          <w:szCs w:val="24"/>
        </w:rPr>
      </w:pPr>
    </w:p>
    <w:p w:rsidR="00932BF2" w:rsidRDefault="00932BF2" w:rsidP="00932BF2">
      <w:pPr>
        <w:tabs>
          <w:tab w:val="left" w:pos="4230"/>
        </w:tabs>
        <w:autoSpaceDE w:val="0"/>
        <w:autoSpaceDN w:val="0"/>
        <w:adjustRightInd w:val="0"/>
        <w:ind w:left="4410"/>
        <w:rPr>
          <w:szCs w:val="24"/>
        </w:rPr>
      </w:pPr>
      <w:r>
        <w:rPr>
          <w:szCs w:val="24"/>
        </w:rPr>
        <w:t>BRUCE J. WESTON</w:t>
      </w:r>
    </w:p>
    <w:p w:rsidR="00932BF2" w:rsidRDefault="00932BF2" w:rsidP="00932BF2">
      <w:pPr>
        <w:tabs>
          <w:tab w:val="left" w:pos="4230"/>
        </w:tabs>
        <w:autoSpaceDE w:val="0"/>
        <w:autoSpaceDN w:val="0"/>
        <w:adjustRightInd w:val="0"/>
        <w:ind w:left="4410"/>
        <w:rPr>
          <w:szCs w:val="24"/>
        </w:rPr>
      </w:pPr>
      <w:r>
        <w:rPr>
          <w:szCs w:val="24"/>
        </w:rPr>
        <w:t>OHIO CONSUMERS’ COUNSEL</w:t>
      </w:r>
    </w:p>
    <w:p w:rsidR="00932BF2" w:rsidRDefault="00932BF2" w:rsidP="00932BF2">
      <w:pPr>
        <w:tabs>
          <w:tab w:val="left" w:pos="4230"/>
        </w:tabs>
        <w:autoSpaceDE w:val="0"/>
        <w:autoSpaceDN w:val="0"/>
        <w:adjustRightInd w:val="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32BF2" w:rsidTr="008533CC">
        <w:tc>
          <w:tcPr>
            <w:tcW w:w="4428" w:type="dxa"/>
            <w:tcBorders>
              <w:top w:val="nil"/>
              <w:left w:val="nil"/>
              <w:bottom w:val="nil"/>
              <w:right w:val="nil"/>
            </w:tcBorders>
          </w:tcPr>
          <w:p w:rsidR="00932BF2" w:rsidRDefault="00932BF2" w:rsidP="008533CC">
            <w:pPr>
              <w:tabs>
                <w:tab w:val="left" w:pos="4230"/>
              </w:tabs>
              <w:autoSpaceDE w:val="0"/>
              <w:autoSpaceDN w:val="0"/>
              <w:adjustRightInd w:val="0"/>
              <w:rPr>
                <w:szCs w:val="24"/>
              </w:rPr>
            </w:pPr>
          </w:p>
        </w:tc>
        <w:tc>
          <w:tcPr>
            <w:tcW w:w="4428" w:type="dxa"/>
            <w:tcBorders>
              <w:top w:val="nil"/>
              <w:left w:val="nil"/>
              <w:bottom w:val="nil"/>
              <w:right w:val="nil"/>
            </w:tcBorders>
          </w:tcPr>
          <w:p w:rsidR="00932BF2" w:rsidRPr="00932BF2" w:rsidRDefault="00932BF2" w:rsidP="008533CC">
            <w:pPr>
              <w:tabs>
                <w:tab w:val="left" w:pos="4230"/>
              </w:tabs>
              <w:autoSpaceDE w:val="0"/>
              <w:autoSpaceDN w:val="0"/>
              <w:adjustRightInd w:val="0"/>
              <w:rPr>
                <w:szCs w:val="24"/>
              </w:rPr>
            </w:pPr>
            <w:r>
              <w:rPr>
                <w:i/>
                <w:szCs w:val="24"/>
                <w:u w:val="single"/>
              </w:rPr>
              <w:t>/s/ Melissa R. Yost</w:t>
            </w:r>
            <w:r w:rsidR="0042179A">
              <w:rPr>
                <w:i/>
                <w:szCs w:val="24"/>
                <w:u w:val="single"/>
              </w:rPr>
              <w:tab/>
            </w:r>
          </w:p>
          <w:p w:rsidR="00932BF2" w:rsidRDefault="00932BF2" w:rsidP="008533CC">
            <w:pPr>
              <w:tabs>
                <w:tab w:val="left" w:pos="4230"/>
              </w:tabs>
              <w:autoSpaceDE w:val="0"/>
              <w:autoSpaceDN w:val="0"/>
              <w:adjustRightInd w:val="0"/>
              <w:rPr>
                <w:szCs w:val="24"/>
              </w:rPr>
            </w:pPr>
            <w:r>
              <w:rPr>
                <w:szCs w:val="24"/>
              </w:rPr>
              <w:t>Melissa R. Yost, Counsel of Record</w:t>
            </w:r>
          </w:p>
          <w:p w:rsidR="00932BF2" w:rsidRDefault="00932BF2" w:rsidP="008533CC">
            <w:pPr>
              <w:tabs>
                <w:tab w:val="left" w:pos="4230"/>
              </w:tabs>
              <w:autoSpaceDE w:val="0"/>
              <w:autoSpaceDN w:val="0"/>
              <w:adjustRightInd w:val="0"/>
              <w:rPr>
                <w:szCs w:val="24"/>
              </w:rPr>
            </w:pPr>
            <w:r>
              <w:rPr>
                <w:szCs w:val="24"/>
              </w:rPr>
              <w:t>Deputy Consumers’ Counsel</w:t>
            </w:r>
          </w:p>
          <w:p w:rsidR="00932BF2" w:rsidRDefault="00932BF2" w:rsidP="008533CC">
            <w:pPr>
              <w:tabs>
                <w:tab w:val="left" w:pos="4230"/>
              </w:tabs>
              <w:autoSpaceDE w:val="0"/>
              <w:autoSpaceDN w:val="0"/>
              <w:adjustRightInd w:val="0"/>
              <w:rPr>
                <w:szCs w:val="24"/>
              </w:rPr>
            </w:pPr>
            <w:r>
              <w:rPr>
                <w:szCs w:val="24"/>
              </w:rPr>
              <w:t>Larry S. Sauer</w:t>
            </w:r>
          </w:p>
          <w:p w:rsidR="00932BF2" w:rsidRDefault="00932BF2" w:rsidP="008533CC">
            <w:pPr>
              <w:tabs>
                <w:tab w:val="left" w:pos="4230"/>
              </w:tabs>
              <w:autoSpaceDE w:val="0"/>
              <w:autoSpaceDN w:val="0"/>
              <w:adjustRightInd w:val="0"/>
              <w:rPr>
                <w:szCs w:val="24"/>
              </w:rPr>
            </w:pPr>
            <w:r>
              <w:rPr>
                <w:szCs w:val="24"/>
              </w:rPr>
              <w:t>Michael J. Schuler</w:t>
            </w:r>
          </w:p>
          <w:p w:rsidR="00932BF2" w:rsidRDefault="00932BF2" w:rsidP="008533CC">
            <w:pPr>
              <w:tabs>
                <w:tab w:val="left" w:pos="4230"/>
              </w:tabs>
              <w:autoSpaceDE w:val="0"/>
              <w:autoSpaceDN w:val="0"/>
              <w:adjustRightInd w:val="0"/>
              <w:rPr>
                <w:szCs w:val="24"/>
              </w:rPr>
            </w:pPr>
            <w:r>
              <w:rPr>
                <w:szCs w:val="24"/>
              </w:rPr>
              <w:t>Assistant Consumers’ Counsel</w:t>
            </w:r>
          </w:p>
          <w:p w:rsidR="00932BF2" w:rsidRDefault="00932BF2" w:rsidP="008533CC">
            <w:pPr>
              <w:tabs>
                <w:tab w:val="left" w:pos="4230"/>
              </w:tabs>
              <w:autoSpaceDE w:val="0"/>
              <w:autoSpaceDN w:val="0"/>
              <w:adjustRightInd w:val="0"/>
              <w:rPr>
                <w:szCs w:val="24"/>
              </w:rPr>
            </w:pPr>
          </w:p>
          <w:p w:rsidR="00932BF2" w:rsidRDefault="00932BF2" w:rsidP="008533CC">
            <w:pPr>
              <w:tabs>
                <w:tab w:val="left" w:pos="4230"/>
              </w:tabs>
              <w:autoSpaceDE w:val="0"/>
              <w:autoSpaceDN w:val="0"/>
              <w:adjustRightInd w:val="0"/>
              <w:rPr>
                <w:b/>
                <w:szCs w:val="24"/>
              </w:rPr>
            </w:pPr>
            <w:r>
              <w:rPr>
                <w:b/>
                <w:szCs w:val="24"/>
              </w:rPr>
              <w:t>Office of the Ohio Consumers’ Counsel</w:t>
            </w:r>
          </w:p>
          <w:p w:rsidR="00932BF2" w:rsidRDefault="00932BF2" w:rsidP="008533CC">
            <w:pPr>
              <w:tabs>
                <w:tab w:val="left" w:pos="4230"/>
              </w:tabs>
              <w:autoSpaceDE w:val="0"/>
              <w:autoSpaceDN w:val="0"/>
              <w:adjustRightInd w:val="0"/>
              <w:rPr>
                <w:szCs w:val="24"/>
              </w:rPr>
            </w:pPr>
            <w:r>
              <w:rPr>
                <w:szCs w:val="24"/>
              </w:rPr>
              <w:t>10 West Broad Street, Suite 1800</w:t>
            </w:r>
          </w:p>
          <w:p w:rsidR="00932BF2" w:rsidRDefault="00932BF2" w:rsidP="008533CC">
            <w:pPr>
              <w:tabs>
                <w:tab w:val="left" w:pos="4230"/>
              </w:tabs>
              <w:autoSpaceDE w:val="0"/>
              <w:autoSpaceDN w:val="0"/>
              <w:adjustRightInd w:val="0"/>
              <w:rPr>
                <w:szCs w:val="24"/>
              </w:rPr>
            </w:pPr>
            <w:r>
              <w:rPr>
                <w:szCs w:val="24"/>
              </w:rPr>
              <w:t>Columbus, Ohio 43215</w:t>
            </w:r>
          </w:p>
          <w:p w:rsidR="00932BF2" w:rsidRDefault="00932BF2" w:rsidP="008533CC">
            <w:pPr>
              <w:tabs>
                <w:tab w:val="left" w:pos="4230"/>
              </w:tabs>
              <w:autoSpaceDE w:val="0"/>
              <w:autoSpaceDN w:val="0"/>
              <w:adjustRightInd w:val="0"/>
              <w:rPr>
                <w:szCs w:val="24"/>
              </w:rPr>
            </w:pPr>
            <w:r>
              <w:rPr>
                <w:szCs w:val="24"/>
              </w:rPr>
              <w:t>(614) 466-1291 (Telephone-Yost)</w:t>
            </w:r>
          </w:p>
          <w:p w:rsidR="00932BF2" w:rsidRDefault="00932BF2" w:rsidP="008533CC">
            <w:pPr>
              <w:tabs>
                <w:tab w:val="left" w:pos="4230"/>
              </w:tabs>
              <w:autoSpaceDE w:val="0"/>
              <w:autoSpaceDN w:val="0"/>
              <w:adjustRightInd w:val="0"/>
              <w:rPr>
                <w:szCs w:val="24"/>
              </w:rPr>
            </w:pPr>
            <w:r>
              <w:rPr>
                <w:szCs w:val="24"/>
              </w:rPr>
              <w:t>(614) 466-1312 (Telephone-Sauer)</w:t>
            </w:r>
          </w:p>
          <w:p w:rsidR="00932BF2" w:rsidRDefault="00932BF2" w:rsidP="008533CC">
            <w:pPr>
              <w:tabs>
                <w:tab w:val="left" w:pos="4230"/>
              </w:tabs>
              <w:autoSpaceDE w:val="0"/>
              <w:autoSpaceDN w:val="0"/>
              <w:adjustRightInd w:val="0"/>
              <w:rPr>
                <w:szCs w:val="24"/>
              </w:rPr>
            </w:pPr>
            <w:r>
              <w:rPr>
                <w:szCs w:val="24"/>
              </w:rPr>
              <w:t>(614) 466-9547 (Telephone-Schuler)</w:t>
            </w:r>
          </w:p>
          <w:p w:rsidR="00932BF2" w:rsidRDefault="00932BF2" w:rsidP="008533CC">
            <w:pPr>
              <w:tabs>
                <w:tab w:val="left" w:pos="4230"/>
              </w:tabs>
              <w:autoSpaceDE w:val="0"/>
              <w:autoSpaceDN w:val="0"/>
              <w:adjustRightInd w:val="0"/>
              <w:rPr>
                <w:szCs w:val="24"/>
              </w:rPr>
            </w:pPr>
            <w:r>
              <w:rPr>
                <w:szCs w:val="24"/>
              </w:rPr>
              <w:t>melissa.yost@occ.ohio.gov</w:t>
            </w:r>
          </w:p>
          <w:p w:rsidR="00932BF2" w:rsidRDefault="00932BF2" w:rsidP="008533CC">
            <w:pPr>
              <w:tabs>
                <w:tab w:val="left" w:pos="4230"/>
              </w:tabs>
              <w:autoSpaceDE w:val="0"/>
              <w:autoSpaceDN w:val="0"/>
              <w:adjustRightInd w:val="0"/>
              <w:rPr>
                <w:szCs w:val="24"/>
              </w:rPr>
            </w:pPr>
            <w:r>
              <w:rPr>
                <w:szCs w:val="24"/>
              </w:rPr>
              <w:t>larry.sauer@occ.ohio.gov</w:t>
            </w:r>
          </w:p>
          <w:p w:rsidR="00932BF2" w:rsidRDefault="00932BF2" w:rsidP="008533CC">
            <w:pPr>
              <w:tabs>
                <w:tab w:val="left" w:pos="4230"/>
              </w:tabs>
              <w:autoSpaceDE w:val="0"/>
              <w:autoSpaceDN w:val="0"/>
              <w:adjustRightInd w:val="0"/>
              <w:rPr>
                <w:szCs w:val="24"/>
              </w:rPr>
            </w:pPr>
            <w:r>
              <w:rPr>
                <w:szCs w:val="24"/>
              </w:rPr>
              <w:t>michael.schuler@occ.ohio.gov</w:t>
            </w:r>
          </w:p>
        </w:tc>
      </w:tr>
    </w:tbl>
    <w:p w:rsidR="00932BF2" w:rsidRDefault="00932BF2" w:rsidP="00562248">
      <w:pPr>
        <w:jc w:val="center"/>
        <w:rPr>
          <w:b/>
          <w:bCs/>
          <w:u w:val="single"/>
        </w:rPr>
      </w:pPr>
    </w:p>
    <w:p w:rsidR="009D6B05" w:rsidRPr="00D623D0" w:rsidRDefault="0042179A" w:rsidP="00562248">
      <w:pPr>
        <w:jc w:val="center"/>
        <w:rPr>
          <w:szCs w:val="24"/>
        </w:rPr>
      </w:pPr>
      <w:r>
        <w:rPr>
          <w:b/>
          <w:bCs/>
          <w:u w:val="single"/>
        </w:rPr>
        <w:br w:type="page"/>
      </w:r>
      <w:r w:rsidR="009D6B05">
        <w:rPr>
          <w:b/>
          <w:bCs/>
          <w:u w:val="single"/>
        </w:rPr>
        <w:t>CERTIFICATE OF SERVICE</w:t>
      </w:r>
    </w:p>
    <w:p w:rsidR="009D6B05" w:rsidRDefault="009D6B05">
      <w:pPr>
        <w:spacing w:line="480" w:lineRule="atLeast"/>
      </w:pPr>
      <w:r>
        <w:tab/>
        <w:t xml:space="preserve">I hereby certify that a copy of the foregoing </w:t>
      </w:r>
      <w:r w:rsidR="00F73EA5">
        <w:t xml:space="preserve">Motion </w:t>
      </w:r>
      <w:r>
        <w:t xml:space="preserve">was served on the persons stated below via </w:t>
      </w:r>
      <w:r w:rsidR="00746C80">
        <w:t>electronic service</w:t>
      </w:r>
      <w:r>
        <w:t xml:space="preserve"> this </w:t>
      </w:r>
      <w:r w:rsidR="006340B1">
        <w:t>19th</w:t>
      </w:r>
      <w:r>
        <w:t xml:space="preserve"> day of </w:t>
      </w:r>
      <w:r w:rsidR="00932BF2">
        <w:t>February</w:t>
      </w:r>
      <w:r>
        <w:t xml:space="preserve"> 201</w:t>
      </w:r>
      <w:r w:rsidR="00932BF2">
        <w:t>4</w:t>
      </w:r>
      <w:r>
        <w:t>.</w:t>
      </w:r>
    </w:p>
    <w:p w:rsidR="009D6B05" w:rsidRDefault="009D6B05">
      <w:pPr>
        <w:tabs>
          <w:tab w:val="left" w:pos="4320"/>
        </w:tabs>
      </w:pPr>
    </w:p>
    <w:p w:rsidR="009D6B05" w:rsidRDefault="009D6B05">
      <w:pPr>
        <w:tabs>
          <w:tab w:val="left" w:pos="4320"/>
        </w:tabs>
      </w:pPr>
    </w:p>
    <w:p w:rsidR="009D6B05" w:rsidRDefault="009D6B05">
      <w:pPr>
        <w:tabs>
          <w:tab w:val="left" w:pos="4320"/>
        </w:tabs>
      </w:pPr>
    </w:p>
    <w:p w:rsidR="009D6B05" w:rsidRDefault="009D6B05">
      <w:pPr>
        <w:tabs>
          <w:tab w:val="left" w:pos="4320"/>
        </w:tabs>
        <w:rPr>
          <w:u w:val="single"/>
        </w:rPr>
      </w:pPr>
      <w:r>
        <w:rPr>
          <w:szCs w:val="24"/>
        </w:rPr>
        <w:tab/>
      </w:r>
      <w:r w:rsidR="00884CD9">
        <w:rPr>
          <w:i/>
          <w:szCs w:val="24"/>
          <w:u w:val="single"/>
        </w:rPr>
        <w:t xml:space="preserve">/s/ </w:t>
      </w:r>
      <w:r w:rsidR="00932BF2">
        <w:rPr>
          <w:i/>
          <w:szCs w:val="24"/>
          <w:u w:val="single"/>
        </w:rPr>
        <w:t>Melissa R. Yost</w:t>
      </w:r>
      <w:r w:rsidR="00884CD9">
        <w:rPr>
          <w:i/>
          <w:szCs w:val="24"/>
          <w:u w:val="single"/>
        </w:rPr>
        <w:tab/>
      </w:r>
      <w:r w:rsidR="00884CD9">
        <w:rPr>
          <w:i/>
          <w:szCs w:val="24"/>
          <w:u w:val="single"/>
        </w:rPr>
        <w:tab/>
      </w:r>
      <w:r w:rsidR="00884CD9">
        <w:rPr>
          <w:i/>
          <w:szCs w:val="24"/>
          <w:u w:val="single"/>
        </w:rPr>
        <w:tab/>
      </w:r>
      <w:r>
        <w:rPr>
          <w:u w:val="single"/>
        </w:rPr>
        <w:t> </w:t>
      </w:r>
    </w:p>
    <w:p w:rsidR="009D6B05" w:rsidRDefault="00932BF2">
      <w:pPr>
        <w:tabs>
          <w:tab w:val="left" w:pos="4320"/>
        </w:tabs>
        <w:ind w:left="4320"/>
        <w:rPr>
          <w:szCs w:val="24"/>
        </w:rPr>
      </w:pPr>
      <w:r>
        <w:rPr>
          <w:szCs w:val="24"/>
        </w:rPr>
        <w:t>Melissa R. Yost</w:t>
      </w:r>
    </w:p>
    <w:p w:rsidR="009D6B05" w:rsidRDefault="009D6B05">
      <w:pPr>
        <w:tabs>
          <w:tab w:val="left" w:pos="4320"/>
        </w:tabs>
      </w:pPr>
      <w:r>
        <w:tab/>
      </w:r>
      <w:r w:rsidR="00932BF2">
        <w:t>Deputy</w:t>
      </w:r>
      <w:r>
        <w:t xml:space="preserve"> Consumers’ Counsel</w:t>
      </w:r>
    </w:p>
    <w:p w:rsidR="009D6B05" w:rsidRDefault="009D6B05">
      <w:pPr>
        <w:pStyle w:val="CommentSubject"/>
      </w:pPr>
    </w:p>
    <w:p w:rsidR="00461543" w:rsidRDefault="00461543" w:rsidP="00461543">
      <w:pPr>
        <w:jc w:val="center"/>
        <w:rPr>
          <w:b/>
        </w:rPr>
      </w:pPr>
      <w:r>
        <w:rPr>
          <w:b/>
        </w:rPr>
        <w:t>SERVICE LIST</w:t>
      </w:r>
    </w:p>
    <w:p w:rsidR="00932BF2" w:rsidRDefault="00932BF2" w:rsidP="00461543">
      <w:pPr>
        <w:jc w:val="center"/>
        <w:rPr>
          <w:b/>
        </w:rPr>
      </w:pPr>
    </w:p>
    <w:tbl>
      <w:tblPr>
        <w:tblW w:w="0" w:type="auto"/>
        <w:tblLook w:val="01E0" w:firstRow="1" w:lastRow="1" w:firstColumn="1" w:lastColumn="1" w:noHBand="0" w:noVBand="0"/>
      </w:tblPr>
      <w:tblGrid>
        <w:gridCol w:w="4428"/>
        <w:gridCol w:w="4428"/>
      </w:tblGrid>
      <w:tr w:rsidR="00932BF2" w:rsidTr="00932BF2">
        <w:tc>
          <w:tcPr>
            <w:tcW w:w="4428" w:type="dxa"/>
          </w:tcPr>
          <w:p w:rsidR="00932BF2" w:rsidRDefault="00932BF2">
            <w:pPr>
              <w:autoSpaceDE w:val="0"/>
              <w:autoSpaceDN w:val="0"/>
              <w:adjustRightInd w:val="0"/>
              <w:rPr>
                <w:bCs/>
              </w:rPr>
            </w:pPr>
            <w:r>
              <w:rPr>
                <w:bCs/>
              </w:rPr>
              <w:t>Ryan O’Rourke</w:t>
            </w:r>
          </w:p>
          <w:p w:rsidR="00932BF2" w:rsidRDefault="00932BF2">
            <w:pPr>
              <w:autoSpaceDE w:val="0"/>
              <w:autoSpaceDN w:val="0"/>
              <w:adjustRightInd w:val="0"/>
              <w:rPr>
                <w:bCs/>
              </w:rPr>
            </w:pPr>
            <w:r>
              <w:rPr>
                <w:bCs/>
              </w:rPr>
              <w:t>Stephen Reilly</w:t>
            </w:r>
          </w:p>
          <w:p w:rsidR="00932BF2" w:rsidRDefault="00932BF2">
            <w:pPr>
              <w:autoSpaceDE w:val="0"/>
              <w:autoSpaceDN w:val="0"/>
              <w:adjustRightInd w:val="0"/>
              <w:rPr>
                <w:bCs/>
              </w:rPr>
            </w:pPr>
            <w:r>
              <w:rPr>
                <w:bCs/>
              </w:rPr>
              <w:t>Attorney General’s Office</w:t>
            </w:r>
          </w:p>
          <w:p w:rsidR="00932BF2" w:rsidRDefault="00932BF2">
            <w:pPr>
              <w:autoSpaceDE w:val="0"/>
              <w:autoSpaceDN w:val="0"/>
              <w:adjustRightInd w:val="0"/>
              <w:rPr>
                <w:bCs/>
              </w:rPr>
            </w:pPr>
            <w:r>
              <w:rPr>
                <w:bCs/>
              </w:rPr>
              <w:t>Public Utilities Commission of Ohio</w:t>
            </w:r>
          </w:p>
          <w:p w:rsidR="00932BF2" w:rsidRDefault="00932BF2">
            <w:pPr>
              <w:autoSpaceDE w:val="0"/>
              <w:autoSpaceDN w:val="0"/>
              <w:adjustRightInd w:val="0"/>
              <w:rPr>
                <w:bCs/>
              </w:rPr>
            </w:pPr>
            <w:r>
              <w:rPr>
                <w:bCs/>
              </w:rPr>
              <w:t>180 East Broad St., 6</w:t>
            </w:r>
            <w:r>
              <w:rPr>
                <w:bCs/>
                <w:vertAlign w:val="superscript"/>
              </w:rPr>
              <w:t>th</w:t>
            </w:r>
            <w:r>
              <w:rPr>
                <w:bCs/>
              </w:rPr>
              <w:t xml:space="preserve"> Fl.</w:t>
            </w:r>
          </w:p>
          <w:p w:rsidR="00932BF2" w:rsidRDefault="00932BF2">
            <w:pPr>
              <w:autoSpaceDE w:val="0"/>
              <w:autoSpaceDN w:val="0"/>
              <w:adjustRightInd w:val="0"/>
              <w:rPr>
                <w:bCs/>
              </w:rPr>
            </w:pPr>
            <w:r>
              <w:rPr>
                <w:bCs/>
              </w:rPr>
              <w:t>Columbus, Ohio 43215</w:t>
            </w:r>
          </w:p>
          <w:p w:rsidR="00932BF2" w:rsidRDefault="00932BF2">
            <w:pPr>
              <w:autoSpaceDE w:val="0"/>
              <w:autoSpaceDN w:val="0"/>
              <w:adjustRightInd w:val="0"/>
              <w:rPr>
                <w:bCs/>
              </w:rPr>
            </w:pPr>
            <w:r>
              <w:rPr>
                <w:bCs/>
              </w:rPr>
              <w:t>Ryan.orourke@puc.state.oh.us</w:t>
            </w:r>
          </w:p>
          <w:p w:rsidR="00932BF2" w:rsidRDefault="00932BF2">
            <w:pPr>
              <w:autoSpaceDE w:val="0"/>
              <w:autoSpaceDN w:val="0"/>
              <w:adjustRightInd w:val="0"/>
              <w:rPr>
                <w:bCs/>
              </w:rPr>
            </w:pPr>
            <w:r>
              <w:rPr>
                <w:bCs/>
              </w:rPr>
              <w:t>Stephen.reilly@puc.state.oh.us</w:t>
            </w:r>
          </w:p>
          <w:p w:rsidR="00932BF2" w:rsidRDefault="00932BF2">
            <w:pPr>
              <w:autoSpaceDE w:val="0"/>
              <w:autoSpaceDN w:val="0"/>
              <w:adjustRightInd w:val="0"/>
              <w:rPr>
                <w:bCs/>
              </w:rPr>
            </w:pPr>
          </w:p>
        </w:tc>
        <w:tc>
          <w:tcPr>
            <w:tcW w:w="4428" w:type="dxa"/>
          </w:tcPr>
          <w:p w:rsidR="00932BF2" w:rsidRDefault="00932BF2">
            <w:pPr>
              <w:jc w:val="both"/>
              <w:rPr>
                <w:bCs/>
              </w:rPr>
            </w:pPr>
            <w:r>
              <w:rPr>
                <w:bCs/>
              </w:rPr>
              <w:t>Judi L. Sobecki</w:t>
            </w:r>
          </w:p>
          <w:p w:rsidR="00932BF2" w:rsidRDefault="00932BF2">
            <w:pPr>
              <w:jc w:val="both"/>
              <w:rPr>
                <w:bCs/>
              </w:rPr>
            </w:pPr>
            <w:r>
              <w:rPr>
                <w:bCs/>
              </w:rPr>
              <w:t>Randall V. Griffin</w:t>
            </w:r>
          </w:p>
          <w:p w:rsidR="00932BF2" w:rsidRDefault="00932BF2">
            <w:pPr>
              <w:jc w:val="both"/>
              <w:rPr>
                <w:bCs/>
              </w:rPr>
            </w:pPr>
            <w:r>
              <w:rPr>
                <w:bCs/>
              </w:rPr>
              <w:t>The Dayton Power and Light Company</w:t>
            </w:r>
          </w:p>
          <w:p w:rsidR="00932BF2" w:rsidRDefault="00932BF2">
            <w:pPr>
              <w:jc w:val="both"/>
              <w:rPr>
                <w:bCs/>
              </w:rPr>
            </w:pPr>
            <w:r>
              <w:rPr>
                <w:bCs/>
              </w:rPr>
              <w:t>1065 Woodman Drive</w:t>
            </w:r>
          </w:p>
          <w:p w:rsidR="00932BF2" w:rsidRDefault="00932BF2">
            <w:pPr>
              <w:jc w:val="both"/>
              <w:rPr>
                <w:bCs/>
              </w:rPr>
            </w:pPr>
            <w:r>
              <w:rPr>
                <w:bCs/>
              </w:rPr>
              <w:t>Dayton, Ohio 45432</w:t>
            </w:r>
          </w:p>
          <w:p w:rsidR="00932BF2" w:rsidRDefault="00932BF2">
            <w:pPr>
              <w:jc w:val="both"/>
              <w:rPr>
                <w:bCs/>
              </w:rPr>
            </w:pPr>
            <w:r>
              <w:rPr>
                <w:bCs/>
              </w:rPr>
              <w:t>Judi.sobecki@dplinc.com</w:t>
            </w:r>
          </w:p>
          <w:p w:rsidR="00932BF2" w:rsidRDefault="00932BF2">
            <w:pPr>
              <w:jc w:val="both"/>
              <w:rPr>
                <w:bCs/>
              </w:rPr>
            </w:pPr>
            <w:r>
              <w:rPr>
                <w:bCs/>
              </w:rPr>
              <w:t>Randall.griffin@dplinc.com</w:t>
            </w:r>
          </w:p>
          <w:p w:rsidR="00932BF2" w:rsidRDefault="00932BF2">
            <w:pPr>
              <w:jc w:val="both"/>
              <w:rPr>
                <w:bCs/>
              </w:rPr>
            </w:pPr>
          </w:p>
          <w:p w:rsidR="00932BF2" w:rsidRDefault="00932BF2">
            <w:pPr>
              <w:jc w:val="both"/>
              <w:rPr>
                <w:bCs/>
              </w:rPr>
            </w:pPr>
          </w:p>
        </w:tc>
      </w:tr>
      <w:tr w:rsidR="00932BF2" w:rsidTr="00932BF2">
        <w:tc>
          <w:tcPr>
            <w:tcW w:w="4428" w:type="dxa"/>
          </w:tcPr>
          <w:p w:rsidR="00932BF2" w:rsidRDefault="00932BF2">
            <w:pPr>
              <w:autoSpaceDE w:val="0"/>
              <w:autoSpaceDN w:val="0"/>
              <w:adjustRightInd w:val="0"/>
              <w:rPr>
                <w:bCs/>
              </w:rPr>
            </w:pPr>
            <w:r>
              <w:rPr>
                <w:bCs/>
              </w:rPr>
              <w:t>Mark S. Yurick</w:t>
            </w:r>
          </w:p>
          <w:p w:rsidR="00932BF2" w:rsidRDefault="00932BF2">
            <w:pPr>
              <w:autoSpaceDE w:val="0"/>
              <w:autoSpaceDN w:val="0"/>
              <w:adjustRightInd w:val="0"/>
              <w:rPr>
                <w:bCs/>
              </w:rPr>
            </w:pPr>
            <w:r>
              <w:rPr>
                <w:bCs/>
              </w:rPr>
              <w:t>Zachary D. Kravitz</w:t>
            </w:r>
          </w:p>
          <w:p w:rsidR="00932BF2" w:rsidRDefault="00932BF2">
            <w:pPr>
              <w:autoSpaceDE w:val="0"/>
              <w:autoSpaceDN w:val="0"/>
              <w:adjustRightInd w:val="0"/>
              <w:rPr>
                <w:bCs/>
              </w:rPr>
            </w:pPr>
            <w:r>
              <w:rPr>
                <w:bCs/>
              </w:rPr>
              <w:t>Taft Stettinius &amp; Hollister LLP</w:t>
            </w:r>
          </w:p>
          <w:p w:rsidR="00932BF2" w:rsidRDefault="00932BF2">
            <w:pPr>
              <w:autoSpaceDE w:val="0"/>
              <w:autoSpaceDN w:val="0"/>
              <w:adjustRightInd w:val="0"/>
              <w:rPr>
                <w:bCs/>
              </w:rPr>
            </w:pPr>
            <w:r>
              <w:rPr>
                <w:bCs/>
              </w:rPr>
              <w:t>65 East State Street, Suite 1000</w:t>
            </w:r>
          </w:p>
          <w:p w:rsidR="00932BF2" w:rsidRDefault="00932BF2">
            <w:pPr>
              <w:autoSpaceDE w:val="0"/>
              <w:autoSpaceDN w:val="0"/>
              <w:adjustRightInd w:val="0"/>
              <w:rPr>
                <w:bCs/>
              </w:rPr>
            </w:pPr>
            <w:r>
              <w:rPr>
                <w:bCs/>
              </w:rPr>
              <w:t>Columbus, Ohio  43215</w:t>
            </w:r>
          </w:p>
          <w:p w:rsidR="00932BF2" w:rsidRDefault="00932BF2">
            <w:pPr>
              <w:autoSpaceDE w:val="0"/>
              <w:autoSpaceDN w:val="0"/>
              <w:adjustRightInd w:val="0"/>
              <w:rPr>
                <w:bCs/>
              </w:rPr>
            </w:pPr>
            <w:r>
              <w:rPr>
                <w:bCs/>
              </w:rPr>
              <w:t>myurick@taftlaw.com</w:t>
            </w:r>
          </w:p>
          <w:p w:rsidR="00932BF2" w:rsidRDefault="00932BF2">
            <w:pPr>
              <w:autoSpaceDE w:val="0"/>
              <w:autoSpaceDN w:val="0"/>
              <w:adjustRightInd w:val="0"/>
              <w:rPr>
                <w:bCs/>
              </w:rPr>
            </w:pPr>
            <w:r>
              <w:rPr>
                <w:bCs/>
              </w:rPr>
              <w:t>zkravitz@taftlaw.com</w:t>
            </w:r>
          </w:p>
          <w:p w:rsidR="00932BF2" w:rsidRDefault="00932BF2">
            <w:pPr>
              <w:autoSpaceDE w:val="0"/>
              <w:autoSpaceDN w:val="0"/>
              <w:adjustRightInd w:val="0"/>
              <w:rPr>
                <w:bCs/>
              </w:rPr>
            </w:pPr>
          </w:p>
        </w:tc>
        <w:tc>
          <w:tcPr>
            <w:tcW w:w="4428" w:type="dxa"/>
          </w:tcPr>
          <w:p w:rsidR="00932BF2" w:rsidRDefault="00932BF2">
            <w:pPr>
              <w:jc w:val="both"/>
              <w:rPr>
                <w:bCs/>
              </w:rPr>
            </w:pPr>
            <w:r>
              <w:rPr>
                <w:bCs/>
              </w:rPr>
              <w:t>Charles J. Faruki</w:t>
            </w:r>
          </w:p>
          <w:p w:rsidR="00932BF2" w:rsidRDefault="00932BF2">
            <w:pPr>
              <w:jc w:val="both"/>
              <w:rPr>
                <w:bCs/>
              </w:rPr>
            </w:pPr>
            <w:r>
              <w:rPr>
                <w:bCs/>
              </w:rPr>
              <w:t>Faruki Ireland &amp; cox PLL</w:t>
            </w:r>
          </w:p>
          <w:p w:rsidR="00932BF2" w:rsidRDefault="00932BF2">
            <w:pPr>
              <w:jc w:val="both"/>
              <w:rPr>
                <w:bCs/>
              </w:rPr>
            </w:pPr>
            <w:r>
              <w:rPr>
                <w:bCs/>
              </w:rPr>
              <w:t>500 Courthouse Plaza, S.W.</w:t>
            </w:r>
          </w:p>
          <w:p w:rsidR="00932BF2" w:rsidRDefault="00932BF2">
            <w:pPr>
              <w:jc w:val="both"/>
              <w:rPr>
                <w:bCs/>
              </w:rPr>
            </w:pPr>
            <w:r>
              <w:rPr>
                <w:bCs/>
              </w:rPr>
              <w:t>10 North Ludlow Street</w:t>
            </w:r>
          </w:p>
          <w:p w:rsidR="00932BF2" w:rsidRDefault="00932BF2">
            <w:pPr>
              <w:jc w:val="both"/>
              <w:rPr>
                <w:bCs/>
              </w:rPr>
            </w:pPr>
            <w:r>
              <w:rPr>
                <w:bCs/>
              </w:rPr>
              <w:t>Dayton, Ohio  45402</w:t>
            </w:r>
          </w:p>
          <w:p w:rsidR="00932BF2" w:rsidRDefault="00932BF2">
            <w:pPr>
              <w:jc w:val="both"/>
              <w:rPr>
                <w:bCs/>
              </w:rPr>
            </w:pPr>
            <w:r>
              <w:rPr>
                <w:bCs/>
              </w:rPr>
              <w:t>cfaruki@ficlaw.com</w:t>
            </w:r>
          </w:p>
          <w:p w:rsidR="00932BF2" w:rsidRDefault="00932BF2">
            <w:pPr>
              <w:jc w:val="both"/>
              <w:rPr>
                <w:bCs/>
              </w:rPr>
            </w:pPr>
          </w:p>
        </w:tc>
      </w:tr>
    </w:tbl>
    <w:p w:rsidR="00932BF2" w:rsidRDefault="00932BF2" w:rsidP="00932BF2">
      <w:pPr>
        <w:tabs>
          <w:tab w:val="left" w:pos="4320"/>
        </w:tabs>
      </w:pPr>
      <w:r>
        <w:t>AEs: Bryce.mckenney@puc.state.oh.us</w:t>
      </w:r>
    </w:p>
    <w:p w:rsidR="00932BF2" w:rsidRDefault="00932BF2" w:rsidP="00932BF2">
      <w:pPr>
        <w:tabs>
          <w:tab w:val="left" w:pos="4320"/>
        </w:tabs>
      </w:pPr>
      <w:r>
        <w:t xml:space="preserve">         Gregory.price@puc.state.oh.us</w:t>
      </w:r>
    </w:p>
    <w:p w:rsidR="009D6B05" w:rsidRDefault="009D6B05">
      <w:pPr>
        <w:pStyle w:val="CommentText"/>
      </w:pPr>
    </w:p>
    <w:sectPr w:rsidR="009D6B05" w:rsidSect="00461543">
      <w:pgSz w:w="12240" w:h="15840"/>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634" w:rsidRDefault="00A14634">
      <w:r>
        <w:separator/>
      </w:r>
    </w:p>
  </w:endnote>
  <w:endnote w:type="continuationSeparator" w:id="0">
    <w:p w:rsidR="00A14634" w:rsidRDefault="00A14634">
      <w:r>
        <w:continuationSeparator/>
      </w:r>
    </w:p>
  </w:endnote>
  <w:endnote w:type="continuationNotice" w:id="1">
    <w:p w:rsidR="00A14634" w:rsidRDefault="00A14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64" w:rsidRDefault="00875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C0" w:rsidRPr="004C6EC0" w:rsidRDefault="004C6EC0">
    <w:pPr>
      <w:pStyle w:val="Footer"/>
      <w:jc w:val="center"/>
      <w:rPr>
        <w:sz w:val="24"/>
        <w:szCs w:val="24"/>
      </w:rPr>
    </w:pPr>
    <w:r w:rsidRPr="004C6EC0">
      <w:rPr>
        <w:sz w:val="24"/>
        <w:szCs w:val="24"/>
      </w:rPr>
      <w:fldChar w:fldCharType="begin"/>
    </w:r>
    <w:r w:rsidRPr="004C6EC0">
      <w:rPr>
        <w:sz w:val="24"/>
        <w:szCs w:val="24"/>
      </w:rPr>
      <w:instrText xml:space="preserve"> PAGE   \* MERGEFORMAT </w:instrText>
    </w:r>
    <w:r w:rsidRPr="004C6EC0">
      <w:rPr>
        <w:sz w:val="24"/>
        <w:szCs w:val="24"/>
      </w:rPr>
      <w:fldChar w:fldCharType="separate"/>
    </w:r>
    <w:r w:rsidR="00937667">
      <w:rPr>
        <w:noProof/>
        <w:sz w:val="24"/>
        <w:szCs w:val="24"/>
      </w:rPr>
      <w:t>2</w:t>
    </w:r>
    <w:r w:rsidRPr="004C6EC0">
      <w:rPr>
        <w:noProof/>
        <w:sz w:val="24"/>
        <w:szCs w:val="24"/>
      </w:rPr>
      <w:fldChar w:fldCharType="end"/>
    </w:r>
  </w:p>
  <w:p w:rsidR="004C6EC0" w:rsidRDefault="004C6E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64" w:rsidRDefault="00875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634" w:rsidRDefault="00A14634">
      <w:r>
        <w:separator/>
      </w:r>
    </w:p>
  </w:footnote>
  <w:footnote w:type="continuationSeparator" w:id="0">
    <w:p w:rsidR="00A14634" w:rsidRDefault="00A14634">
      <w:r>
        <w:continuationSeparator/>
      </w:r>
    </w:p>
  </w:footnote>
  <w:footnote w:type="continuationNotice" w:id="1">
    <w:p w:rsidR="00A14634" w:rsidRDefault="00A14634"/>
  </w:footnote>
  <w:footnote w:id="2">
    <w:p w:rsidR="00165AA6" w:rsidRDefault="00165AA6" w:rsidP="004D1CB8">
      <w:pPr>
        <w:pStyle w:val="FootnoteText"/>
        <w:spacing w:before="0" w:after="120"/>
      </w:pPr>
      <w:r>
        <w:rPr>
          <w:rStyle w:val="FootnoteReference"/>
        </w:rPr>
        <w:footnoteRef/>
      </w:r>
      <w:r>
        <w:t xml:space="preserve"> </w:t>
      </w:r>
      <w:r w:rsidR="004D1CB8">
        <w:t>Comments Filed on Behalf of the Staff of the Public Utilities Commission of Ohio at pp. 5-7 (June 17, 2013); Audit Report Submitted on Behalf of the Staff of the Public Utilities Commission of Ohio at pp. 3-7 (Jan. 3, 2014).</w:t>
      </w:r>
    </w:p>
  </w:footnote>
  <w:footnote w:id="3">
    <w:p w:rsidR="00EA7EC4" w:rsidRPr="0092681A" w:rsidRDefault="00EA7EC4" w:rsidP="00EA7EC4">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473667">
        <w:rPr>
          <w:rFonts w:asciiTheme="majorBidi" w:hAnsiTheme="majorBidi" w:cstheme="majorBidi"/>
          <w:i/>
        </w:rPr>
        <w:t>See</w:t>
      </w:r>
      <w:r w:rsidR="00473667">
        <w:rPr>
          <w:rFonts w:asciiTheme="majorBidi" w:hAnsiTheme="majorBidi" w:cstheme="majorBidi"/>
        </w:rPr>
        <w:t>,</w:t>
      </w:r>
      <w:r w:rsidRPr="0092681A">
        <w:rPr>
          <w:rFonts w:asciiTheme="majorBidi" w:hAnsiTheme="majorBidi" w:cstheme="majorBidi"/>
        </w:rPr>
        <w:t xml:space="preserve"> Application Schedule B-1, page 1 of 1, line 33.  The three year total is $64,646,644 = $22,338,250 + $21,671,351 + $20,637,043.</w:t>
      </w:r>
    </w:p>
  </w:footnote>
  <w:footnote w:id="4">
    <w:p w:rsidR="005E3A81" w:rsidRPr="005E3A81" w:rsidRDefault="005E3A81">
      <w:pPr>
        <w:pStyle w:val="FootnoteText"/>
      </w:pPr>
      <w:r>
        <w:rPr>
          <w:rStyle w:val="FootnoteReference"/>
        </w:rPr>
        <w:footnoteRef/>
      </w:r>
      <w:r>
        <w:t xml:space="preserve"> This Commission ordered DP&amp;L to hold local public hearings at the same </w:t>
      </w:r>
      <w:r w:rsidR="00A34A64">
        <w:t xml:space="preserve">times and </w:t>
      </w:r>
      <w:r>
        <w:t xml:space="preserve">location in the Utility’s ESP proceeding.  </w:t>
      </w:r>
      <w:r>
        <w:rPr>
          <w:i/>
        </w:rPr>
        <w:t>See</w:t>
      </w:r>
      <w:r>
        <w:t xml:space="preserve">, </w:t>
      </w:r>
      <w:r>
        <w:rPr>
          <w:i/>
        </w:rPr>
        <w:t>In the Matter of the Application of The Dayton Power and Light Company to Establish a Standard Service Offer in the Form of an Electric Security Plan</w:t>
      </w:r>
      <w:r>
        <w:t>, Case No. 12-426-EL-SSO, Entry at 2 (Dec. 6, 2012).</w:t>
      </w:r>
    </w:p>
  </w:footnote>
  <w:footnote w:id="5">
    <w:p w:rsidR="004F6E7D" w:rsidRDefault="004F6E7D">
      <w:pPr>
        <w:pStyle w:val="FootnoteText"/>
      </w:pPr>
      <w:r>
        <w:rPr>
          <w:rStyle w:val="FootnoteReference"/>
        </w:rPr>
        <w:footnoteRef/>
      </w:r>
      <w:r>
        <w:t xml:space="preserve"> OCC is not in a position to certify that no party objects to an expedited ruling.</w:t>
      </w:r>
    </w:p>
  </w:footnote>
  <w:footnote w:id="6">
    <w:p w:rsidR="004D1CB8" w:rsidRPr="0092681A" w:rsidRDefault="004D1CB8" w:rsidP="004D1CB8">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92681A">
        <w:rPr>
          <w:rFonts w:asciiTheme="majorBidi" w:hAnsiTheme="majorBidi" w:cstheme="majorBidi"/>
          <w:i/>
        </w:rPr>
        <w:t xml:space="preserve">In the Matter of the Application of The Dayton Power and Light Company for Authority to Recover Certain Storm-Related Service </w:t>
      </w:r>
      <w:r w:rsidR="0064346F">
        <w:rPr>
          <w:rFonts w:asciiTheme="majorBidi" w:hAnsiTheme="majorBidi" w:cstheme="majorBidi"/>
          <w:i/>
        </w:rPr>
        <w:t>R</w:t>
      </w:r>
      <w:r w:rsidRPr="0092681A">
        <w:rPr>
          <w:rFonts w:asciiTheme="majorBidi" w:hAnsiTheme="majorBidi" w:cstheme="majorBidi"/>
          <w:i/>
        </w:rPr>
        <w:t>estoration Costs</w:t>
      </w:r>
      <w:r w:rsidRPr="0092681A">
        <w:rPr>
          <w:rFonts w:asciiTheme="majorBidi" w:hAnsiTheme="majorBidi" w:cstheme="majorBidi"/>
        </w:rPr>
        <w:t>, Case No. 12-3062-EL-RDR et al., Application (December 21, 2012).</w:t>
      </w:r>
    </w:p>
  </w:footnote>
  <w:footnote w:id="7">
    <w:p w:rsidR="00471FB3" w:rsidRDefault="00471FB3" w:rsidP="00476A32">
      <w:pPr>
        <w:pStyle w:val="FootnoteText"/>
        <w:spacing w:before="0" w:after="120"/>
      </w:pPr>
      <w:r>
        <w:rPr>
          <w:rStyle w:val="FootnoteReference"/>
        </w:rPr>
        <w:footnoteRef/>
      </w:r>
      <w:r>
        <w:t xml:space="preserve"> </w:t>
      </w:r>
      <w:r w:rsidR="00A34A64">
        <w:t>Case Nos. 12-3062-El-RDR, 12-3266-EL-AAM, Entry at 7-8 (October 23, 2013).</w:t>
      </w:r>
    </w:p>
  </w:footnote>
  <w:footnote w:id="8">
    <w:p w:rsidR="002C0D1C" w:rsidRDefault="002C0D1C" w:rsidP="00476A32">
      <w:pPr>
        <w:pStyle w:val="FootnoteText"/>
        <w:spacing w:before="0" w:after="120"/>
      </w:pPr>
      <w:r>
        <w:rPr>
          <w:rStyle w:val="FootnoteReference"/>
        </w:rPr>
        <w:footnoteRef/>
      </w:r>
      <w:r>
        <w:t xml:space="preserve"> </w:t>
      </w:r>
      <w:r w:rsidR="00A34A64">
        <w:t>Direct Testimony of Anthony J. Yankel (January 31, 2014); Direct Testimony of Daniel J. Duann, Ph.D</w:t>
      </w:r>
      <w:r w:rsidR="00473667">
        <w:t>.</w:t>
      </w:r>
      <w:r w:rsidR="00A34A64">
        <w:t xml:space="preserve"> (January 31, 2014).</w:t>
      </w:r>
    </w:p>
  </w:footnote>
  <w:footnote w:id="9">
    <w:p w:rsidR="002C0D1C" w:rsidRDefault="002C0D1C" w:rsidP="00476A32">
      <w:pPr>
        <w:pStyle w:val="FootnoteText"/>
        <w:spacing w:before="0" w:after="120"/>
      </w:pPr>
      <w:r>
        <w:rPr>
          <w:rStyle w:val="FootnoteReference"/>
        </w:rPr>
        <w:footnoteRef/>
      </w:r>
      <w:r>
        <w:t xml:space="preserve"> </w:t>
      </w:r>
      <w:r w:rsidR="00A34A64">
        <w:t>Audit Report Submitted on Behalf of the Staff of the Public Utilities Commission of Ohio at pp. 3-7 (Jan. 3, 2014)</w:t>
      </w:r>
    </w:p>
  </w:footnote>
  <w:footnote w:id="10">
    <w:p w:rsidR="006C189D" w:rsidRDefault="006C189D" w:rsidP="00A34A64">
      <w:pPr>
        <w:pStyle w:val="FootnoteText"/>
        <w:spacing w:before="0" w:after="120"/>
      </w:pPr>
      <w:r>
        <w:rPr>
          <w:rStyle w:val="FootnoteReference"/>
        </w:rPr>
        <w:footnoteRef/>
      </w:r>
      <w:r>
        <w:t xml:space="preserve"> </w:t>
      </w:r>
      <w:r w:rsidR="00FA3E55">
        <w:t>Comments Filed on Behalf of the Staff of the Public Utilities Commission of Ohio at pp. 5-7 (June 17, 2013)</w:t>
      </w:r>
      <w:r w:rsidR="004D1CB8">
        <w:t xml:space="preserve"> (finding that the 2008 and 2011 expenses were not appropriate for recovery)</w:t>
      </w:r>
      <w:r w:rsidR="00FA3E55">
        <w:t>; Audit Report Submitted on Behalf of the Staff of the Public Utilities Commission of Ohio at pp. 3-7 (Jan. 3, 2014)</w:t>
      </w:r>
      <w:r w:rsidR="004D1CB8">
        <w:t xml:space="preserve"> (reiterating that “the 2008 and 2011 expenses should not be recovered” and that the 2012 O&amp;M expenses should be reduced by a total of $3,752,644, which includes a $3,482,366 adjustment for the three-year average of storms, a $144,611 adjustment to management labor, a $104,925 adjustment to union straight-time labor, a $4,301 adjustment for costs that were out of time, and a $16,441 adjustment for contracted employees that were pai</w:t>
      </w:r>
      <w:r w:rsidR="003B5D02">
        <w:t>d double-time</w:t>
      </w:r>
      <w:r w:rsidR="004D1CB8">
        <w:t>)</w:t>
      </w:r>
      <w:r w:rsidR="00FA3E55">
        <w:t>.</w:t>
      </w:r>
    </w:p>
  </w:footnote>
  <w:footnote w:id="11">
    <w:p w:rsidR="00706867" w:rsidRPr="00B50B46" w:rsidRDefault="00706867" w:rsidP="00FA3E55">
      <w:pPr>
        <w:pStyle w:val="FootnoteText"/>
        <w:spacing w:before="0" w:after="120"/>
      </w:pPr>
      <w:r w:rsidRPr="00B50B46">
        <w:rPr>
          <w:rStyle w:val="FootnoteReference"/>
        </w:rPr>
        <w:footnoteRef/>
      </w:r>
      <w:r w:rsidRPr="00B50B46">
        <w:t xml:space="preserve"> </w:t>
      </w:r>
      <w:r w:rsidRPr="00B50B46">
        <w:rPr>
          <w:i/>
        </w:rPr>
        <w:t>In the Matter of the Application of the Ohio Bell Telephone Co.</w:t>
      </w:r>
      <w:r w:rsidR="00B50B46">
        <w:t xml:space="preserve"> (“</w:t>
      </w:r>
      <w:r w:rsidR="00B50B46" w:rsidRPr="00B50B46">
        <w:rPr>
          <w:i/>
        </w:rPr>
        <w:t>Ohio Bell</w:t>
      </w:r>
      <w:r w:rsidR="00B50B46">
        <w:t>”)</w:t>
      </w:r>
      <w:r w:rsidRPr="00B50B46">
        <w:t xml:space="preserve">, Pub. Util. Comm. No. 90-467-TP-ATA, </w:t>
      </w:r>
      <w:r w:rsidR="00DE73B2">
        <w:t xml:space="preserve">Entry </w:t>
      </w:r>
      <w:r w:rsidRPr="00B50B46">
        <w:t xml:space="preserve">at </w:t>
      </w:r>
      <w:r w:rsidR="00FC4614">
        <w:t>2-3</w:t>
      </w:r>
      <w:r w:rsidR="00DE73B2">
        <w:t xml:space="preserve"> (June 24, 1991); </w:t>
      </w:r>
      <w:r w:rsidR="00DE73B2">
        <w:rPr>
          <w:i/>
        </w:rPr>
        <w:t xml:space="preserve">In </w:t>
      </w:r>
      <w:r w:rsidR="00DE73B2" w:rsidRPr="00B50B46">
        <w:rPr>
          <w:i/>
        </w:rPr>
        <w:t>the Matter of the Application of the Ohio Bell Telephone Co.</w:t>
      </w:r>
      <w:r w:rsidR="00DE73B2" w:rsidRPr="00B50B46">
        <w:t xml:space="preserve">, Pub. Util. Comm. No. 90-467-TP-ATA, 1991 Ohio PUC LEXIS 829, </w:t>
      </w:r>
      <w:r w:rsidR="00DE73B2">
        <w:t xml:space="preserve">Entry on Interlocutory Appeal </w:t>
      </w:r>
      <w:r w:rsidR="00DE73B2" w:rsidRPr="00B50B46">
        <w:t>at *5 (July 10, 1991).</w:t>
      </w:r>
    </w:p>
  </w:footnote>
  <w:footnote w:id="12">
    <w:p w:rsidR="00467BA4" w:rsidRPr="00135B72" w:rsidRDefault="00467BA4" w:rsidP="00135B72">
      <w:pPr>
        <w:pStyle w:val="FootnoteText"/>
        <w:spacing w:before="0" w:after="120"/>
        <w:rPr>
          <w:i/>
        </w:rPr>
      </w:pPr>
      <w:r>
        <w:rPr>
          <w:rStyle w:val="FootnoteReference"/>
        </w:rPr>
        <w:footnoteRef/>
      </w:r>
      <w:r>
        <w:t xml:space="preserve"> </w:t>
      </w:r>
      <w:r w:rsidR="00135B72">
        <w:rPr>
          <w:i/>
        </w:rPr>
        <w:t>In the Matter of the Self-Complaint of Columbus Southern Power Company and Ohio Power Company Regarding the Implementation of Programs to Enhance Distribution Service Reliability</w:t>
      </w:r>
      <w:r w:rsidR="00135B72">
        <w:t>, Case No. 06-222-EL-SLF, Entry at 1</w:t>
      </w:r>
      <w:r w:rsidR="004B6E7F">
        <w:t>-2</w:t>
      </w:r>
      <w:r w:rsidR="00135B72">
        <w:t xml:space="preserve"> (</w:t>
      </w:r>
      <w:r w:rsidR="004B6E7F">
        <w:t xml:space="preserve">Feb. </w:t>
      </w:r>
      <w:r w:rsidR="00135B72">
        <w:t>6, 2006).</w:t>
      </w:r>
    </w:p>
  </w:footnote>
  <w:footnote w:id="13">
    <w:p w:rsidR="0002253B" w:rsidRPr="0002253B" w:rsidRDefault="0002253B" w:rsidP="00135B72">
      <w:pPr>
        <w:pStyle w:val="FootnoteText"/>
        <w:spacing w:before="0" w:after="120"/>
      </w:pPr>
      <w:r>
        <w:rPr>
          <w:rStyle w:val="FootnoteReference"/>
        </w:rPr>
        <w:footnoteRef/>
      </w:r>
      <w:r>
        <w:t xml:space="preserve"> </w:t>
      </w:r>
      <w:r>
        <w:rPr>
          <w:i/>
        </w:rPr>
        <w:t>In the Matter of the Self-Complaint of Columbus Southern Power Company and Ohio Power Company Regarding the Implementation of Programs to Enhance Distribution Service Reliability</w:t>
      </w:r>
      <w:r>
        <w:t>, Case No. 06-222-EL-SLF, Entry at 1 (July 26, 2006).</w:t>
      </w:r>
    </w:p>
  </w:footnote>
  <w:footnote w:id="14">
    <w:p w:rsidR="0002253B" w:rsidRDefault="0002253B" w:rsidP="00135B72">
      <w:pPr>
        <w:pStyle w:val="FootnoteText"/>
        <w:spacing w:before="0" w:after="120"/>
      </w:pPr>
      <w:r>
        <w:rPr>
          <w:rStyle w:val="FootnoteReference"/>
        </w:rPr>
        <w:footnoteRef/>
      </w:r>
      <w:r>
        <w:t xml:space="preserve"> </w:t>
      </w:r>
      <w:r>
        <w:rPr>
          <w:i/>
        </w:rPr>
        <w:t>In the Matter of the Self-Complaint of Columbus Southern Power Company and Ohio Power Company Regarding the Implementation of Programs to Enhance Distribution Service Reliability</w:t>
      </w:r>
      <w:r>
        <w:t>, Case No. 06-222-EL-SLF, Entry at 1-2 (Nov. 27, 2006).</w:t>
      </w:r>
    </w:p>
  </w:footnote>
  <w:footnote w:id="15">
    <w:p w:rsidR="005E3A81" w:rsidRDefault="005E3A81" w:rsidP="005E3A81">
      <w:pPr>
        <w:pStyle w:val="FootnoteText"/>
        <w:spacing w:before="0" w:after="120"/>
      </w:pPr>
      <w:r>
        <w:rPr>
          <w:rStyle w:val="FootnoteReference"/>
        </w:rPr>
        <w:footnoteRef/>
      </w:r>
      <w:r>
        <w:t xml:space="preserve"> </w:t>
      </w:r>
      <w:r>
        <w:rPr>
          <w:i/>
        </w:rPr>
        <w:t>In the Matter of the Application of The Dayton Power and Light Company to Establish a Standard Service Offer in the Form of an Electric Security Plan</w:t>
      </w:r>
      <w:r>
        <w:t>, Case No. 12-426-EL-SSO, Entry at 2 (Dec. 6, 2012).</w:t>
      </w:r>
    </w:p>
  </w:footnote>
  <w:footnote w:id="16">
    <w:p w:rsidR="00F7084A" w:rsidRPr="00F7084A" w:rsidRDefault="00F7084A" w:rsidP="00F7084A">
      <w:pPr>
        <w:pStyle w:val="FootnoteText"/>
        <w:spacing w:before="0" w:after="120"/>
      </w:pPr>
      <w:r>
        <w:rPr>
          <w:rStyle w:val="FootnoteReference"/>
        </w:rPr>
        <w:footnoteRef/>
      </w:r>
      <w:r>
        <w:t xml:space="preserve"> </w:t>
      </w:r>
      <w:r>
        <w:rPr>
          <w:i/>
        </w:rPr>
        <w:t xml:space="preserve">In the Matter of the Application of Ohio Edison Company, The Cleveland Electric Illuminating Company, and The Toledo Edison Company for Authority to Establish a Standard Service </w:t>
      </w:r>
      <w:r w:rsidR="00446866">
        <w:rPr>
          <w:i/>
        </w:rPr>
        <w:t>O</w:t>
      </w:r>
      <w:r>
        <w:rPr>
          <w:i/>
        </w:rPr>
        <w:t>ffer Pursuant to Section 4928.143, Revised Code, in the Fo</w:t>
      </w:r>
      <w:r w:rsidR="00446866">
        <w:rPr>
          <w:i/>
        </w:rPr>
        <w:t>r</w:t>
      </w:r>
      <w:r>
        <w:rPr>
          <w:i/>
        </w:rPr>
        <w:t>m of an Electric Security Plan</w:t>
      </w:r>
      <w:r>
        <w:t>, Case No. 08-935-EL-SSO, Entry at 1-2 (Sept. 9, 2008)</w:t>
      </w:r>
      <w:r w:rsidR="00397593">
        <w:t>.</w:t>
      </w:r>
    </w:p>
  </w:footnote>
  <w:footnote w:id="17">
    <w:p w:rsidR="00397593" w:rsidRDefault="00397593" w:rsidP="00397593">
      <w:pPr>
        <w:pStyle w:val="FootnoteText"/>
        <w:spacing w:before="0" w:after="120"/>
      </w:pPr>
      <w:r>
        <w:rPr>
          <w:rStyle w:val="FootnoteReference"/>
        </w:rPr>
        <w:footnoteRef/>
      </w:r>
      <w:r>
        <w:t xml:space="preserve"> </w:t>
      </w:r>
      <w:r>
        <w:rPr>
          <w:i/>
        </w:rPr>
        <w:t xml:space="preserve">In the Matter of the Application of Duke Energy Ohio, Inc., for Approval of an Electric Security Plan, </w:t>
      </w:r>
      <w:r>
        <w:t>Entry at 1-2 (Sept. 17. 2008).</w:t>
      </w:r>
    </w:p>
  </w:footnote>
  <w:footnote w:id="18">
    <w:p w:rsidR="00661E83" w:rsidRPr="00804491" w:rsidRDefault="00661E83" w:rsidP="00661E83">
      <w:pPr>
        <w:pStyle w:val="FootnoteText"/>
        <w:spacing w:before="0" w:after="120"/>
      </w:pPr>
      <w:r>
        <w:rPr>
          <w:rStyle w:val="FootnoteReference"/>
        </w:rPr>
        <w:footnoteRef/>
      </w:r>
      <w:r>
        <w:t xml:space="preserve"> </w:t>
      </w:r>
      <w:r w:rsidRPr="00804491">
        <w:rPr>
          <w:i/>
        </w:rPr>
        <w:t>In the Matter of the Application of Ohio Power Company to Establish Initial Storm Damage Recovery Rider Rates</w:t>
      </w:r>
      <w:r>
        <w:t>, Case No. 12-3255-EL-RDR, Entry at 4 (Aug. 6, 2013).</w:t>
      </w:r>
    </w:p>
  </w:footnote>
  <w:footnote w:id="19">
    <w:p w:rsidR="00804491" w:rsidRPr="00661E83" w:rsidRDefault="00804491" w:rsidP="005E3A81">
      <w:pPr>
        <w:pStyle w:val="FootnoteText"/>
        <w:spacing w:before="0" w:after="120"/>
      </w:pPr>
      <w:r>
        <w:rPr>
          <w:rStyle w:val="FootnoteReference"/>
        </w:rPr>
        <w:footnoteRef/>
      </w:r>
      <w:r>
        <w:t xml:space="preserve"> </w:t>
      </w:r>
      <w:r w:rsidR="00661E83">
        <w:t>Id.</w:t>
      </w:r>
    </w:p>
  </w:footnote>
  <w:footnote w:id="20">
    <w:p w:rsidR="00113503" w:rsidRDefault="00113503" w:rsidP="00113503">
      <w:pPr>
        <w:pStyle w:val="FootnoteText"/>
        <w:spacing w:before="0" w:after="120"/>
      </w:pPr>
      <w:r>
        <w:rPr>
          <w:rStyle w:val="FootnoteReference"/>
        </w:rPr>
        <w:footnoteRef/>
      </w:r>
      <w:r>
        <w:t xml:space="preserve"> Id.</w:t>
      </w:r>
    </w:p>
  </w:footnote>
  <w:footnote w:id="21">
    <w:p w:rsidR="007A6AE8" w:rsidRDefault="007A6AE8" w:rsidP="007A6AE8">
      <w:pPr>
        <w:pStyle w:val="FootnoteText"/>
      </w:pPr>
      <w:r>
        <w:rPr>
          <w:rStyle w:val="FootnoteReference"/>
        </w:rPr>
        <w:footnoteRef/>
      </w:r>
      <w:r>
        <w:t xml:space="preserve"> OCC is not in a position to certify that no party objects to an expedited ruling.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64" w:rsidRDefault="00875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64" w:rsidRDefault="00875B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64" w:rsidRDefault="00875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A6AAD4"/>
    <w:lvl w:ilvl="0">
      <w:start w:val="1"/>
      <w:numFmt w:val="decimal"/>
      <w:lvlText w:val="%1."/>
      <w:lvlJc w:val="left"/>
      <w:pPr>
        <w:tabs>
          <w:tab w:val="num" w:pos="1800"/>
        </w:tabs>
        <w:ind w:left="1800" w:hanging="360"/>
      </w:pPr>
    </w:lvl>
  </w:abstractNum>
  <w:abstractNum w:abstractNumId="1">
    <w:nsid w:val="FFFFFF7D"/>
    <w:multiLevelType w:val="singleLevel"/>
    <w:tmpl w:val="7C6CDEE8"/>
    <w:lvl w:ilvl="0">
      <w:start w:val="1"/>
      <w:numFmt w:val="decimal"/>
      <w:lvlText w:val="%1."/>
      <w:lvlJc w:val="left"/>
      <w:pPr>
        <w:tabs>
          <w:tab w:val="num" w:pos="1440"/>
        </w:tabs>
        <w:ind w:left="1440" w:hanging="360"/>
      </w:pPr>
    </w:lvl>
  </w:abstractNum>
  <w:abstractNum w:abstractNumId="2">
    <w:nsid w:val="FFFFFF7E"/>
    <w:multiLevelType w:val="singleLevel"/>
    <w:tmpl w:val="ACE08C14"/>
    <w:lvl w:ilvl="0">
      <w:start w:val="1"/>
      <w:numFmt w:val="decimal"/>
      <w:lvlText w:val="%1."/>
      <w:lvlJc w:val="left"/>
      <w:pPr>
        <w:tabs>
          <w:tab w:val="num" w:pos="1080"/>
        </w:tabs>
        <w:ind w:left="1080" w:hanging="360"/>
      </w:pPr>
    </w:lvl>
  </w:abstractNum>
  <w:abstractNum w:abstractNumId="3">
    <w:nsid w:val="FFFFFF7F"/>
    <w:multiLevelType w:val="singleLevel"/>
    <w:tmpl w:val="5C3CBDD6"/>
    <w:lvl w:ilvl="0">
      <w:start w:val="1"/>
      <w:numFmt w:val="decimal"/>
      <w:lvlText w:val="%1."/>
      <w:lvlJc w:val="left"/>
      <w:pPr>
        <w:tabs>
          <w:tab w:val="num" w:pos="720"/>
        </w:tabs>
        <w:ind w:left="720" w:hanging="360"/>
      </w:pPr>
    </w:lvl>
  </w:abstractNum>
  <w:abstractNum w:abstractNumId="4">
    <w:nsid w:val="FFFFFF80"/>
    <w:multiLevelType w:val="singleLevel"/>
    <w:tmpl w:val="AF5605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04EC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42BD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1ED7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E0F408"/>
    <w:lvl w:ilvl="0">
      <w:start w:val="1"/>
      <w:numFmt w:val="decimal"/>
      <w:lvlText w:val="%1."/>
      <w:lvlJc w:val="left"/>
      <w:pPr>
        <w:tabs>
          <w:tab w:val="num" w:pos="360"/>
        </w:tabs>
        <w:ind w:left="360" w:hanging="360"/>
      </w:pPr>
    </w:lvl>
  </w:abstractNum>
  <w:abstractNum w:abstractNumId="9">
    <w:nsid w:val="FFFFFF89"/>
    <w:multiLevelType w:val="singleLevel"/>
    <w:tmpl w:val="75B6270E"/>
    <w:lvl w:ilvl="0">
      <w:start w:val="1"/>
      <w:numFmt w:val="bullet"/>
      <w:lvlText w:val=""/>
      <w:lvlJc w:val="left"/>
      <w:pPr>
        <w:tabs>
          <w:tab w:val="num" w:pos="360"/>
        </w:tabs>
        <w:ind w:left="360" w:hanging="360"/>
      </w:pPr>
      <w:rPr>
        <w:rFonts w:ascii="Symbol" w:hAnsi="Symbol" w:hint="default"/>
      </w:rPr>
    </w:lvl>
  </w:abstractNum>
  <w:abstractNum w:abstractNumId="10">
    <w:nsid w:val="03284FD3"/>
    <w:multiLevelType w:val="hybridMultilevel"/>
    <w:tmpl w:val="5C00BE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1E3D83"/>
    <w:multiLevelType w:val="hybridMultilevel"/>
    <w:tmpl w:val="F9AA8B3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241240"/>
    <w:multiLevelType w:val="hybridMultilevel"/>
    <w:tmpl w:val="92646C06"/>
    <w:lvl w:ilvl="0" w:tplc="7DD61B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8A93B29"/>
    <w:multiLevelType w:val="hybridMultilevel"/>
    <w:tmpl w:val="ECD8C0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54C5B"/>
    <w:multiLevelType w:val="hybridMultilevel"/>
    <w:tmpl w:val="2176F0D6"/>
    <w:lvl w:ilvl="0" w:tplc="A83EFA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804A5"/>
    <w:multiLevelType w:val="hybridMultilevel"/>
    <w:tmpl w:val="0C464DFC"/>
    <w:lvl w:ilvl="0" w:tplc="2EE2E7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8817095"/>
    <w:multiLevelType w:val="hybridMultilevel"/>
    <w:tmpl w:val="D7486D1E"/>
    <w:lvl w:ilvl="0" w:tplc="214E3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B34FC2"/>
    <w:multiLevelType w:val="hybridMultilevel"/>
    <w:tmpl w:val="F9AA8B3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B41392"/>
    <w:multiLevelType w:val="hybridMultilevel"/>
    <w:tmpl w:val="4E4ABE66"/>
    <w:lvl w:ilvl="0" w:tplc="982C54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0E416D"/>
    <w:multiLevelType w:val="hybridMultilevel"/>
    <w:tmpl w:val="511AE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582483"/>
    <w:multiLevelType w:val="hybridMultilevel"/>
    <w:tmpl w:val="6A6E7BA4"/>
    <w:lvl w:ilvl="0" w:tplc="CC0C74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2E46BA8"/>
    <w:multiLevelType w:val="hybridMultilevel"/>
    <w:tmpl w:val="0AA247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1"/>
  </w:num>
  <w:num w:numId="4">
    <w:abstractNumId w:val="14"/>
  </w:num>
  <w:num w:numId="5">
    <w:abstractNumId w:val="20"/>
  </w:num>
  <w:num w:numId="6">
    <w:abstractNumId w:val="18"/>
  </w:num>
  <w:num w:numId="7">
    <w:abstractNumId w:val="15"/>
  </w:num>
  <w:num w:numId="8">
    <w:abstractNumId w:val="12"/>
  </w:num>
  <w:num w:numId="9">
    <w:abstractNumId w:val="13"/>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4100"/>
    <w:rsid w:val="000014DB"/>
    <w:rsid w:val="000044E6"/>
    <w:rsid w:val="00006AB4"/>
    <w:rsid w:val="00007FB7"/>
    <w:rsid w:val="000122B2"/>
    <w:rsid w:val="00014821"/>
    <w:rsid w:val="0002253B"/>
    <w:rsid w:val="0003236D"/>
    <w:rsid w:val="000328D5"/>
    <w:rsid w:val="000348CE"/>
    <w:rsid w:val="00047186"/>
    <w:rsid w:val="000472C5"/>
    <w:rsid w:val="00047E70"/>
    <w:rsid w:val="00051CAC"/>
    <w:rsid w:val="00054B4A"/>
    <w:rsid w:val="000603B9"/>
    <w:rsid w:val="00063742"/>
    <w:rsid w:val="00072034"/>
    <w:rsid w:val="0007269D"/>
    <w:rsid w:val="00075F35"/>
    <w:rsid w:val="00082C16"/>
    <w:rsid w:val="00087747"/>
    <w:rsid w:val="000A3F9A"/>
    <w:rsid w:val="000A56AE"/>
    <w:rsid w:val="000B0176"/>
    <w:rsid w:val="000C1CC9"/>
    <w:rsid w:val="000C3B8A"/>
    <w:rsid w:val="000D6317"/>
    <w:rsid w:val="000D6712"/>
    <w:rsid w:val="000F1325"/>
    <w:rsid w:val="000F6023"/>
    <w:rsid w:val="00113503"/>
    <w:rsid w:val="00134C4A"/>
    <w:rsid w:val="00135B72"/>
    <w:rsid w:val="00135F48"/>
    <w:rsid w:val="00141B85"/>
    <w:rsid w:val="00145295"/>
    <w:rsid w:val="00145C53"/>
    <w:rsid w:val="00147626"/>
    <w:rsid w:val="00147E56"/>
    <w:rsid w:val="001627D2"/>
    <w:rsid w:val="00165AA6"/>
    <w:rsid w:val="00172E0B"/>
    <w:rsid w:val="001810E7"/>
    <w:rsid w:val="001A1ED1"/>
    <w:rsid w:val="001A680D"/>
    <w:rsid w:val="001B3D4A"/>
    <w:rsid w:val="001B454C"/>
    <w:rsid w:val="001B60D5"/>
    <w:rsid w:val="001C3E09"/>
    <w:rsid w:val="001F0C8B"/>
    <w:rsid w:val="001F184E"/>
    <w:rsid w:val="001F280C"/>
    <w:rsid w:val="001F3BC2"/>
    <w:rsid w:val="001F6E6D"/>
    <w:rsid w:val="002116C9"/>
    <w:rsid w:val="0021203D"/>
    <w:rsid w:val="00214273"/>
    <w:rsid w:val="00225FE9"/>
    <w:rsid w:val="0023008A"/>
    <w:rsid w:val="00231F13"/>
    <w:rsid w:val="0023481E"/>
    <w:rsid w:val="002471B4"/>
    <w:rsid w:val="00250289"/>
    <w:rsid w:val="00254100"/>
    <w:rsid w:val="00260C3C"/>
    <w:rsid w:val="00261722"/>
    <w:rsid w:val="00263D74"/>
    <w:rsid w:val="00263F40"/>
    <w:rsid w:val="0026458F"/>
    <w:rsid w:val="00264B4F"/>
    <w:rsid w:val="00282771"/>
    <w:rsid w:val="00290ADD"/>
    <w:rsid w:val="002969DB"/>
    <w:rsid w:val="002A1389"/>
    <w:rsid w:val="002A2CCA"/>
    <w:rsid w:val="002A4C5E"/>
    <w:rsid w:val="002A7D4E"/>
    <w:rsid w:val="002B6293"/>
    <w:rsid w:val="002B67FA"/>
    <w:rsid w:val="002C0D1C"/>
    <w:rsid w:val="002C27D1"/>
    <w:rsid w:val="002C6CA8"/>
    <w:rsid w:val="002D3F69"/>
    <w:rsid w:val="002D5961"/>
    <w:rsid w:val="002D6F73"/>
    <w:rsid w:val="002E1443"/>
    <w:rsid w:val="002F076F"/>
    <w:rsid w:val="00302BF7"/>
    <w:rsid w:val="00315F09"/>
    <w:rsid w:val="00316FF9"/>
    <w:rsid w:val="003369D3"/>
    <w:rsid w:val="003407F3"/>
    <w:rsid w:val="00355E52"/>
    <w:rsid w:val="00356D84"/>
    <w:rsid w:val="00364991"/>
    <w:rsid w:val="003722A8"/>
    <w:rsid w:val="00373EB3"/>
    <w:rsid w:val="00383E37"/>
    <w:rsid w:val="00383F38"/>
    <w:rsid w:val="003858C2"/>
    <w:rsid w:val="00391FC3"/>
    <w:rsid w:val="00392BE2"/>
    <w:rsid w:val="00397593"/>
    <w:rsid w:val="003B1E56"/>
    <w:rsid w:val="003B470E"/>
    <w:rsid w:val="003B5D02"/>
    <w:rsid w:val="003D616A"/>
    <w:rsid w:val="003E3A13"/>
    <w:rsid w:val="003F5C39"/>
    <w:rsid w:val="003F5D72"/>
    <w:rsid w:val="00400631"/>
    <w:rsid w:val="00400EA3"/>
    <w:rsid w:val="0040278F"/>
    <w:rsid w:val="0042179A"/>
    <w:rsid w:val="004244CA"/>
    <w:rsid w:val="004248F5"/>
    <w:rsid w:val="00435807"/>
    <w:rsid w:val="0044225D"/>
    <w:rsid w:val="00446866"/>
    <w:rsid w:val="004478D8"/>
    <w:rsid w:val="00447AE2"/>
    <w:rsid w:val="00455A3A"/>
    <w:rsid w:val="00456330"/>
    <w:rsid w:val="00456446"/>
    <w:rsid w:val="00461543"/>
    <w:rsid w:val="00462F7B"/>
    <w:rsid w:val="00467BA4"/>
    <w:rsid w:val="00471FB3"/>
    <w:rsid w:val="00473667"/>
    <w:rsid w:val="00476A32"/>
    <w:rsid w:val="0048652D"/>
    <w:rsid w:val="004A03EB"/>
    <w:rsid w:val="004A05E8"/>
    <w:rsid w:val="004A0C1F"/>
    <w:rsid w:val="004A2631"/>
    <w:rsid w:val="004A2710"/>
    <w:rsid w:val="004B1327"/>
    <w:rsid w:val="004B1ADF"/>
    <w:rsid w:val="004B2231"/>
    <w:rsid w:val="004B6026"/>
    <w:rsid w:val="004B6E7F"/>
    <w:rsid w:val="004C5203"/>
    <w:rsid w:val="004C6EC0"/>
    <w:rsid w:val="004D1CB8"/>
    <w:rsid w:val="004D2C9F"/>
    <w:rsid w:val="004E2351"/>
    <w:rsid w:val="004E50C5"/>
    <w:rsid w:val="004F2297"/>
    <w:rsid w:val="004F3A21"/>
    <w:rsid w:val="004F6E7D"/>
    <w:rsid w:val="00501C60"/>
    <w:rsid w:val="00501F8F"/>
    <w:rsid w:val="005046B3"/>
    <w:rsid w:val="00507238"/>
    <w:rsid w:val="0051128C"/>
    <w:rsid w:val="00514EC0"/>
    <w:rsid w:val="00530EE7"/>
    <w:rsid w:val="00532461"/>
    <w:rsid w:val="00533483"/>
    <w:rsid w:val="00535D10"/>
    <w:rsid w:val="00542C27"/>
    <w:rsid w:val="00547556"/>
    <w:rsid w:val="005516A3"/>
    <w:rsid w:val="00562248"/>
    <w:rsid w:val="00571EF3"/>
    <w:rsid w:val="005769F9"/>
    <w:rsid w:val="00581CFF"/>
    <w:rsid w:val="005851FE"/>
    <w:rsid w:val="00586FCF"/>
    <w:rsid w:val="00590D60"/>
    <w:rsid w:val="00593365"/>
    <w:rsid w:val="005975E2"/>
    <w:rsid w:val="005A24FF"/>
    <w:rsid w:val="005A7A31"/>
    <w:rsid w:val="005B0882"/>
    <w:rsid w:val="005C1307"/>
    <w:rsid w:val="005C4DC5"/>
    <w:rsid w:val="005D122F"/>
    <w:rsid w:val="005E2BE8"/>
    <w:rsid w:val="005E3A81"/>
    <w:rsid w:val="005E48CA"/>
    <w:rsid w:val="005E508F"/>
    <w:rsid w:val="005E731D"/>
    <w:rsid w:val="005F1C95"/>
    <w:rsid w:val="005F6B74"/>
    <w:rsid w:val="00602D9E"/>
    <w:rsid w:val="00604F3F"/>
    <w:rsid w:val="006153DA"/>
    <w:rsid w:val="006222FA"/>
    <w:rsid w:val="00626B70"/>
    <w:rsid w:val="006334A0"/>
    <w:rsid w:val="006340B1"/>
    <w:rsid w:val="0064346F"/>
    <w:rsid w:val="00653705"/>
    <w:rsid w:val="00654E17"/>
    <w:rsid w:val="00661E83"/>
    <w:rsid w:val="00672DC2"/>
    <w:rsid w:val="00691C31"/>
    <w:rsid w:val="0069273E"/>
    <w:rsid w:val="006B0ACC"/>
    <w:rsid w:val="006B0F7E"/>
    <w:rsid w:val="006B4301"/>
    <w:rsid w:val="006B4BE4"/>
    <w:rsid w:val="006B754F"/>
    <w:rsid w:val="006C0167"/>
    <w:rsid w:val="006C189D"/>
    <w:rsid w:val="006C66B8"/>
    <w:rsid w:val="006D0403"/>
    <w:rsid w:val="006D0C2E"/>
    <w:rsid w:val="006D4722"/>
    <w:rsid w:val="006E4304"/>
    <w:rsid w:val="006F1E67"/>
    <w:rsid w:val="006F25E3"/>
    <w:rsid w:val="00700861"/>
    <w:rsid w:val="00700A4D"/>
    <w:rsid w:val="00701DBD"/>
    <w:rsid w:val="00706867"/>
    <w:rsid w:val="007145DB"/>
    <w:rsid w:val="0071591C"/>
    <w:rsid w:val="00717328"/>
    <w:rsid w:val="0072091D"/>
    <w:rsid w:val="0072213F"/>
    <w:rsid w:val="00722786"/>
    <w:rsid w:val="00746154"/>
    <w:rsid w:val="00746C80"/>
    <w:rsid w:val="00750E4B"/>
    <w:rsid w:val="00753313"/>
    <w:rsid w:val="00760DA9"/>
    <w:rsid w:val="00763D95"/>
    <w:rsid w:val="0077057B"/>
    <w:rsid w:val="00771774"/>
    <w:rsid w:val="00774114"/>
    <w:rsid w:val="00777D25"/>
    <w:rsid w:val="00780DC9"/>
    <w:rsid w:val="0079138E"/>
    <w:rsid w:val="007A004B"/>
    <w:rsid w:val="007A322A"/>
    <w:rsid w:val="007A6AE8"/>
    <w:rsid w:val="007B7EB1"/>
    <w:rsid w:val="007C55DA"/>
    <w:rsid w:val="007D0BA8"/>
    <w:rsid w:val="007D22E5"/>
    <w:rsid w:val="007E4821"/>
    <w:rsid w:val="00800BC2"/>
    <w:rsid w:val="00804491"/>
    <w:rsid w:val="00806350"/>
    <w:rsid w:val="008220C0"/>
    <w:rsid w:val="00822814"/>
    <w:rsid w:val="008403E0"/>
    <w:rsid w:val="008559C9"/>
    <w:rsid w:val="0086438D"/>
    <w:rsid w:val="00872390"/>
    <w:rsid w:val="00872795"/>
    <w:rsid w:val="00875A32"/>
    <w:rsid w:val="00875B64"/>
    <w:rsid w:val="00877E20"/>
    <w:rsid w:val="00884544"/>
    <w:rsid w:val="00884CD9"/>
    <w:rsid w:val="008901E8"/>
    <w:rsid w:val="0089067D"/>
    <w:rsid w:val="00892D54"/>
    <w:rsid w:val="008A23F9"/>
    <w:rsid w:val="008A40E1"/>
    <w:rsid w:val="008A7A54"/>
    <w:rsid w:val="008A7F35"/>
    <w:rsid w:val="008C5E3C"/>
    <w:rsid w:val="008D2C5B"/>
    <w:rsid w:val="008D7090"/>
    <w:rsid w:val="008E5D5C"/>
    <w:rsid w:val="008F11E8"/>
    <w:rsid w:val="008F4477"/>
    <w:rsid w:val="0090384D"/>
    <w:rsid w:val="00921DCA"/>
    <w:rsid w:val="009222AB"/>
    <w:rsid w:val="00923DF9"/>
    <w:rsid w:val="00925868"/>
    <w:rsid w:val="0093184C"/>
    <w:rsid w:val="00932209"/>
    <w:rsid w:val="00932BF2"/>
    <w:rsid w:val="00933C5B"/>
    <w:rsid w:val="00937667"/>
    <w:rsid w:val="00944D0B"/>
    <w:rsid w:val="00951832"/>
    <w:rsid w:val="00960482"/>
    <w:rsid w:val="00974025"/>
    <w:rsid w:val="0097429B"/>
    <w:rsid w:val="00985727"/>
    <w:rsid w:val="00991837"/>
    <w:rsid w:val="00994600"/>
    <w:rsid w:val="00995F38"/>
    <w:rsid w:val="00995FAC"/>
    <w:rsid w:val="009A1E0F"/>
    <w:rsid w:val="009B3697"/>
    <w:rsid w:val="009B66E0"/>
    <w:rsid w:val="009C14C7"/>
    <w:rsid w:val="009C3205"/>
    <w:rsid w:val="009C380C"/>
    <w:rsid w:val="009D1731"/>
    <w:rsid w:val="009D6B05"/>
    <w:rsid w:val="009E36A0"/>
    <w:rsid w:val="009E766B"/>
    <w:rsid w:val="009F03A6"/>
    <w:rsid w:val="009F11C0"/>
    <w:rsid w:val="009F428C"/>
    <w:rsid w:val="009F54A8"/>
    <w:rsid w:val="00A1179F"/>
    <w:rsid w:val="00A12C6F"/>
    <w:rsid w:val="00A13BD8"/>
    <w:rsid w:val="00A14634"/>
    <w:rsid w:val="00A340CE"/>
    <w:rsid w:val="00A34A64"/>
    <w:rsid w:val="00A401D8"/>
    <w:rsid w:val="00A50D25"/>
    <w:rsid w:val="00A53B95"/>
    <w:rsid w:val="00A6294D"/>
    <w:rsid w:val="00A645AA"/>
    <w:rsid w:val="00A76D08"/>
    <w:rsid w:val="00A81149"/>
    <w:rsid w:val="00A9167C"/>
    <w:rsid w:val="00A960D3"/>
    <w:rsid w:val="00A96E80"/>
    <w:rsid w:val="00AA6C49"/>
    <w:rsid w:val="00AC2AEC"/>
    <w:rsid w:val="00AC5338"/>
    <w:rsid w:val="00AE594F"/>
    <w:rsid w:val="00AE7F14"/>
    <w:rsid w:val="00AF53DB"/>
    <w:rsid w:val="00AF6C3B"/>
    <w:rsid w:val="00B04B21"/>
    <w:rsid w:val="00B10C2F"/>
    <w:rsid w:val="00B11C7F"/>
    <w:rsid w:val="00B14BA4"/>
    <w:rsid w:val="00B25673"/>
    <w:rsid w:val="00B34484"/>
    <w:rsid w:val="00B35B6A"/>
    <w:rsid w:val="00B50B46"/>
    <w:rsid w:val="00B51020"/>
    <w:rsid w:val="00B55596"/>
    <w:rsid w:val="00B715A8"/>
    <w:rsid w:val="00B77E77"/>
    <w:rsid w:val="00B87A77"/>
    <w:rsid w:val="00B913BF"/>
    <w:rsid w:val="00B91AAC"/>
    <w:rsid w:val="00B96B7E"/>
    <w:rsid w:val="00BB56E1"/>
    <w:rsid w:val="00BB7DF3"/>
    <w:rsid w:val="00BC1D77"/>
    <w:rsid w:val="00BC5E7D"/>
    <w:rsid w:val="00BC5EB8"/>
    <w:rsid w:val="00BD18FB"/>
    <w:rsid w:val="00BE03F9"/>
    <w:rsid w:val="00BE06FC"/>
    <w:rsid w:val="00BE5DD6"/>
    <w:rsid w:val="00BF04AF"/>
    <w:rsid w:val="00BF5E46"/>
    <w:rsid w:val="00BF7F6F"/>
    <w:rsid w:val="00C13CCA"/>
    <w:rsid w:val="00C244A6"/>
    <w:rsid w:val="00C44DB6"/>
    <w:rsid w:val="00C531BD"/>
    <w:rsid w:val="00C61F1A"/>
    <w:rsid w:val="00C76E1C"/>
    <w:rsid w:val="00C85FE5"/>
    <w:rsid w:val="00C90AD2"/>
    <w:rsid w:val="00C97D36"/>
    <w:rsid w:val="00CA6960"/>
    <w:rsid w:val="00CD1C57"/>
    <w:rsid w:val="00CE06BB"/>
    <w:rsid w:val="00CE137A"/>
    <w:rsid w:val="00CE13B5"/>
    <w:rsid w:val="00CE3B9B"/>
    <w:rsid w:val="00CE5A2F"/>
    <w:rsid w:val="00CF409B"/>
    <w:rsid w:val="00D05FAE"/>
    <w:rsid w:val="00D1207E"/>
    <w:rsid w:val="00D122FF"/>
    <w:rsid w:val="00D16E8A"/>
    <w:rsid w:val="00D47F18"/>
    <w:rsid w:val="00D623D0"/>
    <w:rsid w:val="00D71564"/>
    <w:rsid w:val="00D73179"/>
    <w:rsid w:val="00D77104"/>
    <w:rsid w:val="00D7731F"/>
    <w:rsid w:val="00D82455"/>
    <w:rsid w:val="00D82847"/>
    <w:rsid w:val="00D912DD"/>
    <w:rsid w:val="00D91A1F"/>
    <w:rsid w:val="00D93AC2"/>
    <w:rsid w:val="00D94920"/>
    <w:rsid w:val="00D967E7"/>
    <w:rsid w:val="00D97347"/>
    <w:rsid w:val="00DA7812"/>
    <w:rsid w:val="00DB0483"/>
    <w:rsid w:val="00DB3C79"/>
    <w:rsid w:val="00DB4756"/>
    <w:rsid w:val="00DB4BD7"/>
    <w:rsid w:val="00DB5E0B"/>
    <w:rsid w:val="00DC7042"/>
    <w:rsid w:val="00DE1F4D"/>
    <w:rsid w:val="00DE2CC7"/>
    <w:rsid w:val="00DE73B2"/>
    <w:rsid w:val="00E051D1"/>
    <w:rsid w:val="00E13858"/>
    <w:rsid w:val="00E17045"/>
    <w:rsid w:val="00E2225A"/>
    <w:rsid w:val="00E237B6"/>
    <w:rsid w:val="00E310E4"/>
    <w:rsid w:val="00E37F8B"/>
    <w:rsid w:val="00E40131"/>
    <w:rsid w:val="00E40BEB"/>
    <w:rsid w:val="00E516AF"/>
    <w:rsid w:val="00E55C6F"/>
    <w:rsid w:val="00E64063"/>
    <w:rsid w:val="00E756F5"/>
    <w:rsid w:val="00E91C6D"/>
    <w:rsid w:val="00EA1815"/>
    <w:rsid w:val="00EA7EC4"/>
    <w:rsid w:val="00EA7FA5"/>
    <w:rsid w:val="00EB3AC3"/>
    <w:rsid w:val="00EB52C1"/>
    <w:rsid w:val="00EB6A91"/>
    <w:rsid w:val="00EB7413"/>
    <w:rsid w:val="00EC1B8D"/>
    <w:rsid w:val="00EC36C3"/>
    <w:rsid w:val="00ED0C03"/>
    <w:rsid w:val="00ED4644"/>
    <w:rsid w:val="00ED53D3"/>
    <w:rsid w:val="00ED5E29"/>
    <w:rsid w:val="00EE1E61"/>
    <w:rsid w:val="00EE3B39"/>
    <w:rsid w:val="00EE548E"/>
    <w:rsid w:val="00EF3F5D"/>
    <w:rsid w:val="00EF70AD"/>
    <w:rsid w:val="00F06920"/>
    <w:rsid w:val="00F224C6"/>
    <w:rsid w:val="00F252AC"/>
    <w:rsid w:val="00F263FF"/>
    <w:rsid w:val="00F26DCC"/>
    <w:rsid w:val="00F30222"/>
    <w:rsid w:val="00F35D11"/>
    <w:rsid w:val="00F445C6"/>
    <w:rsid w:val="00F4690F"/>
    <w:rsid w:val="00F46C83"/>
    <w:rsid w:val="00F50A5F"/>
    <w:rsid w:val="00F53866"/>
    <w:rsid w:val="00F5515F"/>
    <w:rsid w:val="00F57612"/>
    <w:rsid w:val="00F7084A"/>
    <w:rsid w:val="00F70D93"/>
    <w:rsid w:val="00F73EA5"/>
    <w:rsid w:val="00F74802"/>
    <w:rsid w:val="00F759CE"/>
    <w:rsid w:val="00F829EC"/>
    <w:rsid w:val="00F85DC9"/>
    <w:rsid w:val="00F85FD7"/>
    <w:rsid w:val="00F8733D"/>
    <w:rsid w:val="00F974B7"/>
    <w:rsid w:val="00FA28D4"/>
    <w:rsid w:val="00FA3E55"/>
    <w:rsid w:val="00FC1D56"/>
    <w:rsid w:val="00FC4614"/>
    <w:rsid w:val="00FC70D9"/>
    <w:rsid w:val="00FD363F"/>
    <w:rsid w:val="00FD3F13"/>
    <w:rsid w:val="00FD4371"/>
    <w:rsid w:val="00FE2191"/>
    <w:rsid w:val="00FF1AE5"/>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484"/>
    <w:rPr>
      <w:sz w:val="24"/>
    </w:rPr>
  </w:style>
  <w:style w:type="paragraph" w:styleId="Heading1">
    <w:name w:val="heading 1"/>
    <w:basedOn w:val="Normal"/>
    <w:next w:val="Normal"/>
    <w:autoRedefine/>
    <w:qFormat/>
    <w:rsid w:val="00B34484"/>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B34484"/>
    <w:pPr>
      <w:keepNext/>
      <w:tabs>
        <w:tab w:val="left" w:pos="4320"/>
      </w:tabs>
      <w:spacing w:after="240"/>
      <w:ind w:left="1440" w:hanging="720"/>
      <w:outlineLvl w:val="1"/>
    </w:pPr>
    <w:rPr>
      <w:rFonts w:ascii="Times New Roman Bold" w:hAnsi="Times New Roman Bold"/>
      <w:b/>
    </w:rPr>
  </w:style>
  <w:style w:type="paragraph" w:styleId="Heading3">
    <w:name w:val="heading 3"/>
    <w:basedOn w:val="Normal"/>
    <w:next w:val="Normal"/>
    <w:link w:val="Heading3Char"/>
    <w:autoRedefine/>
    <w:unhideWhenUsed/>
    <w:qFormat/>
    <w:rsid w:val="00B34484"/>
    <w:pPr>
      <w:keepNext/>
      <w:spacing w:after="240"/>
      <w:ind w:left="2160" w:hanging="720"/>
      <w:outlineLvl w:val="2"/>
    </w:pPr>
    <w:rPr>
      <w:rFonts w:ascii="Times New Roman Bold" w:hAnsi="Times New Roman Bold"/>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ALTS FOOTNOTE,fn"/>
    <w:basedOn w:val="Normal"/>
    <w:link w:val="FootnoteTextChar"/>
    <w:pPr>
      <w:spacing w:before="120"/>
    </w:pPr>
    <w:rPr>
      <w:sz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Header">
    <w:name w:val="header"/>
    <w:basedOn w:val="Normal"/>
    <w:pPr>
      <w:tabs>
        <w:tab w:val="center" w:pos="4320"/>
        <w:tab w:val="right" w:pos="8640"/>
      </w:tabs>
    </w:p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Indent3">
    <w:name w:val="WW-Body Text Indent 3"/>
    <w:basedOn w:val="Normal"/>
    <w:pPr>
      <w:suppressAutoHyphens/>
      <w:spacing w:line="480" w:lineRule="atLeast"/>
      <w:ind w:firstLine="720"/>
    </w:pPr>
    <w:rPr>
      <w:lang w:eastAsia="ar-SA"/>
    </w:rPr>
  </w:style>
  <w:style w:type="character" w:styleId="CommentReference">
    <w:name w:val="annotation reference"/>
    <w:semiHidden/>
    <w:rPr>
      <w:sz w:val="16"/>
      <w:szCs w:val="16"/>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caps">
    <w:name w:val="caps"/>
    <w:basedOn w:val="DefaultParagraphFont"/>
  </w:style>
  <w:style w:type="character" w:customStyle="1" w:styleId="FootnoteTextChar">
    <w:name w:val="Footnote Text Char"/>
    <w:aliases w:val="Footnote Text Char4 Char Char1,Footnote Text Char Char4 Char Char1,Footnote Text Char4 Char1 Char Char Char1,Footnote Text Char Char4 Char1 Char Char Char1,Footnote Text Char5 Char1 Char Char Char Char Char Char1,ALTS FOOTNOTE Char"/>
    <w:link w:val="FootnoteText"/>
    <w:uiPriority w:val="99"/>
    <w:locked/>
    <w:rPr>
      <w:lang w:val="en-US" w:eastAsia="en-US" w:bidi="ar-SA"/>
    </w:rPr>
  </w:style>
  <w:style w:type="paragraph" w:styleId="Date">
    <w:name w:val="Date"/>
    <w:basedOn w:val="Normal"/>
    <w:next w:val="Normal"/>
  </w:style>
  <w:style w:type="paragraph" w:styleId="ListParagraph">
    <w:name w:val="List Paragraph"/>
    <w:basedOn w:val="Normal"/>
    <w:uiPriority w:val="34"/>
    <w:qFormat/>
    <w:rsid w:val="00B913BF"/>
    <w:pPr>
      <w:spacing w:after="200" w:line="276" w:lineRule="auto"/>
      <w:ind w:left="720"/>
      <w:contextualSpacing/>
    </w:pPr>
    <w:rPr>
      <w:rFonts w:ascii="Calibri" w:eastAsia="Calibri" w:hAnsi="Calibri"/>
      <w:sz w:val="22"/>
      <w:szCs w:val="22"/>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2"/>
    <w:uiPriority w:val="99"/>
    <w:semiHidden/>
    <w:locked/>
    <w:rsid w:val="002F076F"/>
    <w:rPr>
      <w:sz w:val="24"/>
      <w:szCs w:val="24"/>
      <w:lang w:val="en-US" w:eastAsia="en-US" w:bidi="ar-SA"/>
    </w:rPr>
  </w:style>
  <w:style w:type="character" w:customStyle="1" w:styleId="FooterChar">
    <w:name w:val="Footer Char"/>
    <w:link w:val="Footer"/>
    <w:uiPriority w:val="99"/>
    <w:rsid w:val="00B77E77"/>
  </w:style>
  <w:style w:type="character" w:customStyle="1" w:styleId="Heading3Char">
    <w:name w:val="Heading 3 Char"/>
    <w:link w:val="Heading3"/>
    <w:rsid w:val="00B34484"/>
    <w:rPr>
      <w:rFonts w:ascii="Times New Roman Bold" w:eastAsia="Times New Roman" w:hAnsi="Times New Roman Bold" w:cs="Times New Roman"/>
      <w:b/>
      <w:bCs/>
      <w:sz w:val="24"/>
      <w:szCs w:val="26"/>
    </w:rPr>
  </w:style>
  <w:style w:type="character" w:customStyle="1" w:styleId="BodyTextChar">
    <w:name w:val="Body Text Char"/>
    <w:link w:val="BodyText"/>
    <w:rsid w:val="00B34484"/>
    <w:rPr>
      <w:sz w:val="24"/>
    </w:rPr>
  </w:style>
  <w:style w:type="character" w:customStyle="1" w:styleId="BodyTextIndentChar">
    <w:name w:val="Body Text Indent Char"/>
    <w:link w:val="BodyTextIndent"/>
    <w:rsid w:val="00B34484"/>
    <w:rPr>
      <w:sz w:val="24"/>
    </w:rPr>
  </w:style>
  <w:style w:type="paragraph" w:styleId="TOC1">
    <w:name w:val="toc 1"/>
    <w:basedOn w:val="Normal"/>
    <w:next w:val="Normal"/>
    <w:autoRedefine/>
    <w:uiPriority w:val="39"/>
    <w:rsid w:val="00872390"/>
    <w:pPr>
      <w:tabs>
        <w:tab w:val="left" w:pos="720"/>
        <w:tab w:val="decimal" w:leader="dot" w:pos="8640"/>
      </w:tabs>
      <w:spacing w:after="120"/>
      <w:ind w:left="720" w:hanging="720"/>
    </w:pPr>
  </w:style>
  <w:style w:type="paragraph" w:styleId="TOC2">
    <w:name w:val="toc 2"/>
    <w:basedOn w:val="Normal"/>
    <w:next w:val="Normal"/>
    <w:autoRedefine/>
    <w:uiPriority w:val="39"/>
    <w:rsid w:val="00872390"/>
    <w:pPr>
      <w:tabs>
        <w:tab w:val="left" w:pos="720"/>
        <w:tab w:val="left" w:pos="1440"/>
        <w:tab w:val="decimal" w:leader="dot" w:pos="8640"/>
      </w:tabs>
      <w:spacing w:after="120"/>
      <w:ind w:left="1440" w:hanging="720"/>
    </w:pPr>
  </w:style>
  <w:style w:type="paragraph" w:styleId="TOC3">
    <w:name w:val="toc 3"/>
    <w:basedOn w:val="Normal"/>
    <w:next w:val="Normal"/>
    <w:autoRedefine/>
    <w:uiPriority w:val="39"/>
    <w:rsid w:val="00872390"/>
    <w:pPr>
      <w:tabs>
        <w:tab w:val="left" w:pos="720"/>
        <w:tab w:val="left" w:pos="1440"/>
        <w:tab w:val="decimal" w:leader="dot" w:pos="8640"/>
      </w:tabs>
      <w:spacing w:after="120"/>
      <w:ind w:left="2160" w:hanging="720"/>
    </w:pPr>
  </w:style>
  <w:style w:type="paragraph" w:styleId="Revision">
    <w:name w:val="Revision"/>
    <w:hidden/>
    <w:uiPriority w:val="99"/>
    <w:semiHidden/>
    <w:rsid w:val="008D2C5B"/>
    <w:rPr>
      <w:sz w:val="24"/>
    </w:rPr>
  </w:style>
  <w:style w:type="character" w:customStyle="1" w:styleId="term1">
    <w:name w:val="term1"/>
    <w:basedOn w:val="DefaultParagraphFont"/>
    <w:rsid w:val="00B96B7E"/>
    <w:rPr>
      <w:b/>
      <w:bCs/>
    </w:rPr>
  </w:style>
  <w:style w:type="character" w:customStyle="1" w:styleId="FootnoteTextChar3">
    <w:name w:val="Footnote Text Char3"/>
    <w:aliases w:val="Footnote Text Char1 Char1,Footnote Text Char Char Char1,Footnote Text Char1 Char Char1 Char1,Footnote Text Char Char Char Char Char1,Footnote Text Char2 Char Char Char Char1 Char1,Footnote Text Char1 Char Char1 Char Char Char Char1"/>
    <w:uiPriority w:val="99"/>
    <w:locked/>
    <w:rsid w:val="009A1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484"/>
    <w:rPr>
      <w:sz w:val="24"/>
    </w:rPr>
  </w:style>
  <w:style w:type="paragraph" w:styleId="Heading1">
    <w:name w:val="heading 1"/>
    <w:basedOn w:val="Normal"/>
    <w:next w:val="Normal"/>
    <w:autoRedefine/>
    <w:qFormat/>
    <w:rsid w:val="00B34484"/>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B34484"/>
    <w:pPr>
      <w:keepNext/>
      <w:tabs>
        <w:tab w:val="left" w:pos="4320"/>
      </w:tabs>
      <w:spacing w:after="240"/>
      <w:ind w:left="1440" w:hanging="720"/>
      <w:outlineLvl w:val="1"/>
    </w:pPr>
    <w:rPr>
      <w:rFonts w:ascii="Times New Roman Bold" w:hAnsi="Times New Roman Bold"/>
      <w:b/>
    </w:rPr>
  </w:style>
  <w:style w:type="paragraph" w:styleId="Heading3">
    <w:name w:val="heading 3"/>
    <w:basedOn w:val="Normal"/>
    <w:next w:val="Normal"/>
    <w:link w:val="Heading3Char"/>
    <w:autoRedefine/>
    <w:unhideWhenUsed/>
    <w:qFormat/>
    <w:rsid w:val="00B34484"/>
    <w:pPr>
      <w:keepNext/>
      <w:spacing w:after="240"/>
      <w:ind w:left="2160" w:hanging="720"/>
      <w:outlineLvl w:val="2"/>
    </w:pPr>
    <w:rPr>
      <w:rFonts w:ascii="Times New Roman Bold" w:hAnsi="Times New Roman Bold"/>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ALTS FOOTNOTE,fn"/>
    <w:basedOn w:val="Normal"/>
    <w:link w:val="FootnoteTextChar"/>
    <w:pPr>
      <w:spacing w:before="120"/>
    </w:pPr>
    <w:rPr>
      <w:sz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Header">
    <w:name w:val="header"/>
    <w:basedOn w:val="Normal"/>
    <w:pPr>
      <w:tabs>
        <w:tab w:val="center" w:pos="4320"/>
        <w:tab w:val="right" w:pos="8640"/>
      </w:tabs>
    </w:p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Indent3">
    <w:name w:val="WW-Body Text Indent 3"/>
    <w:basedOn w:val="Normal"/>
    <w:pPr>
      <w:suppressAutoHyphens/>
      <w:spacing w:line="480" w:lineRule="atLeast"/>
      <w:ind w:firstLine="720"/>
    </w:pPr>
    <w:rPr>
      <w:lang w:eastAsia="ar-SA"/>
    </w:rPr>
  </w:style>
  <w:style w:type="character" w:styleId="CommentReference">
    <w:name w:val="annotation reference"/>
    <w:semiHidden/>
    <w:rPr>
      <w:sz w:val="16"/>
      <w:szCs w:val="16"/>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caps">
    <w:name w:val="caps"/>
    <w:basedOn w:val="DefaultParagraphFont"/>
  </w:style>
  <w:style w:type="character" w:customStyle="1" w:styleId="FootnoteTextChar">
    <w:name w:val="Footnote Text Char"/>
    <w:aliases w:val="Footnote Text Char4 Char Char1,Footnote Text Char Char4 Char Char1,Footnote Text Char4 Char1 Char Char Char1,Footnote Text Char Char4 Char1 Char Char Char1,Footnote Text Char5 Char1 Char Char Char Char Char Char1,ALTS FOOTNOTE Char"/>
    <w:link w:val="FootnoteText"/>
    <w:uiPriority w:val="99"/>
    <w:locked/>
    <w:rPr>
      <w:lang w:val="en-US" w:eastAsia="en-US" w:bidi="ar-SA"/>
    </w:rPr>
  </w:style>
  <w:style w:type="paragraph" w:styleId="Date">
    <w:name w:val="Date"/>
    <w:basedOn w:val="Normal"/>
    <w:next w:val="Normal"/>
  </w:style>
  <w:style w:type="paragraph" w:styleId="ListParagraph">
    <w:name w:val="List Paragraph"/>
    <w:basedOn w:val="Normal"/>
    <w:uiPriority w:val="34"/>
    <w:qFormat/>
    <w:rsid w:val="00B913BF"/>
    <w:pPr>
      <w:spacing w:after="200" w:line="276" w:lineRule="auto"/>
      <w:ind w:left="720"/>
      <w:contextualSpacing/>
    </w:pPr>
    <w:rPr>
      <w:rFonts w:ascii="Calibri" w:eastAsia="Calibri" w:hAnsi="Calibri"/>
      <w:sz w:val="22"/>
      <w:szCs w:val="22"/>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2"/>
    <w:uiPriority w:val="99"/>
    <w:semiHidden/>
    <w:locked/>
    <w:rsid w:val="002F076F"/>
    <w:rPr>
      <w:sz w:val="24"/>
      <w:szCs w:val="24"/>
      <w:lang w:val="en-US" w:eastAsia="en-US" w:bidi="ar-SA"/>
    </w:rPr>
  </w:style>
  <w:style w:type="character" w:customStyle="1" w:styleId="FooterChar">
    <w:name w:val="Footer Char"/>
    <w:link w:val="Footer"/>
    <w:uiPriority w:val="99"/>
    <w:rsid w:val="00B77E77"/>
  </w:style>
  <w:style w:type="character" w:customStyle="1" w:styleId="Heading3Char">
    <w:name w:val="Heading 3 Char"/>
    <w:link w:val="Heading3"/>
    <w:rsid w:val="00B34484"/>
    <w:rPr>
      <w:rFonts w:ascii="Times New Roman Bold" w:eastAsia="Times New Roman" w:hAnsi="Times New Roman Bold" w:cs="Times New Roman"/>
      <w:b/>
      <w:bCs/>
      <w:sz w:val="24"/>
      <w:szCs w:val="26"/>
    </w:rPr>
  </w:style>
  <w:style w:type="character" w:customStyle="1" w:styleId="BodyTextChar">
    <w:name w:val="Body Text Char"/>
    <w:link w:val="BodyText"/>
    <w:rsid w:val="00B34484"/>
    <w:rPr>
      <w:sz w:val="24"/>
    </w:rPr>
  </w:style>
  <w:style w:type="character" w:customStyle="1" w:styleId="BodyTextIndentChar">
    <w:name w:val="Body Text Indent Char"/>
    <w:link w:val="BodyTextIndent"/>
    <w:rsid w:val="00B34484"/>
    <w:rPr>
      <w:sz w:val="24"/>
    </w:rPr>
  </w:style>
  <w:style w:type="paragraph" w:styleId="TOC1">
    <w:name w:val="toc 1"/>
    <w:basedOn w:val="Normal"/>
    <w:next w:val="Normal"/>
    <w:autoRedefine/>
    <w:uiPriority w:val="39"/>
    <w:rsid w:val="00872390"/>
    <w:pPr>
      <w:tabs>
        <w:tab w:val="left" w:pos="720"/>
        <w:tab w:val="decimal" w:leader="dot" w:pos="8640"/>
      </w:tabs>
      <w:spacing w:after="120"/>
      <w:ind w:left="720" w:hanging="720"/>
    </w:pPr>
  </w:style>
  <w:style w:type="paragraph" w:styleId="TOC2">
    <w:name w:val="toc 2"/>
    <w:basedOn w:val="Normal"/>
    <w:next w:val="Normal"/>
    <w:autoRedefine/>
    <w:uiPriority w:val="39"/>
    <w:rsid w:val="00872390"/>
    <w:pPr>
      <w:tabs>
        <w:tab w:val="left" w:pos="720"/>
        <w:tab w:val="left" w:pos="1440"/>
        <w:tab w:val="decimal" w:leader="dot" w:pos="8640"/>
      </w:tabs>
      <w:spacing w:after="120"/>
      <w:ind w:left="1440" w:hanging="720"/>
    </w:pPr>
  </w:style>
  <w:style w:type="paragraph" w:styleId="TOC3">
    <w:name w:val="toc 3"/>
    <w:basedOn w:val="Normal"/>
    <w:next w:val="Normal"/>
    <w:autoRedefine/>
    <w:uiPriority w:val="39"/>
    <w:rsid w:val="00872390"/>
    <w:pPr>
      <w:tabs>
        <w:tab w:val="left" w:pos="720"/>
        <w:tab w:val="left" w:pos="1440"/>
        <w:tab w:val="decimal" w:leader="dot" w:pos="8640"/>
      </w:tabs>
      <w:spacing w:after="120"/>
      <w:ind w:left="2160" w:hanging="720"/>
    </w:pPr>
  </w:style>
  <w:style w:type="paragraph" w:styleId="Revision">
    <w:name w:val="Revision"/>
    <w:hidden/>
    <w:uiPriority w:val="99"/>
    <w:semiHidden/>
    <w:rsid w:val="008D2C5B"/>
    <w:rPr>
      <w:sz w:val="24"/>
    </w:rPr>
  </w:style>
  <w:style w:type="character" w:customStyle="1" w:styleId="term1">
    <w:name w:val="term1"/>
    <w:basedOn w:val="DefaultParagraphFont"/>
    <w:rsid w:val="00B96B7E"/>
    <w:rPr>
      <w:b/>
      <w:bCs/>
    </w:rPr>
  </w:style>
  <w:style w:type="character" w:customStyle="1" w:styleId="FootnoteTextChar3">
    <w:name w:val="Footnote Text Char3"/>
    <w:aliases w:val="Footnote Text Char1 Char1,Footnote Text Char Char Char1,Footnote Text Char1 Char Char1 Char1,Footnote Text Char Char Char Char Char1,Footnote Text Char2 Char Char Char Char1 Char1,Footnote Text Char1 Char Char1 Char Char Char Char1"/>
    <w:uiPriority w:val="99"/>
    <w:locked/>
    <w:rsid w:val="009A1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4587">
      <w:bodyDiv w:val="1"/>
      <w:marLeft w:val="0"/>
      <w:marRight w:val="0"/>
      <w:marTop w:val="0"/>
      <w:marBottom w:val="0"/>
      <w:divBdr>
        <w:top w:val="none" w:sz="0" w:space="0" w:color="auto"/>
        <w:left w:val="none" w:sz="0" w:space="0" w:color="auto"/>
        <w:bottom w:val="none" w:sz="0" w:space="0" w:color="auto"/>
        <w:right w:val="none" w:sz="0" w:space="0" w:color="auto"/>
      </w:divBdr>
    </w:div>
    <w:div w:id="323242531">
      <w:bodyDiv w:val="1"/>
      <w:marLeft w:val="0"/>
      <w:marRight w:val="0"/>
      <w:marTop w:val="0"/>
      <w:marBottom w:val="0"/>
      <w:divBdr>
        <w:top w:val="none" w:sz="0" w:space="0" w:color="auto"/>
        <w:left w:val="none" w:sz="0" w:space="0" w:color="auto"/>
        <w:bottom w:val="none" w:sz="0" w:space="0" w:color="auto"/>
        <w:right w:val="none" w:sz="0" w:space="0" w:color="auto"/>
      </w:divBdr>
    </w:div>
    <w:div w:id="358049981">
      <w:bodyDiv w:val="1"/>
      <w:marLeft w:val="0"/>
      <w:marRight w:val="0"/>
      <w:marTop w:val="0"/>
      <w:marBottom w:val="0"/>
      <w:divBdr>
        <w:top w:val="none" w:sz="0" w:space="0" w:color="auto"/>
        <w:left w:val="none" w:sz="0" w:space="0" w:color="auto"/>
        <w:bottom w:val="none" w:sz="0" w:space="0" w:color="auto"/>
        <w:right w:val="none" w:sz="0" w:space="0" w:color="auto"/>
      </w:divBdr>
    </w:div>
    <w:div w:id="567805267">
      <w:bodyDiv w:val="1"/>
      <w:marLeft w:val="0"/>
      <w:marRight w:val="0"/>
      <w:marTop w:val="0"/>
      <w:marBottom w:val="0"/>
      <w:divBdr>
        <w:top w:val="none" w:sz="0" w:space="0" w:color="auto"/>
        <w:left w:val="none" w:sz="0" w:space="0" w:color="auto"/>
        <w:bottom w:val="none" w:sz="0" w:space="0" w:color="auto"/>
        <w:right w:val="none" w:sz="0" w:space="0" w:color="auto"/>
      </w:divBdr>
    </w:div>
    <w:div w:id="673150621">
      <w:bodyDiv w:val="1"/>
      <w:marLeft w:val="48"/>
      <w:marRight w:val="48"/>
      <w:marTop w:val="48"/>
      <w:marBottom w:val="12"/>
      <w:divBdr>
        <w:top w:val="none" w:sz="0" w:space="0" w:color="auto"/>
        <w:left w:val="none" w:sz="0" w:space="0" w:color="auto"/>
        <w:bottom w:val="none" w:sz="0" w:space="0" w:color="auto"/>
        <w:right w:val="none" w:sz="0" w:space="0" w:color="auto"/>
      </w:divBdr>
      <w:divsChild>
        <w:div w:id="391739148">
          <w:marLeft w:val="0"/>
          <w:marRight w:val="0"/>
          <w:marTop w:val="0"/>
          <w:marBottom w:val="0"/>
          <w:divBdr>
            <w:top w:val="none" w:sz="0" w:space="0" w:color="auto"/>
            <w:left w:val="none" w:sz="0" w:space="0" w:color="auto"/>
            <w:bottom w:val="none" w:sz="0" w:space="0" w:color="auto"/>
            <w:right w:val="none" w:sz="0" w:space="0" w:color="auto"/>
          </w:divBdr>
        </w:div>
        <w:div w:id="429013977">
          <w:marLeft w:val="0"/>
          <w:marRight w:val="0"/>
          <w:marTop w:val="0"/>
          <w:marBottom w:val="0"/>
          <w:divBdr>
            <w:top w:val="none" w:sz="0" w:space="0" w:color="auto"/>
            <w:left w:val="none" w:sz="0" w:space="0" w:color="auto"/>
            <w:bottom w:val="none" w:sz="0" w:space="0" w:color="auto"/>
            <w:right w:val="none" w:sz="0" w:space="0" w:color="auto"/>
          </w:divBdr>
        </w:div>
        <w:div w:id="468982400">
          <w:marLeft w:val="0"/>
          <w:marRight w:val="0"/>
          <w:marTop w:val="0"/>
          <w:marBottom w:val="0"/>
          <w:divBdr>
            <w:top w:val="none" w:sz="0" w:space="0" w:color="auto"/>
            <w:left w:val="none" w:sz="0" w:space="0" w:color="auto"/>
            <w:bottom w:val="none" w:sz="0" w:space="0" w:color="auto"/>
            <w:right w:val="none" w:sz="0" w:space="0" w:color="auto"/>
          </w:divBdr>
        </w:div>
        <w:div w:id="713391440">
          <w:marLeft w:val="0"/>
          <w:marRight w:val="0"/>
          <w:marTop w:val="0"/>
          <w:marBottom w:val="0"/>
          <w:divBdr>
            <w:top w:val="none" w:sz="0" w:space="0" w:color="auto"/>
            <w:left w:val="none" w:sz="0" w:space="0" w:color="auto"/>
            <w:bottom w:val="none" w:sz="0" w:space="0" w:color="auto"/>
            <w:right w:val="none" w:sz="0" w:space="0" w:color="auto"/>
          </w:divBdr>
        </w:div>
        <w:div w:id="2062752407">
          <w:marLeft w:val="0"/>
          <w:marRight w:val="0"/>
          <w:marTop w:val="0"/>
          <w:marBottom w:val="0"/>
          <w:divBdr>
            <w:top w:val="none" w:sz="0" w:space="0" w:color="auto"/>
            <w:left w:val="none" w:sz="0" w:space="0" w:color="auto"/>
            <w:bottom w:val="none" w:sz="0" w:space="0" w:color="auto"/>
            <w:right w:val="none" w:sz="0" w:space="0" w:color="auto"/>
          </w:divBdr>
        </w:div>
      </w:divsChild>
    </w:div>
    <w:div w:id="759179504">
      <w:bodyDiv w:val="1"/>
      <w:marLeft w:val="0"/>
      <w:marRight w:val="0"/>
      <w:marTop w:val="0"/>
      <w:marBottom w:val="0"/>
      <w:divBdr>
        <w:top w:val="none" w:sz="0" w:space="0" w:color="auto"/>
        <w:left w:val="none" w:sz="0" w:space="0" w:color="auto"/>
        <w:bottom w:val="none" w:sz="0" w:space="0" w:color="auto"/>
        <w:right w:val="none" w:sz="0" w:space="0" w:color="auto"/>
      </w:divBdr>
    </w:div>
    <w:div w:id="948393818">
      <w:bodyDiv w:val="1"/>
      <w:marLeft w:val="0"/>
      <w:marRight w:val="0"/>
      <w:marTop w:val="0"/>
      <w:marBottom w:val="0"/>
      <w:divBdr>
        <w:top w:val="none" w:sz="0" w:space="0" w:color="auto"/>
        <w:left w:val="none" w:sz="0" w:space="0" w:color="auto"/>
        <w:bottom w:val="none" w:sz="0" w:space="0" w:color="auto"/>
        <w:right w:val="none" w:sz="0" w:space="0" w:color="auto"/>
      </w:divBdr>
    </w:div>
    <w:div w:id="111005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8293</Characters>
  <Application>Microsoft Office Word</Application>
  <DocSecurity>0</DocSecurity>
  <Lines>259</Lines>
  <Paragraphs>120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9748</CharactersWithSpaces>
  <SharedDoc>false</SharedDoc>
  <HyperlinkBase> </HyperlinkBase>
  <HLinks>
    <vt:vector size="30" baseType="variant">
      <vt:variant>
        <vt:i4>1900596</vt:i4>
      </vt:variant>
      <vt:variant>
        <vt:i4>12</vt:i4>
      </vt:variant>
      <vt:variant>
        <vt:i4>0</vt:i4>
      </vt:variant>
      <vt:variant>
        <vt:i4>5</vt:i4>
      </vt:variant>
      <vt:variant>
        <vt:lpwstr>mailto:stnourse@aep.com</vt:lpwstr>
      </vt:variant>
      <vt:variant>
        <vt:lpwstr/>
      </vt:variant>
      <vt:variant>
        <vt:i4>1900596</vt:i4>
      </vt:variant>
      <vt:variant>
        <vt:i4>9</vt:i4>
      </vt:variant>
      <vt:variant>
        <vt:i4>0</vt:i4>
      </vt:variant>
      <vt:variant>
        <vt:i4>5</vt:i4>
      </vt:variant>
      <vt:variant>
        <vt:lpwstr>mailto:stnourse@aep.com</vt:lpwstr>
      </vt:variant>
      <vt:variant>
        <vt:lpwstr/>
      </vt:variant>
      <vt:variant>
        <vt:i4>2293828</vt:i4>
      </vt:variant>
      <vt:variant>
        <vt:i4>6</vt:i4>
      </vt:variant>
      <vt:variant>
        <vt:i4>0</vt:i4>
      </vt:variant>
      <vt:variant>
        <vt:i4>5</vt:i4>
      </vt:variant>
      <vt:variant>
        <vt:lpwstr>mailto:William.wright@puc.state.oh.us</vt:lpwstr>
      </vt:variant>
      <vt:variant>
        <vt:lpwstr/>
      </vt:variant>
      <vt:variant>
        <vt:i4>3014663</vt:i4>
      </vt:variant>
      <vt:variant>
        <vt:i4>3</vt:i4>
      </vt:variant>
      <vt:variant>
        <vt:i4>0</vt:i4>
      </vt:variant>
      <vt:variant>
        <vt:i4>5</vt:i4>
      </vt:variant>
      <vt:variant>
        <vt:lpwstr>mailto:schuler@occ.state.oh.us</vt:lpwstr>
      </vt:variant>
      <vt:variant>
        <vt:lpwstr/>
      </vt:variant>
      <vt:variant>
        <vt:i4>3014663</vt:i4>
      </vt:variant>
      <vt:variant>
        <vt:i4>0</vt:i4>
      </vt:variant>
      <vt:variant>
        <vt:i4>0</vt:i4>
      </vt:variant>
      <vt:variant>
        <vt:i4>5</vt:i4>
      </vt:variant>
      <vt:variant>
        <vt:lpwstr>mailto:schuler@occ.state.oh.us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2014-02-19T22:00:00Z</cp:lastPrinted>
  <dcterms:created xsi:type="dcterms:W3CDTF">2014-02-19T22:21:00Z</dcterms:created>
  <dcterms:modified xsi:type="dcterms:W3CDTF">2014-02-19T22:21:00Z</dcterms:modified>
  <cp:category> </cp:category>
  <cp:contentStatus> </cp:contentStatus>
</cp:coreProperties>
</file>