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9F1A5" w14:textId="77777777" w:rsidR="00611D4F" w:rsidRPr="00611D4F" w:rsidRDefault="00611D4F" w:rsidP="00611D4F">
      <w:pPr>
        <w:pStyle w:val="Title"/>
        <w:rPr>
          <w:szCs w:val="32"/>
        </w:rPr>
      </w:pPr>
      <w:bookmarkStart w:id="0" w:name="OLE_LINK1"/>
      <w:bookmarkStart w:id="1" w:name="OLE_LINK2"/>
      <w:bookmarkStart w:id="2" w:name="_GoBack"/>
      <w:bookmarkEnd w:id="2"/>
      <w:r w:rsidRPr="00611D4F">
        <w:rPr>
          <w:szCs w:val="32"/>
        </w:rPr>
        <w:t>Before</w:t>
      </w:r>
    </w:p>
    <w:p w14:paraId="5798226E" w14:textId="77777777" w:rsidR="00611D4F" w:rsidRPr="00611D4F" w:rsidRDefault="00611D4F" w:rsidP="00326213">
      <w:pPr>
        <w:spacing w:line="240" w:lineRule="auto"/>
        <w:jc w:val="center"/>
        <w:rPr>
          <w:b/>
          <w:smallCaps/>
          <w:sz w:val="32"/>
          <w:szCs w:val="32"/>
        </w:rPr>
      </w:pPr>
      <w:r w:rsidRPr="00611D4F">
        <w:rPr>
          <w:b/>
          <w:smallCaps/>
          <w:sz w:val="32"/>
          <w:szCs w:val="32"/>
        </w:rPr>
        <w:t>The Public Utilities Commission of Ohio</w:t>
      </w:r>
    </w:p>
    <w:p w14:paraId="026DA77D" w14:textId="77777777" w:rsidR="00611D4F" w:rsidRDefault="00611D4F" w:rsidP="00326213">
      <w:pPr>
        <w:autoSpaceDE w:val="0"/>
        <w:autoSpaceDN w:val="0"/>
        <w:adjustRightInd w:val="0"/>
        <w:spacing w:line="240" w:lineRule="auto"/>
        <w:rPr>
          <w:sz w:val="32"/>
          <w:szCs w:val="32"/>
        </w:rPr>
      </w:pPr>
    </w:p>
    <w:p w14:paraId="11482CFA" w14:textId="77777777" w:rsidR="00326213" w:rsidRPr="00611D4F" w:rsidRDefault="00326213" w:rsidP="00326213">
      <w:pPr>
        <w:autoSpaceDE w:val="0"/>
        <w:autoSpaceDN w:val="0"/>
        <w:adjustRightInd w:val="0"/>
        <w:spacing w:line="240" w:lineRule="auto"/>
        <w:rPr>
          <w:sz w:val="32"/>
          <w:szCs w:val="32"/>
        </w:rPr>
      </w:pPr>
    </w:p>
    <w:p w14:paraId="461DC146"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7E8C66B4"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16-395-EL-RDR</w:t>
      </w:r>
    </w:p>
    <w:p w14:paraId="6B4D0425"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for Approva</w:t>
      </w:r>
      <w:r>
        <w:rPr>
          <w:bCs/>
        </w:rPr>
        <w:t>l of Its Electric Security Plan</w:t>
      </w:r>
      <w:r w:rsidRPr="00650FF5">
        <w:rPr>
          <w:bCs/>
        </w:rPr>
        <w:tab/>
        <w:t>)</w:t>
      </w:r>
    </w:p>
    <w:p w14:paraId="04A4E9EB" w14:textId="77777777" w:rsidR="00961860" w:rsidRPr="00650FF5" w:rsidRDefault="00961860" w:rsidP="00961860">
      <w:pPr>
        <w:tabs>
          <w:tab w:val="left" w:pos="4500"/>
          <w:tab w:val="left" w:pos="5220"/>
        </w:tabs>
        <w:autoSpaceDE w:val="0"/>
        <w:autoSpaceDN w:val="0"/>
        <w:adjustRightInd w:val="0"/>
        <w:spacing w:line="240" w:lineRule="auto"/>
        <w:rPr>
          <w:bCs/>
        </w:rPr>
      </w:pPr>
    </w:p>
    <w:p w14:paraId="45AE9431"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55780201"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16-396-EL-ATA</w:t>
      </w:r>
    </w:p>
    <w:p w14:paraId="77F1B0E8"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for Approval of Revised Tariffs</w:t>
      </w:r>
      <w:r w:rsidRPr="00650FF5">
        <w:rPr>
          <w:bCs/>
        </w:rPr>
        <w:tab/>
        <w:t>)</w:t>
      </w:r>
    </w:p>
    <w:p w14:paraId="0E1CBE9A" w14:textId="77777777" w:rsidR="00961860" w:rsidRPr="00650FF5" w:rsidRDefault="00961860" w:rsidP="00961860">
      <w:pPr>
        <w:tabs>
          <w:tab w:val="left" w:pos="4500"/>
          <w:tab w:val="left" w:pos="5220"/>
        </w:tabs>
        <w:autoSpaceDE w:val="0"/>
        <w:autoSpaceDN w:val="0"/>
        <w:adjustRightInd w:val="0"/>
        <w:spacing w:line="240" w:lineRule="auto"/>
        <w:rPr>
          <w:bCs/>
        </w:rPr>
      </w:pPr>
    </w:p>
    <w:p w14:paraId="7FC8D968"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57496537"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16-397-EL-AAM</w:t>
      </w:r>
    </w:p>
    <w:p w14:paraId="35BCC154"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for Approval of Certain Accounting</w:t>
      </w:r>
      <w:r w:rsidRPr="00650FF5">
        <w:rPr>
          <w:bCs/>
        </w:rPr>
        <w:tab/>
        <w:t>)</w:t>
      </w:r>
    </w:p>
    <w:p w14:paraId="25517EE5"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 xml:space="preserve">Authority Pursuant to Ohio Rev. </w:t>
      </w:r>
      <w:r w:rsidRPr="00650FF5">
        <w:rPr>
          <w:bCs/>
        </w:rPr>
        <w:tab/>
        <w:t>)</w:t>
      </w:r>
    </w:p>
    <w:p w14:paraId="427DE6B1" w14:textId="77777777" w:rsidR="00961860" w:rsidRPr="00650FF5" w:rsidRDefault="00961860" w:rsidP="00961860">
      <w:pPr>
        <w:tabs>
          <w:tab w:val="left" w:pos="4500"/>
          <w:tab w:val="left" w:pos="5220"/>
        </w:tabs>
        <w:autoSpaceDE w:val="0"/>
        <w:autoSpaceDN w:val="0"/>
        <w:adjustRightInd w:val="0"/>
        <w:spacing w:line="240" w:lineRule="auto"/>
        <w:rPr>
          <w:bCs/>
        </w:rPr>
      </w:pPr>
      <w:r w:rsidRPr="00650FF5">
        <w:rPr>
          <w:bCs/>
        </w:rPr>
        <w:t>Code §4905.13</w:t>
      </w:r>
      <w:r w:rsidRPr="00650FF5">
        <w:rPr>
          <w:bCs/>
        </w:rPr>
        <w:tab/>
        <w:t>)</w:t>
      </w:r>
    </w:p>
    <w:p w14:paraId="356A9826" w14:textId="77777777" w:rsidR="00E600E7" w:rsidRDefault="00E600E7" w:rsidP="00326213">
      <w:pPr>
        <w:tabs>
          <w:tab w:val="left" w:pos="5220"/>
          <w:tab w:val="left" w:pos="5580"/>
        </w:tabs>
        <w:autoSpaceDE w:val="0"/>
        <w:autoSpaceDN w:val="0"/>
        <w:adjustRightInd w:val="0"/>
        <w:spacing w:line="240" w:lineRule="auto"/>
        <w:rPr>
          <w:bCs/>
          <w:sz w:val="28"/>
          <w:szCs w:val="28"/>
        </w:rPr>
      </w:pPr>
    </w:p>
    <w:p w14:paraId="7307E36C" w14:textId="77777777" w:rsidR="00961860" w:rsidRDefault="00961860" w:rsidP="00326213">
      <w:pPr>
        <w:tabs>
          <w:tab w:val="left" w:pos="5220"/>
          <w:tab w:val="left" w:pos="5580"/>
        </w:tabs>
        <w:autoSpaceDE w:val="0"/>
        <w:autoSpaceDN w:val="0"/>
        <w:adjustRightInd w:val="0"/>
        <w:spacing w:line="240" w:lineRule="auto"/>
        <w:rPr>
          <w:bCs/>
          <w:sz w:val="28"/>
          <w:szCs w:val="28"/>
        </w:rPr>
      </w:pPr>
    </w:p>
    <w:p w14:paraId="10AC9F3F" w14:textId="77777777" w:rsidR="00961860" w:rsidRDefault="00961860" w:rsidP="00326213">
      <w:pPr>
        <w:tabs>
          <w:tab w:val="left" w:pos="5220"/>
          <w:tab w:val="left" w:pos="5580"/>
        </w:tabs>
        <w:autoSpaceDE w:val="0"/>
        <w:autoSpaceDN w:val="0"/>
        <w:adjustRightInd w:val="0"/>
        <w:spacing w:line="240" w:lineRule="auto"/>
        <w:rPr>
          <w:bCs/>
          <w:sz w:val="28"/>
          <w:szCs w:val="28"/>
        </w:rPr>
      </w:pPr>
    </w:p>
    <w:p w14:paraId="08CBE7C9" w14:textId="77777777" w:rsidR="00611D4F" w:rsidRDefault="00611D4F" w:rsidP="00611D4F">
      <w:pPr>
        <w:pStyle w:val="BodyText"/>
        <w:tabs>
          <w:tab w:val="left" w:pos="5040"/>
        </w:tabs>
        <w:spacing w:after="0" w:line="240" w:lineRule="auto"/>
        <w:rPr>
          <w:sz w:val="28"/>
        </w:rPr>
      </w:pPr>
    </w:p>
    <w:p w14:paraId="12E56387" w14:textId="77777777" w:rsidR="00611D4F" w:rsidRPr="009D6784" w:rsidRDefault="00611D4F" w:rsidP="00611D4F">
      <w:pPr>
        <w:pBdr>
          <w:top w:val="single" w:sz="12" w:space="1" w:color="auto"/>
        </w:pBdr>
        <w:spacing w:line="240" w:lineRule="auto"/>
        <w:rPr>
          <w:sz w:val="20"/>
          <w:szCs w:val="20"/>
          <w:highlight w:val="yellow"/>
        </w:rPr>
      </w:pPr>
    </w:p>
    <w:p w14:paraId="01EBDC84" w14:textId="08CB1284" w:rsidR="00611D4F" w:rsidRPr="00611D4F" w:rsidRDefault="00611D4F" w:rsidP="00611D4F">
      <w:pPr>
        <w:spacing w:line="240" w:lineRule="auto"/>
        <w:jc w:val="center"/>
        <w:rPr>
          <w:b/>
          <w:smallCaps/>
          <w:sz w:val="32"/>
        </w:rPr>
      </w:pPr>
      <w:r>
        <w:rPr>
          <w:b/>
          <w:smallCaps/>
          <w:sz w:val="32"/>
        </w:rPr>
        <w:t>Reply of Industrial Energy U</w:t>
      </w:r>
      <w:r w:rsidRPr="00611D4F">
        <w:rPr>
          <w:b/>
          <w:smallCaps/>
          <w:sz w:val="32"/>
        </w:rPr>
        <w:t>sers-Ohio</w:t>
      </w:r>
    </w:p>
    <w:p w14:paraId="3F66B793" w14:textId="77777777" w:rsidR="00611D4F" w:rsidRPr="00611D4F" w:rsidRDefault="00611D4F" w:rsidP="00611D4F">
      <w:pPr>
        <w:spacing w:line="240" w:lineRule="auto"/>
        <w:jc w:val="center"/>
        <w:rPr>
          <w:b/>
          <w:smallCaps/>
          <w:sz w:val="32"/>
        </w:rPr>
      </w:pPr>
      <w:r w:rsidRPr="00611D4F">
        <w:rPr>
          <w:b/>
          <w:smallCaps/>
          <w:sz w:val="32"/>
        </w:rPr>
        <w:t>To The Dayton Power and Light Company’s</w:t>
      </w:r>
    </w:p>
    <w:p w14:paraId="1ECB4AD4" w14:textId="6A2DECB3" w:rsidR="00611D4F" w:rsidRPr="00611D4F" w:rsidRDefault="00611D4F" w:rsidP="00611D4F">
      <w:pPr>
        <w:spacing w:line="240" w:lineRule="auto"/>
        <w:jc w:val="center"/>
        <w:rPr>
          <w:b/>
          <w:smallCaps/>
          <w:sz w:val="32"/>
          <w:szCs w:val="28"/>
        </w:rPr>
      </w:pPr>
      <w:r w:rsidRPr="00611D4F">
        <w:rPr>
          <w:b/>
          <w:smallCaps/>
          <w:sz w:val="32"/>
        </w:rPr>
        <w:t>Memorandum in Opposition</w:t>
      </w:r>
    </w:p>
    <w:bookmarkEnd w:id="0"/>
    <w:bookmarkEnd w:id="1"/>
    <w:p w14:paraId="7802735D" w14:textId="77777777" w:rsidR="00611D4F" w:rsidRPr="009D6784" w:rsidRDefault="00611D4F" w:rsidP="00611D4F">
      <w:pPr>
        <w:pStyle w:val="Title"/>
        <w:pBdr>
          <w:bottom w:val="single" w:sz="12" w:space="1" w:color="auto"/>
        </w:pBdr>
        <w:rPr>
          <w:sz w:val="20"/>
          <w:szCs w:val="20"/>
          <w:u w:val="single"/>
        </w:rPr>
      </w:pPr>
    </w:p>
    <w:p w14:paraId="1110BA83" w14:textId="77777777" w:rsidR="00611D4F" w:rsidRDefault="00611D4F" w:rsidP="00611D4F">
      <w:pPr>
        <w:pStyle w:val="Title"/>
        <w:rPr>
          <w:sz w:val="28"/>
          <w:u w:val="single"/>
        </w:rPr>
      </w:pPr>
    </w:p>
    <w:p w14:paraId="49CFF3A7" w14:textId="77777777" w:rsidR="00611D4F" w:rsidRDefault="00611D4F" w:rsidP="00611D4F">
      <w:pPr>
        <w:pStyle w:val="Title"/>
        <w:rPr>
          <w:sz w:val="28"/>
          <w:u w:val="single"/>
        </w:rPr>
      </w:pPr>
    </w:p>
    <w:p w14:paraId="49C3331F" w14:textId="77777777" w:rsidR="00611D4F" w:rsidRDefault="00611D4F" w:rsidP="00611D4F">
      <w:pPr>
        <w:pStyle w:val="Title"/>
        <w:rPr>
          <w:sz w:val="28"/>
          <w:u w:val="single"/>
        </w:rPr>
      </w:pPr>
    </w:p>
    <w:p w14:paraId="422F4406" w14:textId="77777777" w:rsidR="00611D4F" w:rsidRDefault="00611D4F" w:rsidP="00611D4F">
      <w:pPr>
        <w:pStyle w:val="Title"/>
        <w:rPr>
          <w:sz w:val="28"/>
          <w:u w:val="single"/>
        </w:rPr>
      </w:pPr>
    </w:p>
    <w:p w14:paraId="2A5182DB" w14:textId="77777777" w:rsidR="00611D4F" w:rsidRDefault="00611D4F" w:rsidP="00611D4F">
      <w:pPr>
        <w:pStyle w:val="Title"/>
        <w:rPr>
          <w:sz w:val="28"/>
          <w:u w:val="single"/>
        </w:rPr>
      </w:pPr>
    </w:p>
    <w:p w14:paraId="426E3132" w14:textId="77777777" w:rsidR="00611D4F" w:rsidRPr="00611D4F" w:rsidRDefault="00611D4F" w:rsidP="00611D4F">
      <w:pPr>
        <w:pStyle w:val="BodyText3"/>
        <w:widowControl w:val="0"/>
        <w:spacing w:after="0" w:line="240" w:lineRule="auto"/>
        <w:ind w:left="4320"/>
        <w:rPr>
          <w:b/>
          <w:bCs/>
          <w:sz w:val="24"/>
          <w:szCs w:val="24"/>
        </w:rPr>
      </w:pPr>
      <w:r w:rsidRPr="00611D4F">
        <w:rPr>
          <w:bCs/>
          <w:sz w:val="24"/>
          <w:szCs w:val="24"/>
        </w:rPr>
        <w:t>Frank P. Darr (Reg. No. 0025469)</w:t>
      </w:r>
    </w:p>
    <w:p w14:paraId="1862338B" w14:textId="77777777" w:rsidR="00611D4F" w:rsidRPr="00611D4F" w:rsidRDefault="00611D4F" w:rsidP="00611D4F">
      <w:pPr>
        <w:tabs>
          <w:tab w:val="right" w:pos="8640"/>
        </w:tabs>
        <w:spacing w:line="240" w:lineRule="auto"/>
        <w:ind w:left="4320"/>
      </w:pPr>
      <w:r w:rsidRPr="00611D4F">
        <w:t>(Counsel of Record)</w:t>
      </w:r>
    </w:p>
    <w:p w14:paraId="0A600FF3" w14:textId="77777777" w:rsidR="00611D4F" w:rsidRPr="00611D4F" w:rsidRDefault="00611D4F" w:rsidP="00611D4F">
      <w:pPr>
        <w:pStyle w:val="BodyText3"/>
        <w:widowControl w:val="0"/>
        <w:spacing w:after="0" w:line="240" w:lineRule="auto"/>
        <w:ind w:left="4320"/>
        <w:rPr>
          <w:b/>
          <w:bCs/>
          <w:sz w:val="24"/>
          <w:szCs w:val="24"/>
        </w:rPr>
      </w:pPr>
      <w:r w:rsidRPr="00611D4F">
        <w:rPr>
          <w:bCs/>
          <w:sz w:val="24"/>
          <w:szCs w:val="24"/>
        </w:rPr>
        <w:t>Matthew R. Pritchard (Reg. No. 0088070)</w:t>
      </w:r>
    </w:p>
    <w:p w14:paraId="22509673" w14:textId="77777777" w:rsidR="00611D4F" w:rsidRPr="00611D4F" w:rsidRDefault="00611D4F" w:rsidP="00611D4F">
      <w:pPr>
        <w:pStyle w:val="BodyText3"/>
        <w:widowControl w:val="0"/>
        <w:spacing w:after="0" w:line="240" w:lineRule="auto"/>
        <w:ind w:left="4320"/>
        <w:rPr>
          <w:b/>
          <w:bCs/>
          <w:smallCaps/>
          <w:sz w:val="24"/>
          <w:szCs w:val="24"/>
        </w:rPr>
      </w:pPr>
      <w:r w:rsidRPr="00611D4F">
        <w:rPr>
          <w:bCs/>
          <w:smallCaps/>
          <w:sz w:val="24"/>
          <w:szCs w:val="24"/>
        </w:rPr>
        <w:t>McNees Wallace &amp; Nurick LLC</w:t>
      </w:r>
    </w:p>
    <w:p w14:paraId="08A883F6" w14:textId="77777777" w:rsidR="00611D4F" w:rsidRPr="00611D4F" w:rsidRDefault="00611D4F" w:rsidP="00611D4F">
      <w:pPr>
        <w:pStyle w:val="BodyText3"/>
        <w:widowControl w:val="0"/>
        <w:spacing w:after="0" w:line="240" w:lineRule="auto"/>
        <w:ind w:left="4320"/>
        <w:rPr>
          <w:b/>
          <w:bCs/>
          <w:sz w:val="24"/>
          <w:szCs w:val="24"/>
        </w:rPr>
      </w:pPr>
      <w:r w:rsidRPr="00611D4F">
        <w:rPr>
          <w:bCs/>
          <w:sz w:val="24"/>
          <w:szCs w:val="24"/>
        </w:rPr>
        <w:t>21 East State Street, 17</w:t>
      </w:r>
      <w:r w:rsidRPr="00611D4F">
        <w:rPr>
          <w:bCs/>
          <w:sz w:val="24"/>
          <w:szCs w:val="24"/>
          <w:vertAlign w:val="superscript"/>
        </w:rPr>
        <w:t>TH</w:t>
      </w:r>
      <w:r w:rsidRPr="00611D4F">
        <w:rPr>
          <w:bCs/>
          <w:sz w:val="24"/>
          <w:szCs w:val="24"/>
        </w:rPr>
        <w:t xml:space="preserve"> Floor</w:t>
      </w:r>
    </w:p>
    <w:p w14:paraId="43DB2119" w14:textId="77777777" w:rsidR="00611D4F" w:rsidRPr="00611D4F" w:rsidRDefault="00611D4F" w:rsidP="00611D4F">
      <w:pPr>
        <w:pStyle w:val="BodyText"/>
        <w:spacing w:after="0" w:line="240" w:lineRule="auto"/>
        <w:ind w:left="4320"/>
      </w:pPr>
      <w:r w:rsidRPr="00611D4F">
        <w:t>Columbus, OH  43215</w:t>
      </w:r>
    </w:p>
    <w:p w14:paraId="4891A6C8" w14:textId="77777777" w:rsidR="00611D4F" w:rsidRPr="00611D4F" w:rsidRDefault="00611D4F" w:rsidP="00611D4F">
      <w:pPr>
        <w:pStyle w:val="BodyText"/>
        <w:spacing w:after="0" w:line="240" w:lineRule="auto"/>
        <w:ind w:left="4320"/>
      </w:pPr>
      <w:r w:rsidRPr="00611D4F">
        <w:t>Telephone:  (614) 469-8000</w:t>
      </w:r>
    </w:p>
    <w:p w14:paraId="16B81350" w14:textId="77777777" w:rsidR="00611D4F" w:rsidRPr="00611D4F" w:rsidRDefault="00611D4F" w:rsidP="00611D4F">
      <w:pPr>
        <w:pStyle w:val="BodyText"/>
        <w:spacing w:after="0" w:line="240" w:lineRule="auto"/>
        <w:ind w:left="4320"/>
      </w:pPr>
      <w:r w:rsidRPr="00611D4F">
        <w:t>Telecopier:  (614) 469-4653</w:t>
      </w:r>
    </w:p>
    <w:p w14:paraId="2EC99092" w14:textId="77777777" w:rsidR="00611D4F" w:rsidRPr="00611D4F" w:rsidRDefault="00611D4F" w:rsidP="00611D4F">
      <w:pPr>
        <w:pStyle w:val="BodyText"/>
        <w:spacing w:after="0" w:line="240" w:lineRule="auto"/>
        <w:ind w:left="4320"/>
      </w:pPr>
      <w:r w:rsidRPr="00611D4F">
        <w:t>fdarr@mwncmh.com</w:t>
      </w:r>
    </w:p>
    <w:p w14:paraId="05BC06D6" w14:textId="77777777" w:rsidR="00611D4F" w:rsidRPr="00611D4F" w:rsidRDefault="00611D4F" w:rsidP="00611D4F">
      <w:pPr>
        <w:pStyle w:val="BodyText"/>
        <w:spacing w:after="0" w:line="240" w:lineRule="auto"/>
        <w:ind w:left="4320"/>
      </w:pPr>
      <w:r w:rsidRPr="00611D4F">
        <w:t>mpritchard@mwncmh.com</w:t>
      </w:r>
    </w:p>
    <w:p w14:paraId="195EF265" w14:textId="77777777" w:rsidR="00611D4F" w:rsidRPr="00611D4F" w:rsidRDefault="00611D4F" w:rsidP="00611D4F">
      <w:pPr>
        <w:tabs>
          <w:tab w:val="left" w:pos="4320"/>
          <w:tab w:val="right" w:pos="8640"/>
        </w:tabs>
        <w:spacing w:line="240" w:lineRule="auto"/>
      </w:pPr>
    </w:p>
    <w:p w14:paraId="6A85DE70" w14:textId="54437BAB" w:rsidR="00611D4F" w:rsidRPr="00832DC1" w:rsidRDefault="00B3537F" w:rsidP="00611D4F">
      <w:pPr>
        <w:pStyle w:val="Title"/>
        <w:tabs>
          <w:tab w:val="left" w:pos="4320"/>
        </w:tabs>
        <w:ind w:left="4320" w:hanging="4320"/>
        <w:jc w:val="left"/>
        <w:rPr>
          <w:smallCaps w:val="0"/>
          <w:color w:val="000000" w:themeColor="text1"/>
          <w:sz w:val="24"/>
        </w:rPr>
        <w:sectPr w:rsidR="00611D4F" w:rsidRPr="00832DC1" w:rsidSect="00611D4F">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26"/>
        </w:sectPr>
      </w:pPr>
      <w:r>
        <w:rPr>
          <w:smallCaps w:val="0"/>
          <w:color w:val="000000" w:themeColor="text1"/>
          <w:sz w:val="24"/>
        </w:rPr>
        <w:t xml:space="preserve">April </w:t>
      </w:r>
      <w:r w:rsidR="00326213" w:rsidRPr="00832DC1">
        <w:rPr>
          <w:smallCaps w:val="0"/>
          <w:color w:val="000000" w:themeColor="text1"/>
          <w:sz w:val="24"/>
        </w:rPr>
        <w:t>4</w:t>
      </w:r>
      <w:r w:rsidR="00611D4F" w:rsidRPr="00832DC1">
        <w:rPr>
          <w:smallCaps w:val="0"/>
          <w:color w:val="000000" w:themeColor="text1"/>
          <w:sz w:val="24"/>
        </w:rPr>
        <w:t>,</w:t>
      </w:r>
      <w:r w:rsidR="00326213" w:rsidRPr="00832DC1">
        <w:rPr>
          <w:smallCaps w:val="0"/>
          <w:color w:val="000000" w:themeColor="text1"/>
          <w:sz w:val="24"/>
        </w:rPr>
        <w:t xml:space="preserve"> 2016</w:t>
      </w:r>
      <w:r w:rsidR="00611D4F" w:rsidRPr="00832DC1">
        <w:rPr>
          <w:smallCaps w:val="0"/>
          <w:color w:val="000000" w:themeColor="text1"/>
          <w:sz w:val="24"/>
        </w:rPr>
        <w:tab/>
        <w:t>Attorneys for Industrial Energy Users-Ohio</w:t>
      </w:r>
    </w:p>
    <w:sdt>
      <w:sdtPr>
        <w:rPr>
          <w:rFonts w:ascii="Arial" w:eastAsiaTheme="minorHAnsi" w:hAnsi="Arial" w:cs="Arial"/>
          <w:color w:val="auto"/>
          <w:sz w:val="24"/>
          <w:szCs w:val="24"/>
        </w:rPr>
        <w:id w:val="212009667"/>
        <w:docPartObj>
          <w:docPartGallery w:val="Table of Contents"/>
          <w:docPartUnique/>
        </w:docPartObj>
      </w:sdtPr>
      <w:sdtEndPr>
        <w:rPr>
          <w:b/>
          <w:bCs/>
          <w:noProof/>
        </w:rPr>
      </w:sdtEndPr>
      <w:sdtContent>
        <w:p w14:paraId="5798A53B" w14:textId="72984509" w:rsidR="006E5A96" w:rsidRDefault="006E5A96" w:rsidP="006E5A96">
          <w:pPr>
            <w:pStyle w:val="TOCHeading"/>
            <w:jc w:val="center"/>
            <w:rPr>
              <w:rFonts w:ascii="Arial" w:hAnsi="Arial" w:cs="Arial"/>
              <w:b/>
              <w:smallCaps/>
              <w:color w:val="000000" w:themeColor="text1"/>
              <w:sz w:val="28"/>
              <w:szCs w:val="24"/>
              <w:u w:val="single"/>
            </w:rPr>
          </w:pPr>
          <w:r w:rsidRPr="006E5A96">
            <w:rPr>
              <w:rFonts w:ascii="Arial" w:hAnsi="Arial" w:cs="Arial"/>
              <w:b/>
              <w:smallCaps/>
              <w:color w:val="000000" w:themeColor="text1"/>
              <w:sz w:val="28"/>
              <w:szCs w:val="24"/>
              <w:u w:val="single"/>
            </w:rPr>
            <w:t>Table of Contents</w:t>
          </w:r>
        </w:p>
        <w:p w14:paraId="1FE38F6E" w14:textId="5E832197" w:rsidR="006E5A96" w:rsidRPr="006E5A96" w:rsidRDefault="006E5A96" w:rsidP="006E5A96">
          <w:pPr>
            <w:jc w:val="right"/>
            <w:rPr>
              <w:b/>
              <w:u w:val="single"/>
            </w:rPr>
          </w:pPr>
          <w:r w:rsidRPr="006E5A96">
            <w:rPr>
              <w:b/>
              <w:u w:val="single"/>
            </w:rPr>
            <w:t>Page</w:t>
          </w:r>
        </w:p>
        <w:p w14:paraId="6817DC4C" w14:textId="5DDD8051" w:rsidR="006E5A96" w:rsidRPr="006E5A96" w:rsidRDefault="006E5A96" w:rsidP="006E5A96">
          <w:pPr>
            <w:pStyle w:val="TOC1"/>
            <w:rPr>
              <w:noProof/>
            </w:rPr>
          </w:pPr>
          <w:r w:rsidRPr="006E5A96">
            <w:fldChar w:fldCharType="begin"/>
          </w:r>
          <w:r w:rsidRPr="006E5A96">
            <w:instrText xml:space="preserve"> TOC \o "1-3" \h \z \u </w:instrText>
          </w:r>
          <w:r w:rsidRPr="006E5A96">
            <w:fldChar w:fldCharType="separate"/>
          </w:r>
          <w:hyperlink w:anchor="_Toc447533422" w:history="1">
            <w:r w:rsidRPr="006E5A96">
              <w:rPr>
                <w:rStyle w:val="Hyperlink"/>
                <w:noProof/>
                <w:color w:val="000000" w:themeColor="text1"/>
              </w:rPr>
              <w:t>I.</w:t>
            </w:r>
            <w:r w:rsidRPr="006E5A96">
              <w:rPr>
                <w:noProof/>
              </w:rPr>
              <w:tab/>
            </w:r>
            <w:r w:rsidRPr="006E5A96">
              <w:rPr>
                <w:rStyle w:val="Hyperlink"/>
                <w:noProof/>
                <w:color w:val="000000" w:themeColor="text1"/>
              </w:rPr>
              <w:t>ARGUMENT</w:t>
            </w:r>
            <w:r w:rsidRPr="006E5A96">
              <w:rPr>
                <w:noProof/>
                <w:webHidden/>
              </w:rPr>
              <w:tab/>
            </w:r>
            <w:r w:rsidRPr="006E5A96">
              <w:rPr>
                <w:noProof/>
                <w:webHidden/>
              </w:rPr>
              <w:fldChar w:fldCharType="begin"/>
            </w:r>
            <w:r w:rsidRPr="006E5A96">
              <w:rPr>
                <w:noProof/>
                <w:webHidden/>
              </w:rPr>
              <w:instrText xml:space="preserve"> PAGEREF _Toc447533422 \h </w:instrText>
            </w:r>
            <w:r w:rsidRPr="006E5A96">
              <w:rPr>
                <w:noProof/>
                <w:webHidden/>
              </w:rPr>
            </w:r>
            <w:r w:rsidRPr="006E5A96">
              <w:rPr>
                <w:noProof/>
                <w:webHidden/>
              </w:rPr>
              <w:fldChar w:fldCharType="separate"/>
            </w:r>
            <w:r w:rsidR="0046251A">
              <w:rPr>
                <w:noProof/>
                <w:webHidden/>
              </w:rPr>
              <w:t>3</w:t>
            </w:r>
            <w:r w:rsidRPr="006E5A96">
              <w:rPr>
                <w:noProof/>
                <w:webHidden/>
              </w:rPr>
              <w:fldChar w:fldCharType="end"/>
            </w:r>
          </w:hyperlink>
        </w:p>
        <w:p w14:paraId="766B48C4" w14:textId="77777777" w:rsidR="006E5A96" w:rsidRPr="006E5A96" w:rsidRDefault="006A011F" w:rsidP="006E5A96">
          <w:pPr>
            <w:pStyle w:val="TOC2"/>
            <w:rPr>
              <w:noProof/>
            </w:rPr>
          </w:pPr>
          <w:hyperlink w:anchor="_Toc447533423" w:history="1">
            <w:r w:rsidR="006E5A96" w:rsidRPr="006E5A96">
              <w:rPr>
                <w:rStyle w:val="Hyperlink"/>
                <w:noProof/>
                <w:color w:val="000000" w:themeColor="text1"/>
              </w:rPr>
              <w:t>A.</w:t>
            </w:r>
            <w:r w:rsidR="006E5A96" w:rsidRPr="006E5A96">
              <w:rPr>
                <w:noProof/>
              </w:rPr>
              <w:tab/>
            </w:r>
            <w:r w:rsidR="006E5A96" w:rsidRPr="006E5A96">
              <w:rPr>
                <w:rStyle w:val="Hyperlink"/>
                <w:noProof/>
                <w:color w:val="000000" w:themeColor="text1"/>
              </w:rPr>
              <w:t>DP&amp;L fails to establish any legal basis for a waiver of the requirement that its transmission rider be bypassable</w:t>
            </w:r>
            <w:r w:rsidR="006E5A96" w:rsidRPr="006E5A96">
              <w:rPr>
                <w:noProof/>
                <w:webHidden/>
              </w:rPr>
              <w:tab/>
            </w:r>
            <w:r w:rsidR="006E5A96" w:rsidRPr="006E5A96">
              <w:rPr>
                <w:noProof/>
                <w:webHidden/>
              </w:rPr>
              <w:fldChar w:fldCharType="begin"/>
            </w:r>
            <w:r w:rsidR="006E5A96" w:rsidRPr="006E5A96">
              <w:rPr>
                <w:noProof/>
                <w:webHidden/>
              </w:rPr>
              <w:instrText xml:space="preserve"> PAGEREF _Toc447533423 \h </w:instrText>
            </w:r>
            <w:r w:rsidR="006E5A96" w:rsidRPr="006E5A96">
              <w:rPr>
                <w:noProof/>
                <w:webHidden/>
              </w:rPr>
            </w:r>
            <w:r w:rsidR="006E5A96" w:rsidRPr="006E5A96">
              <w:rPr>
                <w:noProof/>
                <w:webHidden/>
              </w:rPr>
              <w:fldChar w:fldCharType="separate"/>
            </w:r>
            <w:r w:rsidR="0046251A">
              <w:rPr>
                <w:noProof/>
                <w:webHidden/>
              </w:rPr>
              <w:t>3</w:t>
            </w:r>
            <w:r w:rsidR="006E5A96" w:rsidRPr="006E5A96">
              <w:rPr>
                <w:noProof/>
                <w:webHidden/>
              </w:rPr>
              <w:fldChar w:fldCharType="end"/>
            </w:r>
          </w:hyperlink>
        </w:p>
        <w:p w14:paraId="0CD37C65" w14:textId="77777777" w:rsidR="006E5A96" w:rsidRPr="006E5A96" w:rsidRDefault="006A011F" w:rsidP="006E5A96">
          <w:pPr>
            <w:pStyle w:val="TOC2"/>
            <w:rPr>
              <w:noProof/>
            </w:rPr>
          </w:pPr>
          <w:hyperlink w:anchor="_Toc447533424" w:history="1">
            <w:r w:rsidR="006E5A96" w:rsidRPr="006E5A96">
              <w:rPr>
                <w:rStyle w:val="Hyperlink"/>
                <w:noProof/>
                <w:color w:val="000000" w:themeColor="text1"/>
              </w:rPr>
              <w:t>B.</w:t>
            </w:r>
            <w:r w:rsidR="006E5A96" w:rsidRPr="006E5A96">
              <w:rPr>
                <w:noProof/>
              </w:rPr>
              <w:tab/>
            </w:r>
            <w:r w:rsidR="006E5A96" w:rsidRPr="006E5A96">
              <w:rPr>
                <w:rStyle w:val="Hyperlink"/>
                <w:noProof/>
                <w:color w:val="000000" w:themeColor="text1"/>
              </w:rPr>
              <w:t>There is no lawful basis for the Commission to defer the determination that DP&amp;L’s proposed transmission tariff sheets do not comply with federal and state requirements</w:t>
            </w:r>
            <w:r w:rsidR="006E5A96" w:rsidRPr="006E5A96">
              <w:rPr>
                <w:noProof/>
                <w:webHidden/>
              </w:rPr>
              <w:tab/>
            </w:r>
            <w:r w:rsidR="006E5A96" w:rsidRPr="006E5A96">
              <w:rPr>
                <w:noProof/>
                <w:webHidden/>
              </w:rPr>
              <w:fldChar w:fldCharType="begin"/>
            </w:r>
            <w:r w:rsidR="006E5A96" w:rsidRPr="006E5A96">
              <w:rPr>
                <w:noProof/>
                <w:webHidden/>
              </w:rPr>
              <w:instrText xml:space="preserve"> PAGEREF _Toc447533424 \h </w:instrText>
            </w:r>
            <w:r w:rsidR="006E5A96" w:rsidRPr="006E5A96">
              <w:rPr>
                <w:noProof/>
                <w:webHidden/>
              </w:rPr>
            </w:r>
            <w:r w:rsidR="006E5A96" w:rsidRPr="006E5A96">
              <w:rPr>
                <w:noProof/>
                <w:webHidden/>
              </w:rPr>
              <w:fldChar w:fldCharType="separate"/>
            </w:r>
            <w:r w:rsidR="0046251A">
              <w:rPr>
                <w:noProof/>
                <w:webHidden/>
              </w:rPr>
              <w:t>5</w:t>
            </w:r>
            <w:r w:rsidR="006E5A96" w:rsidRPr="006E5A96">
              <w:rPr>
                <w:noProof/>
                <w:webHidden/>
              </w:rPr>
              <w:fldChar w:fldCharType="end"/>
            </w:r>
          </w:hyperlink>
        </w:p>
        <w:p w14:paraId="2857E577" w14:textId="77777777" w:rsidR="006E5A96" w:rsidRPr="006E5A96" w:rsidRDefault="006A011F" w:rsidP="006E5A96">
          <w:pPr>
            <w:pStyle w:val="TOC2"/>
            <w:rPr>
              <w:noProof/>
            </w:rPr>
          </w:pPr>
          <w:hyperlink w:anchor="_Toc447533425" w:history="1">
            <w:r w:rsidR="006E5A96" w:rsidRPr="006E5A96">
              <w:rPr>
                <w:rStyle w:val="Hyperlink"/>
                <w:noProof/>
                <w:color w:val="000000" w:themeColor="text1"/>
              </w:rPr>
              <w:t>C.</w:t>
            </w:r>
            <w:r w:rsidR="006E5A96" w:rsidRPr="006E5A96">
              <w:rPr>
                <w:noProof/>
              </w:rPr>
              <w:tab/>
            </w:r>
            <w:r w:rsidR="006E5A96" w:rsidRPr="006E5A96">
              <w:rPr>
                <w:rStyle w:val="Hyperlink"/>
                <w:noProof/>
                <w:color w:val="000000" w:themeColor="text1"/>
              </w:rPr>
              <w:t>IEU-Ohio is not estopped from arguing that the waiver should be denied</w:t>
            </w:r>
            <w:r w:rsidR="006E5A96" w:rsidRPr="006E5A96">
              <w:rPr>
                <w:noProof/>
                <w:webHidden/>
              </w:rPr>
              <w:tab/>
            </w:r>
            <w:r w:rsidR="006E5A96" w:rsidRPr="006E5A96">
              <w:rPr>
                <w:noProof/>
                <w:webHidden/>
              </w:rPr>
              <w:fldChar w:fldCharType="begin"/>
            </w:r>
            <w:r w:rsidR="006E5A96" w:rsidRPr="006E5A96">
              <w:rPr>
                <w:noProof/>
                <w:webHidden/>
              </w:rPr>
              <w:instrText xml:space="preserve"> PAGEREF _Toc447533425 \h </w:instrText>
            </w:r>
            <w:r w:rsidR="006E5A96" w:rsidRPr="006E5A96">
              <w:rPr>
                <w:noProof/>
                <w:webHidden/>
              </w:rPr>
            </w:r>
            <w:r w:rsidR="006E5A96" w:rsidRPr="006E5A96">
              <w:rPr>
                <w:noProof/>
                <w:webHidden/>
              </w:rPr>
              <w:fldChar w:fldCharType="separate"/>
            </w:r>
            <w:r w:rsidR="0046251A">
              <w:rPr>
                <w:noProof/>
                <w:webHidden/>
              </w:rPr>
              <w:t>9</w:t>
            </w:r>
            <w:r w:rsidR="006E5A96" w:rsidRPr="006E5A96">
              <w:rPr>
                <w:noProof/>
                <w:webHidden/>
              </w:rPr>
              <w:fldChar w:fldCharType="end"/>
            </w:r>
          </w:hyperlink>
        </w:p>
        <w:p w14:paraId="4F0AD79A" w14:textId="77777777" w:rsidR="006E5A96" w:rsidRPr="006E5A96" w:rsidRDefault="006A011F" w:rsidP="006E5A96">
          <w:pPr>
            <w:pStyle w:val="TOC2"/>
            <w:rPr>
              <w:noProof/>
            </w:rPr>
          </w:pPr>
          <w:hyperlink w:anchor="_Toc447533426" w:history="1">
            <w:r w:rsidR="006E5A96" w:rsidRPr="006E5A96">
              <w:rPr>
                <w:rStyle w:val="Hyperlink"/>
                <w:noProof/>
                <w:color w:val="000000" w:themeColor="text1"/>
              </w:rPr>
              <w:t>D.</w:t>
            </w:r>
            <w:r w:rsidR="006E5A96" w:rsidRPr="006E5A96">
              <w:rPr>
                <w:noProof/>
              </w:rPr>
              <w:tab/>
            </w:r>
            <w:r w:rsidR="006E5A96" w:rsidRPr="006E5A96">
              <w:rPr>
                <w:rStyle w:val="Hyperlink"/>
                <w:noProof/>
                <w:color w:val="000000" w:themeColor="text1"/>
              </w:rPr>
              <w:t>DP&amp;L must comply with the rule even if it is “impractical” unless the Commission lawfully grants a waiver.  Furthermore, the reasons DP&amp;L identifies are unrelated to the prospective waiver it seeks in this case</w:t>
            </w:r>
            <w:r w:rsidR="006E5A96" w:rsidRPr="006E5A96">
              <w:rPr>
                <w:noProof/>
                <w:webHidden/>
              </w:rPr>
              <w:tab/>
            </w:r>
            <w:r w:rsidR="006E5A96" w:rsidRPr="006E5A96">
              <w:rPr>
                <w:noProof/>
                <w:webHidden/>
              </w:rPr>
              <w:fldChar w:fldCharType="begin"/>
            </w:r>
            <w:r w:rsidR="006E5A96" w:rsidRPr="006E5A96">
              <w:rPr>
                <w:noProof/>
                <w:webHidden/>
              </w:rPr>
              <w:instrText xml:space="preserve"> PAGEREF _Toc447533426 \h </w:instrText>
            </w:r>
            <w:r w:rsidR="006E5A96" w:rsidRPr="006E5A96">
              <w:rPr>
                <w:noProof/>
                <w:webHidden/>
              </w:rPr>
            </w:r>
            <w:r w:rsidR="006E5A96" w:rsidRPr="006E5A96">
              <w:rPr>
                <w:noProof/>
                <w:webHidden/>
              </w:rPr>
              <w:fldChar w:fldCharType="separate"/>
            </w:r>
            <w:r w:rsidR="0046251A">
              <w:rPr>
                <w:noProof/>
                <w:webHidden/>
              </w:rPr>
              <w:t>11</w:t>
            </w:r>
            <w:r w:rsidR="006E5A96" w:rsidRPr="006E5A96">
              <w:rPr>
                <w:noProof/>
                <w:webHidden/>
              </w:rPr>
              <w:fldChar w:fldCharType="end"/>
            </w:r>
          </w:hyperlink>
        </w:p>
        <w:p w14:paraId="6DFE12D2" w14:textId="67ABB720" w:rsidR="006E5A96" w:rsidRPr="006E5A96" w:rsidRDefault="006A011F" w:rsidP="006E5A96">
          <w:pPr>
            <w:pStyle w:val="TOC1"/>
            <w:rPr>
              <w:noProof/>
            </w:rPr>
          </w:pPr>
          <w:hyperlink w:anchor="_Toc447533427" w:history="1">
            <w:r w:rsidR="006E5A96" w:rsidRPr="006E5A96">
              <w:rPr>
                <w:rStyle w:val="Hyperlink"/>
                <w:noProof/>
                <w:color w:val="000000" w:themeColor="text1"/>
              </w:rPr>
              <w:t>II.</w:t>
            </w:r>
            <w:r w:rsidR="006E5A96" w:rsidRPr="006E5A96">
              <w:rPr>
                <w:noProof/>
              </w:rPr>
              <w:tab/>
            </w:r>
            <w:r w:rsidR="006E5A96" w:rsidRPr="006E5A96">
              <w:rPr>
                <w:rStyle w:val="Hyperlink"/>
                <w:noProof/>
                <w:color w:val="000000" w:themeColor="text1"/>
              </w:rPr>
              <w:t>CONCLUSION</w:t>
            </w:r>
            <w:r w:rsidR="006E5A96" w:rsidRPr="006E5A96">
              <w:rPr>
                <w:noProof/>
                <w:webHidden/>
              </w:rPr>
              <w:tab/>
            </w:r>
            <w:r w:rsidR="006E5A96" w:rsidRPr="006E5A96">
              <w:rPr>
                <w:noProof/>
                <w:webHidden/>
              </w:rPr>
              <w:fldChar w:fldCharType="begin"/>
            </w:r>
            <w:r w:rsidR="006E5A96" w:rsidRPr="006E5A96">
              <w:rPr>
                <w:noProof/>
                <w:webHidden/>
              </w:rPr>
              <w:instrText xml:space="preserve"> PAGEREF _Toc447533427 \h </w:instrText>
            </w:r>
            <w:r w:rsidR="006E5A96" w:rsidRPr="006E5A96">
              <w:rPr>
                <w:noProof/>
                <w:webHidden/>
              </w:rPr>
            </w:r>
            <w:r w:rsidR="006E5A96" w:rsidRPr="006E5A96">
              <w:rPr>
                <w:noProof/>
                <w:webHidden/>
              </w:rPr>
              <w:fldChar w:fldCharType="separate"/>
            </w:r>
            <w:r w:rsidR="0046251A">
              <w:rPr>
                <w:noProof/>
                <w:webHidden/>
              </w:rPr>
              <w:t>12</w:t>
            </w:r>
            <w:r w:rsidR="006E5A96" w:rsidRPr="006E5A96">
              <w:rPr>
                <w:noProof/>
                <w:webHidden/>
              </w:rPr>
              <w:fldChar w:fldCharType="end"/>
            </w:r>
          </w:hyperlink>
        </w:p>
        <w:p w14:paraId="1607A19A" w14:textId="4725075D" w:rsidR="006E5A96" w:rsidRDefault="006E5A96">
          <w:r w:rsidRPr="006E5A96">
            <w:rPr>
              <w:b/>
              <w:bCs/>
              <w:noProof/>
              <w:color w:val="000000" w:themeColor="text1"/>
            </w:rPr>
            <w:fldChar w:fldCharType="end"/>
          </w:r>
        </w:p>
      </w:sdtContent>
    </w:sdt>
    <w:p w14:paraId="3A3EABA4" w14:textId="77777777" w:rsidR="006E5A96" w:rsidRDefault="006E5A96" w:rsidP="00F9324F">
      <w:pPr>
        <w:pStyle w:val="Title"/>
        <w:rPr>
          <w:sz w:val="28"/>
          <w:szCs w:val="28"/>
        </w:rPr>
        <w:sectPr w:rsidR="006E5A96" w:rsidSect="006E5A96">
          <w:headerReference w:type="default"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titlePg/>
          <w:docGrid w:linePitch="326"/>
        </w:sectPr>
      </w:pPr>
    </w:p>
    <w:p w14:paraId="31DF8D63" w14:textId="7543847D" w:rsidR="00F9324F" w:rsidRPr="00F9324F" w:rsidRDefault="00F9324F" w:rsidP="00F9324F">
      <w:pPr>
        <w:pStyle w:val="Title"/>
        <w:rPr>
          <w:sz w:val="28"/>
          <w:szCs w:val="28"/>
        </w:rPr>
      </w:pPr>
      <w:r w:rsidRPr="00F9324F">
        <w:rPr>
          <w:sz w:val="28"/>
          <w:szCs w:val="28"/>
        </w:rPr>
        <w:lastRenderedPageBreak/>
        <w:t>Before</w:t>
      </w:r>
    </w:p>
    <w:p w14:paraId="683FD924" w14:textId="77777777" w:rsidR="00F9324F" w:rsidRPr="00F9324F" w:rsidRDefault="00F9324F" w:rsidP="00F9324F">
      <w:pPr>
        <w:spacing w:line="240" w:lineRule="auto"/>
        <w:jc w:val="center"/>
        <w:rPr>
          <w:b/>
          <w:smallCaps/>
          <w:sz w:val="28"/>
          <w:szCs w:val="28"/>
        </w:rPr>
      </w:pPr>
      <w:r w:rsidRPr="00F9324F">
        <w:rPr>
          <w:b/>
          <w:smallCaps/>
          <w:sz w:val="28"/>
          <w:szCs w:val="28"/>
        </w:rPr>
        <w:t>The Public Utilities Commission of Ohio</w:t>
      </w:r>
    </w:p>
    <w:p w14:paraId="747A3389" w14:textId="77777777" w:rsidR="00F9324F" w:rsidRDefault="00F9324F" w:rsidP="00F9324F">
      <w:pPr>
        <w:autoSpaceDE w:val="0"/>
        <w:autoSpaceDN w:val="0"/>
        <w:adjustRightInd w:val="0"/>
        <w:spacing w:line="240" w:lineRule="auto"/>
      </w:pPr>
    </w:p>
    <w:p w14:paraId="39DAB26A" w14:textId="77777777" w:rsidR="00225864" w:rsidRPr="00F9324F" w:rsidRDefault="00225864" w:rsidP="00F9324F">
      <w:pPr>
        <w:autoSpaceDE w:val="0"/>
        <w:autoSpaceDN w:val="0"/>
        <w:adjustRightInd w:val="0"/>
        <w:spacing w:line="240" w:lineRule="auto"/>
      </w:pPr>
    </w:p>
    <w:p w14:paraId="2C57C889"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3EB509AF"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16-395-EL-RDR</w:t>
      </w:r>
    </w:p>
    <w:p w14:paraId="42415737" w14:textId="1505D4F3"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for Approva</w:t>
      </w:r>
      <w:r w:rsidR="00A211D4">
        <w:rPr>
          <w:bCs/>
        </w:rPr>
        <w:t>l of Its Electric Security Plan</w:t>
      </w:r>
      <w:r w:rsidRPr="00650FF5">
        <w:rPr>
          <w:bCs/>
        </w:rPr>
        <w:tab/>
        <w:t>)</w:t>
      </w:r>
    </w:p>
    <w:p w14:paraId="5FBBAE3F" w14:textId="77777777" w:rsidR="00650FF5" w:rsidRPr="00650FF5" w:rsidRDefault="00650FF5" w:rsidP="00650FF5">
      <w:pPr>
        <w:tabs>
          <w:tab w:val="left" w:pos="4500"/>
          <w:tab w:val="left" w:pos="5220"/>
        </w:tabs>
        <w:autoSpaceDE w:val="0"/>
        <w:autoSpaceDN w:val="0"/>
        <w:adjustRightInd w:val="0"/>
        <w:spacing w:line="240" w:lineRule="auto"/>
        <w:rPr>
          <w:bCs/>
        </w:rPr>
      </w:pPr>
    </w:p>
    <w:p w14:paraId="3E189BDA"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511FC26D"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16-396-EL-ATA</w:t>
      </w:r>
    </w:p>
    <w:p w14:paraId="4A72AD55"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for Approval of Revised Tariffs</w:t>
      </w:r>
      <w:r w:rsidRPr="00650FF5">
        <w:rPr>
          <w:bCs/>
        </w:rPr>
        <w:tab/>
        <w:t>)</w:t>
      </w:r>
    </w:p>
    <w:p w14:paraId="2C7078A3" w14:textId="77777777" w:rsidR="00650FF5" w:rsidRPr="00650FF5" w:rsidRDefault="00650FF5" w:rsidP="00650FF5">
      <w:pPr>
        <w:tabs>
          <w:tab w:val="left" w:pos="4500"/>
          <w:tab w:val="left" w:pos="5220"/>
        </w:tabs>
        <w:autoSpaceDE w:val="0"/>
        <w:autoSpaceDN w:val="0"/>
        <w:adjustRightInd w:val="0"/>
        <w:spacing w:line="240" w:lineRule="auto"/>
        <w:rPr>
          <w:bCs/>
        </w:rPr>
      </w:pPr>
    </w:p>
    <w:p w14:paraId="71D0C820"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In the Matter of the Application of</w:t>
      </w:r>
      <w:r w:rsidRPr="00650FF5">
        <w:rPr>
          <w:bCs/>
        </w:rPr>
        <w:tab/>
        <w:t>)</w:t>
      </w:r>
    </w:p>
    <w:p w14:paraId="719A5554"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The Dayton Power and Light Company</w:t>
      </w:r>
      <w:r w:rsidRPr="00650FF5">
        <w:rPr>
          <w:bCs/>
        </w:rPr>
        <w:tab/>
        <w:t>)</w:t>
      </w:r>
      <w:r w:rsidRPr="00650FF5">
        <w:rPr>
          <w:bCs/>
        </w:rPr>
        <w:tab/>
        <w:t>Case No. 16-397-EL-AAM</w:t>
      </w:r>
    </w:p>
    <w:p w14:paraId="48C87253"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for Approval of Certain Accounting</w:t>
      </w:r>
      <w:r w:rsidRPr="00650FF5">
        <w:rPr>
          <w:bCs/>
        </w:rPr>
        <w:tab/>
        <w:t>)</w:t>
      </w:r>
    </w:p>
    <w:p w14:paraId="4CD6A8E7"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 xml:space="preserve">Authority Pursuant to Ohio Rev. </w:t>
      </w:r>
      <w:r w:rsidRPr="00650FF5">
        <w:rPr>
          <w:bCs/>
        </w:rPr>
        <w:tab/>
        <w:t>)</w:t>
      </w:r>
    </w:p>
    <w:p w14:paraId="621A7C15" w14:textId="77777777" w:rsidR="00650FF5" w:rsidRPr="00650FF5" w:rsidRDefault="00650FF5" w:rsidP="00650FF5">
      <w:pPr>
        <w:tabs>
          <w:tab w:val="left" w:pos="4500"/>
          <w:tab w:val="left" w:pos="5220"/>
        </w:tabs>
        <w:autoSpaceDE w:val="0"/>
        <w:autoSpaceDN w:val="0"/>
        <w:adjustRightInd w:val="0"/>
        <w:spacing w:line="240" w:lineRule="auto"/>
        <w:rPr>
          <w:bCs/>
        </w:rPr>
      </w:pPr>
      <w:r w:rsidRPr="00650FF5">
        <w:rPr>
          <w:bCs/>
        </w:rPr>
        <w:t>Code §4905.13</w:t>
      </w:r>
      <w:r w:rsidRPr="00650FF5">
        <w:rPr>
          <w:bCs/>
        </w:rPr>
        <w:tab/>
        <w:t>)</w:t>
      </w:r>
    </w:p>
    <w:p w14:paraId="664D4414" w14:textId="77777777" w:rsidR="00F9324F" w:rsidRPr="00650FF5" w:rsidRDefault="00F9324F" w:rsidP="00650FF5">
      <w:pPr>
        <w:pStyle w:val="BodyText"/>
        <w:tabs>
          <w:tab w:val="left" w:pos="4500"/>
          <w:tab w:val="left" w:pos="5040"/>
        </w:tabs>
        <w:spacing w:after="0" w:line="240" w:lineRule="auto"/>
      </w:pPr>
    </w:p>
    <w:p w14:paraId="4439A70C" w14:textId="77777777" w:rsidR="00F9324F" w:rsidRPr="00F9324F" w:rsidRDefault="00F9324F" w:rsidP="00F9324F">
      <w:pPr>
        <w:pStyle w:val="BodyText"/>
        <w:tabs>
          <w:tab w:val="left" w:pos="5040"/>
        </w:tabs>
        <w:spacing w:after="0" w:line="240" w:lineRule="auto"/>
      </w:pPr>
    </w:p>
    <w:p w14:paraId="72CA3FD0" w14:textId="77777777" w:rsidR="00F9324F" w:rsidRPr="00F9324F" w:rsidRDefault="00F9324F" w:rsidP="00F9324F">
      <w:pPr>
        <w:pBdr>
          <w:top w:val="single" w:sz="12" w:space="1" w:color="auto"/>
        </w:pBdr>
        <w:spacing w:line="240" w:lineRule="auto"/>
        <w:rPr>
          <w:sz w:val="20"/>
          <w:szCs w:val="20"/>
          <w:highlight w:val="yellow"/>
        </w:rPr>
      </w:pPr>
    </w:p>
    <w:p w14:paraId="53FF0134" w14:textId="77777777" w:rsidR="00F9324F" w:rsidRPr="00F9324F" w:rsidRDefault="00F9324F" w:rsidP="00F9324F">
      <w:pPr>
        <w:spacing w:line="240" w:lineRule="auto"/>
        <w:jc w:val="center"/>
        <w:rPr>
          <w:b/>
          <w:smallCaps/>
          <w:sz w:val="28"/>
          <w:szCs w:val="28"/>
        </w:rPr>
      </w:pPr>
      <w:r w:rsidRPr="00F9324F">
        <w:rPr>
          <w:b/>
          <w:smallCaps/>
          <w:sz w:val="28"/>
          <w:szCs w:val="28"/>
        </w:rPr>
        <w:t>Reply of Industrial Energy Users-Ohio</w:t>
      </w:r>
    </w:p>
    <w:p w14:paraId="78DDFE6E" w14:textId="77777777" w:rsidR="00F9324F" w:rsidRPr="00F9324F" w:rsidRDefault="00F9324F" w:rsidP="00F9324F">
      <w:pPr>
        <w:spacing w:line="240" w:lineRule="auto"/>
        <w:jc w:val="center"/>
        <w:rPr>
          <w:b/>
          <w:smallCaps/>
          <w:sz w:val="28"/>
          <w:szCs w:val="28"/>
        </w:rPr>
      </w:pPr>
      <w:r w:rsidRPr="00F9324F">
        <w:rPr>
          <w:b/>
          <w:smallCaps/>
          <w:sz w:val="28"/>
          <w:szCs w:val="28"/>
        </w:rPr>
        <w:t>To The Dayton Power and Light Company’s</w:t>
      </w:r>
    </w:p>
    <w:p w14:paraId="7776BA4B" w14:textId="77777777" w:rsidR="00F9324F" w:rsidRPr="00F9324F" w:rsidRDefault="00F9324F" w:rsidP="00F9324F">
      <w:pPr>
        <w:spacing w:line="240" w:lineRule="auto"/>
        <w:jc w:val="center"/>
        <w:rPr>
          <w:b/>
          <w:smallCaps/>
          <w:sz w:val="28"/>
          <w:szCs w:val="28"/>
        </w:rPr>
      </w:pPr>
      <w:r w:rsidRPr="00F9324F">
        <w:rPr>
          <w:b/>
          <w:smallCaps/>
          <w:sz w:val="28"/>
          <w:szCs w:val="28"/>
        </w:rPr>
        <w:t>Memorandum in Opposition</w:t>
      </w:r>
    </w:p>
    <w:p w14:paraId="20D5C4A9" w14:textId="77777777" w:rsidR="00F9324F" w:rsidRPr="00F9324F" w:rsidRDefault="00F9324F" w:rsidP="00F9324F">
      <w:pPr>
        <w:pStyle w:val="Title"/>
        <w:pBdr>
          <w:bottom w:val="single" w:sz="12" w:space="1" w:color="auto"/>
        </w:pBdr>
        <w:rPr>
          <w:sz w:val="20"/>
          <w:szCs w:val="20"/>
          <w:u w:val="single"/>
        </w:rPr>
      </w:pPr>
    </w:p>
    <w:p w14:paraId="43E65326" w14:textId="77777777" w:rsidR="00F9324F" w:rsidRPr="00F9324F" w:rsidRDefault="00F9324F" w:rsidP="00F9324F">
      <w:pPr>
        <w:pStyle w:val="Title"/>
        <w:rPr>
          <w:sz w:val="28"/>
          <w:szCs w:val="28"/>
          <w:u w:val="single"/>
        </w:rPr>
      </w:pPr>
    </w:p>
    <w:p w14:paraId="5D702E17" w14:textId="77777777" w:rsidR="00D51E5A" w:rsidRDefault="00D51E5A" w:rsidP="00D51E5A">
      <w:pPr>
        <w:spacing w:line="240" w:lineRule="auto"/>
        <w:jc w:val="center"/>
      </w:pPr>
    </w:p>
    <w:p w14:paraId="33A501E6" w14:textId="42F8827C" w:rsidR="00D51E5A" w:rsidRDefault="00D51E5A" w:rsidP="00D51E5A">
      <w:pPr>
        <w:ind w:firstLine="720"/>
      </w:pPr>
      <w:r>
        <w:t>Rule 4901:1-36-04(B), Ohio Administrative Code (“O.A.C.”)</w:t>
      </w:r>
      <w:r w:rsidR="00534963">
        <w:t xml:space="preserve">, </w:t>
      </w:r>
      <w:r>
        <w:t xml:space="preserve">requires an electric utility’s transmission rider to be bypassable.  In its Application in this case, </w:t>
      </w:r>
      <w:r w:rsidR="00D70EB1">
        <w:t xml:space="preserve">The </w:t>
      </w:r>
      <w:r>
        <w:t xml:space="preserve">Dayton Power and Light Company </w:t>
      </w:r>
      <w:r w:rsidR="00D70EB1">
        <w:t xml:space="preserve">(“DP&amp;L”) </w:t>
      </w:r>
      <w:r w:rsidR="00F3063B">
        <w:t xml:space="preserve">seeks </w:t>
      </w:r>
      <w:r>
        <w:t xml:space="preserve">a waiver of </w:t>
      </w:r>
      <w:r w:rsidR="00534963">
        <w:t xml:space="preserve">the </w:t>
      </w:r>
      <w:r>
        <w:t xml:space="preserve">rule and </w:t>
      </w:r>
      <w:r w:rsidR="00F3063B">
        <w:t xml:space="preserve">requests </w:t>
      </w:r>
      <w:r>
        <w:t>that the Public Utilities Commission of Ohio (“Commission”) authorize a nonbypassable transmission rider as part of DP&amp;L’s next Electric Security Plan</w:t>
      </w:r>
      <w:r w:rsidR="00D70EB1">
        <w:t xml:space="preserve"> (“ESP”)</w:t>
      </w:r>
      <w:r>
        <w:t>.  In the Application, it offer</w:t>
      </w:r>
      <w:r w:rsidR="00F3063B">
        <w:t>s</w:t>
      </w:r>
      <w:r>
        <w:t xml:space="preserve"> no basis for the requested waiver except that it </w:t>
      </w:r>
      <w:r w:rsidR="00F3063B">
        <w:t>i</w:t>
      </w:r>
      <w:r>
        <w:t>s requesting continued authorization of the Transmission Cost Recovery Rider-Nonbypassable (“TCRR-N”).</w:t>
      </w:r>
    </w:p>
    <w:p w14:paraId="6913902F" w14:textId="77777777" w:rsidR="00225864" w:rsidRDefault="00225864">
      <w:pPr>
        <w:spacing w:line="240" w:lineRule="auto"/>
      </w:pPr>
      <w:r>
        <w:br w:type="page"/>
      </w:r>
    </w:p>
    <w:p w14:paraId="5C4695D1" w14:textId="15FB69B9" w:rsidR="00D51E5A" w:rsidRDefault="00D51E5A" w:rsidP="00D51E5A">
      <w:pPr>
        <w:ind w:firstLine="720"/>
      </w:pPr>
      <w:r>
        <w:lastRenderedPageBreak/>
        <w:t xml:space="preserve">On March 11, 2016, Industrial Energy Users-Ohio (“IEU-Ohio”) moved for a Commission order denying the requested waiver because the request was unlawful and failed </w:t>
      </w:r>
      <w:r w:rsidR="00F3063B">
        <w:t xml:space="preserve">to demonstrate </w:t>
      </w:r>
      <w:r>
        <w:t xml:space="preserve">good cause for the waiver.  Additionally, IEU-Ohio requested that the Commission order </w:t>
      </w:r>
      <w:r>
        <w:rPr>
          <w:color w:val="000000"/>
        </w:rPr>
        <w:t xml:space="preserve">DP&amp;L to </w:t>
      </w:r>
      <w:r w:rsidR="00801E7E">
        <w:rPr>
          <w:color w:val="000000"/>
        </w:rPr>
        <w:t>revise and re</w:t>
      </w:r>
      <w:r>
        <w:rPr>
          <w:color w:val="000000"/>
        </w:rPr>
        <w:t xml:space="preserve">file proposed transmission tariff sheets that provide for a bypassable transmission tariff rider and that do not include terms and conditions that permit DP&amp;L to bill and collect for transmission services in a manner that conflicts with the provisions of the PJM </w:t>
      </w:r>
      <w:r w:rsidR="004A29C2">
        <w:rPr>
          <w:color w:val="000000"/>
        </w:rPr>
        <w:t>Interconnection, LLC (“PJM”) Open Access Transmission Tariff (“</w:t>
      </w:r>
      <w:r>
        <w:rPr>
          <w:color w:val="000000"/>
        </w:rPr>
        <w:t>OATT</w:t>
      </w:r>
      <w:r w:rsidR="004A29C2">
        <w:rPr>
          <w:color w:val="000000"/>
        </w:rPr>
        <w:t>”)</w:t>
      </w:r>
      <w:r>
        <w:rPr>
          <w:color w:val="000000"/>
        </w:rPr>
        <w:t>.</w:t>
      </w:r>
      <w:r w:rsidR="00470921">
        <w:rPr>
          <w:rStyle w:val="FootnoteReference"/>
          <w:color w:val="000000"/>
        </w:rPr>
        <w:footnoteReference w:id="1"/>
      </w:r>
      <w:r>
        <w:rPr>
          <w:color w:val="000000"/>
        </w:rPr>
        <w:t xml:space="preserve">  </w:t>
      </w:r>
    </w:p>
    <w:p w14:paraId="1AEE54C9" w14:textId="2AFC6E7B" w:rsidR="00D51E5A" w:rsidRDefault="00D51E5A" w:rsidP="00D51E5A">
      <w:pPr>
        <w:ind w:firstLine="720"/>
      </w:pPr>
      <w:r>
        <w:t xml:space="preserve">On March </w:t>
      </w:r>
      <w:r w:rsidR="004A29C2">
        <w:t>28</w:t>
      </w:r>
      <w:r>
        <w:t xml:space="preserve">, 2016, DP&amp;L filed a memorandum </w:t>
      </w:r>
      <w:r w:rsidR="00B3537F">
        <w:t xml:space="preserve">contra </w:t>
      </w:r>
      <w:r>
        <w:t>opposing the motion.</w:t>
      </w:r>
      <w:r w:rsidR="00F26699">
        <w:rPr>
          <w:rStyle w:val="FootnoteReference"/>
        </w:rPr>
        <w:footnoteReference w:id="2"/>
      </w:r>
      <w:r>
        <w:t xml:space="preserve">  Instead of addressing the legal requirements necessary to obtain its requested waiver or the merits of IEU-Ohio’s arguments, DP&amp;L argue</w:t>
      </w:r>
      <w:r w:rsidR="00F3063B">
        <w:t>d</w:t>
      </w:r>
      <w:r>
        <w:t xml:space="preserve"> that the Commission should </w:t>
      </w:r>
      <w:r w:rsidR="001F1DC4">
        <w:t xml:space="preserve">defer to </w:t>
      </w:r>
      <w:r>
        <w:t xml:space="preserve">the judiciary </w:t>
      </w:r>
      <w:r w:rsidR="0098475B">
        <w:t>the determination of whether the Commission’s actions are consistent with federal law</w:t>
      </w:r>
      <w:r>
        <w:t>.</w:t>
      </w:r>
      <w:r w:rsidR="00470921">
        <w:rPr>
          <w:rStyle w:val="FootnoteReference"/>
        </w:rPr>
        <w:footnoteReference w:id="3"/>
      </w:r>
      <w:r>
        <w:t xml:space="preserve">  DP&amp;L further argue</w:t>
      </w:r>
      <w:r w:rsidR="00F3063B">
        <w:t>d that</w:t>
      </w:r>
      <w:r>
        <w:t xml:space="preserve"> IEU-Ohio is estopped from challenging DP&amp;L</w:t>
      </w:r>
      <w:r w:rsidR="004A29C2">
        <w:t>’s</w:t>
      </w:r>
      <w:r>
        <w:t xml:space="preserve"> request for a waiver because the Commission has previously granted DP&amp;L a waiver of Rule 4901:1-36-04(B), O.A.C.</w:t>
      </w:r>
      <w:r w:rsidR="00F26699">
        <w:rPr>
          <w:rStyle w:val="FootnoteReference"/>
        </w:rPr>
        <w:footnoteReference w:id="4"/>
      </w:r>
      <w:r>
        <w:t xml:space="preserve">  Finally, DP&amp;L argue</w:t>
      </w:r>
      <w:r w:rsidR="00682634">
        <w:t>d</w:t>
      </w:r>
      <w:r>
        <w:t xml:space="preserve"> that compliance with the law is impractical.</w:t>
      </w:r>
      <w:r w:rsidR="00F26699">
        <w:rPr>
          <w:rStyle w:val="FootnoteReference"/>
        </w:rPr>
        <w:footnoteReference w:id="5"/>
      </w:r>
      <w:r>
        <w:t xml:space="preserve">  Each claim is baseless</w:t>
      </w:r>
      <w:r w:rsidR="00F3063B">
        <w:t>,</w:t>
      </w:r>
      <w:r>
        <w:t xml:space="preserve"> and none of the assertions satisf</w:t>
      </w:r>
      <w:r w:rsidR="00F3063B">
        <w:t>ies</w:t>
      </w:r>
      <w:r>
        <w:t xml:space="preserve"> the requirements to obtain a waiver of Rule 4901:1-36-04(B), O.A.C. </w:t>
      </w:r>
      <w:r w:rsidR="00B94F1E">
        <w:t xml:space="preserve"> Accordingly, the </w:t>
      </w:r>
      <w:r w:rsidR="00B94F1E">
        <w:lastRenderedPageBreak/>
        <w:t xml:space="preserve">Commission should grant IEU-Ohio’s Motion and direct DP&amp;L to file proposed transmission tariff sheets that conform </w:t>
      </w:r>
      <w:r w:rsidR="00C37C17">
        <w:t xml:space="preserve">to </w:t>
      </w:r>
      <w:r w:rsidR="00B94F1E">
        <w:t>Ohio and federal law.</w:t>
      </w:r>
    </w:p>
    <w:p w14:paraId="2BD7856B" w14:textId="7EB127D1" w:rsidR="004F33B0" w:rsidRDefault="004F33B0" w:rsidP="00D51E5A">
      <w:pPr>
        <w:pStyle w:val="Heading1"/>
        <w:numPr>
          <w:ilvl w:val="0"/>
          <w:numId w:val="2"/>
        </w:numPr>
      </w:pPr>
      <w:bookmarkStart w:id="3" w:name="_Toc447533422"/>
      <w:r>
        <w:t>Argument</w:t>
      </w:r>
      <w:bookmarkEnd w:id="3"/>
    </w:p>
    <w:p w14:paraId="44375F0A" w14:textId="1739A822" w:rsidR="00D51E5A" w:rsidRDefault="00D51E5A" w:rsidP="004F33B0">
      <w:pPr>
        <w:pStyle w:val="Heading2"/>
      </w:pPr>
      <w:bookmarkStart w:id="4" w:name="_Toc447533423"/>
      <w:r>
        <w:t xml:space="preserve">DP&amp;L </w:t>
      </w:r>
      <w:r w:rsidR="004F33B0">
        <w:t>f</w:t>
      </w:r>
      <w:r>
        <w:t xml:space="preserve">ails to establish any legal basis for a waiver of the </w:t>
      </w:r>
      <w:r w:rsidR="004F33B0">
        <w:t>requirement</w:t>
      </w:r>
      <w:r>
        <w:t xml:space="preserve"> that </w:t>
      </w:r>
      <w:r w:rsidR="004F33B0">
        <w:t xml:space="preserve">its transmission </w:t>
      </w:r>
      <w:r>
        <w:t>rider be bypassable</w:t>
      </w:r>
      <w:bookmarkEnd w:id="4"/>
    </w:p>
    <w:p w14:paraId="6FEACFA1" w14:textId="464392A2" w:rsidR="00EA5369" w:rsidRDefault="00EA5369" w:rsidP="00BE4B1B">
      <w:pPr>
        <w:ind w:firstLine="720"/>
      </w:pPr>
      <w:r>
        <w:t>As part of Ohio’s efforts to restructure its regulation of retail electric service</w:t>
      </w:r>
      <w:r w:rsidR="00D51E5A">
        <w:t xml:space="preserve">, Ohio law and </w:t>
      </w:r>
      <w:r w:rsidR="00D955FB">
        <w:t xml:space="preserve">the </w:t>
      </w:r>
      <w:r w:rsidR="00D51E5A">
        <w:t>Commission</w:t>
      </w:r>
      <w:r w:rsidR="00EC67B9">
        <w:t>’s</w:t>
      </w:r>
      <w:r w:rsidR="00D51E5A">
        <w:t xml:space="preserve"> rules require that </w:t>
      </w:r>
      <w:r w:rsidR="00EC67B9">
        <w:t xml:space="preserve">retail </w:t>
      </w:r>
      <w:r w:rsidR="00D51E5A">
        <w:t>electric services provided by a</w:t>
      </w:r>
      <w:r w:rsidR="004F33B0">
        <w:t>n</w:t>
      </w:r>
      <w:r w:rsidR="00D51E5A">
        <w:t xml:space="preserve"> electric dist</w:t>
      </w:r>
      <w:r w:rsidR="001449DE">
        <w:t xml:space="preserve">ribution </w:t>
      </w:r>
      <w:r w:rsidR="004F33B0">
        <w:t>utility (“EDU”)</w:t>
      </w:r>
      <w:r w:rsidR="001449DE">
        <w:t xml:space="preserve"> be unbundled.</w:t>
      </w:r>
      <w:r w:rsidR="001449DE">
        <w:rPr>
          <w:rStyle w:val="FootnoteReference"/>
        </w:rPr>
        <w:footnoteReference w:id="6"/>
      </w:r>
      <w:r w:rsidR="001449DE">
        <w:t xml:space="preserve"> </w:t>
      </w:r>
      <w:r w:rsidR="00D51E5A">
        <w:t xml:space="preserve"> </w:t>
      </w:r>
      <w:r w:rsidR="00D955FB">
        <w:t xml:space="preserve">Regarding </w:t>
      </w:r>
      <w:r>
        <w:t xml:space="preserve">the </w:t>
      </w:r>
      <w:r w:rsidR="00D955FB">
        <w:t xml:space="preserve">unbundled transmission component, </w:t>
      </w:r>
      <w:r w:rsidR="00D51E5A">
        <w:t xml:space="preserve">R.C. 4928.05(A)(2) authorizes the Commission to provide for the recovery through a reconcilable rider in an EDU's rates, all transmission and transmission-related costs, imposed on or charged to the utility by the </w:t>
      </w:r>
      <w:r w:rsidR="00574F4E">
        <w:t>Federal Energy Regulatory Commission (“</w:t>
      </w:r>
      <w:r w:rsidR="00D51E5A">
        <w:t>FERC</w:t>
      </w:r>
      <w:r w:rsidR="00574F4E">
        <w:t>”)</w:t>
      </w:r>
      <w:r w:rsidR="00D51E5A">
        <w:t xml:space="preserve"> or </w:t>
      </w:r>
      <w:r w:rsidR="00574F4E">
        <w:t>a regional transmission organization (“</w:t>
      </w:r>
      <w:r w:rsidR="00D51E5A">
        <w:t>RTO</w:t>
      </w:r>
      <w:r w:rsidR="00574F4E">
        <w:t>”)</w:t>
      </w:r>
      <w:r w:rsidR="00D51E5A">
        <w:t>, independent system operator</w:t>
      </w:r>
      <w:r w:rsidR="00574F4E">
        <w:t xml:space="preserve"> (“ISO”)</w:t>
      </w:r>
      <w:r w:rsidR="00D51E5A">
        <w:t>, or similar organization approved by FERC.</w:t>
      </w:r>
      <w:r w:rsidR="00D51E5A">
        <w:rPr>
          <w:vertAlign w:val="superscript"/>
        </w:rPr>
        <w:footnoteReference w:id="7"/>
      </w:r>
      <w:r w:rsidR="00D51E5A">
        <w:t xml:space="preserve">  Both that section and R.C. 4928.15(B) require that the Commission conform transmission tariffs to federally</w:t>
      </w:r>
      <w:r w:rsidR="00574F4E">
        <w:t>-</w:t>
      </w:r>
      <w:r w:rsidR="00D51E5A">
        <w:t>approved transmission tariffs.  As set out in R.C. 4928.15(B</w:t>
      </w:r>
      <w:r w:rsidR="00D51E5A" w:rsidRPr="003B52D0">
        <w:t>)</w:t>
      </w:r>
      <w:r w:rsidR="003B52D0">
        <w:t>,</w:t>
      </w:r>
      <w:r w:rsidR="009C5334" w:rsidRPr="00BE4B1B">
        <w:rPr>
          <w:i/>
        </w:rPr>
        <w:t xml:space="preserve"> “</w:t>
      </w:r>
      <w:r w:rsidR="00D51E5A" w:rsidRPr="00BE4B1B">
        <w:rPr>
          <w:i/>
        </w:rPr>
        <w:t>except as preempted by federal law</w:t>
      </w:r>
      <w:r w:rsidR="00D51E5A">
        <w:t>, no electric utility shall supply the transmission service</w:t>
      </w:r>
      <w:r w:rsidR="009C5334">
        <w:t xml:space="preserve"> </w:t>
      </w:r>
      <w:r w:rsidR="00832DC1">
        <w:t>…</w:t>
      </w:r>
      <w:r w:rsidR="009C5334">
        <w:t xml:space="preserve"> </w:t>
      </w:r>
      <w:r w:rsidR="00D51E5A">
        <w:t>in this state on or after t</w:t>
      </w:r>
      <w:r w:rsidR="00DF5CBB">
        <w:t xml:space="preserve">he starting date of </w:t>
      </w:r>
      <w:r w:rsidR="00700566">
        <w:t>[</w:t>
      </w:r>
      <w:r w:rsidR="00DF5CBB">
        <w:t>competition</w:t>
      </w:r>
      <w:r w:rsidR="00700566">
        <w:t>]</w:t>
      </w:r>
      <w:r w:rsidR="00DF5CBB">
        <w:t xml:space="preserve"> exce</w:t>
      </w:r>
      <w:r w:rsidR="00D51E5A">
        <w:t>pt pursuant to a schedule for that service component that is consistent with state policy specified in section 4928.02 of the Revised Code</w:t>
      </w:r>
      <w:r w:rsidR="00700566">
        <w:t xml:space="preserve"> </w:t>
      </w:r>
      <w:r w:rsidR="00832DC1">
        <w:t>…</w:t>
      </w:r>
      <w:r w:rsidR="00D51E5A">
        <w:t>.</w:t>
      </w:r>
      <w:r w:rsidR="00B373D2">
        <w:t>”</w:t>
      </w:r>
      <w:r w:rsidR="009C5334">
        <w:t xml:space="preserve"> </w:t>
      </w:r>
      <w:r w:rsidR="00D51E5A">
        <w:t>(</w:t>
      </w:r>
      <w:r>
        <w:t>e</w:t>
      </w:r>
      <w:r w:rsidR="00D51E5A">
        <w:t>mphasis added)</w:t>
      </w:r>
      <w:r w:rsidR="00682634">
        <w:t>.</w:t>
      </w:r>
      <w:r w:rsidR="00D51E5A">
        <w:t xml:space="preserve">  </w:t>
      </w:r>
      <w:r w:rsidR="00744683">
        <w:t xml:space="preserve">Thus, the General Assembly has directed the Commission to ensure that the transmission tariffs it approves are not preempted by federal law.  </w:t>
      </w:r>
    </w:p>
    <w:p w14:paraId="1B45C911" w14:textId="66AFC553" w:rsidR="00D51E5A" w:rsidRDefault="00D51E5A" w:rsidP="00EA5369">
      <w:pPr>
        <w:ind w:firstLine="720"/>
      </w:pPr>
      <w:r>
        <w:lastRenderedPageBreak/>
        <w:t>To implement these statutory requirements, the Commission has adopted rules governing the authorization of transmission riders.  Rule 4901:1-36-04(B), O</w:t>
      </w:r>
      <w:r w:rsidR="00F37F23">
        <w:t>.</w:t>
      </w:r>
      <w:r>
        <w:t>A</w:t>
      </w:r>
      <w:r w:rsidR="00F37F23">
        <w:t>.</w:t>
      </w:r>
      <w:r>
        <w:t>C, provides, “</w:t>
      </w:r>
      <w:r w:rsidR="00A8158B">
        <w:t>[t]</w:t>
      </w:r>
      <w:r>
        <w:t xml:space="preserve">he transmission cost recovery rider shall be avoidable by all customers who choose alternative generation suppliers and the electric utility no longer bears the responsibility of providing generation and transmission service to the customers.”  </w:t>
      </w:r>
    </w:p>
    <w:p w14:paraId="1D7DDB33" w14:textId="22C76276" w:rsidR="00D51E5A" w:rsidRDefault="00D51E5A" w:rsidP="00D51E5A">
      <w:pPr>
        <w:ind w:firstLine="720"/>
      </w:pPr>
      <w:r>
        <w:t xml:space="preserve">As demonstrated in IEU-Ohio’s Motion, federal law </w:t>
      </w:r>
      <w:r w:rsidR="00F37F23">
        <w:t>v</w:t>
      </w:r>
      <w:r>
        <w:t xml:space="preserve">ests </w:t>
      </w:r>
      <w:r w:rsidR="00F37F23">
        <w:t>in</w:t>
      </w:r>
      <w:r>
        <w:t xml:space="preserve"> FERC the exclusive jurisdiction to set the transmission rates of retail customers in states that have adopted retail choice on terms and conditions it has authorized.</w:t>
      </w:r>
      <w:r>
        <w:rPr>
          <w:rStyle w:val="FootnoteReference"/>
        </w:rPr>
        <w:footnoteReference w:id="8"/>
      </w:r>
      <w:r>
        <w:t xml:space="preserve">  Under the rules adopted in </w:t>
      </w:r>
      <w:r w:rsidR="00F37F23">
        <w:t xml:space="preserve">FERC </w:t>
      </w:r>
      <w:r>
        <w:t>Order</w:t>
      </w:r>
      <w:r w:rsidR="00916DFA">
        <w:t>s</w:t>
      </w:r>
      <w:r>
        <w:t xml:space="preserve"> 888 and 2000, FERC has authorized retail customers </w:t>
      </w:r>
      <w:r w:rsidR="003B52D0">
        <w:t xml:space="preserve">in a region that is part of an RTO </w:t>
      </w:r>
      <w:r>
        <w:t>to take service directly under the OATT under the terms and conditions provided by the OATT.</w:t>
      </w:r>
      <w:r>
        <w:rPr>
          <w:rStyle w:val="FootnoteReference"/>
        </w:rPr>
        <w:footnoteReference w:id="9"/>
      </w:r>
      <w:r>
        <w:t xml:space="preserve">  As </w:t>
      </w:r>
      <w:r w:rsidR="00082EB3">
        <w:t xml:space="preserve">also </w:t>
      </w:r>
      <w:r>
        <w:t>noted</w:t>
      </w:r>
      <w:r w:rsidR="00A34354">
        <w:t xml:space="preserve"> in</w:t>
      </w:r>
      <w:r>
        <w:t xml:space="preserve"> </w:t>
      </w:r>
      <w:r w:rsidR="004E058A">
        <w:t>IEU-Ohio’s Motion</w:t>
      </w:r>
      <w:r>
        <w:t>,</w:t>
      </w:r>
      <w:r w:rsidR="004E058A">
        <w:t xml:space="preserve"> </w:t>
      </w:r>
      <w:r>
        <w:t xml:space="preserve">the PJM OATT provides that any transmission service customer can contract directly with PJM for transmission service.  Further, that customer will be billed for Network Integrated Transmission </w:t>
      </w:r>
      <w:r w:rsidR="004E058A">
        <w:t>Services</w:t>
      </w:r>
      <w:r>
        <w:t xml:space="preserve"> </w:t>
      </w:r>
      <w:r w:rsidR="00A34354">
        <w:t xml:space="preserve">(“NITS”) </w:t>
      </w:r>
      <w:r>
        <w:t>and other services on</w:t>
      </w:r>
      <w:r w:rsidR="004E058A">
        <w:t xml:space="preserve"> a </w:t>
      </w:r>
      <w:r w:rsidR="00C37C17">
        <w:t xml:space="preserve">single </w:t>
      </w:r>
      <w:r w:rsidR="004E058A">
        <w:t xml:space="preserve">coincident peak (“1CP”) </w:t>
      </w:r>
      <w:r>
        <w:t>basis.</w:t>
      </w:r>
      <w:r w:rsidR="004E058A">
        <w:rPr>
          <w:rStyle w:val="FootnoteReference"/>
        </w:rPr>
        <w:footnoteReference w:id="10"/>
      </w:r>
      <w:r>
        <w:t xml:space="preserve">  </w:t>
      </w:r>
    </w:p>
    <w:p w14:paraId="004EED73" w14:textId="413ACCEA" w:rsidR="00D51E5A" w:rsidRDefault="00D51E5A" w:rsidP="00D51E5A">
      <w:pPr>
        <w:ind w:firstLine="720"/>
      </w:pPr>
      <w:r>
        <w:t>Despite these state and federal requirements, however, DP&amp;L</w:t>
      </w:r>
      <w:r w:rsidR="005126A3">
        <w:t>, which is a member of PJM,</w:t>
      </w:r>
      <w:r>
        <w:t xml:space="preserve"> seeks a waiver of Rule 4901:1-36-04(B)</w:t>
      </w:r>
      <w:r w:rsidR="00F75FDB">
        <w:t>, O.A.C.,</w:t>
      </w:r>
      <w:r>
        <w:t xml:space="preserve"> and authorization </w:t>
      </w:r>
      <w:r w:rsidR="00F75FDB">
        <w:t xml:space="preserve">of </w:t>
      </w:r>
      <w:r>
        <w:t xml:space="preserve">tariff sheets </w:t>
      </w:r>
      <w:r w:rsidR="00F75FDB">
        <w:t xml:space="preserve">for its proposed nonbypassable transmission rider, </w:t>
      </w:r>
      <w:r>
        <w:t>under which DP&amp;L’s customers would be prohibited from directly accessing the OATT.</w:t>
      </w:r>
      <w:r>
        <w:rPr>
          <w:rStyle w:val="FootnoteReference"/>
        </w:rPr>
        <w:footnoteReference w:id="11"/>
      </w:r>
      <w:r>
        <w:t xml:space="preserve">  Further, embedded in its proposed transmission tariff sheets, DP&amp;L proposes to charge for transmission services in a </w:t>
      </w:r>
      <w:r>
        <w:lastRenderedPageBreak/>
        <w:t>manner inconsistent with the manner authorized by FERC.</w:t>
      </w:r>
      <w:r>
        <w:rPr>
          <w:rStyle w:val="FootnoteReference"/>
        </w:rPr>
        <w:footnoteReference w:id="12"/>
      </w:r>
      <w:r>
        <w:t xml:space="preserve">  As IEU-Ohio explained in its </w:t>
      </w:r>
      <w:r w:rsidR="00F75FDB">
        <w:t>Motion</w:t>
      </w:r>
      <w:r>
        <w:t>, the Commission cannot lawfully authorize this request since the Commission is bound by Ohio and federal law to permit customers to take service directly or indirectly from PJM at terms and conditions that are as good as or better than those provided by the PJM OATT.</w:t>
      </w:r>
    </w:p>
    <w:p w14:paraId="6EF817E9" w14:textId="1EFE6F4A" w:rsidR="00D51E5A" w:rsidRDefault="00D51E5A" w:rsidP="00D51E5A">
      <w:pPr>
        <w:ind w:firstLine="720"/>
      </w:pPr>
      <w:r>
        <w:t xml:space="preserve">Although DP&amp;L must demonstrate that the waiver </w:t>
      </w:r>
      <w:r w:rsidR="000365A8">
        <w:t xml:space="preserve">it seeks </w:t>
      </w:r>
      <w:r>
        <w:t xml:space="preserve">is not precluded by a statutory provision, it has not done so.  As noted in </w:t>
      </w:r>
      <w:r w:rsidR="000365A8">
        <w:t>IEU-Ohio’s Motion</w:t>
      </w:r>
      <w:r>
        <w:t>, the Application requesting the waiver is completely devoid of any demonstration that DP&amp;L</w:t>
      </w:r>
      <w:r w:rsidR="000365A8">
        <w:t>’s</w:t>
      </w:r>
      <w:r>
        <w:t xml:space="preserve"> request complies with Ohio law.  In its </w:t>
      </w:r>
      <w:r w:rsidR="00EE09FD">
        <w:t>Memo Contra</w:t>
      </w:r>
      <w:r>
        <w:t>, DP&amp;L again fails to address the requirements of Ohio or federal law.  At this point, the Commission may accept that DP&amp;L concedes that the Commission is required by federal and state law to authorize terms and conditions in the retail tariff sheets that comply with the PJM OATT</w:t>
      </w:r>
      <w:r w:rsidR="0074164C">
        <w:t>,</w:t>
      </w:r>
      <w:r w:rsidR="008735CE">
        <w:t xml:space="preserve"> and that the proposed transmission tariff sheets do not satisfy these legal requirements</w:t>
      </w:r>
      <w:r>
        <w:t xml:space="preserve">.  DP&amp;L offers nothing to refute </w:t>
      </w:r>
      <w:r w:rsidR="008735CE">
        <w:t xml:space="preserve">those </w:t>
      </w:r>
      <w:r>
        <w:t>conclusion</w:t>
      </w:r>
      <w:r w:rsidR="008735CE">
        <w:t>s</w:t>
      </w:r>
      <w:r>
        <w:t>.</w:t>
      </w:r>
    </w:p>
    <w:p w14:paraId="3EBA3C42" w14:textId="32AEF739" w:rsidR="00D51E5A" w:rsidRDefault="00D51E5A" w:rsidP="000365A8">
      <w:pPr>
        <w:pStyle w:val="Heading2"/>
      </w:pPr>
      <w:bookmarkStart w:id="5" w:name="_Toc447533424"/>
      <w:r>
        <w:t xml:space="preserve">There is no lawful basis for the Commission to defer the determination that </w:t>
      </w:r>
      <w:r w:rsidR="000365A8">
        <w:t>DP&amp;L’s proposed</w:t>
      </w:r>
      <w:r>
        <w:t xml:space="preserve"> transmission tariff sheets do not comply with federal and state requirements</w:t>
      </w:r>
      <w:bookmarkEnd w:id="5"/>
    </w:p>
    <w:p w14:paraId="09A68686" w14:textId="1781C243" w:rsidR="00D51E5A" w:rsidRDefault="00D51E5A" w:rsidP="00D51E5A">
      <w:pPr>
        <w:ind w:firstLine="720"/>
      </w:pPr>
      <w:r>
        <w:t xml:space="preserve">Rather than address the merits of its request to implement transmission tariff sheets that do not comply with the PJM OATT, DP&amp;L argues that the Commission </w:t>
      </w:r>
      <w:r w:rsidR="00682634">
        <w:t xml:space="preserve">should </w:t>
      </w:r>
      <w:r>
        <w:t xml:space="preserve">allow a </w:t>
      </w:r>
      <w:r w:rsidR="00946A54">
        <w:t>c</w:t>
      </w:r>
      <w:r>
        <w:t xml:space="preserve">ourt </w:t>
      </w:r>
      <w:r w:rsidR="00961860">
        <w:t xml:space="preserve">to </w:t>
      </w:r>
      <w:r>
        <w:t xml:space="preserve">decide </w:t>
      </w:r>
      <w:r w:rsidR="00357767">
        <w:t>whether authorization of its proposed transmission tariff sheets is preempted</w:t>
      </w:r>
      <w:r>
        <w:t xml:space="preserve">.  In support of that claim, DP&amp;L cites to a recent Commission decision </w:t>
      </w:r>
      <w:r w:rsidR="00357767">
        <w:t xml:space="preserve">in which </w:t>
      </w:r>
      <w:r>
        <w:t xml:space="preserve">the Commission held that “constitutional issues are best reserved for judicial </w:t>
      </w:r>
      <w:r>
        <w:lastRenderedPageBreak/>
        <w:t>determination.”</w:t>
      </w:r>
      <w:r w:rsidR="00502994">
        <w:rPr>
          <w:rStyle w:val="FootnoteReference"/>
        </w:rPr>
        <w:footnoteReference w:id="13"/>
      </w:r>
      <w:r>
        <w:t xml:space="preserve"> </w:t>
      </w:r>
      <w:r w:rsidR="00682634">
        <w:t xml:space="preserve"> </w:t>
      </w:r>
      <w:r>
        <w:t xml:space="preserve">The Commission’s recent refusal to address the preemption issues raised in the </w:t>
      </w:r>
      <w:r w:rsidR="0074164C">
        <w:t>Ohio Power Company (“</w:t>
      </w:r>
      <w:r>
        <w:t>AEP</w:t>
      </w:r>
      <w:r w:rsidR="00946A54">
        <w:noBreakHyphen/>
        <w:t>Ohio</w:t>
      </w:r>
      <w:r w:rsidR="0074164C">
        <w:t>”)</w:t>
      </w:r>
      <w:r>
        <w:t xml:space="preserve"> case, however, was not consistent with Ohio law, </w:t>
      </w:r>
      <w:r w:rsidR="00AF0C63">
        <w:t>was</w:t>
      </w:r>
      <w:r>
        <w:t xml:space="preserve"> not consistent with Commission practice in other recent cases, and was premised on a misapplication of the Supreme Court’s holding that the Commission is without  authority to hold a statute unconstitutional.  </w:t>
      </w:r>
    </w:p>
    <w:p w14:paraId="4F106A1D" w14:textId="77777777" w:rsidR="0037494D" w:rsidRDefault="004D7A15" w:rsidP="00D51E5A">
      <w:pPr>
        <w:ind w:firstLine="720"/>
      </w:pPr>
      <w:r>
        <w:t>Initially, R.C. 4928.05(B) and 4928.15(B) require the Commission to find that the transmission tariff sheets are not preempted by federal law.  Thus, the Commission, under state law, must address the preemptive effect of the PJM OATT and in this instance determine that DP&amp;L’s proposed transmission tariff sheets conflict with the PJM OATT.</w:t>
      </w:r>
      <w:r w:rsidR="007475E9">
        <w:t xml:space="preserve">  </w:t>
      </w:r>
    </w:p>
    <w:p w14:paraId="54836E49" w14:textId="43E8BF66" w:rsidR="00D51E5A" w:rsidRDefault="007475E9" w:rsidP="00D51E5A">
      <w:pPr>
        <w:ind w:firstLine="720"/>
        <w:rPr>
          <w:rStyle w:val="ssleftalign"/>
        </w:rPr>
      </w:pPr>
      <w:r>
        <w:t>Moreover</w:t>
      </w:r>
      <w:r w:rsidR="00D51E5A">
        <w:rPr>
          <w:rStyle w:val="ssleftalign"/>
        </w:rPr>
        <w:t>, the Commission routinely takes into account constitutional requirements when crafting its decisions, often at the behest of utility companies</w:t>
      </w:r>
      <w:r w:rsidR="00946A54">
        <w:rPr>
          <w:rStyle w:val="ssleftalign"/>
        </w:rPr>
        <w:t>,</w:t>
      </w:r>
      <w:r w:rsidR="00D51E5A">
        <w:rPr>
          <w:rStyle w:val="ssleftalign"/>
        </w:rPr>
        <w:t xml:space="preserve"> including DP&amp;L.  In cases in which federal preemption is an issue, in particular, the Commission has also repeatedly addressed preemption issues before it renders its decisions.  </w:t>
      </w:r>
    </w:p>
    <w:p w14:paraId="512ADBC8" w14:textId="74CB6397" w:rsidR="00D51E5A" w:rsidRDefault="00D51E5A" w:rsidP="00D51E5A">
      <w:pPr>
        <w:ind w:firstLine="720"/>
        <w:rPr>
          <w:rStyle w:val="ssleftalign"/>
        </w:rPr>
      </w:pPr>
      <w:r>
        <w:rPr>
          <w:rStyle w:val="ssleftalign"/>
        </w:rPr>
        <w:t>For example, in an AEP-Ohio rate case during the 1980’s</w:t>
      </w:r>
      <w:r w:rsidR="002B6B1C">
        <w:rPr>
          <w:rStyle w:val="ssleftalign"/>
        </w:rPr>
        <w:t>,</w:t>
      </w:r>
      <w:r>
        <w:rPr>
          <w:rStyle w:val="ssleftalign"/>
        </w:rPr>
        <w:t xml:space="preserve"> the Commission </w:t>
      </w:r>
      <w:r>
        <w:t>held that the issue of whether it was preempted from taking certain actions was a threshold issue that it must address:</w:t>
      </w:r>
    </w:p>
    <w:p w14:paraId="61130174" w14:textId="77777777" w:rsidR="00765237" w:rsidRDefault="00D51E5A" w:rsidP="000B21F3">
      <w:pPr>
        <w:pStyle w:val="FootnoteText"/>
        <w:spacing w:after="0"/>
        <w:ind w:left="720" w:right="720"/>
        <w:rPr>
          <w:sz w:val="24"/>
          <w:szCs w:val="24"/>
        </w:rPr>
      </w:pPr>
      <w:r>
        <w:rPr>
          <w:sz w:val="24"/>
          <w:szCs w:val="24"/>
        </w:rPr>
        <w:t xml:space="preserve">Ohio Power's position throughout the case has been that this Commission is federally preempted from considering the Transmission Agreement after it has been filed with FERC.  Consumers' Counsel agreed with staff that the Commission should not allow the Transmission Agreement expense, but instead of relying on the staff's prudence argument, it urged the Commission to deny the expense because Ohio Power failed to show that the agreement is cost-based and because the Commission lacks the authority to approve a rate subject to refund. </w:t>
      </w:r>
    </w:p>
    <w:p w14:paraId="71703D27" w14:textId="77777777" w:rsidR="00765237" w:rsidRDefault="00765237" w:rsidP="000B21F3">
      <w:pPr>
        <w:pStyle w:val="FootnoteText"/>
        <w:spacing w:after="0"/>
        <w:ind w:left="720" w:right="720"/>
        <w:rPr>
          <w:sz w:val="24"/>
          <w:szCs w:val="24"/>
        </w:rPr>
      </w:pPr>
    </w:p>
    <w:p w14:paraId="743E6BC2" w14:textId="312B9E9A" w:rsidR="00D51E5A" w:rsidRDefault="00D51E5A" w:rsidP="000B21F3">
      <w:pPr>
        <w:pStyle w:val="FootnoteText"/>
        <w:spacing w:after="0"/>
        <w:ind w:left="720" w:right="720"/>
        <w:rPr>
          <w:sz w:val="24"/>
          <w:szCs w:val="24"/>
        </w:rPr>
      </w:pPr>
      <w:r>
        <w:rPr>
          <w:sz w:val="24"/>
          <w:szCs w:val="24"/>
        </w:rPr>
        <w:lastRenderedPageBreak/>
        <w:t>The issue of this Commission's jurisdiction over the Transmission Agreement must be resolved prior to consideration of other issues.</w:t>
      </w:r>
      <w:r>
        <w:rPr>
          <w:rStyle w:val="FootnoteReference"/>
          <w:sz w:val="24"/>
          <w:szCs w:val="24"/>
        </w:rPr>
        <w:footnoteReference w:id="14"/>
      </w:r>
    </w:p>
    <w:p w14:paraId="2E8F3AD5" w14:textId="77777777" w:rsidR="00225864" w:rsidRDefault="00225864" w:rsidP="003362C5">
      <w:pPr>
        <w:spacing w:line="240" w:lineRule="auto"/>
      </w:pPr>
    </w:p>
    <w:p w14:paraId="19B8E518" w14:textId="5303782E" w:rsidR="00D51E5A" w:rsidRDefault="00D51E5A" w:rsidP="00D51E5A">
      <w:r>
        <w:t xml:space="preserve">The Commission went on to conclude that it was preempted from excluding the transmission </w:t>
      </w:r>
      <w:r w:rsidR="00A84B74">
        <w:t>expense</w:t>
      </w:r>
      <w:r>
        <w:t xml:space="preserve"> that its Staff and the Office of the Ohio Consumers’ Counsel </w:t>
      </w:r>
      <w:r w:rsidR="002B6B1C">
        <w:t xml:space="preserve">(“OCC”) </w:t>
      </w:r>
      <w:r>
        <w:t>had urged be excluded.</w:t>
      </w:r>
      <w:r>
        <w:rPr>
          <w:rStyle w:val="FootnoteReference"/>
        </w:rPr>
        <w:footnoteReference w:id="15"/>
      </w:r>
    </w:p>
    <w:p w14:paraId="653987AF" w14:textId="2FA6BD29" w:rsidR="00D51E5A" w:rsidRDefault="00D51E5A" w:rsidP="00D51E5A">
      <w:r>
        <w:tab/>
        <w:t>In a more recent case, the Commission analyzed wh</w:t>
      </w:r>
      <w:r w:rsidR="003362C5">
        <w:t>ether its regulation of AEP</w:t>
      </w:r>
      <w:r w:rsidR="003362C5">
        <w:noBreakHyphen/>
      </w:r>
      <w:r>
        <w:t>Ohio’s compensation for capacity service was preempted by federal law.</w:t>
      </w:r>
      <w:r>
        <w:rPr>
          <w:rStyle w:val="FootnoteReference"/>
        </w:rPr>
        <w:footnoteReference w:id="16"/>
      </w:r>
      <w:r>
        <w:t xml:space="preserve">  In that case, the Commission </w:t>
      </w:r>
      <w:r w:rsidR="007C378A">
        <w:t>discussed</w:t>
      </w:r>
      <w:r>
        <w:t xml:space="preserve"> parties’ arguments for and against preemption</w:t>
      </w:r>
      <w:r w:rsidR="00B27F9D">
        <w:t xml:space="preserve"> </w:t>
      </w:r>
      <w:r>
        <w:t xml:space="preserve">and </w:t>
      </w:r>
      <w:r w:rsidR="00B27F9D">
        <w:t xml:space="preserve">reviewed </w:t>
      </w:r>
      <w:r>
        <w:t>applicable federal law, federal regulations, federal tariffs, and FERC-approved contracts.</w:t>
      </w:r>
      <w:r>
        <w:rPr>
          <w:rStyle w:val="FootnoteReference"/>
        </w:rPr>
        <w:footnoteReference w:id="17"/>
      </w:r>
      <w:r>
        <w:t xml:space="preserve">  Ultimately, the Commission concluded that while “pursuant to the FPA, electric sales for resale and other wholesale transactions are generally subject to the exclusive jurisdiction of FERC” that its exercise of jurisdiction i</w:t>
      </w:r>
      <w:r w:rsidR="00A84B74">
        <w:t>n that</w:t>
      </w:r>
      <w:r>
        <w:t xml:space="preserve"> case was “consistent with the governing section of the [FERC-approved contract</w:t>
      </w:r>
      <w:r w:rsidR="002B6B1C">
        <w:t>]</w:t>
      </w:r>
      <w:r>
        <w:t>.”</w:t>
      </w:r>
      <w:r>
        <w:rPr>
          <w:rStyle w:val="FootnoteReference"/>
        </w:rPr>
        <w:footnoteReference w:id="18"/>
      </w:r>
      <w:r>
        <w:t xml:space="preserve">  </w:t>
      </w:r>
    </w:p>
    <w:p w14:paraId="6B1726BA" w14:textId="07F0CEDF" w:rsidR="00D51E5A" w:rsidRDefault="00D51E5A" w:rsidP="00D51E5A">
      <w:r>
        <w:tab/>
        <w:t xml:space="preserve">DP&amp;L itself has often urged the Commission to address constitutional issues including whether its actions would be preempted.  </w:t>
      </w:r>
      <w:r>
        <w:rPr>
          <w:rStyle w:val="ssleftalign"/>
        </w:rPr>
        <w:t xml:space="preserve">In its prior ESP case and specific to whether the Commission may address whether it is preempted from acting, DP&amp;L </w:t>
      </w:r>
      <w:r>
        <w:t xml:space="preserve">urged the Commission to find it was preempted from addressing certain issues raised in the </w:t>
      </w:r>
      <w:r>
        <w:lastRenderedPageBreak/>
        <w:t>case</w:t>
      </w:r>
      <w:r>
        <w:rPr>
          <w:rStyle w:val="ssleftalign"/>
        </w:rPr>
        <w:t>.</w:t>
      </w:r>
      <w:r>
        <w:rPr>
          <w:rStyle w:val="FootnoteReference"/>
        </w:rPr>
        <w:footnoteReference w:id="19"/>
      </w:r>
      <w:r>
        <w:rPr>
          <w:rStyle w:val="ssleftalign"/>
        </w:rPr>
        <w:t xml:space="preserve">  DP&amp;L also has urged the Commission to consider whether a</w:t>
      </w:r>
      <w:r w:rsidR="00F32283">
        <w:rPr>
          <w:rStyle w:val="ssleftalign"/>
        </w:rPr>
        <w:t>n</w:t>
      </w:r>
      <w:r>
        <w:rPr>
          <w:rStyle w:val="ssleftalign"/>
        </w:rPr>
        <w:t xml:space="preserve"> </w:t>
      </w:r>
      <w:r w:rsidR="009E7ADF">
        <w:rPr>
          <w:rStyle w:val="ssleftalign"/>
        </w:rPr>
        <w:t>un</w:t>
      </w:r>
      <w:r>
        <w:rPr>
          <w:rStyle w:val="ssleftalign"/>
        </w:rPr>
        <w:t>constitutional taking</w:t>
      </w:r>
      <w:r w:rsidR="009E7ADF">
        <w:rPr>
          <w:rStyle w:val="ssleftalign"/>
        </w:rPr>
        <w:t>s</w:t>
      </w:r>
      <w:r>
        <w:rPr>
          <w:rStyle w:val="ssleftalign"/>
        </w:rPr>
        <w:t xml:space="preserve"> would occur if the Commission did not grant DP&amp;L the relief it has sought.</w:t>
      </w:r>
      <w:r>
        <w:rPr>
          <w:rStyle w:val="FootnoteReference"/>
        </w:rPr>
        <w:footnoteReference w:id="20"/>
      </w:r>
      <w:r>
        <w:rPr>
          <w:rStyle w:val="ssleftalign"/>
        </w:rPr>
        <w:t xml:space="preserve">    </w:t>
      </w:r>
    </w:p>
    <w:p w14:paraId="7235ABD2" w14:textId="36D73744" w:rsidR="00D51E5A" w:rsidRDefault="00D51E5A" w:rsidP="00D51E5A">
      <w:pPr>
        <w:ind w:firstLine="720"/>
      </w:pPr>
      <w:r>
        <w:t xml:space="preserve">Moreover, Supreme Court decisions addressing the Commission’s authority to address constitutional issues hold only that the Commission may not declare </w:t>
      </w:r>
      <w:r w:rsidR="00030B82">
        <w:t xml:space="preserve">that </w:t>
      </w:r>
      <w:r>
        <w:t xml:space="preserve">an Ohio statute is unconstitutional.  In </w:t>
      </w:r>
      <w:r>
        <w:rPr>
          <w:i/>
        </w:rPr>
        <w:t>East Ohio Gas Co. v. Public Utilities Commission of Ohio</w:t>
      </w:r>
      <w:r>
        <w:t xml:space="preserve">, 137 Ohio St. 225, 239, 28 N.E.2d 599 (1940), the Court held that the “[c]onstitutionality of statutes is a question for the </w:t>
      </w:r>
      <w:r>
        <w:rPr>
          <w:rStyle w:val="sssh"/>
          <w:bCs/>
        </w:rPr>
        <w:t>courts</w:t>
      </w:r>
      <w:r>
        <w:t xml:space="preserve"> and not for a board or commission.”  In </w:t>
      </w:r>
      <w:r w:rsidR="00DF1D94">
        <w:rPr>
          <w:i/>
        </w:rPr>
        <w:t xml:space="preserve">Office of the Ohio </w:t>
      </w:r>
      <w:r>
        <w:rPr>
          <w:i/>
        </w:rPr>
        <w:t>Consumers' Counsel v. Public Utilities Commission of Ohio</w:t>
      </w:r>
      <w:r>
        <w:t xml:space="preserve">, 70 Ohio St.3d 244, 247, 638 N.E.2d 550, 1994-Ohio-469 (1994), the Court confirmed a half century after its decision in </w:t>
      </w:r>
      <w:r>
        <w:rPr>
          <w:i/>
        </w:rPr>
        <w:t xml:space="preserve">East Ohio Gas </w:t>
      </w:r>
      <w:r>
        <w:t xml:space="preserve">that “[a]n administrative agency such as the commission may not pass upon the constitutionality of a statute.”  As the Court further explained in </w:t>
      </w:r>
      <w:r>
        <w:rPr>
          <w:i/>
        </w:rPr>
        <w:t>Consumers’ Counsel</w:t>
      </w:r>
      <w:r>
        <w:t xml:space="preserve">, </w:t>
      </w:r>
      <w:r>
        <w:rPr>
          <w:rStyle w:val="ssleftalign"/>
        </w:rPr>
        <w:t>“nothing precludes the commission from passing upon the proper application or construction of a statute.”</w:t>
      </w:r>
      <w:r>
        <w:rPr>
          <w:rStyle w:val="FootnoteReference"/>
        </w:rPr>
        <w:footnoteReference w:id="21"/>
      </w:r>
      <w:r>
        <w:rPr>
          <w:rStyle w:val="ssleftalign"/>
        </w:rPr>
        <w:t xml:space="preserve">  Thus, the Court clearly distinguished between the Commission’s authority to declare a statute unconstitutional, a power i</w:t>
      </w:r>
      <w:r w:rsidR="00030B82">
        <w:rPr>
          <w:rStyle w:val="ssleftalign"/>
        </w:rPr>
        <w:t>t</w:t>
      </w:r>
      <w:r>
        <w:rPr>
          <w:rStyle w:val="ssleftalign"/>
        </w:rPr>
        <w:t xml:space="preserve"> does not possess, and the Commission’s authority to interpret and apply a statute in the context of constitutional concerns, a power i</w:t>
      </w:r>
      <w:r w:rsidR="00873A8D">
        <w:rPr>
          <w:rStyle w:val="ssleftalign"/>
        </w:rPr>
        <w:t>t</w:t>
      </w:r>
      <w:r>
        <w:rPr>
          <w:rStyle w:val="ssleftalign"/>
        </w:rPr>
        <w:t xml:space="preserve"> does possess.  </w:t>
      </w:r>
    </w:p>
    <w:p w14:paraId="100D9A0B" w14:textId="7338A58F" w:rsidR="00D51E5A" w:rsidRDefault="00D51E5A" w:rsidP="00D51E5A">
      <w:pPr>
        <w:ind w:firstLine="720"/>
      </w:pPr>
      <w:r>
        <w:rPr>
          <w:rStyle w:val="ssleftalign"/>
        </w:rPr>
        <w:t xml:space="preserve">In sum, </w:t>
      </w:r>
      <w:r w:rsidR="00FA2EBB">
        <w:rPr>
          <w:rStyle w:val="ssleftalign"/>
        </w:rPr>
        <w:t>IEU-Ohio’s</w:t>
      </w:r>
      <w:r>
        <w:rPr>
          <w:rStyle w:val="ssleftalign"/>
        </w:rPr>
        <w:t xml:space="preserve"> Motion seeks a determination by this Commission that the </w:t>
      </w:r>
      <w:r w:rsidR="00030B82">
        <w:rPr>
          <w:rStyle w:val="ssleftalign"/>
        </w:rPr>
        <w:t>Application</w:t>
      </w:r>
      <w:r>
        <w:rPr>
          <w:rStyle w:val="ssleftalign"/>
        </w:rPr>
        <w:t xml:space="preserve"> seeks authorization of transmission tariffs that do not comply with state or </w:t>
      </w:r>
      <w:r>
        <w:rPr>
          <w:rStyle w:val="ssleftalign"/>
        </w:rPr>
        <w:lastRenderedPageBreak/>
        <w:t xml:space="preserve">federal law.  The Motion does not seek a determination that any Ohio statute is </w:t>
      </w:r>
      <w:r w:rsidR="00030B82">
        <w:rPr>
          <w:rStyle w:val="ssleftalign"/>
        </w:rPr>
        <w:t>unconstitutional</w:t>
      </w:r>
      <w:r>
        <w:rPr>
          <w:rStyle w:val="ssleftalign"/>
        </w:rPr>
        <w:t xml:space="preserve">.  Under Ohio law, the Commission is required </w:t>
      </w:r>
      <w:r w:rsidR="002071A3">
        <w:rPr>
          <w:rStyle w:val="ssleftalign"/>
        </w:rPr>
        <w:t>t</w:t>
      </w:r>
      <w:r>
        <w:rPr>
          <w:rStyle w:val="ssleftalign"/>
        </w:rPr>
        <w:t xml:space="preserve">o </w:t>
      </w:r>
      <w:r w:rsidR="002071A3">
        <w:rPr>
          <w:rStyle w:val="ssleftalign"/>
        </w:rPr>
        <w:t xml:space="preserve">conform </w:t>
      </w:r>
      <w:r w:rsidR="00B82144">
        <w:rPr>
          <w:rStyle w:val="ssleftalign"/>
        </w:rPr>
        <w:t xml:space="preserve">the transmission riders it authorizes to the requirements of federal law to ensure its orders are not subject to </w:t>
      </w:r>
      <w:r>
        <w:rPr>
          <w:rStyle w:val="ssleftalign"/>
        </w:rPr>
        <w:t>preemption under the Supremacy Clause of the Constitution.  Accordingly, there is no lawful or reasoned basis for the Commission to defer to the judiciary the determination that the request for a waiver of Rule 4901:1-36-04(B), O</w:t>
      </w:r>
      <w:r w:rsidR="00DD4930">
        <w:rPr>
          <w:rStyle w:val="ssleftalign"/>
        </w:rPr>
        <w:t>.</w:t>
      </w:r>
      <w:r>
        <w:rPr>
          <w:rStyle w:val="ssleftalign"/>
        </w:rPr>
        <w:t>A</w:t>
      </w:r>
      <w:r w:rsidR="00DD4930">
        <w:rPr>
          <w:rStyle w:val="ssleftalign"/>
        </w:rPr>
        <w:t>.</w:t>
      </w:r>
      <w:r>
        <w:rPr>
          <w:rStyle w:val="ssleftalign"/>
        </w:rPr>
        <w:t>C</w:t>
      </w:r>
      <w:r w:rsidR="00DD4930">
        <w:rPr>
          <w:rStyle w:val="ssleftalign"/>
        </w:rPr>
        <w:t>.</w:t>
      </w:r>
      <w:r>
        <w:rPr>
          <w:rStyle w:val="ssleftalign"/>
        </w:rPr>
        <w:t xml:space="preserve">, is unlawful. </w:t>
      </w:r>
    </w:p>
    <w:p w14:paraId="74DB4A1F" w14:textId="6E188AC5" w:rsidR="00D51E5A" w:rsidRDefault="00D51E5A" w:rsidP="00D51E5A">
      <w:pPr>
        <w:pStyle w:val="Heading2"/>
        <w:numPr>
          <w:ilvl w:val="1"/>
          <w:numId w:val="2"/>
        </w:numPr>
        <w:tabs>
          <w:tab w:val="left" w:pos="1440"/>
        </w:tabs>
      </w:pPr>
      <w:bookmarkStart w:id="6" w:name="_Toc447533425"/>
      <w:r>
        <w:t xml:space="preserve">IEU-Ohio is not estopped from arguing </w:t>
      </w:r>
      <w:r w:rsidR="00B82144">
        <w:t>that the waiver should be denied</w:t>
      </w:r>
      <w:bookmarkEnd w:id="6"/>
    </w:p>
    <w:p w14:paraId="1BB774F6" w14:textId="4F17B57B" w:rsidR="00D51E5A" w:rsidRDefault="00D51E5A" w:rsidP="00D51E5A">
      <w:pPr>
        <w:ind w:firstLine="720"/>
      </w:pPr>
      <w:r>
        <w:t xml:space="preserve">As part of its effort to avoid addressing the merits of the Motion, DP&amp;L further argues in its Memo Contra that because it was previously granted a waiver of the rule, over IEU-Ohio’s objections, IEU-Ohio is estopped from arguing against the waiver </w:t>
      </w:r>
      <w:r w:rsidR="006777CE">
        <w:t>DP&amp;L</w:t>
      </w:r>
      <w:r>
        <w:t xml:space="preserve"> seeks in this case.  DP&amp;L’s argument is without merit.</w:t>
      </w:r>
    </w:p>
    <w:p w14:paraId="680EB1D8" w14:textId="735044AF" w:rsidR="00D51E5A" w:rsidRDefault="00D51E5A" w:rsidP="00D51E5A">
      <w:pPr>
        <w:ind w:firstLine="720"/>
      </w:pPr>
      <w:r>
        <w:t xml:space="preserve">As the Supreme Court found in </w:t>
      </w:r>
      <w:r w:rsidR="008B4E72">
        <w:rPr>
          <w:i/>
        </w:rPr>
        <w:t xml:space="preserve">Office of the Ohio </w:t>
      </w:r>
      <w:r>
        <w:rPr>
          <w:i/>
        </w:rPr>
        <w:t xml:space="preserve">Consumers’ Counsel v. </w:t>
      </w:r>
      <w:r w:rsidR="008B4E72">
        <w:rPr>
          <w:i/>
        </w:rPr>
        <w:t xml:space="preserve">The </w:t>
      </w:r>
      <w:r w:rsidRPr="008B4E72">
        <w:rPr>
          <w:i/>
        </w:rPr>
        <w:t>Pub</w:t>
      </w:r>
      <w:r w:rsidR="008B4E72" w:rsidRPr="008B4E72">
        <w:rPr>
          <w:i/>
        </w:rPr>
        <w:t>lic Utilities Commission of Ohio</w:t>
      </w:r>
      <w:r w:rsidRPr="008B4E72">
        <w:t>, 111 Ohio</w:t>
      </w:r>
      <w:r>
        <w:t xml:space="preserve"> St.3d 300, 856 N.E.2d 213, 2006-Ohio-5789 </w:t>
      </w:r>
      <w:r w:rsidR="00840FE8">
        <w:t xml:space="preserve">at </w:t>
      </w:r>
      <w:r>
        <w:t xml:space="preserve">¶ 75, parties are not estopped in future cases from addressing new requests for waivers of the same requirement.  The appeal arose </w:t>
      </w:r>
      <w:r w:rsidR="006777CE">
        <w:t xml:space="preserve">because </w:t>
      </w:r>
      <w:r>
        <w:t>the Commission rejected a</w:t>
      </w:r>
      <w:r w:rsidR="006777CE">
        <w:t xml:space="preserve">n argument </w:t>
      </w:r>
      <w:r>
        <w:t xml:space="preserve">by OCC that </w:t>
      </w:r>
      <w:r w:rsidR="00840FE8">
        <w:t>the Cincinnati Gas &amp; Electric Company (“</w:t>
      </w:r>
      <w:r>
        <w:t>CG&amp;E</w:t>
      </w:r>
      <w:r w:rsidR="00840FE8">
        <w:t>”)</w:t>
      </w:r>
      <w:r>
        <w:t xml:space="preserve"> was estopped from seeking an extension of a waiver.  In the first of two related cases, CG&amp;E was granted a temporary waiver of </w:t>
      </w:r>
      <w:r w:rsidR="006777CE">
        <w:t xml:space="preserve">the </w:t>
      </w:r>
      <w:r>
        <w:t xml:space="preserve">requirement </w:t>
      </w:r>
      <w:r w:rsidR="006777CE">
        <w:t xml:space="preserve">in R.C. 4928.17 to separate the ownership of its generation assets from its distribution and transmission assets, </w:t>
      </w:r>
      <w:r>
        <w:t xml:space="preserve">and </w:t>
      </w:r>
      <w:r w:rsidR="00743D08">
        <w:t xml:space="preserve">was </w:t>
      </w:r>
      <w:r>
        <w:t xml:space="preserve">ordered to </w:t>
      </w:r>
      <w:r w:rsidR="00743D08">
        <w:t xml:space="preserve">divest </w:t>
      </w:r>
      <w:r>
        <w:t>its assets by the end of 2004.</w:t>
      </w:r>
      <w:r>
        <w:rPr>
          <w:rStyle w:val="FootnoteReference"/>
        </w:rPr>
        <w:footnoteReference w:id="22"/>
      </w:r>
      <w:r>
        <w:t xml:space="preserve">  In the second case, CG&amp;E sought a new waiver </w:t>
      </w:r>
      <w:r>
        <w:lastRenderedPageBreak/>
        <w:t xml:space="preserve">of the </w:t>
      </w:r>
      <w:r w:rsidR="00743D08">
        <w:t>separation</w:t>
      </w:r>
      <w:r>
        <w:t xml:space="preserve"> requirement and deadline</w:t>
      </w:r>
      <w:r w:rsidR="00743D08">
        <w:t xml:space="preserve"> to divest its generation assets</w:t>
      </w:r>
      <w:r>
        <w:t xml:space="preserve">, requesting that it be allowed to </w:t>
      </w:r>
      <w:r w:rsidR="00743D08">
        <w:t xml:space="preserve">delay </w:t>
      </w:r>
      <w:r w:rsidR="00834B9A">
        <w:t>separation</w:t>
      </w:r>
      <w:r w:rsidR="00743D08">
        <w:t xml:space="preserve"> </w:t>
      </w:r>
      <w:r>
        <w:t xml:space="preserve">through 2008.  </w:t>
      </w:r>
      <w:r w:rsidR="00834B9A">
        <w:t>The Commission granted the waiver and OCC appeal</w:t>
      </w:r>
      <w:r w:rsidR="006C58C4">
        <w:t>ed</w:t>
      </w:r>
      <w:r w:rsidR="00765237">
        <w:t>,</w:t>
      </w:r>
      <w:r w:rsidR="00834B9A">
        <w:t xml:space="preserve"> </w:t>
      </w:r>
      <w:r w:rsidR="006C58C4">
        <w:t>arguing</w:t>
      </w:r>
      <w:r>
        <w:t xml:space="preserve"> that CG&amp;E was estopped from seeking another waiver</w:t>
      </w:r>
      <w:r w:rsidR="00834B9A">
        <w:t>.</w:t>
      </w:r>
      <w:r>
        <w:t xml:space="preserve"> </w:t>
      </w:r>
      <w:r w:rsidR="00834B9A">
        <w:t xml:space="preserve"> T</w:t>
      </w:r>
      <w:r>
        <w:t>he Court disagreed</w:t>
      </w:r>
      <w:r w:rsidR="00834B9A">
        <w:t>, holding</w:t>
      </w:r>
      <w:r>
        <w:t>:</w:t>
      </w:r>
    </w:p>
    <w:p w14:paraId="16C99951" w14:textId="2C5E71DF" w:rsidR="00D51E5A" w:rsidRDefault="00D51E5A" w:rsidP="00D51E5A">
      <w:pPr>
        <w:spacing w:line="240" w:lineRule="auto"/>
        <w:ind w:left="720" w:right="720"/>
      </w:pPr>
      <w:r>
        <w:t xml:space="preserve">The doctrine [of collateral estoppel] is inapplicable here because there was no relitigation in this matter of a point of law or fact that was passed upon by the commission in the </w:t>
      </w:r>
      <w:r w:rsidR="005E7CE7">
        <w:t>[prior]</w:t>
      </w:r>
      <w:r>
        <w:t xml:space="preserve"> case. The corporate separation issue addressed in [the </w:t>
      </w:r>
      <w:r w:rsidR="005E7CE7">
        <w:t>prior</w:t>
      </w:r>
      <w:r>
        <w:t xml:space="preserve">] case was whether CG &amp; E could delay transferring its generating assets from December 31, 2000, to the end of 2004. The issue in this matter </w:t>
      </w:r>
      <w:r w:rsidR="00840FE8">
        <w:t xml:space="preserve">– whether </w:t>
      </w:r>
      <w:r>
        <w:t xml:space="preserve">CG &amp; E should be allowed to amend its corporate separation plan to allow it to retain generating assets through 2008 </w:t>
      </w:r>
      <w:r w:rsidR="00840FE8">
        <w:t xml:space="preserve">– was </w:t>
      </w:r>
      <w:r>
        <w:t>not decided in the electric-transition-plan case.</w:t>
      </w:r>
      <w:r>
        <w:rPr>
          <w:rStyle w:val="FootnoteReference"/>
        </w:rPr>
        <w:footnoteReference w:id="23"/>
      </w:r>
    </w:p>
    <w:p w14:paraId="684DE91B" w14:textId="77777777" w:rsidR="005E7CE7" w:rsidRDefault="005E7CE7" w:rsidP="005E7CE7">
      <w:pPr>
        <w:spacing w:line="240" w:lineRule="auto"/>
      </w:pPr>
    </w:p>
    <w:p w14:paraId="05DAFBB6" w14:textId="2B38D1BE" w:rsidR="00D51E5A" w:rsidRDefault="00D51E5A" w:rsidP="007E15A9">
      <w:pPr>
        <w:ind w:firstLine="720"/>
      </w:pPr>
      <w:r>
        <w:t>Just as in that case, IEU-Ohio is not relitigating any matter that was previously decided.  In its prior ESP case</w:t>
      </w:r>
      <w:r w:rsidR="00C66BEF">
        <w:t>,</w:t>
      </w:r>
      <w:r>
        <w:t xml:space="preserve"> DP&amp;L obtained a tem</w:t>
      </w:r>
      <w:r w:rsidR="00DD4930">
        <w:t>porary waiver of Rule 4901:1</w:t>
      </w:r>
      <w:r w:rsidR="00DD4930">
        <w:noBreakHyphen/>
        <w:t>36</w:t>
      </w:r>
      <w:r w:rsidR="00DD4930">
        <w:noBreakHyphen/>
      </w:r>
      <w:r>
        <w:t xml:space="preserve">04(B), O.A.C., which expires at the end of its current ESP.  In the prior case, DP&amp;L did not seek or obtain a waiver of the rule through the end of its proposed ESP in this case.  Thus, the issue of whether DP&amp;L should be </w:t>
      </w:r>
      <w:r w:rsidR="00DD4930">
        <w:t>granted a waiver of Rule 4901:1</w:t>
      </w:r>
      <w:r w:rsidR="00DD4930">
        <w:noBreakHyphen/>
      </w:r>
      <w:r>
        <w:t>36</w:t>
      </w:r>
      <w:r w:rsidR="00DD4930">
        <w:noBreakHyphen/>
      </w:r>
      <w:r>
        <w:t>04(B), O.A.C., for the duration of its proposed ESP in this case has not yet been litigated.  Accordingly, IEU</w:t>
      </w:r>
      <w:r w:rsidR="00C66BEF">
        <w:noBreakHyphen/>
      </w:r>
      <w:r>
        <w:t xml:space="preserve">Ohio is not estopped by the Commission’s prior decision from challenging the current request for a waiver of the requirements applicable to the current Application. </w:t>
      </w:r>
    </w:p>
    <w:p w14:paraId="3CF73448" w14:textId="25765B35" w:rsidR="00D51E5A" w:rsidRDefault="00D51E5A" w:rsidP="00D51E5A">
      <w:pPr>
        <w:ind w:firstLine="720"/>
      </w:pPr>
      <w:r>
        <w:t>Furthermore, it is well established that the Commission is permitted to change its course provided that its change is prospective, lawful, and reasonable.</w:t>
      </w:r>
      <w:r>
        <w:rPr>
          <w:rStyle w:val="FootnoteReference"/>
        </w:rPr>
        <w:footnoteReference w:id="24"/>
      </w:r>
      <w:r>
        <w:t xml:space="preserve">  Implicit in this </w:t>
      </w:r>
      <w:r>
        <w:lastRenderedPageBreak/>
        <w:t xml:space="preserve">well-established principle that is often cited by the Court and </w:t>
      </w:r>
      <w:r w:rsidR="00C66BEF">
        <w:t xml:space="preserve">the </w:t>
      </w:r>
      <w:r>
        <w:t>Commission is the fact that parties can urge the Commission to change its course.  Thus, even if the matter had been decided, and it has not, IEU-Ohio is not collaterally estopped from again opposing the waiver DP&amp;L seeks.</w:t>
      </w:r>
    </w:p>
    <w:p w14:paraId="729D8CB7" w14:textId="02271458" w:rsidR="00D51E5A" w:rsidRDefault="00D51E5A" w:rsidP="00D51E5A">
      <w:pPr>
        <w:pStyle w:val="Heading2"/>
        <w:numPr>
          <w:ilvl w:val="1"/>
          <w:numId w:val="2"/>
        </w:numPr>
        <w:tabs>
          <w:tab w:val="left" w:pos="1440"/>
        </w:tabs>
      </w:pPr>
      <w:bookmarkStart w:id="7" w:name="_Toc447533426"/>
      <w:r>
        <w:t xml:space="preserve">DP&amp;L must comply with the </w:t>
      </w:r>
      <w:r w:rsidR="00D92728">
        <w:t>r</w:t>
      </w:r>
      <w:r>
        <w:t>ule even if it</w:t>
      </w:r>
      <w:r w:rsidR="00D92728">
        <w:t xml:space="preserve"> i</w:t>
      </w:r>
      <w:r>
        <w:t>s “impractical” unless the Commission lawfully grants a waiver.  Furthermore, the reasons DP&amp;L identifies are unrelated to the prospective waiver it seeks in this case</w:t>
      </w:r>
      <w:bookmarkEnd w:id="7"/>
    </w:p>
    <w:p w14:paraId="212C2B2A" w14:textId="4E8637F1" w:rsidR="00D51E5A" w:rsidRDefault="00D51E5A" w:rsidP="00D51E5A">
      <w:r>
        <w:tab/>
        <w:t xml:space="preserve">Finally, having been granted a three-year temporary waiver of the requirement, DP&amp;L acts as if the Commission must continue granting it temporary waivers because compliance is now “impractical.”  </w:t>
      </w:r>
      <w:r w:rsidR="00CE7CD7">
        <w:t xml:space="preserve">DP&amp;L asserts that returning to what the law requires, a bypassable transmission rider, is impractical because it already worked with </w:t>
      </w:r>
      <w:r w:rsidR="00D92728">
        <w:t>competitive retail electric service (“</w:t>
      </w:r>
      <w:r w:rsidR="00CE7CD7">
        <w:t>CRE</w:t>
      </w:r>
      <w:r w:rsidR="00D92728">
        <w:t xml:space="preserve">S”) </w:t>
      </w:r>
      <w:r w:rsidR="00CE7CD7">
        <w:t xml:space="preserve">providers to ensure that the correct transmission charges/credits would be transferred to DP&amp;L, that multiple </w:t>
      </w:r>
      <w:r w:rsidR="00D92728">
        <w:t>standard service offer (“</w:t>
      </w:r>
      <w:r w:rsidR="00CE7CD7">
        <w:t>SSO</w:t>
      </w:r>
      <w:r w:rsidR="00D92728">
        <w:t>”)</w:t>
      </w:r>
      <w:r w:rsidR="00CE7CD7">
        <w:t xml:space="preserve"> auctions were held for its current SSO, that CRES providers would have to be notified of the change from a nonbypassable to a bypassable rider, and that billing system changes may be needed.</w:t>
      </w:r>
      <w:r w:rsidR="00CE7CD7">
        <w:rPr>
          <w:rStyle w:val="FootnoteReference"/>
        </w:rPr>
        <w:footnoteReference w:id="25"/>
      </w:r>
      <w:r w:rsidR="00CE7CD7">
        <w:t xml:space="preserve">  </w:t>
      </w:r>
      <w:r>
        <w:t>Taken together, this list of “problems” do not provide DP&amp;L a lawful excuse and are specious.</w:t>
      </w:r>
    </w:p>
    <w:p w14:paraId="3680A647" w14:textId="3EB3343B" w:rsidR="00D51E5A" w:rsidRDefault="00D51E5A" w:rsidP="00D51E5A">
      <w:pPr>
        <w:ind w:firstLine="720"/>
      </w:pPr>
      <w:r>
        <w:t xml:space="preserve">Initially, DP&amp;L is not relieved from complying with Ohio and federal </w:t>
      </w:r>
      <w:r w:rsidR="00B57A2C">
        <w:t xml:space="preserve">law </w:t>
      </w:r>
      <w:r>
        <w:t>because compliance is impractical.  DP&amp;L</w:t>
      </w:r>
      <w:r w:rsidR="007E15A9">
        <w:t xml:space="preserve"> is</w:t>
      </w:r>
      <w:r>
        <w:t xml:space="preserve"> required to comply with the “regulatory rubric” governing public utilities.</w:t>
      </w:r>
      <w:r>
        <w:rPr>
          <w:rStyle w:val="FootnoteReference"/>
        </w:rPr>
        <w:footnoteReference w:id="26"/>
      </w:r>
      <w:r>
        <w:t xml:space="preserve">  This regulatory rubric compels DP&amp;L to establish a bypassable transmission rider, unless it can demonstrate that the waiver is otherwise </w:t>
      </w:r>
      <w:r>
        <w:lastRenderedPageBreak/>
        <w:t>lawful.</w:t>
      </w:r>
      <w:r>
        <w:rPr>
          <w:rStyle w:val="FootnoteReference"/>
        </w:rPr>
        <w:footnoteReference w:id="27"/>
      </w:r>
      <w:r>
        <w:t xml:space="preserve">  As discussed above, DP&amp;L </w:t>
      </w:r>
      <w:r w:rsidR="00B57A2C">
        <w:t>h</w:t>
      </w:r>
      <w:r>
        <w:t xml:space="preserve">as failed to address the unlawfulness of its proposed transmission tariff sheets and instead seeks Commission inaction.  </w:t>
      </w:r>
    </w:p>
    <w:p w14:paraId="0077B83B" w14:textId="6B63415F" w:rsidR="00D51E5A" w:rsidRDefault="00D51E5A" w:rsidP="00D51E5A">
      <w:pPr>
        <w:ind w:firstLine="720"/>
      </w:pPr>
      <w:r>
        <w:t xml:space="preserve">Moreover, the claim that compliance is “impractical” </w:t>
      </w:r>
      <w:r w:rsidR="00B57A2C">
        <w:t xml:space="preserve">is </w:t>
      </w:r>
      <w:r>
        <w:t>specious.  The items DP&amp;L points to as impractical relate to revoking the current waiver of Rule 4901:1-36-04(B), O.A.C.</w:t>
      </w:r>
      <w:r w:rsidR="00501014">
        <w:t>,</w:t>
      </w:r>
      <w:r>
        <w:t xml:space="preserve"> for the duration of its current ESP and do not relate to prospective issues that may impact its next ESP.  Denying the waiver in this case will not affect any SSO auctions that have already been held.  Denying the waiver in this case will not affect the current transfer of charges/credits from CRES providers to DP&amp;L, and it will obviate the need to worry about that transfer going forward.  And, if the Commission denies the waiver, CRES providers will be provided the same amount of notice that </w:t>
      </w:r>
      <w:r w:rsidR="00B57A2C">
        <w:t xml:space="preserve">the </w:t>
      </w:r>
      <w:r>
        <w:t>transmission rider is returning to a bypassable rider as they were provided when the rider became nonbypassable.  Thus, DP&amp;L’s claims are wholly meaningless.</w:t>
      </w:r>
    </w:p>
    <w:p w14:paraId="0BE35906" w14:textId="77777777" w:rsidR="00D51E5A" w:rsidRDefault="00D51E5A" w:rsidP="00D51E5A">
      <w:pPr>
        <w:ind w:firstLine="720"/>
      </w:pPr>
      <w:r>
        <w:t>Compliance with the law is not excused simply because it may be difficult or “impractical,” and in any event DP&amp;L has not demonstrated that compliance is impractical.  Because DP&amp;L did not and cannot show good cause for the waiver or that the waiver would not violate any legal requirement, the Commission must deny the waiver.</w:t>
      </w:r>
    </w:p>
    <w:p w14:paraId="2BDAE764" w14:textId="77777777" w:rsidR="00D51E5A" w:rsidRDefault="00D51E5A" w:rsidP="00D51E5A">
      <w:pPr>
        <w:pStyle w:val="Heading1"/>
        <w:numPr>
          <w:ilvl w:val="0"/>
          <w:numId w:val="2"/>
        </w:numPr>
      </w:pPr>
      <w:bookmarkStart w:id="8" w:name="_Toc447533427"/>
      <w:r>
        <w:t>Conclusion</w:t>
      </w:r>
      <w:bookmarkEnd w:id="8"/>
    </w:p>
    <w:p w14:paraId="07EBACC1" w14:textId="24A04530" w:rsidR="00D51E5A" w:rsidRDefault="00D51E5A" w:rsidP="00D51E5A">
      <w:pPr>
        <w:ind w:firstLine="720"/>
      </w:pPr>
      <w:r>
        <w:t xml:space="preserve">Rule 4901:1-36-04(B), O.A.C., requires transmission riders to be bypassable.  Requirements imposed by Chapter 4901:1-36, O.A.C., may only be waived if the requirement is not otherwise required by statute and upon good cause shown.  DP&amp;L did not and cannot demonstrate good cause for the waiver.  More importantly, however, the </w:t>
      </w:r>
      <w:r>
        <w:lastRenderedPageBreak/>
        <w:t>Commission is required by statute to authorize a transmission rider in a manner that is not preempted by federal law, and as explained above that requires the implementation of a bypassable transmission rider.  Accordingly, the Commission must deny the waiver of Rule 4901:1-36-04(B), O.A.C., sought by DP&amp;L.</w:t>
      </w:r>
    </w:p>
    <w:p w14:paraId="00E4D881" w14:textId="77777777" w:rsidR="00F9324F" w:rsidRDefault="00F9324F" w:rsidP="0012111A">
      <w:pPr>
        <w:tabs>
          <w:tab w:val="left" w:pos="4320"/>
          <w:tab w:val="right" w:pos="8640"/>
        </w:tabs>
        <w:ind w:left="4320"/>
      </w:pPr>
      <w:r>
        <w:t>Respectfully submitted,</w:t>
      </w:r>
    </w:p>
    <w:p w14:paraId="665288A7" w14:textId="77777777" w:rsidR="00F9324F" w:rsidRPr="00F9324F" w:rsidRDefault="00F9324F" w:rsidP="00F9324F">
      <w:pPr>
        <w:tabs>
          <w:tab w:val="left" w:pos="4320"/>
          <w:tab w:val="right" w:pos="8640"/>
        </w:tabs>
        <w:spacing w:line="240" w:lineRule="auto"/>
      </w:pPr>
    </w:p>
    <w:p w14:paraId="07516CED" w14:textId="77777777" w:rsidR="00F9324F" w:rsidRPr="00F9324F" w:rsidRDefault="00F9324F" w:rsidP="00F9324F">
      <w:pPr>
        <w:tabs>
          <w:tab w:val="left" w:pos="4320"/>
          <w:tab w:val="right" w:pos="8640"/>
        </w:tabs>
        <w:spacing w:line="240" w:lineRule="auto"/>
        <w:rPr>
          <w:i/>
          <w:u w:val="single"/>
        </w:rPr>
      </w:pPr>
      <w:r w:rsidRPr="00F9324F">
        <w:rPr>
          <w:i/>
        </w:rPr>
        <w:tab/>
      </w:r>
      <w:r w:rsidRPr="00F9324F">
        <w:rPr>
          <w:i/>
          <w:u w:val="single"/>
        </w:rPr>
        <w:t>/s/ Matthew R. Pritchard</w:t>
      </w:r>
      <w:r w:rsidRPr="00F9324F">
        <w:rPr>
          <w:i/>
          <w:u w:val="single"/>
        </w:rPr>
        <w:tab/>
      </w:r>
    </w:p>
    <w:p w14:paraId="59CC8182" w14:textId="77777777" w:rsidR="00F9324F" w:rsidRPr="00F9324F" w:rsidRDefault="00F9324F" w:rsidP="00F9324F">
      <w:pPr>
        <w:pStyle w:val="BodyText3"/>
        <w:widowControl w:val="0"/>
        <w:tabs>
          <w:tab w:val="left" w:pos="4320"/>
        </w:tabs>
        <w:spacing w:after="0" w:line="240" w:lineRule="auto"/>
        <w:ind w:left="4320"/>
        <w:rPr>
          <w:b/>
          <w:bCs/>
          <w:sz w:val="24"/>
          <w:szCs w:val="24"/>
        </w:rPr>
      </w:pPr>
      <w:r w:rsidRPr="00F9324F">
        <w:rPr>
          <w:bCs/>
          <w:sz w:val="24"/>
          <w:szCs w:val="24"/>
        </w:rPr>
        <w:t>Frank P. Darr (Reg. No. 0025469)</w:t>
      </w:r>
    </w:p>
    <w:p w14:paraId="15914806" w14:textId="77777777" w:rsidR="00F9324F" w:rsidRPr="00F9324F" w:rsidRDefault="00F9324F" w:rsidP="00F9324F">
      <w:pPr>
        <w:tabs>
          <w:tab w:val="left" w:pos="4320"/>
          <w:tab w:val="right" w:pos="8640"/>
        </w:tabs>
        <w:spacing w:line="240" w:lineRule="auto"/>
        <w:ind w:left="4320"/>
      </w:pPr>
      <w:r w:rsidRPr="00F9324F">
        <w:t>(Counsel of Record)</w:t>
      </w:r>
    </w:p>
    <w:p w14:paraId="0184C1F6" w14:textId="77777777" w:rsidR="00F9324F" w:rsidRPr="00F9324F" w:rsidRDefault="00F9324F" w:rsidP="00F9324F">
      <w:pPr>
        <w:pStyle w:val="BodyText3"/>
        <w:widowControl w:val="0"/>
        <w:tabs>
          <w:tab w:val="left" w:pos="4320"/>
        </w:tabs>
        <w:spacing w:after="0" w:line="240" w:lineRule="auto"/>
        <w:ind w:left="4320"/>
        <w:rPr>
          <w:b/>
          <w:bCs/>
          <w:sz w:val="24"/>
          <w:szCs w:val="24"/>
        </w:rPr>
      </w:pPr>
      <w:r w:rsidRPr="00F9324F">
        <w:rPr>
          <w:bCs/>
          <w:sz w:val="24"/>
          <w:szCs w:val="24"/>
        </w:rPr>
        <w:t>Matthew R. Pritchard (Reg. No. 0088070)</w:t>
      </w:r>
    </w:p>
    <w:p w14:paraId="5D119B2F" w14:textId="77777777" w:rsidR="00F9324F" w:rsidRPr="00F9324F" w:rsidRDefault="00F9324F" w:rsidP="00F9324F">
      <w:pPr>
        <w:pStyle w:val="BodyText3"/>
        <w:widowControl w:val="0"/>
        <w:tabs>
          <w:tab w:val="left" w:pos="4320"/>
        </w:tabs>
        <w:spacing w:after="0" w:line="240" w:lineRule="auto"/>
        <w:ind w:left="4320"/>
        <w:rPr>
          <w:b/>
          <w:bCs/>
          <w:smallCaps/>
          <w:sz w:val="24"/>
          <w:szCs w:val="24"/>
        </w:rPr>
      </w:pPr>
      <w:r w:rsidRPr="00F9324F">
        <w:rPr>
          <w:bCs/>
          <w:smallCaps/>
          <w:sz w:val="24"/>
          <w:szCs w:val="24"/>
        </w:rPr>
        <w:t>McNees Wallace &amp; Nurick LLC</w:t>
      </w:r>
    </w:p>
    <w:p w14:paraId="077B4959" w14:textId="77777777" w:rsidR="00F9324F" w:rsidRPr="00F9324F" w:rsidRDefault="00F9324F" w:rsidP="00F9324F">
      <w:pPr>
        <w:pStyle w:val="BodyText3"/>
        <w:widowControl w:val="0"/>
        <w:tabs>
          <w:tab w:val="left" w:pos="4320"/>
        </w:tabs>
        <w:spacing w:after="0" w:line="240" w:lineRule="auto"/>
        <w:ind w:left="4320"/>
        <w:rPr>
          <w:b/>
          <w:bCs/>
          <w:sz w:val="24"/>
          <w:szCs w:val="24"/>
        </w:rPr>
      </w:pPr>
      <w:r w:rsidRPr="00F9324F">
        <w:rPr>
          <w:bCs/>
          <w:sz w:val="24"/>
          <w:szCs w:val="24"/>
        </w:rPr>
        <w:t>21 East State Street, 17</w:t>
      </w:r>
      <w:r w:rsidRPr="00F9324F">
        <w:rPr>
          <w:bCs/>
          <w:sz w:val="24"/>
          <w:szCs w:val="24"/>
          <w:vertAlign w:val="superscript"/>
        </w:rPr>
        <w:t>TH</w:t>
      </w:r>
      <w:r w:rsidRPr="00F9324F">
        <w:rPr>
          <w:bCs/>
          <w:sz w:val="24"/>
          <w:szCs w:val="24"/>
        </w:rPr>
        <w:t xml:space="preserve"> Floor</w:t>
      </w:r>
    </w:p>
    <w:p w14:paraId="1FB99029" w14:textId="77777777" w:rsidR="00F9324F" w:rsidRPr="00F9324F" w:rsidRDefault="00F9324F" w:rsidP="00F9324F">
      <w:pPr>
        <w:pStyle w:val="BodyText"/>
        <w:tabs>
          <w:tab w:val="left" w:pos="4320"/>
        </w:tabs>
        <w:spacing w:after="0" w:line="240" w:lineRule="auto"/>
        <w:ind w:left="4320"/>
      </w:pPr>
      <w:r w:rsidRPr="00F9324F">
        <w:t>Columbus, OH  43215</w:t>
      </w:r>
    </w:p>
    <w:p w14:paraId="2CDC2A8B" w14:textId="77777777" w:rsidR="00F9324F" w:rsidRPr="00F9324F" w:rsidRDefault="00F9324F" w:rsidP="00F9324F">
      <w:pPr>
        <w:pStyle w:val="BodyText"/>
        <w:tabs>
          <w:tab w:val="left" w:pos="4320"/>
        </w:tabs>
        <w:spacing w:after="0" w:line="240" w:lineRule="auto"/>
        <w:ind w:left="4320"/>
      </w:pPr>
      <w:r w:rsidRPr="00F9324F">
        <w:t>Telephone:  (614) 469-8000</w:t>
      </w:r>
    </w:p>
    <w:p w14:paraId="1558F270" w14:textId="77777777" w:rsidR="00F9324F" w:rsidRPr="00F9324F" w:rsidRDefault="00F9324F" w:rsidP="00F9324F">
      <w:pPr>
        <w:pStyle w:val="BodyText"/>
        <w:tabs>
          <w:tab w:val="left" w:pos="4320"/>
        </w:tabs>
        <w:spacing w:after="0" w:line="240" w:lineRule="auto"/>
        <w:ind w:left="4320"/>
      </w:pPr>
      <w:r w:rsidRPr="00F9324F">
        <w:t>Telecopier:  (614) 469-4653</w:t>
      </w:r>
    </w:p>
    <w:p w14:paraId="1059614C" w14:textId="77777777" w:rsidR="00F9324F" w:rsidRPr="00F9324F" w:rsidRDefault="00F9324F" w:rsidP="00F9324F">
      <w:pPr>
        <w:pStyle w:val="BodyText"/>
        <w:tabs>
          <w:tab w:val="left" w:pos="4320"/>
        </w:tabs>
        <w:spacing w:after="0" w:line="240" w:lineRule="auto"/>
        <w:ind w:left="4320"/>
      </w:pPr>
      <w:r w:rsidRPr="00F9324F">
        <w:t>fdarr@mwncmh.com</w:t>
      </w:r>
    </w:p>
    <w:p w14:paraId="4FF65356" w14:textId="77777777" w:rsidR="00F9324F" w:rsidRPr="00F9324F" w:rsidRDefault="00F9324F" w:rsidP="00F9324F">
      <w:pPr>
        <w:pStyle w:val="BodyText"/>
        <w:tabs>
          <w:tab w:val="left" w:pos="4320"/>
        </w:tabs>
        <w:spacing w:after="0" w:line="240" w:lineRule="auto"/>
        <w:ind w:left="4320"/>
      </w:pPr>
      <w:r w:rsidRPr="00F9324F">
        <w:t>mpritchard@mwncmh.com</w:t>
      </w:r>
    </w:p>
    <w:p w14:paraId="37E7E2F5" w14:textId="77777777" w:rsidR="00F9324F" w:rsidRPr="00F9324F" w:rsidRDefault="00F9324F" w:rsidP="00F9324F">
      <w:pPr>
        <w:pStyle w:val="BodyText"/>
        <w:tabs>
          <w:tab w:val="left" w:pos="4320"/>
        </w:tabs>
        <w:spacing w:after="0" w:line="240" w:lineRule="auto"/>
      </w:pPr>
    </w:p>
    <w:p w14:paraId="55FAAD3D" w14:textId="77777777" w:rsidR="00F9324F" w:rsidRPr="00F9324F" w:rsidRDefault="00F9324F" w:rsidP="00F9324F">
      <w:pPr>
        <w:pStyle w:val="Title"/>
        <w:tabs>
          <w:tab w:val="left" w:pos="4320"/>
        </w:tabs>
        <w:jc w:val="left"/>
        <w:rPr>
          <w:smallCaps w:val="0"/>
          <w:sz w:val="24"/>
        </w:rPr>
      </w:pPr>
      <w:r w:rsidRPr="00F9324F">
        <w:rPr>
          <w:smallCaps w:val="0"/>
          <w:sz w:val="24"/>
        </w:rPr>
        <w:tab/>
        <w:t>Attorneys for Industrial Energy Users-Ohio</w:t>
      </w:r>
    </w:p>
    <w:p w14:paraId="0CD4EE01" w14:textId="77777777" w:rsidR="00F9324F" w:rsidRPr="00F9324F" w:rsidRDefault="00F9324F" w:rsidP="00F9324F">
      <w:pPr>
        <w:tabs>
          <w:tab w:val="left" w:pos="2160"/>
          <w:tab w:val="left" w:pos="2280"/>
        </w:tabs>
        <w:spacing w:line="240" w:lineRule="auto"/>
        <w:jc w:val="center"/>
        <w:rPr>
          <w:b/>
        </w:rPr>
        <w:sectPr w:rsidR="00F9324F" w:rsidRPr="00F9324F" w:rsidSect="00225864">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docGrid w:linePitch="326"/>
        </w:sectPr>
      </w:pPr>
    </w:p>
    <w:p w14:paraId="5FBB64F8" w14:textId="77777777" w:rsidR="00F9324F" w:rsidRPr="0012111A" w:rsidRDefault="00F9324F" w:rsidP="00F9324F">
      <w:pPr>
        <w:tabs>
          <w:tab w:val="left" w:pos="2160"/>
          <w:tab w:val="left" w:pos="2280"/>
        </w:tabs>
        <w:spacing w:line="240" w:lineRule="auto"/>
        <w:jc w:val="center"/>
        <w:rPr>
          <w:b/>
          <w:smallCaps/>
          <w:sz w:val="28"/>
          <w:szCs w:val="28"/>
          <w:u w:val="single"/>
        </w:rPr>
      </w:pPr>
      <w:r w:rsidRPr="0012111A">
        <w:rPr>
          <w:b/>
          <w:smallCaps/>
          <w:sz w:val="28"/>
          <w:szCs w:val="28"/>
          <w:u w:val="single"/>
        </w:rPr>
        <w:lastRenderedPageBreak/>
        <w:t>Certificate of Service</w:t>
      </w:r>
    </w:p>
    <w:p w14:paraId="331D584F" w14:textId="77777777" w:rsidR="00F9324F" w:rsidRPr="00F9324F" w:rsidRDefault="00F9324F" w:rsidP="00F9324F">
      <w:pPr>
        <w:spacing w:line="240" w:lineRule="auto"/>
      </w:pPr>
    </w:p>
    <w:p w14:paraId="07D19CDA" w14:textId="1C372D1F" w:rsidR="00F9324F" w:rsidRPr="00F9324F" w:rsidRDefault="00F9324F" w:rsidP="00F9324F">
      <w:pPr>
        <w:pStyle w:val="BodyText"/>
        <w:spacing w:after="0"/>
        <w:ind w:firstLine="720"/>
      </w:pPr>
      <w:r w:rsidRPr="00F9324F">
        <w:t xml:space="preserve">In accordance with Rule 4901-1-05, Ohio Administrative Code, the PUCO's e-filing system will electronically serve notice of the filing of this document upon the following parties.  In addition, I hereby certify that a service copy of the foregoing </w:t>
      </w:r>
      <w:r w:rsidR="002649E5">
        <w:rPr>
          <w:i/>
        </w:rPr>
        <w:t xml:space="preserve">Reply of Industrial Energy Users-Ohio to The Dayton Power and Light Company’s Memorandum in Opposition </w:t>
      </w:r>
      <w:r w:rsidRPr="00F9324F">
        <w:t xml:space="preserve">was sent by, or on behalf of, the undersigned counsel for IEU-Ohio to the following parties of record this </w:t>
      </w:r>
      <w:r w:rsidR="002649E5">
        <w:t>4</w:t>
      </w:r>
      <w:r w:rsidR="002649E5" w:rsidRPr="002649E5">
        <w:rPr>
          <w:vertAlign w:val="superscript"/>
        </w:rPr>
        <w:t>th</w:t>
      </w:r>
      <w:r w:rsidR="002649E5">
        <w:t xml:space="preserve"> </w:t>
      </w:r>
      <w:r w:rsidRPr="00F9324F">
        <w:t xml:space="preserve">day of </w:t>
      </w:r>
      <w:r w:rsidR="002649E5">
        <w:t xml:space="preserve">April </w:t>
      </w:r>
      <w:r w:rsidRPr="00F9324F">
        <w:t>201</w:t>
      </w:r>
      <w:r w:rsidR="002649E5">
        <w:t>6</w:t>
      </w:r>
      <w:r w:rsidRPr="00F9324F">
        <w:t xml:space="preserve">, </w:t>
      </w:r>
      <w:r w:rsidRPr="00F9324F">
        <w:rPr>
          <w:i/>
        </w:rPr>
        <w:t>via</w:t>
      </w:r>
      <w:r w:rsidRPr="00F9324F">
        <w:t xml:space="preserve"> electronic transmission. </w:t>
      </w:r>
    </w:p>
    <w:p w14:paraId="0F7B1BFC" w14:textId="77777777" w:rsidR="00F9324F" w:rsidRPr="00F9324F" w:rsidRDefault="00F9324F" w:rsidP="00F9324F">
      <w:pPr>
        <w:tabs>
          <w:tab w:val="center" w:pos="7200"/>
          <w:tab w:val="right" w:pos="9360"/>
        </w:tabs>
        <w:spacing w:line="240" w:lineRule="auto"/>
        <w:ind w:left="5040"/>
        <w:rPr>
          <w:i/>
          <w:u w:val="single"/>
        </w:rPr>
      </w:pPr>
      <w:r w:rsidRPr="00F9324F">
        <w:rPr>
          <w:i/>
          <w:u w:val="single"/>
        </w:rPr>
        <w:t>/s/ Matthew R. Pritchard</w:t>
      </w:r>
      <w:r w:rsidRPr="00F9324F">
        <w:rPr>
          <w:i/>
          <w:u w:val="single"/>
        </w:rPr>
        <w:tab/>
      </w:r>
    </w:p>
    <w:p w14:paraId="00ED3C49" w14:textId="77777777" w:rsidR="00F9324F" w:rsidRPr="00F9324F" w:rsidRDefault="00F9324F" w:rsidP="00F9324F">
      <w:pPr>
        <w:tabs>
          <w:tab w:val="center" w:pos="7200"/>
          <w:tab w:val="right" w:pos="9360"/>
        </w:tabs>
        <w:spacing w:line="240" w:lineRule="auto"/>
        <w:ind w:left="5760"/>
        <w:rPr>
          <w:u w:val="single"/>
        </w:rPr>
      </w:pPr>
      <w:r w:rsidRPr="00F9324F">
        <w:t>Matthew R. Pritchard</w:t>
      </w:r>
    </w:p>
    <w:p w14:paraId="0BCAC991" w14:textId="77777777" w:rsidR="002649E5" w:rsidRDefault="002649E5" w:rsidP="00F9324F"/>
    <w:p w14:paraId="29A71619" w14:textId="5B9A2133" w:rsidR="0044270D" w:rsidRDefault="0044270D" w:rsidP="00084EFC">
      <w:pPr>
        <w:spacing w:line="240" w:lineRule="auto"/>
        <w:rPr>
          <w:highlight w:val="yellow"/>
        </w:rPr>
        <w:sectPr w:rsidR="0044270D" w:rsidSect="00C0405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pPr>
    </w:p>
    <w:p w14:paraId="2B95B8B6"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Charles J. Faruki (Reg. No. 0010417)</w:t>
      </w:r>
    </w:p>
    <w:p w14:paraId="29DBE035"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(Counsel of Record)</w:t>
      </w:r>
    </w:p>
    <w:p w14:paraId="73350CAB"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D. Jeffrey Ireland (Reg. No. 0010443)</w:t>
      </w:r>
    </w:p>
    <w:p w14:paraId="5533FDE5"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Jeffrey S. Sharkey (Reg. No. 0067892)</w:t>
      </w:r>
    </w:p>
    <w:p w14:paraId="46A02B1C"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FARUKI IRELAND &amp; COX P.L.L.</w:t>
      </w:r>
    </w:p>
    <w:p w14:paraId="09A2A0C0"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110 North Main Street, Suite 1600</w:t>
      </w:r>
    </w:p>
    <w:p w14:paraId="3EFD957B"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Dayton, OH 45402</w:t>
      </w:r>
    </w:p>
    <w:p w14:paraId="215C5E36"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cfaruki@ficlaw.com</w:t>
      </w:r>
    </w:p>
    <w:p w14:paraId="6F96FEE1"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djireland@ficlaw.com</w:t>
      </w:r>
    </w:p>
    <w:p w14:paraId="0EBCDF99"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jsharkey@ficlaw.com</w:t>
      </w:r>
    </w:p>
    <w:p w14:paraId="7EDAACBF" w14:textId="77777777" w:rsidR="0044270D" w:rsidRPr="0044270D" w:rsidRDefault="0044270D" w:rsidP="00724A5D">
      <w:pPr>
        <w:autoSpaceDE w:val="0"/>
        <w:autoSpaceDN w:val="0"/>
        <w:adjustRightInd w:val="0"/>
        <w:spacing w:line="240" w:lineRule="auto"/>
        <w:jc w:val="left"/>
        <w:rPr>
          <w:color w:val="000000" w:themeColor="text1"/>
          <w:sz w:val="20"/>
          <w:szCs w:val="20"/>
        </w:rPr>
      </w:pPr>
    </w:p>
    <w:p w14:paraId="2622161F" w14:textId="77777777" w:rsidR="0044270D" w:rsidRPr="0044270D" w:rsidRDefault="0044270D" w:rsidP="00724A5D">
      <w:pPr>
        <w:autoSpaceDE w:val="0"/>
        <w:autoSpaceDN w:val="0"/>
        <w:adjustRightInd w:val="0"/>
        <w:spacing w:line="240" w:lineRule="auto"/>
        <w:jc w:val="left"/>
        <w:rPr>
          <w:b/>
          <w:smallCaps/>
          <w:color w:val="000000" w:themeColor="text1"/>
          <w:sz w:val="20"/>
          <w:szCs w:val="20"/>
        </w:rPr>
      </w:pPr>
      <w:r w:rsidRPr="0044270D">
        <w:rPr>
          <w:b/>
          <w:smallCaps/>
          <w:color w:val="000000" w:themeColor="text1"/>
          <w:sz w:val="20"/>
          <w:szCs w:val="20"/>
        </w:rPr>
        <w:t>Counsel for The Dayton Power and</w:t>
      </w:r>
    </w:p>
    <w:p w14:paraId="04B76B1F" w14:textId="77777777" w:rsidR="0044270D" w:rsidRPr="0044270D" w:rsidRDefault="0044270D" w:rsidP="00724A5D">
      <w:pPr>
        <w:spacing w:line="240" w:lineRule="auto"/>
        <w:jc w:val="left"/>
        <w:rPr>
          <w:b/>
          <w:smallCaps/>
          <w:color w:val="000000" w:themeColor="text1"/>
          <w:sz w:val="20"/>
          <w:szCs w:val="20"/>
        </w:rPr>
      </w:pPr>
      <w:r w:rsidRPr="0044270D">
        <w:rPr>
          <w:b/>
          <w:smallCaps/>
          <w:color w:val="000000" w:themeColor="text1"/>
          <w:sz w:val="20"/>
          <w:szCs w:val="20"/>
        </w:rPr>
        <w:t>Light Company</w:t>
      </w:r>
    </w:p>
    <w:p w14:paraId="0B953F29" w14:textId="77777777" w:rsidR="0044270D" w:rsidRPr="0044270D" w:rsidRDefault="0044270D" w:rsidP="00724A5D">
      <w:pPr>
        <w:spacing w:line="240" w:lineRule="auto"/>
        <w:jc w:val="left"/>
        <w:rPr>
          <w:color w:val="000000" w:themeColor="text1"/>
          <w:sz w:val="20"/>
          <w:szCs w:val="20"/>
        </w:rPr>
      </w:pPr>
    </w:p>
    <w:p w14:paraId="77A4B287"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Madeline Fleisher</w:t>
      </w:r>
    </w:p>
    <w:p w14:paraId="0461CC73"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Environmental Law &amp; Policy Center</w:t>
      </w:r>
    </w:p>
    <w:p w14:paraId="36ECFE5E"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21 West Broad St., Suite 500</w:t>
      </w:r>
    </w:p>
    <w:p w14:paraId="3CE72488" w14:textId="5281CDDE"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 xml:space="preserve">Columbus, </w:t>
      </w:r>
      <w:r w:rsidR="00D123DB">
        <w:rPr>
          <w:color w:val="000000" w:themeColor="text1"/>
          <w:sz w:val="20"/>
          <w:szCs w:val="20"/>
        </w:rPr>
        <w:t>p</w:t>
      </w:r>
      <w:r w:rsidRPr="0044270D">
        <w:rPr>
          <w:color w:val="000000" w:themeColor="text1"/>
          <w:sz w:val="20"/>
          <w:szCs w:val="20"/>
        </w:rPr>
        <w:t>OH 43215</w:t>
      </w:r>
    </w:p>
    <w:p w14:paraId="0A713AB8"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mfleisher@elpc.org</w:t>
      </w:r>
    </w:p>
    <w:p w14:paraId="34E658FF" w14:textId="77777777" w:rsidR="0044270D" w:rsidRPr="0044270D" w:rsidRDefault="0044270D" w:rsidP="00724A5D">
      <w:pPr>
        <w:autoSpaceDE w:val="0"/>
        <w:autoSpaceDN w:val="0"/>
        <w:adjustRightInd w:val="0"/>
        <w:spacing w:line="240" w:lineRule="auto"/>
        <w:jc w:val="left"/>
        <w:rPr>
          <w:iCs/>
          <w:color w:val="000000" w:themeColor="text1"/>
          <w:sz w:val="20"/>
          <w:szCs w:val="20"/>
        </w:rPr>
      </w:pPr>
    </w:p>
    <w:p w14:paraId="03F0F24D" w14:textId="77777777" w:rsidR="0044270D" w:rsidRPr="0044270D" w:rsidRDefault="0044270D" w:rsidP="00724A5D">
      <w:pPr>
        <w:autoSpaceDE w:val="0"/>
        <w:autoSpaceDN w:val="0"/>
        <w:adjustRightInd w:val="0"/>
        <w:spacing w:line="240" w:lineRule="auto"/>
        <w:jc w:val="left"/>
        <w:rPr>
          <w:rFonts w:ascii="Arial Bold" w:hAnsi="Arial Bold"/>
          <w:b/>
          <w:iCs/>
          <w:smallCaps/>
          <w:color w:val="000000" w:themeColor="text1"/>
          <w:sz w:val="20"/>
          <w:szCs w:val="20"/>
        </w:rPr>
      </w:pPr>
      <w:r w:rsidRPr="0044270D">
        <w:rPr>
          <w:rFonts w:ascii="Arial Bold" w:hAnsi="Arial Bold"/>
          <w:b/>
          <w:iCs/>
          <w:smallCaps/>
          <w:color w:val="000000" w:themeColor="text1"/>
          <w:sz w:val="20"/>
          <w:szCs w:val="20"/>
        </w:rPr>
        <w:t>Counsel for the Environmental Law &amp;</w:t>
      </w:r>
    </w:p>
    <w:p w14:paraId="4D8C2846" w14:textId="77777777" w:rsidR="0044270D" w:rsidRPr="0044270D" w:rsidRDefault="0044270D" w:rsidP="00724A5D">
      <w:pPr>
        <w:spacing w:line="240" w:lineRule="auto"/>
        <w:jc w:val="left"/>
        <w:rPr>
          <w:rFonts w:ascii="Arial Bold" w:hAnsi="Arial Bold"/>
          <w:b/>
          <w:iCs/>
          <w:smallCaps/>
          <w:color w:val="000000" w:themeColor="text1"/>
          <w:sz w:val="20"/>
          <w:szCs w:val="20"/>
        </w:rPr>
      </w:pPr>
      <w:r w:rsidRPr="0044270D">
        <w:rPr>
          <w:rFonts w:ascii="Arial Bold" w:hAnsi="Arial Bold"/>
          <w:b/>
          <w:iCs/>
          <w:smallCaps/>
          <w:color w:val="000000" w:themeColor="text1"/>
          <w:sz w:val="20"/>
          <w:szCs w:val="20"/>
        </w:rPr>
        <w:t>Policy Center</w:t>
      </w:r>
    </w:p>
    <w:p w14:paraId="14F1D708" w14:textId="77777777" w:rsidR="0044270D" w:rsidRPr="0044270D" w:rsidRDefault="0044270D" w:rsidP="00724A5D">
      <w:pPr>
        <w:spacing w:line="240" w:lineRule="auto"/>
        <w:jc w:val="left"/>
        <w:rPr>
          <w:color w:val="000000" w:themeColor="text1"/>
          <w:sz w:val="20"/>
          <w:szCs w:val="20"/>
        </w:rPr>
      </w:pPr>
    </w:p>
    <w:p w14:paraId="1CD2F9F7"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Jeffrey W. Mayes</w:t>
      </w:r>
    </w:p>
    <w:p w14:paraId="64CC4B13"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General Counsel</w:t>
      </w:r>
    </w:p>
    <w:p w14:paraId="0C6909A6"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Monitoring Analytics, LLC</w:t>
      </w:r>
    </w:p>
    <w:p w14:paraId="34A3CE71"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2621 Van Buren Avenue, Suite 160</w:t>
      </w:r>
    </w:p>
    <w:p w14:paraId="0B33942E"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Valley Forge Corporate Center</w:t>
      </w:r>
    </w:p>
    <w:p w14:paraId="54C854FE"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Eagleville, PA  19403</w:t>
      </w:r>
    </w:p>
    <w:p w14:paraId="24717B87" w14:textId="7C309B60" w:rsidR="0044270D" w:rsidRPr="0044270D" w:rsidRDefault="0044270D" w:rsidP="00724A5D">
      <w:pPr>
        <w:spacing w:line="240" w:lineRule="auto"/>
        <w:jc w:val="left"/>
        <w:rPr>
          <w:iCs/>
          <w:color w:val="000000" w:themeColor="text1"/>
          <w:sz w:val="20"/>
          <w:szCs w:val="20"/>
        </w:rPr>
      </w:pPr>
      <w:r w:rsidRPr="002A3DA8">
        <w:rPr>
          <w:iCs/>
          <w:sz w:val="20"/>
          <w:szCs w:val="20"/>
        </w:rPr>
        <w:t>jeffrey.mayes@monitoringanalytics.com</w:t>
      </w:r>
    </w:p>
    <w:p w14:paraId="309CA90F" w14:textId="77777777" w:rsidR="0044270D" w:rsidRPr="0044270D" w:rsidRDefault="0044270D" w:rsidP="00724A5D">
      <w:pPr>
        <w:spacing w:line="240" w:lineRule="auto"/>
        <w:jc w:val="left"/>
        <w:rPr>
          <w:iCs/>
          <w:color w:val="000000" w:themeColor="text1"/>
          <w:sz w:val="20"/>
          <w:szCs w:val="20"/>
        </w:rPr>
      </w:pPr>
    </w:p>
    <w:p w14:paraId="050E7513" w14:textId="550E6EEA" w:rsidR="0044270D" w:rsidRPr="0044270D" w:rsidRDefault="00084EFC" w:rsidP="00724A5D">
      <w:pPr>
        <w:autoSpaceDE w:val="0"/>
        <w:autoSpaceDN w:val="0"/>
        <w:adjustRightInd w:val="0"/>
        <w:spacing w:line="240" w:lineRule="auto"/>
        <w:jc w:val="left"/>
        <w:rPr>
          <w:color w:val="000000" w:themeColor="text1"/>
          <w:sz w:val="20"/>
          <w:szCs w:val="20"/>
        </w:rPr>
      </w:pPr>
      <w:r>
        <w:rPr>
          <w:color w:val="000000" w:themeColor="text1"/>
          <w:sz w:val="20"/>
          <w:szCs w:val="20"/>
        </w:rPr>
        <w:br w:type="column"/>
      </w:r>
      <w:r w:rsidR="0044270D" w:rsidRPr="0044270D">
        <w:rPr>
          <w:color w:val="000000" w:themeColor="text1"/>
          <w:sz w:val="20"/>
          <w:szCs w:val="20"/>
        </w:rPr>
        <w:t>Evelyn R. Robinson (#0022836)</w:t>
      </w:r>
    </w:p>
    <w:p w14:paraId="16AE1E77"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PJM Interconnection, L.L.C.</w:t>
      </w:r>
    </w:p>
    <w:p w14:paraId="30D3766D"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2750 Monroe Boulevard</w:t>
      </w:r>
    </w:p>
    <w:p w14:paraId="3B72FA1B"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Audubon, PA 19403</w:t>
      </w:r>
    </w:p>
    <w:p w14:paraId="44F1B4BA" w14:textId="0C36D312" w:rsidR="0044270D" w:rsidRPr="0044270D" w:rsidRDefault="0044270D" w:rsidP="00724A5D">
      <w:pPr>
        <w:spacing w:line="240" w:lineRule="auto"/>
        <w:jc w:val="left"/>
        <w:rPr>
          <w:iCs/>
          <w:color w:val="000000" w:themeColor="text1"/>
          <w:sz w:val="20"/>
          <w:szCs w:val="20"/>
        </w:rPr>
      </w:pPr>
      <w:r w:rsidRPr="002A3DA8">
        <w:rPr>
          <w:iCs/>
          <w:sz w:val="20"/>
          <w:szCs w:val="20"/>
        </w:rPr>
        <w:t>evelyn.robinson@pjm.com</w:t>
      </w:r>
    </w:p>
    <w:p w14:paraId="07AF1206" w14:textId="77777777" w:rsidR="0044270D" w:rsidRPr="0044270D" w:rsidRDefault="0044270D" w:rsidP="00724A5D">
      <w:pPr>
        <w:spacing w:line="240" w:lineRule="auto"/>
        <w:jc w:val="left"/>
        <w:rPr>
          <w:iCs/>
          <w:color w:val="000000" w:themeColor="text1"/>
          <w:sz w:val="20"/>
          <w:szCs w:val="20"/>
        </w:rPr>
      </w:pPr>
    </w:p>
    <w:p w14:paraId="62532A79" w14:textId="77777777" w:rsidR="0044270D" w:rsidRPr="0044270D" w:rsidRDefault="0044270D" w:rsidP="00724A5D">
      <w:pPr>
        <w:autoSpaceDE w:val="0"/>
        <w:autoSpaceDN w:val="0"/>
        <w:adjustRightInd w:val="0"/>
        <w:spacing w:line="240" w:lineRule="auto"/>
        <w:jc w:val="left"/>
        <w:rPr>
          <w:rFonts w:ascii="Arial Bold" w:hAnsi="Arial Bold"/>
          <w:b/>
          <w:iCs/>
          <w:smallCaps/>
          <w:color w:val="000000" w:themeColor="text1"/>
          <w:sz w:val="20"/>
          <w:szCs w:val="20"/>
        </w:rPr>
      </w:pPr>
      <w:r w:rsidRPr="0044270D">
        <w:rPr>
          <w:rFonts w:ascii="Arial Bold" w:hAnsi="Arial Bold"/>
          <w:b/>
          <w:iCs/>
          <w:smallCaps/>
          <w:color w:val="000000" w:themeColor="text1"/>
          <w:sz w:val="20"/>
          <w:szCs w:val="20"/>
        </w:rPr>
        <w:t>Counsel for Monitoring Analytics, LLC</w:t>
      </w:r>
    </w:p>
    <w:p w14:paraId="2B9149F0" w14:textId="77777777" w:rsidR="0044270D" w:rsidRPr="0044270D" w:rsidRDefault="0044270D" w:rsidP="00724A5D">
      <w:pPr>
        <w:spacing w:line="240" w:lineRule="auto"/>
        <w:jc w:val="left"/>
        <w:rPr>
          <w:iCs/>
          <w:color w:val="000000" w:themeColor="text1"/>
          <w:sz w:val="20"/>
          <w:szCs w:val="20"/>
        </w:rPr>
      </w:pPr>
    </w:p>
    <w:p w14:paraId="7FCE37D4"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David F. Boehm, Esq.</w:t>
      </w:r>
    </w:p>
    <w:p w14:paraId="2540B056"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Michael L. Kurtz, Esq.</w:t>
      </w:r>
    </w:p>
    <w:p w14:paraId="3DB99182"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Kurt J. Boehm, Esq.</w:t>
      </w:r>
    </w:p>
    <w:p w14:paraId="130FFFE5"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Jody Kyler Cohn, Esq.</w:t>
      </w:r>
    </w:p>
    <w:p w14:paraId="67D8BB99"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Boehm, Kurtz &amp; Lowry</w:t>
      </w:r>
    </w:p>
    <w:p w14:paraId="00A1BA65"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36 East Seventh Street, Suite 1510</w:t>
      </w:r>
    </w:p>
    <w:p w14:paraId="5778780D"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Cincinnati, OH  45202</w:t>
      </w:r>
    </w:p>
    <w:p w14:paraId="43A26FE1"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dboehm@BKLlawfirm.com mkurtzt@BKLlawfirm.com</w:t>
      </w:r>
    </w:p>
    <w:p w14:paraId="49AAD1EB"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kboehm@BKLlawfirm.com</w:t>
      </w:r>
    </w:p>
    <w:p w14:paraId="394413A4"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jkylercohn@BKLlawfirm.com</w:t>
      </w:r>
    </w:p>
    <w:p w14:paraId="03B24A4E" w14:textId="77777777" w:rsidR="0044270D" w:rsidRPr="0044270D" w:rsidRDefault="0044270D" w:rsidP="00724A5D">
      <w:pPr>
        <w:spacing w:line="240" w:lineRule="auto"/>
        <w:jc w:val="left"/>
        <w:rPr>
          <w:color w:val="000000" w:themeColor="text1"/>
          <w:sz w:val="20"/>
          <w:szCs w:val="20"/>
        </w:rPr>
      </w:pPr>
    </w:p>
    <w:p w14:paraId="69D95000"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Ohio Energy Group</w:t>
      </w:r>
    </w:p>
    <w:p w14:paraId="50DEFCA5" w14:textId="77777777" w:rsidR="0044270D" w:rsidRPr="0044270D" w:rsidRDefault="0044270D" w:rsidP="00724A5D">
      <w:pPr>
        <w:spacing w:line="240" w:lineRule="auto"/>
        <w:jc w:val="left"/>
        <w:rPr>
          <w:color w:val="000000" w:themeColor="text1"/>
          <w:sz w:val="20"/>
          <w:szCs w:val="20"/>
        </w:rPr>
      </w:pPr>
    </w:p>
    <w:p w14:paraId="158F2E52"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Kevin R. Schmidt (Reg. No. 0086722)</w:t>
      </w:r>
    </w:p>
    <w:p w14:paraId="30F0B43D"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Strategic Public Partners</w:t>
      </w:r>
    </w:p>
    <w:p w14:paraId="1D3F67B2"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88 East Broad Street, Suite 1770</w:t>
      </w:r>
    </w:p>
    <w:p w14:paraId="2479E1D8"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Columbus, OH  43215</w:t>
      </w:r>
    </w:p>
    <w:p w14:paraId="72D9EE90" w14:textId="77777777" w:rsidR="0044270D" w:rsidRPr="0044270D" w:rsidRDefault="0044270D" w:rsidP="00724A5D">
      <w:pPr>
        <w:autoSpaceDE w:val="0"/>
        <w:autoSpaceDN w:val="0"/>
        <w:adjustRightInd w:val="0"/>
        <w:spacing w:line="240" w:lineRule="auto"/>
        <w:jc w:val="left"/>
        <w:rPr>
          <w:color w:val="000000" w:themeColor="text1"/>
          <w:sz w:val="20"/>
          <w:szCs w:val="20"/>
        </w:rPr>
      </w:pPr>
      <w:r w:rsidRPr="0044270D">
        <w:rPr>
          <w:color w:val="000000" w:themeColor="text1"/>
          <w:sz w:val="20"/>
          <w:szCs w:val="20"/>
        </w:rPr>
        <w:t>schmidt@sppgrp.com</w:t>
      </w:r>
    </w:p>
    <w:p w14:paraId="2DA1F503" w14:textId="77777777" w:rsidR="0044270D" w:rsidRPr="0044270D" w:rsidRDefault="0044270D" w:rsidP="00724A5D">
      <w:pPr>
        <w:spacing w:line="240" w:lineRule="auto"/>
        <w:jc w:val="left"/>
        <w:rPr>
          <w:color w:val="000000" w:themeColor="text1"/>
          <w:sz w:val="20"/>
          <w:szCs w:val="20"/>
        </w:rPr>
      </w:pPr>
    </w:p>
    <w:p w14:paraId="394140BE"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Energy Professionals of Ohio</w:t>
      </w:r>
    </w:p>
    <w:p w14:paraId="175D8BE6" w14:textId="77777777" w:rsidR="0044270D" w:rsidRPr="0044270D" w:rsidRDefault="0044270D" w:rsidP="00724A5D">
      <w:pPr>
        <w:spacing w:line="240" w:lineRule="auto"/>
        <w:jc w:val="left"/>
        <w:rPr>
          <w:color w:val="000000" w:themeColor="text1"/>
          <w:sz w:val="20"/>
          <w:szCs w:val="20"/>
        </w:rPr>
      </w:pPr>
    </w:p>
    <w:p w14:paraId="1DEF2790" w14:textId="77777777" w:rsidR="00084EFC" w:rsidRDefault="00084EFC" w:rsidP="00724A5D">
      <w:pPr>
        <w:spacing w:line="240" w:lineRule="auto"/>
        <w:jc w:val="left"/>
        <w:rPr>
          <w:color w:val="000000" w:themeColor="text1"/>
          <w:sz w:val="20"/>
          <w:szCs w:val="20"/>
        </w:rPr>
        <w:sectPr w:rsidR="00084EFC" w:rsidSect="002522EE">
          <w:headerReference w:type="default" r:id="rId25"/>
          <w:footerReference w:type="default" r:id="rId26"/>
          <w:headerReference w:type="first" r:id="rId27"/>
          <w:footerReference w:type="first" r:id="rId28"/>
          <w:type w:val="continuous"/>
          <w:pgSz w:w="12240" w:h="15840" w:code="1"/>
          <w:pgMar w:top="1440" w:right="1440" w:bottom="1440" w:left="1440" w:header="720" w:footer="720" w:gutter="0"/>
          <w:cols w:num="2" w:space="720"/>
          <w:titlePg/>
          <w:docGrid w:linePitch="360"/>
        </w:sectPr>
      </w:pPr>
    </w:p>
    <w:p w14:paraId="7ACCA5FB" w14:textId="25C1FC0C"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lastRenderedPageBreak/>
        <w:t>William J. Michael (Reg. No. 0070921</w:t>
      </w:r>
    </w:p>
    <w:p w14:paraId="18088D90"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Counsel of Record</w:t>
      </w:r>
    </w:p>
    <w:p w14:paraId="1B2B9F10"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Kevin F. Moore (Reg. No. 0089228</w:t>
      </w:r>
    </w:p>
    <w:p w14:paraId="7381E2CE"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10 West Broad Street, Suite 1800</w:t>
      </w:r>
    </w:p>
    <w:p w14:paraId="58E6E94D"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43215-3485</w:t>
      </w:r>
    </w:p>
    <w:p w14:paraId="2D91218A" w14:textId="377C5A0A" w:rsidR="0044270D" w:rsidRPr="0044270D" w:rsidRDefault="0044270D" w:rsidP="00724A5D">
      <w:pPr>
        <w:spacing w:line="240" w:lineRule="auto"/>
        <w:jc w:val="left"/>
        <w:rPr>
          <w:color w:val="000000" w:themeColor="text1"/>
          <w:sz w:val="20"/>
          <w:szCs w:val="20"/>
        </w:rPr>
      </w:pPr>
      <w:r w:rsidRPr="002A3DA8">
        <w:rPr>
          <w:sz w:val="20"/>
          <w:szCs w:val="20"/>
        </w:rPr>
        <w:t>William.Michael@occ.ohio.gov</w:t>
      </w:r>
    </w:p>
    <w:p w14:paraId="33C07A8F" w14:textId="13610C7F" w:rsidR="0044270D" w:rsidRPr="0044270D" w:rsidRDefault="0044270D" w:rsidP="00724A5D">
      <w:pPr>
        <w:spacing w:line="240" w:lineRule="auto"/>
        <w:jc w:val="left"/>
        <w:rPr>
          <w:color w:val="000000" w:themeColor="text1"/>
          <w:sz w:val="20"/>
          <w:szCs w:val="20"/>
        </w:rPr>
      </w:pPr>
      <w:r w:rsidRPr="002A3DA8">
        <w:rPr>
          <w:sz w:val="20"/>
          <w:szCs w:val="20"/>
        </w:rPr>
        <w:t>Kevin.Moore@occ.ohio.gov</w:t>
      </w:r>
    </w:p>
    <w:p w14:paraId="7A2A881A" w14:textId="77777777" w:rsidR="0044270D" w:rsidRPr="0044270D" w:rsidRDefault="0044270D" w:rsidP="00724A5D">
      <w:pPr>
        <w:spacing w:line="240" w:lineRule="auto"/>
        <w:jc w:val="left"/>
        <w:rPr>
          <w:color w:val="000000" w:themeColor="text1"/>
          <w:sz w:val="20"/>
          <w:szCs w:val="20"/>
        </w:rPr>
      </w:pPr>
    </w:p>
    <w:p w14:paraId="4CB44A93"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Office of the Ohio Consumers’ Counsel</w:t>
      </w:r>
    </w:p>
    <w:p w14:paraId="3B9DD06E" w14:textId="77777777" w:rsidR="0044270D" w:rsidRPr="0044270D" w:rsidRDefault="0044270D" w:rsidP="00724A5D">
      <w:pPr>
        <w:spacing w:line="240" w:lineRule="auto"/>
        <w:jc w:val="left"/>
        <w:rPr>
          <w:color w:val="000000" w:themeColor="text1"/>
          <w:sz w:val="20"/>
          <w:szCs w:val="20"/>
        </w:rPr>
      </w:pPr>
    </w:p>
    <w:p w14:paraId="3051DC6F"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Ryan P. O’Rourke (Reg. No. 0082651)</w:t>
      </w:r>
    </w:p>
    <w:p w14:paraId="4F826B4F"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Carpenter Lipps &amp; Leland LLP</w:t>
      </w:r>
    </w:p>
    <w:p w14:paraId="595B9F7F"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280 Plaza, Suite 1300</w:t>
      </w:r>
    </w:p>
    <w:p w14:paraId="2B02B743"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280 North High Street</w:t>
      </w:r>
    </w:p>
    <w:p w14:paraId="223D3CF0"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w:t>
      </w:r>
    </w:p>
    <w:p w14:paraId="2257947D"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O’Rourke@carpenterlipps.com</w:t>
      </w:r>
    </w:p>
    <w:p w14:paraId="14E835F6" w14:textId="77777777" w:rsidR="0044270D" w:rsidRPr="0044270D" w:rsidRDefault="0044270D" w:rsidP="00724A5D">
      <w:pPr>
        <w:spacing w:line="240" w:lineRule="auto"/>
        <w:jc w:val="left"/>
        <w:rPr>
          <w:color w:val="000000" w:themeColor="text1"/>
          <w:sz w:val="20"/>
          <w:szCs w:val="20"/>
        </w:rPr>
      </w:pPr>
    </w:p>
    <w:p w14:paraId="2B6ADAD6"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The Kroger Co.</w:t>
      </w:r>
    </w:p>
    <w:p w14:paraId="3D5A0D9F" w14:textId="77777777" w:rsidR="0044270D" w:rsidRPr="0044270D" w:rsidRDefault="0044270D" w:rsidP="00724A5D">
      <w:pPr>
        <w:spacing w:line="240" w:lineRule="auto"/>
        <w:jc w:val="left"/>
        <w:rPr>
          <w:color w:val="000000" w:themeColor="text1"/>
          <w:sz w:val="20"/>
          <w:szCs w:val="20"/>
        </w:rPr>
      </w:pPr>
    </w:p>
    <w:p w14:paraId="42C96A59"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Kimberly W. Bojko (Reg. No. 0069402)</w:t>
      </w:r>
    </w:p>
    <w:p w14:paraId="4401AD27"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Danielle M. Ghiloni (Reg. No. 0085245)</w:t>
      </w:r>
    </w:p>
    <w:p w14:paraId="0F5C7C53"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Carpenter Lipps &amp; Leland LLP</w:t>
      </w:r>
    </w:p>
    <w:p w14:paraId="6A1A36BE"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280 North High Street, Suite 1300</w:t>
      </w:r>
    </w:p>
    <w:p w14:paraId="0AB318E1"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w:t>
      </w:r>
    </w:p>
    <w:p w14:paraId="13CE1AE6" w14:textId="7F335468" w:rsidR="0044270D" w:rsidRPr="0044270D" w:rsidRDefault="0044270D" w:rsidP="00724A5D">
      <w:pPr>
        <w:spacing w:line="240" w:lineRule="auto"/>
        <w:jc w:val="left"/>
        <w:rPr>
          <w:color w:val="000000" w:themeColor="text1"/>
          <w:sz w:val="20"/>
          <w:szCs w:val="20"/>
        </w:rPr>
      </w:pPr>
      <w:r w:rsidRPr="002A3DA8">
        <w:rPr>
          <w:sz w:val="20"/>
          <w:szCs w:val="20"/>
        </w:rPr>
        <w:t>Bojko@carpenterlipps.com</w:t>
      </w:r>
    </w:p>
    <w:p w14:paraId="64EAB501" w14:textId="22F82AD0" w:rsidR="0044270D" w:rsidRPr="0044270D" w:rsidRDefault="0044270D" w:rsidP="00724A5D">
      <w:pPr>
        <w:spacing w:line="240" w:lineRule="auto"/>
        <w:jc w:val="left"/>
        <w:rPr>
          <w:color w:val="000000" w:themeColor="text1"/>
          <w:sz w:val="20"/>
          <w:szCs w:val="20"/>
        </w:rPr>
      </w:pPr>
      <w:r w:rsidRPr="002A3DA8">
        <w:rPr>
          <w:sz w:val="20"/>
          <w:szCs w:val="20"/>
        </w:rPr>
        <w:t>Ghiloni@carpenterlipps.com</w:t>
      </w:r>
    </w:p>
    <w:p w14:paraId="1B2EE432" w14:textId="77777777" w:rsidR="0044270D" w:rsidRPr="0044270D" w:rsidRDefault="0044270D" w:rsidP="00724A5D">
      <w:pPr>
        <w:spacing w:line="240" w:lineRule="auto"/>
        <w:jc w:val="left"/>
        <w:rPr>
          <w:color w:val="000000" w:themeColor="text1"/>
          <w:sz w:val="20"/>
          <w:szCs w:val="20"/>
        </w:rPr>
      </w:pPr>
    </w:p>
    <w:p w14:paraId="70F51D2A"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the Ohio Manufacturers’ Association Energy Group</w:t>
      </w:r>
    </w:p>
    <w:p w14:paraId="066CCDA5" w14:textId="77777777" w:rsidR="0044270D" w:rsidRPr="0044270D" w:rsidRDefault="0044270D" w:rsidP="00724A5D">
      <w:pPr>
        <w:spacing w:line="240" w:lineRule="auto"/>
        <w:jc w:val="left"/>
        <w:rPr>
          <w:color w:val="000000" w:themeColor="text1"/>
          <w:sz w:val="20"/>
          <w:szCs w:val="20"/>
        </w:rPr>
      </w:pPr>
    </w:p>
    <w:p w14:paraId="1719F04F"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Michael J. Settineri</w:t>
      </w:r>
    </w:p>
    <w:p w14:paraId="5924D779"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Stephen M. Howard</w:t>
      </w:r>
    </w:p>
    <w:p w14:paraId="756B0F73"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Gretchen L. Petrucci</w:t>
      </w:r>
    </w:p>
    <w:p w14:paraId="273CAE75"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Ilya Batikov</w:t>
      </w:r>
    </w:p>
    <w:p w14:paraId="5DFD85C2"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Vorys, Sater, Seymour and Pease LLP</w:t>
      </w:r>
    </w:p>
    <w:p w14:paraId="620159B6"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52 E. Gay Street</w:t>
      </w:r>
    </w:p>
    <w:p w14:paraId="68DB8D15"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w:t>
      </w:r>
    </w:p>
    <w:p w14:paraId="49C04308" w14:textId="0268A67A" w:rsidR="0044270D" w:rsidRPr="0044270D" w:rsidRDefault="0044270D" w:rsidP="00724A5D">
      <w:pPr>
        <w:spacing w:line="240" w:lineRule="auto"/>
        <w:jc w:val="left"/>
        <w:rPr>
          <w:color w:val="000000" w:themeColor="text1"/>
          <w:sz w:val="20"/>
          <w:szCs w:val="20"/>
        </w:rPr>
      </w:pPr>
      <w:r w:rsidRPr="002A3DA8">
        <w:rPr>
          <w:sz w:val="20"/>
          <w:szCs w:val="20"/>
        </w:rPr>
        <w:t>mjsettineri@vorys.com</w:t>
      </w:r>
    </w:p>
    <w:p w14:paraId="6FD87307" w14:textId="0ED72F41" w:rsidR="0044270D" w:rsidRPr="0044270D" w:rsidRDefault="0044270D" w:rsidP="00724A5D">
      <w:pPr>
        <w:spacing w:line="240" w:lineRule="auto"/>
        <w:jc w:val="left"/>
        <w:rPr>
          <w:color w:val="000000" w:themeColor="text1"/>
          <w:sz w:val="20"/>
          <w:szCs w:val="20"/>
        </w:rPr>
      </w:pPr>
      <w:r w:rsidRPr="002A3DA8">
        <w:rPr>
          <w:sz w:val="20"/>
          <w:szCs w:val="20"/>
        </w:rPr>
        <w:t>smhoward@vorys.co</w:t>
      </w:r>
      <w:r w:rsidRPr="0044270D">
        <w:rPr>
          <w:color w:val="000000" w:themeColor="text1"/>
          <w:sz w:val="20"/>
          <w:szCs w:val="20"/>
        </w:rPr>
        <w:t>m</w:t>
      </w:r>
    </w:p>
    <w:p w14:paraId="5DC1CDAD" w14:textId="5C677EC4" w:rsidR="0044270D" w:rsidRPr="0044270D" w:rsidRDefault="0044270D" w:rsidP="00724A5D">
      <w:pPr>
        <w:spacing w:line="240" w:lineRule="auto"/>
        <w:jc w:val="left"/>
        <w:rPr>
          <w:color w:val="000000" w:themeColor="text1"/>
          <w:sz w:val="20"/>
          <w:szCs w:val="20"/>
        </w:rPr>
      </w:pPr>
      <w:r w:rsidRPr="002A3DA8">
        <w:rPr>
          <w:sz w:val="20"/>
          <w:szCs w:val="20"/>
        </w:rPr>
        <w:t>glpetrucci@vorys.com</w:t>
      </w:r>
    </w:p>
    <w:p w14:paraId="6EFC42AE" w14:textId="39A0E6F0" w:rsidR="0044270D" w:rsidRPr="0044270D" w:rsidRDefault="0044270D" w:rsidP="00724A5D">
      <w:pPr>
        <w:spacing w:line="240" w:lineRule="auto"/>
        <w:jc w:val="left"/>
        <w:rPr>
          <w:color w:val="000000" w:themeColor="text1"/>
          <w:sz w:val="20"/>
          <w:szCs w:val="20"/>
        </w:rPr>
      </w:pPr>
      <w:r w:rsidRPr="002A3DA8">
        <w:rPr>
          <w:sz w:val="20"/>
          <w:szCs w:val="20"/>
        </w:rPr>
        <w:t>ibatikov@vorys.com</w:t>
      </w:r>
    </w:p>
    <w:p w14:paraId="5E970F6F" w14:textId="77777777" w:rsidR="0044270D" w:rsidRPr="0044270D" w:rsidRDefault="0044270D" w:rsidP="00724A5D">
      <w:pPr>
        <w:spacing w:line="240" w:lineRule="auto"/>
        <w:jc w:val="left"/>
        <w:rPr>
          <w:color w:val="000000" w:themeColor="text1"/>
          <w:sz w:val="20"/>
          <w:szCs w:val="20"/>
        </w:rPr>
      </w:pPr>
    </w:p>
    <w:p w14:paraId="643809D6"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Dynegy Inc.</w:t>
      </w:r>
    </w:p>
    <w:p w14:paraId="54DE41E4" w14:textId="77777777" w:rsidR="0044270D" w:rsidRPr="0044270D" w:rsidRDefault="0044270D" w:rsidP="00724A5D">
      <w:pPr>
        <w:spacing w:line="240" w:lineRule="auto"/>
        <w:jc w:val="left"/>
        <w:rPr>
          <w:color w:val="000000" w:themeColor="text1"/>
          <w:sz w:val="20"/>
          <w:szCs w:val="20"/>
        </w:rPr>
      </w:pPr>
    </w:p>
    <w:p w14:paraId="6D9297ED"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Joseph Oliker (Reg. No. 0086088)</w:t>
      </w:r>
    </w:p>
    <w:p w14:paraId="2BDB3F9B"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IGS Energy</w:t>
      </w:r>
    </w:p>
    <w:p w14:paraId="1523F55A"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6100 Emerald Parkway</w:t>
      </w:r>
    </w:p>
    <w:p w14:paraId="1F884195"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Dublin, OH  43016</w:t>
      </w:r>
    </w:p>
    <w:p w14:paraId="4948BA55" w14:textId="5E0F1FEC" w:rsidR="0044270D" w:rsidRPr="0044270D" w:rsidRDefault="0044270D" w:rsidP="00724A5D">
      <w:pPr>
        <w:spacing w:line="240" w:lineRule="auto"/>
        <w:jc w:val="left"/>
        <w:rPr>
          <w:color w:val="000000" w:themeColor="text1"/>
          <w:sz w:val="20"/>
          <w:szCs w:val="20"/>
        </w:rPr>
      </w:pPr>
      <w:r w:rsidRPr="002A3DA8">
        <w:rPr>
          <w:sz w:val="20"/>
          <w:szCs w:val="20"/>
        </w:rPr>
        <w:t>joliker@igsenergy.com</w:t>
      </w:r>
    </w:p>
    <w:p w14:paraId="06213A7B" w14:textId="77777777" w:rsidR="0044270D" w:rsidRPr="0044270D" w:rsidRDefault="0044270D" w:rsidP="00724A5D">
      <w:pPr>
        <w:spacing w:line="240" w:lineRule="auto"/>
        <w:jc w:val="left"/>
        <w:rPr>
          <w:color w:val="000000" w:themeColor="text1"/>
          <w:sz w:val="20"/>
          <w:szCs w:val="20"/>
        </w:rPr>
      </w:pPr>
    </w:p>
    <w:p w14:paraId="43CD2DDE"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IGS Energy</w:t>
      </w:r>
    </w:p>
    <w:p w14:paraId="3165656E" w14:textId="77777777" w:rsidR="0044270D" w:rsidRPr="0044270D" w:rsidRDefault="0044270D" w:rsidP="00724A5D">
      <w:pPr>
        <w:spacing w:line="240" w:lineRule="auto"/>
        <w:jc w:val="left"/>
        <w:rPr>
          <w:color w:val="000000" w:themeColor="text1"/>
          <w:sz w:val="20"/>
          <w:szCs w:val="20"/>
        </w:rPr>
      </w:pPr>
    </w:p>
    <w:p w14:paraId="19F10741" w14:textId="7ACD728F" w:rsidR="0044270D" w:rsidRPr="0044270D" w:rsidRDefault="00084EFC" w:rsidP="00724A5D">
      <w:pPr>
        <w:spacing w:line="240" w:lineRule="auto"/>
        <w:jc w:val="left"/>
        <w:rPr>
          <w:color w:val="000000" w:themeColor="text1"/>
          <w:sz w:val="20"/>
          <w:szCs w:val="20"/>
        </w:rPr>
      </w:pPr>
      <w:r>
        <w:rPr>
          <w:color w:val="000000" w:themeColor="text1"/>
          <w:sz w:val="20"/>
          <w:szCs w:val="20"/>
        </w:rPr>
        <w:br w:type="column"/>
      </w:r>
      <w:r w:rsidR="0044270D" w:rsidRPr="0044270D">
        <w:rPr>
          <w:color w:val="000000" w:themeColor="text1"/>
          <w:sz w:val="20"/>
          <w:szCs w:val="20"/>
        </w:rPr>
        <w:t>Michael D. Dortch (Reg. No. 0043897)</w:t>
      </w:r>
    </w:p>
    <w:p w14:paraId="4EAFF75E"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Richard R. Parsons (Reg. No. 0082270)</w:t>
      </w:r>
    </w:p>
    <w:p w14:paraId="4FB1B82D"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Kravitz, Brown &amp; Dortch, LLC</w:t>
      </w:r>
    </w:p>
    <w:p w14:paraId="6FF366D1"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65 East State Street, Suite 200</w:t>
      </w:r>
    </w:p>
    <w:p w14:paraId="67BC6346"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w:t>
      </w:r>
    </w:p>
    <w:p w14:paraId="41395E4E" w14:textId="4814B0C4" w:rsidR="0044270D" w:rsidRPr="0044270D" w:rsidRDefault="0044270D" w:rsidP="00724A5D">
      <w:pPr>
        <w:spacing w:line="240" w:lineRule="auto"/>
        <w:jc w:val="left"/>
        <w:rPr>
          <w:color w:val="000000" w:themeColor="text1"/>
          <w:sz w:val="20"/>
          <w:szCs w:val="20"/>
        </w:rPr>
      </w:pPr>
      <w:r w:rsidRPr="002A3DA8">
        <w:rPr>
          <w:sz w:val="20"/>
          <w:szCs w:val="20"/>
        </w:rPr>
        <w:t>mdortch@kravitzllc.com</w:t>
      </w:r>
    </w:p>
    <w:p w14:paraId="50E3A310" w14:textId="6A65AF8C" w:rsidR="0044270D" w:rsidRPr="0044270D" w:rsidRDefault="0044270D" w:rsidP="00724A5D">
      <w:pPr>
        <w:spacing w:line="240" w:lineRule="auto"/>
        <w:jc w:val="left"/>
        <w:rPr>
          <w:color w:val="000000" w:themeColor="text1"/>
          <w:sz w:val="20"/>
          <w:szCs w:val="20"/>
        </w:rPr>
      </w:pPr>
      <w:r w:rsidRPr="002A3DA8">
        <w:rPr>
          <w:sz w:val="20"/>
          <w:szCs w:val="20"/>
        </w:rPr>
        <w:t>rparsons@kravitzllc.com</w:t>
      </w:r>
    </w:p>
    <w:p w14:paraId="47F376A7" w14:textId="77777777" w:rsidR="0044270D" w:rsidRPr="0044270D" w:rsidRDefault="0044270D" w:rsidP="00724A5D">
      <w:pPr>
        <w:spacing w:line="240" w:lineRule="auto"/>
        <w:jc w:val="left"/>
        <w:rPr>
          <w:color w:val="000000" w:themeColor="text1"/>
          <w:sz w:val="20"/>
          <w:szCs w:val="20"/>
        </w:rPr>
      </w:pPr>
    </w:p>
    <w:p w14:paraId="621BB657"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Noble Americas Energy Solutions LLC</w:t>
      </w:r>
    </w:p>
    <w:p w14:paraId="5C2F00FE" w14:textId="77777777" w:rsidR="0044270D" w:rsidRPr="0044270D" w:rsidRDefault="0044270D" w:rsidP="00724A5D">
      <w:pPr>
        <w:spacing w:line="240" w:lineRule="auto"/>
        <w:jc w:val="left"/>
        <w:rPr>
          <w:color w:val="000000" w:themeColor="text1"/>
          <w:sz w:val="20"/>
          <w:szCs w:val="20"/>
        </w:rPr>
      </w:pPr>
    </w:p>
    <w:p w14:paraId="124604DD" w14:textId="77777777" w:rsidR="0044270D" w:rsidRDefault="0044270D" w:rsidP="00724A5D">
      <w:pPr>
        <w:spacing w:line="240" w:lineRule="auto"/>
        <w:jc w:val="left"/>
        <w:rPr>
          <w:color w:val="000000" w:themeColor="text1"/>
          <w:sz w:val="20"/>
          <w:szCs w:val="20"/>
        </w:rPr>
      </w:pPr>
      <w:r w:rsidRPr="0044270D">
        <w:rPr>
          <w:color w:val="000000" w:themeColor="text1"/>
          <w:sz w:val="20"/>
          <w:szCs w:val="20"/>
        </w:rPr>
        <w:t>Colleen L. Mooney</w:t>
      </w:r>
    </w:p>
    <w:p w14:paraId="2D450CEA" w14:textId="580AB285" w:rsidR="006426A1" w:rsidRPr="0044270D" w:rsidRDefault="006426A1" w:rsidP="00724A5D">
      <w:pPr>
        <w:spacing w:line="240" w:lineRule="auto"/>
        <w:jc w:val="left"/>
        <w:rPr>
          <w:color w:val="000000" w:themeColor="text1"/>
          <w:sz w:val="20"/>
          <w:szCs w:val="20"/>
        </w:rPr>
      </w:pPr>
      <w:r>
        <w:rPr>
          <w:color w:val="000000" w:themeColor="text1"/>
          <w:sz w:val="20"/>
          <w:szCs w:val="20"/>
        </w:rPr>
        <w:t>Ohio Partners for Affo</w:t>
      </w:r>
      <w:r w:rsidR="00DE55F7">
        <w:rPr>
          <w:color w:val="000000" w:themeColor="text1"/>
          <w:sz w:val="20"/>
          <w:szCs w:val="20"/>
        </w:rPr>
        <w:t>r</w:t>
      </w:r>
      <w:r w:rsidR="00546BEE">
        <w:rPr>
          <w:color w:val="000000" w:themeColor="text1"/>
          <w:sz w:val="20"/>
          <w:szCs w:val="20"/>
        </w:rPr>
        <w:t>p</w:t>
      </w:r>
      <w:r>
        <w:rPr>
          <w:color w:val="000000" w:themeColor="text1"/>
          <w:sz w:val="20"/>
          <w:szCs w:val="20"/>
        </w:rPr>
        <w:t>dable Energy</w:t>
      </w:r>
    </w:p>
    <w:p w14:paraId="23355E0A"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231 West Lima Street</w:t>
      </w:r>
    </w:p>
    <w:p w14:paraId="5165719C"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PO Box 1793</w:t>
      </w:r>
    </w:p>
    <w:p w14:paraId="3BC44E8E"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Findlay, OH  45839-1793</w:t>
      </w:r>
    </w:p>
    <w:p w14:paraId="7506721A" w14:textId="2CCFE336" w:rsidR="0044270D" w:rsidRPr="0044270D" w:rsidRDefault="0044270D" w:rsidP="00724A5D">
      <w:pPr>
        <w:spacing w:line="240" w:lineRule="auto"/>
        <w:jc w:val="left"/>
        <w:rPr>
          <w:color w:val="000000" w:themeColor="text1"/>
          <w:sz w:val="20"/>
          <w:szCs w:val="20"/>
        </w:rPr>
      </w:pPr>
      <w:r w:rsidRPr="002A3DA8">
        <w:rPr>
          <w:sz w:val="20"/>
          <w:szCs w:val="20"/>
        </w:rPr>
        <w:t>cmooney@ohiopartners.org</w:t>
      </w:r>
    </w:p>
    <w:p w14:paraId="13544B74" w14:textId="77777777" w:rsidR="0044270D" w:rsidRPr="0044270D" w:rsidRDefault="0044270D" w:rsidP="00724A5D">
      <w:pPr>
        <w:spacing w:line="240" w:lineRule="auto"/>
        <w:jc w:val="left"/>
        <w:rPr>
          <w:color w:val="000000" w:themeColor="text1"/>
          <w:sz w:val="20"/>
          <w:szCs w:val="20"/>
        </w:rPr>
      </w:pPr>
    </w:p>
    <w:p w14:paraId="23DF6C4C"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Ohio Partners for Affordable Energy</w:t>
      </w:r>
    </w:p>
    <w:p w14:paraId="4D4A5A34" w14:textId="77777777" w:rsidR="0044270D" w:rsidRPr="0044270D" w:rsidRDefault="0044270D" w:rsidP="00724A5D">
      <w:pPr>
        <w:spacing w:line="240" w:lineRule="auto"/>
        <w:jc w:val="left"/>
        <w:rPr>
          <w:color w:val="000000" w:themeColor="text1"/>
          <w:sz w:val="20"/>
          <w:szCs w:val="20"/>
        </w:rPr>
      </w:pPr>
    </w:p>
    <w:p w14:paraId="38735861" w14:textId="77777777" w:rsidR="0044270D" w:rsidRDefault="0044270D" w:rsidP="00724A5D">
      <w:pPr>
        <w:spacing w:line="240" w:lineRule="auto"/>
        <w:jc w:val="left"/>
        <w:rPr>
          <w:color w:val="000000" w:themeColor="text1"/>
          <w:sz w:val="20"/>
          <w:szCs w:val="20"/>
        </w:rPr>
      </w:pPr>
      <w:r w:rsidRPr="0044270D">
        <w:rPr>
          <w:color w:val="000000" w:themeColor="text1"/>
          <w:sz w:val="20"/>
          <w:szCs w:val="20"/>
        </w:rPr>
        <w:t>Trent Dougherty (Reg. No. 0079817)</w:t>
      </w:r>
    </w:p>
    <w:p w14:paraId="532F2666" w14:textId="1B63A8E8" w:rsidR="006426A1" w:rsidRPr="0044270D" w:rsidRDefault="006426A1" w:rsidP="00724A5D">
      <w:pPr>
        <w:spacing w:line="240" w:lineRule="auto"/>
        <w:jc w:val="left"/>
        <w:rPr>
          <w:color w:val="000000" w:themeColor="text1"/>
          <w:sz w:val="20"/>
          <w:szCs w:val="20"/>
        </w:rPr>
      </w:pPr>
      <w:r>
        <w:rPr>
          <w:color w:val="000000" w:themeColor="text1"/>
          <w:sz w:val="20"/>
          <w:szCs w:val="20"/>
        </w:rPr>
        <w:t>Ohio Environmental Council</w:t>
      </w:r>
    </w:p>
    <w:p w14:paraId="3C1252C3"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1145 Chesapeake Ave., Suite I</w:t>
      </w:r>
    </w:p>
    <w:p w14:paraId="25FDCE4B"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43212-3449</w:t>
      </w:r>
    </w:p>
    <w:p w14:paraId="14DFE9B7" w14:textId="1483DFDA" w:rsidR="0044270D" w:rsidRPr="0044270D" w:rsidRDefault="0044270D" w:rsidP="00724A5D">
      <w:pPr>
        <w:spacing w:line="240" w:lineRule="auto"/>
        <w:jc w:val="left"/>
        <w:rPr>
          <w:color w:val="000000" w:themeColor="text1"/>
          <w:sz w:val="20"/>
          <w:szCs w:val="20"/>
        </w:rPr>
      </w:pPr>
      <w:r w:rsidRPr="002A3DA8">
        <w:rPr>
          <w:sz w:val="20"/>
          <w:szCs w:val="20"/>
        </w:rPr>
        <w:t>tdougherty@theOEC.org</w:t>
      </w:r>
    </w:p>
    <w:p w14:paraId="6D15DC7B" w14:textId="77777777" w:rsidR="0044270D" w:rsidRPr="0044270D" w:rsidRDefault="0044270D" w:rsidP="00724A5D">
      <w:pPr>
        <w:spacing w:line="240" w:lineRule="auto"/>
        <w:jc w:val="left"/>
        <w:rPr>
          <w:color w:val="000000" w:themeColor="text1"/>
          <w:sz w:val="20"/>
          <w:szCs w:val="20"/>
        </w:rPr>
      </w:pPr>
    </w:p>
    <w:p w14:paraId="7AB85410"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the Ohio Environmental Council and Environmental Defense Fund</w:t>
      </w:r>
    </w:p>
    <w:p w14:paraId="0C7DF3E9" w14:textId="77777777" w:rsidR="0044270D" w:rsidRPr="0044270D" w:rsidRDefault="0044270D" w:rsidP="00724A5D">
      <w:pPr>
        <w:spacing w:line="240" w:lineRule="auto"/>
        <w:jc w:val="left"/>
        <w:rPr>
          <w:color w:val="000000" w:themeColor="text1"/>
          <w:sz w:val="20"/>
          <w:szCs w:val="20"/>
        </w:rPr>
      </w:pPr>
    </w:p>
    <w:p w14:paraId="5702DC21"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Joel E. Sechler (Reg. No. 0076320)</w:t>
      </w:r>
    </w:p>
    <w:p w14:paraId="23C3B774"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Carpenter Lipps &amp; Leland LLP</w:t>
      </w:r>
    </w:p>
    <w:p w14:paraId="2661B256"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280 North High Street, Suite 1300</w:t>
      </w:r>
    </w:p>
    <w:p w14:paraId="0D0354E1"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43215</w:t>
      </w:r>
    </w:p>
    <w:p w14:paraId="53DBE1BA" w14:textId="0F13518A" w:rsidR="0044270D" w:rsidRPr="0044270D" w:rsidRDefault="0044270D" w:rsidP="00724A5D">
      <w:pPr>
        <w:spacing w:line="240" w:lineRule="auto"/>
        <w:jc w:val="left"/>
        <w:rPr>
          <w:color w:val="000000" w:themeColor="text1"/>
          <w:sz w:val="20"/>
          <w:szCs w:val="20"/>
        </w:rPr>
      </w:pPr>
      <w:r w:rsidRPr="002A3DA8">
        <w:rPr>
          <w:sz w:val="20"/>
          <w:szCs w:val="20"/>
        </w:rPr>
        <w:t>Sechler@carpenterlipps.com</w:t>
      </w:r>
    </w:p>
    <w:p w14:paraId="356F79EF" w14:textId="77777777" w:rsidR="0044270D" w:rsidRPr="0044270D" w:rsidRDefault="0044270D" w:rsidP="00724A5D">
      <w:pPr>
        <w:spacing w:line="240" w:lineRule="auto"/>
        <w:jc w:val="left"/>
        <w:rPr>
          <w:color w:val="000000" w:themeColor="text1"/>
          <w:sz w:val="20"/>
          <w:szCs w:val="20"/>
        </w:rPr>
      </w:pPr>
    </w:p>
    <w:p w14:paraId="10A585BE"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Gregory J. Poulos (Reg. No. 0070532)</w:t>
      </w:r>
    </w:p>
    <w:p w14:paraId="39087B2D"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EnerNOC, Inc.</w:t>
      </w:r>
    </w:p>
    <w:p w14:paraId="156A4D2F"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PO Box 29492</w:t>
      </w:r>
    </w:p>
    <w:p w14:paraId="2A1FC3C4"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Columbus, OH  43229</w:t>
      </w:r>
    </w:p>
    <w:p w14:paraId="1FA5F8D1" w14:textId="728549A2" w:rsidR="0044270D" w:rsidRPr="0044270D" w:rsidRDefault="0044270D" w:rsidP="00724A5D">
      <w:pPr>
        <w:spacing w:line="240" w:lineRule="auto"/>
        <w:jc w:val="left"/>
        <w:rPr>
          <w:color w:val="000000" w:themeColor="text1"/>
          <w:sz w:val="20"/>
          <w:szCs w:val="20"/>
        </w:rPr>
      </w:pPr>
      <w:r w:rsidRPr="002A3DA8">
        <w:rPr>
          <w:sz w:val="20"/>
          <w:szCs w:val="20"/>
        </w:rPr>
        <w:t>gpoulos@enernoc.com</w:t>
      </w:r>
    </w:p>
    <w:p w14:paraId="3D472FC2" w14:textId="77777777" w:rsidR="0044270D" w:rsidRPr="0044270D" w:rsidRDefault="0044270D" w:rsidP="00724A5D">
      <w:pPr>
        <w:spacing w:line="240" w:lineRule="auto"/>
        <w:jc w:val="left"/>
        <w:rPr>
          <w:color w:val="000000" w:themeColor="text1"/>
          <w:sz w:val="20"/>
          <w:szCs w:val="20"/>
        </w:rPr>
      </w:pPr>
    </w:p>
    <w:p w14:paraId="6F000A67" w14:textId="77777777" w:rsidR="0044270D" w:rsidRPr="0044270D" w:rsidRDefault="0044270D" w:rsidP="00724A5D">
      <w:pPr>
        <w:spacing w:line="240" w:lineRule="auto"/>
        <w:jc w:val="left"/>
        <w:rPr>
          <w:rFonts w:ascii="Arial Bold" w:hAnsi="Arial Bold"/>
          <w:b/>
          <w:smallCaps/>
          <w:color w:val="000000" w:themeColor="text1"/>
          <w:sz w:val="20"/>
          <w:szCs w:val="20"/>
        </w:rPr>
      </w:pPr>
      <w:r w:rsidRPr="0044270D">
        <w:rPr>
          <w:rFonts w:ascii="Arial Bold" w:hAnsi="Arial Bold"/>
          <w:b/>
          <w:smallCaps/>
          <w:color w:val="000000" w:themeColor="text1"/>
          <w:sz w:val="20"/>
          <w:szCs w:val="20"/>
        </w:rPr>
        <w:t>Counsel for EnerNOC, Inc.</w:t>
      </w:r>
    </w:p>
    <w:p w14:paraId="6F9C04F4" w14:textId="77777777" w:rsidR="0044270D" w:rsidRPr="0044270D" w:rsidRDefault="0044270D" w:rsidP="00724A5D">
      <w:pPr>
        <w:spacing w:line="240" w:lineRule="auto"/>
        <w:jc w:val="left"/>
        <w:rPr>
          <w:color w:val="000000" w:themeColor="text1"/>
          <w:sz w:val="20"/>
          <w:szCs w:val="20"/>
        </w:rPr>
      </w:pPr>
    </w:p>
    <w:p w14:paraId="4F770870"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William L. Wright (Reg. No. 0018010)</w:t>
      </w:r>
    </w:p>
    <w:p w14:paraId="248B9E03"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Chief, Public Utilities Section</w:t>
      </w:r>
    </w:p>
    <w:p w14:paraId="1B398D18" w14:textId="77777777" w:rsidR="0044270D" w:rsidRPr="0044270D" w:rsidRDefault="0044270D" w:rsidP="00724A5D">
      <w:pPr>
        <w:autoSpaceDE w:val="0"/>
        <w:autoSpaceDN w:val="0"/>
        <w:adjustRightInd w:val="0"/>
        <w:snapToGrid w:val="0"/>
        <w:spacing w:line="240" w:lineRule="auto"/>
        <w:jc w:val="left"/>
        <w:rPr>
          <w:color w:val="000000" w:themeColor="text1"/>
          <w:sz w:val="20"/>
          <w:szCs w:val="20"/>
        </w:rPr>
      </w:pPr>
      <w:r w:rsidRPr="0044270D">
        <w:rPr>
          <w:color w:val="000000" w:themeColor="text1"/>
          <w:sz w:val="20"/>
          <w:szCs w:val="20"/>
        </w:rPr>
        <w:t>Office of Attorney General</w:t>
      </w:r>
    </w:p>
    <w:p w14:paraId="09E68772" w14:textId="77777777" w:rsidR="0044270D" w:rsidRPr="0044270D" w:rsidRDefault="0044270D" w:rsidP="00724A5D">
      <w:pPr>
        <w:autoSpaceDE w:val="0"/>
        <w:autoSpaceDN w:val="0"/>
        <w:adjustRightInd w:val="0"/>
        <w:snapToGrid w:val="0"/>
        <w:spacing w:line="240" w:lineRule="auto"/>
        <w:jc w:val="left"/>
        <w:rPr>
          <w:color w:val="000000" w:themeColor="text1"/>
          <w:sz w:val="20"/>
          <w:szCs w:val="20"/>
        </w:rPr>
      </w:pPr>
      <w:r w:rsidRPr="0044270D">
        <w:rPr>
          <w:color w:val="000000" w:themeColor="text1"/>
          <w:sz w:val="20"/>
          <w:szCs w:val="20"/>
        </w:rPr>
        <w:t>180 East Broad Street, 6th Floor</w:t>
      </w:r>
    </w:p>
    <w:p w14:paraId="6BE6DCF4" w14:textId="77777777" w:rsidR="0044270D" w:rsidRPr="0044270D" w:rsidRDefault="0044270D" w:rsidP="00724A5D">
      <w:pPr>
        <w:autoSpaceDE w:val="0"/>
        <w:autoSpaceDN w:val="0"/>
        <w:adjustRightInd w:val="0"/>
        <w:snapToGrid w:val="0"/>
        <w:spacing w:line="240" w:lineRule="auto"/>
        <w:jc w:val="left"/>
        <w:rPr>
          <w:color w:val="000000" w:themeColor="text1"/>
          <w:sz w:val="20"/>
          <w:szCs w:val="20"/>
        </w:rPr>
      </w:pPr>
      <w:r w:rsidRPr="0044270D">
        <w:rPr>
          <w:color w:val="000000" w:themeColor="text1"/>
          <w:sz w:val="20"/>
          <w:szCs w:val="20"/>
        </w:rPr>
        <w:t>Columbus, OH 43215-3793</w:t>
      </w:r>
    </w:p>
    <w:p w14:paraId="12B773DB" w14:textId="77777777" w:rsidR="0044270D" w:rsidRPr="0044270D" w:rsidRDefault="0044270D" w:rsidP="00724A5D">
      <w:pPr>
        <w:spacing w:line="240" w:lineRule="auto"/>
        <w:jc w:val="left"/>
        <w:rPr>
          <w:color w:val="000000" w:themeColor="text1"/>
          <w:sz w:val="20"/>
          <w:szCs w:val="20"/>
        </w:rPr>
      </w:pPr>
      <w:r w:rsidRPr="0044270D">
        <w:rPr>
          <w:color w:val="000000" w:themeColor="text1"/>
          <w:sz w:val="20"/>
          <w:szCs w:val="20"/>
        </w:rPr>
        <w:t>william.wright@puc.state.oh.us</w:t>
      </w:r>
    </w:p>
    <w:p w14:paraId="22E44BBD" w14:textId="77777777" w:rsidR="0044270D" w:rsidRPr="0044270D" w:rsidRDefault="0044270D" w:rsidP="00724A5D">
      <w:pPr>
        <w:spacing w:line="240" w:lineRule="auto"/>
        <w:jc w:val="left"/>
        <w:rPr>
          <w:rFonts w:eastAsia="Calibri"/>
          <w:color w:val="000000" w:themeColor="text1"/>
          <w:sz w:val="20"/>
          <w:szCs w:val="20"/>
        </w:rPr>
      </w:pPr>
    </w:p>
    <w:p w14:paraId="2B3A4776" w14:textId="77777777" w:rsidR="0044270D" w:rsidRPr="0044270D" w:rsidRDefault="0044270D" w:rsidP="00724A5D">
      <w:pPr>
        <w:spacing w:line="240" w:lineRule="auto"/>
        <w:jc w:val="left"/>
        <w:rPr>
          <w:rFonts w:eastAsia="Calibri"/>
          <w:smallCaps/>
          <w:color w:val="000000" w:themeColor="text1"/>
          <w:sz w:val="20"/>
          <w:szCs w:val="20"/>
        </w:rPr>
      </w:pPr>
      <w:r w:rsidRPr="0044270D">
        <w:rPr>
          <w:rFonts w:eastAsia="Calibri"/>
          <w:b/>
          <w:smallCaps/>
          <w:color w:val="000000" w:themeColor="text1"/>
          <w:sz w:val="20"/>
          <w:szCs w:val="20"/>
        </w:rPr>
        <w:t>Counsel for the Staff of the Public Utilities Commission of Ohio</w:t>
      </w:r>
    </w:p>
    <w:p w14:paraId="7DA38834" w14:textId="461638E2" w:rsidR="002649E5" w:rsidRPr="00D51E5A" w:rsidRDefault="002649E5" w:rsidP="00084EFC">
      <w:pPr>
        <w:spacing w:line="240" w:lineRule="auto"/>
      </w:pPr>
    </w:p>
    <w:sectPr w:rsidR="002649E5" w:rsidRPr="00D51E5A" w:rsidSect="00084EFC">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9DCB6" w14:textId="77777777" w:rsidR="006A011F" w:rsidRDefault="006A011F" w:rsidP="006F10A0">
      <w:pPr>
        <w:spacing w:line="240" w:lineRule="auto"/>
      </w:pPr>
      <w:r>
        <w:separator/>
      </w:r>
    </w:p>
  </w:endnote>
  <w:endnote w:type="continuationSeparator" w:id="0">
    <w:p w14:paraId="5613295B" w14:textId="77777777" w:rsidR="006A011F" w:rsidRDefault="006A011F" w:rsidP="006F1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4EA0" w14:textId="77777777" w:rsidR="00611D4F" w:rsidRDefault="00611D4F">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2A3DA8">
      <w:rPr>
        <w:rStyle w:val="PageNumber"/>
        <w:noProof/>
      </w:rPr>
      <w:t>13</w:t>
    </w:r>
    <w:r>
      <w:rPr>
        <w:rStyle w:val="PageNumber"/>
      </w:rPr>
      <w:fldChar w:fldCharType="end"/>
    </w:r>
  </w:p>
  <w:p w14:paraId="62402ED5" w14:textId="77777777" w:rsidR="00611D4F" w:rsidRDefault="00611D4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0F745" w14:textId="6B1B804A" w:rsidR="00060711" w:rsidRPr="00060711" w:rsidRDefault="00233F6A">
    <w:pPr>
      <w:pStyle w:val="Footer"/>
    </w:pPr>
    <w:r w:rsidRPr="00233F6A">
      <w:rPr>
        <w:noProof/>
        <w:sz w:val="16"/>
      </w:rPr>
      <w:t>{C49671:3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79033" w14:textId="5F5A8F8D" w:rsidR="006E5A96" w:rsidRPr="00060711" w:rsidRDefault="00233F6A">
    <w:pPr>
      <w:pStyle w:val="Footer"/>
    </w:pPr>
    <w:r w:rsidRPr="00233F6A">
      <w:rPr>
        <w:noProof/>
        <w:sz w:val="16"/>
      </w:rPr>
      <w:t>{C49671:3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31B66" w14:textId="6DEEDB1E" w:rsidR="006E5A96" w:rsidRPr="00060711" w:rsidRDefault="00233F6A">
    <w:pPr>
      <w:pStyle w:val="Footer"/>
    </w:pPr>
    <w:r w:rsidRPr="00233F6A">
      <w:rPr>
        <w:noProof/>
        <w:sz w:val="16"/>
      </w:rPr>
      <w:t>{C49671:3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ABDB2" w14:textId="77777777" w:rsidR="00611D4F" w:rsidRPr="004D3D75" w:rsidRDefault="00611D4F">
    <w:pPr>
      <w:pStyle w:val="Footer"/>
      <w:framePr w:wrap="around" w:vAnchor="text" w:hAnchor="margin" w:xAlign="center" w:y="1"/>
      <w:rPr>
        <w:rStyle w:val="PageNumber"/>
        <w:noProof/>
        <w:sz w:val="22"/>
        <w:szCs w:val="22"/>
      </w:rPr>
    </w:pPr>
    <w:r w:rsidRPr="004D3D75">
      <w:rPr>
        <w:rStyle w:val="PageNumber"/>
        <w:noProof/>
        <w:sz w:val="22"/>
        <w:szCs w:val="22"/>
      </w:rPr>
      <w:fldChar w:fldCharType="begin"/>
    </w:r>
    <w:r w:rsidRPr="004D3D75">
      <w:rPr>
        <w:rStyle w:val="PageNumber"/>
        <w:noProof/>
        <w:sz w:val="22"/>
        <w:szCs w:val="22"/>
      </w:rPr>
      <w:instrText xml:space="preserve">PAGE  </w:instrText>
    </w:r>
    <w:r w:rsidRPr="004D3D75">
      <w:rPr>
        <w:rStyle w:val="PageNumber"/>
        <w:noProof/>
        <w:sz w:val="22"/>
        <w:szCs w:val="22"/>
      </w:rPr>
      <w:fldChar w:fldCharType="separate"/>
    </w:r>
    <w:r w:rsidR="002A3DA8">
      <w:rPr>
        <w:rStyle w:val="PageNumber"/>
        <w:noProof/>
        <w:sz w:val="22"/>
        <w:szCs w:val="22"/>
      </w:rPr>
      <w:t>1</w:t>
    </w:r>
    <w:r w:rsidRPr="004D3D75">
      <w:rPr>
        <w:rStyle w:val="PageNumber"/>
        <w:noProof/>
        <w:sz w:val="22"/>
        <w:szCs w:val="22"/>
      </w:rPr>
      <w:fldChar w:fldCharType="end"/>
    </w:r>
  </w:p>
  <w:p w14:paraId="632C629A" w14:textId="3B294FE1" w:rsidR="00611D4F" w:rsidRDefault="00233F6A">
    <w:pPr>
      <w:pStyle w:val="Footer"/>
    </w:pPr>
    <w:r w:rsidRPr="00233F6A">
      <w:rPr>
        <w:sz w:val="16"/>
      </w:rPr>
      <w:t>{C49671:3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E0FDF" w14:textId="44959EA2" w:rsidR="00611D4F" w:rsidRDefault="00233F6A">
    <w:pPr>
      <w:pStyle w:val="Footer"/>
    </w:pPr>
    <w:r w:rsidRPr="00233F6A">
      <w:rPr>
        <w:noProof/>
        <w:sz w:val="16"/>
      </w:rPr>
      <w:t>{C49671:3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B810" w14:textId="77777777" w:rsidR="006E5A96" w:rsidRPr="004D3D75" w:rsidRDefault="006E5A96">
    <w:pPr>
      <w:pStyle w:val="Footer"/>
      <w:framePr w:wrap="around" w:vAnchor="text" w:hAnchor="margin" w:xAlign="center" w:y="1"/>
      <w:rPr>
        <w:rStyle w:val="PageNumber"/>
        <w:noProof/>
        <w:sz w:val="22"/>
        <w:szCs w:val="22"/>
      </w:rPr>
    </w:pPr>
    <w:r w:rsidRPr="004D3D75">
      <w:rPr>
        <w:rStyle w:val="PageNumber"/>
        <w:noProof/>
        <w:sz w:val="22"/>
        <w:szCs w:val="22"/>
      </w:rPr>
      <w:fldChar w:fldCharType="begin"/>
    </w:r>
    <w:r w:rsidRPr="004D3D75">
      <w:rPr>
        <w:rStyle w:val="PageNumber"/>
        <w:noProof/>
        <w:sz w:val="22"/>
        <w:szCs w:val="22"/>
      </w:rPr>
      <w:instrText xml:space="preserve">PAGE  </w:instrText>
    </w:r>
    <w:r w:rsidRPr="004D3D75">
      <w:rPr>
        <w:rStyle w:val="PageNumber"/>
        <w:noProof/>
        <w:sz w:val="22"/>
        <w:szCs w:val="22"/>
      </w:rPr>
      <w:fldChar w:fldCharType="separate"/>
    </w:r>
    <w:r w:rsidR="002A3DA8">
      <w:rPr>
        <w:rStyle w:val="PageNumber"/>
        <w:noProof/>
        <w:sz w:val="22"/>
        <w:szCs w:val="22"/>
      </w:rPr>
      <w:t>i</w:t>
    </w:r>
    <w:r w:rsidRPr="004D3D75">
      <w:rPr>
        <w:rStyle w:val="PageNumber"/>
        <w:noProof/>
        <w:sz w:val="22"/>
        <w:szCs w:val="22"/>
      </w:rPr>
      <w:fldChar w:fldCharType="end"/>
    </w:r>
  </w:p>
  <w:p w14:paraId="5D01F927" w14:textId="12E350AE" w:rsidR="006E5A96" w:rsidRDefault="00233F6A">
    <w:pPr>
      <w:pStyle w:val="Footer"/>
    </w:pPr>
    <w:r w:rsidRPr="00233F6A">
      <w:rPr>
        <w:sz w:val="16"/>
      </w:rPr>
      <w:t>{C49671:3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A756" w14:textId="10532DCD" w:rsidR="006E5A96" w:rsidRDefault="00233F6A">
    <w:pPr>
      <w:pStyle w:val="Footer"/>
    </w:pPr>
    <w:r w:rsidRPr="00233F6A">
      <w:rPr>
        <w:noProof/>
        <w:sz w:val="16"/>
      </w:rPr>
      <w:t>{C49671:3 }</w:t>
    </w:r>
    <w:r w:rsidR="006E5A96">
      <w:rPr>
        <w:noProof/>
        <w:sz w:val="16"/>
      </w:rPr>
      <w:tab/>
    </w:r>
    <w:r w:rsidR="006E5A96" w:rsidRPr="00233F6A">
      <w:rPr>
        <w:noProof/>
        <w:sz w:val="22"/>
        <w:szCs w:val="22"/>
      </w:rPr>
      <w:fldChar w:fldCharType="begin"/>
    </w:r>
    <w:r w:rsidR="006E5A96" w:rsidRPr="00233F6A">
      <w:rPr>
        <w:noProof/>
        <w:sz w:val="22"/>
        <w:szCs w:val="22"/>
      </w:rPr>
      <w:instrText xml:space="preserve"> PAGE   \* MERGEFORMAT </w:instrText>
    </w:r>
    <w:r w:rsidR="006E5A96" w:rsidRPr="00233F6A">
      <w:rPr>
        <w:noProof/>
        <w:sz w:val="22"/>
        <w:szCs w:val="22"/>
      </w:rPr>
      <w:fldChar w:fldCharType="separate"/>
    </w:r>
    <w:r w:rsidR="001E1C54">
      <w:rPr>
        <w:noProof/>
        <w:sz w:val="22"/>
        <w:szCs w:val="22"/>
      </w:rPr>
      <w:t>i</w:t>
    </w:r>
    <w:r w:rsidR="006E5A96" w:rsidRPr="00233F6A">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805FB" w14:textId="77777777" w:rsidR="006E5A96" w:rsidRPr="004D3D75" w:rsidRDefault="006E5A96">
    <w:pPr>
      <w:pStyle w:val="Footer"/>
      <w:framePr w:wrap="around" w:vAnchor="text" w:hAnchor="margin" w:xAlign="center" w:y="1"/>
      <w:rPr>
        <w:rStyle w:val="PageNumber"/>
        <w:noProof/>
        <w:sz w:val="22"/>
        <w:szCs w:val="22"/>
      </w:rPr>
    </w:pPr>
    <w:r w:rsidRPr="004D3D75">
      <w:rPr>
        <w:rStyle w:val="PageNumber"/>
        <w:noProof/>
        <w:sz w:val="22"/>
        <w:szCs w:val="22"/>
      </w:rPr>
      <w:fldChar w:fldCharType="begin"/>
    </w:r>
    <w:r w:rsidRPr="004D3D75">
      <w:rPr>
        <w:rStyle w:val="PageNumber"/>
        <w:noProof/>
        <w:sz w:val="22"/>
        <w:szCs w:val="22"/>
      </w:rPr>
      <w:instrText xml:space="preserve">PAGE  </w:instrText>
    </w:r>
    <w:r w:rsidRPr="004D3D75">
      <w:rPr>
        <w:rStyle w:val="PageNumber"/>
        <w:noProof/>
        <w:sz w:val="22"/>
        <w:szCs w:val="22"/>
      </w:rPr>
      <w:fldChar w:fldCharType="separate"/>
    </w:r>
    <w:r w:rsidR="001E1C54">
      <w:rPr>
        <w:rStyle w:val="PageNumber"/>
        <w:noProof/>
        <w:sz w:val="22"/>
        <w:szCs w:val="22"/>
      </w:rPr>
      <w:t>4</w:t>
    </w:r>
    <w:r w:rsidRPr="004D3D75">
      <w:rPr>
        <w:rStyle w:val="PageNumber"/>
        <w:noProof/>
        <w:sz w:val="22"/>
        <w:szCs w:val="22"/>
      </w:rPr>
      <w:fldChar w:fldCharType="end"/>
    </w:r>
  </w:p>
  <w:p w14:paraId="213A3871" w14:textId="6C6EB771" w:rsidR="006E5A96" w:rsidRDefault="00233F6A">
    <w:pPr>
      <w:pStyle w:val="Footer"/>
    </w:pPr>
    <w:r w:rsidRPr="00233F6A">
      <w:rPr>
        <w:sz w:val="16"/>
      </w:rPr>
      <w:t>{C49671:3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6298A" w14:textId="5005EAF3" w:rsidR="006E5A96" w:rsidRDefault="00233F6A">
    <w:pPr>
      <w:pStyle w:val="Footer"/>
    </w:pPr>
    <w:r w:rsidRPr="00233F6A">
      <w:rPr>
        <w:noProof/>
        <w:sz w:val="16"/>
      </w:rPr>
      <w:t>{C49671:3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1F19" w14:textId="77777777" w:rsidR="00060711" w:rsidRDefault="000607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F6E77" w14:textId="14F7DEC9" w:rsidR="00060711" w:rsidRPr="00060711" w:rsidRDefault="00233F6A">
    <w:pPr>
      <w:pStyle w:val="Footer"/>
    </w:pPr>
    <w:r w:rsidRPr="00233F6A">
      <w:rPr>
        <w:noProof/>
        <w:sz w:val="16"/>
      </w:rPr>
      <w:t>{C49671:3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B0E4A" w14:textId="77777777" w:rsidR="006A011F" w:rsidRDefault="006A011F" w:rsidP="006F10A0">
      <w:pPr>
        <w:spacing w:line="240" w:lineRule="auto"/>
        <w:rPr>
          <w:noProof/>
        </w:rPr>
      </w:pPr>
      <w:r>
        <w:rPr>
          <w:noProof/>
        </w:rPr>
        <w:separator/>
      </w:r>
    </w:p>
  </w:footnote>
  <w:footnote w:type="continuationSeparator" w:id="0">
    <w:p w14:paraId="4C707BBB" w14:textId="77777777" w:rsidR="006A011F" w:rsidRDefault="006A011F" w:rsidP="006F10A0">
      <w:pPr>
        <w:spacing w:line="240" w:lineRule="auto"/>
      </w:pPr>
      <w:r>
        <w:continuationSeparator/>
      </w:r>
    </w:p>
  </w:footnote>
  <w:footnote w:id="1">
    <w:p w14:paraId="34B6AFA6" w14:textId="193DB1E9" w:rsidR="00470921" w:rsidRDefault="00470921">
      <w:pPr>
        <w:pStyle w:val="FootnoteText"/>
      </w:pPr>
      <w:r>
        <w:rPr>
          <w:rStyle w:val="FootnoteReference"/>
        </w:rPr>
        <w:footnoteRef/>
      </w:r>
      <w:r>
        <w:t xml:space="preserve"> </w:t>
      </w:r>
      <w:r>
        <w:rPr>
          <w:color w:val="000000"/>
        </w:rPr>
        <w:t xml:space="preserve">Motion </w:t>
      </w:r>
      <w:r w:rsidR="00D70EB1">
        <w:rPr>
          <w:color w:val="000000"/>
        </w:rPr>
        <w:t xml:space="preserve">by </w:t>
      </w:r>
      <w:r>
        <w:rPr>
          <w:color w:val="000000"/>
        </w:rPr>
        <w:t>Industrial Energy Users-Ohio for an Order Denying the Request for Waiver of the Requirement that Transmission Costs be Recovered Through a Bypassable Rider and Related Orders and Memorandum in Support at 1 (Mar. 11, 2016) (“IEU-Ohio Motion”).</w:t>
      </w:r>
    </w:p>
  </w:footnote>
  <w:footnote w:id="2">
    <w:p w14:paraId="198FE20A" w14:textId="2B8C5237" w:rsidR="00F26699" w:rsidRDefault="00F26699">
      <w:pPr>
        <w:pStyle w:val="FootnoteText"/>
      </w:pPr>
      <w:r>
        <w:rPr>
          <w:rStyle w:val="FootnoteReference"/>
        </w:rPr>
        <w:footnoteRef/>
      </w:r>
      <w:r>
        <w:t xml:space="preserve"> The Dayton Power and Light Company’s Memorandum in Opposition to Industrial Energy Users-Ohio’s Motion for an Order Denying the Request for Waiver of the Requirement that Transmission Costs be Recovered Through </w:t>
      </w:r>
      <w:r w:rsidR="004A29C2">
        <w:t xml:space="preserve">a </w:t>
      </w:r>
      <w:r>
        <w:t xml:space="preserve">Bypassable Rider and Related Orders (Mar. </w:t>
      </w:r>
      <w:r w:rsidR="004A29C2">
        <w:t>28</w:t>
      </w:r>
      <w:r w:rsidR="00961860">
        <w:t>, 2016)</w:t>
      </w:r>
      <w:r>
        <w:t xml:space="preserve"> (“DP&amp;L Memo Contra”).</w:t>
      </w:r>
    </w:p>
  </w:footnote>
  <w:footnote w:id="3">
    <w:p w14:paraId="51759399" w14:textId="42B7C230" w:rsidR="00470921" w:rsidRDefault="00470921">
      <w:pPr>
        <w:pStyle w:val="FootnoteText"/>
      </w:pPr>
      <w:r>
        <w:rPr>
          <w:rStyle w:val="FootnoteReference"/>
        </w:rPr>
        <w:footnoteRef/>
      </w:r>
      <w:r>
        <w:t xml:space="preserve"> DP&amp;L Memo Contra at 4.</w:t>
      </w:r>
    </w:p>
  </w:footnote>
  <w:footnote w:id="4">
    <w:p w14:paraId="4CC2C0FE" w14:textId="02652E19" w:rsidR="00F26699" w:rsidRPr="00F26699" w:rsidRDefault="00F26699">
      <w:pPr>
        <w:pStyle w:val="FootnoteText"/>
      </w:pPr>
      <w:r>
        <w:rPr>
          <w:rStyle w:val="FootnoteReference"/>
        </w:rPr>
        <w:footnoteRef/>
      </w:r>
      <w:r>
        <w:t xml:space="preserve"> </w:t>
      </w:r>
      <w:r>
        <w:rPr>
          <w:i/>
        </w:rPr>
        <w:t>Id.</w:t>
      </w:r>
      <w:r>
        <w:t xml:space="preserve"> at 2-4.</w:t>
      </w:r>
    </w:p>
  </w:footnote>
  <w:footnote w:id="5">
    <w:p w14:paraId="464994D1" w14:textId="223C5B77" w:rsidR="00F26699" w:rsidRPr="00F26699" w:rsidRDefault="00F26699">
      <w:pPr>
        <w:pStyle w:val="FootnoteText"/>
      </w:pPr>
      <w:r>
        <w:rPr>
          <w:rStyle w:val="FootnoteReference"/>
        </w:rPr>
        <w:footnoteRef/>
      </w:r>
      <w:r>
        <w:t xml:space="preserve"> </w:t>
      </w:r>
      <w:r>
        <w:rPr>
          <w:i/>
        </w:rPr>
        <w:t>Id.</w:t>
      </w:r>
      <w:r>
        <w:t xml:space="preserve"> at 4-5.</w:t>
      </w:r>
    </w:p>
  </w:footnote>
  <w:footnote w:id="6">
    <w:p w14:paraId="413FD246" w14:textId="125052A6" w:rsidR="001449DE" w:rsidRDefault="001449DE">
      <w:pPr>
        <w:pStyle w:val="FootnoteText"/>
      </w:pPr>
      <w:r>
        <w:rPr>
          <w:rStyle w:val="FootnoteReference"/>
        </w:rPr>
        <w:footnoteRef/>
      </w:r>
      <w:r>
        <w:t xml:space="preserve"> R.C. 4928.02(B)</w:t>
      </w:r>
      <w:r w:rsidR="00E22666">
        <w:t>, 4928.31 to 4928.40.</w:t>
      </w:r>
    </w:p>
  </w:footnote>
  <w:footnote w:id="7">
    <w:p w14:paraId="24673A4D" w14:textId="77777777" w:rsidR="00D51E5A" w:rsidRDefault="00D51E5A" w:rsidP="00D51E5A">
      <w:pPr>
        <w:pStyle w:val="FootnoteText"/>
      </w:pPr>
      <w:r>
        <w:rPr>
          <w:rStyle w:val="FootnoteReference"/>
          <w:rFonts w:eastAsiaTheme="majorEastAsia"/>
        </w:rPr>
        <w:footnoteRef/>
      </w:r>
      <w:r>
        <w:t xml:space="preserve"> R.C. 4928.05(A)(2).</w:t>
      </w:r>
    </w:p>
  </w:footnote>
  <w:footnote w:id="8">
    <w:p w14:paraId="1F42C4A5" w14:textId="07D40B0C" w:rsidR="00D51E5A" w:rsidRDefault="00D51E5A" w:rsidP="00D51E5A">
      <w:pPr>
        <w:pStyle w:val="FootnoteText"/>
      </w:pPr>
      <w:r>
        <w:rPr>
          <w:rStyle w:val="FootnoteReference"/>
        </w:rPr>
        <w:footnoteRef/>
      </w:r>
      <w:r>
        <w:t xml:space="preserve"> </w:t>
      </w:r>
      <w:r w:rsidR="00A34354">
        <w:t xml:space="preserve">IEU-Ohio </w:t>
      </w:r>
      <w:r>
        <w:t xml:space="preserve">Motion at 3-9; </w:t>
      </w:r>
      <w:r>
        <w:rPr>
          <w:i/>
        </w:rPr>
        <w:t>N.Y. v. FERC</w:t>
      </w:r>
      <w:r>
        <w:t>, 535 U.S. 1 (2002).</w:t>
      </w:r>
    </w:p>
  </w:footnote>
  <w:footnote w:id="9">
    <w:p w14:paraId="5F7EC3A8" w14:textId="634CC5D9" w:rsidR="00D51E5A" w:rsidRDefault="00D51E5A" w:rsidP="00D51E5A">
      <w:pPr>
        <w:pStyle w:val="FootnoteText"/>
      </w:pPr>
      <w:r>
        <w:rPr>
          <w:rStyle w:val="FootnoteReference"/>
        </w:rPr>
        <w:footnoteRef/>
      </w:r>
      <w:r>
        <w:t xml:space="preserve"> </w:t>
      </w:r>
      <w:r w:rsidR="00A34354">
        <w:t xml:space="preserve">IEU-Ohio </w:t>
      </w:r>
      <w:r>
        <w:t>Motion at 4.</w:t>
      </w:r>
    </w:p>
  </w:footnote>
  <w:footnote w:id="10">
    <w:p w14:paraId="1785F83C" w14:textId="38A342EE" w:rsidR="004E058A" w:rsidRDefault="004E058A">
      <w:pPr>
        <w:pStyle w:val="FootnoteText"/>
      </w:pPr>
      <w:r>
        <w:rPr>
          <w:rStyle w:val="FootnoteReference"/>
        </w:rPr>
        <w:footnoteRef/>
      </w:r>
      <w:r>
        <w:t xml:space="preserve"> </w:t>
      </w:r>
      <w:r w:rsidR="00A34354">
        <w:t xml:space="preserve">IEU-Ohio </w:t>
      </w:r>
      <w:r>
        <w:t>Motion at 7-9.</w:t>
      </w:r>
    </w:p>
  </w:footnote>
  <w:footnote w:id="11">
    <w:p w14:paraId="1D24FC72" w14:textId="21B878FB" w:rsidR="00D51E5A" w:rsidRDefault="00D51E5A" w:rsidP="00D51E5A">
      <w:pPr>
        <w:pStyle w:val="FootnoteText"/>
      </w:pPr>
      <w:r>
        <w:rPr>
          <w:rStyle w:val="FootnoteReference"/>
        </w:rPr>
        <w:footnoteRef/>
      </w:r>
      <w:r>
        <w:t xml:space="preserve"> </w:t>
      </w:r>
      <w:r w:rsidR="00A34354">
        <w:t xml:space="preserve">IEU-Ohio </w:t>
      </w:r>
      <w:r>
        <w:t>Motion at 12-13.</w:t>
      </w:r>
    </w:p>
  </w:footnote>
  <w:footnote w:id="12">
    <w:p w14:paraId="2EF550EC" w14:textId="3CF65C91" w:rsidR="00D51E5A" w:rsidRDefault="00D51E5A" w:rsidP="00D51E5A">
      <w:pPr>
        <w:pStyle w:val="FootnoteText"/>
      </w:pPr>
      <w:r>
        <w:rPr>
          <w:rStyle w:val="FootnoteReference"/>
        </w:rPr>
        <w:footnoteRef/>
      </w:r>
      <w:r>
        <w:t xml:space="preserve"> </w:t>
      </w:r>
      <w:r w:rsidR="00A34354">
        <w:t xml:space="preserve">IEU-Ohio </w:t>
      </w:r>
      <w:r>
        <w:t>Motion at 7-9, 13-15.</w:t>
      </w:r>
    </w:p>
  </w:footnote>
  <w:footnote w:id="13">
    <w:p w14:paraId="7E7005D8" w14:textId="72300FD0" w:rsidR="00502994" w:rsidRPr="00997A81" w:rsidRDefault="00502994" w:rsidP="00997A81">
      <w:pPr>
        <w:pStyle w:val="FootnoteText"/>
      </w:pPr>
      <w:r>
        <w:rPr>
          <w:rStyle w:val="FootnoteReference"/>
        </w:rPr>
        <w:footnoteRef/>
      </w:r>
      <w:r>
        <w:t xml:space="preserve"> </w:t>
      </w:r>
      <w:r w:rsidR="00997A81" w:rsidRPr="00832DC1">
        <w:rPr>
          <w:i/>
        </w:rPr>
        <w:t>In the Matter of the Application of Ohio Power Company for Authority to Establish a Standard Service Offer Pursuant to R.C. 4928.143, in the Form of an Electric Security Plan</w:t>
      </w:r>
      <w:r w:rsidR="00997A81">
        <w:t xml:space="preserve">, Case Nos. 13-2385-EL-SSO, </w:t>
      </w:r>
      <w:r w:rsidR="00997A81">
        <w:rPr>
          <w:i/>
        </w:rPr>
        <w:t>et al.</w:t>
      </w:r>
      <w:r w:rsidR="00997A81">
        <w:t>, Second Entry on Rehearing at 31 (May 28, 2015).</w:t>
      </w:r>
    </w:p>
  </w:footnote>
  <w:footnote w:id="14">
    <w:p w14:paraId="142E275B" w14:textId="2AB39E4B" w:rsidR="00D51E5A" w:rsidRDefault="00D51E5A" w:rsidP="00D51E5A">
      <w:pPr>
        <w:pStyle w:val="FootnoteText"/>
      </w:pPr>
      <w:r>
        <w:rPr>
          <w:rStyle w:val="FootnoteReference"/>
        </w:rPr>
        <w:footnoteRef/>
      </w:r>
      <w:r>
        <w:t xml:space="preserve"> </w:t>
      </w:r>
      <w:r>
        <w:rPr>
          <w:i/>
        </w:rPr>
        <w:t>In the Matter of the Application of Ohio Power Company to Increase Certain of its Filed Schedules Fixing Rates and Charges for Electric Service</w:t>
      </w:r>
      <w:r>
        <w:t xml:space="preserve">, Case </w:t>
      </w:r>
      <w:r w:rsidR="003362C5">
        <w:t xml:space="preserve">No. </w:t>
      </w:r>
      <w:r>
        <w:t>85-726-EL-AIR, Opinion and Order at 72 (July 10, 1986).</w:t>
      </w:r>
    </w:p>
  </w:footnote>
  <w:footnote w:id="15">
    <w:p w14:paraId="49A89BAF" w14:textId="77777777" w:rsidR="00D51E5A" w:rsidRDefault="00D51E5A" w:rsidP="00D51E5A">
      <w:pPr>
        <w:pStyle w:val="FootnoteText"/>
      </w:pPr>
      <w:r>
        <w:rPr>
          <w:rStyle w:val="FootnoteReference"/>
        </w:rPr>
        <w:footnoteRef/>
      </w:r>
      <w:r>
        <w:t xml:space="preserve">  </w:t>
      </w:r>
      <w:r>
        <w:rPr>
          <w:i/>
        </w:rPr>
        <w:t>Id.</w:t>
      </w:r>
      <w:r>
        <w:t xml:space="preserve"> at 80.</w:t>
      </w:r>
    </w:p>
  </w:footnote>
  <w:footnote w:id="16">
    <w:p w14:paraId="6469694E" w14:textId="77777777" w:rsidR="00D51E5A" w:rsidRDefault="00D51E5A" w:rsidP="00D51E5A">
      <w:pPr>
        <w:pStyle w:val="FootnoteText"/>
      </w:pPr>
      <w:r>
        <w:rPr>
          <w:vertAlign w:val="superscript"/>
        </w:rPr>
        <w:footnoteRef/>
      </w:r>
      <w:r>
        <w:t xml:space="preserve"> </w:t>
      </w:r>
      <w:r>
        <w:rPr>
          <w:i/>
        </w:rPr>
        <w:t>In the Matter of the Commission Review of the Capacity Charges of Ohio Power Company and Columbus Southern Power Company</w:t>
      </w:r>
      <w:r>
        <w:t>, Case No. 10-2929-EL-UNC, Opinion and Order (July 2, 2012).</w:t>
      </w:r>
    </w:p>
  </w:footnote>
  <w:footnote w:id="17">
    <w:p w14:paraId="1A9F220B" w14:textId="378A68C0" w:rsidR="00D51E5A" w:rsidRPr="00BE4B1B" w:rsidRDefault="00D51E5A" w:rsidP="00D51E5A">
      <w:pPr>
        <w:pStyle w:val="FootnoteText"/>
      </w:pPr>
      <w:r>
        <w:rPr>
          <w:rStyle w:val="FootnoteReference"/>
        </w:rPr>
        <w:footnoteRef/>
      </w:r>
      <w:r>
        <w:t xml:space="preserve"> </w:t>
      </w:r>
      <w:r>
        <w:rPr>
          <w:i/>
        </w:rPr>
        <w:t>Id.</w:t>
      </w:r>
      <w:r w:rsidR="00B27F9D">
        <w:t xml:space="preserve"> at 9-14.</w:t>
      </w:r>
    </w:p>
  </w:footnote>
  <w:footnote w:id="18">
    <w:p w14:paraId="65E9CA53" w14:textId="77777777" w:rsidR="00D51E5A" w:rsidRDefault="00D51E5A" w:rsidP="00D51E5A">
      <w:pPr>
        <w:pStyle w:val="FootnoteText"/>
      </w:pPr>
      <w:r>
        <w:rPr>
          <w:rStyle w:val="FootnoteReference"/>
        </w:rPr>
        <w:footnoteRef/>
      </w:r>
      <w:r>
        <w:t xml:space="preserve"> </w:t>
      </w:r>
      <w:r>
        <w:rPr>
          <w:i/>
        </w:rPr>
        <w:t>Id.</w:t>
      </w:r>
      <w:r>
        <w:t xml:space="preserve"> at 13.</w:t>
      </w:r>
    </w:p>
  </w:footnote>
  <w:footnote w:id="19">
    <w:p w14:paraId="5503B32F" w14:textId="4FD39822" w:rsidR="00D51E5A" w:rsidRDefault="00D51E5A" w:rsidP="00D51E5A">
      <w:pPr>
        <w:pStyle w:val="FootnoteText"/>
      </w:pPr>
      <w:r>
        <w:rPr>
          <w:rStyle w:val="FootnoteReference"/>
        </w:rPr>
        <w:footnoteRef/>
      </w:r>
      <w:r>
        <w:t xml:space="preserve"> </w:t>
      </w:r>
      <w:r w:rsidR="002B6B1C">
        <w:rPr>
          <w:i/>
        </w:rPr>
        <w:t xml:space="preserve">In the Matter of the Application of The Dayton Power and Light Company for Approval of Its Electric Security </w:t>
      </w:r>
      <w:r w:rsidR="002B6B1C" w:rsidRPr="00832DC1">
        <w:t>Plan</w:t>
      </w:r>
      <w:r w:rsidR="002B6B1C">
        <w:t xml:space="preserve">, Case Nos. 12-426-EL-SSO, </w:t>
      </w:r>
      <w:r w:rsidR="002B6B1C" w:rsidRPr="003362C5">
        <w:rPr>
          <w:i/>
        </w:rPr>
        <w:t>et al</w:t>
      </w:r>
      <w:r w:rsidR="002B6B1C">
        <w:t xml:space="preserve">., </w:t>
      </w:r>
      <w:r w:rsidR="004D3D75">
        <w:t xml:space="preserve">The Dayton Power and Light Company’s </w:t>
      </w:r>
      <w:r w:rsidRPr="002B6B1C">
        <w:t>Reply</w:t>
      </w:r>
      <w:r>
        <w:t xml:space="preserve"> Brief at 10 (June 5, 2013).</w:t>
      </w:r>
    </w:p>
  </w:footnote>
  <w:footnote w:id="20">
    <w:p w14:paraId="09FDF489" w14:textId="7FFF4B86" w:rsidR="00D51E5A" w:rsidRDefault="00D51E5A" w:rsidP="00D51E5A">
      <w:pPr>
        <w:pStyle w:val="FootnoteText"/>
      </w:pPr>
      <w:r>
        <w:rPr>
          <w:rStyle w:val="FootnoteReference"/>
        </w:rPr>
        <w:footnoteRef/>
      </w:r>
      <w:r>
        <w:t xml:space="preserve"> </w:t>
      </w:r>
      <w:r w:rsidR="00127068">
        <w:t xml:space="preserve">Direct </w:t>
      </w:r>
      <w:r>
        <w:t xml:space="preserve">Testimony of </w:t>
      </w:r>
      <w:r w:rsidR="00127068">
        <w:t xml:space="preserve">Roger A. </w:t>
      </w:r>
      <w:r>
        <w:t>Morin at Ex. RAM-2</w:t>
      </w:r>
      <w:r w:rsidR="00127068">
        <w:t>,</w:t>
      </w:r>
      <w:r>
        <w:t xml:space="preserve"> page</w:t>
      </w:r>
      <w:r w:rsidR="00DD4930">
        <w:t>s</w:t>
      </w:r>
      <w:r>
        <w:t xml:space="preserve"> 11-13 (summarizing the foundation of the constitutional takings analysis set forth in the United States Supreme Court’s </w:t>
      </w:r>
      <w:r>
        <w:rPr>
          <w:i/>
        </w:rPr>
        <w:t>Hope</w:t>
      </w:r>
      <w:r>
        <w:t xml:space="preserve"> and </w:t>
      </w:r>
      <w:r>
        <w:rPr>
          <w:i/>
        </w:rPr>
        <w:t xml:space="preserve">Bluefield </w:t>
      </w:r>
      <w:r>
        <w:t>decisions and urging the Commission to take into account this constitutional principle in authorizing DP&amp;L’s return on equity)</w:t>
      </w:r>
      <w:r w:rsidR="00E063BC">
        <w:t>.</w:t>
      </w:r>
    </w:p>
  </w:footnote>
  <w:footnote w:id="21">
    <w:p w14:paraId="6E9AD2CE" w14:textId="317B16CB" w:rsidR="00D51E5A" w:rsidRDefault="00D51E5A" w:rsidP="00D51E5A">
      <w:pPr>
        <w:pStyle w:val="FootnoteText"/>
        <w:rPr>
          <w:i/>
        </w:rPr>
      </w:pPr>
      <w:r>
        <w:rPr>
          <w:rStyle w:val="FootnoteReference"/>
        </w:rPr>
        <w:footnoteRef/>
      </w:r>
      <w:r>
        <w:t xml:space="preserve"> </w:t>
      </w:r>
      <w:r>
        <w:rPr>
          <w:i/>
        </w:rPr>
        <w:t>Consumers' Counsel</w:t>
      </w:r>
      <w:r>
        <w:t>, 70 Ohio St.3d at 248.</w:t>
      </w:r>
    </w:p>
  </w:footnote>
  <w:footnote w:id="22">
    <w:p w14:paraId="44961B07" w14:textId="01C2A280" w:rsidR="00D51E5A" w:rsidRDefault="00D51E5A" w:rsidP="00D51E5A">
      <w:pPr>
        <w:pStyle w:val="FootnoteText"/>
      </w:pPr>
      <w:r>
        <w:rPr>
          <w:rStyle w:val="FootnoteReference"/>
        </w:rPr>
        <w:footnoteRef/>
      </w:r>
      <w:r>
        <w:t xml:space="preserve"> </w:t>
      </w:r>
      <w:r w:rsidR="009F266E">
        <w:rPr>
          <w:i/>
        </w:rPr>
        <w:t>Consumers’ Counsel</w:t>
      </w:r>
      <w:r w:rsidR="00DF4B0A">
        <w:t>,</w:t>
      </w:r>
      <w:r w:rsidR="009F266E">
        <w:rPr>
          <w:i/>
        </w:rPr>
        <w:t xml:space="preserve"> </w:t>
      </w:r>
      <w:r w:rsidR="009F266E">
        <w:t xml:space="preserve">2006-Ohio-5789 </w:t>
      </w:r>
      <w:r w:rsidR="00C66BEF">
        <w:t xml:space="preserve">at </w:t>
      </w:r>
      <w:r w:rsidR="009F266E">
        <w:t>¶ 75</w:t>
      </w:r>
      <w:r w:rsidR="00DF4B0A">
        <w:t>.</w:t>
      </w:r>
    </w:p>
  </w:footnote>
  <w:footnote w:id="23">
    <w:p w14:paraId="4D97AE7D" w14:textId="77777777" w:rsidR="00D51E5A" w:rsidRDefault="00D51E5A" w:rsidP="00D51E5A">
      <w:pPr>
        <w:pStyle w:val="FootnoteText"/>
        <w:rPr>
          <w:i/>
        </w:rPr>
      </w:pPr>
      <w:r>
        <w:rPr>
          <w:rStyle w:val="FootnoteReference"/>
        </w:rPr>
        <w:footnoteRef/>
      </w:r>
      <w:r>
        <w:t xml:space="preserve"> </w:t>
      </w:r>
      <w:r>
        <w:rPr>
          <w:i/>
        </w:rPr>
        <w:t>Id.</w:t>
      </w:r>
    </w:p>
  </w:footnote>
  <w:footnote w:id="24">
    <w:p w14:paraId="4F0DCE2C" w14:textId="45811DF4" w:rsidR="00D51E5A" w:rsidRDefault="00D51E5A" w:rsidP="00D51E5A">
      <w:pPr>
        <w:pStyle w:val="FootnoteText"/>
        <w:rPr>
          <w:rStyle w:val="ssrfcpassagedeactivated"/>
        </w:rPr>
      </w:pPr>
      <w:r>
        <w:rPr>
          <w:rStyle w:val="FootnoteReference"/>
        </w:rPr>
        <w:footnoteRef/>
      </w:r>
      <w:r>
        <w:t xml:space="preserve"> </w:t>
      </w:r>
      <w:r>
        <w:rPr>
          <w:i/>
        </w:rPr>
        <w:t>In re Ohio Power Co.</w:t>
      </w:r>
      <w:r>
        <w:t>, 144 Ohio St.3d 1, 2015-Ohio-2056, 40 N.E.3d 1060, 1065, ¶ 17 (“</w:t>
      </w:r>
      <w:r>
        <w:rPr>
          <w:rStyle w:val="ssrfcpassagedeactivated"/>
        </w:rPr>
        <w:t xml:space="preserve">if the </w:t>
      </w:r>
      <w:r>
        <w:rPr>
          <w:rStyle w:val="sssh"/>
          <w:bCs/>
        </w:rPr>
        <w:t>commission</w:t>
      </w:r>
      <w:r>
        <w:rPr>
          <w:rStyle w:val="ssrfcpassagedeactivated"/>
        </w:rPr>
        <w:t xml:space="preserve"> does see fit to depart from a prior order, the commission </w:t>
      </w:r>
      <w:r w:rsidR="00C66BEF">
        <w:rPr>
          <w:rStyle w:val="ssrfcpassagedeactivated"/>
        </w:rPr>
        <w:t>‘</w:t>
      </w:r>
      <w:r>
        <w:rPr>
          <w:rStyle w:val="ssrfcpassagedeactivated"/>
        </w:rPr>
        <w:t>must explain why,</w:t>
      </w:r>
      <w:r w:rsidR="00C66BEF">
        <w:rPr>
          <w:rStyle w:val="ssrfcpassagedeactivated"/>
        </w:rPr>
        <w:t>’</w:t>
      </w:r>
      <w:r>
        <w:rPr>
          <w:rStyle w:val="ssrfcpassagedeactivated"/>
        </w:rPr>
        <w:t xml:space="preserve"> and </w:t>
      </w:r>
      <w:r w:rsidR="00C66BEF">
        <w:rPr>
          <w:rStyle w:val="ssrfcpassagedeactivated"/>
        </w:rPr>
        <w:t>‘</w:t>
      </w:r>
      <w:r>
        <w:rPr>
          <w:rStyle w:val="ssrfcpassagedeactivated"/>
        </w:rPr>
        <w:t>the new course also must be substantively reasonable and lawful.</w:t>
      </w:r>
      <w:r w:rsidR="00C66BEF">
        <w:rPr>
          <w:rStyle w:val="ssrfcpassagedeactivated"/>
        </w:rPr>
        <w:t>’</w:t>
      </w:r>
      <w:r>
        <w:rPr>
          <w:rStyle w:val="ssrfcpassagedeactivated"/>
        </w:rPr>
        <w:t xml:space="preserve">"); </w:t>
      </w:r>
      <w:r>
        <w:rPr>
          <w:rStyle w:val="ssrfcpassagedeactivated"/>
          <w:i/>
        </w:rPr>
        <w:t>In re Application of Columbus S. Power Co.</w:t>
      </w:r>
      <w:r>
        <w:rPr>
          <w:rStyle w:val="ssrfcpassagedeactivated"/>
        </w:rPr>
        <w:t>, 128 Ohio St.3d 512, 2011-Ohio-1788, 947 N.E.2d 655, ¶ 52.</w:t>
      </w:r>
    </w:p>
  </w:footnote>
  <w:footnote w:id="25">
    <w:p w14:paraId="61C89F7D" w14:textId="12420229" w:rsidR="00CE7CD7" w:rsidRDefault="00CE7CD7">
      <w:pPr>
        <w:pStyle w:val="FootnoteText"/>
      </w:pPr>
      <w:r>
        <w:rPr>
          <w:rStyle w:val="FootnoteReference"/>
        </w:rPr>
        <w:footnoteRef/>
      </w:r>
      <w:r>
        <w:t xml:space="preserve"> DP&amp;L Memo Contra at 4-5.</w:t>
      </w:r>
    </w:p>
  </w:footnote>
  <w:footnote w:id="26">
    <w:p w14:paraId="5FAB42E0" w14:textId="51F703D3" w:rsidR="00D51E5A" w:rsidRDefault="00D51E5A" w:rsidP="00D51E5A">
      <w:pPr>
        <w:pStyle w:val="FootnoteText"/>
      </w:pPr>
      <w:r>
        <w:rPr>
          <w:rStyle w:val="FootnoteReference"/>
        </w:rPr>
        <w:footnoteRef/>
      </w:r>
      <w:r>
        <w:t xml:space="preserve"> </w:t>
      </w:r>
      <w:r>
        <w:rPr>
          <w:i/>
        </w:rPr>
        <w:t>Cleveland Mobile Radio Sales, Inc. v. Verizon Wireless</w:t>
      </w:r>
      <w:r>
        <w:t>, 113 Ohio St.3d 394, 399, 200</w:t>
      </w:r>
      <w:r w:rsidR="00A3018E">
        <w:t>7-Ohio-2203,</w:t>
      </w:r>
      <w:r>
        <w:t xml:space="preserve"> 865 N.E.2d 1275, ¶ 17-18 (2007) (“R.C. 4905.61 … like other sections in the </w:t>
      </w:r>
      <w:r>
        <w:rPr>
          <w:rStyle w:val="sssh"/>
          <w:bCs/>
        </w:rPr>
        <w:t>statutes</w:t>
      </w:r>
      <w:r>
        <w:t xml:space="preserve"> that constitute R.C. Title 49, [] compels public utilities to </w:t>
      </w:r>
      <w:r>
        <w:rPr>
          <w:rStyle w:val="sssh"/>
          <w:bCs/>
        </w:rPr>
        <w:t>comply</w:t>
      </w:r>
      <w:r>
        <w:t xml:space="preserve"> with the regulatory rubric through the imposition of penalties or forfeitures,” and “</w:t>
      </w:r>
      <w:r>
        <w:rPr>
          <w:rStyle w:val="ssleftalign"/>
        </w:rPr>
        <w:t xml:space="preserve">thus furthers the legislature's goal of ensuring compliance with the </w:t>
      </w:r>
      <w:r>
        <w:rPr>
          <w:rStyle w:val="sssh"/>
        </w:rPr>
        <w:t>statutes</w:t>
      </w:r>
      <w:r>
        <w:rPr>
          <w:rStyle w:val="ssleftalign"/>
        </w:rPr>
        <w:t xml:space="preserve"> governing public utilities and with commission orders.”</w:t>
      </w:r>
      <w:r>
        <w:t>); R.C. 4928.16.</w:t>
      </w:r>
    </w:p>
  </w:footnote>
  <w:footnote w:id="27">
    <w:p w14:paraId="483183DC" w14:textId="77777777" w:rsidR="00D51E5A" w:rsidRDefault="00D51E5A" w:rsidP="00D51E5A">
      <w:pPr>
        <w:pStyle w:val="FootnoteText"/>
      </w:pPr>
      <w:r>
        <w:rPr>
          <w:rStyle w:val="FootnoteReference"/>
        </w:rPr>
        <w:footnoteRef/>
      </w:r>
      <w:r>
        <w:t xml:space="preserve"> Rule 4901:1-36-04(B), O.A.C.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FB62" w14:textId="77777777" w:rsidR="006E5A96" w:rsidRDefault="006E5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D2799" w14:textId="77777777" w:rsidR="006E5A96" w:rsidRDefault="006E5A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AF295" w14:textId="77777777" w:rsidR="006E5A96" w:rsidRDefault="006E5A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036A3" w14:textId="77777777" w:rsidR="006E5A96" w:rsidRDefault="006E5A9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59B4" w14:textId="77777777" w:rsidR="00060711" w:rsidRDefault="0006071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42A3" w14:textId="77777777" w:rsidR="00060711" w:rsidRDefault="0006071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8F9B3" w14:textId="77777777" w:rsidR="00060711" w:rsidRDefault="000607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DB092" w14:textId="77777777" w:rsidR="006E5A96" w:rsidRDefault="006E5A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6A409" w14:textId="77777777" w:rsidR="006E5A96" w:rsidRDefault="006E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C26CC"/>
    <w:multiLevelType w:val="multilevel"/>
    <w:tmpl w:val="8ADEFB20"/>
    <w:name w:val="IEU Basic-PUCO-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E4"/>
    <w:rsid w:val="00006D9F"/>
    <w:rsid w:val="000254B3"/>
    <w:rsid w:val="00030B82"/>
    <w:rsid w:val="000365A8"/>
    <w:rsid w:val="00060711"/>
    <w:rsid w:val="00061CE9"/>
    <w:rsid w:val="00064517"/>
    <w:rsid w:val="00064BF5"/>
    <w:rsid w:val="00074696"/>
    <w:rsid w:val="00082EB3"/>
    <w:rsid w:val="00084EFC"/>
    <w:rsid w:val="00097D25"/>
    <w:rsid w:val="000A0089"/>
    <w:rsid w:val="000B21F3"/>
    <w:rsid w:val="000B481A"/>
    <w:rsid w:val="000C3C7E"/>
    <w:rsid w:val="000E4DE9"/>
    <w:rsid w:val="000E567E"/>
    <w:rsid w:val="000E63A3"/>
    <w:rsid w:val="000F5FAE"/>
    <w:rsid w:val="00115548"/>
    <w:rsid w:val="0012111A"/>
    <w:rsid w:val="00121B0D"/>
    <w:rsid w:val="00127068"/>
    <w:rsid w:val="001326E2"/>
    <w:rsid w:val="0014120D"/>
    <w:rsid w:val="001449DE"/>
    <w:rsid w:val="00145FCD"/>
    <w:rsid w:val="00151FC1"/>
    <w:rsid w:val="00155DB5"/>
    <w:rsid w:val="00157460"/>
    <w:rsid w:val="00165491"/>
    <w:rsid w:val="00174065"/>
    <w:rsid w:val="00177AF0"/>
    <w:rsid w:val="001B223D"/>
    <w:rsid w:val="001C31BB"/>
    <w:rsid w:val="001E1BB0"/>
    <w:rsid w:val="001E1C54"/>
    <w:rsid w:val="001F1DC4"/>
    <w:rsid w:val="002071A3"/>
    <w:rsid w:val="00217E3F"/>
    <w:rsid w:val="00223230"/>
    <w:rsid w:val="00225864"/>
    <w:rsid w:val="00233F6A"/>
    <w:rsid w:val="00240927"/>
    <w:rsid w:val="002467B9"/>
    <w:rsid w:val="002552FB"/>
    <w:rsid w:val="002649E5"/>
    <w:rsid w:val="00274EDC"/>
    <w:rsid w:val="002A3DA8"/>
    <w:rsid w:val="002A50CF"/>
    <w:rsid w:val="002B6B1C"/>
    <w:rsid w:val="002B7609"/>
    <w:rsid w:val="002D0E82"/>
    <w:rsid w:val="00304261"/>
    <w:rsid w:val="00322635"/>
    <w:rsid w:val="00326213"/>
    <w:rsid w:val="00331488"/>
    <w:rsid w:val="003362C5"/>
    <w:rsid w:val="00357767"/>
    <w:rsid w:val="00366343"/>
    <w:rsid w:val="003707BB"/>
    <w:rsid w:val="0037494D"/>
    <w:rsid w:val="00380996"/>
    <w:rsid w:val="00387779"/>
    <w:rsid w:val="003B1872"/>
    <w:rsid w:val="003B2B1E"/>
    <w:rsid w:val="003B49B0"/>
    <w:rsid w:val="003B52D0"/>
    <w:rsid w:val="003B5DFD"/>
    <w:rsid w:val="003C276A"/>
    <w:rsid w:val="003E0E01"/>
    <w:rsid w:val="004117E9"/>
    <w:rsid w:val="004238F1"/>
    <w:rsid w:val="004243E3"/>
    <w:rsid w:val="00437C8A"/>
    <w:rsid w:val="0044270D"/>
    <w:rsid w:val="00443ACD"/>
    <w:rsid w:val="00446DB2"/>
    <w:rsid w:val="00460103"/>
    <w:rsid w:val="0046251A"/>
    <w:rsid w:val="00470921"/>
    <w:rsid w:val="00480DAD"/>
    <w:rsid w:val="004849E4"/>
    <w:rsid w:val="00493740"/>
    <w:rsid w:val="004A29C2"/>
    <w:rsid w:val="004A7477"/>
    <w:rsid w:val="004B0DCE"/>
    <w:rsid w:val="004D057A"/>
    <w:rsid w:val="004D2CCD"/>
    <w:rsid w:val="004D3D75"/>
    <w:rsid w:val="004D7A15"/>
    <w:rsid w:val="004E058A"/>
    <w:rsid w:val="004E42C4"/>
    <w:rsid w:val="004F0C41"/>
    <w:rsid w:val="004F33B0"/>
    <w:rsid w:val="004F41CA"/>
    <w:rsid w:val="00501014"/>
    <w:rsid w:val="00502994"/>
    <w:rsid w:val="005126A3"/>
    <w:rsid w:val="0051769E"/>
    <w:rsid w:val="00520EC6"/>
    <w:rsid w:val="00534963"/>
    <w:rsid w:val="00546BEE"/>
    <w:rsid w:val="005664CA"/>
    <w:rsid w:val="00570806"/>
    <w:rsid w:val="00574F4E"/>
    <w:rsid w:val="0058331B"/>
    <w:rsid w:val="005841CA"/>
    <w:rsid w:val="005852DC"/>
    <w:rsid w:val="005A0E6D"/>
    <w:rsid w:val="005A29F8"/>
    <w:rsid w:val="005B0C87"/>
    <w:rsid w:val="005D09C6"/>
    <w:rsid w:val="005E7270"/>
    <w:rsid w:val="005E7CE7"/>
    <w:rsid w:val="005F3793"/>
    <w:rsid w:val="006064D0"/>
    <w:rsid w:val="00611D4F"/>
    <w:rsid w:val="00622A69"/>
    <w:rsid w:val="00624FA1"/>
    <w:rsid w:val="00630428"/>
    <w:rsid w:val="00630AFE"/>
    <w:rsid w:val="006426A1"/>
    <w:rsid w:val="00650FF5"/>
    <w:rsid w:val="006536B3"/>
    <w:rsid w:val="006777CE"/>
    <w:rsid w:val="00682634"/>
    <w:rsid w:val="006830E9"/>
    <w:rsid w:val="006A011F"/>
    <w:rsid w:val="006B6CBA"/>
    <w:rsid w:val="006C58C4"/>
    <w:rsid w:val="006E5A96"/>
    <w:rsid w:val="006F10A0"/>
    <w:rsid w:val="006F2DC5"/>
    <w:rsid w:val="006F57F3"/>
    <w:rsid w:val="00700566"/>
    <w:rsid w:val="00712804"/>
    <w:rsid w:val="007158FC"/>
    <w:rsid w:val="00716A29"/>
    <w:rsid w:val="00720FCC"/>
    <w:rsid w:val="00722914"/>
    <w:rsid w:val="00724A5D"/>
    <w:rsid w:val="00726555"/>
    <w:rsid w:val="007279FB"/>
    <w:rsid w:val="0074164C"/>
    <w:rsid w:val="00743D08"/>
    <w:rsid w:val="00744683"/>
    <w:rsid w:val="007475E9"/>
    <w:rsid w:val="00756C66"/>
    <w:rsid w:val="00765237"/>
    <w:rsid w:val="00766005"/>
    <w:rsid w:val="00776ADB"/>
    <w:rsid w:val="007773ED"/>
    <w:rsid w:val="007A5C09"/>
    <w:rsid w:val="007C378A"/>
    <w:rsid w:val="007E0D96"/>
    <w:rsid w:val="007E15A9"/>
    <w:rsid w:val="00801E7E"/>
    <w:rsid w:val="008323DB"/>
    <w:rsid w:val="00832DC1"/>
    <w:rsid w:val="00834B9A"/>
    <w:rsid w:val="00835C46"/>
    <w:rsid w:val="00840FE8"/>
    <w:rsid w:val="00845209"/>
    <w:rsid w:val="00865EE2"/>
    <w:rsid w:val="00867763"/>
    <w:rsid w:val="008703C8"/>
    <w:rsid w:val="008735CE"/>
    <w:rsid w:val="00873A8D"/>
    <w:rsid w:val="008A2FC6"/>
    <w:rsid w:val="008A501D"/>
    <w:rsid w:val="008B4E72"/>
    <w:rsid w:val="008D1AC6"/>
    <w:rsid w:val="008D270A"/>
    <w:rsid w:val="008E3BF4"/>
    <w:rsid w:val="00903F89"/>
    <w:rsid w:val="00916DFA"/>
    <w:rsid w:val="0092228C"/>
    <w:rsid w:val="0092260D"/>
    <w:rsid w:val="0092339E"/>
    <w:rsid w:val="00940D6E"/>
    <w:rsid w:val="009417C1"/>
    <w:rsid w:val="00945C27"/>
    <w:rsid w:val="00946A54"/>
    <w:rsid w:val="00961860"/>
    <w:rsid w:val="00966C44"/>
    <w:rsid w:val="00970C4F"/>
    <w:rsid w:val="0098475B"/>
    <w:rsid w:val="00997A81"/>
    <w:rsid w:val="009A1507"/>
    <w:rsid w:val="009A32FA"/>
    <w:rsid w:val="009A5380"/>
    <w:rsid w:val="009A6E54"/>
    <w:rsid w:val="009A6EC6"/>
    <w:rsid w:val="009C18D4"/>
    <w:rsid w:val="009C5334"/>
    <w:rsid w:val="009D54A4"/>
    <w:rsid w:val="009D6784"/>
    <w:rsid w:val="009E0947"/>
    <w:rsid w:val="009E7ADF"/>
    <w:rsid w:val="009F266E"/>
    <w:rsid w:val="009F7137"/>
    <w:rsid w:val="00A034FB"/>
    <w:rsid w:val="00A12400"/>
    <w:rsid w:val="00A14067"/>
    <w:rsid w:val="00A211D4"/>
    <w:rsid w:val="00A3018E"/>
    <w:rsid w:val="00A34354"/>
    <w:rsid w:val="00A40D9D"/>
    <w:rsid w:val="00A542AD"/>
    <w:rsid w:val="00A61E18"/>
    <w:rsid w:val="00A670B4"/>
    <w:rsid w:val="00A72D68"/>
    <w:rsid w:val="00A80696"/>
    <w:rsid w:val="00A806BA"/>
    <w:rsid w:val="00A8158B"/>
    <w:rsid w:val="00A83094"/>
    <w:rsid w:val="00A84B74"/>
    <w:rsid w:val="00AC3922"/>
    <w:rsid w:val="00AC50CA"/>
    <w:rsid w:val="00AF0C63"/>
    <w:rsid w:val="00B23622"/>
    <w:rsid w:val="00B23FE0"/>
    <w:rsid w:val="00B27F9D"/>
    <w:rsid w:val="00B3537F"/>
    <w:rsid w:val="00B373D2"/>
    <w:rsid w:val="00B57A2C"/>
    <w:rsid w:val="00B82144"/>
    <w:rsid w:val="00B94F1E"/>
    <w:rsid w:val="00BB2DA4"/>
    <w:rsid w:val="00BB5F32"/>
    <w:rsid w:val="00BC0B48"/>
    <w:rsid w:val="00BC70D6"/>
    <w:rsid w:val="00BE45E4"/>
    <w:rsid w:val="00BE4B1B"/>
    <w:rsid w:val="00C0405A"/>
    <w:rsid w:val="00C040C2"/>
    <w:rsid w:val="00C13F84"/>
    <w:rsid w:val="00C26B39"/>
    <w:rsid w:val="00C32E3F"/>
    <w:rsid w:val="00C37C17"/>
    <w:rsid w:val="00C43289"/>
    <w:rsid w:val="00C44FA3"/>
    <w:rsid w:val="00C57E70"/>
    <w:rsid w:val="00C66BEF"/>
    <w:rsid w:val="00C92A8D"/>
    <w:rsid w:val="00CA78BB"/>
    <w:rsid w:val="00CC2575"/>
    <w:rsid w:val="00CC3FDC"/>
    <w:rsid w:val="00CC522A"/>
    <w:rsid w:val="00CC58B4"/>
    <w:rsid w:val="00CD6F69"/>
    <w:rsid w:val="00CE325C"/>
    <w:rsid w:val="00CE3FC1"/>
    <w:rsid w:val="00CE7CD7"/>
    <w:rsid w:val="00D03BE0"/>
    <w:rsid w:val="00D10871"/>
    <w:rsid w:val="00D123DB"/>
    <w:rsid w:val="00D143B7"/>
    <w:rsid w:val="00D24983"/>
    <w:rsid w:val="00D34A91"/>
    <w:rsid w:val="00D46AC1"/>
    <w:rsid w:val="00D51E5A"/>
    <w:rsid w:val="00D5386F"/>
    <w:rsid w:val="00D667B5"/>
    <w:rsid w:val="00D6761B"/>
    <w:rsid w:val="00D70EB1"/>
    <w:rsid w:val="00D813D9"/>
    <w:rsid w:val="00D90227"/>
    <w:rsid w:val="00D92728"/>
    <w:rsid w:val="00D955FB"/>
    <w:rsid w:val="00DA33FE"/>
    <w:rsid w:val="00DD4930"/>
    <w:rsid w:val="00DE14A3"/>
    <w:rsid w:val="00DE55F7"/>
    <w:rsid w:val="00DF1D94"/>
    <w:rsid w:val="00DF4B0A"/>
    <w:rsid w:val="00DF54E1"/>
    <w:rsid w:val="00DF5CBB"/>
    <w:rsid w:val="00E063BC"/>
    <w:rsid w:val="00E2137C"/>
    <w:rsid w:val="00E22666"/>
    <w:rsid w:val="00E4356C"/>
    <w:rsid w:val="00E538A0"/>
    <w:rsid w:val="00E600E7"/>
    <w:rsid w:val="00E74CEB"/>
    <w:rsid w:val="00EA5369"/>
    <w:rsid w:val="00EB10FA"/>
    <w:rsid w:val="00EC5228"/>
    <w:rsid w:val="00EC67B9"/>
    <w:rsid w:val="00ED768C"/>
    <w:rsid w:val="00ED7AAA"/>
    <w:rsid w:val="00EE09FD"/>
    <w:rsid w:val="00F0349C"/>
    <w:rsid w:val="00F10B1E"/>
    <w:rsid w:val="00F26699"/>
    <w:rsid w:val="00F3063B"/>
    <w:rsid w:val="00F32283"/>
    <w:rsid w:val="00F363AE"/>
    <w:rsid w:val="00F37F23"/>
    <w:rsid w:val="00F41BAB"/>
    <w:rsid w:val="00F45EE6"/>
    <w:rsid w:val="00F665E2"/>
    <w:rsid w:val="00F73A4C"/>
    <w:rsid w:val="00F75FDB"/>
    <w:rsid w:val="00F90A41"/>
    <w:rsid w:val="00F9324F"/>
    <w:rsid w:val="00FA03B2"/>
    <w:rsid w:val="00FA0E7D"/>
    <w:rsid w:val="00FA2EBB"/>
    <w:rsid w:val="00FF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AF31A"/>
  <w15:chartTrackingRefBased/>
  <w15:docId w15:val="{AFA00981-438F-4F8E-AC1C-C29A4624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5A"/>
    <w:pPr>
      <w:spacing w:line="480" w:lineRule="auto"/>
    </w:pPr>
  </w:style>
  <w:style w:type="paragraph" w:styleId="Heading1">
    <w:name w:val="heading 1"/>
    <w:basedOn w:val="Normal"/>
    <w:next w:val="Normal"/>
    <w:link w:val="Heading1Char"/>
    <w:uiPriority w:val="9"/>
    <w:qFormat/>
    <w:rsid w:val="00AC3922"/>
    <w:pPr>
      <w:numPr>
        <w:numId w:val="1"/>
      </w:numPr>
      <w:spacing w:before="240" w:after="240" w:line="240" w:lineRule="auto"/>
      <w:outlineLvl w:val="0"/>
    </w:pPr>
    <w:rPr>
      <w:rFonts w:eastAsiaTheme="majorEastAsia"/>
      <w:b/>
      <w:caps/>
      <w:szCs w:val="32"/>
      <w:u w:val="single"/>
    </w:rPr>
  </w:style>
  <w:style w:type="paragraph" w:styleId="Heading2">
    <w:name w:val="heading 2"/>
    <w:basedOn w:val="Normal"/>
    <w:next w:val="Normal"/>
    <w:link w:val="Heading2Char"/>
    <w:uiPriority w:val="9"/>
    <w:unhideWhenUsed/>
    <w:qFormat/>
    <w:rsid w:val="00AC3922"/>
    <w:pPr>
      <w:numPr>
        <w:ilvl w:val="1"/>
        <w:numId w:val="1"/>
      </w:numPr>
      <w:tabs>
        <w:tab w:val="left" w:pos="1440"/>
      </w:tabs>
      <w:spacing w:after="240" w:line="240" w:lineRule="auto"/>
      <w:outlineLvl w:val="1"/>
    </w:pPr>
    <w:rPr>
      <w:rFonts w:eastAsiaTheme="majorEastAsia"/>
      <w:b/>
      <w:szCs w:val="26"/>
    </w:rPr>
  </w:style>
  <w:style w:type="paragraph" w:styleId="Heading3">
    <w:name w:val="heading 3"/>
    <w:basedOn w:val="Normal"/>
    <w:next w:val="Normal"/>
    <w:link w:val="Heading3Char"/>
    <w:uiPriority w:val="9"/>
    <w:semiHidden/>
    <w:unhideWhenUsed/>
    <w:qFormat/>
    <w:rsid w:val="00AC3922"/>
    <w:pPr>
      <w:numPr>
        <w:ilvl w:val="2"/>
        <w:numId w:val="1"/>
      </w:numPr>
      <w:tabs>
        <w:tab w:val="left" w:pos="2160"/>
      </w:tabs>
      <w:spacing w:after="240" w:line="240" w:lineRule="auto"/>
      <w:outlineLvl w:val="2"/>
    </w:pPr>
    <w:rPr>
      <w:rFonts w:eastAsiaTheme="majorEastAsia"/>
      <w:b/>
    </w:rPr>
  </w:style>
  <w:style w:type="paragraph" w:styleId="Heading4">
    <w:name w:val="heading 4"/>
    <w:basedOn w:val="Normal"/>
    <w:next w:val="Normal"/>
    <w:link w:val="Heading4Char"/>
    <w:uiPriority w:val="9"/>
    <w:semiHidden/>
    <w:unhideWhenUsed/>
    <w:qFormat/>
    <w:rsid w:val="00AC3922"/>
    <w:pPr>
      <w:numPr>
        <w:ilvl w:val="3"/>
        <w:numId w:val="1"/>
      </w:numPr>
      <w:tabs>
        <w:tab w:val="left" w:pos="2880"/>
      </w:tabs>
      <w:spacing w:after="240" w:line="240" w:lineRule="auto"/>
      <w:outlineLvl w:val="3"/>
    </w:pPr>
    <w:rPr>
      <w:rFonts w:eastAsiaTheme="majorEastAsia"/>
      <w:b/>
      <w:i/>
      <w:iCs/>
    </w:rPr>
  </w:style>
  <w:style w:type="paragraph" w:styleId="Heading5">
    <w:name w:val="heading 5"/>
    <w:basedOn w:val="Normal"/>
    <w:next w:val="Normal"/>
    <w:link w:val="Heading5Char"/>
    <w:uiPriority w:val="9"/>
    <w:semiHidden/>
    <w:unhideWhenUsed/>
    <w:qFormat/>
    <w:rsid w:val="00AC3922"/>
    <w:pPr>
      <w:numPr>
        <w:ilvl w:val="4"/>
        <w:numId w:val="1"/>
      </w:numPr>
      <w:tabs>
        <w:tab w:val="left" w:pos="3600"/>
      </w:tabs>
      <w:spacing w:after="240" w:line="240" w:lineRule="auto"/>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AC3922"/>
    <w:pPr>
      <w:numPr>
        <w:ilvl w:val="5"/>
        <w:numId w:val="1"/>
      </w:numPr>
      <w:tabs>
        <w:tab w:val="left" w:pos="4320"/>
      </w:tabs>
      <w:spacing w:after="240" w:line="240" w:lineRule="auto"/>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AC3922"/>
    <w:pPr>
      <w:numPr>
        <w:ilvl w:val="6"/>
        <w:numId w:val="1"/>
      </w:numPr>
      <w:tabs>
        <w:tab w:val="left" w:pos="5040"/>
      </w:tabs>
      <w:spacing w:after="240" w:line="240" w:lineRule="auto"/>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AC3922"/>
    <w:pPr>
      <w:numPr>
        <w:ilvl w:val="7"/>
        <w:numId w:val="1"/>
      </w:numPr>
      <w:tabs>
        <w:tab w:val="left" w:pos="5760"/>
      </w:tabs>
      <w:spacing w:after="240" w:line="240" w:lineRule="auto"/>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AC3922"/>
    <w:pPr>
      <w:numPr>
        <w:ilvl w:val="8"/>
        <w:numId w:val="1"/>
      </w:numPr>
      <w:tabs>
        <w:tab w:val="left" w:pos="6480"/>
      </w:tabs>
      <w:spacing w:after="240" w:line="240" w:lineRule="auto"/>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922"/>
    <w:rPr>
      <w:rFonts w:eastAsiaTheme="majorEastAsia"/>
      <w:b/>
      <w:caps/>
      <w:szCs w:val="32"/>
      <w:u w:val="single"/>
    </w:rPr>
  </w:style>
  <w:style w:type="character" w:customStyle="1" w:styleId="Heading2Char">
    <w:name w:val="Heading 2 Char"/>
    <w:basedOn w:val="DefaultParagraphFont"/>
    <w:link w:val="Heading2"/>
    <w:uiPriority w:val="9"/>
    <w:rsid w:val="00AC3922"/>
    <w:rPr>
      <w:rFonts w:eastAsiaTheme="majorEastAsia"/>
      <w:b/>
      <w:szCs w:val="26"/>
    </w:rPr>
  </w:style>
  <w:style w:type="character" w:customStyle="1" w:styleId="Heading3Char">
    <w:name w:val="Heading 3 Char"/>
    <w:basedOn w:val="DefaultParagraphFont"/>
    <w:link w:val="Heading3"/>
    <w:uiPriority w:val="9"/>
    <w:semiHidden/>
    <w:rsid w:val="00AC3922"/>
    <w:rPr>
      <w:rFonts w:eastAsiaTheme="majorEastAsia"/>
      <w:b/>
    </w:rPr>
  </w:style>
  <w:style w:type="character" w:customStyle="1" w:styleId="Heading4Char">
    <w:name w:val="Heading 4 Char"/>
    <w:basedOn w:val="DefaultParagraphFont"/>
    <w:link w:val="Heading4"/>
    <w:uiPriority w:val="9"/>
    <w:semiHidden/>
    <w:rsid w:val="00AC3922"/>
    <w:rPr>
      <w:rFonts w:eastAsiaTheme="majorEastAsia"/>
      <w:b/>
      <w:i/>
      <w:iCs/>
    </w:rPr>
  </w:style>
  <w:style w:type="character" w:customStyle="1" w:styleId="Heading5Char">
    <w:name w:val="Heading 5 Char"/>
    <w:basedOn w:val="DefaultParagraphFont"/>
    <w:link w:val="Heading5"/>
    <w:uiPriority w:val="9"/>
    <w:semiHidden/>
    <w:rsid w:val="00AC3922"/>
    <w:rPr>
      <w:rFonts w:eastAsiaTheme="majorEastAsia"/>
      <w:color w:val="243F60" w:themeColor="accent1" w:themeShade="7F"/>
    </w:rPr>
  </w:style>
  <w:style w:type="character" w:customStyle="1" w:styleId="Heading6Char">
    <w:name w:val="Heading 6 Char"/>
    <w:basedOn w:val="DefaultParagraphFont"/>
    <w:link w:val="Heading6"/>
    <w:uiPriority w:val="9"/>
    <w:semiHidden/>
    <w:rsid w:val="00AC3922"/>
    <w:rPr>
      <w:rFonts w:eastAsiaTheme="majorEastAsia"/>
      <w:color w:val="243F60" w:themeColor="accent1" w:themeShade="7F"/>
    </w:rPr>
  </w:style>
  <w:style w:type="character" w:customStyle="1" w:styleId="Heading7Char">
    <w:name w:val="Heading 7 Char"/>
    <w:basedOn w:val="DefaultParagraphFont"/>
    <w:link w:val="Heading7"/>
    <w:uiPriority w:val="9"/>
    <w:semiHidden/>
    <w:rsid w:val="00AC3922"/>
    <w:rPr>
      <w:rFonts w:eastAsiaTheme="majorEastAsia"/>
      <w:iCs/>
      <w:color w:val="404040" w:themeColor="text1" w:themeTint="BF"/>
    </w:rPr>
  </w:style>
  <w:style w:type="character" w:customStyle="1" w:styleId="Heading8Char">
    <w:name w:val="Heading 8 Char"/>
    <w:basedOn w:val="DefaultParagraphFont"/>
    <w:link w:val="Heading8"/>
    <w:uiPriority w:val="9"/>
    <w:semiHidden/>
    <w:rsid w:val="00AC3922"/>
    <w:rPr>
      <w:rFonts w:eastAsiaTheme="majorEastAsia"/>
      <w:color w:val="404040" w:themeColor="text1" w:themeTint="BF"/>
      <w:szCs w:val="21"/>
    </w:rPr>
  </w:style>
  <w:style w:type="character" w:customStyle="1" w:styleId="Heading9Char">
    <w:name w:val="Heading 9 Char"/>
    <w:basedOn w:val="DefaultParagraphFont"/>
    <w:link w:val="Heading9"/>
    <w:uiPriority w:val="9"/>
    <w:semiHidden/>
    <w:rsid w:val="00AC3922"/>
    <w:rPr>
      <w:rFonts w:eastAsiaTheme="majorEastAsia"/>
      <w:iCs/>
      <w:color w:val="404040" w:themeColor="text1" w:themeTint="BF"/>
      <w:szCs w:val="21"/>
    </w:rPr>
  </w:style>
  <w:style w:type="paragraph" w:styleId="BodyText">
    <w:name w:val="Body Text"/>
    <w:basedOn w:val="Normal"/>
    <w:link w:val="BodyTextChar"/>
    <w:uiPriority w:val="99"/>
    <w:semiHidden/>
    <w:unhideWhenUsed/>
    <w:rsid w:val="00AC3922"/>
    <w:pPr>
      <w:spacing w:after="120"/>
    </w:pPr>
  </w:style>
  <w:style w:type="character" w:customStyle="1" w:styleId="BodyTextChar">
    <w:name w:val="Body Text Char"/>
    <w:basedOn w:val="DefaultParagraphFont"/>
    <w:link w:val="BodyText"/>
    <w:uiPriority w:val="99"/>
    <w:semiHidden/>
    <w:rsid w:val="00AC3922"/>
  </w:style>
  <w:style w:type="paragraph" w:styleId="FootnoteText">
    <w:name w:val="footnote text"/>
    <w:basedOn w:val="Normal"/>
    <w:link w:val="FootnoteTextChar"/>
    <w:uiPriority w:val="99"/>
    <w:unhideWhenUsed/>
    <w:rsid w:val="00D143B7"/>
    <w:pPr>
      <w:spacing w:after="120" w:line="240" w:lineRule="auto"/>
    </w:pPr>
    <w:rPr>
      <w:sz w:val="20"/>
      <w:szCs w:val="20"/>
    </w:rPr>
  </w:style>
  <w:style w:type="character" w:customStyle="1" w:styleId="FootnoteTextChar">
    <w:name w:val="Footnote Text Char"/>
    <w:basedOn w:val="DefaultParagraphFont"/>
    <w:link w:val="FootnoteText"/>
    <w:uiPriority w:val="99"/>
    <w:rsid w:val="00D143B7"/>
    <w:rPr>
      <w:sz w:val="20"/>
      <w:szCs w:val="20"/>
    </w:rPr>
  </w:style>
  <w:style w:type="character" w:styleId="FootnoteReference">
    <w:name w:val="footnote reference"/>
    <w:aliases w:val="(NECG) Footnote Reference,Style 12,Style 13,Style 15,Style 17,Style 18,Style 19,Style 20,Style 28,Style 42,Style 7,Style 8,Style 9,fr,fr1,fr2,fr3,o,o1,o2,o3"/>
    <w:basedOn w:val="DefaultParagraphFont"/>
    <w:uiPriority w:val="99"/>
    <w:semiHidden/>
    <w:unhideWhenUsed/>
    <w:rsid w:val="006F10A0"/>
    <w:rPr>
      <w:vertAlign w:val="superscript"/>
    </w:rPr>
  </w:style>
  <w:style w:type="character" w:customStyle="1" w:styleId="ssrfcpassagedeactivated">
    <w:name w:val="ss_rfcpassage_deactivated"/>
    <w:basedOn w:val="DefaultParagraphFont"/>
    <w:rsid w:val="009417C1"/>
  </w:style>
  <w:style w:type="character" w:customStyle="1" w:styleId="ssleftalign">
    <w:name w:val="ss_leftalign"/>
    <w:basedOn w:val="DefaultParagraphFont"/>
    <w:rsid w:val="009417C1"/>
  </w:style>
  <w:style w:type="character" w:customStyle="1" w:styleId="sssh">
    <w:name w:val="ss_sh"/>
    <w:basedOn w:val="DefaultParagraphFont"/>
    <w:rsid w:val="00274EDC"/>
  </w:style>
  <w:style w:type="character" w:styleId="Hyperlink">
    <w:name w:val="Hyperlink"/>
    <w:basedOn w:val="DefaultParagraphFont"/>
    <w:uiPriority w:val="99"/>
    <w:unhideWhenUsed/>
    <w:rsid w:val="00274EDC"/>
    <w:rPr>
      <w:color w:val="0000FF"/>
      <w:u w:val="single"/>
    </w:rPr>
  </w:style>
  <w:style w:type="paragraph" w:styleId="Header">
    <w:name w:val="header"/>
    <w:basedOn w:val="Normal"/>
    <w:link w:val="HeaderChar"/>
    <w:unhideWhenUsed/>
    <w:rsid w:val="00060711"/>
    <w:pPr>
      <w:tabs>
        <w:tab w:val="center" w:pos="4680"/>
        <w:tab w:val="right" w:pos="9360"/>
      </w:tabs>
      <w:spacing w:line="240" w:lineRule="auto"/>
    </w:pPr>
  </w:style>
  <w:style w:type="character" w:customStyle="1" w:styleId="HeaderChar">
    <w:name w:val="Header Char"/>
    <w:basedOn w:val="DefaultParagraphFont"/>
    <w:link w:val="Header"/>
    <w:rsid w:val="00060711"/>
  </w:style>
  <w:style w:type="paragraph" w:styleId="Footer">
    <w:name w:val="footer"/>
    <w:basedOn w:val="Normal"/>
    <w:link w:val="FooterChar"/>
    <w:unhideWhenUsed/>
    <w:rsid w:val="00060711"/>
    <w:pPr>
      <w:tabs>
        <w:tab w:val="center" w:pos="4680"/>
        <w:tab w:val="right" w:pos="9360"/>
      </w:tabs>
      <w:spacing w:line="240" w:lineRule="auto"/>
    </w:pPr>
  </w:style>
  <w:style w:type="character" w:customStyle="1" w:styleId="FooterChar">
    <w:name w:val="Footer Char"/>
    <w:basedOn w:val="DefaultParagraphFont"/>
    <w:link w:val="Footer"/>
    <w:rsid w:val="00060711"/>
  </w:style>
  <w:style w:type="character" w:styleId="CommentReference">
    <w:name w:val="annotation reference"/>
    <w:basedOn w:val="DefaultParagraphFont"/>
    <w:uiPriority w:val="99"/>
    <w:semiHidden/>
    <w:unhideWhenUsed/>
    <w:rsid w:val="00304261"/>
    <w:rPr>
      <w:sz w:val="16"/>
      <w:szCs w:val="16"/>
    </w:rPr>
  </w:style>
  <w:style w:type="paragraph" w:styleId="CommentText">
    <w:name w:val="annotation text"/>
    <w:basedOn w:val="Normal"/>
    <w:link w:val="CommentTextChar"/>
    <w:uiPriority w:val="99"/>
    <w:semiHidden/>
    <w:unhideWhenUsed/>
    <w:rsid w:val="00304261"/>
    <w:pPr>
      <w:spacing w:line="240" w:lineRule="auto"/>
    </w:pPr>
    <w:rPr>
      <w:sz w:val="20"/>
      <w:szCs w:val="20"/>
    </w:rPr>
  </w:style>
  <w:style w:type="character" w:customStyle="1" w:styleId="CommentTextChar">
    <w:name w:val="Comment Text Char"/>
    <w:basedOn w:val="DefaultParagraphFont"/>
    <w:link w:val="CommentText"/>
    <w:uiPriority w:val="99"/>
    <w:semiHidden/>
    <w:rsid w:val="00304261"/>
    <w:rPr>
      <w:sz w:val="20"/>
      <w:szCs w:val="20"/>
    </w:rPr>
  </w:style>
  <w:style w:type="paragraph" w:styleId="CommentSubject">
    <w:name w:val="annotation subject"/>
    <w:basedOn w:val="CommentText"/>
    <w:next w:val="CommentText"/>
    <w:link w:val="CommentSubjectChar"/>
    <w:uiPriority w:val="99"/>
    <w:semiHidden/>
    <w:unhideWhenUsed/>
    <w:rsid w:val="00304261"/>
    <w:rPr>
      <w:b/>
      <w:bCs/>
    </w:rPr>
  </w:style>
  <w:style w:type="character" w:customStyle="1" w:styleId="CommentSubjectChar">
    <w:name w:val="Comment Subject Char"/>
    <w:basedOn w:val="CommentTextChar"/>
    <w:link w:val="CommentSubject"/>
    <w:uiPriority w:val="99"/>
    <w:semiHidden/>
    <w:rsid w:val="00304261"/>
    <w:rPr>
      <w:b/>
      <w:bCs/>
      <w:sz w:val="20"/>
      <w:szCs w:val="20"/>
    </w:rPr>
  </w:style>
  <w:style w:type="paragraph" w:styleId="BalloonText">
    <w:name w:val="Balloon Text"/>
    <w:basedOn w:val="Normal"/>
    <w:link w:val="BalloonTextChar"/>
    <w:uiPriority w:val="99"/>
    <w:semiHidden/>
    <w:unhideWhenUsed/>
    <w:rsid w:val="0030426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261"/>
    <w:rPr>
      <w:rFonts w:ascii="Segoe UI" w:hAnsi="Segoe UI" w:cs="Segoe UI"/>
      <w:sz w:val="18"/>
      <w:szCs w:val="18"/>
    </w:rPr>
  </w:style>
  <w:style w:type="character" w:customStyle="1" w:styleId="ssit">
    <w:name w:val="ss_it"/>
    <w:basedOn w:val="DefaultParagraphFont"/>
    <w:rsid w:val="000E4DE9"/>
  </w:style>
  <w:style w:type="paragraph" w:styleId="BodyText3">
    <w:name w:val="Body Text 3"/>
    <w:basedOn w:val="Normal"/>
    <w:link w:val="BodyText3Char"/>
    <w:uiPriority w:val="99"/>
    <w:semiHidden/>
    <w:unhideWhenUsed/>
    <w:rsid w:val="00611D4F"/>
    <w:pPr>
      <w:spacing w:after="120"/>
    </w:pPr>
    <w:rPr>
      <w:sz w:val="16"/>
      <w:szCs w:val="16"/>
    </w:rPr>
  </w:style>
  <w:style w:type="character" w:customStyle="1" w:styleId="BodyText3Char">
    <w:name w:val="Body Text 3 Char"/>
    <w:basedOn w:val="DefaultParagraphFont"/>
    <w:link w:val="BodyText3"/>
    <w:uiPriority w:val="99"/>
    <w:semiHidden/>
    <w:rsid w:val="00611D4F"/>
    <w:rPr>
      <w:sz w:val="16"/>
      <w:szCs w:val="16"/>
    </w:rPr>
  </w:style>
  <w:style w:type="character" w:styleId="PageNumber">
    <w:name w:val="page number"/>
    <w:basedOn w:val="DefaultParagraphFont"/>
    <w:rsid w:val="00611D4F"/>
  </w:style>
  <w:style w:type="paragraph" w:styleId="Title">
    <w:name w:val="Title"/>
    <w:basedOn w:val="Normal"/>
    <w:link w:val="TitleChar"/>
    <w:qFormat/>
    <w:rsid w:val="00611D4F"/>
    <w:pPr>
      <w:spacing w:line="240" w:lineRule="auto"/>
      <w:jc w:val="center"/>
    </w:pPr>
    <w:rPr>
      <w:rFonts w:eastAsia="Times New Roman"/>
      <w:b/>
      <w:smallCaps/>
      <w:sz w:val="32"/>
    </w:rPr>
  </w:style>
  <w:style w:type="character" w:customStyle="1" w:styleId="TitleChar">
    <w:name w:val="Title Char"/>
    <w:basedOn w:val="DefaultParagraphFont"/>
    <w:link w:val="Title"/>
    <w:rsid w:val="00611D4F"/>
    <w:rPr>
      <w:rFonts w:eastAsia="Times New Roman"/>
      <w:b/>
      <w:smallCaps/>
      <w:sz w:val="32"/>
    </w:rPr>
  </w:style>
  <w:style w:type="paragraph" w:styleId="Revision">
    <w:name w:val="Revision"/>
    <w:hidden/>
    <w:uiPriority w:val="99"/>
    <w:semiHidden/>
    <w:rsid w:val="00D70EB1"/>
    <w:pPr>
      <w:jc w:val="left"/>
    </w:pPr>
  </w:style>
  <w:style w:type="paragraph" w:styleId="TOCHeading">
    <w:name w:val="TOC Heading"/>
    <w:basedOn w:val="Heading1"/>
    <w:next w:val="Normal"/>
    <w:uiPriority w:val="39"/>
    <w:unhideWhenUsed/>
    <w:qFormat/>
    <w:rsid w:val="006E5A96"/>
    <w:pPr>
      <w:keepNext/>
      <w:keepLines/>
      <w:numPr>
        <w:numId w:val="0"/>
      </w:numPr>
      <w:spacing w:after="0" w:line="259" w:lineRule="auto"/>
      <w:jc w:val="left"/>
      <w:outlineLvl w:val="9"/>
    </w:pPr>
    <w:rPr>
      <w:rFonts w:asciiTheme="majorHAnsi" w:hAnsiTheme="majorHAnsi" w:cstheme="majorBidi"/>
      <w:b w:val="0"/>
      <w:caps w:val="0"/>
      <w:color w:val="365F91" w:themeColor="accent1" w:themeShade="BF"/>
      <w:sz w:val="32"/>
      <w:u w:val="none"/>
    </w:rPr>
  </w:style>
  <w:style w:type="paragraph" w:styleId="TOC1">
    <w:name w:val="toc 1"/>
    <w:basedOn w:val="Normal"/>
    <w:next w:val="Normal"/>
    <w:autoRedefine/>
    <w:uiPriority w:val="39"/>
    <w:unhideWhenUsed/>
    <w:rsid w:val="006E5A96"/>
    <w:pPr>
      <w:tabs>
        <w:tab w:val="right" w:leader="dot" w:pos="9350"/>
      </w:tabs>
      <w:spacing w:after="100"/>
      <w:ind w:left="720" w:hanging="720"/>
    </w:pPr>
  </w:style>
  <w:style w:type="paragraph" w:styleId="TOC2">
    <w:name w:val="toc 2"/>
    <w:basedOn w:val="Normal"/>
    <w:next w:val="Normal"/>
    <w:autoRedefine/>
    <w:uiPriority w:val="39"/>
    <w:unhideWhenUsed/>
    <w:rsid w:val="006E5A96"/>
    <w:pPr>
      <w:tabs>
        <w:tab w:val="right" w:leader="dot" w:pos="9360"/>
      </w:tabs>
      <w:spacing w:after="180" w:line="240" w:lineRule="auto"/>
      <w:ind w:left="1440" w:righ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40926">
      <w:bodyDiv w:val="1"/>
      <w:marLeft w:val="0"/>
      <w:marRight w:val="0"/>
      <w:marTop w:val="0"/>
      <w:marBottom w:val="0"/>
      <w:divBdr>
        <w:top w:val="none" w:sz="0" w:space="0" w:color="auto"/>
        <w:left w:val="none" w:sz="0" w:space="0" w:color="auto"/>
        <w:bottom w:val="none" w:sz="0" w:space="0" w:color="auto"/>
        <w:right w:val="none" w:sz="0" w:space="0" w:color="auto"/>
      </w:divBdr>
    </w:div>
    <w:div w:id="765535406">
      <w:bodyDiv w:val="1"/>
      <w:marLeft w:val="0"/>
      <w:marRight w:val="0"/>
      <w:marTop w:val="0"/>
      <w:marBottom w:val="0"/>
      <w:divBdr>
        <w:top w:val="none" w:sz="0" w:space="0" w:color="auto"/>
        <w:left w:val="none" w:sz="0" w:space="0" w:color="auto"/>
        <w:bottom w:val="none" w:sz="0" w:space="0" w:color="auto"/>
        <w:right w:val="none" w:sz="0" w:space="0" w:color="auto"/>
      </w:divBdr>
    </w:div>
    <w:div w:id="1027681906">
      <w:bodyDiv w:val="1"/>
      <w:marLeft w:val="0"/>
      <w:marRight w:val="0"/>
      <w:marTop w:val="0"/>
      <w:marBottom w:val="0"/>
      <w:divBdr>
        <w:top w:val="none" w:sz="0" w:space="0" w:color="auto"/>
        <w:left w:val="none" w:sz="0" w:space="0" w:color="auto"/>
        <w:bottom w:val="none" w:sz="0" w:space="0" w:color="auto"/>
        <w:right w:val="none" w:sz="0" w:space="0" w:color="auto"/>
      </w:divBdr>
      <w:divsChild>
        <w:div w:id="297076331">
          <w:marLeft w:val="0"/>
          <w:marRight w:val="0"/>
          <w:marTop w:val="0"/>
          <w:marBottom w:val="0"/>
          <w:divBdr>
            <w:top w:val="none" w:sz="0" w:space="0" w:color="auto"/>
            <w:left w:val="none" w:sz="0" w:space="0" w:color="auto"/>
            <w:bottom w:val="none" w:sz="0" w:space="0" w:color="auto"/>
            <w:right w:val="none" w:sz="0" w:space="0" w:color="auto"/>
          </w:divBdr>
        </w:div>
      </w:divsChild>
    </w:div>
    <w:div w:id="1445734400">
      <w:bodyDiv w:val="1"/>
      <w:marLeft w:val="0"/>
      <w:marRight w:val="0"/>
      <w:marTop w:val="0"/>
      <w:marBottom w:val="0"/>
      <w:divBdr>
        <w:top w:val="none" w:sz="0" w:space="0" w:color="auto"/>
        <w:left w:val="none" w:sz="0" w:space="0" w:color="auto"/>
        <w:bottom w:val="none" w:sz="0" w:space="0" w:color="auto"/>
        <w:right w:val="none" w:sz="0" w:space="0" w:color="auto"/>
      </w:divBdr>
    </w:div>
    <w:div w:id="1525358907">
      <w:bodyDiv w:val="1"/>
      <w:marLeft w:val="0"/>
      <w:marRight w:val="0"/>
      <w:marTop w:val="0"/>
      <w:marBottom w:val="0"/>
      <w:divBdr>
        <w:top w:val="none" w:sz="0" w:space="0" w:color="auto"/>
        <w:left w:val="none" w:sz="0" w:space="0" w:color="auto"/>
        <w:bottom w:val="none" w:sz="0" w:space="0" w:color="auto"/>
        <w:right w:val="none" w:sz="0" w:space="0" w:color="auto"/>
      </w:divBdr>
      <w:divsChild>
        <w:div w:id="2058315008">
          <w:marLeft w:val="0"/>
          <w:marRight w:val="0"/>
          <w:marTop w:val="0"/>
          <w:marBottom w:val="0"/>
          <w:divBdr>
            <w:top w:val="none" w:sz="0" w:space="0" w:color="auto"/>
            <w:left w:val="none" w:sz="0" w:space="0" w:color="auto"/>
            <w:bottom w:val="none" w:sz="0" w:space="0" w:color="auto"/>
            <w:right w:val="none" w:sz="0" w:space="0" w:color="auto"/>
          </w:divBdr>
        </w:div>
      </w:divsChild>
    </w:div>
    <w:div w:id="155080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C382-0AC3-4163-B3BB-646CBED2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3925</Words>
  <Characters>21672</Characters>
  <Application>Microsoft Office Word</Application>
  <DocSecurity>0</DocSecurity>
  <PresentationFormat>15|.DOCX</PresentationFormat>
  <Lines>541</Lines>
  <Paragraphs>278</Paragraphs>
  <ScaleCrop>false</ScaleCrop>
  <HeadingPairs>
    <vt:vector size="2" baseType="variant">
      <vt:variant>
        <vt:lpstr>Title</vt:lpstr>
      </vt:variant>
      <vt:variant>
        <vt:i4>1</vt:i4>
      </vt:variant>
    </vt:vector>
  </HeadingPairs>
  <TitlesOfParts>
    <vt:vector size="1" baseType="lpstr">
      <vt:lpstr>IEU Reply to DP&amp;L's Memo in Opposition 16-395 (PDF) (C49718).PDF</vt:lpstr>
    </vt:vector>
  </TitlesOfParts>
  <Company/>
  <LinksUpToDate>false</LinksUpToDate>
  <CharactersWithSpaces>25319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Reply to DP&amp;L's Memo in Opposition 16-395 (PDF) (C49718).PDF</dc:title>
  <dc:subject>C49718: /font=8</dc:subject>
  <dc:creator>Debbie Ryan</dc:creator>
  <cp:keywords/>
  <dc:description/>
  <cp:lastModifiedBy>Vicki Leach-Payne</cp:lastModifiedBy>
  <cp:revision>2</cp:revision>
  <cp:lastPrinted>2016-04-04T19:17:00Z</cp:lastPrinted>
  <dcterms:created xsi:type="dcterms:W3CDTF">2016-04-04T19:27:00Z</dcterms:created>
  <dcterms:modified xsi:type="dcterms:W3CDTF">2016-04-04T19:27:00Z</dcterms:modified>
</cp:coreProperties>
</file>