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039" w:rsidRPr="009A5039" w:rsidRDefault="009A5039" w:rsidP="009A5039">
      <w:pPr>
        <w:widowControl w:val="0"/>
        <w:jc w:val="center"/>
        <w:rPr>
          <w:rFonts w:eastAsia="Times New Roman"/>
          <w:b/>
          <w:sz w:val="24"/>
        </w:rPr>
      </w:pPr>
      <w:r w:rsidRPr="009A5039">
        <w:rPr>
          <w:rFonts w:eastAsia="Times New Roman"/>
          <w:b/>
          <w:sz w:val="24"/>
        </w:rPr>
        <w:t>BEFORE</w:t>
      </w:r>
    </w:p>
    <w:p w:rsidR="009A5039" w:rsidRPr="009A5039" w:rsidRDefault="009A5039" w:rsidP="009A5039">
      <w:pPr>
        <w:widowControl w:val="0"/>
        <w:spacing w:after="200" w:line="276" w:lineRule="auto"/>
        <w:jc w:val="center"/>
        <w:rPr>
          <w:rFonts w:eastAsia="Times New Roman"/>
          <w:b/>
          <w:sz w:val="24"/>
        </w:rPr>
      </w:pPr>
      <w:r w:rsidRPr="009A5039">
        <w:rPr>
          <w:rFonts w:eastAsia="Times New Roman"/>
          <w:b/>
          <w:sz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9A5039" w:rsidRPr="009A5039" w:rsidTr="008756B0">
        <w:trPr>
          <w:trHeight w:val="873"/>
          <w:jc w:val="center"/>
        </w:trPr>
        <w:tc>
          <w:tcPr>
            <w:tcW w:w="4739" w:type="dxa"/>
          </w:tcPr>
          <w:p w:rsidR="009658D7" w:rsidRPr="009658D7" w:rsidRDefault="009658D7" w:rsidP="005C5AEB">
            <w:pPr>
              <w:autoSpaceDE w:val="0"/>
              <w:autoSpaceDN w:val="0"/>
              <w:adjustRightInd w:val="0"/>
              <w:rPr>
                <w:rFonts w:eastAsia="Times New Roman"/>
                <w:sz w:val="24"/>
              </w:rPr>
            </w:pPr>
            <w:r w:rsidRPr="009658D7">
              <w:rPr>
                <w:rFonts w:eastAsia="Times New Roman"/>
                <w:sz w:val="24"/>
              </w:rPr>
              <w:t>In the Matter of the Application of Vectren</w:t>
            </w:r>
          </w:p>
          <w:p w:rsidR="009A5039" w:rsidRPr="009A5039" w:rsidRDefault="009658D7" w:rsidP="005C5AEB">
            <w:pPr>
              <w:autoSpaceDE w:val="0"/>
              <w:autoSpaceDN w:val="0"/>
              <w:adjustRightInd w:val="0"/>
              <w:rPr>
                <w:rFonts w:eastAsia="Times New Roman"/>
                <w:sz w:val="24"/>
              </w:rPr>
            </w:pPr>
            <w:r w:rsidRPr="009658D7">
              <w:rPr>
                <w:rFonts w:eastAsia="Times New Roman"/>
                <w:sz w:val="24"/>
              </w:rPr>
              <w:t>Energy Delivery of Ohio, Inc. for</w:t>
            </w:r>
            <w:r w:rsidR="005C5AEB">
              <w:rPr>
                <w:rFonts w:eastAsia="Times New Roman"/>
                <w:sz w:val="24"/>
              </w:rPr>
              <w:t xml:space="preserve"> </w:t>
            </w:r>
            <w:r w:rsidRPr="009658D7">
              <w:rPr>
                <w:rFonts w:eastAsia="Times New Roman"/>
                <w:sz w:val="24"/>
              </w:rPr>
              <w:t>Authority to Amend its Filed Tariffs to</w:t>
            </w:r>
            <w:r w:rsidR="005C5AEB">
              <w:rPr>
                <w:rFonts w:eastAsia="Times New Roman"/>
                <w:sz w:val="24"/>
              </w:rPr>
              <w:t xml:space="preserve"> </w:t>
            </w:r>
            <w:r w:rsidRPr="009658D7">
              <w:rPr>
                <w:rFonts w:eastAsia="Times New Roman"/>
                <w:sz w:val="24"/>
              </w:rPr>
              <w:t>Increase the Rates and Charges for Gas</w:t>
            </w:r>
            <w:r w:rsidR="005C5AEB">
              <w:rPr>
                <w:rFonts w:eastAsia="Times New Roman"/>
                <w:sz w:val="24"/>
              </w:rPr>
              <w:t xml:space="preserve"> </w:t>
            </w:r>
            <w:r w:rsidRPr="009658D7">
              <w:rPr>
                <w:rFonts w:eastAsia="Times New Roman"/>
                <w:sz w:val="24"/>
              </w:rPr>
              <w:t>Service and Related Matters.</w:t>
            </w:r>
          </w:p>
        </w:tc>
        <w:tc>
          <w:tcPr>
            <w:tcW w:w="630" w:type="dxa"/>
          </w:tcPr>
          <w:p w:rsidR="009A5039" w:rsidRPr="009A5039" w:rsidRDefault="009A5039" w:rsidP="009A5039">
            <w:pPr>
              <w:widowControl w:val="0"/>
              <w:jc w:val="center"/>
              <w:rPr>
                <w:rFonts w:eastAsia="Times New Roman"/>
                <w:sz w:val="24"/>
              </w:rPr>
            </w:pPr>
            <w:r w:rsidRPr="009A5039">
              <w:rPr>
                <w:rFonts w:eastAsia="Times New Roman"/>
                <w:sz w:val="24"/>
              </w:rPr>
              <w:t>)</w:t>
            </w:r>
          </w:p>
          <w:p w:rsidR="009A5039" w:rsidRPr="009A5039" w:rsidRDefault="009A5039" w:rsidP="009A5039">
            <w:pPr>
              <w:widowControl w:val="0"/>
              <w:jc w:val="center"/>
              <w:rPr>
                <w:rFonts w:eastAsia="Times New Roman"/>
                <w:sz w:val="24"/>
              </w:rPr>
            </w:pPr>
            <w:r w:rsidRPr="009A5039">
              <w:rPr>
                <w:rFonts w:eastAsia="Times New Roman"/>
                <w:sz w:val="24"/>
              </w:rPr>
              <w:t>)</w:t>
            </w:r>
          </w:p>
          <w:p w:rsidR="009A5039" w:rsidRPr="009A5039" w:rsidRDefault="009A5039" w:rsidP="009A5039">
            <w:pPr>
              <w:widowControl w:val="0"/>
              <w:jc w:val="center"/>
              <w:rPr>
                <w:rFonts w:eastAsia="Times New Roman"/>
                <w:sz w:val="24"/>
              </w:rPr>
            </w:pPr>
            <w:r w:rsidRPr="009A5039">
              <w:rPr>
                <w:rFonts w:eastAsia="Times New Roman"/>
                <w:sz w:val="24"/>
              </w:rPr>
              <w:t>)</w:t>
            </w:r>
          </w:p>
          <w:p w:rsidR="009A5039" w:rsidRPr="009A5039" w:rsidRDefault="009A5039" w:rsidP="009A5039">
            <w:pPr>
              <w:widowControl w:val="0"/>
              <w:jc w:val="center"/>
              <w:rPr>
                <w:rFonts w:eastAsia="Times New Roman"/>
                <w:sz w:val="24"/>
              </w:rPr>
            </w:pPr>
            <w:r w:rsidRPr="009A5039">
              <w:rPr>
                <w:rFonts w:eastAsia="Times New Roman"/>
                <w:sz w:val="24"/>
              </w:rPr>
              <w:t>)</w:t>
            </w:r>
          </w:p>
          <w:p w:rsidR="009A5039" w:rsidRPr="009A5039" w:rsidRDefault="009A5039" w:rsidP="009A5039">
            <w:pPr>
              <w:widowControl w:val="0"/>
              <w:jc w:val="center"/>
              <w:rPr>
                <w:rFonts w:eastAsia="Times New Roman"/>
                <w:sz w:val="24"/>
              </w:rPr>
            </w:pPr>
            <w:r w:rsidRPr="009A5039">
              <w:rPr>
                <w:rFonts w:eastAsia="Times New Roman"/>
                <w:sz w:val="24"/>
              </w:rPr>
              <w:t>)</w:t>
            </w:r>
          </w:p>
          <w:p w:rsidR="009A5039" w:rsidRPr="009A5039" w:rsidRDefault="009A5039" w:rsidP="009A5039">
            <w:pPr>
              <w:widowControl w:val="0"/>
              <w:jc w:val="center"/>
              <w:rPr>
                <w:rFonts w:eastAsia="Times New Roman"/>
                <w:sz w:val="24"/>
              </w:rPr>
            </w:pPr>
            <w:r w:rsidRPr="009A5039">
              <w:rPr>
                <w:rFonts w:eastAsia="Times New Roman"/>
                <w:sz w:val="24"/>
              </w:rPr>
              <w:t>)</w:t>
            </w:r>
          </w:p>
          <w:p w:rsidR="009A5039" w:rsidRPr="009A5039" w:rsidRDefault="009A5039" w:rsidP="009A5039">
            <w:pPr>
              <w:widowControl w:val="0"/>
              <w:jc w:val="center"/>
              <w:rPr>
                <w:rFonts w:eastAsia="Times New Roman"/>
                <w:sz w:val="24"/>
              </w:rPr>
            </w:pPr>
            <w:r w:rsidRPr="009A5039">
              <w:rPr>
                <w:rFonts w:eastAsia="Times New Roman"/>
                <w:sz w:val="24"/>
              </w:rPr>
              <w:t>)</w:t>
            </w:r>
          </w:p>
          <w:p w:rsidR="009A5039" w:rsidRPr="009A5039" w:rsidRDefault="009A5039" w:rsidP="009A5039">
            <w:pPr>
              <w:widowControl w:val="0"/>
              <w:jc w:val="left"/>
              <w:rPr>
                <w:rFonts w:eastAsia="Times New Roman"/>
                <w:sz w:val="24"/>
              </w:rPr>
            </w:pPr>
          </w:p>
        </w:tc>
        <w:tc>
          <w:tcPr>
            <w:tcW w:w="3928" w:type="dxa"/>
          </w:tcPr>
          <w:p w:rsidR="009A5039" w:rsidRPr="009A5039" w:rsidRDefault="009A5039" w:rsidP="009A5039">
            <w:pPr>
              <w:widowControl w:val="0"/>
              <w:jc w:val="left"/>
              <w:rPr>
                <w:rFonts w:eastAsia="Times New Roman"/>
                <w:sz w:val="24"/>
              </w:rPr>
            </w:pPr>
          </w:p>
          <w:p w:rsidR="009A5039" w:rsidRPr="009A5039" w:rsidRDefault="009A5039" w:rsidP="009A5039">
            <w:pPr>
              <w:widowControl w:val="0"/>
              <w:jc w:val="left"/>
              <w:rPr>
                <w:rFonts w:eastAsia="Times New Roman"/>
                <w:sz w:val="24"/>
              </w:rPr>
            </w:pPr>
          </w:p>
          <w:p w:rsidR="009A5039" w:rsidRDefault="009658D7" w:rsidP="009A5039">
            <w:pPr>
              <w:widowControl w:val="0"/>
              <w:jc w:val="left"/>
              <w:rPr>
                <w:rFonts w:eastAsia="Times New Roman"/>
                <w:sz w:val="24"/>
              </w:rPr>
            </w:pPr>
            <w:r>
              <w:rPr>
                <w:rFonts w:eastAsia="Times New Roman"/>
                <w:sz w:val="24"/>
              </w:rPr>
              <w:t xml:space="preserve">Case </w:t>
            </w:r>
            <w:r w:rsidR="00542026">
              <w:rPr>
                <w:rFonts w:eastAsia="Times New Roman"/>
                <w:sz w:val="24"/>
              </w:rPr>
              <w:t>No. 07</w:t>
            </w:r>
            <w:r>
              <w:rPr>
                <w:rFonts w:eastAsia="Times New Roman"/>
                <w:sz w:val="24"/>
              </w:rPr>
              <w:t>-1080-GA-AIR</w:t>
            </w:r>
          </w:p>
          <w:p w:rsidR="009658D7" w:rsidRPr="009A5039" w:rsidRDefault="009658D7" w:rsidP="009A5039">
            <w:pPr>
              <w:widowControl w:val="0"/>
              <w:jc w:val="left"/>
              <w:rPr>
                <w:rFonts w:eastAsia="Times New Roman"/>
                <w:sz w:val="24"/>
              </w:rPr>
            </w:pPr>
          </w:p>
          <w:p w:rsidR="009A5039" w:rsidRPr="009A5039" w:rsidRDefault="009A5039" w:rsidP="009A5039">
            <w:pPr>
              <w:widowControl w:val="0"/>
              <w:jc w:val="left"/>
              <w:rPr>
                <w:rFonts w:eastAsia="Times New Roman"/>
                <w:sz w:val="24"/>
              </w:rPr>
            </w:pPr>
          </w:p>
          <w:p w:rsidR="009A5039" w:rsidRPr="009A5039" w:rsidRDefault="009A5039" w:rsidP="009A5039">
            <w:pPr>
              <w:widowControl w:val="0"/>
              <w:jc w:val="left"/>
              <w:rPr>
                <w:rFonts w:eastAsia="Times New Roman"/>
                <w:sz w:val="24"/>
              </w:rPr>
            </w:pPr>
          </w:p>
          <w:p w:rsidR="009A5039" w:rsidRPr="009A5039" w:rsidRDefault="009A5039" w:rsidP="009A5039">
            <w:pPr>
              <w:widowControl w:val="0"/>
              <w:jc w:val="left"/>
              <w:rPr>
                <w:rFonts w:eastAsia="Times New Roman"/>
                <w:sz w:val="24"/>
              </w:rPr>
            </w:pPr>
          </w:p>
          <w:p w:rsidR="009A5039" w:rsidRPr="009A5039" w:rsidRDefault="009A5039" w:rsidP="009A5039">
            <w:pPr>
              <w:widowControl w:val="0"/>
              <w:jc w:val="left"/>
              <w:rPr>
                <w:rFonts w:eastAsia="Times New Roman"/>
                <w:sz w:val="24"/>
              </w:rPr>
            </w:pPr>
          </w:p>
          <w:p w:rsidR="009A5039" w:rsidRPr="009A5039" w:rsidRDefault="009A5039" w:rsidP="009A5039">
            <w:pPr>
              <w:widowControl w:val="0"/>
              <w:jc w:val="left"/>
              <w:rPr>
                <w:rFonts w:eastAsia="Times New Roman"/>
                <w:sz w:val="24"/>
              </w:rPr>
            </w:pPr>
          </w:p>
        </w:tc>
      </w:tr>
    </w:tbl>
    <w:p w:rsidR="009A5039" w:rsidRPr="009A5039" w:rsidRDefault="009A5039" w:rsidP="009A5039">
      <w:pPr>
        <w:widowControl w:val="0"/>
        <w:spacing w:line="200" w:lineRule="exact"/>
        <w:jc w:val="left"/>
        <w:rPr>
          <w:rFonts w:eastAsia="Calibri"/>
          <w:sz w:val="24"/>
        </w:rPr>
      </w:pPr>
    </w:p>
    <w:p w:rsidR="009A5039" w:rsidRPr="009A5039" w:rsidRDefault="009A5039" w:rsidP="009A5039">
      <w:pPr>
        <w:widowControl w:val="0"/>
        <w:spacing w:line="200" w:lineRule="exact"/>
        <w:jc w:val="left"/>
        <w:rPr>
          <w:rFonts w:eastAsia="Calibri"/>
          <w:sz w:val="24"/>
        </w:rPr>
      </w:pPr>
    </w:p>
    <w:p w:rsidR="009A5039" w:rsidRPr="009A5039" w:rsidRDefault="009A5039" w:rsidP="009A5039">
      <w:pPr>
        <w:widowControl w:val="0"/>
        <w:spacing w:line="200" w:lineRule="exact"/>
        <w:jc w:val="left"/>
        <w:rPr>
          <w:rFonts w:eastAsia="Calibri"/>
          <w:sz w:val="24"/>
        </w:rPr>
      </w:pPr>
    </w:p>
    <w:p w:rsidR="004A0585" w:rsidRDefault="009A5039" w:rsidP="004A0585">
      <w:pPr>
        <w:widowControl w:val="0"/>
        <w:spacing w:line="268" w:lineRule="exact"/>
        <w:ind w:left="1319" w:right="942"/>
        <w:jc w:val="center"/>
        <w:rPr>
          <w:rFonts w:eastAsia="Times New Roman"/>
          <w:b/>
          <w:color w:val="21212A"/>
          <w:w w:val="105"/>
          <w:sz w:val="24"/>
        </w:rPr>
      </w:pPr>
      <w:r w:rsidRPr="009A5039">
        <w:rPr>
          <w:rFonts w:eastAsia="Calibri"/>
          <w:b/>
          <w:noProof/>
          <w:sz w:val="24"/>
        </w:rPr>
        <mc:AlternateContent>
          <mc:Choice Requires="wpg">
            <w:drawing>
              <wp:anchor distT="0" distB="0" distL="114300" distR="114300" simplePos="0" relativeHeight="251659264" behindDoc="1" locked="0" layoutInCell="1" allowOverlap="1" wp14:anchorId="22D09E23" wp14:editId="384F7C88">
                <wp:simplePos x="0" y="0"/>
                <wp:positionH relativeFrom="page">
                  <wp:posOffset>1121410</wp:posOffset>
                </wp:positionH>
                <wp:positionV relativeFrom="paragraph">
                  <wp:posOffset>-193040</wp:posOffset>
                </wp:positionV>
                <wp:extent cx="5528945" cy="1270"/>
                <wp:effectExtent l="16510" t="16510" r="17145" b="20320"/>
                <wp:wrapNone/>
                <wp:docPr id="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945" cy="1270"/>
                          <a:chOff x="1766" y="-304"/>
                          <a:chExt cx="8707" cy="2"/>
                        </a:xfrm>
                      </wpg:grpSpPr>
                      <wps:wsp>
                        <wps:cNvPr id="9" name="Freeform 37"/>
                        <wps:cNvSpPr>
                          <a:spLocks/>
                        </wps:cNvSpPr>
                        <wps:spPr bwMode="auto">
                          <a:xfrm>
                            <a:off x="1766" y="-304"/>
                            <a:ext cx="8707" cy="2"/>
                          </a:xfrm>
                          <a:custGeom>
                            <a:avLst/>
                            <a:gdLst>
                              <a:gd name="T0" fmla="+- 0 1766 1766"/>
                              <a:gd name="T1" fmla="*/ T0 w 8707"/>
                              <a:gd name="T2" fmla="+- 0 10474 1766"/>
                              <a:gd name="T3" fmla="*/ T2 w 8707"/>
                            </a:gdLst>
                            <a:ahLst/>
                            <a:cxnLst>
                              <a:cxn ang="0">
                                <a:pos x="T1" y="0"/>
                              </a:cxn>
                              <a:cxn ang="0">
                                <a:pos x="T3" y="0"/>
                              </a:cxn>
                            </a:cxnLst>
                            <a:rect l="0" t="0" r="r" b="b"/>
                            <a:pathLst>
                              <a:path w="8707">
                                <a:moveTo>
                                  <a:pt x="0" y="0"/>
                                </a:moveTo>
                                <a:lnTo>
                                  <a:pt x="8708"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72D0EC3" id="Group 36" o:spid="_x0000_s1026" style="position:absolute;margin-left:88.3pt;margin-top:-15.2pt;width:435.35pt;height:.1pt;z-index:-251657216;mso-position-horizontal-relative:page" coordorigin="1766,-304" coordsize="87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">
                <v:shape id="Freeform 37" o:spid="_x0000_s1027" style="position:absolute;left:1766;top:-304;width:8707;height:2;visibility:visible;mso-wrap-style:square;v-text-anchor:top" coordsize="87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faccAA&#10;AADaAAAADwAAAGRycy9kb3ducmV2LnhtbESPQWsCMRSE70L/Q3iF3jSrLVJXo6hF8Krtxdtj87pZ&#10;3LysSerGf98IgsdhZr5hFqtkW3ElHxrHCsajAgRx5XTDtYKf793wE0SIyBpbx6TgRgFWy5fBAkvt&#10;ej7Q9RhrkSEcSlRgYuxKKUNlyGIYuY44e7/OW4xZ+lpqj32G21ZOimIqLTacFwx2tDVUnY9/VsHX&#10;9rRPMz89fyRzKTbvJ+NSn5R6e03rOYhIKT7Dj/ZeK5jB/Uq+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faccAAAADaAAAADwAAAAAAAAAAAAAAAACYAgAAZHJzL2Rvd25y&#10;ZXYueG1sUEsFBgAAAAAEAAQA9QAAAIUDAAAAAA==&#10;" path="m,l8708,e" filled="f" strokeweight="1.92pt">
                  <v:path arrowok="t" o:connecttype="custom" o:connectlocs="0,0;8708,0" o:connectangles="0,0"/>
                </v:shape>
                <w10:wrap anchorx="page"/>
              </v:group>
            </w:pict>
          </mc:Fallback>
        </mc:AlternateContent>
      </w:r>
      <w:r w:rsidR="009658D7">
        <w:rPr>
          <w:rFonts w:eastAsia="Times New Roman"/>
          <w:b/>
          <w:color w:val="21212A"/>
          <w:w w:val="105"/>
          <w:sz w:val="24"/>
        </w:rPr>
        <w:t>MEMORANDUM CONTRA OF INTERSTATE GAS SUPPLY, INC.</w:t>
      </w:r>
      <w:r w:rsidR="00F06E46">
        <w:rPr>
          <w:rFonts w:eastAsia="Times New Roman"/>
          <w:b/>
          <w:color w:val="21212A"/>
          <w:w w:val="105"/>
          <w:sz w:val="24"/>
        </w:rPr>
        <w:t xml:space="preserve"> THE MOTION OF THE OFFICE OF THE OHIO </w:t>
      </w:r>
    </w:p>
    <w:p w:rsidR="009A5039" w:rsidRPr="004A0585" w:rsidRDefault="00F06E46" w:rsidP="004A0585">
      <w:pPr>
        <w:widowControl w:val="0"/>
        <w:spacing w:line="268" w:lineRule="exact"/>
        <w:ind w:left="1319" w:right="942"/>
        <w:jc w:val="center"/>
        <w:rPr>
          <w:rFonts w:eastAsia="Times New Roman"/>
          <w:b/>
          <w:color w:val="21212A"/>
          <w:w w:val="105"/>
          <w:sz w:val="24"/>
        </w:rPr>
      </w:pPr>
      <w:r>
        <w:rPr>
          <w:rFonts w:eastAsia="Times New Roman"/>
          <w:b/>
          <w:color w:val="21212A"/>
          <w:w w:val="105"/>
          <w:sz w:val="24"/>
        </w:rPr>
        <w:t>CONSUMERS’ COUNSEL</w:t>
      </w:r>
      <w:r w:rsidR="009A5039" w:rsidRPr="009A5039">
        <w:rPr>
          <w:rFonts w:eastAsia="Calibri"/>
          <w:b/>
          <w:noProof/>
          <w:sz w:val="24"/>
        </w:rPr>
        <mc:AlternateContent>
          <mc:Choice Requires="wpg">
            <w:drawing>
              <wp:anchor distT="0" distB="0" distL="114300" distR="114300" simplePos="0" relativeHeight="251660288" behindDoc="1" locked="0" layoutInCell="1" allowOverlap="1" wp14:anchorId="585734B3" wp14:editId="248DAA7E">
                <wp:simplePos x="0" y="0"/>
                <wp:positionH relativeFrom="page">
                  <wp:posOffset>1121410</wp:posOffset>
                </wp:positionH>
                <wp:positionV relativeFrom="paragraph">
                  <wp:posOffset>374650</wp:posOffset>
                </wp:positionV>
                <wp:extent cx="5528945" cy="1270"/>
                <wp:effectExtent l="16510" t="12700" r="17145" b="14605"/>
                <wp:wrapNone/>
                <wp:docPr id="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945" cy="1270"/>
                          <a:chOff x="1766" y="590"/>
                          <a:chExt cx="8707" cy="2"/>
                        </a:xfrm>
                      </wpg:grpSpPr>
                      <wps:wsp>
                        <wps:cNvPr id="7" name="Freeform 35"/>
                        <wps:cNvSpPr>
                          <a:spLocks/>
                        </wps:cNvSpPr>
                        <wps:spPr bwMode="auto">
                          <a:xfrm>
                            <a:off x="1766" y="590"/>
                            <a:ext cx="8707" cy="2"/>
                          </a:xfrm>
                          <a:custGeom>
                            <a:avLst/>
                            <a:gdLst>
                              <a:gd name="T0" fmla="+- 0 1766 1766"/>
                              <a:gd name="T1" fmla="*/ T0 w 8707"/>
                              <a:gd name="T2" fmla="+- 0 10474 1766"/>
                              <a:gd name="T3" fmla="*/ T2 w 8707"/>
                            </a:gdLst>
                            <a:ahLst/>
                            <a:cxnLst>
                              <a:cxn ang="0">
                                <a:pos x="T1" y="0"/>
                              </a:cxn>
                              <a:cxn ang="0">
                                <a:pos x="T3" y="0"/>
                              </a:cxn>
                            </a:cxnLst>
                            <a:rect l="0" t="0" r="r" b="b"/>
                            <a:pathLst>
                              <a:path w="8707">
                                <a:moveTo>
                                  <a:pt x="0" y="0"/>
                                </a:moveTo>
                                <a:lnTo>
                                  <a:pt x="8708"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B44A547" id="Group 34" o:spid="_x0000_s1026" style="position:absolute;margin-left:88.3pt;margin-top:29.5pt;width:435.35pt;height:.1pt;z-index:-251656192;mso-position-horizontal-relative:page" coordorigin="1766,590" coordsize="87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">
                <v:shape id="Freeform 35" o:spid="_x0000_s1027" style="position:absolute;left:1766;top:590;width:8707;height:2;visibility:visible;mso-wrap-style:square;v-text-anchor:top" coordsize="87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TrmMEA&#10;AADaAAAADwAAAGRycy9kb3ducmV2LnhtbESPQWsCMRSE7wX/Q3iCt5q1FqurUaxS8Frrxdtj89ws&#10;bl7WJLrpv28KhR6HmfmGWW2SbcWDfGgcK5iMCxDEldMN1wpOXx/PcxAhImtsHZOCbwqwWQ+eVlhq&#10;1/MnPY6xFhnCoUQFJsaulDJUhiyGseuIs3dx3mLM0tdSe+wz3LbypShm0mLDecFgRztD1fV4twr2&#10;u/MhLfzs+prMrXifno1LfVJqNEzbJYhIKf6H/9oHreANfq/kGyD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065jBAAAA2gAAAA8AAAAAAAAAAAAAAAAAmAIAAGRycy9kb3du&#10;cmV2LnhtbFBLBQYAAAAABAAEAPUAAACGAwAAAAA=&#10;" path="m,l8708,e" filled="f" strokeweight="1.92pt">
                  <v:path arrowok="t" o:connecttype="custom" o:connectlocs="0,0;8708,0" o:connectangles="0,0"/>
                </v:shape>
                <w10:wrap anchorx="page"/>
              </v:group>
            </w:pict>
          </mc:Fallback>
        </mc:AlternateContent>
      </w:r>
    </w:p>
    <w:p w:rsidR="001B19D4" w:rsidRDefault="001B19D4" w:rsidP="001B19D4">
      <w:pPr>
        <w:rPr>
          <w:sz w:val="24"/>
        </w:rPr>
      </w:pPr>
    </w:p>
    <w:p w:rsidR="001B19D4" w:rsidRDefault="001B19D4" w:rsidP="001B19D4">
      <w:pPr>
        <w:rPr>
          <w:sz w:val="24"/>
        </w:rPr>
      </w:pPr>
    </w:p>
    <w:p w:rsidR="001B19D4" w:rsidRDefault="001B19D4" w:rsidP="001B19D4">
      <w:pPr>
        <w:rPr>
          <w:b/>
          <w:sz w:val="24"/>
        </w:rPr>
      </w:pPr>
    </w:p>
    <w:p w:rsidR="001B19D4" w:rsidRDefault="001B19D4" w:rsidP="001B19D4">
      <w:pPr>
        <w:rPr>
          <w:b/>
          <w:sz w:val="24"/>
        </w:rPr>
      </w:pPr>
    </w:p>
    <w:p w:rsidR="001B19D4" w:rsidRDefault="001B19D4" w:rsidP="001B19D4">
      <w:pPr>
        <w:rPr>
          <w:b/>
          <w:sz w:val="24"/>
        </w:rPr>
      </w:pPr>
    </w:p>
    <w:p w:rsidR="001B19D4" w:rsidRPr="001B19D4" w:rsidRDefault="001B19D4" w:rsidP="001B19D4">
      <w:pPr>
        <w:rPr>
          <w:b/>
          <w:sz w:val="24"/>
        </w:rPr>
      </w:pPr>
    </w:p>
    <w:p w:rsidR="00D112F0" w:rsidRPr="00D112F0" w:rsidRDefault="00D112F0" w:rsidP="00D112F0">
      <w:pPr>
        <w:pStyle w:val="ListParagraph"/>
        <w:ind w:left="1080"/>
        <w:rPr>
          <w:b/>
          <w:sz w:val="24"/>
        </w:rPr>
      </w:pPr>
      <w:bookmarkStart w:id="0" w:name="_GoBack"/>
      <w:bookmarkEnd w:id="0"/>
    </w:p>
    <w:p w:rsidR="001B19D4" w:rsidRDefault="001B19D4" w:rsidP="00F34DEC">
      <w:pPr>
        <w:ind w:left="5040"/>
        <w:rPr>
          <w:rFonts w:eastAsia="Calibri"/>
          <w:sz w:val="24"/>
        </w:rPr>
      </w:pPr>
    </w:p>
    <w:p w:rsidR="001B19D4" w:rsidRDefault="001B19D4" w:rsidP="00F34DEC">
      <w:pPr>
        <w:ind w:left="5040"/>
        <w:rPr>
          <w:rFonts w:eastAsia="Calibri"/>
          <w:sz w:val="24"/>
        </w:rPr>
      </w:pPr>
    </w:p>
    <w:p w:rsidR="004A0585" w:rsidRDefault="004A0585" w:rsidP="00F34DEC">
      <w:pPr>
        <w:ind w:left="5040"/>
        <w:rPr>
          <w:rFonts w:eastAsia="Calibri"/>
          <w:sz w:val="24"/>
        </w:rPr>
      </w:pPr>
    </w:p>
    <w:p w:rsidR="004A0585" w:rsidRDefault="004A0585" w:rsidP="00F34DEC">
      <w:pPr>
        <w:ind w:left="5040"/>
        <w:rPr>
          <w:rFonts w:eastAsia="Calibri"/>
          <w:sz w:val="24"/>
        </w:rPr>
      </w:pPr>
    </w:p>
    <w:p w:rsidR="004A0585" w:rsidRDefault="004A0585" w:rsidP="00F34DEC">
      <w:pPr>
        <w:ind w:left="5040"/>
        <w:rPr>
          <w:rFonts w:eastAsia="Calibri"/>
          <w:sz w:val="24"/>
        </w:rPr>
      </w:pPr>
    </w:p>
    <w:p w:rsidR="004A0585" w:rsidRDefault="004A0585" w:rsidP="00F34DEC">
      <w:pPr>
        <w:ind w:left="5040"/>
        <w:rPr>
          <w:rFonts w:eastAsia="Calibri"/>
          <w:sz w:val="24"/>
        </w:rPr>
      </w:pPr>
    </w:p>
    <w:p w:rsidR="004A0585" w:rsidRDefault="004A0585" w:rsidP="00F34DEC">
      <w:pPr>
        <w:ind w:left="5040"/>
        <w:rPr>
          <w:rFonts w:eastAsia="Calibri"/>
          <w:sz w:val="24"/>
        </w:rPr>
      </w:pPr>
    </w:p>
    <w:p w:rsidR="001B19D4" w:rsidRDefault="001B19D4" w:rsidP="00F34DEC">
      <w:pPr>
        <w:ind w:left="5040"/>
        <w:rPr>
          <w:rFonts w:eastAsia="Calibri"/>
          <w:sz w:val="24"/>
        </w:rPr>
      </w:pPr>
    </w:p>
    <w:p w:rsidR="001B19D4" w:rsidRDefault="001B19D4" w:rsidP="00F34DEC">
      <w:pPr>
        <w:ind w:left="5040"/>
        <w:rPr>
          <w:rFonts w:eastAsia="Calibri"/>
          <w:sz w:val="24"/>
        </w:rPr>
      </w:pPr>
    </w:p>
    <w:p w:rsidR="004A0585" w:rsidRDefault="004A0585" w:rsidP="00F34DEC">
      <w:pPr>
        <w:ind w:left="5040"/>
        <w:rPr>
          <w:rFonts w:eastAsia="Calibri"/>
          <w:sz w:val="24"/>
        </w:rPr>
      </w:pPr>
    </w:p>
    <w:p w:rsidR="004A0585" w:rsidRDefault="004A0585" w:rsidP="00F34DEC">
      <w:pPr>
        <w:ind w:left="5040"/>
        <w:rPr>
          <w:rFonts w:eastAsia="Calibri"/>
          <w:sz w:val="24"/>
        </w:rPr>
      </w:pPr>
    </w:p>
    <w:p w:rsidR="004A0585" w:rsidRDefault="004A0585" w:rsidP="00F34DEC">
      <w:pPr>
        <w:ind w:left="5040"/>
        <w:rPr>
          <w:rFonts w:eastAsia="Calibri"/>
          <w:sz w:val="24"/>
        </w:rPr>
      </w:pPr>
    </w:p>
    <w:p w:rsidR="00F34DEC" w:rsidRPr="007B3399" w:rsidRDefault="00F34DEC" w:rsidP="00F34DEC">
      <w:pPr>
        <w:ind w:left="5040"/>
        <w:rPr>
          <w:sz w:val="24"/>
        </w:rPr>
      </w:pPr>
      <w:r>
        <w:rPr>
          <w:rFonts w:eastAsia="Arial"/>
          <w:sz w:val="24"/>
        </w:rPr>
        <w:t xml:space="preserve">Joseph Oliker </w:t>
      </w:r>
      <w:r>
        <w:rPr>
          <w:sz w:val="24"/>
        </w:rPr>
        <w:t>(0086088)</w:t>
      </w:r>
    </w:p>
    <w:p w:rsidR="00F34DEC" w:rsidRDefault="00F34DEC" w:rsidP="00F34DEC">
      <w:pPr>
        <w:ind w:left="5040"/>
        <w:rPr>
          <w:rFonts w:eastAsia="Calibri"/>
          <w:sz w:val="24"/>
          <w:u w:val="single"/>
        </w:rPr>
      </w:pPr>
      <w:r>
        <w:rPr>
          <w:rFonts w:eastAsia="Arial"/>
          <w:sz w:val="24"/>
        </w:rPr>
        <w:t xml:space="preserve">Counsel of Record </w:t>
      </w:r>
    </w:p>
    <w:p w:rsidR="00F34DEC" w:rsidRDefault="00F34DEC" w:rsidP="00F34DEC">
      <w:pPr>
        <w:ind w:left="5040"/>
        <w:rPr>
          <w:sz w:val="24"/>
        </w:rPr>
      </w:pPr>
      <w:r>
        <w:rPr>
          <w:sz w:val="24"/>
        </w:rPr>
        <w:t>Email:  joliker@igsenergy.com</w:t>
      </w:r>
    </w:p>
    <w:p w:rsidR="00F34DEC" w:rsidRDefault="00F34DEC" w:rsidP="00F34DEC">
      <w:pPr>
        <w:ind w:left="5040"/>
        <w:rPr>
          <w:sz w:val="24"/>
        </w:rPr>
      </w:pPr>
      <w:r>
        <w:rPr>
          <w:sz w:val="24"/>
        </w:rPr>
        <w:t>IGS Energy</w:t>
      </w:r>
    </w:p>
    <w:p w:rsidR="00F34DEC" w:rsidRDefault="00F34DEC" w:rsidP="00F34DEC">
      <w:pPr>
        <w:ind w:left="5040"/>
        <w:rPr>
          <w:sz w:val="24"/>
        </w:rPr>
      </w:pPr>
      <w:r>
        <w:rPr>
          <w:sz w:val="24"/>
        </w:rPr>
        <w:t>6100 Emerald Parkway</w:t>
      </w:r>
    </w:p>
    <w:p w:rsidR="00F34DEC" w:rsidRDefault="00F34DEC" w:rsidP="00F34DEC">
      <w:pPr>
        <w:ind w:left="5040"/>
        <w:rPr>
          <w:sz w:val="24"/>
        </w:rPr>
      </w:pPr>
      <w:r>
        <w:rPr>
          <w:sz w:val="24"/>
        </w:rPr>
        <w:t>Dublin, Ohio 43016</w:t>
      </w:r>
    </w:p>
    <w:p w:rsidR="00F34DEC" w:rsidRDefault="00F34DEC" w:rsidP="00F34DEC">
      <w:pPr>
        <w:ind w:left="5040"/>
        <w:rPr>
          <w:sz w:val="24"/>
        </w:rPr>
      </w:pPr>
      <w:r>
        <w:rPr>
          <w:sz w:val="24"/>
        </w:rPr>
        <w:t>Telephone:</w:t>
      </w:r>
      <w:r>
        <w:rPr>
          <w:sz w:val="24"/>
        </w:rPr>
        <w:tab/>
        <w:t>(614) 659-5000</w:t>
      </w:r>
    </w:p>
    <w:p w:rsidR="00F34DEC" w:rsidRDefault="00F34DEC" w:rsidP="00F34DEC">
      <w:pPr>
        <w:ind w:left="5040"/>
        <w:rPr>
          <w:sz w:val="24"/>
        </w:rPr>
      </w:pPr>
      <w:r>
        <w:rPr>
          <w:sz w:val="24"/>
        </w:rPr>
        <w:t>Facsimile:</w:t>
      </w:r>
      <w:r>
        <w:rPr>
          <w:sz w:val="24"/>
        </w:rPr>
        <w:tab/>
        <w:t>(614) 659-5073</w:t>
      </w:r>
    </w:p>
    <w:p w:rsidR="00F34DEC" w:rsidRDefault="00F34DEC" w:rsidP="00F34DEC">
      <w:pPr>
        <w:ind w:left="5040"/>
        <w:rPr>
          <w:sz w:val="24"/>
        </w:rPr>
      </w:pPr>
    </w:p>
    <w:p w:rsidR="001B19D4" w:rsidRPr="004A0585" w:rsidRDefault="001B19D4" w:rsidP="004A0585">
      <w:pPr>
        <w:ind w:left="5040"/>
        <w:rPr>
          <w:b/>
          <w:i/>
          <w:sz w:val="24"/>
        </w:rPr>
      </w:pPr>
      <w:r>
        <w:rPr>
          <w:b/>
          <w:i/>
          <w:sz w:val="24"/>
        </w:rPr>
        <w:t>Attorney</w:t>
      </w:r>
      <w:r w:rsidR="00F34DEC">
        <w:rPr>
          <w:b/>
          <w:i/>
          <w:sz w:val="24"/>
        </w:rPr>
        <w:t xml:space="preserve"> for IGS Energy</w:t>
      </w:r>
    </w:p>
    <w:p w:rsidR="001B19D4" w:rsidRPr="009A5039" w:rsidRDefault="001B19D4" w:rsidP="001B19D4">
      <w:pPr>
        <w:widowControl w:val="0"/>
        <w:jc w:val="center"/>
        <w:rPr>
          <w:rFonts w:eastAsia="Times New Roman"/>
          <w:b/>
          <w:sz w:val="24"/>
        </w:rPr>
      </w:pPr>
      <w:r w:rsidRPr="009A5039">
        <w:rPr>
          <w:rFonts w:eastAsia="Times New Roman"/>
          <w:b/>
          <w:sz w:val="24"/>
        </w:rPr>
        <w:lastRenderedPageBreak/>
        <w:t>BEFORE</w:t>
      </w:r>
    </w:p>
    <w:p w:rsidR="001B19D4" w:rsidRPr="009A5039" w:rsidRDefault="001B19D4" w:rsidP="001B19D4">
      <w:pPr>
        <w:widowControl w:val="0"/>
        <w:spacing w:after="200" w:line="276" w:lineRule="auto"/>
        <w:jc w:val="center"/>
        <w:rPr>
          <w:rFonts w:eastAsia="Times New Roman"/>
          <w:b/>
          <w:sz w:val="24"/>
        </w:rPr>
      </w:pPr>
      <w:r w:rsidRPr="009A5039">
        <w:rPr>
          <w:rFonts w:eastAsia="Times New Roman"/>
          <w:b/>
          <w:sz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1B19D4" w:rsidRPr="009A5039" w:rsidTr="004B5669">
        <w:trPr>
          <w:trHeight w:val="873"/>
          <w:jc w:val="center"/>
        </w:trPr>
        <w:tc>
          <w:tcPr>
            <w:tcW w:w="4739" w:type="dxa"/>
          </w:tcPr>
          <w:p w:rsidR="001B19D4" w:rsidRPr="009658D7" w:rsidRDefault="001B19D4" w:rsidP="004B5669">
            <w:pPr>
              <w:autoSpaceDE w:val="0"/>
              <w:autoSpaceDN w:val="0"/>
              <w:adjustRightInd w:val="0"/>
              <w:jc w:val="left"/>
              <w:rPr>
                <w:rFonts w:eastAsia="Times New Roman"/>
                <w:sz w:val="24"/>
              </w:rPr>
            </w:pPr>
            <w:r w:rsidRPr="009658D7">
              <w:rPr>
                <w:rFonts w:eastAsia="Times New Roman"/>
                <w:sz w:val="24"/>
              </w:rPr>
              <w:t>In the Matter of the Application of Vectren</w:t>
            </w:r>
          </w:p>
          <w:p w:rsidR="001B19D4" w:rsidRPr="009A5039" w:rsidRDefault="001B19D4" w:rsidP="004B5669">
            <w:pPr>
              <w:autoSpaceDE w:val="0"/>
              <w:autoSpaceDN w:val="0"/>
              <w:adjustRightInd w:val="0"/>
              <w:jc w:val="left"/>
              <w:rPr>
                <w:rFonts w:eastAsia="Times New Roman"/>
                <w:sz w:val="24"/>
              </w:rPr>
            </w:pPr>
            <w:r w:rsidRPr="009658D7">
              <w:rPr>
                <w:rFonts w:eastAsia="Times New Roman"/>
                <w:sz w:val="24"/>
              </w:rPr>
              <w:t>Energy Delivery of Ohio, Inc. for</w:t>
            </w:r>
            <w:r w:rsidR="005C5AEB">
              <w:rPr>
                <w:rFonts w:eastAsia="Times New Roman"/>
                <w:sz w:val="24"/>
              </w:rPr>
              <w:t xml:space="preserve"> </w:t>
            </w:r>
            <w:r w:rsidRPr="009658D7">
              <w:rPr>
                <w:rFonts w:eastAsia="Times New Roman"/>
                <w:sz w:val="24"/>
              </w:rPr>
              <w:t>Authority to Amend its Filed Tariffs to</w:t>
            </w:r>
            <w:r w:rsidR="005C5AEB">
              <w:rPr>
                <w:rFonts w:eastAsia="Times New Roman"/>
                <w:sz w:val="24"/>
              </w:rPr>
              <w:t xml:space="preserve"> </w:t>
            </w:r>
            <w:r w:rsidRPr="009658D7">
              <w:rPr>
                <w:rFonts w:eastAsia="Times New Roman"/>
                <w:sz w:val="24"/>
              </w:rPr>
              <w:t>Increase the Rates and Charges for Gas</w:t>
            </w:r>
            <w:r w:rsidR="005C5AEB">
              <w:rPr>
                <w:rFonts w:eastAsia="Times New Roman"/>
                <w:sz w:val="24"/>
              </w:rPr>
              <w:t xml:space="preserve"> </w:t>
            </w:r>
            <w:r w:rsidRPr="009658D7">
              <w:rPr>
                <w:rFonts w:eastAsia="Times New Roman"/>
                <w:sz w:val="24"/>
              </w:rPr>
              <w:t>Service and Related Matters.</w:t>
            </w:r>
          </w:p>
        </w:tc>
        <w:tc>
          <w:tcPr>
            <w:tcW w:w="630" w:type="dxa"/>
          </w:tcPr>
          <w:p w:rsidR="001B19D4" w:rsidRPr="009A5039" w:rsidRDefault="001B19D4" w:rsidP="004B5669">
            <w:pPr>
              <w:widowControl w:val="0"/>
              <w:jc w:val="center"/>
              <w:rPr>
                <w:rFonts w:eastAsia="Times New Roman"/>
                <w:sz w:val="24"/>
              </w:rPr>
            </w:pPr>
            <w:r w:rsidRPr="009A5039">
              <w:rPr>
                <w:rFonts w:eastAsia="Times New Roman"/>
                <w:sz w:val="24"/>
              </w:rPr>
              <w:t>)</w:t>
            </w:r>
          </w:p>
          <w:p w:rsidR="001B19D4" w:rsidRPr="009A5039" w:rsidRDefault="001B19D4" w:rsidP="004B5669">
            <w:pPr>
              <w:widowControl w:val="0"/>
              <w:jc w:val="center"/>
              <w:rPr>
                <w:rFonts w:eastAsia="Times New Roman"/>
                <w:sz w:val="24"/>
              </w:rPr>
            </w:pPr>
            <w:r w:rsidRPr="009A5039">
              <w:rPr>
                <w:rFonts w:eastAsia="Times New Roman"/>
                <w:sz w:val="24"/>
              </w:rPr>
              <w:t>)</w:t>
            </w:r>
          </w:p>
          <w:p w:rsidR="001B19D4" w:rsidRPr="009A5039" w:rsidRDefault="001B19D4" w:rsidP="004B5669">
            <w:pPr>
              <w:widowControl w:val="0"/>
              <w:jc w:val="center"/>
              <w:rPr>
                <w:rFonts w:eastAsia="Times New Roman"/>
                <w:sz w:val="24"/>
              </w:rPr>
            </w:pPr>
            <w:r w:rsidRPr="009A5039">
              <w:rPr>
                <w:rFonts w:eastAsia="Times New Roman"/>
                <w:sz w:val="24"/>
              </w:rPr>
              <w:t>)</w:t>
            </w:r>
          </w:p>
          <w:p w:rsidR="001B19D4" w:rsidRPr="009A5039" w:rsidRDefault="001B19D4" w:rsidP="004B5669">
            <w:pPr>
              <w:widowControl w:val="0"/>
              <w:jc w:val="center"/>
              <w:rPr>
                <w:rFonts w:eastAsia="Times New Roman"/>
                <w:sz w:val="24"/>
              </w:rPr>
            </w:pPr>
            <w:r w:rsidRPr="009A5039">
              <w:rPr>
                <w:rFonts w:eastAsia="Times New Roman"/>
                <w:sz w:val="24"/>
              </w:rPr>
              <w:t>)</w:t>
            </w:r>
          </w:p>
          <w:p w:rsidR="001B19D4" w:rsidRPr="009A5039" w:rsidRDefault="001B19D4" w:rsidP="004B5669">
            <w:pPr>
              <w:widowControl w:val="0"/>
              <w:jc w:val="center"/>
              <w:rPr>
                <w:rFonts w:eastAsia="Times New Roman"/>
                <w:sz w:val="24"/>
              </w:rPr>
            </w:pPr>
            <w:r w:rsidRPr="009A5039">
              <w:rPr>
                <w:rFonts w:eastAsia="Times New Roman"/>
                <w:sz w:val="24"/>
              </w:rPr>
              <w:t>)</w:t>
            </w:r>
          </w:p>
          <w:p w:rsidR="001B19D4" w:rsidRPr="009A5039" w:rsidRDefault="001B19D4" w:rsidP="004B5669">
            <w:pPr>
              <w:widowControl w:val="0"/>
              <w:jc w:val="center"/>
              <w:rPr>
                <w:rFonts w:eastAsia="Times New Roman"/>
                <w:sz w:val="24"/>
              </w:rPr>
            </w:pPr>
            <w:r w:rsidRPr="009A5039">
              <w:rPr>
                <w:rFonts w:eastAsia="Times New Roman"/>
                <w:sz w:val="24"/>
              </w:rPr>
              <w:t>)</w:t>
            </w:r>
          </w:p>
          <w:p w:rsidR="001B19D4" w:rsidRPr="009A5039" w:rsidRDefault="001B19D4" w:rsidP="00542026">
            <w:pPr>
              <w:widowControl w:val="0"/>
              <w:jc w:val="center"/>
              <w:rPr>
                <w:rFonts w:eastAsia="Times New Roman"/>
                <w:sz w:val="24"/>
              </w:rPr>
            </w:pPr>
            <w:r w:rsidRPr="009A5039">
              <w:rPr>
                <w:rFonts w:eastAsia="Times New Roman"/>
                <w:sz w:val="24"/>
              </w:rPr>
              <w:t>)</w:t>
            </w:r>
          </w:p>
        </w:tc>
        <w:tc>
          <w:tcPr>
            <w:tcW w:w="3928" w:type="dxa"/>
          </w:tcPr>
          <w:p w:rsidR="001B19D4" w:rsidRPr="009A5039" w:rsidRDefault="001B19D4" w:rsidP="004B5669">
            <w:pPr>
              <w:widowControl w:val="0"/>
              <w:jc w:val="left"/>
              <w:rPr>
                <w:rFonts w:eastAsia="Times New Roman"/>
                <w:sz w:val="24"/>
              </w:rPr>
            </w:pPr>
          </w:p>
          <w:p w:rsidR="001B19D4" w:rsidRPr="009A5039" w:rsidRDefault="001B19D4" w:rsidP="004B5669">
            <w:pPr>
              <w:widowControl w:val="0"/>
              <w:jc w:val="left"/>
              <w:rPr>
                <w:rFonts w:eastAsia="Times New Roman"/>
                <w:sz w:val="24"/>
              </w:rPr>
            </w:pPr>
          </w:p>
          <w:p w:rsidR="001B19D4" w:rsidRDefault="00542026" w:rsidP="004B5669">
            <w:pPr>
              <w:widowControl w:val="0"/>
              <w:jc w:val="left"/>
              <w:rPr>
                <w:rFonts w:eastAsia="Times New Roman"/>
                <w:sz w:val="24"/>
              </w:rPr>
            </w:pPr>
            <w:r>
              <w:rPr>
                <w:rFonts w:eastAsia="Times New Roman"/>
                <w:sz w:val="24"/>
              </w:rPr>
              <w:t>Case No. 07</w:t>
            </w:r>
            <w:r w:rsidR="001B19D4">
              <w:rPr>
                <w:rFonts w:eastAsia="Times New Roman"/>
                <w:sz w:val="24"/>
              </w:rPr>
              <w:t>-1080-GA-AIR</w:t>
            </w:r>
          </w:p>
          <w:p w:rsidR="001B19D4" w:rsidRPr="009A5039" w:rsidRDefault="001B19D4" w:rsidP="004B5669">
            <w:pPr>
              <w:widowControl w:val="0"/>
              <w:jc w:val="left"/>
              <w:rPr>
                <w:rFonts w:eastAsia="Times New Roman"/>
                <w:sz w:val="24"/>
              </w:rPr>
            </w:pPr>
          </w:p>
          <w:p w:rsidR="001B19D4" w:rsidRPr="009A5039" w:rsidRDefault="001B19D4" w:rsidP="004B5669">
            <w:pPr>
              <w:widowControl w:val="0"/>
              <w:jc w:val="left"/>
              <w:rPr>
                <w:rFonts w:eastAsia="Times New Roman"/>
                <w:sz w:val="24"/>
              </w:rPr>
            </w:pPr>
          </w:p>
          <w:p w:rsidR="001B19D4" w:rsidRPr="009A5039" w:rsidRDefault="001B19D4" w:rsidP="004B5669">
            <w:pPr>
              <w:widowControl w:val="0"/>
              <w:jc w:val="left"/>
              <w:rPr>
                <w:rFonts w:eastAsia="Times New Roman"/>
                <w:sz w:val="24"/>
              </w:rPr>
            </w:pPr>
          </w:p>
          <w:p w:rsidR="001B19D4" w:rsidRPr="009A5039" w:rsidRDefault="001B19D4" w:rsidP="004B5669">
            <w:pPr>
              <w:widowControl w:val="0"/>
              <w:jc w:val="left"/>
              <w:rPr>
                <w:rFonts w:eastAsia="Times New Roman"/>
                <w:sz w:val="24"/>
              </w:rPr>
            </w:pPr>
          </w:p>
          <w:p w:rsidR="001B19D4" w:rsidRPr="009A5039" w:rsidRDefault="001B19D4" w:rsidP="004B5669">
            <w:pPr>
              <w:widowControl w:val="0"/>
              <w:jc w:val="left"/>
              <w:rPr>
                <w:rFonts w:eastAsia="Times New Roman"/>
                <w:sz w:val="24"/>
              </w:rPr>
            </w:pPr>
          </w:p>
          <w:p w:rsidR="001B19D4" w:rsidRPr="009A5039" w:rsidRDefault="001B19D4" w:rsidP="004B5669">
            <w:pPr>
              <w:widowControl w:val="0"/>
              <w:jc w:val="left"/>
              <w:rPr>
                <w:rFonts w:eastAsia="Times New Roman"/>
                <w:sz w:val="24"/>
              </w:rPr>
            </w:pPr>
          </w:p>
        </w:tc>
      </w:tr>
    </w:tbl>
    <w:p w:rsidR="001B19D4" w:rsidRPr="009A5039" w:rsidRDefault="001B19D4" w:rsidP="001B19D4">
      <w:pPr>
        <w:widowControl w:val="0"/>
        <w:spacing w:line="200" w:lineRule="exact"/>
        <w:jc w:val="left"/>
        <w:rPr>
          <w:rFonts w:eastAsia="Calibri"/>
          <w:sz w:val="24"/>
        </w:rPr>
      </w:pPr>
    </w:p>
    <w:p w:rsidR="001B19D4" w:rsidRPr="009A5039" w:rsidRDefault="001B19D4" w:rsidP="001B19D4">
      <w:pPr>
        <w:widowControl w:val="0"/>
        <w:spacing w:line="200" w:lineRule="exact"/>
        <w:jc w:val="left"/>
        <w:rPr>
          <w:rFonts w:eastAsia="Calibri"/>
          <w:sz w:val="24"/>
        </w:rPr>
      </w:pPr>
    </w:p>
    <w:p w:rsidR="001B19D4" w:rsidRPr="009A5039" w:rsidRDefault="001B19D4" w:rsidP="001B19D4">
      <w:pPr>
        <w:widowControl w:val="0"/>
        <w:spacing w:line="200" w:lineRule="exact"/>
        <w:jc w:val="left"/>
        <w:rPr>
          <w:rFonts w:eastAsia="Calibri"/>
          <w:sz w:val="24"/>
        </w:rPr>
      </w:pPr>
    </w:p>
    <w:p w:rsidR="004A0585" w:rsidRDefault="001B19D4" w:rsidP="004A0585">
      <w:pPr>
        <w:widowControl w:val="0"/>
        <w:spacing w:line="268" w:lineRule="exact"/>
        <w:ind w:left="1319" w:right="942"/>
        <w:jc w:val="center"/>
        <w:rPr>
          <w:rFonts w:eastAsia="Times New Roman"/>
          <w:b/>
          <w:color w:val="21212A"/>
          <w:w w:val="105"/>
          <w:sz w:val="24"/>
        </w:rPr>
      </w:pPr>
      <w:r w:rsidRPr="009A5039">
        <w:rPr>
          <w:rFonts w:eastAsia="Calibri"/>
          <w:b/>
          <w:noProof/>
          <w:sz w:val="24"/>
        </w:rPr>
        <mc:AlternateContent>
          <mc:Choice Requires="wpg">
            <w:drawing>
              <wp:anchor distT="0" distB="0" distL="114300" distR="114300" simplePos="0" relativeHeight="251662336" behindDoc="1" locked="0" layoutInCell="1" allowOverlap="1" wp14:anchorId="0C759CF3" wp14:editId="1712CD34">
                <wp:simplePos x="0" y="0"/>
                <wp:positionH relativeFrom="page">
                  <wp:posOffset>1121410</wp:posOffset>
                </wp:positionH>
                <wp:positionV relativeFrom="paragraph">
                  <wp:posOffset>-193040</wp:posOffset>
                </wp:positionV>
                <wp:extent cx="5528945" cy="1270"/>
                <wp:effectExtent l="16510" t="16510" r="17145" b="20320"/>
                <wp:wrapNone/>
                <wp:docPr id="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945" cy="1270"/>
                          <a:chOff x="1766" y="-304"/>
                          <a:chExt cx="8707" cy="2"/>
                        </a:xfrm>
                      </wpg:grpSpPr>
                      <wps:wsp>
                        <wps:cNvPr id="2" name="Freeform 37"/>
                        <wps:cNvSpPr>
                          <a:spLocks/>
                        </wps:cNvSpPr>
                        <wps:spPr bwMode="auto">
                          <a:xfrm>
                            <a:off x="1766" y="-304"/>
                            <a:ext cx="8707" cy="2"/>
                          </a:xfrm>
                          <a:custGeom>
                            <a:avLst/>
                            <a:gdLst>
                              <a:gd name="T0" fmla="+- 0 1766 1766"/>
                              <a:gd name="T1" fmla="*/ T0 w 8707"/>
                              <a:gd name="T2" fmla="+- 0 10474 1766"/>
                              <a:gd name="T3" fmla="*/ T2 w 8707"/>
                            </a:gdLst>
                            <a:ahLst/>
                            <a:cxnLst>
                              <a:cxn ang="0">
                                <a:pos x="T1" y="0"/>
                              </a:cxn>
                              <a:cxn ang="0">
                                <a:pos x="T3" y="0"/>
                              </a:cxn>
                            </a:cxnLst>
                            <a:rect l="0" t="0" r="r" b="b"/>
                            <a:pathLst>
                              <a:path w="8707">
                                <a:moveTo>
                                  <a:pt x="0" y="0"/>
                                </a:moveTo>
                                <a:lnTo>
                                  <a:pt x="8708"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65708AB" id="Group 36" o:spid="_x0000_s1026" style="position:absolute;margin-left:88.3pt;margin-top:-15.2pt;width:435.35pt;height:.1pt;z-index:-251654144;mso-position-horizontal-relative:page" coordorigin="1766,-304" coordsize="87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">
                <v:shape id="Freeform 37" o:spid="_x0000_s1027" style="position:absolute;left:1766;top:-304;width:8707;height:2;visibility:visible;mso-wrap-style:square;v-text-anchor:top" coordsize="87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NIAMIA&#10;AADaAAAADwAAAGRycy9kb3ducmV2LnhtbESPzWrDMBCE74W8g9hAbo2cH0LrWglJSiHXpr3ktlhb&#10;y9haOZIaq28fFQo9DjPzDVPtku3FjXxoHStYzAsQxLXTLTcKPj/eHp9AhIissXdMCn4owG47eaiw&#10;1G7kd7qdYyMyhEOJCkyMQyllqA1ZDHM3EGfvy3mLMUvfSO1xzHDby2VRbKTFlvOCwYGOhuru/G0V&#10;vB4vp/TsN906mWtxWF2MS2NSajZN+xcQkVL8D/+1T1rBEn6v5Bs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Q0gAwgAAANoAAAAPAAAAAAAAAAAAAAAAAJgCAABkcnMvZG93&#10;bnJldi54bWxQSwUGAAAAAAQABAD1AAAAhwMAAAAA&#10;" path="m,l8708,e" filled="f" strokeweight="1.92pt">
                  <v:path arrowok="t" o:connecttype="custom" o:connectlocs="0,0;8708,0" o:connectangles="0,0"/>
                </v:shape>
                <w10:wrap anchorx="page"/>
              </v:group>
            </w:pict>
          </mc:Fallback>
        </mc:AlternateContent>
      </w:r>
      <w:r>
        <w:rPr>
          <w:rFonts w:eastAsia="Times New Roman"/>
          <w:b/>
          <w:color w:val="21212A"/>
          <w:w w:val="105"/>
          <w:sz w:val="24"/>
        </w:rPr>
        <w:t>MEMORANDUM CONTRA OF INTERSTATE GAS SUPPLY, INC.</w:t>
      </w:r>
      <w:r w:rsidR="00F06E46">
        <w:rPr>
          <w:rFonts w:eastAsia="Times New Roman"/>
          <w:b/>
          <w:color w:val="21212A"/>
          <w:w w:val="105"/>
          <w:sz w:val="24"/>
        </w:rPr>
        <w:t xml:space="preserve"> THE MOTION OF THE OFFICE OF THE OHIO </w:t>
      </w:r>
    </w:p>
    <w:p w:rsidR="001B19D4" w:rsidRPr="004A0585" w:rsidRDefault="00F06E46" w:rsidP="004A0585">
      <w:pPr>
        <w:widowControl w:val="0"/>
        <w:spacing w:line="268" w:lineRule="exact"/>
        <w:ind w:left="1319" w:right="942"/>
        <w:jc w:val="center"/>
        <w:rPr>
          <w:rFonts w:eastAsia="Times New Roman"/>
          <w:b/>
          <w:color w:val="21212A"/>
          <w:w w:val="105"/>
          <w:sz w:val="24"/>
        </w:rPr>
      </w:pPr>
      <w:r>
        <w:rPr>
          <w:rFonts w:eastAsia="Times New Roman"/>
          <w:b/>
          <w:color w:val="21212A"/>
          <w:w w:val="105"/>
          <w:sz w:val="24"/>
        </w:rPr>
        <w:t>CONSUMERS’ COUNSEL</w:t>
      </w:r>
      <w:r w:rsidR="001B19D4" w:rsidRPr="009A5039">
        <w:rPr>
          <w:rFonts w:eastAsia="Calibri"/>
          <w:b/>
          <w:noProof/>
          <w:sz w:val="24"/>
        </w:rPr>
        <mc:AlternateContent>
          <mc:Choice Requires="wpg">
            <w:drawing>
              <wp:anchor distT="0" distB="0" distL="114300" distR="114300" simplePos="0" relativeHeight="251663360" behindDoc="1" locked="0" layoutInCell="1" allowOverlap="1" wp14:anchorId="7BE6518F" wp14:editId="4DD3E830">
                <wp:simplePos x="0" y="0"/>
                <wp:positionH relativeFrom="page">
                  <wp:posOffset>1121410</wp:posOffset>
                </wp:positionH>
                <wp:positionV relativeFrom="paragraph">
                  <wp:posOffset>374650</wp:posOffset>
                </wp:positionV>
                <wp:extent cx="5528945" cy="1270"/>
                <wp:effectExtent l="16510" t="12700" r="17145" b="14605"/>
                <wp:wrapNone/>
                <wp:docPr id="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945" cy="1270"/>
                          <a:chOff x="1766" y="590"/>
                          <a:chExt cx="8707" cy="2"/>
                        </a:xfrm>
                      </wpg:grpSpPr>
                      <wps:wsp>
                        <wps:cNvPr id="4" name="Freeform 35"/>
                        <wps:cNvSpPr>
                          <a:spLocks/>
                        </wps:cNvSpPr>
                        <wps:spPr bwMode="auto">
                          <a:xfrm>
                            <a:off x="1766" y="590"/>
                            <a:ext cx="8707" cy="2"/>
                          </a:xfrm>
                          <a:custGeom>
                            <a:avLst/>
                            <a:gdLst>
                              <a:gd name="T0" fmla="+- 0 1766 1766"/>
                              <a:gd name="T1" fmla="*/ T0 w 8707"/>
                              <a:gd name="T2" fmla="+- 0 10474 1766"/>
                              <a:gd name="T3" fmla="*/ T2 w 8707"/>
                            </a:gdLst>
                            <a:ahLst/>
                            <a:cxnLst>
                              <a:cxn ang="0">
                                <a:pos x="T1" y="0"/>
                              </a:cxn>
                              <a:cxn ang="0">
                                <a:pos x="T3" y="0"/>
                              </a:cxn>
                            </a:cxnLst>
                            <a:rect l="0" t="0" r="r" b="b"/>
                            <a:pathLst>
                              <a:path w="8707">
                                <a:moveTo>
                                  <a:pt x="0" y="0"/>
                                </a:moveTo>
                                <a:lnTo>
                                  <a:pt x="8708"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F373106" id="Group 34" o:spid="_x0000_s1026" style="position:absolute;margin-left:88.3pt;margin-top:29.5pt;width:435.35pt;height:.1pt;z-index:-251653120;mso-position-horizontal-relative:page" coordorigin="1766,590" coordsize="87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">
                <v:shape id="Freeform 35" o:spid="_x0000_s1027" style="position:absolute;left:1766;top:590;width:8707;height:2;visibility:visible;mso-wrap-style:square;v-text-anchor:top" coordsize="87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178AA&#10;AADaAAAADwAAAGRycy9kb3ducmV2LnhtbESPQWsCMRSE74L/ITzBm2a1Iu3WKK1F8Frbi7fH5nWz&#10;uHlZk+jGf28EocdhZr5hVptkW3ElHxrHCmbTAgRx5XTDtYLfn93kFUSIyBpbx6TgRgE26+FghaV2&#10;PX/T9RBrkSEcSlRgYuxKKUNlyGKYuo44e3/OW4xZ+lpqj32G21bOi2IpLTacFwx2tDVUnQ4Xq+Br&#10;e9ynN788LZI5F58vR+NSn5Qaj9LHO4hIKf6Hn+29VrCAx5V8A+T6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Z178AAAADaAAAADwAAAAAAAAAAAAAAAACYAgAAZHJzL2Rvd25y&#10;ZXYueG1sUEsFBgAAAAAEAAQA9QAAAIUDAAAAAA==&#10;" path="m,l8708,e" filled="f" strokeweight="1.92pt">
                  <v:path arrowok="t" o:connecttype="custom" o:connectlocs="0,0;8708,0" o:connectangles="0,0"/>
                </v:shape>
                <w10:wrap anchorx="page"/>
              </v:group>
            </w:pict>
          </mc:Fallback>
        </mc:AlternateContent>
      </w:r>
    </w:p>
    <w:p w:rsidR="001B19D4" w:rsidRDefault="001B19D4" w:rsidP="001B19D4">
      <w:pPr>
        <w:pStyle w:val="ListParagraph"/>
        <w:ind w:left="1440"/>
        <w:rPr>
          <w:b/>
          <w:sz w:val="24"/>
        </w:rPr>
      </w:pPr>
    </w:p>
    <w:p w:rsidR="004A0585" w:rsidRDefault="004A0585" w:rsidP="004A0585">
      <w:pPr>
        <w:pStyle w:val="ListParagraph"/>
        <w:ind w:left="1440"/>
        <w:rPr>
          <w:b/>
          <w:sz w:val="24"/>
        </w:rPr>
      </w:pPr>
    </w:p>
    <w:p w:rsidR="001B19D4" w:rsidRPr="001B19D4" w:rsidRDefault="001B19D4" w:rsidP="001B19D4">
      <w:pPr>
        <w:pStyle w:val="ListParagraph"/>
        <w:numPr>
          <w:ilvl w:val="0"/>
          <w:numId w:val="7"/>
        </w:numPr>
        <w:rPr>
          <w:b/>
          <w:sz w:val="24"/>
        </w:rPr>
      </w:pPr>
      <w:r>
        <w:rPr>
          <w:b/>
          <w:sz w:val="24"/>
        </w:rPr>
        <w:t>INTRODUCTION</w:t>
      </w:r>
    </w:p>
    <w:p w:rsidR="001B19D4" w:rsidRDefault="001B19D4" w:rsidP="001B19D4">
      <w:pPr>
        <w:rPr>
          <w:b/>
          <w:sz w:val="24"/>
        </w:rPr>
      </w:pPr>
    </w:p>
    <w:p w:rsidR="001B19D4" w:rsidRDefault="001B19D4" w:rsidP="001B19D4">
      <w:pPr>
        <w:spacing w:line="480" w:lineRule="auto"/>
        <w:ind w:firstLine="720"/>
        <w:rPr>
          <w:rFonts w:eastAsia="Arial"/>
          <w:sz w:val="24"/>
        </w:rPr>
      </w:pPr>
      <w:r>
        <w:rPr>
          <w:rFonts w:eastAsia="Arial"/>
          <w:sz w:val="24"/>
        </w:rPr>
        <w:t xml:space="preserve">On January 12, 2016, the Office of the Ohio Consumers’ Counsel </w:t>
      </w:r>
      <w:r w:rsidR="009F1351">
        <w:rPr>
          <w:rFonts w:eastAsia="Arial"/>
          <w:sz w:val="24"/>
        </w:rPr>
        <w:t xml:space="preserve">(“OCC”) </w:t>
      </w:r>
      <w:r>
        <w:rPr>
          <w:rFonts w:eastAsia="Arial"/>
          <w:sz w:val="24"/>
        </w:rPr>
        <w:t>filed a Motion requesting that the Public Utilities Commission of Ohio (“Commission”) issue an order requiring</w:t>
      </w:r>
      <w:r w:rsidRPr="001B19D4">
        <w:rPr>
          <w:rFonts w:eastAsia="Arial"/>
          <w:sz w:val="24"/>
        </w:rPr>
        <w:t xml:space="preserve"> </w:t>
      </w:r>
      <w:r>
        <w:rPr>
          <w:rFonts w:eastAsia="Arial"/>
          <w:sz w:val="24"/>
        </w:rPr>
        <w:t xml:space="preserve">Vectren Energy Delivery of Ohio (“VEDO”) to decrease the $100 Wi-Fi thermostat rebate available in </w:t>
      </w:r>
      <w:r w:rsidR="009F1351">
        <w:rPr>
          <w:rFonts w:eastAsia="Arial"/>
          <w:sz w:val="24"/>
        </w:rPr>
        <w:t xml:space="preserve">its </w:t>
      </w:r>
      <w:r>
        <w:rPr>
          <w:rFonts w:eastAsia="Arial"/>
          <w:sz w:val="24"/>
        </w:rPr>
        <w:t>service territory.  OCC alleges that the rebate should be cut in half and should be limited to one thermostat per household.  As discussed below, Interstate Gas Supply, Inc. (“IGS”</w:t>
      </w:r>
      <w:r w:rsidR="004A0585">
        <w:rPr>
          <w:rFonts w:eastAsia="Arial"/>
          <w:sz w:val="24"/>
        </w:rPr>
        <w:t>) urges the Commission to deny</w:t>
      </w:r>
      <w:r>
        <w:rPr>
          <w:rFonts w:eastAsia="Arial"/>
          <w:sz w:val="24"/>
        </w:rPr>
        <w:t xml:space="preserve"> OCC’s request and uphold the recommendation of the majority of the collaborative members. </w:t>
      </w:r>
    </w:p>
    <w:p w:rsidR="00171F7B" w:rsidRPr="00171F7B" w:rsidRDefault="001B19D4" w:rsidP="00171F7B">
      <w:pPr>
        <w:pStyle w:val="ListParagraph"/>
        <w:numPr>
          <w:ilvl w:val="0"/>
          <w:numId w:val="7"/>
        </w:numPr>
        <w:spacing w:line="480" w:lineRule="auto"/>
        <w:rPr>
          <w:rFonts w:eastAsia="Arial"/>
          <w:b/>
          <w:sz w:val="24"/>
        </w:rPr>
      </w:pPr>
      <w:r>
        <w:rPr>
          <w:rFonts w:eastAsia="Arial"/>
          <w:b/>
          <w:sz w:val="24"/>
        </w:rPr>
        <w:t xml:space="preserve">BACKGROUND </w:t>
      </w:r>
    </w:p>
    <w:p w:rsidR="001B19D4" w:rsidRDefault="00C56BCF" w:rsidP="00C56BCF">
      <w:pPr>
        <w:spacing w:line="480" w:lineRule="auto"/>
        <w:ind w:firstLine="720"/>
        <w:rPr>
          <w:rFonts w:eastAsia="Arial"/>
          <w:sz w:val="24"/>
        </w:rPr>
      </w:pPr>
      <w:r>
        <w:rPr>
          <w:rFonts w:eastAsia="Arial"/>
          <w:sz w:val="24"/>
        </w:rPr>
        <w:t xml:space="preserve">VEDO’s demand side management (“DSM”) program is driven largely by the decisions of a collaborative.  The collaborative meets at least annually and votes on recommendations regarding the addition of new programs and allocations of funds </w:t>
      </w:r>
      <w:r>
        <w:rPr>
          <w:rFonts w:eastAsia="Arial"/>
          <w:sz w:val="24"/>
        </w:rPr>
        <w:lastRenderedPageBreak/>
        <w:t>within programs.</w:t>
      </w:r>
      <w:r>
        <w:rPr>
          <w:rStyle w:val="FootnoteReference"/>
          <w:rFonts w:eastAsia="Arial"/>
          <w:sz w:val="24"/>
        </w:rPr>
        <w:footnoteReference w:id="1"/>
      </w:r>
      <w:r>
        <w:rPr>
          <w:rFonts w:eastAsia="Arial"/>
          <w:sz w:val="24"/>
        </w:rPr>
        <w:t xml:space="preserve">  The collaborative consists of VEDO, Commission Staff, Ohio Partners for Affordable Energy (“OPAE”), the </w:t>
      </w:r>
      <w:r w:rsidR="004A0585">
        <w:rPr>
          <w:rFonts w:eastAsia="Arial"/>
          <w:sz w:val="24"/>
        </w:rPr>
        <w:t>OCC, IGS</w:t>
      </w:r>
      <w:r>
        <w:rPr>
          <w:rFonts w:eastAsia="Arial"/>
          <w:sz w:val="24"/>
        </w:rPr>
        <w:t>, and Stand Energy.</w:t>
      </w:r>
      <w:r w:rsidR="009F1351">
        <w:rPr>
          <w:rStyle w:val="FootnoteReference"/>
          <w:rFonts w:eastAsia="Arial"/>
          <w:sz w:val="24"/>
        </w:rPr>
        <w:footnoteReference w:id="2"/>
      </w:r>
      <w:r w:rsidR="009F1351">
        <w:rPr>
          <w:rFonts w:eastAsia="Arial"/>
          <w:sz w:val="24"/>
        </w:rPr>
        <w:t xml:space="preserve">  </w:t>
      </w:r>
      <w:r w:rsidR="006A78BF">
        <w:rPr>
          <w:rFonts w:eastAsia="Arial"/>
          <w:sz w:val="24"/>
        </w:rPr>
        <w:t>If a majority of collaborative members vote in favor of an aspect of the DSM, it becomes part of the DSM plan, unless the Commission orders differently following the motion of a party.</w:t>
      </w:r>
      <w:r w:rsidR="004A0585">
        <w:rPr>
          <w:rStyle w:val="FootnoteReference"/>
          <w:rFonts w:eastAsia="Arial"/>
          <w:sz w:val="24"/>
        </w:rPr>
        <w:footnoteReference w:id="3"/>
      </w:r>
    </w:p>
    <w:p w:rsidR="006A78BF" w:rsidRDefault="009F1351" w:rsidP="00C56BCF">
      <w:pPr>
        <w:spacing w:line="480" w:lineRule="auto"/>
        <w:ind w:firstLine="720"/>
        <w:rPr>
          <w:rFonts w:eastAsia="Arial"/>
          <w:sz w:val="24"/>
        </w:rPr>
      </w:pPr>
      <w:r>
        <w:rPr>
          <w:rFonts w:eastAsia="Arial"/>
          <w:sz w:val="24"/>
        </w:rPr>
        <w:t>As</w:t>
      </w:r>
      <w:r w:rsidR="006A78BF">
        <w:rPr>
          <w:rFonts w:eastAsia="Arial"/>
          <w:sz w:val="24"/>
        </w:rPr>
        <w:t xml:space="preserve"> OCC notes in its Motion, the majority of collaborative members voted in favor of establishing a $100 Wi-Fi ther</w:t>
      </w:r>
      <w:r>
        <w:rPr>
          <w:rFonts w:eastAsia="Arial"/>
          <w:sz w:val="24"/>
        </w:rPr>
        <w:t>mostat rebate, with a limit of three</w:t>
      </w:r>
      <w:r w:rsidR="006A78BF">
        <w:rPr>
          <w:rFonts w:eastAsia="Arial"/>
          <w:sz w:val="24"/>
        </w:rPr>
        <w:t xml:space="preserve"> rebates per household.</w:t>
      </w:r>
      <w:r w:rsidR="00AC19C8">
        <w:rPr>
          <w:rStyle w:val="FootnoteReference"/>
          <w:rFonts w:eastAsia="Arial"/>
          <w:sz w:val="24"/>
        </w:rPr>
        <w:footnoteReference w:id="4"/>
      </w:r>
      <w:r w:rsidR="006A78BF">
        <w:rPr>
          <w:rFonts w:eastAsia="Arial"/>
          <w:sz w:val="24"/>
        </w:rPr>
        <w:t xml:space="preserve">  OCC seeks to reduce the size of the maximum allowable rebate to $50 for adapt</w:t>
      </w:r>
      <w:r w:rsidR="00E2286A">
        <w:rPr>
          <w:rFonts w:eastAsia="Arial"/>
          <w:sz w:val="24"/>
        </w:rPr>
        <w:t>ive</w:t>
      </w:r>
      <w:r w:rsidR="006A78BF">
        <w:rPr>
          <w:rFonts w:eastAsia="Arial"/>
          <w:sz w:val="24"/>
        </w:rPr>
        <w:t xml:space="preserve"> thermostats such as Nest, Ecobee</w:t>
      </w:r>
      <w:r>
        <w:rPr>
          <w:rFonts w:eastAsia="Arial"/>
          <w:sz w:val="24"/>
        </w:rPr>
        <w:t xml:space="preserve"> 3</w:t>
      </w:r>
      <w:r w:rsidR="006A78BF">
        <w:rPr>
          <w:rFonts w:eastAsia="Arial"/>
          <w:sz w:val="24"/>
        </w:rPr>
        <w:t>, and Honeywell Lyric.</w:t>
      </w:r>
      <w:r w:rsidR="00AC19C8">
        <w:rPr>
          <w:rStyle w:val="FootnoteReference"/>
          <w:rFonts w:eastAsia="Arial"/>
          <w:sz w:val="24"/>
        </w:rPr>
        <w:footnoteReference w:id="5"/>
      </w:r>
      <w:r w:rsidR="006A78BF">
        <w:rPr>
          <w:rFonts w:eastAsia="Arial"/>
          <w:sz w:val="24"/>
        </w:rPr>
        <w:t xml:space="preserve">  For non-adap</w:t>
      </w:r>
      <w:r w:rsidR="00171F7B">
        <w:rPr>
          <w:rFonts w:eastAsia="Arial"/>
          <w:sz w:val="24"/>
        </w:rPr>
        <w:t>tive thermostats, OCC would reduce the rebate to</w:t>
      </w:r>
      <w:r w:rsidR="006A78BF">
        <w:rPr>
          <w:rFonts w:eastAsia="Arial"/>
          <w:sz w:val="24"/>
        </w:rPr>
        <w:t xml:space="preserve"> $20.</w:t>
      </w:r>
      <w:r w:rsidR="00A75CEB">
        <w:rPr>
          <w:rStyle w:val="FootnoteReference"/>
          <w:rFonts w:eastAsia="Arial"/>
          <w:sz w:val="24"/>
        </w:rPr>
        <w:footnoteReference w:id="6"/>
      </w:r>
      <w:r w:rsidR="006A78BF">
        <w:rPr>
          <w:rFonts w:eastAsia="Arial"/>
          <w:sz w:val="24"/>
        </w:rPr>
        <w:t xml:space="preserve"> </w:t>
      </w:r>
    </w:p>
    <w:p w:rsidR="006A78BF" w:rsidRDefault="00171F7B" w:rsidP="00C56BCF">
      <w:pPr>
        <w:spacing w:line="480" w:lineRule="auto"/>
        <w:ind w:firstLine="720"/>
        <w:rPr>
          <w:rFonts w:eastAsia="Arial"/>
          <w:sz w:val="24"/>
        </w:rPr>
      </w:pPr>
      <w:r>
        <w:rPr>
          <w:rFonts w:eastAsia="Arial"/>
          <w:sz w:val="24"/>
        </w:rPr>
        <w:t>OCC</w:t>
      </w:r>
      <w:r w:rsidR="00A75CEB">
        <w:rPr>
          <w:rFonts w:eastAsia="Arial"/>
          <w:sz w:val="24"/>
        </w:rPr>
        <w:t xml:space="preserve"> claims that</w:t>
      </w:r>
      <w:r>
        <w:rPr>
          <w:rFonts w:eastAsia="Arial"/>
          <w:sz w:val="24"/>
        </w:rPr>
        <w:t xml:space="preserve"> many Wi-Fi thermostats on the market are priced around $100,</w:t>
      </w:r>
      <w:r>
        <w:rPr>
          <w:rStyle w:val="FootnoteReference"/>
          <w:rFonts w:eastAsia="Arial"/>
          <w:sz w:val="24"/>
        </w:rPr>
        <w:footnoteReference w:id="7"/>
      </w:r>
      <w:r>
        <w:rPr>
          <w:rFonts w:eastAsia="Arial"/>
          <w:sz w:val="24"/>
        </w:rPr>
        <w:t xml:space="preserve"> so a rebate will cover </w:t>
      </w:r>
      <w:r w:rsidR="00A75CEB">
        <w:rPr>
          <w:rFonts w:eastAsia="Arial"/>
          <w:sz w:val="24"/>
        </w:rPr>
        <w:t>“up to 100% of the cost of the technology.”</w:t>
      </w:r>
      <w:r w:rsidR="00AC19C8">
        <w:rPr>
          <w:rStyle w:val="FootnoteReference"/>
          <w:rFonts w:eastAsia="Arial"/>
          <w:sz w:val="24"/>
        </w:rPr>
        <w:footnoteReference w:id="8"/>
      </w:r>
      <w:r w:rsidR="00A75CEB">
        <w:rPr>
          <w:rFonts w:eastAsia="Arial"/>
          <w:sz w:val="24"/>
        </w:rPr>
        <w:t xml:space="preserve">    OCC claims this is </w:t>
      </w:r>
      <w:r w:rsidR="00A75CEB">
        <w:rPr>
          <w:rFonts w:eastAsia="Arial"/>
          <w:sz w:val="24"/>
        </w:rPr>
        <w:lastRenderedPageBreak/>
        <w:t>unreasonable given that VEDO offers $300 rebates for more expensive furnace and boiler replacements.</w:t>
      </w:r>
      <w:r w:rsidR="00AC19C8">
        <w:rPr>
          <w:rStyle w:val="FootnoteReference"/>
          <w:rFonts w:eastAsia="Arial"/>
          <w:sz w:val="24"/>
        </w:rPr>
        <w:footnoteReference w:id="9"/>
      </w:r>
      <w:r w:rsidR="00A75CEB">
        <w:rPr>
          <w:rFonts w:eastAsia="Arial"/>
          <w:sz w:val="24"/>
        </w:rPr>
        <w:t xml:space="preserve">   </w:t>
      </w:r>
      <w:r w:rsidR="006A78BF">
        <w:rPr>
          <w:rFonts w:eastAsia="Arial"/>
          <w:sz w:val="24"/>
        </w:rPr>
        <w:t xml:space="preserve">  </w:t>
      </w:r>
    </w:p>
    <w:p w:rsidR="00171F7B" w:rsidRDefault="009F1351" w:rsidP="001B19D4">
      <w:pPr>
        <w:spacing w:line="480" w:lineRule="auto"/>
        <w:rPr>
          <w:rFonts w:eastAsia="Arial"/>
          <w:sz w:val="24"/>
        </w:rPr>
      </w:pPr>
      <w:r>
        <w:rPr>
          <w:rFonts w:eastAsia="Arial"/>
          <w:sz w:val="24"/>
        </w:rPr>
        <w:tab/>
        <w:t>Additionally</w:t>
      </w:r>
      <w:r w:rsidR="00A75CEB">
        <w:rPr>
          <w:rFonts w:eastAsia="Arial"/>
          <w:sz w:val="24"/>
        </w:rPr>
        <w:t>, OCC recommends that</w:t>
      </w:r>
      <w:r>
        <w:rPr>
          <w:rFonts w:eastAsia="Arial"/>
          <w:sz w:val="24"/>
        </w:rPr>
        <w:t xml:space="preserve"> the Commission limit the availability of the rebate to one per household.</w:t>
      </w:r>
    </w:p>
    <w:p w:rsidR="00171F7B" w:rsidRDefault="00171F7B" w:rsidP="00171F7B">
      <w:pPr>
        <w:pStyle w:val="ListParagraph"/>
        <w:numPr>
          <w:ilvl w:val="0"/>
          <w:numId w:val="7"/>
        </w:numPr>
        <w:spacing w:line="480" w:lineRule="auto"/>
        <w:rPr>
          <w:rFonts w:eastAsia="Arial"/>
          <w:b/>
          <w:sz w:val="24"/>
        </w:rPr>
      </w:pPr>
      <w:r>
        <w:rPr>
          <w:rFonts w:eastAsia="Arial"/>
          <w:b/>
          <w:sz w:val="24"/>
        </w:rPr>
        <w:t>ARGUMENT</w:t>
      </w:r>
    </w:p>
    <w:p w:rsidR="000F45F5" w:rsidRDefault="00171F7B" w:rsidP="00171F7B">
      <w:pPr>
        <w:spacing w:line="480" w:lineRule="auto"/>
        <w:ind w:firstLine="720"/>
        <w:rPr>
          <w:rFonts w:eastAsia="Arial"/>
          <w:sz w:val="24"/>
        </w:rPr>
      </w:pPr>
      <w:r>
        <w:rPr>
          <w:rFonts w:eastAsia="Arial"/>
          <w:sz w:val="24"/>
        </w:rPr>
        <w:t>First, OCC’s claim that a $100 rebate will cover 100% of the cost of a Wi-Fi thermostat is</w:t>
      </w:r>
      <w:r w:rsidR="000F45F5">
        <w:rPr>
          <w:rFonts w:eastAsia="Arial"/>
          <w:sz w:val="24"/>
        </w:rPr>
        <w:t xml:space="preserve"> not true. </w:t>
      </w:r>
      <w:r w:rsidR="00AC19C8">
        <w:rPr>
          <w:rFonts w:eastAsia="Arial"/>
          <w:sz w:val="24"/>
        </w:rPr>
        <w:t xml:space="preserve"> As OCC recognizes (in a footnote</w:t>
      </w:r>
      <w:r w:rsidR="000F45F5">
        <w:rPr>
          <w:rFonts w:eastAsia="Arial"/>
          <w:sz w:val="24"/>
        </w:rPr>
        <w:t>)</w:t>
      </w:r>
      <w:r>
        <w:rPr>
          <w:rFonts w:eastAsia="Arial"/>
          <w:sz w:val="24"/>
        </w:rPr>
        <w:t xml:space="preserve"> in its Motion, adaptive thermostats such as Nest cost approximately $250</w:t>
      </w:r>
      <w:r w:rsidR="009F1351">
        <w:rPr>
          <w:rFonts w:eastAsia="Arial"/>
          <w:sz w:val="24"/>
        </w:rPr>
        <w:t xml:space="preserve"> at retail, which does not</w:t>
      </w:r>
      <w:r>
        <w:rPr>
          <w:rFonts w:eastAsia="Arial"/>
          <w:sz w:val="24"/>
        </w:rPr>
        <w:t xml:space="preserve"> include installation costs</w:t>
      </w:r>
      <w:r w:rsidR="009F1351">
        <w:rPr>
          <w:rFonts w:eastAsia="Arial"/>
          <w:sz w:val="24"/>
        </w:rPr>
        <w:t xml:space="preserve"> or tax</w:t>
      </w:r>
      <w:r>
        <w:rPr>
          <w:rFonts w:eastAsia="Arial"/>
          <w:sz w:val="24"/>
        </w:rPr>
        <w:t>.</w:t>
      </w:r>
      <w:r>
        <w:rPr>
          <w:rStyle w:val="FootnoteReference"/>
          <w:rFonts w:eastAsia="Arial"/>
          <w:sz w:val="24"/>
        </w:rPr>
        <w:footnoteReference w:id="10"/>
      </w:r>
      <w:r>
        <w:rPr>
          <w:rFonts w:eastAsia="Arial"/>
          <w:sz w:val="24"/>
        </w:rPr>
        <w:t xml:space="preserve">  The EcoBee 3 and Honeywell Lyric have similar retail costs exclusive of installation costs.</w:t>
      </w:r>
      <w:r>
        <w:rPr>
          <w:rStyle w:val="FootnoteReference"/>
          <w:rFonts w:eastAsia="Arial"/>
          <w:sz w:val="24"/>
        </w:rPr>
        <w:footnoteReference w:id="11"/>
      </w:r>
      <w:r>
        <w:rPr>
          <w:rFonts w:eastAsia="Arial"/>
          <w:sz w:val="24"/>
        </w:rPr>
        <w:t xml:space="preserve"> </w:t>
      </w:r>
      <w:r w:rsidR="000F45F5">
        <w:rPr>
          <w:rFonts w:eastAsia="Arial"/>
          <w:sz w:val="24"/>
        </w:rPr>
        <w:t>Thus, a $100 rebate for an adaptive thermostat will still</w:t>
      </w:r>
      <w:r w:rsidR="009F1351">
        <w:rPr>
          <w:rFonts w:eastAsia="Arial"/>
          <w:sz w:val="24"/>
        </w:rPr>
        <w:t xml:space="preserve"> fall</w:t>
      </w:r>
      <w:r w:rsidR="000F45F5">
        <w:rPr>
          <w:rFonts w:eastAsia="Arial"/>
          <w:sz w:val="24"/>
        </w:rPr>
        <w:t xml:space="preserve"> far short of the total cost of the technology. </w:t>
      </w:r>
    </w:p>
    <w:p w:rsidR="00992067" w:rsidRDefault="00F00C40" w:rsidP="00171F7B">
      <w:pPr>
        <w:spacing w:line="480" w:lineRule="auto"/>
        <w:ind w:firstLine="720"/>
        <w:rPr>
          <w:rFonts w:eastAsia="Arial"/>
          <w:sz w:val="24"/>
        </w:rPr>
      </w:pPr>
      <w:r>
        <w:rPr>
          <w:rFonts w:eastAsia="Arial"/>
          <w:sz w:val="24"/>
        </w:rPr>
        <w:t xml:space="preserve">Second, </w:t>
      </w:r>
      <w:r w:rsidR="009F1351">
        <w:rPr>
          <w:rFonts w:eastAsia="Arial"/>
          <w:sz w:val="24"/>
        </w:rPr>
        <w:t>OCC</w:t>
      </w:r>
      <w:r w:rsidR="000F45F5">
        <w:rPr>
          <w:rFonts w:eastAsia="Arial"/>
          <w:sz w:val="24"/>
        </w:rPr>
        <w:t xml:space="preserve"> claims that in the current low price environment for natural gas, the rebate is not cost effective.  While IGS agrees that natural gas prices are currently low, that is all the more reason to incenti</w:t>
      </w:r>
      <w:r w:rsidR="009F1351">
        <w:rPr>
          <w:rFonts w:eastAsia="Arial"/>
          <w:sz w:val="24"/>
        </w:rPr>
        <w:t>vize technologies that will effectuate</w:t>
      </w:r>
      <w:r w:rsidR="000F45F5">
        <w:rPr>
          <w:rFonts w:eastAsia="Arial"/>
          <w:sz w:val="24"/>
        </w:rPr>
        <w:t xml:space="preserve"> a long-term reduction in </w:t>
      </w:r>
      <w:r w:rsidR="009F1351">
        <w:rPr>
          <w:rFonts w:eastAsia="Arial"/>
          <w:sz w:val="24"/>
        </w:rPr>
        <w:t xml:space="preserve">customer </w:t>
      </w:r>
      <w:r w:rsidR="000F45F5">
        <w:rPr>
          <w:rFonts w:eastAsia="Arial"/>
          <w:sz w:val="24"/>
        </w:rPr>
        <w:t>usage.  Withou</w:t>
      </w:r>
      <w:r w:rsidR="009F1351">
        <w:rPr>
          <w:rFonts w:eastAsia="Arial"/>
          <w:sz w:val="24"/>
        </w:rPr>
        <w:t>t such incentives, customers may be</w:t>
      </w:r>
      <w:r w:rsidR="000F45F5">
        <w:rPr>
          <w:rFonts w:eastAsia="Arial"/>
          <w:sz w:val="24"/>
        </w:rPr>
        <w:t xml:space="preserve"> </w:t>
      </w:r>
      <w:r w:rsidR="000F45F5">
        <w:rPr>
          <w:rFonts w:eastAsia="Arial"/>
          <w:i/>
          <w:sz w:val="24"/>
        </w:rPr>
        <w:t xml:space="preserve">less </w:t>
      </w:r>
      <w:r w:rsidR="000F45F5">
        <w:rPr>
          <w:rFonts w:eastAsia="Arial"/>
          <w:sz w:val="24"/>
        </w:rPr>
        <w:t xml:space="preserve">likely to modify their behavior or invest in these technologies.  </w:t>
      </w:r>
    </w:p>
    <w:p w:rsidR="00171F7B" w:rsidRDefault="000F45F5" w:rsidP="00171F7B">
      <w:pPr>
        <w:spacing w:line="480" w:lineRule="auto"/>
        <w:ind w:firstLine="720"/>
        <w:rPr>
          <w:rFonts w:eastAsia="Arial"/>
          <w:sz w:val="24"/>
        </w:rPr>
      </w:pPr>
      <w:r>
        <w:rPr>
          <w:rFonts w:eastAsia="Arial"/>
          <w:sz w:val="24"/>
        </w:rPr>
        <w:t xml:space="preserve">Moreover, while the commodity of natural gas may currently be priced at low levels, OCC ignores the fact that reducing usage may also reduce the need for </w:t>
      </w:r>
      <w:r>
        <w:rPr>
          <w:rFonts w:eastAsia="Arial"/>
          <w:sz w:val="24"/>
        </w:rPr>
        <w:lastRenderedPageBreak/>
        <w:t>additional pipeline capacity and storage in the long-term.</w:t>
      </w:r>
      <w:r w:rsidR="00992067">
        <w:rPr>
          <w:rFonts w:eastAsia="Arial"/>
          <w:sz w:val="24"/>
        </w:rPr>
        <w:t xml:space="preserve">  </w:t>
      </w:r>
      <w:r>
        <w:rPr>
          <w:rFonts w:eastAsia="Arial"/>
          <w:sz w:val="24"/>
        </w:rPr>
        <w:t>Thus, reducing customer usage has the potential to reduce both the price for the commodity and delivery of natural gas.</w:t>
      </w:r>
      <w:r w:rsidR="00992067">
        <w:rPr>
          <w:rFonts w:eastAsia="Arial"/>
          <w:sz w:val="24"/>
        </w:rPr>
        <w:t xml:space="preserve"> </w:t>
      </w:r>
    </w:p>
    <w:p w:rsidR="00992067" w:rsidRDefault="00992067" w:rsidP="00992067">
      <w:pPr>
        <w:spacing w:line="480" w:lineRule="auto"/>
        <w:ind w:firstLine="720"/>
        <w:rPr>
          <w:rFonts w:eastAsia="Arial"/>
          <w:sz w:val="24"/>
        </w:rPr>
      </w:pPr>
      <w:r>
        <w:rPr>
          <w:rFonts w:eastAsia="Arial"/>
          <w:sz w:val="24"/>
        </w:rPr>
        <w:t>OCC</w:t>
      </w:r>
      <w:r w:rsidR="00F00C40">
        <w:rPr>
          <w:rFonts w:eastAsia="Arial"/>
          <w:sz w:val="24"/>
        </w:rPr>
        <w:t xml:space="preserve"> also</w:t>
      </w:r>
      <w:r>
        <w:rPr>
          <w:rFonts w:eastAsia="Arial"/>
          <w:sz w:val="24"/>
        </w:rPr>
        <w:t xml:space="preserve"> neglects to recognize that the electric industry is currently undergoing a shift </w:t>
      </w:r>
      <w:r w:rsidR="00EC1D0E">
        <w:rPr>
          <w:rFonts w:eastAsia="Arial"/>
          <w:sz w:val="24"/>
        </w:rPr>
        <w:t xml:space="preserve">from coal to natural gas. </w:t>
      </w:r>
      <w:r>
        <w:rPr>
          <w:rFonts w:eastAsia="Arial"/>
          <w:sz w:val="24"/>
        </w:rPr>
        <w:t xml:space="preserve"> IGS is confident that natural gas producti</w:t>
      </w:r>
      <w:r w:rsidR="00EC1D0E">
        <w:rPr>
          <w:rFonts w:eastAsia="Arial"/>
          <w:sz w:val="24"/>
        </w:rPr>
        <w:t>on can keep up with that demand.  But</w:t>
      </w:r>
      <w:r>
        <w:rPr>
          <w:rFonts w:eastAsia="Arial"/>
          <w:sz w:val="24"/>
        </w:rPr>
        <w:t xml:space="preserve"> any additional reduction in residential demand for the commodity and capacity on the interstate pipeline and storage system will further enhance </w:t>
      </w:r>
      <w:r w:rsidR="00AC19C8">
        <w:rPr>
          <w:rFonts w:eastAsia="Arial"/>
          <w:sz w:val="24"/>
        </w:rPr>
        <w:t>the reliability of electric and gas transmission systems while mitigating</w:t>
      </w:r>
      <w:r w:rsidR="000D2A3C">
        <w:rPr>
          <w:rFonts w:eastAsia="Arial"/>
          <w:sz w:val="24"/>
        </w:rPr>
        <w:t xml:space="preserve"> price pressure that </w:t>
      </w:r>
      <w:r w:rsidR="006166B9">
        <w:rPr>
          <w:rFonts w:eastAsia="Arial"/>
          <w:sz w:val="24"/>
        </w:rPr>
        <w:t xml:space="preserve">generally </w:t>
      </w:r>
      <w:r w:rsidR="000D2A3C">
        <w:rPr>
          <w:rFonts w:eastAsia="Arial"/>
          <w:sz w:val="24"/>
        </w:rPr>
        <w:t>accompan</w:t>
      </w:r>
      <w:r w:rsidR="006166B9">
        <w:rPr>
          <w:rFonts w:eastAsia="Arial"/>
          <w:sz w:val="24"/>
        </w:rPr>
        <w:t>ies an</w:t>
      </w:r>
      <w:r w:rsidR="000D2A3C">
        <w:rPr>
          <w:rFonts w:eastAsia="Arial"/>
          <w:sz w:val="24"/>
        </w:rPr>
        <w:t xml:space="preserve"> increase in demand</w:t>
      </w:r>
      <w:r>
        <w:rPr>
          <w:rFonts w:eastAsia="Arial"/>
          <w:sz w:val="24"/>
        </w:rPr>
        <w:t>.  As discussed further below, the installation of adaptive smart thermostats will go great lengt</w:t>
      </w:r>
      <w:r w:rsidR="00EC1D0E">
        <w:rPr>
          <w:rFonts w:eastAsia="Arial"/>
          <w:sz w:val="24"/>
        </w:rPr>
        <w:t>hs to reducing demand at</w:t>
      </w:r>
      <w:r>
        <w:rPr>
          <w:rFonts w:eastAsia="Arial"/>
          <w:sz w:val="24"/>
        </w:rPr>
        <w:t xml:space="preserve"> reasonable cost.</w:t>
      </w:r>
    </w:p>
    <w:p w:rsidR="00513498" w:rsidRDefault="00992067" w:rsidP="00992067">
      <w:pPr>
        <w:spacing w:line="480" w:lineRule="auto"/>
        <w:ind w:firstLine="720"/>
        <w:rPr>
          <w:rFonts w:eastAsia="Arial"/>
          <w:sz w:val="24"/>
        </w:rPr>
      </w:pPr>
      <w:r>
        <w:rPr>
          <w:rFonts w:eastAsia="Arial"/>
          <w:sz w:val="24"/>
        </w:rPr>
        <w:t xml:space="preserve">OCC’s comparison of the adaptive thermostat rebate to a furnace or boiler rebate </w:t>
      </w:r>
      <w:r w:rsidR="009F1351">
        <w:rPr>
          <w:rFonts w:eastAsia="Arial"/>
          <w:sz w:val="24"/>
        </w:rPr>
        <w:t xml:space="preserve">misses the bigger picture:  </w:t>
      </w:r>
      <w:r>
        <w:rPr>
          <w:rFonts w:eastAsia="Arial"/>
          <w:sz w:val="24"/>
        </w:rPr>
        <w:t xml:space="preserve">the total savings that a technology can achieve.  </w:t>
      </w:r>
      <w:r w:rsidR="009F1351">
        <w:rPr>
          <w:rFonts w:eastAsia="Arial"/>
          <w:sz w:val="24"/>
        </w:rPr>
        <w:t>The approved DSM operating plan conservatively assumes that a Wi-Fi thermostat (which would include adaptive thermostats such as Nest)</w:t>
      </w:r>
      <w:r>
        <w:rPr>
          <w:rFonts w:eastAsia="Arial"/>
          <w:sz w:val="24"/>
        </w:rPr>
        <w:t xml:space="preserve"> can reduce a customer’s natural gas usage by approximately </w:t>
      </w:r>
      <w:r w:rsidR="009F1351">
        <w:rPr>
          <w:rFonts w:eastAsia="Arial"/>
          <w:sz w:val="24"/>
        </w:rPr>
        <w:t xml:space="preserve">69 ccf per unit.  That is more than half of </w:t>
      </w:r>
      <w:r w:rsidR="000116A3">
        <w:rPr>
          <w:rFonts w:eastAsia="Arial"/>
          <w:sz w:val="24"/>
        </w:rPr>
        <w:t>the</w:t>
      </w:r>
      <w:r>
        <w:rPr>
          <w:rFonts w:eastAsia="Arial"/>
          <w:sz w:val="24"/>
        </w:rPr>
        <w:t xml:space="preserve"> reduction that a new furnace or boiler can achieve</w:t>
      </w:r>
      <w:r w:rsidR="009F1351">
        <w:rPr>
          <w:rFonts w:eastAsia="Arial"/>
          <w:sz w:val="24"/>
        </w:rPr>
        <w:t xml:space="preserve"> (at most 127 ccf)</w:t>
      </w:r>
      <w:r>
        <w:rPr>
          <w:rFonts w:eastAsia="Arial"/>
          <w:sz w:val="24"/>
        </w:rPr>
        <w:t xml:space="preserve">, but at </w:t>
      </w:r>
      <w:r w:rsidR="009F1351">
        <w:rPr>
          <w:rFonts w:eastAsia="Arial"/>
          <w:sz w:val="24"/>
        </w:rPr>
        <w:t xml:space="preserve">20%-40% </w:t>
      </w:r>
      <w:r>
        <w:rPr>
          <w:rFonts w:eastAsia="Arial"/>
          <w:sz w:val="24"/>
        </w:rPr>
        <w:t>of the</w:t>
      </w:r>
      <w:r w:rsidR="009F1351">
        <w:rPr>
          <w:rFonts w:eastAsia="Arial"/>
          <w:sz w:val="24"/>
        </w:rPr>
        <w:t xml:space="preserve"> rebate</w:t>
      </w:r>
      <w:r>
        <w:rPr>
          <w:rFonts w:eastAsia="Arial"/>
          <w:sz w:val="24"/>
        </w:rPr>
        <w:t xml:space="preserve"> cost</w:t>
      </w:r>
      <w:r w:rsidR="009F1351">
        <w:rPr>
          <w:rFonts w:eastAsia="Arial"/>
          <w:sz w:val="24"/>
        </w:rPr>
        <w:t xml:space="preserve"> per unit</w:t>
      </w:r>
      <w:r>
        <w:rPr>
          <w:rFonts w:eastAsia="Arial"/>
          <w:sz w:val="24"/>
        </w:rPr>
        <w:t>.</w:t>
      </w:r>
      <w:r w:rsidR="00F00C40">
        <w:rPr>
          <w:rStyle w:val="FootnoteReference"/>
          <w:rFonts w:eastAsia="Arial"/>
          <w:sz w:val="24"/>
        </w:rPr>
        <w:footnoteReference w:id="12"/>
      </w:r>
      <w:r w:rsidR="00F00C40">
        <w:rPr>
          <w:rFonts w:eastAsia="Arial"/>
          <w:sz w:val="24"/>
        </w:rPr>
        <w:t xml:space="preserve">  </w:t>
      </w:r>
    </w:p>
    <w:p w:rsidR="00513498" w:rsidRDefault="00FA3A87" w:rsidP="00FA3A87">
      <w:pPr>
        <w:spacing w:line="480" w:lineRule="auto"/>
        <w:jc w:val="center"/>
        <w:rPr>
          <w:rFonts w:eastAsia="Arial"/>
          <w:sz w:val="24"/>
        </w:rPr>
      </w:pPr>
      <w:r>
        <w:rPr>
          <w:rFonts w:eastAsia="Arial"/>
          <w:noProof/>
          <w:sz w:val="24"/>
        </w:rPr>
        <w:lastRenderedPageBreak/>
        <w:drawing>
          <wp:inline distT="0" distB="0" distL="0" distR="0" wp14:anchorId="56C7FEA4" wp14:editId="5180CA58">
            <wp:extent cx="6279239" cy="2028825"/>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9239" cy="2028825"/>
                    </a:xfrm>
                    <a:prstGeom prst="rect">
                      <a:avLst/>
                    </a:prstGeom>
                    <a:noFill/>
                    <a:ln>
                      <a:noFill/>
                    </a:ln>
                  </pic:spPr>
                </pic:pic>
              </a:graphicData>
            </a:graphic>
          </wp:inline>
        </w:drawing>
      </w:r>
    </w:p>
    <w:p w:rsidR="00F00C40" w:rsidRDefault="00F00C40" w:rsidP="00FA3A87">
      <w:pPr>
        <w:spacing w:line="480" w:lineRule="auto"/>
        <w:rPr>
          <w:rFonts w:eastAsia="Arial"/>
          <w:sz w:val="24"/>
        </w:rPr>
      </w:pPr>
      <w:r>
        <w:rPr>
          <w:rFonts w:eastAsia="Arial"/>
          <w:sz w:val="24"/>
        </w:rPr>
        <w:t>Thus, adaptive thermostats represent low hanging fruit.  The Commission should reject OCC’</w:t>
      </w:r>
      <w:r w:rsidR="00FA3A87">
        <w:rPr>
          <w:rFonts w:eastAsia="Arial"/>
          <w:sz w:val="24"/>
        </w:rPr>
        <w:t>s request</w:t>
      </w:r>
      <w:r>
        <w:rPr>
          <w:rFonts w:eastAsia="Arial"/>
          <w:sz w:val="24"/>
        </w:rPr>
        <w:t xml:space="preserve"> to place these thermost</w:t>
      </w:r>
      <w:r w:rsidR="00FA3A87">
        <w:rPr>
          <w:rFonts w:eastAsia="Arial"/>
          <w:sz w:val="24"/>
        </w:rPr>
        <w:t>ats further from</w:t>
      </w:r>
      <w:r>
        <w:rPr>
          <w:rFonts w:eastAsia="Arial"/>
          <w:sz w:val="24"/>
        </w:rPr>
        <w:t xml:space="preserve"> customer’s reach. </w:t>
      </w:r>
    </w:p>
    <w:p w:rsidR="00F00C40" w:rsidRDefault="00F00C40" w:rsidP="00992067">
      <w:pPr>
        <w:spacing w:line="480" w:lineRule="auto"/>
        <w:ind w:firstLine="720"/>
        <w:rPr>
          <w:rFonts w:eastAsia="Arial"/>
          <w:sz w:val="24"/>
        </w:rPr>
      </w:pPr>
      <w:r>
        <w:rPr>
          <w:rFonts w:eastAsia="Arial"/>
          <w:sz w:val="24"/>
        </w:rPr>
        <w:t xml:space="preserve"> Third, the Commission should reject OCC’s request to limit each household to one rebate.  While IGS does not oppose verification requirements to ensure that a thermostat is in fact installed at the household using the rebate, there is no reason to limit each household to one rebate when more than one thermostat may be necessary to manage different zones of an HVAC system.</w:t>
      </w:r>
    </w:p>
    <w:p w:rsidR="00992067" w:rsidRDefault="00612A65" w:rsidP="00612A65">
      <w:pPr>
        <w:pStyle w:val="ListParagraph"/>
        <w:numPr>
          <w:ilvl w:val="0"/>
          <w:numId w:val="7"/>
        </w:numPr>
        <w:spacing w:line="480" w:lineRule="auto"/>
        <w:rPr>
          <w:rFonts w:eastAsia="Arial"/>
          <w:b/>
          <w:sz w:val="24"/>
        </w:rPr>
      </w:pPr>
      <w:r>
        <w:rPr>
          <w:rFonts w:eastAsia="Arial"/>
          <w:b/>
          <w:sz w:val="24"/>
        </w:rPr>
        <w:t>CONCLUSION</w:t>
      </w:r>
    </w:p>
    <w:p w:rsidR="00F34DEC" w:rsidRPr="00513498" w:rsidRDefault="00612A65" w:rsidP="00513498">
      <w:pPr>
        <w:spacing w:line="480" w:lineRule="auto"/>
        <w:ind w:firstLine="720"/>
        <w:rPr>
          <w:rFonts w:eastAsia="Arial"/>
          <w:sz w:val="24"/>
        </w:rPr>
      </w:pPr>
      <w:r>
        <w:rPr>
          <w:rFonts w:eastAsia="Arial"/>
          <w:sz w:val="24"/>
        </w:rPr>
        <w:t>Adaptive thermostats provide meaningful reductions to customers’</w:t>
      </w:r>
      <w:r w:rsidR="00FA3A87">
        <w:rPr>
          <w:rFonts w:eastAsia="Arial"/>
          <w:sz w:val="24"/>
        </w:rPr>
        <w:t xml:space="preserve"> total energy intensity</w:t>
      </w:r>
      <w:r>
        <w:rPr>
          <w:rFonts w:eastAsia="Arial"/>
          <w:sz w:val="24"/>
        </w:rPr>
        <w:t>.  This technology provides cost-effective savings for both electric and gas customers, while enhancing the reliability of both</w:t>
      </w:r>
      <w:r w:rsidR="00FA3A87">
        <w:rPr>
          <w:rFonts w:eastAsia="Arial"/>
          <w:sz w:val="24"/>
        </w:rPr>
        <w:t xml:space="preserve"> the</w:t>
      </w:r>
      <w:r w:rsidR="00EC1D0E">
        <w:rPr>
          <w:rFonts w:eastAsia="Arial"/>
          <w:sz w:val="24"/>
        </w:rPr>
        <w:t xml:space="preserve"> gas and electric transmission</w:t>
      </w:r>
      <w:r>
        <w:rPr>
          <w:rFonts w:eastAsia="Arial"/>
          <w:sz w:val="24"/>
        </w:rPr>
        <w:t xml:space="preserve"> systems.  Therefore, IGS recommends that the Commission deny OCC’s motion.</w:t>
      </w:r>
      <w:r w:rsidR="00513498">
        <w:rPr>
          <w:rFonts w:eastAsia="Arial"/>
          <w:sz w:val="24"/>
        </w:rPr>
        <w:t xml:space="preserve"> </w:t>
      </w:r>
    </w:p>
    <w:p w:rsidR="00FA3A87" w:rsidRDefault="00FA3A87" w:rsidP="00F34DEC">
      <w:pPr>
        <w:jc w:val="center"/>
        <w:rPr>
          <w:rFonts w:eastAsia="Arial"/>
          <w:sz w:val="24"/>
        </w:rPr>
      </w:pPr>
    </w:p>
    <w:p w:rsidR="00FA3A87" w:rsidRDefault="00FA3A87" w:rsidP="00FA3A87">
      <w:pPr>
        <w:ind w:left="1440" w:firstLine="720"/>
        <w:jc w:val="center"/>
        <w:rPr>
          <w:rFonts w:eastAsia="Arial"/>
          <w:sz w:val="24"/>
        </w:rPr>
      </w:pPr>
      <w:r>
        <w:rPr>
          <w:rFonts w:eastAsia="Arial"/>
          <w:sz w:val="24"/>
        </w:rPr>
        <w:t xml:space="preserve">    Very truly yours,</w:t>
      </w:r>
    </w:p>
    <w:p w:rsidR="00FA3A87" w:rsidRPr="00FA3A87" w:rsidRDefault="00FA3A87" w:rsidP="00F34DEC">
      <w:pPr>
        <w:jc w:val="center"/>
        <w:rPr>
          <w:rFonts w:eastAsia="Arial"/>
          <w:sz w:val="24"/>
        </w:rPr>
      </w:pPr>
    </w:p>
    <w:p w:rsidR="00FA3A87" w:rsidRPr="00FA3A87" w:rsidRDefault="00FA3A87" w:rsidP="00FA3A87">
      <w:pPr>
        <w:ind w:left="4320" w:firstLine="720"/>
        <w:rPr>
          <w:rFonts w:eastAsia="Arial"/>
          <w:b/>
          <w:i/>
          <w:sz w:val="24"/>
          <w:u w:val="single"/>
        </w:rPr>
      </w:pPr>
      <w:r w:rsidRPr="00FA3A87">
        <w:rPr>
          <w:rFonts w:eastAsia="Arial"/>
          <w:b/>
          <w:i/>
          <w:sz w:val="24"/>
          <w:u w:val="single"/>
        </w:rPr>
        <w:t>/s/ Joseph Oliker</w:t>
      </w:r>
    </w:p>
    <w:p w:rsidR="00FA3A87" w:rsidRPr="007B3399" w:rsidRDefault="00FA3A87" w:rsidP="00FA3A87">
      <w:pPr>
        <w:ind w:left="5040"/>
        <w:rPr>
          <w:sz w:val="24"/>
        </w:rPr>
      </w:pPr>
      <w:r>
        <w:rPr>
          <w:rFonts w:eastAsia="Arial"/>
          <w:sz w:val="24"/>
        </w:rPr>
        <w:t xml:space="preserve">Joseph Oliker </w:t>
      </w:r>
      <w:r>
        <w:rPr>
          <w:sz w:val="24"/>
        </w:rPr>
        <w:t>(0086088)</w:t>
      </w:r>
    </w:p>
    <w:p w:rsidR="00FA3A87" w:rsidRDefault="00FA3A87" w:rsidP="00FA3A87">
      <w:pPr>
        <w:ind w:left="5040"/>
        <w:rPr>
          <w:rFonts w:eastAsia="Calibri"/>
          <w:sz w:val="24"/>
          <w:u w:val="single"/>
        </w:rPr>
      </w:pPr>
      <w:r>
        <w:rPr>
          <w:rFonts w:eastAsia="Arial"/>
          <w:sz w:val="24"/>
        </w:rPr>
        <w:t xml:space="preserve">Counsel of Record </w:t>
      </w:r>
    </w:p>
    <w:p w:rsidR="00FA3A87" w:rsidRDefault="00FA3A87" w:rsidP="00FA3A87">
      <w:pPr>
        <w:ind w:left="5040"/>
        <w:rPr>
          <w:sz w:val="24"/>
        </w:rPr>
      </w:pPr>
      <w:r>
        <w:rPr>
          <w:sz w:val="24"/>
        </w:rPr>
        <w:t>Email:  joliker@igsenergy.com</w:t>
      </w:r>
    </w:p>
    <w:p w:rsidR="00FA3A87" w:rsidRDefault="00FA3A87" w:rsidP="00FA3A87">
      <w:pPr>
        <w:ind w:left="5040"/>
        <w:rPr>
          <w:sz w:val="24"/>
        </w:rPr>
      </w:pPr>
      <w:r>
        <w:rPr>
          <w:sz w:val="24"/>
        </w:rPr>
        <w:t>IGS Energy</w:t>
      </w:r>
    </w:p>
    <w:p w:rsidR="00FA3A87" w:rsidRDefault="00FA3A87" w:rsidP="00FA3A87">
      <w:pPr>
        <w:ind w:left="5040"/>
        <w:rPr>
          <w:sz w:val="24"/>
        </w:rPr>
      </w:pPr>
      <w:r>
        <w:rPr>
          <w:sz w:val="24"/>
        </w:rPr>
        <w:t>6100 Emerald Parkway</w:t>
      </w:r>
    </w:p>
    <w:p w:rsidR="00FA3A87" w:rsidRDefault="00FA3A87" w:rsidP="00FA3A87">
      <w:pPr>
        <w:ind w:left="5040"/>
        <w:rPr>
          <w:sz w:val="24"/>
        </w:rPr>
      </w:pPr>
      <w:r>
        <w:rPr>
          <w:sz w:val="24"/>
        </w:rPr>
        <w:t>Dublin, Ohio 43016</w:t>
      </w:r>
    </w:p>
    <w:p w:rsidR="00FA3A87" w:rsidRDefault="00FA3A87" w:rsidP="00FA3A87">
      <w:pPr>
        <w:ind w:left="5040"/>
        <w:rPr>
          <w:sz w:val="24"/>
        </w:rPr>
      </w:pPr>
      <w:r>
        <w:rPr>
          <w:sz w:val="24"/>
        </w:rPr>
        <w:lastRenderedPageBreak/>
        <w:t>Telephone:</w:t>
      </w:r>
      <w:r>
        <w:rPr>
          <w:sz w:val="24"/>
        </w:rPr>
        <w:tab/>
        <w:t>(614) 659-5000</w:t>
      </w:r>
    </w:p>
    <w:p w:rsidR="00FA3A87" w:rsidRDefault="00FA3A87" w:rsidP="00FA3A87">
      <w:pPr>
        <w:ind w:left="5040"/>
        <w:rPr>
          <w:sz w:val="24"/>
        </w:rPr>
      </w:pPr>
      <w:r>
        <w:rPr>
          <w:sz w:val="24"/>
        </w:rPr>
        <w:t>Facsimile:</w:t>
      </w:r>
      <w:r>
        <w:rPr>
          <w:sz w:val="24"/>
        </w:rPr>
        <w:tab/>
        <w:t>(614) 659-5073</w:t>
      </w:r>
    </w:p>
    <w:p w:rsidR="00FA3A87" w:rsidRDefault="00FA3A87" w:rsidP="00FA3A87">
      <w:pPr>
        <w:ind w:left="5040"/>
        <w:rPr>
          <w:sz w:val="24"/>
        </w:rPr>
      </w:pPr>
    </w:p>
    <w:p w:rsidR="00FA3A87" w:rsidRPr="00C97669" w:rsidRDefault="00FA3A87" w:rsidP="00FA3A87">
      <w:pPr>
        <w:ind w:left="5040"/>
        <w:rPr>
          <w:b/>
          <w:i/>
          <w:sz w:val="22"/>
          <w:szCs w:val="22"/>
        </w:rPr>
      </w:pPr>
      <w:r w:rsidRPr="00C97669">
        <w:rPr>
          <w:b/>
          <w:i/>
          <w:sz w:val="22"/>
          <w:szCs w:val="22"/>
        </w:rPr>
        <w:t>Attorney for I</w:t>
      </w:r>
      <w:r w:rsidR="00C97669" w:rsidRPr="00C97669">
        <w:rPr>
          <w:b/>
          <w:i/>
          <w:sz w:val="22"/>
          <w:szCs w:val="22"/>
        </w:rPr>
        <w:t xml:space="preserve">nterstate </w:t>
      </w:r>
      <w:r w:rsidRPr="00C97669">
        <w:rPr>
          <w:b/>
          <w:i/>
          <w:sz w:val="22"/>
          <w:szCs w:val="22"/>
        </w:rPr>
        <w:t>G</w:t>
      </w:r>
      <w:r w:rsidR="00C97669" w:rsidRPr="00C97669">
        <w:rPr>
          <w:b/>
          <w:i/>
          <w:sz w:val="22"/>
          <w:szCs w:val="22"/>
        </w:rPr>
        <w:t>as Supply, Inc.</w:t>
      </w:r>
    </w:p>
    <w:p w:rsidR="00FA3A87" w:rsidRDefault="00FA3A87" w:rsidP="00FA3A87">
      <w:pPr>
        <w:rPr>
          <w:rFonts w:eastAsia="Arial"/>
          <w:i/>
          <w:sz w:val="24"/>
          <w:u w:val="single"/>
        </w:rPr>
      </w:pPr>
    </w:p>
    <w:p w:rsidR="00FA3A87" w:rsidRDefault="00FA3A87" w:rsidP="00F34DEC">
      <w:pPr>
        <w:jc w:val="center"/>
        <w:rPr>
          <w:rFonts w:eastAsia="Arial"/>
          <w:b/>
          <w:sz w:val="24"/>
          <w:u w:val="single"/>
        </w:rPr>
      </w:pPr>
    </w:p>
    <w:p w:rsidR="00FA3A87" w:rsidRDefault="00FA3A87" w:rsidP="00F34DEC">
      <w:pPr>
        <w:jc w:val="center"/>
        <w:rPr>
          <w:rFonts w:eastAsia="Arial"/>
          <w:b/>
          <w:sz w:val="24"/>
          <w:u w:val="single"/>
        </w:rPr>
      </w:pPr>
    </w:p>
    <w:p w:rsidR="00FA3A87" w:rsidRDefault="00FA3A87" w:rsidP="00F34DEC">
      <w:pPr>
        <w:jc w:val="center"/>
        <w:rPr>
          <w:rFonts w:eastAsia="Arial"/>
          <w:b/>
          <w:sz w:val="24"/>
          <w:u w:val="single"/>
        </w:rPr>
      </w:pPr>
    </w:p>
    <w:p w:rsidR="00FA3A87" w:rsidRDefault="00FA3A87" w:rsidP="00F34DEC">
      <w:pPr>
        <w:jc w:val="center"/>
        <w:rPr>
          <w:rFonts w:eastAsia="Arial"/>
          <w:b/>
          <w:sz w:val="24"/>
          <w:u w:val="single"/>
        </w:rPr>
      </w:pPr>
    </w:p>
    <w:p w:rsidR="00FA3A87" w:rsidRDefault="00FA3A87" w:rsidP="00F34DEC">
      <w:pPr>
        <w:jc w:val="center"/>
        <w:rPr>
          <w:rFonts w:eastAsia="Arial"/>
          <w:b/>
          <w:sz w:val="24"/>
          <w:u w:val="single"/>
        </w:rPr>
      </w:pPr>
    </w:p>
    <w:p w:rsidR="00FA3A87" w:rsidRDefault="00FA3A87" w:rsidP="00542026">
      <w:pPr>
        <w:rPr>
          <w:rFonts w:eastAsia="Arial"/>
          <w:b/>
          <w:sz w:val="24"/>
          <w:u w:val="single"/>
        </w:rPr>
      </w:pPr>
    </w:p>
    <w:p w:rsidR="00EC1D0E" w:rsidRDefault="00EC1D0E" w:rsidP="00542026">
      <w:pPr>
        <w:rPr>
          <w:rFonts w:eastAsia="Arial"/>
          <w:b/>
          <w:sz w:val="24"/>
          <w:u w:val="single"/>
        </w:rPr>
      </w:pPr>
    </w:p>
    <w:p w:rsidR="00EC1D0E" w:rsidRDefault="00EC1D0E" w:rsidP="00542026">
      <w:pPr>
        <w:rPr>
          <w:rFonts w:eastAsia="Arial"/>
          <w:b/>
          <w:sz w:val="24"/>
          <w:u w:val="single"/>
        </w:rPr>
      </w:pPr>
    </w:p>
    <w:p w:rsidR="00EC1D0E" w:rsidRDefault="00EC1D0E" w:rsidP="00542026">
      <w:pPr>
        <w:rPr>
          <w:rFonts w:eastAsia="Arial"/>
          <w:b/>
          <w:sz w:val="24"/>
          <w:u w:val="single"/>
        </w:rPr>
      </w:pPr>
    </w:p>
    <w:p w:rsidR="00EC1D0E" w:rsidRDefault="00EC1D0E" w:rsidP="00542026">
      <w:pPr>
        <w:rPr>
          <w:rFonts w:eastAsia="Arial"/>
          <w:b/>
          <w:sz w:val="24"/>
          <w:u w:val="single"/>
        </w:rPr>
      </w:pPr>
    </w:p>
    <w:p w:rsidR="00EC1D0E" w:rsidRDefault="00EC1D0E" w:rsidP="00542026">
      <w:pPr>
        <w:rPr>
          <w:rFonts w:eastAsia="Arial"/>
          <w:b/>
          <w:sz w:val="24"/>
          <w:u w:val="single"/>
        </w:rPr>
      </w:pPr>
    </w:p>
    <w:p w:rsidR="00EC1D0E" w:rsidRDefault="00EC1D0E" w:rsidP="00542026">
      <w:pPr>
        <w:rPr>
          <w:rFonts w:eastAsia="Arial"/>
          <w:b/>
          <w:sz w:val="24"/>
          <w:u w:val="single"/>
        </w:rPr>
      </w:pPr>
    </w:p>
    <w:p w:rsidR="00EC1D0E" w:rsidRDefault="00EC1D0E" w:rsidP="00542026">
      <w:pPr>
        <w:rPr>
          <w:rFonts w:eastAsia="Arial"/>
          <w:b/>
          <w:sz w:val="24"/>
          <w:u w:val="single"/>
        </w:rPr>
      </w:pPr>
    </w:p>
    <w:p w:rsidR="00EC1D0E" w:rsidRDefault="00EC1D0E" w:rsidP="00542026">
      <w:pPr>
        <w:rPr>
          <w:rFonts w:eastAsia="Arial"/>
          <w:b/>
          <w:sz w:val="24"/>
          <w:u w:val="single"/>
        </w:rPr>
      </w:pPr>
    </w:p>
    <w:p w:rsidR="00EC1D0E" w:rsidRDefault="00EC1D0E" w:rsidP="00542026">
      <w:pPr>
        <w:rPr>
          <w:rFonts w:eastAsia="Arial"/>
          <w:b/>
          <w:sz w:val="24"/>
          <w:u w:val="single"/>
        </w:rPr>
      </w:pPr>
    </w:p>
    <w:p w:rsidR="00EC1D0E" w:rsidRDefault="00EC1D0E" w:rsidP="00542026">
      <w:pPr>
        <w:rPr>
          <w:rFonts w:eastAsia="Arial"/>
          <w:b/>
          <w:sz w:val="24"/>
          <w:u w:val="single"/>
        </w:rPr>
      </w:pPr>
    </w:p>
    <w:p w:rsidR="00EC1D0E" w:rsidRDefault="00EC1D0E" w:rsidP="00542026">
      <w:pPr>
        <w:rPr>
          <w:rFonts w:eastAsia="Arial"/>
          <w:b/>
          <w:sz w:val="24"/>
          <w:u w:val="single"/>
        </w:rPr>
      </w:pPr>
    </w:p>
    <w:p w:rsidR="00EC1D0E" w:rsidRDefault="00EC1D0E" w:rsidP="00542026">
      <w:pPr>
        <w:rPr>
          <w:rFonts w:eastAsia="Arial"/>
          <w:b/>
          <w:sz w:val="24"/>
          <w:u w:val="single"/>
        </w:rPr>
      </w:pPr>
    </w:p>
    <w:p w:rsidR="00EC1D0E" w:rsidRDefault="00EC1D0E" w:rsidP="00542026">
      <w:pPr>
        <w:rPr>
          <w:rFonts w:eastAsia="Arial"/>
          <w:b/>
          <w:sz w:val="24"/>
          <w:u w:val="single"/>
        </w:rPr>
      </w:pPr>
    </w:p>
    <w:p w:rsidR="00EC1D0E" w:rsidRDefault="00EC1D0E" w:rsidP="00542026">
      <w:pPr>
        <w:rPr>
          <w:rFonts w:eastAsia="Arial"/>
          <w:b/>
          <w:sz w:val="24"/>
          <w:u w:val="single"/>
        </w:rPr>
      </w:pPr>
    </w:p>
    <w:p w:rsidR="00EC1D0E" w:rsidRDefault="00EC1D0E" w:rsidP="00542026">
      <w:pPr>
        <w:rPr>
          <w:rFonts w:eastAsia="Arial"/>
          <w:b/>
          <w:sz w:val="24"/>
          <w:u w:val="single"/>
        </w:rPr>
      </w:pPr>
    </w:p>
    <w:p w:rsidR="00EC1D0E" w:rsidRDefault="00EC1D0E" w:rsidP="00542026">
      <w:pPr>
        <w:rPr>
          <w:rFonts w:eastAsia="Arial"/>
          <w:b/>
          <w:sz w:val="24"/>
          <w:u w:val="single"/>
        </w:rPr>
      </w:pPr>
    </w:p>
    <w:p w:rsidR="00EC1D0E" w:rsidRDefault="00EC1D0E" w:rsidP="00542026">
      <w:pPr>
        <w:rPr>
          <w:rFonts w:eastAsia="Arial"/>
          <w:b/>
          <w:sz w:val="24"/>
          <w:u w:val="single"/>
        </w:rPr>
      </w:pPr>
    </w:p>
    <w:p w:rsidR="00EC1D0E" w:rsidRDefault="00EC1D0E" w:rsidP="00542026">
      <w:pPr>
        <w:rPr>
          <w:rFonts w:eastAsia="Arial"/>
          <w:b/>
          <w:sz w:val="24"/>
          <w:u w:val="single"/>
        </w:rPr>
      </w:pPr>
    </w:p>
    <w:p w:rsidR="00EC1D0E" w:rsidRDefault="00EC1D0E" w:rsidP="00542026">
      <w:pPr>
        <w:rPr>
          <w:rFonts w:eastAsia="Arial"/>
          <w:b/>
          <w:sz w:val="24"/>
          <w:u w:val="single"/>
        </w:rPr>
      </w:pPr>
    </w:p>
    <w:p w:rsidR="00EC1D0E" w:rsidRDefault="00EC1D0E" w:rsidP="00542026">
      <w:pPr>
        <w:rPr>
          <w:rFonts w:eastAsia="Arial"/>
          <w:b/>
          <w:sz w:val="24"/>
          <w:u w:val="single"/>
        </w:rPr>
      </w:pPr>
    </w:p>
    <w:p w:rsidR="00EC1D0E" w:rsidRDefault="00EC1D0E" w:rsidP="00542026">
      <w:pPr>
        <w:rPr>
          <w:rFonts w:eastAsia="Arial"/>
          <w:b/>
          <w:sz w:val="24"/>
          <w:u w:val="single"/>
        </w:rPr>
      </w:pPr>
    </w:p>
    <w:p w:rsidR="00EC1D0E" w:rsidRDefault="00EC1D0E" w:rsidP="00542026">
      <w:pPr>
        <w:rPr>
          <w:rFonts w:eastAsia="Arial"/>
          <w:b/>
          <w:sz w:val="24"/>
          <w:u w:val="single"/>
        </w:rPr>
      </w:pPr>
    </w:p>
    <w:p w:rsidR="00EC1D0E" w:rsidRDefault="00EC1D0E" w:rsidP="00542026">
      <w:pPr>
        <w:rPr>
          <w:rFonts w:eastAsia="Arial"/>
          <w:b/>
          <w:sz w:val="24"/>
          <w:u w:val="single"/>
        </w:rPr>
      </w:pPr>
    </w:p>
    <w:p w:rsidR="00EC1D0E" w:rsidRDefault="00EC1D0E" w:rsidP="00542026">
      <w:pPr>
        <w:rPr>
          <w:rFonts w:eastAsia="Arial"/>
          <w:b/>
          <w:sz w:val="24"/>
          <w:u w:val="single"/>
        </w:rPr>
      </w:pPr>
    </w:p>
    <w:p w:rsidR="00EC1D0E" w:rsidRDefault="00EC1D0E" w:rsidP="00542026">
      <w:pPr>
        <w:rPr>
          <w:rFonts w:eastAsia="Arial"/>
          <w:b/>
          <w:sz w:val="24"/>
          <w:u w:val="single"/>
        </w:rPr>
      </w:pPr>
    </w:p>
    <w:p w:rsidR="00EC1D0E" w:rsidRDefault="00EC1D0E" w:rsidP="00542026">
      <w:pPr>
        <w:rPr>
          <w:rFonts w:eastAsia="Arial"/>
          <w:b/>
          <w:sz w:val="24"/>
          <w:u w:val="single"/>
        </w:rPr>
      </w:pPr>
    </w:p>
    <w:p w:rsidR="00EC1D0E" w:rsidRDefault="00EC1D0E" w:rsidP="00542026">
      <w:pPr>
        <w:rPr>
          <w:rFonts w:eastAsia="Arial"/>
          <w:b/>
          <w:sz w:val="24"/>
          <w:u w:val="single"/>
        </w:rPr>
      </w:pPr>
    </w:p>
    <w:p w:rsidR="00EC1D0E" w:rsidRDefault="00EC1D0E" w:rsidP="00542026">
      <w:pPr>
        <w:rPr>
          <w:rFonts w:eastAsia="Arial"/>
          <w:b/>
          <w:sz w:val="24"/>
          <w:u w:val="single"/>
        </w:rPr>
      </w:pPr>
    </w:p>
    <w:p w:rsidR="00EC1D0E" w:rsidRDefault="00EC1D0E" w:rsidP="00542026">
      <w:pPr>
        <w:rPr>
          <w:rFonts w:eastAsia="Arial"/>
          <w:b/>
          <w:sz w:val="24"/>
          <w:u w:val="single"/>
        </w:rPr>
      </w:pPr>
    </w:p>
    <w:p w:rsidR="00EC1D0E" w:rsidRDefault="00EC1D0E" w:rsidP="00542026">
      <w:pPr>
        <w:rPr>
          <w:rFonts w:eastAsia="Arial"/>
          <w:b/>
          <w:sz w:val="24"/>
          <w:u w:val="single"/>
        </w:rPr>
      </w:pPr>
    </w:p>
    <w:p w:rsidR="00EC1D0E" w:rsidRDefault="00EC1D0E" w:rsidP="00542026">
      <w:pPr>
        <w:rPr>
          <w:rFonts w:eastAsia="Arial"/>
          <w:b/>
          <w:sz w:val="24"/>
          <w:u w:val="single"/>
        </w:rPr>
      </w:pPr>
    </w:p>
    <w:p w:rsidR="00EC1D0E" w:rsidRDefault="00EC1D0E" w:rsidP="00542026">
      <w:pPr>
        <w:rPr>
          <w:rFonts w:eastAsia="Arial"/>
          <w:b/>
          <w:sz w:val="24"/>
          <w:u w:val="single"/>
        </w:rPr>
      </w:pPr>
    </w:p>
    <w:p w:rsidR="00EC1D0E" w:rsidRDefault="00EC1D0E" w:rsidP="00542026">
      <w:pPr>
        <w:rPr>
          <w:rFonts w:eastAsia="Arial"/>
          <w:b/>
          <w:sz w:val="24"/>
          <w:u w:val="single"/>
        </w:rPr>
      </w:pPr>
    </w:p>
    <w:p w:rsidR="00EC1D0E" w:rsidRDefault="00EC1D0E" w:rsidP="00542026">
      <w:pPr>
        <w:rPr>
          <w:rFonts w:eastAsia="Arial"/>
          <w:b/>
          <w:sz w:val="24"/>
          <w:u w:val="single"/>
        </w:rPr>
      </w:pPr>
    </w:p>
    <w:p w:rsidR="00FA3A87" w:rsidRPr="00542026" w:rsidRDefault="00FA3A87" w:rsidP="00E2286A">
      <w:pPr>
        <w:rPr>
          <w:rFonts w:eastAsia="Arial"/>
          <w:b/>
          <w:sz w:val="24"/>
          <w:u w:val="single"/>
        </w:rPr>
      </w:pPr>
    </w:p>
    <w:p w:rsidR="00C97669" w:rsidRDefault="00C97669" w:rsidP="00F34DEC">
      <w:pPr>
        <w:jc w:val="center"/>
        <w:rPr>
          <w:rFonts w:eastAsia="Arial"/>
          <w:b/>
          <w:sz w:val="24"/>
          <w:u w:val="single"/>
        </w:rPr>
      </w:pPr>
    </w:p>
    <w:p w:rsidR="00F34DEC" w:rsidRPr="00542026" w:rsidRDefault="00F34DEC" w:rsidP="00F34DEC">
      <w:pPr>
        <w:jc w:val="center"/>
        <w:rPr>
          <w:rFonts w:eastAsia="Arial"/>
          <w:b/>
          <w:sz w:val="24"/>
          <w:u w:val="single"/>
        </w:rPr>
      </w:pPr>
      <w:r w:rsidRPr="00542026">
        <w:rPr>
          <w:rFonts w:eastAsia="Arial"/>
          <w:b/>
          <w:sz w:val="24"/>
          <w:u w:val="single"/>
        </w:rPr>
        <w:lastRenderedPageBreak/>
        <w:t>CERTIFICATE OF SERVICE</w:t>
      </w:r>
    </w:p>
    <w:p w:rsidR="00F34DEC" w:rsidRPr="00542026" w:rsidRDefault="00F34DEC" w:rsidP="00F34DEC">
      <w:pPr>
        <w:jc w:val="center"/>
        <w:rPr>
          <w:rFonts w:eastAsia="Arial"/>
          <w:b/>
          <w:sz w:val="24"/>
          <w:u w:val="single"/>
        </w:rPr>
      </w:pPr>
    </w:p>
    <w:p w:rsidR="00F34DEC" w:rsidRPr="00542026" w:rsidRDefault="004C06D6" w:rsidP="00F34DEC">
      <w:pPr>
        <w:rPr>
          <w:rFonts w:eastAsia="Calibri"/>
          <w:sz w:val="24"/>
        </w:rPr>
      </w:pPr>
      <w:r w:rsidRPr="00542026">
        <w:rPr>
          <w:rFonts w:eastAsia="Calibri"/>
          <w:sz w:val="24"/>
        </w:rPr>
        <w:tab/>
        <w:t xml:space="preserve">I certify that </w:t>
      </w:r>
      <w:r w:rsidR="00612A65" w:rsidRPr="00542026">
        <w:rPr>
          <w:rFonts w:eastAsia="Calibri"/>
          <w:sz w:val="24"/>
        </w:rPr>
        <w:t xml:space="preserve">the </w:t>
      </w:r>
      <w:r w:rsidR="00F34DEC" w:rsidRPr="00F06E46">
        <w:rPr>
          <w:rFonts w:eastAsia="Calibri"/>
          <w:i/>
          <w:sz w:val="24"/>
        </w:rPr>
        <w:t xml:space="preserve">Memorandum Contra </w:t>
      </w:r>
      <w:r w:rsidR="00F06E46">
        <w:rPr>
          <w:rFonts w:eastAsia="Calibri"/>
          <w:i/>
          <w:sz w:val="24"/>
        </w:rPr>
        <w:t xml:space="preserve">of Interstate Gas Supply, Inc. </w:t>
      </w:r>
      <w:r w:rsidR="00612A65" w:rsidRPr="00F06E46">
        <w:rPr>
          <w:rFonts w:eastAsia="Calibri"/>
          <w:i/>
          <w:sz w:val="24"/>
        </w:rPr>
        <w:t>the Motion of the Office of the Ohio Consumers’ Counsel</w:t>
      </w:r>
      <w:r w:rsidR="00612A65" w:rsidRPr="00542026">
        <w:rPr>
          <w:rFonts w:eastAsia="Calibri"/>
          <w:sz w:val="24"/>
        </w:rPr>
        <w:t xml:space="preserve"> </w:t>
      </w:r>
      <w:r w:rsidR="00F34DEC" w:rsidRPr="00542026">
        <w:rPr>
          <w:rFonts w:eastAsia="Calibri"/>
          <w:sz w:val="24"/>
        </w:rPr>
        <w:t>was filed electronically through the Docketing Information System of the Public Utilities Commission of Ohio o</w:t>
      </w:r>
      <w:r w:rsidR="00612A65" w:rsidRPr="00542026">
        <w:rPr>
          <w:rFonts w:eastAsia="Calibri"/>
          <w:sz w:val="24"/>
        </w:rPr>
        <w:t>n this 27th day of January, 2016</w:t>
      </w:r>
      <w:r w:rsidR="00F34DEC" w:rsidRPr="00542026">
        <w:rPr>
          <w:rFonts w:eastAsia="Calibri"/>
          <w:sz w:val="24"/>
        </w:rPr>
        <w:t xml:space="preserve"> and electronically served to the following parties:</w:t>
      </w:r>
    </w:p>
    <w:p w:rsidR="00F34DEC" w:rsidRPr="00542026" w:rsidRDefault="00F34DEC" w:rsidP="00F34DEC">
      <w:pPr>
        <w:rPr>
          <w:rFonts w:eastAsia="Calibri"/>
          <w:sz w:val="24"/>
        </w:rPr>
      </w:pPr>
    </w:p>
    <w:tbl>
      <w:tblPr>
        <w:tblStyle w:val="TableGrid"/>
        <w:tblW w:w="0" w:type="auto"/>
        <w:tblLook w:val="04A0" w:firstRow="1" w:lastRow="0" w:firstColumn="1" w:lastColumn="0" w:noHBand="0" w:noVBand="1"/>
      </w:tblPr>
      <w:tblGrid>
        <w:gridCol w:w="4788"/>
        <w:gridCol w:w="4788"/>
      </w:tblGrid>
      <w:tr w:rsidR="00F34DEC" w:rsidRPr="00542026" w:rsidTr="002A31F6">
        <w:tc>
          <w:tcPr>
            <w:tcW w:w="4788" w:type="dxa"/>
          </w:tcPr>
          <w:p w:rsidR="00F34DEC" w:rsidRPr="00542026" w:rsidRDefault="00A676CA" w:rsidP="00612A65">
            <w:pPr>
              <w:jc w:val="both"/>
              <w:rPr>
                <w:rFonts w:ascii="Arial" w:hAnsi="Arial" w:cs="Arial"/>
                <w:sz w:val="24"/>
                <w:szCs w:val="24"/>
              </w:rPr>
            </w:pPr>
            <w:hyperlink r:id="rId10" w:history="1">
              <w:r w:rsidR="00612A65" w:rsidRPr="00542026">
                <w:rPr>
                  <w:rStyle w:val="Hyperlink"/>
                  <w:rFonts w:ascii="Arial" w:hAnsi="Arial" w:cs="Arial"/>
                  <w:sz w:val="24"/>
                  <w:szCs w:val="24"/>
                </w:rPr>
                <w:t>werner.margard@puc.state.oh.us</w:t>
              </w:r>
            </w:hyperlink>
          </w:p>
          <w:p w:rsidR="00612A65" w:rsidRPr="00542026" w:rsidRDefault="00A676CA" w:rsidP="00612A65">
            <w:pPr>
              <w:jc w:val="both"/>
              <w:rPr>
                <w:rFonts w:ascii="Arial" w:hAnsi="Arial" w:cs="Arial"/>
                <w:sz w:val="24"/>
                <w:szCs w:val="24"/>
              </w:rPr>
            </w:pPr>
            <w:hyperlink r:id="rId11" w:history="1">
              <w:r w:rsidR="00612A65" w:rsidRPr="00542026">
                <w:rPr>
                  <w:rStyle w:val="Hyperlink"/>
                  <w:rFonts w:ascii="Arial" w:hAnsi="Arial" w:cs="Arial"/>
                  <w:sz w:val="24"/>
                  <w:szCs w:val="24"/>
                </w:rPr>
                <w:t>jdosker@stand-energy.com</w:t>
              </w:r>
            </w:hyperlink>
          </w:p>
          <w:p w:rsidR="00612A65" w:rsidRPr="00542026" w:rsidRDefault="00A676CA" w:rsidP="00612A65">
            <w:pPr>
              <w:jc w:val="both"/>
              <w:rPr>
                <w:rFonts w:ascii="Arial" w:hAnsi="Arial" w:cs="Arial"/>
                <w:sz w:val="24"/>
                <w:szCs w:val="24"/>
              </w:rPr>
            </w:pPr>
            <w:hyperlink r:id="rId12" w:history="1">
              <w:r w:rsidR="00612A65" w:rsidRPr="00542026">
                <w:rPr>
                  <w:rStyle w:val="Hyperlink"/>
                  <w:rFonts w:ascii="Arial" w:hAnsi="Arial" w:cs="Arial"/>
                  <w:sz w:val="24"/>
                  <w:szCs w:val="24"/>
                </w:rPr>
                <w:t>drinebolt@aol.com</w:t>
              </w:r>
            </w:hyperlink>
          </w:p>
          <w:p w:rsidR="00612A65" w:rsidRPr="00542026" w:rsidRDefault="00A676CA" w:rsidP="00612A65">
            <w:pPr>
              <w:jc w:val="both"/>
              <w:rPr>
                <w:rFonts w:ascii="Arial" w:hAnsi="Arial" w:cs="Arial"/>
                <w:sz w:val="24"/>
                <w:szCs w:val="24"/>
              </w:rPr>
            </w:pPr>
            <w:hyperlink r:id="rId13" w:history="1">
              <w:r w:rsidR="00612A65" w:rsidRPr="00542026">
                <w:rPr>
                  <w:rStyle w:val="Hyperlink"/>
                  <w:rFonts w:ascii="Arial" w:hAnsi="Arial" w:cs="Arial"/>
                  <w:sz w:val="24"/>
                  <w:szCs w:val="24"/>
                </w:rPr>
                <w:t>Campbell@whitt-sturtevant.com</w:t>
              </w:r>
            </w:hyperlink>
          </w:p>
          <w:p w:rsidR="00612A65" w:rsidRPr="00542026" w:rsidRDefault="00612A65" w:rsidP="00612A65">
            <w:pPr>
              <w:jc w:val="both"/>
              <w:rPr>
                <w:rFonts w:ascii="Arial" w:hAnsi="Arial" w:cs="Arial"/>
                <w:sz w:val="24"/>
                <w:szCs w:val="24"/>
              </w:rPr>
            </w:pPr>
          </w:p>
          <w:p w:rsidR="00612A65" w:rsidRPr="00542026" w:rsidRDefault="00612A65" w:rsidP="00612A65">
            <w:pPr>
              <w:jc w:val="both"/>
              <w:rPr>
                <w:rFonts w:ascii="Arial" w:hAnsi="Arial" w:cs="Arial"/>
                <w:sz w:val="24"/>
                <w:szCs w:val="24"/>
              </w:rPr>
            </w:pPr>
          </w:p>
        </w:tc>
        <w:tc>
          <w:tcPr>
            <w:tcW w:w="4788" w:type="dxa"/>
          </w:tcPr>
          <w:p w:rsidR="00F34DEC" w:rsidRPr="00542026" w:rsidRDefault="00A676CA" w:rsidP="002A31F6">
            <w:pPr>
              <w:jc w:val="both"/>
              <w:rPr>
                <w:rFonts w:ascii="Arial" w:hAnsi="Arial" w:cs="Arial"/>
                <w:sz w:val="24"/>
                <w:szCs w:val="24"/>
              </w:rPr>
            </w:pPr>
            <w:hyperlink r:id="rId14" w:history="1">
              <w:r w:rsidR="00612A65" w:rsidRPr="00542026">
                <w:rPr>
                  <w:rStyle w:val="Hyperlink"/>
                  <w:rFonts w:ascii="Arial" w:hAnsi="Arial" w:cs="Arial"/>
                  <w:sz w:val="24"/>
                  <w:szCs w:val="24"/>
                </w:rPr>
                <w:t>trent@theoec.org</w:t>
              </w:r>
            </w:hyperlink>
          </w:p>
          <w:p w:rsidR="00612A65" w:rsidRPr="00542026" w:rsidRDefault="00A676CA" w:rsidP="002A31F6">
            <w:pPr>
              <w:jc w:val="both"/>
              <w:rPr>
                <w:rFonts w:ascii="Arial" w:hAnsi="Arial" w:cs="Arial"/>
                <w:sz w:val="24"/>
                <w:szCs w:val="24"/>
              </w:rPr>
            </w:pPr>
            <w:hyperlink r:id="rId15" w:history="1">
              <w:r w:rsidR="00612A65" w:rsidRPr="00542026">
                <w:rPr>
                  <w:rStyle w:val="Hyperlink"/>
                  <w:rFonts w:ascii="Arial" w:hAnsi="Arial" w:cs="Arial"/>
                  <w:sz w:val="24"/>
                  <w:szCs w:val="24"/>
                </w:rPr>
                <w:t>sam@mwncmh.com</w:t>
              </w:r>
            </w:hyperlink>
          </w:p>
          <w:p w:rsidR="00F34DEC" w:rsidRPr="00542026" w:rsidRDefault="00A676CA" w:rsidP="002A31F6">
            <w:pPr>
              <w:jc w:val="both"/>
              <w:rPr>
                <w:rFonts w:ascii="Arial" w:hAnsi="Arial" w:cs="Arial"/>
                <w:sz w:val="24"/>
                <w:szCs w:val="24"/>
              </w:rPr>
            </w:pPr>
            <w:hyperlink r:id="rId16" w:history="1">
              <w:r w:rsidR="00612A65" w:rsidRPr="00542026">
                <w:rPr>
                  <w:rStyle w:val="Hyperlink"/>
                  <w:rFonts w:ascii="Arial" w:hAnsi="Arial" w:cs="Arial"/>
                  <w:sz w:val="24"/>
                  <w:szCs w:val="24"/>
                </w:rPr>
                <w:t>ghummel@mwncmh.com</w:t>
              </w:r>
            </w:hyperlink>
          </w:p>
          <w:p w:rsidR="00612A65" w:rsidRPr="00542026" w:rsidRDefault="00A676CA" w:rsidP="002A31F6">
            <w:pPr>
              <w:jc w:val="both"/>
              <w:rPr>
                <w:rFonts w:ascii="Arial" w:hAnsi="Arial" w:cs="Arial"/>
                <w:sz w:val="24"/>
                <w:szCs w:val="24"/>
              </w:rPr>
            </w:pPr>
            <w:hyperlink r:id="rId17" w:history="1">
              <w:r w:rsidR="00612A65" w:rsidRPr="00542026">
                <w:rPr>
                  <w:rStyle w:val="Hyperlink"/>
                  <w:rFonts w:ascii="Arial" w:hAnsi="Arial" w:cs="Arial"/>
                  <w:sz w:val="24"/>
                  <w:szCs w:val="24"/>
                </w:rPr>
                <w:t>whitt@whitt-sturtevant.com</w:t>
              </w:r>
            </w:hyperlink>
          </w:p>
          <w:p w:rsidR="00612A65" w:rsidRPr="00542026" w:rsidRDefault="00612A65" w:rsidP="002A31F6">
            <w:pPr>
              <w:jc w:val="both"/>
              <w:rPr>
                <w:rFonts w:ascii="Arial" w:hAnsi="Arial" w:cs="Arial"/>
                <w:sz w:val="24"/>
                <w:szCs w:val="24"/>
              </w:rPr>
            </w:pPr>
          </w:p>
          <w:p w:rsidR="00F34DEC" w:rsidRPr="00542026" w:rsidRDefault="00F34DEC" w:rsidP="002A31F6">
            <w:pPr>
              <w:jc w:val="both"/>
              <w:rPr>
                <w:rFonts w:ascii="Arial" w:hAnsi="Arial" w:cs="Arial"/>
                <w:sz w:val="24"/>
                <w:szCs w:val="24"/>
              </w:rPr>
            </w:pPr>
          </w:p>
        </w:tc>
      </w:tr>
    </w:tbl>
    <w:p w:rsidR="00F34DEC" w:rsidRPr="00542026" w:rsidRDefault="00F34DEC" w:rsidP="00F34DEC">
      <w:pPr>
        <w:rPr>
          <w:sz w:val="24"/>
        </w:rPr>
      </w:pPr>
    </w:p>
    <w:p w:rsidR="00F34DEC" w:rsidRPr="00542026" w:rsidRDefault="00F34DEC" w:rsidP="00F34DEC">
      <w:pPr>
        <w:rPr>
          <w:sz w:val="24"/>
        </w:rPr>
      </w:pPr>
    </w:p>
    <w:p w:rsidR="00F34DEC" w:rsidRPr="00F06E46" w:rsidRDefault="00F34DEC" w:rsidP="00F34DEC">
      <w:pPr>
        <w:rPr>
          <w:b/>
          <w:i/>
          <w:sz w:val="24"/>
          <w:u w:val="single"/>
        </w:rPr>
      </w:pPr>
      <w:r w:rsidRPr="00542026">
        <w:rPr>
          <w:sz w:val="24"/>
        </w:rPr>
        <w:tab/>
      </w:r>
      <w:r w:rsidRPr="00542026">
        <w:rPr>
          <w:sz w:val="24"/>
        </w:rPr>
        <w:tab/>
      </w:r>
      <w:r w:rsidRPr="00542026">
        <w:rPr>
          <w:sz w:val="24"/>
        </w:rPr>
        <w:tab/>
      </w:r>
      <w:r w:rsidRPr="00542026">
        <w:rPr>
          <w:sz w:val="24"/>
        </w:rPr>
        <w:tab/>
      </w:r>
      <w:r w:rsidRPr="00542026">
        <w:rPr>
          <w:sz w:val="24"/>
        </w:rPr>
        <w:tab/>
      </w:r>
      <w:r w:rsidRPr="00542026">
        <w:rPr>
          <w:sz w:val="24"/>
        </w:rPr>
        <w:tab/>
      </w:r>
      <w:r w:rsidR="00F06E46">
        <w:rPr>
          <w:sz w:val="24"/>
        </w:rPr>
        <w:tab/>
      </w:r>
      <w:r w:rsidR="00C97669">
        <w:rPr>
          <w:b/>
          <w:i/>
          <w:sz w:val="24"/>
          <w:u w:val="single"/>
        </w:rPr>
        <w:t xml:space="preserve">/s/ </w:t>
      </w:r>
      <w:r w:rsidRPr="00F06E46">
        <w:rPr>
          <w:b/>
          <w:i/>
          <w:sz w:val="24"/>
          <w:u w:val="single"/>
        </w:rPr>
        <w:t>Joseph Oliker</w:t>
      </w:r>
    </w:p>
    <w:p w:rsidR="00F34DEC" w:rsidRPr="00542026" w:rsidRDefault="00F34DEC" w:rsidP="00F34DEC">
      <w:pPr>
        <w:rPr>
          <w:sz w:val="24"/>
          <w:u w:val="single"/>
        </w:rPr>
      </w:pPr>
    </w:p>
    <w:p w:rsidR="00F34DEC" w:rsidRPr="00542026" w:rsidRDefault="00F34DEC" w:rsidP="00F34DEC">
      <w:pPr>
        <w:rPr>
          <w:rFonts w:eastAsia="Arial"/>
          <w:sz w:val="24"/>
        </w:rPr>
      </w:pPr>
      <w:r w:rsidRPr="00542026">
        <w:rPr>
          <w:sz w:val="24"/>
        </w:rPr>
        <w:tab/>
      </w:r>
      <w:r w:rsidRPr="00542026">
        <w:rPr>
          <w:sz w:val="24"/>
        </w:rPr>
        <w:tab/>
      </w:r>
      <w:r w:rsidRPr="00542026">
        <w:rPr>
          <w:sz w:val="24"/>
        </w:rPr>
        <w:tab/>
      </w:r>
      <w:r w:rsidRPr="00542026">
        <w:rPr>
          <w:sz w:val="24"/>
        </w:rPr>
        <w:tab/>
      </w:r>
      <w:r w:rsidRPr="00542026">
        <w:rPr>
          <w:sz w:val="24"/>
        </w:rPr>
        <w:tab/>
      </w:r>
      <w:r w:rsidRPr="00542026">
        <w:rPr>
          <w:sz w:val="24"/>
        </w:rPr>
        <w:tab/>
      </w:r>
      <w:r w:rsidR="00F06E46">
        <w:rPr>
          <w:sz w:val="24"/>
        </w:rPr>
        <w:tab/>
      </w:r>
      <w:r w:rsidR="00C97669">
        <w:rPr>
          <w:sz w:val="24"/>
        </w:rPr>
        <w:t>Counsel for Interstate Gas Supply, Inc.</w:t>
      </w:r>
    </w:p>
    <w:p w:rsidR="00F34DEC" w:rsidRPr="00F34DEC" w:rsidRDefault="00F34DEC" w:rsidP="00F34DEC">
      <w:pPr>
        <w:spacing w:line="480" w:lineRule="auto"/>
        <w:rPr>
          <w:sz w:val="24"/>
        </w:rPr>
      </w:pPr>
    </w:p>
    <w:sectPr w:rsidR="00F34DEC" w:rsidRPr="00F34DEC">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6CA" w:rsidRDefault="00A676CA" w:rsidP="00CA62CE">
      <w:r>
        <w:separator/>
      </w:r>
    </w:p>
  </w:endnote>
  <w:endnote w:type="continuationSeparator" w:id="0">
    <w:p w:rsidR="00A676CA" w:rsidRDefault="00A676CA" w:rsidP="00CA6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D4A" w:rsidRDefault="00C95D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830016"/>
      <w:docPartObj>
        <w:docPartGallery w:val="Page Numbers (Bottom of Page)"/>
        <w:docPartUnique/>
      </w:docPartObj>
    </w:sdtPr>
    <w:sdtEndPr>
      <w:rPr>
        <w:noProof/>
      </w:rPr>
    </w:sdtEndPr>
    <w:sdtContent>
      <w:p w:rsidR="00FA3A87" w:rsidRDefault="00FA3A87">
        <w:pPr>
          <w:pStyle w:val="Footer"/>
          <w:jc w:val="center"/>
        </w:pPr>
        <w:r>
          <w:fldChar w:fldCharType="begin"/>
        </w:r>
        <w:r>
          <w:instrText xml:space="preserve"> PAGE   \* MERGEFORMAT </w:instrText>
        </w:r>
        <w:r>
          <w:fldChar w:fldCharType="separate"/>
        </w:r>
        <w:r w:rsidR="00C95D4A">
          <w:rPr>
            <w:noProof/>
          </w:rPr>
          <w:t>2</w:t>
        </w:r>
        <w:r>
          <w:rPr>
            <w:noProof/>
          </w:rPr>
          <w:fldChar w:fldCharType="end"/>
        </w:r>
      </w:p>
    </w:sdtContent>
  </w:sdt>
  <w:p w:rsidR="00FA3A87" w:rsidRDefault="00FA3A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D4A" w:rsidRDefault="00C95D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6CA" w:rsidRDefault="00A676CA" w:rsidP="00CA62CE">
      <w:r>
        <w:separator/>
      </w:r>
    </w:p>
  </w:footnote>
  <w:footnote w:type="continuationSeparator" w:id="0">
    <w:p w:rsidR="00A676CA" w:rsidRDefault="00A676CA" w:rsidP="00CA62CE">
      <w:r>
        <w:continuationSeparator/>
      </w:r>
    </w:p>
  </w:footnote>
  <w:footnote w:id="1">
    <w:p w:rsidR="00C56BCF" w:rsidRDefault="00C56BCF" w:rsidP="004A0585">
      <w:pPr>
        <w:pStyle w:val="FootnoteText"/>
      </w:pPr>
      <w:r>
        <w:rPr>
          <w:rStyle w:val="FootnoteReference"/>
        </w:rPr>
        <w:footnoteRef/>
      </w:r>
      <w:r>
        <w:t xml:space="preserve"> </w:t>
      </w:r>
      <w:r w:rsidR="004A0585" w:rsidRPr="004A0585">
        <w:rPr>
          <w:i/>
        </w:rPr>
        <w:t>In the Matter of the Application of Vectren Energy Delivery of Ohio, Inc. for Authority to Amend its Filed Tariffs to Increase the Rates and Charges for Gas Service and Related Matters</w:t>
      </w:r>
      <w:r w:rsidR="004A0585">
        <w:t xml:space="preserve">, Case Nos. 08-1070-GA-AIR, </w:t>
      </w:r>
      <w:r w:rsidR="004A0585">
        <w:rPr>
          <w:i/>
        </w:rPr>
        <w:t>et al.</w:t>
      </w:r>
      <w:r w:rsidR="004A0585">
        <w:t xml:space="preserve">, </w:t>
      </w:r>
      <w:r>
        <w:t>Stipulation and Rec</w:t>
      </w:r>
      <w:r w:rsidR="004A0585">
        <w:t>ommendation at 6 (Sep. 8, 2008) (hereinafter “</w:t>
      </w:r>
      <w:r w:rsidR="004A0585">
        <w:rPr>
          <w:i/>
        </w:rPr>
        <w:t>VEDO Rate Case</w:t>
      </w:r>
      <w:r w:rsidR="004A0585">
        <w:t>”);</w:t>
      </w:r>
      <w:r>
        <w:t xml:space="preserve">  </w:t>
      </w:r>
      <w:r>
        <w:rPr>
          <w:i/>
        </w:rPr>
        <w:t xml:space="preserve">See </w:t>
      </w:r>
      <w:r>
        <w:t xml:space="preserve">OCC Motion at 4. </w:t>
      </w:r>
    </w:p>
    <w:p w:rsidR="004A0585" w:rsidRDefault="004A0585" w:rsidP="004A0585">
      <w:pPr>
        <w:pStyle w:val="FootnoteText"/>
      </w:pPr>
    </w:p>
  </w:footnote>
  <w:footnote w:id="2">
    <w:p w:rsidR="009F1351" w:rsidRDefault="009F1351" w:rsidP="009F1351">
      <w:pPr>
        <w:pStyle w:val="FootnoteText"/>
      </w:pPr>
      <w:r>
        <w:rPr>
          <w:rStyle w:val="FootnoteReference"/>
        </w:rPr>
        <w:footnoteRef/>
      </w:r>
      <w:r>
        <w:t xml:space="preserve"> While IGS and Stand Energy do not have voting rights, either company may, upon request of their company representative, seek status as a voting member.  </w:t>
      </w:r>
      <w:r w:rsidR="004A0585">
        <w:rPr>
          <w:i/>
        </w:rPr>
        <w:t>VEDO Rate Case</w:t>
      </w:r>
      <w:r w:rsidR="004A0585">
        <w:t xml:space="preserve">, </w:t>
      </w:r>
      <w:r>
        <w:t>Stipulation and Recommendation at FN 4 (Sep. 8, 2008).</w:t>
      </w:r>
    </w:p>
    <w:p w:rsidR="009F1351" w:rsidRDefault="009F1351" w:rsidP="009F1351">
      <w:pPr>
        <w:pStyle w:val="FootnoteText"/>
      </w:pPr>
    </w:p>
  </w:footnote>
  <w:footnote w:id="3">
    <w:p w:rsidR="004A0585" w:rsidRDefault="004A0585" w:rsidP="004A0585">
      <w:pPr>
        <w:pStyle w:val="FootnoteText"/>
      </w:pPr>
      <w:r>
        <w:rPr>
          <w:rStyle w:val="FootnoteReference"/>
        </w:rPr>
        <w:footnoteRef/>
      </w:r>
      <w:r>
        <w:t xml:space="preserve"> </w:t>
      </w:r>
      <w:r w:rsidRPr="004A0585">
        <w:rPr>
          <w:i/>
        </w:rPr>
        <w:t xml:space="preserve">In the </w:t>
      </w:r>
      <w:r w:rsidR="001D2296">
        <w:rPr>
          <w:i/>
        </w:rPr>
        <w:t>M</w:t>
      </w:r>
      <w:r w:rsidR="001D2296" w:rsidRPr="004A0585">
        <w:rPr>
          <w:i/>
        </w:rPr>
        <w:t xml:space="preserve">atter </w:t>
      </w:r>
      <w:r w:rsidRPr="004A0585">
        <w:rPr>
          <w:i/>
        </w:rPr>
        <w:t xml:space="preserve">of the </w:t>
      </w:r>
      <w:r w:rsidR="001D2296">
        <w:rPr>
          <w:i/>
        </w:rPr>
        <w:t>A</w:t>
      </w:r>
      <w:r w:rsidR="001D2296" w:rsidRPr="004A0585">
        <w:rPr>
          <w:i/>
        </w:rPr>
        <w:t xml:space="preserve">pplication </w:t>
      </w:r>
      <w:r w:rsidRPr="004A0585">
        <w:rPr>
          <w:i/>
        </w:rPr>
        <w:t>of Vectren Ene</w:t>
      </w:r>
      <w:r>
        <w:rPr>
          <w:i/>
        </w:rPr>
        <w:t>rgy Delivery of Ohio, Inc. for Approval, P</w:t>
      </w:r>
      <w:r w:rsidRPr="004A0585">
        <w:rPr>
          <w:i/>
        </w:rPr>
        <w:t>ursuant to Revised Code Section 4929.11 of a Tariff to Recover Conservation Ex</w:t>
      </w:r>
      <w:r>
        <w:rPr>
          <w:i/>
        </w:rPr>
        <w:t>penses and Decoupling Revenues P</w:t>
      </w:r>
      <w:r w:rsidRPr="004A0585">
        <w:rPr>
          <w:i/>
        </w:rPr>
        <w:t>ursuant to Automatic Adju</w:t>
      </w:r>
      <w:r>
        <w:rPr>
          <w:i/>
        </w:rPr>
        <w:t>stment Mechanisms and for such Accounting Authority as May be Required to Defer Such Expenses and Revenues for Future Recovery Through S</w:t>
      </w:r>
      <w:r w:rsidR="00AC19C8">
        <w:rPr>
          <w:i/>
        </w:rPr>
        <w:t>uch Adjustment M</w:t>
      </w:r>
      <w:r w:rsidRPr="004A0585">
        <w:rPr>
          <w:i/>
        </w:rPr>
        <w:t>echanisms</w:t>
      </w:r>
      <w:r>
        <w:t>,</w:t>
      </w:r>
      <w:r w:rsidRPr="004A0585">
        <w:rPr>
          <w:i/>
        </w:rPr>
        <w:t xml:space="preserve"> </w:t>
      </w:r>
      <w:r w:rsidR="00AC19C8">
        <w:t xml:space="preserve">Case No 05-1444-GA-UNC, </w:t>
      </w:r>
      <w:r>
        <w:t>Stipulation and Recommendation at 5 (Apr. 10, 2006) (hereinafter “</w:t>
      </w:r>
      <w:r>
        <w:rPr>
          <w:i/>
        </w:rPr>
        <w:t>Conservation Case</w:t>
      </w:r>
      <w:r>
        <w:t>”).</w:t>
      </w:r>
    </w:p>
    <w:p w:rsidR="004A0585" w:rsidRDefault="004A0585">
      <w:pPr>
        <w:pStyle w:val="FootnoteText"/>
      </w:pPr>
    </w:p>
  </w:footnote>
  <w:footnote w:id="4">
    <w:p w:rsidR="00AC19C8" w:rsidRDefault="00AC19C8">
      <w:pPr>
        <w:pStyle w:val="FootnoteText"/>
      </w:pPr>
      <w:r>
        <w:rPr>
          <w:rStyle w:val="FootnoteReference"/>
        </w:rPr>
        <w:footnoteRef/>
      </w:r>
      <w:r>
        <w:t xml:space="preserve"> OCC Motion at 5-6.</w:t>
      </w:r>
    </w:p>
    <w:p w:rsidR="00AC19C8" w:rsidRDefault="00AC19C8">
      <w:pPr>
        <w:pStyle w:val="FootnoteText"/>
      </w:pPr>
    </w:p>
  </w:footnote>
  <w:footnote w:id="5">
    <w:p w:rsidR="00AC19C8" w:rsidRDefault="00AC19C8">
      <w:pPr>
        <w:pStyle w:val="FootnoteText"/>
      </w:pPr>
      <w:r>
        <w:rPr>
          <w:rStyle w:val="FootnoteReference"/>
        </w:rPr>
        <w:footnoteRef/>
      </w:r>
      <w:r>
        <w:t xml:space="preserve"> </w:t>
      </w:r>
      <w:r>
        <w:rPr>
          <w:i/>
        </w:rPr>
        <w:t xml:space="preserve">Id. </w:t>
      </w:r>
      <w:r>
        <w:t>at 1.</w:t>
      </w:r>
    </w:p>
    <w:p w:rsidR="00AC19C8" w:rsidRDefault="00AC19C8">
      <w:pPr>
        <w:pStyle w:val="FootnoteText"/>
      </w:pPr>
    </w:p>
  </w:footnote>
  <w:footnote w:id="6">
    <w:p w:rsidR="00A75CEB" w:rsidRPr="00AC19C8" w:rsidRDefault="00A75CEB">
      <w:pPr>
        <w:pStyle w:val="FootnoteText"/>
      </w:pPr>
      <w:r>
        <w:rPr>
          <w:rStyle w:val="FootnoteReference"/>
        </w:rPr>
        <w:footnoteRef/>
      </w:r>
      <w:r>
        <w:t xml:space="preserve"> </w:t>
      </w:r>
      <w:r w:rsidR="00AC19C8">
        <w:t xml:space="preserve">OCC Motion at 1-2.  </w:t>
      </w:r>
      <w:r>
        <w:t>IGS takes no position regarding the level of rebate that should be provided for non-</w:t>
      </w:r>
      <w:r w:rsidRPr="00AC19C8">
        <w:t>adaptive thermostats.</w:t>
      </w:r>
    </w:p>
    <w:p w:rsidR="00A75CEB" w:rsidRPr="00AC19C8" w:rsidRDefault="00A75CEB">
      <w:pPr>
        <w:pStyle w:val="FootnoteText"/>
      </w:pPr>
      <w:r w:rsidRPr="00AC19C8">
        <w:t xml:space="preserve"> </w:t>
      </w:r>
    </w:p>
  </w:footnote>
  <w:footnote w:id="7">
    <w:p w:rsidR="00171F7B" w:rsidRDefault="00171F7B">
      <w:pPr>
        <w:pStyle w:val="FootnoteText"/>
      </w:pPr>
      <w:r w:rsidRPr="00AC19C8">
        <w:rPr>
          <w:rStyle w:val="FootnoteReference"/>
        </w:rPr>
        <w:footnoteRef/>
      </w:r>
      <w:r w:rsidRPr="00AC19C8">
        <w:t xml:space="preserve"> OCC Motion at 2, 8.</w:t>
      </w:r>
    </w:p>
    <w:p w:rsidR="00AC19C8" w:rsidRPr="00AC19C8" w:rsidRDefault="00AC19C8">
      <w:pPr>
        <w:pStyle w:val="FootnoteText"/>
      </w:pPr>
    </w:p>
  </w:footnote>
  <w:footnote w:id="8">
    <w:p w:rsidR="00AC19C8" w:rsidRDefault="00AC19C8">
      <w:pPr>
        <w:pStyle w:val="FootnoteText"/>
      </w:pPr>
      <w:r w:rsidRPr="00AC19C8">
        <w:rPr>
          <w:rStyle w:val="FootnoteReference"/>
        </w:rPr>
        <w:footnoteRef/>
      </w:r>
      <w:r w:rsidRPr="00AC19C8">
        <w:t xml:space="preserve"> </w:t>
      </w:r>
      <w:r w:rsidRPr="00AC19C8">
        <w:rPr>
          <w:rFonts w:eastAsia="Arial"/>
          <w:i/>
        </w:rPr>
        <w:t xml:space="preserve">Id. </w:t>
      </w:r>
      <w:r w:rsidRPr="00AC19C8">
        <w:rPr>
          <w:rFonts w:eastAsia="Arial"/>
        </w:rPr>
        <w:t>at 8.</w:t>
      </w:r>
    </w:p>
  </w:footnote>
  <w:footnote w:id="9">
    <w:p w:rsidR="00AC19C8" w:rsidRDefault="00AC19C8">
      <w:pPr>
        <w:pStyle w:val="FootnoteText"/>
      </w:pPr>
      <w:r>
        <w:rPr>
          <w:rStyle w:val="FootnoteReference"/>
        </w:rPr>
        <w:footnoteRef/>
      </w:r>
      <w:r>
        <w:t xml:space="preserve"> OCC Motion at 8.</w:t>
      </w:r>
    </w:p>
    <w:p w:rsidR="00AC19C8" w:rsidRDefault="00AC19C8">
      <w:pPr>
        <w:pStyle w:val="FootnoteText"/>
      </w:pPr>
    </w:p>
  </w:footnote>
  <w:footnote w:id="10">
    <w:p w:rsidR="00171F7B" w:rsidRDefault="00171F7B" w:rsidP="00171F7B">
      <w:r>
        <w:rPr>
          <w:rStyle w:val="FootnoteReference"/>
        </w:rPr>
        <w:footnoteRef/>
      </w:r>
      <w:r>
        <w:t xml:space="preserve"> OCC Motion at 8 FN 26. OCC also cites at FN 6 to a $100 figure for a Honeywell Wi-Fi 7-day Programmable Thermostat—this should not be mistaken with the Honeywell Lyric, which has a $250 retail cost prior to installation costs.</w:t>
      </w:r>
      <w:r w:rsidRPr="00171F7B">
        <w:t xml:space="preserve"> </w:t>
      </w:r>
    </w:p>
    <w:p w:rsidR="00171F7B" w:rsidRDefault="00A676CA" w:rsidP="00171F7B">
      <w:hyperlink r:id="rId1" w:history="1">
        <w:r w:rsidR="00171F7B" w:rsidRPr="001F27BF">
          <w:rPr>
            <w:rStyle w:val="Hyperlink"/>
          </w:rPr>
          <w:t>http://www.homedepot.com/p/Honeywell-Lyric-Round-Wi-Fi-Programmable-Thermostat-RCH9310WF5003/206587686?cm_mmc=Shopping%7cTHD%7cG%7c0%7cG-BASE-PLA%7c&amp;gclid=COjYuZfSx8oCFdAXHwodIdoHzg&amp;gclsrc=aw.ds</w:t>
        </w:r>
      </w:hyperlink>
    </w:p>
    <w:p w:rsidR="00171F7B" w:rsidRDefault="00171F7B" w:rsidP="00171F7B">
      <w:pPr>
        <w:pStyle w:val="FootnoteText"/>
      </w:pPr>
    </w:p>
  </w:footnote>
  <w:footnote w:id="11">
    <w:p w:rsidR="00171F7B" w:rsidRDefault="00171F7B" w:rsidP="00171F7B">
      <w:pPr>
        <w:pStyle w:val="FootnoteText"/>
        <w:jc w:val="left"/>
      </w:pPr>
      <w:r>
        <w:rPr>
          <w:rStyle w:val="FootnoteReference"/>
        </w:rPr>
        <w:footnoteRef/>
      </w:r>
      <w:r>
        <w:t xml:space="preserve"> </w:t>
      </w:r>
      <w:r>
        <w:rPr>
          <w:i/>
        </w:rPr>
        <w:t xml:space="preserve">See Id; </w:t>
      </w:r>
      <w:r>
        <w:t xml:space="preserve"> </w:t>
      </w:r>
      <w:hyperlink r:id="rId2" w:history="1">
        <w:r w:rsidR="00EC1D0E" w:rsidRPr="00DE547E">
          <w:rPr>
            <w:rStyle w:val="Hyperlink"/>
          </w:rPr>
          <w:t>https://www.homedepot.ca/en/home/p.ecobee3-homekit-enabled-wifi-thermostat.1000842103.html</w:t>
        </w:r>
      </w:hyperlink>
    </w:p>
    <w:p w:rsidR="00171F7B" w:rsidRDefault="00171F7B" w:rsidP="00171F7B">
      <w:pPr>
        <w:pStyle w:val="FootnoteText"/>
      </w:pPr>
    </w:p>
    <w:p w:rsidR="00171F7B" w:rsidRDefault="00171F7B">
      <w:pPr>
        <w:pStyle w:val="FootnoteText"/>
      </w:pPr>
    </w:p>
  </w:footnote>
  <w:footnote w:id="12">
    <w:p w:rsidR="00EC1D0E" w:rsidRDefault="00F00C40">
      <w:pPr>
        <w:pStyle w:val="FootnoteText"/>
      </w:pPr>
      <w:r>
        <w:rPr>
          <w:rStyle w:val="FootnoteReference"/>
        </w:rPr>
        <w:footnoteRef/>
      </w:r>
      <w:r>
        <w:t xml:space="preserve"> </w:t>
      </w:r>
      <w:r w:rsidR="00612A65">
        <w:t xml:space="preserve">Savings for a furnace or boiler range from 112 ccf to 127 ccf per units, while savings from a Wi-Fi enabled thermostat are listed as 69 ccf per unit.  </w:t>
      </w:r>
      <w:r>
        <w:t>See Operating Plan</w:t>
      </w:r>
      <w:r w:rsidR="00612A65">
        <w:t xml:space="preserve"> at</w:t>
      </w:r>
      <w:r w:rsidR="00EC1D0E">
        <w:t xml:space="preserve"> p. 6, Figure 3 (</w:t>
      </w:r>
      <w:r w:rsidR="00612A65">
        <w:t>attached as Ex</w:t>
      </w:r>
      <w:r w:rsidR="00EC1D0E">
        <w:t>hibit</w:t>
      </w:r>
      <w:r w:rsidR="00612A65">
        <w:t xml:space="preserve"> 1</w:t>
      </w:r>
      <w:r w:rsidR="00EC1D0E">
        <w:t>)</w:t>
      </w:r>
      <w:r>
        <w:t>.</w:t>
      </w:r>
      <w:r w:rsidR="00612A65">
        <w:t xml:space="preserve"> The Operating Plan contains a conservative estimate o</w:t>
      </w:r>
      <w:r w:rsidR="00EC1D0E">
        <w:t>f savings for an adaptive thermo</w:t>
      </w:r>
      <w:r w:rsidR="00612A65">
        <w:t>stat, such as Nest. “[O]</w:t>
      </w:r>
      <w:r w:rsidR="00612A65" w:rsidRPr="00612A65">
        <w:t>n average the Nest Thermostat saved 10-12% on heating</w:t>
      </w:r>
      <w:r w:rsidR="00612A65">
        <w:t xml:space="preserve"> . . . .” </w:t>
      </w:r>
      <w:hyperlink r:id="rId3" w:history="1">
        <w:r w:rsidR="00612A65" w:rsidRPr="001F27BF">
          <w:rPr>
            <w:rStyle w:val="Hyperlink"/>
          </w:rPr>
          <w:t>https://nest.com/thermostat/real-savings/</w:t>
        </w:r>
      </w:hyperlink>
      <w:r w:rsidR="00612A65">
        <w:t xml:space="preserve">; </w:t>
      </w:r>
      <w:r w:rsidR="00612A65" w:rsidRPr="00612A65">
        <w:t xml:space="preserve">see also </w:t>
      </w:r>
      <w:hyperlink r:id="rId4" w:history="1">
        <w:r w:rsidR="00612A65" w:rsidRPr="001F27BF">
          <w:rPr>
            <w:rStyle w:val="Hyperlink"/>
          </w:rPr>
          <w:t>https://nest.com/downloads/press/documents/energy-savings-white-paper.pdf</w:t>
        </w:r>
      </w:hyperlink>
      <w:r w:rsidR="00612A65">
        <w:t xml:space="preserve">  Given that a typical residential customer uses approximately 80-100 ccf per month, a 69 ccf reduction is conservative.  </w:t>
      </w:r>
      <w:r w:rsidR="00612A65">
        <w:rPr>
          <w:i/>
        </w:rPr>
        <w:t>See Trends in U.S. Residential Natural Gas Consumption</w:t>
      </w:r>
      <w:r w:rsidR="00612A65">
        <w:t>, at 6 (Table 1 referencing the Midwest)</w:t>
      </w:r>
    </w:p>
    <w:p w:rsidR="00F00C40" w:rsidRPr="000116A3" w:rsidRDefault="00A676CA">
      <w:pPr>
        <w:pStyle w:val="FootnoteText"/>
      </w:pPr>
      <w:hyperlink r:id="rId5" w:history="1">
        <w:r w:rsidR="00612A65" w:rsidRPr="001F27BF">
          <w:rPr>
            <w:rStyle w:val="Hyperlink"/>
            <w:i/>
          </w:rPr>
          <w:t>https://www.eia.gov/pub/oil_gas/natural_gas/feature_articles/2010/ngtrendsresidcon/ngtrendsresidcon.pdf</w:t>
        </w:r>
      </w:hyperlink>
      <w:r w:rsidR="000116A3">
        <w:rPr>
          <w:rStyle w:val="Hyperlink"/>
          <w:i/>
        </w:rPr>
        <w:t xml:space="preserve">  </w:t>
      </w:r>
      <w:r w:rsidR="000116A3">
        <w:rPr>
          <w:rStyle w:val="Hyperlink"/>
          <w:color w:val="auto"/>
          <w:u w:val="none"/>
        </w:rPr>
        <w:t>In reality, an adaptive thermostat provides savings per unit on par with a furnace or boiler replacement, but at significantly lower cost.</w:t>
      </w:r>
    </w:p>
    <w:p w:rsidR="00612A65" w:rsidRPr="00612A65" w:rsidRDefault="00612A6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D4A" w:rsidRDefault="00C95D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D4A" w:rsidRDefault="00C95D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D4A" w:rsidRDefault="00C95D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856FF"/>
    <w:multiLevelType w:val="hybridMultilevel"/>
    <w:tmpl w:val="AA90EC86"/>
    <w:lvl w:ilvl="0" w:tplc="42B6A7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1806F77"/>
    <w:multiLevelType w:val="hybridMultilevel"/>
    <w:tmpl w:val="6AFCAA4E"/>
    <w:lvl w:ilvl="0" w:tplc="A66292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2AB2A2E"/>
    <w:multiLevelType w:val="hybridMultilevel"/>
    <w:tmpl w:val="A198E554"/>
    <w:lvl w:ilvl="0" w:tplc="7AE4FCB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C3351D3"/>
    <w:multiLevelType w:val="hybridMultilevel"/>
    <w:tmpl w:val="F31AF76A"/>
    <w:lvl w:ilvl="0" w:tplc="73AAB0C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DB450DE"/>
    <w:multiLevelType w:val="hybridMultilevel"/>
    <w:tmpl w:val="27928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421740C"/>
    <w:multiLevelType w:val="hybridMultilevel"/>
    <w:tmpl w:val="804C6D16"/>
    <w:lvl w:ilvl="0" w:tplc="8576714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6BC6259"/>
    <w:multiLevelType w:val="hybridMultilevel"/>
    <w:tmpl w:val="FCEEF2DC"/>
    <w:lvl w:ilvl="0" w:tplc="182A56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5"/>
  </w:num>
  <w:num w:numId="5">
    <w:abstractNumId w:val="2"/>
  </w:num>
  <w:num w:numId="6">
    <w:abstractNumId w:val="4"/>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len Teng">
    <w15:presenceInfo w15:providerId="AD" w15:userId="S-1-5-21-1316090093-710254092-3585433132-200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CA2"/>
    <w:rsid w:val="000116A3"/>
    <w:rsid w:val="000243CC"/>
    <w:rsid w:val="00036F2E"/>
    <w:rsid w:val="000431B5"/>
    <w:rsid w:val="00052075"/>
    <w:rsid w:val="0005678C"/>
    <w:rsid w:val="00057DB5"/>
    <w:rsid w:val="000D1912"/>
    <w:rsid w:val="000D2A3C"/>
    <w:rsid w:val="000F45F5"/>
    <w:rsid w:val="00137E8F"/>
    <w:rsid w:val="001619D6"/>
    <w:rsid w:val="0017103A"/>
    <w:rsid w:val="00171F7B"/>
    <w:rsid w:val="001B19D4"/>
    <w:rsid w:val="001B5A08"/>
    <w:rsid w:val="001C4B64"/>
    <w:rsid w:val="001C7CE0"/>
    <w:rsid w:val="001D2296"/>
    <w:rsid w:val="00250278"/>
    <w:rsid w:val="00284F1B"/>
    <w:rsid w:val="00286184"/>
    <w:rsid w:val="002C5F7D"/>
    <w:rsid w:val="002D3419"/>
    <w:rsid w:val="002E0B2A"/>
    <w:rsid w:val="003713C2"/>
    <w:rsid w:val="00376BC2"/>
    <w:rsid w:val="003B2ED9"/>
    <w:rsid w:val="003E491F"/>
    <w:rsid w:val="0044218F"/>
    <w:rsid w:val="00466832"/>
    <w:rsid w:val="00466D44"/>
    <w:rsid w:val="0047697A"/>
    <w:rsid w:val="00477C5B"/>
    <w:rsid w:val="004838DA"/>
    <w:rsid w:val="00484EC9"/>
    <w:rsid w:val="004A0585"/>
    <w:rsid w:val="004C06D6"/>
    <w:rsid w:val="004C6D45"/>
    <w:rsid w:val="004E70F3"/>
    <w:rsid w:val="00513498"/>
    <w:rsid w:val="00542026"/>
    <w:rsid w:val="00563363"/>
    <w:rsid w:val="00567D96"/>
    <w:rsid w:val="00596C44"/>
    <w:rsid w:val="005A2AB8"/>
    <w:rsid w:val="005C147C"/>
    <w:rsid w:val="005C5AEB"/>
    <w:rsid w:val="005D2CA2"/>
    <w:rsid w:val="005D74DD"/>
    <w:rsid w:val="005E5DFE"/>
    <w:rsid w:val="005F1ED3"/>
    <w:rsid w:val="005F4117"/>
    <w:rsid w:val="00612A65"/>
    <w:rsid w:val="006166B9"/>
    <w:rsid w:val="0065672B"/>
    <w:rsid w:val="00667B23"/>
    <w:rsid w:val="00686644"/>
    <w:rsid w:val="006A210A"/>
    <w:rsid w:val="006A78BF"/>
    <w:rsid w:val="006F657B"/>
    <w:rsid w:val="00741C4A"/>
    <w:rsid w:val="007436EF"/>
    <w:rsid w:val="00765B0A"/>
    <w:rsid w:val="007B52C9"/>
    <w:rsid w:val="007F689E"/>
    <w:rsid w:val="00810EF8"/>
    <w:rsid w:val="00821341"/>
    <w:rsid w:val="00822E17"/>
    <w:rsid w:val="00825BAC"/>
    <w:rsid w:val="00833CC8"/>
    <w:rsid w:val="008627B4"/>
    <w:rsid w:val="008849A9"/>
    <w:rsid w:val="00891B34"/>
    <w:rsid w:val="00894F38"/>
    <w:rsid w:val="008A016B"/>
    <w:rsid w:val="008C1EF4"/>
    <w:rsid w:val="008C3B33"/>
    <w:rsid w:val="008F242E"/>
    <w:rsid w:val="00907122"/>
    <w:rsid w:val="0095210C"/>
    <w:rsid w:val="0095760E"/>
    <w:rsid w:val="009658D7"/>
    <w:rsid w:val="009918CE"/>
    <w:rsid w:val="009918E3"/>
    <w:rsid w:val="00992067"/>
    <w:rsid w:val="009A5039"/>
    <w:rsid w:val="009B780B"/>
    <w:rsid w:val="009E1371"/>
    <w:rsid w:val="009E374F"/>
    <w:rsid w:val="009F1351"/>
    <w:rsid w:val="009F356A"/>
    <w:rsid w:val="009F5B55"/>
    <w:rsid w:val="00A101A4"/>
    <w:rsid w:val="00A53BCF"/>
    <w:rsid w:val="00A5444B"/>
    <w:rsid w:val="00A6477B"/>
    <w:rsid w:val="00A676CA"/>
    <w:rsid w:val="00A75CEB"/>
    <w:rsid w:val="00A9614D"/>
    <w:rsid w:val="00A9684B"/>
    <w:rsid w:val="00AC19C8"/>
    <w:rsid w:val="00AD496E"/>
    <w:rsid w:val="00B373C8"/>
    <w:rsid w:val="00B86012"/>
    <w:rsid w:val="00B90BC4"/>
    <w:rsid w:val="00B936A6"/>
    <w:rsid w:val="00BB3F9C"/>
    <w:rsid w:val="00BC3E52"/>
    <w:rsid w:val="00BD068E"/>
    <w:rsid w:val="00BE6534"/>
    <w:rsid w:val="00BF3292"/>
    <w:rsid w:val="00C04057"/>
    <w:rsid w:val="00C16B01"/>
    <w:rsid w:val="00C41C0D"/>
    <w:rsid w:val="00C56BCF"/>
    <w:rsid w:val="00C95D4A"/>
    <w:rsid w:val="00C97669"/>
    <w:rsid w:val="00CA62CE"/>
    <w:rsid w:val="00D112F0"/>
    <w:rsid w:val="00D13869"/>
    <w:rsid w:val="00D409CC"/>
    <w:rsid w:val="00D45783"/>
    <w:rsid w:val="00D65678"/>
    <w:rsid w:val="00DB69C7"/>
    <w:rsid w:val="00DB7FF1"/>
    <w:rsid w:val="00DF2F9D"/>
    <w:rsid w:val="00E21707"/>
    <w:rsid w:val="00E2286A"/>
    <w:rsid w:val="00E56827"/>
    <w:rsid w:val="00E71A29"/>
    <w:rsid w:val="00E857E9"/>
    <w:rsid w:val="00EB21E7"/>
    <w:rsid w:val="00EB7FCA"/>
    <w:rsid w:val="00EC1D0E"/>
    <w:rsid w:val="00F00C40"/>
    <w:rsid w:val="00F06E46"/>
    <w:rsid w:val="00F0783E"/>
    <w:rsid w:val="00F34DEC"/>
    <w:rsid w:val="00F852AC"/>
    <w:rsid w:val="00F862D4"/>
    <w:rsid w:val="00FA3A87"/>
    <w:rsid w:val="00FA4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0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5783"/>
    <w:pPr>
      <w:autoSpaceDE w:val="0"/>
      <w:autoSpaceDN w:val="0"/>
      <w:adjustRightInd w:val="0"/>
      <w:jc w:val="left"/>
    </w:pPr>
    <w:rPr>
      <w:rFonts w:ascii="Times New Roman" w:hAnsi="Times New Roman" w:cs="Times New Roman"/>
      <w:color w:val="000000"/>
      <w:sz w:val="24"/>
    </w:rPr>
  </w:style>
  <w:style w:type="paragraph" w:styleId="NormalWeb">
    <w:name w:val="Normal (Web)"/>
    <w:basedOn w:val="Normal"/>
    <w:uiPriority w:val="99"/>
    <w:semiHidden/>
    <w:unhideWhenUsed/>
    <w:rsid w:val="00894F38"/>
    <w:pPr>
      <w:spacing w:after="150"/>
      <w:jc w:val="left"/>
    </w:pPr>
    <w:rPr>
      <w:rFonts w:ascii="Times New Roman" w:eastAsia="Times New Roman" w:hAnsi="Times New Roman" w:cs="Times New Roman"/>
      <w:sz w:val="24"/>
    </w:rPr>
  </w:style>
  <w:style w:type="character" w:styleId="Emphasis">
    <w:name w:val="Emphasis"/>
    <w:basedOn w:val="DefaultParagraphFont"/>
    <w:uiPriority w:val="20"/>
    <w:qFormat/>
    <w:rsid w:val="00894F38"/>
    <w:rPr>
      <w:i/>
      <w:iCs/>
    </w:rPr>
  </w:style>
  <w:style w:type="character" w:styleId="Hyperlink">
    <w:name w:val="Hyperlink"/>
    <w:basedOn w:val="DefaultParagraphFont"/>
    <w:uiPriority w:val="99"/>
    <w:unhideWhenUsed/>
    <w:rsid w:val="00822E17"/>
    <w:rPr>
      <w:color w:val="0000FF" w:themeColor="hyperlink"/>
      <w:u w:val="single"/>
    </w:rPr>
  </w:style>
  <w:style w:type="paragraph" w:styleId="ListParagraph">
    <w:name w:val="List Paragraph"/>
    <w:basedOn w:val="Normal"/>
    <w:uiPriority w:val="34"/>
    <w:qFormat/>
    <w:rsid w:val="00D112F0"/>
    <w:pPr>
      <w:ind w:left="720"/>
      <w:contextualSpacing/>
    </w:pPr>
  </w:style>
  <w:style w:type="paragraph" w:styleId="FootnoteText">
    <w:name w:val="footnote text"/>
    <w:basedOn w:val="Normal"/>
    <w:link w:val="FootnoteTextChar"/>
    <w:uiPriority w:val="99"/>
    <w:semiHidden/>
    <w:unhideWhenUsed/>
    <w:rsid w:val="00CA62CE"/>
    <w:rPr>
      <w:szCs w:val="20"/>
    </w:rPr>
  </w:style>
  <w:style w:type="character" w:customStyle="1" w:styleId="FootnoteTextChar">
    <w:name w:val="Footnote Text Char"/>
    <w:basedOn w:val="DefaultParagraphFont"/>
    <w:link w:val="FootnoteText"/>
    <w:uiPriority w:val="99"/>
    <w:semiHidden/>
    <w:rsid w:val="00CA62CE"/>
    <w:rPr>
      <w:szCs w:val="20"/>
    </w:rPr>
  </w:style>
  <w:style w:type="character" w:styleId="FootnoteReference">
    <w:name w:val="footnote reference"/>
    <w:basedOn w:val="DefaultParagraphFont"/>
    <w:uiPriority w:val="99"/>
    <w:semiHidden/>
    <w:unhideWhenUsed/>
    <w:rsid w:val="00CA62CE"/>
    <w:rPr>
      <w:vertAlign w:val="superscript"/>
    </w:rPr>
  </w:style>
  <w:style w:type="table" w:styleId="TableGrid">
    <w:name w:val="Table Grid"/>
    <w:basedOn w:val="TableNormal"/>
    <w:uiPriority w:val="59"/>
    <w:rsid w:val="00F34DEC"/>
    <w:pPr>
      <w:jc w:val="left"/>
    </w:pPr>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13498"/>
    <w:rPr>
      <w:rFonts w:ascii="Tahoma" w:hAnsi="Tahoma" w:cs="Tahoma"/>
      <w:sz w:val="16"/>
      <w:szCs w:val="16"/>
    </w:rPr>
  </w:style>
  <w:style w:type="character" w:customStyle="1" w:styleId="BalloonTextChar">
    <w:name w:val="Balloon Text Char"/>
    <w:basedOn w:val="DefaultParagraphFont"/>
    <w:link w:val="BalloonText"/>
    <w:uiPriority w:val="99"/>
    <w:semiHidden/>
    <w:rsid w:val="00513498"/>
    <w:rPr>
      <w:rFonts w:ascii="Tahoma" w:hAnsi="Tahoma" w:cs="Tahoma"/>
      <w:sz w:val="16"/>
      <w:szCs w:val="16"/>
    </w:rPr>
  </w:style>
  <w:style w:type="paragraph" w:styleId="Header">
    <w:name w:val="header"/>
    <w:basedOn w:val="Normal"/>
    <w:link w:val="HeaderChar"/>
    <w:uiPriority w:val="99"/>
    <w:unhideWhenUsed/>
    <w:rsid w:val="00FA3A87"/>
    <w:pPr>
      <w:tabs>
        <w:tab w:val="center" w:pos="4680"/>
        <w:tab w:val="right" w:pos="9360"/>
      </w:tabs>
    </w:pPr>
  </w:style>
  <w:style w:type="character" w:customStyle="1" w:styleId="HeaderChar">
    <w:name w:val="Header Char"/>
    <w:basedOn w:val="DefaultParagraphFont"/>
    <w:link w:val="Header"/>
    <w:uiPriority w:val="99"/>
    <w:rsid w:val="00FA3A87"/>
  </w:style>
  <w:style w:type="paragraph" w:styleId="Footer">
    <w:name w:val="footer"/>
    <w:basedOn w:val="Normal"/>
    <w:link w:val="FooterChar"/>
    <w:uiPriority w:val="99"/>
    <w:unhideWhenUsed/>
    <w:rsid w:val="00FA3A87"/>
    <w:pPr>
      <w:tabs>
        <w:tab w:val="center" w:pos="4680"/>
        <w:tab w:val="right" w:pos="9360"/>
      </w:tabs>
    </w:pPr>
  </w:style>
  <w:style w:type="character" w:customStyle="1" w:styleId="FooterChar">
    <w:name w:val="Footer Char"/>
    <w:basedOn w:val="DefaultParagraphFont"/>
    <w:link w:val="Footer"/>
    <w:uiPriority w:val="99"/>
    <w:rsid w:val="00FA3A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0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5783"/>
    <w:pPr>
      <w:autoSpaceDE w:val="0"/>
      <w:autoSpaceDN w:val="0"/>
      <w:adjustRightInd w:val="0"/>
      <w:jc w:val="left"/>
    </w:pPr>
    <w:rPr>
      <w:rFonts w:ascii="Times New Roman" w:hAnsi="Times New Roman" w:cs="Times New Roman"/>
      <w:color w:val="000000"/>
      <w:sz w:val="24"/>
    </w:rPr>
  </w:style>
  <w:style w:type="paragraph" w:styleId="NormalWeb">
    <w:name w:val="Normal (Web)"/>
    <w:basedOn w:val="Normal"/>
    <w:uiPriority w:val="99"/>
    <w:semiHidden/>
    <w:unhideWhenUsed/>
    <w:rsid w:val="00894F38"/>
    <w:pPr>
      <w:spacing w:after="150"/>
      <w:jc w:val="left"/>
    </w:pPr>
    <w:rPr>
      <w:rFonts w:ascii="Times New Roman" w:eastAsia="Times New Roman" w:hAnsi="Times New Roman" w:cs="Times New Roman"/>
      <w:sz w:val="24"/>
    </w:rPr>
  </w:style>
  <w:style w:type="character" w:styleId="Emphasis">
    <w:name w:val="Emphasis"/>
    <w:basedOn w:val="DefaultParagraphFont"/>
    <w:uiPriority w:val="20"/>
    <w:qFormat/>
    <w:rsid w:val="00894F38"/>
    <w:rPr>
      <w:i/>
      <w:iCs/>
    </w:rPr>
  </w:style>
  <w:style w:type="character" w:styleId="Hyperlink">
    <w:name w:val="Hyperlink"/>
    <w:basedOn w:val="DefaultParagraphFont"/>
    <w:uiPriority w:val="99"/>
    <w:unhideWhenUsed/>
    <w:rsid w:val="00822E17"/>
    <w:rPr>
      <w:color w:val="0000FF" w:themeColor="hyperlink"/>
      <w:u w:val="single"/>
    </w:rPr>
  </w:style>
  <w:style w:type="paragraph" w:styleId="ListParagraph">
    <w:name w:val="List Paragraph"/>
    <w:basedOn w:val="Normal"/>
    <w:uiPriority w:val="34"/>
    <w:qFormat/>
    <w:rsid w:val="00D112F0"/>
    <w:pPr>
      <w:ind w:left="720"/>
      <w:contextualSpacing/>
    </w:pPr>
  </w:style>
  <w:style w:type="paragraph" w:styleId="FootnoteText">
    <w:name w:val="footnote text"/>
    <w:basedOn w:val="Normal"/>
    <w:link w:val="FootnoteTextChar"/>
    <w:uiPriority w:val="99"/>
    <w:semiHidden/>
    <w:unhideWhenUsed/>
    <w:rsid w:val="00CA62CE"/>
    <w:rPr>
      <w:szCs w:val="20"/>
    </w:rPr>
  </w:style>
  <w:style w:type="character" w:customStyle="1" w:styleId="FootnoteTextChar">
    <w:name w:val="Footnote Text Char"/>
    <w:basedOn w:val="DefaultParagraphFont"/>
    <w:link w:val="FootnoteText"/>
    <w:uiPriority w:val="99"/>
    <w:semiHidden/>
    <w:rsid w:val="00CA62CE"/>
    <w:rPr>
      <w:szCs w:val="20"/>
    </w:rPr>
  </w:style>
  <w:style w:type="character" w:styleId="FootnoteReference">
    <w:name w:val="footnote reference"/>
    <w:basedOn w:val="DefaultParagraphFont"/>
    <w:uiPriority w:val="99"/>
    <w:semiHidden/>
    <w:unhideWhenUsed/>
    <w:rsid w:val="00CA62CE"/>
    <w:rPr>
      <w:vertAlign w:val="superscript"/>
    </w:rPr>
  </w:style>
  <w:style w:type="table" w:styleId="TableGrid">
    <w:name w:val="Table Grid"/>
    <w:basedOn w:val="TableNormal"/>
    <w:uiPriority w:val="59"/>
    <w:rsid w:val="00F34DEC"/>
    <w:pPr>
      <w:jc w:val="left"/>
    </w:pPr>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13498"/>
    <w:rPr>
      <w:rFonts w:ascii="Tahoma" w:hAnsi="Tahoma" w:cs="Tahoma"/>
      <w:sz w:val="16"/>
      <w:szCs w:val="16"/>
    </w:rPr>
  </w:style>
  <w:style w:type="character" w:customStyle="1" w:styleId="BalloonTextChar">
    <w:name w:val="Balloon Text Char"/>
    <w:basedOn w:val="DefaultParagraphFont"/>
    <w:link w:val="BalloonText"/>
    <w:uiPriority w:val="99"/>
    <w:semiHidden/>
    <w:rsid w:val="00513498"/>
    <w:rPr>
      <w:rFonts w:ascii="Tahoma" w:hAnsi="Tahoma" w:cs="Tahoma"/>
      <w:sz w:val="16"/>
      <w:szCs w:val="16"/>
    </w:rPr>
  </w:style>
  <w:style w:type="paragraph" w:styleId="Header">
    <w:name w:val="header"/>
    <w:basedOn w:val="Normal"/>
    <w:link w:val="HeaderChar"/>
    <w:uiPriority w:val="99"/>
    <w:unhideWhenUsed/>
    <w:rsid w:val="00FA3A87"/>
    <w:pPr>
      <w:tabs>
        <w:tab w:val="center" w:pos="4680"/>
        <w:tab w:val="right" w:pos="9360"/>
      </w:tabs>
    </w:pPr>
  </w:style>
  <w:style w:type="character" w:customStyle="1" w:styleId="HeaderChar">
    <w:name w:val="Header Char"/>
    <w:basedOn w:val="DefaultParagraphFont"/>
    <w:link w:val="Header"/>
    <w:uiPriority w:val="99"/>
    <w:rsid w:val="00FA3A87"/>
  </w:style>
  <w:style w:type="paragraph" w:styleId="Footer">
    <w:name w:val="footer"/>
    <w:basedOn w:val="Normal"/>
    <w:link w:val="FooterChar"/>
    <w:uiPriority w:val="99"/>
    <w:unhideWhenUsed/>
    <w:rsid w:val="00FA3A87"/>
    <w:pPr>
      <w:tabs>
        <w:tab w:val="center" w:pos="4680"/>
        <w:tab w:val="right" w:pos="9360"/>
      </w:tabs>
    </w:pPr>
  </w:style>
  <w:style w:type="character" w:customStyle="1" w:styleId="FooterChar">
    <w:name w:val="Footer Char"/>
    <w:basedOn w:val="DefaultParagraphFont"/>
    <w:link w:val="Footer"/>
    <w:uiPriority w:val="99"/>
    <w:rsid w:val="00FA3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75899">
      <w:bodyDiv w:val="1"/>
      <w:marLeft w:val="0"/>
      <w:marRight w:val="0"/>
      <w:marTop w:val="0"/>
      <w:marBottom w:val="0"/>
      <w:divBdr>
        <w:top w:val="none" w:sz="0" w:space="0" w:color="auto"/>
        <w:left w:val="none" w:sz="0" w:space="0" w:color="auto"/>
        <w:bottom w:val="none" w:sz="0" w:space="0" w:color="auto"/>
        <w:right w:val="none" w:sz="0" w:space="0" w:color="auto"/>
      </w:divBdr>
      <w:divsChild>
        <w:div w:id="241718088">
          <w:marLeft w:val="0"/>
          <w:marRight w:val="0"/>
          <w:marTop w:val="0"/>
          <w:marBottom w:val="0"/>
          <w:divBdr>
            <w:top w:val="none" w:sz="0" w:space="0" w:color="auto"/>
            <w:left w:val="none" w:sz="0" w:space="0" w:color="auto"/>
            <w:bottom w:val="none" w:sz="0" w:space="0" w:color="auto"/>
            <w:right w:val="none" w:sz="0" w:space="0" w:color="auto"/>
          </w:divBdr>
          <w:divsChild>
            <w:div w:id="186333198">
              <w:marLeft w:val="0"/>
              <w:marRight w:val="0"/>
              <w:marTop w:val="0"/>
              <w:marBottom w:val="0"/>
              <w:divBdr>
                <w:top w:val="none" w:sz="0" w:space="0" w:color="auto"/>
                <w:left w:val="none" w:sz="0" w:space="0" w:color="auto"/>
                <w:bottom w:val="none" w:sz="0" w:space="0" w:color="auto"/>
                <w:right w:val="none" w:sz="0" w:space="0" w:color="auto"/>
              </w:divBdr>
              <w:divsChild>
                <w:div w:id="1740519662">
                  <w:marLeft w:val="0"/>
                  <w:marRight w:val="0"/>
                  <w:marTop w:val="0"/>
                  <w:marBottom w:val="0"/>
                  <w:divBdr>
                    <w:top w:val="single" w:sz="6" w:space="10" w:color="CACACA"/>
                    <w:left w:val="single" w:sz="6" w:space="31" w:color="CACACA"/>
                    <w:bottom w:val="single" w:sz="6" w:space="10" w:color="CACACA"/>
                    <w:right w:val="single" w:sz="6" w:space="31" w:color="CACACA"/>
                  </w:divBdr>
                  <w:divsChild>
                    <w:div w:id="95833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535722">
      <w:bodyDiv w:val="1"/>
      <w:marLeft w:val="0"/>
      <w:marRight w:val="0"/>
      <w:marTop w:val="0"/>
      <w:marBottom w:val="0"/>
      <w:divBdr>
        <w:top w:val="none" w:sz="0" w:space="0" w:color="auto"/>
        <w:left w:val="none" w:sz="0" w:space="0" w:color="auto"/>
        <w:bottom w:val="none" w:sz="0" w:space="0" w:color="auto"/>
        <w:right w:val="none" w:sz="0" w:space="0" w:color="auto"/>
      </w:divBdr>
      <w:divsChild>
        <w:div w:id="506752221">
          <w:marLeft w:val="0"/>
          <w:marRight w:val="0"/>
          <w:marTop w:val="0"/>
          <w:marBottom w:val="0"/>
          <w:divBdr>
            <w:top w:val="none" w:sz="0" w:space="0" w:color="auto"/>
            <w:left w:val="none" w:sz="0" w:space="0" w:color="auto"/>
            <w:bottom w:val="none" w:sz="0" w:space="0" w:color="auto"/>
            <w:right w:val="none" w:sz="0" w:space="0" w:color="auto"/>
          </w:divBdr>
          <w:divsChild>
            <w:div w:id="281693287">
              <w:marLeft w:val="-225"/>
              <w:marRight w:val="-225"/>
              <w:marTop w:val="0"/>
              <w:marBottom w:val="0"/>
              <w:divBdr>
                <w:top w:val="none" w:sz="0" w:space="0" w:color="auto"/>
                <w:left w:val="none" w:sz="0" w:space="0" w:color="auto"/>
                <w:bottom w:val="none" w:sz="0" w:space="0" w:color="auto"/>
                <w:right w:val="none" w:sz="0" w:space="0" w:color="auto"/>
              </w:divBdr>
              <w:divsChild>
                <w:div w:id="1000349325">
                  <w:marLeft w:val="0"/>
                  <w:marRight w:val="0"/>
                  <w:marTop w:val="0"/>
                  <w:marBottom w:val="0"/>
                  <w:divBdr>
                    <w:top w:val="none" w:sz="0" w:space="0" w:color="auto"/>
                    <w:left w:val="none" w:sz="0" w:space="0" w:color="auto"/>
                    <w:bottom w:val="none" w:sz="0" w:space="0" w:color="auto"/>
                    <w:right w:val="none" w:sz="0" w:space="0" w:color="auto"/>
                  </w:divBdr>
                  <w:divsChild>
                    <w:div w:id="252787871">
                      <w:marLeft w:val="0"/>
                      <w:marRight w:val="0"/>
                      <w:marTop w:val="0"/>
                      <w:marBottom w:val="0"/>
                      <w:divBdr>
                        <w:top w:val="none" w:sz="0" w:space="0" w:color="auto"/>
                        <w:left w:val="none" w:sz="0" w:space="0" w:color="auto"/>
                        <w:bottom w:val="none" w:sz="0" w:space="0" w:color="auto"/>
                        <w:right w:val="none" w:sz="0" w:space="0" w:color="auto"/>
                      </w:divBdr>
                      <w:divsChild>
                        <w:div w:id="723676775">
                          <w:marLeft w:val="0"/>
                          <w:marRight w:val="0"/>
                          <w:marTop w:val="0"/>
                          <w:marBottom w:val="0"/>
                          <w:divBdr>
                            <w:top w:val="none" w:sz="0" w:space="0" w:color="auto"/>
                            <w:left w:val="none" w:sz="0" w:space="0" w:color="auto"/>
                            <w:bottom w:val="none" w:sz="0" w:space="0" w:color="auto"/>
                            <w:right w:val="none" w:sz="0" w:space="0" w:color="auto"/>
                          </w:divBdr>
                          <w:divsChild>
                            <w:div w:id="11434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mpbell@whitt-sturtevant.com" TargetMode="External"/><Relationship Id="rId18" Type="http://schemas.openxmlformats.org/officeDocument/2006/relationships/header" Target="head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drinebolt@aol.com" TargetMode="External"/><Relationship Id="rId17" Type="http://schemas.openxmlformats.org/officeDocument/2006/relationships/hyperlink" Target="mailto:whitt@whitt-sturtevant.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hummel@mwncmh.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dosker@stand-energy.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sam@mwncmh.com" TargetMode="External"/><Relationship Id="rId23" Type="http://schemas.openxmlformats.org/officeDocument/2006/relationships/footer" Target="footer3.xml"/><Relationship Id="rId10" Type="http://schemas.openxmlformats.org/officeDocument/2006/relationships/hyperlink" Target="mailto:werner.margard@puc.state.oh.us"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trent@theoec.org"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nest.com/thermostat/real-savings/" TargetMode="External"/><Relationship Id="rId2" Type="http://schemas.openxmlformats.org/officeDocument/2006/relationships/hyperlink" Target="https://www.homedepot.ca/en/home/p.ecobee3-homekit-enabled-wifi-thermostat.1000842103.html" TargetMode="External"/><Relationship Id="rId1" Type="http://schemas.openxmlformats.org/officeDocument/2006/relationships/hyperlink" Target="http://www.homedepot.com/p/Honeywell-Lyric-Round-Wi-Fi-Programmable-Thermostat-RCH9310WF5003/206587686?cm_mmc=Shopping%7cTHD%7cG%7c0%7cG-BASE-PLA%7c&amp;gclid=COjYuZfSx8oCFdAXHwodIdoHzg&amp;gclsrc=aw.ds" TargetMode="External"/><Relationship Id="rId5" Type="http://schemas.openxmlformats.org/officeDocument/2006/relationships/hyperlink" Target="https://www.eia.gov/pub/oil_gas/natural_gas/feature_articles/2010/ngtrendsresidcon/ngtrendsresidcon.pdf" TargetMode="External"/><Relationship Id="rId4" Type="http://schemas.openxmlformats.org/officeDocument/2006/relationships/hyperlink" Target="https://nest.com/downloads/press/documents/energy-savings-white-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AB73C-2DEA-465E-A2D0-0331BEB9E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2016-01-27T19:10:00Z</dcterms:created>
  <dcterms:modified xsi:type="dcterms:W3CDTF">2016-01-27T19:11:00Z</dcterms:modified>
</cp:coreProperties>
</file>