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CB" w:rsidRDefault="007757EA">
      <w:pPr>
        <w:pStyle w:val="Title"/>
        <w:rPr>
          <w:szCs w:val="32"/>
        </w:rPr>
      </w:pPr>
      <w:bookmarkStart w:id="0" w:name="OLE_LINK1"/>
      <w:bookmarkStart w:id="1" w:name="OLE_LINK2"/>
      <w:r>
        <w:rPr>
          <w:szCs w:val="32"/>
        </w:rPr>
        <w:t>Before</w:t>
      </w:r>
    </w:p>
    <w:p w:rsidR="005C08CB" w:rsidRDefault="007757EA">
      <w:pPr>
        <w:jc w:val="center"/>
        <w:rPr>
          <w:rFonts w:ascii="Arial" w:hAnsi="Arial" w:cs="Arial"/>
          <w:b/>
          <w:smallCaps/>
          <w:sz w:val="32"/>
          <w:szCs w:val="32"/>
        </w:rPr>
      </w:pPr>
      <w:r>
        <w:rPr>
          <w:rFonts w:ascii="Arial" w:hAnsi="Arial" w:cs="Arial"/>
          <w:b/>
          <w:smallCaps/>
          <w:sz w:val="32"/>
          <w:szCs w:val="32"/>
        </w:rPr>
        <w:t>The Public Utilities Commission of Ohio</w:t>
      </w:r>
    </w:p>
    <w:p w:rsidR="005C08CB" w:rsidRDefault="005C08CB">
      <w:pPr>
        <w:autoSpaceDE w:val="0"/>
        <w:autoSpaceDN w:val="0"/>
        <w:adjustRightInd w:val="0"/>
        <w:rPr>
          <w:rFonts w:ascii="Arial" w:eastAsiaTheme="minorHAnsi" w:hAnsi="Arial" w:cs="Arial"/>
        </w:rPr>
      </w:pPr>
    </w:p>
    <w:p w:rsidR="005C08CB" w:rsidRDefault="007757EA">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In the Matter of the Application of the </w:t>
      </w:r>
      <w:r>
        <w:rPr>
          <w:rFonts w:ascii="Arial" w:eastAsiaTheme="minorHAnsi" w:hAnsi="Arial" w:cs="Arial"/>
        </w:rPr>
        <w:tab/>
        <w:t>)</w:t>
      </w:r>
    </w:p>
    <w:p w:rsidR="005C08CB" w:rsidRDefault="007757EA">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Ohio Development Services Agency</w:t>
      </w:r>
      <w:r>
        <w:rPr>
          <w:rFonts w:ascii="Arial" w:eastAsiaTheme="minorHAnsi" w:hAnsi="Arial" w:cs="Arial"/>
        </w:rPr>
        <w:tab/>
        <w:t>)</w:t>
      </w:r>
    </w:p>
    <w:p w:rsidR="005C08CB" w:rsidRDefault="007757EA">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for an Order Approving Adjustments</w:t>
      </w:r>
      <w:r>
        <w:rPr>
          <w:rFonts w:ascii="Arial" w:eastAsiaTheme="minorHAnsi" w:hAnsi="Arial" w:cs="Arial"/>
        </w:rPr>
        <w:tab/>
        <w:t>)</w:t>
      </w:r>
      <w:r>
        <w:rPr>
          <w:rFonts w:ascii="Arial" w:eastAsiaTheme="minorHAnsi" w:hAnsi="Arial" w:cs="Arial"/>
        </w:rPr>
        <w:tab/>
        <w:t>Case No. 15-1046-EL-USF</w:t>
      </w:r>
    </w:p>
    <w:p w:rsidR="005C08CB" w:rsidRDefault="007757EA">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to the Universal Service Fund Riders of </w:t>
      </w:r>
      <w:r>
        <w:rPr>
          <w:rFonts w:ascii="Arial" w:eastAsiaTheme="minorHAnsi" w:hAnsi="Arial" w:cs="Arial"/>
        </w:rPr>
        <w:tab/>
        <w:t>)</w:t>
      </w:r>
    </w:p>
    <w:p w:rsidR="005C08CB" w:rsidRDefault="007757EA">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Jurisdictional Ohio Electric Distribution </w:t>
      </w:r>
      <w:r>
        <w:rPr>
          <w:rFonts w:ascii="Arial" w:eastAsiaTheme="minorHAnsi" w:hAnsi="Arial" w:cs="Arial"/>
        </w:rPr>
        <w:tab/>
        <w:t>)</w:t>
      </w:r>
    </w:p>
    <w:p w:rsidR="005C08CB" w:rsidRDefault="007757EA">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Utilities.</w:t>
      </w:r>
      <w:r>
        <w:rPr>
          <w:rFonts w:ascii="Arial" w:eastAsiaTheme="minorHAnsi" w:hAnsi="Arial" w:cs="Arial"/>
        </w:rPr>
        <w:tab/>
        <w:t>)</w:t>
      </w:r>
    </w:p>
    <w:p w:rsidR="005C08CB" w:rsidRDefault="005C08CB">
      <w:pPr>
        <w:pStyle w:val="BodyText"/>
        <w:tabs>
          <w:tab w:val="left" w:pos="5040"/>
        </w:tabs>
      </w:pPr>
    </w:p>
    <w:p w:rsidR="005C08CB" w:rsidRDefault="005C08CB">
      <w:pPr>
        <w:pStyle w:val="BodyText"/>
        <w:tabs>
          <w:tab w:val="left" w:pos="5040"/>
        </w:tabs>
        <w:rPr>
          <w:sz w:val="28"/>
        </w:rPr>
      </w:pPr>
    </w:p>
    <w:p w:rsidR="005C08CB" w:rsidRDefault="005C08CB">
      <w:pPr>
        <w:pBdr>
          <w:top w:val="single" w:sz="12" w:space="1" w:color="auto"/>
        </w:pBdr>
        <w:jc w:val="center"/>
        <w:rPr>
          <w:rFonts w:ascii="Arial" w:hAnsi="Arial" w:cs="Arial"/>
          <w:b/>
        </w:rPr>
      </w:pPr>
    </w:p>
    <w:p w:rsidR="005C08CB" w:rsidRDefault="007757EA">
      <w:pPr>
        <w:jc w:val="center"/>
        <w:rPr>
          <w:rFonts w:ascii="Arial Bold" w:hAnsi="Arial Bold" w:cs="Arial"/>
          <w:b/>
          <w:smallCaps/>
          <w:sz w:val="32"/>
          <w:szCs w:val="32"/>
        </w:rPr>
      </w:pPr>
      <w:r>
        <w:rPr>
          <w:rFonts w:ascii="Arial Bold" w:hAnsi="Arial Bold" w:cs="Arial"/>
          <w:b/>
          <w:smallCaps/>
          <w:sz w:val="32"/>
          <w:szCs w:val="32"/>
        </w:rPr>
        <w:t>Initial Brief of</w:t>
      </w:r>
    </w:p>
    <w:p w:rsidR="005C08CB" w:rsidRDefault="007757EA">
      <w:pPr>
        <w:jc w:val="center"/>
        <w:rPr>
          <w:rFonts w:ascii="Arial Bold" w:hAnsi="Arial Bold" w:cs="Arial"/>
          <w:b/>
          <w:smallCaps/>
          <w:sz w:val="32"/>
          <w:szCs w:val="32"/>
        </w:rPr>
      </w:pPr>
      <w:r>
        <w:rPr>
          <w:rFonts w:ascii="Arial Bold" w:hAnsi="Arial Bold" w:cs="Arial"/>
          <w:b/>
          <w:smallCaps/>
          <w:sz w:val="32"/>
          <w:szCs w:val="32"/>
        </w:rPr>
        <w:t>Industrial Energy Users-Ohio</w:t>
      </w:r>
    </w:p>
    <w:bookmarkEnd w:id="0"/>
    <w:bookmarkEnd w:id="1"/>
    <w:p w:rsidR="005C08CB" w:rsidRDefault="005C08CB">
      <w:pPr>
        <w:pStyle w:val="Title"/>
        <w:pBdr>
          <w:bottom w:val="single" w:sz="12" w:space="1" w:color="auto"/>
        </w:pBdr>
        <w:rPr>
          <w:sz w:val="24"/>
          <w:u w:val="single"/>
        </w:rPr>
      </w:pPr>
    </w:p>
    <w:p w:rsidR="005C08CB" w:rsidRDefault="005C08CB">
      <w:pPr>
        <w:pStyle w:val="Title"/>
        <w:rPr>
          <w:sz w:val="28"/>
          <w:u w:val="single"/>
        </w:rPr>
      </w:pPr>
    </w:p>
    <w:p w:rsidR="005C08CB" w:rsidRDefault="005C08CB">
      <w:pPr>
        <w:pStyle w:val="Title"/>
        <w:rPr>
          <w:sz w:val="28"/>
          <w:u w:val="single"/>
        </w:rPr>
      </w:pPr>
    </w:p>
    <w:p w:rsidR="005C08CB" w:rsidRDefault="005C08CB">
      <w:pPr>
        <w:pStyle w:val="Title"/>
        <w:rPr>
          <w:sz w:val="28"/>
          <w:u w:val="single"/>
        </w:rPr>
      </w:pPr>
    </w:p>
    <w:p w:rsidR="005C08CB" w:rsidRDefault="005C08CB">
      <w:pPr>
        <w:pStyle w:val="Title"/>
        <w:rPr>
          <w:sz w:val="28"/>
          <w:u w:val="single"/>
        </w:rPr>
      </w:pPr>
    </w:p>
    <w:p w:rsidR="005C08CB" w:rsidRDefault="005C08CB">
      <w:pPr>
        <w:pStyle w:val="Title"/>
        <w:rPr>
          <w:sz w:val="28"/>
          <w:u w:val="single"/>
        </w:rPr>
      </w:pPr>
    </w:p>
    <w:p w:rsidR="005C08CB" w:rsidRDefault="005C08CB">
      <w:pPr>
        <w:pStyle w:val="Title"/>
        <w:rPr>
          <w:sz w:val="28"/>
          <w:u w:val="single"/>
        </w:rPr>
      </w:pPr>
    </w:p>
    <w:p w:rsidR="005C08CB" w:rsidRDefault="005C08CB">
      <w:pPr>
        <w:pStyle w:val="Title"/>
        <w:rPr>
          <w:sz w:val="28"/>
          <w:u w:val="single"/>
        </w:rPr>
      </w:pPr>
    </w:p>
    <w:p w:rsidR="005C08CB" w:rsidRDefault="005C08CB">
      <w:pPr>
        <w:pStyle w:val="Title"/>
        <w:rPr>
          <w:sz w:val="28"/>
          <w:u w:val="single"/>
        </w:rPr>
      </w:pPr>
    </w:p>
    <w:p w:rsidR="005C08CB" w:rsidRDefault="005C08CB">
      <w:pPr>
        <w:pStyle w:val="Title"/>
        <w:rPr>
          <w:sz w:val="28"/>
          <w:u w:val="single"/>
        </w:rPr>
      </w:pPr>
    </w:p>
    <w:p w:rsidR="005C08CB" w:rsidRDefault="005C08CB">
      <w:pPr>
        <w:pStyle w:val="Title"/>
        <w:rPr>
          <w:sz w:val="28"/>
          <w:u w:val="single"/>
        </w:rPr>
      </w:pPr>
    </w:p>
    <w:p w:rsidR="005C08CB" w:rsidRDefault="005C08CB">
      <w:pPr>
        <w:pStyle w:val="Title"/>
        <w:rPr>
          <w:sz w:val="28"/>
          <w:u w:val="single"/>
        </w:rPr>
      </w:pPr>
    </w:p>
    <w:p w:rsidR="005C08CB" w:rsidRDefault="005C08CB">
      <w:pPr>
        <w:pStyle w:val="Title"/>
        <w:rPr>
          <w:sz w:val="28"/>
          <w:u w:val="single"/>
        </w:rPr>
      </w:pPr>
    </w:p>
    <w:p w:rsidR="005C08CB" w:rsidRDefault="005C08CB">
      <w:pPr>
        <w:pStyle w:val="Title"/>
        <w:rPr>
          <w:sz w:val="28"/>
          <w:u w:val="single"/>
        </w:rPr>
      </w:pPr>
    </w:p>
    <w:p w:rsidR="005C08CB" w:rsidRDefault="005C08CB">
      <w:pPr>
        <w:pStyle w:val="Title"/>
        <w:rPr>
          <w:sz w:val="28"/>
          <w:u w:val="single"/>
        </w:rPr>
      </w:pPr>
    </w:p>
    <w:p w:rsidR="005C08CB" w:rsidRDefault="005C08CB">
      <w:pPr>
        <w:pStyle w:val="Title"/>
        <w:rPr>
          <w:sz w:val="28"/>
          <w:u w:val="single"/>
        </w:rPr>
      </w:pPr>
    </w:p>
    <w:p w:rsidR="005C08CB" w:rsidRDefault="007757EA">
      <w:pPr>
        <w:pStyle w:val="BodyText3"/>
        <w:widowControl w:val="0"/>
        <w:ind w:left="4320"/>
        <w:jc w:val="both"/>
        <w:rPr>
          <w:rFonts w:ascii="Arial" w:hAnsi="Arial" w:cs="Arial"/>
          <w:b w:val="0"/>
          <w:bCs/>
        </w:rPr>
      </w:pPr>
      <w:r>
        <w:rPr>
          <w:rFonts w:ascii="Arial" w:hAnsi="Arial" w:cs="Arial"/>
          <w:b w:val="0"/>
          <w:bCs/>
        </w:rPr>
        <w:t>Frank P. Darr (Reg. No. 0025469)</w:t>
      </w:r>
    </w:p>
    <w:p w:rsidR="005C08CB" w:rsidRDefault="007757EA">
      <w:pPr>
        <w:tabs>
          <w:tab w:val="right" w:pos="8640"/>
        </w:tabs>
        <w:ind w:left="4320"/>
        <w:jc w:val="both"/>
        <w:rPr>
          <w:rFonts w:ascii="Arial" w:hAnsi="Arial" w:cs="Arial"/>
        </w:rPr>
      </w:pPr>
      <w:r>
        <w:rPr>
          <w:rFonts w:ascii="Arial" w:hAnsi="Arial" w:cs="Arial"/>
        </w:rPr>
        <w:t>(Counsel of Record)</w:t>
      </w:r>
    </w:p>
    <w:p w:rsidR="005C08CB" w:rsidRDefault="007757EA">
      <w:pPr>
        <w:pStyle w:val="BodyText3"/>
        <w:widowControl w:val="0"/>
        <w:ind w:left="4320"/>
        <w:jc w:val="both"/>
        <w:rPr>
          <w:rFonts w:ascii="Arial" w:hAnsi="Arial" w:cs="Arial"/>
          <w:b w:val="0"/>
          <w:bCs/>
        </w:rPr>
      </w:pPr>
      <w:r>
        <w:rPr>
          <w:rFonts w:ascii="Arial" w:hAnsi="Arial" w:cs="Arial"/>
          <w:b w:val="0"/>
          <w:bCs/>
        </w:rPr>
        <w:t>Matthew R. Pritchard (Reg. No. 0088070)</w:t>
      </w:r>
    </w:p>
    <w:p w:rsidR="005C08CB" w:rsidRDefault="007757EA">
      <w:pPr>
        <w:pStyle w:val="BodyText3"/>
        <w:widowControl w:val="0"/>
        <w:ind w:left="4320"/>
        <w:jc w:val="both"/>
        <w:rPr>
          <w:rFonts w:ascii="Arial" w:hAnsi="Arial" w:cs="Arial"/>
          <w:b w:val="0"/>
          <w:bCs/>
          <w:smallCaps/>
          <w:szCs w:val="24"/>
        </w:rPr>
      </w:pPr>
      <w:r>
        <w:rPr>
          <w:rFonts w:ascii="Arial" w:hAnsi="Arial" w:cs="Arial"/>
          <w:b w:val="0"/>
          <w:bCs/>
          <w:smallCaps/>
          <w:szCs w:val="24"/>
        </w:rPr>
        <w:t>McNees Wallace &amp; Nurick LLC</w:t>
      </w:r>
    </w:p>
    <w:p w:rsidR="005C08CB" w:rsidRDefault="007757EA">
      <w:pPr>
        <w:pStyle w:val="BodyText3"/>
        <w:widowControl w:val="0"/>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5C08CB" w:rsidRDefault="007757EA">
      <w:pPr>
        <w:pStyle w:val="BodyText"/>
        <w:ind w:left="4320"/>
      </w:pPr>
      <w:r>
        <w:t>Columbus, OH  43215</w:t>
      </w:r>
    </w:p>
    <w:p w:rsidR="005C08CB" w:rsidRDefault="007757EA">
      <w:pPr>
        <w:pStyle w:val="BodyText"/>
        <w:ind w:left="4320"/>
      </w:pPr>
      <w:r>
        <w:t>Telephone:  (614) 469-8000</w:t>
      </w:r>
    </w:p>
    <w:p w:rsidR="005C08CB" w:rsidRDefault="007757EA">
      <w:pPr>
        <w:pStyle w:val="BodyText"/>
        <w:ind w:left="4320"/>
      </w:pPr>
      <w:r>
        <w:t>Telecopier:  (614) 469-4653</w:t>
      </w:r>
    </w:p>
    <w:p w:rsidR="005C08CB" w:rsidRDefault="007757EA">
      <w:pPr>
        <w:pStyle w:val="BodyText"/>
        <w:ind w:left="4320"/>
      </w:pPr>
      <w:r>
        <w:t>fdarr@mwncmh.com</w:t>
      </w:r>
    </w:p>
    <w:p w:rsidR="005C08CB" w:rsidRDefault="007757EA">
      <w:pPr>
        <w:pStyle w:val="BodyText"/>
        <w:ind w:left="4320"/>
      </w:pPr>
      <w:r>
        <w:t>mpritchard@mwncmh.com</w:t>
      </w:r>
    </w:p>
    <w:p w:rsidR="005C08CB" w:rsidRDefault="005C08CB">
      <w:pPr>
        <w:tabs>
          <w:tab w:val="left" w:pos="4320"/>
          <w:tab w:val="right" w:pos="8640"/>
        </w:tabs>
        <w:jc w:val="both"/>
        <w:rPr>
          <w:rFonts w:ascii="Arial" w:hAnsi="Arial" w:cs="Arial"/>
        </w:rPr>
      </w:pPr>
    </w:p>
    <w:p w:rsidR="005C08CB" w:rsidRDefault="007757EA">
      <w:pPr>
        <w:pStyle w:val="Title"/>
        <w:tabs>
          <w:tab w:val="left" w:pos="4320"/>
        </w:tabs>
        <w:ind w:left="4320" w:hanging="4320"/>
        <w:jc w:val="left"/>
        <w:rPr>
          <w:smallCaps w:val="0"/>
          <w:sz w:val="24"/>
        </w:rPr>
        <w:sectPr w:rsidR="005C08C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80" w:left="1440" w:header="720" w:footer="720" w:gutter="0"/>
          <w:pgNumType w:start="1"/>
          <w:cols w:space="720"/>
          <w:titlePg/>
          <w:docGrid w:linePitch="326"/>
        </w:sectPr>
      </w:pPr>
      <w:r>
        <w:rPr>
          <w:smallCaps w:val="0"/>
          <w:sz w:val="24"/>
        </w:rPr>
        <w:t>September 2, 2015</w:t>
      </w:r>
      <w:r>
        <w:rPr>
          <w:smallCaps w:val="0"/>
          <w:sz w:val="24"/>
        </w:rPr>
        <w:tab/>
        <w:t>Attorneys for Industrial Energy Users-Ohio</w:t>
      </w:r>
    </w:p>
    <w:sdt>
      <w:sdtPr>
        <w:rPr>
          <w:rFonts w:ascii="Times New Roman" w:eastAsia="Times New Roman" w:hAnsi="Times New Roman" w:cs="Times New Roman"/>
          <w:b w:val="0"/>
          <w:bCs w:val="0"/>
          <w:color w:val="auto"/>
          <w:sz w:val="24"/>
          <w:szCs w:val="24"/>
          <w:lang w:eastAsia="en-US"/>
        </w:rPr>
        <w:id w:val="-658156217"/>
        <w:docPartObj>
          <w:docPartGallery w:val="Table of Contents"/>
          <w:docPartUnique/>
        </w:docPartObj>
      </w:sdtPr>
      <w:sdtEndPr>
        <w:rPr>
          <w:noProof/>
        </w:rPr>
      </w:sdtEndPr>
      <w:sdtContent>
        <w:p w:rsidR="00AD306F" w:rsidRPr="00AD306F" w:rsidRDefault="00AD306F" w:rsidP="00AD306F">
          <w:pPr>
            <w:pStyle w:val="TOCHeading"/>
            <w:jc w:val="center"/>
            <w:rPr>
              <w:rFonts w:ascii="Arial" w:hAnsi="Arial" w:cs="Arial"/>
              <w:smallCaps/>
              <w:color w:val="000000" w:themeColor="text1"/>
            </w:rPr>
          </w:pPr>
          <w:r w:rsidRPr="00AD306F">
            <w:rPr>
              <w:rFonts w:ascii="Arial Bold" w:hAnsi="Arial Bold" w:cs="Arial"/>
              <w:smallCaps/>
              <w:color w:val="000000" w:themeColor="text1"/>
              <w:u w:val="single"/>
            </w:rPr>
            <w:t>Table of Contents</w:t>
          </w:r>
        </w:p>
        <w:p w:rsidR="00AD306F" w:rsidRDefault="00AD306F" w:rsidP="00AD306F">
          <w:pPr>
            <w:jc w:val="right"/>
            <w:rPr>
              <w:rFonts w:ascii="Arial" w:hAnsi="Arial" w:cs="Arial"/>
              <w:u w:val="single"/>
              <w:lang w:eastAsia="ja-JP"/>
            </w:rPr>
          </w:pPr>
          <w:r w:rsidRPr="00AD306F">
            <w:rPr>
              <w:rFonts w:ascii="Arial" w:hAnsi="Arial" w:cs="Arial"/>
              <w:u w:val="single"/>
              <w:lang w:eastAsia="ja-JP"/>
            </w:rPr>
            <w:t>Page</w:t>
          </w:r>
        </w:p>
        <w:p w:rsidR="00AD306F" w:rsidRPr="00AD306F" w:rsidRDefault="00AD306F" w:rsidP="00AD306F">
          <w:pPr>
            <w:jc w:val="right"/>
            <w:rPr>
              <w:rFonts w:ascii="Arial" w:hAnsi="Arial" w:cs="Arial"/>
              <w:u w:val="single"/>
              <w:lang w:eastAsia="ja-JP"/>
            </w:rPr>
          </w:pPr>
        </w:p>
        <w:p w:rsidR="00AD306F" w:rsidRPr="00AD306F" w:rsidRDefault="00AD306F" w:rsidP="00AD306F">
          <w:pPr>
            <w:pStyle w:val="TOC1"/>
            <w:rPr>
              <w:rFonts w:ascii="Arial" w:hAnsi="Arial" w:cs="Arial"/>
              <w:noProof/>
            </w:rPr>
          </w:pPr>
          <w:r>
            <w:fldChar w:fldCharType="begin"/>
          </w:r>
          <w:r>
            <w:instrText xml:space="preserve"> TOC \o "1-3" \h \z \u </w:instrText>
          </w:r>
          <w:r>
            <w:fldChar w:fldCharType="separate"/>
          </w:r>
          <w:hyperlink w:anchor="_Toc428943538" w:history="1">
            <w:r w:rsidRPr="00AD306F">
              <w:rPr>
                <w:rStyle w:val="Hyperlink"/>
                <w:rFonts w:ascii="Arial" w:hAnsi="Arial" w:cs="Arial"/>
                <w:b/>
                <w:noProof/>
              </w:rPr>
              <w:t>I.</w:t>
            </w:r>
            <w:r w:rsidRPr="00AD306F">
              <w:rPr>
                <w:rFonts w:ascii="Arial" w:hAnsi="Arial" w:cs="Arial"/>
                <w:b/>
                <w:noProof/>
              </w:rPr>
              <w:tab/>
            </w:r>
            <w:r w:rsidRPr="00AD306F">
              <w:rPr>
                <w:rStyle w:val="Hyperlink"/>
                <w:rFonts w:ascii="Arial" w:hAnsi="Arial" w:cs="Arial"/>
                <w:b/>
                <w:noProof/>
              </w:rPr>
              <w:t>BACKGROUND</w:t>
            </w:r>
            <w:r w:rsidRPr="00AD306F">
              <w:rPr>
                <w:rFonts w:ascii="Arial" w:hAnsi="Arial" w:cs="Arial"/>
                <w:noProof/>
                <w:webHidden/>
              </w:rPr>
              <w:tab/>
            </w:r>
            <w:r w:rsidRPr="00AD306F">
              <w:rPr>
                <w:rFonts w:ascii="Arial" w:hAnsi="Arial" w:cs="Arial"/>
                <w:noProof/>
                <w:webHidden/>
              </w:rPr>
              <w:fldChar w:fldCharType="begin"/>
            </w:r>
            <w:r w:rsidRPr="00AD306F">
              <w:rPr>
                <w:rFonts w:ascii="Arial" w:hAnsi="Arial" w:cs="Arial"/>
                <w:noProof/>
                <w:webHidden/>
              </w:rPr>
              <w:instrText xml:space="preserve"> PAGEREF _Toc428943538 \h </w:instrText>
            </w:r>
            <w:r w:rsidRPr="00AD306F">
              <w:rPr>
                <w:rFonts w:ascii="Arial" w:hAnsi="Arial" w:cs="Arial"/>
                <w:noProof/>
                <w:webHidden/>
              </w:rPr>
            </w:r>
            <w:r w:rsidRPr="00AD306F">
              <w:rPr>
                <w:rFonts w:ascii="Arial" w:hAnsi="Arial" w:cs="Arial"/>
                <w:noProof/>
                <w:webHidden/>
              </w:rPr>
              <w:fldChar w:fldCharType="separate"/>
            </w:r>
            <w:r w:rsidR="00F31214">
              <w:rPr>
                <w:rFonts w:ascii="Arial" w:hAnsi="Arial" w:cs="Arial"/>
                <w:noProof/>
                <w:webHidden/>
              </w:rPr>
              <w:t>3</w:t>
            </w:r>
            <w:r w:rsidRPr="00AD306F">
              <w:rPr>
                <w:rFonts w:ascii="Arial" w:hAnsi="Arial" w:cs="Arial"/>
                <w:noProof/>
                <w:webHidden/>
              </w:rPr>
              <w:fldChar w:fldCharType="end"/>
            </w:r>
          </w:hyperlink>
        </w:p>
        <w:p w:rsidR="00AD306F" w:rsidRPr="00AD306F" w:rsidRDefault="00C61B66" w:rsidP="00AD306F">
          <w:pPr>
            <w:pStyle w:val="TOC1"/>
            <w:rPr>
              <w:rFonts w:ascii="Arial" w:hAnsi="Arial" w:cs="Arial"/>
              <w:noProof/>
            </w:rPr>
          </w:pPr>
          <w:hyperlink w:anchor="_Toc428943539" w:history="1">
            <w:r w:rsidR="00AD306F" w:rsidRPr="00AD306F">
              <w:rPr>
                <w:rStyle w:val="Hyperlink"/>
                <w:rFonts w:ascii="Arial" w:hAnsi="Arial" w:cs="Arial"/>
                <w:b/>
                <w:noProof/>
              </w:rPr>
              <w:t>II.</w:t>
            </w:r>
            <w:r w:rsidR="00AD306F" w:rsidRPr="00AD306F">
              <w:rPr>
                <w:rFonts w:ascii="Arial" w:hAnsi="Arial" w:cs="Arial"/>
                <w:b/>
                <w:noProof/>
              </w:rPr>
              <w:tab/>
            </w:r>
            <w:r w:rsidR="00AD306F" w:rsidRPr="00AD306F">
              <w:rPr>
                <w:rStyle w:val="Hyperlink"/>
                <w:rFonts w:ascii="Arial" w:hAnsi="Arial" w:cs="Arial"/>
                <w:b/>
                <w:noProof/>
              </w:rPr>
              <w:t>ARGUMENT</w:t>
            </w:r>
            <w:r w:rsidR="00AD306F" w:rsidRPr="00AD306F">
              <w:rPr>
                <w:rFonts w:ascii="Arial" w:hAnsi="Arial" w:cs="Arial"/>
                <w:noProof/>
                <w:webHidden/>
              </w:rPr>
              <w:tab/>
            </w:r>
            <w:r w:rsidR="00AD306F" w:rsidRPr="00AD306F">
              <w:rPr>
                <w:rFonts w:ascii="Arial" w:hAnsi="Arial" w:cs="Arial"/>
                <w:noProof/>
                <w:webHidden/>
              </w:rPr>
              <w:fldChar w:fldCharType="begin"/>
            </w:r>
            <w:r w:rsidR="00AD306F" w:rsidRPr="00AD306F">
              <w:rPr>
                <w:rFonts w:ascii="Arial" w:hAnsi="Arial" w:cs="Arial"/>
                <w:noProof/>
                <w:webHidden/>
              </w:rPr>
              <w:instrText xml:space="preserve"> PAGEREF _Toc428943539 \h </w:instrText>
            </w:r>
            <w:r w:rsidR="00AD306F" w:rsidRPr="00AD306F">
              <w:rPr>
                <w:rFonts w:ascii="Arial" w:hAnsi="Arial" w:cs="Arial"/>
                <w:noProof/>
                <w:webHidden/>
              </w:rPr>
            </w:r>
            <w:r w:rsidR="00AD306F" w:rsidRPr="00AD306F">
              <w:rPr>
                <w:rFonts w:ascii="Arial" w:hAnsi="Arial" w:cs="Arial"/>
                <w:noProof/>
                <w:webHidden/>
              </w:rPr>
              <w:fldChar w:fldCharType="separate"/>
            </w:r>
            <w:r w:rsidR="00F31214">
              <w:rPr>
                <w:rFonts w:ascii="Arial" w:hAnsi="Arial" w:cs="Arial"/>
                <w:noProof/>
                <w:webHidden/>
              </w:rPr>
              <w:t>4</w:t>
            </w:r>
            <w:r w:rsidR="00AD306F" w:rsidRPr="00AD306F">
              <w:rPr>
                <w:rFonts w:ascii="Arial" w:hAnsi="Arial" w:cs="Arial"/>
                <w:noProof/>
                <w:webHidden/>
              </w:rPr>
              <w:fldChar w:fldCharType="end"/>
            </w:r>
          </w:hyperlink>
        </w:p>
        <w:p w:rsidR="00AD306F" w:rsidRPr="00AD306F" w:rsidRDefault="00C61B66" w:rsidP="00AD306F">
          <w:pPr>
            <w:pStyle w:val="TOC2"/>
            <w:rPr>
              <w:rFonts w:ascii="Arial" w:hAnsi="Arial" w:cs="Arial"/>
              <w:noProof/>
            </w:rPr>
          </w:pPr>
          <w:hyperlink w:anchor="_Toc428943540" w:history="1">
            <w:r w:rsidR="00AD306F" w:rsidRPr="00AD306F">
              <w:rPr>
                <w:rStyle w:val="Hyperlink"/>
                <w:rFonts w:ascii="Arial" w:hAnsi="Arial" w:cs="Arial"/>
                <w:noProof/>
              </w:rPr>
              <w:t>A.</w:t>
            </w:r>
            <w:r w:rsidR="00AD306F" w:rsidRPr="00AD306F">
              <w:rPr>
                <w:rFonts w:ascii="Arial" w:hAnsi="Arial" w:cs="Arial"/>
                <w:noProof/>
              </w:rPr>
              <w:tab/>
            </w:r>
            <w:r w:rsidR="00AD306F" w:rsidRPr="00AD306F">
              <w:rPr>
                <w:rStyle w:val="Hyperlink"/>
                <w:rFonts w:ascii="Arial" w:hAnsi="Arial" w:cs="Arial"/>
                <w:noProof/>
              </w:rPr>
              <w:t>The Stipulation should be approved because it is reasonable and satisfies the Commission’s 3-part test for reviewing the reasonableness of stipulations</w:t>
            </w:r>
            <w:r w:rsidR="00AD306F" w:rsidRPr="00AD306F">
              <w:rPr>
                <w:rFonts w:ascii="Arial" w:hAnsi="Arial" w:cs="Arial"/>
                <w:noProof/>
                <w:webHidden/>
              </w:rPr>
              <w:tab/>
            </w:r>
            <w:r w:rsidR="00AD306F" w:rsidRPr="00AD306F">
              <w:rPr>
                <w:rFonts w:ascii="Arial" w:hAnsi="Arial" w:cs="Arial"/>
                <w:noProof/>
                <w:webHidden/>
              </w:rPr>
              <w:fldChar w:fldCharType="begin"/>
            </w:r>
            <w:r w:rsidR="00AD306F" w:rsidRPr="00AD306F">
              <w:rPr>
                <w:rFonts w:ascii="Arial" w:hAnsi="Arial" w:cs="Arial"/>
                <w:noProof/>
                <w:webHidden/>
              </w:rPr>
              <w:instrText xml:space="preserve"> PAGEREF _Toc428943540 \h </w:instrText>
            </w:r>
            <w:r w:rsidR="00AD306F" w:rsidRPr="00AD306F">
              <w:rPr>
                <w:rFonts w:ascii="Arial" w:hAnsi="Arial" w:cs="Arial"/>
                <w:noProof/>
                <w:webHidden/>
              </w:rPr>
            </w:r>
            <w:r w:rsidR="00AD306F" w:rsidRPr="00AD306F">
              <w:rPr>
                <w:rFonts w:ascii="Arial" w:hAnsi="Arial" w:cs="Arial"/>
                <w:noProof/>
                <w:webHidden/>
              </w:rPr>
              <w:fldChar w:fldCharType="separate"/>
            </w:r>
            <w:r w:rsidR="00F31214">
              <w:rPr>
                <w:rFonts w:ascii="Arial" w:hAnsi="Arial" w:cs="Arial"/>
                <w:noProof/>
                <w:webHidden/>
              </w:rPr>
              <w:t>4</w:t>
            </w:r>
            <w:r w:rsidR="00AD306F" w:rsidRPr="00AD306F">
              <w:rPr>
                <w:rFonts w:ascii="Arial" w:hAnsi="Arial" w:cs="Arial"/>
                <w:noProof/>
                <w:webHidden/>
              </w:rPr>
              <w:fldChar w:fldCharType="end"/>
            </w:r>
          </w:hyperlink>
        </w:p>
        <w:p w:rsidR="00AD306F" w:rsidRPr="00AD306F" w:rsidRDefault="00C61B66" w:rsidP="00AD306F">
          <w:pPr>
            <w:pStyle w:val="TOC2"/>
            <w:rPr>
              <w:rFonts w:ascii="Arial" w:hAnsi="Arial" w:cs="Arial"/>
              <w:noProof/>
            </w:rPr>
          </w:pPr>
          <w:hyperlink w:anchor="_Toc428943541" w:history="1">
            <w:r w:rsidR="00AD306F" w:rsidRPr="00AD306F">
              <w:rPr>
                <w:rStyle w:val="Hyperlink"/>
                <w:rFonts w:ascii="Arial" w:hAnsi="Arial" w:cs="Arial"/>
                <w:noProof/>
              </w:rPr>
              <w:t>B.</w:t>
            </w:r>
            <w:r w:rsidR="00AD306F" w:rsidRPr="00AD306F">
              <w:rPr>
                <w:rFonts w:ascii="Arial" w:hAnsi="Arial" w:cs="Arial"/>
                <w:noProof/>
              </w:rPr>
              <w:tab/>
            </w:r>
            <w:r w:rsidR="00AD306F" w:rsidRPr="00AD306F">
              <w:rPr>
                <w:rStyle w:val="Hyperlink"/>
                <w:rFonts w:ascii="Arial" w:hAnsi="Arial" w:cs="Arial"/>
                <w:noProof/>
              </w:rPr>
              <w:t>The Commission should reject OPAE’s suggestion that the Commission should modify the Stipulation and insert a uniform per kWh rate design because the suggestion amounts to a collateral attack on the existing USF riders, is contrary to Commission precedent and OPAE’s prior positions, Mr. Rinebolt admitted he is not an expert on these subjects and Mr. Rinebolt offered no indication of how the Stipulation would shift revenue “among the classes”</w:t>
            </w:r>
            <w:r w:rsidR="00AD306F" w:rsidRPr="00AD306F">
              <w:rPr>
                <w:rFonts w:ascii="Arial" w:hAnsi="Arial" w:cs="Arial"/>
                <w:noProof/>
                <w:webHidden/>
              </w:rPr>
              <w:tab/>
            </w:r>
            <w:r w:rsidR="00AD306F" w:rsidRPr="00AD306F">
              <w:rPr>
                <w:rFonts w:ascii="Arial" w:hAnsi="Arial" w:cs="Arial"/>
                <w:noProof/>
                <w:webHidden/>
              </w:rPr>
              <w:fldChar w:fldCharType="begin"/>
            </w:r>
            <w:r w:rsidR="00AD306F" w:rsidRPr="00AD306F">
              <w:rPr>
                <w:rFonts w:ascii="Arial" w:hAnsi="Arial" w:cs="Arial"/>
                <w:noProof/>
                <w:webHidden/>
              </w:rPr>
              <w:instrText xml:space="preserve"> PAGEREF _Toc428943541 \h </w:instrText>
            </w:r>
            <w:r w:rsidR="00AD306F" w:rsidRPr="00AD306F">
              <w:rPr>
                <w:rFonts w:ascii="Arial" w:hAnsi="Arial" w:cs="Arial"/>
                <w:noProof/>
                <w:webHidden/>
              </w:rPr>
            </w:r>
            <w:r w:rsidR="00AD306F" w:rsidRPr="00AD306F">
              <w:rPr>
                <w:rFonts w:ascii="Arial" w:hAnsi="Arial" w:cs="Arial"/>
                <w:noProof/>
                <w:webHidden/>
              </w:rPr>
              <w:fldChar w:fldCharType="separate"/>
            </w:r>
            <w:r w:rsidR="00F31214">
              <w:rPr>
                <w:rFonts w:ascii="Arial" w:hAnsi="Arial" w:cs="Arial"/>
                <w:noProof/>
                <w:webHidden/>
              </w:rPr>
              <w:t>5</w:t>
            </w:r>
            <w:r w:rsidR="00AD306F" w:rsidRPr="00AD306F">
              <w:rPr>
                <w:rFonts w:ascii="Arial" w:hAnsi="Arial" w:cs="Arial"/>
                <w:noProof/>
                <w:webHidden/>
              </w:rPr>
              <w:fldChar w:fldCharType="end"/>
            </w:r>
          </w:hyperlink>
        </w:p>
        <w:p w:rsidR="00AD306F" w:rsidRPr="00AD306F" w:rsidRDefault="00C61B66" w:rsidP="00AD306F">
          <w:pPr>
            <w:pStyle w:val="TOC1"/>
            <w:rPr>
              <w:rFonts w:ascii="Arial" w:hAnsi="Arial" w:cs="Arial"/>
              <w:noProof/>
            </w:rPr>
          </w:pPr>
          <w:hyperlink w:anchor="_Toc428943542" w:history="1">
            <w:r w:rsidR="00AD306F" w:rsidRPr="00AD306F">
              <w:rPr>
                <w:rStyle w:val="Hyperlink"/>
                <w:rFonts w:ascii="Arial" w:hAnsi="Arial" w:cs="Arial"/>
                <w:b/>
                <w:noProof/>
              </w:rPr>
              <w:t>III.</w:t>
            </w:r>
            <w:r w:rsidR="00AD306F" w:rsidRPr="00AD306F">
              <w:rPr>
                <w:rFonts w:ascii="Arial" w:hAnsi="Arial" w:cs="Arial"/>
                <w:b/>
                <w:noProof/>
              </w:rPr>
              <w:tab/>
            </w:r>
            <w:r w:rsidR="00AD306F" w:rsidRPr="00AD306F">
              <w:rPr>
                <w:rStyle w:val="Hyperlink"/>
                <w:rFonts w:ascii="Arial" w:hAnsi="Arial" w:cs="Arial"/>
                <w:b/>
                <w:noProof/>
              </w:rPr>
              <w:t>CONCLUSION</w:t>
            </w:r>
            <w:r w:rsidR="00AD306F" w:rsidRPr="00AD306F">
              <w:rPr>
                <w:rFonts w:ascii="Arial" w:hAnsi="Arial" w:cs="Arial"/>
                <w:noProof/>
                <w:webHidden/>
              </w:rPr>
              <w:tab/>
            </w:r>
            <w:r w:rsidR="00AD306F" w:rsidRPr="00AD306F">
              <w:rPr>
                <w:rFonts w:ascii="Arial" w:hAnsi="Arial" w:cs="Arial"/>
                <w:noProof/>
                <w:webHidden/>
              </w:rPr>
              <w:fldChar w:fldCharType="begin"/>
            </w:r>
            <w:r w:rsidR="00AD306F" w:rsidRPr="00AD306F">
              <w:rPr>
                <w:rFonts w:ascii="Arial" w:hAnsi="Arial" w:cs="Arial"/>
                <w:noProof/>
                <w:webHidden/>
              </w:rPr>
              <w:instrText xml:space="preserve"> PAGEREF _Toc428943542 \h </w:instrText>
            </w:r>
            <w:r w:rsidR="00AD306F" w:rsidRPr="00AD306F">
              <w:rPr>
                <w:rFonts w:ascii="Arial" w:hAnsi="Arial" w:cs="Arial"/>
                <w:noProof/>
                <w:webHidden/>
              </w:rPr>
            </w:r>
            <w:r w:rsidR="00AD306F" w:rsidRPr="00AD306F">
              <w:rPr>
                <w:rFonts w:ascii="Arial" w:hAnsi="Arial" w:cs="Arial"/>
                <w:noProof/>
                <w:webHidden/>
              </w:rPr>
              <w:fldChar w:fldCharType="separate"/>
            </w:r>
            <w:r w:rsidR="00F31214">
              <w:rPr>
                <w:rFonts w:ascii="Arial" w:hAnsi="Arial" w:cs="Arial"/>
                <w:noProof/>
                <w:webHidden/>
              </w:rPr>
              <w:t>10</w:t>
            </w:r>
            <w:r w:rsidR="00AD306F" w:rsidRPr="00AD306F">
              <w:rPr>
                <w:rFonts w:ascii="Arial" w:hAnsi="Arial" w:cs="Arial"/>
                <w:noProof/>
                <w:webHidden/>
              </w:rPr>
              <w:fldChar w:fldCharType="end"/>
            </w:r>
          </w:hyperlink>
        </w:p>
        <w:p w:rsidR="00AD306F" w:rsidRDefault="00AD306F">
          <w:r>
            <w:rPr>
              <w:b/>
              <w:bCs/>
              <w:noProof/>
            </w:rPr>
            <w:fldChar w:fldCharType="end"/>
          </w:r>
        </w:p>
      </w:sdtContent>
    </w:sdt>
    <w:p w:rsidR="00AD306F" w:rsidRDefault="00AD306F">
      <w:pPr>
        <w:pStyle w:val="Title"/>
        <w:tabs>
          <w:tab w:val="left" w:pos="4320"/>
        </w:tabs>
        <w:rPr>
          <w:sz w:val="28"/>
        </w:rPr>
        <w:sectPr w:rsidR="00AD306F" w:rsidSect="00AD306F">
          <w:pgSz w:w="12240" w:h="15840" w:code="1"/>
          <w:pgMar w:top="1440" w:right="1440" w:bottom="1440" w:left="1440" w:header="720" w:footer="720" w:gutter="0"/>
          <w:pgNumType w:fmt="lowerRoman" w:start="1"/>
          <w:cols w:space="720"/>
          <w:docGrid w:linePitch="360"/>
        </w:sectPr>
      </w:pPr>
    </w:p>
    <w:p w:rsidR="005C08CB" w:rsidRDefault="007757EA">
      <w:pPr>
        <w:pStyle w:val="Title"/>
        <w:tabs>
          <w:tab w:val="left" w:pos="4320"/>
        </w:tabs>
        <w:rPr>
          <w:sz w:val="28"/>
        </w:rPr>
      </w:pPr>
      <w:r>
        <w:rPr>
          <w:sz w:val="28"/>
        </w:rPr>
        <w:lastRenderedPageBreak/>
        <w:t>Before</w:t>
      </w:r>
    </w:p>
    <w:p w:rsidR="005C08CB" w:rsidRDefault="007757EA">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5C08CB" w:rsidRDefault="005C08CB">
      <w:pPr>
        <w:autoSpaceDE w:val="0"/>
        <w:autoSpaceDN w:val="0"/>
        <w:adjustRightInd w:val="0"/>
        <w:rPr>
          <w:rFonts w:ascii="Arial" w:eastAsiaTheme="minorHAnsi" w:hAnsi="Arial" w:cs="Arial"/>
        </w:rPr>
      </w:pPr>
    </w:p>
    <w:p w:rsidR="005C08CB" w:rsidRDefault="007757EA">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In the Matter of the Application of the </w:t>
      </w:r>
      <w:r>
        <w:rPr>
          <w:rFonts w:ascii="Arial" w:eastAsiaTheme="minorHAnsi" w:hAnsi="Arial" w:cs="Arial"/>
        </w:rPr>
        <w:tab/>
        <w:t>)</w:t>
      </w:r>
    </w:p>
    <w:p w:rsidR="005C08CB" w:rsidRDefault="007757EA">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Ohio Development Services Agency</w:t>
      </w:r>
      <w:r>
        <w:rPr>
          <w:rFonts w:ascii="Arial" w:eastAsiaTheme="minorHAnsi" w:hAnsi="Arial" w:cs="Arial"/>
        </w:rPr>
        <w:tab/>
        <w:t>)</w:t>
      </w:r>
    </w:p>
    <w:p w:rsidR="005C08CB" w:rsidRDefault="007757EA">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for an Order Approving Adjustments</w:t>
      </w:r>
      <w:r>
        <w:rPr>
          <w:rFonts w:ascii="Arial" w:eastAsiaTheme="minorHAnsi" w:hAnsi="Arial" w:cs="Arial"/>
        </w:rPr>
        <w:tab/>
        <w:t>)</w:t>
      </w:r>
      <w:r>
        <w:rPr>
          <w:rFonts w:ascii="Arial" w:eastAsiaTheme="minorHAnsi" w:hAnsi="Arial" w:cs="Arial"/>
        </w:rPr>
        <w:tab/>
        <w:t>Case No. 15-1046-EL-USF</w:t>
      </w:r>
    </w:p>
    <w:p w:rsidR="005C08CB" w:rsidRDefault="007757EA">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to the Universal Service Fund Riders of </w:t>
      </w:r>
      <w:r>
        <w:rPr>
          <w:rFonts w:ascii="Arial" w:eastAsiaTheme="minorHAnsi" w:hAnsi="Arial" w:cs="Arial"/>
        </w:rPr>
        <w:tab/>
        <w:t>)</w:t>
      </w:r>
    </w:p>
    <w:p w:rsidR="005C08CB" w:rsidRDefault="007757EA">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Jurisdictional Ohio Electric Distribution </w:t>
      </w:r>
      <w:r>
        <w:rPr>
          <w:rFonts w:ascii="Arial" w:eastAsiaTheme="minorHAnsi" w:hAnsi="Arial" w:cs="Arial"/>
        </w:rPr>
        <w:tab/>
        <w:t>)</w:t>
      </w:r>
    </w:p>
    <w:p w:rsidR="005C08CB" w:rsidRDefault="007757EA">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Utilities.</w:t>
      </w:r>
      <w:r>
        <w:rPr>
          <w:rFonts w:ascii="Arial" w:eastAsiaTheme="minorHAnsi" w:hAnsi="Arial" w:cs="Arial"/>
        </w:rPr>
        <w:tab/>
        <w:t>)</w:t>
      </w:r>
    </w:p>
    <w:p w:rsidR="005C08CB" w:rsidRDefault="005C08CB">
      <w:pPr>
        <w:pStyle w:val="BodyText"/>
        <w:tabs>
          <w:tab w:val="left" w:pos="5040"/>
        </w:tabs>
        <w:rPr>
          <w:sz w:val="28"/>
        </w:rPr>
      </w:pPr>
    </w:p>
    <w:p w:rsidR="005C08CB" w:rsidRDefault="005C08CB">
      <w:pPr>
        <w:pBdr>
          <w:top w:val="single" w:sz="12" w:space="1" w:color="auto"/>
        </w:pBdr>
        <w:jc w:val="center"/>
        <w:rPr>
          <w:rFonts w:ascii="Arial" w:hAnsi="Arial" w:cs="Arial"/>
          <w:sz w:val="20"/>
          <w:szCs w:val="20"/>
        </w:rPr>
      </w:pPr>
    </w:p>
    <w:p w:rsidR="005C08CB" w:rsidRDefault="007757EA">
      <w:pPr>
        <w:jc w:val="center"/>
        <w:rPr>
          <w:rFonts w:ascii="Arial Bold" w:hAnsi="Arial Bold" w:cs="Arial"/>
          <w:b/>
          <w:smallCaps/>
          <w:sz w:val="28"/>
          <w:szCs w:val="28"/>
        </w:rPr>
      </w:pPr>
      <w:r>
        <w:rPr>
          <w:rFonts w:ascii="Arial Bold" w:hAnsi="Arial Bold" w:cs="Arial"/>
          <w:b/>
          <w:smallCaps/>
          <w:sz w:val="28"/>
          <w:szCs w:val="28"/>
        </w:rPr>
        <w:t>Initial Brief of</w:t>
      </w:r>
    </w:p>
    <w:p w:rsidR="005C08CB" w:rsidRDefault="007757EA">
      <w:pPr>
        <w:jc w:val="center"/>
        <w:rPr>
          <w:rFonts w:ascii="Arial Bold" w:hAnsi="Arial Bold" w:cs="Arial"/>
          <w:b/>
          <w:smallCaps/>
          <w:sz w:val="28"/>
          <w:szCs w:val="28"/>
        </w:rPr>
      </w:pPr>
      <w:r>
        <w:rPr>
          <w:rFonts w:ascii="Arial Bold" w:hAnsi="Arial Bold" w:cs="Arial"/>
          <w:b/>
          <w:smallCaps/>
          <w:sz w:val="28"/>
          <w:szCs w:val="28"/>
        </w:rPr>
        <w:t>Industrial Energy Users-Ohio</w:t>
      </w:r>
    </w:p>
    <w:p w:rsidR="005C08CB" w:rsidRDefault="005C08CB">
      <w:pPr>
        <w:pStyle w:val="Title"/>
        <w:pBdr>
          <w:bottom w:val="single" w:sz="12" w:space="1" w:color="auto"/>
        </w:pBdr>
        <w:rPr>
          <w:sz w:val="20"/>
          <w:szCs w:val="20"/>
          <w:u w:val="single"/>
        </w:rPr>
      </w:pPr>
    </w:p>
    <w:p w:rsidR="005C08CB" w:rsidRDefault="005C08CB">
      <w:pPr>
        <w:pStyle w:val="BodyText"/>
        <w:tabs>
          <w:tab w:val="left" w:pos="720"/>
          <w:tab w:val="left" w:pos="5040"/>
        </w:tabs>
        <w:spacing w:line="480" w:lineRule="auto"/>
        <w:ind w:firstLine="720"/>
      </w:pPr>
    </w:p>
    <w:p w:rsidR="005C08CB" w:rsidRDefault="007757EA">
      <w:pPr>
        <w:spacing w:line="480" w:lineRule="auto"/>
        <w:jc w:val="both"/>
        <w:rPr>
          <w:rFonts w:ascii="Arial" w:hAnsi="Arial" w:cs="Arial"/>
          <w:color w:val="000000" w:themeColor="text1"/>
        </w:rPr>
      </w:pPr>
      <w:r>
        <w:rPr>
          <w:rFonts w:ascii="Arial" w:hAnsi="Arial" w:cs="Arial"/>
          <w:color w:val="000000" w:themeColor="text1"/>
        </w:rPr>
        <w:tab/>
        <w:t>This is the 15</w:t>
      </w:r>
      <w:r>
        <w:rPr>
          <w:rFonts w:ascii="Arial" w:hAnsi="Arial" w:cs="Arial"/>
          <w:color w:val="000000" w:themeColor="text1"/>
          <w:vertAlign w:val="superscript"/>
        </w:rPr>
        <w:t>th</w:t>
      </w:r>
      <w:r>
        <w:rPr>
          <w:rFonts w:ascii="Arial" w:hAnsi="Arial" w:cs="Arial"/>
          <w:color w:val="000000" w:themeColor="text1"/>
        </w:rPr>
        <w:t xml:space="preserve"> annual proceeding to update the Universal Service Fund (“USF”) riders.  In each of the prior 14 annual USF cases, a stipulation was presented to the Public Utilities Commission of Ohio (“Commission”) that recommended, among other things, that the Commission adopt a declining block rate design methodology for calculating the USF rider to be collected by each electric distribution utility (“EDU”).</w:t>
      </w:r>
      <w:r>
        <w:rPr>
          <w:rFonts w:ascii="Arial" w:hAnsi="Arial" w:cs="Arial"/>
          <w:color w:val="000000" w:themeColor="text1"/>
          <w:vertAlign w:val="superscript"/>
        </w:rPr>
        <w:footnoteReference w:id="1"/>
      </w:r>
      <w:r>
        <w:rPr>
          <w:rFonts w:ascii="Arial" w:hAnsi="Arial" w:cs="Arial"/>
          <w:color w:val="000000" w:themeColor="text1"/>
        </w:rPr>
        <w:t xml:space="preserve">  More specifically, the stipulations in each prior USF proceeding recommended that the Commission approve the jointly sponsored declining block rate design methodology for calculating each EDU’s USF rider because it was reasonable and does not violate R.C. 4928.52(C).  The Ohio Partners for Affordable Energy (“OPAE”) signed and jointly recommended that the Commission adopt many of these stipulations.</w:t>
      </w:r>
      <w:r>
        <w:rPr>
          <w:rFonts w:ascii="Arial" w:hAnsi="Arial" w:cs="Arial"/>
          <w:color w:val="000000" w:themeColor="text1"/>
          <w:vertAlign w:val="superscript"/>
        </w:rPr>
        <w:footnoteReference w:id="2"/>
      </w:r>
      <w:r>
        <w:rPr>
          <w:rFonts w:ascii="Arial" w:hAnsi="Arial" w:cs="Arial"/>
          <w:color w:val="000000" w:themeColor="text1"/>
        </w:rPr>
        <w:t xml:space="preserve">  In each of the </w:t>
      </w:r>
      <w:r>
        <w:rPr>
          <w:rFonts w:ascii="Arial" w:hAnsi="Arial" w:cs="Arial"/>
          <w:color w:val="000000" w:themeColor="text1"/>
        </w:rPr>
        <w:lastRenderedPageBreak/>
        <w:t>prior 14 annual USF cases</w:t>
      </w:r>
      <w:r w:rsidR="007E066D">
        <w:rPr>
          <w:rFonts w:ascii="Arial" w:hAnsi="Arial" w:cs="Arial"/>
          <w:color w:val="000000" w:themeColor="text1"/>
        </w:rPr>
        <w:t>,</w:t>
      </w:r>
      <w:r>
        <w:rPr>
          <w:rFonts w:ascii="Arial" w:hAnsi="Arial" w:cs="Arial"/>
          <w:color w:val="000000" w:themeColor="text1"/>
        </w:rPr>
        <w:t xml:space="preserve"> the Commission has approved the jointly-sponsored stipulation and found that the use of the recommended declining block rate design does not violate R.C. 4928.52(C).</w:t>
      </w:r>
      <w:r>
        <w:rPr>
          <w:rFonts w:ascii="Arial" w:hAnsi="Arial" w:cs="Arial"/>
          <w:color w:val="000000" w:themeColor="text1"/>
          <w:vertAlign w:val="superscript"/>
        </w:rPr>
        <w:footnoteReference w:id="3"/>
      </w:r>
      <w:r>
        <w:rPr>
          <w:rFonts w:ascii="Arial" w:hAnsi="Arial" w:cs="Arial"/>
          <w:color w:val="000000" w:themeColor="text1"/>
        </w:rPr>
        <w:t xml:space="preserve">  </w:t>
      </w:r>
    </w:p>
    <w:p w:rsidR="005C08CB" w:rsidRDefault="007757EA">
      <w:pPr>
        <w:spacing w:line="480" w:lineRule="auto"/>
        <w:jc w:val="both"/>
        <w:rPr>
          <w:rFonts w:ascii="Arial" w:hAnsi="Arial" w:cs="Arial"/>
          <w:color w:val="000000" w:themeColor="text1"/>
        </w:rPr>
      </w:pPr>
      <w:r>
        <w:rPr>
          <w:rFonts w:ascii="Arial" w:hAnsi="Arial" w:cs="Arial"/>
          <w:color w:val="000000" w:themeColor="text1"/>
        </w:rPr>
        <w:tab/>
        <w:t>A Joint Stipulation and Recommendation (“Stipulation”) was submitted to the Commission in this proceeding as well and it recommends continued use of the same declining block rate design that the Commission has previously approved.</w:t>
      </w:r>
    </w:p>
    <w:p w:rsidR="005C08CB" w:rsidRDefault="007757EA">
      <w:pPr>
        <w:spacing w:line="480" w:lineRule="auto"/>
        <w:jc w:val="both"/>
        <w:rPr>
          <w:rFonts w:ascii="Arial" w:hAnsi="Arial" w:cs="Arial"/>
          <w:color w:val="000000" w:themeColor="text1"/>
        </w:rPr>
      </w:pPr>
      <w:r>
        <w:rPr>
          <w:rFonts w:ascii="Arial" w:hAnsi="Arial" w:cs="Arial"/>
          <w:color w:val="000000" w:themeColor="text1"/>
        </w:rPr>
        <w:lastRenderedPageBreak/>
        <w:tab/>
        <w:t>OPAE, a residential electric customer of Ohio Power Company using around 500 kilowatt-hours (“kWh”) per month,</w:t>
      </w:r>
      <w:r>
        <w:rPr>
          <w:rFonts w:ascii="Arial" w:hAnsi="Arial" w:cs="Arial"/>
          <w:color w:val="000000" w:themeColor="text1"/>
          <w:vertAlign w:val="superscript"/>
        </w:rPr>
        <w:footnoteReference w:id="4"/>
      </w:r>
      <w:r>
        <w:rPr>
          <w:rFonts w:ascii="Arial" w:hAnsi="Arial" w:cs="Arial"/>
          <w:color w:val="000000" w:themeColor="text1"/>
        </w:rPr>
        <w:t xml:space="preserve"> opposes </w:t>
      </w:r>
      <w:r w:rsidR="007E066D">
        <w:rPr>
          <w:rFonts w:ascii="Arial" w:hAnsi="Arial" w:cs="Arial"/>
          <w:color w:val="000000" w:themeColor="text1"/>
        </w:rPr>
        <w:t xml:space="preserve">the </w:t>
      </w:r>
      <w:r>
        <w:rPr>
          <w:rFonts w:ascii="Arial" w:hAnsi="Arial" w:cs="Arial"/>
          <w:color w:val="000000" w:themeColor="text1"/>
        </w:rPr>
        <w:t>declining block rate design methodology for computing the successor USF riders.</w:t>
      </w:r>
      <w:r>
        <w:rPr>
          <w:rFonts w:ascii="Arial" w:hAnsi="Arial" w:cs="Arial"/>
          <w:color w:val="000000" w:themeColor="text1"/>
          <w:vertAlign w:val="superscript"/>
        </w:rPr>
        <w:footnoteReference w:id="5"/>
      </w:r>
      <w:r>
        <w:rPr>
          <w:rFonts w:ascii="Arial" w:hAnsi="Arial" w:cs="Arial"/>
          <w:color w:val="000000" w:themeColor="text1"/>
        </w:rPr>
        <w:t xml:space="preserve">  </w:t>
      </w:r>
    </w:p>
    <w:p w:rsidR="005C08CB" w:rsidRDefault="007757EA">
      <w:pPr>
        <w:spacing w:line="480" w:lineRule="auto"/>
        <w:jc w:val="both"/>
        <w:rPr>
          <w:rFonts w:ascii="Arial" w:hAnsi="Arial" w:cs="Arial"/>
          <w:color w:val="000000" w:themeColor="text1"/>
        </w:rPr>
      </w:pPr>
      <w:r>
        <w:rPr>
          <w:rFonts w:ascii="Arial" w:hAnsi="Arial" w:cs="Arial"/>
          <w:color w:val="000000" w:themeColor="text1"/>
        </w:rPr>
        <w:tab/>
        <w:t>This Brief is submitted by the Industrial Energy Users-Ohio (“IEU-Ohio”) for the Commission’s consideration and pursuant to the procedural schedule established by Attorney Examiner See.  IEU-Ohio’s Brief demonstrates that the Stipulation, as supported by evidence presented during the evidentiary hearing in this matter, is reasonable and satisfies the Commission’s 3-part test used to review stipulations, and should therefore be adopted.  IEU-Ohio’s Brief also addresses OPAE’s opposition to the Stipulation and its unwarranted claims regarding the continued use of the declining block USF rate design methodology.</w:t>
      </w:r>
    </w:p>
    <w:p w:rsidR="005C08CB" w:rsidRDefault="007757EA">
      <w:pPr>
        <w:spacing w:line="480" w:lineRule="auto"/>
        <w:jc w:val="both"/>
        <w:rPr>
          <w:rFonts w:ascii="Arial" w:hAnsi="Arial" w:cs="Arial"/>
          <w:color w:val="000000" w:themeColor="text1"/>
        </w:rPr>
      </w:pPr>
      <w:r>
        <w:rPr>
          <w:rFonts w:ascii="Arial" w:hAnsi="Arial" w:cs="Arial"/>
          <w:color w:val="000000" w:themeColor="text1"/>
        </w:rPr>
        <w:tab/>
        <w:t xml:space="preserve">IEU-Ohio’s failure to address, in this Brief, any other claims advanced to contest the recommendations in the Stipulation should not be construed or applied to indicate that IEU-Ohio supports such others claims.  </w:t>
      </w:r>
    </w:p>
    <w:p w:rsidR="005C08CB" w:rsidRDefault="007757EA">
      <w:pPr>
        <w:pStyle w:val="Heading1"/>
      </w:pPr>
      <w:bookmarkStart w:id="2" w:name="_Toc428943538"/>
      <w:r>
        <w:t>background</w:t>
      </w:r>
      <w:bookmarkEnd w:id="2"/>
    </w:p>
    <w:p w:rsidR="005C08CB" w:rsidRDefault="007757EA">
      <w:pPr>
        <w:spacing w:line="480" w:lineRule="auto"/>
        <w:jc w:val="both"/>
        <w:rPr>
          <w:rFonts w:ascii="Arial" w:hAnsi="Arial" w:cs="Arial"/>
          <w:color w:val="000000" w:themeColor="text1"/>
        </w:rPr>
      </w:pPr>
      <w:r>
        <w:rPr>
          <w:rFonts w:ascii="Arial" w:hAnsi="Arial" w:cs="Arial"/>
          <w:color w:val="000000" w:themeColor="text1"/>
        </w:rPr>
        <w:tab/>
        <w:t>In accordance with the process ordered by the Commission,</w:t>
      </w:r>
      <w:r>
        <w:rPr>
          <w:rFonts w:ascii="Arial" w:hAnsi="Arial" w:cs="Arial"/>
          <w:color w:val="000000" w:themeColor="text1"/>
          <w:vertAlign w:val="superscript"/>
        </w:rPr>
        <w:footnoteReference w:id="6"/>
      </w:r>
      <w:r>
        <w:rPr>
          <w:rFonts w:ascii="Arial" w:hAnsi="Arial" w:cs="Arial"/>
          <w:color w:val="000000" w:themeColor="text1"/>
        </w:rPr>
        <w:t xml:space="preserve"> on May 29, 2015, ODSA filed a Notice of Intent to File an Application for Adjustments to Universal Service Fund Riders (“Notice of Intent” or “NOI”) to resolve ODSA’s proposed methodology for determining the revenue requirement and rate design for the USF riders for 2016.  In its Notice of Intent, ODSA proposed to retain the same methodology it has utilized, and the </w:t>
      </w:r>
      <w:r>
        <w:rPr>
          <w:rFonts w:ascii="Arial" w:hAnsi="Arial" w:cs="Arial"/>
          <w:color w:val="000000" w:themeColor="text1"/>
        </w:rPr>
        <w:lastRenderedPageBreak/>
        <w:t>Commission has approved, for numerous years for determining the revenue requirement for and rate design of the USF riders.</w:t>
      </w:r>
      <w:r>
        <w:rPr>
          <w:rFonts w:ascii="Arial" w:hAnsi="Arial" w:cs="Arial"/>
          <w:color w:val="000000" w:themeColor="text1"/>
          <w:vertAlign w:val="superscript"/>
        </w:rPr>
        <w:footnoteReference w:id="7"/>
      </w:r>
    </w:p>
    <w:p w:rsidR="005C08CB" w:rsidRDefault="007757EA">
      <w:pPr>
        <w:spacing w:line="480" w:lineRule="auto"/>
        <w:jc w:val="both"/>
        <w:rPr>
          <w:rFonts w:ascii="Arial" w:hAnsi="Arial" w:cs="Arial"/>
          <w:color w:val="000000" w:themeColor="text1"/>
        </w:rPr>
      </w:pPr>
      <w:r>
        <w:rPr>
          <w:rFonts w:ascii="Arial" w:hAnsi="Arial" w:cs="Arial"/>
          <w:color w:val="000000" w:themeColor="text1"/>
        </w:rPr>
        <w:tab/>
        <w:t>ODSA, IEU-Ohio, The Dayton Power and Light Company (“DP&amp;L”), Ohio Edison Company, The Cleveland Electric Illuminating Company, and the Toledo Edison Company (collectively, “FirstEnergy”) entered into the Sti</w:t>
      </w:r>
      <w:r w:rsidR="0004222D">
        <w:rPr>
          <w:rFonts w:ascii="Arial" w:hAnsi="Arial" w:cs="Arial"/>
          <w:color w:val="000000" w:themeColor="text1"/>
        </w:rPr>
        <w:t>pulation in this case on August </w:t>
      </w:r>
      <w:r>
        <w:rPr>
          <w:rFonts w:ascii="Arial" w:hAnsi="Arial" w:cs="Arial"/>
          <w:color w:val="000000" w:themeColor="text1"/>
        </w:rPr>
        <w:t>3, 2015.</w:t>
      </w:r>
      <w:r>
        <w:rPr>
          <w:rFonts w:ascii="Arial" w:hAnsi="Arial" w:cs="Arial"/>
          <w:color w:val="000000" w:themeColor="text1"/>
          <w:vertAlign w:val="superscript"/>
        </w:rPr>
        <w:footnoteReference w:id="8"/>
      </w:r>
      <w:r>
        <w:rPr>
          <w:rFonts w:ascii="Arial" w:hAnsi="Arial" w:cs="Arial"/>
          <w:color w:val="000000" w:themeColor="text1"/>
        </w:rPr>
        <w:t xml:space="preserve">  As reflected in the Direct Testimony of Ms. Moser, Duke Energy Ohio, Inc. (“Duke”) has indicated that although it is not a signatory to the Stipulation, Duke does not oppose the Stipulation.</w:t>
      </w:r>
      <w:r>
        <w:rPr>
          <w:rFonts w:ascii="Arial" w:hAnsi="Arial" w:cs="Arial"/>
          <w:color w:val="000000" w:themeColor="text1"/>
          <w:vertAlign w:val="superscript"/>
        </w:rPr>
        <w:footnoteReference w:id="9"/>
      </w:r>
      <w:r>
        <w:rPr>
          <w:rFonts w:ascii="Arial" w:hAnsi="Arial" w:cs="Arial"/>
          <w:color w:val="000000" w:themeColor="text1"/>
        </w:rPr>
        <w:t xml:space="preserve">  The Stipulation recommends that the Commission approve ODSA’s Notice of Intent as filed.</w:t>
      </w:r>
      <w:r>
        <w:rPr>
          <w:rFonts w:ascii="Arial" w:hAnsi="Arial" w:cs="Arial"/>
          <w:color w:val="000000" w:themeColor="text1"/>
          <w:vertAlign w:val="superscript"/>
        </w:rPr>
        <w:footnoteReference w:id="10"/>
      </w:r>
    </w:p>
    <w:p w:rsidR="005C08CB" w:rsidRDefault="007757EA">
      <w:pPr>
        <w:spacing w:line="480" w:lineRule="auto"/>
        <w:jc w:val="both"/>
        <w:rPr>
          <w:rFonts w:ascii="Arial" w:hAnsi="Arial" w:cs="Arial"/>
          <w:color w:val="000000" w:themeColor="text1"/>
        </w:rPr>
      </w:pPr>
      <w:r>
        <w:rPr>
          <w:rFonts w:ascii="Arial" w:hAnsi="Arial" w:cs="Arial"/>
          <w:color w:val="000000" w:themeColor="text1"/>
        </w:rPr>
        <w:tab/>
        <w:t>The evidentiary hearing was held on August 19, 2015.  ODSA witness Moser and OPAE witness Rinebolt testified at the hearing.</w:t>
      </w:r>
      <w:r>
        <w:rPr>
          <w:rFonts w:ascii="Arial" w:hAnsi="Arial" w:cs="Arial"/>
          <w:color w:val="000000" w:themeColor="text1"/>
          <w:vertAlign w:val="superscript"/>
        </w:rPr>
        <w:footnoteReference w:id="11"/>
      </w:r>
      <w:r>
        <w:rPr>
          <w:rFonts w:ascii="Arial" w:hAnsi="Arial" w:cs="Arial"/>
          <w:color w:val="000000" w:themeColor="text1"/>
        </w:rPr>
        <w:t xml:space="preserve">  Mr. Rinebolt’s testimony focused on the declining block rate design and did not address the Commission’s 3-part test used to evaluate stipulations. </w:t>
      </w:r>
    </w:p>
    <w:p w:rsidR="005C08CB" w:rsidRDefault="007757EA">
      <w:pPr>
        <w:pStyle w:val="Heading1"/>
      </w:pPr>
      <w:bookmarkStart w:id="3" w:name="_Toc428943539"/>
      <w:r>
        <w:t>argument</w:t>
      </w:r>
      <w:bookmarkEnd w:id="3"/>
    </w:p>
    <w:p w:rsidR="005C08CB" w:rsidRDefault="007757EA">
      <w:pPr>
        <w:pStyle w:val="Heading2"/>
      </w:pPr>
      <w:bookmarkStart w:id="4" w:name="_Toc428943540"/>
      <w:r>
        <w:t>The Stipulation should be approved because it is reasonable and satisfies the Commission’s 3-part test for reviewing the reasonableness of stipulations</w:t>
      </w:r>
      <w:bookmarkEnd w:id="4"/>
    </w:p>
    <w:p w:rsidR="005C08CB" w:rsidRDefault="007757EA">
      <w:pPr>
        <w:spacing w:line="480" w:lineRule="auto"/>
        <w:jc w:val="both"/>
        <w:rPr>
          <w:rFonts w:ascii="Arial" w:hAnsi="Arial" w:cs="Arial"/>
          <w:color w:val="000000" w:themeColor="text1"/>
        </w:rPr>
      </w:pPr>
      <w:r>
        <w:rPr>
          <w:rFonts w:ascii="Arial" w:hAnsi="Arial" w:cs="Arial"/>
          <w:color w:val="000000" w:themeColor="text1"/>
        </w:rPr>
        <w:tab/>
        <w:t xml:space="preserve">Rule 4901-1-30, Ohio Administrative Code (“O.A.C”), authorizes parties in a proceeding before the Commission to enter into a stipulation.  In reviewing a stipulation, the ultimate issue for the Commission’s consideration is whether the stipulation is </w:t>
      </w:r>
      <w:r>
        <w:rPr>
          <w:rFonts w:ascii="Arial" w:hAnsi="Arial" w:cs="Arial"/>
          <w:color w:val="000000" w:themeColor="text1"/>
        </w:rPr>
        <w:lastRenderedPageBreak/>
        <w:t>reasonable.</w:t>
      </w:r>
      <w:r>
        <w:rPr>
          <w:rStyle w:val="FootnoteReference"/>
          <w:rFonts w:ascii="Arial" w:hAnsi="Arial" w:cs="Arial"/>
          <w:color w:val="000000" w:themeColor="text1"/>
        </w:rPr>
        <w:footnoteReference w:id="12"/>
      </w:r>
      <w:r>
        <w:rPr>
          <w:rFonts w:ascii="Arial" w:hAnsi="Arial" w:cs="Arial"/>
          <w:color w:val="000000" w:themeColor="text1"/>
        </w:rPr>
        <w:t xml:space="preserve">  In considering the reasonableness of a stipulation, the Commission has used the following criteria:</w:t>
      </w:r>
    </w:p>
    <w:p w:rsidR="005C08CB" w:rsidRDefault="007757EA">
      <w:pPr>
        <w:spacing w:after="180"/>
        <w:ind w:left="1440" w:right="720" w:hanging="720"/>
        <w:jc w:val="both"/>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t>Is the settlement a product of serious bargaining among capable, knowledgeable parties?</w:t>
      </w:r>
    </w:p>
    <w:p w:rsidR="005C08CB" w:rsidRDefault="007757EA">
      <w:pPr>
        <w:spacing w:after="180"/>
        <w:ind w:left="1440" w:right="720" w:hanging="720"/>
        <w:jc w:val="both"/>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t>Does the settlement, as a package, benefit ratepayers and the</w:t>
      </w:r>
      <w:r w:rsidR="008552DD">
        <w:rPr>
          <w:rFonts w:ascii="Arial" w:hAnsi="Arial" w:cs="Arial"/>
          <w:color w:val="000000" w:themeColor="text1"/>
        </w:rPr>
        <w:t xml:space="preserve"> </w:t>
      </w:r>
      <w:r>
        <w:rPr>
          <w:rFonts w:ascii="Arial" w:hAnsi="Arial" w:cs="Arial"/>
          <w:color w:val="000000" w:themeColor="text1"/>
        </w:rPr>
        <w:t>public interest?</w:t>
      </w:r>
    </w:p>
    <w:p w:rsidR="005C08CB" w:rsidRDefault="007757EA" w:rsidP="008552DD">
      <w:pPr>
        <w:spacing w:after="180"/>
        <w:ind w:left="1440" w:right="720" w:hanging="720"/>
        <w:jc w:val="both"/>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t>Does the settlement package violate any important regulatory</w:t>
      </w:r>
      <w:r w:rsidR="008552DD">
        <w:rPr>
          <w:rFonts w:ascii="Arial" w:hAnsi="Arial" w:cs="Arial"/>
          <w:color w:val="000000" w:themeColor="text1"/>
        </w:rPr>
        <w:t xml:space="preserve"> </w:t>
      </w:r>
      <w:r>
        <w:rPr>
          <w:rFonts w:ascii="Arial" w:hAnsi="Arial" w:cs="Arial"/>
          <w:color w:val="000000" w:themeColor="text1"/>
        </w:rPr>
        <w:t>principle or practice?</w:t>
      </w:r>
      <w:r>
        <w:rPr>
          <w:rStyle w:val="FootnoteReference"/>
          <w:rFonts w:ascii="Arial" w:hAnsi="Arial" w:cs="Arial"/>
          <w:color w:val="000000" w:themeColor="text1"/>
        </w:rPr>
        <w:footnoteReference w:id="13"/>
      </w:r>
    </w:p>
    <w:p w:rsidR="005C08CB" w:rsidRDefault="007757EA">
      <w:pPr>
        <w:spacing w:line="480" w:lineRule="auto"/>
        <w:jc w:val="both"/>
        <w:rPr>
          <w:rFonts w:ascii="Arial" w:hAnsi="Arial" w:cs="Arial"/>
          <w:color w:val="000000" w:themeColor="text1"/>
        </w:rPr>
      </w:pPr>
      <w:r>
        <w:rPr>
          <w:rFonts w:ascii="Arial" w:hAnsi="Arial" w:cs="Arial"/>
          <w:color w:val="000000" w:themeColor="text1"/>
        </w:rPr>
        <w:t>The evidence submitted at the hearing demonstrates that the Stipulation is reasonable and satisfies all elements of the Commission’s 3-part test.</w:t>
      </w:r>
      <w:r>
        <w:rPr>
          <w:rFonts w:ascii="Arial" w:hAnsi="Arial" w:cs="Arial"/>
          <w:color w:val="000000" w:themeColor="text1"/>
          <w:vertAlign w:val="superscript"/>
        </w:rPr>
        <w:footnoteReference w:id="14"/>
      </w:r>
      <w:r>
        <w:rPr>
          <w:rFonts w:ascii="Arial" w:hAnsi="Arial" w:cs="Arial"/>
          <w:color w:val="000000" w:themeColor="text1"/>
        </w:rPr>
        <w:t xml:space="preserve">  The Stipulation recommends that the Commission approve the same methodology ODSA has utilized to determine the revenue requirement for the USF riders that dates back many years.</w:t>
      </w:r>
      <w:r>
        <w:rPr>
          <w:rFonts w:ascii="Arial" w:hAnsi="Arial" w:cs="Arial"/>
          <w:color w:val="000000" w:themeColor="text1"/>
          <w:vertAlign w:val="superscript"/>
        </w:rPr>
        <w:footnoteReference w:id="15"/>
      </w:r>
      <w:r>
        <w:rPr>
          <w:rFonts w:ascii="Arial" w:hAnsi="Arial" w:cs="Arial"/>
          <w:color w:val="000000" w:themeColor="text1"/>
        </w:rPr>
        <w:t xml:space="preserve">  The Stipulation also recommends that the Commission approve the same methodology ODSA has utilized to design the USF rider rates, a methodology that dates back to 2001.</w:t>
      </w:r>
      <w:r>
        <w:rPr>
          <w:rFonts w:ascii="Arial" w:hAnsi="Arial" w:cs="Arial"/>
          <w:color w:val="000000" w:themeColor="text1"/>
          <w:vertAlign w:val="superscript"/>
        </w:rPr>
        <w:footnoteReference w:id="16"/>
      </w:r>
      <w:r>
        <w:rPr>
          <w:rFonts w:ascii="Arial" w:hAnsi="Arial" w:cs="Arial"/>
          <w:color w:val="000000" w:themeColor="text1"/>
        </w:rPr>
        <w:t xml:space="preserve">  The Commission has repeatedly found that these methodologies are reasonable pursuant to the Commission’s 3-part test.  The outcome can be no different here.</w:t>
      </w:r>
    </w:p>
    <w:p w:rsidR="005C08CB" w:rsidRDefault="007757EA">
      <w:pPr>
        <w:pStyle w:val="Heading2"/>
      </w:pPr>
      <w:bookmarkStart w:id="5" w:name="_Toc428943541"/>
      <w:r>
        <w:t>The Commission should reject OPAE’s suggestion that the Commission should modify the Stipulation and insert a uniform per kWh rate design because the suggestion amounts to a collateral attack on the existing USF riders, is contrary to Commission precedent and OPAE’s prior positions, Mr. Rinebolt admitted he is not an expert on these subjects and Mr. Rinebolt offered no indication of how the Stipulation would shift revenue “among the classes”</w:t>
      </w:r>
      <w:bookmarkEnd w:id="5"/>
    </w:p>
    <w:p w:rsidR="005C08CB" w:rsidRDefault="007757EA">
      <w:pPr>
        <w:spacing w:line="480" w:lineRule="auto"/>
        <w:jc w:val="both"/>
        <w:rPr>
          <w:rFonts w:ascii="Arial" w:hAnsi="Arial" w:cs="Arial"/>
          <w:color w:val="000000" w:themeColor="text1"/>
        </w:rPr>
      </w:pPr>
      <w:r>
        <w:rPr>
          <w:rFonts w:ascii="Arial" w:hAnsi="Arial" w:cs="Arial"/>
          <w:color w:val="000000" w:themeColor="text1"/>
        </w:rPr>
        <w:lastRenderedPageBreak/>
        <w:tab/>
        <w:t>OPAE argues that the Stipulation should be rejected because it recommends that the Commission authorize the continued use of the declining block rate design that OPAE previously urged the Commission to adopt by signing stipulations in prior USF proceedings.  Contrary to OPAE’s past representations to the Commission,</w:t>
      </w:r>
      <w:r>
        <w:rPr>
          <w:rFonts w:ascii="Arial" w:hAnsi="Arial" w:cs="Arial"/>
          <w:color w:val="000000" w:themeColor="text1"/>
          <w:vertAlign w:val="superscript"/>
        </w:rPr>
        <w:footnoteReference w:id="17"/>
      </w:r>
      <w:r>
        <w:rPr>
          <w:rFonts w:ascii="Arial" w:hAnsi="Arial" w:cs="Arial"/>
          <w:color w:val="000000" w:themeColor="text1"/>
        </w:rPr>
        <w:t xml:space="preserve"> OPAE has a new claim; it is now claiming that the rate design methodology it previously agreed did not violate R.C. 4928.52(C) will somehow violate R.C. 4928.52(C).  </w:t>
      </w:r>
    </w:p>
    <w:p w:rsidR="005C08CB" w:rsidRDefault="007757EA">
      <w:pPr>
        <w:spacing w:line="480" w:lineRule="auto"/>
        <w:jc w:val="both"/>
        <w:rPr>
          <w:rFonts w:ascii="Arial" w:hAnsi="Arial" w:cs="Arial"/>
          <w:color w:val="000000" w:themeColor="text1"/>
        </w:rPr>
      </w:pPr>
      <w:r>
        <w:rPr>
          <w:rFonts w:ascii="Arial" w:hAnsi="Arial" w:cs="Arial"/>
          <w:color w:val="000000" w:themeColor="text1"/>
        </w:rPr>
        <w:tab/>
        <w:t>OPAE’s witness, Mr. Rinebolt, agreed that he has no expertise in this area</w:t>
      </w:r>
      <w:r>
        <w:rPr>
          <w:rFonts w:ascii="Arial" w:hAnsi="Arial" w:cs="Arial"/>
          <w:color w:val="000000" w:themeColor="text1"/>
          <w:vertAlign w:val="superscript"/>
        </w:rPr>
        <w:footnoteReference w:id="18"/>
      </w:r>
      <w:r>
        <w:rPr>
          <w:rFonts w:ascii="Arial" w:hAnsi="Arial" w:cs="Arial"/>
          <w:color w:val="000000" w:themeColor="text1"/>
        </w:rPr>
        <w:t xml:space="preserve"> and</w:t>
      </w:r>
      <w:r w:rsidR="0004222D">
        <w:rPr>
          <w:rFonts w:ascii="Arial" w:hAnsi="Arial" w:cs="Arial"/>
          <w:color w:val="000000" w:themeColor="text1"/>
        </w:rPr>
        <w:t>,</w:t>
      </w:r>
      <w:r>
        <w:rPr>
          <w:rFonts w:ascii="Arial" w:hAnsi="Arial" w:cs="Arial"/>
          <w:color w:val="000000" w:themeColor="text1"/>
        </w:rPr>
        <w:t xml:space="preserve"> regardless of his qualifications</w:t>
      </w:r>
      <w:r w:rsidR="0004222D">
        <w:rPr>
          <w:rFonts w:ascii="Arial" w:hAnsi="Arial" w:cs="Arial"/>
          <w:color w:val="000000" w:themeColor="text1"/>
        </w:rPr>
        <w:t>,</w:t>
      </w:r>
      <w:r>
        <w:rPr>
          <w:rFonts w:ascii="Arial" w:hAnsi="Arial" w:cs="Arial"/>
          <w:color w:val="000000" w:themeColor="text1"/>
        </w:rPr>
        <w:t xml:space="preserve"> that the admittedly hypothetical illustrations</w:t>
      </w:r>
      <w:r>
        <w:rPr>
          <w:rFonts w:ascii="Arial" w:hAnsi="Arial" w:cs="Arial"/>
          <w:color w:val="000000" w:themeColor="text1"/>
          <w:vertAlign w:val="superscript"/>
        </w:rPr>
        <w:footnoteReference w:id="19"/>
      </w:r>
      <w:r>
        <w:rPr>
          <w:rFonts w:ascii="Arial" w:hAnsi="Arial" w:cs="Arial"/>
          <w:color w:val="000000" w:themeColor="text1"/>
        </w:rPr>
        <w:t xml:space="preserve"> in his testimony amount to a collateral attack on the currently-approved declining block USF riders.</w:t>
      </w:r>
      <w:r>
        <w:rPr>
          <w:rFonts w:ascii="Arial" w:hAnsi="Arial" w:cs="Arial"/>
          <w:color w:val="000000" w:themeColor="text1"/>
          <w:vertAlign w:val="superscript"/>
        </w:rPr>
        <w:footnoteReference w:id="20"/>
      </w:r>
      <w:r>
        <w:rPr>
          <w:rFonts w:ascii="Arial" w:hAnsi="Arial" w:cs="Arial"/>
          <w:color w:val="000000" w:themeColor="text1"/>
        </w:rPr>
        <w:t xml:space="preserve">  Nonetheless, he sponsored testimony on behalf of OPAE to suggest that the Commission modify the Stipulation and eliminate the declining block rate design in favor of a uniform per kWh USF rider for each EDU.</w:t>
      </w:r>
      <w:r>
        <w:rPr>
          <w:rFonts w:ascii="Arial" w:hAnsi="Arial" w:cs="Arial"/>
          <w:color w:val="000000" w:themeColor="text1"/>
          <w:vertAlign w:val="superscript"/>
        </w:rPr>
        <w:footnoteReference w:id="21"/>
      </w:r>
      <w:r>
        <w:rPr>
          <w:rFonts w:ascii="Arial" w:hAnsi="Arial" w:cs="Arial"/>
          <w:color w:val="000000" w:themeColor="text1"/>
        </w:rPr>
        <w:t xml:space="preserve">  </w:t>
      </w:r>
    </w:p>
    <w:p w:rsidR="005C08CB" w:rsidRDefault="007757EA">
      <w:pPr>
        <w:spacing w:line="480" w:lineRule="auto"/>
        <w:jc w:val="both"/>
        <w:rPr>
          <w:rFonts w:ascii="Arial" w:hAnsi="Arial" w:cs="Arial"/>
          <w:color w:val="000000" w:themeColor="text1"/>
        </w:rPr>
      </w:pPr>
      <w:r>
        <w:rPr>
          <w:rFonts w:ascii="Arial" w:hAnsi="Arial" w:cs="Arial"/>
          <w:color w:val="000000" w:themeColor="text1"/>
        </w:rPr>
        <w:tab/>
        <w:t xml:space="preserve">A volumetric or uniform per kWh rate design such as that suggested by OPAE in this proceeding is not a reasonable rate design when the underlying cost it distributes to customers is unrelated to kWh consumption.  During cross-examination, Mr. Rinebolt agreed that there is no relationship between the amount of revenue that needs to be </w:t>
      </w:r>
      <w:r>
        <w:rPr>
          <w:rFonts w:ascii="Arial" w:hAnsi="Arial" w:cs="Arial"/>
          <w:color w:val="000000" w:themeColor="text1"/>
        </w:rPr>
        <w:lastRenderedPageBreak/>
        <w:t>collected to fund USF programs and customers’ kWh usage.</w:t>
      </w:r>
      <w:r>
        <w:rPr>
          <w:rFonts w:ascii="Arial" w:hAnsi="Arial" w:cs="Arial"/>
          <w:color w:val="000000" w:themeColor="text1"/>
          <w:vertAlign w:val="superscript"/>
        </w:rPr>
        <w:footnoteReference w:id="22"/>
      </w:r>
      <w:r>
        <w:rPr>
          <w:rFonts w:ascii="Arial" w:hAnsi="Arial" w:cs="Arial"/>
          <w:color w:val="000000" w:themeColor="text1"/>
        </w:rPr>
        <w:t xml:space="preserve">  Yet OPAE’s non-expert, Mr. Rinebolt, suggests that USF funding should be collected from customers as though there is a causal relationship between the amount of funding needed by ODSA and each kWh consumed by customers.  </w:t>
      </w:r>
    </w:p>
    <w:p w:rsidR="005C08CB" w:rsidRDefault="007757EA">
      <w:pPr>
        <w:spacing w:line="480" w:lineRule="auto"/>
        <w:jc w:val="both"/>
        <w:rPr>
          <w:rFonts w:ascii="Arial" w:hAnsi="Arial" w:cs="Arial"/>
          <w:color w:val="000000" w:themeColor="text1"/>
        </w:rPr>
      </w:pPr>
      <w:r>
        <w:rPr>
          <w:rFonts w:ascii="Arial" w:hAnsi="Arial" w:cs="Arial"/>
          <w:color w:val="000000" w:themeColor="text1"/>
        </w:rPr>
        <w:tab/>
        <w:t xml:space="preserve">The Commission has previously rejected OPAE’s recommendation to collect the funding for the USF through a uniform kWh rate design and should do so again.  In the </w:t>
      </w:r>
      <w:r>
        <w:rPr>
          <w:rFonts w:ascii="Arial" w:hAnsi="Arial" w:cs="Arial"/>
          <w:i/>
          <w:color w:val="000000" w:themeColor="text1"/>
        </w:rPr>
        <w:t>2012 USF Case</w:t>
      </w:r>
      <w:r>
        <w:rPr>
          <w:rFonts w:ascii="Arial" w:hAnsi="Arial" w:cs="Arial"/>
          <w:color w:val="000000" w:themeColor="text1"/>
        </w:rPr>
        <w:t>, the Commission authorized a stipulation that continued the previously-approved declining block rate design and held that the Commission “continue[s] to find OPAE's arguments that the two-step declining block USF rate design violates Section 4928.52(C), Revised Code, to be unpersuasive.”</w:t>
      </w:r>
      <w:r>
        <w:rPr>
          <w:rFonts w:ascii="Arial" w:hAnsi="Arial" w:cs="Arial"/>
          <w:color w:val="000000" w:themeColor="text1"/>
          <w:vertAlign w:val="superscript"/>
        </w:rPr>
        <w:footnoteReference w:id="23"/>
      </w:r>
    </w:p>
    <w:p w:rsidR="005C08CB" w:rsidRDefault="007757EA">
      <w:pPr>
        <w:spacing w:line="480" w:lineRule="auto"/>
        <w:jc w:val="both"/>
        <w:rPr>
          <w:rFonts w:ascii="Arial" w:hAnsi="Arial" w:cs="Arial"/>
          <w:color w:val="000000" w:themeColor="text1"/>
        </w:rPr>
      </w:pPr>
      <w:r>
        <w:rPr>
          <w:rFonts w:ascii="Arial" w:hAnsi="Arial" w:cs="Arial"/>
          <w:color w:val="000000" w:themeColor="text1"/>
        </w:rPr>
        <w:tab/>
        <w:t xml:space="preserve">Further, and in another context, the Commission has also rejected OPAE’s arguments urging the Commission to </w:t>
      </w:r>
      <w:bookmarkStart w:id="6" w:name="_GoBack"/>
      <w:bookmarkEnd w:id="6"/>
      <w:r>
        <w:rPr>
          <w:rFonts w:ascii="Arial" w:hAnsi="Arial" w:cs="Arial"/>
          <w:color w:val="000000" w:themeColor="text1"/>
        </w:rPr>
        <w:t>authorize rates with a volumetric rate design to collect costs unrelated to consumption.  In 2008 and 2009, the Commission considered and authorized changes to the rate design of the four major gas utility companies in Ohio.</w:t>
      </w:r>
      <w:r>
        <w:rPr>
          <w:rFonts w:ascii="Arial" w:hAnsi="Arial" w:cs="Arial"/>
          <w:color w:val="000000" w:themeColor="text1"/>
          <w:vertAlign w:val="superscript"/>
        </w:rPr>
        <w:footnoteReference w:id="24"/>
      </w:r>
      <w:r>
        <w:rPr>
          <w:rFonts w:ascii="Arial" w:hAnsi="Arial" w:cs="Arial"/>
          <w:color w:val="000000" w:themeColor="text1"/>
        </w:rPr>
        <w:t xml:space="preserve">  In each of those cases, the Commission issued orders providing for the recovery of the gas utilities’ fixed distribution costs through a straight-fixed variable (“SFV”) rate design, which recovers most of the fixed costs through a flat monthly </w:t>
      </w:r>
      <w:r>
        <w:rPr>
          <w:rFonts w:ascii="Arial" w:hAnsi="Arial" w:cs="Arial"/>
          <w:color w:val="000000" w:themeColor="text1"/>
        </w:rPr>
        <w:lastRenderedPageBreak/>
        <w:t>charge.</w:t>
      </w:r>
      <w:r>
        <w:rPr>
          <w:rFonts w:ascii="Arial" w:hAnsi="Arial" w:cs="Arial"/>
          <w:color w:val="000000" w:themeColor="text1"/>
          <w:vertAlign w:val="superscript"/>
        </w:rPr>
        <w:footnoteReference w:id="25"/>
      </w:r>
      <w:r>
        <w:rPr>
          <w:rFonts w:ascii="Arial" w:hAnsi="Arial" w:cs="Arial"/>
          <w:color w:val="000000" w:themeColor="text1"/>
        </w:rPr>
        <w:t xml:space="preserve">  OPAE was a party in each of those proceedings and urged the Commission to adopt a rate design that would have heavily relied on a volumetric rate design to collect costs unrelated to consumption.</w:t>
      </w:r>
      <w:r>
        <w:rPr>
          <w:rFonts w:ascii="Arial" w:hAnsi="Arial" w:cs="Arial"/>
          <w:color w:val="000000" w:themeColor="text1"/>
          <w:vertAlign w:val="superscript"/>
        </w:rPr>
        <w:footnoteReference w:id="26"/>
      </w:r>
      <w:r>
        <w:rPr>
          <w:rFonts w:ascii="Arial" w:hAnsi="Arial" w:cs="Arial"/>
          <w:color w:val="000000" w:themeColor="text1"/>
        </w:rPr>
        <w:t xml:space="preserve">  The Commission rejected OPAE’s arguments in each proceeding and, as noted above, adopted the SFV rate design.</w:t>
      </w:r>
      <w:r>
        <w:rPr>
          <w:rFonts w:ascii="Arial" w:hAnsi="Arial" w:cs="Arial"/>
          <w:color w:val="000000" w:themeColor="text1"/>
          <w:vertAlign w:val="superscript"/>
        </w:rPr>
        <w:footnoteReference w:id="27"/>
      </w:r>
      <w:r>
        <w:rPr>
          <w:rFonts w:ascii="Arial" w:hAnsi="Arial" w:cs="Arial"/>
          <w:color w:val="000000" w:themeColor="text1"/>
        </w:rPr>
        <w:t xml:space="preserve"> </w:t>
      </w:r>
    </w:p>
    <w:p w:rsidR="005C08CB" w:rsidRDefault="007757EA">
      <w:pPr>
        <w:spacing w:line="480" w:lineRule="auto"/>
        <w:jc w:val="both"/>
        <w:rPr>
          <w:rFonts w:ascii="Arial" w:hAnsi="Arial" w:cs="Arial"/>
          <w:color w:val="000000" w:themeColor="text1"/>
        </w:rPr>
      </w:pPr>
      <w:r>
        <w:rPr>
          <w:rFonts w:ascii="Arial" w:hAnsi="Arial" w:cs="Arial"/>
          <w:color w:val="000000" w:themeColor="text1"/>
        </w:rPr>
        <w:tab/>
        <w:t>More recently</w:t>
      </w:r>
      <w:r w:rsidR="0004222D">
        <w:rPr>
          <w:rFonts w:ascii="Arial" w:hAnsi="Arial" w:cs="Arial"/>
          <w:color w:val="000000" w:themeColor="text1"/>
        </w:rPr>
        <w:t>,</w:t>
      </w:r>
      <w:r>
        <w:rPr>
          <w:rFonts w:ascii="Arial" w:hAnsi="Arial" w:cs="Arial"/>
          <w:color w:val="000000" w:themeColor="text1"/>
        </w:rPr>
        <w:t xml:space="preserve"> the Commission confirmed </w:t>
      </w:r>
      <w:r w:rsidR="0004222D">
        <w:rPr>
          <w:rFonts w:ascii="Arial" w:hAnsi="Arial" w:cs="Arial"/>
          <w:color w:val="000000" w:themeColor="text1"/>
        </w:rPr>
        <w:t>i</w:t>
      </w:r>
      <w:r>
        <w:rPr>
          <w:rFonts w:ascii="Arial" w:hAnsi="Arial" w:cs="Arial"/>
          <w:color w:val="000000" w:themeColor="text1"/>
        </w:rPr>
        <w:t>n Case No</w:t>
      </w:r>
      <w:r w:rsidR="0004222D">
        <w:rPr>
          <w:rFonts w:ascii="Arial" w:hAnsi="Arial" w:cs="Arial"/>
          <w:color w:val="000000" w:themeColor="text1"/>
        </w:rPr>
        <w:t>s</w:t>
      </w:r>
      <w:r>
        <w:rPr>
          <w:rFonts w:ascii="Arial" w:hAnsi="Arial" w:cs="Arial"/>
          <w:color w:val="000000" w:themeColor="text1"/>
        </w:rPr>
        <w:t>. 10-3126-EL-UNC and 12-3255-EL-RDR that it was inappropriate to collect fixed costs through volumetric charges because the costs were unrelated to consumption.</w:t>
      </w:r>
      <w:r>
        <w:rPr>
          <w:rFonts w:ascii="Arial" w:hAnsi="Arial" w:cs="Arial"/>
          <w:color w:val="000000" w:themeColor="text1"/>
          <w:vertAlign w:val="superscript"/>
        </w:rPr>
        <w:footnoteReference w:id="28"/>
      </w:r>
    </w:p>
    <w:p w:rsidR="005C08CB" w:rsidRDefault="007757EA">
      <w:pPr>
        <w:spacing w:line="480" w:lineRule="auto"/>
        <w:jc w:val="both"/>
        <w:rPr>
          <w:rFonts w:ascii="Arial" w:hAnsi="Arial" w:cs="Arial"/>
          <w:color w:val="000000" w:themeColor="text1"/>
        </w:rPr>
      </w:pPr>
      <w:r>
        <w:rPr>
          <w:rFonts w:ascii="Arial" w:hAnsi="Arial" w:cs="Arial"/>
          <w:color w:val="000000" w:themeColor="text1"/>
        </w:rPr>
        <w:tab/>
        <w:t>Based on the Commission’s prior rulings, a rate design methodology for the USF riders based on a uniform kWh charge would not be a proper rate design methodology.  Again, OPAE’s Mr. Rinebolt admitted that there is no causal relationship between customers’ kWh usage and the amount of funding that ODSA needs to pay for the USF programs.</w:t>
      </w:r>
      <w:r>
        <w:rPr>
          <w:rFonts w:ascii="Arial" w:hAnsi="Arial" w:cs="Arial"/>
          <w:color w:val="000000" w:themeColor="text1"/>
          <w:vertAlign w:val="superscript"/>
        </w:rPr>
        <w:footnoteReference w:id="29"/>
      </w:r>
      <w:r>
        <w:rPr>
          <w:rFonts w:ascii="Arial" w:hAnsi="Arial" w:cs="Arial"/>
          <w:color w:val="000000" w:themeColor="text1"/>
        </w:rPr>
        <w:t xml:space="preserve">  Accordingly, the rate design suggested by OPAE through Mr. Rinebolt cannot be reasonable based on the Commission’s existing regulatory principles and practices.  </w:t>
      </w:r>
    </w:p>
    <w:p w:rsidR="005C08CB" w:rsidRDefault="007757EA">
      <w:pPr>
        <w:spacing w:line="480" w:lineRule="auto"/>
        <w:jc w:val="both"/>
        <w:rPr>
          <w:rFonts w:ascii="Arial" w:hAnsi="Arial" w:cs="Arial"/>
          <w:color w:val="000000" w:themeColor="text1"/>
        </w:rPr>
      </w:pPr>
      <w:r>
        <w:rPr>
          <w:rFonts w:ascii="Arial" w:hAnsi="Arial" w:cs="Arial"/>
          <w:color w:val="000000" w:themeColor="text1"/>
        </w:rPr>
        <w:tab/>
        <w:t xml:space="preserve">The testimony of OPAE’s Mr. Rinebolt also attempts to explain away OPAE’s prior support of the declining block rate design by claiming that prior stipulations set up </w:t>
      </w:r>
      <w:r>
        <w:rPr>
          <w:rFonts w:ascii="Arial" w:hAnsi="Arial" w:cs="Arial"/>
          <w:color w:val="000000" w:themeColor="text1"/>
        </w:rPr>
        <w:lastRenderedPageBreak/>
        <w:t xml:space="preserve">a </w:t>
      </w:r>
      <w:r>
        <w:rPr>
          <w:rFonts w:ascii="Arial" w:hAnsi="Arial" w:cs="Arial"/>
          <w:i/>
          <w:color w:val="000000" w:themeColor="text1"/>
        </w:rPr>
        <w:t>de minimus</w:t>
      </w:r>
      <w:r>
        <w:rPr>
          <w:rFonts w:ascii="Arial" w:hAnsi="Arial" w:cs="Arial"/>
          <w:color w:val="000000" w:themeColor="text1"/>
        </w:rPr>
        <w:t xml:space="preserve"> standard and then stating that, as a non-expert, he “no longer views the impact of the declining block as ‘</w:t>
      </w:r>
      <w:r>
        <w:rPr>
          <w:rFonts w:ascii="Arial" w:hAnsi="Arial" w:cs="Arial"/>
          <w:i/>
          <w:color w:val="000000" w:themeColor="text1"/>
        </w:rPr>
        <w:t>de minimus</w:t>
      </w:r>
      <w:r>
        <w:rPr>
          <w:rFonts w:ascii="Arial" w:hAnsi="Arial" w:cs="Arial"/>
          <w:color w:val="000000" w:themeColor="text1"/>
        </w:rPr>
        <w:t>.’”</w:t>
      </w:r>
      <w:r>
        <w:rPr>
          <w:rFonts w:ascii="Arial" w:hAnsi="Arial" w:cs="Arial"/>
          <w:color w:val="000000" w:themeColor="text1"/>
          <w:vertAlign w:val="superscript"/>
        </w:rPr>
        <w:footnoteReference w:id="30"/>
      </w:r>
      <w:r>
        <w:rPr>
          <w:rFonts w:ascii="Arial" w:hAnsi="Arial" w:cs="Arial"/>
          <w:color w:val="000000" w:themeColor="text1"/>
        </w:rPr>
        <w:t xml:space="preserve">  But, as already mentioned</w:t>
      </w:r>
      <w:r w:rsidR="0004222D">
        <w:rPr>
          <w:rFonts w:ascii="Arial" w:hAnsi="Arial" w:cs="Arial"/>
          <w:color w:val="000000" w:themeColor="text1"/>
        </w:rPr>
        <w:t>,</w:t>
      </w:r>
      <w:r>
        <w:rPr>
          <w:rFonts w:ascii="Arial" w:hAnsi="Arial" w:cs="Arial"/>
          <w:color w:val="000000" w:themeColor="text1"/>
        </w:rPr>
        <w:t xml:space="preserve"> the hypothetical illustrations in his testimony are a collateral attack on the current USF riders and declining block rate design which the Commission has already approved.</w:t>
      </w:r>
      <w:r>
        <w:rPr>
          <w:rFonts w:ascii="Arial" w:hAnsi="Arial" w:cs="Arial"/>
          <w:color w:val="000000" w:themeColor="text1"/>
          <w:vertAlign w:val="superscript"/>
        </w:rPr>
        <w:t xml:space="preserve"> </w:t>
      </w:r>
      <w:r>
        <w:rPr>
          <w:rFonts w:ascii="Arial" w:hAnsi="Arial" w:cs="Arial"/>
          <w:color w:val="000000" w:themeColor="text1"/>
          <w:vertAlign w:val="superscript"/>
        </w:rPr>
        <w:footnoteReference w:id="31"/>
      </w:r>
      <w:r>
        <w:rPr>
          <w:rFonts w:ascii="Arial" w:hAnsi="Arial" w:cs="Arial"/>
          <w:color w:val="000000" w:themeColor="text1"/>
        </w:rPr>
        <w:t xml:space="preserve">  </w:t>
      </w:r>
    </w:p>
    <w:p w:rsidR="005C08CB" w:rsidRDefault="007757EA">
      <w:pPr>
        <w:spacing w:line="480" w:lineRule="auto"/>
        <w:jc w:val="both"/>
        <w:rPr>
          <w:rFonts w:ascii="Arial" w:hAnsi="Arial" w:cs="Arial"/>
          <w:color w:val="000000" w:themeColor="text1"/>
        </w:rPr>
      </w:pPr>
      <w:r>
        <w:rPr>
          <w:rFonts w:ascii="Arial" w:hAnsi="Arial" w:cs="Arial"/>
          <w:color w:val="000000" w:themeColor="text1"/>
        </w:rPr>
        <w:tab/>
        <w:t xml:space="preserve">And contrary to the representations in his testimony indicating that OPAE’s favorable declining block rate design recommendation in past stipulations was based on some </w:t>
      </w:r>
      <w:r>
        <w:rPr>
          <w:rFonts w:ascii="Arial" w:hAnsi="Arial" w:cs="Arial"/>
          <w:i/>
          <w:color w:val="000000" w:themeColor="text1"/>
        </w:rPr>
        <w:t xml:space="preserve">de minimus </w:t>
      </w:r>
      <w:r>
        <w:rPr>
          <w:rFonts w:ascii="Arial" w:hAnsi="Arial" w:cs="Arial"/>
          <w:color w:val="000000" w:themeColor="text1"/>
        </w:rPr>
        <w:t xml:space="preserve">standard, the cross-examination of Mr. Rinebolt demonstrated that there was no repeatedly-applied </w:t>
      </w:r>
      <w:r>
        <w:rPr>
          <w:rFonts w:ascii="Arial" w:hAnsi="Arial" w:cs="Arial"/>
          <w:i/>
          <w:color w:val="000000" w:themeColor="text1"/>
        </w:rPr>
        <w:t xml:space="preserve">de minimus </w:t>
      </w:r>
      <w:r>
        <w:rPr>
          <w:rFonts w:ascii="Arial" w:hAnsi="Arial" w:cs="Arial"/>
          <w:color w:val="000000" w:themeColor="text1"/>
        </w:rPr>
        <w:t>standard in the prior USF proceedings.</w:t>
      </w:r>
      <w:r>
        <w:rPr>
          <w:rFonts w:ascii="Arial" w:hAnsi="Arial" w:cs="Arial"/>
          <w:color w:val="000000" w:themeColor="text1"/>
          <w:vertAlign w:val="superscript"/>
        </w:rPr>
        <w:footnoteReference w:id="32"/>
      </w:r>
      <w:r>
        <w:rPr>
          <w:rFonts w:ascii="Arial" w:hAnsi="Arial" w:cs="Arial"/>
          <w:color w:val="000000" w:themeColor="text1"/>
        </w:rPr>
        <w:t xml:space="preserve">  More specifically, Mr. Rinebolt’s testimony describes this </w:t>
      </w:r>
      <w:r>
        <w:rPr>
          <w:rFonts w:ascii="Arial" w:hAnsi="Arial" w:cs="Arial"/>
          <w:i/>
          <w:color w:val="000000" w:themeColor="text1"/>
        </w:rPr>
        <w:t>de minimus</w:t>
      </w:r>
      <w:r>
        <w:rPr>
          <w:rFonts w:ascii="Arial" w:hAnsi="Arial" w:cs="Arial"/>
          <w:color w:val="000000" w:themeColor="text1"/>
        </w:rPr>
        <w:t xml:space="preserve"> standard as something that has been included in every stipulation submitted in prior USF proceedings.</w:t>
      </w:r>
      <w:r>
        <w:rPr>
          <w:rFonts w:ascii="Arial" w:hAnsi="Arial" w:cs="Arial"/>
          <w:color w:val="000000" w:themeColor="text1"/>
          <w:vertAlign w:val="superscript"/>
        </w:rPr>
        <w:footnoteReference w:id="33"/>
      </w:r>
      <w:r>
        <w:rPr>
          <w:rFonts w:ascii="Arial" w:hAnsi="Arial" w:cs="Arial"/>
          <w:color w:val="000000" w:themeColor="text1"/>
        </w:rPr>
        <w:t xml:space="preserve">  Yet, there is no </w:t>
      </w:r>
      <w:r>
        <w:rPr>
          <w:rFonts w:ascii="Arial" w:hAnsi="Arial" w:cs="Arial"/>
          <w:i/>
          <w:color w:val="000000" w:themeColor="text1"/>
        </w:rPr>
        <w:t>de minimus</w:t>
      </w:r>
      <w:r>
        <w:rPr>
          <w:rFonts w:ascii="Arial" w:hAnsi="Arial" w:cs="Arial"/>
          <w:color w:val="000000" w:themeColor="text1"/>
        </w:rPr>
        <w:t xml:space="preserve"> language in the Stipulation filed in this proceeding or any other stipulation except for the first stipulation submitted to the Commission in 2001.</w:t>
      </w:r>
      <w:r>
        <w:rPr>
          <w:rFonts w:ascii="Arial" w:hAnsi="Arial" w:cs="Arial"/>
          <w:color w:val="000000" w:themeColor="text1"/>
          <w:vertAlign w:val="superscript"/>
        </w:rPr>
        <w:footnoteReference w:id="34"/>
      </w:r>
    </w:p>
    <w:p w:rsidR="005C08CB" w:rsidRDefault="007757EA">
      <w:pPr>
        <w:spacing w:line="480" w:lineRule="auto"/>
        <w:jc w:val="both"/>
        <w:rPr>
          <w:rFonts w:ascii="Arial" w:hAnsi="Arial" w:cs="Arial"/>
          <w:color w:val="000000" w:themeColor="text1"/>
        </w:rPr>
      </w:pPr>
      <w:r>
        <w:rPr>
          <w:rFonts w:ascii="Arial" w:hAnsi="Arial" w:cs="Arial"/>
          <w:color w:val="000000" w:themeColor="text1"/>
        </w:rPr>
        <w:tab/>
        <w:t xml:space="preserve">Even if the Commission ignores the fact that OPAE previously joined in the representation that the declining block rate design does not violate R.C. 4928.52(C), Mr. Rinebolt’s testimony also fails to show how continued use of the declining block rate design violates R.C. 4928.52(C).  That section directs the Commission to establish the USF rider in a manner “so as not to shift among the customer classes” the USF funding responsibility.  Mr. Rinebolt’s testimony does not identify any funding responsibility or shift among the “customer classes” as that term is regularly understood (residential, </w:t>
      </w:r>
      <w:r>
        <w:rPr>
          <w:rFonts w:ascii="Arial" w:hAnsi="Arial" w:cs="Arial"/>
          <w:color w:val="000000" w:themeColor="text1"/>
        </w:rPr>
        <w:lastRenderedPageBreak/>
        <w:t>commercial, and industrial customer classes).</w:t>
      </w:r>
      <w:r>
        <w:rPr>
          <w:rFonts w:ascii="Arial" w:hAnsi="Arial" w:cs="Arial"/>
          <w:color w:val="000000" w:themeColor="text1"/>
          <w:vertAlign w:val="superscript"/>
        </w:rPr>
        <w:footnoteReference w:id="35"/>
      </w:r>
      <w:r>
        <w:rPr>
          <w:rFonts w:ascii="Arial" w:hAnsi="Arial" w:cs="Arial"/>
          <w:color w:val="000000" w:themeColor="text1"/>
        </w:rPr>
        <w:t xml:space="preserve">  Nor does Mr. Rinebolt’s testimony identify any shift in funding responsibility by utility rate schedule.</w:t>
      </w:r>
      <w:r>
        <w:rPr>
          <w:rFonts w:ascii="Arial" w:hAnsi="Arial" w:cs="Arial"/>
          <w:color w:val="000000" w:themeColor="text1"/>
          <w:vertAlign w:val="superscript"/>
        </w:rPr>
        <w:footnoteReference w:id="36"/>
      </w:r>
    </w:p>
    <w:p w:rsidR="005C08CB" w:rsidRDefault="007757EA">
      <w:pPr>
        <w:spacing w:line="480" w:lineRule="auto"/>
        <w:jc w:val="both"/>
        <w:rPr>
          <w:rFonts w:ascii="Arial" w:hAnsi="Arial" w:cs="Arial"/>
          <w:color w:val="000000" w:themeColor="text1"/>
        </w:rPr>
      </w:pPr>
      <w:r>
        <w:rPr>
          <w:rFonts w:ascii="Arial" w:hAnsi="Arial" w:cs="Arial"/>
          <w:color w:val="000000" w:themeColor="text1"/>
        </w:rPr>
        <w:tab/>
        <w:t>In sum, Mr. Rinebolt’s non-expert testimony fail</w:t>
      </w:r>
      <w:r w:rsidR="00CD1CAD">
        <w:rPr>
          <w:rFonts w:ascii="Arial" w:hAnsi="Arial" w:cs="Arial"/>
          <w:color w:val="000000" w:themeColor="text1"/>
        </w:rPr>
        <w:t>s to address the Commission’s 3</w:t>
      </w:r>
      <w:r w:rsidR="00CD1CAD">
        <w:rPr>
          <w:rFonts w:ascii="Arial" w:hAnsi="Arial" w:cs="Arial"/>
          <w:color w:val="000000" w:themeColor="text1"/>
        </w:rPr>
        <w:noBreakHyphen/>
      </w:r>
      <w:r>
        <w:rPr>
          <w:rFonts w:ascii="Arial" w:hAnsi="Arial" w:cs="Arial"/>
          <w:color w:val="000000" w:themeColor="text1"/>
        </w:rPr>
        <w:t>part test used to evaluate stipulations, fails to demonstrate that the Stipulation is unreasonable and fails to show how a uniform per kWh rate design is lawful and reasonable.  Accordingly, the Commission should approve the Stipulation without modification.</w:t>
      </w:r>
    </w:p>
    <w:p w:rsidR="005C08CB" w:rsidRDefault="007757EA">
      <w:pPr>
        <w:pStyle w:val="Heading1"/>
      </w:pPr>
      <w:bookmarkStart w:id="7" w:name="_Toc428943542"/>
      <w:r>
        <w:t>conclusion</w:t>
      </w:r>
      <w:bookmarkEnd w:id="7"/>
    </w:p>
    <w:p w:rsidR="005C08CB" w:rsidRDefault="007757EA">
      <w:pPr>
        <w:spacing w:line="480" w:lineRule="auto"/>
        <w:jc w:val="both"/>
        <w:rPr>
          <w:rFonts w:ascii="Arial" w:hAnsi="Arial" w:cs="Arial"/>
          <w:color w:val="000000" w:themeColor="text1"/>
        </w:rPr>
      </w:pPr>
      <w:r>
        <w:rPr>
          <w:rFonts w:ascii="Arial" w:hAnsi="Arial" w:cs="Arial"/>
          <w:color w:val="000000" w:themeColor="text1"/>
        </w:rPr>
        <w:tab/>
        <w:t>Based on the record evidence and the Commission’s 3-p</w:t>
      </w:r>
      <w:r w:rsidR="0004222D">
        <w:rPr>
          <w:rFonts w:ascii="Arial" w:hAnsi="Arial" w:cs="Arial"/>
          <w:color w:val="000000" w:themeColor="text1"/>
        </w:rPr>
        <w:t>art</w:t>
      </w:r>
      <w:r>
        <w:rPr>
          <w:rFonts w:ascii="Arial" w:hAnsi="Arial" w:cs="Arial"/>
          <w:color w:val="000000" w:themeColor="text1"/>
        </w:rPr>
        <w:t xml:space="preserve"> test used to evaluate stipulations, IEU-Ohio urges the Commission to adopt the Stipulation and reject OPAE’s meritless claims regarding the declining block rate design.  </w:t>
      </w:r>
    </w:p>
    <w:p w:rsidR="005C08CB" w:rsidRDefault="007757EA">
      <w:pPr>
        <w:tabs>
          <w:tab w:val="left" w:pos="4320"/>
          <w:tab w:val="right" w:pos="8640"/>
        </w:tabs>
        <w:ind w:left="4320"/>
        <w:jc w:val="both"/>
        <w:rPr>
          <w:rFonts w:ascii="Arial" w:hAnsi="Arial" w:cs="Arial"/>
        </w:rPr>
      </w:pPr>
      <w:r>
        <w:rPr>
          <w:rFonts w:ascii="Arial" w:hAnsi="Arial" w:cs="Arial"/>
        </w:rPr>
        <w:t>Respectfully submitted,</w:t>
      </w:r>
    </w:p>
    <w:p w:rsidR="005C08CB" w:rsidRDefault="005C08CB">
      <w:pPr>
        <w:tabs>
          <w:tab w:val="left" w:pos="4320"/>
          <w:tab w:val="right" w:pos="8640"/>
        </w:tabs>
        <w:ind w:left="4320"/>
        <w:jc w:val="both"/>
        <w:rPr>
          <w:rFonts w:ascii="Arial" w:hAnsi="Arial" w:cs="Arial"/>
        </w:rPr>
      </w:pPr>
    </w:p>
    <w:p w:rsidR="005C08CB" w:rsidRDefault="007757EA">
      <w:pPr>
        <w:tabs>
          <w:tab w:val="left" w:pos="4320"/>
          <w:tab w:val="right" w:pos="8640"/>
        </w:tabs>
        <w:ind w:left="4320"/>
        <w:jc w:val="both"/>
        <w:rPr>
          <w:rFonts w:ascii="Arial" w:hAnsi="Arial" w:cs="Arial"/>
          <w:i/>
        </w:rPr>
      </w:pPr>
      <w:r>
        <w:rPr>
          <w:rFonts w:ascii="Arial" w:hAnsi="Arial" w:cs="Arial"/>
          <w:i/>
          <w:u w:val="single"/>
        </w:rPr>
        <w:t>/s/ Matthew R. Pritchard</w:t>
      </w:r>
      <w:r>
        <w:rPr>
          <w:rFonts w:ascii="Arial" w:hAnsi="Arial" w:cs="Arial"/>
          <w:i/>
          <w:u w:val="single"/>
        </w:rPr>
        <w:tab/>
      </w:r>
    </w:p>
    <w:p w:rsidR="005C08CB" w:rsidRDefault="007757EA">
      <w:pPr>
        <w:pStyle w:val="BodyText3"/>
        <w:widowControl w:val="0"/>
        <w:ind w:left="4320"/>
        <w:jc w:val="both"/>
        <w:rPr>
          <w:rFonts w:ascii="Arial" w:hAnsi="Arial" w:cs="Arial"/>
          <w:b w:val="0"/>
          <w:bCs/>
        </w:rPr>
      </w:pPr>
      <w:r>
        <w:rPr>
          <w:rFonts w:ascii="Arial" w:hAnsi="Arial" w:cs="Arial"/>
          <w:b w:val="0"/>
          <w:bCs/>
        </w:rPr>
        <w:t>Frank P. Darr (Reg. No. 0025469)</w:t>
      </w:r>
    </w:p>
    <w:p w:rsidR="005C08CB" w:rsidRDefault="007757EA">
      <w:pPr>
        <w:tabs>
          <w:tab w:val="right" w:pos="8640"/>
        </w:tabs>
        <w:ind w:left="4320"/>
        <w:jc w:val="both"/>
        <w:rPr>
          <w:rFonts w:ascii="Arial" w:hAnsi="Arial" w:cs="Arial"/>
        </w:rPr>
      </w:pPr>
      <w:r>
        <w:rPr>
          <w:rFonts w:ascii="Arial" w:hAnsi="Arial" w:cs="Arial"/>
        </w:rPr>
        <w:t>(Counsel of Record)</w:t>
      </w:r>
    </w:p>
    <w:p w:rsidR="005C08CB" w:rsidRDefault="007757EA">
      <w:pPr>
        <w:pStyle w:val="BodyText3"/>
        <w:widowControl w:val="0"/>
        <w:ind w:left="4320"/>
        <w:jc w:val="both"/>
        <w:rPr>
          <w:rFonts w:ascii="Arial" w:hAnsi="Arial" w:cs="Arial"/>
          <w:b w:val="0"/>
          <w:bCs/>
        </w:rPr>
      </w:pPr>
      <w:r>
        <w:rPr>
          <w:rFonts w:ascii="Arial" w:hAnsi="Arial" w:cs="Arial"/>
          <w:b w:val="0"/>
          <w:bCs/>
        </w:rPr>
        <w:t>Matthew R. Pritchard (Reg. No. 0088070)</w:t>
      </w:r>
    </w:p>
    <w:p w:rsidR="005C08CB" w:rsidRDefault="007757EA">
      <w:pPr>
        <w:pStyle w:val="BodyText3"/>
        <w:widowControl w:val="0"/>
        <w:ind w:left="4320"/>
        <w:jc w:val="both"/>
        <w:rPr>
          <w:rFonts w:ascii="Arial" w:hAnsi="Arial" w:cs="Arial"/>
          <w:b w:val="0"/>
          <w:bCs/>
          <w:smallCaps/>
          <w:szCs w:val="24"/>
        </w:rPr>
      </w:pPr>
      <w:r>
        <w:rPr>
          <w:rFonts w:ascii="Arial" w:hAnsi="Arial" w:cs="Arial"/>
          <w:b w:val="0"/>
          <w:bCs/>
          <w:smallCaps/>
          <w:szCs w:val="24"/>
        </w:rPr>
        <w:t>McNees Wallace &amp; Nurick LLC</w:t>
      </w:r>
    </w:p>
    <w:p w:rsidR="005C08CB" w:rsidRDefault="007757EA">
      <w:pPr>
        <w:pStyle w:val="BodyText3"/>
        <w:widowControl w:val="0"/>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5C08CB" w:rsidRDefault="007757EA">
      <w:pPr>
        <w:pStyle w:val="BodyText"/>
        <w:ind w:left="4320"/>
      </w:pPr>
      <w:r>
        <w:t>Columbus, OH  43215</w:t>
      </w:r>
    </w:p>
    <w:p w:rsidR="005C08CB" w:rsidRDefault="007757EA">
      <w:pPr>
        <w:pStyle w:val="BodyText"/>
        <w:ind w:left="4320"/>
      </w:pPr>
      <w:r>
        <w:t>Telephone:  (614) 469-8000</w:t>
      </w:r>
    </w:p>
    <w:p w:rsidR="005C08CB" w:rsidRDefault="007757EA">
      <w:pPr>
        <w:pStyle w:val="BodyText"/>
        <w:ind w:left="4320"/>
      </w:pPr>
      <w:r>
        <w:t>Telecopier:  (614) 469-4653</w:t>
      </w:r>
    </w:p>
    <w:p w:rsidR="005C08CB" w:rsidRDefault="007757EA">
      <w:pPr>
        <w:pStyle w:val="BodyText"/>
        <w:ind w:left="4320"/>
      </w:pPr>
      <w:r>
        <w:t>fdarr@mwncmh.com</w:t>
      </w:r>
    </w:p>
    <w:p w:rsidR="005C08CB" w:rsidRDefault="007757EA">
      <w:pPr>
        <w:pStyle w:val="BodyText"/>
        <w:ind w:left="4320"/>
      </w:pPr>
      <w:r>
        <w:t>mpritchard@mwncmh.com</w:t>
      </w:r>
    </w:p>
    <w:p w:rsidR="005C08CB" w:rsidRDefault="005C08CB">
      <w:pPr>
        <w:tabs>
          <w:tab w:val="left" w:pos="4320"/>
          <w:tab w:val="right" w:pos="8640"/>
        </w:tabs>
        <w:jc w:val="both"/>
        <w:rPr>
          <w:rFonts w:ascii="Arial" w:hAnsi="Arial" w:cs="Arial"/>
        </w:rPr>
      </w:pPr>
    </w:p>
    <w:p w:rsidR="005C08CB" w:rsidRDefault="007757EA">
      <w:pPr>
        <w:pStyle w:val="Title"/>
        <w:tabs>
          <w:tab w:val="left" w:pos="4320"/>
        </w:tabs>
        <w:jc w:val="left"/>
        <w:rPr>
          <w:smallCaps w:val="0"/>
          <w:sz w:val="24"/>
        </w:rPr>
      </w:pPr>
      <w:r>
        <w:rPr>
          <w:smallCaps w:val="0"/>
          <w:sz w:val="24"/>
        </w:rPr>
        <w:tab/>
        <w:t>Attorneys for Industrial Energy Users-Ohio</w:t>
      </w:r>
    </w:p>
    <w:p w:rsidR="005C08CB" w:rsidRDefault="005C08CB">
      <w:pPr>
        <w:rPr>
          <w:rFonts w:ascii="Arial" w:hAnsi="Arial" w:cs="Arial"/>
        </w:rPr>
        <w:sectPr w:rsidR="005C08CB" w:rsidSect="00AD306F">
          <w:pgSz w:w="12240" w:h="15840" w:code="1"/>
          <w:pgMar w:top="1440" w:right="1440" w:bottom="1440" w:left="1440" w:header="720" w:footer="720" w:gutter="0"/>
          <w:pgNumType w:start="1"/>
          <w:cols w:space="720"/>
          <w:titlePg/>
          <w:docGrid w:linePitch="360"/>
        </w:sectPr>
      </w:pPr>
    </w:p>
    <w:p w:rsidR="007C44B8" w:rsidRDefault="007C44B8" w:rsidP="007C44B8">
      <w:pPr>
        <w:tabs>
          <w:tab w:val="left" w:pos="2160"/>
          <w:tab w:val="left" w:pos="2280"/>
        </w:tabs>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rsidR="007C44B8" w:rsidRDefault="007C44B8" w:rsidP="007C44B8">
      <w:pPr>
        <w:rPr>
          <w:rFonts w:ascii="Arial" w:hAnsi="Arial" w:cs="Arial"/>
        </w:rPr>
      </w:pPr>
    </w:p>
    <w:p w:rsidR="007C44B8" w:rsidRPr="00E66B49" w:rsidRDefault="007C44B8" w:rsidP="007C44B8">
      <w:pPr>
        <w:pStyle w:val="BodyText"/>
        <w:spacing w:line="480" w:lineRule="auto"/>
        <w:ind w:firstLine="720"/>
      </w:pPr>
      <w:r w:rsidRPr="00E66B49">
        <w:t xml:space="preserve">In accordance with Rule 4901-1-05, Ohio Administrative Code, the PUCO's e-filing system will electronically serve notice of the filing of this document upon the following parties.  In addition, I hereby certify that a service copy of the foregoing </w:t>
      </w:r>
      <w:r>
        <w:rPr>
          <w:i/>
        </w:rPr>
        <w:t xml:space="preserve">Initial Brief of Industrial Energy Users-Ohio </w:t>
      </w:r>
      <w:r w:rsidRPr="00E66B49">
        <w:t xml:space="preserve">was sent by, or on behalf of, the undersigned counsel for IEU-Ohio to the following parties of record this </w:t>
      </w:r>
      <w:r>
        <w:t>2</w:t>
      </w:r>
      <w:r w:rsidRPr="00317F8F">
        <w:rPr>
          <w:vertAlign w:val="superscript"/>
        </w:rPr>
        <w:t>nd</w:t>
      </w:r>
      <w:r>
        <w:t xml:space="preserve"> </w:t>
      </w:r>
      <w:r w:rsidRPr="00E66B49">
        <w:t xml:space="preserve">day of </w:t>
      </w:r>
      <w:r>
        <w:t xml:space="preserve">September 2015, </w:t>
      </w:r>
      <w:r w:rsidRPr="00E66B49">
        <w:rPr>
          <w:i/>
        </w:rPr>
        <w:t>via</w:t>
      </w:r>
      <w:r w:rsidRPr="00E66B49">
        <w:t xml:space="preserve"> electronic transmission. </w:t>
      </w:r>
    </w:p>
    <w:p w:rsidR="007C44B8" w:rsidRPr="00320E03" w:rsidRDefault="007C44B8" w:rsidP="007C44B8">
      <w:pPr>
        <w:tabs>
          <w:tab w:val="center" w:pos="7200"/>
          <w:tab w:val="right" w:pos="9360"/>
        </w:tabs>
        <w:ind w:left="5040"/>
        <w:rPr>
          <w:rFonts w:ascii="Arial" w:hAnsi="Arial" w:cs="Arial"/>
          <w:i/>
          <w:u w:val="single"/>
        </w:rPr>
      </w:pPr>
      <w:r w:rsidRPr="00320E03">
        <w:rPr>
          <w:rFonts w:ascii="Arial" w:hAnsi="Arial" w:cs="Arial"/>
          <w:i/>
          <w:u w:val="single"/>
        </w:rPr>
        <w:t>/s/ Matthew R. Pritchard</w:t>
      </w:r>
      <w:r w:rsidRPr="00320E03">
        <w:rPr>
          <w:rFonts w:ascii="Arial" w:hAnsi="Arial" w:cs="Arial"/>
          <w:i/>
          <w:u w:val="single"/>
        </w:rPr>
        <w:tab/>
      </w:r>
    </w:p>
    <w:p w:rsidR="007C44B8" w:rsidRPr="00294B9F" w:rsidRDefault="007C44B8" w:rsidP="007C44B8">
      <w:pPr>
        <w:tabs>
          <w:tab w:val="center" w:pos="7200"/>
          <w:tab w:val="right" w:pos="9360"/>
        </w:tabs>
        <w:ind w:left="5760"/>
        <w:rPr>
          <w:rFonts w:ascii="Arial" w:hAnsi="Arial" w:cs="Arial"/>
          <w:u w:val="single"/>
        </w:rPr>
      </w:pPr>
      <w:r>
        <w:rPr>
          <w:rFonts w:ascii="Arial" w:hAnsi="Arial" w:cs="Arial"/>
        </w:rPr>
        <w:t>Matthew R. Pritchard</w:t>
      </w:r>
    </w:p>
    <w:p w:rsidR="007C44B8" w:rsidRDefault="007C44B8" w:rsidP="007C44B8">
      <w:pPr>
        <w:tabs>
          <w:tab w:val="left" w:pos="2160"/>
          <w:tab w:val="left" w:pos="2280"/>
        </w:tabs>
        <w:rPr>
          <w:rFonts w:ascii="Arial" w:hAnsi="Arial" w:cs="Arial"/>
        </w:rPr>
      </w:pPr>
    </w:p>
    <w:p w:rsidR="007C44B8" w:rsidRDefault="007C44B8" w:rsidP="007C44B8">
      <w:pPr>
        <w:autoSpaceDE w:val="0"/>
        <w:autoSpaceDN w:val="0"/>
        <w:adjustRightInd w:val="0"/>
        <w:rPr>
          <w:rFonts w:ascii="Arial" w:eastAsiaTheme="minorHAnsi" w:hAnsi="Arial" w:cs="Arial"/>
        </w:rPr>
        <w:sectPr w:rsidR="007C44B8">
          <w:pgSz w:w="12240" w:h="15840" w:code="1"/>
          <w:pgMar w:top="1440" w:right="1440" w:bottom="1141" w:left="1440" w:header="720" w:footer="720" w:gutter="0"/>
          <w:pgNumType w:start="1"/>
          <w:cols w:space="720"/>
          <w:titlePg/>
          <w:docGrid w:linePitch="326"/>
        </w:sectPr>
      </w:pPr>
    </w:p>
    <w:p w:rsidR="007C44B8" w:rsidRPr="00EC268C" w:rsidRDefault="007C44B8" w:rsidP="007C44B8">
      <w:pPr>
        <w:autoSpaceDE w:val="0"/>
        <w:autoSpaceDN w:val="0"/>
        <w:adjustRightInd w:val="0"/>
        <w:rPr>
          <w:rFonts w:ascii="Arial" w:eastAsiaTheme="minorHAnsi" w:hAnsi="Arial" w:cs="Arial"/>
          <w:sz w:val="20"/>
          <w:szCs w:val="20"/>
        </w:rPr>
      </w:pPr>
      <w:r w:rsidRPr="00EC268C">
        <w:rPr>
          <w:rFonts w:ascii="Arial" w:eastAsiaTheme="minorHAnsi" w:hAnsi="Arial" w:cs="Arial"/>
          <w:sz w:val="20"/>
          <w:szCs w:val="20"/>
        </w:rPr>
        <w:lastRenderedPageBreak/>
        <w:t>Dane Stinson</w:t>
      </w:r>
    </w:p>
    <w:p w:rsidR="007C44B8" w:rsidRPr="00EC268C" w:rsidRDefault="007C44B8" w:rsidP="007C44B8">
      <w:pPr>
        <w:autoSpaceDE w:val="0"/>
        <w:autoSpaceDN w:val="0"/>
        <w:adjustRightInd w:val="0"/>
        <w:rPr>
          <w:rFonts w:ascii="Arial" w:eastAsiaTheme="minorHAnsi" w:hAnsi="Arial" w:cs="Arial"/>
          <w:sz w:val="20"/>
          <w:szCs w:val="20"/>
        </w:rPr>
      </w:pPr>
      <w:r w:rsidRPr="00EC268C">
        <w:rPr>
          <w:rFonts w:ascii="Arial" w:eastAsiaTheme="minorHAnsi" w:hAnsi="Arial" w:cs="Arial"/>
          <w:sz w:val="20"/>
          <w:szCs w:val="20"/>
        </w:rPr>
        <w:t>BRICKER &amp; ECKLER LLP</w:t>
      </w:r>
    </w:p>
    <w:p w:rsidR="007C44B8" w:rsidRPr="00EC268C" w:rsidRDefault="007C44B8" w:rsidP="007C44B8">
      <w:pPr>
        <w:autoSpaceDE w:val="0"/>
        <w:autoSpaceDN w:val="0"/>
        <w:adjustRightInd w:val="0"/>
        <w:rPr>
          <w:rFonts w:ascii="Arial" w:eastAsiaTheme="minorHAnsi" w:hAnsi="Arial" w:cs="Arial"/>
          <w:sz w:val="20"/>
          <w:szCs w:val="20"/>
        </w:rPr>
      </w:pPr>
      <w:r w:rsidRPr="00EC268C">
        <w:rPr>
          <w:rFonts w:ascii="Arial" w:eastAsiaTheme="minorHAnsi" w:hAnsi="Arial" w:cs="Arial"/>
          <w:sz w:val="20"/>
          <w:szCs w:val="20"/>
        </w:rPr>
        <w:t>100 S. Third Street</w:t>
      </w:r>
    </w:p>
    <w:p w:rsidR="007C44B8" w:rsidRPr="00EC268C" w:rsidRDefault="007C44B8" w:rsidP="007C44B8">
      <w:pPr>
        <w:autoSpaceDE w:val="0"/>
        <w:autoSpaceDN w:val="0"/>
        <w:adjustRightInd w:val="0"/>
        <w:rPr>
          <w:rFonts w:ascii="Arial" w:eastAsiaTheme="minorHAnsi" w:hAnsi="Arial" w:cs="Arial"/>
          <w:sz w:val="20"/>
          <w:szCs w:val="20"/>
        </w:rPr>
      </w:pPr>
      <w:r w:rsidRPr="00EC268C">
        <w:rPr>
          <w:rFonts w:ascii="Arial" w:eastAsiaTheme="minorHAnsi" w:hAnsi="Arial" w:cs="Arial"/>
          <w:sz w:val="20"/>
          <w:szCs w:val="20"/>
        </w:rPr>
        <w:t>Columbus, OH 43215-4291</w:t>
      </w:r>
    </w:p>
    <w:p w:rsidR="007C44B8" w:rsidRPr="00EC268C" w:rsidRDefault="007C44B8" w:rsidP="007C44B8">
      <w:pPr>
        <w:autoSpaceDE w:val="0"/>
        <w:autoSpaceDN w:val="0"/>
        <w:adjustRightInd w:val="0"/>
        <w:rPr>
          <w:rFonts w:ascii="Arial" w:eastAsiaTheme="minorHAnsi" w:hAnsi="Arial" w:cs="Arial"/>
          <w:sz w:val="20"/>
          <w:szCs w:val="20"/>
        </w:rPr>
      </w:pPr>
      <w:r w:rsidRPr="00EC268C">
        <w:rPr>
          <w:rFonts w:ascii="Arial" w:eastAsiaTheme="minorHAnsi" w:hAnsi="Arial" w:cs="Arial"/>
          <w:sz w:val="20"/>
          <w:szCs w:val="20"/>
        </w:rPr>
        <w:t>dstinson@bricker.com</w:t>
      </w:r>
    </w:p>
    <w:p w:rsidR="007C44B8" w:rsidRPr="00EC268C" w:rsidRDefault="007C44B8" w:rsidP="007C44B8">
      <w:pPr>
        <w:tabs>
          <w:tab w:val="left" w:pos="2160"/>
          <w:tab w:val="left" w:pos="2280"/>
        </w:tabs>
        <w:rPr>
          <w:rFonts w:ascii="Arial" w:eastAsiaTheme="minorHAnsi" w:hAnsi="Arial" w:cs="Arial"/>
          <w:sz w:val="20"/>
          <w:szCs w:val="20"/>
        </w:rPr>
      </w:pPr>
    </w:p>
    <w:p w:rsidR="007C44B8" w:rsidRPr="00EC268C" w:rsidRDefault="007C44B8" w:rsidP="007C44B8">
      <w:pPr>
        <w:tabs>
          <w:tab w:val="left" w:pos="2160"/>
          <w:tab w:val="left" w:pos="2280"/>
        </w:tabs>
        <w:rPr>
          <w:rFonts w:ascii="Arial Bold" w:hAnsi="Arial Bold" w:cs="Arial"/>
          <w:b/>
          <w:smallCaps/>
          <w:sz w:val="20"/>
          <w:szCs w:val="20"/>
        </w:rPr>
      </w:pPr>
      <w:r w:rsidRPr="00EC268C">
        <w:rPr>
          <w:rFonts w:ascii="Arial Bold" w:eastAsiaTheme="minorHAnsi" w:hAnsi="Arial Bold" w:cs="Arial"/>
          <w:b/>
          <w:smallCaps/>
          <w:sz w:val="20"/>
          <w:szCs w:val="20"/>
        </w:rPr>
        <w:t>On Behalf of Ohio Development Services Agency</w:t>
      </w:r>
    </w:p>
    <w:p w:rsidR="007C44B8" w:rsidRPr="00EC268C" w:rsidRDefault="007C44B8" w:rsidP="007C44B8">
      <w:pPr>
        <w:autoSpaceDE w:val="0"/>
        <w:autoSpaceDN w:val="0"/>
        <w:adjustRightInd w:val="0"/>
        <w:rPr>
          <w:rFonts w:ascii="Arial" w:hAnsi="Arial" w:cs="Arial"/>
          <w:sz w:val="20"/>
          <w:szCs w:val="20"/>
        </w:rPr>
      </w:pPr>
    </w:p>
    <w:p w:rsidR="007C44B8" w:rsidRDefault="007C44B8" w:rsidP="007C44B8">
      <w:pPr>
        <w:autoSpaceDE w:val="0"/>
        <w:autoSpaceDN w:val="0"/>
        <w:adjustRightInd w:val="0"/>
        <w:rPr>
          <w:rFonts w:ascii="Arial" w:hAnsi="Arial" w:cs="Arial"/>
          <w:sz w:val="20"/>
          <w:szCs w:val="20"/>
        </w:rPr>
      </w:pPr>
      <w:r w:rsidRPr="00EC268C">
        <w:rPr>
          <w:rFonts w:ascii="Arial" w:hAnsi="Arial" w:cs="Arial"/>
          <w:sz w:val="20"/>
          <w:szCs w:val="20"/>
        </w:rPr>
        <w:t>Matthew J. Satterwhite</w:t>
      </w:r>
      <w:r>
        <w:rPr>
          <w:rFonts w:ascii="Arial" w:hAnsi="Arial" w:cs="Arial"/>
          <w:sz w:val="20"/>
          <w:szCs w:val="20"/>
        </w:rPr>
        <w:t xml:space="preserve"> (Counsel of Record)</w:t>
      </w:r>
    </w:p>
    <w:p w:rsidR="007C44B8" w:rsidRPr="00EC268C" w:rsidRDefault="007C44B8" w:rsidP="007C44B8">
      <w:pPr>
        <w:autoSpaceDE w:val="0"/>
        <w:autoSpaceDN w:val="0"/>
        <w:adjustRightInd w:val="0"/>
        <w:rPr>
          <w:rFonts w:ascii="Arial" w:hAnsi="Arial" w:cs="Arial"/>
          <w:sz w:val="20"/>
          <w:szCs w:val="20"/>
        </w:rPr>
      </w:pPr>
      <w:r>
        <w:rPr>
          <w:rFonts w:ascii="Arial" w:hAnsi="Arial" w:cs="Arial"/>
          <w:sz w:val="20"/>
          <w:szCs w:val="20"/>
        </w:rPr>
        <w:t>Hector Garcia</w:t>
      </w:r>
    </w:p>
    <w:p w:rsidR="007C44B8" w:rsidRPr="00EC268C" w:rsidRDefault="007C44B8" w:rsidP="007C44B8">
      <w:pPr>
        <w:autoSpaceDE w:val="0"/>
        <w:autoSpaceDN w:val="0"/>
        <w:adjustRightInd w:val="0"/>
        <w:rPr>
          <w:rFonts w:ascii="Arial" w:hAnsi="Arial" w:cs="Arial"/>
          <w:sz w:val="20"/>
          <w:szCs w:val="20"/>
        </w:rPr>
      </w:pPr>
      <w:r w:rsidRPr="00EC268C">
        <w:rPr>
          <w:rFonts w:ascii="Arial" w:hAnsi="Arial" w:cs="Arial"/>
          <w:sz w:val="20"/>
          <w:szCs w:val="20"/>
        </w:rPr>
        <w:t>American Electric Power Corporation</w:t>
      </w:r>
    </w:p>
    <w:p w:rsidR="007C44B8" w:rsidRPr="00EC268C" w:rsidRDefault="007C44B8" w:rsidP="007C44B8">
      <w:pPr>
        <w:autoSpaceDE w:val="0"/>
        <w:autoSpaceDN w:val="0"/>
        <w:adjustRightInd w:val="0"/>
        <w:rPr>
          <w:rFonts w:ascii="Arial" w:hAnsi="Arial" w:cs="Arial"/>
          <w:sz w:val="20"/>
          <w:szCs w:val="20"/>
        </w:rPr>
      </w:pPr>
      <w:r w:rsidRPr="00EC268C">
        <w:rPr>
          <w:rFonts w:ascii="Arial" w:hAnsi="Arial" w:cs="Arial"/>
          <w:sz w:val="20"/>
          <w:szCs w:val="20"/>
        </w:rPr>
        <w:t>1 Riverside Plaza, 29th Floor</w:t>
      </w:r>
    </w:p>
    <w:p w:rsidR="007C44B8" w:rsidRPr="00EC268C" w:rsidRDefault="007C44B8" w:rsidP="007C44B8">
      <w:pPr>
        <w:autoSpaceDE w:val="0"/>
        <w:autoSpaceDN w:val="0"/>
        <w:adjustRightInd w:val="0"/>
        <w:rPr>
          <w:rFonts w:ascii="Arial" w:hAnsi="Arial" w:cs="Arial"/>
          <w:sz w:val="20"/>
          <w:szCs w:val="20"/>
        </w:rPr>
      </w:pPr>
      <w:r w:rsidRPr="00EC268C">
        <w:rPr>
          <w:rFonts w:ascii="Arial" w:hAnsi="Arial" w:cs="Arial"/>
          <w:sz w:val="20"/>
          <w:szCs w:val="20"/>
        </w:rPr>
        <w:t>Columbus, Ohio 43215</w:t>
      </w:r>
    </w:p>
    <w:p w:rsidR="007C44B8" w:rsidRPr="00EC268C" w:rsidRDefault="007C44B8" w:rsidP="007C44B8">
      <w:pPr>
        <w:autoSpaceDE w:val="0"/>
        <w:autoSpaceDN w:val="0"/>
        <w:adjustRightInd w:val="0"/>
        <w:rPr>
          <w:rFonts w:ascii="Arial" w:hAnsi="Arial" w:cs="Arial"/>
          <w:sz w:val="20"/>
          <w:szCs w:val="20"/>
        </w:rPr>
      </w:pPr>
      <w:r w:rsidRPr="00EC268C">
        <w:rPr>
          <w:rFonts w:ascii="Arial" w:hAnsi="Arial" w:cs="Arial"/>
          <w:sz w:val="20"/>
          <w:szCs w:val="20"/>
        </w:rPr>
        <w:t>mjsatterwhite@aep.com</w:t>
      </w:r>
    </w:p>
    <w:p w:rsidR="007C44B8" w:rsidRPr="00EC268C" w:rsidRDefault="007C44B8" w:rsidP="007C44B8">
      <w:pPr>
        <w:autoSpaceDE w:val="0"/>
        <w:autoSpaceDN w:val="0"/>
        <w:adjustRightInd w:val="0"/>
        <w:rPr>
          <w:rFonts w:ascii="Arial" w:hAnsi="Arial" w:cs="Arial"/>
          <w:sz w:val="20"/>
          <w:szCs w:val="20"/>
        </w:rPr>
      </w:pPr>
      <w:r>
        <w:rPr>
          <w:rFonts w:ascii="Arial" w:hAnsi="Arial" w:cs="Arial"/>
          <w:sz w:val="20"/>
          <w:szCs w:val="20"/>
        </w:rPr>
        <w:t>hgarcia1</w:t>
      </w:r>
      <w:r w:rsidRPr="00EC268C">
        <w:rPr>
          <w:rFonts w:ascii="Arial" w:hAnsi="Arial" w:cs="Arial"/>
          <w:sz w:val="20"/>
          <w:szCs w:val="20"/>
        </w:rPr>
        <w:t>@aep.com</w:t>
      </w:r>
    </w:p>
    <w:p w:rsidR="007C44B8" w:rsidRPr="00EC268C" w:rsidRDefault="007C44B8" w:rsidP="007C44B8">
      <w:pPr>
        <w:autoSpaceDE w:val="0"/>
        <w:autoSpaceDN w:val="0"/>
        <w:adjustRightInd w:val="0"/>
        <w:rPr>
          <w:rFonts w:ascii="Arial" w:hAnsi="Arial" w:cs="Arial"/>
          <w:sz w:val="20"/>
          <w:szCs w:val="20"/>
        </w:rPr>
      </w:pPr>
    </w:p>
    <w:p w:rsidR="007C44B8" w:rsidRPr="00EC268C" w:rsidRDefault="007C44B8" w:rsidP="007C44B8">
      <w:pPr>
        <w:autoSpaceDE w:val="0"/>
        <w:autoSpaceDN w:val="0"/>
        <w:adjustRightInd w:val="0"/>
        <w:rPr>
          <w:rFonts w:ascii="Arial Bold" w:hAnsi="Arial Bold" w:cs="Arial"/>
          <w:b/>
          <w:smallCaps/>
          <w:sz w:val="20"/>
          <w:szCs w:val="20"/>
        </w:rPr>
      </w:pPr>
      <w:r w:rsidRPr="00EC268C">
        <w:rPr>
          <w:rFonts w:ascii="Arial Bold" w:hAnsi="Arial Bold" w:cs="Arial"/>
          <w:b/>
          <w:smallCaps/>
          <w:sz w:val="20"/>
          <w:szCs w:val="20"/>
        </w:rPr>
        <w:t>On Behalf of Ohio Power Company</w:t>
      </w:r>
    </w:p>
    <w:p w:rsidR="007C44B8" w:rsidRPr="00EC268C" w:rsidRDefault="007C44B8" w:rsidP="007C44B8">
      <w:pPr>
        <w:autoSpaceDE w:val="0"/>
        <w:autoSpaceDN w:val="0"/>
        <w:adjustRightInd w:val="0"/>
        <w:rPr>
          <w:rFonts w:ascii="Arial" w:hAnsi="Arial" w:cs="Arial"/>
          <w:sz w:val="20"/>
          <w:szCs w:val="20"/>
        </w:rPr>
      </w:pPr>
    </w:p>
    <w:p w:rsidR="007C44B8" w:rsidRPr="00EC268C" w:rsidRDefault="007C44B8" w:rsidP="007C44B8">
      <w:pPr>
        <w:autoSpaceDE w:val="0"/>
        <w:autoSpaceDN w:val="0"/>
        <w:adjustRightInd w:val="0"/>
        <w:rPr>
          <w:rFonts w:ascii="Arial" w:hAnsi="Arial" w:cs="Arial"/>
          <w:sz w:val="20"/>
          <w:szCs w:val="20"/>
        </w:rPr>
      </w:pPr>
      <w:r w:rsidRPr="00EC268C">
        <w:rPr>
          <w:rFonts w:ascii="Arial" w:hAnsi="Arial" w:cs="Arial"/>
          <w:sz w:val="20"/>
          <w:szCs w:val="20"/>
        </w:rPr>
        <w:t>Elizabeth H. Watts</w:t>
      </w:r>
    </w:p>
    <w:p w:rsidR="007C44B8" w:rsidRPr="00EC268C" w:rsidRDefault="007C44B8" w:rsidP="007C44B8">
      <w:pPr>
        <w:autoSpaceDE w:val="0"/>
        <w:autoSpaceDN w:val="0"/>
        <w:adjustRightInd w:val="0"/>
        <w:rPr>
          <w:rFonts w:ascii="Arial" w:hAnsi="Arial" w:cs="Arial"/>
          <w:sz w:val="20"/>
          <w:szCs w:val="20"/>
        </w:rPr>
      </w:pPr>
      <w:r w:rsidRPr="00EC268C">
        <w:rPr>
          <w:rFonts w:ascii="Arial" w:hAnsi="Arial" w:cs="Arial"/>
          <w:sz w:val="20"/>
          <w:szCs w:val="20"/>
        </w:rPr>
        <w:t>Duke Energy Ohio, Inc.</w:t>
      </w:r>
    </w:p>
    <w:p w:rsidR="007C44B8" w:rsidRPr="00EC268C" w:rsidRDefault="007C44B8" w:rsidP="007C44B8">
      <w:pPr>
        <w:autoSpaceDE w:val="0"/>
        <w:autoSpaceDN w:val="0"/>
        <w:adjustRightInd w:val="0"/>
        <w:rPr>
          <w:rFonts w:ascii="Arial" w:hAnsi="Arial" w:cs="Arial"/>
          <w:sz w:val="20"/>
          <w:szCs w:val="20"/>
        </w:rPr>
      </w:pPr>
      <w:r w:rsidRPr="00EC268C">
        <w:rPr>
          <w:rFonts w:ascii="Arial" w:hAnsi="Arial" w:cs="Arial"/>
          <w:sz w:val="20"/>
          <w:szCs w:val="20"/>
        </w:rPr>
        <w:t>155 East Broad Street</w:t>
      </w:r>
    </w:p>
    <w:p w:rsidR="007C44B8" w:rsidRPr="00EC268C" w:rsidRDefault="007C44B8" w:rsidP="007C44B8">
      <w:pPr>
        <w:autoSpaceDE w:val="0"/>
        <w:autoSpaceDN w:val="0"/>
        <w:adjustRightInd w:val="0"/>
        <w:rPr>
          <w:rFonts w:ascii="Arial" w:hAnsi="Arial" w:cs="Arial"/>
          <w:sz w:val="20"/>
          <w:szCs w:val="20"/>
        </w:rPr>
      </w:pPr>
      <w:r w:rsidRPr="00EC268C">
        <w:rPr>
          <w:rFonts w:ascii="Arial" w:hAnsi="Arial" w:cs="Arial"/>
          <w:sz w:val="20"/>
          <w:szCs w:val="20"/>
        </w:rPr>
        <w:t>Columbus, OH 43215</w:t>
      </w:r>
    </w:p>
    <w:p w:rsidR="007C44B8" w:rsidRPr="00EC268C" w:rsidRDefault="007C44B8" w:rsidP="007C44B8">
      <w:pPr>
        <w:autoSpaceDE w:val="0"/>
        <w:autoSpaceDN w:val="0"/>
        <w:adjustRightInd w:val="0"/>
        <w:rPr>
          <w:rFonts w:ascii="Arial" w:hAnsi="Arial" w:cs="Arial"/>
          <w:sz w:val="20"/>
          <w:szCs w:val="20"/>
        </w:rPr>
      </w:pPr>
      <w:r w:rsidRPr="00EC268C">
        <w:rPr>
          <w:rFonts w:ascii="Arial" w:hAnsi="Arial" w:cs="Arial"/>
          <w:sz w:val="20"/>
          <w:szCs w:val="20"/>
        </w:rPr>
        <w:t>Elizabeth.watts@duke-energy.com</w:t>
      </w:r>
    </w:p>
    <w:p w:rsidR="007C44B8" w:rsidRPr="00EC268C" w:rsidRDefault="007C44B8" w:rsidP="007C44B8">
      <w:pPr>
        <w:autoSpaceDE w:val="0"/>
        <w:autoSpaceDN w:val="0"/>
        <w:adjustRightInd w:val="0"/>
        <w:rPr>
          <w:rFonts w:ascii="Arial" w:hAnsi="Arial" w:cs="Arial"/>
          <w:sz w:val="20"/>
          <w:szCs w:val="20"/>
        </w:rPr>
      </w:pPr>
    </w:p>
    <w:p w:rsidR="007C44B8" w:rsidRPr="00EC268C" w:rsidRDefault="007C44B8" w:rsidP="007C44B8">
      <w:pPr>
        <w:autoSpaceDE w:val="0"/>
        <w:autoSpaceDN w:val="0"/>
        <w:adjustRightInd w:val="0"/>
        <w:rPr>
          <w:rFonts w:ascii="Arial Bold" w:hAnsi="Arial Bold" w:cs="Arial"/>
          <w:b/>
          <w:smallCaps/>
          <w:sz w:val="20"/>
          <w:szCs w:val="20"/>
        </w:rPr>
      </w:pPr>
      <w:r w:rsidRPr="00EC268C">
        <w:rPr>
          <w:rFonts w:ascii="Arial Bold" w:hAnsi="Arial Bold" w:cs="Arial"/>
          <w:b/>
          <w:smallCaps/>
          <w:sz w:val="20"/>
          <w:szCs w:val="20"/>
        </w:rPr>
        <w:t>On Behalf of Duke Energy Ohio, Inc.</w:t>
      </w:r>
    </w:p>
    <w:p w:rsidR="007C44B8" w:rsidRPr="00EC268C" w:rsidRDefault="007C44B8" w:rsidP="007C44B8">
      <w:pPr>
        <w:autoSpaceDE w:val="0"/>
        <w:autoSpaceDN w:val="0"/>
        <w:adjustRightInd w:val="0"/>
        <w:rPr>
          <w:rFonts w:ascii="Arial" w:hAnsi="Arial" w:cs="Arial"/>
          <w:sz w:val="20"/>
          <w:szCs w:val="20"/>
        </w:rPr>
      </w:pPr>
    </w:p>
    <w:p w:rsidR="007C44B8" w:rsidRPr="00EC268C" w:rsidRDefault="007C44B8" w:rsidP="007C44B8">
      <w:pPr>
        <w:autoSpaceDE w:val="0"/>
        <w:autoSpaceDN w:val="0"/>
        <w:adjustRightInd w:val="0"/>
        <w:rPr>
          <w:rFonts w:ascii="Arial" w:hAnsi="Arial" w:cs="Arial"/>
          <w:sz w:val="20"/>
          <w:szCs w:val="20"/>
        </w:rPr>
      </w:pPr>
      <w:r w:rsidRPr="00EC268C">
        <w:rPr>
          <w:rFonts w:ascii="Arial" w:hAnsi="Arial" w:cs="Arial"/>
          <w:sz w:val="20"/>
          <w:szCs w:val="20"/>
        </w:rPr>
        <w:t>Carrie Dunn</w:t>
      </w:r>
    </w:p>
    <w:p w:rsidR="007C44B8" w:rsidRPr="00EC268C" w:rsidRDefault="007C44B8" w:rsidP="007C44B8">
      <w:pPr>
        <w:autoSpaceDE w:val="0"/>
        <w:autoSpaceDN w:val="0"/>
        <w:adjustRightInd w:val="0"/>
        <w:rPr>
          <w:rFonts w:ascii="Arial" w:hAnsi="Arial" w:cs="Arial"/>
          <w:sz w:val="20"/>
          <w:szCs w:val="20"/>
        </w:rPr>
      </w:pPr>
      <w:r w:rsidRPr="00EC268C">
        <w:rPr>
          <w:rFonts w:ascii="Arial" w:hAnsi="Arial" w:cs="Arial"/>
          <w:sz w:val="20"/>
          <w:szCs w:val="20"/>
        </w:rPr>
        <w:t>FirstEnergy Corp.</w:t>
      </w:r>
    </w:p>
    <w:p w:rsidR="007C44B8" w:rsidRPr="00EC268C" w:rsidRDefault="007C44B8" w:rsidP="007C44B8">
      <w:pPr>
        <w:autoSpaceDE w:val="0"/>
        <w:autoSpaceDN w:val="0"/>
        <w:adjustRightInd w:val="0"/>
        <w:rPr>
          <w:rFonts w:ascii="Arial" w:hAnsi="Arial" w:cs="Arial"/>
          <w:sz w:val="20"/>
          <w:szCs w:val="20"/>
        </w:rPr>
      </w:pPr>
      <w:r w:rsidRPr="00EC268C">
        <w:rPr>
          <w:rFonts w:ascii="Arial" w:hAnsi="Arial" w:cs="Arial"/>
          <w:sz w:val="20"/>
          <w:szCs w:val="20"/>
        </w:rPr>
        <w:t>76 South Main Street</w:t>
      </w:r>
    </w:p>
    <w:p w:rsidR="007C44B8" w:rsidRPr="00EC268C" w:rsidRDefault="007C44B8" w:rsidP="007C44B8">
      <w:pPr>
        <w:autoSpaceDE w:val="0"/>
        <w:autoSpaceDN w:val="0"/>
        <w:adjustRightInd w:val="0"/>
        <w:rPr>
          <w:rFonts w:ascii="Arial" w:hAnsi="Arial" w:cs="Arial"/>
          <w:sz w:val="20"/>
          <w:szCs w:val="20"/>
        </w:rPr>
      </w:pPr>
      <w:r w:rsidRPr="00EC268C">
        <w:rPr>
          <w:rFonts w:ascii="Arial" w:hAnsi="Arial" w:cs="Arial"/>
          <w:sz w:val="20"/>
          <w:szCs w:val="20"/>
        </w:rPr>
        <w:t>Akron, Ohio 44308</w:t>
      </w:r>
    </w:p>
    <w:p w:rsidR="007C44B8" w:rsidRPr="00EC268C" w:rsidRDefault="007C44B8" w:rsidP="007C44B8">
      <w:pPr>
        <w:autoSpaceDE w:val="0"/>
        <w:autoSpaceDN w:val="0"/>
        <w:adjustRightInd w:val="0"/>
        <w:rPr>
          <w:rFonts w:ascii="Arial" w:hAnsi="Arial" w:cs="Arial"/>
          <w:sz w:val="20"/>
          <w:szCs w:val="20"/>
        </w:rPr>
      </w:pPr>
      <w:r w:rsidRPr="00EC268C">
        <w:rPr>
          <w:rFonts w:ascii="Arial" w:hAnsi="Arial" w:cs="Arial"/>
          <w:sz w:val="20"/>
          <w:szCs w:val="20"/>
        </w:rPr>
        <w:t>cdunn@firstenergycorp.com</w:t>
      </w:r>
    </w:p>
    <w:p w:rsidR="007C44B8" w:rsidRPr="00EC268C" w:rsidRDefault="007C44B8" w:rsidP="007C44B8">
      <w:pPr>
        <w:autoSpaceDE w:val="0"/>
        <w:autoSpaceDN w:val="0"/>
        <w:adjustRightInd w:val="0"/>
        <w:rPr>
          <w:rFonts w:ascii="Arial" w:hAnsi="Arial" w:cs="Arial"/>
          <w:sz w:val="20"/>
          <w:szCs w:val="20"/>
        </w:rPr>
      </w:pPr>
    </w:p>
    <w:p w:rsidR="007C44B8" w:rsidRPr="00EC268C" w:rsidRDefault="007C44B8" w:rsidP="007C44B8">
      <w:pPr>
        <w:autoSpaceDE w:val="0"/>
        <w:autoSpaceDN w:val="0"/>
        <w:adjustRightInd w:val="0"/>
        <w:rPr>
          <w:rFonts w:ascii="Arial Bold" w:hAnsi="Arial Bold" w:cs="Arial"/>
          <w:b/>
          <w:smallCaps/>
          <w:sz w:val="20"/>
          <w:szCs w:val="20"/>
        </w:rPr>
      </w:pPr>
      <w:r w:rsidRPr="00EC268C">
        <w:rPr>
          <w:rFonts w:ascii="Arial Bold" w:hAnsi="Arial Bold" w:cs="Arial"/>
          <w:b/>
          <w:smallCaps/>
          <w:sz w:val="20"/>
          <w:szCs w:val="20"/>
        </w:rPr>
        <w:t>On Behalf of FirstEnergy Corp.</w:t>
      </w:r>
    </w:p>
    <w:p w:rsidR="007C44B8" w:rsidRPr="00EC268C" w:rsidRDefault="007C44B8" w:rsidP="007C44B8">
      <w:pPr>
        <w:autoSpaceDE w:val="0"/>
        <w:autoSpaceDN w:val="0"/>
        <w:adjustRightInd w:val="0"/>
        <w:rPr>
          <w:rFonts w:ascii="Arial" w:hAnsi="Arial" w:cs="Arial"/>
          <w:sz w:val="20"/>
          <w:szCs w:val="20"/>
        </w:rPr>
      </w:pPr>
      <w:r>
        <w:rPr>
          <w:rFonts w:ascii="Arial" w:hAnsi="Arial" w:cs="Arial"/>
          <w:sz w:val="20"/>
          <w:szCs w:val="20"/>
        </w:rPr>
        <w:br w:type="column"/>
      </w:r>
      <w:r w:rsidRPr="00EC268C">
        <w:rPr>
          <w:rFonts w:ascii="Arial" w:hAnsi="Arial" w:cs="Arial"/>
          <w:sz w:val="20"/>
          <w:szCs w:val="20"/>
        </w:rPr>
        <w:lastRenderedPageBreak/>
        <w:t>Randall V. Griffin</w:t>
      </w:r>
    </w:p>
    <w:p w:rsidR="007C44B8" w:rsidRPr="00EC268C" w:rsidRDefault="007C44B8" w:rsidP="007C44B8">
      <w:pPr>
        <w:autoSpaceDE w:val="0"/>
        <w:autoSpaceDN w:val="0"/>
        <w:adjustRightInd w:val="0"/>
        <w:rPr>
          <w:rFonts w:ascii="Arial" w:hAnsi="Arial" w:cs="Arial"/>
          <w:sz w:val="20"/>
          <w:szCs w:val="20"/>
        </w:rPr>
      </w:pPr>
      <w:r w:rsidRPr="00EC268C">
        <w:rPr>
          <w:rFonts w:ascii="Arial" w:hAnsi="Arial" w:cs="Arial"/>
          <w:sz w:val="20"/>
          <w:szCs w:val="20"/>
        </w:rPr>
        <w:t>Judi L. Sobecki</w:t>
      </w:r>
    </w:p>
    <w:p w:rsidR="007C44B8" w:rsidRPr="00EC268C" w:rsidRDefault="007C44B8" w:rsidP="007C44B8">
      <w:pPr>
        <w:autoSpaceDE w:val="0"/>
        <w:autoSpaceDN w:val="0"/>
        <w:adjustRightInd w:val="0"/>
        <w:rPr>
          <w:rFonts w:ascii="Arial" w:hAnsi="Arial" w:cs="Arial"/>
          <w:sz w:val="20"/>
          <w:szCs w:val="20"/>
        </w:rPr>
      </w:pPr>
      <w:r w:rsidRPr="00EC268C">
        <w:rPr>
          <w:rFonts w:ascii="Arial" w:hAnsi="Arial" w:cs="Arial"/>
          <w:sz w:val="20"/>
          <w:szCs w:val="20"/>
        </w:rPr>
        <w:t>The Dayton Power &amp; Light Company</w:t>
      </w:r>
    </w:p>
    <w:p w:rsidR="007C44B8" w:rsidRPr="00EC268C" w:rsidRDefault="007C44B8" w:rsidP="007C44B8">
      <w:pPr>
        <w:autoSpaceDE w:val="0"/>
        <w:autoSpaceDN w:val="0"/>
        <w:adjustRightInd w:val="0"/>
        <w:rPr>
          <w:rFonts w:ascii="Arial" w:hAnsi="Arial" w:cs="Arial"/>
          <w:sz w:val="20"/>
          <w:szCs w:val="20"/>
        </w:rPr>
      </w:pPr>
      <w:r w:rsidRPr="00EC268C">
        <w:rPr>
          <w:rFonts w:ascii="Arial" w:hAnsi="Arial" w:cs="Arial"/>
          <w:sz w:val="20"/>
          <w:szCs w:val="20"/>
        </w:rPr>
        <w:t>MacGregor Park</w:t>
      </w:r>
    </w:p>
    <w:p w:rsidR="007C44B8" w:rsidRPr="00EC268C" w:rsidRDefault="007C44B8" w:rsidP="007C44B8">
      <w:pPr>
        <w:autoSpaceDE w:val="0"/>
        <w:autoSpaceDN w:val="0"/>
        <w:adjustRightInd w:val="0"/>
        <w:rPr>
          <w:rFonts w:ascii="Arial" w:hAnsi="Arial" w:cs="Arial"/>
          <w:sz w:val="20"/>
          <w:szCs w:val="20"/>
        </w:rPr>
      </w:pPr>
      <w:r w:rsidRPr="00EC268C">
        <w:rPr>
          <w:rFonts w:ascii="Arial" w:hAnsi="Arial" w:cs="Arial"/>
          <w:sz w:val="20"/>
          <w:szCs w:val="20"/>
        </w:rPr>
        <w:t>1065 Woodman Avenue</w:t>
      </w:r>
    </w:p>
    <w:p w:rsidR="007C44B8" w:rsidRPr="00EC268C" w:rsidRDefault="007C44B8" w:rsidP="007C44B8">
      <w:pPr>
        <w:autoSpaceDE w:val="0"/>
        <w:autoSpaceDN w:val="0"/>
        <w:adjustRightInd w:val="0"/>
        <w:rPr>
          <w:rFonts w:ascii="Arial" w:hAnsi="Arial" w:cs="Arial"/>
          <w:sz w:val="20"/>
          <w:szCs w:val="20"/>
        </w:rPr>
      </w:pPr>
      <w:r w:rsidRPr="00EC268C">
        <w:rPr>
          <w:rFonts w:ascii="Arial" w:hAnsi="Arial" w:cs="Arial"/>
          <w:sz w:val="20"/>
          <w:szCs w:val="20"/>
        </w:rPr>
        <w:t>Dayton, Ohio 45432</w:t>
      </w:r>
    </w:p>
    <w:p w:rsidR="007C44B8" w:rsidRPr="00EC268C" w:rsidRDefault="007C44B8" w:rsidP="007C44B8">
      <w:pPr>
        <w:autoSpaceDE w:val="0"/>
        <w:autoSpaceDN w:val="0"/>
        <w:adjustRightInd w:val="0"/>
        <w:rPr>
          <w:rFonts w:ascii="Arial" w:hAnsi="Arial" w:cs="Arial"/>
          <w:sz w:val="20"/>
          <w:szCs w:val="20"/>
        </w:rPr>
      </w:pPr>
      <w:r w:rsidRPr="00EC268C">
        <w:rPr>
          <w:rFonts w:ascii="Arial" w:hAnsi="Arial" w:cs="Arial"/>
          <w:sz w:val="20"/>
          <w:szCs w:val="20"/>
        </w:rPr>
        <w:t>randall.griffin@dplinc.com</w:t>
      </w:r>
    </w:p>
    <w:p w:rsidR="007C44B8" w:rsidRPr="00EC268C" w:rsidRDefault="007C44B8" w:rsidP="007C44B8">
      <w:pPr>
        <w:autoSpaceDE w:val="0"/>
        <w:autoSpaceDN w:val="0"/>
        <w:adjustRightInd w:val="0"/>
        <w:rPr>
          <w:rFonts w:ascii="Arial" w:hAnsi="Arial" w:cs="Arial"/>
          <w:sz w:val="20"/>
          <w:szCs w:val="20"/>
        </w:rPr>
      </w:pPr>
      <w:r w:rsidRPr="00EC268C">
        <w:rPr>
          <w:rFonts w:ascii="Arial" w:hAnsi="Arial" w:cs="Arial"/>
          <w:sz w:val="20"/>
          <w:szCs w:val="20"/>
        </w:rPr>
        <w:t>judi.sobecki@dplinc.com</w:t>
      </w:r>
    </w:p>
    <w:p w:rsidR="007C44B8" w:rsidRPr="00EC268C" w:rsidRDefault="007C44B8" w:rsidP="007C44B8">
      <w:pPr>
        <w:autoSpaceDE w:val="0"/>
        <w:autoSpaceDN w:val="0"/>
        <w:adjustRightInd w:val="0"/>
        <w:rPr>
          <w:rFonts w:ascii="Arial" w:hAnsi="Arial" w:cs="Arial"/>
          <w:sz w:val="20"/>
          <w:szCs w:val="20"/>
        </w:rPr>
      </w:pPr>
    </w:p>
    <w:p w:rsidR="007C44B8" w:rsidRPr="00EC268C" w:rsidRDefault="007C44B8" w:rsidP="007C44B8">
      <w:pPr>
        <w:autoSpaceDE w:val="0"/>
        <w:autoSpaceDN w:val="0"/>
        <w:adjustRightInd w:val="0"/>
        <w:rPr>
          <w:rFonts w:ascii="Arial Bold" w:hAnsi="Arial Bold" w:cs="Arial"/>
          <w:b/>
          <w:smallCaps/>
          <w:sz w:val="20"/>
          <w:szCs w:val="20"/>
        </w:rPr>
      </w:pPr>
      <w:r w:rsidRPr="00EC268C">
        <w:rPr>
          <w:rFonts w:ascii="Arial Bold" w:hAnsi="Arial Bold" w:cs="Arial"/>
          <w:b/>
          <w:smallCaps/>
          <w:sz w:val="20"/>
          <w:szCs w:val="20"/>
        </w:rPr>
        <w:t>On Behalf of The Dayton Power &amp; Light Company</w:t>
      </w:r>
    </w:p>
    <w:p w:rsidR="007C44B8" w:rsidRPr="00EC268C" w:rsidRDefault="007C44B8" w:rsidP="007C44B8">
      <w:pPr>
        <w:autoSpaceDE w:val="0"/>
        <w:autoSpaceDN w:val="0"/>
        <w:adjustRightInd w:val="0"/>
        <w:rPr>
          <w:rFonts w:ascii="Arial" w:hAnsi="Arial" w:cs="Arial"/>
          <w:sz w:val="20"/>
          <w:szCs w:val="20"/>
        </w:rPr>
      </w:pPr>
    </w:p>
    <w:p w:rsidR="007C44B8" w:rsidRPr="00EC268C" w:rsidRDefault="007C44B8" w:rsidP="007C44B8">
      <w:pPr>
        <w:tabs>
          <w:tab w:val="left" w:pos="2160"/>
          <w:tab w:val="left" w:pos="2280"/>
        </w:tabs>
        <w:rPr>
          <w:rFonts w:ascii="Arial" w:hAnsi="Arial" w:cs="Arial"/>
          <w:sz w:val="20"/>
          <w:szCs w:val="20"/>
        </w:rPr>
      </w:pPr>
      <w:r w:rsidRPr="00EC268C">
        <w:rPr>
          <w:rFonts w:ascii="Arial" w:hAnsi="Arial" w:cs="Arial"/>
          <w:sz w:val="20"/>
          <w:szCs w:val="20"/>
        </w:rPr>
        <w:t>Colleen L. Mooney (Reg. No. 0015668)</w:t>
      </w:r>
    </w:p>
    <w:p w:rsidR="007C44B8" w:rsidRPr="00EC268C" w:rsidRDefault="007C44B8" w:rsidP="007C44B8">
      <w:pPr>
        <w:tabs>
          <w:tab w:val="left" w:pos="2160"/>
          <w:tab w:val="left" w:pos="2280"/>
        </w:tabs>
        <w:rPr>
          <w:rFonts w:ascii="Arial" w:hAnsi="Arial" w:cs="Arial"/>
          <w:sz w:val="20"/>
          <w:szCs w:val="20"/>
        </w:rPr>
      </w:pPr>
      <w:r w:rsidRPr="00EC268C">
        <w:rPr>
          <w:rFonts w:ascii="Arial" w:hAnsi="Arial" w:cs="Arial"/>
          <w:sz w:val="20"/>
          <w:szCs w:val="20"/>
        </w:rPr>
        <w:t>Ohio Partners for Affordable Energy</w:t>
      </w:r>
    </w:p>
    <w:p w:rsidR="007C44B8" w:rsidRPr="00EC268C" w:rsidRDefault="007C44B8" w:rsidP="007C44B8">
      <w:pPr>
        <w:tabs>
          <w:tab w:val="left" w:pos="2160"/>
          <w:tab w:val="left" w:pos="2280"/>
        </w:tabs>
        <w:rPr>
          <w:rFonts w:ascii="Arial" w:hAnsi="Arial" w:cs="Arial"/>
          <w:sz w:val="20"/>
          <w:szCs w:val="20"/>
        </w:rPr>
      </w:pPr>
      <w:r w:rsidRPr="00EC268C">
        <w:rPr>
          <w:rFonts w:ascii="Arial" w:hAnsi="Arial" w:cs="Arial"/>
          <w:sz w:val="20"/>
          <w:szCs w:val="20"/>
        </w:rPr>
        <w:t>231 West Lima Street</w:t>
      </w:r>
    </w:p>
    <w:p w:rsidR="007C44B8" w:rsidRPr="00EC268C" w:rsidRDefault="007C44B8" w:rsidP="007C44B8">
      <w:pPr>
        <w:tabs>
          <w:tab w:val="left" w:pos="2160"/>
          <w:tab w:val="left" w:pos="2280"/>
        </w:tabs>
        <w:rPr>
          <w:rFonts w:ascii="Arial" w:hAnsi="Arial" w:cs="Arial"/>
          <w:sz w:val="20"/>
          <w:szCs w:val="20"/>
        </w:rPr>
      </w:pPr>
      <w:r w:rsidRPr="00EC268C">
        <w:rPr>
          <w:rFonts w:ascii="Arial" w:hAnsi="Arial" w:cs="Arial"/>
          <w:sz w:val="20"/>
          <w:szCs w:val="20"/>
        </w:rPr>
        <w:t>PO Box 1793</w:t>
      </w:r>
    </w:p>
    <w:p w:rsidR="007C44B8" w:rsidRPr="00EC268C" w:rsidRDefault="007C44B8" w:rsidP="007C44B8">
      <w:pPr>
        <w:tabs>
          <w:tab w:val="left" w:pos="2160"/>
          <w:tab w:val="left" w:pos="2280"/>
        </w:tabs>
        <w:rPr>
          <w:rFonts w:ascii="Arial" w:hAnsi="Arial" w:cs="Arial"/>
          <w:sz w:val="20"/>
          <w:szCs w:val="20"/>
        </w:rPr>
      </w:pPr>
      <w:r w:rsidRPr="00EC268C">
        <w:rPr>
          <w:rFonts w:ascii="Arial" w:hAnsi="Arial" w:cs="Arial"/>
          <w:sz w:val="20"/>
          <w:szCs w:val="20"/>
        </w:rPr>
        <w:t>Findlay, OH  45839-1793</w:t>
      </w:r>
    </w:p>
    <w:p w:rsidR="007C44B8" w:rsidRPr="00EC268C" w:rsidRDefault="007C44B8" w:rsidP="007C44B8">
      <w:pPr>
        <w:tabs>
          <w:tab w:val="left" w:pos="2160"/>
          <w:tab w:val="left" w:pos="2280"/>
        </w:tabs>
        <w:rPr>
          <w:rFonts w:ascii="Arial" w:hAnsi="Arial" w:cs="Arial"/>
          <w:sz w:val="20"/>
          <w:szCs w:val="20"/>
        </w:rPr>
      </w:pPr>
      <w:r w:rsidRPr="00EC268C">
        <w:rPr>
          <w:rFonts w:ascii="Arial" w:hAnsi="Arial" w:cs="Arial"/>
          <w:sz w:val="20"/>
          <w:szCs w:val="20"/>
        </w:rPr>
        <w:t>cmooney@ohiopartners.org</w:t>
      </w:r>
    </w:p>
    <w:p w:rsidR="007C44B8" w:rsidRPr="00EC268C" w:rsidRDefault="007C44B8" w:rsidP="007C44B8">
      <w:pPr>
        <w:tabs>
          <w:tab w:val="left" w:pos="2160"/>
          <w:tab w:val="left" w:pos="2280"/>
        </w:tabs>
        <w:rPr>
          <w:rFonts w:ascii="Arial" w:hAnsi="Arial" w:cs="Arial"/>
          <w:sz w:val="20"/>
          <w:szCs w:val="20"/>
        </w:rPr>
      </w:pPr>
    </w:p>
    <w:p w:rsidR="007C44B8" w:rsidRPr="00EC268C" w:rsidRDefault="007C44B8" w:rsidP="007C44B8">
      <w:pPr>
        <w:autoSpaceDE w:val="0"/>
        <w:autoSpaceDN w:val="0"/>
        <w:adjustRightInd w:val="0"/>
        <w:rPr>
          <w:rFonts w:ascii="Arial Bold" w:hAnsi="Arial Bold" w:cs="Arial"/>
          <w:b/>
          <w:smallCaps/>
          <w:sz w:val="20"/>
          <w:szCs w:val="20"/>
        </w:rPr>
      </w:pPr>
      <w:r w:rsidRPr="00EC268C">
        <w:rPr>
          <w:rFonts w:ascii="Arial Bold" w:hAnsi="Arial Bold" w:cs="Arial"/>
          <w:b/>
          <w:smallCaps/>
          <w:sz w:val="20"/>
          <w:szCs w:val="20"/>
        </w:rPr>
        <w:t>On Behalf of Ohio Partners for Affordable Energy</w:t>
      </w:r>
    </w:p>
    <w:p w:rsidR="007C44B8" w:rsidRPr="00EC268C" w:rsidRDefault="007C44B8" w:rsidP="007C44B8">
      <w:pPr>
        <w:tabs>
          <w:tab w:val="left" w:pos="2160"/>
          <w:tab w:val="left" w:pos="2280"/>
        </w:tabs>
        <w:rPr>
          <w:rFonts w:ascii="Arial" w:hAnsi="Arial" w:cs="Arial"/>
          <w:sz w:val="20"/>
          <w:szCs w:val="20"/>
        </w:rPr>
      </w:pPr>
    </w:p>
    <w:p w:rsidR="007C44B8" w:rsidRDefault="007C44B8" w:rsidP="007C44B8">
      <w:pPr>
        <w:tabs>
          <w:tab w:val="left" w:pos="2160"/>
          <w:tab w:val="left" w:pos="2280"/>
        </w:tabs>
        <w:rPr>
          <w:rFonts w:ascii="Arial" w:hAnsi="Arial" w:cs="Arial"/>
          <w:sz w:val="20"/>
          <w:szCs w:val="20"/>
        </w:rPr>
      </w:pPr>
      <w:r>
        <w:rPr>
          <w:rFonts w:ascii="Arial" w:hAnsi="Arial" w:cs="Arial"/>
          <w:sz w:val="20"/>
          <w:szCs w:val="20"/>
        </w:rPr>
        <w:t>BRUCE J. WESTON</w:t>
      </w:r>
    </w:p>
    <w:p w:rsidR="007C44B8" w:rsidRDefault="007C44B8" w:rsidP="007C44B8">
      <w:pPr>
        <w:tabs>
          <w:tab w:val="left" w:pos="2160"/>
          <w:tab w:val="left" w:pos="2280"/>
        </w:tabs>
        <w:rPr>
          <w:rFonts w:ascii="Arial" w:hAnsi="Arial" w:cs="Arial"/>
          <w:sz w:val="20"/>
          <w:szCs w:val="20"/>
        </w:rPr>
      </w:pPr>
      <w:r>
        <w:rPr>
          <w:rFonts w:ascii="Arial" w:hAnsi="Arial" w:cs="Arial"/>
          <w:sz w:val="20"/>
          <w:szCs w:val="20"/>
        </w:rPr>
        <w:t>OHIO CONSUMERS’ COUNSEL</w:t>
      </w:r>
    </w:p>
    <w:p w:rsidR="007C44B8" w:rsidRDefault="007C44B8" w:rsidP="007C44B8">
      <w:pPr>
        <w:tabs>
          <w:tab w:val="left" w:pos="2160"/>
          <w:tab w:val="left" w:pos="2280"/>
        </w:tabs>
        <w:rPr>
          <w:rFonts w:ascii="Arial" w:hAnsi="Arial" w:cs="Arial"/>
          <w:sz w:val="20"/>
          <w:szCs w:val="20"/>
        </w:rPr>
      </w:pPr>
    </w:p>
    <w:p w:rsidR="007C44B8" w:rsidRDefault="007C44B8" w:rsidP="007C44B8">
      <w:pPr>
        <w:tabs>
          <w:tab w:val="left" w:pos="2160"/>
          <w:tab w:val="left" w:pos="2280"/>
        </w:tabs>
        <w:rPr>
          <w:rFonts w:ascii="Arial" w:hAnsi="Arial" w:cs="Arial"/>
          <w:sz w:val="20"/>
          <w:szCs w:val="20"/>
        </w:rPr>
      </w:pPr>
      <w:r>
        <w:rPr>
          <w:rFonts w:ascii="Arial" w:hAnsi="Arial" w:cs="Arial"/>
          <w:sz w:val="20"/>
          <w:szCs w:val="20"/>
        </w:rPr>
        <w:t>Joseph P. Serio (Reg. No. 0036959)</w:t>
      </w:r>
    </w:p>
    <w:p w:rsidR="007C44B8" w:rsidRDefault="007C44B8" w:rsidP="007C44B8">
      <w:pPr>
        <w:tabs>
          <w:tab w:val="left" w:pos="2160"/>
          <w:tab w:val="left" w:pos="2280"/>
        </w:tabs>
        <w:rPr>
          <w:rFonts w:ascii="Arial" w:hAnsi="Arial" w:cs="Arial"/>
          <w:sz w:val="20"/>
          <w:szCs w:val="20"/>
        </w:rPr>
      </w:pPr>
      <w:r>
        <w:rPr>
          <w:rFonts w:ascii="Arial" w:hAnsi="Arial" w:cs="Arial"/>
          <w:sz w:val="20"/>
          <w:szCs w:val="20"/>
        </w:rPr>
        <w:t>(Counsel of Record)</w:t>
      </w:r>
    </w:p>
    <w:p w:rsidR="007C44B8" w:rsidRDefault="007C44B8" w:rsidP="007C44B8">
      <w:pPr>
        <w:tabs>
          <w:tab w:val="left" w:pos="2160"/>
          <w:tab w:val="left" w:pos="2280"/>
        </w:tabs>
        <w:rPr>
          <w:rFonts w:ascii="Arial" w:hAnsi="Arial" w:cs="Arial"/>
          <w:sz w:val="20"/>
          <w:szCs w:val="20"/>
        </w:rPr>
      </w:pPr>
      <w:r>
        <w:rPr>
          <w:rFonts w:ascii="Arial" w:hAnsi="Arial" w:cs="Arial"/>
          <w:sz w:val="20"/>
          <w:szCs w:val="20"/>
        </w:rPr>
        <w:t>Assistant Consumers’ Counsel</w:t>
      </w:r>
    </w:p>
    <w:p w:rsidR="007C44B8" w:rsidRDefault="007C44B8" w:rsidP="007C44B8">
      <w:pPr>
        <w:tabs>
          <w:tab w:val="left" w:pos="2160"/>
          <w:tab w:val="left" w:pos="2280"/>
        </w:tabs>
        <w:rPr>
          <w:rFonts w:ascii="Arial" w:hAnsi="Arial" w:cs="Arial"/>
          <w:sz w:val="20"/>
          <w:szCs w:val="20"/>
        </w:rPr>
      </w:pPr>
      <w:r>
        <w:rPr>
          <w:rFonts w:ascii="Arial" w:hAnsi="Arial" w:cs="Arial"/>
          <w:sz w:val="20"/>
          <w:szCs w:val="20"/>
        </w:rPr>
        <w:t>Office of the Ohio Consumers’ Counsel</w:t>
      </w:r>
    </w:p>
    <w:p w:rsidR="007C44B8" w:rsidRDefault="007C44B8" w:rsidP="007C44B8">
      <w:pPr>
        <w:tabs>
          <w:tab w:val="left" w:pos="2160"/>
          <w:tab w:val="left" w:pos="2280"/>
        </w:tabs>
        <w:rPr>
          <w:rFonts w:ascii="Arial" w:hAnsi="Arial" w:cs="Arial"/>
          <w:sz w:val="20"/>
          <w:szCs w:val="20"/>
        </w:rPr>
      </w:pPr>
      <w:r>
        <w:rPr>
          <w:rFonts w:ascii="Arial" w:hAnsi="Arial" w:cs="Arial"/>
          <w:sz w:val="20"/>
          <w:szCs w:val="20"/>
        </w:rPr>
        <w:t>10 West Broad Street, Suite 1800</w:t>
      </w:r>
    </w:p>
    <w:p w:rsidR="007C44B8" w:rsidRPr="00EC268C" w:rsidRDefault="007C44B8" w:rsidP="007C44B8">
      <w:pPr>
        <w:tabs>
          <w:tab w:val="left" w:pos="2160"/>
          <w:tab w:val="left" w:pos="2280"/>
        </w:tabs>
        <w:rPr>
          <w:rFonts w:ascii="Arial" w:hAnsi="Arial" w:cs="Arial"/>
          <w:sz w:val="20"/>
          <w:szCs w:val="20"/>
        </w:rPr>
      </w:pPr>
      <w:r>
        <w:rPr>
          <w:rFonts w:ascii="Arial" w:hAnsi="Arial" w:cs="Arial"/>
          <w:sz w:val="20"/>
          <w:szCs w:val="20"/>
        </w:rPr>
        <w:t>Columbus, OH  43215-3485</w:t>
      </w:r>
    </w:p>
    <w:p w:rsidR="007C44B8" w:rsidRPr="00EC268C" w:rsidRDefault="007C44B8" w:rsidP="007C44B8">
      <w:pPr>
        <w:tabs>
          <w:tab w:val="left" w:pos="2160"/>
          <w:tab w:val="left" w:pos="2280"/>
        </w:tabs>
        <w:rPr>
          <w:rFonts w:ascii="Arial" w:hAnsi="Arial" w:cs="Arial"/>
          <w:sz w:val="20"/>
          <w:szCs w:val="20"/>
        </w:rPr>
      </w:pPr>
      <w:r>
        <w:rPr>
          <w:rFonts w:ascii="Arial" w:hAnsi="Arial" w:cs="Arial"/>
          <w:sz w:val="20"/>
          <w:szCs w:val="20"/>
        </w:rPr>
        <w:t>Joseph.serio@occ.ohio.gov</w:t>
      </w:r>
    </w:p>
    <w:p w:rsidR="007C44B8" w:rsidRPr="00EC268C" w:rsidRDefault="007C44B8" w:rsidP="007C44B8">
      <w:pPr>
        <w:tabs>
          <w:tab w:val="left" w:pos="2160"/>
          <w:tab w:val="left" w:pos="2280"/>
        </w:tabs>
        <w:rPr>
          <w:rFonts w:ascii="Arial" w:hAnsi="Arial" w:cs="Arial"/>
          <w:sz w:val="20"/>
          <w:szCs w:val="20"/>
        </w:rPr>
      </w:pPr>
    </w:p>
    <w:p w:rsidR="007C44B8" w:rsidRPr="00EC268C" w:rsidRDefault="007C44B8" w:rsidP="007C44B8">
      <w:pPr>
        <w:autoSpaceDE w:val="0"/>
        <w:autoSpaceDN w:val="0"/>
        <w:adjustRightInd w:val="0"/>
        <w:rPr>
          <w:rFonts w:ascii="Arial Bold" w:hAnsi="Arial Bold" w:cs="Arial"/>
          <w:b/>
          <w:smallCaps/>
          <w:sz w:val="20"/>
          <w:szCs w:val="20"/>
        </w:rPr>
      </w:pPr>
      <w:r w:rsidRPr="00EC268C">
        <w:rPr>
          <w:rFonts w:ascii="Arial Bold" w:hAnsi="Arial Bold" w:cs="Arial"/>
          <w:b/>
          <w:smallCaps/>
          <w:sz w:val="20"/>
          <w:szCs w:val="20"/>
        </w:rPr>
        <w:t xml:space="preserve">On Behalf of </w:t>
      </w:r>
      <w:r>
        <w:rPr>
          <w:rFonts w:ascii="Arial Bold" w:hAnsi="Arial Bold" w:cs="Arial"/>
          <w:b/>
          <w:smallCaps/>
          <w:sz w:val="20"/>
          <w:szCs w:val="20"/>
        </w:rPr>
        <w:t>the Office of the Ohio Consumers’ Counsel</w:t>
      </w:r>
    </w:p>
    <w:p w:rsidR="007C44B8" w:rsidRPr="00EC268C" w:rsidRDefault="007C44B8" w:rsidP="007C44B8">
      <w:pPr>
        <w:tabs>
          <w:tab w:val="left" w:pos="2160"/>
          <w:tab w:val="left" w:pos="2280"/>
        </w:tabs>
        <w:rPr>
          <w:rFonts w:ascii="Arial" w:hAnsi="Arial" w:cs="Arial"/>
          <w:sz w:val="20"/>
          <w:szCs w:val="20"/>
        </w:rPr>
      </w:pPr>
    </w:p>
    <w:p w:rsidR="0004222D" w:rsidRDefault="0004222D" w:rsidP="007C44B8">
      <w:pPr>
        <w:tabs>
          <w:tab w:val="left" w:pos="2160"/>
          <w:tab w:val="left" w:pos="2280"/>
        </w:tabs>
        <w:rPr>
          <w:rFonts w:ascii="Arial" w:hAnsi="Arial" w:cs="Arial"/>
          <w:sz w:val="20"/>
          <w:szCs w:val="20"/>
        </w:rPr>
        <w:sectPr w:rsidR="0004222D">
          <w:type w:val="continuous"/>
          <w:pgSz w:w="12240" w:h="15840" w:code="1"/>
          <w:pgMar w:top="1440" w:right="1440" w:bottom="1141" w:left="1440" w:header="720" w:footer="720" w:gutter="0"/>
          <w:pgNumType w:start="1"/>
          <w:cols w:num="2" w:space="720"/>
          <w:titlePg/>
          <w:docGrid w:linePitch="326"/>
        </w:sectPr>
      </w:pPr>
    </w:p>
    <w:p w:rsidR="007C44B8" w:rsidRPr="00EC268C" w:rsidRDefault="007C44B8" w:rsidP="007C44B8">
      <w:pPr>
        <w:tabs>
          <w:tab w:val="left" w:pos="2160"/>
          <w:tab w:val="left" w:pos="2280"/>
        </w:tabs>
        <w:rPr>
          <w:rFonts w:ascii="Arial" w:hAnsi="Arial" w:cs="Arial"/>
          <w:sz w:val="20"/>
          <w:szCs w:val="20"/>
        </w:rPr>
      </w:pPr>
      <w:r w:rsidRPr="00EC268C">
        <w:rPr>
          <w:rFonts w:ascii="Arial" w:hAnsi="Arial" w:cs="Arial"/>
          <w:sz w:val="20"/>
          <w:szCs w:val="20"/>
        </w:rPr>
        <w:lastRenderedPageBreak/>
        <w:t>Thomas McNamee</w:t>
      </w:r>
    </w:p>
    <w:p w:rsidR="007C44B8" w:rsidRPr="00EC268C" w:rsidRDefault="007C44B8" w:rsidP="007C44B8">
      <w:pPr>
        <w:tabs>
          <w:tab w:val="left" w:pos="2160"/>
          <w:tab w:val="left" w:pos="2280"/>
        </w:tabs>
        <w:rPr>
          <w:rFonts w:ascii="Arial" w:hAnsi="Arial" w:cs="Arial"/>
          <w:sz w:val="20"/>
          <w:szCs w:val="20"/>
        </w:rPr>
      </w:pPr>
      <w:r w:rsidRPr="00EC268C">
        <w:rPr>
          <w:rFonts w:ascii="Arial" w:hAnsi="Arial" w:cs="Arial"/>
          <w:sz w:val="20"/>
          <w:szCs w:val="20"/>
        </w:rPr>
        <w:t xml:space="preserve">Assistant Attorney General </w:t>
      </w:r>
    </w:p>
    <w:p w:rsidR="007C44B8" w:rsidRPr="00EC268C" w:rsidRDefault="007C44B8" w:rsidP="007C44B8">
      <w:pPr>
        <w:tabs>
          <w:tab w:val="left" w:pos="2160"/>
          <w:tab w:val="left" w:pos="2280"/>
        </w:tabs>
        <w:rPr>
          <w:rFonts w:ascii="Arial" w:hAnsi="Arial" w:cs="Arial"/>
          <w:sz w:val="20"/>
          <w:szCs w:val="20"/>
        </w:rPr>
      </w:pPr>
      <w:r w:rsidRPr="00EC268C">
        <w:rPr>
          <w:rFonts w:ascii="Arial" w:hAnsi="Arial" w:cs="Arial"/>
          <w:sz w:val="20"/>
          <w:szCs w:val="20"/>
        </w:rPr>
        <w:t>Public Utilities Section</w:t>
      </w:r>
    </w:p>
    <w:p w:rsidR="007C44B8" w:rsidRPr="00EC268C" w:rsidRDefault="007C44B8" w:rsidP="007C44B8">
      <w:pPr>
        <w:tabs>
          <w:tab w:val="left" w:pos="2160"/>
          <w:tab w:val="left" w:pos="2280"/>
        </w:tabs>
        <w:rPr>
          <w:rFonts w:ascii="Arial" w:hAnsi="Arial" w:cs="Arial"/>
          <w:sz w:val="20"/>
          <w:szCs w:val="20"/>
        </w:rPr>
      </w:pPr>
      <w:r w:rsidRPr="00EC268C">
        <w:rPr>
          <w:rFonts w:ascii="Arial" w:hAnsi="Arial" w:cs="Arial"/>
          <w:sz w:val="20"/>
          <w:szCs w:val="20"/>
        </w:rPr>
        <w:t>180 East Broad Street</w:t>
      </w:r>
    </w:p>
    <w:p w:rsidR="007C44B8" w:rsidRPr="00EC268C" w:rsidRDefault="007C44B8" w:rsidP="007C44B8">
      <w:pPr>
        <w:tabs>
          <w:tab w:val="left" w:pos="2160"/>
          <w:tab w:val="left" w:pos="2280"/>
        </w:tabs>
        <w:rPr>
          <w:rFonts w:ascii="Arial" w:hAnsi="Arial" w:cs="Arial"/>
          <w:sz w:val="20"/>
          <w:szCs w:val="20"/>
        </w:rPr>
      </w:pPr>
      <w:r w:rsidRPr="00EC268C">
        <w:rPr>
          <w:rFonts w:ascii="Arial" w:hAnsi="Arial" w:cs="Arial"/>
          <w:sz w:val="20"/>
          <w:szCs w:val="20"/>
        </w:rPr>
        <w:t>Columbus, OH  43215</w:t>
      </w:r>
    </w:p>
    <w:p w:rsidR="007C44B8" w:rsidRPr="00EC268C" w:rsidRDefault="007C44B8" w:rsidP="007C44B8">
      <w:pPr>
        <w:tabs>
          <w:tab w:val="left" w:pos="2160"/>
          <w:tab w:val="left" w:pos="2280"/>
        </w:tabs>
        <w:rPr>
          <w:rFonts w:ascii="Arial" w:hAnsi="Arial" w:cs="Arial"/>
          <w:sz w:val="20"/>
          <w:szCs w:val="20"/>
        </w:rPr>
      </w:pPr>
      <w:r w:rsidRPr="00EC268C">
        <w:rPr>
          <w:rFonts w:ascii="Arial" w:hAnsi="Arial" w:cs="Arial"/>
          <w:sz w:val="20"/>
          <w:szCs w:val="20"/>
        </w:rPr>
        <w:t>thomas.mcnamee@puc.state.oh.us</w:t>
      </w:r>
    </w:p>
    <w:p w:rsidR="007C44B8" w:rsidRPr="00EC268C" w:rsidRDefault="007C44B8" w:rsidP="007C44B8">
      <w:pPr>
        <w:autoSpaceDE w:val="0"/>
        <w:autoSpaceDN w:val="0"/>
        <w:adjustRightInd w:val="0"/>
        <w:rPr>
          <w:rFonts w:ascii="Arial Bold" w:hAnsi="Arial Bold" w:cs="Arial"/>
          <w:b/>
          <w:smallCaps/>
          <w:sz w:val="20"/>
          <w:szCs w:val="20"/>
        </w:rPr>
      </w:pPr>
    </w:p>
    <w:p w:rsidR="007C44B8" w:rsidRPr="00EC268C" w:rsidRDefault="007C44B8" w:rsidP="007C44B8">
      <w:pPr>
        <w:autoSpaceDE w:val="0"/>
        <w:autoSpaceDN w:val="0"/>
        <w:adjustRightInd w:val="0"/>
        <w:rPr>
          <w:rFonts w:ascii="Arial Bold" w:hAnsi="Arial Bold" w:cs="Arial"/>
          <w:b/>
          <w:smallCaps/>
          <w:sz w:val="20"/>
          <w:szCs w:val="20"/>
        </w:rPr>
      </w:pPr>
      <w:r w:rsidRPr="00EC268C">
        <w:rPr>
          <w:rFonts w:ascii="Arial Bold" w:hAnsi="Arial Bold" w:cs="Arial"/>
          <w:b/>
          <w:smallCaps/>
          <w:sz w:val="20"/>
          <w:szCs w:val="20"/>
        </w:rPr>
        <w:t>On Behalf of the Staff of the Public Utilities Commission of Ohio</w:t>
      </w:r>
    </w:p>
    <w:p w:rsidR="007C44B8" w:rsidRPr="00EC268C" w:rsidRDefault="007C44B8" w:rsidP="007C44B8">
      <w:pPr>
        <w:autoSpaceDE w:val="0"/>
        <w:autoSpaceDN w:val="0"/>
        <w:adjustRightInd w:val="0"/>
        <w:rPr>
          <w:rFonts w:ascii="Arial Bold" w:hAnsi="Arial Bold" w:cs="Arial"/>
          <w:b/>
          <w:smallCaps/>
          <w:sz w:val="20"/>
          <w:szCs w:val="20"/>
        </w:rPr>
      </w:pPr>
    </w:p>
    <w:p w:rsidR="007C44B8" w:rsidRPr="00EC268C" w:rsidRDefault="007C44B8" w:rsidP="007C44B8">
      <w:pPr>
        <w:autoSpaceDE w:val="0"/>
        <w:autoSpaceDN w:val="0"/>
        <w:adjustRightInd w:val="0"/>
        <w:rPr>
          <w:rFonts w:ascii="Arial" w:hAnsi="Arial" w:cs="Arial"/>
          <w:sz w:val="20"/>
          <w:szCs w:val="20"/>
        </w:rPr>
      </w:pPr>
      <w:r w:rsidRPr="00EC268C">
        <w:rPr>
          <w:rFonts w:ascii="Arial" w:hAnsi="Arial" w:cs="Arial"/>
          <w:sz w:val="20"/>
          <w:szCs w:val="20"/>
        </w:rPr>
        <w:t>Greta See</w:t>
      </w:r>
    </w:p>
    <w:p w:rsidR="007C44B8" w:rsidRPr="00EC268C" w:rsidRDefault="007C44B8" w:rsidP="007C44B8">
      <w:pPr>
        <w:autoSpaceDE w:val="0"/>
        <w:autoSpaceDN w:val="0"/>
        <w:adjustRightInd w:val="0"/>
        <w:rPr>
          <w:rFonts w:ascii="Arial" w:hAnsi="Arial" w:cs="Arial"/>
          <w:sz w:val="20"/>
          <w:szCs w:val="20"/>
        </w:rPr>
      </w:pPr>
      <w:r w:rsidRPr="00EC268C">
        <w:rPr>
          <w:rFonts w:ascii="Arial" w:hAnsi="Arial" w:cs="Arial"/>
          <w:sz w:val="20"/>
          <w:szCs w:val="20"/>
        </w:rPr>
        <w:t>Public Utilities Commission of Ohio</w:t>
      </w:r>
    </w:p>
    <w:p w:rsidR="007C44B8" w:rsidRPr="00EC268C" w:rsidRDefault="007C44B8" w:rsidP="007C44B8">
      <w:pPr>
        <w:autoSpaceDE w:val="0"/>
        <w:autoSpaceDN w:val="0"/>
        <w:adjustRightInd w:val="0"/>
        <w:rPr>
          <w:rFonts w:ascii="Arial" w:hAnsi="Arial" w:cs="Arial"/>
          <w:sz w:val="20"/>
          <w:szCs w:val="20"/>
        </w:rPr>
      </w:pPr>
      <w:r w:rsidRPr="00EC268C">
        <w:rPr>
          <w:rFonts w:ascii="Arial" w:hAnsi="Arial" w:cs="Arial"/>
          <w:sz w:val="20"/>
          <w:szCs w:val="20"/>
        </w:rPr>
        <w:t>180 East Broad Street</w:t>
      </w:r>
    </w:p>
    <w:p w:rsidR="007C44B8" w:rsidRPr="00EC268C" w:rsidRDefault="007C44B8" w:rsidP="007C44B8">
      <w:pPr>
        <w:autoSpaceDE w:val="0"/>
        <w:autoSpaceDN w:val="0"/>
        <w:adjustRightInd w:val="0"/>
        <w:rPr>
          <w:rFonts w:ascii="Arial" w:hAnsi="Arial" w:cs="Arial"/>
          <w:sz w:val="20"/>
          <w:szCs w:val="20"/>
        </w:rPr>
      </w:pPr>
      <w:r w:rsidRPr="00EC268C">
        <w:rPr>
          <w:rFonts w:ascii="Arial" w:hAnsi="Arial" w:cs="Arial"/>
          <w:sz w:val="20"/>
          <w:szCs w:val="20"/>
        </w:rPr>
        <w:t>Columbus, OH  43215</w:t>
      </w:r>
    </w:p>
    <w:p w:rsidR="007C44B8" w:rsidRPr="00EC268C" w:rsidRDefault="007C44B8" w:rsidP="007C44B8">
      <w:pPr>
        <w:autoSpaceDE w:val="0"/>
        <w:autoSpaceDN w:val="0"/>
        <w:adjustRightInd w:val="0"/>
        <w:rPr>
          <w:rFonts w:ascii="Arial" w:hAnsi="Arial" w:cs="Arial"/>
          <w:sz w:val="20"/>
          <w:szCs w:val="20"/>
        </w:rPr>
      </w:pPr>
      <w:r w:rsidRPr="00EC268C">
        <w:rPr>
          <w:rFonts w:ascii="Arial" w:hAnsi="Arial" w:cs="Arial"/>
          <w:sz w:val="20"/>
          <w:szCs w:val="20"/>
        </w:rPr>
        <w:t>Greta.See@puc.state.oh.us</w:t>
      </w:r>
    </w:p>
    <w:p w:rsidR="007C44B8" w:rsidRPr="00EC268C" w:rsidRDefault="007C44B8" w:rsidP="007C44B8">
      <w:pPr>
        <w:autoSpaceDE w:val="0"/>
        <w:autoSpaceDN w:val="0"/>
        <w:adjustRightInd w:val="0"/>
        <w:rPr>
          <w:rFonts w:ascii="Arial" w:hAnsi="Arial" w:cs="Arial"/>
          <w:sz w:val="20"/>
          <w:szCs w:val="20"/>
        </w:rPr>
      </w:pPr>
    </w:p>
    <w:p w:rsidR="007C44B8" w:rsidRPr="00EC268C" w:rsidRDefault="007C44B8" w:rsidP="007C44B8">
      <w:pPr>
        <w:autoSpaceDE w:val="0"/>
        <w:autoSpaceDN w:val="0"/>
        <w:adjustRightInd w:val="0"/>
        <w:rPr>
          <w:rFonts w:ascii="Arial Bold" w:hAnsi="Arial Bold" w:cs="Arial"/>
          <w:b/>
          <w:smallCaps/>
          <w:sz w:val="20"/>
          <w:szCs w:val="20"/>
        </w:rPr>
      </w:pPr>
      <w:r w:rsidRPr="00EC268C">
        <w:rPr>
          <w:rFonts w:ascii="Arial Bold" w:hAnsi="Arial Bold" w:cs="Arial"/>
          <w:b/>
          <w:smallCaps/>
          <w:sz w:val="20"/>
          <w:szCs w:val="20"/>
        </w:rPr>
        <w:t>Attorney Examiner</w:t>
      </w:r>
    </w:p>
    <w:p w:rsidR="005C08CB" w:rsidRDefault="005C08CB">
      <w:pPr>
        <w:rPr>
          <w:rFonts w:ascii="Arial" w:hAnsi="Arial" w:cs="Arial"/>
        </w:rPr>
      </w:pPr>
    </w:p>
    <w:sectPr w:rsidR="005C08CB" w:rsidSect="0004222D">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8CB" w:rsidRDefault="007757EA">
      <w:r>
        <w:separator/>
      </w:r>
    </w:p>
  </w:endnote>
  <w:endnote w:type="continuationSeparator" w:id="0">
    <w:p w:rsidR="005C08CB" w:rsidRDefault="0077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CB" w:rsidRDefault="007757EA">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08CB" w:rsidRDefault="005C08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CB" w:rsidRPr="00AD306F" w:rsidRDefault="007757EA">
    <w:pPr>
      <w:pStyle w:val="Footer"/>
      <w:framePr w:wrap="around" w:vAnchor="text" w:hAnchor="margin" w:xAlign="center" w:y="1"/>
      <w:rPr>
        <w:rStyle w:val="PageNumber"/>
        <w:rFonts w:ascii="Arial" w:hAnsi="Arial" w:cs="Arial"/>
        <w:noProof/>
        <w:sz w:val="22"/>
        <w:szCs w:val="22"/>
      </w:rPr>
    </w:pPr>
    <w:r w:rsidRPr="00AD306F">
      <w:rPr>
        <w:rStyle w:val="PageNumber"/>
        <w:rFonts w:ascii="Arial" w:hAnsi="Arial" w:cs="Arial"/>
        <w:noProof/>
        <w:sz w:val="22"/>
        <w:szCs w:val="22"/>
      </w:rPr>
      <w:fldChar w:fldCharType="begin"/>
    </w:r>
    <w:r w:rsidRPr="00AD306F">
      <w:rPr>
        <w:rStyle w:val="PageNumber"/>
        <w:rFonts w:ascii="Arial" w:hAnsi="Arial" w:cs="Arial"/>
        <w:noProof/>
        <w:sz w:val="22"/>
        <w:szCs w:val="22"/>
      </w:rPr>
      <w:instrText xml:space="preserve">PAGE  </w:instrText>
    </w:r>
    <w:r w:rsidRPr="00AD306F">
      <w:rPr>
        <w:rStyle w:val="PageNumber"/>
        <w:rFonts w:ascii="Arial" w:hAnsi="Arial" w:cs="Arial"/>
        <w:noProof/>
        <w:sz w:val="22"/>
        <w:szCs w:val="22"/>
      </w:rPr>
      <w:fldChar w:fldCharType="separate"/>
    </w:r>
    <w:r w:rsidR="00C61B66">
      <w:rPr>
        <w:rStyle w:val="PageNumber"/>
        <w:rFonts w:ascii="Arial" w:hAnsi="Arial" w:cs="Arial"/>
        <w:noProof/>
        <w:sz w:val="22"/>
        <w:szCs w:val="22"/>
      </w:rPr>
      <w:t>7</w:t>
    </w:r>
    <w:r w:rsidRPr="00AD306F">
      <w:rPr>
        <w:rStyle w:val="PageNumber"/>
        <w:rFonts w:ascii="Arial" w:hAnsi="Arial" w:cs="Arial"/>
        <w:noProof/>
        <w:sz w:val="22"/>
        <w:szCs w:val="22"/>
      </w:rPr>
      <w:fldChar w:fldCharType="end"/>
    </w:r>
  </w:p>
  <w:p w:rsidR="005C08CB" w:rsidRDefault="00F31214">
    <w:pPr>
      <w:pStyle w:val="Footer"/>
      <w:rPr>
        <w:rFonts w:ascii="Arial" w:hAnsi="Arial" w:cs="Arial"/>
      </w:rPr>
    </w:pPr>
    <w:r w:rsidRPr="00F31214">
      <w:rPr>
        <w:rFonts w:ascii="Arial" w:hAnsi="Arial" w:cs="Arial"/>
        <w:sz w:val="16"/>
      </w:rPr>
      <w:t>{C48136:3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CB" w:rsidRDefault="00F31214">
    <w:pPr>
      <w:pStyle w:val="Footer"/>
      <w:rPr>
        <w:rFonts w:ascii="Arial" w:hAnsi="Arial" w:cs="Arial"/>
      </w:rPr>
    </w:pPr>
    <w:r w:rsidRPr="00F31214">
      <w:rPr>
        <w:rFonts w:ascii="Arial" w:hAnsi="Arial" w:cs="Arial"/>
        <w:noProof/>
        <w:sz w:val="16"/>
      </w:rPr>
      <w:t>{C48136:3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8CB" w:rsidRDefault="007757EA">
      <w:pPr>
        <w:rPr>
          <w:noProof/>
        </w:rPr>
      </w:pPr>
      <w:r>
        <w:rPr>
          <w:noProof/>
        </w:rPr>
        <w:separator/>
      </w:r>
    </w:p>
  </w:footnote>
  <w:footnote w:type="continuationSeparator" w:id="0">
    <w:p w:rsidR="005C08CB" w:rsidRDefault="007757EA">
      <w:r>
        <w:continuationSeparator/>
      </w:r>
    </w:p>
  </w:footnote>
  <w:footnote w:id="1">
    <w:p w:rsidR="005C08CB" w:rsidRDefault="007757EA">
      <w:pPr>
        <w:pStyle w:val="FootnoteText"/>
      </w:pPr>
      <w:r>
        <w:rPr>
          <w:rStyle w:val="FootnoteReference"/>
        </w:rPr>
        <w:footnoteRef/>
      </w:r>
      <w:r>
        <w:t xml:space="preserve"> </w:t>
      </w:r>
      <w:r>
        <w:rPr>
          <w:i/>
        </w:rPr>
        <w:t>See, e.g.</w:t>
      </w:r>
      <w:r>
        <w:t>, Ohio Development Services Agency (“ODSA”) Ex. 1 at 11</w:t>
      </w:r>
      <w:r w:rsidR="007E066D">
        <w:t>;</w:t>
      </w:r>
      <w:r>
        <w:t xml:space="preserve"> Joint Ex. 1 at 7.</w:t>
      </w:r>
    </w:p>
  </w:footnote>
  <w:footnote w:id="2">
    <w:p w:rsidR="005C08CB" w:rsidRDefault="007757EA">
      <w:pPr>
        <w:pStyle w:val="FootnoteText"/>
      </w:pPr>
      <w:r>
        <w:rPr>
          <w:rStyle w:val="FootnoteReference"/>
        </w:rPr>
        <w:footnoteRef/>
      </w:r>
      <w:r>
        <w:t xml:space="preserve"> </w:t>
      </w:r>
      <w:r>
        <w:rPr>
          <w:i/>
        </w:rPr>
        <w:t>In the Matter of the Application of the Ohio Department of Development for an Order Approving Adjustments to the Universal Service Fund Riders of Jurisdictional Ohio Electric Distribution Utilities</w:t>
      </w:r>
      <w:r>
        <w:t>, Case No. 01-2411-EL-UNC, Opinion and Order at 3, 6 (Dec. 20, 2001) (“</w:t>
      </w:r>
      <w:r>
        <w:rPr>
          <w:i/>
        </w:rPr>
        <w:t>2001 USF Case</w:t>
      </w:r>
      <w:r>
        <w:t xml:space="preserve">”); </w:t>
      </w:r>
      <w:r>
        <w:rPr>
          <w:i/>
        </w:rPr>
        <w:t>In the Matter of the Application of the Ohio Department of Development for an Order Approving Adjustments to the Universal Service Fund Riders of Jurisdictional Ohio Electric Distribution Utilities</w:t>
      </w:r>
      <w:r w:rsidR="008552DD">
        <w:t>, Case No. 03</w:t>
      </w:r>
      <w:r w:rsidR="008552DD">
        <w:noBreakHyphen/>
        <w:t>2049</w:t>
      </w:r>
      <w:r w:rsidR="008552DD">
        <w:noBreakHyphen/>
        <w:t>EL</w:t>
      </w:r>
      <w:r w:rsidR="008552DD">
        <w:noBreakHyphen/>
      </w:r>
      <w:r>
        <w:t>UNC, Opinion and Order at 7-9 (Dec. 3, 2003) (“</w:t>
      </w:r>
      <w:r>
        <w:rPr>
          <w:i/>
        </w:rPr>
        <w:t>2003 USF Case</w:t>
      </w:r>
      <w:r>
        <w:t xml:space="preserve">”); </w:t>
      </w:r>
      <w:r>
        <w:rPr>
          <w:i/>
        </w:rPr>
        <w:t>In the Matter of the Application of the Ohio Department of Development for an Order Approving Adjustments to the Universal Service Fund Riders of Jurisdictional Ohio Electric Distribution Utilities</w:t>
      </w:r>
      <w:r>
        <w:t>, Case No. 04-1616-EL-UNC, Opinion and Order at 3, 7-9 (Dec. 8, 2004) (“</w:t>
      </w:r>
      <w:r>
        <w:rPr>
          <w:i/>
        </w:rPr>
        <w:t>2004 USF Case</w:t>
      </w:r>
      <w:r>
        <w:t xml:space="preserve">”); </w:t>
      </w:r>
      <w:r>
        <w:rPr>
          <w:i/>
        </w:rPr>
        <w:t>In the Matter of the Application of the Ohio Department of Development for an Order Approving Adjustments to the Universal Service Fund Riders of Jurisdictional Ohio Electric Distribution Utilities</w:t>
      </w:r>
      <w:r>
        <w:t>, Case No. 05-717-EL-UNC, Opinion and Order at 4, 10-15 (Dec. 14, 2005) (“</w:t>
      </w:r>
      <w:r>
        <w:rPr>
          <w:i/>
        </w:rPr>
        <w:t>2005 USF Case</w:t>
      </w:r>
      <w:r>
        <w:t xml:space="preserve">”); </w:t>
      </w:r>
      <w:r>
        <w:rPr>
          <w:i/>
        </w:rPr>
        <w:t>In the Matter of the Application of the Ohio Department of Development for an Order Approving Adjustments to the Universal Service Fund Riders of Jurisdictional Ohio Electric Distribution Utilities</w:t>
      </w:r>
      <w:r>
        <w:t>, Case No. 06-751-EL-UNC, Opinion and Order at 10-14 (Dec. 20, 2006) (“</w:t>
      </w:r>
      <w:r>
        <w:rPr>
          <w:i/>
        </w:rPr>
        <w:t>2006 USF Case</w:t>
      </w:r>
      <w:r>
        <w:t xml:space="preserve">”); </w:t>
      </w:r>
      <w:r>
        <w:rPr>
          <w:i/>
        </w:rPr>
        <w:t>In the Matter of the Application of the Ohio Department of Development for an Order Approving Adjustments to the Universal Service Fund Riders of Jurisdictional Ohio Electric Distribution Utilities</w:t>
      </w:r>
      <w:r>
        <w:t>, Case No. 07-661-EL-UNC, Finding and Order at 5-7, 10-11 (Sep. 5, 2007) (“</w:t>
      </w:r>
      <w:r>
        <w:rPr>
          <w:i/>
        </w:rPr>
        <w:t>2007 USF Case</w:t>
      </w:r>
      <w:r>
        <w:t xml:space="preserve">”); </w:t>
      </w:r>
      <w:r>
        <w:rPr>
          <w:i/>
        </w:rPr>
        <w:t>In the Matter of the Application of the Ohio Department of Development for an Order Approving Adjustments to the Universal Service Fund Riders of Jurisdictional Ohio Electric Distribution Utilities</w:t>
      </w:r>
      <w:r w:rsidR="008552DD">
        <w:t>, Case No. 08</w:t>
      </w:r>
      <w:r w:rsidR="008552DD">
        <w:noBreakHyphen/>
        <w:t>658</w:t>
      </w:r>
      <w:r w:rsidR="008552DD">
        <w:noBreakHyphen/>
      </w:r>
      <w:r>
        <w:t>EL</w:t>
      </w:r>
      <w:r w:rsidR="008552DD">
        <w:noBreakHyphen/>
      </w:r>
      <w:r>
        <w:t>UNC, Finding and Order at 5-9 (Sep. 10, 2008) (“</w:t>
      </w:r>
      <w:r>
        <w:rPr>
          <w:i/>
        </w:rPr>
        <w:t>2008 USF Case</w:t>
      </w:r>
      <w:r>
        <w:t xml:space="preserve">”); </w:t>
      </w:r>
      <w:r>
        <w:rPr>
          <w:i/>
        </w:rPr>
        <w:t>In the Matter of the Application of the Ohio Department of Development for an Order Approving Adjustments to the Universal Service Fund Riders of Jurisdictional Ohio Electric Distribution Utilities</w:t>
      </w:r>
      <w:r>
        <w:t>, Case No. 09-463-EL-UNC, Finding and Order at 4-9 (Oct. 28, 2009) (“</w:t>
      </w:r>
      <w:r>
        <w:rPr>
          <w:i/>
        </w:rPr>
        <w:t>2009 USF Case</w:t>
      </w:r>
      <w:r>
        <w:t xml:space="preserve">”); </w:t>
      </w:r>
      <w:r>
        <w:rPr>
          <w:i/>
        </w:rPr>
        <w:t>In the Matter of the Application of the Ohio Department of Development for an Order Approving Adjustments to the Universal Service Fund Riders of Jurisdictional Ohio Electric Distribution Utilities</w:t>
      </w:r>
      <w:r>
        <w:t>, Case No. 10-725-EL-USF, Finding and Order at 9-12 (Oct. 27, 2010) (“</w:t>
      </w:r>
      <w:r>
        <w:rPr>
          <w:i/>
        </w:rPr>
        <w:t>2010 USF Case</w:t>
      </w:r>
      <w:r>
        <w:t xml:space="preserve">”); </w:t>
      </w:r>
      <w:r>
        <w:rPr>
          <w:i/>
        </w:rPr>
        <w:t>In the Matter of the Application of the Ohio Department of Development for an Order Approving Adjustments to the Universal Service Fund Riders of Jurisdictional Ohio Electric Distribution Utilities</w:t>
      </w:r>
      <w:r>
        <w:t>, Case No. 11-3223-EL-USF, Finding and Order at 7-10 (Oct. 3, 2011) (“</w:t>
      </w:r>
      <w:r>
        <w:rPr>
          <w:i/>
        </w:rPr>
        <w:t>2011 USF Case</w:t>
      </w:r>
      <w:r>
        <w:t xml:space="preserve">”); </w:t>
      </w:r>
      <w:r>
        <w:rPr>
          <w:i/>
        </w:rPr>
        <w:t>In the Matter of the Application of the Ohio Department of Development for an Order Approving Adjustments to the Universal Service Fund Riders of Jurisdictional Ohio Electric Distribution Utilities</w:t>
      </w:r>
      <w:r>
        <w:t>, Case No. 12-1719-EL-USF, Finding and Order at 7-10 (Sep. 19, 2012) (“</w:t>
      </w:r>
      <w:r>
        <w:rPr>
          <w:i/>
        </w:rPr>
        <w:t>2012 USF Case</w:t>
      </w:r>
      <w:r>
        <w:t xml:space="preserve">”); and </w:t>
      </w:r>
      <w:r>
        <w:rPr>
          <w:i/>
        </w:rPr>
        <w:t>In the Matter of the Application of the Ohio Development Services Agency for an Order Approving Adjustments to the Universal Service Fund Riders of Jurisdictional Ohio Electric Distribution Utilities</w:t>
      </w:r>
      <w:r>
        <w:t>, Case No. 13-1296-EL-USF, Finding and Order at 5-8 (Oct. 2, 2013) (“</w:t>
      </w:r>
      <w:r>
        <w:rPr>
          <w:i/>
        </w:rPr>
        <w:t>2013 USF Case</w:t>
      </w:r>
      <w:r>
        <w:t xml:space="preserve">”).  OPAE intervened in the 2002 </w:t>
      </w:r>
      <w:r w:rsidR="007E066D">
        <w:t xml:space="preserve">case </w:t>
      </w:r>
      <w:r>
        <w:t>and indicated that although it did not join the stipulation in the 2002 case it did not oppose it; OPAE did not intervene in the 2014 case.</w:t>
      </w:r>
      <w:r>
        <w:rPr>
          <w:rFonts w:eastAsiaTheme="minorHAnsi" w:cstheme="minorBidi"/>
          <w:i/>
          <w:sz w:val="24"/>
          <w:szCs w:val="24"/>
        </w:rPr>
        <w:t xml:space="preserve"> </w:t>
      </w:r>
      <w:r>
        <w:rPr>
          <w:i/>
        </w:rPr>
        <w:t>In the Matter of the Application of the Ohio Department of Development for an Order Approving Adjustments to the Universal Service Fund Riders of Jurisdictional Ohio Electric Distribution Utilities</w:t>
      </w:r>
      <w:r>
        <w:t>, Case No. 02-2868-EL-UN</w:t>
      </w:r>
      <w:r w:rsidR="008552DD">
        <w:t>C, Opinion and Order at 6 (Jan. </w:t>
      </w:r>
      <w:r>
        <w:t>23, 2003) (“</w:t>
      </w:r>
      <w:r>
        <w:rPr>
          <w:i/>
        </w:rPr>
        <w:t>2002 USF Case</w:t>
      </w:r>
      <w:r>
        <w:t xml:space="preserve">”); </w:t>
      </w:r>
      <w:r>
        <w:rPr>
          <w:i/>
        </w:rPr>
        <w:t>In the Matter of the Application of the Ohio Development Services Agency for an Order Approving Adjustments to the Universal Service Fund Riders of Jurisdictional Ohio Electric Distribution Utilities</w:t>
      </w:r>
      <w:r>
        <w:t>, Case No. 14-1002-EL-USF (“</w:t>
      </w:r>
      <w:r>
        <w:rPr>
          <w:i/>
        </w:rPr>
        <w:t>2014 USF Case</w:t>
      </w:r>
      <w:r>
        <w:t>”).</w:t>
      </w:r>
    </w:p>
  </w:footnote>
  <w:footnote w:id="3">
    <w:p w:rsidR="005C08CB" w:rsidRDefault="007757EA">
      <w:pPr>
        <w:pStyle w:val="FootnoteText"/>
      </w:pPr>
      <w:r>
        <w:rPr>
          <w:rStyle w:val="FootnoteReference"/>
        </w:rPr>
        <w:footnoteRef/>
      </w:r>
      <w:r>
        <w:t xml:space="preserve"> </w:t>
      </w:r>
      <w:r>
        <w:rPr>
          <w:i/>
        </w:rPr>
        <w:t>2014 USF Case</w:t>
      </w:r>
      <w:r>
        <w:t xml:space="preserve">, Finding and Order at 7 (Sep. 25, 2014); </w:t>
      </w:r>
      <w:r>
        <w:rPr>
          <w:i/>
        </w:rPr>
        <w:t>2013 USF Case</w:t>
      </w:r>
      <w:r>
        <w:t xml:space="preserve">, Finding and Order at 8 (Oct. 2, 2013); </w:t>
      </w:r>
      <w:r>
        <w:rPr>
          <w:i/>
        </w:rPr>
        <w:t>2012 USF Case</w:t>
      </w:r>
      <w:r>
        <w:t xml:space="preserve">, Finding and Order at 9-10 (Sep. 19, 2012); </w:t>
      </w:r>
      <w:r>
        <w:rPr>
          <w:i/>
        </w:rPr>
        <w:t>2011 USF Case</w:t>
      </w:r>
      <w:r>
        <w:t xml:space="preserve">, Finding and Order at 9 (Oct. 3, 2011).  In its orders prior to 2011, the Commission approved stipulations that recommended the Commission find that the continued use of the </w:t>
      </w:r>
      <w:r w:rsidR="007E066D">
        <w:t xml:space="preserve">declining block </w:t>
      </w:r>
      <w:r>
        <w:t xml:space="preserve">rate design did not violate R.C. 4928.52(C) and the Commission approved each of these stipulations without modification.  </w:t>
      </w:r>
      <w:r>
        <w:rPr>
          <w:i/>
        </w:rPr>
        <w:t>See, e.g.</w:t>
      </w:r>
      <w:r>
        <w:t xml:space="preserve">, </w:t>
      </w:r>
      <w:r>
        <w:rPr>
          <w:i/>
        </w:rPr>
        <w:t>2010 USF Case</w:t>
      </w:r>
      <w:r>
        <w:t>, Finding and Order at 10-11 (Oct. 27, 2010).</w:t>
      </w:r>
    </w:p>
  </w:footnote>
  <w:footnote w:id="4">
    <w:p w:rsidR="005C08CB" w:rsidRDefault="007757EA">
      <w:pPr>
        <w:pStyle w:val="FootnoteText"/>
      </w:pPr>
      <w:r>
        <w:rPr>
          <w:rStyle w:val="FootnoteReference"/>
        </w:rPr>
        <w:footnoteRef/>
      </w:r>
      <w:r>
        <w:t xml:space="preserve"> Tr. at 103.</w:t>
      </w:r>
    </w:p>
  </w:footnote>
  <w:footnote w:id="5">
    <w:p w:rsidR="005C08CB" w:rsidRDefault="007757EA">
      <w:pPr>
        <w:pStyle w:val="FootnoteText"/>
      </w:pPr>
      <w:r>
        <w:rPr>
          <w:rStyle w:val="FootnoteReference"/>
        </w:rPr>
        <w:footnoteRef/>
      </w:r>
      <w:r>
        <w:t xml:space="preserve"> OPAE’s Objections to ODSA’s Notice of Intent at 1-3 (July 6, 2015); OPAE Ex. 3 at 7-12.</w:t>
      </w:r>
    </w:p>
  </w:footnote>
  <w:footnote w:id="6">
    <w:p w:rsidR="005C08CB" w:rsidRDefault="007757EA">
      <w:pPr>
        <w:pStyle w:val="FootnoteText"/>
      </w:pPr>
      <w:r>
        <w:rPr>
          <w:rStyle w:val="FootnoteReference"/>
        </w:rPr>
        <w:footnoteRef/>
      </w:r>
      <w:r>
        <w:t xml:space="preserve"> </w:t>
      </w:r>
      <w:r>
        <w:rPr>
          <w:i/>
        </w:rPr>
        <w:t>See 2014 USF Case</w:t>
      </w:r>
      <w:r>
        <w:t xml:space="preserve">, Opinion and Order at 10 (Dec. 10, 2014); </w:t>
      </w:r>
      <w:r>
        <w:rPr>
          <w:i/>
        </w:rPr>
        <w:t xml:space="preserve">see also </w:t>
      </w:r>
      <w:r>
        <w:t>Entry at 2-3 (June 9, 2015).</w:t>
      </w:r>
    </w:p>
  </w:footnote>
  <w:footnote w:id="7">
    <w:p w:rsidR="005C08CB" w:rsidRDefault="007757EA">
      <w:pPr>
        <w:pStyle w:val="FootnoteText"/>
      </w:pPr>
      <w:r>
        <w:rPr>
          <w:rStyle w:val="FootnoteReference"/>
        </w:rPr>
        <w:footnoteRef/>
      </w:r>
      <w:r>
        <w:t xml:space="preserve"> ODSA Ex. 1 at 3-11.</w:t>
      </w:r>
    </w:p>
  </w:footnote>
  <w:footnote w:id="8">
    <w:p w:rsidR="005C08CB" w:rsidRDefault="007757EA">
      <w:pPr>
        <w:pStyle w:val="FootnoteText"/>
      </w:pPr>
      <w:r>
        <w:rPr>
          <w:rStyle w:val="FootnoteReference"/>
        </w:rPr>
        <w:footnoteRef/>
      </w:r>
      <w:r>
        <w:t xml:space="preserve"> Joint Ex. 1 at 7.</w:t>
      </w:r>
    </w:p>
  </w:footnote>
  <w:footnote w:id="9">
    <w:p w:rsidR="005C08CB" w:rsidRDefault="007757EA">
      <w:pPr>
        <w:pStyle w:val="FootnoteText"/>
      </w:pPr>
      <w:r>
        <w:rPr>
          <w:rStyle w:val="FootnoteReference"/>
        </w:rPr>
        <w:footnoteRef/>
      </w:r>
      <w:r>
        <w:t xml:space="preserve"> ODSA Ex. 2 at 4.</w:t>
      </w:r>
    </w:p>
  </w:footnote>
  <w:footnote w:id="10">
    <w:p w:rsidR="005C08CB" w:rsidRDefault="007757EA">
      <w:pPr>
        <w:pStyle w:val="FootnoteText"/>
      </w:pPr>
      <w:r>
        <w:rPr>
          <w:rStyle w:val="FootnoteReference"/>
        </w:rPr>
        <w:footnoteRef/>
      </w:r>
      <w:r>
        <w:t xml:space="preserve"> Joint Ex. 1 at 3-6.</w:t>
      </w:r>
    </w:p>
  </w:footnote>
  <w:footnote w:id="11">
    <w:p w:rsidR="005C08CB" w:rsidRDefault="007757EA">
      <w:pPr>
        <w:pStyle w:val="FootnoteText"/>
      </w:pPr>
      <w:r>
        <w:rPr>
          <w:rStyle w:val="FootnoteReference"/>
        </w:rPr>
        <w:footnoteRef/>
      </w:r>
      <w:r>
        <w:t xml:space="preserve"> IEU-Ohio objected to the admission of Mr. </w:t>
      </w:r>
      <w:r w:rsidR="0004222D">
        <w:t>Rinebolt's</w:t>
      </w:r>
      <w:r>
        <w:t xml:space="preserve"> testimony for the reasons identified in the record.  Tr. </w:t>
      </w:r>
      <w:r w:rsidR="0004222D">
        <w:t>a</w:t>
      </w:r>
      <w:r>
        <w:t>t 99-100.  IEU-Ohio hereby restates it</w:t>
      </w:r>
      <w:r w:rsidR="0004222D">
        <w:t>s</w:t>
      </w:r>
      <w:r>
        <w:t xml:space="preserve"> objection to the admission of the testimony and urges the Commission to find that such testimony should not have been admitted over the objections of IEU-Ohio.</w:t>
      </w:r>
    </w:p>
  </w:footnote>
  <w:footnote w:id="12">
    <w:p w:rsidR="005C08CB" w:rsidRDefault="007757EA">
      <w:pPr>
        <w:pStyle w:val="FootnoteText"/>
      </w:pPr>
      <w:r>
        <w:rPr>
          <w:rStyle w:val="FootnoteReference"/>
        </w:rPr>
        <w:footnoteRef/>
      </w:r>
      <w:r>
        <w:t xml:space="preserve"> </w:t>
      </w:r>
      <w:r>
        <w:rPr>
          <w:i/>
        </w:rPr>
        <w:t>2014 USF Case</w:t>
      </w:r>
      <w:r>
        <w:t>, Opinion and Order at 11 (Dec. 10, 2014).</w:t>
      </w:r>
    </w:p>
  </w:footnote>
  <w:footnote w:id="13">
    <w:p w:rsidR="005C08CB" w:rsidRDefault="007757EA">
      <w:pPr>
        <w:pStyle w:val="FootnoteText"/>
      </w:pPr>
      <w:r>
        <w:rPr>
          <w:rStyle w:val="FootnoteReference"/>
        </w:rPr>
        <w:footnoteRef/>
      </w:r>
      <w:r>
        <w:t xml:space="preserve"> </w:t>
      </w:r>
      <w:r>
        <w:rPr>
          <w:i/>
        </w:rPr>
        <w:t>Id.</w:t>
      </w:r>
      <w:r>
        <w:t xml:space="preserve"> at 11-12.</w:t>
      </w:r>
    </w:p>
  </w:footnote>
  <w:footnote w:id="14">
    <w:p w:rsidR="005C08CB" w:rsidRDefault="007757EA">
      <w:pPr>
        <w:pStyle w:val="FootnoteText"/>
      </w:pPr>
      <w:r>
        <w:rPr>
          <w:rStyle w:val="FootnoteReference"/>
        </w:rPr>
        <w:footnoteRef/>
      </w:r>
      <w:r>
        <w:t xml:space="preserve"> Joint Ex. 1; ODSA Ex. 2 at 5-7; ODSA Ex. 3 at 2-6.</w:t>
      </w:r>
    </w:p>
  </w:footnote>
  <w:footnote w:id="15">
    <w:p w:rsidR="005C08CB" w:rsidRDefault="007757EA">
      <w:pPr>
        <w:pStyle w:val="FootnoteText"/>
      </w:pPr>
      <w:r>
        <w:rPr>
          <w:rStyle w:val="FootnoteReference"/>
        </w:rPr>
        <w:footnoteRef/>
      </w:r>
      <w:r>
        <w:t xml:space="preserve"> Joint Ex. 1 at 3; </w:t>
      </w:r>
      <w:r>
        <w:rPr>
          <w:i/>
        </w:rPr>
        <w:t xml:space="preserve">see also </w:t>
      </w:r>
      <w:r>
        <w:t>ODSA Ex. 1 at 3-11.</w:t>
      </w:r>
    </w:p>
  </w:footnote>
  <w:footnote w:id="16">
    <w:p w:rsidR="005C08CB" w:rsidRDefault="007757EA">
      <w:pPr>
        <w:pStyle w:val="FootnoteText"/>
      </w:pPr>
      <w:r>
        <w:rPr>
          <w:rStyle w:val="FootnoteReference"/>
        </w:rPr>
        <w:footnoteRef/>
      </w:r>
      <w:r>
        <w:t xml:space="preserve"> Joint Ex. 1 at 5; </w:t>
      </w:r>
      <w:r>
        <w:rPr>
          <w:i/>
        </w:rPr>
        <w:t xml:space="preserve">see also </w:t>
      </w:r>
      <w:r>
        <w:t>ODSA Ex. at 11.</w:t>
      </w:r>
    </w:p>
  </w:footnote>
  <w:footnote w:id="17">
    <w:p w:rsidR="005C08CB" w:rsidRDefault="007757EA">
      <w:pPr>
        <w:pStyle w:val="FootnoteText"/>
        <w:rPr>
          <w:i/>
        </w:rPr>
      </w:pPr>
      <w:r>
        <w:rPr>
          <w:rStyle w:val="FootnoteReference"/>
        </w:rPr>
        <w:footnoteRef/>
      </w:r>
      <w:r>
        <w:t xml:space="preserve"> Tr. at 105; </w:t>
      </w:r>
      <w:r>
        <w:rPr>
          <w:i/>
        </w:rPr>
        <w:t>see also</w:t>
      </w:r>
      <w:r>
        <w:t xml:space="preserve"> </w:t>
      </w:r>
      <w:r>
        <w:rPr>
          <w:i/>
        </w:rPr>
        <w:t>supra</w:t>
      </w:r>
      <w:r>
        <w:t>, at 1 n. 2, (OPAE has signed 12 of the last 14 annual USF case stipulations that have recommended the Commission find that the use of the declining block rate design did not violate R.C. 4928.52(C))</w:t>
      </w:r>
    </w:p>
  </w:footnote>
  <w:footnote w:id="18">
    <w:p w:rsidR="005C08CB" w:rsidRDefault="007757EA">
      <w:pPr>
        <w:pStyle w:val="FootnoteText"/>
      </w:pPr>
      <w:r>
        <w:rPr>
          <w:rStyle w:val="FootnoteReference"/>
        </w:rPr>
        <w:footnoteRef/>
      </w:r>
      <w:r>
        <w:t xml:space="preserve"> Tr. at 103-104.</w:t>
      </w:r>
    </w:p>
  </w:footnote>
  <w:footnote w:id="19">
    <w:p w:rsidR="005C08CB" w:rsidRDefault="007757EA">
      <w:pPr>
        <w:pStyle w:val="FootnoteText"/>
      </w:pPr>
      <w:r>
        <w:rPr>
          <w:rStyle w:val="FootnoteReference"/>
        </w:rPr>
        <w:footnoteRef/>
      </w:r>
      <w:r>
        <w:t xml:space="preserve"> Tr. at 117-119.</w:t>
      </w:r>
    </w:p>
  </w:footnote>
  <w:footnote w:id="20">
    <w:p w:rsidR="005C08CB" w:rsidRDefault="007757EA">
      <w:pPr>
        <w:pStyle w:val="FootnoteText"/>
      </w:pPr>
      <w:r>
        <w:rPr>
          <w:rStyle w:val="FootnoteReference"/>
        </w:rPr>
        <w:footnoteRef/>
      </w:r>
      <w:r>
        <w:t xml:space="preserve"> Tr. at 119.</w:t>
      </w:r>
    </w:p>
  </w:footnote>
  <w:footnote w:id="21">
    <w:p w:rsidR="005C08CB" w:rsidRDefault="007757EA">
      <w:pPr>
        <w:pStyle w:val="FootnoteText"/>
      </w:pPr>
      <w:r>
        <w:rPr>
          <w:rStyle w:val="FootnoteReference"/>
        </w:rPr>
        <w:footnoteRef/>
      </w:r>
      <w:r>
        <w:t xml:space="preserve"> As illustrated in Mr. Rinebolt’s testimony, his uniform per kWh rate design could reduce the level of the charge in the first block of the </w:t>
      </w:r>
      <w:r w:rsidR="00CD1CAD">
        <w:t xml:space="preserve">declining </w:t>
      </w:r>
      <w:r>
        <w:t xml:space="preserve">block rate design.  The Commission’s jurisdiction in this proceeding is limited to determining if ODSA’s proposal will produce the minimum amount of revenue necessary to provide ODSA with additional revenue required for ODSA to satisfy its USF-related duties. The Commission cannot reduce a USF rider without approval of the Director of ODSA after the Director consults with the USF advisory board.  R.C. 4928.52(B).  </w:t>
      </w:r>
    </w:p>
  </w:footnote>
  <w:footnote w:id="22">
    <w:p w:rsidR="005C08CB" w:rsidRDefault="007757EA">
      <w:pPr>
        <w:pStyle w:val="FootnoteText"/>
      </w:pPr>
      <w:r>
        <w:rPr>
          <w:rStyle w:val="FootnoteReference"/>
        </w:rPr>
        <w:footnoteRef/>
      </w:r>
      <w:r>
        <w:t xml:space="preserve"> Tr. at 112.</w:t>
      </w:r>
    </w:p>
  </w:footnote>
  <w:footnote w:id="23">
    <w:p w:rsidR="005C08CB" w:rsidRDefault="007757EA">
      <w:pPr>
        <w:pStyle w:val="FootnoteText"/>
      </w:pPr>
      <w:r>
        <w:rPr>
          <w:rStyle w:val="FootnoteReference"/>
        </w:rPr>
        <w:footnoteRef/>
      </w:r>
      <w:r>
        <w:t xml:space="preserve"> </w:t>
      </w:r>
      <w:r>
        <w:rPr>
          <w:i/>
        </w:rPr>
        <w:t>2012 USF Case</w:t>
      </w:r>
      <w:r>
        <w:t>, Opinion and Order at 5-6, 8-10 (Sept. 19, 2012).</w:t>
      </w:r>
    </w:p>
  </w:footnote>
  <w:footnote w:id="24">
    <w:p w:rsidR="005C08CB" w:rsidRDefault="007757EA">
      <w:pPr>
        <w:pStyle w:val="FootnoteText"/>
        <w:rPr>
          <w:i/>
        </w:rPr>
      </w:pPr>
      <w:r>
        <w:rPr>
          <w:rStyle w:val="FootnoteReference"/>
        </w:rPr>
        <w:footnoteRef/>
      </w:r>
      <w:r>
        <w:t xml:space="preserve"> </w:t>
      </w:r>
      <w:r>
        <w:rPr>
          <w:i/>
        </w:rPr>
        <w:t>In the Matter of Aligning Electric Distribution Utility Rate Structure with Ohio's Public Policies to Promote Competition, Energy Efficiency, and Distributed Generation</w:t>
      </w:r>
      <w:r>
        <w:t>, Case No. 10-3126-EL-UNC, Finding and Order at 19-20 (Aug. 21, 2013)</w:t>
      </w:r>
      <w:r>
        <w:rPr>
          <w:i/>
        </w:rPr>
        <w:t xml:space="preserve"> (citing In re Duke Energy Ohio, </w:t>
      </w:r>
      <w:r>
        <w:t>Case No. 07-589-GA-AIR, Opinion and Order (May 28, 2008) (“</w:t>
      </w:r>
      <w:r>
        <w:rPr>
          <w:i/>
        </w:rPr>
        <w:t>2007 Duke Rate Case</w:t>
      </w:r>
      <w:r>
        <w:t>”);</w:t>
      </w:r>
      <w:r>
        <w:rPr>
          <w:i/>
        </w:rPr>
        <w:t xml:space="preserve"> In re Dominion East Ohio</w:t>
      </w:r>
      <w:r w:rsidR="008552DD">
        <w:t>, Case No. 07</w:t>
      </w:r>
      <w:r w:rsidR="008552DD">
        <w:noBreakHyphen/>
        <w:t>829</w:t>
      </w:r>
      <w:r w:rsidR="008552DD">
        <w:noBreakHyphen/>
        <w:t>GA</w:t>
      </w:r>
      <w:r w:rsidR="008552DD">
        <w:noBreakHyphen/>
      </w:r>
      <w:r>
        <w:t>AIR, Opinion and Order (Oct. 15, 2008) (“</w:t>
      </w:r>
      <w:r>
        <w:rPr>
          <w:i/>
        </w:rPr>
        <w:t>2007 Dominion Rate Case</w:t>
      </w:r>
      <w:r>
        <w:t>”);</w:t>
      </w:r>
      <w:r>
        <w:rPr>
          <w:i/>
        </w:rPr>
        <w:t xml:space="preserve"> In re Columbia Gas of Ohio</w:t>
      </w:r>
      <w:r>
        <w:t>, Case No. 08-72-GA-AIR, Opinion and Order (Dec. 3, 2008) (“</w:t>
      </w:r>
      <w:r>
        <w:rPr>
          <w:i/>
        </w:rPr>
        <w:t>2008 Columbia Rate Case</w:t>
      </w:r>
      <w:r>
        <w:t xml:space="preserve">”); and </w:t>
      </w:r>
      <w:r>
        <w:rPr>
          <w:i/>
        </w:rPr>
        <w:t>In re Vectren Energy Delivery of Ohio</w:t>
      </w:r>
      <w:r>
        <w:t>, Case No. 07-1080-GA-AIR, Opinion and Order (Jan. 7, 2009) (“</w:t>
      </w:r>
      <w:r>
        <w:rPr>
          <w:i/>
        </w:rPr>
        <w:t>2007 VEDO Rate Case</w:t>
      </w:r>
      <w:r>
        <w:t>”)).</w:t>
      </w:r>
    </w:p>
  </w:footnote>
  <w:footnote w:id="25">
    <w:p w:rsidR="005C08CB" w:rsidRDefault="007757EA">
      <w:pPr>
        <w:pStyle w:val="FootnoteText"/>
        <w:rPr>
          <w:i/>
        </w:rPr>
      </w:pPr>
      <w:r>
        <w:rPr>
          <w:rStyle w:val="FootnoteReference"/>
        </w:rPr>
        <w:footnoteRef/>
      </w:r>
      <w:r>
        <w:t xml:space="preserve"> </w:t>
      </w:r>
      <w:r>
        <w:rPr>
          <w:i/>
        </w:rPr>
        <w:t>Id.</w:t>
      </w:r>
    </w:p>
  </w:footnote>
  <w:footnote w:id="26">
    <w:p w:rsidR="005C08CB" w:rsidRDefault="007757EA">
      <w:pPr>
        <w:pStyle w:val="FootnoteText"/>
      </w:pPr>
      <w:r>
        <w:rPr>
          <w:rStyle w:val="FootnoteReference"/>
        </w:rPr>
        <w:footnoteRef/>
      </w:r>
      <w:r>
        <w:t xml:space="preserve"> </w:t>
      </w:r>
      <w:r>
        <w:rPr>
          <w:i/>
        </w:rPr>
        <w:t>2007 Duke Rate Case</w:t>
      </w:r>
      <w:r>
        <w:t xml:space="preserve">, Opinion and Order at 13 (May 28, 2008); </w:t>
      </w:r>
      <w:r>
        <w:rPr>
          <w:i/>
        </w:rPr>
        <w:t>2007 Dominion Rate Case</w:t>
      </w:r>
      <w:r>
        <w:t xml:space="preserve">, Opinion and Order at 15 (Oct. 15, 2008); </w:t>
      </w:r>
      <w:r>
        <w:rPr>
          <w:i/>
        </w:rPr>
        <w:t>2008 Columbia Rate Case</w:t>
      </w:r>
      <w:r>
        <w:t xml:space="preserve">, Opinion and Order at 16-17 (Dec. 3, 2008); </w:t>
      </w:r>
      <w:r>
        <w:rPr>
          <w:i/>
        </w:rPr>
        <w:t>2007 VEDO Rate Case</w:t>
      </w:r>
      <w:r>
        <w:t>, Opinion and Order at 8 (Jan. 7, 2009).</w:t>
      </w:r>
    </w:p>
  </w:footnote>
  <w:footnote w:id="27">
    <w:p w:rsidR="005C08CB" w:rsidRDefault="007757EA">
      <w:pPr>
        <w:pStyle w:val="FootnoteText"/>
      </w:pPr>
      <w:r>
        <w:rPr>
          <w:rStyle w:val="FootnoteReference"/>
        </w:rPr>
        <w:footnoteRef/>
      </w:r>
      <w:r>
        <w:t xml:space="preserve"> </w:t>
      </w:r>
      <w:r>
        <w:rPr>
          <w:i/>
        </w:rPr>
        <w:t>2007 Duke Rate Case</w:t>
      </w:r>
      <w:r>
        <w:t>, Opinion and Order at 17-20 (May 28, 2008);</w:t>
      </w:r>
      <w:r>
        <w:rPr>
          <w:rFonts w:eastAsiaTheme="minorHAnsi" w:cstheme="minorBidi"/>
          <w:i/>
          <w:sz w:val="24"/>
          <w:szCs w:val="24"/>
        </w:rPr>
        <w:t xml:space="preserve"> </w:t>
      </w:r>
      <w:r>
        <w:rPr>
          <w:i/>
        </w:rPr>
        <w:t>2007 Dominion Rate Case</w:t>
      </w:r>
      <w:r>
        <w:t xml:space="preserve">, Opinion and Order at 23-24 (Oct. 15, 2008); </w:t>
      </w:r>
      <w:r>
        <w:rPr>
          <w:i/>
        </w:rPr>
        <w:t>2008 Columbia Rate Case</w:t>
      </w:r>
      <w:r>
        <w:t xml:space="preserve">, Opinion and Order at 19-20 (Dec. 3, 2008); </w:t>
      </w:r>
      <w:r>
        <w:rPr>
          <w:i/>
        </w:rPr>
        <w:t>2007 VEDO Rate Case</w:t>
      </w:r>
      <w:r>
        <w:t>, Opinion and Order at 11-12 (Jan. 7, 2009).</w:t>
      </w:r>
    </w:p>
  </w:footnote>
  <w:footnote w:id="28">
    <w:p w:rsidR="005C08CB" w:rsidRDefault="007757EA">
      <w:pPr>
        <w:pStyle w:val="FootnoteText"/>
      </w:pPr>
      <w:r>
        <w:rPr>
          <w:rStyle w:val="FootnoteReference"/>
        </w:rPr>
        <w:footnoteRef/>
      </w:r>
      <w:r>
        <w:t xml:space="preserve"> </w:t>
      </w:r>
      <w:r>
        <w:rPr>
          <w:i/>
        </w:rPr>
        <w:t>In the Matter of Aligning Electric Distribution Utility Rate Structure with Ohio's Public Policies to Promote Competition, Energy Efficiency, and Distributed Generation</w:t>
      </w:r>
      <w:r>
        <w:t xml:space="preserve">, Case No. 10-3126-EL-UNC, Finding and Order at 1, 19-20 (Aug. 21, 2013); </w:t>
      </w:r>
      <w:r>
        <w:rPr>
          <w:i/>
        </w:rPr>
        <w:t>In the Matter of the Application of Ohio Power Company to Establish Initial Storm Damage Recovery Rider Rates</w:t>
      </w:r>
      <w:r>
        <w:t>, Case No. 12-3255-EL-RDR, Opinion and Order at 29 (Apr. 2, 2014) (rejecting OCC’s request to collect distribution costs through an energy allocator).</w:t>
      </w:r>
    </w:p>
  </w:footnote>
  <w:footnote w:id="29">
    <w:p w:rsidR="005C08CB" w:rsidRDefault="007757EA">
      <w:pPr>
        <w:pStyle w:val="FootnoteText"/>
      </w:pPr>
      <w:r>
        <w:rPr>
          <w:rStyle w:val="FootnoteReference"/>
        </w:rPr>
        <w:footnoteRef/>
      </w:r>
      <w:r>
        <w:t xml:space="preserve"> Tr. at 112.</w:t>
      </w:r>
    </w:p>
  </w:footnote>
  <w:footnote w:id="30">
    <w:p w:rsidR="005C08CB" w:rsidRDefault="007757EA">
      <w:pPr>
        <w:pStyle w:val="FootnoteText"/>
      </w:pPr>
      <w:r>
        <w:rPr>
          <w:rStyle w:val="FootnoteReference"/>
        </w:rPr>
        <w:footnoteRef/>
      </w:r>
      <w:r>
        <w:t xml:space="preserve"> OPAE Ex. 3 at 7.</w:t>
      </w:r>
    </w:p>
  </w:footnote>
  <w:footnote w:id="31">
    <w:p w:rsidR="005C08CB" w:rsidRDefault="007757EA">
      <w:pPr>
        <w:pStyle w:val="FootnoteText"/>
      </w:pPr>
      <w:r>
        <w:rPr>
          <w:rStyle w:val="FootnoteReference"/>
        </w:rPr>
        <w:footnoteRef/>
      </w:r>
      <w:r>
        <w:t xml:space="preserve"> </w:t>
      </w:r>
      <w:r>
        <w:rPr>
          <w:i/>
        </w:rPr>
        <w:t>Id.</w:t>
      </w:r>
      <w:r>
        <w:t xml:space="preserve"> at 10-11, Attachment DCR-1; Tr. at 117-119.</w:t>
      </w:r>
    </w:p>
  </w:footnote>
  <w:footnote w:id="32">
    <w:p w:rsidR="005C08CB" w:rsidRDefault="007757EA">
      <w:pPr>
        <w:pStyle w:val="FootnoteText"/>
      </w:pPr>
      <w:r>
        <w:rPr>
          <w:rStyle w:val="FootnoteReference"/>
        </w:rPr>
        <w:footnoteRef/>
      </w:r>
      <w:r>
        <w:t xml:space="preserve"> </w:t>
      </w:r>
      <w:r>
        <w:rPr>
          <w:i/>
        </w:rPr>
        <w:t xml:space="preserve">Compare </w:t>
      </w:r>
      <w:r>
        <w:t xml:space="preserve">OPAE Ex. 3 at 5-8 </w:t>
      </w:r>
      <w:r>
        <w:rPr>
          <w:i/>
        </w:rPr>
        <w:t>with</w:t>
      </w:r>
      <w:r>
        <w:t xml:space="preserve"> Tr. at 106-108.</w:t>
      </w:r>
    </w:p>
  </w:footnote>
  <w:footnote w:id="33">
    <w:p w:rsidR="005C08CB" w:rsidRDefault="007757EA">
      <w:pPr>
        <w:pStyle w:val="FootnoteText"/>
      </w:pPr>
      <w:r>
        <w:rPr>
          <w:rStyle w:val="FootnoteReference"/>
        </w:rPr>
        <w:footnoteRef/>
      </w:r>
      <w:r>
        <w:t xml:space="preserve"> OPAE Ex. 3 at 5-7.</w:t>
      </w:r>
    </w:p>
  </w:footnote>
  <w:footnote w:id="34">
    <w:p w:rsidR="005C08CB" w:rsidRDefault="007757EA">
      <w:pPr>
        <w:pStyle w:val="FootnoteText"/>
      </w:pPr>
      <w:r>
        <w:rPr>
          <w:rStyle w:val="FootnoteReference"/>
        </w:rPr>
        <w:footnoteRef/>
      </w:r>
      <w:r>
        <w:t xml:space="preserve"> </w:t>
      </w:r>
      <w:r>
        <w:rPr>
          <w:i/>
        </w:rPr>
        <w:t xml:space="preserve">See </w:t>
      </w:r>
      <w:r>
        <w:t>Tr. at 106-108.</w:t>
      </w:r>
    </w:p>
  </w:footnote>
  <w:footnote w:id="35">
    <w:p w:rsidR="005C08CB" w:rsidRDefault="007757EA">
      <w:pPr>
        <w:pStyle w:val="FootnoteText"/>
      </w:pPr>
      <w:r>
        <w:rPr>
          <w:rStyle w:val="FootnoteReference"/>
        </w:rPr>
        <w:footnoteRef/>
      </w:r>
      <w:r>
        <w:t xml:space="preserve"> Tr. at 110.</w:t>
      </w:r>
    </w:p>
  </w:footnote>
  <w:footnote w:id="36">
    <w:p w:rsidR="005C08CB" w:rsidRDefault="007757EA">
      <w:pPr>
        <w:pStyle w:val="FootnoteText"/>
      </w:pPr>
      <w:r>
        <w:rPr>
          <w:rStyle w:val="FootnoteReference"/>
        </w:rPr>
        <w:footnoteRef/>
      </w:r>
      <w:r>
        <w:t xml:space="preserve"> </w:t>
      </w:r>
      <w:r>
        <w:rPr>
          <w:i/>
        </w:rPr>
        <w:t>Id.</w:t>
      </w:r>
      <w:r>
        <w:t xml:space="preserve"> at 111.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14" w:rsidRDefault="00F312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14" w:rsidRDefault="00F312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14" w:rsidRDefault="00F312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A3741"/>
    <w:multiLevelType w:val="multilevel"/>
    <w:tmpl w:val="7EC01D26"/>
    <w:name w:val="IEU Basic-PUCO2"/>
    <w:lvl w:ilvl="0">
      <w:start w:val="1"/>
      <w:numFmt w:val="upperRoman"/>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1">
    <w:nsid w:val="67B71568"/>
    <w:multiLevelType w:val="multilevel"/>
    <w:tmpl w:val="844491BC"/>
    <w:name w:val="IEU Basic-PUCO"/>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lvlText w:val="%2."/>
      <w:lvlJc w:val="left"/>
      <w:pPr>
        <w:tabs>
          <w:tab w:val="num" w:pos="1440"/>
        </w:tabs>
        <w:ind w:left="1440" w:hanging="720"/>
      </w:pPr>
      <w:rPr>
        <w:b/>
        <w:caps w:val="0"/>
        <w:vanish w:val="0"/>
        <w:color w:val="010000"/>
        <w:u w:val="none"/>
      </w:rPr>
    </w:lvl>
    <w:lvl w:ilvl="2">
      <w:start w:val="1"/>
      <w:numFmt w:val="decimal"/>
      <w:lvlText w:val="%3."/>
      <w:lvlJc w:val="left"/>
      <w:pPr>
        <w:tabs>
          <w:tab w:val="num" w:pos="2160"/>
        </w:tabs>
        <w:ind w:left="2160" w:hanging="720"/>
      </w:pPr>
      <w:rPr>
        <w:b/>
        <w:i w:val="0"/>
        <w:caps w:val="0"/>
        <w:vanish w:val="0"/>
        <w:color w:val="010000"/>
        <w:u w:val="none"/>
      </w:rPr>
    </w:lvl>
    <w:lvl w:ilvl="3">
      <w:start w:val="1"/>
      <w:numFmt w:val="lowerLetter"/>
      <w:lvlText w:val="%4."/>
      <w:lvlJc w:val="left"/>
      <w:pPr>
        <w:tabs>
          <w:tab w:val="num" w:pos="2880"/>
        </w:tabs>
        <w:ind w:left="2880" w:hanging="720"/>
      </w:pPr>
      <w:rPr>
        <w:b/>
        <w:i/>
        <w:caps w:val="0"/>
        <w:vanish w:val="0"/>
        <w:color w:val="010000"/>
        <w:u w:val="none"/>
      </w:rPr>
    </w:lvl>
    <w:lvl w:ilvl="4">
      <w:start w:val="1"/>
      <w:numFmt w:val="lowerRoman"/>
      <w:lvlText w:val="%5."/>
      <w:lvlJc w:val="left"/>
      <w:pPr>
        <w:tabs>
          <w:tab w:val="num" w:pos="3600"/>
        </w:tabs>
        <w:ind w:left="3600" w:hanging="720"/>
      </w:pPr>
      <w:rPr>
        <w:caps w:val="0"/>
        <w:vanish w:val="0"/>
        <w:color w:val="010000"/>
        <w:u w:val="none"/>
      </w:rPr>
    </w:lvl>
    <w:lvl w:ilvl="5">
      <w:start w:val="1"/>
      <w:numFmt w:val="lowerLetter"/>
      <w:lvlText w:val="(%6)"/>
      <w:lvlJc w:val="left"/>
      <w:pPr>
        <w:tabs>
          <w:tab w:val="num" w:pos="4320"/>
        </w:tabs>
        <w:ind w:left="4320" w:hanging="720"/>
      </w:pPr>
      <w:rPr>
        <w:caps w:val="0"/>
        <w:vanish w:val="0"/>
        <w:color w:val="010000"/>
        <w:u w:val="none"/>
      </w:rPr>
    </w:lvl>
    <w:lvl w:ilvl="6">
      <w:start w:val="1"/>
      <w:numFmt w:val="decimal"/>
      <w:lvlText w:val="(%7)"/>
      <w:lvlJc w:val="left"/>
      <w:pPr>
        <w:tabs>
          <w:tab w:val="num" w:pos="5040"/>
        </w:tabs>
        <w:ind w:left="5040" w:hanging="720"/>
      </w:pPr>
      <w:rPr>
        <w:caps w:val="0"/>
        <w:vanish w:val="0"/>
        <w:color w:val="010000"/>
        <w:u w:val="none"/>
      </w:rPr>
    </w:lvl>
    <w:lvl w:ilvl="7">
      <w:start w:val="1"/>
      <w:numFmt w:val="lowerRoman"/>
      <w:lvlText w:val="%8)"/>
      <w:lvlJc w:val="left"/>
      <w:pPr>
        <w:tabs>
          <w:tab w:val="num" w:pos="5760"/>
        </w:tabs>
        <w:ind w:left="5760" w:hanging="720"/>
      </w:pPr>
      <w:rPr>
        <w:caps w:val="0"/>
        <w:vanish w:val="0"/>
        <w:color w:val="010000"/>
        <w:u w:val="none"/>
      </w:rPr>
    </w:lvl>
    <w:lvl w:ilvl="8">
      <w:start w:val="1"/>
      <w:numFmt w:val="lowerLetter"/>
      <w:lvlText w:val="%9)"/>
      <w:lvlJc w:val="left"/>
      <w:pPr>
        <w:tabs>
          <w:tab w:val="num" w:pos="6480"/>
        </w:tabs>
        <w:ind w:left="6480" w:hanging="720"/>
      </w:pPr>
      <w:rPr>
        <w:caps w:val="0"/>
        <w:vanish w:val="0"/>
        <w:color w:val="010000"/>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5C08CB"/>
    <w:rsid w:val="0004222D"/>
    <w:rsid w:val="00111A60"/>
    <w:rsid w:val="00317F8F"/>
    <w:rsid w:val="00500DF1"/>
    <w:rsid w:val="005A5716"/>
    <w:rsid w:val="005C08CB"/>
    <w:rsid w:val="007757EA"/>
    <w:rsid w:val="007C44B8"/>
    <w:rsid w:val="007E066D"/>
    <w:rsid w:val="008552DD"/>
    <w:rsid w:val="00AD306F"/>
    <w:rsid w:val="00C61B66"/>
    <w:rsid w:val="00CD1CAD"/>
    <w:rsid w:val="00F3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rPr>
      <w:rFonts w:ascii="Times New Roman" w:eastAsia="Times New Roman" w:hAnsi="Times New Roman"/>
    </w:rPr>
  </w:style>
  <w:style w:type="paragraph" w:styleId="Heading1">
    <w:name w:val="heading 1"/>
    <w:basedOn w:val="Normal"/>
    <w:next w:val="Normal"/>
    <w:link w:val="Heading1Char"/>
    <w:uiPriority w:val="9"/>
    <w:qFormat/>
    <w:pPr>
      <w:numPr>
        <w:numId w:val="1"/>
      </w:numPr>
      <w:spacing w:before="240" w:line="480" w:lineRule="auto"/>
      <w:jc w:val="both"/>
      <w:outlineLvl w:val="0"/>
    </w:pPr>
    <w:rPr>
      <w:rFonts w:ascii="Arial" w:hAnsi="Arial" w:cs="Arial"/>
      <w:b/>
      <w:caps/>
      <w:color w:val="000000" w:themeColor="text1"/>
      <w:u w:val="single"/>
    </w:rPr>
  </w:style>
  <w:style w:type="paragraph" w:styleId="Heading2">
    <w:name w:val="heading 2"/>
    <w:basedOn w:val="Normal"/>
    <w:next w:val="Normal"/>
    <w:link w:val="Heading2Char"/>
    <w:uiPriority w:val="9"/>
    <w:unhideWhenUsed/>
    <w:qFormat/>
    <w:pPr>
      <w:numPr>
        <w:ilvl w:val="1"/>
        <w:numId w:val="2"/>
      </w:numPr>
      <w:spacing w:after="240"/>
      <w:jc w:val="both"/>
      <w:outlineLvl w:val="1"/>
    </w:pPr>
    <w:rPr>
      <w:rFonts w:ascii="Arial" w:eastAsiaTheme="majorEastAsia" w:hAnsi="Arial" w:cs="Arial"/>
      <w:b/>
      <w:bCs/>
      <w:szCs w:val="26"/>
    </w:rPr>
  </w:style>
  <w:style w:type="paragraph" w:styleId="Heading3">
    <w:name w:val="heading 3"/>
    <w:basedOn w:val="Normal"/>
    <w:next w:val="Normal"/>
    <w:link w:val="Heading3Char"/>
    <w:uiPriority w:val="9"/>
    <w:qFormat/>
    <w:pPr>
      <w:numPr>
        <w:ilvl w:val="2"/>
        <w:numId w:val="2"/>
      </w:numPr>
      <w:spacing w:after="240"/>
      <w:jc w:val="both"/>
      <w:outlineLvl w:val="2"/>
    </w:pPr>
    <w:rPr>
      <w:rFonts w:eastAsiaTheme="majorEastAsia"/>
      <w:b/>
      <w:bCs/>
    </w:rPr>
  </w:style>
  <w:style w:type="paragraph" w:styleId="Heading4">
    <w:name w:val="heading 4"/>
    <w:basedOn w:val="Normal"/>
    <w:next w:val="Normal"/>
    <w:link w:val="Heading4Char"/>
    <w:uiPriority w:val="4"/>
    <w:unhideWhenUsed/>
    <w:qFormat/>
    <w:pPr>
      <w:numPr>
        <w:ilvl w:val="3"/>
        <w:numId w:val="2"/>
      </w:numPr>
      <w:spacing w:after="240"/>
      <w:jc w:val="both"/>
      <w:outlineLvl w:val="3"/>
    </w:pPr>
    <w:rPr>
      <w:rFonts w:eastAsiaTheme="majorEastAsia"/>
      <w:b/>
      <w:bCs/>
      <w:i/>
      <w:iCs/>
    </w:rPr>
  </w:style>
  <w:style w:type="paragraph" w:styleId="Heading5">
    <w:name w:val="heading 5"/>
    <w:basedOn w:val="Normal"/>
    <w:next w:val="Normal"/>
    <w:link w:val="Heading5Char"/>
    <w:uiPriority w:val="9"/>
    <w:semiHidden/>
    <w:unhideWhenUsed/>
    <w:qFormat/>
    <w:pPr>
      <w:numPr>
        <w:ilvl w:val="4"/>
        <w:numId w:val="2"/>
      </w:numPr>
      <w:spacing w:after="240"/>
      <w:jc w:val="both"/>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pPr>
      <w:numPr>
        <w:ilvl w:val="5"/>
        <w:numId w:val="2"/>
      </w:numPr>
      <w:spacing w:after="240"/>
      <w:jc w:val="both"/>
      <w:outlineLvl w:val="5"/>
    </w:pPr>
    <w:rPr>
      <w:rFonts w:asciiTheme="majorHAnsi" w:eastAsiaTheme="majorEastAsia" w:hAnsiTheme="majorHAnsi"/>
      <w:iCs/>
      <w:color w:val="243F60" w:themeColor="accent1" w:themeShade="7F"/>
    </w:rPr>
  </w:style>
  <w:style w:type="paragraph" w:styleId="Heading7">
    <w:name w:val="heading 7"/>
    <w:basedOn w:val="Normal"/>
    <w:next w:val="Normal"/>
    <w:link w:val="Heading7Char"/>
    <w:uiPriority w:val="9"/>
    <w:semiHidden/>
    <w:unhideWhenUsed/>
    <w:qFormat/>
    <w:pPr>
      <w:numPr>
        <w:ilvl w:val="6"/>
        <w:numId w:val="2"/>
      </w:numPr>
      <w:spacing w:after="240"/>
      <w:jc w:val="both"/>
      <w:outlineLvl w:val="6"/>
    </w:pPr>
    <w:rPr>
      <w:rFonts w:asciiTheme="majorHAnsi" w:eastAsiaTheme="majorEastAsia" w:hAnsiTheme="majorHAnsi"/>
      <w:iCs/>
      <w:color w:val="404040" w:themeColor="text1" w:themeTint="BF"/>
    </w:rPr>
  </w:style>
  <w:style w:type="paragraph" w:styleId="Heading8">
    <w:name w:val="heading 8"/>
    <w:basedOn w:val="Normal"/>
    <w:next w:val="Normal"/>
    <w:link w:val="Heading8Char"/>
    <w:uiPriority w:val="9"/>
    <w:semiHidden/>
    <w:unhideWhenUsed/>
    <w:qFormat/>
    <w:pPr>
      <w:numPr>
        <w:ilvl w:val="7"/>
        <w:numId w:val="2"/>
      </w:numPr>
      <w:spacing w:after="240"/>
      <w:jc w:val="both"/>
      <w:outlineLvl w:val="7"/>
    </w:pPr>
    <w:rPr>
      <w:rFonts w:asciiTheme="majorHAnsi" w:eastAsiaTheme="majorEastAsia" w:hAnsiTheme="majorHAnsi"/>
      <w:color w:val="404040" w:themeColor="text1" w:themeTint="BF"/>
      <w:szCs w:val="20"/>
    </w:rPr>
  </w:style>
  <w:style w:type="paragraph" w:styleId="Heading9">
    <w:name w:val="heading 9"/>
    <w:basedOn w:val="Normal"/>
    <w:next w:val="Normal"/>
    <w:link w:val="Heading9Char"/>
    <w:uiPriority w:val="9"/>
    <w:semiHidden/>
    <w:unhideWhenUsed/>
    <w:qFormat/>
    <w:pPr>
      <w:numPr>
        <w:ilvl w:val="8"/>
        <w:numId w:val="2"/>
      </w:numPr>
      <w:spacing w:after="240"/>
      <w:jc w:val="both"/>
      <w:outlineLvl w:val="8"/>
    </w:pPr>
    <w:rPr>
      <w:rFonts w:asciiTheme="majorHAnsi" w:eastAsiaTheme="majorEastAsia" w:hAnsiTheme="majorHAns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Pr>
      <w:rFonts w:eastAsiaTheme="majorEastAsia" w:cstheme="majorBidi"/>
      <w:sz w:val="20"/>
      <w:szCs w:val="20"/>
    </w:rPr>
  </w:style>
  <w:style w:type="character" w:customStyle="1" w:styleId="Heading1Char">
    <w:name w:val="Heading 1 Char"/>
    <w:basedOn w:val="DefaultParagraphFont"/>
    <w:link w:val="Heading1"/>
    <w:uiPriority w:val="9"/>
    <w:rPr>
      <w:rFonts w:eastAsia="Times New Roman" w:cs="Arial"/>
      <w:b/>
      <w:caps/>
      <w:color w:val="000000" w:themeColor="text1"/>
      <w:u w:val="single"/>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eastAsia="Times New Roman" w:cs="Arial"/>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b/>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eastAsia="Times New Roman" w:cs="Arial"/>
      <w:b/>
      <w:smallCaps/>
      <w:sz w:val="32"/>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rPr>
  </w:style>
  <w:style w:type="character" w:customStyle="1" w:styleId="Heading2Char">
    <w:name w:val="Heading 2 Char"/>
    <w:basedOn w:val="DefaultParagraphFont"/>
    <w:link w:val="Heading2"/>
    <w:uiPriority w:val="9"/>
    <w:rPr>
      <w:rFonts w:eastAsiaTheme="majorEastAsia" w:cs="Arial"/>
      <w:b/>
      <w:bCs/>
      <w:szCs w:val="26"/>
    </w:rPr>
  </w:style>
  <w:style w:type="character" w:customStyle="1" w:styleId="Heading3Char">
    <w:name w:val="Heading 3 Char"/>
    <w:basedOn w:val="DefaultParagraphFont"/>
    <w:link w:val="Heading3"/>
    <w:uiPriority w:val="9"/>
    <w:rPr>
      <w:rFonts w:ascii="Times New Roman" w:eastAsiaTheme="majorEastAsia" w:hAnsi="Times New Roman"/>
      <w:b/>
      <w:bCs/>
    </w:rPr>
  </w:style>
  <w:style w:type="character" w:customStyle="1" w:styleId="Heading4Char">
    <w:name w:val="Heading 4 Char"/>
    <w:basedOn w:val="DefaultParagraphFont"/>
    <w:link w:val="Heading4"/>
    <w:uiPriority w:val="4"/>
    <w:rPr>
      <w:rFonts w:ascii="Times New Roman" w:eastAsiaTheme="majorEastAsia" w:hAnsi="Times New Roman"/>
      <w:b/>
      <w:bCs/>
      <w:i/>
      <w:iCs/>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jc w:val="both"/>
    </w:pPr>
    <w:rPr>
      <w:rFonts w:ascii="Arial" w:eastAsia="Calibri" w:hAnsi="Arial"/>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eastAsia="Calibri"/>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olor w:val="404040" w:themeColor="text1" w:themeTint="BF"/>
      <w:szCs w:val="20"/>
    </w:rPr>
  </w:style>
  <w:style w:type="character" w:customStyle="1" w:styleId="Heading9Char">
    <w:name w:val="Heading 9 Char"/>
    <w:basedOn w:val="DefaultParagraphFont"/>
    <w:link w:val="Heading9"/>
    <w:uiPriority w:val="9"/>
    <w:semiHidden/>
    <w:rPr>
      <w:rFonts w:asciiTheme="majorHAnsi" w:eastAsiaTheme="majorEastAsia" w:hAnsiTheme="majorHAnsi"/>
      <w:iCs/>
      <w:color w:val="404040" w:themeColor="text1" w:themeTint="BF"/>
      <w:szCs w:val="20"/>
    </w:rPr>
  </w:style>
  <w:style w:type="paragraph" w:styleId="Revision">
    <w:name w:val="Revision"/>
    <w:hidden/>
    <w:uiPriority w:val="99"/>
    <w:semiHidden/>
    <w:rsid w:val="007E066D"/>
    <w:pPr>
      <w:jc w:val="left"/>
    </w:pPr>
    <w:rPr>
      <w:rFonts w:ascii="Times New Roman" w:eastAsia="Times New Roman" w:hAnsi="Times New Roman"/>
    </w:rPr>
  </w:style>
  <w:style w:type="paragraph" w:styleId="TOCHeading">
    <w:name w:val="TOC Heading"/>
    <w:basedOn w:val="Heading1"/>
    <w:next w:val="Normal"/>
    <w:uiPriority w:val="39"/>
    <w:semiHidden/>
    <w:unhideWhenUsed/>
    <w:qFormat/>
    <w:rsid w:val="00AD306F"/>
    <w:pPr>
      <w:keepNext/>
      <w:keepLines/>
      <w:numPr>
        <w:numId w:val="0"/>
      </w:numPr>
      <w:spacing w:before="480" w:line="276" w:lineRule="auto"/>
      <w:jc w:val="left"/>
      <w:outlineLvl w:val="9"/>
    </w:pPr>
    <w:rPr>
      <w:rFonts w:asciiTheme="majorHAnsi" w:eastAsiaTheme="majorEastAsia" w:hAnsiTheme="majorHAnsi" w:cstheme="majorBidi"/>
      <w:bCs/>
      <w:caps w:val="0"/>
      <w:color w:val="365F91" w:themeColor="accent1" w:themeShade="BF"/>
      <w:sz w:val="28"/>
      <w:szCs w:val="28"/>
      <w:u w:val="none"/>
      <w:lang w:eastAsia="ja-JP"/>
    </w:rPr>
  </w:style>
  <w:style w:type="paragraph" w:styleId="TOC1">
    <w:name w:val="toc 1"/>
    <w:basedOn w:val="Normal"/>
    <w:next w:val="Normal"/>
    <w:autoRedefine/>
    <w:uiPriority w:val="39"/>
    <w:unhideWhenUsed/>
    <w:rsid w:val="00AD306F"/>
    <w:pPr>
      <w:tabs>
        <w:tab w:val="right" w:leader="dot" w:pos="9360"/>
      </w:tabs>
      <w:spacing w:after="100"/>
      <w:ind w:left="720" w:right="720" w:hanging="720"/>
    </w:pPr>
  </w:style>
  <w:style w:type="paragraph" w:styleId="TOC2">
    <w:name w:val="toc 2"/>
    <w:basedOn w:val="Normal"/>
    <w:next w:val="Normal"/>
    <w:autoRedefine/>
    <w:uiPriority w:val="39"/>
    <w:unhideWhenUsed/>
    <w:rsid w:val="00AD306F"/>
    <w:pPr>
      <w:tabs>
        <w:tab w:val="right" w:leader="dot" w:pos="9360"/>
      </w:tabs>
      <w:spacing w:after="100"/>
      <w:ind w:left="1440" w:right="720" w:hanging="720"/>
      <w:jc w:val="both"/>
    </w:pPr>
  </w:style>
  <w:style w:type="character" w:styleId="Hyperlink">
    <w:name w:val="Hyperlink"/>
    <w:basedOn w:val="DefaultParagraphFont"/>
    <w:uiPriority w:val="99"/>
    <w:unhideWhenUsed/>
    <w:rsid w:val="00AD30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27"/>
    <w:pPr>
      <w:jc w:val="left"/>
    </w:pPr>
    <w:rPr>
      <w:rFonts w:ascii="Times New Roman" w:eastAsia="Times New Roman" w:hAnsi="Times New Roman"/>
    </w:rPr>
  </w:style>
  <w:style w:type="paragraph" w:styleId="Heading1">
    <w:name w:val="heading 1"/>
    <w:basedOn w:val="Normal"/>
    <w:next w:val="Normal"/>
    <w:link w:val="Heading1Char"/>
    <w:uiPriority w:val="9"/>
    <w:qFormat/>
    <w:rsid w:val="000B1D01"/>
    <w:pPr>
      <w:numPr>
        <w:numId w:val="1"/>
      </w:numPr>
      <w:spacing w:before="240" w:line="480" w:lineRule="auto"/>
      <w:jc w:val="both"/>
      <w:outlineLvl w:val="0"/>
    </w:pPr>
    <w:rPr>
      <w:rFonts w:ascii="Arial" w:hAnsi="Arial" w:cs="Arial"/>
      <w:b/>
      <w:caps/>
      <w:color w:val="000000" w:themeColor="text1"/>
      <w:u w:val="single"/>
    </w:rPr>
  </w:style>
  <w:style w:type="paragraph" w:styleId="Heading2">
    <w:name w:val="heading 2"/>
    <w:basedOn w:val="Normal"/>
    <w:next w:val="Normal"/>
    <w:link w:val="Heading2Char"/>
    <w:uiPriority w:val="9"/>
    <w:unhideWhenUsed/>
    <w:qFormat/>
    <w:rsid w:val="000B1D01"/>
    <w:pPr>
      <w:numPr>
        <w:ilvl w:val="1"/>
        <w:numId w:val="2"/>
      </w:numPr>
      <w:spacing w:after="240"/>
      <w:jc w:val="both"/>
      <w:outlineLvl w:val="1"/>
    </w:pPr>
    <w:rPr>
      <w:rFonts w:ascii="Arial" w:eastAsiaTheme="majorEastAsia" w:hAnsi="Arial" w:cs="Arial"/>
      <w:b/>
      <w:bCs/>
      <w:szCs w:val="26"/>
    </w:rPr>
  </w:style>
  <w:style w:type="paragraph" w:styleId="Heading3">
    <w:name w:val="heading 3"/>
    <w:basedOn w:val="Normal"/>
    <w:next w:val="Normal"/>
    <w:link w:val="Heading3Char"/>
    <w:uiPriority w:val="9"/>
    <w:qFormat/>
    <w:rsid w:val="000B1D01"/>
    <w:pPr>
      <w:numPr>
        <w:ilvl w:val="2"/>
        <w:numId w:val="2"/>
      </w:numPr>
      <w:spacing w:after="240"/>
      <w:jc w:val="both"/>
      <w:outlineLvl w:val="2"/>
    </w:pPr>
    <w:rPr>
      <w:rFonts w:eastAsiaTheme="majorEastAsia"/>
      <w:b/>
      <w:bCs/>
    </w:rPr>
  </w:style>
  <w:style w:type="paragraph" w:styleId="Heading4">
    <w:name w:val="heading 4"/>
    <w:basedOn w:val="Normal"/>
    <w:next w:val="Normal"/>
    <w:link w:val="Heading4Char"/>
    <w:uiPriority w:val="4"/>
    <w:unhideWhenUsed/>
    <w:qFormat/>
    <w:rsid w:val="000B1D01"/>
    <w:pPr>
      <w:numPr>
        <w:ilvl w:val="3"/>
        <w:numId w:val="2"/>
      </w:numPr>
      <w:spacing w:after="240"/>
      <w:jc w:val="both"/>
      <w:outlineLvl w:val="3"/>
    </w:pPr>
    <w:rPr>
      <w:rFonts w:eastAsiaTheme="majorEastAsia"/>
      <w:b/>
      <w:bCs/>
      <w:i/>
      <w:iCs/>
    </w:rPr>
  </w:style>
  <w:style w:type="paragraph" w:styleId="Heading5">
    <w:name w:val="heading 5"/>
    <w:basedOn w:val="Normal"/>
    <w:next w:val="Normal"/>
    <w:link w:val="Heading5Char"/>
    <w:uiPriority w:val="9"/>
    <w:semiHidden/>
    <w:unhideWhenUsed/>
    <w:qFormat/>
    <w:rsid w:val="000B1D01"/>
    <w:pPr>
      <w:numPr>
        <w:ilvl w:val="4"/>
        <w:numId w:val="2"/>
      </w:numPr>
      <w:spacing w:after="240"/>
      <w:jc w:val="both"/>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0B1D01"/>
    <w:pPr>
      <w:numPr>
        <w:ilvl w:val="5"/>
        <w:numId w:val="2"/>
      </w:numPr>
      <w:spacing w:after="240"/>
      <w:jc w:val="both"/>
      <w:outlineLvl w:val="5"/>
    </w:pPr>
    <w:rPr>
      <w:rFonts w:asciiTheme="majorHAnsi" w:eastAsiaTheme="majorEastAsia" w:hAnsiTheme="majorHAnsi"/>
      <w:iCs/>
      <w:color w:val="243F60" w:themeColor="accent1" w:themeShade="7F"/>
    </w:rPr>
  </w:style>
  <w:style w:type="paragraph" w:styleId="Heading7">
    <w:name w:val="heading 7"/>
    <w:basedOn w:val="Normal"/>
    <w:next w:val="Normal"/>
    <w:link w:val="Heading7Char"/>
    <w:uiPriority w:val="9"/>
    <w:semiHidden/>
    <w:unhideWhenUsed/>
    <w:qFormat/>
    <w:rsid w:val="000B1D01"/>
    <w:pPr>
      <w:numPr>
        <w:ilvl w:val="6"/>
        <w:numId w:val="2"/>
      </w:numPr>
      <w:spacing w:after="240"/>
      <w:jc w:val="both"/>
      <w:outlineLvl w:val="6"/>
    </w:pPr>
    <w:rPr>
      <w:rFonts w:asciiTheme="majorHAnsi" w:eastAsiaTheme="majorEastAsia" w:hAnsiTheme="majorHAnsi"/>
      <w:iCs/>
      <w:color w:val="404040" w:themeColor="text1" w:themeTint="BF"/>
    </w:rPr>
  </w:style>
  <w:style w:type="paragraph" w:styleId="Heading8">
    <w:name w:val="heading 8"/>
    <w:basedOn w:val="Normal"/>
    <w:next w:val="Normal"/>
    <w:link w:val="Heading8Char"/>
    <w:uiPriority w:val="9"/>
    <w:semiHidden/>
    <w:unhideWhenUsed/>
    <w:qFormat/>
    <w:rsid w:val="000B1D01"/>
    <w:pPr>
      <w:numPr>
        <w:ilvl w:val="7"/>
        <w:numId w:val="2"/>
      </w:numPr>
      <w:spacing w:after="240"/>
      <w:jc w:val="both"/>
      <w:outlineLvl w:val="7"/>
    </w:pPr>
    <w:rPr>
      <w:rFonts w:asciiTheme="majorHAnsi" w:eastAsiaTheme="majorEastAsia" w:hAnsiTheme="majorHAnsi"/>
      <w:color w:val="404040" w:themeColor="text1" w:themeTint="BF"/>
      <w:szCs w:val="20"/>
    </w:rPr>
  </w:style>
  <w:style w:type="paragraph" w:styleId="Heading9">
    <w:name w:val="heading 9"/>
    <w:basedOn w:val="Normal"/>
    <w:next w:val="Normal"/>
    <w:link w:val="Heading9Char"/>
    <w:uiPriority w:val="9"/>
    <w:semiHidden/>
    <w:unhideWhenUsed/>
    <w:qFormat/>
    <w:rsid w:val="000B1D01"/>
    <w:pPr>
      <w:numPr>
        <w:ilvl w:val="8"/>
        <w:numId w:val="2"/>
      </w:numPr>
      <w:spacing w:after="240"/>
      <w:jc w:val="both"/>
      <w:outlineLvl w:val="8"/>
    </w:pPr>
    <w:rPr>
      <w:rFonts w:asciiTheme="majorHAnsi" w:eastAsiaTheme="majorEastAsia" w:hAnsiTheme="majorHAns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40499"/>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140499"/>
    <w:rPr>
      <w:rFonts w:eastAsiaTheme="majorEastAsia" w:cstheme="majorBidi"/>
      <w:sz w:val="20"/>
      <w:szCs w:val="20"/>
    </w:rPr>
  </w:style>
  <w:style w:type="character" w:customStyle="1" w:styleId="Heading1Char">
    <w:name w:val="Heading 1 Char"/>
    <w:basedOn w:val="DefaultParagraphFont"/>
    <w:link w:val="Heading1"/>
    <w:uiPriority w:val="9"/>
    <w:rsid w:val="000B1D01"/>
    <w:rPr>
      <w:rFonts w:eastAsia="Times New Roman" w:cs="Arial"/>
      <w:b/>
      <w:caps/>
      <w:color w:val="000000" w:themeColor="text1"/>
      <w:u w:val="single"/>
    </w:rPr>
  </w:style>
  <w:style w:type="paragraph" w:styleId="Footer">
    <w:name w:val="footer"/>
    <w:basedOn w:val="Normal"/>
    <w:link w:val="FooterChar"/>
    <w:rsid w:val="00361827"/>
    <w:pPr>
      <w:tabs>
        <w:tab w:val="center" w:pos="4320"/>
        <w:tab w:val="right" w:pos="8640"/>
      </w:tabs>
    </w:pPr>
  </w:style>
  <w:style w:type="character" w:customStyle="1" w:styleId="FooterChar">
    <w:name w:val="Footer Char"/>
    <w:basedOn w:val="DefaultParagraphFont"/>
    <w:link w:val="Footer"/>
    <w:rsid w:val="00361827"/>
    <w:rPr>
      <w:rFonts w:ascii="Times New Roman" w:eastAsia="Times New Roman" w:hAnsi="Times New Roman"/>
    </w:rPr>
  </w:style>
  <w:style w:type="paragraph" w:styleId="BodyText">
    <w:name w:val="Body Text"/>
    <w:basedOn w:val="Normal"/>
    <w:link w:val="BodyTextChar"/>
    <w:rsid w:val="00361827"/>
    <w:pPr>
      <w:jc w:val="both"/>
    </w:pPr>
    <w:rPr>
      <w:rFonts w:ascii="Arial" w:hAnsi="Arial" w:cs="Arial"/>
    </w:rPr>
  </w:style>
  <w:style w:type="character" w:customStyle="1" w:styleId="BodyTextChar">
    <w:name w:val="Body Text Char"/>
    <w:basedOn w:val="DefaultParagraphFont"/>
    <w:link w:val="BodyText"/>
    <w:rsid w:val="00361827"/>
    <w:rPr>
      <w:rFonts w:eastAsia="Times New Roman" w:cs="Arial"/>
    </w:rPr>
  </w:style>
  <w:style w:type="character" w:styleId="PageNumber">
    <w:name w:val="page number"/>
    <w:basedOn w:val="DefaultParagraphFont"/>
    <w:rsid w:val="00361827"/>
  </w:style>
  <w:style w:type="paragraph" w:styleId="BodyText3">
    <w:name w:val="Body Text 3"/>
    <w:basedOn w:val="Normal"/>
    <w:link w:val="BodyText3Char"/>
    <w:rsid w:val="00361827"/>
    <w:rPr>
      <w:b/>
      <w:szCs w:val="20"/>
    </w:rPr>
  </w:style>
  <w:style w:type="character" w:customStyle="1" w:styleId="BodyText3Char">
    <w:name w:val="Body Text 3 Char"/>
    <w:basedOn w:val="DefaultParagraphFont"/>
    <w:link w:val="BodyText3"/>
    <w:rsid w:val="00361827"/>
    <w:rPr>
      <w:rFonts w:ascii="Times New Roman" w:eastAsia="Times New Roman" w:hAnsi="Times New Roman"/>
      <w:b/>
      <w:szCs w:val="20"/>
    </w:rPr>
  </w:style>
  <w:style w:type="paragraph" w:styleId="Title">
    <w:name w:val="Title"/>
    <w:basedOn w:val="Normal"/>
    <w:link w:val="TitleChar"/>
    <w:qFormat/>
    <w:rsid w:val="00361827"/>
    <w:pPr>
      <w:jc w:val="center"/>
    </w:pPr>
    <w:rPr>
      <w:rFonts w:ascii="Arial" w:hAnsi="Arial" w:cs="Arial"/>
      <w:b/>
      <w:smallCaps/>
      <w:sz w:val="32"/>
    </w:rPr>
  </w:style>
  <w:style w:type="character" w:customStyle="1" w:styleId="TitleChar">
    <w:name w:val="Title Char"/>
    <w:basedOn w:val="DefaultParagraphFont"/>
    <w:link w:val="Title"/>
    <w:rsid w:val="00361827"/>
    <w:rPr>
      <w:rFonts w:eastAsia="Times New Roman" w:cs="Arial"/>
      <w:b/>
      <w:smallCaps/>
      <w:sz w:val="32"/>
    </w:rPr>
  </w:style>
  <w:style w:type="paragraph" w:styleId="Header">
    <w:name w:val="header"/>
    <w:basedOn w:val="Normal"/>
    <w:link w:val="HeaderChar"/>
    <w:rsid w:val="00361827"/>
    <w:pPr>
      <w:tabs>
        <w:tab w:val="center" w:pos="4320"/>
        <w:tab w:val="right" w:pos="8640"/>
      </w:tabs>
    </w:pPr>
  </w:style>
  <w:style w:type="character" w:customStyle="1" w:styleId="HeaderChar">
    <w:name w:val="Header Char"/>
    <w:basedOn w:val="DefaultParagraphFont"/>
    <w:link w:val="Header"/>
    <w:rsid w:val="00361827"/>
    <w:rPr>
      <w:rFonts w:ascii="Times New Roman" w:eastAsia="Times New Roman" w:hAnsi="Times New Roman"/>
    </w:rPr>
  </w:style>
  <w:style w:type="character" w:customStyle="1" w:styleId="Heading2Char">
    <w:name w:val="Heading 2 Char"/>
    <w:basedOn w:val="DefaultParagraphFont"/>
    <w:link w:val="Heading2"/>
    <w:uiPriority w:val="9"/>
    <w:rsid w:val="000B1D01"/>
    <w:rPr>
      <w:rFonts w:eastAsiaTheme="majorEastAsia" w:cs="Arial"/>
      <w:b/>
      <w:bCs/>
      <w:szCs w:val="26"/>
    </w:rPr>
  </w:style>
  <w:style w:type="character" w:customStyle="1" w:styleId="Heading3Char">
    <w:name w:val="Heading 3 Char"/>
    <w:basedOn w:val="DefaultParagraphFont"/>
    <w:link w:val="Heading3"/>
    <w:uiPriority w:val="9"/>
    <w:rsid w:val="000B1D01"/>
    <w:rPr>
      <w:rFonts w:ascii="Times New Roman" w:eastAsiaTheme="majorEastAsia" w:hAnsi="Times New Roman"/>
      <w:b/>
      <w:bCs/>
    </w:rPr>
  </w:style>
  <w:style w:type="character" w:customStyle="1" w:styleId="Heading4Char">
    <w:name w:val="Heading 4 Char"/>
    <w:basedOn w:val="DefaultParagraphFont"/>
    <w:link w:val="Heading4"/>
    <w:uiPriority w:val="4"/>
    <w:rsid w:val="000B1D01"/>
    <w:rPr>
      <w:rFonts w:ascii="Times New Roman" w:eastAsiaTheme="majorEastAsia" w:hAnsi="Times New Roman"/>
      <w:b/>
      <w:bCs/>
      <w:i/>
      <w:iCs/>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rsid w:val="001B2DCC"/>
    <w:pPr>
      <w:spacing w:after="120"/>
      <w:jc w:val="both"/>
    </w:pPr>
    <w:rPr>
      <w:rFonts w:ascii="Arial" w:eastAsia="Calibri" w:hAnsi="Arial"/>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1B2DCC"/>
    <w:rPr>
      <w:rFonts w:eastAsia="Calibri"/>
      <w:sz w:val="20"/>
      <w:szCs w:val="20"/>
    </w:rPr>
  </w:style>
  <w:style w:type="character" w:styleId="FootnoteReference">
    <w:name w:val="footnote reference"/>
    <w:basedOn w:val="DefaultParagraphFont"/>
    <w:uiPriority w:val="99"/>
    <w:semiHidden/>
    <w:unhideWhenUsed/>
    <w:rsid w:val="001B2DCC"/>
    <w:rPr>
      <w:vertAlign w:val="superscript"/>
    </w:rPr>
  </w:style>
  <w:style w:type="paragraph" w:styleId="BalloonText">
    <w:name w:val="Balloon Text"/>
    <w:basedOn w:val="Normal"/>
    <w:link w:val="BalloonTextChar"/>
    <w:uiPriority w:val="99"/>
    <w:semiHidden/>
    <w:unhideWhenUsed/>
    <w:rsid w:val="001B2DCC"/>
    <w:rPr>
      <w:rFonts w:ascii="Tahoma" w:hAnsi="Tahoma" w:cs="Tahoma"/>
      <w:sz w:val="16"/>
      <w:szCs w:val="16"/>
    </w:rPr>
  </w:style>
  <w:style w:type="character" w:customStyle="1" w:styleId="BalloonTextChar">
    <w:name w:val="Balloon Text Char"/>
    <w:basedOn w:val="DefaultParagraphFont"/>
    <w:link w:val="BalloonText"/>
    <w:uiPriority w:val="99"/>
    <w:semiHidden/>
    <w:rsid w:val="001B2DC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B2DCC"/>
    <w:rPr>
      <w:sz w:val="16"/>
      <w:szCs w:val="16"/>
    </w:rPr>
  </w:style>
  <w:style w:type="paragraph" w:styleId="CommentText">
    <w:name w:val="annotation text"/>
    <w:basedOn w:val="Normal"/>
    <w:link w:val="CommentTextChar"/>
    <w:uiPriority w:val="99"/>
    <w:semiHidden/>
    <w:unhideWhenUsed/>
    <w:rsid w:val="001B2DCC"/>
    <w:rPr>
      <w:sz w:val="20"/>
      <w:szCs w:val="20"/>
    </w:rPr>
  </w:style>
  <w:style w:type="character" w:customStyle="1" w:styleId="CommentTextChar">
    <w:name w:val="Comment Text Char"/>
    <w:basedOn w:val="DefaultParagraphFont"/>
    <w:link w:val="CommentText"/>
    <w:uiPriority w:val="99"/>
    <w:semiHidden/>
    <w:rsid w:val="001B2DCC"/>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B2DCC"/>
    <w:rPr>
      <w:b/>
      <w:bCs/>
    </w:rPr>
  </w:style>
  <w:style w:type="character" w:customStyle="1" w:styleId="CommentSubjectChar">
    <w:name w:val="Comment Subject Char"/>
    <w:basedOn w:val="CommentTextChar"/>
    <w:link w:val="CommentSubject"/>
    <w:uiPriority w:val="99"/>
    <w:semiHidden/>
    <w:rsid w:val="001B2DCC"/>
    <w:rPr>
      <w:rFonts w:ascii="Times New Roman" w:eastAsia="Times New Roman" w:hAnsi="Times New Roman"/>
      <w:b/>
      <w:bCs/>
      <w:sz w:val="20"/>
      <w:szCs w:val="20"/>
    </w:rPr>
  </w:style>
  <w:style w:type="character" w:customStyle="1" w:styleId="Heading5Char">
    <w:name w:val="Heading 5 Char"/>
    <w:basedOn w:val="DefaultParagraphFont"/>
    <w:link w:val="Heading5"/>
    <w:uiPriority w:val="9"/>
    <w:semiHidden/>
    <w:rsid w:val="000B1D01"/>
    <w:rPr>
      <w:rFonts w:asciiTheme="majorHAnsi" w:eastAsiaTheme="majorEastAsia" w:hAnsiTheme="majorHAnsi"/>
      <w:color w:val="243F60" w:themeColor="accent1" w:themeShade="7F"/>
    </w:rPr>
  </w:style>
  <w:style w:type="character" w:customStyle="1" w:styleId="Heading6Char">
    <w:name w:val="Heading 6 Char"/>
    <w:basedOn w:val="DefaultParagraphFont"/>
    <w:link w:val="Heading6"/>
    <w:uiPriority w:val="9"/>
    <w:semiHidden/>
    <w:rsid w:val="000B1D01"/>
    <w:rPr>
      <w:rFonts w:asciiTheme="majorHAnsi" w:eastAsiaTheme="majorEastAsia" w:hAnsiTheme="majorHAnsi"/>
      <w:iCs/>
      <w:color w:val="243F60" w:themeColor="accent1" w:themeShade="7F"/>
    </w:rPr>
  </w:style>
  <w:style w:type="character" w:customStyle="1" w:styleId="Heading7Char">
    <w:name w:val="Heading 7 Char"/>
    <w:basedOn w:val="DefaultParagraphFont"/>
    <w:link w:val="Heading7"/>
    <w:uiPriority w:val="9"/>
    <w:semiHidden/>
    <w:rsid w:val="000B1D01"/>
    <w:rPr>
      <w:rFonts w:asciiTheme="majorHAnsi" w:eastAsiaTheme="majorEastAsia" w:hAnsiTheme="majorHAnsi"/>
      <w:iCs/>
      <w:color w:val="404040" w:themeColor="text1" w:themeTint="BF"/>
    </w:rPr>
  </w:style>
  <w:style w:type="character" w:customStyle="1" w:styleId="Heading8Char">
    <w:name w:val="Heading 8 Char"/>
    <w:basedOn w:val="DefaultParagraphFont"/>
    <w:link w:val="Heading8"/>
    <w:uiPriority w:val="9"/>
    <w:semiHidden/>
    <w:rsid w:val="000B1D01"/>
    <w:rPr>
      <w:rFonts w:asciiTheme="majorHAnsi" w:eastAsiaTheme="majorEastAsia" w:hAnsiTheme="majorHAnsi"/>
      <w:color w:val="404040" w:themeColor="text1" w:themeTint="BF"/>
      <w:szCs w:val="20"/>
    </w:rPr>
  </w:style>
  <w:style w:type="character" w:customStyle="1" w:styleId="Heading9Char">
    <w:name w:val="Heading 9 Char"/>
    <w:basedOn w:val="DefaultParagraphFont"/>
    <w:link w:val="Heading9"/>
    <w:uiPriority w:val="9"/>
    <w:semiHidden/>
    <w:rsid w:val="000B1D01"/>
    <w:rPr>
      <w:rFonts w:asciiTheme="majorHAnsi" w:eastAsiaTheme="majorEastAsia" w:hAnsiTheme="majorHAnsi"/>
      <w:iCs/>
      <w:color w:val="404040" w:themeColor="text1" w:themeTint="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CD503-CFB1-43F5-A872-5FB3A16D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2392</Words>
  <Characters>13559</Characters>
  <Application>Microsoft Office Word</Application>
  <DocSecurity>0</DocSecurity>
  <PresentationFormat>12|.DOCX</PresentationFormat>
  <Lines>355</Lines>
  <Paragraphs>150</Paragraphs>
  <ScaleCrop>false</ScaleCrop>
  <HeadingPairs>
    <vt:vector size="2" baseType="variant">
      <vt:variant>
        <vt:lpstr>Title</vt:lpstr>
      </vt:variant>
      <vt:variant>
        <vt:i4>1</vt:i4>
      </vt:variant>
    </vt:vector>
  </HeadingPairs>
  <TitlesOfParts>
    <vt:vector size="1" baseType="lpstr">
      <vt:lpstr>15-1046-EL-USF IEU's Initial Brief (C48136-3).DOCX</vt:lpstr>
    </vt:vector>
  </TitlesOfParts>
  <Company>Some Company, Inc.</Company>
  <LinksUpToDate>false</LinksUpToDate>
  <CharactersWithSpaces>15895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15-1046-EL-USF IEU's Initial Brief (C48136-3).DOCX</dc:title>
  <dc:subject>C48136:3 /font=8</dc:subject>
  <dc:creator>Debbie Ryan</dc:creator>
  <cp:lastModifiedBy>Debbie Ryan</cp:lastModifiedBy>
  <cp:revision>2</cp:revision>
  <dcterms:created xsi:type="dcterms:W3CDTF">2015-09-02T14:02:00Z</dcterms:created>
  <dcterms:modified xsi:type="dcterms:W3CDTF">2015-09-02T14:02:00Z</dcterms:modified>
</cp:coreProperties>
</file>