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>
      <w:pPr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for July 2021 is $0.50302 per Billing Ccf.</w:t>
      </w:r>
    </w:p>
    <w:p>
      <w:pPr>
        <w:ind w:left="720"/>
        <w:rPr>
          <w:rFonts w:ascii="Arial" w:hAnsi="Arial" w:cs="Arial"/>
          <w:sz w:val="20"/>
          <w:szCs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  <w:rPr>
        <w:sz w:val="20"/>
        <w:szCs w:val="20"/>
      </w:rPr>
    </w:pPr>
  </w:p>
  <w:p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>
      <w:tc>
        <w:tcPr>
          <w:tcW w:w="2880" w:type="dxa"/>
        </w:tcPr>
        <w:p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>
            <w:rPr>
              <w:rFonts w:ascii="Arial" w:hAnsi="Arial" w:cs="Arial"/>
              <w:sz w:val="20"/>
              <w:szCs w:val="20"/>
            </w:rPr>
            <w:t>June 28, 2021</w:t>
          </w:r>
        </w:p>
      </w:tc>
      <w:tc>
        <w:tcPr>
          <w:tcW w:w="4032" w:type="dxa"/>
        </w:tcPr>
        <w:p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>
            <w:rPr>
              <w:rFonts w:ascii="Arial" w:hAnsi="Arial" w:cs="Arial"/>
              <w:sz w:val="20"/>
              <w:szCs w:val="20"/>
            </w:rPr>
            <w:t>July 1, 2021</w:t>
          </w:r>
        </w:p>
      </w:tc>
    </w:tr>
  </w:tbl>
  <w:p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>
      <w:trPr>
        <w:trHeight w:val="90"/>
      </w:trPr>
      <w:tc>
        <w:tcPr>
          <w:tcW w:w="5760" w:type="dxa"/>
        </w:tcPr>
        <w:p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Twenty Second Revised Page 1 of 1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>
            <w:rPr>
              <w:rFonts w:ascii="Arial" w:hAnsi="Arial" w:cs="Arial"/>
              <w:sz w:val="20"/>
              <w:szCs w:val="20"/>
            </w:rPr>
            <w:t>Twenty First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2020-08-27T19:25:00Z</cp:lastPrinted>
  <dcterms:created xsi:type="dcterms:W3CDTF">2021-06-28T19:56:00Z</dcterms:created>
  <dcterms:modified xsi:type="dcterms:W3CDTF">2021-06-28T19:56:00Z</dcterms:modified>
</cp:coreProperties>
</file>