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9 -->
  <w:body>
    <w:p w:rsidR="00A044B5" w:rsidRPr="00EF13D9" w14:paraId="0D941582" w14:textId="77777777">
      <w:pPr>
        <w:pStyle w:val="HTMLPreformatted"/>
        <w:jc w:val="center"/>
        <w:rPr>
          <w:rFonts w:ascii="Times New Roman" w:hAnsi="Times New Roman" w:cs="Times New Roman"/>
          <w:b/>
          <w:bCs/>
          <w:sz w:val="24"/>
          <w:szCs w:val="24"/>
        </w:rPr>
      </w:pPr>
      <w:r w:rsidRPr="00EF13D9">
        <w:rPr>
          <w:rFonts w:ascii="Times New Roman" w:hAnsi="Times New Roman" w:cs="Times New Roman"/>
          <w:b/>
          <w:bCs/>
          <w:sz w:val="24"/>
          <w:szCs w:val="24"/>
        </w:rPr>
        <w:t>BEFORE</w:t>
      </w:r>
    </w:p>
    <w:p w:rsidR="00A044B5" w:rsidRPr="00EF13D9" w14:paraId="0509E104" w14:textId="77777777">
      <w:pPr>
        <w:pStyle w:val="HTMLPreformatted"/>
        <w:jc w:val="center"/>
        <w:rPr>
          <w:rFonts w:ascii="Times New Roman" w:hAnsi="Times New Roman" w:cs="Times New Roman"/>
          <w:b/>
          <w:bCs/>
          <w:sz w:val="24"/>
          <w:szCs w:val="24"/>
        </w:rPr>
      </w:pPr>
      <w:r w:rsidRPr="00EF13D9">
        <w:rPr>
          <w:rFonts w:ascii="Times New Roman" w:hAnsi="Times New Roman" w:cs="Times New Roman"/>
          <w:b/>
          <w:bCs/>
          <w:sz w:val="24"/>
          <w:szCs w:val="24"/>
        </w:rPr>
        <w:t>THE PUBLIC UTILITIES COMMISSION OF OHIO</w:t>
      </w:r>
    </w:p>
    <w:p w:rsidR="001D10F6" w:rsidRPr="00EF13D9" w14:paraId="670A0030" w14:textId="77777777">
      <w:pPr>
        <w:pStyle w:val="HTMLPreformatted"/>
        <w:jc w:val="center"/>
        <w:rPr>
          <w:rFonts w:ascii="Times New Roman" w:hAnsi="Times New Roman" w:cs="Times New Roman"/>
          <w:b/>
          <w:bCs/>
          <w:sz w:val="24"/>
          <w:szCs w:val="24"/>
        </w:rPr>
      </w:pPr>
    </w:p>
    <w:p w:rsidR="001D10F6" w:rsidRPr="00EF13D9" w:rsidP="001D10F6" w14:paraId="05B611F3" w14:textId="77777777">
      <w:pPr>
        <w:pStyle w:val="HTMLPreformatted"/>
        <w:rPr>
          <w:rFonts w:ascii="Times New Roman" w:hAnsi="Times New Roman" w:cs="Times New Roman"/>
          <w:sz w:val="24"/>
          <w:szCs w:val="24"/>
        </w:rPr>
      </w:pPr>
      <w:r w:rsidRPr="00EF13D9">
        <w:rPr>
          <w:rFonts w:ascii="Times New Roman" w:hAnsi="Times New Roman" w:cs="Times New Roman"/>
          <w:sz w:val="24"/>
          <w:szCs w:val="24"/>
        </w:rPr>
        <w:t>Duke Energy Ohio, Inc.</w:t>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t>)</w:t>
      </w:r>
    </w:p>
    <w:p w:rsidR="001D10F6" w:rsidRPr="00EF13D9" w:rsidP="001D10F6" w14:paraId="34DB48F5" w14:textId="77777777">
      <w:pPr>
        <w:pStyle w:val="HTMLPreformatted"/>
        <w:rPr>
          <w:rFonts w:ascii="Times New Roman" w:hAnsi="Times New Roman" w:cs="Times New Roman"/>
          <w:sz w:val="24"/>
          <w:szCs w:val="24"/>
        </w:rPr>
      </w:pP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t>)</w:t>
      </w:r>
      <w:r w:rsidRPr="00EF13D9">
        <w:rPr>
          <w:rFonts w:ascii="Times New Roman" w:hAnsi="Times New Roman" w:cs="Times New Roman"/>
          <w:sz w:val="24"/>
          <w:szCs w:val="24"/>
        </w:rPr>
        <w:tab/>
      </w:r>
    </w:p>
    <w:p w:rsidR="001D10F6" w:rsidRPr="00EF13D9" w:rsidP="001D10F6" w14:paraId="5B8AA2E3" w14:textId="77777777">
      <w:pPr>
        <w:pStyle w:val="HTMLPreformatted"/>
        <w:rPr>
          <w:rFonts w:ascii="Times New Roman" w:hAnsi="Times New Roman" w:cs="Times New Roman"/>
          <w:sz w:val="24"/>
          <w:szCs w:val="24"/>
        </w:rPr>
      </w:pPr>
      <w:r w:rsidRPr="00EF13D9">
        <w:rPr>
          <w:rFonts w:ascii="Times New Roman" w:hAnsi="Times New Roman" w:cs="Times New Roman"/>
          <w:sz w:val="24"/>
          <w:szCs w:val="24"/>
        </w:rPr>
        <w:t xml:space="preserve"> </w:t>
      </w:r>
      <w:r w:rsidRPr="00EF13D9">
        <w:rPr>
          <w:rFonts w:ascii="Times New Roman" w:hAnsi="Times New Roman" w:cs="Times New Roman"/>
          <w:sz w:val="24"/>
          <w:szCs w:val="24"/>
        </w:rPr>
        <w:tab/>
        <w:t>Complainant,</w:t>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t>)</w:t>
      </w:r>
    </w:p>
    <w:p w:rsidR="001D10F6" w:rsidRPr="00EF13D9" w:rsidP="001D10F6" w14:paraId="7097CE08" w14:textId="77777777">
      <w:pPr>
        <w:pStyle w:val="HTMLPreformatted"/>
        <w:rPr>
          <w:rFonts w:ascii="Times New Roman" w:hAnsi="Times New Roman" w:cs="Times New Roman"/>
          <w:sz w:val="24"/>
          <w:szCs w:val="24"/>
        </w:rPr>
      </w:pP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t>)</w:t>
      </w:r>
      <w:r w:rsidRPr="00EF13D9" w:rsidR="002E2B0C">
        <w:rPr>
          <w:rFonts w:ascii="Times New Roman" w:hAnsi="Times New Roman" w:cs="Times New Roman"/>
          <w:sz w:val="24"/>
          <w:szCs w:val="24"/>
        </w:rPr>
        <w:tab/>
        <w:t>Case No. 22-279-EL-CSS</w:t>
      </w:r>
    </w:p>
    <w:p w:rsidR="001D10F6" w:rsidRPr="00EF13D9" w:rsidP="001D10F6" w14:paraId="0AC7F482" w14:textId="662BFDD9">
      <w:pPr>
        <w:pStyle w:val="HTMLPreformatted"/>
        <w:rPr>
          <w:rFonts w:ascii="Times New Roman" w:hAnsi="Times New Roman" w:cs="Times New Roman"/>
          <w:sz w:val="24"/>
          <w:szCs w:val="24"/>
        </w:rPr>
      </w:pPr>
      <w:r w:rsidRPr="00EF13D9">
        <w:rPr>
          <w:rFonts w:ascii="Times New Roman" w:hAnsi="Times New Roman" w:cs="Times New Roman"/>
          <w:sz w:val="24"/>
          <w:szCs w:val="24"/>
        </w:rPr>
        <w:t xml:space="preserve"> </w:t>
      </w:r>
      <w:r w:rsidRPr="00EF13D9">
        <w:rPr>
          <w:rFonts w:ascii="Times New Roman" w:hAnsi="Times New Roman" w:cs="Times New Roman"/>
          <w:sz w:val="24"/>
          <w:szCs w:val="24"/>
        </w:rPr>
        <w:t>v.</w:t>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t>)</w:t>
      </w:r>
    </w:p>
    <w:p w:rsidR="001D10F6" w:rsidRPr="00EF13D9" w:rsidP="001D10F6" w14:paraId="33FBCC69" w14:textId="77777777">
      <w:pPr>
        <w:pStyle w:val="HTMLPreformatted"/>
        <w:rPr>
          <w:rFonts w:ascii="Times New Roman" w:hAnsi="Times New Roman" w:cs="Times New Roman"/>
          <w:sz w:val="24"/>
          <w:szCs w:val="24"/>
        </w:rPr>
      </w:pP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t>)</w:t>
      </w:r>
    </w:p>
    <w:p w:rsidR="001D10F6" w:rsidRPr="00EF13D9" w:rsidP="001D10F6" w14:paraId="5DDD9FED" w14:textId="77777777">
      <w:pPr>
        <w:pStyle w:val="HTMLPreformatted"/>
        <w:rPr>
          <w:rFonts w:ascii="Times New Roman" w:hAnsi="Times New Roman" w:cs="Times New Roman"/>
          <w:sz w:val="24"/>
          <w:szCs w:val="24"/>
        </w:rPr>
      </w:pPr>
      <w:r w:rsidRPr="00EF13D9">
        <w:rPr>
          <w:rFonts w:ascii="Times New Roman" w:hAnsi="Times New Roman" w:cs="Times New Roman"/>
          <w:sz w:val="24"/>
          <w:szCs w:val="24"/>
        </w:rPr>
        <w:t>Nationwide Energy Partners, LLC</w:t>
      </w:r>
      <w:r w:rsidRPr="00EF13D9">
        <w:rPr>
          <w:rFonts w:ascii="Times New Roman" w:hAnsi="Times New Roman" w:cs="Times New Roman"/>
          <w:sz w:val="24"/>
          <w:szCs w:val="24"/>
        </w:rPr>
        <w:tab/>
      </w:r>
      <w:r w:rsidRPr="00EF13D9">
        <w:rPr>
          <w:rFonts w:ascii="Times New Roman" w:hAnsi="Times New Roman" w:cs="Times New Roman"/>
          <w:sz w:val="24"/>
          <w:szCs w:val="24"/>
        </w:rPr>
        <w:tab/>
        <w:t>)</w:t>
      </w:r>
    </w:p>
    <w:p w:rsidR="001D10F6" w:rsidRPr="00EF13D9" w:rsidP="001D10F6" w14:paraId="1A4D2164" w14:textId="77777777">
      <w:pPr>
        <w:pStyle w:val="HTMLPreformatted"/>
        <w:rPr>
          <w:rFonts w:ascii="Times New Roman" w:hAnsi="Times New Roman" w:cs="Times New Roman"/>
          <w:sz w:val="24"/>
          <w:szCs w:val="24"/>
        </w:rPr>
      </w:pP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t>)</w:t>
      </w:r>
    </w:p>
    <w:p w:rsidR="001D10F6" w:rsidRPr="00EF13D9" w14:paraId="1C06A816" w14:textId="77777777">
      <w:pPr>
        <w:pStyle w:val="HTMLPreformatted"/>
        <w:rPr>
          <w:rFonts w:ascii="Times New Roman" w:hAnsi="Times New Roman" w:cs="Times New Roman"/>
          <w:sz w:val="24"/>
          <w:szCs w:val="24"/>
        </w:rPr>
      </w:pPr>
      <w:r w:rsidRPr="00EF13D9">
        <w:rPr>
          <w:rFonts w:ascii="Times New Roman" w:hAnsi="Times New Roman" w:cs="Times New Roman"/>
          <w:sz w:val="24"/>
          <w:szCs w:val="24"/>
        </w:rPr>
        <w:tab/>
        <w:t>Respondent.</w:t>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t>)</w:t>
      </w:r>
    </w:p>
    <w:p w:rsidR="00A044B5" w:rsidRPr="00EF13D9" w14:paraId="466B14A8" w14:textId="77777777">
      <w:pPr>
        <w:pStyle w:val="HTMLPreformatted"/>
        <w:rPr>
          <w:rFonts w:ascii="Times New Roman" w:hAnsi="Times New Roman" w:cs="Times New Roman"/>
          <w:sz w:val="24"/>
          <w:szCs w:val="24"/>
        </w:rPr>
      </w:pPr>
    </w:p>
    <w:p w:rsidR="00A044B5" w:rsidRPr="00EF13D9" w14:paraId="15044182" w14:textId="77777777">
      <w:pPr>
        <w:pStyle w:val="HTMLPreformatted"/>
        <w:pBdr>
          <w:top w:val="single" w:sz="12" w:space="1" w:color="auto"/>
        </w:pBdr>
        <w:rPr>
          <w:rFonts w:ascii="Times New Roman" w:hAnsi="Times New Roman" w:cs="Times New Roman"/>
          <w:sz w:val="24"/>
          <w:szCs w:val="24"/>
        </w:rPr>
      </w:pPr>
    </w:p>
    <w:p w:rsidR="00A044B5" w:rsidRPr="00EF13D9" w14:paraId="5F51CED9" w14:textId="77777777">
      <w:pPr>
        <w:jc w:val="center"/>
        <w:rPr>
          <w:b/>
          <w:bCs/>
          <w:szCs w:val="24"/>
        </w:rPr>
      </w:pPr>
      <w:r w:rsidRPr="00EF13D9">
        <w:rPr>
          <w:b/>
          <w:bCs/>
          <w:szCs w:val="24"/>
        </w:rPr>
        <w:t>MOTION TO INTERVENE</w:t>
      </w:r>
    </w:p>
    <w:p w:rsidR="00A044B5" w:rsidRPr="00EF13D9" w14:paraId="607944A1" w14:textId="77777777">
      <w:pPr>
        <w:jc w:val="center"/>
        <w:rPr>
          <w:b/>
          <w:bCs/>
          <w:szCs w:val="24"/>
        </w:rPr>
      </w:pPr>
      <w:r w:rsidRPr="00EF13D9">
        <w:rPr>
          <w:b/>
          <w:bCs/>
          <w:szCs w:val="24"/>
        </w:rPr>
        <w:t>BY</w:t>
      </w:r>
    </w:p>
    <w:p w:rsidR="00A044B5" w:rsidRPr="00EF13D9" w14:paraId="274AC09D" w14:textId="77777777">
      <w:pPr>
        <w:jc w:val="center"/>
        <w:rPr>
          <w:b/>
          <w:bCs/>
          <w:szCs w:val="24"/>
        </w:rPr>
      </w:pPr>
      <w:r w:rsidRPr="00EF13D9">
        <w:rPr>
          <w:b/>
          <w:bCs/>
          <w:szCs w:val="24"/>
        </w:rPr>
        <w:t>OFFICE OF THE OHIO CONSUMERS’ COUNSEL</w:t>
      </w:r>
    </w:p>
    <w:p w:rsidR="00A044B5" w:rsidRPr="00EF13D9" w14:paraId="79CBFEA1" w14:textId="77777777">
      <w:pPr>
        <w:pBdr>
          <w:bottom w:val="single" w:sz="12" w:space="1" w:color="auto"/>
        </w:pBdr>
        <w:tabs>
          <w:tab w:val="left" w:pos="4320"/>
        </w:tabs>
        <w:rPr>
          <w:szCs w:val="24"/>
        </w:rPr>
      </w:pPr>
    </w:p>
    <w:p w:rsidR="00A044B5" w:rsidRPr="00EF13D9" w14:paraId="21F45E27" w14:textId="77777777">
      <w:pPr>
        <w:tabs>
          <w:tab w:val="left" w:pos="4320"/>
        </w:tabs>
        <w:rPr>
          <w:szCs w:val="24"/>
        </w:rPr>
      </w:pPr>
    </w:p>
    <w:p w:rsidR="0062499C" w:rsidRPr="00EF13D9" w14:paraId="7605C8E0" w14:textId="6096EB53">
      <w:pPr>
        <w:pStyle w:val="BodyTextIndent3"/>
        <w:widowControl w:val="0"/>
        <w:spacing w:line="480" w:lineRule="auto"/>
        <w:ind w:right="-312"/>
        <w:rPr>
          <w:szCs w:val="24"/>
        </w:rPr>
      </w:pPr>
      <w:r w:rsidRPr="00EF13D9">
        <w:rPr>
          <w:szCs w:val="24"/>
        </w:rPr>
        <w:t>The Office of the Ohio Consumers’ Counsel (“OCC”) moves to intervene where</w:t>
      </w:r>
      <w:r w:rsidRPr="00EF13D9" w:rsidR="007B377A">
        <w:rPr>
          <w:szCs w:val="24"/>
        </w:rPr>
        <w:t xml:space="preserve"> </w:t>
      </w:r>
      <w:r w:rsidRPr="00EF13D9" w:rsidR="00A84DC5">
        <w:rPr>
          <w:szCs w:val="24"/>
        </w:rPr>
        <w:t>Duke Energy Ohio</w:t>
      </w:r>
      <w:r w:rsidRPr="00EF13D9" w:rsidR="00F40C28">
        <w:rPr>
          <w:szCs w:val="24"/>
        </w:rPr>
        <w:t xml:space="preserve"> (“</w:t>
      </w:r>
      <w:r w:rsidRPr="00EF13D9" w:rsidR="00A84DC5">
        <w:rPr>
          <w:szCs w:val="24"/>
        </w:rPr>
        <w:t>Duke</w:t>
      </w:r>
      <w:r w:rsidRPr="00EF13D9" w:rsidR="00F40C28">
        <w:rPr>
          <w:szCs w:val="24"/>
        </w:rPr>
        <w:t xml:space="preserve">”) has filed a complaint against Nationwide Energy Partners, LLC (“NEP”) </w:t>
      </w:r>
      <w:r w:rsidRPr="00EF13D9" w:rsidR="007B377A">
        <w:rPr>
          <w:szCs w:val="24"/>
        </w:rPr>
        <w:t>regarding NEP’s de</w:t>
      </w:r>
      <w:r w:rsidRPr="00EF13D9" w:rsidR="00E504E1">
        <w:rPr>
          <w:szCs w:val="24"/>
        </w:rPr>
        <w:t>mand</w:t>
      </w:r>
      <w:r w:rsidRPr="00EF13D9" w:rsidR="00A84DC5">
        <w:rPr>
          <w:szCs w:val="24"/>
        </w:rPr>
        <w:t>s</w:t>
      </w:r>
      <w:r w:rsidRPr="00EF13D9" w:rsidR="007B377A">
        <w:rPr>
          <w:szCs w:val="24"/>
        </w:rPr>
        <w:t xml:space="preserve"> to</w:t>
      </w:r>
      <w:r w:rsidRPr="00EF13D9" w:rsidR="00F40C28">
        <w:rPr>
          <w:szCs w:val="24"/>
        </w:rPr>
        <w:t xml:space="preserve"> </w:t>
      </w:r>
      <w:r w:rsidRPr="00EF13D9" w:rsidR="007B377A">
        <w:rPr>
          <w:szCs w:val="24"/>
        </w:rPr>
        <w:t xml:space="preserve">provide </w:t>
      </w:r>
      <w:r w:rsidRPr="00EF13D9" w:rsidR="00D84C51">
        <w:rPr>
          <w:szCs w:val="24"/>
        </w:rPr>
        <w:t>electric</w:t>
      </w:r>
      <w:r w:rsidRPr="00EF13D9" w:rsidR="00E504E1">
        <w:rPr>
          <w:szCs w:val="24"/>
        </w:rPr>
        <w:t xml:space="preserve"> utility</w:t>
      </w:r>
      <w:r w:rsidRPr="00EF13D9" w:rsidR="007B377A">
        <w:rPr>
          <w:szCs w:val="24"/>
        </w:rPr>
        <w:t xml:space="preserve"> service to </w:t>
      </w:r>
      <w:r w:rsidRPr="00EF13D9" w:rsidR="00A84DC5">
        <w:rPr>
          <w:szCs w:val="24"/>
        </w:rPr>
        <w:t>Duke</w:t>
      </w:r>
      <w:r w:rsidRPr="00EF13D9" w:rsidR="007B377A">
        <w:rPr>
          <w:szCs w:val="24"/>
        </w:rPr>
        <w:t>’s residential consumers</w:t>
      </w:r>
      <w:r w:rsidRPr="00EF13D9" w:rsidR="00D84C51">
        <w:rPr>
          <w:szCs w:val="24"/>
        </w:rPr>
        <w:t xml:space="preserve"> through submeter</w:t>
      </w:r>
      <w:r w:rsidRPr="00EF13D9" w:rsidR="004211C0">
        <w:rPr>
          <w:szCs w:val="24"/>
        </w:rPr>
        <w:t>ing</w:t>
      </w:r>
      <w:r w:rsidRPr="00EF13D9">
        <w:rPr>
          <w:szCs w:val="24"/>
        </w:rPr>
        <w:t>.</w:t>
      </w:r>
      <w:r>
        <w:rPr>
          <w:rStyle w:val="FootnoteReference"/>
          <w:szCs w:val="24"/>
        </w:rPr>
        <w:footnoteReference w:id="2"/>
      </w:r>
      <w:r w:rsidRPr="00EF13D9">
        <w:rPr>
          <w:szCs w:val="24"/>
        </w:rPr>
        <w:t xml:space="preserve"> </w:t>
      </w:r>
      <w:r w:rsidRPr="00EF13D9" w:rsidR="00002306">
        <w:rPr>
          <w:szCs w:val="24"/>
        </w:rPr>
        <w:t xml:space="preserve">Submetering involves an entity (here NEP) </w:t>
      </w:r>
      <w:r w:rsidRPr="00EF13D9" w:rsidR="00DC223B">
        <w:rPr>
          <w:szCs w:val="24"/>
        </w:rPr>
        <w:t xml:space="preserve">that </w:t>
      </w:r>
      <w:r w:rsidRPr="00EF13D9" w:rsidR="00002306">
        <w:rPr>
          <w:szCs w:val="24"/>
        </w:rPr>
        <w:t>resell</w:t>
      </w:r>
      <w:r w:rsidRPr="00EF13D9" w:rsidR="00DC223B">
        <w:rPr>
          <w:szCs w:val="24"/>
        </w:rPr>
        <w:t>s</w:t>
      </w:r>
      <w:r w:rsidRPr="00EF13D9" w:rsidR="00002306">
        <w:rPr>
          <w:szCs w:val="24"/>
        </w:rPr>
        <w:t xml:space="preserve"> or redistribut</w:t>
      </w:r>
      <w:r w:rsidRPr="00EF13D9" w:rsidR="00DC223B">
        <w:rPr>
          <w:szCs w:val="24"/>
        </w:rPr>
        <w:t>es</w:t>
      </w:r>
      <w:r w:rsidRPr="00EF13D9" w:rsidR="00002306">
        <w:rPr>
          <w:szCs w:val="24"/>
        </w:rPr>
        <w:t xml:space="preserve"> public utility service to consumers. </w:t>
      </w:r>
      <w:r w:rsidRPr="00EF13D9" w:rsidR="006F6FDC">
        <w:rPr>
          <w:szCs w:val="24"/>
        </w:rPr>
        <w:t>T</w:t>
      </w:r>
      <w:r w:rsidRPr="00EF13D9" w:rsidR="00E565F3">
        <w:rPr>
          <w:szCs w:val="24"/>
        </w:rPr>
        <w:t>oday</w:t>
      </w:r>
      <w:r w:rsidRPr="00EF13D9" w:rsidR="006F6FDC">
        <w:rPr>
          <w:szCs w:val="24"/>
        </w:rPr>
        <w:t xml:space="preserve">’s </w:t>
      </w:r>
      <w:r w:rsidRPr="00EF13D9" w:rsidR="00E565F3">
        <w:rPr>
          <w:szCs w:val="24"/>
        </w:rPr>
        <w:t xml:space="preserve">non-landlord submetering companies like NEP seek to provide </w:t>
      </w:r>
      <w:r w:rsidRPr="00EF13D9" w:rsidR="006F6FDC">
        <w:rPr>
          <w:szCs w:val="24"/>
        </w:rPr>
        <w:t xml:space="preserve">utility </w:t>
      </w:r>
      <w:r w:rsidRPr="00EF13D9" w:rsidR="00E565F3">
        <w:rPr>
          <w:szCs w:val="24"/>
        </w:rPr>
        <w:t xml:space="preserve">service and profit </w:t>
      </w:r>
      <w:r w:rsidRPr="00EF13D9" w:rsidR="00DC223B">
        <w:rPr>
          <w:szCs w:val="24"/>
        </w:rPr>
        <w:t>from</w:t>
      </w:r>
      <w:r w:rsidRPr="00EF13D9" w:rsidR="00E565F3">
        <w:rPr>
          <w:szCs w:val="24"/>
        </w:rPr>
        <w:t xml:space="preserve"> </w:t>
      </w:r>
      <w:r w:rsidRPr="00EF13D9" w:rsidR="006F6FDC">
        <w:rPr>
          <w:szCs w:val="24"/>
        </w:rPr>
        <w:t xml:space="preserve">their </w:t>
      </w:r>
      <w:r w:rsidRPr="00EF13D9" w:rsidR="00E565F3">
        <w:rPr>
          <w:szCs w:val="24"/>
        </w:rPr>
        <w:t>sales to consumers</w:t>
      </w:r>
      <w:r w:rsidRPr="00EF13D9" w:rsidR="00C504DE">
        <w:rPr>
          <w:szCs w:val="24"/>
        </w:rPr>
        <w:t>, without providing the consumer protections available from their local utility.</w:t>
      </w:r>
      <w:r w:rsidR="00EF13D9">
        <w:rPr>
          <w:szCs w:val="24"/>
        </w:rPr>
        <w:t xml:space="preserve"> </w:t>
      </w:r>
    </w:p>
    <w:p w:rsidR="00C504DE" w:rsidRPr="00EF13D9" w:rsidP="000C4A21" w14:paraId="6A032C6F" w14:textId="49E31704">
      <w:pPr>
        <w:pStyle w:val="BodyTextIndent3"/>
        <w:widowControl w:val="0"/>
        <w:spacing w:line="480" w:lineRule="auto"/>
        <w:ind w:right="-312"/>
        <w:rPr>
          <w:szCs w:val="24"/>
        </w:rPr>
      </w:pPr>
      <w:r w:rsidRPr="00EF13D9">
        <w:rPr>
          <w:szCs w:val="24"/>
        </w:rPr>
        <w:t xml:space="preserve">Protections against disconnections and the availability of financial assistance are especially important to consumers now as they are emerging from a pandemic, the prices for energy are soaring, inflation is on the rise, and a recession is possible. </w:t>
      </w:r>
      <w:r w:rsidRPr="00EF13D9" w:rsidR="006F6FDC">
        <w:rPr>
          <w:szCs w:val="24"/>
        </w:rPr>
        <w:t>Indeed</w:t>
      </w:r>
      <w:r w:rsidRPr="00EF13D9" w:rsidR="0062499C">
        <w:rPr>
          <w:szCs w:val="24"/>
        </w:rPr>
        <w:t>, submeterers like NEP seem intent upon avoiding the jurisdiction of the state utility regulator, the PUCO</w:t>
      </w:r>
      <w:r w:rsidRPr="00EF13D9" w:rsidR="006F6FDC">
        <w:rPr>
          <w:szCs w:val="24"/>
        </w:rPr>
        <w:t>, in providing such services to Ohioans</w:t>
      </w:r>
      <w:r w:rsidRPr="00EF13D9" w:rsidR="0062499C">
        <w:rPr>
          <w:szCs w:val="24"/>
        </w:rPr>
        <w:t xml:space="preserve">. </w:t>
      </w:r>
    </w:p>
    <w:p w:rsidR="001C7476" w:rsidRPr="00EF13D9" w14:paraId="6640932E" w14:textId="32CE4BD6">
      <w:pPr>
        <w:pStyle w:val="BodyTextIndent3"/>
        <w:widowControl w:val="0"/>
        <w:spacing w:line="480" w:lineRule="auto"/>
        <w:ind w:right="-312"/>
        <w:rPr>
          <w:szCs w:val="24"/>
        </w:rPr>
      </w:pPr>
      <w:r w:rsidRPr="00EF13D9">
        <w:rPr>
          <w:szCs w:val="24"/>
        </w:rPr>
        <w:t>Consumers of regulated utilities receive various protections for their utility services, which they lose as consumers of a submeterer. Such protections include but are not limited to protections against unreasonable disconnection, bill-payment assistance, service reliability standards,</w:t>
      </w:r>
      <w:r w:rsidRPr="00EF13D9" w:rsidR="00D42EA3">
        <w:rPr>
          <w:szCs w:val="24"/>
        </w:rPr>
        <w:t xml:space="preserve"> pricing oversight,</w:t>
      </w:r>
      <w:r w:rsidRPr="00EF13D9">
        <w:rPr>
          <w:szCs w:val="24"/>
        </w:rPr>
        <w:t xml:space="preserve"> </w:t>
      </w:r>
      <w:r w:rsidRPr="00EF13D9" w:rsidR="00C504DE">
        <w:rPr>
          <w:szCs w:val="24"/>
        </w:rPr>
        <w:t xml:space="preserve">access to low-income programs, access to energy efficiency programs, </w:t>
      </w:r>
      <w:r w:rsidRPr="00EF13D9" w:rsidR="001D14C7">
        <w:rPr>
          <w:szCs w:val="24"/>
        </w:rPr>
        <w:t xml:space="preserve">and the </w:t>
      </w:r>
      <w:r w:rsidRPr="00EF13D9" w:rsidR="00C504DE">
        <w:rPr>
          <w:szCs w:val="24"/>
        </w:rPr>
        <w:t>right to choose an energy supplier</w:t>
      </w:r>
      <w:r w:rsidRPr="00EF13D9" w:rsidR="000C4A21">
        <w:rPr>
          <w:szCs w:val="24"/>
        </w:rPr>
        <w:t>.</w:t>
      </w:r>
      <w:r w:rsidRPr="00EF13D9" w:rsidR="0056327A">
        <w:rPr>
          <w:szCs w:val="24"/>
        </w:rPr>
        <w:t xml:space="preserve"> </w:t>
      </w:r>
      <w:r w:rsidRPr="00EF13D9" w:rsidR="009F0AD5">
        <w:rPr>
          <w:szCs w:val="24"/>
        </w:rPr>
        <w:t>For consumer protection, t</w:t>
      </w:r>
      <w:r w:rsidRPr="00EF13D9" w:rsidR="0056327A">
        <w:rPr>
          <w:szCs w:val="24"/>
        </w:rPr>
        <w:t>he PUCO should end the</w:t>
      </w:r>
      <w:r w:rsidRPr="00EF13D9" w:rsidR="00C504DE">
        <w:rPr>
          <w:szCs w:val="24"/>
        </w:rPr>
        <w:t xml:space="preserve"> submeterers’</w:t>
      </w:r>
      <w:r w:rsidRPr="00EF13D9" w:rsidR="0056327A">
        <w:rPr>
          <w:szCs w:val="24"/>
        </w:rPr>
        <w:t xml:space="preserve"> tactics of the avoidance of its jurisdiction.</w:t>
      </w:r>
    </w:p>
    <w:p w:rsidR="00DC223B" w:rsidRPr="00EF13D9" w14:paraId="565B37D5" w14:textId="2F400E7C">
      <w:pPr>
        <w:pStyle w:val="BodyTextIndent3"/>
        <w:widowControl w:val="0"/>
        <w:spacing w:line="480" w:lineRule="auto"/>
        <w:ind w:right="-312"/>
        <w:rPr>
          <w:szCs w:val="24"/>
        </w:rPr>
      </w:pPr>
      <w:r w:rsidRPr="00EF13D9">
        <w:rPr>
          <w:szCs w:val="24"/>
        </w:rPr>
        <w:t>OCC is filing on</w:t>
      </w:r>
      <w:r w:rsidRPr="00EF13D9" w:rsidR="00D55177">
        <w:rPr>
          <w:szCs w:val="24"/>
        </w:rPr>
        <w:t xml:space="preserve"> behalf of</w:t>
      </w:r>
      <w:r w:rsidRPr="00EF13D9" w:rsidR="00F047CF">
        <w:rPr>
          <w:szCs w:val="24"/>
        </w:rPr>
        <w:t xml:space="preserve"> </w:t>
      </w:r>
      <w:r w:rsidRPr="00EF13D9" w:rsidR="00C504DE">
        <w:rPr>
          <w:szCs w:val="24"/>
        </w:rPr>
        <w:t xml:space="preserve">Duke’s </w:t>
      </w:r>
      <w:r w:rsidRPr="00EF13D9" w:rsidR="00F047CF">
        <w:rPr>
          <w:szCs w:val="24"/>
        </w:rPr>
        <w:t>residential utility consumers</w:t>
      </w:r>
      <w:r w:rsidRPr="00EF13D9" w:rsidR="006326A6">
        <w:rPr>
          <w:szCs w:val="24"/>
        </w:rPr>
        <w:t xml:space="preserve"> </w:t>
      </w:r>
      <w:r w:rsidRPr="00EF13D9" w:rsidR="00C504DE">
        <w:rPr>
          <w:szCs w:val="24"/>
        </w:rPr>
        <w:t xml:space="preserve">where </w:t>
      </w:r>
      <w:r w:rsidRPr="00EF13D9" w:rsidR="00F047CF">
        <w:rPr>
          <w:szCs w:val="24"/>
        </w:rPr>
        <w:t>NEP</w:t>
      </w:r>
      <w:r w:rsidRPr="00EF13D9" w:rsidR="006326A6">
        <w:rPr>
          <w:szCs w:val="24"/>
        </w:rPr>
        <w:t xml:space="preserve"> is attempting to force these resident</w:t>
      </w:r>
      <w:r w:rsidRPr="00EF13D9" w:rsidR="00AF5B98">
        <w:rPr>
          <w:szCs w:val="24"/>
        </w:rPr>
        <w:t>ial consumers to</w:t>
      </w:r>
      <w:r w:rsidRPr="00EF13D9" w:rsidR="006326A6">
        <w:rPr>
          <w:szCs w:val="24"/>
        </w:rPr>
        <w:t xml:space="preserve"> give up Duke’s electric utility service and instead take NEP’s submetering service</w:t>
      </w:r>
      <w:r w:rsidRPr="00EF13D9">
        <w:rPr>
          <w:szCs w:val="24"/>
        </w:rPr>
        <w:t>.</w:t>
      </w:r>
      <w:r>
        <w:rPr>
          <w:rStyle w:val="FootnoteReference"/>
          <w:szCs w:val="24"/>
        </w:rPr>
        <w:footnoteReference w:id="3"/>
      </w:r>
      <w:r w:rsidRPr="00EF13D9" w:rsidR="00D177BE">
        <w:rPr>
          <w:szCs w:val="24"/>
        </w:rPr>
        <w:t xml:space="preserve"> </w:t>
      </w:r>
    </w:p>
    <w:p w:rsidR="001C7476" w:rsidRPr="00EF13D9" w:rsidP="001C7476" w14:paraId="0479C458" w14:textId="77777777">
      <w:pPr>
        <w:pStyle w:val="BodyTextIndent3"/>
        <w:widowControl w:val="0"/>
        <w:spacing w:line="480" w:lineRule="auto"/>
        <w:ind w:right="-312"/>
        <w:rPr>
          <w:szCs w:val="24"/>
        </w:rPr>
      </w:pPr>
      <w:r w:rsidRPr="00EF13D9">
        <w:rPr>
          <w:szCs w:val="24"/>
        </w:rPr>
        <w:t>The reasons the Public Utilities C</w:t>
      </w:r>
      <w:r w:rsidRPr="00EF13D9" w:rsidR="00641070">
        <w:rPr>
          <w:szCs w:val="24"/>
        </w:rPr>
        <w:t>ommission of Ohio (“PUCO”</w:t>
      </w:r>
      <w:r w:rsidRPr="00EF13D9">
        <w:rPr>
          <w:szCs w:val="24"/>
        </w:rPr>
        <w:t>) should grant OCC’s Motion are further set forth in the attached Memorandum in Support.</w:t>
      </w:r>
    </w:p>
    <w:p w:rsidR="002354D4" w:rsidRPr="00EF13D9" w:rsidP="00E673CF" w14:paraId="6F3E90D4" w14:textId="25213E32">
      <w:pPr>
        <w:pStyle w:val="BodyTextIndent3"/>
        <w:widowControl w:val="0"/>
        <w:spacing w:line="480" w:lineRule="auto"/>
        <w:ind w:left="3600" w:right="-312"/>
        <w:rPr>
          <w:szCs w:val="24"/>
        </w:rPr>
      </w:pPr>
      <w:r w:rsidRPr="00EF13D9">
        <w:rPr>
          <w:szCs w:val="24"/>
        </w:rPr>
        <w:t>Respectfully submitted,</w:t>
      </w:r>
    </w:p>
    <w:p w:rsidR="002354D4" w:rsidRPr="00EF13D9" w:rsidP="00E673CF" w14:paraId="4E46F7D8" w14:textId="77777777">
      <w:pPr>
        <w:ind w:left="4320"/>
        <w:rPr>
          <w:szCs w:val="24"/>
        </w:rPr>
      </w:pPr>
      <w:r w:rsidRPr="00EF13D9">
        <w:rPr>
          <w:szCs w:val="24"/>
        </w:rPr>
        <w:t>Bruce Weston (0016973)</w:t>
      </w:r>
    </w:p>
    <w:p w:rsidR="002354D4" w:rsidRPr="00EF13D9" w:rsidP="00E673CF" w14:paraId="139F09CA" w14:textId="77777777">
      <w:pPr>
        <w:tabs>
          <w:tab w:val="left" w:pos="4320"/>
        </w:tabs>
        <w:ind w:left="4320" w:hanging="450"/>
        <w:rPr>
          <w:szCs w:val="24"/>
        </w:rPr>
      </w:pPr>
      <w:r w:rsidRPr="00EF13D9">
        <w:rPr>
          <w:szCs w:val="24"/>
        </w:rPr>
        <w:tab/>
        <w:t>Ohio Consumers’ Counsel</w:t>
      </w:r>
    </w:p>
    <w:p w:rsidR="002354D4" w:rsidRPr="00EF13D9" w:rsidP="00E673CF" w14:paraId="57474892" w14:textId="77777777">
      <w:pPr>
        <w:tabs>
          <w:tab w:val="left" w:pos="4320"/>
        </w:tabs>
        <w:ind w:left="4320"/>
        <w:rPr>
          <w:szCs w:val="24"/>
        </w:rPr>
      </w:pPr>
    </w:p>
    <w:p w:rsidR="002354D4" w:rsidRPr="00EF13D9" w:rsidP="00E673CF" w14:paraId="64B80019" w14:textId="77777777">
      <w:pPr>
        <w:tabs>
          <w:tab w:val="left" w:pos="4320"/>
        </w:tabs>
        <w:ind w:left="4320"/>
        <w:rPr>
          <w:i/>
          <w:iCs/>
          <w:szCs w:val="24"/>
          <w:u w:val="single"/>
        </w:rPr>
      </w:pPr>
      <w:r w:rsidRPr="00EF13D9">
        <w:rPr>
          <w:i/>
          <w:iCs/>
          <w:szCs w:val="24"/>
          <w:u w:val="single"/>
        </w:rPr>
        <w:t>/s/ Angela D. O’Brien</w:t>
      </w:r>
      <w:r w:rsidRPr="00EF13D9">
        <w:rPr>
          <w:i/>
          <w:iCs/>
          <w:szCs w:val="24"/>
          <w:u w:val="single"/>
        </w:rPr>
        <w:tab/>
      </w:r>
    </w:p>
    <w:p w:rsidR="002354D4" w:rsidRPr="00EF13D9" w:rsidP="00E673CF" w14:paraId="01E8B0FA" w14:textId="77777777">
      <w:pPr>
        <w:tabs>
          <w:tab w:val="left" w:pos="4320"/>
        </w:tabs>
        <w:ind w:left="4320"/>
        <w:rPr>
          <w:szCs w:val="24"/>
        </w:rPr>
      </w:pPr>
      <w:r w:rsidRPr="00EF13D9">
        <w:rPr>
          <w:szCs w:val="24"/>
        </w:rPr>
        <w:t>Angela D. O’Brien (0097579)</w:t>
      </w:r>
    </w:p>
    <w:p w:rsidR="002354D4" w:rsidRPr="00EF13D9" w:rsidP="00E673CF" w14:paraId="56DA1DE4" w14:textId="77777777">
      <w:pPr>
        <w:tabs>
          <w:tab w:val="left" w:pos="4320"/>
        </w:tabs>
        <w:ind w:left="4320"/>
        <w:rPr>
          <w:szCs w:val="24"/>
        </w:rPr>
      </w:pPr>
      <w:r w:rsidRPr="00EF13D9">
        <w:rPr>
          <w:szCs w:val="24"/>
        </w:rPr>
        <w:t>Counsel of Record</w:t>
      </w:r>
    </w:p>
    <w:p w:rsidR="000643F2" w:rsidRPr="00EF13D9" w:rsidP="00E673CF" w14:paraId="411536BD" w14:textId="77777777">
      <w:pPr>
        <w:tabs>
          <w:tab w:val="left" w:pos="3870"/>
          <w:tab w:val="left" w:pos="4320"/>
        </w:tabs>
        <w:ind w:left="4320"/>
        <w:rPr>
          <w:szCs w:val="24"/>
        </w:rPr>
      </w:pPr>
      <w:r w:rsidRPr="00EF13D9">
        <w:rPr>
          <w:szCs w:val="24"/>
        </w:rPr>
        <w:t>Connor D. Semple (0101102)</w:t>
      </w:r>
    </w:p>
    <w:p w:rsidR="002354D4" w:rsidRPr="00EF13D9" w:rsidP="00E673CF" w14:paraId="5465404D" w14:textId="389B839F">
      <w:pPr>
        <w:tabs>
          <w:tab w:val="left" w:pos="3870"/>
          <w:tab w:val="left" w:pos="4320"/>
        </w:tabs>
        <w:ind w:left="4320"/>
        <w:rPr>
          <w:szCs w:val="24"/>
        </w:rPr>
      </w:pPr>
      <w:r w:rsidRPr="00EF13D9">
        <w:rPr>
          <w:szCs w:val="24"/>
        </w:rPr>
        <w:t>Assistant Consumers’ Counsel</w:t>
      </w:r>
    </w:p>
    <w:p w:rsidR="002354D4" w:rsidRPr="00EF13D9" w:rsidP="00E673CF" w14:paraId="4B60A11D" w14:textId="77777777">
      <w:pPr>
        <w:tabs>
          <w:tab w:val="left" w:pos="3870"/>
          <w:tab w:val="left" w:pos="4320"/>
        </w:tabs>
        <w:ind w:left="4320"/>
        <w:rPr>
          <w:szCs w:val="24"/>
        </w:rPr>
      </w:pPr>
    </w:p>
    <w:p w:rsidR="002354D4" w:rsidRPr="00EF13D9" w:rsidP="00E673CF" w14:paraId="5511B8E4" w14:textId="77777777">
      <w:pPr>
        <w:ind w:left="4320"/>
        <w:rPr>
          <w:b/>
          <w:bCs/>
          <w:szCs w:val="24"/>
        </w:rPr>
      </w:pPr>
      <w:r w:rsidRPr="00EF13D9">
        <w:rPr>
          <w:b/>
          <w:bCs/>
          <w:szCs w:val="24"/>
        </w:rPr>
        <w:t>Office of the Ohio Consumers' Counsel</w:t>
      </w:r>
    </w:p>
    <w:p w:rsidR="002354D4" w:rsidRPr="00EF13D9" w:rsidP="00E673CF" w14:paraId="23EED720" w14:textId="7C16A5E7">
      <w:pPr>
        <w:ind w:left="4320"/>
        <w:rPr>
          <w:szCs w:val="24"/>
        </w:rPr>
      </w:pPr>
      <w:r w:rsidRPr="00EF13D9">
        <w:rPr>
          <w:szCs w:val="24"/>
        </w:rPr>
        <w:t xml:space="preserve">65 East State Street, </w:t>
      </w:r>
      <w:r w:rsidRPr="00EF13D9" w:rsidR="00706574">
        <w:rPr>
          <w:szCs w:val="24"/>
        </w:rPr>
        <w:t>Suite 700</w:t>
      </w:r>
    </w:p>
    <w:p w:rsidR="002354D4" w:rsidRPr="00EF13D9" w:rsidP="00E673CF" w14:paraId="1CBFA75E" w14:textId="05B7BFED">
      <w:pPr>
        <w:ind w:left="4320"/>
        <w:rPr>
          <w:szCs w:val="24"/>
        </w:rPr>
      </w:pPr>
      <w:r w:rsidRPr="00EF13D9">
        <w:rPr>
          <w:szCs w:val="24"/>
        </w:rPr>
        <w:t>Columbus, Ohio 43215</w:t>
      </w:r>
    </w:p>
    <w:p w:rsidR="002354D4" w:rsidRPr="00EF13D9" w:rsidP="00E673CF" w14:paraId="7F847239" w14:textId="77777777">
      <w:pPr>
        <w:autoSpaceDE w:val="0"/>
        <w:autoSpaceDN w:val="0"/>
        <w:adjustRightInd w:val="0"/>
        <w:ind w:left="4320"/>
        <w:rPr>
          <w:szCs w:val="24"/>
        </w:rPr>
      </w:pPr>
      <w:r w:rsidRPr="00EF13D9">
        <w:rPr>
          <w:szCs w:val="24"/>
        </w:rPr>
        <w:t>Telephone: [O’Brien]: (614) 466-9531</w:t>
      </w:r>
    </w:p>
    <w:p w:rsidR="000643F2" w:rsidRPr="00EF13D9" w:rsidP="00E673CF" w14:paraId="130CC54D" w14:textId="77777777">
      <w:pPr>
        <w:ind w:left="4320"/>
        <w:rPr>
          <w:szCs w:val="24"/>
        </w:rPr>
      </w:pPr>
      <w:r w:rsidRPr="00EF13D9">
        <w:rPr>
          <w:szCs w:val="24"/>
        </w:rPr>
        <w:t>Telephone [Semple]: (614) 466-9565</w:t>
      </w:r>
    </w:p>
    <w:p w:rsidR="002354D4" w:rsidRPr="00EF13D9" w:rsidP="00E673CF" w14:paraId="19810226" w14:textId="363464D3">
      <w:pPr>
        <w:ind w:left="4320"/>
        <w:rPr>
          <w:szCs w:val="24"/>
        </w:rPr>
      </w:pPr>
      <w:hyperlink r:id="rId6" w:history="1">
        <w:r w:rsidRPr="00EF13D9">
          <w:rPr>
            <w:rStyle w:val="Hyperlink"/>
            <w:szCs w:val="24"/>
          </w:rPr>
          <w:t>angela.obrien@occ.ohio.gov</w:t>
        </w:r>
      </w:hyperlink>
    </w:p>
    <w:p w:rsidR="002354D4" w:rsidRPr="00EF13D9" w:rsidP="00E673CF" w14:paraId="053C3BFB" w14:textId="77777777">
      <w:pPr>
        <w:ind w:left="4320"/>
        <w:rPr>
          <w:szCs w:val="24"/>
        </w:rPr>
      </w:pPr>
      <w:hyperlink r:id="rId7" w:history="1">
        <w:r w:rsidRPr="00EF13D9" w:rsidR="008F46B6">
          <w:rPr>
            <w:rStyle w:val="Hyperlink"/>
            <w:szCs w:val="24"/>
          </w:rPr>
          <w:t>connor.semple@occ.ohio.gov</w:t>
        </w:r>
      </w:hyperlink>
    </w:p>
    <w:p w:rsidR="00A044B5" w:rsidRPr="00EF13D9" w:rsidP="009445A5" w14:paraId="38EBE3D4" w14:textId="0AA86A85">
      <w:pPr>
        <w:ind w:left="4320" w:hanging="4320"/>
        <w:rPr>
          <w:szCs w:val="24"/>
        </w:rPr>
      </w:pPr>
      <w:r w:rsidRPr="00EF13D9">
        <w:rPr>
          <w:szCs w:val="24"/>
        </w:rPr>
        <w:tab/>
        <w:t>(willing to accept service by e-mail)</w:t>
      </w:r>
    </w:p>
    <w:p w:rsidR="00A044B5" w:rsidRPr="00EF13D9" w14:paraId="4C901FD2" w14:textId="77777777">
      <w:pPr>
        <w:ind w:left="4320" w:firstLine="720"/>
        <w:jc w:val="both"/>
        <w:rPr>
          <w:szCs w:val="24"/>
        </w:rPr>
      </w:pPr>
    </w:p>
    <w:p w:rsidR="00A044B5" w:rsidRPr="00EF13D9" w14:paraId="50219308" w14:textId="77777777">
      <w:pPr>
        <w:pStyle w:val="HTMLPreformatted"/>
        <w:jc w:val="center"/>
        <w:rPr>
          <w:rFonts w:ascii="Times New Roman" w:hAnsi="Times New Roman" w:cs="Times New Roman"/>
          <w:b/>
          <w:bCs/>
          <w:sz w:val="24"/>
          <w:szCs w:val="24"/>
        </w:rPr>
        <w:sectPr>
          <w:headerReference w:type="default" r:id="rId8"/>
          <w:footerReference w:type="even" r:id="rId9"/>
          <w:footerReference w:type="default" r:id="rId10"/>
          <w:pgSz w:w="12240" w:h="15840"/>
          <w:pgMar w:top="1440" w:right="1800" w:bottom="1440" w:left="1800" w:header="720" w:footer="720" w:gutter="0"/>
          <w:cols w:space="720"/>
          <w:titlePg/>
          <w:docGrid w:linePitch="65"/>
        </w:sectPr>
      </w:pPr>
    </w:p>
    <w:p w:rsidR="00A044B5" w:rsidRPr="00EF13D9" w14:paraId="33126848" w14:textId="77777777">
      <w:pPr>
        <w:pStyle w:val="HTMLPreformatted"/>
        <w:jc w:val="center"/>
        <w:rPr>
          <w:rFonts w:ascii="Times New Roman" w:hAnsi="Times New Roman" w:cs="Times New Roman"/>
          <w:b/>
          <w:bCs/>
          <w:sz w:val="24"/>
          <w:szCs w:val="24"/>
        </w:rPr>
      </w:pPr>
      <w:r w:rsidRPr="00EF13D9">
        <w:rPr>
          <w:rFonts w:ascii="Times New Roman" w:hAnsi="Times New Roman" w:cs="Times New Roman"/>
          <w:b/>
          <w:bCs/>
          <w:sz w:val="24"/>
          <w:szCs w:val="24"/>
        </w:rPr>
        <w:t>BEFORE</w:t>
      </w:r>
    </w:p>
    <w:p w:rsidR="00A044B5" w:rsidRPr="00EF13D9" w14:paraId="64376BD8" w14:textId="77777777">
      <w:pPr>
        <w:pStyle w:val="HTMLPreformatted"/>
        <w:jc w:val="center"/>
        <w:rPr>
          <w:rFonts w:ascii="Times New Roman" w:hAnsi="Times New Roman" w:cs="Times New Roman"/>
          <w:b/>
          <w:bCs/>
          <w:sz w:val="24"/>
          <w:szCs w:val="24"/>
        </w:rPr>
      </w:pPr>
      <w:r w:rsidRPr="00EF13D9">
        <w:rPr>
          <w:rFonts w:ascii="Times New Roman" w:hAnsi="Times New Roman" w:cs="Times New Roman"/>
          <w:b/>
          <w:bCs/>
          <w:sz w:val="24"/>
          <w:szCs w:val="24"/>
        </w:rPr>
        <w:t>THE PUBLIC UTILITIES COMMISSION OF OHIO</w:t>
      </w:r>
    </w:p>
    <w:p w:rsidR="001D10F6" w:rsidRPr="00EF13D9" w14:paraId="3D312791" w14:textId="77777777">
      <w:pPr>
        <w:pStyle w:val="HTMLPreformatted"/>
        <w:jc w:val="center"/>
        <w:rPr>
          <w:rFonts w:ascii="Times New Roman" w:hAnsi="Times New Roman" w:cs="Times New Roman"/>
          <w:b/>
          <w:bCs/>
          <w:sz w:val="24"/>
          <w:szCs w:val="24"/>
        </w:rPr>
      </w:pPr>
    </w:p>
    <w:p w:rsidR="001D10F6" w:rsidRPr="00EF13D9" w:rsidP="001D10F6" w14:paraId="21C7C74F" w14:textId="77777777">
      <w:pPr>
        <w:pStyle w:val="HTMLPreformatted"/>
        <w:rPr>
          <w:rFonts w:ascii="Times New Roman" w:hAnsi="Times New Roman" w:cs="Times New Roman"/>
          <w:sz w:val="24"/>
          <w:szCs w:val="24"/>
        </w:rPr>
      </w:pPr>
      <w:r w:rsidRPr="00EF13D9">
        <w:rPr>
          <w:rFonts w:ascii="Times New Roman" w:hAnsi="Times New Roman" w:cs="Times New Roman"/>
          <w:sz w:val="24"/>
          <w:szCs w:val="24"/>
        </w:rPr>
        <w:t>Duke Energy Ohio, LLC</w:t>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t>)</w:t>
      </w:r>
    </w:p>
    <w:p w:rsidR="001D10F6" w:rsidRPr="00EF13D9" w:rsidP="001D10F6" w14:paraId="0835EF2E" w14:textId="77777777">
      <w:pPr>
        <w:pStyle w:val="HTMLPreformatted"/>
        <w:rPr>
          <w:rFonts w:ascii="Times New Roman" w:hAnsi="Times New Roman" w:cs="Times New Roman"/>
          <w:sz w:val="24"/>
          <w:szCs w:val="24"/>
        </w:rPr>
      </w:pP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t>)</w:t>
      </w:r>
      <w:r w:rsidRPr="00EF13D9">
        <w:rPr>
          <w:rFonts w:ascii="Times New Roman" w:hAnsi="Times New Roman" w:cs="Times New Roman"/>
          <w:sz w:val="24"/>
          <w:szCs w:val="24"/>
        </w:rPr>
        <w:tab/>
      </w:r>
    </w:p>
    <w:p w:rsidR="001D10F6" w:rsidRPr="00EF13D9" w:rsidP="001D10F6" w14:paraId="18256425" w14:textId="77777777">
      <w:pPr>
        <w:pStyle w:val="HTMLPreformatted"/>
        <w:rPr>
          <w:rFonts w:ascii="Times New Roman" w:hAnsi="Times New Roman" w:cs="Times New Roman"/>
          <w:sz w:val="24"/>
          <w:szCs w:val="24"/>
        </w:rPr>
      </w:pPr>
      <w:r w:rsidRPr="00EF13D9">
        <w:rPr>
          <w:rFonts w:ascii="Times New Roman" w:hAnsi="Times New Roman" w:cs="Times New Roman"/>
          <w:sz w:val="24"/>
          <w:szCs w:val="24"/>
        </w:rPr>
        <w:t xml:space="preserve"> </w:t>
      </w:r>
      <w:r w:rsidRPr="00EF13D9">
        <w:rPr>
          <w:rFonts w:ascii="Times New Roman" w:hAnsi="Times New Roman" w:cs="Times New Roman"/>
          <w:sz w:val="24"/>
          <w:szCs w:val="24"/>
        </w:rPr>
        <w:tab/>
        <w:t>Complainant,</w:t>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t>)</w:t>
      </w:r>
    </w:p>
    <w:p w:rsidR="001D10F6" w:rsidRPr="00EF13D9" w:rsidP="001D10F6" w14:paraId="6D7FAE43" w14:textId="77777777">
      <w:pPr>
        <w:pStyle w:val="HTMLPreformatted"/>
        <w:rPr>
          <w:rFonts w:ascii="Times New Roman" w:hAnsi="Times New Roman" w:cs="Times New Roman"/>
          <w:sz w:val="24"/>
          <w:szCs w:val="24"/>
        </w:rPr>
      </w:pP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t>)</w:t>
      </w:r>
      <w:r w:rsidRPr="00EF13D9" w:rsidR="008F46B6">
        <w:rPr>
          <w:rFonts w:ascii="Times New Roman" w:hAnsi="Times New Roman" w:cs="Times New Roman"/>
          <w:sz w:val="24"/>
          <w:szCs w:val="24"/>
        </w:rPr>
        <w:tab/>
        <w:t>Case No. 22-279-EL-CSS</w:t>
      </w:r>
    </w:p>
    <w:p w:rsidR="001D10F6" w:rsidRPr="00EF13D9" w:rsidP="001D10F6" w14:paraId="564D43D7" w14:textId="43A5DDB7">
      <w:pPr>
        <w:pStyle w:val="HTMLPreformatted"/>
        <w:rPr>
          <w:rFonts w:ascii="Times New Roman" w:hAnsi="Times New Roman" w:cs="Times New Roman"/>
          <w:sz w:val="24"/>
          <w:szCs w:val="24"/>
        </w:rPr>
      </w:pPr>
      <w:r w:rsidRPr="00EF13D9">
        <w:rPr>
          <w:rFonts w:ascii="Times New Roman" w:hAnsi="Times New Roman" w:cs="Times New Roman"/>
          <w:sz w:val="24"/>
          <w:szCs w:val="24"/>
        </w:rPr>
        <w:t xml:space="preserve"> </w:t>
      </w:r>
      <w:r w:rsidRPr="00EF13D9">
        <w:rPr>
          <w:rFonts w:ascii="Times New Roman" w:hAnsi="Times New Roman" w:cs="Times New Roman"/>
          <w:sz w:val="24"/>
          <w:szCs w:val="24"/>
        </w:rPr>
        <w:t>v.</w:t>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t>)</w:t>
      </w:r>
    </w:p>
    <w:p w:rsidR="001D10F6" w:rsidRPr="00EF13D9" w:rsidP="001D10F6" w14:paraId="6D30608D" w14:textId="77777777">
      <w:pPr>
        <w:pStyle w:val="HTMLPreformatted"/>
        <w:rPr>
          <w:rFonts w:ascii="Times New Roman" w:hAnsi="Times New Roman" w:cs="Times New Roman"/>
          <w:sz w:val="24"/>
          <w:szCs w:val="24"/>
        </w:rPr>
      </w:pP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t>)</w:t>
      </w:r>
    </w:p>
    <w:p w:rsidR="001D10F6" w:rsidRPr="00EF13D9" w:rsidP="001D10F6" w14:paraId="73F4EC11" w14:textId="77777777">
      <w:pPr>
        <w:pStyle w:val="HTMLPreformatted"/>
        <w:rPr>
          <w:rFonts w:ascii="Times New Roman" w:hAnsi="Times New Roman" w:cs="Times New Roman"/>
          <w:sz w:val="24"/>
          <w:szCs w:val="24"/>
        </w:rPr>
      </w:pPr>
      <w:r w:rsidRPr="00EF13D9">
        <w:rPr>
          <w:rFonts w:ascii="Times New Roman" w:hAnsi="Times New Roman" w:cs="Times New Roman"/>
          <w:sz w:val="24"/>
          <w:szCs w:val="24"/>
        </w:rPr>
        <w:t>Nationwide Energy Partners, LLC</w:t>
      </w:r>
      <w:r w:rsidRPr="00EF13D9">
        <w:rPr>
          <w:rFonts w:ascii="Times New Roman" w:hAnsi="Times New Roman" w:cs="Times New Roman"/>
          <w:sz w:val="24"/>
          <w:szCs w:val="24"/>
        </w:rPr>
        <w:tab/>
      </w:r>
      <w:r w:rsidRPr="00EF13D9">
        <w:rPr>
          <w:rFonts w:ascii="Times New Roman" w:hAnsi="Times New Roman" w:cs="Times New Roman"/>
          <w:sz w:val="24"/>
          <w:szCs w:val="24"/>
        </w:rPr>
        <w:tab/>
        <w:t>)</w:t>
      </w:r>
    </w:p>
    <w:p w:rsidR="001D10F6" w:rsidRPr="00EF13D9" w:rsidP="001D10F6" w14:paraId="16114948" w14:textId="77777777">
      <w:pPr>
        <w:pStyle w:val="HTMLPreformatted"/>
        <w:rPr>
          <w:rFonts w:ascii="Times New Roman" w:hAnsi="Times New Roman" w:cs="Times New Roman"/>
          <w:sz w:val="24"/>
          <w:szCs w:val="24"/>
        </w:rPr>
      </w:pP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t>)</w:t>
      </w:r>
    </w:p>
    <w:p w:rsidR="001D10F6" w:rsidRPr="00EF13D9" w:rsidP="001D10F6" w14:paraId="3035016F" w14:textId="77777777">
      <w:pPr>
        <w:pStyle w:val="HTMLPreformatted"/>
        <w:rPr>
          <w:rFonts w:ascii="Times New Roman" w:hAnsi="Times New Roman" w:cs="Times New Roman"/>
          <w:sz w:val="24"/>
          <w:szCs w:val="24"/>
        </w:rPr>
      </w:pPr>
      <w:r w:rsidRPr="00EF13D9">
        <w:rPr>
          <w:rFonts w:ascii="Times New Roman" w:hAnsi="Times New Roman" w:cs="Times New Roman"/>
          <w:sz w:val="24"/>
          <w:szCs w:val="24"/>
        </w:rPr>
        <w:tab/>
        <w:t>Respondent.</w:t>
      </w:r>
      <w:r w:rsidRPr="00EF13D9">
        <w:rPr>
          <w:rFonts w:ascii="Times New Roman" w:hAnsi="Times New Roman" w:cs="Times New Roman"/>
          <w:sz w:val="24"/>
          <w:szCs w:val="24"/>
        </w:rPr>
        <w:tab/>
      </w:r>
      <w:r w:rsidRPr="00EF13D9">
        <w:rPr>
          <w:rFonts w:ascii="Times New Roman" w:hAnsi="Times New Roman" w:cs="Times New Roman"/>
          <w:sz w:val="24"/>
          <w:szCs w:val="24"/>
        </w:rPr>
        <w:tab/>
      </w:r>
      <w:r w:rsidRPr="00EF13D9">
        <w:rPr>
          <w:rFonts w:ascii="Times New Roman" w:hAnsi="Times New Roman" w:cs="Times New Roman"/>
          <w:sz w:val="24"/>
          <w:szCs w:val="24"/>
        </w:rPr>
        <w:tab/>
        <w:t>)</w:t>
      </w:r>
    </w:p>
    <w:p w:rsidR="00A044B5" w:rsidRPr="00EF13D9" w14:paraId="7C84D497" w14:textId="77777777">
      <w:pPr>
        <w:pStyle w:val="Heading2"/>
        <w:pBdr>
          <w:bottom w:val="single" w:sz="12" w:space="1" w:color="auto"/>
        </w:pBdr>
        <w:jc w:val="left"/>
        <w:rPr>
          <w:b w:val="0"/>
          <w:szCs w:val="24"/>
        </w:rPr>
      </w:pPr>
    </w:p>
    <w:p w:rsidR="00A044B5" w:rsidRPr="00EF13D9" w14:paraId="0EDC99D2" w14:textId="77777777">
      <w:pPr>
        <w:pStyle w:val="Heading2"/>
        <w:rPr>
          <w:szCs w:val="24"/>
        </w:rPr>
      </w:pPr>
    </w:p>
    <w:p w:rsidR="00A044B5" w:rsidRPr="00EF13D9" w14:paraId="4005D598" w14:textId="77777777">
      <w:pPr>
        <w:pStyle w:val="Heading2"/>
        <w:pBdr>
          <w:bottom w:val="single" w:sz="12" w:space="1" w:color="auto"/>
        </w:pBdr>
        <w:rPr>
          <w:szCs w:val="24"/>
        </w:rPr>
      </w:pPr>
      <w:r w:rsidRPr="00EF13D9">
        <w:rPr>
          <w:szCs w:val="24"/>
        </w:rPr>
        <w:t>MEMORANDUM IN SUPPORT</w:t>
      </w:r>
      <w:r w:rsidRPr="00EF13D9">
        <w:rPr>
          <w:szCs w:val="24"/>
        </w:rPr>
        <w:br/>
      </w:r>
    </w:p>
    <w:p w:rsidR="00A044B5" w:rsidRPr="00EF13D9" w14:paraId="3AE00CEC" w14:textId="77777777">
      <w:pPr>
        <w:pStyle w:val="BodyTextIndent"/>
        <w:spacing w:line="240" w:lineRule="auto"/>
        <w:ind w:firstLine="0"/>
        <w:rPr>
          <w:b/>
          <w:bCs/>
          <w:szCs w:val="24"/>
        </w:rPr>
      </w:pPr>
    </w:p>
    <w:p w:rsidR="005130EE" w:rsidRPr="00EF13D9" w14:paraId="405C985E" w14:textId="77777777">
      <w:pPr>
        <w:pStyle w:val="BodyTextIndent3"/>
        <w:widowControl w:val="0"/>
        <w:spacing w:line="480" w:lineRule="auto"/>
        <w:ind w:right="-24"/>
        <w:rPr>
          <w:szCs w:val="24"/>
        </w:rPr>
      </w:pPr>
      <w:r w:rsidRPr="00EF13D9">
        <w:rPr>
          <w:szCs w:val="24"/>
        </w:rPr>
        <w:t xml:space="preserve">This case will determine whether </w:t>
      </w:r>
      <w:r w:rsidRPr="00EF13D9" w:rsidR="008F46B6">
        <w:rPr>
          <w:szCs w:val="24"/>
        </w:rPr>
        <w:t>Duke</w:t>
      </w:r>
      <w:r w:rsidRPr="00EF13D9">
        <w:rPr>
          <w:szCs w:val="24"/>
        </w:rPr>
        <w:t xml:space="preserve"> can</w:t>
      </w:r>
      <w:r w:rsidRPr="00EF13D9" w:rsidR="006326A6">
        <w:rPr>
          <w:szCs w:val="24"/>
        </w:rPr>
        <w:t xml:space="preserve"> be forced to allow </w:t>
      </w:r>
      <w:r w:rsidRPr="00EF13D9">
        <w:rPr>
          <w:szCs w:val="24"/>
        </w:rPr>
        <w:t xml:space="preserve">NEP </w:t>
      </w:r>
      <w:r w:rsidRPr="00EF13D9" w:rsidR="006326A6">
        <w:rPr>
          <w:szCs w:val="24"/>
        </w:rPr>
        <w:t>to</w:t>
      </w:r>
      <w:r w:rsidRPr="00EF13D9" w:rsidR="00002306">
        <w:rPr>
          <w:szCs w:val="24"/>
        </w:rPr>
        <w:t xml:space="preserve"> </w:t>
      </w:r>
      <w:r w:rsidRPr="00EF13D9" w:rsidR="008B6A97">
        <w:rPr>
          <w:szCs w:val="24"/>
        </w:rPr>
        <w:t>resell and redistribut</w:t>
      </w:r>
      <w:r w:rsidRPr="00EF13D9" w:rsidR="006326A6">
        <w:rPr>
          <w:szCs w:val="24"/>
        </w:rPr>
        <w:t>e</w:t>
      </w:r>
      <w:r w:rsidRPr="00EF13D9" w:rsidR="004211C0">
        <w:rPr>
          <w:szCs w:val="24"/>
        </w:rPr>
        <w:t xml:space="preserve"> electric</w:t>
      </w:r>
      <w:r w:rsidRPr="00EF13D9">
        <w:rPr>
          <w:szCs w:val="24"/>
        </w:rPr>
        <w:t xml:space="preserve"> </w:t>
      </w:r>
      <w:r w:rsidRPr="00EF13D9" w:rsidR="00E504E1">
        <w:rPr>
          <w:szCs w:val="24"/>
        </w:rPr>
        <w:t xml:space="preserve">utility </w:t>
      </w:r>
      <w:r w:rsidRPr="00EF13D9">
        <w:rPr>
          <w:szCs w:val="24"/>
        </w:rPr>
        <w:t>service to</w:t>
      </w:r>
      <w:r w:rsidRPr="00EF13D9" w:rsidR="00616CFE">
        <w:rPr>
          <w:szCs w:val="24"/>
        </w:rPr>
        <w:t xml:space="preserve"> the</w:t>
      </w:r>
      <w:r w:rsidRPr="00EF13D9">
        <w:rPr>
          <w:szCs w:val="24"/>
        </w:rPr>
        <w:t xml:space="preserve"> residents</w:t>
      </w:r>
      <w:r w:rsidRPr="00EF13D9" w:rsidR="00616CFE">
        <w:rPr>
          <w:szCs w:val="24"/>
        </w:rPr>
        <w:t xml:space="preserve"> of Somerset at Deerfield in Mason, Ohio</w:t>
      </w:r>
      <w:r w:rsidRPr="00EF13D9" w:rsidR="004211C0">
        <w:rPr>
          <w:szCs w:val="24"/>
        </w:rPr>
        <w:t xml:space="preserve"> </w:t>
      </w:r>
      <w:r w:rsidRPr="00EF13D9" w:rsidR="00AF5B98">
        <w:rPr>
          <w:szCs w:val="24"/>
        </w:rPr>
        <w:t xml:space="preserve">(the “Somerset residential consumers”) </w:t>
      </w:r>
      <w:r w:rsidRPr="00EF13D9" w:rsidR="004211C0">
        <w:rPr>
          <w:szCs w:val="24"/>
        </w:rPr>
        <w:t>through submetering</w:t>
      </w:r>
      <w:r w:rsidRPr="00EF13D9" w:rsidR="008B6A97">
        <w:rPr>
          <w:szCs w:val="24"/>
        </w:rPr>
        <w:t>. NEP’s provision of submetering service</w:t>
      </w:r>
      <w:r w:rsidRPr="00EF13D9" w:rsidR="000F7DD5">
        <w:rPr>
          <w:szCs w:val="24"/>
        </w:rPr>
        <w:t xml:space="preserve"> could harm the Somerset residential consumers by </w:t>
      </w:r>
      <w:r w:rsidRPr="00EF13D9" w:rsidR="008B6A97">
        <w:rPr>
          <w:szCs w:val="24"/>
        </w:rPr>
        <w:t>negatively impact</w:t>
      </w:r>
      <w:r w:rsidRPr="00EF13D9" w:rsidR="000F7DD5">
        <w:rPr>
          <w:szCs w:val="24"/>
        </w:rPr>
        <w:t>ing</w:t>
      </w:r>
      <w:r w:rsidRPr="00EF13D9" w:rsidR="008B6A97">
        <w:rPr>
          <w:szCs w:val="24"/>
        </w:rPr>
        <w:t xml:space="preserve"> the </w:t>
      </w:r>
      <w:r w:rsidRPr="00EF13D9" w:rsidR="004211C0">
        <w:rPr>
          <w:szCs w:val="24"/>
        </w:rPr>
        <w:t>consumer protections</w:t>
      </w:r>
      <w:r w:rsidRPr="00EF13D9" w:rsidR="00E504E1">
        <w:rPr>
          <w:szCs w:val="24"/>
        </w:rPr>
        <w:t xml:space="preserve"> </w:t>
      </w:r>
      <w:r w:rsidRPr="00EF13D9" w:rsidR="00616CFE">
        <w:rPr>
          <w:szCs w:val="24"/>
        </w:rPr>
        <w:t>the</w:t>
      </w:r>
      <w:r w:rsidRPr="00EF13D9" w:rsidR="000F7DD5">
        <w:rPr>
          <w:szCs w:val="24"/>
        </w:rPr>
        <w:t>y would</w:t>
      </w:r>
      <w:r w:rsidRPr="00EF13D9" w:rsidR="00E504E1">
        <w:rPr>
          <w:szCs w:val="24"/>
        </w:rPr>
        <w:t xml:space="preserve"> </w:t>
      </w:r>
      <w:r w:rsidRPr="00EF13D9" w:rsidR="008B6A97">
        <w:rPr>
          <w:szCs w:val="24"/>
        </w:rPr>
        <w:t xml:space="preserve">normally </w:t>
      </w:r>
      <w:r w:rsidRPr="00EF13D9" w:rsidR="00E504E1">
        <w:rPr>
          <w:szCs w:val="24"/>
        </w:rPr>
        <w:t xml:space="preserve">receive </w:t>
      </w:r>
      <w:r w:rsidRPr="00EF13D9" w:rsidR="00FD2445">
        <w:rPr>
          <w:szCs w:val="24"/>
        </w:rPr>
        <w:t>when they</w:t>
      </w:r>
      <w:r w:rsidRPr="00EF13D9" w:rsidR="008B6A97">
        <w:rPr>
          <w:szCs w:val="24"/>
        </w:rPr>
        <w:t xml:space="preserve"> take </w:t>
      </w:r>
      <w:r w:rsidRPr="00EF13D9" w:rsidR="00FD2445">
        <w:rPr>
          <w:szCs w:val="24"/>
        </w:rPr>
        <w:t xml:space="preserve">electric </w:t>
      </w:r>
      <w:r w:rsidRPr="00EF13D9" w:rsidR="008B6A97">
        <w:rPr>
          <w:szCs w:val="24"/>
        </w:rPr>
        <w:t xml:space="preserve">utility </w:t>
      </w:r>
      <w:r w:rsidRPr="00EF13D9" w:rsidR="00FD2445">
        <w:rPr>
          <w:szCs w:val="24"/>
        </w:rPr>
        <w:t xml:space="preserve">service </w:t>
      </w:r>
      <w:r w:rsidRPr="00EF13D9" w:rsidR="00E504E1">
        <w:rPr>
          <w:szCs w:val="24"/>
        </w:rPr>
        <w:t xml:space="preserve">from </w:t>
      </w:r>
      <w:r w:rsidRPr="00EF13D9" w:rsidR="006326A6">
        <w:rPr>
          <w:szCs w:val="24"/>
        </w:rPr>
        <w:t>Duke</w:t>
      </w:r>
      <w:r w:rsidRPr="00EF13D9">
        <w:rPr>
          <w:szCs w:val="24"/>
        </w:rPr>
        <w:t>.</w:t>
      </w:r>
      <w:r w:rsidRPr="00EF13D9" w:rsidR="00616CFE">
        <w:rPr>
          <w:szCs w:val="24"/>
        </w:rPr>
        <w:t xml:space="preserve"> </w:t>
      </w:r>
    </w:p>
    <w:p w:rsidR="003C3B88" w:rsidRPr="00EF13D9" w:rsidP="000F7DD5" w14:paraId="06B5BE8D" w14:textId="5D3D98F0">
      <w:pPr>
        <w:pStyle w:val="BodyTextIndent3"/>
        <w:widowControl w:val="0"/>
        <w:spacing w:line="480" w:lineRule="auto"/>
        <w:ind w:right="-24"/>
        <w:rPr>
          <w:szCs w:val="24"/>
        </w:rPr>
      </w:pPr>
      <w:r w:rsidRPr="00EF13D9">
        <w:rPr>
          <w:szCs w:val="24"/>
        </w:rPr>
        <w:t xml:space="preserve">Indeed, </w:t>
      </w:r>
      <w:r w:rsidRPr="00EF13D9" w:rsidR="00616CFE">
        <w:rPr>
          <w:szCs w:val="24"/>
        </w:rPr>
        <w:t>Duke alleges that NEP has</w:t>
      </w:r>
      <w:r w:rsidRPr="00EF13D9">
        <w:rPr>
          <w:szCs w:val="24"/>
        </w:rPr>
        <w:t xml:space="preserve"> already</w:t>
      </w:r>
      <w:r w:rsidRPr="00EF13D9" w:rsidR="00616CFE">
        <w:rPr>
          <w:szCs w:val="24"/>
        </w:rPr>
        <w:t xml:space="preserve"> cancel</w:t>
      </w:r>
      <w:r w:rsidRPr="00EF13D9" w:rsidR="005130EE">
        <w:rPr>
          <w:szCs w:val="24"/>
        </w:rPr>
        <w:t>ed</w:t>
      </w:r>
      <w:r w:rsidRPr="00EF13D9">
        <w:rPr>
          <w:szCs w:val="24"/>
        </w:rPr>
        <w:t xml:space="preserve"> some</w:t>
      </w:r>
      <w:r w:rsidRPr="00EF13D9" w:rsidR="00616CFE">
        <w:rPr>
          <w:szCs w:val="24"/>
        </w:rPr>
        <w:t xml:space="preserve"> resident</w:t>
      </w:r>
      <w:r w:rsidRPr="00EF13D9" w:rsidR="00756B19">
        <w:rPr>
          <w:szCs w:val="24"/>
        </w:rPr>
        <w:t>ial consumers’</w:t>
      </w:r>
      <w:r w:rsidRPr="00EF13D9" w:rsidR="00616CFE">
        <w:rPr>
          <w:szCs w:val="24"/>
        </w:rPr>
        <w:t xml:space="preserve"> </w:t>
      </w:r>
      <w:r w:rsidRPr="00EF13D9" w:rsidR="005130EE">
        <w:rPr>
          <w:szCs w:val="24"/>
        </w:rPr>
        <w:t xml:space="preserve">existing </w:t>
      </w:r>
      <w:r w:rsidRPr="00EF13D9" w:rsidR="00616CFE">
        <w:rPr>
          <w:szCs w:val="24"/>
        </w:rPr>
        <w:t>electric utility service with Duke</w:t>
      </w:r>
      <w:r w:rsidRPr="00EF13D9">
        <w:rPr>
          <w:szCs w:val="24"/>
        </w:rPr>
        <w:t xml:space="preserve"> and switched them to NEP’s submetering service</w:t>
      </w:r>
      <w:r w:rsidRPr="00EF13D9" w:rsidR="00616CFE">
        <w:rPr>
          <w:szCs w:val="24"/>
        </w:rPr>
        <w:t>.</w:t>
      </w:r>
      <w:r>
        <w:rPr>
          <w:rStyle w:val="FootnoteReference"/>
          <w:szCs w:val="24"/>
        </w:rPr>
        <w:footnoteReference w:id="4"/>
      </w:r>
      <w:r w:rsidRPr="00EF13D9" w:rsidR="0022100F">
        <w:rPr>
          <w:szCs w:val="24"/>
        </w:rPr>
        <w:t xml:space="preserve"> NEP </w:t>
      </w:r>
      <w:r w:rsidRPr="00EF13D9" w:rsidR="00756B19">
        <w:rPr>
          <w:szCs w:val="24"/>
        </w:rPr>
        <w:t>can</w:t>
      </w:r>
      <w:r w:rsidRPr="00EF13D9">
        <w:rPr>
          <w:szCs w:val="24"/>
        </w:rPr>
        <w:t xml:space="preserve"> now</w:t>
      </w:r>
      <w:r w:rsidRPr="00EF13D9" w:rsidR="0022100F">
        <w:rPr>
          <w:szCs w:val="24"/>
        </w:rPr>
        <w:t xml:space="preserve"> resell electric utility service</w:t>
      </w:r>
      <w:r w:rsidRPr="00EF13D9" w:rsidR="00756B19">
        <w:rPr>
          <w:szCs w:val="24"/>
        </w:rPr>
        <w:t xml:space="preserve"> at</w:t>
      </w:r>
      <w:r w:rsidRPr="00EF13D9" w:rsidR="002F5004">
        <w:rPr>
          <w:szCs w:val="24"/>
        </w:rPr>
        <w:t xml:space="preserve"> potentially</w:t>
      </w:r>
      <w:r w:rsidRPr="00EF13D9" w:rsidR="00756B19">
        <w:rPr>
          <w:szCs w:val="24"/>
        </w:rPr>
        <w:t xml:space="preserve"> a substantial markup</w:t>
      </w:r>
      <w:r w:rsidRPr="00EF13D9" w:rsidR="0022100F">
        <w:rPr>
          <w:szCs w:val="24"/>
        </w:rPr>
        <w:t xml:space="preserve"> to the</w:t>
      </w:r>
      <w:r w:rsidRPr="00EF13D9" w:rsidR="002F5004">
        <w:rPr>
          <w:szCs w:val="24"/>
        </w:rPr>
        <w:t>se</w:t>
      </w:r>
      <w:r w:rsidRPr="00EF13D9" w:rsidR="0022100F">
        <w:rPr>
          <w:szCs w:val="24"/>
        </w:rPr>
        <w:t xml:space="preserve"> resident</w:t>
      </w:r>
      <w:r w:rsidRPr="00EF13D9" w:rsidR="00756B19">
        <w:rPr>
          <w:szCs w:val="24"/>
        </w:rPr>
        <w:t>ial consumers</w:t>
      </w:r>
      <w:r w:rsidRPr="00EF13D9">
        <w:rPr>
          <w:szCs w:val="24"/>
        </w:rPr>
        <w:t>.</w:t>
      </w:r>
      <w:r w:rsidRPr="00EF13D9" w:rsidR="0022100F">
        <w:rPr>
          <w:szCs w:val="24"/>
        </w:rPr>
        <w:t xml:space="preserve"> </w:t>
      </w:r>
      <w:r w:rsidRPr="00EF13D9">
        <w:rPr>
          <w:szCs w:val="24"/>
        </w:rPr>
        <w:t>A</w:t>
      </w:r>
      <w:r w:rsidRPr="00EF13D9" w:rsidR="006A1D0B">
        <w:rPr>
          <w:szCs w:val="24"/>
        </w:rPr>
        <w:t xml:space="preserve">nd </w:t>
      </w:r>
      <w:r w:rsidRPr="00EF13D9">
        <w:rPr>
          <w:szCs w:val="24"/>
        </w:rPr>
        <w:t xml:space="preserve">consumers </w:t>
      </w:r>
      <w:r w:rsidRPr="00EF13D9" w:rsidR="00756B19">
        <w:rPr>
          <w:szCs w:val="24"/>
        </w:rPr>
        <w:t>will</w:t>
      </w:r>
      <w:r w:rsidRPr="00EF13D9" w:rsidR="00912758">
        <w:rPr>
          <w:szCs w:val="24"/>
        </w:rPr>
        <w:t xml:space="preserve"> </w:t>
      </w:r>
      <w:r w:rsidRPr="00EF13D9">
        <w:rPr>
          <w:szCs w:val="24"/>
        </w:rPr>
        <w:t>lose important</w:t>
      </w:r>
      <w:r w:rsidRPr="00EF13D9" w:rsidR="00912758">
        <w:rPr>
          <w:szCs w:val="24"/>
        </w:rPr>
        <w:t xml:space="preserve"> service protections they</w:t>
      </w:r>
      <w:r w:rsidRPr="00EF13D9" w:rsidR="00756B19">
        <w:rPr>
          <w:szCs w:val="24"/>
        </w:rPr>
        <w:t xml:space="preserve"> would</w:t>
      </w:r>
      <w:r w:rsidRPr="00EF13D9" w:rsidR="00912758">
        <w:rPr>
          <w:szCs w:val="24"/>
        </w:rPr>
        <w:t xml:space="preserve"> normally receive when taking service from Duke.</w:t>
      </w:r>
      <w:r>
        <w:rPr>
          <w:rStyle w:val="FootnoteReference"/>
          <w:szCs w:val="24"/>
        </w:rPr>
        <w:footnoteReference w:id="5"/>
      </w:r>
      <w:r w:rsidRPr="00EF13D9">
        <w:rPr>
          <w:szCs w:val="24"/>
        </w:rPr>
        <w:t xml:space="preserve"> </w:t>
      </w:r>
    </w:p>
    <w:p w:rsidR="00A044B5" w:rsidRPr="00EF13D9" w:rsidP="000F7DD5" w14:paraId="3B4E37CC" w14:textId="41B8E07E">
      <w:pPr>
        <w:pStyle w:val="BodyTextIndent3"/>
        <w:widowControl w:val="0"/>
        <w:spacing w:line="480" w:lineRule="auto"/>
        <w:ind w:right="-24"/>
        <w:rPr>
          <w:szCs w:val="24"/>
        </w:rPr>
      </w:pPr>
      <w:r w:rsidRPr="00EF13D9">
        <w:rPr>
          <w:szCs w:val="24"/>
        </w:rPr>
        <w:t xml:space="preserve">Even if NEP does not raise rates above the rates that consumers paid to Duke, it’s still a rate increase to consumers if they receive less service for their payment. </w:t>
      </w:r>
      <w:r w:rsidRPr="00EF13D9">
        <w:rPr>
          <w:szCs w:val="24"/>
        </w:rPr>
        <w:t xml:space="preserve">OCC has </w:t>
      </w:r>
      <w:r w:rsidRPr="00EF13D9">
        <w:rPr>
          <w:szCs w:val="24"/>
        </w:rPr>
        <w:t>authority under law to represent the in</w:t>
      </w:r>
      <w:r w:rsidRPr="00EF13D9" w:rsidR="00A5514C">
        <w:rPr>
          <w:szCs w:val="24"/>
        </w:rPr>
        <w:t>terests of</w:t>
      </w:r>
      <w:r w:rsidRPr="00EF13D9" w:rsidR="00616CFE">
        <w:rPr>
          <w:szCs w:val="24"/>
        </w:rPr>
        <w:t xml:space="preserve"> </w:t>
      </w:r>
      <w:r w:rsidRPr="00EF13D9" w:rsidR="002F5004">
        <w:rPr>
          <w:szCs w:val="24"/>
        </w:rPr>
        <w:t xml:space="preserve">residential </w:t>
      </w:r>
      <w:r w:rsidRPr="00EF13D9" w:rsidR="00756B19">
        <w:rPr>
          <w:szCs w:val="24"/>
        </w:rPr>
        <w:t>consumers,</w:t>
      </w:r>
      <w:r w:rsidRPr="00EF13D9" w:rsidR="00616CFE">
        <w:rPr>
          <w:szCs w:val="24"/>
        </w:rPr>
        <w:t xml:space="preserve"> </w:t>
      </w:r>
      <w:r w:rsidRPr="00EF13D9">
        <w:rPr>
          <w:szCs w:val="24"/>
        </w:rPr>
        <w:t>pursuant to R.C. Chapter 4911.</w:t>
      </w:r>
      <w:r w:rsidRPr="00EF13D9" w:rsidR="00D177BE">
        <w:rPr>
          <w:szCs w:val="24"/>
        </w:rPr>
        <w:t xml:space="preserve"> </w:t>
      </w:r>
    </w:p>
    <w:p w:rsidR="00A044B5" w:rsidRPr="00EF13D9" w14:paraId="42BF6B4B" w14:textId="77777777">
      <w:pPr>
        <w:pStyle w:val="BodyTextIndent3"/>
        <w:widowControl w:val="0"/>
        <w:spacing w:line="480" w:lineRule="auto"/>
        <w:ind w:right="-24"/>
        <w:rPr>
          <w:szCs w:val="24"/>
        </w:rPr>
      </w:pPr>
      <w:r w:rsidRPr="00EF13D9">
        <w:rPr>
          <w:szCs w:val="24"/>
        </w:rPr>
        <w:t>R.C. 4903.221 provides, in part, that any person “who may be adversely affected” by a PUCO proceeding is entitled to seek in</w:t>
      </w:r>
      <w:r w:rsidRPr="00EF13D9" w:rsidR="002A4912">
        <w:rPr>
          <w:szCs w:val="24"/>
        </w:rPr>
        <w:t xml:space="preserve">tervention in that proceeding. </w:t>
      </w:r>
      <w:r w:rsidRPr="00EF13D9">
        <w:rPr>
          <w:szCs w:val="24"/>
        </w:rPr>
        <w:t xml:space="preserve">The interests of </w:t>
      </w:r>
      <w:r w:rsidRPr="00EF13D9" w:rsidR="0068445D">
        <w:rPr>
          <w:szCs w:val="24"/>
        </w:rPr>
        <w:t>the Somerset</w:t>
      </w:r>
      <w:r w:rsidRPr="00EF13D9">
        <w:rPr>
          <w:szCs w:val="24"/>
        </w:rPr>
        <w:t xml:space="preserve"> residential c</w:t>
      </w:r>
      <w:r w:rsidRPr="00EF13D9" w:rsidR="0068445D">
        <w:rPr>
          <w:szCs w:val="24"/>
        </w:rPr>
        <w:t>onsumers</w:t>
      </w:r>
      <w:r w:rsidRPr="00EF13D9">
        <w:rPr>
          <w:szCs w:val="24"/>
        </w:rPr>
        <w:t xml:space="preserve"> may be “adversely affected” by this case, especially if the </w:t>
      </w:r>
      <w:r w:rsidRPr="00EF13D9" w:rsidR="0068445D">
        <w:rPr>
          <w:szCs w:val="24"/>
        </w:rPr>
        <w:t>consumers</w:t>
      </w:r>
      <w:r w:rsidRPr="00EF13D9">
        <w:rPr>
          <w:szCs w:val="24"/>
        </w:rPr>
        <w:t xml:space="preserve"> were unrepresented in a pr</w:t>
      </w:r>
      <w:r w:rsidRPr="00EF13D9" w:rsidR="002A4912">
        <w:rPr>
          <w:szCs w:val="24"/>
        </w:rPr>
        <w:t>oceeding</w:t>
      </w:r>
      <w:r w:rsidRPr="00EF13D9" w:rsidR="007D75D4">
        <w:rPr>
          <w:szCs w:val="24"/>
        </w:rPr>
        <w:t xml:space="preserve"> where</w:t>
      </w:r>
      <w:r w:rsidRPr="00EF13D9" w:rsidR="004211C0">
        <w:rPr>
          <w:szCs w:val="24"/>
        </w:rPr>
        <w:t xml:space="preserve"> they</w:t>
      </w:r>
      <w:r w:rsidRPr="00EF13D9" w:rsidR="0068445D">
        <w:rPr>
          <w:szCs w:val="24"/>
        </w:rPr>
        <w:t xml:space="preserve"> are forced to take service from NEP and</w:t>
      </w:r>
      <w:r w:rsidRPr="00EF13D9" w:rsidR="004211C0">
        <w:rPr>
          <w:szCs w:val="24"/>
        </w:rPr>
        <w:t xml:space="preserve"> may lose consumer protections provided by </w:t>
      </w:r>
      <w:r w:rsidRPr="00EF13D9" w:rsidR="00FD2445">
        <w:rPr>
          <w:szCs w:val="24"/>
        </w:rPr>
        <w:t>a</w:t>
      </w:r>
      <w:r w:rsidRPr="00EF13D9" w:rsidR="004211C0">
        <w:rPr>
          <w:szCs w:val="24"/>
        </w:rPr>
        <w:t xml:space="preserve"> </w:t>
      </w:r>
      <w:r w:rsidRPr="00EF13D9" w:rsidR="00E504E1">
        <w:rPr>
          <w:szCs w:val="24"/>
        </w:rPr>
        <w:t xml:space="preserve">PUCO-regulated </w:t>
      </w:r>
      <w:r w:rsidRPr="00EF13D9" w:rsidR="004211C0">
        <w:rPr>
          <w:szCs w:val="24"/>
        </w:rPr>
        <w:t>public utility</w:t>
      </w:r>
      <w:r w:rsidRPr="00EF13D9" w:rsidR="00FD2445">
        <w:rPr>
          <w:szCs w:val="24"/>
        </w:rPr>
        <w:t>.</w:t>
      </w:r>
      <w:r w:rsidRPr="00EF13D9" w:rsidR="004211C0">
        <w:rPr>
          <w:szCs w:val="24"/>
        </w:rPr>
        <w:t xml:space="preserve"> </w:t>
      </w:r>
      <w:r w:rsidRPr="00EF13D9">
        <w:rPr>
          <w:szCs w:val="24"/>
        </w:rPr>
        <w:t xml:space="preserve">Thus, this element of the intervention standard in R.C. 4903.221 is satisfied. </w:t>
      </w:r>
    </w:p>
    <w:p w:rsidR="00A044B5" w:rsidRPr="00EF13D9" w14:paraId="44840273" w14:textId="77777777">
      <w:pPr>
        <w:spacing w:line="480" w:lineRule="auto"/>
        <w:ind w:firstLine="720"/>
        <w:rPr>
          <w:szCs w:val="24"/>
        </w:rPr>
      </w:pPr>
      <w:r w:rsidRPr="00EF13D9">
        <w:rPr>
          <w:szCs w:val="24"/>
        </w:rPr>
        <w:t>R.C. 490</w:t>
      </w:r>
      <w:r w:rsidRPr="00EF13D9" w:rsidR="002A4912">
        <w:rPr>
          <w:szCs w:val="24"/>
        </w:rPr>
        <w:t>3.221(B) requires the PUCO</w:t>
      </w:r>
      <w:r w:rsidRPr="00EF13D9">
        <w:rPr>
          <w:szCs w:val="24"/>
        </w:rPr>
        <w:t xml:space="preserve"> to consider the following criteria in ruling on motions to intervene:</w:t>
      </w:r>
    </w:p>
    <w:p w:rsidR="00A044B5" w:rsidRPr="00EF13D9" w:rsidP="0022020E" w14:paraId="175EC654" w14:textId="77777777">
      <w:pPr>
        <w:tabs>
          <w:tab w:val="left" w:pos="1530"/>
        </w:tabs>
        <w:ind w:left="1440" w:right="720" w:hanging="720"/>
        <w:rPr>
          <w:szCs w:val="24"/>
        </w:rPr>
      </w:pPr>
      <w:r w:rsidRPr="00EF13D9">
        <w:rPr>
          <w:szCs w:val="24"/>
        </w:rPr>
        <w:t>(1)</w:t>
      </w:r>
      <w:r w:rsidRPr="00EF13D9">
        <w:rPr>
          <w:szCs w:val="24"/>
        </w:rPr>
        <w:tab/>
        <w:t>The nature and extent of the prospective intervenor’s interest;</w:t>
      </w:r>
    </w:p>
    <w:p w:rsidR="00A044B5" w:rsidRPr="00EF13D9" w:rsidP="0022020E" w14:paraId="29EB421C" w14:textId="77777777">
      <w:pPr>
        <w:tabs>
          <w:tab w:val="left" w:pos="1530"/>
        </w:tabs>
        <w:spacing w:before="240"/>
        <w:ind w:left="1440" w:right="720" w:hanging="720"/>
        <w:rPr>
          <w:szCs w:val="24"/>
        </w:rPr>
      </w:pPr>
      <w:r w:rsidRPr="00EF13D9">
        <w:rPr>
          <w:szCs w:val="24"/>
        </w:rPr>
        <w:t>(2)</w:t>
      </w:r>
      <w:r w:rsidRPr="00EF13D9">
        <w:rPr>
          <w:szCs w:val="24"/>
        </w:rPr>
        <w:tab/>
        <w:t>The legal position advanced by the prospective intervenor and its probable relation to the merits of the case;</w:t>
      </w:r>
    </w:p>
    <w:p w:rsidR="00A044B5" w:rsidRPr="00EF13D9" w:rsidP="0022020E" w14:paraId="4153EB7D" w14:textId="77777777">
      <w:pPr>
        <w:tabs>
          <w:tab w:val="left" w:pos="1530"/>
        </w:tabs>
        <w:spacing w:before="240"/>
        <w:ind w:left="1440" w:right="720" w:hanging="720"/>
        <w:rPr>
          <w:szCs w:val="24"/>
        </w:rPr>
      </w:pPr>
      <w:r w:rsidRPr="00EF13D9">
        <w:rPr>
          <w:szCs w:val="24"/>
        </w:rPr>
        <w:t>(3)</w:t>
      </w:r>
      <w:r w:rsidRPr="00EF13D9">
        <w:rPr>
          <w:szCs w:val="24"/>
        </w:rPr>
        <w:tab/>
        <w:t>Whether the intervention by the prospective intervenor will unduly prolong or delay the proceeding; and</w:t>
      </w:r>
    </w:p>
    <w:p w:rsidR="00A044B5" w:rsidRPr="00EF13D9" w:rsidP="0022020E" w14:paraId="4B7DE08B" w14:textId="77777777">
      <w:pPr>
        <w:pStyle w:val="BodyTextIndent2"/>
        <w:tabs>
          <w:tab w:val="clear" w:pos="720"/>
          <w:tab w:val="left" w:pos="1530"/>
        </w:tabs>
        <w:ind w:left="1440" w:right="720" w:hanging="720"/>
        <w:rPr>
          <w:szCs w:val="24"/>
        </w:rPr>
      </w:pPr>
      <w:r w:rsidRPr="00EF13D9">
        <w:rPr>
          <w:szCs w:val="24"/>
        </w:rPr>
        <w:t>(4)</w:t>
      </w:r>
      <w:r w:rsidRPr="00EF13D9">
        <w:rPr>
          <w:szCs w:val="24"/>
        </w:rPr>
        <w:tab/>
        <w:t>Whether the prospective intervenor will significantly contribute to the full development and equitable resolution of the factual issues.</w:t>
      </w:r>
    </w:p>
    <w:p w:rsidR="00A044B5" w:rsidRPr="00EF13D9" w14:paraId="371C0EEF" w14:textId="4B5E2822">
      <w:pPr>
        <w:pStyle w:val="BodyTextIndent3"/>
        <w:spacing w:line="480" w:lineRule="auto"/>
        <w:rPr>
          <w:szCs w:val="24"/>
        </w:rPr>
      </w:pPr>
      <w:r w:rsidRPr="00EF13D9">
        <w:rPr>
          <w:szCs w:val="24"/>
        </w:rPr>
        <w:t xml:space="preserve">First, the nature and extent of OCC’s interest is representing </w:t>
      </w:r>
      <w:r w:rsidRPr="00EF13D9" w:rsidR="00C35006">
        <w:rPr>
          <w:szCs w:val="24"/>
        </w:rPr>
        <w:t>residential consumers in this case</w:t>
      </w:r>
      <w:r w:rsidRPr="00EF13D9" w:rsidR="002B02E3">
        <w:rPr>
          <w:szCs w:val="24"/>
        </w:rPr>
        <w:t>.</w:t>
      </w:r>
      <w:r w:rsidRPr="00EF13D9" w:rsidR="00C35006">
        <w:rPr>
          <w:szCs w:val="24"/>
        </w:rPr>
        <w:t xml:space="preserve"> </w:t>
      </w:r>
      <w:r w:rsidRPr="00EF13D9" w:rsidR="002B02E3">
        <w:rPr>
          <w:szCs w:val="24"/>
        </w:rPr>
        <w:t xml:space="preserve">Consumers </w:t>
      </w:r>
      <w:r w:rsidRPr="00EF13D9" w:rsidR="001309DD">
        <w:rPr>
          <w:szCs w:val="24"/>
        </w:rPr>
        <w:t>would</w:t>
      </w:r>
      <w:r w:rsidRPr="00EF13D9" w:rsidR="00C35006">
        <w:rPr>
          <w:szCs w:val="24"/>
        </w:rPr>
        <w:t xml:space="preserve"> be switched to NEP from Duke</w:t>
      </w:r>
      <w:r w:rsidRPr="00EF13D9" w:rsidR="001309DD">
        <w:rPr>
          <w:szCs w:val="24"/>
        </w:rPr>
        <w:t>, without making such a choice.</w:t>
      </w:r>
      <w:r w:rsidR="00EF13D9">
        <w:rPr>
          <w:szCs w:val="24"/>
        </w:rPr>
        <w:t xml:space="preserve"> </w:t>
      </w:r>
      <w:r w:rsidRPr="00EF13D9" w:rsidR="001309DD">
        <w:rPr>
          <w:szCs w:val="24"/>
        </w:rPr>
        <w:t>A</w:t>
      </w:r>
      <w:r w:rsidRPr="00EF13D9" w:rsidR="00C35006">
        <w:rPr>
          <w:szCs w:val="24"/>
        </w:rPr>
        <w:t>nd</w:t>
      </w:r>
      <w:r w:rsidRPr="00EF13D9">
        <w:rPr>
          <w:szCs w:val="24"/>
        </w:rPr>
        <w:t xml:space="preserve"> </w:t>
      </w:r>
      <w:r w:rsidRPr="00EF13D9" w:rsidR="001309DD">
        <w:rPr>
          <w:szCs w:val="24"/>
        </w:rPr>
        <w:t>consumers would</w:t>
      </w:r>
      <w:r w:rsidRPr="00EF13D9" w:rsidR="000E084F">
        <w:rPr>
          <w:szCs w:val="24"/>
        </w:rPr>
        <w:t xml:space="preserve"> lose consumer protections </w:t>
      </w:r>
      <w:r w:rsidRPr="00EF13D9" w:rsidR="001309DD">
        <w:rPr>
          <w:szCs w:val="24"/>
        </w:rPr>
        <w:t xml:space="preserve">that they receive from Duke </w:t>
      </w:r>
      <w:r w:rsidRPr="00EF13D9" w:rsidR="000E084F">
        <w:rPr>
          <w:szCs w:val="24"/>
        </w:rPr>
        <w:t xml:space="preserve">if </w:t>
      </w:r>
      <w:r w:rsidRPr="00EF13D9" w:rsidR="00C35006">
        <w:rPr>
          <w:szCs w:val="24"/>
        </w:rPr>
        <w:t>they are forced to take NEP’s submetering service</w:t>
      </w:r>
      <w:r w:rsidRPr="00EF13D9" w:rsidR="000E084F">
        <w:rPr>
          <w:szCs w:val="24"/>
        </w:rPr>
        <w:t>.</w:t>
      </w:r>
      <w:r w:rsidRPr="00EF13D9" w:rsidR="002A4912">
        <w:rPr>
          <w:szCs w:val="24"/>
        </w:rPr>
        <w:t xml:space="preserve"> </w:t>
      </w:r>
      <w:r w:rsidRPr="00EF13D9">
        <w:rPr>
          <w:szCs w:val="24"/>
        </w:rPr>
        <w:t>This interest is different than that of any other party and especially different than th</w:t>
      </w:r>
      <w:r w:rsidRPr="00EF13D9" w:rsidR="00CC2A6F">
        <w:rPr>
          <w:szCs w:val="24"/>
        </w:rPr>
        <w:t>ose</w:t>
      </w:r>
      <w:r w:rsidRPr="00EF13D9">
        <w:rPr>
          <w:szCs w:val="24"/>
        </w:rPr>
        <w:t xml:space="preserve"> of </w:t>
      </w:r>
      <w:r w:rsidRPr="00EF13D9" w:rsidR="00C35006">
        <w:rPr>
          <w:szCs w:val="24"/>
        </w:rPr>
        <w:t>Duke</w:t>
      </w:r>
      <w:r w:rsidRPr="00EF13D9" w:rsidR="00CC2A6F">
        <w:rPr>
          <w:szCs w:val="24"/>
        </w:rPr>
        <w:t xml:space="preserve"> and NEP</w:t>
      </w:r>
      <w:r w:rsidRPr="00EF13D9">
        <w:rPr>
          <w:szCs w:val="24"/>
        </w:rPr>
        <w:t xml:space="preserve"> whose advocacy includes the</w:t>
      </w:r>
      <w:r w:rsidRPr="00EF13D9" w:rsidR="00C35006">
        <w:rPr>
          <w:szCs w:val="24"/>
        </w:rPr>
        <w:t>ir</w:t>
      </w:r>
      <w:r w:rsidRPr="00EF13D9">
        <w:rPr>
          <w:szCs w:val="24"/>
        </w:rPr>
        <w:t xml:space="preserve"> financial interest</w:t>
      </w:r>
      <w:r w:rsidRPr="00EF13D9" w:rsidR="00C35006">
        <w:rPr>
          <w:szCs w:val="24"/>
        </w:rPr>
        <w:t>s</w:t>
      </w:r>
      <w:r w:rsidRPr="00EF13D9">
        <w:rPr>
          <w:szCs w:val="24"/>
        </w:rPr>
        <w:t>.</w:t>
      </w:r>
    </w:p>
    <w:p w:rsidR="00A044B5" w:rsidRPr="00EF13D9" w14:paraId="4A75C9E1" w14:textId="2B9F7AF5">
      <w:pPr>
        <w:pStyle w:val="Footer"/>
        <w:tabs>
          <w:tab w:val="clear" w:pos="4320"/>
          <w:tab w:val="clear" w:pos="8640"/>
        </w:tabs>
        <w:spacing w:line="480" w:lineRule="auto"/>
        <w:ind w:firstLine="720"/>
        <w:rPr>
          <w:sz w:val="24"/>
          <w:szCs w:val="24"/>
        </w:rPr>
      </w:pPr>
      <w:r w:rsidRPr="00EF13D9">
        <w:rPr>
          <w:sz w:val="24"/>
          <w:szCs w:val="24"/>
        </w:rPr>
        <w:t xml:space="preserve">Second, OCC’s advocacy for </w:t>
      </w:r>
      <w:r w:rsidRPr="00EF13D9" w:rsidR="00C35006">
        <w:rPr>
          <w:sz w:val="24"/>
          <w:szCs w:val="24"/>
        </w:rPr>
        <w:t>residential</w:t>
      </w:r>
      <w:r w:rsidRPr="00EF13D9">
        <w:rPr>
          <w:sz w:val="24"/>
          <w:szCs w:val="24"/>
        </w:rPr>
        <w:t xml:space="preserve"> c</w:t>
      </w:r>
      <w:r w:rsidRPr="00EF13D9" w:rsidR="00C35006">
        <w:rPr>
          <w:sz w:val="24"/>
          <w:szCs w:val="24"/>
        </w:rPr>
        <w:t>onsumers</w:t>
      </w:r>
      <w:r w:rsidRPr="00EF13D9">
        <w:rPr>
          <w:sz w:val="24"/>
          <w:szCs w:val="24"/>
        </w:rPr>
        <w:t xml:space="preserve"> will include advancing the position that</w:t>
      </w:r>
      <w:r w:rsidRPr="00EF13D9" w:rsidR="000E084F">
        <w:rPr>
          <w:sz w:val="24"/>
          <w:szCs w:val="24"/>
        </w:rPr>
        <w:t xml:space="preserve"> </w:t>
      </w:r>
      <w:r w:rsidRPr="00EF13D9" w:rsidR="00C35006">
        <w:rPr>
          <w:sz w:val="24"/>
          <w:szCs w:val="24"/>
        </w:rPr>
        <w:t>they</w:t>
      </w:r>
      <w:r w:rsidRPr="00EF13D9" w:rsidR="000E084F">
        <w:rPr>
          <w:sz w:val="24"/>
          <w:szCs w:val="24"/>
        </w:rPr>
        <w:t xml:space="preserve"> should not</w:t>
      </w:r>
      <w:r w:rsidRPr="00EF13D9" w:rsidR="00C35006">
        <w:rPr>
          <w:sz w:val="24"/>
          <w:szCs w:val="24"/>
        </w:rPr>
        <w:t xml:space="preserve"> be for</w:t>
      </w:r>
      <w:r w:rsidRPr="00EF13D9" w:rsidR="00926321">
        <w:rPr>
          <w:sz w:val="24"/>
          <w:szCs w:val="24"/>
        </w:rPr>
        <w:t>ced to take NEP’s submetering service or</w:t>
      </w:r>
      <w:r w:rsidRPr="00EF13D9" w:rsidR="000E084F">
        <w:rPr>
          <w:sz w:val="24"/>
          <w:szCs w:val="24"/>
        </w:rPr>
        <w:t xml:space="preserve"> lose </w:t>
      </w:r>
      <w:r w:rsidRPr="00EF13D9" w:rsidR="00FD2445">
        <w:rPr>
          <w:sz w:val="24"/>
          <w:szCs w:val="24"/>
        </w:rPr>
        <w:t xml:space="preserve">service </w:t>
      </w:r>
      <w:r w:rsidRPr="00EF13D9" w:rsidR="000E084F">
        <w:rPr>
          <w:sz w:val="24"/>
          <w:szCs w:val="24"/>
        </w:rPr>
        <w:t>protections they currently receive in the event NEP is permitted to provide submetering</w:t>
      </w:r>
      <w:r w:rsidRPr="00EF13D9" w:rsidR="00E504E1">
        <w:rPr>
          <w:sz w:val="24"/>
          <w:szCs w:val="24"/>
        </w:rPr>
        <w:t>. Further,</w:t>
      </w:r>
      <w:r w:rsidRPr="00EF13D9" w:rsidR="000E084F">
        <w:rPr>
          <w:sz w:val="24"/>
          <w:szCs w:val="24"/>
        </w:rPr>
        <w:t xml:space="preserve"> regardless of who ultimately provides service, </w:t>
      </w:r>
      <w:r w:rsidRPr="00EF13D9">
        <w:rPr>
          <w:sz w:val="24"/>
          <w:szCs w:val="24"/>
        </w:rPr>
        <w:t xml:space="preserve">rates should be no more than what is reasonable and lawful under Ohio law, for service that is </w:t>
      </w:r>
      <w:r w:rsidRPr="00EF13D9" w:rsidR="006A16A5">
        <w:rPr>
          <w:sz w:val="24"/>
          <w:szCs w:val="24"/>
        </w:rPr>
        <w:t xml:space="preserve">safe and </w:t>
      </w:r>
      <w:r w:rsidRPr="00EF13D9">
        <w:rPr>
          <w:sz w:val="24"/>
          <w:szCs w:val="24"/>
        </w:rPr>
        <w:t xml:space="preserve">adequate under Ohio law. </w:t>
      </w:r>
      <w:r w:rsidRPr="00EF13D9" w:rsidR="001309DD">
        <w:rPr>
          <w:sz w:val="24"/>
          <w:szCs w:val="24"/>
        </w:rPr>
        <w:t xml:space="preserve">And companies that provide utility service to consumers should be regulated by the PUCO as utilities. </w:t>
      </w:r>
      <w:r w:rsidRPr="00EF13D9">
        <w:rPr>
          <w:sz w:val="24"/>
          <w:szCs w:val="24"/>
        </w:rPr>
        <w:t xml:space="preserve">OCC’s position is therefore directly related to the merits of this case that is pending before the PUCO, the authority with regulatory control of public utilities’ rates and service quality in Ohio. </w:t>
      </w:r>
    </w:p>
    <w:p w:rsidR="00A044B5" w:rsidRPr="00EF13D9" w14:paraId="23CE9B86" w14:textId="298F69FD">
      <w:pPr>
        <w:pStyle w:val="BodyTextIndent3"/>
        <w:spacing w:line="480" w:lineRule="auto"/>
        <w:rPr>
          <w:szCs w:val="24"/>
        </w:rPr>
      </w:pPr>
      <w:r w:rsidRPr="00EF13D9">
        <w:rPr>
          <w:szCs w:val="24"/>
        </w:rPr>
        <w:t>Third, OCC’s intervention will not unduly prolong or delay the proceedings.</w:t>
      </w:r>
      <w:r w:rsidRPr="00EF13D9" w:rsidR="00D177BE">
        <w:rPr>
          <w:szCs w:val="24"/>
        </w:rPr>
        <w:t xml:space="preserve"> </w:t>
      </w:r>
      <w:r w:rsidRPr="00EF13D9">
        <w:rPr>
          <w:szCs w:val="24"/>
        </w:rPr>
        <w:t>OCC, with its longstanding expertise and experience in PUCO proceedings, will duly allow for the efficient processing of the case with consideration of the public interest.</w:t>
      </w:r>
    </w:p>
    <w:p w:rsidR="00A044B5" w:rsidRPr="00EF13D9" w14:paraId="483134E7" w14:textId="77777777">
      <w:pPr>
        <w:pStyle w:val="Footer"/>
        <w:tabs>
          <w:tab w:val="clear" w:pos="4320"/>
          <w:tab w:val="clear" w:pos="8640"/>
        </w:tabs>
        <w:spacing w:line="480" w:lineRule="auto"/>
        <w:ind w:firstLine="720"/>
        <w:rPr>
          <w:sz w:val="24"/>
          <w:szCs w:val="24"/>
        </w:rPr>
      </w:pPr>
      <w:r w:rsidRPr="00EF13D9">
        <w:rPr>
          <w:sz w:val="24"/>
          <w:szCs w:val="24"/>
        </w:rPr>
        <w:t>Fourth, OCC’s intervention will significantly contribute to the full development and equitable res</w:t>
      </w:r>
      <w:r w:rsidRPr="00EF13D9" w:rsidR="002A4912">
        <w:rPr>
          <w:sz w:val="24"/>
          <w:szCs w:val="24"/>
        </w:rPr>
        <w:t xml:space="preserve">olution of the factual issues. </w:t>
      </w:r>
      <w:r w:rsidRPr="00EF13D9">
        <w:rPr>
          <w:sz w:val="24"/>
          <w:szCs w:val="24"/>
        </w:rPr>
        <w:t xml:space="preserve">OCC will obtain and develop information that the PUCO should consider for equitably and lawfully deciding the case in the public interest. </w:t>
      </w:r>
    </w:p>
    <w:p w:rsidR="00A044B5" w:rsidRPr="00EF13D9" w14:paraId="22C757DD" w14:textId="5C801861">
      <w:pPr>
        <w:pStyle w:val="WW-BodyTextIndent3"/>
        <w:widowControl w:val="0"/>
        <w:spacing w:line="480" w:lineRule="auto"/>
        <w:ind w:right="-24"/>
        <w:rPr>
          <w:szCs w:val="24"/>
        </w:rPr>
      </w:pPr>
      <w:r w:rsidRPr="00EF13D9">
        <w:rPr>
          <w:szCs w:val="24"/>
        </w:rPr>
        <w:t>OCC also satisfies the intervention criteria in the Ohio Administrative Code (which are subordinate to the criteria that OCC satisf</w:t>
      </w:r>
      <w:r w:rsidRPr="00EF13D9" w:rsidR="002A4912">
        <w:rPr>
          <w:szCs w:val="24"/>
        </w:rPr>
        <w:t xml:space="preserve">ies in the Ohio Revised Code). </w:t>
      </w:r>
      <w:r w:rsidRPr="00EF13D9">
        <w:rPr>
          <w:szCs w:val="24"/>
        </w:rPr>
        <w:t>To intervene, a party should have a “real and substantial interest” according to O</w:t>
      </w:r>
      <w:r w:rsidRPr="00EF13D9" w:rsidR="00926321">
        <w:rPr>
          <w:szCs w:val="24"/>
        </w:rPr>
        <w:t>.</w:t>
      </w:r>
      <w:r w:rsidRPr="00EF13D9" w:rsidR="002A4912">
        <w:rPr>
          <w:szCs w:val="24"/>
        </w:rPr>
        <w:t>A.C</w:t>
      </w:r>
      <w:r w:rsidRPr="00EF13D9" w:rsidR="00926321">
        <w:rPr>
          <w:szCs w:val="24"/>
        </w:rPr>
        <w:t>.</w:t>
      </w:r>
      <w:r w:rsidRPr="00EF13D9" w:rsidR="002A4912">
        <w:rPr>
          <w:szCs w:val="24"/>
        </w:rPr>
        <w:t xml:space="preserve"> 4901-1-11(A)(2). </w:t>
      </w:r>
      <w:r w:rsidRPr="00EF13D9">
        <w:rPr>
          <w:szCs w:val="24"/>
        </w:rPr>
        <w:t xml:space="preserve">As the advocate for residential utility </w:t>
      </w:r>
      <w:r w:rsidRPr="00EF13D9" w:rsidR="00AF5B98">
        <w:rPr>
          <w:szCs w:val="24"/>
        </w:rPr>
        <w:t>consumers</w:t>
      </w:r>
      <w:r w:rsidRPr="00EF13D9">
        <w:rPr>
          <w:szCs w:val="24"/>
        </w:rPr>
        <w:t xml:space="preserve">, OCC has a very real and substantial interest in this case where </w:t>
      </w:r>
      <w:r w:rsidRPr="00EF13D9" w:rsidR="00E504E1">
        <w:rPr>
          <w:szCs w:val="24"/>
        </w:rPr>
        <w:t xml:space="preserve">NEP wants to </w:t>
      </w:r>
      <w:r w:rsidRPr="00EF13D9" w:rsidR="00926321">
        <w:rPr>
          <w:szCs w:val="24"/>
        </w:rPr>
        <w:t>force the Somerset residential consumers served by Duke to take NEP’s substandard submetering services without adequate consumer protections.</w:t>
      </w:r>
      <w:r w:rsidRPr="00EF13D9" w:rsidR="00D177BE">
        <w:rPr>
          <w:szCs w:val="24"/>
        </w:rPr>
        <w:t xml:space="preserve"> </w:t>
      </w:r>
    </w:p>
    <w:p w:rsidR="00A6139B" w14:paraId="74D33E20" w14:textId="77777777">
      <w:pPr>
        <w:rPr>
          <w:szCs w:val="24"/>
        </w:rPr>
      </w:pPr>
      <w:r>
        <w:rPr>
          <w:szCs w:val="24"/>
        </w:rPr>
        <w:br w:type="page"/>
      </w:r>
    </w:p>
    <w:p w:rsidR="00A044B5" w:rsidRPr="00EF13D9" w14:paraId="548279DF" w14:textId="5EF4EA74">
      <w:pPr>
        <w:pStyle w:val="BodyTextIndent3"/>
        <w:widowControl w:val="0"/>
        <w:spacing w:line="480" w:lineRule="auto"/>
        <w:ind w:right="-24"/>
        <w:rPr>
          <w:szCs w:val="24"/>
        </w:rPr>
      </w:pPr>
      <w:r w:rsidRPr="00EF13D9">
        <w:rPr>
          <w:szCs w:val="24"/>
        </w:rPr>
        <w:t>In addition, OCC meets the criteria of O</w:t>
      </w:r>
      <w:r w:rsidRPr="00EF13D9" w:rsidR="00926321">
        <w:rPr>
          <w:szCs w:val="24"/>
        </w:rPr>
        <w:t>.</w:t>
      </w:r>
      <w:r w:rsidRPr="00EF13D9">
        <w:rPr>
          <w:szCs w:val="24"/>
        </w:rPr>
        <w:t>A.C</w:t>
      </w:r>
      <w:r w:rsidRPr="00EF13D9" w:rsidR="00926321">
        <w:rPr>
          <w:szCs w:val="24"/>
        </w:rPr>
        <w:t>.</w:t>
      </w:r>
      <w:r w:rsidRPr="00EF13D9">
        <w:rPr>
          <w:szCs w:val="24"/>
        </w:rPr>
        <w:t xml:space="preserve"> 4901-1-11(B)(1)-(4).</w:t>
      </w:r>
      <w:r w:rsidRPr="00EF13D9" w:rsidR="00D177BE">
        <w:rPr>
          <w:szCs w:val="24"/>
        </w:rPr>
        <w:t xml:space="preserve"> </w:t>
      </w:r>
      <w:r w:rsidRPr="00EF13D9">
        <w:rPr>
          <w:szCs w:val="24"/>
        </w:rPr>
        <w:t>These criteria mirror the statutory criteria in R.C. 4903.221(B) that OCC already has addressed and that OCC satisfies.</w:t>
      </w:r>
    </w:p>
    <w:p w:rsidR="00A044B5" w:rsidRPr="00EF13D9" w14:paraId="2C8A4FE2" w14:textId="755EC476">
      <w:pPr>
        <w:pStyle w:val="BodyTextIndent3"/>
        <w:widowControl w:val="0"/>
        <w:spacing w:line="480" w:lineRule="auto"/>
        <w:ind w:right="-24"/>
        <w:rPr>
          <w:szCs w:val="24"/>
        </w:rPr>
      </w:pPr>
      <w:r w:rsidRPr="00EF13D9">
        <w:rPr>
          <w:szCs w:val="24"/>
        </w:rPr>
        <w:t>O</w:t>
      </w:r>
      <w:r w:rsidRPr="00EF13D9" w:rsidR="00926321">
        <w:rPr>
          <w:szCs w:val="24"/>
        </w:rPr>
        <w:t>.</w:t>
      </w:r>
      <w:r w:rsidRPr="00EF13D9">
        <w:rPr>
          <w:szCs w:val="24"/>
        </w:rPr>
        <w:t>A.C</w:t>
      </w:r>
      <w:r w:rsidRPr="00EF13D9" w:rsidR="00926321">
        <w:rPr>
          <w:szCs w:val="24"/>
        </w:rPr>
        <w:t>.</w:t>
      </w:r>
      <w:r w:rsidRPr="00EF13D9">
        <w:rPr>
          <w:szCs w:val="24"/>
        </w:rPr>
        <w:t xml:space="preserve"> 4901-1-11(</w:t>
      </w:r>
      <w:r w:rsidRPr="00EF13D9" w:rsidR="00A5514C">
        <w:rPr>
          <w:szCs w:val="24"/>
        </w:rPr>
        <w:t>B)(5) states that the PUCO</w:t>
      </w:r>
      <w:r w:rsidRPr="00EF13D9">
        <w:rPr>
          <w:szCs w:val="24"/>
        </w:rPr>
        <w:t xml:space="preserve"> shall consider </w:t>
      </w:r>
      <w:r w:rsidRPr="00EF13D9" w:rsidR="00760DE9">
        <w:rPr>
          <w:szCs w:val="24"/>
        </w:rPr>
        <w:t xml:space="preserve">“The </w:t>
      </w:r>
      <w:r w:rsidRPr="00EF13D9">
        <w:rPr>
          <w:szCs w:val="24"/>
        </w:rPr>
        <w:t>extent to which the person’s interest is rep</w:t>
      </w:r>
      <w:r w:rsidRPr="00EF13D9" w:rsidR="002A4912">
        <w:rPr>
          <w:szCs w:val="24"/>
        </w:rPr>
        <w:t xml:space="preserve">resented by existing parties.” </w:t>
      </w:r>
      <w:r w:rsidRPr="00EF13D9">
        <w:rPr>
          <w:szCs w:val="24"/>
        </w:rPr>
        <w:t xml:space="preserve">While OCC does not concede the lawfulness of this criterion, OCC satisfies this criterion in that it uniquely has been designated as the state representative of the interests of Ohio’s </w:t>
      </w:r>
      <w:r w:rsidRPr="00EF13D9" w:rsidR="002A4912">
        <w:rPr>
          <w:szCs w:val="24"/>
        </w:rPr>
        <w:t xml:space="preserve">residential utility </w:t>
      </w:r>
      <w:r w:rsidRPr="00EF13D9" w:rsidR="00387AF1">
        <w:rPr>
          <w:szCs w:val="24"/>
        </w:rPr>
        <w:t>consumers</w:t>
      </w:r>
      <w:r w:rsidRPr="00EF13D9" w:rsidR="002A4912">
        <w:rPr>
          <w:szCs w:val="24"/>
        </w:rPr>
        <w:t xml:space="preserve">. </w:t>
      </w:r>
      <w:r w:rsidRPr="00EF13D9">
        <w:rPr>
          <w:szCs w:val="24"/>
        </w:rPr>
        <w:t>That interest is different from, and not represented by, any other entity in Ohio.</w:t>
      </w:r>
    </w:p>
    <w:p w:rsidR="00A044B5" w:rsidRPr="00EF13D9" w:rsidP="00392557" w14:paraId="51274BD8" w14:textId="2F214E04">
      <w:pPr>
        <w:pStyle w:val="WW-BodyTextIndent3"/>
        <w:widowControl w:val="0"/>
        <w:spacing w:line="480" w:lineRule="auto"/>
        <w:ind w:right="-24"/>
        <w:rPr>
          <w:szCs w:val="24"/>
        </w:rPr>
      </w:pPr>
      <w:r w:rsidRPr="00EF13D9">
        <w:rPr>
          <w:szCs w:val="24"/>
        </w:rPr>
        <w:t xml:space="preserve">Moreover, </w:t>
      </w:r>
      <w:r w:rsidRPr="00EF13D9" w:rsidR="00AB2645">
        <w:rPr>
          <w:szCs w:val="24"/>
        </w:rPr>
        <w:t xml:space="preserve">where OCC has demonstrated that it has satisfied the criteria for intervention (as it has here), </w:t>
      </w:r>
      <w:r w:rsidRPr="00EF13D9">
        <w:rPr>
          <w:szCs w:val="24"/>
        </w:rPr>
        <w:t>the Supreme Court of Ohio confirmed OCC’s right to intervene in PUCO proceedings, in deciding two appeals in which OCC claimed the PUCO erred</w:t>
      </w:r>
      <w:r w:rsidRPr="00EF13D9" w:rsidR="002A4912">
        <w:rPr>
          <w:szCs w:val="24"/>
        </w:rPr>
        <w:t xml:space="preserve"> by denying its interventions. </w:t>
      </w:r>
      <w:r w:rsidRPr="00EF13D9">
        <w:rPr>
          <w:szCs w:val="24"/>
        </w:rPr>
        <w:t>The Court found that the PUCO abused its discretion in</w:t>
      </w:r>
      <w:r w:rsidRPr="00EF13D9" w:rsidR="00392557">
        <w:rPr>
          <w:szCs w:val="24"/>
        </w:rPr>
        <w:t xml:space="preserve"> </w:t>
      </w:r>
      <w:r w:rsidRPr="00EF13D9">
        <w:rPr>
          <w:szCs w:val="24"/>
        </w:rPr>
        <w:t>denying OCC’s interventions and that OCC should have been granted intervention in both proceedings.</w:t>
      </w:r>
      <w:r>
        <w:rPr>
          <w:rStyle w:val="FootnoteReference"/>
          <w:szCs w:val="24"/>
        </w:rPr>
        <w:footnoteReference w:id="6"/>
      </w:r>
      <w:r w:rsidRPr="00EF13D9" w:rsidR="00D177BE">
        <w:rPr>
          <w:szCs w:val="24"/>
        </w:rPr>
        <w:t xml:space="preserve"> </w:t>
      </w:r>
    </w:p>
    <w:p w:rsidR="00A044B5" w:rsidRPr="00EF13D9" w:rsidP="00E504E1" w14:paraId="6B9586E4" w14:textId="5E8CECCD">
      <w:pPr>
        <w:spacing w:line="480" w:lineRule="auto"/>
        <w:ind w:firstLine="720"/>
        <w:rPr>
          <w:szCs w:val="24"/>
        </w:rPr>
      </w:pPr>
      <w:r w:rsidRPr="00EF13D9">
        <w:rPr>
          <w:szCs w:val="24"/>
        </w:rPr>
        <w:t>OCC meets the criteria set forth in R.C. 4903.221, O</w:t>
      </w:r>
      <w:r w:rsidRPr="00EF13D9" w:rsidR="00AB2645">
        <w:rPr>
          <w:szCs w:val="24"/>
        </w:rPr>
        <w:t>.</w:t>
      </w:r>
      <w:r w:rsidRPr="00EF13D9">
        <w:rPr>
          <w:szCs w:val="24"/>
        </w:rPr>
        <w:t>A.C</w:t>
      </w:r>
      <w:r w:rsidRPr="00EF13D9" w:rsidR="00AB2645">
        <w:rPr>
          <w:szCs w:val="24"/>
        </w:rPr>
        <w:t>.</w:t>
      </w:r>
      <w:r w:rsidRPr="00EF13D9">
        <w:rPr>
          <w:szCs w:val="24"/>
        </w:rPr>
        <w:t xml:space="preserve"> 4901-1-11, and the precedent established by the Supreme C</w:t>
      </w:r>
      <w:r w:rsidRPr="00EF13D9" w:rsidR="002A4912">
        <w:rPr>
          <w:szCs w:val="24"/>
        </w:rPr>
        <w:t xml:space="preserve">ourt of Ohio for intervention. </w:t>
      </w:r>
      <w:r w:rsidRPr="00EF13D9">
        <w:rPr>
          <w:szCs w:val="24"/>
        </w:rPr>
        <w:t xml:space="preserve">On behalf of </w:t>
      </w:r>
      <w:r w:rsidRPr="00EF13D9" w:rsidR="00387AF1">
        <w:rPr>
          <w:szCs w:val="24"/>
        </w:rPr>
        <w:t xml:space="preserve">the </w:t>
      </w:r>
      <w:r w:rsidRPr="00EF13D9">
        <w:rPr>
          <w:szCs w:val="24"/>
        </w:rPr>
        <w:t>residential c</w:t>
      </w:r>
      <w:r w:rsidRPr="00EF13D9" w:rsidR="00387AF1">
        <w:rPr>
          <w:szCs w:val="24"/>
        </w:rPr>
        <w:t>onsumers who have lost or who stand to lose Duke as the provider of their essential electric utility service</w:t>
      </w:r>
      <w:r w:rsidRPr="00EF13D9" w:rsidR="00A5514C">
        <w:rPr>
          <w:szCs w:val="24"/>
        </w:rPr>
        <w:t>, the PUCO</w:t>
      </w:r>
      <w:r w:rsidRPr="00EF13D9">
        <w:rPr>
          <w:szCs w:val="24"/>
        </w:rPr>
        <w:t xml:space="preserve"> should grant OCC’s Motion to Intervene.</w:t>
      </w:r>
    </w:p>
    <w:p w:rsidR="0022020E" w:rsidRPr="00EF13D9" w14:paraId="5B907371" w14:textId="77777777">
      <w:pPr>
        <w:rPr>
          <w:szCs w:val="24"/>
        </w:rPr>
      </w:pPr>
      <w:r w:rsidRPr="00EF13D9">
        <w:rPr>
          <w:szCs w:val="24"/>
        </w:rPr>
        <w:br w:type="page"/>
      </w:r>
    </w:p>
    <w:p w:rsidR="009445A5" w:rsidRPr="00EF13D9" w:rsidP="009445A5" w14:paraId="39B6DB2F" w14:textId="311DB408">
      <w:pPr>
        <w:pStyle w:val="BodyTextIndent3"/>
        <w:widowControl w:val="0"/>
        <w:spacing w:line="480" w:lineRule="auto"/>
        <w:ind w:left="3600" w:right="-312"/>
        <w:rPr>
          <w:szCs w:val="24"/>
        </w:rPr>
      </w:pPr>
      <w:r w:rsidRPr="00EF13D9">
        <w:rPr>
          <w:szCs w:val="24"/>
        </w:rPr>
        <w:t>Respectfully submitted,</w:t>
      </w:r>
    </w:p>
    <w:p w:rsidR="009445A5" w:rsidRPr="00EF13D9" w:rsidP="009445A5" w14:paraId="37036527" w14:textId="77777777">
      <w:pPr>
        <w:ind w:left="4320"/>
        <w:rPr>
          <w:szCs w:val="24"/>
        </w:rPr>
      </w:pPr>
      <w:r w:rsidRPr="00EF13D9">
        <w:rPr>
          <w:szCs w:val="24"/>
        </w:rPr>
        <w:t>Bruce Weston (0016973)</w:t>
      </w:r>
    </w:p>
    <w:p w:rsidR="009445A5" w:rsidRPr="00EF13D9" w:rsidP="009445A5" w14:paraId="184C6329" w14:textId="77777777">
      <w:pPr>
        <w:tabs>
          <w:tab w:val="left" w:pos="4320"/>
        </w:tabs>
        <w:ind w:left="4320" w:hanging="450"/>
        <w:rPr>
          <w:szCs w:val="24"/>
        </w:rPr>
      </w:pPr>
      <w:r w:rsidRPr="00EF13D9">
        <w:rPr>
          <w:szCs w:val="24"/>
        </w:rPr>
        <w:tab/>
        <w:t>Ohio Consumers’ Counsel</w:t>
      </w:r>
    </w:p>
    <w:p w:rsidR="009445A5" w:rsidRPr="00EF13D9" w:rsidP="009445A5" w14:paraId="4584D524" w14:textId="77777777">
      <w:pPr>
        <w:tabs>
          <w:tab w:val="left" w:pos="4320"/>
        </w:tabs>
        <w:ind w:left="4320"/>
        <w:rPr>
          <w:szCs w:val="24"/>
        </w:rPr>
      </w:pPr>
    </w:p>
    <w:p w:rsidR="009445A5" w:rsidRPr="00EF13D9" w:rsidP="009445A5" w14:paraId="13F1973A" w14:textId="77777777">
      <w:pPr>
        <w:tabs>
          <w:tab w:val="left" w:pos="4320"/>
        </w:tabs>
        <w:ind w:left="4320"/>
        <w:rPr>
          <w:i/>
          <w:iCs/>
          <w:szCs w:val="24"/>
          <w:u w:val="single"/>
        </w:rPr>
      </w:pPr>
      <w:r w:rsidRPr="00EF13D9">
        <w:rPr>
          <w:i/>
          <w:iCs/>
          <w:szCs w:val="24"/>
          <w:u w:val="single"/>
        </w:rPr>
        <w:t>/s/ Angela D. O’Brien</w:t>
      </w:r>
      <w:r w:rsidRPr="00EF13D9">
        <w:rPr>
          <w:i/>
          <w:iCs/>
          <w:szCs w:val="24"/>
          <w:u w:val="single"/>
        </w:rPr>
        <w:tab/>
      </w:r>
    </w:p>
    <w:p w:rsidR="009445A5" w:rsidRPr="00EF13D9" w:rsidP="009445A5" w14:paraId="36435B0C" w14:textId="77777777">
      <w:pPr>
        <w:tabs>
          <w:tab w:val="left" w:pos="4320"/>
        </w:tabs>
        <w:ind w:left="4320"/>
        <w:rPr>
          <w:szCs w:val="24"/>
        </w:rPr>
      </w:pPr>
      <w:r w:rsidRPr="00EF13D9">
        <w:rPr>
          <w:szCs w:val="24"/>
        </w:rPr>
        <w:t>Angela D. O’Brien (0097579)</w:t>
      </w:r>
    </w:p>
    <w:p w:rsidR="009445A5" w:rsidRPr="00EF13D9" w:rsidP="009445A5" w14:paraId="5108A011" w14:textId="77777777">
      <w:pPr>
        <w:tabs>
          <w:tab w:val="left" w:pos="4320"/>
        </w:tabs>
        <w:ind w:left="4320"/>
        <w:rPr>
          <w:szCs w:val="24"/>
        </w:rPr>
      </w:pPr>
      <w:r w:rsidRPr="00EF13D9">
        <w:rPr>
          <w:szCs w:val="24"/>
        </w:rPr>
        <w:t>Counsel of Record</w:t>
      </w:r>
    </w:p>
    <w:p w:rsidR="009445A5" w:rsidRPr="00EF13D9" w:rsidP="009445A5" w14:paraId="52F19BAB" w14:textId="77777777">
      <w:pPr>
        <w:tabs>
          <w:tab w:val="left" w:pos="3870"/>
          <w:tab w:val="left" w:pos="4320"/>
        </w:tabs>
        <w:ind w:left="4320"/>
        <w:rPr>
          <w:szCs w:val="24"/>
        </w:rPr>
      </w:pPr>
      <w:r w:rsidRPr="00EF13D9">
        <w:rPr>
          <w:szCs w:val="24"/>
        </w:rPr>
        <w:t>Connor D. Semple (0101102)</w:t>
      </w:r>
    </w:p>
    <w:p w:rsidR="009445A5" w:rsidRPr="00EF13D9" w:rsidP="009445A5" w14:paraId="19EDD3C1" w14:textId="77777777">
      <w:pPr>
        <w:tabs>
          <w:tab w:val="left" w:pos="3870"/>
          <w:tab w:val="left" w:pos="4320"/>
        </w:tabs>
        <w:ind w:left="4320"/>
        <w:rPr>
          <w:szCs w:val="24"/>
        </w:rPr>
      </w:pPr>
      <w:r w:rsidRPr="00EF13D9">
        <w:rPr>
          <w:szCs w:val="24"/>
        </w:rPr>
        <w:t>Assistant Consumers’ Counsel</w:t>
      </w:r>
    </w:p>
    <w:p w:rsidR="009445A5" w:rsidRPr="00EF13D9" w:rsidP="009445A5" w14:paraId="53E1446A" w14:textId="77777777">
      <w:pPr>
        <w:tabs>
          <w:tab w:val="left" w:pos="3870"/>
          <w:tab w:val="left" w:pos="4320"/>
        </w:tabs>
        <w:ind w:left="4320"/>
        <w:rPr>
          <w:szCs w:val="24"/>
        </w:rPr>
      </w:pPr>
    </w:p>
    <w:p w:rsidR="009445A5" w:rsidRPr="00EF13D9" w:rsidP="009445A5" w14:paraId="040A8448" w14:textId="77777777">
      <w:pPr>
        <w:ind w:left="4320"/>
        <w:rPr>
          <w:b/>
          <w:bCs/>
          <w:szCs w:val="24"/>
        </w:rPr>
      </w:pPr>
      <w:r w:rsidRPr="00EF13D9">
        <w:rPr>
          <w:b/>
          <w:bCs/>
          <w:szCs w:val="24"/>
        </w:rPr>
        <w:t>Office of the Ohio Consumers' Counsel</w:t>
      </w:r>
    </w:p>
    <w:p w:rsidR="009445A5" w:rsidRPr="00EF13D9" w:rsidP="009445A5" w14:paraId="2281759B" w14:textId="054929CE">
      <w:pPr>
        <w:ind w:left="4320"/>
        <w:rPr>
          <w:szCs w:val="24"/>
        </w:rPr>
      </w:pPr>
      <w:r w:rsidRPr="00EF13D9">
        <w:rPr>
          <w:szCs w:val="24"/>
        </w:rPr>
        <w:t xml:space="preserve">65 East State Street, </w:t>
      </w:r>
      <w:r w:rsidRPr="00EF13D9" w:rsidR="0022020E">
        <w:rPr>
          <w:szCs w:val="24"/>
        </w:rPr>
        <w:t>Suite 700</w:t>
      </w:r>
    </w:p>
    <w:p w:rsidR="009445A5" w:rsidRPr="00EF13D9" w:rsidP="009445A5" w14:paraId="5B897EAB" w14:textId="6730E741">
      <w:pPr>
        <w:ind w:left="4320"/>
        <w:rPr>
          <w:szCs w:val="24"/>
        </w:rPr>
      </w:pPr>
      <w:r w:rsidRPr="00EF13D9">
        <w:rPr>
          <w:szCs w:val="24"/>
        </w:rPr>
        <w:t>Columbus, Ohio 43215</w:t>
      </w:r>
    </w:p>
    <w:p w:rsidR="009445A5" w:rsidRPr="00EF13D9" w:rsidP="009445A5" w14:paraId="44CD4B46" w14:textId="77777777">
      <w:pPr>
        <w:autoSpaceDE w:val="0"/>
        <w:autoSpaceDN w:val="0"/>
        <w:adjustRightInd w:val="0"/>
        <w:ind w:left="4320"/>
        <w:rPr>
          <w:szCs w:val="24"/>
        </w:rPr>
      </w:pPr>
      <w:r w:rsidRPr="00EF13D9">
        <w:rPr>
          <w:szCs w:val="24"/>
        </w:rPr>
        <w:t>Telephone: [O’Brien]: (614) 466-9531</w:t>
      </w:r>
    </w:p>
    <w:p w:rsidR="009445A5" w:rsidRPr="00EF13D9" w:rsidP="009445A5" w14:paraId="12CD9E84" w14:textId="77777777">
      <w:pPr>
        <w:ind w:left="4320"/>
        <w:rPr>
          <w:szCs w:val="24"/>
        </w:rPr>
      </w:pPr>
      <w:r w:rsidRPr="00EF13D9">
        <w:rPr>
          <w:szCs w:val="24"/>
        </w:rPr>
        <w:t>Telephone [Semple]: (614) 466-9565</w:t>
      </w:r>
    </w:p>
    <w:p w:rsidR="009445A5" w:rsidRPr="00EF13D9" w:rsidP="009445A5" w14:paraId="7546D882" w14:textId="77777777">
      <w:pPr>
        <w:ind w:left="4320"/>
        <w:rPr>
          <w:szCs w:val="24"/>
        </w:rPr>
      </w:pPr>
      <w:hyperlink r:id="rId6" w:history="1">
        <w:r w:rsidRPr="00EF13D9">
          <w:rPr>
            <w:rStyle w:val="Hyperlink"/>
            <w:szCs w:val="24"/>
          </w:rPr>
          <w:t>angela.obrien@occ.ohio.gov</w:t>
        </w:r>
      </w:hyperlink>
    </w:p>
    <w:p w:rsidR="009445A5" w:rsidRPr="00EF13D9" w:rsidP="009445A5" w14:paraId="39ECFA06" w14:textId="77777777">
      <w:pPr>
        <w:ind w:left="4320"/>
        <w:rPr>
          <w:szCs w:val="24"/>
        </w:rPr>
      </w:pPr>
      <w:hyperlink r:id="rId7" w:history="1">
        <w:r w:rsidRPr="00EF13D9">
          <w:rPr>
            <w:rStyle w:val="Hyperlink"/>
            <w:szCs w:val="24"/>
          </w:rPr>
          <w:t>connor.semple@occ.ohio.gov</w:t>
        </w:r>
      </w:hyperlink>
    </w:p>
    <w:p w:rsidR="009445A5" w:rsidRPr="00EF13D9" w:rsidP="009445A5" w14:paraId="53408954" w14:textId="77777777">
      <w:pPr>
        <w:ind w:left="4320" w:hanging="4320"/>
        <w:rPr>
          <w:szCs w:val="24"/>
        </w:rPr>
      </w:pPr>
      <w:r w:rsidRPr="00EF13D9">
        <w:rPr>
          <w:szCs w:val="24"/>
        </w:rPr>
        <w:tab/>
        <w:t>(willing to accept service by e-mail)</w:t>
      </w:r>
    </w:p>
    <w:p w:rsidR="00A044B5" w:rsidRPr="00EF13D9" w:rsidP="009445A5" w14:paraId="5E80591F" w14:textId="77777777">
      <w:pPr>
        <w:pStyle w:val="BodyTextIndent3"/>
        <w:widowControl w:val="0"/>
        <w:spacing w:line="480" w:lineRule="auto"/>
        <w:ind w:right="-672" w:firstLine="0"/>
        <w:rPr>
          <w:szCs w:val="24"/>
        </w:rPr>
      </w:pPr>
    </w:p>
    <w:p w:rsidR="00A044B5" w:rsidRPr="00EF13D9" w14:paraId="7CE7EA0D" w14:textId="77777777">
      <w:pPr>
        <w:rPr>
          <w:szCs w:val="24"/>
        </w:rPr>
      </w:pPr>
      <w:r w:rsidRPr="00EF13D9">
        <w:rPr>
          <w:szCs w:val="24"/>
        </w:rPr>
        <w:tab/>
      </w:r>
      <w:r w:rsidRPr="00EF13D9">
        <w:rPr>
          <w:szCs w:val="24"/>
        </w:rPr>
        <w:tab/>
      </w:r>
      <w:r w:rsidRPr="00EF13D9">
        <w:rPr>
          <w:szCs w:val="24"/>
        </w:rPr>
        <w:tab/>
      </w:r>
      <w:r w:rsidRPr="00EF13D9">
        <w:rPr>
          <w:szCs w:val="24"/>
        </w:rPr>
        <w:tab/>
      </w:r>
      <w:r w:rsidRPr="00EF13D9">
        <w:rPr>
          <w:szCs w:val="24"/>
        </w:rPr>
        <w:tab/>
      </w:r>
      <w:r w:rsidRPr="00EF13D9">
        <w:rPr>
          <w:szCs w:val="24"/>
        </w:rPr>
        <w:tab/>
      </w:r>
    </w:p>
    <w:p w:rsidR="00A044B5" w:rsidRPr="00EF13D9" w14:paraId="680AF539" w14:textId="77777777">
      <w:pPr>
        <w:jc w:val="center"/>
        <w:rPr>
          <w:b/>
          <w:bCs/>
          <w:szCs w:val="24"/>
          <w:u w:val="single"/>
        </w:rPr>
      </w:pPr>
      <w:r w:rsidRPr="00EF13D9">
        <w:rPr>
          <w:szCs w:val="24"/>
        </w:rPr>
        <w:br w:type="page"/>
      </w:r>
      <w:r w:rsidRPr="00EF13D9">
        <w:rPr>
          <w:b/>
          <w:bCs/>
          <w:szCs w:val="24"/>
          <w:u w:val="single"/>
        </w:rPr>
        <w:t>CERTIFICATE OF SERVICE</w:t>
      </w:r>
    </w:p>
    <w:p w:rsidR="00A044B5" w:rsidRPr="00EF13D9" w14:paraId="34315B64" w14:textId="69773FB8">
      <w:pPr>
        <w:spacing w:line="480" w:lineRule="atLeast"/>
        <w:rPr>
          <w:szCs w:val="24"/>
        </w:rPr>
      </w:pPr>
      <w:r w:rsidRPr="00EF13D9">
        <w:rPr>
          <w:szCs w:val="24"/>
        </w:rPr>
        <w:tab/>
        <w:t xml:space="preserve">I hereby certify that a copy of this </w:t>
      </w:r>
      <w:r w:rsidRPr="00EF13D9">
        <w:rPr>
          <w:iCs/>
          <w:szCs w:val="24"/>
        </w:rPr>
        <w:t>Motion to Intervene</w:t>
      </w:r>
      <w:r w:rsidRPr="00EF13D9">
        <w:rPr>
          <w:szCs w:val="24"/>
        </w:rPr>
        <w:t xml:space="preserve"> was served on the persons stated below </w:t>
      </w:r>
      <w:r w:rsidRPr="00EF13D9">
        <w:rPr>
          <w:iCs/>
          <w:szCs w:val="24"/>
        </w:rPr>
        <w:t>via</w:t>
      </w:r>
      <w:r w:rsidRPr="00EF13D9" w:rsidR="002A4912">
        <w:rPr>
          <w:szCs w:val="24"/>
        </w:rPr>
        <w:t xml:space="preserve"> electronic transmission</w:t>
      </w:r>
      <w:r w:rsidRPr="00EF13D9">
        <w:rPr>
          <w:szCs w:val="24"/>
        </w:rPr>
        <w:t>, this</w:t>
      </w:r>
      <w:r w:rsidRPr="00EF13D9" w:rsidR="00A501E8">
        <w:rPr>
          <w:szCs w:val="24"/>
        </w:rPr>
        <w:t xml:space="preserve"> </w:t>
      </w:r>
      <w:r w:rsidRPr="00EF13D9" w:rsidR="00175032">
        <w:rPr>
          <w:szCs w:val="24"/>
        </w:rPr>
        <w:t>12</w:t>
      </w:r>
      <w:r w:rsidRPr="00EF13D9" w:rsidR="00175032">
        <w:rPr>
          <w:szCs w:val="24"/>
          <w:vertAlign w:val="superscript"/>
        </w:rPr>
        <w:t>th</w:t>
      </w:r>
      <w:r w:rsidRPr="00EF13D9" w:rsidR="00A501E8">
        <w:rPr>
          <w:szCs w:val="24"/>
        </w:rPr>
        <w:t xml:space="preserve"> </w:t>
      </w:r>
      <w:r w:rsidRPr="00EF13D9">
        <w:rPr>
          <w:szCs w:val="24"/>
        </w:rPr>
        <w:t xml:space="preserve">day of </w:t>
      </w:r>
      <w:r w:rsidRPr="00EF13D9" w:rsidR="00AB2645">
        <w:rPr>
          <w:szCs w:val="24"/>
        </w:rPr>
        <w:t>May</w:t>
      </w:r>
      <w:r w:rsidRPr="00EF13D9">
        <w:rPr>
          <w:szCs w:val="24"/>
        </w:rPr>
        <w:t xml:space="preserve"> 20</w:t>
      </w:r>
      <w:r w:rsidRPr="00EF13D9" w:rsidR="002354D4">
        <w:rPr>
          <w:szCs w:val="24"/>
        </w:rPr>
        <w:t>2</w:t>
      </w:r>
      <w:r w:rsidRPr="00EF13D9" w:rsidR="00AB2645">
        <w:rPr>
          <w:szCs w:val="24"/>
        </w:rPr>
        <w:t>2</w:t>
      </w:r>
      <w:r w:rsidRPr="00EF13D9">
        <w:rPr>
          <w:szCs w:val="24"/>
        </w:rPr>
        <w:t>.</w:t>
      </w:r>
    </w:p>
    <w:p w:rsidR="00E7439A" w:rsidRPr="00EF13D9" w:rsidP="00E7439A" w14:paraId="07BE6FAD" w14:textId="77777777">
      <w:pPr>
        <w:rPr>
          <w:szCs w:val="24"/>
        </w:rPr>
      </w:pPr>
    </w:p>
    <w:p w:rsidR="00A044B5" w:rsidRPr="00EF13D9" w14:paraId="648BD6EE" w14:textId="77777777">
      <w:pPr>
        <w:tabs>
          <w:tab w:val="left" w:pos="4320"/>
        </w:tabs>
        <w:rPr>
          <w:i/>
          <w:iCs/>
          <w:szCs w:val="24"/>
          <w:u w:val="single"/>
        </w:rPr>
      </w:pPr>
      <w:r w:rsidRPr="00EF13D9">
        <w:rPr>
          <w:szCs w:val="24"/>
        </w:rPr>
        <w:tab/>
      </w:r>
      <w:r w:rsidRPr="00EF13D9" w:rsidR="002354D4">
        <w:rPr>
          <w:i/>
          <w:iCs/>
          <w:szCs w:val="24"/>
          <w:u w:val="single"/>
        </w:rPr>
        <w:t>/s/ Angela D. O’Brien</w:t>
      </w:r>
      <w:r w:rsidRPr="00EF13D9" w:rsidR="002354D4">
        <w:rPr>
          <w:i/>
          <w:iCs/>
          <w:szCs w:val="24"/>
          <w:u w:val="single"/>
        </w:rPr>
        <w:tab/>
      </w:r>
      <w:r w:rsidRPr="00EF13D9" w:rsidR="002354D4">
        <w:rPr>
          <w:i/>
          <w:iCs/>
          <w:szCs w:val="24"/>
          <w:u w:val="single"/>
        </w:rPr>
        <w:tab/>
      </w:r>
    </w:p>
    <w:p w:rsidR="00A044B5" w:rsidRPr="00EF13D9" w14:paraId="63C14CDD" w14:textId="77777777">
      <w:pPr>
        <w:tabs>
          <w:tab w:val="left" w:pos="4320"/>
        </w:tabs>
        <w:rPr>
          <w:szCs w:val="24"/>
        </w:rPr>
      </w:pPr>
      <w:r w:rsidRPr="00EF13D9">
        <w:rPr>
          <w:szCs w:val="24"/>
        </w:rPr>
        <w:tab/>
      </w:r>
      <w:r w:rsidRPr="00EF13D9" w:rsidR="002354D4">
        <w:rPr>
          <w:szCs w:val="24"/>
        </w:rPr>
        <w:t>Angela D. O’Brien</w:t>
      </w:r>
    </w:p>
    <w:p w:rsidR="00A044B5" w:rsidRPr="00EF13D9" w14:paraId="09AEA36A" w14:textId="77777777">
      <w:pPr>
        <w:tabs>
          <w:tab w:val="left" w:pos="4320"/>
        </w:tabs>
        <w:rPr>
          <w:szCs w:val="24"/>
        </w:rPr>
      </w:pPr>
      <w:r w:rsidRPr="00EF13D9">
        <w:rPr>
          <w:szCs w:val="24"/>
        </w:rPr>
        <w:tab/>
        <w:t>Assistant Consumers’ Counsel</w:t>
      </w:r>
    </w:p>
    <w:p w:rsidR="001D10F6" w:rsidRPr="00EF13D9" w14:paraId="0BBFC6EB" w14:textId="77777777">
      <w:pPr>
        <w:tabs>
          <w:tab w:val="left" w:pos="4320"/>
        </w:tabs>
        <w:rPr>
          <w:szCs w:val="24"/>
        </w:rPr>
      </w:pPr>
    </w:p>
    <w:p w:rsidR="00A044B5" w:rsidRPr="00EF13D9" w:rsidP="009B674F" w14:paraId="219FBC1A" w14:textId="04D98071">
      <w:pPr>
        <w:pStyle w:val="CommentText"/>
      </w:pPr>
      <w:r w:rsidRPr="00EF13D9">
        <w:t>The PUCO’s e-filing system will electronically serve notice of the filing of this document on the following parties:</w:t>
      </w:r>
    </w:p>
    <w:p w:rsidR="00A044B5" w:rsidRPr="00EF13D9" w14:paraId="07FFE78C" w14:textId="77777777">
      <w:pPr>
        <w:pStyle w:val="CommentText"/>
      </w:pPr>
    </w:p>
    <w:p w:rsidR="00A044B5" w:rsidRPr="00EF13D9" w14:paraId="7F629EE0" w14:textId="77777777">
      <w:pPr>
        <w:pStyle w:val="CommentText"/>
        <w:jc w:val="center"/>
        <w:rPr>
          <w:b/>
          <w:u w:val="single"/>
        </w:rPr>
      </w:pPr>
      <w:r w:rsidRPr="00EF13D9">
        <w:rPr>
          <w:b/>
          <w:u w:val="single"/>
        </w:rPr>
        <w:t>SERVICE LIST</w:t>
      </w:r>
    </w:p>
    <w:p w:rsidR="008E11BE" w:rsidRPr="00EF13D9" w14:paraId="05760059" w14:textId="77777777">
      <w:pPr>
        <w:pStyle w:val="CommentText"/>
        <w:jc w:val="center"/>
        <w:rPr>
          <w:b/>
          <w:u w:val="single"/>
        </w:rPr>
      </w:pPr>
    </w:p>
    <w:tbl>
      <w:tblPr>
        <w:tblW w:w="0" w:type="auto"/>
        <w:tblLook w:val="04A0"/>
      </w:tblPr>
      <w:tblGrid>
        <w:gridCol w:w="4316"/>
        <w:gridCol w:w="4324"/>
      </w:tblGrid>
      <w:tr w14:paraId="1BC35938" w14:textId="77777777" w:rsidTr="00A07614">
        <w:tblPrEx>
          <w:tblW w:w="0" w:type="auto"/>
          <w:tblLook w:val="04A0"/>
        </w:tblPrEx>
        <w:tc>
          <w:tcPr>
            <w:tcW w:w="4428" w:type="dxa"/>
            <w:shd w:val="clear" w:color="auto" w:fill="auto"/>
          </w:tcPr>
          <w:p w:rsidR="00C80D78" w:rsidRPr="00EF13D9" w:rsidP="008E11BE" w14:paraId="069AF42D" w14:textId="08DA3105">
            <w:pPr>
              <w:pStyle w:val="CommentText"/>
            </w:pPr>
            <w:hyperlink r:id="rId11" w:history="1">
              <w:r w:rsidRPr="00EF13D9">
                <w:rPr>
                  <w:rStyle w:val="Hyperlink"/>
                </w:rPr>
                <w:t>john.jones@ohioAGO.gov</w:t>
              </w:r>
            </w:hyperlink>
          </w:p>
          <w:p w:rsidR="00C80D78" w:rsidRPr="00EF13D9" w:rsidP="008E11BE" w14:paraId="213C6BF6" w14:textId="7FE23766">
            <w:pPr>
              <w:pStyle w:val="CommentText"/>
            </w:pPr>
            <w:hyperlink r:id="rId12" w:history="1">
              <w:r w:rsidRPr="00EF13D9">
                <w:rPr>
                  <w:rStyle w:val="Hyperlink"/>
                </w:rPr>
                <w:t>mjsettineri@vorys.com</w:t>
              </w:r>
            </w:hyperlink>
          </w:p>
          <w:p w:rsidR="00C80D78" w:rsidRPr="00EF13D9" w:rsidP="008E11BE" w14:paraId="4E57FD5F" w14:textId="7A26F543">
            <w:pPr>
              <w:pStyle w:val="CommentText"/>
            </w:pPr>
            <w:hyperlink r:id="rId13" w:history="1">
              <w:r w:rsidRPr="00EF13D9">
                <w:rPr>
                  <w:rStyle w:val="Hyperlink"/>
                </w:rPr>
                <w:t>aasanyal@vorys.com</w:t>
              </w:r>
            </w:hyperlink>
          </w:p>
          <w:p w:rsidR="008E11BE" w:rsidRPr="00EF13D9" w:rsidP="008E11BE" w14:paraId="0288CA5E" w14:textId="6E5C2293">
            <w:pPr>
              <w:pStyle w:val="CommentText"/>
            </w:pPr>
            <w:hyperlink r:id="rId14" w:history="1">
              <w:r w:rsidRPr="00EF13D9" w:rsidR="00C80D78">
                <w:rPr>
                  <w:rStyle w:val="Hyperlink"/>
                </w:rPr>
                <w:t>apguran@vorys.com</w:t>
              </w:r>
            </w:hyperlink>
          </w:p>
          <w:p w:rsidR="00C80D78" w:rsidRPr="00EF13D9" w:rsidP="008E11BE" w14:paraId="38B116EF" w14:textId="77777777">
            <w:pPr>
              <w:pStyle w:val="CommentText"/>
              <w:rPr>
                <w:bCs/>
                <w:u w:val="single"/>
              </w:rPr>
            </w:pPr>
          </w:p>
          <w:p w:rsidR="00C80D78" w:rsidRPr="00EF13D9" w:rsidP="008E11BE" w14:paraId="6BDBC94C" w14:textId="77777777">
            <w:pPr>
              <w:pStyle w:val="CommentText"/>
              <w:rPr>
                <w:bCs/>
              </w:rPr>
            </w:pPr>
            <w:r w:rsidRPr="00EF13D9">
              <w:rPr>
                <w:bCs/>
              </w:rPr>
              <w:t>Attorney Examiners:</w:t>
            </w:r>
          </w:p>
          <w:p w:rsidR="00C80D78" w:rsidRPr="00EF13D9" w:rsidP="008E11BE" w14:paraId="51FCD64B" w14:textId="0484B115">
            <w:pPr>
              <w:pStyle w:val="CommentText"/>
              <w:rPr>
                <w:bCs/>
                <w:u w:val="single"/>
              </w:rPr>
            </w:pPr>
            <w:hyperlink r:id="rId15" w:history="1">
              <w:r w:rsidRPr="00EF13D9" w:rsidR="00E37E3F">
                <w:rPr>
                  <w:rStyle w:val="Hyperlink"/>
                  <w:bCs/>
                </w:rPr>
                <w:t>jesse.davis@puco.ohio.gov</w:t>
              </w:r>
            </w:hyperlink>
          </w:p>
          <w:p w:rsidR="00E37E3F" w:rsidRPr="00EF13D9" w:rsidP="008E11BE" w14:paraId="7D68FB51" w14:textId="78E84A80">
            <w:pPr>
              <w:pStyle w:val="CommentText"/>
              <w:rPr>
                <w:bCs/>
                <w:u w:val="single"/>
              </w:rPr>
            </w:pPr>
            <w:hyperlink r:id="rId16" w:history="1">
              <w:r w:rsidRPr="00EF13D9">
                <w:rPr>
                  <w:rStyle w:val="Hyperlink"/>
                  <w:bCs/>
                </w:rPr>
                <w:t>david.hicks@puco.ohio.gov</w:t>
              </w:r>
            </w:hyperlink>
          </w:p>
          <w:p w:rsidR="00E37E3F" w:rsidRPr="00EF13D9" w:rsidP="008E11BE" w14:paraId="1AF80B4F" w14:textId="6DF8D0A3">
            <w:pPr>
              <w:pStyle w:val="CommentText"/>
              <w:rPr>
                <w:bCs/>
                <w:u w:val="single"/>
              </w:rPr>
            </w:pPr>
          </w:p>
        </w:tc>
        <w:tc>
          <w:tcPr>
            <w:tcW w:w="4428" w:type="dxa"/>
            <w:shd w:val="clear" w:color="auto" w:fill="auto"/>
          </w:tcPr>
          <w:p w:rsidR="008E11BE" w:rsidRPr="00EF13D9" w:rsidP="0027451A" w14:paraId="68BBE5C1" w14:textId="7BDB732C">
            <w:pPr>
              <w:autoSpaceDE w:val="0"/>
              <w:autoSpaceDN w:val="0"/>
              <w:adjustRightInd w:val="0"/>
              <w:ind w:left="-82"/>
              <w:rPr>
                <w:color w:val="0563C2"/>
                <w:szCs w:val="24"/>
              </w:rPr>
            </w:pPr>
            <w:hyperlink r:id="rId17" w:history="1">
              <w:r w:rsidRPr="00EF13D9" w:rsidR="0027451A">
                <w:rPr>
                  <w:rStyle w:val="Hyperlink"/>
                  <w:szCs w:val="24"/>
                </w:rPr>
                <w:t>rocco.dascenzo@duke-energy.com</w:t>
              </w:r>
            </w:hyperlink>
          </w:p>
          <w:p w:rsidR="0027451A" w:rsidRPr="00EF13D9" w:rsidP="0027451A" w14:paraId="3977936E" w14:textId="2B6E2547">
            <w:pPr>
              <w:autoSpaceDE w:val="0"/>
              <w:autoSpaceDN w:val="0"/>
              <w:adjustRightInd w:val="0"/>
              <w:ind w:left="-82"/>
              <w:rPr>
                <w:color w:val="0563C2"/>
                <w:szCs w:val="24"/>
              </w:rPr>
            </w:pPr>
            <w:hyperlink r:id="rId18" w:history="1">
              <w:r w:rsidRPr="00EF13D9">
                <w:rPr>
                  <w:rStyle w:val="Hyperlink"/>
                  <w:szCs w:val="24"/>
                </w:rPr>
                <w:t>jeanne.kingery@duke-energy.com</w:t>
              </w:r>
            </w:hyperlink>
          </w:p>
          <w:p w:rsidR="0027451A" w:rsidRPr="00EF13D9" w:rsidP="0027451A" w14:paraId="4B25AB21" w14:textId="6695F958">
            <w:pPr>
              <w:autoSpaceDE w:val="0"/>
              <w:autoSpaceDN w:val="0"/>
              <w:adjustRightInd w:val="0"/>
              <w:ind w:left="-82"/>
              <w:rPr>
                <w:color w:val="0563C2"/>
                <w:szCs w:val="24"/>
              </w:rPr>
            </w:pPr>
            <w:hyperlink r:id="rId19" w:history="1">
              <w:r w:rsidRPr="00EF13D9">
                <w:rPr>
                  <w:rStyle w:val="Hyperlink"/>
                  <w:szCs w:val="24"/>
                </w:rPr>
                <w:t>talexander@beneschlaw.com</w:t>
              </w:r>
            </w:hyperlink>
          </w:p>
          <w:p w:rsidR="0027451A" w:rsidRPr="00EF13D9" w:rsidP="0027451A" w14:paraId="0F4C649D" w14:textId="3C3236DC">
            <w:pPr>
              <w:autoSpaceDE w:val="0"/>
              <w:autoSpaceDN w:val="0"/>
              <w:adjustRightInd w:val="0"/>
              <w:ind w:left="-82"/>
              <w:rPr>
                <w:color w:val="0563C2"/>
                <w:szCs w:val="24"/>
              </w:rPr>
            </w:pPr>
            <w:hyperlink r:id="rId20" w:history="1">
              <w:r w:rsidRPr="00EF13D9">
                <w:rPr>
                  <w:rStyle w:val="Hyperlink"/>
                  <w:szCs w:val="24"/>
                </w:rPr>
                <w:t>mkeaney@beneschlaw.com</w:t>
              </w:r>
            </w:hyperlink>
          </w:p>
          <w:p w:rsidR="0027451A" w:rsidRPr="00EF13D9" w:rsidP="0027451A" w14:paraId="53140C24" w14:textId="76336B64">
            <w:pPr>
              <w:autoSpaceDE w:val="0"/>
              <w:autoSpaceDN w:val="0"/>
              <w:adjustRightInd w:val="0"/>
              <w:ind w:left="-82"/>
              <w:rPr>
                <w:color w:val="0563C2"/>
                <w:szCs w:val="24"/>
              </w:rPr>
            </w:pPr>
            <w:hyperlink r:id="rId21" w:history="1">
              <w:r w:rsidRPr="00EF13D9">
                <w:rPr>
                  <w:rStyle w:val="Hyperlink"/>
                  <w:szCs w:val="24"/>
                </w:rPr>
                <w:t>khehmeyer@beneschlaw.com</w:t>
              </w:r>
            </w:hyperlink>
          </w:p>
          <w:p w:rsidR="0027451A" w:rsidRPr="00EF13D9" w:rsidP="0027451A" w14:paraId="38D69949" w14:textId="4DA521F1">
            <w:pPr>
              <w:autoSpaceDE w:val="0"/>
              <w:autoSpaceDN w:val="0"/>
              <w:adjustRightInd w:val="0"/>
              <w:ind w:left="341"/>
              <w:rPr>
                <w:color w:val="0563C2"/>
                <w:szCs w:val="24"/>
              </w:rPr>
            </w:pPr>
          </w:p>
        </w:tc>
      </w:tr>
    </w:tbl>
    <w:p w:rsidR="008E11BE" w:rsidRPr="00EF13D9" w14:paraId="304268B3" w14:textId="77777777">
      <w:pPr>
        <w:pStyle w:val="CommentText"/>
        <w:jc w:val="center"/>
        <w:rPr>
          <w:b/>
          <w:u w:val="single"/>
        </w:rPr>
      </w:pPr>
    </w:p>
    <w:p w:rsidR="00A044B5" w:rsidRPr="00EF13D9" w14:paraId="7EB76D12" w14:textId="77777777">
      <w:pPr>
        <w:pStyle w:val="BodyText"/>
        <w:rPr>
          <w:b/>
          <w:bCs/>
          <w:szCs w:val="24"/>
        </w:rPr>
      </w:pPr>
    </w:p>
    <w:p w:rsidR="00A044B5" w:rsidRPr="00EF13D9" w14:paraId="5DE047C5" w14:textId="77777777">
      <w:pPr>
        <w:pStyle w:val="BodyText"/>
        <w:rPr>
          <w:b/>
          <w:bCs/>
          <w:szCs w:val="24"/>
        </w:rPr>
      </w:pPr>
    </w:p>
    <w:sectPr>
      <w:headerReference w:type="even" r:id="rId22"/>
      <w:headerReference w:type="default" r:id="rId23"/>
      <w:footerReference w:type="default" r:id="rId24"/>
      <w:headerReference w:type="first" r:id="rId25"/>
      <w:footerReference w:type="first" r:id="rId26"/>
      <w:pgSz w:w="12240" w:h="15840"/>
      <w:pgMar w:top="1440" w:right="1800" w:bottom="1440" w:left="1800" w:header="720" w:footer="720" w:gutter="0"/>
      <w:pgNumType w:start="1"/>
      <w:cols w:space="720"/>
      <w:titlePg/>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190D94B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044B5" w14:paraId="391010B8"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11ACBE5D" w14:textId="77777777">
    <w:pPr>
      <w:pStyle w:val="Footer"/>
      <w:jc w:val="center"/>
      <w:rPr>
        <w:sz w:val="24"/>
        <w:szCs w:val="24"/>
      </w:rPr>
    </w:pPr>
    <w:r>
      <w:rPr>
        <w:rStyle w:val="PageNumber"/>
        <w:sz w:val="24"/>
        <w:szCs w:val="24"/>
      </w:rPr>
      <w:fldChar w:fldCharType="begin"/>
    </w:r>
    <w:r>
      <w:rPr>
        <w:rStyle w:val="PageNumber"/>
        <w:sz w:val="24"/>
        <w:szCs w:val="24"/>
      </w:rPr>
      <w:instrText xml:space="preserve"> PAGE </w:instrText>
    </w:r>
    <w:r>
      <w:rPr>
        <w:rStyle w:val="PageNumber"/>
        <w:sz w:val="24"/>
        <w:szCs w:val="24"/>
      </w:rPr>
      <w:fldChar w:fldCharType="separate"/>
    </w:r>
    <w:r w:rsidR="00201526">
      <w:rPr>
        <w:rStyle w:val="PageNumber"/>
        <w:noProof/>
        <w:sz w:val="24"/>
        <w:szCs w:val="24"/>
      </w:rPr>
      <w:t>2</w:t>
    </w:r>
    <w:r>
      <w:rPr>
        <w:rStyle w:val="PageNumber"/>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09754326"/>
      <w:docPartObj>
        <w:docPartGallery w:val="Page Numbers (Bottom of Page)"/>
        <w:docPartUnique/>
      </w:docPartObj>
    </w:sdtPr>
    <w:sdtEndPr>
      <w:rPr>
        <w:noProof/>
        <w:sz w:val="24"/>
        <w:szCs w:val="24"/>
      </w:rPr>
    </w:sdtEndPr>
    <w:sdtContent>
      <w:p w:rsidR="0022020E" w:rsidRPr="0022020E" w14:paraId="09BB298A" w14:textId="43774E3E">
        <w:pPr>
          <w:pStyle w:val="Footer"/>
          <w:jc w:val="center"/>
          <w:rPr>
            <w:sz w:val="24"/>
            <w:szCs w:val="24"/>
          </w:rPr>
        </w:pPr>
        <w:r w:rsidRPr="0022020E">
          <w:rPr>
            <w:sz w:val="24"/>
            <w:szCs w:val="24"/>
          </w:rPr>
          <w:fldChar w:fldCharType="begin"/>
        </w:r>
        <w:r w:rsidRPr="0022020E">
          <w:rPr>
            <w:sz w:val="24"/>
            <w:szCs w:val="24"/>
          </w:rPr>
          <w:instrText xml:space="preserve"> PAGE   \* MERGEFORMAT </w:instrText>
        </w:r>
        <w:r w:rsidRPr="0022020E">
          <w:rPr>
            <w:sz w:val="24"/>
            <w:szCs w:val="24"/>
          </w:rPr>
          <w:fldChar w:fldCharType="separate"/>
        </w:r>
        <w:r w:rsidRPr="0022020E">
          <w:rPr>
            <w:noProof/>
            <w:sz w:val="24"/>
            <w:szCs w:val="24"/>
          </w:rPr>
          <w:t>2</w:t>
        </w:r>
        <w:r w:rsidRPr="0022020E">
          <w:rPr>
            <w:noProof/>
            <w:sz w:val="24"/>
            <w:szCs w:val="24"/>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36870399"/>
      <w:docPartObj>
        <w:docPartGallery w:val="Page Numbers (Bottom of Page)"/>
        <w:docPartUnique/>
      </w:docPartObj>
    </w:sdtPr>
    <w:sdtEndPr>
      <w:rPr>
        <w:noProof/>
        <w:sz w:val="24"/>
        <w:szCs w:val="24"/>
      </w:rPr>
    </w:sdtEndPr>
    <w:sdtContent>
      <w:p w:rsidR="0022020E" w:rsidRPr="0022020E" w14:paraId="622B78B8" w14:textId="69C35C5A">
        <w:pPr>
          <w:pStyle w:val="Footer"/>
          <w:jc w:val="center"/>
          <w:rPr>
            <w:sz w:val="24"/>
            <w:szCs w:val="24"/>
          </w:rPr>
        </w:pPr>
        <w:r w:rsidRPr="0022020E">
          <w:rPr>
            <w:sz w:val="24"/>
            <w:szCs w:val="24"/>
          </w:rPr>
          <w:fldChar w:fldCharType="begin"/>
        </w:r>
        <w:r w:rsidRPr="0022020E">
          <w:rPr>
            <w:sz w:val="24"/>
            <w:szCs w:val="24"/>
          </w:rPr>
          <w:instrText xml:space="preserve"> PAGE   \* MERGEFORMAT </w:instrText>
        </w:r>
        <w:r w:rsidRPr="0022020E">
          <w:rPr>
            <w:sz w:val="24"/>
            <w:szCs w:val="24"/>
          </w:rPr>
          <w:fldChar w:fldCharType="separate"/>
        </w:r>
        <w:r w:rsidRPr="0022020E">
          <w:rPr>
            <w:noProof/>
            <w:sz w:val="24"/>
            <w:szCs w:val="24"/>
          </w:rPr>
          <w:t>2</w:t>
        </w:r>
        <w:r w:rsidRPr="0022020E">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290426" w14:paraId="610FFE7D" w14:textId="77777777">
      <w:r>
        <w:separator/>
      </w:r>
    </w:p>
  </w:footnote>
  <w:footnote w:type="continuationSeparator" w:id="1">
    <w:p w:rsidR="00290426" w14:paraId="2E121D48" w14:textId="77777777">
      <w:r>
        <w:continuationSeparator/>
      </w:r>
    </w:p>
  </w:footnote>
  <w:footnote w:id="2">
    <w:p w:rsidR="00A044B5" w:rsidP="00D177BE" w14:paraId="52DCFA7B" w14:textId="77777777">
      <w:pPr>
        <w:pStyle w:val="FootnoteText"/>
        <w:spacing w:after="120"/>
      </w:pPr>
      <w:r>
        <w:rPr>
          <w:rStyle w:val="FootnoteReference"/>
        </w:rPr>
        <w:footnoteRef/>
      </w:r>
      <w:r>
        <w:t xml:space="preserve"> </w:t>
      </w:r>
      <w:r>
        <w:rPr>
          <w:i/>
        </w:rPr>
        <w:t>See</w:t>
      </w:r>
      <w:r>
        <w:t xml:space="preserve"> R.C. Chapter 4911, R.C. 4903.221 and O</w:t>
      </w:r>
      <w:r w:rsidR="00387AF1">
        <w:t>.</w:t>
      </w:r>
      <w:r>
        <w:t>A.C</w:t>
      </w:r>
      <w:r w:rsidR="00387AF1">
        <w:t>.</w:t>
      </w:r>
      <w:r>
        <w:t xml:space="preserve"> 4901-1-11.</w:t>
      </w:r>
    </w:p>
  </w:footnote>
  <w:footnote w:id="3">
    <w:p w:rsidR="00F047CF" w:rsidP="00D177BE" w14:paraId="0282156E" w14:textId="33ABEC5C">
      <w:pPr>
        <w:pStyle w:val="FootnoteText"/>
        <w:spacing w:after="120"/>
      </w:pPr>
      <w:r>
        <w:rPr>
          <w:rStyle w:val="FootnoteReference"/>
        </w:rPr>
        <w:footnoteRef/>
      </w:r>
      <w:r>
        <w:t xml:space="preserve"> </w:t>
      </w:r>
      <w:r w:rsidR="005E725E">
        <w:rPr>
          <w:i/>
          <w:iCs/>
        </w:rPr>
        <w:t xml:space="preserve">See e.g. </w:t>
      </w:r>
      <w:r w:rsidR="005E725E">
        <w:t>Duke Complaint (Mar</w:t>
      </w:r>
      <w:r w:rsidR="00D177BE">
        <w:t>.</w:t>
      </w:r>
      <w:r w:rsidR="005E725E">
        <w:t xml:space="preserve"> 30, 2022), at ¶¶ </w:t>
      </w:r>
      <w:r w:rsidR="002313FF">
        <w:t>24-</w:t>
      </w:r>
      <w:r w:rsidR="005E725E">
        <w:t>25, 41</w:t>
      </w:r>
      <w:r w:rsidR="001C7476">
        <w:t>-55.</w:t>
      </w:r>
      <w:r w:rsidR="005E725E">
        <w:t xml:space="preserve"> </w:t>
      </w:r>
    </w:p>
  </w:footnote>
  <w:footnote w:id="4">
    <w:p w:rsidR="0068445D" w:rsidP="00D177BE" w14:paraId="78D62D85" w14:textId="2001D065">
      <w:pPr>
        <w:pStyle w:val="FootnoteText"/>
        <w:spacing w:after="120"/>
      </w:pPr>
      <w:r>
        <w:rPr>
          <w:rStyle w:val="FootnoteReference"/>
        </w:rPr>
        <w:footnoteRef/>
      </w:r>
      <w:r>
        <w:t xml:space="preserve"> Duke Complaint, at ¶</w:t>
      </w:r>
      <w:r w:rsidR="005130EE">
        <w:t>¶</w:t>
      </w:r>
      <w:r>
        <w:t xml:space="preserve"> 41</w:t>
      </w:r>
      <w:r w:rsidR="005130EE">
        <w:t>-45</w:t>
      </w:r>
      <w:r>
        <w:t>.</w:t>
      </w:r>
    </w:p>
  </w:footnote>
  <w:footnote w:id="5">
    <w:p w:rsidR="00912758" w:rsidRPr="00912758" w:rsidP="00D177BE" w14:paraId="4B9D396F" w14:textId="77777777">
      <w:pPr>
        <w:pStyle w:val="FootnoteText"/>
        <w:spacing w:after="120"/>
        <w:rPr>
          <w:i/>
          <w:iCs/>
        </w:rPr>
      </w:pPr>
      <w:r>
        <w:rPr>
          <w:rStyle w:val="FootnoteReference"/>
        </w:rPr>
        <w:footnoteRef/>
      </w:r>
      <w:r>
        <w:t xml:space="preserve"> </w:t>
      </w:r>
      <w:r>
        <w:rPr>
          <w:i/>
          <w:iCs/>
        </w:rPr>
        <w:t>Id.</w:t>
      </w:r>
    </w:p>
  </w:footnote>
  <w:footnote w:id="6">
    <w:p w:rsidR="00A044B5" w:rsidP="00D177BE" w14:paraId="69B12360" w14:textId="65ACE666">
      <w:pPr>
        <w:pStyle w:val="FootnoteText"/>
        <w:spacing w:after="120"/>
      </w:pPr>
      <w:r>
        <w:rPr>
          <w:rStyle w:val="FootnoteReference"/>
        </w:rPr>
        <w:footnoteRef/>
      </w:r>
      <w:r>
        <w:rPr>
          <w:i/>
        </w:rPr>
        <w:t xml:space="preserve"> See Ohio Consumers’ Counsel v. Pub. Util. Comm</w:t>
      </w:r>
      <w:r>
        <w:t>., 111 Ohio St.3d 384</w:t>
      </w:r>
      <w:r w:rsidR="002A4912">
        <w:t>, 2006-Ohio-5853, ¶¶</w:t>
      </w:r>
      <w:r w:rsidR="00E370D8">
        <w:t xml:space="preserve"> </w:t>
      </w:r>
      <w:r w:rsidR="002A4912">
        <w:t>13-20</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2C24B6A5" w14:textId="7777777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4C89E1D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0D02402F"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044B5" w14:paraId="55F2D65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B52698C"/>
    <w:multiLevelType w:val="hybridMultilevel"/>
    <w:tmpl w:val="FCCA683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nsid w:val="53454FCE"/>
    <w:multiLevelType w:val="hybridMultilevel"/>
    <w:tmpl w:val="C576D4C6"/>
    <w:lvl w:ilvl="0">
      <w:start w:val="3"/>
      <w:numFmt w:val="upperRoman"/>
      <w:lvlText w:val="%1."/>
      <w:lvlJc w:val="left"/>
      <w:pPr>
        <w:tabs>
          <w:tab w:val="num" w:pos="1080"/>
        </w:tabs>
        <w:ind w:left="1080" w:hanging="720"/>
      </w:pPr>
      <w:rPr>
        <w:rFonts w:hint="default"/>
        <w:u w:val="none"/>
      </w:rPr>
    </w:lvl>
    <w:lvl w:ilvl="1">
      <w:start w:val="1"/>
      <w:numFmt w:val="upperLetter"/>
      <w:lvlText w:val="%2."/>
      <w:lvlJc w:val="left"/>
      <w:pPr>
        <w:tabs>
          <w:tab w:val="num" w:pos="2085"/>
        </w:tabs>
        <w:ind w:left="2085" w:hanging="1005"/>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5A164567"/>
    <w:multiLevelType w:val="hybridMultilevel"/>
    <w:tmpl w:val="924AB386"/>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
    <w:nsid w:val="5F8249F4"/>
    <w:multiLevelType w:val="hybridMultilevel"/>
    <w:tmpl w:val="2020BA1E"/>
    <w:lvl w:ilvl="0">
      <w:start w:val="2"/>
      <w:numFmt w:val="upperLetter"/>
      <w:lvlText w:val="%1."/>
      <w:lvlJc w:val="left"/>
      <w:pPr>
        <w:tabs>
          <w:tab w:val="num" w:pos="1440"/>
        </w:tabs>
        <w:ind w:left="1440" w:hanging="72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
    <w:nsid w:val="65D27B79"/>
    <w:multiLevelType w:val="hybridMultilevel"/>
    <w:tmpl w:val="72B87570"/>
    <w:lvl w:ilvl="0">
      <w:start w:val="4"/>
      <w:numFmt w:val="decimal"/>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5">
    <w:nsid w:val="78B05554"/>
    <w:multiLevelType w:val="hybridMultilevel"/>
    <w:tmpl w:val="6C22C984"/>
    <w:lvl w:ilvl="0">
      <w:start w:val="5"/>
      <w:numFmt w:val="decimal"/>
      <w:lvlText w:val="%1."/>
      <w:lvlJc w:val="left"/>
      <w:pPr>
        <w:tabs>
          <w:tab w:val="num" w:pos="2160"/>
        </w:tabs>
        <w:ind w:left="2160" w:hanging="72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24"/>
  <w:drawingGridVerticalSpacing w:val="65"/>
  <w:displayHorizontalDrawingGridEvery w:val="0"/>
  <w:noPunctuationKerning/>
  <w:characterSpacingControl w:val="doNotCompress"/>
  <w:footnotePr>
    <w:footnote w:id="0"/>
    <w:footnote w:id="1"/>
  </w:foot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912"/>
    <w:rsid w:val="00002306"/>
    <w:rsid w:val="000643F2"/>
    <w:rsid w:val="00082870"/>
    <w:rsid w:val="000A7755"/>
    <w:rsid w:val="000C4A21"/>
    <w:rsid w:val="000E084F"/>
    <w:rsid w:val="000F7DD5"/>
    <w:rsid w:val="00127F61"/>
    <w:rsid w:val="001309DD"/>
    <w:rsid w:val="00175032"/>
    <w:rsid w:val="0018259B"/>
    <w:rsid w:val="001C7476"/>
    <w:rsid w:val="001D0897"/>
    <w:rsid w:val="001D10F6"/>
    <w:rsid w:val="001D14C7"/>
    <w:rsid w:val="001F5F7B"/>
    <w:rsid w:val="00201526"/>
    <w:rsid w:val="0022020E"/>
    <w:rsid w:val="0022100F"/>
    <w:rsid w:val="002218AF"/>
    <w:rsid w:val="002313FF"/>
    <w:rsid w:val="002354D4"/>
    <w:rsid w:val="00270856"/>
    <w:rsid w:val="0027451A"/>
    <w:rsid w:val="0027470E"/>
    <w:rsid w:val="00290426"/>
    <w:rsid w:val="002A4912"/>
    <w:rsid w:val="002B02E3"/>
    <w:rsid w:val="002E2B0C"/>
    <w:rsid w:val="002F5004"/>
    <w:rsid w:val="00300E0E"/>
    <w:rsid w:val="0031242C"/>
    <w:rsid w:val="003330AC"/>
    <w:rsid w:val="00357105"/>
    <w:rsid w:val="0036746E"/>
    <w:rsid w:val="00387AF1"/>
    <w:rsid w:val="00392557"/>
    <w:rsid w:val="003B0FBB"/>
    <w:rsid w:val="003B123B"/>
    <w:rsid w:val="003B7CA8"/>
    <w:rsid w:val="003C3B88"/>
    <w:rsid w:val="003F0FBF"/>
    <w:rsid w:val="004133D9"/>
    <w:rsid w:val="004211C0"/>
    <w:rsid w:val="00421363"/>
    <w:rsid w:val="004406B9"/>
    <w:rsid w:val="004875E4"/>
    <w:rsid w:val="004C2B9C"/>
    <w:rsid w:val="004F5AE6"/>
    <w:rsid w:val="005130EE"/>
    <w:rsid w:val="0051520D"/>
    <w:rsid w:val="00535BD3"/>
    <w:rsid w:val="0056327A"/>
    <w:rsid w:val="00572E94"/>
    <w:rsid w:val="005A6744"/>
    <w:rsid w:val="005A7AA2"/>
    <w:rsid w:val="005D24D7"/>
    <w:rsid w:val="005E2957"/>
    <w:rsid w:val="005E6563"/>
    <w:rsid w:val="005E725E"/>
    <w:rsid w:val="005F0067"/>
    <w:rsid w:val="00600F9B"/>
    <w:rsid w:val="00616CFE"/>
    <w:rsid w:val="0062108F"/>
    <w:rsid w:val="0062499C"/>
    <w:rsid w:val="006326A6"/>
    <w:rsid w:val="00641070"/>
    <w:rsid w:val="00645510"/>
    <w:rsid w:val="00646528"/>
    <w:rsid w:val="0068445D"/>
    <w:rsid w:val="006A16A5"/>
    <w:rsid w:val="006A1D0B"/>
    <w:rsid w:val="006A7F5D"/>
    <w:rsid w:val="006D71B6"/>
    <w:rsid w:val="006F1457"/>
    <w:rsid w:val="006F3A5F"/>
    <w:rsid w:val="006F6FDC"/>
    <w:rsid w:val="0070051D"/>
    <w:rsid w:val="00706574"/>
    <w:rsid w:val="00730C0C"/>
    <w:rsid w:val="00742403"/>
    <w:rsid w:val="00756B19"/>
    <w:rsid w:val="00760DE9"/>
    <w:rsid w:val="007776FE"/>
    <w:rsid w:val="007B377A"/>
    <w:rsid w:val="007D75D4"/>
    <w:rsid w:val="00826275"/>
    <w:rsid w:val="00875F19"/>
    <w:rsid w:val="008B6A97"/>
    <w:rsid w:val="008D3A4F"/>
    <w:rsid w:val="008D5074"/>
    <w:rsid w:val="008E11BE"/>
    <w:rsid w:val="008F4272"/>
    <w:rsid w:val="008F46B6"/>
    <w:rsid w:val="00912758"/>
    <w:rsid w:val="00926321"/>
    <w:rsid w:val="009445A5"/>
    <w:rsid w:val="00980C1E"/>
    <w:rsid w:val="009B674F"/>
    <w:rsid w:val="009B6D8B"/>
    <w:rsid w:val="009C1C0B"/>
    <w:rsid w:val="009C5B24"/>
    <w:rsid w:val="009C66C2"/>
    <w:rsid w:val="009F0AD5"/>
    <w:rsid w:val="00A044B5"/>
    <w:rsid w:val="00A07614"/>
    <w:rsid w:val="00A501E8"/>
    <w:rsid w:val="00A549D7"/>
    <w:rsid w:val="00A5514C"/>
    <w:rsid w:val="00A6139B"/>
    <w:rsid w:val="00A84DC5"/>
    <w:rsid w:val="00A97330"/>
    <w:rsid w:val="00AA6B5D"/>
    <w:rsid w:val="00AB2645"/>
    <w:rsid w:val="00AC102B"/>
    <w:rsid w:val="00AD135E"/>
    <w:rsid w:val="00AE437E"/>
    <w:rsid w:val="00AF5B98"/>
    <w:rsid w:val="00B43299"/>
    <w:rsid w:val="00B84C29"/>
    <w:rsid w:val="00BA335C"/>
    <w:rsid w:val="00BC7AB9"/>
    <w:rsid w:val="00BD51EB"/>
    <w:rsid w:val="00BE28C9"/>
    <w:rsid w:val="00BE4168"/>
    <w:rsid w:val="00C00EB8"/>
    <w:rsid w:val="00C35006"/>
    <w:rsid w:val="00C504DE"/>
    <w:rsid w:val="00C80D78"/>
    <w:rsid w:val="00C910AC"/>
    <w:rsid w:val="00CA6A3D"/>
    <w:rsid w:val="00CC072E"/>
    <w:rsid w:val="00CC2A6F"/>
    <w:rsid w:val="00D177BE"/>
    <w:rsid w:val="00D42EA3"/>
    <w:rsid w:val="00D55177"/>
    <w:rsid w:val="00D57504"/>
    <w:rsid w:val="00D74BAB"/>
    <w:rsid w:val="00D80F75"/>
    <w:rsid w:val="00D84C51"/>
    <w:rsid w:val="00D92BE0"/>
    <w:rsid w:val="00D93165"/>
    <w:rsid w:val="00D96E4D"/>
    <w:rsid w:val="00DB1254"/>
    <w:rsid w:val="00DC223B"/>
    <w:rsid w:val="00DE3BDA"/>
    <w:rsid w:val="00DF6894"/>
    <w:rsid w:val="00E13FBB"/>
    <w:rsid w:val="00E15C93"/>
    <w:rsid w:val="00E370D8"/>
    <w:rsid w:val="00E37E3F"/>
    <w:rsid w:val="00E504E1"/>
    <w:rsid w:val="00E565F3"/>
    <w:rsid w:val="00E626DE"/>
    <w:rsid w:val="00E673CF"/>
    <w:rsid w:val="00E7439A"/>
    <w:rsid w:val="00EC2306"/>
    <w:rsid w:val="00ED6D7B"/>
    <w:rsid w:val="00EF13D9"/>
    <w:rsid w:val="00EF3AD6"/>
    <w:rsid w:val="00F047CF"/>
    <w:rsid w:val="00F105C9"/>
    <w:rsid w:val="00F1341B"/>
    <w:rsid w:val="00F35469"/>
    <w:rsid w:val="00F40C28"/>
    <w:rsid w:val="00F661B9"/>
    <w:rsid w:val="00FD12B3"/>
    <w:rsid w:val="00FD2445"/>
    <w:rsid w:val="00FD669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5A5"/>
    <w:rPr>
      <w:sz w:val="24"/>
    </w:rPr>
  </w:style>
  <w:style w:type="paragraph" w:styleId="Heading1">
    <w:name w:val="heading 1"/>
    <w:basedOn w:val="Normal"/>
    <w:next w:val="Normal"/>
    <w:qFormat/>
    <w:pPr>
      <w:keepNext/>
      <w:outlineLvl w:val="0"/>
    </w:pPr>
    <w:rPr>
      <w:b/>
      <w:szCs w:val="24"/>
      <w:u w:val="single"/>
    </w:rPr>
  </w:style>
  <w:style w:type="paragraph" w:styleId="Heading2">
    <w:name w:val="heading 2"/>
    <w:basedOn w:val="Normal"/>
    <w:next w:val="Normal"/>
    <w:qFormat/>
    <w:pPr>
      <w:keepNext/>
      <w:tabs>
        <w:tab w:val="left" w:pos="4320"/>
      </w:tabs>
      <w:jc w:val="center"/>
      <w:outlineLvl w:val="1"/>
    </w:pPr>
    <w:rPr>
      <w:b/>
    </w:rPr>
  </w:style>
  <w:style w:type="paragraph" w:styleId="Heading3">
    <w:name w:val="heading 3"/>
    <w:basedOn w:val="Normal"/>
    <w:next w:val="Normal"/>
    <w:qFormat/>
    <w:pPr>
      <w:keepNext/>
      <w:jc w:val="center"/>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rPr>
  </w:style>
  <w:style w:type="paragraph" w:styleId="Footer">
    <w:name w:val="footer"/>
    <w:basedOn w:val="Normal"/>
    <w:link w:val="FooterChar"/>
    <w:uiPriority w:val="99"/>
    <w:pPr>
      <w:tabs>
        <w:tab w:val="center" w:pos="4320"/>
        <w:tab w:val="right" w:pos="8640"/>
      </w:tabs>
    </w:pPr>
    <w:rPr>
      <w:sz w:val="20"/>
    </w:rPr>
  </w:style>
  <w:style w:type="character" w:styleId="Hyperlink">
    <w:name w:val="Hyperlink"/>
    <w:rPr>
      <w:color w:val="0000FF"/>
      <w:u w:val="sing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
    <w:name w:val="Body Text Indent"/>
    <w:basedOn w:val="Normal"/>
    <w:pPr>
      <w:spacing w:line="480" w:lineRule="auto"/>
      <w:ind w:firstLine="720"/>
    </w:pPr>
  </w:style>
  <w:style w:type="paragraph" w:styleId="BodyTextIndent3">
    <w:name w:val="Body Text Indent 3"/>
    <w:basedOn w:val="Normal"/>
    <w:link w:val="BodyTextIndent3Char"/>
    <w:pPr>
      <w:spacing w:line="480" w:lineRule="atLeast"/>
      <w:ind w:firstLine="720"/>
    </w:pPr>
  </w:style>
  <w:style w:type="paragraph" w:styleId="BodyTextIndent2">
    <w:name w:val="Body Text Indent 2"/>
    <w:basedOn w:val="Normal"/>
    <w:pPr>
      <w:tabs>
        <w:tab w:val="left" w:pos="720"/>
      </w:tabs>
      <w:spacing w:before="240" w:after="240"/>
      <w:ind w:left="1464" w:hanging="744"/>
    </w:pPr>
  </w:style>
  <w:style w:type="character" w:styleId="PageNumber">
    <w:name w:val="page number"/>
    <w:basedOn w:val="DefaultParagraphFont"/>
  </w:style>
  <w:style w:type="paragraph" w:styleId="BodyText">
    <w:name w:val="Body Text"/>
    <w:basedOn w:val="Normal"/>
    <w:pPr>
      <w:jc w:val="both"/>
    </w:pPr>
  </w:style>
  <w:style w:type="paragraph" w:styleId="BlockText">
    <w:name w:val="Block Text"/>
    <w:basedOn w:val="Normal"/>
    <w:pPr>
      <w:ind w:left="1440" w:right="720"/>
    </w:pPr>
  </w:style>
  <w:style w:type="paragraph" w:styleId="EndnoteText">
    <w:name w:val="endnote text"/>
    <w:basedOn w:val="Normal"/>
    <w:semiHidden/>
    <w:rPr>
      <w:sz w:val="20"/>
    </w:rPr>
  </w:style>
  <w:style w:type="character" w:styleId="EndnoteReference">
    <w:name w:val="endnote reference"/>
    <w:semiHidden/>
    <w:rPr>
      <w:vertAlign w:val="superscript"/>
    </w:rPr>
  </w:style>
  <w:style w:type="paragraph" w:styleId="BodyText2">
    <w:name w:val="Body Text 2"/>
    <w:basedOn w:val="Normal"/>
    <w:pPr>
      <w:spacing w:line="480" w:lineRule="auto"/>
      <w:ind w:right="1440"/>
    </w:pPr>
  </w:style>
  <w:style w:type="paragraph" w:styleId="Header">
    <w:name w:val="header"/>
    <w:basedOn w:val="Normal"/>
    <w:pPr>
      <w:tabs>
        <w:tab w:val="center" w:pos="4320"/>
        <w:tab w:val="right" w:pos="8640"/>
      </w:tabs>
    </w:pPr>
  </w:style>
  <w:style w:type="paragraph" w:styleId="BalloonText">
    <w:name w:val="Balloon Text"/>
    <w:basedOn w:val="Normal"/>
    <w:semiHidden/>
    <w:rPr>
      <w:rFonts w:ascii="Lucida Grande" w:hAnsi="Lucida Grande"/>
      <w:sz w:val="18"/>
      <w:szCs w:val="18"/>
    </w:rPr>
  </w:style>
  <w:style w:type="character" w:styleId="CommentReference">
    <w:name w:val="annotation reference"/>
    <w:semiHidden/>
    <w:rPr>
      <w:sz w:val="18"/>
    </w:rPr>
  </w:style>
  <w:style w:type="paragraph" w:styleId="CommentText">
    <w:name w:val="annotation text"/>
    <w:basedOn w:val="Normal"/>
    <w:link w:val="CommentTextChar"/>
    <w:uiPriority w:val="99"/>
    <w:semiHidden/>
    <w:rPr>
      <w:szCs w:val="24"/>
    </w:rPr>
  </w:style>
  <w:style w:type="paragraph" w:styleId="CommentSubject">
    <w:name w:val="annotation subject"/>
    <w:basedOn w:val="CommentText"/>
    <w:next w:val="CommentText"/>
    <w:semiHidden/>
    <w:rPr>
      <w:szCs w:val="20"/>
    </w:rPr>
  </w:style>
  <w:style w:type="character" w:styleId="FollowedHyperlink">
    <w:name w:val="FollowedHyperlink"/>
    <w:rPr>
      <w:color w:val="800080"/>
      <w:u w:val="single"/>
    </w:rPr>
  </w:style>
  <w:style w:type="character" w:customStyle="1" w:styleId="term1">
    <w:name w:val="term1"/>
    <w:rPr>
      <w:b/>
      <w:bCs/>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BodyTextIndent3">
    <w:name w:val="WW-Body Text Indent 3"/>
    <w:basedOn w:val="Normal"/>
    <w:pPr>
      <w:suppressAutoHyphens/>
      <w:spacing w:line="480" w:lineRule="atLeast"/>
      <w:ind w:firstLine="720"/>
    </w:pPr>
    <w:rPr>
      <w:lang w:eastAsia="ar-SA"/>
    </w:rPr>
  </w:style>
  <w:style w:type="character" w:customStyle="1" w:styleId="UnresolvedMention">
    <w:name w:val="Unresolved Mention"/>
    <w:uiPriority w:val="99"/>
    <w:semiHidden/>
    <w:unhideWhenUsed/>
    <w:rsid w:val="002354D4"/>
    <w:rPr>
      <w:color w:val="605E5C"/>
      <w:shd w:val="clear" w:color="auto" w:fill="E1DFDD"/>
    </w:rPr>
  </w:style>
  <w:style w:type="character" w:customStyle="1" w:styleId="HTMLPreformattedChar">
    <w:name w:val="HTML Preformatted Char"/>
    <w:link w:val="HTMLPreformatted"/>
    <w:rsid w:val="002354D4"/>
    <w:rPr>
      <w:rFonts w:ascii="Courier New" w:eastAsia="Courier New" w:hAnsi="Courier New" w:cs="Courier New"/>
    </w:rPr>
  </w:style>
  <w:style w:type="character" w:customStyle="1" w:styleId="BodyTextIndent3Char">
    <w:name w:val="Body Text Indent 3 Char"/>
    <w:link w:val="BodyTextIndent3"/>
    <w:rsid w:val="002354D4"/>
    <w:rPr>
      <w:sz w:val="24"/>
    </w:rPr>
  </w:style>
  <w:style w:type="character" w:customStyle="1" w:styleId="CommentTextChar">
    <w:name w:val="Comment Text Char"/>
    <w:link w:val="CommentText"/>
    <w:uiPriority w:val="99"/>
    <w:semiHidden/>
    <w:rsid w:val="001D10F6"/>
    <w:rPr>
      <w:sz w:val="24"/>
      <w:szCs w:val="24"/>
    </w:rPr>
  </w:style>
  <w:style w:type="character" w:customStyle="1" w:styleId="FooterChar">
    <w:name w:val="Footer Char"/>
    <w:basedOn w:val="DefaultParagraphFont"/>
    <w:link w:val="Footer"/>
    <w:uiPriority w:val="99"/>
    <w:rsid w:val="0022020E"/>
  </w:style>
  <w:style w:type="paragraph" w:styleId="Revision">
    <w:name w:val="Revision"/>
    <w:hidden/>
    <w:uiPriority w:val="99"/>
    <w:semiHidden/>
    <w:rsid w:val="00BE416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hyperlink" Target="mailto:john.jones@ohioAGO.gov" TargetMode="External" /><Relationship Id="rId12" Type="http://schemas.openxmlformats.org/officeDocument/2006/relationships/hyperlink" Target="mailto:mjsettineri@vorys.com" TargetMode="External" /><Relationship Id="rId13" Type="http://schemas.openxmlformats.org/officeDocument/2006/relationships/hyperlink" Target="mailto:aasanyal@vorys.com" TargetMode="External" /><Relationship Id="rId14" Type="http://schemas.openxmlformats.org/officeDocument/2006/relationships/hyperlink" Target="mailto:apguran@vorys.com" TargetMode="External" /><Relationship Id="rId15" Type="http://schemas.openxmlformats.org/officeDocument/2006/relationships/hyperlink" Target="mailto:jesse.davis@puco.ohio.gov" TargetMode="External" /><Relationship Id="rId16" Type="http://schemas.openxmlformats.org/officeDocument/2006/relationships/hyperlink" Target="mailto:david.hicks@puco.ohio.gov" TargetMode="External" /><Relationship Id="rId17" Type="http://schemas.openxmlformats.org/officeDocument/2006/relationships/hyperlink" Target="mailto:rocco.dascenzo@duke-energy.com" TargetMode="External" /><Relationship Id="rId18" Type="http://schemas.openxmlformats.org/officeDocument/2006/relationships/hyperlink" Target="mailto:jeanne.kingery@duke-energy.com" TargetMode="External" /><Relationship Id="rId19" Type="http://schemas.openxmlformats.org/officeDocument/2006/relationships/hyperlink" Target="mailto:talexander@beneschlaw.com" TargetMode="External" /><Relationship Id="rId2" Type="http://schemas.openxmlformats.org/officeDocument/2006/relationships/settings" Target="settings.xml" /><Relationship Id="rId20" Type="http://schemas.openxmlformats.org/officeDocument/2006/relationships/hyperlink" Target="mailto:mkeaney@beneschlaw.com" TargetMode="External" /><Relationship Id="rId21" Type="http://schemas.openxmlformats.org/officeDocument/2006/relationships/hyperlink" Target="mailto:khehmeyer@beneschlaw.com" TargetMode="External" /><Relationship Id="rId22" Type="http://schemas.openxmlformats.org/officeDocument/2006/relationships/header" Target="header2.xml" /><Relationship Id="rId23" Type="http://schemas.openxmlformats.org/officeDocument/2006/relationships/header" Target="header3.xml" /><Relationship Id="rId24" Type="http://schemas.openxmlformats.org/officeDocument/2006/relationships/footer" Target="footer3.xml" /><Relationship Id="rId25" Type="http://schemas.openxmlformats.org/officeDocument/2006/relationships/header" Target="header4.xml" /><Relationship Id="rId26" Type="http://schemas.openxmlformats.org/officeDocument/2006/relationships/footer" Target="footer4.xml" /><Relationship Id="rId27" Type="http://schemas.openxmlformats.org/officeDocument/2006/relationships/theme" Target="theme/theme1.xml" /><Relationship Id="rId28" Type="http://schemas.openxmlformats.org/officeDocument/2006/relationships/numbering" Target="numbering.xml" /><Relationship Id="rId29"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yperlink" Target="mailto:angela.obrien@occ.ohio.gov" TargetMode="External" /><Relationship Id="rId7" Type="http://schemas.openxmlformats.org/officeDocument/2006/relationships/hyperlink" Target="mailto:connor.semple@occ.ohio.gov"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CC643-BCD0-4647-9014-8ECEF957A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1576</Words>
  <Characters>8989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Duke v. NEP MTI (00548120).DOC</vt:lpstr>
    </vt:vector>
  </TitlesOfParts>
  <Company/>
  <LinksUpToDate>false</LinksUpToDate>
  <CharactersWithSpaces>10544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2022-05-12T14:54:37Z</dcterms:created>
  <dcterms:modified xsi:type="dcterms:W3CDTF">2022-05-12T14:54:37Z</dcterms:modified>
</cp:coreProperties>
</file>