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152A74" w:rsidRPr="00173913" w:rsidP="00152A74" w14:paraId="10AF7151" w14:textId="67D67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173913">
        <w:rPr>
          <w:rFonts w:ascii="Times New Roman" w:eastAsia="Calibri" w:hAnsi="Times New Roman" w:cs="Times New Roman"/>
          <w:b/>
          <w:bCs/>
          <w:sz w:val="24"/>
          <w:szCs w:val="24"/>
        </w:rPr>
        <w:t>BEFORE</w:t>
      </w:r>
    </w:p>
    <w:p w:rsidR="00AD677D" w:rsidRPr="00173913" w:rsidP="00152A74" w14:paraId="67B71915" w14:textId="48E2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173913">
        <w:rPr>
          <w:rFonts w:ascii="Times New Roman" w:eastAsia="Calibri" w:hAnsi="Times New Roman" w:cs="Times New Roman"/>
          <w:b/>
          <w:bCs/>
          <w:sz w:val="24"/>
          <w:szCs w:val="24"/>
        </w:rPr>
        <w:t>THE PUBLIC UTILITIES COMMISSION OF OHIO</w:t>
      </w:r>
    </w:p>
    <w:p w:rsidR="00D20C8D" w:rsidRPr="00173913" w:rsidP="00D20C8D" w14:paraId="00D37463" w14:textId="77777777">
      <w:pPr>
        <w:pStyle w:val="HTMLPreformatted"/>
        <w:jc w:val="center"/>
        <w:rPr>
          <w:rFonts w:ascii="Times New Roman" w:hAnsi="Times New Roman" w:cs="Times New Roman"/>
          <w:b/>
          <w:bCs/>
          <w:sz w:val="24"/>
          <w:szCs w:val="24"/>
        </w:rPr>
      </w:pPr>
    </w:p>
    <w:tbl>
      <w:tblPr>
        <w:tblW w:w="8838" w:type="dxa"/>
        <w:tblInd w:w="-108" w:type="dxa"/>
        <w:tblLook w:val="01E0"/>
      </w:tblPr>
      <w:tblGrid>
        <w:gridCol w:w="4237"/>
        <w:gridCol w:w="296"/>
        <w:gridCol w:w="4305"/>
      </w:tblGrid>
      <w:tr w14:paraId="51B37946" w14:textId="77777777" w:rsidTr="000E48AE">
        <w:tblPrEx>
          <w:tblW w:w="8838" w:type="dxa"/>
          <w:tblInd w:w="-108" w:type="dxa"/>
          <w:tblLook w:val="01E0"/>
        </w:tblPrEx>
        <w:trPr>
          <w:trHeight w:val="1602"/>
        </w:trPr>
        <w:tc>
          <w:tcPr>
            <w:tcW w:w="4237" w:type="dxa"/>
            <w:shd w:val="clear" w:color="auto" w:fill="auto"/>
          </w:tcPr>
          <w:p w:rsidR="00D20C8D" w:rsidRPr="00173913" w:rsidP="005A7045" w14:paraId="4B24A353" w14:textId="4F09E89D">
            <w:pPr>
              <w:autoSpaceDE w:val="0"/>
              <w:autoSpaceDN w:val="0"/>
              <w:adjustRightInd w:val="0"/>
              <w:spacing w:line="240" w:lineRule="auto"/>
              <w:rPr>
                <w:rFonts w:ascii="Times New Roman" w:hAnsi="Times New Roman" w:cs="Times New Roman"/>
                <w:sz w:val="24"/>
                <w:szCs w:val="24"/>
              </w:rPr>
            </w:pPr>
            <w:r w:rsidRPr="00173913">
              <w:rPr>
                <w:rFonts w:ascii="Times New Roman" w:hAnsi="Times New Roman" w:cs="Times New Roman"/>
                <w:sz w:val="24"/>
                <w:szCs w:val="24"/>
              </w:rPr>
              <w:t>In the Matter of the Application of the East Ohio Gas Company d/b/a Dominion Energy Ohio for Authority to Adjust Its Capital Expenditure Program Rider Charges.</w:t>
            </w:r>
          </w:p>
        </w:tc>
        <w:tc>
          <w:tcPr>
            <w:tcW w:w="296" w:type="dxa"/>
            <w:shd w:val="clear" w:color="auto" w:fill="auto"/>
          </w:tcPr>
          <w:p w:rsidR="00D20C8D" w:rsidRPr="00173913" w:rsidP="00C5323E" w14:paraId="579A8B2F" w14:textId="77777777">
            <w:pPr>
              <w:pStyle w:val="HTMLPreformatted"/>
              <w:jc w:val="center"/>
              <w:rPr>
                <w:rFonts w:ascii="Times New Roman" w:hAnsi="Times New Roman" w:cs="Times New Roman"/>
                <w:sz w:val="24"/>
                <w:szCs w:val="24"/>
              </w:rPr>
            </w:pPr>
            <w:r w:rsidRPr="00173913">
              <w:rPr>
                <w:rFonts w:ascii="Times New Roman" w:hAnsi="Times New Roman" w:cs="Times New Roman"/>
                <w:sz w:val="24"/>
                <w:szCs w:val="24"/>
              </w:rPr>
              <w:t>)</w:t>
            </w:r>
          </w:p>
          <w:p w:rsidR="00D20C8D" w:rsidRPr="00173913" w:rsidP="00C5323E" w14:paraId="5EDA5BD2" w14:textId="77777777">
            <w:pPr>
              <w:pStyle w:val="HTMLPreformatted"/>
              <w:jc w:val="center"/>
              <w:rPr>
                <w:rFonts w:ascii="Times New Roman" w:hAnsi="Times New Roman" w:cs="Times New Roman"/>
                <w:sz w:val="24"/>
                <w:szCs w:val="24"/>
              </w:rPr>
            </w:pPr>
            <w:r w:rsidRPr="00173913">
              <w:rPr>
                <w:rFonts w:ascii="Times New Roman" w:hAnsi="Times New Roman" w:cs="Times New Roman"/>
                <w:sz w:val="24"/>
                <w:szCs w:val="24"/>
              </w:rPr>
              <w:t>)</w:t>
            </w:r>
          </w:p>
          <w:p w:rsidR="00D20C8D" w:rsidRPr="00173913" w:rsidP="00C5323E" w14:paraId="7A0167A5" w14:textId="77777777">
            <w:pPr>
              <w:pStyle w:val="HTMLPreformatted"/>
              <w:jc w:val="center"/>
              <w:rPr>
                <w:rFonts w:ascii="Times New Roman" w:hAnsi="Times New Roman" w:cs="Times New Roman"/>
                <w:sz w:val="24"/>
                <w:szCs w:val="24"/>
              </w:rPr>
            </w:pPr>
            <w:r w:rsidRPr="00173913">
              <w:rPr>
                <w:rFonts w:ascii="Times New Roman" w:hAnsi="Times New Roman" w:cs="Times New Roman"/>
                <w:sz w:val="24"/>
                <w:szCs w:val="24"/>
              </w:rPr>
              <w:t>)</w:t>
            </w:r>
          </w:p>
          <w:p w:rsidR="00D20C8D" w:rsidRPr="00173913" w:rsidP="00C5323E" w14:paraId="22F21569" w14:textId="77777777">
            <w:pPr>
              <w:pStyle w:val="HTMLPreformatted"/>
              <w:jc w:val="center"/>
              <w:rPr>
                <w:rFonts w:ascii="Times New Roman" w:hAnsi="Times New Roman" w:cs="Times New Roman"/>
                <w:sz w:val="24"/>
                <w:szCs w:val="24"/>
              </w:rPr>
            </w:pPr>
            <w:r w:rsidRPr="00173913">
              <w:rPr>
                <w:rFonts w:ascii="Times New Roman" w:hAnsi="Times New Roman" w:cs="Times New Roman"/>
                <w:sz w:val="24"/>
                <w:szCs w:val="24"/>
              </w:rPr>
              <w:t>)</w:t>
            </w:r>
          </w:p>
          <w:p w:rsidR="00D20C8D" w:rsidRPr="00173913" w:rsidP="000E48AE" w14:paraId="053B0AC3" w14:textId="0F105F1B">
            <w:pPr>
              <w:pStyle w:val="HTMLPreformatted"/>
              <w:jc w:val="center"/>
              <w:rPr>
                <w:rFonts w:ascii="Times New Roman" w:hAnsi="Times New Roman" w:cs="Times New Roman"/>
                <w:sz w:val="24"/>
                <w:szCs w:val="24"/>
              </w:rPr>
            </w:pPr>
            <w:r w:rsidRPr="00173913">
              <w:rPr>
                <w:rFonts w:ascii="Times New Roman" w:hAnsi="Times New Roman" w:cs="Times New Roman"/>
                <w:sz w:val="24"/>
                <w:szCs w:val="24"/>
              </w:rPr>
              <w:t>)</w:t>
            </w:r>
          </w:p>
        </w:tc>
        <w:tc>
          <w:tcPr>
            <w:tcW w:w="4305" w:type="dxa"/>
            <w:shd w:val="clear" w:color="auto" w:fill="auto"/>
          </w:tcPr>
          <w:p w:rsidR="00D20C8D" w:rsidRPr="00173913" w:rsidP="00C5323E" w14:paraId="45187CA2" w14:textId="77777777">
            <w:pPr>
              <w:pStyle w:val="HTMLPreformatted"/>
              <w:rPr>
                <w:rFonts w:ascii="Times New Roman" w:hAnsi="Times New Roman" w:cs="Times New Roman"/>
                <w:sz w:val="24"/>
                <w:szCs w:val="24"/>
              </w:rPr>
            </w:pPr>
          </w:p>
          <w:p w:rsidR="00D20C8D" w:rsidRPr="00173913" w:rsidP="00C5323E" w14:paraId="67F35504" w14:textId="77777777">
            <w:pPr>
              <w:pStyle w:val="HTMLPreformatted"/>
              <w:rPr>
                <w:rFonts w:ascii="Times New Roman" w:hAnsi="Times New Roman" w:cs="Times New Roman"/>
                <w:sz w:val="24"/>
                <w:szCs w:val="24"/>
              </w:rPr>
            </w:pPr>
          </w:p>
          <w:p w:rsidR="00D20C8D" w:rsidRPr="00173913" w:rsidP="00C5323E" w14:paraId="5772299E" w14:textId="54EB2F5F">
            <w:pPr>
              <w:pStyle w:val="HTMLPreformatted"/>
              <w:rPr>
                <w:rFonts w:ascii="Times New Roman" w:hAnsi="Times New Roman" w:cs="Times New Roman"/>
                <w:sz w:val="24"/>
                <w:szCs w:val="24"/>
              </w:rPr>
            </w:pPr>
            <w:r w:rsidRPr="00173913">
              <w:rPr>
                <w:rFonts w:ascii="Times New Roman" w:hAnsi="Times New Roman" w:cs="Times New Roman"/>
                <w:sz w:val="24"/>
                <w:szCs w:val="24"/>
              </w:rPr>
              <w:t>Case No. 2</w:t>
            </w:r>
            <w:r w:rsidRPr="00173913" w:rsidR="001E5C0B">
              <w:rPr>
                <w:rFonts w:ascii="Times New Roman" w:hAnsi="Times New Roman" w:cs="Times New Roman"/>
                <w:sz w:val="24"/>
                <w:szCs w:val="24"/>
              </w:rPr>
              <w:t>2</w:t>
            </w:r>
            <w:r w:rsidRPr="00173913">
              <w:rPr>
                <w:rFonts w:ascii="Times New Roman" w:hAnsi="Times New Roman" w:cs="Times New Roman"/>
                <w:sz w:val="24"/>
                <w:szCs w:val="24"/>
              </w:rPr>
              <w:t>-619-GA-RDR</w:t>
            </w:r>
          </w:p>
        </w:tc>
      </w:tr>
    </w:tbl>
    <w:p w:rsidR="00152A74" w:rsidRPr="00173913" w:rsidP="000E48AE" w14:paraId="6724AE52" w14:textId="77777777">
      <w:pPr>
        <w:pBdr>
          <w:bottom w:val="single" w:sz="12" w:space="1" w:color="auto"/>
        </w:pBdr>
        <w:autoSpaceDE w:val="0"/>
        <w:autoSpaceDN w:val="0"/>
        <w:adjustRightInd w:val="0"/>
        <w:spacing w:after="0" w:line="240" w:lineRule="auto"/>
        <w:rPr>
          <w:rFonts w:ascii="Times New Roman" w:eastAsia="Calibri" w:hAnsi="Times New Roman" w:cs="Times New Roman"/>
          <w:sz w:val="24"/>
          <w:szCs w:val="24"/>
        </w:rPr>
      </w:pPr>
    </w:p>
    <w:p w:rsidR="00152A74" w:rsidRPr="00173913" w:rsidP="00152A74" w14:paraId="05405E47" w14:textId="77777777">
      <w:pPr>
        <w:autoSpaceDE w:val="0"/>
        <w:autoSpaceDN w:val="0"/>
        <w:adjustRightInd w:val="0"/>
        <w:spacing w:after="0" w:line="240" w:lineRule="auto"/>
        <w:rPr>
          <w:rFonts w:ascii="Times New Roman" w:eastAsia="Calibri" w:hAnsi="Times New Roman" w:cs="Times New Roman"/>
          <w:sz w:val="24"/>
          <w:szCs w:val="24"/>
        </w:rPr>
      </w:pPr>
    </w:p>
    <w:p w:rsidR="00F100B6" w:rsidRPr="00173913" w:rsidP="00C42A1E" w14:paraId="67ADDFFF" w14:textId="79531966">
      <w:pPr>
        <w:widowControl w:val="0"/>
        <w:spacing w:after="0" w:line="240" w:lineRule="auto"/>
        <w:jc w:val="center"/>
        <w:rPr>
          <w:rFonts w:ascii="Times New Roman" w:hAnsi="Times New Roman" w:cs="Times New Roman"/>
          <w:b/>
          <w:sz w:val="24"/>
          <w:szCs w:val="24"/>
        </w:rPr>
      </w:pPr>
      <w:r w:rsidRPr="00173913">
        <w:rPr>
          <w:rFonts w:ascii="Times New Roman" w:hAnsi="Times New Roman" w:cs="Times New Roman"/>
          <w:b/>
          <w:sz w:val="24"/>
          <w:szCs w:val="24"/>
        </w:rPr>
        <w:t>INITIAL BRIEF FOR CONSUMER PROTECTION</w:t>
      </w:r>
    </w:p>
    <w:p w:rsidR="00C42A1E" w:rsidRPr="00173913" w:rsidP="00C42A1E" w14:paraId="0CD53166" w14:textId="716FC38D">
      <w:pPr>
        <w:widowControl w:val="0"/>
        <w:spacing w:after="0" w:line="240" w:lineRule="auto"/>
        <w:jc w:val="center"/>
        <w:rPr>
          <w:rFonts w:ascii="Times New Roman" w:hAnsi="Times New Roman" w:cs="Times New Roman"/>
          <w:b/>
          <w:sz w:val="24"/>
          <w:szCs w:val="24"/>
        </w:rPr>
      </w:pPr>
      <w:r w:rsidRPr="00173913">
        <w:rPr>
          <w:rFonts w:ascii="Times New Roman" w:hAnsi="Times New Roman" w:cs="Times New Roman"/>
          <w:b/>
          <w:sz w:val="24"/>
          <w:szCs w:val="24"/>
        </w:rPr>
        <w:t>BY</w:t>
      </w:r>
    </w:p>
    <w:p w:rsidR="00C42A1E" w:rsidRPr="00173913" w:rsidP="00C42A1E" w14:paraId="69D4D059" w14:textId="77777777">
      <w:pPr>
        <w:spacing w:after="0" w:line="240" w:lineRule="auto"/>
        <w:jc w:val="center"/>
        <w:rPr>
          <w:rFonts w:ascii="Times New Roman" w:hAnsi="Times New Roman" w:cs="Times New Roman"/>
          <w:b/>
          <w:sz w:val="24"/>
          <w:szCs w:val="24"/>
        </w:rPr>
      </w:pPr>
      <w:r w:rsidRPr="00173913">
        <w:rPr>
          <w:rFonts w:ascii="Times New Roman" w:hAnsi="Times New Roman" w:cs="Times New Roman"/>
          <w:b/>
          <w:sz w:val="24"/>
          <w:szCs w:val="24"/>
        </w:rPr>
        <w:t>OFFICE OF THE OHIO CONSUMERS’ COUNSEL</w:t>
      </w:r>
    </w:p>
    <w:p w:rsidR="00152A74" w:rsidRPr="00173913" w:rsidP="007633FA" w14:paraId="6EA33050" w14:textId="77777777">
      <w:pPr>
        <w:pBdr>
          <w:bottom w:val="single" w:sz="12" w:space="1" w:color="auto"/>
        </w:pBdr>
        <w:autoSpaceDE w:val="0"/>
        <w:autoSpaceDN w:val="0"/>
        <w:adjustRightInd w:val="0"/>
        <w:spacing w:after="0" w:line="240" w:lineRule="auto"/>
        <w:jc w:val="center"/>
        <w:rPr>
          <w:rFonts w:ascii="Times New Roman" w:eastAsia="Calibri" w:hAnsi="Times New Roman" w:cs="Times New Roman"/>
          <w:b/>
          <w:bCs/>
          <w:sz w:val="24"/>
          <w:szCs w:val="24"/>
        </w:rPr>
      </w:pPr>
    </w:p>
    <w:p w:rsidR="000E48AE" w:rsidRPr="00173913" w:rsidP="000E48AE" w14:paraId="6CC4ED9C" w14:textId="77777777">
      <w:pPr>
        <w:kinsoku w:val="0"/>
        <w:overflowPunct w:val="0"/>
        <w:autoSpaceDE w:val="0"/>
        <w:autoSpaceDN w:val="0"/>
        <w:adjustRightInd w:val="0"/>
        <w:spacing w:after="0" w:line="240" w:lineRule="auto"/>
        <w:ind w:firstLine="720"/>
        <w:rPr>
          <w:rFonts w:ascii="Times New Roman" w:hAnsi="Times New Roman" w:cs="Times New Roman"/>
          <w:sz w:val="24"/>
          <w:szCs w:val="24"/>
        </w:rPr>
      </w:pPr>
    </w:p>
    <w:p w:rsidR="00BC326E" w:rsidRPr="00173913" w:rsidP="00E029BB" w14:paraId="2BF654FB" w14:textId="77777777">
      <w:pPr>
        <w:widowControl w:val="0"/>
        <w:spacing w:after="0"/>
        <w:ind w:left="720"/>
        <w:rPr>
          <w:rFonts w:ascii="Times New Roman" w:hAnsi="Times New Roman" w:cs="Times New Roman"/>
          <w:sz w:val="24"/>
          <w:szCs w:val="24"/>
        </w:rPr>
      </w:pPr>
      <w:bookmarkStart w:id="0" w:name="_Hlk98511697"/>
    </w:p>
    <w:bookmarkEnd w:id="0"/>
    <w:p w:rsidR="00A55BA7" w:rsidRPr="00173913" w:rsidP="00A55BA7" w14:paraId="19E6377E" w14:textId="77777777">
      <w:pPr>
        <w:pStyle w:val="Footer"/>
        <w:ind w:left="3600"/>
        <w:rPr>
          <w:rFonts w:ascii="Times New Roman" w:hAnsi="Times New Roman" w:cs="Times New Roman"/>
          <w:sz w:val="24"/>
          <w:szCs w:val="24"/>
        </w:rPr>
      </w:pPr>
      <w:r w:rsidRPr="00173913">
        <w:rPr>
          <w:rFonts w:ascii="Times New Roman" w:hAnsi="Times New Roman" w:cs="Times New Roman"/>
          <w:sz w:val="24"/>
          <w:szCs w:val="24"/>
        </w:rPr>
        <w:t>Bruce Weston (0016973)</w:t>
      </w:r>
    </w:p>
    <w:p w:rsidR="00A55BA7" w:rsidRPr="00173913" w:rsidP="00A55BA7" w14:paraId="2FEB9E7D" w14:textId="77777777">
      <w:pPr>
        <w:spacing w:after="0" w:line="240" w:lineRule="auto"/>
        <w:ind w:left="3600"/>
        <w:rPr>
          <w:rFonts w:ascii="Times New Roman" w:hAnsi="Times New Roman" w:cs="Times New Roman"/>
          <w:sz w:val="24"/>
          <w:szCs w:val="24"/>
        </w:rPr>
      </w:pPr>
      <w:r w:rsidRPr="00173913">
        <w:rPr>
          <w:rFonts w:ascii="Times New Roman" w:hAnsi="Times New Roman" w:cs="Times New Roman"/>
          <w:sz w:val="24"/>
          <w:szCs w:val="24"/>
        </w:rPr>
        <w:t>Ohio Consumers’ Counsel</w:t>
      </w:r>
    </w:p>
    <w:p w:rsidR="00A55BA7" w:rsidRPr="00173913" w:rsidP="00A55BA7" w14:paraId="7D2BE059" w14:textId="77777777">
      <w:pPr>
        <w:tabs>
          <w:tab w:val="left" w:pos="4320"/>
        </w:tabs>
        <w:spacing w:after="0" w:line="240" w:lineRule="auto"/>
        <w:ind w:left="3600"/>
        <w:rPr>
          <w:rFonts w:ascii="Times New Roman" w:hAnsi="Times New Roman" w:cs="Times New Roman"/>
          <w:i/>
          <w:sz w:val="24"/>
          <w:szCs w:val="24"/>
          <w:u w:val="single"/>
        </w:rPr>
      </w:pPr>
    </w:p>
    <w:p w:rsidR="00A55BA7" w:rsidRPr="00173913" w:rsidP="00A55BA7" w14:paraId="174AA65A" w14:textId="77777777">
      <w:pPr>
        <w:spacing w:after="0" w:line="240" w:lineRule="auto"/>
        <w:ind w:left="3600"/>
        <w:rPr>
          <w:rFonts w:ascii="Times New Roman" w:hAnsi="Times New Roman" w:cs="Times New Roman"/>
          <w:bCs/>
          <w:i/>
          <w:iCs/>
          <w:sz w:val="24"/>
          <w:szCs w:val="24"/>
          <w:u w:val="single"/>
        </w:rPr>
      </w:pPr>
      <w:r w:rsidRPr="00173913">
        <w:rPr>
          <w:rFonts w:ascii="Times New Roman" w:hAnsi="Times New Roman" w:cs="Times New Roman"/>
          <w:bCs/>
          <w:i/>
          <w:iCs/>
          <w:sz w:val="24"/>
          <w:szCs w:val="24"/>
          <w:u w:val="single"/>
        </w:rPr>
        <w:t>/s/ William J. Michael</w:t>
      </w:r>
    </w:p>
    <w:p w:rsidR="00A55BA7" w:rsidRPr="00173913" w:rsidP="00A55BA7" w14:paraId="25DC9374" w14:textId="77777777">
      <w:pPr>
        <w:spacing w:after="0" w:line="240" w:lineRule="auto"/>
        <w:ind w:left="3600"/>
        <w:rPr>
          <w:rFonts w:ascii="Times New Roman" w:hAnsi="Times New Roman" w:cs="Times New Roman"/>
          <w:sz w:val="24"/>
          <w:szCs w:val="24"/>
        </w:rPr>
      </w:pPr>
      <w:r w:rsidRPr="00173913">
        <w:rPr>
          <w:rFonts w:ascii="Times New Roman" w:hAnsi="Times New Roman" w:cs="Times New Roman"/>
          <w:sz w:val="24"/>
          <w:szCs w:val="24"/>
        </w:rPr>
        <w:t>William J. Michael (0070921)</w:t>
      </w:r>
    </w:p>
    <w:p w:rsidR="00A55BA7" w:rsidRPr="00173913" w:rsidP="00A55BA7" w14:paraId="1A118AEE" w14:textId="77777777">
      <w:pPr>
        <w:spacing w:after="0" w:line="240" w:lineRule="auto"/>
        <w:ind w:left="3600"/>
        <w:rPr>
          <w:rFonts w:ascii="Times New Roman" w:hAnsi="Times New Roman" w:cs="Times New Roman"/>
          <w:sz w:val="24"/>
          <w:szCs w:val="24"/>
        </w:rPr>
      </w:pPr>
      <w:r w:rsidRPr="00173913">
        <w:rPr>
          <w:rFonts w:ascii="Times New Roman" w:hAnsi="Times New Roman" w:cs="Times New Roman"/>
          <w:sz w:val="24"/>
          <w:szCs w:val="24"/>
        </w:rPr>
        <w:t xml:space="preserve">Counsel of Record </w:t>
      </w:r>
    </w:p>
    <w:p w:rsidR="00A55BA7" w:rsidRPr="00173913" w:rsidP="00A55BA7" w14:paraId="2E0B925F" w14:textId="16CD173C">
      <w:pPr>
        <w:spacing w:after="0" w:line="240" w:lineRule="auto"/>
        <w:ind w:left="3600"/>
        <w:rPr>
          <w:rFonts w:ascii="Times New Roman" w:hAnsi="Times New Roman" w:cs="Times New Roman"/>
          <w:sz w:val="24"/>
          <w:szCs w:val="24"/>
        </w:rPr>
      </w:pPr>
      <w:r w:rsidRPr="00173913">
        <w:rPr>
          <w:rFonts w:ascii="Times New Roman" w:hAnsi="Times New Roman" w:cs="Times New Roman"/>
          <w:sz w:val="24"/>
          <w:szCs w:val="24"/>
        </w:rPr>
        <w:t>Amy Botschner O’Brien (0074423)</w:t>
      </w:r>
    </w:p>
    <w:p w:rsidR="00A55BA7" w:rsidRPr="00173913" w:rsidP="00A55BA7" w14:paraId="0CFB0C0C" w14:textId="77777777">
      <w:pPr>
        <w:spacing w:after="0" w:line="240" w:lineRule="auto"/>
        <w:ind w:left="3600"/>
        <w:rPr>
          <w:rFonts w:ascii="Times New Roman" w:hAnsi="Times New Roman" w:cs="Times New Roman"/>
          <w:sz w:val="24"/>
          <w:szCs w:val="24"/>
        </w:rPr>
      </w:pPr>
      <w:r w:rsidRPr="00173913">
        <w:rPr>
          <w:rFonts w:ascii="Times New Roman" w:hAnsi="Times New Roman" w:cs="Times New Roman"/>
          <w:sz w:val="24"/>
          <w:szCs w:val="24"/>
        </w:rPr>
        <w:t>Assistant Consumers’ Counsel</w:t>
      </w:r>
    </w:p>
    <w:p w:rsidR="00A55BA7" w:rsidRPr="00173913" w:rsidP="00A55BA7" w14:paraId="1609F16B" w14:textId="77777777">
      <w:pPr>
        <w:spacing w:after="0" w:line="240" w:lineRule="auto"/>
        <w:ind w:left="3600"/>
        <w:rPr>
          <w:rFonts w:ascii="Times New Roman" w:hAnsi="Times New Roman" w:cs="Times New Roman"/>
          <w:sz w:val="24"/>
          <w:szCs w:val="24"/>
        </w:rPr>
      </w:pPr>
      <w:r w:rsidRPr="00173913">
        <w:rPr>
          <w:rFonts w:ascii="Times New Roman" w:hAnsi="Times New Roman" w:cs="Times New Roman"/>
          <w:sz w:val="24"/>
          <w:szCs w:val="24"/>
        </w:rPr>
        <w:tab/>
      </w:r>
    </w:p>
    <w:p w:rsidR="00A55BA7" w:rsidRPr="00173913" w:rsidP="00A55BA7" w14:paraId="167F4D2C" w14:textId="77777777">
      <w:pPr>
        <w:spacing w:after="0" w:line="240" w:lineRule="auto"/>
        <w:ind w:left="3600"/>
        <w:rPr>
          <w:rFonts w:ascii="Times New Roman" w:hAnsi="Times New Roman" w:cs="Times New Roman"/>
          <w:b/>
          <w:bCs/>
          <w:sz w:val="24"/>
          <w:szCs w:val="24"/>
        </w:rPr>
      </w:pPr>
      <w:r w:rsidRPr="00173913">
        <w:rPr>
          <w:rFonts w:ascii="Times New Roman" w:hAnsi="Times New Roman" w:cs="Times New Roman"/>
          <w:b/>
          <w:bCs/>
          <w:sz w:val="24"/>
          <w:szCs w:val="24"/>
        </w:rPr>
        <w:t>Office of the Ohio Consumers’ Counsel</w:t>
      </w:r>
    </w:p>
    <w:p w:rsidR="00A55BA7" w:rsidRPr="00173913" w:rsidP="00A55BA7" w14:paraId="2CC04669" w14:textId="6667AA45">
      <w:pPr>
        <w:spacing w:after="0" w:line="240" w:lineRule="auto"/>
        <w:ind w:left="3600"/>
        <w:rPr>
          <w:rFonts w:ascii="Times New Roman" w:hAnsi="Times New Roman" w:cs="Times New Roman"/>
          <w:b/>
          <w:sz w:val="24"/>
          <w:szCs w:val="24"/>
        </w:rPr>
      </w:pPr>
      <w:r w:rsidRPr="00173913">
        <w:rPr>
          <w:rFonts w:ascii="Times New Roman" w:hAnsi="Times New Roman" w:cs="Times New Roman"/>
          <w:sz w:val="24"/>
          <w:szCs w:val="24"/>
        </w:rPr>
        <w:t>65 East State Street, Suite 700</w:t>
      </w:r>
    </w:p>
    <w:p w:rsidR="00A55BA7" w:rsidRPr="00173913" w:rsidP="00A55BA7" w14:paraId="6759F12D" w14:textId="4A48E750">
      <w:pPr>
        <w:spacing w:after="0" w:line="240" w:lineRule="auto"/>
        <w:ind w:left="3600"/>
        <w:rPr>
          <w:rFonts w:ascii="Times New Roman" w:hAnsi="Times New Roman" w:cs="Times New Roman"/>
          <w:b/>
          <w:sz w:val="24"/>
          <w:szCs w:val="24"/>
        </w:rPr>
      </w:pPr>
      <w:r w:rsidRPr="00173913">
        <w:rPr>
          <w:rFonts w:ascii="Times New Roman" w:hAnsi="Times New Roman" w:cs="Times New Roman"/>
          <w:sz w:val="24"/>
          <w:szCs w:val="24"/>
        </w:rPr>
        <w:t>Columbus, Ohio 43215</w:t>
      </w:r>
    </w:p>
    <w:p w:rsidR="00A55BA7" w:rsidRPr="00173913" w:rsidP="00A55BA7" w14:paraId="00862CAF" w14:textId="77777777">
      <w:pPr>
        <w:autoSpaceDE w:val="0"/>
        <w:autoSpaceDN w:val="0"/>
        <w:adjustRightInd w:val="0"/>
        <w:spacing w:after="0" w:line="240" w:lineRule="auto"/>
        <w:ind w:left="3600"/>
        <w:rPr>
          <w:rFonts w:ascii="Times New Roman" w:hAnsi="Times New Roman" w:cs="Times New Roman"/>
          <w:sz w:val="24"/>
          <w:szCs w:val="24"/>
        </w:rPr>
      </w:pPr>
      <w:r w:rsidRPr="00173913">
        <w:rPr>
          <w:rFonts w:ascii="Times New Roman" w:hAnsi="Times New Roman" w:cs="Times New Roman"/>
          <w:sz w:val="24"/>
          <w:szCs w:val="24"/>
        </w:rPr>
        <w:t>Telephone [Michael]: (614) 466-1291</w:t>
      </w:r>
    </w:p>
    <w:p w:rsidR="00A55BA7" w:rsidRPr="00173913" w:rsidP="00A55BA7" w14:paraId="366CE72D" w14:textId="259DF042">
      <w:pPr>
        <w:autoSpaceDE w:val="0"/>
        <w:autoSpaceDN w:val="0"/>
        <w:adjustRightInd w:val="0"/>
        <w:spacing w:after="0" w:line="240" w:lineRule="auto"/>
        <w:ind w:left="3600"/>
        <w:rPr>
          <w:rFonts w:ascii="Times New Roman" w:hAnsi="Times New Roman" w:cs="Times New Roman"/>
          <w:sz w:val="24"/>
          <w:szCs w:val="24"/>
        </w:rPr>
      </w:pPr>
      <w:r w:rsidRPr="00173913">
        <w:rPr>
          <w:rFonts w:ascii="Times New Roman" w:hAnsi="Times New Roman" w:cs="Times New Roman"/>
          <w:sz w:val="24"/>
          <w:szCs w:val="24"/>
        </w:rPr>
        <w:t>Telephone [</w:t>
      </w:r>
      <w:r w:rsidRPr="00173913" w:rsidR="006C3A1C">
        <w:rPr>
          <w:rFonts w:ascii="Times New Roman" w:hAnsi="Times New Roman" w:cs="Times New Roman"/>
          <w:sz w:val="24"/>
          <w:szCs w:val="24"/>
        </w:rPr>
        <w:t>Botschner O’Brien]: (614) 466 9575</w:t>
      </w:r>
    </w:p>
    <w:p w:rsidR="00A55BA7" w:rsidRPr="00173913" w:rsidP="00A55BA7" w14:paraId="0AED8CA2" w14:textId="18BC0A60">
      <w:pPr>
        <w:autoSpaceDE w:val="0"/>
        <w:autoSpaceDN w:val="0"/>
        <w:adjustRightInd w:val="0"/>
        <w:spacing w:after="0" w:line="240" w:lineRule="auto"/>
        <w:ind w:left="3600"/>
        <w:rPr>
          <w:rStyle w:val="Hyperlink"/>
          <w:rFonts w:ascii="Times New Roman" w:hAnsi="Times New Roman" w:cs="Times New Roman"/>
          <w:color w:val="0000FF"/>
          <w:sz w:val="24"/>
          <w:szCs w:val="24"/>
        </w:rPr>
      </w:pPr>
      <w:hyperlink r:id="rId6" w:history="1">
        <w:r w:rsidRPr="00173913" w:rsidR="006C3A1C">
          <w:rPr>
            <w:rStyle w:val="Hyperlink"/>
            <w:rFonts w:ascii="Times New Roman" w:hAnsi="Times New Roman" w:cs="Times New Roman"/>
            <w:color w:val="0000FF"/>
            <w:sz w:val="24"/>
            <w:szCs w:val="24"/>
          </w:rPr>
          <w:t>w</w:t>
        </w:r>
        <w:r w:rsidRPr="00173913" w:rsidR="00EF48CE">
          <w:rPr>
            <w:rStyle w:val="Hyperlink"/>
            <w:rFonts w:ascii="Times New Roman" w:hAnsi="Times New Roman" w:cs="Times New Roman"/>
            <w:color w:val="0000FF"/>
            <w:sz w:val="24"/>
            <w:szCs w:val="24"/>
          </w:rPr>
          <w:t>illiam.</w:t>
        </w:r>
        <w:r w:rsidRPr="00173913" w:rsidR="006C3A1C">
          <w:rPr>
            <w:rStyle w:val="Hyperlink"/>
            <w:rFonts w:ascii="Times New Roman" w:hAnsi="Times New Roman" w:cs="Times New Roman"/>
            <w:color w:val="0000FF"/>
            <w:sz w:val="24"/>
            <w:szCs w:val="24"/>
          </w:rPr>
          <w:t>m</w:t>
        </w:r>
        <w:r w:rsidRPr="00173913" w:rsidR="00EF48CE">
          <w:rPr>
            <w:rStyle w:val="Hyperlink"/>
            <w:rFonts w:ascii="Times New Roman" w:hAnsi="Times New Roman" w:cs="Times New Roman"/>
            <w:color w:val="0000FF"/>
            <w:sz w:val="24"/>
            <w:szCs w:val="24"/>
          </w:rPr>
          <w:t>ichael@occ.ohio.gov</w:t>
        </w:r>
      </w:hyperlink>
    </w:p>
    <w:p w:rsidR="006C3A1C" w:rsidRPr="00173913" w:rsidP="00A55BA7" w14:paraId="00E6BA9A" w14:textId="6F6633BF">
      <w:pPr>
        <w:autoSpaceDE w:val="0"/>
        <w:autoSpaceDN w:val="0"/>
        <w:adjustRightInd w:val="0"/>
        <w:spacing w:after="0" w:line="240" w:lineRule="auto"/>
        <w:ind w:left="3600"/>
        <w:rPr>
          <w:rFonts w:ascii="Times New Roman" w:hAnsi="Times New Roman" w:cs="Times New Roman"/>
          <w:color w:val="0000FF"/>
          <w:sz w:val="24"/>
          <w:szCs w:val="24"/>
        </w:rPr>
      </w:pPr>
      <w:r w:rsidRPr="00173913">
        <w:rPr>
          <w:rStyle w:val="Hyperlink"/>
          <w:rFonts w:ascii="Times New Roman" w:hAnsi="Times New Roman" w:cs="Times New Roman"/>
          <w:color w:val="0000FF"/>
          <w:sz w:val="24"/>
          <w:szCs w:val="24"/>
        </w:rPr>
        <w:t>amy.botschner.obrien@occ.ohio.gov</w:t>
      </w:r>
    </w:p>
    <w:p w:rsidR="00DD0BF8" w:rsidRPr="00173913" w:rsidP="00173913" w14:paraId="60EB3F74" w14:textId="6182C8AD">
      <w:pPr>
        <w:spacing w:after="0" w:line="240" w:lineRule="auto"/>
        <w:ind w:left="3600" w:hanging="3600"/>
        <w:rPr>
          <w:rFonts w:ascii="Times New Roman" w:hAnsi="Times New Roman" w:cs="Times New Roman"/>
          <w:sz w:val="24"/>
          <w:szCs w:val="24"/>
        </w:rPr>
      </w:pPr>
      <w:r w:rsidRPr="00173913">
        <w:rPr>
          <w:rFonts w:ascii="Times New Roman" w:hAnsi="Times New Roman" w:cs="Times New Roman"/>
          <w:sz w:val="24"/>
          <w:szCs w:val="24"/>
        </w:rPr>
        <w:t xml:space="preserve">September </w:t>
      </w:r>
      <w:r>
        <w:rPr>
          <w:rFonts w:ascii="Times New Roman" w:hAnsi="Times New Roman" w:cs="Times New Roman"/>
          <w:sz w:val="24"/>
          <w:szCs w:val="24"/>
        </w:rPr>
        <w:t>21</w:t>
      </w:r>
      <w:r w:rsidRPr="00173913">
        <w:rPr>
          <w:rFonts w:ascii="Times New Roman" w:hAnsi="Times New Roman" w:cs="Times New Roman"/>
          <w:sz w:val="24"/>
          <w:szCs w:val="24"/>
        </w:rPr>
        <w:t xml:space="preserve">, 2022 </w:t>
      </w:r>
      <w:r>
        <w:rPr>
          <w:rFonts w:ascii="Times New Roman" w:hAnsi="Times New Roman" w:cs="Times New Roman"/>
          <w:sz w:val="24"/>
          <w:szCs w:val="24"/>
        </w:rPr>
        <w:tab/>
      </w:r>
      <w:r w:rsidRPr="00173913" w:rsidR="00EF48CE">
        <w:rPr>
          <w:rFonts w:ascii="Times New Roman" w:hAnsi="Times New Roman" w:cs="Times New Roman"/>
          <w:sz w:val="24"/>
          <w:szCs w:val="24"/>
        </w:rPr>
        <w:t>(willing to accept service by e-mail)</w:t>
      </w:r>
    </w:p>
    <w:p w:rsidR="006C3A1C" w:rsidRPr="00173913" w:rsidP="00DD0BF8" w14:paraId="22737E1C" w14:textId="1747E01C">
      <w:pPr>
        <w:spacing w:after="0" w:line="240" w:lineRule="auto"/>
        <w:rPr>
          <w:rFonts w:ascii="Times New Roman" w:hAnsi="Times New Roman" w:cs="Times New Roman"/>
          <w:sz w:val="24"/>
          <w:szCs w:val="24"/>
        </w:rPr>
      </w:pPr>
      <w:r w:rsidRPr="00173913">
        <w:rPr>
          <w:rFonts w:ascii="Times New Roman" w:hAnsi="Times New Roman" w:cs="Times New Roman"/>
          <w:sz w:val="24"/>
          <w:szCs w:val="24"/>
        </w:rPr>
        <w:br w:type="page"/>
      </w:r>
    </w:p>
    <w:p w:rsidR="002A046C" w:rsidRPr="00173913" w:rsidP="005E3CAE" w14:paraId="60376BF1" w14:textId="77777777">
      <w:pPr>
        <w:spacing w:after="0" w:line="240" w:lineRule="auto"/>
        <w:ind w:left="3600"/>
        <w:rPr>
          <w:rFonts w:ascii="Times New Roman" w:hAnsi="Times New Roman" w:cs="Times New Roman"/>
          <w:sz w:val="24"/>
          <w:szCs w:val="24"/>
        </w:rPr>
        <w:sectPr w:rsidSect="00173913">
          <w:footerReference w:type="default" r:id="rId7"/>
          <w:pgSz w:w="12240" w:h="15840"/>
          <w:pgMar w:top="1440" w:right="1800" w:bottom="1440" w:left="1800" w:header="720" w:footer="720" w:gutter="0"/>
          <w:pgNumType w:start="2"/>
          <w:cols w:space="720"/>
          <w:docGrid w:linePitch="360"/>
        </w:sectPr>
      </w:pPr>
    </w:p>
    <w:p w:rsidR="004D0B6F" w:rsidRPr="004D0B6F" w:rsidP="004D0B6F" w14:paraId="631C10E8" w14:textId="77777777">
      <w:pPr>
        <w:spacing w:after="0" w:line="240" w:lineRule="auto"/>
        <w:jc w:val="center"/>
        <w:rPr>
          <w:rFonts w:ascii="Times New Roman" w:eastAsia="Times New Roman" w:hAnsi="Times New Roman" w:cs="Times New Roman"/>
          <w:b/>
          <w:bCs/>
          <w:sz w:val="24"/>
          <w:szCs w:val="24"/>
          <w:u w:val="single"/>
        </w:rPr>
      </w:pPr>
      <w:r w:rsidRPr="004D0B6F">
        <w:rPr>
          <w:rFonts w:ascii="Times New Roman" w:eastAsia="Times New Roman" w:hAnsi="Times New Roman" w:cs="Times New Roman"/>
          <w:b/>
          <w:bCs/>
          <w:sz w:val="24"/>
          <w:szCs w:val="24"/>
          <w:u w:val="single"/>
        </w:rPr>
        <w:t>TABLE OF CONTENTS</w:t>
      </w:r>
    </w:p>
    <w:p w:rsidR="004D0B6F" w:rsidRPr="004D0B6F" w:rsidP="004D0B6F" w14:paraId="46C17922" w14:textId="77777777">
      <w:pPr>
        <w:spacing w:after="0" w:line="240" w:lineRule="auto"/>
        <w:rPr>
          <w:rFonts w:ascii="Times New Roman" w:eastAsia="Times New Roman" w:hAnsi="Times New Roman" w:cs="Times New Roman"/>
          <w:sz w:val="24"/>
          <w:szCs w:val="24"/>
        </w:rPr>
      </w:pPr>
    </w:p>
    <w:p w:rsidR="004D0B6F" w:rsidP="004D0B6F" w14:paraId="14DEA1FF" w14:textId="10678D8A">
      <w:pPr>
        <w:spacing w:after="0" w:line="240" w:lineRule="auto"/>
        <w:jc w:val="right"/>
        <w:rPr>
          <w:rFonts w:ascii="Times New Roman" w:eastAsia="Times New Roman" w:hAnsi="Times New Roman" w:cs="Times New Roman"/>
          <w:b/>
          <w:sz w:val="24"/>
          <w:szCs w:val="24"/>
        </w:rPr>
      </w:pPr>
      <w:r w:rsidRPr="004D0B6F">
        <w:rPr>
          <w:rFonts w:ascii="Times New Roman" w:eastAsia="Times New Roman" w:hAnsi="Times New Roman" w:cs="Times New Roman"/>
          <w:b/>
          <w:sz w:val="24"/>
          <w:szCs w:val="24"/>
        </w:rPr>
        <w:t>PAGE</w:t>
      </w:r>
    </w:p>
    <w:p w:rsidR="004D0B6F" w:rsidRPr="004D0B6F" w:rsidP="004D0B6F" w14:paraId="6FAD9DC1" w14:textId="77777777">
      <w:pPr>
        <w:spacing w:after="0" w:line="240" w:lineRule="auto"/>
        <w:jc w:val="right"/>
        <w:rPr>
          <w:rFonts w:ascii="Times New Roman" w:eastAsia="Times New Roman" w:hAnsi="Times New Roman" w:cs="Times New Roman"/>
          <w:b/>
          <w:sz w:val="24"/>
          <w:szCs w:val="24"/>
        </w:rPr>
      </w:pPr>
    </w:p>
    <w:p w:rsidR="00D13157" w14:paraId="263CF2A6" w14:textId="38D47805">
      <w:pPr>
        <w:pStyle w:val="TOC1"/>
        <w:rPr>
          <w:rFonts w:asciiTheme="minorHAnsi" w:eastAsiaTheme="minorEastAsia" w:hAnsiTheme="minorHAnsi"/>
          <w:caps w:val="0"/>
          <w:noProof/>
          <w:sz w:val="22"/>
        </w:rPr>
      </w:pPr>
      <w:r>
        <w:rPr>
          <w:b/>
        </w:rPr>
        <w:fldChar w:fldCharType="begin"/>
      </w:r>
      <w:r>
        <w:rPr>
          <w:b/>
        </w:rPr>
        <w:instrText xml:space="preserve"> TOC \o "1-3" \h \z \u </w:instrText>
      </w:r>
      <w:r>
        <w:rPr>
          <w:b/>
        </w:rPr>
        <w:fldChar w:fldCharType="separate"/>
      </w:r>
      <w:hyperlink w:anchor="_Toc113535254" w:history="1">
        <w:r w:rsidRPr="00F1600A">
          <w:rPr>
            <w:rStyle w:val="Hyperlink"/>
            <w:noProof/>
          </w:rPr>
          <w:t>I.</w:t>
        </w:r>
        <w:r>
          <w:rPr>
            <w:rFonts w:asciiTheme="minorHAnsi" w:eastAsiaTheme="minorEastAsia" w:hAnsiTheme="minorHAnsi"/>
            <w:caps w:val="0"/>
            <w:noProof/>
            <w:sz w:val="22"/>
          </w:rPr>
          <w:tab/>
        </w:r>
        <w:r w:rsidRPr="00F1600A">
          <w:rPr>
            <w:rStyle w:val="Hyperlink"/>
            <w:noProof/>
          </w:rPr>
          <w:t>INTRODUCTION</w:t>
        </w:r>
        <w:r>
          <w:rPr>
            <w:noProof/>
            <w:webHidden/>
          </w:rPr>
          <w:tab/>
        </w:r>
        <w:r>
          <w:rPr>
            <w:noProof/>
            <w:webHidden/>
          </w:rPr>
          <w:fldChar w:fldCharType="begin"/>
        </w:r>
        <w:r>
          <w:rPr>
            <w:noProof/>
            <w:webHidden/>
          </w:rPr>
          <w:instrText xml:space="preserve"> PAGEREF _Toc113535254 \h </w:instrText>
        </w:r>
        <w:r>
          <w:rPr>
            <w:noProof/>
            <w:webHidden/>
          </w:rPr>
          <w:fldChar w:fldCharType="separate"/>
        </w:r>
        <w:r>
          <w:rPr>
            <w:noProof/>
            <w:webHidden/>
          </w:rPr>
          <w:t>1</w:t>
        </w:r>
        <w:r>
          <w:rPr>
            <w:noProof/>
            <w:webHidden/>
          </w:rPr>
          <w:fldChar w:fldCharType="end"/>
        </w:r>
      </w:hyperlink>
    </w:p>
    <w:p w:rsidR="00D13157" w14:paraId="0B358906" w14:textId="1795921C">
      <w:pPr>
        <w:pStyle w:val="TOC1"/>
        <w:rPr>
          <w:rFonts w:asciiTheme="minorHAnsi" w:eastAsiaTheme="minorEastAsia" w:hAnsiTheme="minorHAnsi"/>
          <w:caps w:val="0"/>
          <w:noProof/>
          <w:sz w:val="22"/>
        </w:rPr>
      </w:pPr>
      <w:hyperlink w:anchor="_Toc113535255" w:history="1">
        <w:r w:rsidRPr="00F1600A">
          <w:rPr>
            <w:rStyle w:val="Hyperlink"/>
            <w:noProof/>
          </w:rPr>
          <w:t>II.</w:t>
        </w:r>
        <w:r>
          <w:rPr>
            <w:rFonts w:asciiTheme="minorHAnsi" w:eastAsiaTheme="minorEastAsia" w:hAnsiTheme="minorHAnsi"/>
            <w:caps w:val="0"/>
            <w:noProof/>
            <w:sz w:val="22"/>
          </w:rPr>
          <w:tab/>
        </w:r>
        <w:r w:rsidRPr="00F1600A">
          <w:rPr>
            <w:rStyle w:val="Hyperlink"/>
            <w:noProof/>
          </w:rPr>
          <w:t>arguments</w:t>
        </w:r>
        <w:r>
          <w:rPr>
            <w:noProof/>
            <w:webHidden/>
          </w:rPr>
          <w:tab/>
        </w:r>
        <w:r>
          <w:rPr>
            <w:noProof/>
            <w:webHidden/>
          </w:rPr>
          <w:fldChar w:fldCharType="begin"/>
        </w:r>
        <w:r>
          <w:rPr>
            <w:noProof/>
            <w:webHidden/>
          </w:rPr>
          <w:instrText xml:space="preserve"> PAGEREF _Toc113535255 \h </w:instrText>
        </w:r>
        <w:r>
          <w:rPr>
            <w:noProof/>
            <w:webHidden/>
          </w:rPr>
          <w:fldChar w:fldCharType="separate"/>
        </w:r>
        <w:r>
          <w:rPr>
            <w:noProof/>
            <w:webHidden/>
          </w:rPr>
          <w:t>2</w:t>
        </w:r>
        <w:r>
          <w:rPr>
            <w:noProof/>
            <w:webHidden/>
          </w:rPr>
          <w:fldChar w:fldCharType="end"/>
        </w:r>
      </w:hyperlink>
    </w:p>
    <w:p w:rsidR="00D13157" w14:paraId="1FD65FEE" w14:textId="1D404A3E">
      <w:pPr>
        <w:pStyle w:val="TOC2"/>
        <w:rPr>
          <w:rFonts w:asciiTheme="minorHAnsi" w:eastAsiaTheme="minorEastAsia" w:hAnsiTheme="minorHAnsi"/>
          <w:noProof/>
          <w:sz w:val="22"/>
        </w:rPr>
      </w:pPr>
      <w:hyperlink w:anchor="_Toc113535256" w:history="1">
        <w:r w:rsidRPr="00F1600A">
          <w:rPr>
            <w:rStyle w:val="Hyperlink"/>
            <w:noProof/>
          </w:rPr>
          <w:t>A.</w:t>
        </w:r>
        <w:r>
          <w:rPr>
            <w:rFonts w:asciiTheme="minorHAnsi" w:eastAsiaTheme="minorEastAsia" w:hAnsiTheme="minorHAnsi"/>
            <w:noProof/>
            <w:sz w:val="22"/>
          </w:rPr>
          <w:tab/>
        </w:r>
        <w:r w:rsidRPr="00F1600A">
          <w:rPr>
            <w:rStyle w:val="Hyperlink"/>
            <w:noProof/>
          </w:rPr>
          <w:t xml:space="preserve">Dominion’s use of a 13-year-old 9.91% pre-tax rate of return in its </w:t>
        </w:r>
        <w:r>
          <w:rPr>
            <w:rStyle w:val="Hyperlink"/>
            <w:noProof/>
          </w:rPr>
          <w:br/>
        </w:r>
        <w:r w:rsidRPr="00F1600A">
          <w:rPr>
            <w:rStyle w:val="Hyperlink"/>
            <w:noProof/>
          </w:rPr>
          <w:t>capital expenditure program is unlawful, thereby hurting consumers.</w:t>
        </w:r>
        <w:r>
          <w:rPr>
            <w:noProof/>
            <w:webHidden/>
          </w:rPr>
          <w:tab/>
        </w:r>
        <w:r>
          <w:rPr>
            <w:noProof/>
            <w:webHidden/>
          </w:rPr>
          <w:fldChar w:fldCharType="begin"/>
        </w:r>
        <w:r>
          <w:rPr>
            <w:noProof/>
            <w:webHidden/>
          </w:rPr>
          <w:instrText xml:space="preserve"> PAGEREF _Toc113535256 \h </w:instrText>
        </w:r>
        <w:r>
          <w:rPr>
            <w:noProof/>
            <w:webHidden/>
          </w:rPr>
          <w:fldChar w:fldCharType="separate"/>
        </w:r>
        <w:r>
          <w:rPr>
            <w:noProof/>
            <w:webHidden/>
          </w:rPr>
          <w:t>2</w:t>
        </w:r>
        <w:r>
          <w:rPr>
            <w:noProof/>
            <w:webHidden/>
          </w:rPr>
          <w:fldChar w:fldCharType="end"/>
        </w:r>
      </w:hyperlink>
    </w:p>
    <w:p w:rsidR="00D13157" w14:paraId="7E2B0280" w14:textId="5CCB4FC9">
      <w:pPr>
        <w:pStyle w:val="TOC2"/>
        <w:rPr>
          <w:rFonts w:asciiTheme="minorHAnsi" w:eastAsiaTheme="minorEastAsia" w:hAnsiTheme="minorHAnsi"/>
          <w:noProof/>
          <w:sz w:val="22"/>
        </w:rPr>
      </w:pPr>
      <w:hyperlink w:anchor="_Toc113535257" w:history="1">
        <w:r w:rsidRPr="00F1600A">
          <w:rPr>
            <w:rStyle w:val="Hyperlink"/>
            <w:noProof/>
          </w:rPr>
          <w:t>B.</w:t>
        </w:r>
        <w:r>
          <w:rPr>
            <w:rFonts w:asciiTheme="minorHAnsi" w:eastAsiaTheme="minorEastAsia" w:hAnsiTheme="minorHAnsi"/>
            <w:noProof/>
            <w:sz w:val="22"/>
          </w:rPr>
          <w:tab/>
        </w:r>
        <w:r w:rsidRPr="00F1600A">
          <w:rPr>
            <w:rStyle w:val="Hyperlink"/>
            <w:noProof/>
          </w:rPr>
          <w:t xml:space="preserve">To protect consumers, the PUCO should reject Dominion’s Proposed </w:t>
        </w:r>
        <w:r>
          <w:rPr>
            <w:rStyle w:val="Hyperlink"/>
            <w:noProof/>
          </w:rPr>
          <w:br/>
        </w:r>
        <w:r w:rsidRPr="00F1600A">
          <w:rPr>
            <w:rStyle w:val="Hyperlink"/>
            <w:noProof/>
          </w:rPr>
          <w:t xml:space="preserve">Pre-Tax Rate of Return of 9.91% as unjust and unreasonable and adopt </w:t>
        </w:r>
        <w:r>
          <w:rPr>
            <w:rStyle w:val="Hyperlink"/>
            <w:noProof/>
          </w:rPr>
          <w:br/>
        </w:r>
        <w:r w:rsidRPr="00F1600A">
          <w:rPr>
            <w:rStyle w:val="Hyperlink"/>
            <w:noProof/>
          </w:rPr>
          <w:t>an updated rate of return.</w:t>
        </w:r>
        <w:r>
          <w:rPr>
            <w:noProof/>
            <w:webHidden/>
          </w:rPr>
          <w:tab/>
        </w:r>
        <w:r>
          <w:rPr>
            <w:noProof/>
            <w:webHidden/>
          </w:rPr>
          <w:fldChar w:fldCharType="begin"/>
        </w:r>
        <w:r>
          <w:rPr>
            <w:noProof/>
            <w:webHidden/>
          </w:rPr>
          <w:instrText xml:space="preserve"> PAGEREF _Toc113535257 \h </w:instrText>
        </w:r>
        <w:r>
          <w:rPr>
            <w:noProof/>
            <w:webHidden/>
          </w:rPr>
          <w:fldChar w:fldCharType="separate"/>
        </w:r>
        <w:r>
          <w:rPr>
            <w:noProof/>
            <w:webHidden/>
          </w:rPr>
          <w:t>6</w:t>
        </w:r>
        <w:r>
          <w:rPr>
            <w:noProof/>
            <w:webHidden/>
          </w:rPr>
          <w:fldChar w:fldCharType="end"/>
        </w:r>
      </w:hyperlink>
    </w:p>
    <w:p w:rsidR="00D13157" w14:paraId="530BEEEC" w14:textId="7EC0CC39">
      <w:pPr>
        <w:pStyle w:val="TOC2"/>
        <w:rPr>
          <w:rFonts w:asciiTheme="minorHAnsi" w:eastAsiaTheme="minorEastAsia" w:hAnsiTheme="minorHAnsi"/>
          <w:noProof/>
          <w:sz w:val="22"/>
        </w:rPr>
      </w:pPr>
      <w:hyperlink w:anchor="_Toc113535258" w:history="1">
        <w:r w:rsidRPr="00F1600A">
          <w:rPr>
            <w:rStyle w:val="Hyperlink"/>
            <w:noProof/>
          </w:rPr>
          <w:t>C.</w:t>
        </w:r>
        <w:r>
          <w:rPr>
            <w:rFonts w:asciiTheme="minorHAnsi" w:eastAsiaTheme="minorEastAsia" w:hAnsiTheme="minorHAnsi"/>
            <w:noProof/>
            <w:sz w:val="22"/>
          </w:rPr>
          <w:tab/>
        </w:r>
        <w:r w:rsidRPr="00F1600A">
          <w:rPr>
            <w:rStyle w:val="Hyperlink"/>
            <w:noProof/>
          </w:rPr>
          <w:t xml:space="preserve">To protect consumers, the PUCO should adopt several Blue Ridge’s </w:t>
        </w:r>
        <w:r>
          <w:rPr>
            <w:rStyle w:val="Hyperlink"/>
            <w:noProof/>
          </w:rPr>
          <w:br/>
        </w:r>
        <w:r w:rsidRPr="00F1600A">
          <w:rPr>
            <w:rStyle w:val="Hyperlink"/>
            <w:noProof/>
          </w:rPr>
          <w:t>and the PUCO Staff’s findings and recommendations.</w:t>
        </w:r>
        <w:r>
          <w:rPr>
            <w:noProof/>
            <w:webHidden/>
          </w:rPr>
          <w:tab/>
        </w:r>
        <w:r>
          <w:rPr>
            <w:noProof/>
            <w:webHidden/>
          </w:rPr>
          <w:fldChar w:fldCharType="begin"/>
        </w:r>
        <w:r>
          <w:rPr>
            <w:noProof/>
            <w:webHidden/>
          </w:rPr>
          <w:instrText xml:space="preserve"> PAGEREF _Toc113535258 \h </w:instrText>
        </w:r>
        <w:r>
          <w:rPr>
            <w:noProof/>
            <w:webHidden/>
          </w:rPr>
          <w:fldChar w:fldCharType="separate"/>
        </w:r>
        <w:r>
          <w:rPr>
            <w:noProof/>
            <w:webHidden/>
          </w:rPr>
          <w:t>8</w:t>
        </w:r>
        <w:r>
          <w:rPr>
            <w:noProof/>
            <w:webHidden/>
          </w:rPr>
          <w:fldChar w:fldCharType="end"/>
        </w:r>
      </w:hyperlink>
    </w:p>
    <w:p w:rsidR="00D13157" w14:paraId="0BD9A87B" w14:textId="7D1EDF3D">
      <w:pPr>
        <w:pStyle w:val="TOC1"/>
        <w:rPr>
          <w:rFonts w:asciiTheme="minorHAnsi" w:eastAsiaTheme="minorEastAsia" w:hAnsiTheme="minorHAnsi"/>
          <w:caps w:val="0"/>
          <w:noProof/>
          <w:sz w:val="22"/>
        </w:rPr>
      </w:pPr>
      <w:hyperlink w:anchor="_Toc113535259" w:history="1">
        <w:r w:rsidRPr="00F1600A">
          <w:rPr>
            <w:rStyle w:val="Hyperlink"/>
            <w:noProof/>
          </w:rPr>
          <w:t>III.</w:t>
        </w:r>
        <w:r>
          <w:rPr>
            <w:rFonts w:asciiTheme="minorHAnsi" w:eastAsiaTheme="minorEastAsia" w:hAnsiTheme="minorHAnsi"/>
            <w:caps w:val="0"/>
            <w:noProof/>
            <w:sz w:val="22"/>
          </w:rPr>
          <w:tab/>
        </w:r>
        <w:r w:rsidRPr="00F1600A">
          <w:rPr>
            <w:rStyle w:val="Hyperlink"/>
            <w:noProof/>
          </w:rPr>
          <w:t>Conclusion</w:t>
        </w:r>
        <w:r>
          <w:rPr>
            <w:noProof/>
            <w:webHidden/>
          </w:rPr>
          <w:tab/>
        </w:r>
        <w:r>
          <w:rPr>
            <w:noProof/>
            <w:webHidden/>
          </w:rPr>
          <w:fldChar w:fldCharType="begin"/>
        </w:r>
        <w:r>
          <w:rPr>
            <w:noProof/>
            <w:webHidden/>
          </w:rPr>
          <w:instrText xml:space="preserve"> PAGEREF _Toc113535259 \h </w:instrText>
        </w:r>
        <w:r>
          <w:rPr>
            <w:noProof/>
            <w:webHidden/>
          </w:rPr>
          <w:fldChar w:fldCharType="separate"/>
        </w:r>
        <w:r>
          <w:rPr>
            <w:noProof/>
            <w:webHidden/>
          </w:rPr>
          <w:t>9</w:t>
        </w:r>
        <w:r>
          <w:rPr>
            <w:noProof/>
            <w:webHidden/>
          </w:rPr>
          <w:fldChar w:fldCharType="end"/>
        </w:r>
      </w:hyperlink>
    </w:p>
    <w:p w:rsidR="004D0B6F" w:rsidRPr="004D0B6F" w:rsidP="004D0B6F" w14:paraId="4890B424" w14:textId="38213ADF">
      <w:pPr>
        <w:spacing w:after="0" w:line="240" w:lineRule="auto"/>
        <w:jc w:val="right"/>
        <w:rPr>
          <w:rFonts w:ascii="Times New Roman" w:eastAsia="Times New Roman" w:hAnsi="Times New Roman" w:cs="Times New Roman"/>
          <w:b/>
          <w:sz w:val="24"/>
          <w:szCs w:val="24"/>
          <w:u w:val="single"/>
        </w:rPr>
      </w:pPr>
      <w:r>
        <w:rPr>
          <w:rFonts w:ascii="Times New Roman" w:hAnsi="Times New Roman"/>
          <w:b/>
          <w:sz w:val="24"/>
        </w:rPr>
        <w:fldChar w:fldCharType="end"/>
      </w:r>
    </w:p>
    <w:p w:rsidR="004D0B6F" w:rsidP="00726A6A" w14:paraId="5DF3EDF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sectPr w:rsidSect="00B0423C">
          <w:footerReference w:type="default" r:id="rId8"/>
          <w:pgSz w:w="12240" w:h="15840"/>
          <w:pgMar w:top="1440" w:right="1800" w:bottom="1440" w:left="1800" w:header="720" w:footer="720" w:gutter="0"/>
          <w:pgNumType w:fmt="lowerRoman" w:start="1"/>
          <w:cols w:space="720"/>
          <w:docGrid w:linePitch="360"/>
        </w:sectPr>
      </w:pPr>
    </w:p>
    <w:p w:rsidR="00726A6A" w:rsidRPr="00173913" w:rsidP="00726A6A" w14:paraId="6A7BF85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173913">
        <w:rPr>
          <w:rFonts w:ascii="Times New Roman" w:eastAsia="Calibri" w:hAnsi="Times New Roman" w:cs="Times New Roman"/>
          <w:b/>
          <w:bCs/>
          <w:sz w:val="24"/>
          <w:szCs w:val="24"/>
        </w:rPr>
        <w:t>BEFORE</w:t>
      </w:r>
    </w:p>
    <w:p w:rsidR="00726A6A" w:rsidRPr="00173913" w:rsidP="00726A6A" w14:paraId="30F43D4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173913">
        <w:rPr>
          <w:rFonts w:ascii="Times New Roman" w:eastAsia="Calibri" w:hAnsi="Times New Roman" w:cs="Times New Roman"/>
          <w:b/>
          <w:bCs/>
          <w:sz w:val="24"/>
          <w:szCs w:val="24"/>
        </w:rPr>
        <w:t>THE PUBLIC UTILITIES COMMISSION OF OHIO</w:t>
      </w:r>
    </w:p>
    <w:p w:rsidR="00726A6A" w:rsidRPr="00173913" w:rsidP="00726A6A" w14:paraId="24DF0AA2" w14:textId="77777777">
      <w:pPr>
        <w:pStyle w:val="HTMLPreformatted"/>
        <w:jc w:val="center"/>
        <w:rPr>
          <w:rFonts w:ascii="Times New Roman" w:hAnsi="Times New Roman" w:cs="Times New Roman"/>
          <w:b/>
          <w:bCs/>
          <w:sz w:val="24"/>
          <w:szCs w:val="24"/>
        </w:rPr>
      </w:pPr>
    </w:p>
    <w:tbl>
      <w:tblPr>
        <w:tblW w:w="8838" w:type="dxa"/>
        <w:tblInd w:w="-108" w:type="dxa"/>
        <w:tblLook w:val="01E0"/>
      </w:tblPr>
      <w:tblGrid>
        <w:gridCol w:w="4237"/>
        <w:gridCol w:w="296"/>
        <w:gridCol w:w="4305"/>
      </w:tblGrid>
      <w:tr w14:paraId="36208A7F" w14:textId="77777777" w:rsidTr="00924D7C">
        <w:tblPrEx>
          <w:tblW w:w="8838" w:type="dxa"/>
          <w:tblInd w:w="-108" w:type="dxa"/>
          <w:tblLook w:val="01E0"/>
        </w:tblPrEx>
        <w:trPr>
          <w:trHeight w:val="1602"/>
        </w:trPr>
        <w:tc>
          <w:tcPr>
            <w:tcW w:w="4237" w:type="dxa"/>
            <w:shd w:val="clear" w:color="auto" w:fill="auto"/>
          </w:tcPr>
          <w:p w:rsidR="00726A6A" w:rsidRPr="00173913" w:rsidP="00924D7C" w14:paraId="1BA7B3C8" w14:textId="77777777">
            <w:pPr>
              <w:autoSpaceDE w:val="0"/>
              <w:autoSpaceDN w:val="0"/>
              <w:adjustRightInd w:val="0"/>
              <w:spacing w:line="240" w:lineRule="auto"/>
              <w:rPr>
                <w:rFonts w:ascii="Times New Roman" w:hAnsi="Times New Roman" w:cs="Times New Roman"/>
                <w:sz w:val="24"/>
                <w:szCs w:val="24"/>
              </w:rPr>
            </w:pPr>
            <w:r w:rsidRPr="00173913">
              <w:rPr>
                <w:rFonts w:ascii="Times New Roman" w:hAnsi="Times New Roman" w:cs="Times New Roman"/>
                <w:sz w:val="24"/>
                <w:szCs w:val="24"/>
              </w:rPr>
              <w:t>In the Matter of the Application of the East Ohio Gas Company d/b/a Dominion Energy Ohio for Authority to Adjust Its Capital Expenditure Program Rider Charges.</w:t>
            </w:r>
          </w:p>
        </w:tc>
        <w:tc>
          <w:tcPr>
            <w:tcW w:w="296" w:type="dxa"/>
            <w:shd w:val="clear" w:color="auto" w:fill="auto"/>
          </w:tcPr>
          <w:p w:rsidR="00726A6A" w:rsidRPr="00173913" w:rsidP="00924D7C" w14:paraId="0BA8CBB6" w14:textId="77777777">
            <w:pPr>
              <w:pStyle w:val="HTMLPreformatted"/>
              <w:jc w:val="center"/>
              <w:rPr>
                <w:rFonts w:ascii="Times New Roman" w:hAnsi="Times New Roman" w:cs="Times New Roman"/>
                <w:sz w:val="24"/>
                <w:szCs w:val="24"/>
              </w:rPr>
            </w:pPr>
            <w:r w:rsidRPr="00173913">
              <w:rPr>
                <w:rFonts w:ascii="Times New Roman" w:hAnsi="Times New Roman" w:cs="Times New Roman"/>
                <w:sz w:val="24"/>
                <w:szCs w:val="24"/>
              </w:rPr>
              <w:t>)</w:t>
            </w:r>
          </w:p>
          <w:p w:rsidR="00726A6A" w:rsidRPr="00173913" w:rsidP="00924D7C" w14:paraId="659BC69A" w14:textId="77777777">
            <w:pPr>
              <w:pStyle w:val="HTMLPreformatted"/>
              <w:jc w:val="center"/>
              <w:rPr>
                <w:rFonts w:ascii="Times New Roman" w:hAnsi="Times New Roman" w:cs="Times New Roman"/>
                <w:sz w:val="24"/>
                <w:szCs w:val="24"/>
              </w:rPr>
            </w:pPr>
            <w:r w:rsidRPr="00173913">
              <w:rPr>
                <w:rFonts w:ascii="Times New Roman" w:hAnsi="Times New Roman" w:cs="Times New Roman"/>
                <w:sz w:val="24"/>
                <w:szCs w:val="24"/>
              </w:rPr>
              <w:t>)</w:t>
            </w:r>
          </w:p>
          <w:p w:rsidR="00726A6A" w:rsidRPr="00173913" w:rsidP="00924D7C" w14:paraId="241EF8B5" w14:textId="77777777">
            <w:pPr>
              <w:pStyle w:val="HTMLPreformatted"/>
              <w:jc w:val="center"/>
              <w:rPr>
                <w:rFonts w:ascii="Times New Roman" w:hAnsi="Times New Roman" w:cs="Times New Roman"/>
                <w:sz w:val="24"/>
                <w:szCs w:val="24"/>
              </w:rPr>
            </w:pPr>
            <w:r w:rsidRPr="00173913">
              <w:rPr>
                <w:rFonts w:ascii="Times New Roman" w:hAnsi="Times New Roman" w:cs="Times New Roman"/>
                <w:sz w:val="24"/>
                <w:szCs w:val="24"/>
              </w:rPr>
              <w:t>)</w:t>
            </w:r>
          </w:p>
          <w:p w:rsidR="00726A6A" w:rsidRPr="00173913" w:rsidP="00924D7C" w14:paraId="53380DC5" w14:textId="77777777">
            <w:pPr>
              <w:pStyle w:val="HTMLPreformatted"/>
              <w:jc w:val="center"/>
              <w:rPr>
                <w:rFonts w:ascii="Times New Roman" w:hAnsi="Times New Roman" w:cs="Times New Roman"/>
                <w:sz w:val="24"/>
                <w:szCs w:val="24"/>
              </w:rPr>
            </w:pPr>
            <w:r w:rsidRPr="00173913">
              <w:rPr>
                <w:rFonts w:ascii="Times New Roman" w:hAnsi="Times New Roman" w:cs="Times New Roman"/>
                <w:sz w:val="24"/>
                <w:szCs w:val="24"/>
              </w:rPr>
              <w:t>)</w:t>
            </w:r>
          </w:p>
          <w:p w:rsidR="00726A6A" w:rsidRPr="00173913" w:rsidP="00924D7C" w14:paraId="28752C7D" w14:textId="77777777">
            <w:pPr>
              <w:pStyle w:val="HTMLPreformatted"/>
              <w:jc w:val="center"/>
              <w:rPr>
                <w:rFonts w:ascii="Times New Roman" w:hAnsi="Times New Roman" w:cs="Times New Roman"/>
                <w:sz w:val="24"/>
                <w:szCs w:val="24"/>
              </w:rPr>
            </w:pPr>
            <w:r w:rsidRPr="00173913">
              <w:rPr>
                <w:rFonts w:ascii="Times New Roman" w:hAnsi="Times New Roman" w:cs="Times New Roman"/>
                <w:sz w:val="24"/>
                <w:szCs w:val="24"/>
              </w:rPr>
              <w:t>)</w:t>
            </w:r>
          </w:p>
        </w:tc>
        <w:tc>
          <w:tcPr>
            <w:tcW w:w="4305" w:type="dxa"/>
            <w:shd w:val="clear" w:color="auto" w:fill="auto"/>
          </w:tcPr>
          <w:p w:rsidR="00726A6A" w:rsidRPr="00173913" w:rsidP="00924D7C" w14:paraId="32387CCC" w14:textId="77777777">
            <w:pPr>
              <w:pStyle w:val="HTMLPreformatted"/>
              <w:rPr>
                <w:rFonts w:ascii="Times New Roman" w:hAnsi="Times New Roman" w:cs="Times New Roman"/>
                <w:sz w:val="24"/>
                <w:szCs w:val="24"/>
              </w:rPr>
            </w:pPr>
          </w:p>
          <w:p w:rsidR="00726A6A" w:rsidRPr="00173913" w:rsidP="00924D7C" w14:paraId="3C18593A" w14:textId="77777777">
            <w:pPr>
              <w:pStyle w:val="HTMLPreformatted"/>
              <w:rPr>
                <w:rFonts w:ascii="Times New Roman" w:hAnsi="Times New Roman" w:cs="Times New Roman"/>
                <w:sz w:val="24"/>
                <w:szCs w:val="24"/>
              </w:rPr>
            </w:pPr>
          </w:p>
          <w:p w:rsidR="00726A6A" w:rsidRPr="00173913" w:rsidP="00924D7C" w14:paraId="0D23EBFA" w14:textId="77777777">
            <w:pPr>
              <w:pStyle w:val="HTMLPreformatted"/>
              <w:rPr>
                <w:rFonts w:ascii="Times New Roman" w:hAnsi="Times New Roman" w:cs="Times New Roman"/>
                <w:sz w:val="24"/>
                <w:szCs w:val="24"/>
              </w:rPr>
            </w:pPr>
            <w:r w:rsidRPr="00173913">
              <w:rPr>
                <w:rFonts w:ascii="Times New Roman" w:hAnsi="Times New Roman" w:cs="Times New Roman"/>
                <w:sz w:val="24"/>
                <w:szCs w:val="24"/>
              </w:rPr>
              <w:t>Case No. 22-619-GA-RDR</w:t>
            </w:r>
          </w:p>
        </w:tc>
      </w:tr>
    </w:tbl>
    <w:p w:rsidR="00726A6A" w:rsidRPr="00173913" w:rsidP="00726A6A" w14:paraId="196DF837" w14:textId="77777777">
      <w:pPr>
        <w:pBdr>
          <w:bottom w:val="single" w:sz="12" w:space="1" w:color="auto"/>
        </w:pBdr>
        <w:autoSpaceDE w:val="0"/>
        <w:autoSpaceDN w:val="0"/>
        <w:adjustRightInd w:val="0"/>
        <w:spacing w:after="0" w:line="240" w:lineRule="auto"/>
        <w:rPr>
          <w:rFonts w:ascii="Times New Roman" w:eastAsia="Calibri" w:hAnsi="Times New Roman" w:cs="Times New Roman"/>
          <w:sz w:val="24"/>
          <w:szCs w:val="24"/>
        </w:rPr>
      </w:pPr>
    </w:p>
    <w:p w:rsidR="00726A6A" w:rsidRPr="00173913" w:rsidP="00726A6A" w14:paraId="2AD813CC" w14:textId="77777777">
      <w:pPr>
        <w:autoSpaceDE w:val="0"/>
        <w:autoSpaceDN w:val="0"/>
        <w:adjustRightInd w:val="0"/>
        <w:spacing w:after="0" w:line="240" w:lineRule="auto"/>
        <w:rPr>
          <w:rFonts w:ascii="Times New Roman" w:eastAsia="Calibri" w:hAnsi="Times New Roman" w:cs="Times New Roman"/>
          <w:sz w:val="24"/>
          <w:szCs w:val="24"/>
        </w:rPr>
      </w:pPr>
    </w:p>
    <w:p w:rsidR="00726A6A" w:rsidRPr="00173913" w:rsidP="00726A6A" w14:paraId="3E7C4D54" w14:textId="77777777">
      <w:pPr>
        <w:widowControl w:val="0"/>
        <w:spacing w:after="0" w:line="240" w:lineRule="auto"/>
        <w:jc w:val="center"/>
        <w:rPr>
          <w:rFonts w:ascii="Times New Roman" w:hAnsi="Times New Roman" w:cs="Times New Roman"/>
          <w:b/>
          <w:sz w:val="24"/>
          <w:szCs w:val="24"/>
        </w:rPr>
      </w:pPr>
      <w:r w:rsidRPr="00173913">
        <w:rPr>
          <w:rFonts w:ascii="Times New Roman" w:hAnsi="Times New Roman" w:cs="Times New Roman"/>
          <w:b/>
          <w:sz w:val="24"/>
          <w:szCs w:val="24"/>
        </w:rPr>
        <w:t>INITIAL BRIEF FOR CONSUMER PROTECTION</w:t>
      </w:r>
    </w:p>
    <w:p w:rsidR="00726A6A" w:rsidRPr="00173913" w:rsidP="00726A6A" w14:paraId="41AF6FA6" w14:textId="77777777">
      <w:pPr>
        <w:widowControl w:val="0"/>
        <w:spacing w:after="0" w:line="240" w:lineRule="auto"/>
        <w:jc w:val="center"/>
        <w:rPr>
          <w:rFonts w:ascii="Times New Roman" w:hAnsi="Times New Roman" w:cs="Times New Roman"/>
          <w:b/>
          <w:sz w:val="24"/>
          <w:szCs w:val="24"/>
        </w:rPr>
      </w:pPr>
      <w:r w:rsidRPr="00173913">
        <w:rPr>
          <w:rFonts w:ascii="Times New Roman" w:hAnsi="Times New Roman" w:cs="Times New Roman"/>
          <w:b/>
          <w:sz w:val="24"/>
          <w:szCs w:val="24"/>
        </w:rPr>
        <w:t>BY</w:t>
      </w:r>
    </w:p>
    <w:p w:rsidR="00726A6A" w:rsidRPr="00173913" w:rsidP="00726A6A" w14:paraId="025B0EDF" w14:textId="77777777">
      <w:pPr>
        <w:spacing w:after="0" w:line="240" w:lineRule="auto"/>
        <w:jc w:val="center"/>
        <w:rPr>
          <w:rFonts w:ascii="Times New Roman" w:hAnsi="Times New Roman" w:cs="Times New Roman"/>
          <w:b/>
          <w:sz w:val="24"/>
          <w:szCs w:val="24"/>
        </w:rPr>
      </w:pPr>
      <w:r w:rsidRPr="00173913">
        <w:rPr>
          <w:rFonts w:ascii="Times New Roman" w:hAnsi="Times New Roman" w:cs="Times New Roman"/>
          <w:b/>
          <w:sz w:val="24"/>
          <w:szCs w:val="24"/>
        </w:rPr>
        <w:t>OFFICE OF THE OHIO CONSUMERS’ COUNSEL</w:t>
      </w:r>
    </w:p>
    <w:p w:rsidR="00BB35FD" w:rsidRPr="00173913" w:rsidP="00C22AB1" w14:paraId="37988C60" w14:textId="77777777">
      <w:pPr>
        <w:pBdr>
          <w:bottom w:val="single" w:sz="12" w:space="1" w:color="auto"/>
        </w:pBdr>
        <w:autoSpaceDE w:val="0"/>
        <w:autoSpaceDN w:val="0"/>
        <w:adjustRightInd w:val="0"/>
        <w:spacing w:after="240" w:line="240" w:lineRule="auto"/>
        <w:rPr>
          <w:rFonts w:ascii="Times New Roman" w:eastAsia="Calibri" w:hAnsi="Times New Roman" w:cs="Times New Roman"/>
          <w:b/>
          <w:bCs/>
          <w:sz w:val="24"/>
          <w:szCs w:val="24"/>
        </w:rPr>
      </w:pPr>
    </w:p>
    <w:p w:rsidR="00AF4FFB" w:rsidRPr="00173913" w:rsidP="001B28CA" w14:paraId="395737C1" w14:textId="220B1389">
      <w:pPr>
        <w:pStyle w:val="Heading1"/>
      </w:pPr>
      <w:bookmarkStart w:id="1" w:name="_Toc98520146"/>
      <w:bookmarkStart w:id="2" w:name="_Toc113034690"/>
      <w:bookmarkStart w:id="3" w:name="_Toc113535254"/>
      <w:r w:rsidRPr="00173913">
        <w:t>INTRODUCTION</w:t>
      </w:r>
      <w:bookmarkEnd w:id="1"/>
      <w:bookmarkEnd w:id="2"/>
      <w:bookmarkEnd w:id="3"/>
    </w:p>
    <w:p w:rsidR="00E8282B" w:rsidRPr="00173913" w:rsidP="0040036C" w14:paraId="1DF94637" w14:textId="53997FAC">
      <w:pPr>
        <w:spacing w:after="0" w:line="480" w:lineRule="auto"/>
        <w:ind w:firstLine="720"/>
        <w:rPr>
          <w:rFonts w:ascii="Times New Roman" w:hAnsi="Times New Roman" w:cs="Times New Roman"/>
          <w:sz w:val="24"/>
          <w:szCs w:val="24"/>
        </w:rPr>
      </w:pPr>
      <w:r w:rsidRPr="00173913">
        <w:rPr>
          <w:rFonts w:ascii="Times New Roman" w:hAnsi="Times New Roman" w:cs="Times New Roman"/>
          <w:sz w:val="24"/>
          <w:szCs w:val="24"/>
        </w:rPr>
        <w:t>The</w:t>
      </w:r>
      <w:r w:rsidRPr="00173913" w:rsidR="0040036C">
        <w:rPr>
          <w:rFonts w:ascii="Times New Roman" w:hAnsi="Times New Roman" w:cs="Times New Roman"/>
          <w:sz w:val="24"/>
          <w:szCs w:val="24"/>
        </w:rPr>
        <w:t xml:space="preserve"> PUCO should protect consumers by rejecting or modifying the application Dominion Energy Ohio (“Dominion”) filed regarding its Capital Expenditure Program (“CEP”).</w:t>
      </w:r>
      <w:r>
        <w:rPr>
          <w:rStyle w:val="FootnoteReference"/>
          <w:rFonts w:ascii="Times New Roman" w:hAnsi="Times New Roman" w:cs="Times New Roman"/>
          <w:sz w:val="24"/>
          <w:szCs w:val="24"/>
        </w:rPr>
        <w:footnoteReference w:id="3"/>
      </w:r>
      <w:r w:rsidRPr="00173913" w:rsidR="0040036C">
        <w:rPr>
          <w:rFonts w:ascii="Times New Roman" w:hAnsi="Times New Roman" w:cs="Times New Roman"/>
          <w:sz w:val="24"/>
          <w:szCs w:val="24"/>
        </w:rPr>
        <w:t xml:space="preserve"> </w:t>
      </w:r>
      <w:r w:rsidRPr="00173913" w:rsidR="00FF6BAB">
        <w:rPr>
          <w:rFonts w:ascii="Times New Roman" w:hAnsi="Times New Roman" w:cs="Times New Roman"/>
          <w:sz w:val="24"/>
          <w:szCs w:val="24"/>
        </w:rPr>
        <w:t>Dominion Energy Ohio (“Dominion”) seeks to charge residential consumers more than $87 million per year or $6.16 per month for each of its 1.4 million residential consumers under its Capital Expenditure Program.</w:t>
      </w:r>
      <w:r>
        <w:rPr>
          <w:rStyle w:val="FootnoteReference"/>
          <w:rFonts w:ascii="Times New Roman" w:hAnsi="Times New Roman" w:cs="Times New Roman"/>
          <w:sz w:val="24"/>
          <w:szCs w:val="24"/>
        </w:rPr>
        <w:footnoteReference w:id="4"/>
      </w:r>
      <w:r w:rsidRPr="00173913" w:rsidR="00FF6BAB">
        <w:rPr>
          <w:rFonts w:ascii="Times New Roman" w:hAnsi="Times New Roman" w:cs="Times New Roman"/>
          <w:sz w:val="24"/>
          <w:szCs w:val="24"/>
        </w:rPr>
        <w:t xml:space="preserve"> </w:t>
      </w:r>
      <w:r w:rsidRPr="00173913" w:rsidR="00161FE1">
        <w:rPr>
          <w:rFonts w:ascii="Times New Roman" w:hAnsi="Times New Roman" w:cs="Times New Roman"/>
          <w:sz w:val="24"/>
          <w:szCs w:val="24"/>
        </w:rPr>
        <w:t>Dominion</w:t>
      </w:r>
      <w:r w:rsidRPr="00173913" w:rsidR="00FF6BAB">
        <w:rPr>
          <w:rFonts w:ascii="Times New Roman" w:hAnsi="Times New Roman" w:cs="Times New Roman"/>
          <w:sz w:val="24"/>
          <w:szCs w:val="24"/>
        </w:rPr>
        <w:t xml:space="preserve"> bases these charges on a</w:t>
      </w:r>
      <w:r w:rsidRPr="00173913" w:rsidR="0040036C">
        <w:rPr>
          <w:rFonts w:ascii="Times New Roman" w:hAnsi="Times New Roman" w:cs="Times New Roman"/>
          <w:sz w:val="24"/>
          <w:szCs w:val="24"/>
        </w:rPr>
        <w:t xml:space="preserve"> </w:t>
      </w:r>
      <w:r w:rsidRPr="00173913" w:rsidR="00FF6BAB">
        <w:rPr>
          <w:rFonts w:ascii="Times New Roman" w:hAnsi="Times New Roman" w:cs="Times New Roman"/>
          <w:sz w:val="24"/>
          <w:szCs w:val="24"/>
        </w:rPr>
        <w:t xml:space="preserve">proposed </w:t>
      </w:r>
      <w:r w:rsidRPr="00173913" w:rsidR="0040036C">
        <w:rPr>
          <w:rFonts w:ascii="Times New Roman" w:hAnsi="Times New Roman" w:cs="Times New Roman"/>
          <w:sz w:val="24"/>
          <w:szCs w:val="24"/>
        </w:rPr>
        <w:t>9.91% pre-tax rate of return.</w:t>
      </w:r>
      <w:r>
        <w:rPr>
          <w:rStyle w:val="FootnoteReference"/>
          <w:rFonts w:ascii="Times New Roman" w:hAnsi="Times New Roman" w:cs="Times New Roman"/>
          <w:sz w:val="24"/>
          <w:szCs w:val="24"/>
        </w:rPr>
        <w:footnoteReference w:id="5"/>
      </w:r>
      <w:r w:rsidRPr="00173913" w:rsidR="0040036C">
        <w:rPr>
          <w:rFonts w:ascii="Times New Roman" w:hAnsi="Times New Roman" w:cs="Times New Roman"/>
          <w:sz w:val="24"/>
          <w:szCs w:val="24"/>
        </w:rPr>
        <w:t xml:space="preserve"> This rate of return </w:t>
      </w:r>
      <w:r w:rsidRPr="00173913" w:rsidR="00FF6BAB">
        <w:rPr>
          <w:rFonts w:ascii="Times New Roman" w:hAnsi="Times New Roman" w:cs="Times New Roman"/>
          <w:sz w:val="24"/>
          <w:szCs w:val="24"/>
        </w:rPr>
        <w:t>– set 13 years ago – is too high, as the cost of debt and equity have significantly fallen since</w:t>
      </w:r>
      <w:r w:rsidR="00B95695">
        <w:rPr>
          <w:rFonts w:ascii="Times New Roman" w:hAnsi="Times New Roman" w:cs="Times New Roman"/>
          <w:sz w:val="24"/>
          <w:szCs w:val="24"/>
        </w:rPr>
        <w:t xml:space="preserve"> it was authorized</w:t>
      </w:r>
      <w:r w:rsidRPr="00173913" w:rsidR="00FF6BAB">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r w:rsidRPr="00173913" w:rsidR="00FF6BAB">
        <w:rPr>
          <w:rFonts w:ascii="Times New Roman" w:hAnsi="Times New Roman" w:cs="Times New Roman"/>
          <w:sz w:val="24"/>
          <w:szCs w:val="24"/>
        </w:rPr>
        <w:t xml:space="preserve"> Using this rate </w:t>
      </w:r>
      <w:r w:rsidRPr="00173913" w:rsidR="0040036C">
        <w:rPr>
          <w:rFonts w:ascii="Times New Roman" w:hAnsi="Times New Roman" w:cs="Times New Roman"/>
          <w:sz w:val="24"/>
          <w:szCs w:val="24"/>
        </w:rPr>
        <w:t xml:space="preserve">will </w:t>
      </w:r>
      <w:r w:rsidRPr="00173913" w:rsidR="00FF6BAB">
        <w:rPr>
          <w:rFonts w:ascii="Times New Roman" w:hAnsi="Times New Roman" w:cs="Times New Roman"/>
          <w:sz w:val="24"/>
          <w:szCs w:val="24"/>
        </w:rPr>
        <w:t>allow</w:t>
      </w:r>
      <w:r w:rsidRPr="00173913" w:rsidR="0040036C">
        <w:rPr>
          <w:rFonts w:ascii="Times New Roman" w:hAnsi="Times New Roman" w:cs="Times New Roman"/>
          <w:sz w:val="24"/>
          <w:szCs w:val="24"/>
        </w:rPr>
        <w:t xml:space="preserve"> Dominion to earn profits that are too high for current financial market conditions, at consumer expense.</w:t>
      </w:r>
      <w:r>
        <w:rPr>
          <w:rStyle w:val="FootnoteReference"/>
          <w:rFonts w:ascii="Times New Roman" w:hAnsi="Times New Roman" w:cs="Times New Roman"/>
          <w:sz w:val="24"/>
          <w:szCs w:val="24"/>
        </w:rPr>
        <w:footnoteReference w:id="7"/>
      </w:r>
      <w:r w:rsidRPr="00173913" w:rsidR="0040036C">
        <w:rPr>
          <w:rFonts w:ascii="Times New Roman" w:hAnsi="Times New Roman" w:cs="Times New Roman"/>
          <w:sz w:val="24"/>
          <w:szCs w:val="24"/>
        </w:rPr>
        <w:t xml:space="preserve"> </w:t>
      </w:r>
      <w:r w:rsidRPr="00173913" w:rsidR="00FF6BAB">
        <w:rPr>
          <w:rFonts w:ascii="Times New Roman" w:hAnsi="Times New Roman" w:cs="Times New Roman"/>
          <w:sz w:val="24"/>
          <w:szCs w:val="24"/>
        </w:rPr>
        <w:t xml:space="preserve">As a result, Dominion’s proposal is neither just nor reasonable, as R.C. 4929.111(C) requires. </w:t>
      </w:r>
    </w:p>
    <w:p w:rsidR="0040036C" w:rsidP="001C1532" w14:paraId="5B27E5F4" w14:textId="726F2FA5">
      <w:pPr>
        <w:spacing w:after="0" w:line="480" w:lineRule="auto"/>
        <w:ind w:firstLine="720"/>
        <w:rPr>
          <w:rFonts w:ascii="Times New Roman" w:hAnsi="Times New Roman" w:cs="Times New Roman"/>
          <w:sz w:val="24"/>
          <w:szCs w:val="24"/>
        </w:rPr>
      </w:pPr>
      <w:r w:rsidRPr="00173913">
        <w:rPr>
          <w:rFonts w:ascii="Times New Roman" w:hAnsi="Times New Roman" w:cs="Times New Roman"/>
          <w:sz w:val="24"/>
          <w:szCs w:val="24"/>
        </w:rPr>
        <w:t xml:space="preserve">The PUCO should </w:t>
      </w:r>
      <w:r w:rsidRPr="00173913" w:rsidR="001C1532">
        <w:rPr>
          <w:rFonts w:ascii="Times New Roman" w:hAnsi="Times New Roman" w:cs="Times New Roman"/>
          <w:sz w:val="24"/>
          <w:szCs w:val="24"/>
        </w:rPr>
        <w:t xml:space="preserve">prevent Dominion from charging unreasonable and unjust rates </w:t>
      </w:r>
      <w:r w:rsidRPr="00173913">
        <w:rPr>
          <w:rFonts w:ascii="Times New Roman" w:hAnsi="Times New Roman" w:cs="Times New Roman"/>
          <w:sz w:val="24"/>
          <w:szCs w:val="24"/>
        </w:rPr>
        <w:t xml:space="preserve">by rejecting or modifying Dominion’s CEP proposal. </w:t>
      </w:r>
      <w:r w:rsidRPr="00173913" w:rsidR="001C1532">
        <w:rPr>
          <w:rFonts w:ascii="Times New Roman" w:hAnsi="Times New Roman" w:cs="Times New Roman"/>
          <w:sz w:val="24"/>
          <w:szCs w:val="24"/>
        </w:rPr>
        <w:t>The PUCO</w:t>
      </w:r>
      <w:r w:rsidRPr="00173913">
        <w:rPr>
          <w:rFonts w:ascii="Times New Roman" w:hAnsi="Times New Roman" w:cs="Times New Roman"/>
          <w:sz w:val="24"/>
          <w:szCs w:val="24"/>
        </w:rPr>
        <w:t xml:space="preserve"> should also adopt OCC’s</w:t>
      </w:r>
      <w:r w:rsidRPr="00173913" w:rsidR="001C1532">
        <w:rPr>
          <w:rFonts w:ascii="Times New Roman" w:hAnsi="Times New Roman" w:cs="Times New Roman"/>
          <w:sz w:val="24"/>
          <w:szCs w:val="24"/>
        </w:rPr>
        <w:t xml:space="preserve"> additional</w:t>
      </w:r>
      <w:r w:rsidRPr="00173913">
        <w:rPr>
          <w:rFonts w:ascii="Times New Roman" w:hAnsi="Times New Roman" w:cs="Times New Roman"/>
          <w:sz w:val="24"/>
          <w:szCs w:val="24"/>
        </w:rPr>
        <w:t xml:space="preserve"> recommendations for consumer protectio</w:t>
      </w:r>
      <w:r w:rsidRPr="00173913" w:rsidR="001C1532">
        <w:rPr>
          <w:rFonts w:ascii="Times New Roman" w:hAnsi="Times New Roman" w:cs="Times New Roman"/>
          <w:sz w:val="24"/>
          <w:szCs w:val="24"/>
        </w:rPr>
        <w:t>n.</w:t>
      </w:r>
    </w:p>
    <w:p w:rsidR="003D7DD6" w:rsidRPr="00173913" w:rsidP="003D7DD6" w14:paraId="1F30F112" w14:textId="77777777">
      <w:pPr>
        <w:spacing w:after="0" w:line="240" w:lineRule="auto"/>
        <w:ind w:firstLine="720"/>
        <w:rPr>
          <w:rFonts w:ascii="Times New Roman" w:hAnsi="Times New Roman" w:cs="Times New Roman"/>
          <w:sz w:val="24"/>
          <w:szCs w:val="24"/>
        </w:rPr>
      </w:pPr>
    </w:p>
    <w:p w:rsidR="00177E90" w:rsidRPr="00173913" w:rsidP="001B28CA" w14:paraId="56CF76A6" w14:textId="006504A8">
      <w:pPr>
        <w:pStyle w:val="Heading1"/>
      </w:pPr>
      <w:bookmarkStart w:id="4" w:name="_Toc113034691"/>
      <w:bookmarkStart w:id="5" w:name="_Toc113535255"/>
      <w:r w:rsidRPr="00173913">
        <w:t>arguments</w:t>
      </w:r>
      <w:bookmarkEnd w:id="4"/>
      <w:bookmarkEnd w:id="5"/>
    </w:p>
    <w:p w:rsidR="005C1525" w:rsidRPr="00173913" w:rsidP="00AF6D50" w14:paraId="0D2CBDDF" w14:textId="079C8F15">
      <w:pPr>
        <w:pStyle w:val="Heading2"/>
      </w:pPr>
      <w:bookmarkStart w:id="6" w:name="_Toc113535256"/>
      <w:r>
        <w:t>A.</w:t>
      </w:r>
      <w:r>
        <w:tab/>
      </w:r>
      <w:r w:rsidRPr="00173913" w:rsidR="00A93FA9">
        <w:t xml:space="preserve">Dominion’s </w:t>
      </w:r>
      <w:r w:rsidRPr="00173913" w:rsidR="00DC186B">
        <w:t>use</w:t>
      </w:r>
      <w:r w:rsidRPr="00173913" w:rsidR="00A93FA9">
        <w:t xml:space="preserve"> of </w:t>
      </w:r>
      <w:r w:rsidRPr="00173913" w:rsidR="00DC186B">
        <w:t>a</w:t>
      </w:r>
      <w:r w:rsidRPr="00173913" w:rsidR="00A93FA9">
        <w:t xml:space="preserve"> 13-year-old 9.91% pre-tax rate of return</w:t>
      </w:r>
      <w:r w:rsidRPr="00173913" w:rsidR="001C1532">
        <w:t xml:space="preserve"> in</w:t>
      </w:r>
      <w:r w:rsidRPr="00173913" w:rsidR="00A93FA9">
        <w:t xml:space="preserve"> its capital expenditure </w:t>
      </w:r>
      <w:r w:rsidRPr="00173913" w:rsidR="001C1532">
        <w:t>program</w:t>
      </w:r>
      <w:r w:rsidRPr="00173913" w:rsidR="00A93FA9">
        <w:t xml:space="preserve"> </w:t>
      </w:r>
      <w:r w:rsidRPr="00173913" w:rsidR="001C6DA7">
        <w:t>is unlawful</w:t>
      </w:r>
      <w:r w:rsidRPr="00173913" w:rsidR="00F10FF5">
        <w:t>, thereby hurting consumers</w:t>
      </w:r>
      <w:r w:rsidRPr="00173913" w:rsidR="00A93FA9">
        <w:t>.</w:t>
      </w:r>
      <w:bookmarkEnd w:id="6"/>
      <w:r w:rsidRPr="00173913" w:rsidR="00A93FA9">
        <w:t xml:space="preserve"> </w:t>
      </w:r>
    </w:p>
    <w:p w:rsidR="006F05B8" w:rsidRPr="00173913" w:rsidP="001C6DA7" w14:paraId="7BA63BD4" w14:textId="0CE409EC">
      <w:pPr>
        <w:spacing w:after="0" w:line="480" w:lineRule="auto"/>
        <w:ind w:firstLine="720"/>
        <w:rPr>
          <w:rFonts w:ascii="Times New Roman" w:hAnsi="Times New Roman" w:cs="Times New Roman"/>
          <w:sz w:val="24"/>
          <w:szCs w:val="24"/>
        </w:rPr>
      </w:pPr>
      <w:r w:rsidRPr="00173913">
        <w:rPr>
          <w:rFonts w:ascii="Times New Roman" w:hAnsi="Times New Roman" w:cs="Times New Roman"/>
          <w:sz w:val="24"/>
          <w:szCs w:val="24"/>
        </w:rPr>
        <w:t>Dominion’s use of the</w:t>
      </w:r>
      <w:r w:rsidRPr="00173913" w:rsidR="001C1532">
        <w:rPr>
          <w:rFonts w:ascii="Times New Roman" w:hAnsi="Times New Roman" w:cs="Times New Roman"/>
          <w:sz w:val="24"/>
          <w:szCs w:val="24"/>
        </w:rPr>
        <w:t xml:space="preserve"> outdated</w:t>
      </w:r>
      <w:r w:rsidRPr="00173913" w:rsidR="00177E90">
        <w:rPr>
          <w:rFonts w:ascii="Times New Roman" w:hAnsi="Times New Roman" w:cs="Times New Roman"/>
          <w:sz w:val="24"/>
          <w:szCs w:val="24"/>
        </w:rPr>
        <w:t xml:space="preserve"> </w:t>
      </w:r>
      <w:r w:rsidRPr="00173913">
        <w:rPr>
          <w:rFonts w:ascii="Times New Roman" w:hAnsi="Times New Roman" w:cs="Times New Roman"/>
          <w:sz w:val="24"/>
          <w:szCs w:val="24"/>
        </w:rPr>
        <w:t xml:space="preserve">rate of </w:t>
      </w:r>
      <w:r w:rsidRPr="00173913" w:rsidR="00177E90">
        <w:rPr>
          <w:rFonts w:ascii="Times New Roman" w:hAnsi="Times New Roman" w:cs="Times New Roman"/>
          <w:sz w:val="24"/>
          <w:szCs w:val="24"/>
        </w:rPr>
        <w:t>return and return on equity</w:t>
      </w:r>
      <w:r w:rsidRPr="00173913">
        <w:rPr>
          <w:rFonts w:ascii="Times New Roman" w:hAnsi="Times New Roman" w:cs="Times New Roman"/>
          <w:sz w:val="24"/>
          <w:szCs w:val="24"/>
        </w:rPr>
        <w:t xml:space="preserve"> set in its last base rate case</w:t>
      </w:r>
      <w:r w:rsidRPr="00173913" w:rsidR="00177E90">
        <w:rPr>
          <w:rFonts w:ascii="Times New Roman" w:hAnsi="Times New Roman" w:cs="Times New Roman"/>
          <w:sz w:val="24"/>
          <w:szCs w:val="24"/>
        </w:rPr>
        <w:t xml:space="preserve"> </w:t>
      </w:r>
      <w:r w:rsidRPr="00173913">
        <w:rPr>
          <w:rFonts w:ascii="Times New Roman" w:hAnsi="Times New Roman" w:cs="Times New Roman"/>
          <w:sz w:val="24"/>
          <w:szCs w:val="24"/>
        </w:rPr>
        <w:t xml:space="preserve">violates PUCO precedent preventing </w:t>
      </w:r>
      <w:r w:rsidR="004449BF">
        <w:rPr>
          <w:rFonts w:ascii="Times New Roman" w:hAnsi="Times New Roman" w:cs="Times New Roman"/>
          <w:sz w:val="24"/>
          <w:szCs w:val="24"/>
        </w:rPr>
        <w:t xml:space="preserve">using </w:t>
      </w:r>
      <w:r w:rsidRPr="00173913">
        <w:rPr>
          <w:rFonts w:ascii="Times New Roman" w:hAnsi="Times New Roman" w:cs="Times New Roman"/>
          <w:sz w:val="24"/>
          <w:szCs w:val="24"/>
        </w:rPr>
        <w:t xml:space="preserve">rates that </w:t>
      </w:r>
      <w:r w:rsidR="004449BF">
        <w:rPr>
          <w:rFonts w:ascii="Times New Roman" w:hAnsi="Times New Roman" w:cs="Times New Roman"/>
          <w:sz w:val="24"/>
          <w:szCs w:val="24"/>
        </w:rPr>
        <w:t>were established</w:t>
      </w:r>
      <w:r w:rsidRPr="00173913" w:rsidR="004449BF">
        <w:rPr>
          <w:rFonts w:ascii="Times New Roman" w:hAnsi="Times New Roman" w:cs="Times New Roman"/>
          <w:sz w:val="24"/>
          <w:szCs w:val="24"/>
        </w:rPr>
        <w:t xml:space="preserve"> </w:t>
      </w:r>
      <w:r w:rsidRPr="00173913">
        <w:rPr>
          <w:rFonts w:ascii="Times New Roman" w:hAnsi="Times New Roman" w:cs="Times New Roman"/>
          <w:sz w:val="24"/>
          <w:szCs w:val="24"/>
        </w:rPr>
        <w:t xml:space="preserve">more than three years </w:t>
      </w:r>
      <w:r w:rsidR="004449BF">
        <w:rPr>
          <w:rFonts w:ascii="Times New Roman" w:hAnsi="Times New Roman" w:cs="Times New Roman"/>
          <w:sz w:val="24"/>
          <w:szCs w:val="24"/>
        </w:rPr>
        <w:t>ago</w:t>
      </w:r>
      <w:r w:rsidRPr="00173913">
        <w:rPr>
          <w:rFonts w:ascii="Times New Roman" w:hAnsi="Times New Roman" w:cs="Times New Roman"/>
          <w:sz w:val="24"/>
          <w:szCs w:val="24"/>
        </w:rPr>
        <w:t xml:space="preserve">. </w:t>
      </w:r>
      <w:r w:rsidRPr="00173913" w:rsidR="009F114F">
        <w:rPr>
          <w:rFonts w:ascii="Times New Roman" w:hAnsi="Times New Roman" w:cs="Times New Roman"/>
          <w:sz w:val="24"/>
          <w:szCs w:val="24"/>
        </w:rPr>
        <w:t xml:space="preserve">Allowing Dominion to use </w:t>
      </w:r>
      <w:r w:rsidRPr="00173913" w:rsidR="001C1532">
        <w:rPr>
          <w:rFonts w:ascii="Times New Roman" w:hAnsi="Times New Roman" w:cs="Times New Roman"/>
          <w:sz w:val="24"/>
          <w:szCs w:val="24"/>
        </w:rPr>
        <w:t>a</w:t>
      </w:r>
      <w:r w:rsidRPr="00173913" w:rsidR="00104401">
        <w:rPr>
          <w:rFonts w:ascii="Times New Roman" w:hAnsi="Times New Roman" w:cs="Times New Roman"/>
          <w:sz w:val="24"/>
          <w:szCs w:val="24"/>
        </w:rPr>
        <w:t xml:space="preserve"> 13</w:t>
      </w:r>
      <w:r w:rsidRPr="00173913" w:rsidR="00C30C7A">
        <w:rPr>
          <w:rFonts w:ascii="Times New Roman" w:hAnsi="Times New Roman" w:cs="Times New Roman"/>
          <w:sz w:val="24"/>
          <w:szCs w:val="24"/>
        </w:rPr>
        <w:t>-</w:t>
      </w:r>
      <w:r w:rsidRPr="00173913" w:rsidR="00104401">
        <w:rPr>
          <w:rFonts w:ascii="Times New Roman" w:hAnsi="Times New Roman" w:cs="Times New Roman"/>
          <w:sz w:val="24"/>
          <w:szCs w:val="24"/>
        </w:rPr>
        <w:t>year-old rate of return and return on equity</w:t>
      </w:r>
      <w:r w:rsidRPr="00173913" w:rsidR="009F114F">
        <w:rPr>
          <w:rFonts w:ascii="Times New Roman" w:hAnsi="Times New Roman" w:cs="Times New Roman"/>
          <w:sz w:val="24"/>
          <w:szCs w:val="24"/>
        </w:rPr>
        <w:t xml:space="preserve"> </w:t>
      </w:r>
      <w:r w:rsidR="00B95695">
        <w:rPr>
          <w:rFonts w:ascii="Times New Roman" w:hAnsi="Times New Roman" w:cs="Times New Roman"/>
          <w:sz w:val="24"/>
          <w:szCs w:val="24"/>
        </w:rPr>
        <w:t xml:space="preserve">to establish rates to be charged to consumers </w:t>
      </w:r>
      <w:r w:rsidRPr="00173913" w:rsidR="009F114F">
        <w:rPr>
          <w:rFonts w:ascii="Times New Roman" w:hAnsi="Times New Roman" w:cs="Times New Roman"/>
          <w:sz w:val="24"/>
          <w:szCs w:val="24"/>
        </w:rPr>
        <w:t xml:space="preserve">would </w:t>
      </w:r>
      <w:r w:rsidRPr="00173913" w:rsidR="001C1532">
        <w:rPr>
          <w:rFonts w:ascii="Times New Roman" w:hAnsi="Times New Roman" w:cs="Times New Roman"/>
          <w:sz w:val="24"/>
          <w:szCs w:val="24"/>
        </w:rPr>
        <w:t>violate binding</w:t>
      </w:r>
      <w:r w:rsidRPr="00173913" w:rsidR="00C8163B">
        <w:rPr>
          <w:rFonts w:ascii="Times New Roman" w:hAnsi="Times New Roman" w:cs="Times New Roman"/>
          <w:sz w:val="24"/>
          <w:szCs w:val="24"/>
        </w:rPr>
        <w:t xml:space="preserve"> Ohio S</w:t>
      </w:r>
      <w:r w:rsidRPr="00173913" w:rsidR="00347834">
        <w:rPr>
          <w:rFonts w:ascii="Times New Roman" w:hAnsi="Times New Roman" w:cs="Times New Roman"/>
          <w:sz w:val="24"/>
          <w:szCs w:val="24"/>
        </w:rPr>
        <w:t>upreme Court</w:t>
      </w:r>
      <w:r w:rsidRPr="00173913" w:rsidR="00C8163B">
        <w:rPr>
          <w:rFonts w:ascii="Times New Roman" w:hAnsi="Times New Roman" w:cs="Times New Roman"/>
          <w:sz w:val="24"/>
          <w:szCs w:val="24"/>
        </w:rPr>
        <w:t xml:space="preserve"> precedent in</w:t>
      </w:r>
      <w:r w:rsidRPr="00173913" w:rsidR="005C1525">
        <w:rPr>
          <w:rFonts w:ascii="Times New Roman" w:hAnsi="Times New Roman" w:cs="Times New Roman"/>
          <w:sz w:val="24"/>
          <w:szCs w:val="24"/>
        </w:rPr>
        <w:t xml:space="preserve"> </w:t>
      </w:r>
      <w:r w:rsidRPr="00173913" w:rsidR="005C1525">
        <w:rPr>
          <w:rFonts w:ascii="Times New Roman" w:hAnsi="Times New Roman" w:cs="Times New Roman"/>
          <w:i/>
          <w:iCs/>
          <w:sz w:val="24"/>
          <w:szCs w:val="24"/>
        </w:rPr>
        <w:t>Cleveland Elec. Illum. Co. v. Pub. Util. Comm.</w:t>
      </w:r>
      <w:r w:rsidRPr="00173913" w:rsidR="005C1525">
        <w:rPr>
          <w:rFonts w:ascii="Times New Roman" w:hAnsi="Times New Roman" w:cs="Times New Roman"/>
          <w:sz w:val="24"/>
          <w:szCs w:val="24"/>
        </w:rPr>
        <w:t>, 42 Ohio St.2d 403, 431 (1975) and its progeny</w:t>
      </w:r>
      <w:r w:rsidRPr="00173913" w:rsidR="00CA04D1">
        <w:rPr>
          <w:rFonts w:ascii="Times New Roman" w:hAnsi="Times New Roman" w:cs="Times New Roman"/>
          <w:sz w:val="24"/>
          <w:szCs w:val="24"/>
        </w:rPr>
        <w:t>.</w:t>
      </w:r>
      <w:r w:rsidRPr="00173913">
        <w:rPr>
          <w:rFonts w:ascii="Times New Roman" w:hAnsi="Times New Roman" w:cs="Times New Roman"/>
          <w:sz w:val="24"/>
          <w:szCs w:val="24"/>
        </w:rPr>
        <w:t xml:space="preserve"> </w:t>
      </w:r>
    </w:p>
    <w:p w:rsidR="0087136D" w:rsidRPr="00173913" w:rsidP="006F05B8" w14:paraId="446F8A9C" w14:textId="0B66F18B">
      <w:pPr>
        <w:spacing w:after="0" w:line="480" w:lineRule="auto"/>
        <w:ind w:firstLine="720"/>
        <w:rPr>
          <w:rFonts w:ascii="Times New Roman" w:hAnsi="Times New Roman" w:cs="Times New Roman"/>
          <w:sz w:val="24"/>
          <w:szCs w:val="24"/>
        </w:rPr>
      </w:pPr>
      <w:r w:rsidRPr="00173913">
        <w:rPr>
          <w:rFonts w:ascii="Times New Roman" w:hAnsi="Times New Roman" w:cs="Times New Roman"/>
          <w:sz w:val="24"/>
          <w:szCs w:val="24"/>
        </w:rPr>
        <w:t xml:space="preserve">As the PUCO itself </w:t>
      </w:r>
      <w:r w:rsidRPr="00173913" w:rsidR="001C6DA7">
        <w:rPr>
          <w:rFonts w:ascii="Times New Roman" w:hAnsi="Times New Roman" w:cs="Times New Roman"/>
          <w:sz w:val="24"/>
          <w:szCs w:val="24"/>
        </w:rPr>
        <w:t xml:space="preserve">has </w:t>
      </w:r>
      <w:r w:rsidRPr="00173913">
        <w:rPr>
          <w:rFonts w:ascii="Times New Roman" w:hAnsi="Times New Roman" w:cs="Times New Roman"/>
          <w:sz w:val="24"/>
          <w:szCs w:val="24"/>
        </w:rPr>
        <w:t>recognized,</w:t>
      </w:r>
      <w:r>
        <w:rPr>
          <w:rStyle w:val="FootnoteReference"/>
          <w:rFonts w:ascii="Times New Roman" w:hAnsi="Times New Roman" w:cs="Times New Roman"/>
          <w:sz w:val="24"/>
          <w:szCs w:val="24"/>
        </w:rPr>
        <w:footnoteReference w:id="8"/>
      </w:r>
      <w:r w:rsidRPr="00173913">
        <w:rPr>
          <w:rFonts w:ascii="Times New Roman" w:hAnsi="Times New Roman" w:cs="Times New Roman"/>
          <w:sz w:val="24"/>
          <w:szCs w:val="24"/>
        </w:rPr>
        <w:t xml:space="preserve"> the Ohio Supreme Court has instructed the PUCO “to respect its own precedents in its decisions to assure the predictability, which is essential in all areas of law, including administrative law.”</w:t>
      </w:r>
      <w:r>
        <w:rPr>
          <w:rStyle w:val="FootnoteReference"/>
          <w:rFonts w:ascii="Times New Roman" w:hAnsi="Times New Roman" w:cs="Times New Roman"/>
          <w:sz w:val="24"/>
          <w:szCs w:val="24"/>
        </w:rPr>
        <w:footnoteReference w:id="9"/>
      </w:r>
      <w:r w:rsidRPr="00173913" w:rsidR="006F05B8">
        <w:rPr>
          <w:rFonts w:ascii="Times New Roman" w:hAnsi="Times New Roman" w:cs="Times New Roman"/>
          <w:sz w:val="24"/>
          <w:szCs w:val="24"/>
        </w:rPr>
        <w:t xml:space="preserve"> While the PUCO can revisit a particular decision, the PUCO is “bound by certain institutional constraints to justify that change before such order may be changed or modified.”</w:t>
      </w:r>
      <w:r>
        <w:rPr>
          <w:rStyle w:val="FootnoteReference"/>
          <w:rFonts w:ascii="Times New Roman" w:hAnsi="Times New Roman" w:cs="Times New Roman"/>
          <w:sz w:val="24"/>
          <w:szCs w:val="24"/>
        </w:rPr>
        <w:footnoteReference w:id="10"/>
      </w:r>
      <w:r w:rsidRPr="00173913" w:rsidR="006F05B8">
        <w:rPr>
          <w:rFonts w:ascii="Times New Roman" w:hAnsi="Times New Roman" w:cs="Times New Roman"/>
          <w:sz w:val="24"/>
          <w:szCs w:val="24"/>
        </w:rPr>
        <w:t xml:space="preserve"> If the PUCO sees fit to depart from a prior order, it “must explain why” and “the new course also must be substantively reasonable and lawful.”</w:t>
      </w:r>
      <w:r>
        <w:rPr>
          <w:rStyle w:val="FootnoteReference"/>
          <w:rFonts w:ascii="Times New Roman" w:hAnsi="Times New Roman" w:cs="Times New Roman"/>
          <w:sz w:val="24"/>
          <w:szCs w:val="24"/>
        </w:rPr>
        <w:footnoteReference w:id="11"/>
      </w:r>
      <w:r w:rsidRPr="00173913" w:rsidR="006F05B8">
        <w:rPr>
          <w:rFonts w:ascii="Times New Roman" w:hAnsi="Times New Roman" w:cs="Times New Roman"/>
          <w:sz w:val="24"/>
          <w:szCs w:val="24"/>
        </w:rPr>
        <w:t xml:space="preserve"> </w:t>
      </w:r>
    </w:p>
    <w:p w:rsidR="006F05B8" w:rsidRPr="00173913" w:rsidP="006F05B8" w14:paraId="783DC0B5" w14:textId="70C70963">
      <w:pPr>
        <w:spacing w:after="0" w:line="480" w:lineRule="auto"/>
        <w:ind w:firstLine="720"/>
        <w:rPr>
          <w:rFonts w:ascii="Times New Roman" w:hAnsi="Times New Roman" w:cs="Times New Roman"/>
          <w:sz w:val="24"/>
          <w:szCs w:val="24"/>
        </w:rPr>
      </w:pPr>
      <w:r w:rsidRPr="00173913">
        <w:rPr>
          <w:rFonts w:ascii="Times New Roman" w:hAnsi="Times New Roman" w:cs="Times New Roman"/>
          <w:sz w:val="24"/>
          <w:szCs w:val="24"/>
        </w:rPr>
        <w:t>Before the gas utility capital expenditure program cases, it had been the PUCO’s practice and precedent that where rates were set more than three years ago, a new calculation should be made.</w:t>
      </w:r>
      <w:r w:rsidRPr="00173913" w:rsidR="003D4E6A">
        <w:rPr>
          <w:rFonts w:ascii="Times New Roman" w:hAnsi="Times New Roman" w:cs="Times New Roman"/>
          <w:sz w:val="24"/>
          <w:szCs w:val="24"/>
        </w:rPr>
        <w:t xml:space="preserve"> In </w:t>
      </w:r>
      <w:r w:rsidRPr="00173913" w:rsidR="003D4E6A">
        <w:rPr>
          <w:rFonts w:ascii="Times New Roman" w:hAnsi="Times New Roman" w:cs="Times New Roman"/>
          <w:i/>
          <w:iCs/>
          <w:sz w:val="24"/>
          <w:szCs w:val="24"/>
        </w:rPr>
        <w:t>In the Matter of the Application of The Columbus Southern Power Company and Ohio Power Company to Adjust the Transmission Component of the Companies' Standard Service Tariffs to Reflect the Applicable FERC-Approved Charges or Rates Related to Open Access Transmission, Net Congestion and Ancillary Services</w:t>
      </w:r>
      <w:r w:rsidRPr="00173913" w:rsidR="003D4E6A">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r w:rsidRPr="00173913" w:rsidR="003D4E6A">
        <w:rPr>
          <w:rFonts w:ascii="Times New Roman" w:hAnsi="Times New Roman" w:cs="Times New Roman"/>
          <w:sz w:val="24"/>
          <w:szCs w:val="24"/>
        </w:rPr>
        <w:t xml:space="preserve"> the PUCO explained this succinctly:</w:t>
      </w:r>
    </w:p>
    <w:p w:rsidR="003D4E6A" w:rsidRPr="00173913" w:rsidP="00A81EF3" w14:paraId="1EC00451" w14:textId="48FDF3C2">
      <w:pPr>
        <w:spacing w:after="0" w:line="240" w:lineRule="auto"/>
        <w:ind w:left="1440" w:right="1440"/>
        <w:rPr>
          <w:rFonts w:ascii="Times New Roman" w:hAnsi="Times New Roman" w:cs="Times New Roman"/>
          <w:sz w:val="24"/>
          <w:szCs w:val="24"/>
        </w:rPr>
      </w:pPr>
      <w:r w:rsidRPr="00173913">
        <w:rPr>
          <w:rFonts w:ascii="Times New Roman" w:hAnsi="Times New Roman" w:cs="Times New Roman"/>
          <w:sz w:val="24"/>
          <w:szCs w:val="24"/>
        </w:rPr>
        <w:t>The Companies propose to include carrying charges on the net under recovery or net over recovery of TCRR revenues using each company’s weighted average cost of capital. The Companies propose that the rate of equity to be included in the calculation be the rate established in each company’s last rate case. The Commission disagrees. The Commission issued its decision in Columbus Southern’s last base rate case proceeding in May 1992, more than thirteen years ago. The Commission fin</w:t>
      </w:r>
      <w:r w:rsidRPr="00173913" w:rsidR="00357E2A">
        <w:rPr>
          <w:rFonts w:ascii="Times New Roman" w:hAnsi="Times New Roman" w:cs="Times New Roman"/>
          <w:sz w:val="24"/>
          <w:szCs w:val="24"/>
        </w:rPr>
        <w:t>d</w:t>
      </w:r>
      <w:r w:rsidRPr="00173913">
        <w:rPr>
          <w:rFonts w:ascii="Times New Roman" w:hAnsi="Times New Roman" w:cs="Times New Roman"/>
          <w:sz w:val="24"/>
          <w:szCs w:val="24"/>
        </w:rPr>
        <w:t>s that the financial landscape has changed greatly since the early 1990s. We find it appropriate to use a more recent review of the cost of capital.</w:t>
      </w:r>
      <w:r>
        <w:rPr>
          <w:rStyle w:val="FootnoteReference"/>
          <w:rFonts w:ascii="Times New Roman" w:hAnsi="Times New Roman" w:cs="Times New Roman"/>
          <w:sz w:val="24"/>
          <w:szCs w:val="24"/>
        </w:rPr>
        <w:footnoteReference w:id="13"/>
      </w:r>
    </w:p>
    <w:p w:rsidR="00357E2A" w:rsidRPr="00173913" w:rsidP="00357E2A" w14:paraId="2F356710" w14:textId="2EBFA40F">
      <w:pPr>
        <w:spacing w:after="0" w:line="240" w:lineRule="auto"/>
        <w:rPr>
          <w:rFonts w:ascii="Times New Roman" w:hAnsi="Times New Roman" w:cs="Times New Roman"/>
          <w:sz w:val="24"/>
          <w:szCs w:val="24"/>
        </w:rPr>
      </w:pPr>
    </w:p>
    <w:p w:rsidR="00D13157" w:rsidP="00511C31" w14:paraId="0147E740" w14:textId="77777777">
      <w:pPr>
        <w:spacing w:after="0" w:line="480" w:lineRule="auto"/>
        <w:rPr>
          <w:rFonts w:ascii="Times New Roman" w:hAnsi="Times New Roman" w:cs="Times New Roman"/>
          <w:sz w:val="24"/>
          <w:szCs w:val="24"/>
        </w:rPr>
      </w:pPr>
      <w:r w:rsidRPr="00173913">
        <w:rPr>
          <w:rFonts w:ascii="Times New Roman" w:hAnsi="Times New Roman" w:cs="Times New Roman"/>
          <w:sz w:val="24"/>
          <w:szCs w:val="24"/>
        </w:rPr>
        <w:t xml:space="preserve">When the same issue arose later, the PUCO once again acknowledged that where rates are more than two or three years old, </w:t>
      </w:r>
      <w:r w:rsidRPr="00173913" w:rsidR="00511C31">
        <w:rPr>
          <w:rFonts w:ascii="Times New Roman" w:hAnsi="Times New Roman" w:cs="Times New Roman"/>
          <w:sz w:val="24"/>
          <w:szCs w:val="24"/>
        </w:rPr>
        <w:t>“</w:t>
      </w:r>
      <w:r w:rsidRPr="00173913">
        <w:rPr>
          <w:rFonts w:ascii="Times New Roman" w:hAnsi="Times New Roman" w:cs="Times New Roman"/>
          <w:sz w:val="24"/>
          <w:szCs w:val="24"/>
        </w:rPr>
        <w:t xml:space="preserve">it may be appropriate to reevaluate the </w:t>
      </w:r>
    </w:p>
    <w:p w:rsidR="00D13157" w14:paraId="2E85518B" w14:textId="77777777">
      <w:pPr>
        <w:rPr>
          <w:rFonts w:ascii="Times New Roman" w:hAnsi="Times New Roman" w:cs="Times New Roman"/>
          <w:sz w:val="24"/>
          <w:szCs w:val="24"/>
        </w:rPr>
      </w:pPr>
      <w:r>
        <w:rPr>
          <w:rFonts w:ascii="Times New Roman" w:hAnsi="Times New Roman" w:cs="Times New Roman"/>
          <w:sz w:val="24"/>
          <w:szCs w:val="24"/>
        </w:rPr>
        <w:br w:type="page"/>
      </w:r>
    </w:p>
    <w:p w:rsidR="00357E2A" w:rsidRPr="00173913" w:rsidP="00511C31" w14:paraId="0905A5B9" w14:textId="3E7F2398">
      <w:pPr>
        <w:spacing w:after="0" w:line="480" w:lineRule="auto"/>
        <w:rPr>
          <w:rFonts w:ascii="Times New Roman" w:hAnsi="Times New Roman" w:cs="Times New Roman"/>
          <w:sz w:val="24"/>
          <w:szCs w:val="24"/>
        </w:rPr>
      </w:pPr>
      <w:r w:rsidRPr="00173913">
        <w:rPr>
          <w:rFonts w:ascii="Times New Roman" w:hAnsi="Times New Roman" w:cs="Times New Roman"/>
          <w:sz w:val="24"/>
          <w:szCs w:val="24"/>
        </w:rPr>
        <w:t xml:space="preserve">reasonableness of using the company's most </w:t>
      </w:r>
      <w:r w:rsidRPr="00173913" w:rsidR="00511C31">
        <w:rPr>
          <w:rFonts w:ascii="Times New Roman" w:hAnsi="Times New Roman" w:cs="Times New Roman"/>
          <w:sz w:val="24"/>
          <w:szCs w:val="24"/>
        </w:rPr>
        <w:t>recently</w:t>
      </w:r>
      <w:r w:rsidRPr="00173913">
        <w:rPr>
          <w:rFonts w:ascii="Times New Roman" w:hAnsi="Times New Roman" w:cs="Times New Roman"/>
          <w:sz w:val="24"/>
          <w:szCs w:val="24"/>
        </w:rPr>
        <w:t xml:space="preserve"> approved” rate (in this case, for carrying charges).</w:t>
      </w:r>
      <w:r>
        <w:rPr>
          <w:rStyle w:val="FootnoteReference"/>
          <w:rFonts w:ascii="Times New Roman" w:hAnsi="Times New Roman" w:cs="Times New Roman"/>
          <w:sz w:val="24"/>
          <w:szCs w:val="24"/>
        </w:rPr>
        <w:footnoteReference w:id="14"/>
      </w:r>
    </w:p>
    <w:p w:rsidR="00511C31" w:rsidRPr="00173913" w:rsidP="00511C31" w14:paraId="5DA1142A" w14:textId="70C5B03A">
      <w:pPr>
        <w:spacing w:after="0" w:line="480" w:lineRule="auto"/>
        <w:rPr>
          <w:rFonts w:ascii="Times New Roman" w:hAnsi="Times New Roman" w:cs="Times New Roman"/>
          <w:sz w:val="24"/>
          <w:szCs w:val="24"/>
        </w:rPr>
      </w:pPr>
      <w:r w:rsidRPr="00173913">
        <w:rPr>
          <w:rFonts w:ascii="Times New Roman" w:hAnsi="Times New Roman" w:cs="Times New Roman"/>
          <w:sz w:val="24"/>
          <w:szCs w:val="24"/>
        </w:rPr>
        <w:tab/>
        <w:t xml:space="preserve">The acknowledgement that consumer protection requires revisiting rates that are more than two or three years old is not limited to a given industry or PUCO decisions. It is also reflected in the PUCO’s rules governing water companies. O.A.C. 4901:1-15-35, </w:t>
      </w:r>
      <w:r w:rsidRPr="00173913" w:rsidR="00DB137C">
        <w:rPr>
          <w:rFonts w:ascii="Times New Roman" w:hAnsi="Times New Roman" w:cs="Times New Roman"/>
          <w:sz w:val="24"/>
          <w:szCs w:val="24"/>
        </w:rPr>
        <w:t>which deals with infrastructure improvement surcharges, provides:</w:t>
      </w:r>
    </w:p>
    <w:p w:rsidR="00DB137C" w:rsidRPr="00173913" w:rsidP="00965525" w14:paraId="6B069788" w14:textId="55CA6F27">
      <w:pPr>
        <w:spacing w:after="0" w:line="240" w:lineRule="auto"/>
        <w:ind w:left="1440" w:right="1440"/>
        <w:rPr>
          <w:rFonts w:ascii="Times New Roman" w:hAnsi="Times New Roman" w:cs="Times New Roman"/>
          <w:sz w:val="24"/>
          <w:szCs w:val="24"/>
        </w:rPr>
      </w:pPr>
      <w:r w:rsidRPr="00173913">
        <w:rPr>
          <w:rFonts w:ascii="Times New Roman" w:hAnsi="Times New Roman" w:cs="Times New Roman"/>
          <w:sz w:val="24"/>
          <w:szCs w:val="24"/>
        </w:rPr>
        <w:t>(7) Schedules 7a and 7b – Rate of Return If the date certain proposed in this proceeding is not later than three years from the date that the company's existing rates and tariffs went into effect, prepare Schedule 7 on the basis of the company's last rate case. If the time exceeds three years, prepare a proposed rate of return summary schedule as of the date certain or the most recent available historic calendar quarter showing the calculation of the weighted average cost of capital as illustrated in Schedule 7, lines 1-4.</w:t>
      </w:r>
      <w:r>
        <w:rPr>
          <w:rStyle w:val="FootnoteReference"/>
          <w:rFonts w:ascii="Times New Roman" w:hAnsi="Times New Roman" w:cs="Times New Roman"/>
          <w:sz w:val="24"/>
          <w:szCs w:val="24"/>
        </w:rPr>
        <w:footnoteReference w:id="15"/>
      </w:r>
    </w:p>
    <w:p w:rsidR="00CE6C48" w:rsidRPr="00173913" w:rsidP="00CE6C48" w14:paraId="59F07267" w14:textId="6B71E6B9">
      <w:pPr>
        <w:spacing w:after="0" w:line="240" w:lineRule="auto"/>
        <w:rPr>
          <w:rFonts w:ascii="Times New Roman" w:hAnsi="Times New Roman" w:cs="Times New Roman"/>
          <w:sz w:val="24"/>
          <w:szCs w:val="24"/>
        </w:rPr>
      </w:pPr>
    </w:p>
    <w:p w:rsidR="00CE6C48" w:rsidRPr="00173913" w:rsidP="00CC3EE7" w14:paraId="0BAD3D26" w14:textId="04EDC5F8">
      <w:pPr>
        <w:spacing w:after="0" w:line="480" w:lineRule="auto"/>
        <w:rPr>
          <w:rFonts w:ascii="Times New Roman" w:hAnsi="Times New Roman" w:cs="Times New Roman"/>
          <w:sz w:val="24"/>
          <w:szCs w:val="24"/>
        </w:rPr>
      </w:pPr>
      <w:r w:rsidRPr="00173913">
        <w:rPr>
          <w:rFonts w:ascii="Times New Roman" w:hAnsi="Times New Roman" w:cs="Times New Roman"/>
          <w:sz w:val="24"/>
          <w:szCs w:val="24"/>
        </w:rPr>
        <w:t xml:space="preserve">The PUCO’s </w:t>
      </w:r>
      <w:r w:rsidRPr="00173913" w:rsidR="00572515">
        <w:rPr>
          <w:rFonts w:ascii="Times New Roman" w:hAnsi="Times New Roman" w:cs="Times New Roman"/>
          <w:sz w:val="24"/>
          <w:szCs w:val="24"/>
        </w:rPr>
        <w:t>practice and precedent</w:t>
      </w:r>
      <w:r w:rsidRPr="00173913">
        <w:rPr>
          <w:rFonts w:ascii="Times New Roman" w:hAnsi="Times New Roman" w:cs="Times New Roman"/>
          <w:sz w:val="24"/>
          <w:szCs w:val="24"/>
        </w:rPr>
        <w:t xml:space="preserve"> for using up-to-date, recent data when setting rates is confirmed in base rate cases themselves.</w:t>
      </w:r>
      <w:r w:rsidRPr="00173913" w:rsidR="005535FB">
        <w:rPr>
          <w:rFonts w:ascii="Times New Roman" w:hAnsi="Times New Roman" w:cs="Times New Roman"/>
          <w:sz w:val="24"/>
          <w:szCs w:val="24"/>
        </w:rPr>
        <w:t xml:space="preserve"> </w:t>
      </w:r>
      <w:r w:rsidRPr="00173913" w:rsidR="00572515">
        <w:rPr>
          <w:rFonts w:ascii="Times New Roman" w:hAnsi="Times New Roman" w:cs="Times New Roman"/>
          <w:sz w:val="24"/>
          <w:szCs w:val="24"/>
        </w:rPr>
        <w:t>In 1982, the PUCO rejected testimony regarding return on equity based on data that was three years old and adopted testimony based on more recent data. It explained: “</w:t>
      </w:r>
      <w:r w:rsidRPr="00173913" w:rsidR="00572515">
        <w:rPr>
          <w:rFonts w:ascii="Times New Roman" w:hAnsi="Times New Roman" w:cs="Times New Roman"/>
          <w:color w:val="212121"/>
          <w:sz w:val="24"/>
          <w:szCs w:val="24"/>
          <w:shd w:val="clear" w:color="auto" w:fill="FFFFFF"/>
        </w:rPr>
        <w:t xml:space="preserve">It has always been the Commission's policy in determining the yield component of the return on common equity to use the most recent data available. We do not believe that the use of </w:t>
      </w:r>
      <w:r w:rsidRPr="00173913" w:rsidR="00177E90">
        <w:rPr>
          <w:rFonts w:ascii="Times New Roman" w:hAnsi="Times New Roman" w:cs="Times New Roman"/>
          <w:color w:val="212121"/>
          <w:sz w:val="24"/>
          <w:szCs w:val="24"/>
          <w:shd w:val="clear" w:color="auto" w:fill="FFFFFF"/>
        </w:rPr>
        <w:t>three-year-old</w:t>
      </w:r>
      <w:r w:rsidRPr="00173913" w:rsidR="00572515">
        <w:rPr>
          <w:rFonts w:ascii="Times New Roman" w:hAnsi="Times New Roman" w:cs="Times New Roman"/>
          <w:color w:val="212121"/>
          <w:sz w:val="24"/>
          <w:szCs w:val="24"/>
          <w:shd w:val="clear" w:color="auto" w:fill="FFFFFF"/>
        </w:rPr>
        <w:t xml:space="preserve"> yields, although weighted against more recent data, complies with our goal of determining a current cost of equity.”</w:t>
      </w:r>
      <w:r>
        <w:rPr>
          <w:rStyle w:val="FootnoteReference"/>
          <w:rFonts w:ascii="Times New Roman" w:hAnsi="Times New Roman" w:cs="Times New Roman"/>
          <w:color w:val="212121"/>
          <w:sz w:val="24"/>
          <w:szCs w:val="24"/>
          <w:shd w:val="clear" w:color="auto" w:fill="FFFFFF"/>
        </w:rPr>
        <w:footnoteReference w:id="16"/>
      </w:r>
    </w:p>
    <w:p w:rsidR="001C6DA7" w:rsidRPr="00173913" w:rsidP="00373F37" w14:paraId="325B6F71" w14:textId="4D20D950">
      <w:pPr>
        <w:spacing w:after="0" w:line="480" w:lineRule="auto"/>
        <w:ind w:firstLine="720"/>
        <w:rPr>
          <w:rFonts w:ascii="Times New Roman" w:hAnsi="Times New Roman" w:cs="Times New Roman"/>
          <w:sz w:val="24"/>
          <w:szCs w:val="24"/>
        </w:rPr>
      </w:pPr>
      <w:r w:rsidRPr="00173913">
        <w:rPr>
          <w:rFonts w:ascii="Times New Roman" w:hAnsi="Times New Roman" w:cs="Times New Roman"/>
          <w:sz w:val="24"/>
          <w:szCs w:val="24"/>
        </w:rPr>
        <w:t>When the PUCO began approving gas utility capital expenditure charges, it neither followed this precedent, found that it was in error, nor explained why it departed from it as required by</w:t>
      </w:r>
      <w:r w:rsidRPr="00173913">
        <w:rPr>
          <w:rFonts w:ascii="Times New Roman" w:hAnsi="Times New Roman" w:cs="Times New Roman"/>
          <w:i/>
          <w:iCs/>
          <w:sz w:val="24"/>
          <w:szCs w:val="24"/>
        </w:rPr>
        <w:t xml:space="preserve"> Cleveland Elec. Illum. Co. </w:t>
      </w:r>
      <w:r w:rsidRPr="00173913">
        <w:rPr>
          <w:rFonts w:ascii="Times New Roman" w:hAnsi="Times New Roman" w:cs="Times New Roman"/>
          <w:sz w:val="24"/>
          <w:szCs w:val="24"/>
        </w:rPr>
        <w:t>and its progeny.</w:t>
      </w:r>
      <w:r>
        <w:rPr>
          <w:rStyle w:val="FootnoteReference"/>
          <w:rFonts w:ascii="Times New Roman" w:hAnsi="Times New Roman" w:cs="Times New Roman"/>
          <w:sz w:val="24"/>
          <w:szCs w:val="24"/>
        </w:rPr>
        <w:footnoteReference w:id="17"/>
      </w:r>
      <w:r w:rsidRPr="00173913" w:rsidR="005535FB">
        <w:rPr>
          <w:rFonts w:ascii="Times New Roman" w:hAnsi="Times New Roman" w:cs="Times New Roman"/>
          <w:sz w:val="24"/>
          <w:szCs w:val="24"/>
        </w:rPr>
        <w:t xml:space="preserve"> </w:t>
      </w:r>
      <w:r w:rsidRPr="00173913">
        <w:rPr>
          <w:rFonts w:ascii="Times New Roman" w:hAnsi="Times New Roman" w:cs="Times New Roman"/>
          <w:sz w:val="24"/>
          <w:szCs w:val="24"/>
        </w:rPr>
        <w:t xml:space="preserve">Accordingly, the “precedent” that the PUCO supposedly followed in </w:t>
      </w:r>
      <w:r w:rsidRPr="00173913" w:rsidR="00A93FA9">
        <w:rPr>
          <w:rFonts w:ascii="Times New Roman" w:hAnsi="Times New Roman" w:cs="Times New Roman"/>
          <w:sz w:val="24"/>
          <w:szCs w:val="24"/>
        </w:rPr>
        <w:t>subsequent cases</w:t>
      </w:r>
      <w:r w:rsidRPr="00173913">
        <w:rPr>
          <w:rFonts w:ascii="Times New Roman" w:hAnsi="Times New Roman" w:cs="Times New Roman"/>
          <w:sz w:val="24"/>
          <w:szCs w:val="24"/>
        </w:rPr>
        <w:t xml:space="preserve"> (and the other gas utility capital expenditure program cases) was wrong and unlawful.</w:t>
      </w:r>
      <w:r w:rsidRPr="00173913" w:rsidR="005535FB">
        <w:rPr>
          <w:rFonts w:ascii="Times New Roman" w:hAnsi="Times New Roman" w:cs="Times New Roman"/>
          <w:sz w:val="24"/>
          <w:szCs w:val="24"/>
        </w:rPr>
        <w:t xml:space="preserve"> </w:t>
      </w:r>
      <w:r w:rsidRPr="00173913">
        <w:rPr>
          <w:rFonts w:ascii="Times New Roman" w:hAnsi="Times New Roman" w:cs="Times New Roman"/>
          <w:sz w:val="24"/>
          <w:szCs w:val="24"/>
        </w:rPr>
        <w:t>Each case was the fruit of a poisonous tree</w:t>
      </w:r>
      <w:r w:rsidRPr="00173913" w:rsidR="006B181E">
        <w:rPr>
          <w:rFonts w:ascii="Times New Roman" w:hAnsi="Times New Roman" w:cs="Times New Roman"/>
          <w:sz w:val="24"/>
          <w:szCs w:val="24"/>
        </w:rPr>
        <w:t xml:space="preserve"> that began with</w:t>
      </w:r>
      <w:r w:rsidRPr="00173913" w:rsidR="00B84CA5">
        <w:rPr>
          <w:rFonts w:ascii="Times New Roman" w:hAnsi="Times New Roman" w:cs="Times New Roman"/>
          <w:sz w:val="24"/>
          <w:szCs w:val="24"/>
        </w:rPr>
        <w:t xml:space="preserve"> </w:t>
      </w:r>
      <w:r w:rsidRPr="00173913" w:rsidR="00B84CA5">
        <w:rPr>
          <w:rFonts w:ascii="Times New Roman" w:hAnsi="Times New Roman" w:cs="Times New Roman"/>
          <w:i/>
          <w:iCs/>
          <w:sz w:val="24"/>
          <w:szCs w:val="24"/>
        </w:rPr>
        <w:t>In the Matter of the Application of the East Ohio Gas Company DBA Dominion Energy Ohio for Approval of An Alternative Form of Regulation to Establish a Capital Expenditure Program Rider Mechanism</w:t>
      </w:r>
      <w:r w:rsidRPr="00173913" w:rsidR="00293E41">
        <w:rPr>
          <w:rFonts w:ascii="Times New Roman" w:hAnsi="Times New Roman" w:cs="Times New Roman"/>
          <w:i/>
          <w:iCs/>
          <w:sz w:val="24"/>
          <w:szCs w:val="24"/>
        </w:rPr>
        <w:t>.</w:t>
      </w:r>
      <w:r>
        <w:rPr>
          <w:rStyle w:val="FootnoteReference"/>
          <w:rFonts w:ascii="Times New Roman" w:hAnsi="Times New Roman" w:cs="Times New Roman"/>
          <w:sz w:val="24"/>
          <w:szCs w:val="24"/>
        </w:rPr>
        <w:footnoteReference w:id="18"/>
      </w:r>
      <w:r w:rsidRPr="00173913" w:rsidR="009F114F">
        <w:rPr>
          <w:rFonts w:ascii="Times New Roman" w:hAnsi="Times New Roman" w:cs="Times New Roman"/>
          <w:sz w:val="24"/>
          <w:szCs w:val="24"/>
        </w:rPr>
        <w:t xml:space="preserve"> It should not be followed here.</w:t>
      </w:r>
      <w:r w:rsidRPr="00173913" w:rsidR="00A93FA9">
        <w:rPr>
          <w:rFonts w:ascii="Times New Roman" w:hAnsi="Times New Roman" w:cs="Times New Roman"/>
          <w:sz w:val="24"/>
          <w:szCs w:val="24"/>
        </w:rPr>
        <w:t xml:space="preserve"> </w:t>
      </w:r>
    </w:p>
    <w:p w:rsidR="00373F37" w:rsidRPr="00173913" w:rsidP="00373F37" w14:paraId="72DC19E0" w14:textId="53DEDB13">
      <w:pPr>
        <w:spacing w:after="0" w:line="480" w:lineRule="auto"/>
        <w:ind w:firstLine="720"/>
        <w:rPr>
          <w:rFonts w:ascii="Times New Roman" w:hAnsi="Times New Roman" w:cs="Times New Roman"/>
          <w:sz w:val="24"/>
          <w:szCs w:val="24"/>
        </w:rPr>
      </w:pPr>
      <w:r w:rsidRPr="00173913">
        <w:rPr>
          <w:rFonts w:ascii="Times New Roman" w:hAnsi="Times New Roman" w:cs="Times New Roman"/>
          <w:sz w:val="24"/>
          <w:szCs w:val="24"/>
        </w:rPr>
        <w:t xml:space="preserve">In incorporating its 13-year-old rate of return and return on equity into its capital expenditure program, Dominion </w:t>
      </w:r>
      <w:r w:rsidRPr="00173913" w:rsidR="001C1532">
        <w:rPr>
          <w:rFonts w:ascii="Times New Roman" w:hAnsi="Times New Roman" w:cs="Times New Roman"/>
          <w:sz w:val="24"/>
          <w:szCs w:val="24"/>
        </w:rPr>
        <w:t>violates</w:t>
      </w:r>
      <w:r w:rsidRPr="00173913">
        <w:rPr>
          <w:rFonts w:ascii="Times New Roman" w:hAnsi="Times New Roman" w:cs="Times New Roman"/>
          <w:sz w:val="24"/>
          <w:szCs w:val="24"/>
        </w:rPr>
        <w:t xml:space="preserve"> </w:t>
      </w:r>
      <w:r w:rsidRPr="00173913" w:rsidR="009F114F">
        <w:rPr>
          <w:rFonts w:ascii="Times New Roman" w:hAnsi="Times New Roman" w:cs="Times New Roman"/>
          <w:sz w:val="24"/>
          <w:szCs w:val="24"/>
        </w:rPr>
        <w:t xml:space="preserve">valid </w:t>
      </w:r>
      <w:r w:rsidRPr="00173913">
        <w:rPr>
          <w:rFonts w:ascii="Times New Roman" w:hAnsi="Times New Roman" w:cs="Times New Roman"/>
          <w:sz w:val="24"/>
          <w:szCs w:val="24"/>
        </w:rPr>
        <w:t>PUCO precedent</w:t>
      </w:r>
      <w:r w:rsidRPr="00173913" w:rsidR="009F114F">
        <w:rPr>
          <w:rFonts w:ascii="Times New Roman" w:hAnsi="Times New Roman" w:cs="Times New Roman"/>
          <w:sz w:val="24"/>
          <w:szCs w:val="24"/>
        </w:rPr>
        <w:t xml:space="preserve"> against using rates that are more than three years old</w:t>
      </w:r>
      <w:r w:rsidRPr="00173913">
        <w:rPr>
          <w:rFonts w:ascii="Times New Roman" w:hAnsi="Times New Roman" w:cs="Times New Roman"/>
          <w:sz w:val="24"/>
          <w:szCs w:val="24"/>
        </w:rPr>
        <w:t xml:space="preserve">. </w:t>
      </w:r>
      <w:r w:rsidRPr="00173913" w:rsidR="001C1532">
        <w:rPr>
          <w:rFonts w:ascii="Times New Roman" w:hAnsi="Times New Roman" w:cs="Times New Roman"/>
          <w:sz w:val="24"/>
          <w:szCs w:val="24"/>
        </w:rPr>
        <w:t xml:space="preserve">The PUCO should not allow Dominion to </w:t>
      </w:r>
      <w:r w:rsidRPr="00173913" w:rsidR="009F114F">
        <w:rPr>
          <w:rFonts w:ascii="Times New Roman" w:hAnsi="Times New Roman" w:cs="Times New Roman"/>
          <w:sz w:val="24"/>
          <w:szCs w:val="24"/>
        </w:rPr>
        <w:t>do so</w:t>
      </w:r>
      <w:r w:rsidRPr="00173913" w:rsidR="00E73B8F">
        <w:rPr>
          <w:rFonts w:ascii="Times New Roman" w:hAnsi="Times New Roman" w:cs="Times New Roman"/>
          <w:sz w:val="24"/>
          <w:szCs w:val="24"/>
        </w:rPr>
        <w:t>.</w:t>
      </w:r>
      <w:r w:rsidR="00173913">
        <w:rPr>
          <w:rFonts w:ascii="Times New Roman" w:hAnsi="Times New Roman" w:cs="Times New Roman"/>
          <w:sz w:val="24"/>
          <w:szCs w:val="24"/>
        </w:rPr>
        <w:t xml:space="preserve"> </w:t>
      </w:r>
    </w:p>
    <w:p w:rsidR="00F10FF5" w:rsidRPr="00225412" w:rsidP="00225412" w14:paraId="0A21007D" w14:textId="192E63C1">
      <w:pPr>
        <w:pStyle w:val="Heading2"/>
      </w:pPr>
      <w:bookmarkStart w:id="7" w:name="_Toc113535257"/>
      <w:r>
        <w:t>B.</w:t>
      </w:r>
      <w:r>
        <w:tab/>
      </w:r>
      <w:r w:rsidRPr="00173913" w:rsidR="00027573">
        <w:t>T</w:t>
      </w:r>
      <w:r w:rsidRPr="00173913">
        <w:t>o protect consumers, t</w:t>
      </w:r>
      <w:r w:rsidRPr="00173913" w:rsidR="00027573">
        <w:t>he PUCO should reject Dominion’s Proposed Pre-Tax Rate of Return of 9.91</w:t>
      </w:r>
      <w:r w:rsidRPr="00173913" w:rsidR="000B54E5">
        <w:t xml:space="preserve">% </w:t>
      </w:r>
      <w:r w:rsidRPr="00173913" w:rsidR="000D3C09">
        <w:t xml:space="preserve">as unjust and unreasonable </w:t>
      </w:r>
      <w:r w:rsidRPr="00173913" w:rsidR="000B54E5">
        <w:t>and adopt an updated rate of return.</w:t>
      </w:r>
      <w:bookmarkEnd w:id="7"/>
      <w:r w:rsidRPr="00173913" w:rsidR="000B54E5">
        <w:t xml:space="preserve"> </w:t>
      </w:r>
    </w:p>
    <w:p w:rsidR="003E2ED1" w:rsidRPr="00173913" w:rsidP="00884939" w14:paraId="3597EB3C" w14:textId="102C2F58">
      <w:pPr>
        <w:spacing w:after="0" w:line="480" w:lineRule="auto"/>
        <w:ind w:firstLine="720"/>
        <w:rPr>
          <w:rFonts w:ascii="Times New Roman" w:eastAsia="Times New Roman" w:hAnsi="Times New Roman" w:cs="Times New Roman"/>
          <w:sz w:val="24"/>
          <w:szCs w:val="24"/>
        </w:rPr>
      </w:pPr>
      <w:r w:rsidRPr="00173913">
        <w:rPr>
          <w:rFonts w:ascii="Times New Roman" w:hAnsi="Times New Roman" w:cs="Times New Roman"/>
          <w:bCs/>
          <w:sz w:val="24"/>
          <w:szCs w:val="24"/>
        </w:rPr>
        <w:t>The regulatory principles in setting a reasonable rate of return for a regulated utility, including the cost of equity (“return on equity” or “allowed profits”) and cost of debt, are well-established.</w:t>
      </w:r>
      <w:r>
        <w:rPr>
          <w:rStyle w:val="FootnoteReference"/>
          <w:rFonts w:ascii="Times New Roman" w:hAnsi="Times New Roman" w:cs="Times New Roman"/>
          <w:bCs/>
          <w:sz w:val="24"/>
          <w:szCs w:val="24"/>
        </w:rPr>
        <w:footnoteReference w:id="19"/>
      </w:r>
      <w:r w:rsidRPr="00173913">
        <w:rPr>
          <w:rFonts w:ascii="Times New Roman" w:hAnsi="Times New Roman" w:cs="Times New Roman"/>
          <w:bCs/>
          <w:sz w:val="24"/>
          <w:szCs w:val="24"/>
        </w:rPr>
        <w:t xml:space="preserve"> The fundamental regulatory principles regarding rate of return are best exemplified </w:t>
      </w:r>
      <w:r w:rsidRPr="00173913">
        <w:rPr>
          <w:rFonts w:ascii="Times New Roman" w:eastAsia="Times New Roman" w:hAnsi="Times New Roman" w:cs="Times New Roman"/>
          <w:sz w:val="24"/>
          <w:szCs w:val="24"/>
        </w:rPr>
        <w:t xml:space="preserve">in the case of </w:t>
      </w:r>
      <w:r w:rsidRPr="00173913">
        <w:rPr>
          <w:rFonts w:ascii="Times New Roman" w:eastAsia="Times New Roman" w:hAnsi="Times New Roman" w:cs="Times New Roman"/>
          <w:i/>
          <w:color w:val="000000"/>
          <w:sz w:val="24"/>
          <w:szCs w:val="24"/>
        </w:rPr>
        <w:t xml:space="preserve">Bluefield Water Works v. Public Service Comm'n, </w:t>
      </w:r>
      <w:r w:rsidRPr="00173913">
        <w:rPr>
          <w:rFonts w:ascii="Times New Roman" w:eastAsia="Times New Roman" w:hAnsi="Times New Roman" w:cs="Times New Roman"/>
          <w:color w:val="000000"/>
          <w:sz w:val="24"/>
          <w:szCs w:val="24"/>
        </w:rPr>
        <w:t>262 U.S. 679 (1923).</w:t>
      </w:r>
      <w:r>
        <w:rPr>
          <w:rStyle w:val="FootnoteReference"/>
          <w:rFonts w:ascii="Times New Roman" w:eastAsia="Times New Roman" w:hAnsi="Times New Roman" w:cs="Times New Roman"/>
          <w:color w:val="000000"/>
          <w:sz w:val="24"/>
          <w:szCs w:val="24"/>
        </w:rPr>
        <w:footnoteReference w:id="20"/>
      </w:r>
      <w:r w:rsidRPr="00173913">
        <w:rPr>
          <w:rFonts w:ascii="Times New Roman" w:eastAsia="Times New Roman" w:hAnsi="Times New Roman" w:cs="Times New Roman"/>
          <w:color w:val="000000"/>
          <w:sz w:val="24"/>
          <w:szCs w:val="24"/>
        </w:rPr>
        <w:t xml:space="preserve"> In that case, </w:t>
      </w:r>
      <w:r w:rsidRPr="00173913">
        <w:rPr>
          <w:rFonts w:ascii="Times New Roman" w:eastAsia="Times New Roman" w:hAnsi="Times New Roman" w:cs="Times New Roman"/>
          <w:sz w:val="24"/>
          <w:szCs w:val="24"/>
        </w:rPr>
        <w:t>the U.S Supreme Court ruled that:</w:t>
      </w:r>
    </w:p>
    <w:p w:rsidR="003E2ED1" w:rsidRPr="00173913" w:rsidP="00D639AF" w14:paraId="40A849B1" w14:textId="48CA0BA1">
      <w:pPr>
        <w:spacing w:after="0" w:line="240" w:lineRule="auto"/>
        <w:ind w:left="1440" w:right="1440"/>
        <w:rPr>
          <w:rFonts w:ascii="Times New Roman" w:hAnsi="Times New Roman" w:cs="Times New Roman"/>
          <w:sz w:val="24"/>
          <w:szCs w:val="24"/>
        </w:rPr>
      </w:pPr>
      <w:r w:rsidRPr="00173913">
        <w:rPr>
          <w:rFonts w:ascii="Times New Roman" w:hAnsi="Times New Roman" w:cs="Times New Roman"/>
          <w:sz w:val="24"/>
          <w:szCs w:val="24"/>
        </w:rPr>
        <w:t xml:space="preserve">A public utility is entitled to such rates as will permit it to earn a return on the value of the property which it employs for the convenience of the public equal to that generally being made at the same time and in the same general part of the country on investments in other business undertakings which are attended by corresponding risks and uncertainties; but it has no constitutional right to profits such as are realized or anticipated in highly profitable enterprises or speculative ventures. </w:t>
      </w:r>
    </w:p>
    <w:p w:rsidR="003E2ED1" w:rsidRPr="00173913" w:rsidP="003E2ED1" w14:paraId="0A2CFBBB" w14:textId="77777777">
      <w:pPr>
        <w:spacing w:after="0" w:line="240" w:lineRule="auto"/>
        <w:ind w:left="1440" w:right="446"/>
        <w:rPr>
          <w:rFonts w:ascii="Times New Roman" w:hAnsi="Times New Roman" w:cs="Times New Roman"/>
          <w:sz w:val="24"/>
          <w:szCs w:val="24"/>
        </w:rPr>
      </w:pPr>
    </w:p>
    <w:p w:rsidR="003E2ED1" w:rsidRPr="00173913" w:rsidP="00884939" w14:paraId="5D843FFE" w14:textId="45365FD3">
      <w:pPr>
        <w:spacing w:after="0" w:line="480" w:lineRule="auto"/>
        <w:ind w:firstLine="720"/>
        <w:rPr>
          <w:rFonts w:ascii="Times New Roman" w:hAnsi="Times New Roman" w:cs="Times New Roman"/>
          <w:sz w:val="24"/>
          <w:szCs w:val="24"/>
        </w:rPr>
      </w:pPr>
      <w:r w:rsidRPr="00173913">
        <w:rPr>
          <w:rFonts w:ascii="Times New Roman" w:hAnsi="Times New Roman" w:cs="Times New Roman"/>
          <w:bCs/>
          <w:sz w:val="24"/>
          <w:szCs w:val="24"/>
        </w:rPr>
        <w:t>Accordingly, for the purpose of this proceeding, the returns on the net rate base (net plant investment and deferrals) included in the CEP Rider charges should be commensurate with the current business and financial risks facing Dominion and current financial market conditions.</w:t>
      </w:r>
      <w:r>
        <w:rPr>
          <w:rStyle w:val="FootnoteReference"/>
          <w:rFonts w:ascii="Times New Roman" w:hAnsi="Times New Roman" w:cs="Times New Roman"/>
          <w:bCs/>
          <w:sz w:val="24"/>
          <w:szCs w:val="24"/>
        </w:rPr>
        <w:footnoteReference w:id="21"/>
      </w:r>
      <w:r w:rsidRPr="00173913" w:rsidR="00F10FF5">
        <w:rPr>
          <w:rFonts w:ascii="Times New Roman" w:hAnsi="Times New Roman" w:cs="Times New Roman"/>
          <w:bCs/>
          <w:sz w:val="24"/>
          <w:szCs w:val="24"/>
        </w:rPr>
        <w:t xml:space="preserve"> Dominion’s proposal is not.</w:t>
      </w:r>
    </w:p>
    <w:p w:rsidR="00995CA2" w:rsidRPr="00173913" w:rsidP="00884939" w14:paraId="0F8076B8" w14:textId="129C299B">
      <w:pPr>
        <w:spacing w:after="0" w:line="480" w:lineRule="auto"/>
        <w:ind w:firstLine="720"/>
        <w:rPr>
          <w:rFonts w:ascii="Times New Roman" w:hAnsi="Times New Roman" w:cs="Times New Roman"/>
          <w:sz w:val="24"/>
          <w:szCs w:val="24"/>
        </w:rPr>
      </w:pPr>
      <w:r w:rsidRPr="00173913">
        <w:rPr>
          <w:rFonts w:ascii="Times New Roman" w:hAnsi="Times New Roman" w:cs="Times New Roman"/>
          <w:sz w:val="24"/>
          <w:szCs w:val="24"/>
        </w:rPr>
        <w:t xml:space="preserve">Dominion </w:t>
      </w:r>
      <w:r w:rsidRPr="00173913" w:rsidR="00F10FF5">
        <w:rPr>
          <w:rFonts w:ascii="Times New Roman" w:hAnsi="Times New Roman" w:cs="Times New Roman"/>
          <w:sz w:val="24"/>
          <w:szCs w:val="24"/>
        </w:rPr>
        <w:t xml:space="preserve">thus </w:t>
      </w:r>
      <w:r w:rsidRPr="00173913">
        <w:rPr>
          <w:rFonts w:ascii="Times New Roman" w:hAnsi="Times New Roman" w:cs="Times New Roman"/>
          <w:sz w:val="24"/>
          <w:szCs w:val="24"/>
        </w:rPr>
        <w:t>has not met its burden of proving that its proposal is just and reasonable.</w:t>
      </w:r>
      <w:r>
        <w:rPr>
          <w:rStyle w:val="FootnoteReference"/>
          <w:rFonts w:ascii="Times New Roman" w:hAnsi="Times New Roman" w:cs="Times New Roman"/>
          <w:sz w:val="24"/>
          <w:szCs w:val="24"/>
        </w:rPr>
        <w:footnoteReference w:id="22"/>
      </w:r>
      <w:r w:rsidRPr="00173913">
        <w:rPr>
          <w:rFonts w:ascii="Times New Roman" w:hAnsi="Times New Roman" w:cs="Times New Roman"/>
          <w:sz w:val="24"/>
          <w:szCs w:val="24"/>
        </w:rPr>
        <w:t xml:space="preserve"> </w:t>
      </w:r>
      <w:r w:rsidRPr="00173913" w:rsidR="000D3C09">
        <w:rPr>
          <w:rFonts w:ascii="Times New Roman" w:hAnsi="Times New Roman" w:cs="Times New Roman"/>
          <w:sz w:val="24"/>
          <w:szCs w:val="24"/>
        </w:rPr>
        <w:t xml:space="preserve">An </w:t>
      </w:r>
      <w:r w:rsidRPr="00173913" w:rsidR="00942357">
        <w:rPr>
          <w:rFonts w:ascii="Times New Roman" w:hAnsi="Times New Roman" w:cs="Times New Roman"/>
          <w:sz w:val="24"/>
          <w:szCs w:val="24"/>
        </w:rPr>
        <w:t>OCC expert witness demonstrated</w:t>
      </w:r>
      <w:r w:rsidRPr="00173913" w:rsidR="000D3C09">
        <w:rPr>
          <w:rFonts w:ascii="Times New Roman" w:hAnsi="Times New Roman" w:cs="Times New Roman"/>
          <w:sz w:val="24"/>
          <w:szCs w:val="24"/>
        </w:rPr>
        <w:t xml:space="preserve"> conclusively</w:t>
      </w:r>
      <w:r w:rsidRPr="00173913" w:rsidR="00942357">
        <w:rPr>
          <w:rFonts w:ascii="Times New Roman" w:hAnsi="Times New Roman" w:cs="Times New Roman"/>
          <w:sz w:val="24"/>
          <w:szCs w:val="24"/>
        </w:rPr>
        <w:t xml:space="preserve"> that the 9.91% pre-tax rate of return set in Case No. 07-829-GA-AIR</w:t>
      </w:r>
      <w:r w:rsidRPr="00173913" w:rsidR="000D3C09">
        <w:rPr>
          <w:rFonts w:ascii="Times New Roman" w:hAnsi="Times New Roman" w:cs="Times New Roman"/>
          <w:sz w:val="24"/>
          <w:szCs w:val="24"/>
        </w:rPr>
        <w:t xml:space="preserve"> is outdated and too high.</w:t>
      </w:r>
      <w:r w:rsidRPr="00173913" w:rsidR="000B54E5">
        <w:rPr>
          <w:rFonts w:ascii="Times New Roman" w:hAnsi="Times New Roman" w:cs="Times New Roman"/>
          <w:sz w:val="24"/>
          <w:szCs w:val="24"/>
        </w:rPr>
        <w:t xml:space="preserve"> </w:t>
      </w:r>
      <w:r w:rsidRPr="00173913" w:rsidR="005F721C">
        <w:rPr>
          <w:rFonts w:ascii="Times New Roman" w:hAnsi="Times New Roman" w:cs="Times New Roman"/>
          <w:sz w:val="24"/>
          <w:szCs w:val="24"/>
        </w:rPr>
        <w:t xml:space="preserve">The OCC witness, Dr. Daniel J. Duann, testified </w:t>
      </w:r>
      <w:r w:rsidRPr="00173913" w:rsidR="009F114F">
        <w:rPr>
          <w:rFonts w:ascii="Times New Roman" w:hAnsi="Times New Roman" w:cs="Times New Roman"/>
          <w:sz w:val="24"/>
          <w:szCs w:val="24"/>
        </w:rPr>
        <w:t xml:space="preserve">that </w:t>
      </w:r>
      <w:r w:rsidRPr="00173913" w:rsidR="000D3724">
        <w:rPr>
          <w:rFonts w:ascii="Times New Roman" w:hAnsi="Times New Roman" w:cs="Times New Roman"/>
          <w:sz w:val="24"/>
          <w:szCs w:val="24"/>
        </w:rPr>
        <w:t>there has been “significant decline in the cost of debt and cost of equity since 2008.”</w:t>
      </w:r>
      <w:r>
        <w:rPr>
          <w:rStyle w:val="FootnoteReference"/>
          <w:rFonts w:ascii="Times New Roman" w:hAnsi="Times New Roman" w:cs="Times New Roman"/>
          <w:sz w:val="24"/>
          <w:szCs w:val="24"/>
        </w:rPr>
        <w:footnoteReference w:id="23"/>
      </w:r>
      <w:r w:rsidRPr="00173913" w:rsidR="000D3724">
        <w:rPr>
          <w:rFonts w:ascii="Times New Roman" w:hAnsi="Times New Roman" w:cs="Times New Roman"/>
          <w:sz w:val="24"/>
          <w:szCs w:val="24"/>
        </w:rPr>
        <w:t xml:space="preserve"> </w:t>
      </w:r>
      <w:r w:rsidRPr="00173913" w:rsidR="00EE0237">
        <w:rPr>
          <w:rFonts w:ascii="Times New Roman" w:hAnsi="Times New Roman" w:cs="Times New Roman"/>
          <w:sz w:val="24"/>
          <w:szCs w:val="24"/>
        </w:rPr>
        <w:t xml:space="preserve">As a result, “use of the return on equity and cost of debt set” in Dominion’s last base rate case </w:t>
      </w:r>
      <w:r w:rsidRPr="00173913" w:rsidR="00CE68F9">
        <w:rPr>
          <w:rFonts w:ascii="Times New Roman" w:hAnsi="Times New Roman" w:cs="Times New Roman"/>
          <w:sz w:val="24"/>
          <w:szCs w:val="24"/>
        </w:rPr>
        <w:t xml:space="preserve">(as Dominion has proposed) </w:t>
      </w:r>
      <w:r w:rsidRPr="00173913" w:rsidR="00EE0237">
        <w:rPr>
          <w:rFonts w:ascii="Times New Roman" w:hAnsi="Times New Roman" w:cs="Times New Roman"/>
          <w:sz w:val="24"/>
          <w:szCs w:val="24"/>
        </w:rPr>
        <w:t>would yield “excessive and unreasonable profits for Dominion and unreasonably high CEP charges for consumers.”</w:t>
      </w:r>
      <w:r>
        <w:rPr>
          <w:rStyle w:val="FootnoteReference"/>
          <w:rFonts w:ascii="Times New Roman" w:hAnsi="Times New Roman" w:cs="Times New Roman"/>
          <w:sz w:val="24"/>
          <w:szCs w:val="24"/>
        </w:rPr>
        <w:footnoteReference w:id="24"/>
      </w:r>
      <w:r w:rsidRPr="00173913" w:rsidR="00EE0237">
        <w:rPr>
          <w:rFonts w:ascii="Times New Roman" w:hAnsi="Times New Roman" w:cs="Times New Roman"/>
          <w:sz w:val="24"/>
          <w:szCs w:val="24"/>
        </w:rPr>
        <w:t xml:space="preserve"> </w:t>
      </w:r>
      <w:r w:rsidRPr="00173913" w:rsidR="003A7563">
        <w:rPr>
          <w:rFonts w:ascii="Times New Roman" w:hAnsi="Times New Roman" w:cs="Times New Roman"/>
          <w:sz w:val="24"/>
          <w:szCs w:val="24"/>
        </w:rPr>
        <w:t>Dr. Duann showed that Dominion’s proposed cost of debt – 6.50% – should be no higher than 2.29%.</w:t>
      </w:r>
      <w:r>
        <w:rPr>
          <w:rStyle w:val="FootnoteReference"/>
          <w:rFonts w:ascii="Times New Roman" w:hAnsi="Times New Roman" w:cs="Times New Roman"/>
          <w:sz w:val="24"/>
          <w:szCs w:val="24"/>
        </w:rPr>
        <w:footnoteReference w:id="25"/>
      </w:r>
      <w:r w:rsidRPr="00173913" w:rsidR="003A7563">
        <w:rPr>
          <w:rFonts w:ascii="Times New Roman" w:hAnsi="Times New Roman" w:cs="Times New Roman"/>
          <w:sz w:val="24"/>
          <w:szCs w:val="24"/>
        </w:rPr>
        <w:t xml:space="preserve"> Similarly, Dr. Duann testified that Dominion’s proposed 10.38% return on equity should be no higher than 9.30%.</w:t>
      </w:r>
      <w:r>
        <w:rPr>
          <w:rStyle w:val="FootnoteReference"/>
          <w:rFonts w:ascii="Times New Roman" w:hAnsi="Times New Roman" w:cs="Times New Roman"/>
          <w:sz w:val="24"/>
          <w:szCs w:val="24"/>
        </w:rPr>
        <w:footnoteReference w:id="26"/>
      </w:r>
      <w:r w:rsidRPr="00173913" w:rsidR="003A7563">
        <w:rPr>
          <w:rFonts w:ascii="Times New Roman" w:hAnsi="Times New Roman" w:cs="Times New Roman"/>
          <w:sz w:val="24"/>
          <w:szCs w:val="24"/>
        </w:rPr>
        <w:t xml:space="preserve"> </w:t>
      </w:r>
      <w:r w:rsidRPr="00173913" w:rsidR="00EE0237">
        <w:rPr>
          <w:rFonts w:ascii="Times New Roman" w:hAnsi="Times New Roman" w:cs="Times New Roman"/>
          <w:sz w:val="24"/>
          <w:szCs w:val="24"/>
        </w:rPr>
        <w:t xml:space="preserve">Taken together, </w:t>
      </w:r>
      <w:r w:rsidRPr="00173913">
        <w:rPr>
          <w:rFonts w:ascii="Times New Roman" w:hAnsi="Times New Roman" w:cs="Times New Roman"/>
          <w:sz w:val="24"/>
          <w:szCs w:val="24"/>
        </w:rPr>
        <w:t xml:space="preserve">Dr. </w:t>
      </w:r>
      <w:r w:rsidRPr="00173913" w:rsidR="00EE0237">
        <w:rPr>
          <w:rFonts w:ascii="Times New Roman" w:hAnsi="Times New Roman" w:cs="Times New Roman"/>
          <w:sz w:val="24"/>
          <w:szCs w:val="24"/>
        </w:rPr>
        <w:t>Duann testified that Dominion’s updated pre-tax rate of return should be no more than 7.03%.</w:t>
      </w:r>
      <w:r>
        <w:rPr>
          <w:rStyle w:val="FootnoteReference"/>
          <w:rFonts w:ascii="Times New Roman" w:hAnsi="Times New Roman" w:cs="Times New Roman"/>
          <w:sz w:val="24"/>
          <w:szCs w:val="24"/>
        </w:rPr>
        <w:footnoteReference w:id="27"/>
      </w:r>
      <w:r w:rsidRPr="00173913" w:rsidR="00EE0237">
        <w:rPr>
          <w:rFonts w:ascii="Times New Roman" w:hAnsi="Times New Roman" w:cs="Times New Roman"/>
          <w:sz w:val="24"/>
          <w:szCs w:val="24"/>
        </w:rPr>
        <w:t xml:space="preserve"> </w:t>
      </w:r>
    </w:p>
    <w:p w:rsidR="00EC0343" w:rsidRPr="00173913" w:rsidP="0014646E" w14:paraId="6596C46E" w14:textId="098AAEDE">
      <w:pPr>
        <w:spacing w:after="0" w:line="480" w:lineRule="auto"/>
        <w:ind w:firstLine="720"/>
        <w:rPr>
          <w:rFonts w:ascii="Times New Roman" w:hAnsi="Times New Roman" w:cs="Times New Roman"/>
          <w:sz w:val="24"/>
          <w:szCs w:val="24"/>
        </w:rPr>
      </w:pPr>
      <w:r w:rsidRPr="00173913">
        <w:rPr>
          <w:rFonts w:ascii="Times New Roman" w:hAnsi="Times New Roman" w:cs="Times New Roman"/>
          <w:sz w:val="24"/>
          <w:szCs w:val="24"/>
        </w:rPr>
        <w:t xml:space="preserve">By failing to update its rate of return for decreased costs of debt and equity, Dominion </w:t>
      </w:r>
      <w:r w:rsidRPr="00173913" w:rsidR="00E73B8F">
        <w:rPr>
          <w:rFonts w:ascii="Times New Roman" w:hAnsi="Times New Roman" w:cs="Times New Roman"/>
          <w:sz w:val="24"/>
          <w:szCs w:val="24"/>
        </w:rPr>
        <w:t xml:space="preserve">proposes to </w:t>
      </w:r>
      <w:r w:rsidRPr="00173913">
        <w:rPr>
          <w:rFonts w:ascii="Times New Roman" w:hAnsi="Times New Roman" w:cs="Times New Roman"/>
          <w:sz w:val="24"/>
          <w:szCs w:val="24"/>
        </w:rPr>
        <w:t>overcharge consumers.</w:t>
      </w:r>
      <w:r w:rsidRPr="00173913">
        <w:rPr>
          <w:rFonts w:ascii="Times New Roman" w:hAnsi="Times New Roman" w:cs="Times New Roman"/>
          <w:bCs/>
          <w:sz w:val="24"/>
          <w:szCs w:val="24"/>
        </w:rPr>
        <w:t xml:space="preserve"> Based on Dr. Duann’s calculation, the use of the 9.91% pre-tax rate of return (vs. the 7.03% pre-tax rate of return OCC recommends) would increase the CEP Rider charges by approximately $21.4 million ($21,375,399) for the twelve-month period under review in this case.</w:t>
      </w:r>
      <w:r>
        <w:rPr>
          <w:rStyle w:val="FootnoteReference"/>
          <w:rFonts w:ascii="Times New Roman" w:hAnsi="Times New Roman" w:cs="Times New Roman"/>
          <w:bCs/>
          <w:sz w:val="24"/>
          <w:szCs w:val="24"/>
        </w:rPr>
        <w:footnoteReference w:id="28"/>
      </w:r>
      <w:r w:rsidRPr="00173913">
        <w:rPr>
          <w:rFonts w:ascii="Times New Roman" w:hAnsi="Times New Roman" w:cs="Times New Roman"/>
          <w:bCs/>
          <w:sz w:val="24"/>
          <w:szCs w:val="24"/>
        </w:rPr>
        <w:t xml:space="preserve"> This calculation is based on the adjusted net rate base and operating expenses, and reconciliation adjustment proposed in Table 9 and Table 10 of the Audit Report.</w:t>
      </w:r>
      <w:r>
        <w:rPr>
          <w:rStyle w:val="FootnoteReference"/>
          <w:rFonts w:ascii="Times New Roman" w:hAnsi="Times New Roman" w:cs="Times New Roman"/>
          <w:sz w:val="24"/>
          <w:szCs w:val="24"/>
        </w:rPr>
        <w:footnoteReference w:id="29"/>
      </w:r>
      <w:r w:rsidRPr="00173913">
        <w:rPr>
          <w:rFonts w:ascii="Times New Roman" w:hAnsi="Times New Roman" w:cs="Times New Roman"/>
          <w:bCs/>
          <w:sz w:val="24"/>
          <w:szCs w:val="24"/>
        </w:rPr>
        <w:t xml:space="preserve"> The difference ($0.99) in monthly residential rates is calculated by the share (63.34%) allocated to residential consumers and the number of annual total bills of 13,680,064 proposed by Dominion in Attachment A, Schedule 1 of its Application.</w:t>
      </w:r>
      <w:r>
        <w:rPr>
          <w:rStyle w:val="FootnoteReference"/>
          <w:rFonts w:ascii="Times New Roman" w:hAnsi="Times New Roman" w:cs="Times New Roman"/>
          <w:bCs/>
          <w:sz w:val="24"/>
          <w:szCs w:val="24"/>
        </w:rPr>
        <w:footnoteReference w:id="30"/>
      </w:r>
      <w:r w:rsidR="00173913">
        <w:rPr>
          <w:rFonts w:ascii="Times New Roman" w:hAnsi="Times New Roman" w:cs="Times New Roman"/>
          <w:bCs/>
          <w:sz w:val="24"/>
          <w:szCs w:val="24"/>
        </w:rPr>
        <w:t xml:space="preserve"> </w:t>
      </w:r>
    </w:p>
    <w:p w:rsidR="00027573" w:rsidRPr="00173913" w:rsidP="0014646E" w14:paraId="0F1D01BF" w14:textId="3FEA42EC">
      <w:pPr>
        <w:spacing w:after="0" w:line="480" w:lineRule="auto"/>
        <w:ind w:firstLine="720"/>
        <w:rPr>
          <w:rFonts w:ascii="Times New Roman" w:hAnsi="Times New Roman" w:cs="Times New Roman"/>
          <w:sz w:val="24"/>
          <w:szCs w:val="24"/>
        </w:rPr>
      </w:pPr>
      <w:r w:rsidRPr="00173913">
        <w:rPr>
          <w:rFonts w:ascii="Times New Roman" w:hAnsi="Times New Roman" w:cs="Times New Roman"/>
          <w:sz w:val="24"/>
          <w:szCs w:val="24"/>
        </w:rPr>
        <w:t>To protect consumers, t</w:t>
      </w:r>
      <w:r w:rsidRPr="00173913" w:rsidR="00B422DB">
        <w:rPr>
          <w:rFonts w:ascii="Times New Roman" w:hAnsi="Times New Roman" w:cs="Times New Roman"/>
          <w:sz w:val="24"/>
          <w:szCs w:val="24"/>
        </w:rPr>
        <w:t>he PUCO should reject Dominion’s proposal as unjust and unreasonable</w:t>
      </w:r>
      <w:r w:rsidRPr="00173913" w:rsidR="008752EE">
        <w:rPr>
          <w:rFonts w:ascii="Times New Roman" w:hAnsi="Times New Roman" w:cs="Times New Roman"/>
          <w:sz w:val="24"/>
          <w:szCs w:val="24"/>
        </w:rPr>
        <w:t xml:space="preserve"> and adopt an updated rate of return</w:t>
      </w:r>
      <w:r w:rsidRPr="00173913" w:rsidR="00B422DB">
        <w:rPr>
          <w:rFonts w:ascii="Times New Roman" w:hAnsi="Times New Roman" w:cs="Times New Roman"/>
          <w:sz w:val="24"/>
          <w:szCs w:val="24"/>
        </w:rPr>
        <w:t xml:space="preserve">. </w:t>
      </w:r>
    </w:p>
    <w:p w:rsidR="00B76909" w:rsidRPr="00956199" w:rsidP="00956199" w14:paraId="763872AE" w14:textId="00F7A3E2">
      <w:pPr>
        <w:pStyle w:val="Heading2"/>
      </w:pPr>
      <w:bookmarkStart w:id="8" w:name="_Toc113535258"/>
      <w:r>
        <w:t>C.</w:t>
      </w:r>
      <w:r>
        <w:tab/>
      </w:r>
      <w:r w:rsidRPr="00173913" w:rsidR="00027573">
        <w:t>T</w:t>
      </w:r>
      <w:r w:rsidRPr="00173913" w:rsidR="00EE5754">
        <w:t>o protect consumers, t</w:t>
      </w:r>
      <w:r w:rsidRPr="00173913" w:rsidR="00027573">
        <w:t xml:space="preserve">he PUCO should adopt </w:t>
      </w:r>
      <w:r w:rsidRPr="00173913" w:rsidR="00EE5754">
        <w:t xml:space="preserve">several </w:t>
      </w:r>
      <w:r w:rsidRPr="00173913" w:rsidR="00027573">
        <w:t>Blue Ridge’s and the PUCO Staff’s findings and recommendations.</w:t>
      </w:r>
      <w:bookmarkEnd w:id="8"/>
      <w:r w:rsidRPr="00173913" w:rsidR="00027573">
        <w:t xml:space="preserve"> </w:t>
      </w:r>
    </w:p>
    <w:p w:rsidR="00890398" w:rsidRPr="00173913" w:rsidP="00991219" w14:paraId="7A62F3F7" w14:textId="28871790">
      <w:pPr>
        <w:spacing w:after="0" w:line="480" w:lineRule="auto"/>
        <w:ind w:firstLine="720"/>
        <w:rPr>
          <w:rFonts w:ascii="Times New Roman" w:hAnsi="Times New Roman" w:cs="Times New Roman"/>
          <w:sz w:val="24"/>
          <w:szCs w:val="24"/>
        </w:rPr>
      </w:pPr>
      <w:r w:rsidRPr="00173913">
        <w:rPr>
          <w:rFonts w:ascii="Times New Roman" w:hAnsi="Times New Roman" w:cs="Times New Roman"/>
          <w:sz w:val="24"/>
          <w:szCs w:val="24"/>
        </w:rPr>
        <w:t>To ensure Dominion charges consumers just and reasonable rates, the PUCO should adopt several recommendations by Blue Ridge’s independent audit of Dominion’s proposal</w:t>
      </w:r>
      <w:r>
        <w:rPr>
          <w:rStyle w:val="FootnoteReference"/>
          <w:rFonts w:ascii="Times New Roman" w:hAnsi="Times New Roman" w:cs="Times New Roman"/>
          <w:sz w:val="24"/>
          <w:szCs w:val="24"/>
        </w:rPr>
        <w:footnoteReference w:id="31"/>
      </w:r>
      <w:r w:rsidRPr="00173913">
        <w:rPr>
          <w:rFonts w:ascii="Times New Roman" w:hAnsi="Times New Roman" w:cs="Times New Roman"/>
          <w:sz w:val="24"/>
          <w:szCs w:val="24"/>
        </w:rPr>
        <w:t xml:space="preserve"> as well as PUCO Staff’s findings and recommendations.</w:t>
      </w:r>
      <w:r>
        <w:rPr>
          <w:rStyle w:val="FootnoteReference"/>
          <w:rFonts w:ascii="Times New Roman" w:hAnsi="Times New Roman" w:cs="Times New Roman"/>
          <w:sz w:val="24"/>
          <w:szCs w:val="24"/>
        </w:rPr>
        <w:footnoteReference w:id="32"/>
      </w:r>
    </w:p>
    <w:p w:rsidR="00B76909" w:rsidRPr="00173913" w:rsidP="00991219" w14:paraId="3380B455" w14:textId="0D13C2C5">
      <w:pPr>
        <w:spacing w:after="0" w:line="480" w:lineRule="auto"/>
        <w:ind w:firstLine="720"/>
        <w:rPr>
          <w:rFonts w:ascii="Times New Roman" w:hAnsi="Times New Roman" w:cs="Times New Roman"/>
          <w:sz w:val="24"/>
          <w:szCs w:val="24"/>
        </w:rPr>
      </w:pPr>
      <w:r w:rsidRPr="00173913">
        <w:rPr>
          <w:rFonts w:ascii="Times New Roman" w:hAnsi="Times New Roman" w:cs="Times New Roman"/>
          <w:sz w:val="24"/>
          <w:szCs w:val="24"/>
        </w:rPr>
        <w:t xml:space="preserve">First, </w:t>
      </w:r>
      <w:r w:rsidRPr="00173913" w:rsidR="00EE5754">
        <w:rPr>
          <w:rFonts w:ascii="Times New Roman" w:hAnsi="Times New Roman" w:cs="Times New Roman"/>
          <w:sz w:val="24"/>
          <w:szCs w:val="24"/>
        </w:rPr>
        <w:t xml:space="preserve">the </w:t>
      </w:r>
      <w:r w:rsidRPr="00173913">
        <w:rPr>
          <w:rFonts w:ascii="Times New Roman" w:hAnsi="Times New Roman" w:cs="Times New Roman"/>
          <w:sz w:val="24"/>
          <w:szCs w:val="24"/>
        </w:rPr>
        <w:t>PUCO should remove from Dominion’s CEP revenue requirement $100,145 in costs associated with renovation of two fitness centers. As PUCO Staff found, the “costs associated with these fitness centers do not fall within the categories set forth in R.C. 4929.111 or the Company’s obligation to furnish necessary and adequate services and facilities.</w:t>
      </w:r>
      <w:r w:rsidRPr="00173913" w:rsidR="00A00C45">
        <w:rPr>
          <w:rFonts w:ascii="Times New Roman" w:hAnsi="Times New Roman" w:cs="Times New Roman"/>
          <w:sz w:val="24"/>
          <w:szCs w:val="24"/>
        </w:rPr>
        <w:t>”</w:t>
      </w:r>
      <w:r>
        <w:rPr>
          <w:rStyle w:val="FootnoteReference"/>
          <w:rFonts w:ascii="Times New Roman" w:hAnsi="Times New Roman" w:cs="Times New Roman"/>
          <w:sz w:val="24"/>
          <w:szCs w:val="24"/>
        </w:rPr>
        <w:footnoteReference w:id="33"/>
      </w:r>
      <w:r w:rsidRPr="00173913" w:rsidR="00A00C45">
        <w:rPr>
          <w:rFonts w:ascii="Times New Roman" w:hAnsi="Times New Roman" w:cs="Times New Roman"/>
          <w:sz w:val="24"/>
          <w:szCs w:val="24"/>
        </w:rPr>
        <w:t xml:space="preserve"> </w:t>
      </w:r>
      <w:r w:rsidRPr="00173913">
        <w:rPr>
          <w:rFonts w:ascii="Times New Roman" w:hAnsi="Times New Roman" w:cs="Times New Roman"/>
          <w:sz w:val="24"/>
          <w:szCs w:val="24"/>
        </w:rPr>
        <w:t>As OCC expert witness Kerry Adkins further testified, fitness centers “are not related to Dominion’s obligation to provide natural gas service to consumers” and “do not provide a direct and primary benefit to consumers in Dominion’s natural gas service area.”</w:t>
      </w:r>
      <w:r>
        <w:rPr>
          <w:rStyle w:val="FootnoteReference"/>
          <w:rFonts w:ascii="Times New Roman" w:hAnsi="Times New Roman" w:cs="Times New Roman"/>
          <w:sz w:val="24"/>
          <w:szCs w:val="24"/>
        </w:rPr>
        <w:footnoteReference w:id="34"/>
      </w:r>
      <w:r w:rsidRPr="00173913">
        <w:rPr>
          <w:rFonts w:ascii="Times New Roman" w:hAnsi="Times New Roman" w:cs="Times New Roman"/>
          <w:sz w:val="24"/>
          <w:szCs w:val="24"/>
        </w:rPr>
        <w:t xml:space="preserve"> </w:t>
      </w:r>
      <w:r w:rsidRPr="00173913" w:rsidR="00890398">
        <w:rPr>
          <w:rFonts w:ascii="Times New Roman" w:hAnsi="Times New Roman" w:cs="Times New Roman"/>
          <w:sz w:val="24"/>
          <w:szCs w:val="24"/>
        </w:rPr>
        <w:t>Consequently, Dominion’s inclusion of these costs in its CEP application was unjust and unreasonable</w:t>
      </w:r>
      <w:r w:rsidRPr="00173913" w:rsidR="00442304">
        <w:rPr>
          <w:rFonts w:ascii="Times New Roman" w:hAnsi="Times New Roman" w:cs="Times New Roman"/>
          <w:sz w:val="24"/>
          <w:szCs w:val="24"/>
        </w:rPr>
        <w:t xml:space="preserve">, </w:t>
      </w:r>
      <w:r w:rsidRPr="00173913" w:rsidR="00A00C45">
        <w:rPr>
          <w:rFonts w:ascii="Times New Roman" w:hAnsi="Times New Roman" w:cs="Times New Roman"/>
          <w:sz w:val="24"/>
          <w:szCs w:val="24"/>
        </w:rPr>
        <w:t xml:space="preserve">and the PUCO should remove them. </w:t>
      </w:r>
    </w:p>
    <w:p w:rsidR="00890398" w:rsidRPr="00173913" w:rsidP="00991219" w14:paraId="001027AB" w14:textId="3440106F">
      <w:pPr>
        <w:spacing w:after="0" w:line="480" w:lineRule="auto"/>
        <w:ind w:firstLine="720"/>
        <w:rPr>
          <w:rFonts w:ascii="Times New Roman" w:hAnsi="Times New Roman" w:cs="Times New Roman"/>
          <w:sz w:val="24"/>
          <w:szCs w:val="24"/>
        </w:rPr>
      </w:pPr>
      <w:r w:rsidRPr="00173913">
        <w:rPr>
          <w:rFonts w:ascii="Times New Roman" w:hAnsi="Times New Roman" w:cs="Times New Roman"/>
          <w:sz w:val="24"/>
          <w:szCs w:val="24"/>
        </w:rPr>
        <w:t xml:space="preserve">Second, the PUCO should </w:t>
      </w:r>
      <w:r w:rsidRPr="00173913" w:rsidR="00442304">
        <w:rPr>
          <w:rFonts w:ascii="Times New Roman" w:hAnsi="Times New Roman" w:cs="Times New Roman"/>
          <w:sz w:val="24"/>
          <w:szCs w:val="24"/>
        </w:rPr>
        <w:t xml:space="preserve">monitor and review </w:t>
      </w:r>
      <w:r w:rsidRPr="00173913">
        <w:rPr>
          <w:rFonts w:ascii="Times New Roman" w:hAnsi="Times New Roman" w:cs="Times New Roman"/>
          <w:sz w:val="24"/>
          <w:szCs w:val="24"/>
        </w:rPr>
        <w:t xml:space="preserve">capital expenditure program projects </w:t>
      </w:r>
      <w:r w:rsidRPr="00173913" w:rsidR="00442304">
        <w:rPr>
          <w:rFonts w:ascii="Times New Roman" w:hAnsi="Times New Roman" w:cs="Times New Roman"/>
          <w:sz w:val="24"/>
          <w:szCs w:val="24"/>
        </w:rPr>
        <w:t xml:space="preserve">Blue Ridge identified as having potential to generate incremental revenue in future cases. </w:t>
      </w:r>
      <w:r w:rsidRPr="00173913" w:rsidR="00995DA7">
        <w:rPr>
          <w:rFonts w:ascii="Times New Roman" w:hAnsi="Times New Roman" w:cs="Times New Roman"/>
          <w:sz w:val="24"/>
          <w:szCs w:val="24"/>
        </w:rPr>
        <w:t>As Kerry Adkins testified, “a</w:t>
      </w:r>
      <w:r w:rsidRPr="00173913" w:rsidR="00B07ED5">
        <w:rPr>
          <w:rFonts w:ascii="Times New Roman" w:hAnsi="Times New Roman" w:cs="Times New Roman"/>
          <w:sz w:val="24"/>
          <w:szCs w:val="24"/>
        </w:rPr>
        <w:t>ny incremental revenue generated should offset capital expenditure program costs charged to consumers or be removed from the CEP for collection from consumers.</w:t>
      </w:r>
      <w:r w:rsidRPr="00173913" w:rsidR="00995DA7">
        <w:rPr>
          <w:rFonts w:ascii="Times New Roman" w:hAnsi="Times New Roman" w:cs="Times New Roman"/>
          <w:sz w:val="24"/>
          <w:szCs w:val="24"/>
        </w:rPr>
        <w:t>”</w:t>
      </w:r>
      <w:r>
        <w:rPr>
          <w:rStyle w:val="FootnoteReference"/>
          <w:rFonts w:ascii="Times New Roman" w:hAnsi="Times New Roman" w:cs="Times New Roman"/>
          <w:sz w:val="24"/>
          <w:szCs w:val="24"/>
        </w:rPr>
        <w:footnoteReference w:id="35"/>
      </w:r>
      <w:r w:rsidRPr="00173913" w:rsidR="00B07ED5">
        <w:rPr>
          <w:rFonts w:ascii="Times New Roman" w:hAnsi="Times New Roman" w:cs="Times New Roman"/>
          <w:sz w:val="24"/>
          <w:szCs w:val="24"/>
        </w:rPr>
        <w:t xml:space="preserve"> To ensure this occurs, the PUCO should monitor and review in future CEP </w:t>
      </w:r>
      <w:r w:rsidRPr="00173913" w:rsidR="00EE5754">
        <w:rPr>
          <w:rFonts w:ascii="Times New Roman" w:hAnsi="Times New Roman" w:cs="Times New Roman"/>
          <w:sz w:val="24"/>
          <w:szCs w:val="24"/>
        </w:rPr>
        <w:t>audits</w:t>
      </w:r>
      <w:r w:rsidRPr="00173913" w:rsidR="00B07ED5">
        <w:rPr>
          <w:rFonts w:ascii="Times New Roman" w:hAnsi="Times New Roman" w:cs="Times New Roman"/>
          <w:sz w:val="24"/>
          <w:szCs w:val="24"/>
        </w:rPr>
        <w:t xml:space="preserve"> the costs Blue Ridge identified</w:t>
      </w:r>
      <w:r w:rsidRPr="00173913" w:rsidR="00442304">
        <w:rPr>
          <w:rFonts w:ascii="Times New Roman" w:hAnsi="Times New Roman" w:cs="Times New Roman"/>
          <w:sz w:val="24"/>
          <w:szCs w:val="24"/>
        </w:rPr>
        <w:t xml:space="preserve"> as having potential to generate incremental revenue</w:t>
      </w:r>
      <w:r w:rsidRPr="00173913" w:rsidR="00B07ED5">
        <w:rPr>
          <w:rFonts w:ascii="Times New Roman" w:hAnsi="Times New Roman" w:cs="Times New Roman"/>
          <w:sz w:val="24"/>
          <w:szCs w:val="24"/>
        </w:rPr>
        <w:t>.</w:t>
      </w:r>
    </w:p>
    <w:p w:rsidR="00A00C45" w:rsidP="00991219" w14:paraId="276A9E78" w14:textId="07B57B23">
      <w:pPr>
        <w:spacing w:after="0" w:line="480" w:lineRule="auto"/>
        <w:ind w:firstLine="720"/>
        <w:rPr>
          <w:rFonts w:ascii="Times New Roman" w:hAnsi="Times New Roman" w:cs="Times New Roman"/>
          <w:sz w:val="24"/>
          <w:szCs w:val="24"/>
        </w:rPr>
      </w:pPr>
      <w:r w:rsidRPr="00173913">
        <w:rPr>
          <w:rFonts w:ascii="Times New Roman" w:hAnsi="Times New Roman" w:cs="Times New Roman"/>
          <w:sz w:val="24"/>
          <w:szCs w:val="24"/>
        </w:rPr>
        <w:t xml:space="preserve">Lastly, </w:t>
      </w:r>
      <w:r w:rsidRPr="00173913" w:rsidR="003E3B6A">
        <w:rPr>
          <w:rFonts w:ascii="Times New Roman" w:hAnsi="Times New Roman" w:cs="Times New Roman"/>
          <w:sz w:val="24"/>
          <w:szCs w:val="24"/>
        </w:rPr>
        <w:t>the PUCO should not adopt Dominion’s proposed change to the capital expenditure program formula. Dominion argues that failure to include ADIT attributable to the depreciation offset in the revenue requirement would result in an IRS tax normalization violation.</w:t>
      </w:r>
      <w:r>
        <w:rPr>
          <w:rStyle w:val="FootnoteReference"/>
          <w:rFonts w:ascii="Times New Roman" w:hAnsi="Times New Roman" w:cs="Times New Roman"/>
          <w:sz w:val="24"/>
          <w:szCs w:val="24"/>
        </w:rPr>
        <w:footnoteReference w:id="36"/>
      </w:r>
      <w:r w:rsidRPr="00173913" w:rsidR="003E3B6A">
        <w:rPr>
          <w:rFonts w:ascii="Times New Roman" w:hAnsi="Times New Roman" w:cs="Times New Roman"/>
          <w:sz w:val="24"/>
          <w:szCs w:val="24"/>
        </w:rPr>
        <w:t xml:space="preserve"> </w:t>
      </w:r>
      <w:r w:rsidRPr="00173913" w:rsidR="00B07ED5">
        <w:rPr>
          <w:rFonts w:ascii="Times New Roman" w:hAnsi="Times New Roman" w:cs="Times New Roman"/>
          <w:sz w:val="24"/>
          <w:szCs w:val="24"/>
        </w:rPr>
        <w:t xml:space="preserve">However, </w:t>
      </w:r>
      <w:r w:rsidRPr="00173913" w:rsidR="00FA6FC3">
        <w:rPr>
          <w:rFonts w:ascii="Times New Roman" w:hAnsi="Times New Roman" w:cs="Times New Roman"/>
          <w:sz w:val="24"/>
          <w:szCs w:val="24"/>
        </w:rPr>
        <w:t xml:space="preserve">Kerry Adkins testified that </w:t>
      </w:r>
      <w:r w:rsidRPr="00173913" w:rsidR="00B07ED5">
        <w:rPr>
          <w:rFonts w:ascii="Times New Roman" w:hAnsi="Times New Roman" w:cs="Times New Roman"/>
          <w:sz w:val="24"/>
          <w:szCs w:val="24"/>
        </w:rPr>
        <w:t>Dominion has not shown – through private letter ruling (PLR) from the Internal Revenue Service (IRS)</w:t>
      </w:r>
      <w:r w:rsidRPr="00173913" w:rsidR="00161FE1">
        <w:rPr>
          <w:rFonts w:ascii="Times New Roman" w:hAnsi="Times New Roman" w:cs="Times New Roman"/>
          <w:sz w:val="24"/>
          <w:szCs w:val="24"/>
        </w:rPr>
        <w:t xml:space="preserve"> or otherwise – that the CEP formula is a normalization violation.</w:t>
      </w:r>
      <w:r>
        <w:rPr>
          <w:rStyle w:val="FootnoteReference"/>
          <w:rFonts w:ascii="Times New Roman" w:hAnsi="Times New Roman" w:cs="Times New Roman"/>
          <w:sz w:val="24"/>
          <w:szCs w:val="24"/>
        </w:rPr>
        <w:footnoteReference w:id="37"/>
      </w:r>
      <w:r w:rsidRPr="00173913" w:rsidR="00161FE1">
        <w:rPr>
          <w:rFonts w:ascii="Times New Roman" w:hAnsi="Times New Roman" w:cs="Times New Roman"/>
          <w:sz w:val="24"/>
          <w:szCs w:val="24"/>
        </w:rPr>
        <w:t xml:space="preserve"> As a result, the PUCO should reject Dominion’s proposed change to the formula. </w:t>
      </w:r>
    </w:p>
    <w:p w:rsidR="00124710" w:rsidRPr="00173913" w:rsidP="00124710" w14:paraId="5841AB9B" w14:textId="77777777">
      <w:pPr>
        <w:spacing w:after="0" w:line="240" w:lineRule="auto"/>
        <w:ind w:firstLine="720"/>
        <w:rPr>
          <w:rFonts w:ascii="Times New Roman" w:hAnsi="Times New Roman" w:cs="Times New Roman"/>
          <w:sz w:val="24"/>
          <w:szCs w:val="24"/>
        </w:rPr>
      </w:pPr>
    </w:p>
    <w:p w:rsidR="00801376" w:rsidRPr="00173913" w:rsidP="001B28CA" w14:paraId="13823C1C" w14:textId="77D271B6">
      <w:pPr>
        <w:pStyle w:val="Heading1"/>
      </w:pPr>
      <w:bookmarkStart w:id="9" w:name="_Toc113034692"/>
      <w:bookmarkStart w:id="10" w:name="_Toc113535259"/>
      <w:r w:rsidRPr="00173913">
        <w:t>Conclusion</w:t>
      </w:r>
      <w:bookmarkEnd w:id="9"/>
      <w:bookmarkEnd w:id="10"/>
      <w:r w:rsidRPr="00173913" w:rsidR="007327BD">
        <w:t xml:space="preserve"> </w:t>
      </w:r>
    </w:p>
    <w:p w:rsidR="00942357" w:rsidRPr="00173913" w:rsidP="00942357" w14:paraId="5F613C8A" w14:textId="0AC544FA">
      <w:pPr>
        <w:spacing w:line="480" w:lineRule="auto"/>
        <w:ind w:firstLine="720"/>
        <w:rPr>
          <w:rFonts w:ascii="Times New Roman" w:hAnsi="Times New Roman" w:cs="Times New Roman"/>
          <w:color w:val="000000" w:themeColor="text1"/>
          <w:sz w:val="24"/>
          <w:szCs w:val="24"/>
        </w:rPr>
      </w:pPr>
      <w:r w:rsidRPr="00173913">
        <w:rPr>
          <w:rFonts w:ascii="Times New Roman" w:hAnsi="Times New Roman" w:cs="Times New Roman"/>
          <w:color w:val="000000" w:themeColor="text1"/>
          <w:sz w:val="24"/>
          <w:szCs w:val="24"/>
        </w:rPr>
        <w:t>T</w:t>
      </w:r>
      <w:r w:rsidRPr="00173913" w:rsidR="00EE5754">
        <w:rPr>
          <w:rFonts w:ascii="Times New Roman" w:hAnsi="Times New Roman" w:cs="Times New Roman"/>
          <w:color w:val="000000" w:themeColor="text1"/>
          <w:sz w:val="24"/>
          <w:szCs w:val="24"/>
        </w:rPr>
        <w:t>o protect consumers, t</w:t>
      </w:r>
      <w:r w:rsidRPr="00173913">
        <w:rPr>
          <w:rFonts w:ascii="Times New Roman" w:hAnsi="Times New Roman" w:cs="Times New Roman"/>
          <w:color w:val="000000" w:themeColor="text1"/>
          <w:sz w:val="24"/>
          <w:szCs w:val="24"/>
        </w:rPr>
        <w:t xml:space="preserve">he PUCO should deny Dominion’s request to continue charging consumers an </w:t>
      </w:r>
      <w:r w:rsidRPr="00173913" w:rsidR="00B76909">
        <w:rPr>
          <w:rFonts w:ascii="Times New Roman" w:hAnsi="Times New Roman" w:cs="Times New Roman"/>
          <w:color w:val="000000" w:themeColor="text1"/>
          <w:sz w:val="24"/>
          <w:szCs w:val="24"/>
        </w:rPr>
        <w:t>unjust and unreasonable</w:t>
      </w:r>
      <w:r w:rsidRPr="00173913">
        <w:rPr>
          <w:rFonts w:ascii="Times New Roman" w:hAnsi="Times New Roman" w:cs="Times New Roman"/>
          <w:color w:val="000000" w:themeColor="text1"/>
          <w:sz w:val="24"/>
          <w:szCs w:val="24"/>
        </w:rPr>
        <w:t xml:space="preserve"> rate of return. The PUCO should adopt </w:t>
      </w:r>
      <w:r w:rsidRPr="00173913" w:rsidR="00B76909">
        <w:rPr>
          <w:rFonts w:ascii="Times New Roman" w:hAnsi="Times New Roman" w:cs="Times New Roman"/>
          <w:color w:val="000000" w:themeColor="text1"/>
          <w:sz w:val="24"/>
          <w:szCs w:val="24"/>
        </w:rPr>
        <w:t xml:space="preserve">an updated rate of return as well as </w:t>
      </w:r>
      <w:r w:rsidRPr="00173913">
        <w:rPr>
          <w:rFonts w:ascii="Times New Roman" w:hAnsi="Times New Roman" w:cs="Times New Roman"/>
          <w:color w:val="000000" w:themeColor="text1"/>
          <w:sz w:val="24"/>
          <w:szCs w:val="24"/>
        </w:rPr>
        <w:t>the recommendations of the independent auditor</w:t>
      </w:r>
      <w:r w:rsidRPr="00173913" w:rsidR="008752EE">
        <w:rPr>
          <w:rFonts w:ascii="Times New Roman" w:hAnsi="Times New Roman" w:cs="Times New Roman"/>
          <w:color w:val="000000" w:themeColor="text1"/>
          <w:sz w:val="24"/>
          <w:szCs w:val="24"/>
        </w:rPr>
        <w:t xml:space="preserve">, </w:t>
      </w:r>
      <w:r w:rsidRPr="00173913">
        <w:rPr>
          <w:rFonts w:ascii="Times New Roman" w:hAnsi="Times New Roman" w:cs="Times New Roman"/>
          <w:color w:val="000000" w:themeColor="text1"/>
          <w:sz w:val="24"/>
          <w:szCs w:val="24"/>
        </w:rPr>
        <w:t>its Staff</w:t>
      </w:r>
      <w:r w:rsidRPr="00173913" w:rsidR="00EE5754">
        <w:rPr>
          <w:rFonts w:ascii="Times New Roman" w:hAnsi="Times New Roman" w:cs="Times New Roman"/>
          <w:color w:val="000000" w:themeColor="text1"/>
          <w:sz w:val="24"/>
          <w:szCs w:val="24"/>
        </w:rPr>
        <w:t>,</w:t>
      </w:r>
      <w:r w:rsidRPr="00173913" w:rsidR="008752EE">
        <w:rPr>
          <w:rFonts w:ascii="Times New Roman" w:hAnsi="Times New Roman" w:cs="Times New Roman"/>
          <w:color w:val="000000" w:themeColor="text1"/>
          <w:sz w:val="24"/>
          <w:szCs w:val="24"/>
        </w:rPr>
        <w:t xml:space="preserve"> and OCC</w:t>
      </w:r>
      <w:r w:rsidRPr="00173913">
        <w:rPr>
          <w:rFonts w:ascii="Times New Roman" w:hAnsi="Times New Roman" w:cs="Times New Roman"/>
          <w:color w:val="000000" w:themeColor="text1"/>
          <w:sz w:val="24"/>
          <w:szCs w:val="24"/>
        </w:rPr>
        <w:t xml:space="preserve">. </w:t>
      </w:r>
    </w:p>
    <w:p w:rsidR="001B28CA" w14:paraId="293DC82E" w14:textId="77777777">
      <w:pPr>
        <w:rPr>
          <w:rFonts w:ascii="Times New Roman" w:hAnsi="Times New Roman" w:cs="Times New Roman"/>
          <w:sz w:val="24"/>
          <w:szCs w:val="24"/>
        </w:rPr>
      </w:pPr>
      <w:r>
        <w:rPr>
          <w:rFonts w:ascii="Times New Roman" w:hAnsi="Times New Roman" w:cs="Times New Roman"/>
          <w:sz w:val="24"/>
          <w:szCs w:val="24"/>
        </w:rPr>
        <w:br w:type="page"/>
      </w:r>
    </w:p>
    <w:p w:rsidR="00FD5310" w:rsidRPr="00173913" w:rsidP="00F666E3" w14:paraId="0D4DE67C" w14:textId="3C15BE99">
      <w:pPr>
        <w:ind w:left="3600"/>
        <w:rPr>
          <w:rFonts w:ascii="Times New Roman" w:hAnsi="Times New Roman" w:cs="Times New Roman"/>
          <w:sz w:val="24"/>
          <w:szCs w:val="24"/>
        </w:rPr>
      </w:pPr>
      <w:r w:rsidRPr="00173913">
        <w:rPr>
          <w:rFonts w:ascii="Times New Roman" w:hAnsi="Times New Roman" w:cs="Times New Roman"/>
          <w:sz w:val="24"/>
          <w:szCs w:val="24"/>
        </w:rPr>
        <w:t>Respectfully submitted,</w:t>
      </w:r>
    </w:p>
    <w:p w:rsidR="00FD5310" w:rsidRPr="00173913" w:rsidP="00FD5310" w14:paraId="008FD64D" w14:textId="77777777">
      <w:pPr>
        <w:widowControl w:val="0"/>
        <w:spacing w:after="0" w:line="240" w:lineRule="auto"/>
        <w:ind w:left="3600"/>
        <w:rPr>
          <w:rFonts w:ascii="Times New Roman" w:hAnsi="Times New Roman" w:cs="Times New Roman"/>
          <w:sz w:val="24"/>
          <w:szCs w:val="24"/>
        </w:rPr>
      </w:pPr>
    </w:p>
    <w:p w:rsidR="006C3A1C" w:rsidRPr="00173913" w:rsidP="006C3A1C" w14:paraId="36EFF9C6" w14:textId="77777777">
      <w:pPr>
        <w:pStyle w:val="Footer"/>
        <w:ind w:left="3600"/>
        <w:rPr>
          <w:rFonts w:ascii="Times New Roman" w:hAnsi="Times New Roman" w:cs="Times New Roman"/>
          <w:sz w:val="24"/>
          <w:szCs w:val="24"/>
        </w:rPr>
      </w:pPr>
      <w:r w:rsidRPr="00173913">
        <w:rPr>
          <w:rFonts w:ascii="Times New Roman" w:hAnsi="Times New Roman" w:cs="Times New Roman"/>
          <w:sz w:val="24"/>
          <w:szCs w:val="24"/>
        </w:rPr>
        <w:t>Bruce Weston (0016973)</w:t>
      </w:r>
    </w:p>
    <w:p w:rsidR="006C3A1C" w:rsidRPr="00173913" w:rsidP="006C3A1C" w14:paraId="2F4E0470" w14:textId="77777777">
      <w:pPr>
        <w:spacing w:after="0" w:line="240" w:lineRule="auto"/>
        <w:ind w:left="3600"/>
        <w:rPr>
          <w:rFonts w:ascii="Times New Roman" w:hAnsi="Times New Roman" w:cs="Times New Roman"/>
          <w:sz w:val="24"/>
          <w:szCs w:val="24"/>
        </w:rPr>
      </w:pPr>
      <w:r w:rsidRPr="00173913">
        <w:rPr>
          <w:rFonts w:ascii="Times New Roman" w:hAnsi="Times New Roman" w:cs="Times New Roman"/>
          <w:sz w:val="24"/>
          <w:szCs w:val="24"/>
        </w:rPr>
        <w:t>Ohio Consumers’ Counsel</w:t>
      </w:r>
    </w:p>
    <w:p w:rsidR="006C3A1C" w:rsidRPr="00173913" w:rsidP="006C3A1C" w14:paraId="5F0D0F8E" w14:textId="77777777">
      <w:pPr>
        <w:tabs>
          <w:tab w:val="left" w:pos="4320"/>
        </w:tabs>
        <w:spacing w:after="0" w:line="240" w:lineRule="auto"/>
        <w:ind w:left="3600"/>
        <w:rPr>
          <w:rFonts w:ascii="Times New Roman" w:hAnsi="Times New Roman" w:cs="Times New Roman"/>
          <w:i/>
          <w:sz w:val="24"/>
          <w:szCs w:val="24"/>
          <w:u w:val="single"/>
        </w:rPr>
      </w:pPr>
    </w:p>
    <w:p w:rsidR="006C3A1C" w:rsidRPr="00173913" w:rsidP="006C3A1C" w14:paraId="131AB6BF" w14:textId="77777777">
      <w:pPr>
        <w:spacing w:after="0" w:line="240" w:lineRule="auto"/>
        <w:ind w:left="3600"/>
        <w:rPr>
          <w:rFonts w:ascii="Times New Roman" w:hAnsi="Times New Roman" w:cs="Times New Roman"/>
          <w:bCs/>
          <w:i/>
          <w:iCs/>
          <w:sz w:val="24"/>
          <w:szCs w:val="24"/>
          <w:u w:val="single"/>
        </w:rPr>
      </w:pPr>
      <w:r w:rsidRPr="00173913">
        <w:rPr>
          <w:rFonts w:ascii="Times New Roman" w:hAnsi="Times New Roman" w:cs="Times New Roman"/>
          <w:bCs/>
          <w:i/>
          <w:iCs/>
          <w:sz w:val="24"/>
          <w:szCs w:val="24"/>
          <w:u w:val="single"/>
        </w:rPr>
        <w:t>/s/ William J. Michael</w:t>
      </w:r>
    </w:p>
    <w:p w:rsidR="006C3A1C" w:rsidRPr="00173913" w:rsidP="006C3A1C" w14:paraId="02E1700B" w14:textId="77777777">
      <w:pPr>
        <w:spacing w:after="0" w:line="240" w:lineRule="auto"/>
        <w:ind w:left="3600"/>
        <w:rPr>
          <w:rFonts w:ascii="Times New Roman" w:hAnsi="Times New Roman" w:cs="Times New Roman"/>
          <w:sz w:val="24"/>
          <w:szCs w:val="24"/>
        </w:rPr>
      </w:pPr>
      <w:r w:rsidRPr="00173913">
        <w:rPr>
          <w:rFonts w:ascii="Times New Roman" w:hAnsi="Times New Roman" w:cs="Times New Roman"/>
          <w:sz w:val="24"/>
          <w:szCs w:val="24"/>
        </w:rPr>
        <w:t>William J. Michael (0070921)</w:t>
      </w:r>
    </w:p>
    <w:p w:rsidR="006C3A1C" w:rsidRPr="00173913" w:rsidP="006C3A1C" w14:paraId="1D940162" w14:textId="77777777">
      <w:pPr>
        <w:spacing w:after="0" w:line="240" w:lineRule="auto"/>
        <w:ind w:left="3600"/>
        <w:rPr>
          <w:rFonts w:ascii="Times New Roman" w:hAnsi="Times New Roman" w:cs="Times New Roman"/>
          <w:sz w:val="24"/>
          <w:szCs w:val="24"/>
        </w:rPr>
      </w:pPr>
      <w:r w:rsidRPr="00173913">
        <w:rPr>
          <w:rFonts w:ascii="Times New Roman" w:hAnsi="Times New Roman" w:cs="Times New Roman"/>
          <w:sz w:val="24"/>
          <w:szCs w:val="24"/>
        </w:rPr>
        <w:t xml:space="preserve">Counsel of Record </w:t>
      </w:r>
    </w:p>
    <w:p w:rsidR="006C3A1C" w:rsidRPr="00173913" w:rsidP="006C3A1C" w14:paraId="5205C699" w14:textId="77777777">
      <w:pPr>
        <w:spacing w:after="0" w:line="240" w:lineRule="auto"/>
        <w:ind w:left="3600"/>
        <w:rPr>
          <w:rFonts w:ascii="Times New Roman" w:hAnsi="Times New Roman" w:cs="Times New Roman"/>
          <w:sz w:val="24"/>
          <w:szCs w:val="24"/>
        </w:rPr>
      </w:pPr>
      <w:r w:rsidRPr="00173913">
        <w:rPr>
          <w:rFonts w:ascii="Times New Roman" w:hAnsi="Times New Roman" w:cs="Times New Roman"/>
          <w:sz w:val="24"/>
          <w:szCs w:val="24"/>
        </w:rPr>
        <w:t>Amy Botschner O’Brien (0074423)</w:t>
      </w:r>
    </w:p>
    <w:p w:rsidR="006C3A1C" w:rsidRPr="00173913" w:rsidP="006C3A1C" w14:paraId="42A0BCB0" w14:textId="77777777">
      <w:pPr>
        <w:spacing w:after="0" w:line="240" w:lineRule="auto"/>
        <w:ind w:left="3600"/>
        <w:rPr>
          <w:rFonts w:ascii="Times New Roman" w:hAnsi="Times New Roman" w:cs="Times New Roman"/>
          <w:sz w:val="24"/>
          <w:szCs w:val="24"/>
        </w:rPr>
      </w:pPr>
      <w:r w:rsidRPr="00173913">
        <w:rPr>
          <w:rFonts w:ascii="Times New Roman" w:hAnsi="Times New Roman" w:cs="Times New Roman"/>
          <w:sz w:val="24"/>
          <w:szCs w:val="24"/>
        </w:rPr>
        <w:t>Assistant Consumers’ Counsel</w:t>
      </w:r>
    </w:p>
    <w:p w:rsidR="006C3A1C" w:rsidRPr="00173913" w:rsidP="006C3A1C" w14:paraId="2B73955D" w14:textId="77777777">
      <w:pPr>
        <w:spacing w:after="0" w:line="240" w:lineRule="auto"/>
        <w:ind w:left="3600"/>
        <w:rPr>
          <w:rFonts w:ascii="Times New Roman" w:hAnsi="Times New Roman" w:cs="Times New Roman"/>
          <w:sz w:val="24"/>
          <w:szCs w:val="24"/>
        </w:rPr>
      </w:pPr>
      <w:r w:rsidRPr="00173913">
        <w:rPr>
          <w:rFonts w:ascii="Times New Roman" w:hAnsi="Times New Roman" w:cs="Times New Roman"/>
          <w:sz w:val="24"/>
          <w:szCs w:val="24"/>
        </w:rPr>
        <w:tab/>
      </w:r>
    </w:p>
    <w:p w:rsidR="006C3A1C" w:rsidRPr="00173913" w:rsidP="006C3A1C" w14:paraId="0C35DA12" w14:textId="77777777">
      <w:pPr>
        <w:spacing w:after="0" w:line="240" w:lineRule="auto"/>
        <w:ind w:left="3600"/>
        <w:rPr>
          <w:rFonts w:ascii="Times New Roman" w:hAnsi="Times New Roman" w:cs="Times New Roman"/>
          <w:b/>
          <w:bCs/>
          <w:sz w:val="24"/>
          <w:szCs w:val="24"/>
        </w:rPr>
      </w:pPr>
      <w:r w:rsidRPr="00173913">
        <w:rPr>
          <w:rFonts w:ascii="Times New Roman" w:hAnsi="Times New Roman" w:cs="Times New Roman"/>
          <w:b/>
          <w:bCs/>
          <w:sz w:val="24"/>
          <w:szCs w:val="24"/>
        </w:rPr>
        <w:t>Office of the Ohio Consumers’ Counsel</w:t>
      </w:r>
    </w:p>
    <w:p w:rsidR="006C3A1C" w:rsidRPr="00173913" w:rsidP="006C3A1C" w14:paraId="08FB8A62" w14:textId="77777777">
      <w:pPr>
        <w:spacing w:after="0" w:line="240" w:lineRule="auto"/>
        <w:ind w:left="3600"/>
        <w:rPr>
          <w:rFonts w:ascii="Times New Roman" w:hAnsi="Times New Roman" w:cs="Times New Roman"/>
          <w:b/>
          <w:sz w:val="24"/>
          <w:szCs w:val="24"/>
        </w:rPr>
      </w:pPr>
      <w:r w:rsidRPr="00173913">
        <w:rPr>
          <w:rFonts w:ascii="Times New Roman" w:hAnsi="Times New Roman" w:cs="Times New Roman"/>
          <w:sz w:val="24"/>
          <w:szCs w:val="24"/>
        </w:rPr>
        <w:t>65 East State Street, Suite 700</w:t>
      </w:r>
    </w:p>
    <w:p w:rsidR="006C3A1C" w:rsidRPr="00173913" w:rsidP="006C3A1C" w14:paraId="34F87AAA" w14:textId="2DE0268A">
      <w:pPr>
        <w:spacing w:after="0" w:line="240" w:lineRule="auto"/>
        <w:ind w:left="3600"/>
        <w:rPr>
          <w:rFonts w:ascii="Times New Roman" w:hAnsi="Times New Roman" w:cs="Times New Roman"/>
          <w:b/>
          <w:sz w:val="24"/>
          <w:szCs w:val="24"/>
        </w:rPr>
      </w:pPr>
      <w:r w:rsidRPr="00173913">
        <w:rPr>
          <w:rFonts w:ascii="Times New Roman" w:hAnsi="Times New Roman" w:cs="Times New Roman"/>
          <w:sz w:val="24"/>
          <w:szCs w:val="24"/>
        </w:rPr>
        <w:t>Columbus, Ohio 43215</w:t>
      </w:r>
    </w:p>
    <w:p w:rsidR="006C3A1C" w:rsidRPr="00173913" w:rsidP="006C3A1C" w14:paraId="3B8693EA" w14:textId="77777777">
      <w:pPr>
        <w:autoSpaceDE w:val="0"/>
        <w:autoSpaceDN w:val="0"/>
        <w:adjustRightInd w:val="0"/>
        <w:spacing w:after="0" w:line="240" w:lineRule="auto"/>
        <w:ind w:left="3600"/>
        <w:rPr>
          <w:rFonts w:ascii="Times New Roman" w:hAnsi="Times New Roman" w:cs="Times New Roman"/>
          <w:sz w:val="24"/>
          <w:szCs w:val="24"/>
        </w:rPr>
      </w:pPr>
      <w:r w:rsidRPr="00173913">
        <w:rPr>
          <w:rFonts w:ascii="Times New Roman" w:hAnsi="Times New Roman" w:cs="Times New Roman"/>
          <w:sz w:val="24"/>
          <w:szCs w:val="24"/>
        </w:rPr>
        <w:t>Telephone [Michael]: (614) 466-1291</w:t>
      </w:r>
    </w:p>
    <w:p w:rsidR="006C3A1C" w:rsidRPr="00173913" w:rsidP="006C3A1C" w14:paraId="34E54EC7" w14:textId="77777777">
      <w:pPr>
        <w:autoSpaceDE w:val="0"/>
        <w:autoSpaceDN w:val="0"/>
        <w:adjustRightInd w:val="0"/>
        <w:spacing w:after="0" w:line="240" w:lineRule="auto"/>
        <w:ind w:left="3600"/>
        <w:rPr>
          <w:rFonts w:ascii="Times New Roman" w:hAnsi="Times New Roman" w:cs="Times New Roman"/>
          <w:sz w:val="24"/>
          <w:szCs w:val="24"/>
        </w:rPr>
      </w:pPr>
      <w:r w:rsidRPr="00173913">
        <w:rPr>
          <w:rFonts w:ascii="Times New Roman" w:hAnsi="Times New Roman" w:cs="Times New Roman"/>
          <w:sz w:val="24"/>
          <w:szCs w:val="24"/>
        </w:rPr>
        <w:t>Telephone [Botschner O’Brien]: (614) 466 9575</w:t>
      </w:r>
    </w:p>
    <w:p w:rsidR="006C3A1C" w:rsidRPr="00173913" w:rsidP="006C3A1C" w14:paraId="5C0BE8CE" w14:textId="77777777">
      <w:pPr>
        <w:autoSpaceDE w:val="0"/>
        <w:autoSpaceDN w:val="0"/>
        <w:adjustRightInd w:val="0"/>
        <w:spacing w:after="0" w:line="240" w:lineRule="auto"/>
        <w:ind w:left="3600"/>
        <w:rPr>
          <w:rStyle w:val="Hyperlink"/>
          <w:rFonts w:ascii="Times New Roman" w:hAnsi="Times New Roman" w:cs="Times New Roman"/>
          <w:color w:val="0000FF"/>
          <w:sz w:val="24"/>
          <w:szCs w:val="24"/>
        </w:rPr>
      </w:pPr>
      <w:hyperlink r:id="rId6" w:history="1">
        <w:r w:rsidRPr="00173913">
          <w:rPr>
            <w:rStyle w:val="Hyperlink"/>
            <w:rFonts w:ascii="Times New Roman" w:hAnsi="Times New Roman" w:cs="Times New Roman"/>
            <w:color w:val="0000FF"/>
            <w:sz w:val="24"/>
            <w:szCs w:val="24"/>
          </w:rPr>
          <w:t>william.michael@occ.ohio.gov</w:t>
        </w:r>
      </w:hyperlink>
    </w:p>
    <w:p w:rsidR="006C3A1C" w:rsidRPr="00173913" w:rsidP="006C3A1C" w14:paraId="4FEF0FBC" w14:textId="77777777">
      <w:pPr>
        <w:autoSpaceDE w:val="0"/>
        <w:autoSpaceDN w:val="0"/>
        <w:adjustRightInd w:val="0"/>
        <w:spacing w:after="0" w:line="240" w:lineRule="auto"/>
        <w:ind w:left="3600"/>
        <w:rPr>
          <w:rFonts w:ascii="Times New Roman" w:hAnsi="Times New Roman" w:cs="Times New Roman"/>
          <w:color w:val="0000FF"/>
          <w:sz w:val="24"/>
          <w:szCs w:val="24"/>
        </w:rPr>
      </w:pPr>
      <w:r w:rsidRPr="00173913">
        <w:rPr>
          <w:rStyle w:val="Hyperlink"/>
          <w:rFonts w:ascii="Times New Roman" w:hAnsi="Times New Roman" w:cs="Times New Roman"/>
          <w:color w:val="0000FF"/>
          <w:sz w:val="24"/>
          <w:szCs w:val="24"/>
        </w:rPr>
        <w:t>amy.botschner.obrien@occ.ohio.gov</w:t>
      </w:r>
    </w:p>
    <w:p w:rsidR="00D468E2" w:rsidP="00D468E2" w14:paraId="09793C09" w14:textId="77777777">
      <w:pPr>
        <w:spacing w:after="0" w:line="240" w:lineRule="auto"/>
        <w:ind w:left="3600"/>
        <w:rPr>
          <w:rFonts w:ascii="Times New Roman" w:hAnsi="Times New Roman" w:cs="Times New Roman"/>
          <w:sz w:val="24"/>
          <w:szCs w:val="24"/>
        </w:rPr>
      </w:pPr>
      <w:r w:rsidRPr="00173913">
        <w:rPr>
          <w:rFonts w:ascii="Times New Roman" w:hAnsi="Times New Roman" w:cs="Times New Roman"/>
          <w:sz w:val="24"/>
          <w:szCs w:val="24"/>
        </w:rPr>
        <w:t>(willing to accept service by e-mail)</w:t>
      </w:r>
    </w:p>
    <w:p w:rsidR="00D468E2" w14:paraId="3AD86570" w14:textId="77777777">
      <w:pPr>
        <w:rPr>
          <w:rFonts w:ascii="Times New Roman" w:hAnsi="Times New Roman" w:cs="Times New Roman"/>
          <w:sz w:val="24"/>
          <w:szCs w:val="24"/>
        </w:rPr>
      </w:pPr>
      <w:r>
        <w:rPr>
          <w:rFonts w:ascii="Times New Roman" w:hAnsi="Times New Roman" w:cs="Times New Roman"/>
          <w:sz w:val="24"/>
          <w:szCs w:val="24"/>
        </w:rPr>
        <w:br w:type="page"/>
      </w:r>
    </w:p>
    <w:p w:rsidR="00954447" w:rsidRPr="00173913" w:rsidP="00D468E2" w14:paraId="6A3DDC86" w14:textId="0B00DAD9">
      <w:pPr>
        <w:spacing w:after="0" w:line="240" w:lineRule="auto"/>
        <w:jc w:val="center"/>
        <w:rPr>
          <w:rFonts w:ascii="Times New Roman" w:hAnsi="Times New Roman" w:cs="Times New Roman"/>
          <w:b/>
          <w:bCs/>
          <w:sz w:val="24"/>
          <w:szCs w:val="24"/>
          <w:u w:val="single"/>
        </w:rPr>
      </w:pPr>
      <w:r w:rsidRPr="00173913">
        <w:rPr>
          <w:rFonts w:ascii="Times New Roman" w:hAnsi="Times New Roman" w:cs="Times New Roman"/>
          <w:b/>
          <w:bCs/>
          <w:sz w:val="24"/>
          <w:szCs w:val="24"/>
          <w:u w:val="single"/>
        </w:rPr>
        <w:t>CERTIFICATE OF SERVICE</w:t>
      </w:r>
    </w:p>
    <w:p w:rsidR="00A87C0A" w:rsidRPr="00173913" w:rsidP="00B831BE" w14:paraId="15612E67" w14:textId="5225862D">
      <w:pPr>
        <w:spacing w:line="480" w:lineRule="atLeast"/>
        <w:rPr>
          <w:rFonts w:ascii="Times New Roman" w:hAnsi="Times New Roman" w:cs="Times New Roman"/>
          <w:sz w:val="24"/>
          <w:szCs w:val="24"/>
        </w:rPr>
      </w:pPr>
      <w:r w:rsidRPr="00173913">
        <w:rPr>
          <w:rFonts w:ascii="Times New Roman" w:hAnsi="Times New Roman" w:cs="Times New Roman"/>
          <w:sz w:val="24"/>
          <w:szCs w:val="24"/>
        </w:rPr>
        <w:tab/>
        <w:t xml:space="preserve">I hereby certify that a copy of this </w:t>
      </w:r>
      <w:r w:rsidRPr="00173913" w:rsidR="006C3A1C">
        <w:rPr>
          <w:rFonts w:ascii="Times New Roman" w:hAnsi="Times New Roman" w:cs="Times New Roman"/>
          <w:iCs/>
          <w:sz w:val="24"/>
          <w:szCs w:val="24"/>
        </w:rPr>
        <w:t>Initial Brief for Consumer Protection</w:t>
      </w:r>
      <w:r w:rsidRPr="00173913">
        <w:rPr>
          <w:rFonts w:ascii="Times New Roman" w:hAnsi="Times New Roman" w:cs="Times New Roman"/>
          <w:sz w:val="24"/>
          <w:szCs w:val="24"/>
        </w:rPr>
        <w:t xml:space="preserve"> was served on the persons stated below</w:t>
      </w:r>
      <w:r w:rsidRPr="00173913">
        <w:rPr>
          <w:rFonts w:ascii="Times New Roman" w:hAnsi="Times New Roman" w:cs="Times New Roman"/>
          <w:iCs/>
          <w:sz w:val="24"/>
          <w:szCs w:val="24"/>
        </w:rPr>
        <w:t xml:space="preserve"> via </w:t>
      </w:r>
      <w:r w:rsidRPr="00173913">
        <w:rPr>
          <w:rFonts w:ascii="Times New Roman" w:hAnsi="Times New Roman" w:cs="Times New Roman"/>
          <w:sz w:val="24"/>
          <w:szCs w:val="24"/>
        </w:rPr>
        <w:t xml:space="preserve">electronic transmission, this </w:t>
      </w:r>
      <w:r w:rsidR="008E484C">
        <w:rPr>
          <w:rFonts w:ascii="Times New Roman" w:hAnsi="Times New Roman" w:cs="Times New Roman"/>
          <w:sz w:val="24"/>
          <w:szCs w:val="24"/>
        </w:rPr>
        <w:t>21</w:t>
      </w:r>
      <w:r w:rsidRPr="008E484C" w:rsidR="008E484C">
        <w:rPr>
          <w:rFonts w:ascii="Times New Roman" w:hAnsi="Times New Roman" w:cs="Times New Roman"/>
          <w:sz w:val="24"/>
          <w:szCs w:val="24"/>
          <w:vertAlign w:val="superscript"/>
        </w:rPr>
        <w:t>st</w:t>
      </w:r>
      <w:r w:rsidR="008E484C">
        <w:rPr>
          <w:rFonts w:ascii="Times New Roman" w:hAnsi="Times New Roman" w:cs="Times New Roman"/>
          <w:sz w:val="24"/>
          <w:szCs w:val="24"/>
        </w:rPr>
        <w:t xml:space="preserve"> </w:t>
      </w:r>
      <w:r w:rsidRPr="00173913">
        <w:rPr>
          <w:rFonts w:ascii="Times New Roman" w:hAnsi="Times New Roman" w:cs="Times New Roman"/>
          <w:sz w:val="24"/>
          <w:szCs w:val="24"/>
        </w:rPr>
        <w:t xml:space="preserve">day of </w:t>
      </w:r>
      <w:r w:rsidRPr="00173913" w:rsidR="006C3A1C">
        <w:rPr>
          <w:rFonts w:ascii="Times New Roman" w:hAnsi="Times New Roman" w:cs="Times New Roman"/>
          <w:sz w:val="24"/>
          <w:szCs w:val="24"/>
        </w:rPr>
        <w:t>September</w:t>
      </w:r>
      <w:r w:rsidRPr="00173913" w:rsidR="00FD5310">
        <w:rPr>
          <w:rFonts w:ascii="Times New Roman" w:hAnsi="Times New Roman" w:cs="Times New Roman"/>
          <w:sz w:val="24"/>
          <w:szCs w:val="24"/>
        </w:rPr>
        <w:t xml:space="preserve"> </w:t>
      </w:r>
      <w:r w:rsidRPr="00173913">
        <w:rPr>
          <w:rFonts w:ascii="Times New Roman" w:hAnsi="Times New Roman" w:cs="Times New Roman"/>
          <w:sz w:val="24"/>
          <w:szCs w:val="24"/>
        </w:rPr>
        <w:t>202</w:t>
      </w:r>
      <w:r w:rsidRPr="00173913" w:rsidR="00FD5310">
        <w:rPr>
          <w:rFonts w:ascii="Times New Roman" w:hAnsi="Times New Roman" w:cs="Times New Roman"/>
          <w:sz w:val="24"/>
          <w:szCs w:val="24"/>
        </w:rPr>
        <w:t>2</w:t>
      </w:r>
      <w:r w:rsidRPr="00173913">
        <w:rPr>
          <w:rFonts w:ascii="Times New Roman" w:hAnsi="Times New Roman" w:cs="Times New Roman"/>
          <w:sz w:val="24"/>
          <w:szCs w:val="24"/>
        </w:rPr>
        <w:t>.</w:t>
      </w:r>
    </w:p>
    <w:p w:rsidR="00954447" w:rsidRPr="00173913" w:rsidP="004E4647" w14:paraId="591C21AF" w14:textId="77777777">
      <w:pPr>
        <w:tabs>
          <w:tab w:val="left" w:pos="4320"/>
        </w:tabs>
        <w:spacing w:after="0" w:line="240" w:lineRule="auto"/>
        <w:rPr>
          <w:rFonts w:ascii="Times New Roman" w:hAnsi="Times New Roman" w:cs="Times New Roman"/>
          <w:i/>
          <w:iCs/>
          <w:sz w:val="24"/>
          <w:szCs w:val="24"/>
          <w:u w:val="single"/>
        </w:rPr>
      </w:pPr>
      <w:r w:rsidRPr="00173913">
        <w:rPr>
          <w:rFonts w:ascii="Times New Roman" w:hAnsi="Times New Roman" w:cs="Times New Roman"/>
          <w:sz w:val="24"/>
          <w:szCs w:val="24"/>
        </w:rPr>
        <w:tab/>
      </w:r>
      <w:r w:rsidRPr="00173913">
        <w:rPr>
          <w:rFonts w:ascii="Times New Roman" w:hAnsi="Times New Roman" w:cs="Times New Roman"/>
          <w:i/>
          <w:iCs/>
          <w:sz w:val="24"/>
          <w:szCs w:val="24"/>
          <w:u w:val="single"/>
        </w:rPr>
        <w:t>/s/ William J. Michael</w:t>
      </w:r>
      <w:r w:rsidRPr="00173913">
        <w:rPr>
          <w:rFonts w:ascii="Times New Roman" w:hAnsi="Times New Roman" w:cs="Times New Roman"/>
          <w:i/>
          <w:iCs/>
          <w:sz w:val="24"/>
          <w:szCs w:val="24"/>
          <w:u w:val="single"/>
        </w:rPr>
        <w:tab/>
      </w:r>
      <w:r w:rsidRPr="00173913">
        <w:rPr>
          <w:rFonts w:ascii="Times New Roman" w:hAnsi="Times New Roman" w:cs="Times New Roman"/>
          <w:i/>
          <w:iCs/>
          <w:sz w:val="24"/>
          <w:szCs w:val="24"/>
          <w:u w:val="single"/>
        </w:rPr>
        <w:tab/>
      </w:r>
    </w:p>
    <w:p w:rsidR="00954447" w:rsidRPr="00173913" w:rsidP="004E4647" w14:paraId="274520F9" w14:textId="77777777">
      <w:pPr>
        <w:tabs>
          <w:tab w:val="left" w:pos="4320"/>
        </w:tabs>
        <w:spacing w:after="0" w:line="240" w:lineRule="auto"/>
        <w:rPr>
          <w:rFonts w:ascii="Times New Roman" w:hAnsi="Times New Roman" w:cs="Times New Roman"/>
          <w:sz w:val="24"/>
          <w:szCs w:val="24"/>
        </w:rPr>
      </w:pPr>
      <w:r w:rsidRPr="00173913">
        <w:rPr>
          <w:rFonts w:ascii="Times New Roman" w:hAnsi="Times New Roman" w:cs="Times New Roman"/>
          <w:sz w:val="24"/>
          <w:szCs w:val="24"/>
        </w:rPr>
        <w:tab/>
        <w:t>William J. Michael</w:t>
      </w:r>
    </w:p>
    <w:p w:rsidR="00954447" w:rsidP="008E484C" w14:paraId="2C0C1BF0" w14:textId="34934CD2">
      <w:pPr>
        <w:tabs>
          <w:tab w:val="left" w:pos="4320"/>
        </w:tabs>
        <w:spacing w:after="0" w:line="240" w:lineRule="auto"/>
        <w:rPr>
          <w:rFonts w:ascii="Times New Roman" w:hAnsi="Times New Roman" w:cs="Times New Roman"/>
          <w:sz w:val="24"/>
          <w:szCs w:val="24"/>
        </w:rPr>
      </w:pPr>
      <w:r w:rsidRPr="00173913">
        <w:rPr>
          <w:rFonts w:ascii="Times New Roman" w:hAnsi="Times New Roman" w:cs="Times New Roman"/>
          <w:sz w:val="24"/>
          <w:szCs w:val="24"/>
        </w:rPr>
        <w:tab/>
        <w:t>Assistant Consumers’ Counsel</w:t>
      </w:r>
    </w:p>
    <w:p w:rsidR="008E484C" w:rsidRPr="00173913" w:rsidP="008E484C" w14:paraId="11F6D39B" w14:textId="77777777">
      <w:pPr>
        <w:tabs>
          <w:tab w:val="left" w:pos="4320"/>
        </w:tabs>
        <w:spacing w:after="0" w:line="240" w:lineRule="auto"/>
        <w:rPr>
          <w:rFonts w:ascii="Times New Roman" w:hAnsi="Times New Roman" w:cs="Times New Roman"/>
          <w:sz w:val="24"/>
          <w:szCs w:val="24"/>
        </w:rPr>
      </w:pPr>
    </w:p>
    <w:p w:rsidR="00954447" w:rsidRPr="00173913" w:rsidP="008E484C" w14:paraId="646B47C8" w14:textId="4520A771">
      <w:pPr>
        <w:rPr>
          <w:rFonts w:ascii="Times New Roman" w:hAnsi="Times New Roman" w:cs="Times New Roman"/>
          <w:sz w:val="24"/>
          <w:szCs w:val="24"/>
        </w:rPr>
      </w:pPr>
      <w:r w:rsidRPr="00173913">
        <w:rPr>
          <w:rFonts w:ascii="Times New Roman" w:hAnsi="Times New Roman" w:cs="Times New Roman"/>
          <w:sz w:val="24"/>
          <w:szCs w:val="24"/>
        </w:rPr>
        <w:t>The PUCO’s e-filing system will electronically serve notice of the filing of this document on the following parties:</w:t>
      </w:r>
    </w:p>
    <w:p w:rsidR="00FD5310" w:rsidRPr="00173913" w:rsidP="00FD5310" w14:paraId="4459B1A1" w14:textId="77777777">
      <w:pPr>
        <w:pStyle w:val="CommentText"/>
        <w:spacing w:after="0"/>
        <w:jc w:val="center"/>
        <w:rPr>
          <w:rFonts w:ascii="Times New Roman" w:hAnsi="Times New Roman" w:cs="Times New Roman"/>
          <w:b/>
          <w:sz w:val="24"/>
          <w:szCs w:val="24"/>
          <w:u w:val="single"/>
        </w:rPr>
      </w:pPr>
      <w:bookmarkStart w:id="11" w:name="_Hlk89680211"/>
      <w:r w:rsidRPr="00173913">
        <w:rPr>
          <w:rFonts w:ascii="Times New Roman" w:hAnsi="Times New Roman" w:cs="Times New Roman"/>
          <w:b/>
          <w:sz w:val="24"/>
          <w:szCs w:val="24"/>
          <w:u w:val="single"/>
        </w:rPr>
        <w:t>SERVICE LIST</w:t>
      </w:r>
    </w:p>
    <w:p w:rsidR="00FD5310" w:rsidRPr="00173913" w:rsidP="00FD5310" w14:paraId="40004B4C" w14:textId="77777777">
      <w:pPr>
        <w:pStyle w:val="CommentText"/>
        <w:spacing w:after="0"/>
        <w:jc w:val="center"/>
        <w:rPr>
          <w:rFonts w:ascii="Times New Roman" w:hAnsi="Times New Roman" w:cs="Times New Roman"/>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70"/>
        <w:gridCol w:w="4770"/>
      </w:tblGrid>
      <w:tr w14:paraId="2D53EF86" w14:textId="77777777" w:rsidTr="003D2ED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3870" w:type="dxa"/>
          </w:tcPr>
          <w:bookmarkEnd w:id="11"/>
          <w:p w:rsidR="0008663A" w:rsidRPr="0008663A" w:rsidP="0008663A" w14:paraId="5CAE28B1" w14:textId="110B1EA9">
            <w:pPr>
              <w:rPr>
                <w:color w:val="0000FF"/>
                <w:sz w:val="24"/>
                <w:szCs w:val="24"/>
                <w:u w:val="single"/>
              </w:rPr>
            </w:pPr>
            <w:r w:rsidRPr="00F653CE">
              <w:rPr>
                <w:color w:val="0000FF"/>
                <w:sz w:val="24"/>
                <w:szCs w:val="24"/>
                <w:u w:val="single"/>
              </w:rPr>
              <w:t>jodi.bair@ohioago.gov</w:t>
            </w:r>
          </w:p>
          <w:p w:rsidR="0008663A" w:rsidRPr="0008663A" w:rsidP="0008663A" w14:paraId="205BF807" w14:textId="77777777">
            <w:pPr>
              <w:rPr>
                <w:sz w:val="24"/>
                <w:szCs w:val="24"/>
              </w:rPr>
            </w:pPr>
            <w:hyperlink r:id="rId9" w:history="1">
              <w:r w:rsidRPr="0008663A">
                <w:rPr>
                  <w:color w:val="0000FF"/>
                  <w:sz w:val="24"/>
                  <w:szCs w:val="24"/>
                  <w:u w:val="single"/>
                </w:rPr>
                <w:t>sarah.feldkamp@ohioago.gov</w:t>
              </w:r>
            </w:hyperlink>
          </w:p>
          <w:p w:rsidR="0008663A" w:rsidRPr="0008663A" w:rsidP="0008663A" w14:paraId="0346E356" w14:textId="77777777">
            <w:pPr>
              <w:spacing w:after="120"/>
              <w:rPr>
                <w:sz w:val="24"/>
                <w:szCs w:val="24"/>
              </w:rPr>
            </w:pPr>
          </w:p>
          <w:p w:rsidR="0008663A" w:rsidRPr="0008663A" w:rsidP="00E13E29" w14:paraId="518C15F6" w14:textId="77777777">
            <w:pPr>
              <w:rPr>
                <w:sz w:val="24"/>
                <w:szCs w:val="24"/>
              </w:rPr>
            </w:pPr>
            <w:r w:rsidRPr="0008663A">
              <w:rPr>
                <w:sz w:val="24"/>
                <w:szCs w:val="24"/>
              </w:rPr>
              <w:t>Attorney Examiner:</w:t>
            </w:r>
          </w:p>
          <w:p w:rsidR="0008663A" w:rsidRPr="0008663A" w:rsidP="0008663A" w14:paraId="06334F4C" w14:textId="77777777">
            <w:pPr>
              <w:rPr>
                <w:sz w:val="24"/>
                <w:szCs w:val="24"/>
              </w:rPr>
            </w:pPr>
            <w:hyperlink r:id="rId10" w:history="1">
              <w:r w:rsidRPr="0008663A">
                <w:rPr>
                  <w:color w:val="0000FF"/>
                  <w:sz w:val="24"/>
                  <w:szCs w:val="24"/>
                  <w:u w:val="single"/>
                </w:rPr>
                <w:t>jacqueline.st.john@puco.ohio.gov</w:t>
              </w:r>
            </w:hyperlink>
          </w:p>
          <w:p w:rsidR="0008663A" w:rsidRPr="0008663A" w:rsidP="0008663A" w14:paraId="7975C151" w14:textId="77777777">
            <w:pPr>
              <w:spacing w:after="120"/>
              <w:rPr>
                <w:sz w:val="24"/>
                <w:szCs w:val="24"/>
              </w:rPr>
            </w:pPr>
            <w:r w:rsidRPr="0008663A">
              <w:rPr>
                <w:sz w:val="24"/>
                <w:szCs w:val="24"/>
              </w:rPr>
              <w:t xml:space="preserve"> </w:t>
            </w:r>
          </w:p>
        </w:tc>
        <w:tc>
          <w:tcPr>
            <w:tcW w:w="4770" w:type="dxa"/>
          </w:tcPr>
          <w:p w:rsidR="0008663A" w:rsidRPr="0008663A" w:rsidP="0008663A" w14:paraId="35862ECC" w14:textId="77777777">
            <w:pPr>
              <w:autoSpaceDE w:val="0"/>
              <w:autoSpaceDN w:val="0"/>
              <w:adjustRightInd w:val="0"/>
              <w:ind w:left="465"/>
              <w:rPr>
                <w:sz w:val="24"/>
                <w:szCs w:val="24"/>
                <w:lang w:bidi="he-IL"/>
              </w:rPr>
            </w:pPr>
            <w:hyperlink r:id="rId11" w:history="1">
              <w:r w:rsidRPr="0008663A">
                <w:rPr>
                  <w:color w:val="0000FF"/>
                  <w:sz w:val="24"/>
                  <w:szCs w:val="24"/>
                  <w:u w:val="single"/>
                  <w:lang w:bidi="he-IL"/>
                </w:rPr>
                <w:t>kennedy@whitt-sturtevant.com</w:t>
              </w:r>
            </w:hyperlink>
          </w:p>
          <w:p w:rsidR="0008663A" w:rsidRPr="0008663A" w:rsidP="0008663A" w14:paraId="77BE1103" w14:textId="77777777">
            <w:pPr>
              <w:spacing w:after="120"/>
              <w:ind w:left="465"/>
              <w:rPr>
                <w:sz w:val="24"/>
                <w:szCs w:val="24"/>
              </w:rPr>
            </w:pPr>
            <w:hyperlink r:id="rId12" w:history="1">
              <w:r w:rsidRPr="0008663A">
                <w:rPr>
                  <w:color w:val="0000FF"/>
                  <w:sz w:val="24"/>
                  <w:szCs w:val="24"/>
                  <w:u w:val="single"/>
                </w:rPr>
                <w:t>andrew.j.campbell@dominionenergy.com</w:t>
              </w:r>
            </w:hyperlink>
          </w:p>
          <w:p w:rsidR="0008663A" w:rsidRPr="0008663A" w:rsidP="0008663A" w14:paraId="519F962D" w14:textId="77777777">
            <w:pPr>
              <w:spacing w:after="120"/>
              <w:ind w:left="553"/>
              <w:rPr>
                <w:sz w:val="24"/>
                <w:szCs w:val="24"/>
                <w:lang w:bidi="he-IL"/>
              </w:rPr>
            </w:pPr>
          </w:p>
          <w:p w:rsidR="0008663A" w:rsidRPr="0008663A" w:rsidP="0008663A" w14:paraId="72512060" w14:textId="77777777">
            <w:pPr>
              <w:spacing w:after="120"/>
              <w:ind w:left="707"/>
              <w:rPr>
                <w:sz w:val="24"/>
                <w:szCs w:val="24"/>
              </w:rPr>
            </w:pPr>
          </w:p>
        </w:tc>
      </w:tr>
    </w:tbl>
    <w:p w:rsidR="00FD5310" w:rsidRPr="00173913" w:rsidP="00FD5310" w14:paraId="66558C55" w14:textId="77777777">
      <w:pPr>
        <w:pStyle w:val="CommentText"/>
        <w:spacing w:after="0"/>
        <w:jc w:val="center"/>
        <w:rPr>
          <w:rFonts w:ascii="Times New Roman" w:hAnsi="Times New Roman" w:cs="Times New Roman"/>
          <w:b/>
          <w:sz w:val="24"/>
          <w:szCs w:val="24"/>
          <w:u w:val="single"/>
        </w:rPr>
      </w:pPr>
    </w:p>
    <w:sectPr w:rsidSect="0043620A">
      <w:headerReference w:type="default" r:id="rId13"/>
      <w:footerReference w:type="default" r:id="rId14"/>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35FB" w:rsidRPr="005535FB" w14:paraId="03CDFF74" w14:textId="3BE24FF4">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80014549"/>
      <w:docPartObj>
        <w:docPartGallery w:val="Page Numbers (Bottom of Page)"/>
        <w:docPartUnique/>
      </w:docPartObj>
    </w:sdtPr>
    <w:sdtEndPr>
      <w:rPr>
        <w:rFonts w:ascii="Times New Roman" w:hAnsi="Times New Roman" w:cs="Times New Roman"/>
        <w:noProof/>
        <w:sz w:val="24"/>
        <w:szCs w:val="24"/>
      </w:rPr>
    </w:sdtEndPr>
    <w:sdtContent>
      <w:p w:rsidR="00B0423C" w:rsidRPr="00B0423C" w14:paraId="5B30C1EE" w14:textId="07F59DA4">
        <w:pPr>
          <w:pStyle w:val="Footer"/>
          <w:jc w:val="center"/>
          <w:rPr>
            <w:rFonts w:ascii="Times New Roman" w:hAnsi="Times New Roman" w:cs="Times New Roman"/>
            <w:sz w:val="24"/>
            <w:szCs w:val="24"/>
          </w:rPr>
        </w:pPr>
        <w:r w:rsidRPr="00B0423C">
          <w:rPr>
            <w:rFonts w:ascii="Times New Roman" w:hAnsi="Times New Roman" w:cs="Times New Roman"/>
            <w:sz w:val="24"/>
            <w:szCs w:val="24"/>
          </w:rPr>
          <w:fldChar w:fldCharType="begin"/>
        </w:r>
        <w:r w:rsidRPr="00B0423C">
          <w:rPr>
            <w:rFonts w:ascii="Times New Roman" w:hAnsi="Times New Roman" w:cs="Times New Roman"/>
            <w:sz w:val="24"/>
            <w:szCs w:val="24"/>
          </w:rPr>
          <w:instrText xml:space="preserve"> PAGE   \* MERGEFORMAT </w:instrText>
        </w:r>
        <w:r w:rsidRPr="00B0423C">
          <w:rPr>
            <w:rFonts w:ascii="Times New Roman" w:hAnsi="Times New Roman" w:cs="Times New Roman"/>
            <w:sz w:val="24"/>
            <w:szCs w:val="24"/>
          </w:rPr>
          <w:fldChar w:fldCharType="separate"/>
        </w:r>
        <w:r w:rsidRPr="00B0423C">
          <w:rPr>
            <w:rFonts w:ascii="Times New Roman" w:hAnsi="Times New Roman" w:cs="Times New Roman"/>
            <w:noProof/>
            <w:sz w:val="24"/>
            <w:szCs w:val="24"/>
          </w:rPr>
          <w:t>2</w:t>
        </w:r>
        <w:r w:rsidRPr="00B0423C">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42877088"/>
      <w:docPartObj>
        <w:docPartGallery w:val="Page Numbers (Bottom of Page)"/>
        <w:docPartUnique/>
      </w:docPartObj>
    </w:sdtPr>
    <w:sdtEndPr>
      <w:rPr>
        <w:rFonts w:ascii="Times New Roman" w:hAnsi="Times New Roman" w:cs="Times New Roman"/>
        <w:noProof/>
        <w:sz w:val="24"/>
        <w:szCs w:val="24"/>
      </w:rPr>
    </w:sdtEndPr>
    <w:sdtContent>
      <w:p w:rsidR="0043620A" w:rsidRPr="00B0423C" w14:paraId="2514C8ED" w14:textId="77777777">
        <w:pPr>
          <w:pStyle w:val="Footer"/>
          <w:jc w:val="center"/>
          <w:rPr>
            <w:rFonts w:ascii="Times New Roman" w:hAnsi="Times New Roman" w:cs="Times New Roman"/>
            <w:sz w:val="24"/>
            <w:szCs w:val="24"/>
          </w:rPr>
        </w:pPr>
        <w:r w:rsidRPr="00B0423C">
          <w:rPr>
            <w:rFonts w:ascii="Times New Roman" w:hAnsi="Times New Roman" w:cs="Times New Roman"/>
            <w:sz w:val="24"/>
            <w:szCs w:val="24"/>
          </w:rPr>
          <w:fldChar w:fldCharType="begin"/>
        </w:r>
        <w:r w:rsidRPr="00B0423C">
          <w:rPr>
            <w:rFonts w:ascii="Times New Roman" w:hAnsi="Times New Roman" w:cs="Times New Roman"/>
            <w:sz w:val="24"/>
            <w:szCs w:val="24"/>
          </w:rPr>
          <w:instrText xml:space="preserve"> PAGE   \* MERGEFORMAT </w:instrText>
        </w:r>
        <w:r w:rsidRPr="00B0423C">
          <w:rPr>
            <w:rFonts w:ascii="Times New Roman" w:hAnsi="Times New Roman" w:cs="Times New Roman"/>
            <w:sz w:val="24"/>
            <w:szCs w:val="24"/>
          </w:rPr>
          <w:fldChar w:fldCharType="separate"/>
        </w:r>
        <w:r w:rsidRPr="00B0423C">
          <w:rPr>
            <w:rFonts w:ascii="Times New Roman" w:hAnsi="Times New Roman" w:cs="Times New Roman"/>
            <w:noProof/>
            <w:sz w:val="24"/>
            <w:szCs w:val="24"/>
          </w:rPr>
          <w:t>2</w:t>
        </w:r>
        <w:r w:rsidRPr="00B0423C">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B1A8C" w:rsidRPr="00B32B7E" w:rsidP="00B32B7E" w14:paraId="1FF90357" w14:textId="77777777">
      <w:pPr>
        <w:pStyle w:val="Footer"/>
      </w:pPr>
      <w:r>
        <w:separator/>
      </w:r>
    </w:p>
  </w:footnote>
  <w:footnote w:type="continuationSeparator" w:id="1">
    <w:p w:rsidR="003B1A8C" w:rsidRPr="00B32B7E" w:rsidP="00B32B7E" w14:paraId="7936E17D" w14:textId="77777777">
      <w:pPr>
        <w:pStyle w:val="Footer"/>
      </w:pPr>
      <w:r>
        <w:continuationSeparator/>
      </w:r>
    </w:p>
  </w:footnote>
  <w:footnote w:type="continuationNotice" w:id="2">
    <w:p w:rsidR="003B1A8C" w14:paraId="3A75D2A6" w14:textId="77777777">
      <w:pPr>
        <w:spacing w:after="0" w:line="240" w:lineRule="auto"/>
      </w:pPr>
    </w:p>
  </w:footnote>
  <w:footnote w:id="3">
    <w:p w:rsidR="009F0BD9" w:rsidRPr="009F0BD9" w:rsidP="00E01327" w14:paraId="1125D088" w14:textId="46A67EC5">
      <w:pPr>
        <w:pStyle w:val="FootnoteText"/>
        <w:spacing w:after="120"/>
      </w:pPr>
      <w:r>
        <w:rPr>
          <w:rStyle w:val="FootnoteReference"/>
        </w:rPr>
        <w:footnoteRef/>
      </w:r>
      <w:r>
        <w:t xml:space="preserve"> </w:t>
      </w:r>
      <w:r>
        <w:rPr>
          <w:i/>
          <w:iCs/>
        </w:rPr>
        <w:t>In the Matter of the East Ohio Gas Company d/b/a/ Dominion Energy Ohio for Authority to Adjust Its Capital Expenditure Program Rider Charges,</w:t>
      </w:r>
      <w:r w:rsidR="001C1532">
        <w:rPr>
          <w:i/>
          <w:iCs/>
        </w:rPr>
        <w:t xml:space="preserve"> </w:t>
      </w:r>
      <w:r>
        <w:t xml:space="preserve">Case No. 22-619-GA-RDR, </w:t>
      </w:r>
      <w:r w:rsidR="004F12C4">
        <w:t xml:space="preserve">Application of Dominion </w:t>
      </w:r>
      <w:r>
        <w:t xml:space="preserve">(April 1, 2022). </w:t>
      </w:r>
      <w:r w:rsidR="004F12C4">
        <w:t>(“Application”).</w:t>
      </w:r>
    </w:p>
  </w:footnote>
  <w:footnote w:id="4">
    <w:p w:rsidR="00DC186B" w:rsidRPr="00DC186B" w:rsidP="00E01327" w14:paraId="2A90479A" w14:textId="3390C5B7">
      <w:pPr>
        <w:pStyle w:val="FootnoteText"/>
        <w:spacing w:after="120"/>
      </w:pPr>
      <w:r>
        <w:rPr>
          <w:rStyle w:val="FootnoteReference"/>
        </w:rPr>
        <w:footnoteRef/>
      </w:r>
      <w:r>
        <w:t xml:space="preserve"> </w:t>
      </w:r>
      <w:r>
        <w:rPr>
          <w:i/>
          <w:iCs/>
        </w:rPr>
        <w:t xml:space="preserve">See </w:t>
      </w:r>
      <w:r>
        <w:t xml:space="preserve">Application, Attachment A, Schedule 1. </w:t>
      </w:r>
    </w:p>
  </w:footnote>
  <w:footnote w:id="5">
    <w:p w:rsidR="009F0BD9" w:rsidRPr="009F0BD9" w:rsidP="00E01327" w14:paraId="0FCF6610" w14:textId="6952CCDD">
      <w:pPr>
        <w:pStyle w:val="FootnoteText"/>
        <w:spacing w:after="120"/>
      </w:pPr>
      <w:r>
        <w:rPr>
          <w:rStyle w:val="FootnoteReference"/>
        </w:rPr>
        <w:footnoteRef/>
      </w:r>
      <w:r>
        <w:t xml:space="preserve"> </w:t>
      </w:r>
      <w:r>
        <w:rPr>
          <w:i/>
          <w:iCs/>
        </w:rPr>
        <w:t xml:space="preserve">See </w:t>
      </w:r>
      <w:r w:rsidR="004F12C4">
        <w:t>Application</w:t>
      </w:r>
      <w:r>
        <w:t xml:space="preserve">, Attachment A, Schedule 2. </w:t>
      </w:r>
    </w:p>
  </w:footnote>
  <w:footnote w:id="6">
    <w:p w:rsidR="004F12C4" w:rsidP="00E01327" w14:paraId="4FD8C6CC" w14:textId="2334ABC0">
      <w:pPr>
        <w:pStyle w:val="FootnoteText"/>
        <w:spacing w:after="120"/>
      </w:pPr>
      <w:r>
        <w:rPr>
          <w:rStyle w:val="FootnoteReference"/>
        </w:rPr>
        <w:footnoteRef/>
      </w:r>
      <w:r>
        <w:t xml:space="preserve"> Direct Testimony of Dr. Daniel Duann on Behalf of the Ohio Consumers’ Counsel at 4 (August 31, 2022) (“Dr. Duann Direct”).</w:t>
      </w:r>
    </w:p>
  </w:footnote>
  <w:footnote w:id="7">
    <w:p w:rsidR="004F12C4" w:rsidRPr="004F12C4" w:rsidP="00E01327" w14:paraId="6A752F45" w14:textId="21023777">
      <w:pPr>
        <w:pStyle w:val="FootnoteText"/>
        <w:spacing w:after="120"/>
      </w:pPr>
      <w:r>
        <w:rPr>
          <w:rStyle w:val="FootnoteReference"/>
        </w:rPr>
        <w:footnoteRef/>
      </w:r>
      <w:r>
        <w:t xml:space="preserve"> </w:t>
      </w:r>
      <w:r>
        <w:rPr>
          <w:i/>
          <w:iCs/>
        </w:rPr>
        <w:t>Id.</w:t>
      </w:r>
      <w:r>
        <w:t xml:space="preserve"> at 13. </w:t>
      </w:r>
    </w:p>
  </w:footnote>
  <w:footnote w:id="8">
    <w:p w:rsidR="00CA04D1" w:rsidRPr="00CA04D1" w:rsidP="00E01327" w14:paraId="359D9BDB" w14:textId="0B2952FA">
      <w:pPr>
        <w:pStyle w:val="FootnoteText"/>
        <w:spacing w:after="120"/>
        <w:rPr>
          <w:i/>
          <w:iCs/>
        </w:rPr>
      </w:pPr>
      <w:r>
        <w:rPr>
          <w:rStyle w:val="FootnoteReference"/>
        </w:rPr>
        <w:footnoteRef/>
      </w:r>
      <w:r>
        <w:t xml:space="preserve"> </w:t>
      </w:r>
      <w:r>
        <w:rPr>
          <w:i/>
          <w:iCs/>
        </w:rPr>
        <w:t>Id.</w:t>
      </w:r>
    </w:p>
  </w:footnote>
  <w:footnote w:id="9">
    <w:p w:rsidR="00CA04D1" w:rsidP="00E01327" w14:paraId="3977405C" w14:textId="6A7E312B">
      <w:pPr>
        <w:pStyle w:val="FootnoteText"/>
        <w:spacing w:after="120"/>
      </w:pPr>
      <w:r>
        <w:rPr>
          <w:rStyle w:val="FootnoteReference"/>
        </w:rPr>
        <w:footnoteRef/>
      </w:r>
      <w:r>
        <w:t xml:space="preserve"> </w:t>
      </w:r>
      <w:r w:rsidRPr="00CA04D1">
        <w:rPr>
          <w:i/>
          <w:iCs/>
        </w:rPr>
        <w:t>Cleveland Electric Illuminating Co. v. Pub Util. Comm.</w:t>
      </w:r>
      <w:r>
        <w:t xml:space="preserve">, 42 Ohio St.2d 403, 431 (1975), superseded on other grounds (by statute), as recognized in </w:t>
      </w:r>
      <w:r w:rsidRPr="00CA04D1">
        <w:rPr>
          <w:i/>
          <w:iCs/>
        </w:rPr>
        <w:t>Babbit v. Pub. Util. Comm</w:t>
      </w:r>
      <w:r>
        <w:t>., 59 Ohio St.2d 81, 89 (1979).</w:t>
      </w:r>
    </w:p>
  </w:footnote>
  <w:footnote w:id="10">
    <w:p w:rsidR="006F05B8" w:rsidP="00E01327" w14:paraId="0AFAA73E" w14:textId="1FD2B126">
      <w:pPr>
        <w:pStyle w:val="FootnoteText"/>
        <w:spacing w:after="120"/>
      </w:pPr>
      <w:r w:rsidRPr="007C70D0">
        <w:rPr>
          <w:rStyle w:val="FootnoteReference"/>
        </w:rPr>
        <w:footnoteRef/>
      </w:r>
      <w:r w:rsidRPr="006F05B8">
        <w:rPr>
          <w:i/>
          <w:iCs/>
        </w:rPr>
        <w:t xml:space="preserve"> Ohio Consumers’ Counsel v. Pub. Util. Comm</w:t>
      </w:r>
      <w:r>
        <w:t>., 10 Ohio St.3d 49, 50-51 (1984).</w:t>
      </w:r>
    </w:p>
  </w:footnote>
  <w:footnote w:id="11">
    <w:p w:rsidR="006F05B8" w:rsidP="00E01327" w14:paraId="6CB5CE7D" w14:textId="7402B580">
      <w:pPr>
        <w:pStyle w:val="FootnoteText"/>
        <w:spacing w:after="120"/>
      </w:pPr>
      <w:r>
        <w:rPr>
          <w:rStyle w:val="FootnoteReference"/>
        </w:rPr>
        <w:footnoteRef/>
      </w:r>
      <w:r>
        <w:t xml:space="preserve"> </w:t>
      </w:r>
      <w:r w:rsidRPr="006F05B8">
        <w:rPr>
          <w:i/>
          <w:iCs/>
        </w:rPr>
        <w:t>In re Application of Columbus S. Power Co</w:t>
      </w:r>
      <w:r>
        <w:t>., 128 Ohio St.3d 512, 2011-Ohio-1788, 947 N.E.2d 655, ¶</w:t>
      </w:r>
      <w:r w:rsidR="00A01FE3">
        <w:t xml:space="preserve"> </w:t>
      </w:r>
      <w:r>
        <w:t>52.</w:t>
      </w:r>
    </w:p>
  </w:footnote>
  <w:footnote w:id="12">
    <w:p w:rsidR="003D4E6A" w:rsidP="00E01327" w14:paraId="780EB906" w14:textId="0B095CD7">
      <w:pPr>
        <w:pStyle w:val="FootnoteText"/>
        <w:spacing w:after="120"/>
      </w:pPr>
      <w:r>
        <w:rPr>
          <w:rStyle w:val="FootnoteReference"/>
        </w:rPr>
        <w:footnoteRef/>
      </w:r>
      <w:r>
        <w:t xml:space="preserve"> Case No. 05-1194-EL-UNC.</w:t>
      </w:r>
    </w:p>
  </w:footnote>
  <w:footnote w:id="13">
    <w:p w:rsidR="003D4E6A" w:rsidRPr="003D4E6A" w:rsidP="00E01327" w14:paraId="11133627" w14:textId="1341CC94">
      <w:pPr>
        <w:pStyle w:val="FootnoteText"/>
        <w:spacing w:after="120"/>
      </w:pPr>
      <w:r>
        <w:rPr>
          <w:rStyle w:val="FootnoteReference"/>
        </w:rPr>
        <w:footnoteRef/>
      </w:r>
      <w:r>
        <w:t xml:space="preserve"> </w:t>
      </w:r>
      <w:r>
        <w:rPr>
          <w:i/>
          <w:iCs/>
        </w:rPr>
        <w:t xml:space="preserve">Id. </w:t>
      </w:r>
      <w:r>
        <w:t xml:space="preserve">at Finding and Order (December 14, 2005) at a </w:t>
      </w:r>
      <w:r w:rsidR="00A01FE3">
        <w:t>¶¶</w:t>
      </w:r>
      <w:r>
        <w:t xml:space="preserve"> 7, 8.</w:t>
      </w:r>
    </w:p>
  </w:footnote>
  <w:footnote w:id="14">
    <w:p w:rsidR="00511C31" w:rsidP="00E01327" w14:paraId="00D3D30A" w14:textId="435339CF">
      <w:pPr>
        <w:pStyle w:val="FootnoteText"/>
        <w:spacing w:after="120"/>
      </w:pPr>
      <w:r>
        <w:rPr>
          <w:rStyle w:val="FootnoteReference"/>
        </w:rPr>
        <w:footnoteRef/>
      </w:r>
      <w:r>
        <w:t xml:space="preserve"> </w:t>
      </w:r>
      <w:r w:rsidRPr="00511C31">
        <w:rPr>
          <w:i/>
          <w:iCs/>
        </w:rPr>
        <w:t>In the Matter of the Application of Columbus Southern Power Company and Ohio Power Company to Establish Environmental Investment Carrying Cost Riders</w:t>
      </w:r>
      <w:r>
        <w:rPr>
          <w:i/>
          <w:iCs/>
        </w:rPr>
        <w:t xml:space="preserve">, </w:t>
      </w:r>
      <w:r>
        <w:t xml:space="preserve">Case No. 10-155-EL-RDR, Entry on Rehearing (October 22, 2010) at </w:t>
      </w:r>
      <w:r w:rsidR="00C32D97">
        <w:t>¶</w:t>
      </w:r>
      <w:r>
        <w:t xml:space="preserve"> 9</w:t>
      </w:r>
      <w:r w:rsidR="005A4A93">
        <w:t xml:space="preserve">; </w:t>
      </w:r>
      <w:r w:rsidR="005A4A93">
        <w:rPr>
          <w:i/>
          <w:iCs/>
        </w:rPr>
        <w:t xml:space="preserve">see also In the Matter of the Application of Duke Energy Ohio, Inc. for Approval of an Alternative Rate Plan Pursuant to R.C. </w:t>
      </w:r>
      <w:r w:rsidR="00CC3EE7">
        <w:rPr>
          <w:i/>
          <w:iCs/>
        </w:rPr>
        <w:t xml:space="preserve">4929.05 for an Accelerated Service Line Replacement Program, </w:t>
      </w:r>
      <w:r w:rsidR="00CC3EE7">
        <w:t xml:space="preserve">Case No. 14-1622-GA-ALT, Opinion and Order (October 26, 2016) at </w:t>
      </w:r>
      <w:r w:rsidR="006B5532">
        <w:t>¶</w:t>
      </w:r>
      <w:r w:rsidR="00CC3EE7">
        <w:t xml:space="preserve"> 58 (“while this Commission has determined that R.C. 4929.05 does not require a full rate case determination of just and reasonable charges, the time period between the application for an alternative rate plan and the applicant's most recent base rate case may also be considered by the Commission to determine whether the plan is just and reasonable.”).</w:t>
      </w:r>
    </w:p>
  </w:footnote>
  <w:footnote w:id="15">
    <w:p w:rsidR="00DB137C" w:rsidP="00E01327" w14:paraId="1085C219" w14:textId="3CA18173">
      <w:pPr>
        <w:pStyle w:val="FootnoteText"/>
        <w:spacing w:after="120"/>
      </w:pPr>
      <w:r>
        <w:rPr>
          <w:rStyle w:val="FootnoteReference"/>
        </w:rPr>
        <w:footnoteRef/>
      </w:r>
      <w:r>
        <w:t xml:space="preserve"> </w:t>
      </w:r>
      <w:r w:rsidRPr="00DB137C">
        <w:rPr>
          <w:rFonts w:cs="Times New Roman"/>
        </w:rPr>
        <w:t>O.A.C. 4901:1-15-35, Appx. at (B)(7).</w:t>
      </w:r>
    </w:p>
  </w:footnote>
  <w:footnote w:id="16">
    <w:p w:rsidR="00572515" w:rsidP="00E01327" w14:paraId="5C8E223C" w14:textId="2916EF7E">
      <w:pPr>
        <w:pStyle w:val="FootnoteText"/>
        <w:spacing w:after="120"/>
      </w:pPr>
      <w:r>
        <w:rPr>
          <w:rStyle w:val="FootnoteReference"/>
        </w:rPr>
        <w:footnoteRef/>
      </w:r>
      <w:r>
        <w:t xml:space="preserve"> </w:t>
      </w:r>
      <w:r>
        <w:rPr>
          <w:i/>
          <w:iCs/>
        </w:rPr>
        <w:t xml:space="preserve">In the Matter of the Application of </w:t>
      </w:r>
      <w:r w:rsidR="00F335A0">
        <w:rPr>
          <w:i/>
          <w:iCs/>
        </w:rPr>
        <w:t>t</w:t>
      </w:r>
      <w:r>
        <w:rPr>
          <w:i/>
          <w:iCs/>
        </w:rPr>
        <w:t xml:space="preserve">he Cleveland Electric Illuminating Company for Authority to Increase </w:t>
      </w:r>
      <w:r w:rsidR="005A4A93">
        <w:rPr>
          <w:i/>
          <w:iCs/>
        </w:rPr>
        <w:t xml:space="preserve">its Filed Schedules Fixing Rates and Charges for Electric Service, </w:t>
      </w:r>
      <w:r>
        <w:t xml:space="preserve">Case No. 81-146-ET-AIR, Opinion and Order (March 17, 1982) at </w:t>
      </w:r>
      <w:r w:rsidR="001F1CD9">
        <w:t xml:space="preserve">¶ </w:t>
      </w:r>
      <w:r>
        <w:t>104</w:t>
      </w:r>
      <w:r w:rsidR="00A46520">
        <w:t>.</w:t>
      </w:r>
    </w:p>
  </w:footnote>
  <w:footnote w:id="17">
    <w:p w:rsidR="00142A17" w:rsidP="00E01327" w14:paraId="578C199B" w14:textId="6A5264A0">
      <w:pPr>
        <w:pStyle w:val="FootnoteText"/>
        <w:spacing w:after="120"/>
      </w:pPr>
      <w:r>
        <w:rPr>
          <w:rStyle w:val="FootnoteReference"/>
        </w:rPr>
        <w:footnoteRef/>
      </w:r>
      <w:r w:rsidR="005535FB">
        <w:t xml:space="preserve"> </w:t>
      </w:r>
      <w:r w:rsidR="00CA0BF3">
        <w:rPr>
          <w:i/>
          <w:iCs/>
        </w:rPr>
        <w:t xml:space="preserve">See </w:t>
      </w:r>
      <w:r w:rsidRPr="005A1581" w:rsidR="0053379B">
        <w:rPr>
          <w:rFonts w:cs="Times New Roman"/>
          <w:i/>
          <w:iCs/>
        </w:rPr>
        <w:t xml:space="preserve">In re the Application of </w:t>
      </w:r>
      <w:r w:rsidR="00AD6A5D">
        <w:rPr>
          <w:rFonts w:cs="Times New Roman"/>
          <w:i/>
          <w:iCs/>
        </w:rPr>
        <w:t>t</w:t>
      </w:r>
      <w:r w:rsidRPr="005A1581" w:rsidR="0053379B">
        <w:rPr>
          <w:rFonts w:cs="Times New Roman"/>
          <w:i/>
          <w:iCs/>
        </w:rPr>
        <w:t>he East Ohio Gas Company DBA Dominion Energy Ohio</w:t>
      </w:r>
      <w:r w:rsidR="0053379B">
        <w:rPr>
          <w:rFonts w:cs="Times New Roman"/>
          <w:i/>
          <w:iCs/>
        </w:rPr>
        <w:t>,</w:t>
      </w:r>
      <w:r w:rsidRPr="00485F7F" w:rsidR="0053379B">
        <w:rPr>
          <w:rFonts w:cs="Times New Roman"/>
        </w:rPr>
        <w:t xml:space="preserve"> </w:t>
      </w:r>
      <w:r w:rsidRPr="00485F7F" w:rsidR="00485F7F">
        <w:rPr>
          <w:rFonts w:cs="Times New Roman"/>
        </w:rPr>
        <w:t>Case No. 19-468-GA-ALT, Opinion and Order (December 30, 2020)</w:t>
      </w:r>
      <w:r w:rsidR="00CA0BF3">
        <w:rPr>
          <w:rFonts w:cs="Times New Roman"/>
        </w:rPr>
        <w:t xml:space="preserve"> (neither followed precedent for revisiting rates three years old, finding that doing so was in error, or explaining departure from precedent)</w:t>
      </w:r>
      <w:r w:rsidRPr="00485F7F" w:rsidR="00485F7F">
        <w:rPr>
          <w:rFonts w:cs="Times New Roman"/>
        </w:rPr>
        <w:t xml:space="preserve">; </w:t>
      </w:r>
      <w:r w:rsidRPr="00485F7F" w:rsidR="00485F7F">
        <w:rPr>
          <w:rFonts w:cs="Times New Roman"/>
          <w:i/>
          <w:iCs/>
        </w:rPr>
        <w:t xml:space="preserve">In re the Application of Duke Energy Ohio, </w:t>
      </w:r>
      <w:r w:rsidRPr="005A1581" w:rsidR="00485F7F">
        <w:rPr>
          <w:rFonts w:cs="Times New Roman"/>
          <w:i/>
          <w:iCs/>
        </w:rPr>
        <w:t xml:space="preserve">Inc. for Approval of an Alternative Form of </w:t>
      </w:r>
      <w:r w:rsidRPr="005A1581" w:rsidR="00485F7F">
        <w:rPr>
          <w:rFonts w:cs="Times New Roman"/>
        </w:rPr>
        <w:t>Regulation</w:t>
      </w:r>
      <w:r w:rsidRPr="00485F7F" w:rsidR="00485F7F">
        <w:rPr>
          <w:rFonts w:cs="Times New Roman"/>
        </w:rPr>
        <w:t>, Case No. 19-791-GA-ALT, Opinion and Order (April 21, 2021)</w:t>
      </w:r>
      <w:r w:rsidR="00CA0BF3">
        <w:rPr>
          <w:rFonts w:cs="Times New Roman"/>
        </w:rPr>
        <w:t xml:space="preserve"> (same)</w:t>
      </w:r>
      <w:r w:rsidRPr="00485F7F" w:rsidR="00485F7F">
        <w:rPr>
          <w:rFonts w:cs="Times New Roman"/>
        </w:rPr>
        <w:t xml:space="preserve">; </w:t>
      </w:r>
      <w:r w:rsidRPr="005A1581" w:rsidR="00485F7F">
        <w:rPr>
          <w:rFonts w:cs="Times New Roman"/>
          <w:i/>
          <w:iCs/>
        </w:rPr>
        <w:t xml:space="preserve">In re the Application of </w:t>
      </w:r>
      <w:r w:rsidR="00DE4676">
        <w:rPr>
          <w:rFonts w:cs="Times New Roman"/>
          <w:i/>
          <w:iCs/>
        </w:rPr>
        <w:t>t</w:t>
      </w:r>
      <w:r w:rsidRPr="005A1581" w:rsidR="00485F7F">
        <w:rPr>
          <w:rFonts w:cs="Times New Roman"/>
          <w:i/>
          <w:iCs/>
        </w:rPr>
        <w:t>he East Ohio Gas Company DBA Dominion Energy Ohio,</w:t>
      </w:r>
      <w:r w:rsidRPr="005A1581" w:rsidR="00485F7F">
        <w:rPr>
          <w:rFonts w:cs="Times New Roman"/>
        </w:rPr>
        <w:t xml:space="preserve"> Case No. 20-1634-GA-ALT, Opinion and Order (April 20, 2022</w:t>
      </w:r>
      <w:r w:rsidR="00CA0BF3">
        <w:rPr>
          <w:rFonts w:cs="Times New Roman"/>
        </w:rPr>
        <w:t xml:space="preserve"> (same)</w:t>
      </w:r>
      <w:r w:rsidR="007E05F6">
        <w:rPr>
          <w:rFonts w:cs="Times New Roman"/>
        </w:rPr>
        <w:t>)</w:t>
      </w:r>
      <w:r w:rsidRPr="005A1581" w:rsidR="00485F7F">
        <w:rPr>
          <w:rFonts w:cs="Times New Roman"/>
        </w:rPr>
        <w:t xml:space="preserve">; </w:t>
      </w:r>
      <w:r w:rsidRPr="005A1581" w:rsidR="00485F7F">
        <w:rPr>
          <w:rFonts w:cs="Times New Roman"/>
          <w:i/>
          <w:iCs/>
        </w:rPr>
        <w:t xml:space="preserve">In re </w:t>
      </w:r>
      <w:r w:rsidRPr="005A1581" w:rsidR="00485F7F">
        <w:rPr>
          <w:rFonts w:cs="Times New Roman"/>
          <w:i/>
          <w:iCs/>
          <w:color w:val="232323"/>
        </w:rPr>
        <w:t>Duke Energy Ohio Inc.’s Application to Adjust its Capital Expenditure Program Rider</w:t>
      </w:r>
      <w:r w:rsidRPr="005A1581" w:rsidR="00485F7F">
        <w:rPr>
          <w:rFonts w:cs="Times New Roman"/>
          <w:color w:val="232323"/>
        </w:rPr>
        <w:t>, Case No. 21-618-GA-RDR, Opinion and Order (July 27, 2022)</w:t>
      </w:r>
      <w:r w:rsidR="00CA0BF3">
        <w:rPr>
          <w:rFonts w:cs="Times New Roman"/>
          <w:color w:val="232323"/>
        </w:rPr>
        <w:t xml:space="preserve"> (same)</w:t>
      </w:r>
      <w:r w:rsidRPr="005A1581" w:rsidR="00485F7F">
        <w:rPr>
          <w:rFonts w:cs="Times New Roman"/>
          <w:color w:val="232323"/>
        </w:rPr>
        <w:t>; and</w:t>
      </w:r>
      <w:r w:rsidRPr="00485F7F" w:rsidR="00485F7F">
        <w:rPr>
          <w:rFonts w:cs="Times New Roman"/>
        </w:rPr>
        <w:t xml:space="preserve"> </w:t>
      </w:r>
      <w:r w:rsidRPr="00485F7F" w:rsidR="00485F7F">
        <w:rPr>
          <w:rFonts w:cs="Times New Roman"/>
          <w:i/>
          <w:iCs/>
        </w:rPr>
        <w:t xml:space="preserve">In re the Application of </w:t>
      </w:r>
      <w:r w:rsidR="00771489">
        <w:rPr>
          <w:rFonts w:cs="Times New Roman"/>
          <w:i/>
          <w:iCs/>
        </w:rPr>
        <w:t>t</w:t>
      </w:r>
      <w:r w:rsidRPr="00485F7F" w:rsidR="00485F7F">
        <w:rPr>
          <w:rFonts w:cs="Times New Roman"/>
          <w:i/>
          <w:iCs/>
        </w:rPr>
        <w:t xml:space="preserve">he East Ohio Gas Company </w:t>
      </w:r>
      <w:r w:rsidRPr="005A1581" w:rsidR="00485F7F">
        <w:rPr>
          <w:rFonts w:cs="Times New Roman"/>
          <w:i/>
          <w:iCs/>
        </w:rPr>
        <w:t>DBA Dominion Energy Ohio,</w:t>
      </w:r>
      <w:r w:rsidRPr="005A1581" w:rsidR="00485F7F">
        <w:rPr>
          <w:rFonts w:cs="Times New Roman"/>
        </w:rPr>
        <w:t xml:space="preserve"> Case No. 21-619-GA-RDR, Opinion and Order (February 23, 2022)</w:t>
      </w:r>
      <w:r w:rsidR="00CA0BF3">
        <w:rPr>
          <w:rFonts w:cs="Times New Roman"/>
        </w:rPr>
        <w:t xml:space="preserve"> (same)</w:t>
      </w:r>
      <w:r w:rsidRPr="005A1581" w:rsidR="00485F7F">
        <w:rPr>
          <w:rFonts w:cs="Times New Roman"/>
        </w:rPr>
        <w:t>.</w:t>
      </w:r>
    </w:p>
  </w:footnote>
  <w:footnote w:id="18">
    <w:p w:rsidR="00B84CA5" w:rsidRPr="00CC3EE7" w:rsidP="00E01327" w14:paraId="1832034F" w14:textId="1F90EC35">
      <w:pPr>
        <w:pStyle w:val="FootnoteText"/>
        <w:spacing w:after="120"/>
        <w:rPr>
          <w:i/>
          <w:iCs/>
        </w:rPr>
      </w:pPr>
      <w:r>
        <w:rPr>
          <w:rStyle w:val="FootnoteReference"/>
        </w:rPr>
        <w:footnoteRef/>
      </w:r>
      <w:r>
        <w:t xml:space="preserve"> </w:t>
      </w:r>
      <w:r w:rsidRPr="00485F7F" w:rsidR="0053379B">
        <w:rPr>
          <w:rFonts w:cs="Times New Roman"/>
        </w:rPr>
        <w:t>Case No. 19-468-GA-ALT</w:t>
      </w:r>
      <w:r w:rsidR="0053379B">
        <w:rPr>
          <w:rFonts w:cs="Times New Roman"/>
        </w:rPr>
        <w:t>.</w:t>
      </w:r>
    </w:p>
  </w:footnote>
  <w:footnote w:id="19">
    <w:p w:rsidR="003E2ED1" w:rsidP="00E01327" w14:paraId="6AA4CE2C" w14:textId="68B36ECC">
      <w:pPr>
        <w:pStyle w:val="FootnoteText"/>
        <w:spacing w:after="120"/>
      </w:pPr>
      <w:r>
        <w:rPr>
          <w:rStyle w:val="FootnoteReference"/>
        </w:rPr>
        <w:footnoteRef/>
      </w:r>
      <w:r>
        <w:t xml:space="preserve"> Duann Testimony at 6.</w:t>
      </w:r>
    </w:p>
  </w:footnote>
  <w:footnote w:id="20">
    <w:p w:rsidR="003E2ED1" w:rsidRPr="003E2ED1" w:rsidP="00E01327" w14:paraId="2F010A22" w14:textId="46400882">
      <w:pPr>
        <w:pStyle w:val="FootnoteText"/>
        <w:spacing w:after="120"/>
      </w:pPr>
      <w:r>
        <w:rPr>
          <w:rStyle w:val="FootnoteReference"/>
        </w:rPr>
        <w:footnoteRef/>
      </w:r>
      <w:r>
        <w:t xml:space="preserve"> </w:t>
      </w:r>
      <w:r>
        <w:rPr>
          <w:i/>
          <w:iCs/>
        </w:rPr>
        <w:t xml:space="preserve">Id. </w:t>
      </w:r>
      <w:r>
        <w:t>at 5-6.</w:t>
      </w:r>
    </w:p>
  </w:footnote>
  <w:footnote w:id="21">
    <w:p w:rsidR="003E2ED1" w:rsidRPr="003E2ED1" w:rsidP="00E01327" w14:paraId="79B09053" w14:textId="1A745269">
      <w:pPr>
        <w:pStyle w:val="FootnoteText"/>
        <w:spacing w:after="120"/>
        <w:rPr>
          <w:i/>
          <w:iCs/>
        </w:rPr>
      </w:pPr>
      <w:r>
        <w:rPr>
          <w:rStyle w:val="FootnoteReference"/>
        </w:rPr>
        <w:footnoteRef/>
      </w:r>
      <w:r>
        <w:t xml:space="preserve"> </w:t>
      </w:r>
      <w:r>
        <w:rPr>
          <w:i/>
          <w:iCs/>
        </w:rPr>
        <w:t>Id.</w:t>
      </w:r>
    </w:p>
  </w:footnote>
  <w:footnote w:id="22">
    <w:p w:rsidR="00E73B8F" w:rsidRPr="00E73B8F" w:rsidP="00E01327" w14:paraId="7EC0316E" w14:textId="0AD26A47">
      <w:pPr>
        <w:pStyle w:val="FootnoteText"/>
        <w:spacing w:after="120"/>
      </w:pPr>
      <w:r>
        <w:rPr>
          <w:rStyle w:val="FootnoteReference"/>
        </w:rPr>
        <w:footnoteRef/>
      </w:r>
      <w:r>
        <w:t xml:space="preserve"> </w:t>
      </w:r>
      <w:r>
        <w:rPr>
          <w:i/>
          <w:iCs/>
        </w:rPr>
        <w:t>See</w:t>
      </w:r>
      <w:r>
        <w:t xml:space="preserve"> R.C. 4929.05(A)3, R.C. 4929.05(B)</w:t>
      </w:r>
      <w:r w:rsidR="00EC0343">
        <w:t xml:space="preserve">; </w:t>
      </w:r>
      <w:r w:rsidR="00EC0343">
        <w:rPr>
          <w:i/>
          <w:iCs/>
        </w:rPr>
        <w:t xml:space="preserve">see also </w:t>
      </w:r>
      <w:r w:rsidR="00EC0343">
        <w:t>Revised Code 4929.02(A)(1) (natural gas service must be “reasonably priced.”).</w:t>
      </w:r>
    </w:p>
  </w:footnote>
  <w:footnote w:id="23">
    <w:p w:rsidR="000D3724" w:rsidP="00E01327" w14:paraId="03DD1030" w14:textId="0E2D3B22">
      <w:pPr>
        <w:pStyle w:val="FootnoteText"/>
        <w:spacing w:after="120"/>
      </w:pPr>
      <w:r>
        <w:rPr>
          <w:rStyle w:val="FootnoteReference"/>
        </w:rPr>
        <w:footnoteRef/>
      </w:r>
      <w:r>
        <w:t xml:space="preserve"> </w:t>
      </w:r>
      <w:r w:rsidR="00E73B8F">
        <w:t xml:space="preserve">Duann Testimony at 4. </w:t>
      </w:r>
    </w:p>
  </w:footnote>
  <w:footnote w:id="24">
    <w:p w:rsidR="00EE0237" w:rsidRPr="00E73B8F" w:rsidP="00E01327" w14:paraId="211DFFF6" w14:textId="1A2B2683">
      <w:pPr>
        <w:pStyle w:val="FootnoteText"/>
        <w:spacing w:after="120"/>
      </w:pPr>
      <w:r>
        <w:rPr>
          <w:rStyle w:val="FootnoteReference"/>
        </w:rPr>
        <w:footnoteRef/>
      </w:r>
      <w:r>
        <w:t xml:space="preserve"> </w:t>
      </w:r>
      <w:r w:rsidR="00E73B8F">
        <w:rPr>
          <w:i/>
          <w:iCs/>
        </w:rPr>
        <w:t xml:space="preserve">Id. </w:t>
      </w:r>
      <w:r w:rsidR="00E73B8F">
        <w:t xml:space="preserve">at 13. </w:t>
      </w:r>
    </w:p>
  </w:footnote>
  <w:footnote w:id="25">
    <w:p w:rsidR="00E73B8F" w:rsidRPr="00E73B8F" w:rsidP="00E01327" w14:paraId="0383530B" w14:textId="400E5650">
      <w:pPr>
        <w:pStyle w:val="FootnoteText"/>
        <w:spacing w:after="120"/>
      </w:pPr>
      <w:r>
        <w:rPr>
          <w:rStyle w:val="FootnoteReference"/>
        </w:rPr>
        <w:footnoteRef/>
      </w:r>
      <w:r>
        <w:t xml:space="preserve"> </w:t>
      </w:r>
      <w:r>
        <w:rPr>
          <w:i/>
          <w:iCs/>
        </w:rPr>
        <w:t xml:space="preserve">Id. </w:t>
      </w:r>
      <w:r>
        <w:t xml:space="preserve">at 5. </w:t>
      </w:r>
    </w:p>
  </w:footnote>
  <w:footnote w:id="26">
    <w:p w:rsidR="00E73B8F" w:rsidRPr="00E73B8F" w:rsidP="00E01327" w14:paraId="2BFF906F" w14:textId="5A423012">
      <w:pPr>
        <w:pStyle w:val="FootnoteText"/>
        <w:spacing w:after="120"/>
        <w:rPr>
          <w:i/>
          <w:iCs/>
        </w:rPr>
      </w:pPr>
      <w:r>
        <w:rPr>
          <w:rStyle w:val="FootnoteReference"/>
        </w:rPr>
        <w:footnoteRef/>
      </w:r>
      <w:r>
        <w:t xml:space="preserve"> </w:t>
      </w:r>
      <w:r>
        <w:rPr>
          <w:i/>
          <w:iCs/>
        </w:rPr>
        <w:t xml:space="preserve">Id. </w:t>
      </w:r>
    </w:p>
  </w:footnote>
  <w:footnote w:id="27">
    <w:p w:rsidR="00E73B8F" w:rsidRPr="00E73B8F" w:rsidP="00E01327" w14:paraId="13AEBAB6" w14:textId="7CBC882A">
      <w:pPr>
        <w:pStyle w:val="FootnoteText"/>
        <w:spacing w:after="120"/>
        <w:rPr>
          <w:i/>
          <w:iCs/>
        </w:rPr>
      </w:pPr>
      <w:r>
        <w:rPr>
          <w:rStyle w:val="FootnoteReference"/>
        </w:rPr>
        <w:footnoteRef/>
      </w:r>
      <w:r>
        <w:t xml:space="preserve"> </w:t>
      </w:r>
      <w:r>
        <w:rPr>
          <w:i/>
          <w:iCs/>
        </w:rPr>
        <w:t xml:space="preserve">Id. </w:t>
      </w:r>
    </w:p>
  </w:footnote>
  <w:footnote w:id="28">
    <w:p w:rsidR="00EC0343" w:rsidRPr="00EC0343" w:rsidP="00E01327" w14:paraId="50B35AF9" w14:textId="542E1EA7">
      <w:pPr>
        <w:pStyle w:val="FootnoteText"/>
        <w:spacing w:after="120"/>
      </w:pPr>
      <w:r>
        <w:rPr>
          <w:rStyle w:val="FootnoteReference"/>
        </w:rPr>
        <w:footnoteRef/>
      </w:r>
      <w:r>
        <w:t xml:space="preserve"> </w:t>
      </w:r>
      <w:r>
        <w:rPr>
          <w:i/>
          <w:iCs/>
        </w:rPr>
        <w:t xml:space="preserve">Id. </w:t>
      </w:r>
      <w:r>
        <w:t>at 11.</w:t>
      </w:r>
    </w:p>
  </w:footnote>
  <w:footnote w:id="29">
    <w:p w:rsidR="00EC0343" w:rsidP="00E01327" w14:paraId="220EA949" w14:textId="77777777">
      <w:pPr>
        <w:pStyle w:val="FootnoteText"/>
        <w:spacing w:after="120"/>
      </w:pPr>
      <w:r>
        <w:rPr>
          <w:rStyle w:val="FootnoteReference"/>
        </w:rPr>
        <w:footnoteRef/>
      </w:r>
      <w:r>
        <w:t xml:space="preserve"> Audit Report by Blue Ridge Consulting Services, Inc. (July 15, 2022).</w:t>
      </w:r>
    </w:p>
  </w:footnote>
  <w:footnote w:id="30">
    <w:p w:rsidR="00F10FF5" w:rsidP="00E01327" w14:paraId="0B46C43F" w14:textId="47D6A536">
      <w:pPr>
        <w:pStyle w:val="FootnoteText"/>
        <w:spacing w:after="120"/>
      </w:pPr>
      <w:r>
        <w:rPr>
          <w:rStyle w:val="FootnoteReference"/>
        </w:rPr>
        <w:footnoteRef/>
      </w:r>
      <w:r>
        <w:t xml:space="preserve"> Duann Testimony at 11.</w:t>
      </w:r>
    </w:p>
  </w:footnote>
  <w:footnote w:id="31">
    <w:p w:rsidR="00442304" w:rsidP="00E01327" w14:paraId="619FC567" w14:textId="3EC5F920">
      <w:pPr>
        <w:pStyle w:val="FootnoteText"/>
        <w:spacing w:after="120"/>
      </w:pPr>
      <w:r>
        <w:rPr>
          <w:rStyle w:val="FootnoteReference"/>
        </w:rPr>
        <w:footnoteRef/>
      </w:r>
      <w:r>
        <w:t xml:space="preserve"> Case No. 22-619, Blue Ridge Audit Report (July 15, 2022).</w:t>
      </w:r>
    </w:p>
  </w:footnote>
  <w:footnote w:id="32">
    <w:p w:rsidR="00442304" w:rsidP="00E01327" w14:paraId="0BE6E009" w14:textId="16AC0C1B">
      <w:pPr>
        <w:pStyle w:val="FootnoteText"/>
        <w:spacing w:after="120"/>
      </w:pPr>
      <w:r>
        <w:rPr>
          <w:rStyle w:val="FootnoteReference"/>
        </w:rPr>
        <w:footnoteRef/>
      </w:r>
      <w:r>
        <w:t xml:space="preserve"> Case No. 22-619, PUCO Staff Report (July 28, 2022). </w:t>
      </w:r>
    </w:p>
  </w:footnote>
  <w:footnote w:id="33">
    <w:p w:rsidR="00442304" w:rsidP="00E01327" w14:paraId="57F06AEF" w14:textId="74B0C08F">
      <w:pPr>
        <w:pStyle w:val="FootnoteText"/>
        <w:spacing w:after="120"/>
      </w:pPr>
      <w:r>
        <w:rPr>
          <w:rStyle w:val="FootnoteReference"/>
        </w:rPr>
        <w:footnoteRef/>
      </w:r>
      <w:r>
        <w:t xml:space="preserve"> Staff Report at 4. </w:t>
      </w:r>
    </w:p>
  </w:footnote>
  <w:footnote w:id="34">
    <w:p w:rsidR="00442304" w:rsidP="00E01327" w14:paraId="6F6C801E" w14:textId="1931DB28">
      <w:pPr>
        <w:pStyle w:val="FootnoteText"/>
        <w:spacing w:after="120"/>
      </w:pPr>
      <w:r>
        <w:rPr>
          <w:rStyle w:val="FootnoteReference"/>
        </w:rPr>
        <w:footnoteRef/>
      </w:r>
      <w:r>
        <w:t xml:space="preserve"> Direct Testimony of Kerry Adkins on Behalf of the Ohio Consumers’ Counsel at 9 (August 31, 2022) (“Adkins Direct”).</w:t>
      </w:r>
    </w:p>
  </w:footnote>
  <w:footnote w:id="35">
    <w:p w:rsidR="00442304" w:rsidRPr="00442304" w:rsidP="00E01327" w14:paraId="762CDDAE" w14:textId="52DD9F45">
      <w:pPr>
        <w:pStyle w:val="FootnoteText"/>
        <w:spacing w:after="120"/>
      </w:pPr>
      <w:r>
        <w:rPr>
          <w:rStyle w:val="FootnoteReference"/>
        </w:rPr>
        <w:footnoteRef/>
      </w:r>
      <w:r>
        <w:t xml:space="preserve"> Adkins Direct at 9.</w:t>
      </w:r>
    </w:p>
  </w:footnote>
  <w:footnote w:id="36">
    <w:p w:rsidR="00FA6FC3" w:rsidRPr="00FA6FC3" w:rsidP="00E01327" w14:paraId="15D85397" w14:textId="77875E63">
      <w:pPr>
        <w:pStyle w:val="FootnoteText"/>
        <w:spacing w:after="120"/>
      </w:pPr>
      <w:r>
        <w:rPr>
          <w:rStyle w:val="FootnoteReference"/>
        </w:rPr>
        <w:footnoteRef/>
      </w:r>
      <w:r>
        <w:t xml:space="preserve"> </w:t>
      </w:r>
      <w:r>
        <w:rPr>
          <w:i/>
          <w:iCs/>
        </w:rPr>
        <w:t xml:space="preserve">Id. </w:t>
      </w:r>
      <w:r>
        <w:t>at 11.</w:t>
      </w:r>
    </w:p>
  </w:footnote>
  <w:footnote w:id="37">
    <w:p w:rsidR="00FA6FC3" w:rsidRPr="00FA6FC3" w:rsidP="00E01327" w14:paraId="7E89730F" w14:textId="52FE7240">
      <w:pPr>
        <w:pStyle w:val="FootnoteText"/>
        <w:spacing w:after="120"/>
        <w:rPr>
          <w:i/>
          <w:iCs/>
        </w:rPr>
      </w:pPr>
      <w:r>
        <w:rPr>
          <w:rStyle w:val="FootnoteReference"/>
        </w:rPr>
        <w:footnoteRef/>
      </w:r>
      <w:r>
        <w:t xml:space="preserve"> </w:t>
      </w:r>
      <w:r>
        <w:rPr>
          <w:i/>
          <w:iCs/>
        </w:rPr>
        <w:t xml:space="preserve">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046C" w14:paraId="1B783A1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85046"/>
    <w:multiLevelType w:val="hybridMultilevel"/>
    <w:tmpl w:val="CF14E00A"/>
    <w:lvl w:ilvl="0">
      <w:start w:val="1"/>
      <w:numFmt w:val="decimal"/>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
    <w:nsid w:val="0B24077F"/>
    <w:multiLevelType w:val="hybridMultilevel"/>
    <w:tmpl w:val="F3C8F40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1692F36"/>
    <w:multiLevelType w:val="multilevel"/>
    <w:tmpl w:val="D56C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2D6FCC"/>
    <w:multiLevelType w:val="hybridMultilevel"/>
    <w:tmpl w:val="44167AE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1A26557C"/>
    <w:multiLevelType w:val="hybridMultilevel"/>
    <w:tmpl w:val="2A20973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B891088"/>
    <w:multiLevelType w:val="hybridMultilevel"/>
    <w:tmpl w:val="F946B56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0133298"/>
    <w:multiLevelType w:val="hybridMultilevel"/>
    <w:tmpl w:val="59E627D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1F90E3F"/>
    <w:multiLevelType w:val="hybridMultilevel"/>
    <w:tmpl w:val="C1486028"/>
    <w:lvl w:ilvl="0">
      <w:start w:val="1"/>
      <w:numFmt w:val="bullet"/>
      <w:lvlText w:val="-"/>
      <w:lvlJc w:val="left"/>
      <w:pPr>
        <w:ind w:left="1800" w:hanging="360"/>
      </w:pPr>
      <w:rPr>
        <w:rFonts w:ascii="Times New Roman" w:hAnsi="Times New Roman" w:eastAsiaTheme="minorHAnsi"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228F0AAC"/>
    <w:multiLevelType w:val="hybridMultilevel"/>
    <w:tmpl w:val="CCE64A92"/>
    <w:lvl w:ilvl="0">
      <w:start w:val="1"/>
      <w:numFmt w:val="upperLetter"/>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35BF16D5"/>
    <w:multiLevelType w:val="hybridMultilevel"/>
    <w:tmpl w:val="608C3890"/>
    <w:lvl w:ilvl="0">
      <w:start w:val="0"/>
      <w:numFmt w:val="bullet"/>
      <w:lvlText w:val="-"/>
      <w:lvlJc w:val="left"/>
      <w:pPr>
        <w:ind w:left="1080" w:hanging="360"/>
      </w:pPr>
      <w:rPr>
        <w:rFonts w:ascii="Times New Roman" w:hAnsi="Times New Roman" w:eastAsiaTheme="minorHAnsi"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cs="Wingdings" w:hint="default"/>
      </w:rPr>
    </w:lvl>
    <w:lvl w:ilvl="3" w:tentative="1">
      <w:start w:val="1"/>
      <w:numFmt w:val="bullet"/>
      <w:lvlText w:val=""/>
      <w:lvlJc w:val="left"/>
      <w:pPr>
        <w:ind w:left="3240" w:hanging="360"/>
      </w:pPr>
      <w:rPr>
        <w:rFonts w:ascii="Symbol" w:hAnsi="Symbol" w:cs="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cs="Wingdings" w:hint="default"/>
      </w:rPr>
    </w:lvl>
    <w:lvl w:ilvl="6" w:tentative="1">
      <w:start w:val="1"/>
      <w:numFmt w:val="bullet"/>
      <w:lvlText w:val=""/>
      <w:lvlJc w:val="left"/>
      <w:pPr>
        <w:ind w:left="5400" w:hanging="360"/>
      </w:pPr>
      <w:rPr>
        <w:rFonts w:ascii="Symbol" w:hAnsi="Symbol" w:cs="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cs="Wingdings" w:hint="default"/>
      </w:rPr>
    </w:lvl>
  </w:abstractNum>
  <w:abstractNum w:abstractNumId="10">
    <w:nsid w:val="37A9197F"/>
    <w:multiLevelType w:val="hybridMultilevel"/>
    <w:tmpl w:val="30AEDC1C"/>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
    <w:nsid w:val="40442AAC"/>
    <w:multiLevelType w:val="hybridMultilevel"/>
    <w:tmpl w:val="5CD02B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4318237C"/>
    <w:multiLevelType w:val="hybridMultilevel"/>
    <w:tmpl w:val="02EC9646"/>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46045D31"/>
    <w:multiLevelType w:val="hybridMultilevel"/>
    <w:tmpl w:val="0A3273F2"/>
    <w:lvl w:ilvl="0">
      <w:start w:val="1"/>
      <w:numFmt w:val="upperLetter"/>
      <w:lvlText w:val="%1."/>
      <w:lvlJc w:val="left"/>
      <w:pPr>
        <w:ind w:left="720" w:hanging="360"/>
      </w:pPr>
      <w:rPr>
        <w:rFonts w:ascii="Times New Roman" w:hAnsi="Times New Roman" w:cs="Times New Roman" w:hint="default"/>
        <w:b/>
        <w:bCs/>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8D948EC"/>
    <w:multiLevelType w:val="hybridMultilevel"/>
    <w:tmpl w:val="8834DCC0"/>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5CAB515C"/>
    <w:multiLevelType w:val="hybridMultilevel"/>
    <w:tmpl w:val="A88EE32E"/>
    <w:lvl w:ilvl="0">
      <w:start w:val="1"/>
      <w:numFmt w:val="upperRoman"/>
      <w:lvlText w:val="%1."/>
      <w:lvlJc w:val="left"/>
      <w:pPr>
        <w:ind w:left="351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CD52130"/>
    <w:multiLevelType w:val="multilevel"/>
    <w:tmpl w:val="B300AE8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E7030CF"/>
    <w:multiLevelType w:val="hybridMultilevel"/>
    <w:tmpl w:val="CA9421E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6604528"/>
    <w:multiLevelType w:val="hybridMultilevel"/>
    <w:tmpl w:val="3B0CA9C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67F6470"/>
    <w:multiLevelType w:val="hybridMultilevel"/>
    <w:tmpl w:val="1EB42662"/>
    <w:lvl w:ilvl="0">
      <w:start w:val="1"/>
      <w:numFmt w:val="upperRoman"/>
      <w:pStyle w:val="Heading1"/>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9505F3C"/>
    <w:multiLevelType w:val="hybridMultilevel"/>
    <w:tmpl w:val="0814619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6B1F4A93"/>
    <w:multiLevelType w:val="hybridMultilevel"/>
    <w:tmpl w:val="5FD61D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70B05F91"/>
    <w:multiLevelType w:val="hybridMultilevel"/>
    <w:tmpl w:val="39B2CED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776F3CAA"/>
    <w:multiLevelType w:val="hybridMultilevel"/>
    <w:tmpl w:val="406246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A2F2D71"/>
    <w:multiLevelType w:val="hybridMultilevel"/>
    <w:tmpl w:val="47061B8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5"/>
  </w:num>
  <w:num w:numId="2">
    <w:abstractNumId w:val="14"/>
  </w:num>
  <w:num w:numId="3">
    <w:abstractNumId w:val="0"/>
  </w:num>
  <w:num w:numId="4">
    <w:abstractNumId w:val="0"/>
    <w:lvlOverride w:ilvl="0">
      <w:startOverride w:val="1"/>
    </w:lvlOverride>
  </w:num>
  <w:num w:numId="5">
    <w:abstractNumId w:val="0"/>
    <w:lvlOverride w:ilvl="0">
      <w:startOverride w:val="1"/>
    </w:lvlOverride>
  </w:num>
  <w:num w:numId="6">
    <w:abstractNumId w:val="24"/>
  </w:num>
  <w:num w:numId="7">
    <w:abstractNumId w:val="3"/>
  </w:num>
  <w:num w:numId="8">
    <w:abstractNumId w:val="6"/>
  </w:num>
  <w:num w:numId="9">
    <w:abstractNumId w:val="11"/>
  </w:num>
  <w:num w:numId="10">
    <w:abstractNumId w:val="21"/>
  </w:num>
  <w:num w:numId="11">
    <w:abstractNumId w:val="5"/>
  </w:num>
  <w:num w:numId="12">
    <w:abstractNumId w:val="15"/>
  </w:num>
  <w:num w:numId="13">
    <w:abstractNumId w:val="15"/>
  </w:num>
  <w:num w:numId="14">
    <w:abstractNumId w:val="17"/>
  </w:num>
  <w:num w:numId="15">
    <w:abstractNumId w:val="15"/>
  </w:num>
  <w:num w:numId="16">
    <w:abstractNumId w:val="15"/>
  </w:num>
  <w:num w:numId="17">
    <w:abstractNumId w:val="7"/>
  </w:num>
  <w:num w:numId="18">
    <w:abstractNumId w:val="20"/>
  </w:num>
  <w:num w:numId="19">
    <w:abstractNumId w:val="14"/>
  </w:num>
  <w:num w:numId="20">
    <w:abstractNumId w:val="14"/>
  </w:num>
  <w:num w:numId="21">
    <w:abstractNumId w:val="14"/>
  </w:num>
  <w:num w:numId="22">
    <w:abstractNumId w:val="14"/>
  </w:num>
  <w:num w:numId="23">
    <w:abstractNumId w:val="10"/>
  </w:num>
  <w:num w:numId="24">
    <w:abstractNumId w:val="15"/>
  </w:num>
  <w:num w:numId="25">
    <w:abstractNumId w:val="14"/>
  </w:num>
  <w:num w:numId="26">
    <w:abstractNumId w:val="12"/>
  </w:num>
  <w:num w:numId="27">
    <w:abstractNumId w:val="15"/>
  </w:num>
  <w:num w:numId="28">
    <w:abstractNumId w:val="15"/>
  </w:num>
  <w:num w:numId="29">
    <w:abstractNumId w:val="15"/>
  </w:num>
  <w:num w:numId="30">
    <w:abstractNumId w:val="18"/>
  </w:num>
  <w:num w:numId="31">
    <w:abstractNumId w:val="22"/>
  </w:num>
  <w:num w:numId="32">
    <w:abstractNumId w:val="15"/>
  </w:num>
  <w:num w:numId="33">
    <w:abstractNumId w:val="1"/>
  </w:num>
  <w:num w:numId="34">
    <w:abstractNumId w:val="9"/>
  </w:num>
  <w:num w:numId="35">
    <w:abstractNumId w:val="0"/>
    <w:lvlOverride w:ilvl="0">
      <w:startOverride w:val="1"/>
    </w:lvlOverride>
  </w:num>
  <w:num w:numId="36">
    <w:abstractNumId w:val="0"/>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4"/>
  </w:num>
  <w:num w:numId="40">
    <w:abstractNumId w:val="19"/>
  </w:num>
  <w:num w:numId="41">
    <w:abstractNumId w:val="13"/>
  </w:num>
  <w:num w:numId="42">
    <w:abstractNumId w:val="2"/>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C8F"/>
    <w:rsid w:val="0000224D"/>
    <w:rsid w:val="00003382"/>
    <w:rsid w:val="00003A6E"/>
    <w:rsid w:val="0001597C"/>
    <w:rsid w:val="000202A0"/>
    <w:rsid w:val="00024B4B"/>
    <w:rsid w:val="00027573"/>
    <w:rsid w:val="00030205"/>
    <w:rsid w:val="00030E37"/>
    <w:rsid w:val="00033D2A"/>
    <w:rsid w:val="00035F75"/>
    <w:rsid w:val="000373BB"/>
    <w:rsid w:val="00037D3C"/>
    <w:rsid w:val="00037D47"/>
    <w:rsid w:val="000404DE"/>
    <w:rsid w:val="00045734"/>
    <w:rsid w:val="00050B87"/>
    <w:rsid w:val="00051420"/>
    <w:rsid w:val="0005286A"/>
    <w:rsid w:val="00053781"/>
    <w:rsid w:val="00054A47"/>
    <w:rsid w:val="000605B2"/>
    <w:rsid w:val="00060C07"/>
    <w:rsid w:val="00060D4E"/>
    <w:rsid w:val="00061F69"/>
    <w:rsid w:val="00062C1C"/>
    <w:rsid w:val="00064A76"/>
    <w:rsid w:val="00073318"/>
    <w:rsid w:val="000739CD"/>
    <w:rsid w:val="00075EBA"/>
    <w:rsid w:val="00080E58"/>
    <w:rsid w:val="00081FBA"/>
    <w:rsid w:val="0008663A"/>
    <w:rsid w:val="00087E80"/>
    <w:rsid w:val="00092CC5"/>
    <w:rsid w:val="00094330"/>
    <w:rsid w:val="000A33E3"/>
    <w:rsid w:val="000A4DA2"/>
    <w:rsid w:val="000A6B46"/>
    <w:rsid w:val="000A6CAB"/>
    <w:rsid w:val="000A6F51"/>
    <w:rsid w:val="000A76B6"/>
    <w:rsid w:val="000B0F09"/>
    <w:rsid w:val="000B54E5"/>
    <w:rsid w:val="000C43F6"/>
    <w:rsid w:val="000C5917"/>
    <w:rsid w:val="000C5C25"/>
    <w:rsid w:val="000D1576"/>
    <w:rsid w:val="000D2871"/>
    <w:rsid w:val="000D2DB4"/>
    <w:rsid w:val="000D3724"/>
    <w:rsid w:val="000D3C09"/>
    <w:rsid w:val="000D531E"/>
    <w:rsid w:val="000D63DF"/>
    <w:rsid w:val="000E48AE"/>
    <w:rsid w:val="000E7D3E"/>
    <w:rsid w:val="000F2856"/>
    <w:rsid w:val="000F73BA"/>
    <w:rsid w:val="00104401"/>
    <w:rsid w:val="00120147"/>
    <w:rsid w:val="00120FB5"/>
    <w:rsid w:val="00124710"/>
    <w:rsid w:val="001258E8"/>
    <w:rsid w:val="00126ABB"/>
    <w:rsid w:val="00133EF9"/>
    <w:rsid w:val="0014095B"/>
    <w:rsid w:val="00141BD6"/>
    <w:rsid w:val="00142A17"/>
    <w:rsid w:val="00144814"/>
    <w:rsid w:val="001458FF"/>
    <w:rsid w:val="0014646E"/>
    <w:rsid w:val="00147A90"/>
    <w:rsid w:val="00151937"/>
    <w:rsid w:val="00152A74"/>
    <w:rsid w:val="0015444F"/>
    <w:rsid w:val="00154D35"/>
    <w:rsid w:val="00161424"/>
    <w:rsid w:val="00161EE6"/>
    <w:rsid w:val="00161FE1"/>
    <w:rsid w:val="00167711"/>
    <w:rsid w:val="00173913"/>
    <w:rsid w:val="00174FD5"/>
    <w:rsid w:val="0017656C"/>
    <w:rsid w:val="00177C12"/>
    <w:rsid w:val="00177E90"/>
    <w:rsid w:val="001802E9"/>
    <w:rsid w:val="00182457"/>
    <w:rsid w:val="00186CB5"/>
    <w:rsid w:val="001921EE"/>
    <w:rsid w:val="00193A65"/>
    <w:rsid w:val="00195C32"/>
    <w:rsid w:val="00197E6E"/>
    <w:rsid w:val="001A5A4A"/>
    <w:rsid w:val="001B28CA"/>
    <w:rsid w:val="001B71B7"/>
    <w:rsid w:val="001C0CE2"/>
    <w:rsid w:val="001C1532"/>
    <w:rsid w:val="001C25DD"/>
    <w:rsid w:val="001C6DA7"/>
    <w:rsid w:val="001C7E06"/>
    <w:rsid w:val="001D2205"/>
    <w:rsid w:val="001D57D5"/>
    <w:rsid w:val="001E1932"/>
    <w:rsid w:val="001E2D93"/>
    <w:rsid w:val="001E4C9A"/>
    <w:rsid w:val="001E5C0B"/>
    <w:rsid w:val="001F17C8"/>
    <w:rsid w:val="001F1CD9"/>
    <w:rsid w:val="001F2033"/>
    <w:rsid w:val="001F4B10"/>
    <w:rsid w:val="001F58A8"/>
    <w:rsid w:val="001F6B49"/>
    <w:rsid w:val="0020599E"/>
    <w:rsid w:val="00205C1D"/>
    <w:rsid w:val="00206857"/>
    <w:rsid w:val="002070B4"/>
    <w:rsid w:val="0021078E"/>
    <w:rsid w:val="00214E0C"/>
    <w:rsid w:val="00225214"/>
    <w:rsid w:val="00225412"/>
    <w:rsid w:val="00233023"/>
    <w:rsid w:val="0023728D"/>
    <w:rsid w:val="00244209"/>
    <w:rsid w:val="00244C5E"/>
    <w:rsid w:val="00246318"/>
    <w:rsid w:val="00247431"/>
    <w:rsid w:val="002552CD"/>
    <w:rsid w:val="002571AE"/>
    <w:rsid w:val="00262AC3"/>
    <w:rsid w:val="00262F26"/>
    <w:rsid w:val="00262F47"/>
    <w:rsid w:val="00266DCF"/>
    <w:rsid w:val="00267587"/>
    <w:rsid w:val="002677A9"/>
    <w:rsid w:val="00270D5D"/>
    <w:rsid w:val="00274D3B"/>
    <w:rsid w:val="0027560B"/>
    <w:rsid w:val="00290D6C"/>
    <w:rsid w:val="00293E41"/>
    <w:rsid w:val="0029680D"/>
    <w:rsid w:val="002A01FC"/>
    <w:rsid w:val="002A046C"/>
    <w:rsid w:val="002A35BB"/>
    <w:rsid w:val="002A6933"/>
    <w:rsid w:val="002B0278"/>
    <w:rsid w:val="002B11DE"/>
    <w:rsid w:val="002B21E6"/>
    <w:rsid w:val="002B407C"/>
    <w:rsid w:val="002B6E51"/>
    <w:rsid w:val="002C0344"/>
    <w:rsid w:val="002C1871"/>
    <w:rsid w:val="002C4209"/>
    <w:rsid w:val="002C45BB"/>
    <w:rsid w:val="002C4B2E"/>
    <w:rsid w:val="002D4B35"/>
    <w:rsid w:val="002D4C63"/>
    <w:rsid w:val="002E2564"/>
    <w:rsid w:val="002E277F"/>
    <w:rsid w:val="002E3822"/>
    <w:rsid w:val="002E5502"/>
    <w:rsid w:val="002E7088"/>
    <w:rsid w:val="002F210E"/>
    <w:rsid w:val="002F5B5B"/>
    <w:rsid w:val="002F5C81"/>
    <w:rsid w:val="002F77D2"/>
    <w:rsid w:val="00302DF2"/>
    <w:rsid w:val="003040BD"/>
    <w:rsid w:val="00310581"/>
    <w:rsid w:val="00312ABA"/>
    <w:rsid w:val="00315C87"/>
    <w:rsid w:val="00321E47"/>
    <w:rsid w:val="003235AC"/>
    <w:rsid w:val="00327FF2"/>
    <w:rsid w:val="00331BE8"/>
    <w:rsid w:val="00334C84"/>
    <w:rsid w:val="0033679D"/>
    <w:rsid w:val="00346E6C"/>
    <w:rsid w:val="00347834"/>
    <w:rsid w:val="00347A74"/>
    <w:rsid w:val="003503CC"/>
    <w:rsid w:val="003524E1"/>
    <w:rsid w:val="00354CB1"/>
    <w:rsid w:val="003554C4"/>
    <w:rsid w:val="00357E2A"/>
    <w:rsid w:val="00362541"/>
    <w:rsid w:val="00364CF1"/>
    <w:rsid w:val="00373F37"/>
    <w:rsid w:val="00375DEA"/>
    <w:rsid w:val="00381B68"/>
    <w:rsid w:val="00381EA5"/>
    <w:rsid w:val="00383BC2"/>
    <w:rsid w:val="00383FE2"/>
    <w:rsid w:val="0038632E"/>
    <w:rsid w:val="00387143"/>
    <w:rsid w:val="003902EC"/>
    <w:rsid w:val="00391F0E"/>
    <w:rsid w:val="003A5E01"/>
    <w:rsid w:val="003A7563"/>
    <w:rsid w:val="003A7CEB"/>
    <w:rsid w:val="003B178A"/>
    <w:rsid w:val="003B1A8C"/>
    <w:rsid w:val="003B38D8"/>
    <w:rsid w:val="003C0BC9"/>
    <w:rsid w:val="003C1E55"/>
    <w:rsid w:val="003C22CB"/>
    <w:rsid w:val="003C312E"/>
    <w:rsid w:val="003C44FC"/>
    <w:rsid w:val="003C4F75"/>
    <w:rsid w:val="003D103B"/>
    <w:rsid w:val="003D3D8D"/>
    <w:rsid w:val="003D4E6A"/>
    <w:rsid w:val="003D4FBD"/>
    <w:rsid w:val="003D7DD6"/>
    <w:rsid w:val="003E2553"/>
    <w:rsid w:val="003E28B1"/>
    <w:rsid w:val="003E2ED1"/>
    <w:rsid w:val="003E3B6A"/>
    <w:rsid w:val="003E4C1A"/>
    <w:rsid w:val="003E6576"/>
    <w:rsid w:val="003E760B"/>
    <w:rsid w:val="003E7971"/>
    <w:rsid w:val="003F14C3"/>
    <w:rsid w:val="003F440A"/>
    <w:rsid w:val="003F474A"/>
    <w:rsid w:val="003F5C5D"/>
    <w:rsid w:val="0040036C"/>
    <w:rsid w:val="00401E4F"/>
    <w:rsid w:val="0040480E"/>
    <w:rsid w:val="0040593E"/>
    <w:rsid w:val="00407811"/>
    <w:rsid w:val="00407943"/>
    <w:rsid w:val="00412B54"/>
    <w:rsid w:val="004133EE"/>
    <w:rsid w:val="0042093B"/>
    <w:rsid w:val="004242CB"/>
    <w:rsid w:val="00432523"/>
    <w:rsid w:val="004353CA"/>
    <w:rsid w:val="0043620A"/>
    <w:rsid w:val="00441F01"/>
    <w:rsid w:val="00442304"/>
    <w:rsid w:val="004448B2"/>
    <w:rsid w:val="004449BF"/>
    <w:rsid w:val="00453A2C"/>
    <w:rsid w:val="00454254"/>
    <w:rsid w:val="00454401"/>
    <w:rsid w:val="00461179"/>
    <w:rsid w:val="00461696"/>
    <w:rsid w:val="0046199B"/>
    <w:rsid w:val="00461AFC"/>
    <w:rsid w:val="0046415A"/>
    <w:rsid w:val="00464B9F"/>
    <w:rsid w:val="004667E0"/>
    <w:rsid w:val="0047275D"/>
    <w:rsid w:val="00477E9D"/>
    <w:rsid w:val="00480E3D"/>
    <w:rsid w:val="00482B78"/>
    <w:rsid w:val="0048302F"/>
    <w:rsid w:val="00484AD6"/>
    <w:rsid w:val="00485F7F"/>
    <w:rsid w:val="00485FB2"/>
    <w:rsid w:val="004911A5"/>
    <w:rsid w:val="00495680"/>
    <w:rsid w:val="004A3147"/>
    <w:rsid w:val="004A4C41"/>
    <w:rsid w:val="004B17DA"/>
    <w:rsid w:val="004B524B"/>
    <w:rsid w:val="004B7BE8"/>
    <w:rsid w:val="004B7DC4"/>
    <w:rsid w:val="004C0E4E"/>
    <w:rsid w:val="004C165E"/>
    <w:rsid w:val="004C2959"/>
    <w:rsid w:val="004C3FC7"/>
    <w:rsid w:val="004C40ED"/>
    <w:rsid w:val="004C5B01"/>
    <w:rsid w:val="004D0B6F"/>
    <w:rsid w:val="004D1D07"/>
    <w:rsid w:val="004D22DD"/>
    <w:rsid w:val="004D23A0"/>
    <w:rsid w:val="004D49A4"/>
    <w:rsid w:val="004D576B"/>
    <w:rsid w:val="004E09DF"/>
    <w:rsid w:val="004E1FEB"/>
    <w:rsid w:val="004E4647"/>
    <w:rsid w:val="004F12C4"/>
    <w:rsid w:val="004F558E"/>
    <w:rsid w:val="005114DD"/>
    <w:rsid w:val="00511C31"/>
    <w:rsid w:val="00512DCB"/>
    <w:rsid w:val="00516417"/>
    <w:rsid w:val="00521A79"/>
    <w:rsid w:val="00521C37"/>
    <w:rsid w:val="00522047"/>
    <w:rsid w:val="00522D56"/>
    <w:rsid w:val="005245BC"/>
    <w:rsid w:val="00524879"/>
    <w:rsid w:val="00530A4E"/>
    <w:rsid w:val="00532A68"/>
    <w:rsid w:val="0053379B"/>
    <w:rsid w:val="00533E30"/>
    <w:rsid w:val="00534B66"/>
    <w:rsid w:val="0053578E"/>
    <w:rsid w:val="00535BCF"/>
    <w:rsid w:val="005365F6"/>
    <w:rsid w:val="00550275"/>
    <w:rsid w:val="00552277"/>
    <w:rsid w:val="00552471"/>
    <w:rsid w:val="005535FB"/>
    <w:rsid w:val="005538EA"/>
    <w:rsid w:val="00553E4D"/>
    <w:rsid w:val="00560BCF"/>
    <w:rsid w:val="00561C8E"/>
    <w:rsid w:val="005639A5"/>
    <w:rsid w:val="00567EA9"/>
    <w:rsid w:val="00572515"/>
    <w:rsid w:val="005826D4"/>
    <w:rsid w:val="005859A7"/>
    <w:rsid w:val="005868F1"/>
    <w:rsid w:val="00590698"/>
    <w:rsid w:val="00590F7B"/>
    <w:rsid w:val="00591476"/>
    <w:rsid w:val="0059395A"/>
    <w:rsid w:val="00596B6D"/>
    <w:rsid w:val="00597D62"/>
    <w:rsid w:val="005A0312"/>
    <w:rsid w:val="005A0BDB"/>
    <w:rsid w:val="005A1581"/>
    <w:rsid w:val="005A2279"/>
    <w:rsid w:val="005A29AE"/>
    <w:rsid w:val="005A4A93"/>
    <w:rsid w:val="005A7045"/>
    <w:rsid w:val="005B5DBE"/>
    <w:rsid w:val="005B6560"/>
    <w:rsid w:val="005C1525"/>
    <w:rsid w:val="005C351C"/>
    <w:rsid w:val="005C50ED"/>
    <w:rsid w:val="005C5447"/>
    <w:rsid w:val="005C6900"/>
    <w:rsid w:val="005C7F50"/>
    <w:rsid w:val="005D3D3C"/>
    <w:rsid w:val="005D5FBA"/>
    <w:rsid w:val="005E0638"/>
    <w:rsid w:val="005E1F02"/>
    <w:rsid w:val="005E3CAE"/>
    <w:rsid w:val="005E3D2C"/>
    <w:rsid w:val="005F0886"/>
    <w:rsid w:val="005F13DD"/>
    <w:rsid w:val="005F3639"/>
    <w:rsid w:val="005F6507"/>
    <w:rsid w:val="005F721C"/>
    <w:rsid w:val="006018FA"/>
    <w:rsid w:val="00604931"/>
    <w:rsid w:val="0061332B"/>
    <w:rsid w:val="00613F2D"/>
    <w:rsid w:val="006154B4"/>
    <w:rsid w:val="00621E8A"/>
    <w:rsid w:val="00623446"/>
    <w:rsid w:val="00624C8F"/>
    <w:rsid w:val="00627945"/>
    <w:rsid w:val="00631FBC"/>
    <w:rsid w:val="00632968"/>
    <w:rsid w:val="006439F0"/>
    <w:rsid w:val="00647287"/>
    <w:rsid w:val="00652897"/>
    <w:rsid w:val="006540D9"/>
    <w:rsid w:val="006550F3"/>
    <w:rsid w:val="00655E90"/>
    <w:rsid w:val="00663AC9"/>
    <w:rsid w:val="00663CE9"/>
    <w:rsid w:val="006745A7"/>
    <w:rsid w:val="006774BE"/>
    <w:rsid w:val="00683B78"/>
    <w:rsid w:val="006840A8"/>
    <w:rsid w:val="0068469D"/>
    <w:rsid w:val="006868EB"/>
    <w:rsid w:val="00690446"/>
    <w:rsid w:val="006916CE"/>
    <w:rsid w:val="00692D8F"/>
    <w:rsid w:val="00693D82"/>
    <w:rsid w:val="006A0331"/>
    <w:rsid w:val="006A1BDB"/>
    <w:rsid w:val="006A305C"/>
    <w:rsid w:val="006A3842"/>
    <w:rsid w:val="006A47F4"/>
    <w:rsid w:val="006A64C8"/>
    <w:rsid w:val="006B070F"/>
    <w:rsid w:val="006B0865"/>
    <w:rsid w:val="006B0EF8"/>
    <w:rsid w:val="006B181E"/>
    <w:rsid w:val="006B2369"/>
    <w:rsid w:val="006B3079"/>
    <w:rsid w:val="006B3086"/>
    <w:rsid w:val="006B49FB"/>
    <w:rsid w:val="006B5532"/>
    <w:rsid w:val="006B5ACA"/>
    <w:rsid w:val="006B6256"/>
    <w:rsid w:val="006B7858"/>
    <w:rsid w:val="006C1552"/>
    <w:rsid w:val="006C3419"/>
    <w:rsid w:val="006C39F0"/>
    <w:rsid w:val="006C3A1C"/>
    <w:rsid w:val="006C4A7C"/>
    <w:rsid w:val="006C5C84"/>
    <w:rsid w:val="006C7401"/>
    <w:rsid w:val="006D1940"/>
    <w:rsid w:val="006D19FD"/>
    <w:rsid w:val="006D215E"/>
    <w:rsid w:val="006D38A6"/>
    <w:rsid w:val="006D56D1"/>
    <w:rsid w:val="006D60F3"/>
    <w:rsid w:val="006D6D8C"/>
    <w:rsid w:val="006D7423"/>
    <w:rsid w:val="006D7B0A"/>
    <w:rsid w:val="006E5926"/>
    <w:rsid w:val="006E70D2"/>
    <w:rsid w:val="006E7478"/>
    <w:rsid w:val="006F032E"/>
    <w:rsid w:val="006F05B8"/>
    <w:rsid w:val="006F3425"/>
    <w:rsid w:val="006F34B6"/>
    <w:rsid w:val="006F4D75"/>
    <w:rsid w:val="006F6F08"/>
    <w:rsid w:val="0070006F"/>
    <w:rsid w:val="00701E93"/>
    <w:rsid w:val="007025EA"/>
    <w:rsid w:val="00707050"/>
    <w:rsid w:val="00712A0B"/>
    <w:rsid w:val="00713075"/>
    <w:rsid w:val="0072296F"/>
    <w:rsid w:val="007241A8"/>
    <w:rsid w:val="00726A6A"/>
    <w:rsid w:val="007307DB"/>
    <w:rsid w:val="00732470"/>
    <w:rsid w:val="007327BD"/>
    <w:rsid w:val="00740B4F"/>
    <w:rsid w:val="00740EAB"/>
    <w:rsid w:val="00747035"/>
    <w:rsid w:val="00751792"/>
    <w:rsid w:val="007523DF"/>
    <w:rsid w:val="007531A4"/>
    <w:rsid w:val="0075402C"/>
    <w:rsid w:val="00757CDD"/>
    <w:rsid w:val="007633FA"/>
    <w:rsid w:val="00766364"/>
    <w:rsid w:val="00766FAD"/>
    <w:rsid w:val="00767538"/>
    <w:rsid w:val="00770FBC"/>
    <w:rsid w:val="00771489"/>
    <w:rsid w:val="00774221"/>
    <w:rsid w:val="00774830"/>
    <w:rsid w:val="00774C64"/>
    <w:rsid w:val="007775D1"/>
    <w:rsid w:val="00786A76"/>
    <w:rsid w:val="0079077A"/>
    <w:rsid w:val="00790963"/>
    <w:rsid w:val="00796761"/>
    <w:rsid w:val="00797BC9"/>
    <w:rsid w:val="007A2EB4"/>
    <w:rsid w:val="007A4382"/>
    <w:rsid w:val="007A651E"/>
    <w:rsid w:val="007B39ED"/>
    <w:rsid w:val="007B6463"/>
    <w:rsid w:val="007B7097"/>
    <w:rsid w:val="007C38B2"/>
    <w:rsid w:val="007C70D0"/>
    <w:rsid w:val="007D54D1"/>
    <w:rsid w:val="007E05F6"/>
    <w:rsid w:val="007E0816"/>
    <w:rsid w:val="007E2F68"/>
    <w:rsid w:val="007E32B9"/>
    <w:rsid w:val="007E3FF9"/>
    <w:rsid w:val="007F0242"/>
    <w:rsid w:val="007F0FC2"/>
    <w:rsid w:val="007F5D9A"/>
    <w:rsid w:val="00801376"/>
    <w:rsid w:val="00801953"/>
    <w:rsid w:val="008047B0"/>
    <w:rsid w:val="00821B8C"/>
    <w:rsid w:val="008230B5"/>
    <w:rsid w:val="00823CC7"/>
    <w:rsid w:val="008259C3"/>
    <w:rsid w:val="00825D8A"/>
    <w:rsid w:val="0082747F"/>
    <w:rsid w:val="00827AF5"/>
    <w:rsid w:val="00831217"/>
    <w:rsid w:val="00835B53"/>
    <w:rsid w:val="0084066D"/>
    <w:rsid w:val="00846B16"/>
    <w:rsid w:val="008475D8"/>
    <w:rsid w:val="00857F42"/>
    <w:rsid w:val="0086090C"/>
    <w:rsid w:val="00861D0B"/>
    <w:rsid w:val="00864942"/>
    <w:rsid w:val="0087004A"/>
    <w:rsid w:val="0087136D"/>
    <w:rsid w:val="0087231D"/>
    <w:rsid w:val="008752EE"/>
    <w:rsid w:val="008759AB"/>
    <w:rsid w:val="0088308C"/>
    <w:rsid w:val="00884939"/>
    <w:rsid w:val="00885295"/>
    <w:rsid w:val="00890398"/>
    <w:rsid w:val="0089116E"/>
    <w:rsid w:val="00892728"/>
    <w:rsid w:val="00897E6F"/>
    <w:rsid w:val="00897FD6"/>
    <w:rsid w:val="008A1195"/>
    <w:rsid w:val="008A296C"/>
    <w:rsid w:val="008B1BB4"/>
    <w:rsid w:val="008B1E83"/>
    <w:rsid w:val="008B2645"/>
    <w:rsid w:val="008B291E"/>
    <w:rsid w:val="008B4F01"/>
    <w:rsid w:val="008B509B"/>
    <w:rsid w:val="008B50F4"/>
    <w:rsid w:val="008C05FC"/>
    <w:rsid w:val="008C076D"/>
    <w:rsid w:val="008C1323"/>
    <w:rsid w:val="008C724F"/>
    <w:rsid w:val="008D4E32"/>
    <w:rsid w:val="008D4F73"/>
    <w:rsid w:val="008D5478"/>
    <w:rsid w:val="008E086E"/>
    <w:rsid w:val="008E177F"/>
    <w:rsid w:val="008E1C65"/>
    <w:rsid w:val="008E3C9C"/>
    <w:rsid w:val="008E484C"/>
    <w:rsid w:val="008E6FE7"/>
    <w:rsid w:val="008F498C"/>
    <w:rsid w:val="00903329"/>
    <w:rsid w:val="009038A1"/>
    <w:rsid w:val="00905443"/>
    <w:rsid w:val="00910F74"/>
    <w:rsid w:val="009112E5"/>
    <w:rsid w:val="0091751C"/>
    <w:rsid w:val="00921A7A"/>
    <w:rsid w:val="009221C4"/>
    <w:rsid w:val="00924D7C"/>
    <w:rsid w:val="00930EAB"/>
    <w:rsid w:val="0093408D"/>
    <w:rsid w:val="009344B5"/>
    <w:rsid w:val="00934A7B"/>
    <w:rsid w:val="009400E3"/>
    <w:rsid w:val="00942357"/>
    <w:rsid w:val="00945974"/>
    <w:rsid w:val="00954447"/>
    <w:rsid w:val="00955679"/>
    <w:rsid w:val="00956199"/>
    <w:rsid w:val="009641E2"/>
    <w:rsid w:val="00965525"/>
    <w:rsid w:val="009712D3"/>
    <w:rsid w:val="00971714"/>
    <w:rsid w:val="00973D9A"/>
    <w:rsid w:val="009758B2"/>
    <w:rsid w:val="00980123"/>
    <w:rsid w:val="00981935"/>
    <w:rsid w:val="00985D4A"/>
    <w:rsid w:val="00990051"/>
    <w:rsid w:val="0099037D"/>
    <w:rsid w:val="0099116F"/>
    <w:rsid w:val="00991219"/>
    <w:rsid w:val="0099412E"/>
    <w:rsid w:val="00995CA2"/>
    <w:rsid w:val="00995DA7"/>
    <w:rsid w:val="009A3B8F"/>
    <w:rsid w:val="009A7647"/>
    <w:rsid w:val="009B2491"/>
    <w:rsid w:val="009B40D3"/>
    <w:rsid w:val="009B580E"/>
    <w:rsid w:val="009B5A16"/>
    <w:rsid w:val="009B6232"/>
    <w:rsid w:val="009C78AB"/>
    <w:rsid w:val="009D029C"/>
    <w:rsid w:val="009D0F75"/>
    <w:rsid w:val="009D2BFD"/>
    <w:rsid w:val="009D54F0"/>
    <w:rsid w:val="009D6CD8"/>
    <w:rsid w:val="009E5565"/>
    <w:rsid w:val="009E6EF2"/>
    <w:rsid w:val="009F0417"/>
    <w:rsid w:val="009F0BD9"/>
    <w:rsid w:val="009F114F"/>
    <w:rsid w:val="009F1C12"/>
    <w:rsid w:val="009F50CE"/>
    <w:rsid w:val="00A00C45"/>
    <w:rsid w:val="00A01551"/>
    <w:rsid w:val="00A019D6"/>
    <w:rsid w:val="00A01FE3"/>
    <w:rsid w:val="00A04BD0"/>
    <w:rsid w:val="00A06A04"/>
    <w:rsid w:val="00A07DE5"/>
    <w:rsid w:val="00A13E3E"/>
    <w:rsid w:val="00A1444C"/>
    <w:rsid w:val="00A15099"/>
    <w:rsid w:val="00A2307A"/>
    <w:rsid w:val="00A23596"/>
    <w:rsid w:val="00A25CDD"/>
    <w:rsid w:val="00A27F8B"/>
    <w:rsid w:val="00A30F55"/>
    <w:rsid w:val="00A32A92"/>
    <w:rsid w:val="00A3424B"/>
    <w:rsid w:val="00A40081"/>
    <w:rsid w:val="00A43E83"/>
    <w:rsid w:val="00A45337"/>
    <w:rsid w:val="00A45FC3"/>
    <w:rsid w:val="00A46520"/>
    <w:rsid w:val="00A50B0E"/>
    <w:rsid w:val="00A53576"/>
    <w:rsid w:val="00A543AC"/>
    <w:rsid w:val="00A55BA7"/>
    <w:rsid w:val="00A55DFD"/>
    <w:rsid w:val="00A5782D"/>
    <w:rsid w:val="00A6165D"/>
    <w:rsid w:val="00A6307B"/>
    <w:rsid w:val="00A72D65"/>
    <w:rsid w:val="00A743CF"/>
    <w:rsid w:val="00A77C16"/>
    <w:rsid w:val="00A81EF3"/>
    <w:rsid w:val="00A858BC"/>
    <w:rsid w:val="00A85CC9"/>
    <w:rsid w:val="00A87C0A"/>
    <w:rsid w:val="00A92215"/>
    <w:rsid w:val="00A9306F"/>
    <w:rsid w:val="00A93FA9"/>
    <w:rsid w:val="00A9537B"/>
    <w:rsid w:val="00AA0A82"/>
    <w:rsid w:val="00AA28C0"/>
    <w:rsid w:val="00AA2E90"/>
    <w:rsid w:val="00AB0362"/>
    <w:rsid w:val="00AB3A22"/>
    <w:rsid w:val="00AB531B"/>
    <w:rsid w:val="00AB583D"/>
    <w:rsid w:val="00AC26B8"/>
    <w:rsid w:val="00AC34B3"/>
    <w:rsid w:val="00AC5ABB"/>
    <w:rsid w:val="00AC68C4"/>
    <w:rsid w:val="00AD1173"/>
    <w:rsid w:val="00AD18D2"/>
    <w:rsid w:val="00AD1F5C"/>
    <w:rsid w:val="00AD4052"/>
    <w:rsid w:val="00AD677D"/>
    <w:rsid w:val="00AD6A5D"/>
    <w:rsid w:val="00AE4BB8"/>
    <w:rsid w:val="00AF071D"/>
    <w:rsid w:val="00AF4FFB"/>
    <w:rsid w:val="00AF6D50"/>
    <w:rsid w:val="00B026B5"/>
    <w:rsid w:val="00B02E5B"/>
    <w:rsid w:val="00B0423C"/>
    <w:rsid w:val="00B05388"/>
    <w:rsid w:val="00B068D9"/>
    <w:rsid w:val="00B06C79"/>
    <w:rsid w:val="00B07ED5"/>
    <w:rsid w:val="00B1359D"/>
    <w:rsid w:val="00B1448E"/>
    <w:rsid w:val="00B23417"/>
    <w:rsid w:val="00B24DB1"/>
    <w:rsid w:val="00B25CB8"/>
    <w:rsid w:val="00B3293D"/>
    <w:rsid w:val="00B32B7E"/>
    <w:rsid w:val="00B34F81"/>
    <w:rsid w:val="00B35828"/>
    <w:rsid w:val="00B35D5A"/>
    <w:rsid w:val="00B36981"/>
    <w:rsid w:val="00B36AD7"/>
    <w:rsid w:val="00B400D0"/>
    <w:rsid w:val="00B4131D"/>
    <w:rsid w:val="00B415B7"/>
    <w:rsid w:val="00B41D45"/>
    <w:rsid w:val="00B422DB"/>
    <w:rsid w:val="00B42677"/>
    <w:rsid w:val="00B47216"/>
    <w:rsid w:val="00B52A65"/>
    <w:rsid w:val="00B54BC2"/>
    <w:rsid w:val="00B76909"/>
    <w:rsid w:val="00B829AC"/>
    <w:rsid w:val="00B831BE"/>
    <w:rsid w:val="00B83470"/>
    <w:rsid w:val="00B84CA5"/>
    <w:rsid w:val="00B85AEF"/>
    <w:rsid w:val="00B90B9A"/>
    <w:rsid w:val="00B93AB4"/>
    <w:rsid w:val="00B9551E"/>
    <w:rsid w:val="00B95695"/>
    <w:rsid w:val="00B95F9D"/>
    <w:rsid w:val="00B96317"/>
    <w:rsid w:val="00B96C83"/>
    <w:rsid w:val="00BA2019"/>
    <w:rsid w:val="00BA6A05"/>
    <w:rsid w:val="00BA7A68"/>
    <w:rsid w:val="00BA7EF9"/>
    <w:rsid w:val="00BB04C2"/>
    <w:rsid w:val="00BB12AA"/>
    <w:rsid w:val="00BB2048"/>
    <w:rsid w:val="00BB35FD"/>
    <w:rsid w:val="00BC10A9"/>
    <w:rsid w:val="00BC1FE4"/>
    <w:rsid w:val="00BC326E"/>
    <w:rsid w:val="00BC523A"/>
    <w:rsid w:val="00BC5AC8"/>
    <w:rsid w:val="00BC6C6D"/>
    <w:rsid w:val="00BC6E68"/>
    <w:rsid w:val="00BC76C2"/>
    <w:rsid w:val="00BD0312"/>
    <w:rsid w:val="00BD1A13"/>
    <w:rsid w:val="00BD2E2B"/>
    <w:rsid w:val="00BD5570"/>
    <w:rsid w:val="00BD5D3A"/>
    <w:rsid w:val="00BE1310"/>
    <w:rsid w:val="00BE38CB"/>
    <w:rsid w:val="00BF051A"/>
    <w:rsid w:val="00BF05D9"/>
    <w:rsid w:val="00BF3008"/>
    <w:rsid w:val="00BF7DD2"/>
    <w:rsid w:val="00C032CB"/>
    <w:rsid w:val="00C04F4C"/>
    <w:rsid w:val="00C07C51"/>
    <w:rsid w:val="00C10A73"/>
    <w:rsid w:val="00C16D31"/>
    <w:rsid w:val="00C226B2"/>
    <w:rsid w:val="00C22AB1"/>
    <w:rsid w:val="00C2384A"/>
    <w:rsid w:val="00C30C7A"/>
    <w:rsid w:val="00C30E9F"/>
    <w:rsid w:val="00C32D97"/>
    <w:rsid w:val="00C3556D"/>
    <w:rsid w:val="00C36EAC"/>
    <w:rsid w:val="00C42A1E"/>
    <w:rsid w:val="00C47AEB"/>
    <w:rsid w:val="00C5323E"/>
    <w:rsid w:val="00C57879"/>
    <w:rsid w:val="00C601F1"/>
    <w:rsid w:val="00C62044"/>
    <w:rsid w:val="00C63163"/>
    <w:rsid w:val="00C6396E"/>
    <w:rsid w:val="00C66F64"/>
    <w:rsid w:val="00C716B6"/>
    <w:rsid w:val="00C723F5"/>
    <w:rsid w:val="00C76AB9"/>
    <w:rsid w:val="00C8163B"/>
    <w:rsid w:val="00C824E9"/>
    <w:rsid w:val="00C83D0A"/>
    <w:rsid w:val="00C8797A"/>
    <w:rsid w:val="00C90AD2"/>
    <w:rsid w:val="00C92A1A"/>
    <w:rsid w:val="00C94927"/>
    <w:rsid w:val="00C96ACC"/>
    <w:rsid w:val="00CA04D1"/>
    <w:rsid w:val="00CA0ACD"/>
    <w:rsid w:val="00CA0BF3"/>
    <w:rsid w:val="00CA3256"/>
    <w:rsid w:val="00CA5929"/>
    <w:rsid w:val="00CB1F0F"/>
    <w:rsid w:val="00CB2918"/>
    <w:rsid w:val="00CB3239"/>
    <w:rsid w:val="00CC144D"/>
    <w:rsid w:val="00CC28C5"/>
    <w:rsid w:val="00CC39ED"/>
    <w:rsid w:val="00CC3EE7"/>
    <w:rsid w:val="00CC5E5D"/>
    <w:rsid w:val="00CC67B2"/>
    <w:rsid w:val="00CD357D"/>
    <w:rsid w:val="00CD3D6D"/>
    <w:rsid w:val="00CD772A"/>
    <w:rsid w:val="00CE3168"/>
    <w:rsid w:val="00CE68F9"/>
    <w:rsid w:val="00CE6C48"/>
    <w:rsid w:val="00CF0879"/>
    <w:rsid w:val="00CF0AF6"/>
    <w:rsid w:val="00CF351A"/>
    <w:rsid w:val="00CF6242"/>
    <w:rsid w:val="00CF6FFE"/>
    <w:rsid w:val="00D00562"/>
    <w:rsid w:val="00D00963"/>
    <w:rsid w:val="00D01E94"/>
    <w:rsid w:val="00D03395"/>
    <w:rsid w:val="00D05459"/>
    <w:rsid w:val="00D05D67"/>
    <w:rsid w:val="00D12D7D"/>
    <w:rsid w:val="00D13065"/>
    <w:rsid w:val="00D13157"/>
    <w:rsid w:val="00D15061"/>
    <w:rsid w:val="00D15C08"/>
    <w:rsid w:val="00D20C8D"/>
    <w:rsid w:val="00D2308A"/>
    <w:rsid w:val="00D2552C"/>
    <w:rsid w:val="00D25DA2"/>
    <w:rsid w:val="00D25F55"/>
    <w:rsid w:val="00D3104F"/>
    <w:rsid w:val="00D37DF5"/>
    <w:rsid w:val="00D45099"/>
    <w:rsid w:val="00D468E2"/>
    <w:rsid w:val="00D5085C"/>
    <w:rsid w:val="00D50DD1"/>
    <w:rsid w:val="00D52EAF"/>
    <w:rsid w:val="00D5311E"/>
    <w:rsid w:val="00D54435"/>
    <w:rsid w:val="00D639AF"/>
    <w:rsid w:val="00D66904"/>
    <w:rsid w:val="00D67D3C"/>
    <w:rsid w:val="00D713BE"/>
    <w:rsid w:val="00D72F3F"/>
    <w:rsid w:val="00D83BA4"/>
    <w:rsid w:val="00D85F68"/>
    <w:rsid w:val="00D90BE5"/>
    <w:rsid w:val="00D95018"/>
    <w:rsid w:val="00DA1DE2"/>
    <w:rsid w:val="00DA3D7B"/>
    <w:rsid w:val="00DA45C7"/>
    <w:rsid w:val="00DA6754"/>
    <w:rsid w:val="00DA6A1B"/>
    <w:rsid w:val="00DB137C"/>
    <w:rsid w:val="00DB3932"/>
    <w:rsid w:val="00DC186B"/>
    <w:rsid w:val="00DC1B36"/>
    <w:rsid w:val="00DC6393"/>
    <w:rsid w:val="00DD0BF8"/>
    <w:rsid w:val="00DD14C9"/>
    <w:rsid w:val="00DD1F9F"/>
    <w:rsid w:val="00DD5027"/>
    <w:rsid w:val="00DD7D17"/>
    <w:rsid w:val="00DD7D1D"/>
    <w:rsid w:val="00DE083A"/>
    <w:rsid w:val="00DE3D19"/>
    <w:rsid w:val="00DE4513"/>
    <w:rsid w:val="00DE4676"/>
    <w:rsid w:val="00DF0263"/>
    <w:rsid w:val="00DF0DB7"/>
    <w:rsid w:val="00DF594B"/>
    <w:rsid w:val="00DF7EA9"/>
    <w:rsid w:val="00E00339"/>
    <w:rsid w:val="00E01327"/>
    <w:rsid w:val="00E029BB"/>
    <w:rsid w:val="00E1191E"/>
    <w:rsid w:val="00E11D43"/>
    <w:rsid w:val="00E12A9C"/>
    <w:rsid w:val="00E12AC9"/>
    <w:rsid w:val="00E13E29"/>
    <w:rsid w:val="00E14ED8"/>
    <w:rsid w:val="00E17120"/>
    <w:rsid w:val="00E23631"/>
    <w:rsid w:val="00E25FAB"/>
    <w:rsid w:val="00E27339"/>
    <w:rsid w:val="00E31BE2"/>
    <w:rsid w:val="00E33BF5"/>
    <w:rsid w:val="00E34D15"/>
    <w:rsid w:val="00E35D90"/>
    <w:rsid w:val="00E36504"/>
    <w:rsid w:val="00E37E16"/>
    <w:rsid w:val="00E4279E"/>
    <w:rsid w:val="00E42A69"/>
    <w:rsid w:val="00E42A6B"/>
    <w:rsid w:val="00E50CCD"/>
    <w:rsid w:val="00E613C2"/>
    <w:rsid w:val="00E62CFE"/>
    <w:rsid w:val="00E6300C"/>
    <w:rsid w:val="00E66D8A"/>
    <w:rsid w:val="00E71775"/>
    <w:rsid w:val="00E7212D"/>
    <w:rsid w:val="00E73014"/>
    <w:rsid w:val="00E73B8F"/>
    <w:rsid w:val="00E759EC"/>
    <w:rsid w:val="00E75E84"/>
    <w:rsid w:val="00E75F83"/>
    <w:rsid w:val="00E77623"/>
    <w:rsid w:val="00E8202E"/>
    <w:rsid w:val="00E8282B"/>
    <w:rsid w:val="00E83C2C"/>
    <w:rsid w:val="00E84797"/>
    <w:rsid w:val="00E874B9"/>
    <w:rsid w:val="00E91454"/>
    <w:rsid w:val="00E921A1"/>
    <w:rsid w:val="00E93D08"/>
    <w:rsid w:val="00E95F3D"/>
    <w:rsid w:val="00EA08F1"/>
    <w:rsid w:val="00EA502F"/>
    <w:rsid w:val="00EA58F3"/>
    <w:rsid w:val="00EA6EEF"/>
    <w:rsid w:val="00EA7408"/>
    <w:rsid w:val="00EB4F93"/>
    <w:rsid w:val="00EC0343"/>
    <w:rsid w:val="00EC11DC"/>
    <w:rsid w:val="00EC2356"/>
    <w:rsid w:val="00EC3D4A"/>
    <w:rsid w:val="00EC4D8A"/>
    <w:rsid w:val="00EC64F9"/>
    <w:rsid w:val="00EC7B3F"/>
    <w:rsid w:val="00ED06F4"/>
    <w:rsid w:val="00ED1785"/>
    <w:rsid w:val="00ED1830"/>
    <w:rsid w:val="00ED5F68"/>
    <w:rsid w:val="00EE0237"/>
    <w:rsid w:val="00EE266E"/>
    <w:rsid w:val="00EE3514"/>
    <w:rsid w:val="00EE5754"/>
    <w:rsid w:val="00EE68FA"/>
    <w:rsid w:val="00EF0048"/>
    <w:rsid w:val="00EF039F"/>
    <w:rsid w:val="00EF0E39"/>
    <w:rsid w:val="00EF1535"/>
    <w:rsid w:val="00EF223C"/>
    <w:rsid w:val="00EF22B9"/>
    <w:rsid w:val="00EF48CE"/>
    <w:rsid w:val="00EF6CF8"/>
    <w:rsid w:val="00EF7273"/>
    <w:rsid w:val="00F00592"/>
    <w:rsid w:val="00F0395E"/>
    <w:rsid w:val="00F05CF3"/>
    <w:rsid w:val="00F100B6"/>
    <w:rsid w:val="00F1027C"/>
    <w:rsid w:val="00F10FF5"/>
    <w:rsid w:val="00F115FB"/>
    <w:rsid w:val="00F14C8F"/>
    <w:rsid w:val="00F1600A"/>
    <w:rsid w:val="00F176BC"/>
    <w:rsid w:val="00F269B1"/>
    <w:rsid w:val="00F30978"/>
    <w:rsid w:val="00F314DF"/>
    <w:rsid w:val="00F335A0"/>
    <w:rsid w:val="00F361A6"/>
    <w:rsid w:val="00F43DCA"/>
    <w:rsid w:val="00F455A1"/>
    <w:rsid w:val="00F5035E"/>
    <w:rsid w:val="00F5295D"/>
    <w:rsid w:val="00F653CE"/>
    <w:rsid w:val="00F666E3"/>
    <w:rsid w:val="00F717B3"/>
    <w:rsid w:val="00F72698"/>
    <w:rsid w:val="00F72C08"/>
    <w:rsid w:val="00F7426E"/>
    <w:rsid w:val="00F75811"/>
    <w:rsid w:val="00F81654"/>
    <w:rsid w:val="00F946BD"/>
    <w:rsid w:val="00F967F5"/>
    <w:rsid w:val="00F9715C"/>
    <w:rsid w:val="00FA471A"/>
    <w:rsid w:val="00FA640A"/>
    <w:rsid w:val="00FA6FC3"/>
    <w:rsid w:val="00FA738C"/>
    <w:rsid w:val="00FB0515"/>
    <w:rsid w:val="00FB1E86"/>
    <w:rsid w:val="00FB5962"/>
    <w:rsid w:val="00FC5AC9"/>
    <w:rsid w:val="00FC5FD1"/>
    <w:rsid w:val="00FC7687"/>
    <w:rsid w:val="00FC773D"/>
    <w:rsid w:val="00FD2287"/>
    <w:rsid w:val="00FD5310"/>
    <w:rsid w:val="00FD6F2E"/>
    <w:rsid w:val="00FE1D6E"/>
    <w:rsid w:val="00FE2815"/>
    <w:rsid w:val="00FE379E"/>
    <w:rsid w:val="00FE7E62"/>
    <w:rsid w:val="00FF012B"/>
    <w:rsid w:val="00FF211F"/>
    <w:rsid w:val="00FF614F"/>
    <w:rsid w:val="00FF6BAB"/>
    <w:rsid w:val="00FF72D9"/>
    <w:rsid w:val="00FF73F1"/>
    <w:rsid w:val="00FF7A8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329"/>
  </w:style>
  <w:style w:type="paragraph" w:styleId="Heading1">
    <w:name w:val="heading 1"/>
    <w:basedOn w:val="Normal"/>
    <w:next w:val="Normal"/>
    <w:link w:val="Heading1Char"/>
    <w:autoRedefine/>
    <w:uiPriority w:val="9"/>
    <w:qFormat/>
    <w:rsid w:val="001B28CA"/>
    <w:pPr>
      <w:keepNext/>
      <w:keepLines/>
      <w:numPr>
        <w:numId w:val="40"/>
      </w:numPr>
      <w:spacing w:after="240" w:line="240" w:lineRule="auto"/>
      <w:ind w:left="720"/>
      <w:outlineLvl w:val="0"/>
    </w:pPr>
    <w:rPr>
      <w:rFonts w:ascii="Times New Roman" w:hAnsi="Times New Roman" w:eastAsiaTheme="majorEastAsia" w:cs="Times New Roman"/>
      <w:b/>
      <w:caps/>
      <w:sz w:val="24"/>
      <w:szCs w:val="24"/>
    </w:rPr>
  </w:style>
  <w:style w:type="paragraph" w:styleId="Heading2">
    <w:name w:val="heading 2"/>
    <w:basedOn w:val="Normal"/>
    <w:next w:val="Normal"/>
    <w:link w:val="Heading2Char"/>
    <w:autoRedefine/>
    <w:unhideWhenUsed/>
    <w:qFormat/>
    <w:rsid w:val="00331BE8"/>
    <w:pPr>
      <w:keepNext/>
      <w:keepLines/>
      <w:spacing w:after="240" w:line="240" w:lineRule="auto"/>
      <w:ind w:left="1440" w:hanging="72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autoRedefine/>
    <w:uiPriority w:val="9"/>
    <w:unhideWhenUsed/>
    <w:qFormat/>
    <w:rsid w:val="00F666E3"/>
    <w:pPr>
      <w:keepNext/>
      <w:keepLines/>
      <w:spacing w:after="240" w:line="240" w:lineRule="auto"/>
      <w:ind w:left="2160" w:hanging="720"/>
      <w:outlineLvl w:val="2"/>
    </w:pPr>
    <w:rPr>
      <w:rFonts w:ascii="Times New Roman" w:hAnsi="Times New Roman" w:cstheme="majorBidi"/>
      <w:b/>
      <w:sz w:val="24"/>
      <w:szCs w:val="24"/>
    </w:rPr>
  </w:style>
  <w:style w:type="paragraph" w:styleId="Heading4">
    <w:name w:val="heading 4"/>
    <w:basedOn w:val="Normal"/>
    <w:next w:val="Normal"/>
    <w:link w:val="Heading4Char"/>
    <w:autoRedefine/>
    <w:uiPriority w:val="9"/>
    <w:unhideWhenUsed/>
    <w:qFormat/>
    <w:rsid w:val="00313E6B"/>
    <w:pPr>
      <w:keepNext/>
      <w:keepLines/>
      <w:spacing w:after="240" w:line="240" w:lineRule="auto"/>
      <w:ind w:left="2880" w:right="720" w:hanging="720"/>
      <w:outlineLvl w:val="3"/>
    </w:pPr>
    <w:rPr>
      <w:rFonts w:ascii="Times New Roman" w:hAnsi="Times New Roman" w:eastAsiaTheme="majorEastAsia" w:cs="Times New Roman"/>
      <w:b/>
      <w:iCs/>
      <w:sz w:val="24"/>
    </w:rPr>
  </w:style>
  <w:style w:type="paragraph" w:styleId="Heading5">
    <w:name w:val="heading 5"/>
    <w:basedOn w:val="Normal"/>
    <w:next w:val="Normal"/>
    <w:link w:val="Heading5Char"/>
    <w:autoRedefine/>
    <w:uiPriority w:val="9"/>
    <w:unhideWhenUsed/>
    <w:qFormat/>
    <w:rsid w:val="00517C65"/>
    <w:pPr>
      <w:keepNext/>
      <w:keepLines/>
      <w:spacing w:after="240" w:line="240" w:lineRule="auto"/>
      <w:ind w:left="3600" w:right="720" w:hanging="720"/>
      <w:outlineLvl w:val="4"/>
    </w:pPr>
    <w:rPr>
      <w:rFonts w:ascii="Times New Roman" w:hAnsi="Times New Roman" w:eastAsiaTheme="majorEastAsia"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unhideWhenUsed/>
    <w:qFormat/>
    <w:rsid w:val="007C6BDC"/>
    <w:pPr>
      <w:spacing w:after="0" w:line="240" w:lineRule="auto"/>
    </w:pPr>
    <w:rPr>
      <w:rFonts w:ascii="Times New Roman" w:hAnsi="Times New Roman"/>
      <w:sz w:val="20"/>
      <w:szCs w:val="20"/>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basedOn w:val="DefaultParagraphFont"/>
    <w:link w:val="FootnoteText"/>
    <w:rsid w:val="007C6BDC"/>
    <w:rPr>
      <w:rFonts w:ascii="Times New Roman" w:hAnsi="Times New Roman"/>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nhideWhenUsed/>
    <w:qFormat/>
    <w:rsid w:val="00D62829"/>
    <w:rPr>
      <w:vertAlign w:val="superscript"/>
    </w:rPr>
  </w:style>
  <w:style w:type="paragraph" w:styleId="Header">
    <w:name w:val="header"/>
    <w:basedOn w:val="Normal"/>
    <w:link w:val="HeaderChar"/>
    <w:uiPriority w:val="99"/>
    <w:unhideWhenUsed/>
    <w:rsid w:val="00BC5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06F"/>
  </w:style>
  <w:style w:type="paragraph" w:styleId="Footer">
    <w:name w:val="footer"/>
    <w:basedOn w:val="Normal"/>
    <w:link w:val="FooterChar"/>
    <w:uiPriority w:val="99"/>
    <w:unhideWhenUsed/>
    <w:rsid w:val="00BC5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06F"/>
  </w:style>
  <w:style w:type="character" w:styleId="Hyperlink">
    <w:name w:val="Hyperlink"/>
    <w:basedOn w:val="DefaultParagraphFont"/>
    <w:uiPriority w:val="99"/>
    <w:unhideWhenUsed/>
    <w:rsid w:val="00E7794B"/>
    <w:rPr>
      <w:color w:val="0077CC"/>
      <w:u w:val="single"/>
    </w:rPr>
  </w:style>
  <w:style w:type="character" w:customStyle="1" w:styleId="ssrfcpassagedeactivated">
    <w:name w:val="ss_rfcpassage_deactivated"/>
    <w:basedOn w:val="DefaultParagraphFont"/>
    <w:rsid w:val="00E7794B"/>
  </w:style>
  <w:style w:type="character" w:customStyle="1" w:styleId="ssit1">
    <w:name w:val="ss_it1"/>
    <w:basedOn w:val="DefaultParagraphFont"/>
    <w:rsid w:val="00E7794B"/>
    <w:rPr>
      <w:i/>
      <w:iCs/>
    </w:rPr>
  </w:style>
  <w:style w:type="character" w:customStyle="1" w:styleId="ssib1">
    <w:name w:val="ss_ib1"/>
    <w:basedOn w:val="DefaultParagraphFont"/>
    <w:rsid w:val="00E7794B"/>
    <w:rPr>
      <w:b/>
      <w:bCs/>
      <w:i/>
      <w:iCs/>
    </w:rPr>
  </w:style>
  <w:style w:type="paragraph" w:styleId="BalloonText">
    <w:name w:val="Balloon Text"/>
    <w:basedOn w:val="Normal"/>
    <w:link w:val="BalloonTextChar"/>
    <w:uiPriority w:val="99"/>
    <w:semiHidden/>
    <w:unhideWhenUsed/>
    <w:rsid w:val="00E77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94B"/>
    <w:rPr>
      <w:rFonts w:ascii="Tahoma" w:hAnsi="Tahoma" w:cs="Tahoma"/>
      <w:sz w:val="16"/>
      <w:szCs w:val="16"/>
    </w:rPr>
  </w:style>
  <w:style w:type="character" w:customStyle="1" w:styleId="Heading2Char">
    <w:name w:val="Heading 2 Char"/>
    <w:basedOn w:val="DefaultParagraphFont"/>
    <w:link w:val="Heading2"/>
    <w:rsid w:val="00331BE8"/>
    <w:rPr>
      <w:rFonts w:ascii="Times New Roman" w:eastAsia="Times New Roman" w:hAnsi="Times New Roman" w:cs="Times New Roman"/>
      <w:b/>
      <w:bCs/>
      <w:sz w:val="24"/>
      <w:szCs w:val="24"/>
    </w:rPr>
  </w:style>
  <w:style w:type="paragraph" w:styleId="ListParagraph">
    <w:name w:val="List Paragraph"/>
    <w:basedOn w:val="Normal"/>
    <w:uiPriority w:val="34"/>
    <w:qFormat/>
    <w:rsid w:val="009B2909"/>
    <w:pPr>
      <w:ind w:left="720"/>
      <w:contextualSpacing/>
    </w:pPr>
  </w:style>
  <w:style w:type="character" w:styleId="CommentReference">
    <w:name w:val="annotation reference"/>
    <w:basedOn w:val="DefaultParagraphFont"/>
    <w:uiPriority w:val="99"/>
    <w:semiHidden/>
    <w:unhideWhenUsed/>
    <w:rsid w:val="00775C0C"/>
    <w:rPr>
      <w:sz w:val="16"/>
      <w:szCs w:val="16"/>
    </w:rPr>
  </w:style>
  <w:style w:type="paragraph" w:styleId="CommentText">
    <w:name w:val="annotation text"/>
    <w:basedOn w:val="Normal"/>
    <w:link w:val="CommentTextChar"/>
    <w:unhideWhenUsed/>
    <w:rsid w:val="00775C0C"/>
    <w:pPr>
      <w:spacing w:line="240" w:lineRule="auto"/>
    </w:pPr>
    <w:rPr>
      <w:sz w:val="20"/>
      <w:szCs w:val="20"/>
    </w:rPr>
  </w:style>
  <w:style w:type="character" w:customStyle="1" w:styleId="CommentTextChar">
    <w:name w:val="Comment Text Char"/>
    <w:basedOn w:val="DefaultParagraphFont"/>
    <w:link w:val="CommentText"/>
    <w:rsid w:val="00775C0C"/>
    <w:rPr>
      <w:sz w:val="20"/>
      <w:szCs w:val="20"/>
    </w:rPr>
  </w:style>
  <w:style w:type="paragraph" w:styleId="CommentSubject">
    <w:name w:val="annotation subject"/>
    <w:basedOn w:val="CommentText"/>
    <w:next w:val="CommentText"/>
    <w:link w:val="CommentSubjectChar"/>
    <w:semiHidden/>
    <w:unhideWhenUsed/>
    <w:rsid w:val="00B81C2C"/>
    <w:rPr>
      <w:b/>
      <w:bCs/>
    </w:rPr>
  </w:style>
  <w:style w:type="character" w:customStyle="1" w:styleId="CommentSubjectChar">
    <w:name w:val="Comment Subject Char"/>
    <w:basedOn w:val="CommentTextChar"/>
    <w:link w:val="CommentSubject"/>
    <w:semiHidden/>
    <w:rsid w:val="00B81C2C"/>
    <w:rPr>
      <w:b/>
      <w:bCs/>
      <w:sz w:val="20"/>
      <w:szCs w:val="20"/>
    </w:rPr>
  </w:style>
  <w:style w:type="character" w:customStyle="1" w:styleId="ssleftalign">
    <w:name w:val="ss_leftalign"/>
    <w:basedOn w:val="DefaultParagraphFont"/>
    <w:rsid w:val="00F1475E"/>
  </w:style>
  <w:style w:type="character" w:customStyle="1" w:styleId="sssh">
    <w:name w:val="ss_sh"/>
    <w:basedOn w:val="DefaultParagraphFont"/>
    <w:rsid w:val="00F1475E"/>
  </w:style>
  <w:style w:type="character" w:customStyle="1" w:styleId="ssib">
    <w:name w:val="ss_ib"/>
    <w:basedOn w:val="DefaultParagraphFont"/>
    <w:rsid w:val="00F1475E"/>
  </w:style>
  <w:style w:type="character" w:customStyle="1" w:styleId="ssit">
    <w:name w:val="ss_it"/>
    <w:basedOn w:val="DefaultParagraphFont"/>
    <w:rsid w:val="00F1475E"/>
  </w:style>
  <w:style w:type="table" w:styleId="TableGrid">
    <w:name w:val="Table Grid"/>
    <w:basedOn w:val="TableNormal"/>
    <w:rsid w:val="00C864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B28CA"/>
    <w:rPr>
      <w:rFonts w:ascii="Times New Roman" w:hAnsi="Times New Roman" w:eastAsiaTheme="majorEastAsia" w:cs="Times New Roman"/>
      <w:b/>
      <w:caps/>
      <w:sz w:val="24"/>
      <w:szCs w:val="24"/>
    </w:rPr>
  </w:style>
  <w:style w:type="character" w:customStyle="1" w:styleId="Heading3Char">
    <w:name w:val="Heading 3 Char"/>
    <w:basedOn w:val="DefaultParagraphFont"/>
    <w:link w:val="Heading3"/>
    <w:uiPriority w:val="9"/>
    <w:rsid w:val="00F666E3"/>
    <w:rPr>
      <w:rFonts w:ascii="Times New Roman" w:hAnsi="Times New Roman" w:cstheme="majorBidi"/>
      <w:b/>
      <w:sz w:val="24"/>
      <w:szCs w:val="24"/>
    </w:rPr>
  </w:style>
  <w:style w:type="character" w:customStyle="1" w:styleId="Heading4Char">
    <w:name w:val="Heading 4 Char"/>
    <w:basedOn w:val="DefaultParagraphFont"/>
    <w:link w:val="Heading4"/>
    <w:uiPriority w:val="9"/>
    <w:rsid w:val="00313E6B"/>
    <w:rPr>
      <w:rFonts w:ascii="Times New Roman" w:hAnsi="Times New Roman" w:eastAsiaTheme="majorEastAsia" w:cs="Times New Roman"/>
      <w:b/>
      <w:iCs/>
      <w:sz w:val="24"/>
    </w:rPr>
  </w:style>
  <w:style w:type="paragraph" w:styleId="TOC1">
    <w:name w:val="toc 1"/>
    <w:basedOn w:val="Normal"/>
    <w:next w:val="Normal"/>
    <w:autoRedefine/>
    <w:uiPriority w:val="39"/>
    <w:unhideWhenUsed/>
    <w:qFormat/>
    <w:rsid w:val="00BF3008"/>
    <w:pPr>
      <w:tabs>
        <w:tab w:val="decimal" w:leader="dot" w:pos="9360"/>
      </w:tabs>
      <w:spacing w:after="240" w:line="240" w:lineRule="auto"/>
      <w:ind w:left="720" w:hanging="720"/>
      <w:outlineLvl w:val="0"/>
    </w:pPr>
    <w:rPr>
      <w:rFonts w:ascii="Times New Roman" w:hAnsi="Times New Roman"/>
      <w:caps/>
      <w:sz w:val="24"/>
    </w:rPr>
  </w:style>
  <w:style w:type="paragraph" w:styleId="TOC2">
    <w:name w:val="toc 2"/>
    <w:basedOn w:val="Normal"/>
    <w:next w:val="Normal"/>
    <w:autoRedefine/>
    <w:uiPriority w:val="39"/>
    <w:unhideWhenUsed/>
    <w:qFormat/>
    <w:rsid w:val="00D00963"/>
    <w:pPr>
      <w:tabs>
        <w:tab w:val="left" w:pos="2160"/>
        <w:tab w:val="decimal" w:leader="dot" w:pos="9360"/>
      </w:tabs>
      <w:spacing w:after="240" w:line="240" w:lineRule="auto"/>
      <w:ind w:left="1440" w:hanging="720"/>
      <w:outlineLvl w:val="1"/>
    </w:pPr>
    <w:rPr>
      <w:rFonts w:ascii="Times New Roman" w:hAnsi="Times New Roman"/>
      <w:sz w:val="24"/>
    </w:rPr>
  </w:style>
  <w:style w:type="paragraph" w:styleId="TOC3">
    <w:name w:val="toc 3"/>
    <w:basedOn w:val="Normal"/>
    <w:next w:val="Normal"/>
    <w:autoRedefine/>
    <w:uiPriority w:val="39"/>
    <w:unhideWhenUsed/>
    <w:rsid w:val="00D00963"/>
    <w:pPr>
      <w:tabs>
        <w:tab w:val="decimal" w:leader="dot" w:pos="9360"/>
      </w:tabs>
      <w:spacing w:after="240" w:line="240" w:lineRule="auto"/>
      <w:ind w:left="2160" w:hanging="720"/>
    </w:pPr>
    <w:rPr>
      <w:rFonts w:ascii="Times New Roman" w:hAnsi="Times New Roman"/>
      <w:sz w:val="24"/>
    </w:rPr>
  </w:style>
  <w:style w:type="paragraph" w:styleId="TOC4">
    <w:name w:val="toc 4"/>
    <w:basedOn w:val="Normal"/>
    <w:next w:val="Normal"/>
    <w:autoRedefine/>
    <w:uiPriority w:val="39"/>
    <w:unhideWhenUsed/>
    <w:rsid w:val="00CD3492"/>
    <w:pPr>
      <w:spacing w:after="240" w:line="240" w:lineRule="auto"/>
      <w:ind w:left="2880" w:hanging="720"/>
    </w:pPr>
    <w:rPr>
      <w:rFonts w:ascii="Times New Roman" w:hAnsi="Times New Roman"/>
      <w:sz w:val="24"/>
    </w:rPr>
  </w:style>
  <w:style w:type="character" w:customStyle="1" w:styleId="Heading5Char">
    <w:name w:val="Heading 5 Char"/>
    <w:basedOn w:val="DefaultParagraphFont"/>
    <w:link w:val="Heading5"/>
    <w:uiPriority w:val="9"/>
    <w:rsid w:val="00517C65"/>
    <w:rPr>
      <w:rFonts w:ascii="Times New Roman" w:hAnsi="Times New Roman" w:eastAsiaTheme="majorEastAsia" w:cstheme="majorBidi"/>
      <w:b/>
      <w:sz w:val="24"/>
    </w:rPr>
  </w:style>
  <w:style w:type="character" w:customStyle="1" w:styleId="FootnoteTextChar3">
    <w:name w:val="Footnote Text Char3"/>
    <w:aliases w:val="ALTS FOOTNOTE Char1,Footnote Text Char Char Char Char Char1,Footnote Text Char Char Char2,Footnote Text Char Char1 Char1,Footnote Text Char1,Footnote Text Char1 Char Char1 Char Char Char Char1,Footnote Text Char1 Char Char1 Char1"/>
    <w:locked/>
    <w:rsid w:val="00C10DB0"/>
  </w:style>
  <w:style w:type="paragraph" w:styleId="HTMLPreformatted">
    <w:name w:val="HTML Preformatted"/>
    <w:basedOn w:val="Normal"/>
    <w:link w:val="HTMLPreformattedChar"/>
    <w:rsid w:val="00945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945974"/>
    <w:rPr>
      <w:rFonts w:ascii="Courier New" w:eastAsia="Courier New" w:hAnsi="Courier New" w:cs="Courier New"/>
      <w:sz w:val="20"/>
      <w:szCs w:val="20"/>
    </w:rPr>
  </w:style>
  <w:style w:type="character" w:customStyle="1" w:styleId="UnresolvedMention1">
    <w:name w:val="Unresolved Mention1"/>
    <w:basedOn w:val="DefaultParagraphFont"/>
    <w:uiPriority w:val="99"/>
    <w:semiHidden/>
    <w:unhideWhenUsed/>
    <w:rsid w:val="00945974"/>
    <w:rPr>
      <w:color w:val="605E5C"/>
      <w:shd w:val="clear" w:color="auto" w:fill="E1DFDD"/>
    </w:rPr>
  </w:style>
  <w:style w:type="paragraph" w:styleId="BodyTextIndent3">
    <w:name w:val="Body Text Indent 3"/>
    <w:basedOn w:val="Normal"/>
    <w:link w:val="BodyTextIndent3Char"/>
    <w:rsid w:val="00945974"/>
    <w:pPr>
      <w:spacing w:after="0" w:line="480" w:lineRule="atLeast"/>
      <w:ind w:firstLine="72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945974"/>
    <w:rPr>
      <w:rFonts w:ascii="Times New Roman" w:eastAsia="Times New Roman" w:hAnsi="Times New Roman" w:cs="Times New Roman"/>
      <w:sz w:val="24"/>
      <w:szCs w:val="20"/>
    </w:rPr>
  </w:style>
  <w:style w:type="paragraph" w:styleId="EndnoteText">
    <w:name w:val="endnote text"/>
    <w:basedOn w:val="Normal"/>
    <w:link w:val="EndnoteTextChar"/>
    <w:uiPriority w:val="99"/>
    <w:unhideWhenUsed/>
    <w:rsid w:val="00C96ACC"/>
    <w:pPr>
      <w:spacing w:after="0" w:line="240" w:lineRule="auto"/>
    </w:pPr>
    <w:rPr>
      <w:sz w:val="20"/>
      <w:szCs w:val="20"/>
    </w:rPr>
  </w:style>
  <w:style w:type="character" w:customStyle="1" w:styleId="EndnoteTextChar">
    <w:name w:val="Endnote Text Char"/>
    <w:basedOn w:val="DefaultParagraphFont"/>
    <w:link w:val="EndnoteText"/>
    <w:uiPriority w:val="99"/>
    <w:rsid w:val="00C96ACC"/>
    <w:rPr>
      <w:sz w:val="20"/>
      <w:szCs w:val="20"/>
    </w:rPr>
  </w:style>
  <w:style w:type="character" w:styleId="EndnoteReference">
    <w:name w:val="endnote reference"/>
    <w:basedOn w:val="DefaultParagraphFont"/>
    <w:uiPriority w:val="99"/>
    <w:semiHidden/>
    <w:unhideWhenUsed/>
    <w:rsid w:val="00C96ACC"/>
    <w:rPr>
      <w:vertAlign w:val="superscript"/>
    </w:rPr>
  </w:style>
  <w:style w:type="character" w:customStyle="1" w:styleId="UnresolvedMention2">
    <w:name w:val="Unresolved Mention2"/>
    <w:basedOn w:val="DefaultParagraphFont"/>
    <w:uiPriority w:val="99"/>
    <w:rsid w:val="00AD4052"/>
    <w:rPr>
      <w:color w:val="605E5C"/>
      <w:shd w:val="clear" w:color="auto" w:fill="E1DFDD"/>
    </w:rPr>
  </w:style>
  <w:style w:type="character" w:customStyle="1" w:styleId="AnswerChar">
    <w:name w:val="Answer Char"/>
    <w:link w:val="Answer"/>
    <w:locked/>
    <w:rsid w:val="005C50ED"/>
    <w:rPr>
      <w:rFonts w:ascii="Arial Unicode MS" w:eastAsia="Arial Unicode MS" w:hAnsi="Arial Unicode MS" w:cs="Arial Unicode MS"/>
      <w:bCs/>
      <w:iCs/>
      <w:bdr w:val="none" w:sz="0" w:space="0" w:color="auto" w:frame="1"/>
    </w:rPr>
  </w:style>
  <w:style w:type="paragraph" w:customStyle="1" w:styleId="Answer">
    <w:name w:val="Answer"/>
    <w:basedOn w:val="List2"/>
    <w:link w:val="AnswerChar"/>
    <w:qFormat/>
    <w:rsid w:val="005C50ED"/>
    <w:pPr>
      <w:spacing w:after="0" w:line="480" w:lineRule="auto"/>
    </w:pPr>
    <w:rPr>
      <w:rFonts w:ascii="Arial Unicode MS" w:eastAsia="Arial Unicode MS" w:hAnsi="Arial Unicode MS" w:cs="Arial Unicode MS"/>
      <w:bCs/>
      <w:iCs/>
      <w:bdr w:val="none" w:sz="0" w:space="0" w:color="auto" w:frame="1"/>
    </w:rPr>
  </w:style>
  <w:style w:type="paragraph" w:styleId="List2">
    <w:name w:val="List 2"/>
    <w:basedOn w:val="Normal"/>
    <w:uiPriority w:val="99"/>
    <w:semiHidden/>
    <w:unhideWhenUsed/>
    <w:rsid w:val="005C50ED"/>
    <w:pPr>
      <w:ind w:left="720" w:hanging="360"/>
      <w:contextualSpacing/>
    </w:pPr>
  </w:style>
  <w:style w:type="character" w:customStyle="1" w:styleId="UnresolvedMention3">
    <w:name w:val="Unresolved Mention3"/>
    <w:basedOn w:val="DefaultParagraphFont"/>
    <w:uiPriority w:val="99"/>
    <w:rsid w:val="00E11D43"/>
    <w:rPr>
      <w:color w:val="605E5C"/>
      <w:shd w:val="clear" w:color="auto" w:fill="E1DFDD"/>
    </w:rPr>
  </w:style>
  <w:style w:type="character" w:styleId="FollowedHyperlink">
    <w:name w:val="FollowedHyperlink"/>
    <w:basedOn w:val="DefaultParagraphFont"/>
    <w:uiPriority w:val="99"/>
    <w:semiHidden/>
    <w:unhideWhenUsed/>
    <w:rsid w:val="00FF73F1"/>
    <w:rPr>
      <w:color w:val="800080" w:themeColor="followedHyperlink"/>
      <w:u w:val="single"/>
    </w:rPr>
  </w:style>
  <w:style w:type="paragraph" w:styleId="BodyText">
    <w:name w:val="Body Text"/>
    <w:basedOn w:val="Normal"/>
    <w:link w:val="BodyTextChar"/>
    <w:uiPriority w:val="99"/>
    <w:semiHidden/>
    <w:unhideWhenUsed/>
    <w:rsid w:val="00954447"/>
    <w:pPr>
      <w:spacing w:after="120"/>
    </w:pPr>
  </w:style>
  <w:style w:type="character" w:customStyle="1" w:styleId="BodyTextChar">
    <w:name w:val="Body Text Char"/>
    <w:basedOn w:val="DefaultParagraphFont"/>
    <w:link w:val="BodyText"/>
    <w:uiPriority w:val="99"/>
    <w:semiHidden/>
    <w:rsid w:val="00954447"/>
  </w:style>
  <w:style w:type="paragraph" w:styleId="Revision">
    <w:name w:val="Revision"/>
    <w:hidden/>
    <w:uiPriority w:val="99"/>
    <w:semiHidden/>
    <w:rsid w:val="00E36504"/>
    <w:pPr>
      <w:spacing w:after="0" w:line="240" w:lineRule="auto"/>
    </w:pPr>
  </w:style>
  <w:style w:type="paragraph" w:customStyle="1" w:styleId="xmsonormal">
    <w:name w:val="x_msonormal"/>
    <w:basedOn w:val="Normal"/>
    <w:rsid w:val="00346E6C"/>
    <w:pPr>
      <w:spacing w:after="0" w:line="240" w:lineRule="auto"/>
    </w:pPr>
    <w:rPr>
      <w:rFonts w:ascii="Verdana" w:hAnsi="Verdana" w:cs="Calibri"/>
      <w:color w:val="00277A"/>
      <w:sz w:val="24"/>
      <w:szCs w:val="24"/>
    </w:rPr>
  </w:style>
  <w:style w:type="character" w:customStyle="1" w:styleId="xmsofootnotereference">
    <w:name w:val="x_msofootnotereference"/>
    <w:basedOn w:val="DefaultParagraphFont"/>
    <w:rsid w:val="00346E6C"/>
    <w:rPr>
      <w:vertAlign w:val="superscript"/>
    </w:rPr>
  </w:style>
  <w:style w:type="character" w:customStyle="1" w:styleId="UnresolvedMention">
    <w:name w:val="Unresolved Mention"/>
    <w:basedOn w:val="DefaultParagraphFont"/>
    <w:uiPriority w:val="99"/>
    <w:rsid w:val="006C3A1C"/>
    <w:rPr>
      <w:color w:val="605E5C"/>
      <w:shd w:val="clear" w:color="auto" w:fill="E1DFDD"/>
    </w:rPr>
  </w:style>
  <w:style w:type="paragraph" w:styleId="NormalWeb">
    <w:name w:val="Normal (Web)"/>
    <w:basedOn w:val="Normal"/>
    <w:uiPriority w:val="99"/>
    <w:unhideWhenUsed/>
    <w:rsid w:val="00621E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jacqueline.st.john@puco.ohio.gov" TargetMode="External" /><Relationship Id="rId11" Type="http://schemas.openxmlformats.org/officeDocument/2006/relationships/hyperlink" Target="mailto:kennedy@whitt-sturtevant.com" TargetMode="External" /><Relationship Id="rId12" Type="http://schemas.openxmlformats.org/officeDocument/2006/relationships/hyperlink" Target="mailto:andrew.j.campbell@dominionenergy.com" TargetMode="External" /><Relationship Id="rId13" Type="http://schemas.openxmlformats.org/officeDocument/2006/relationships/header" Target="header1.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William.Michael@occ.ohio.gov"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yperlink" Target="mailto:sarah.feldkamp@ohioag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FF8FE-6C55-4D09-89C8-7EF242A42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2273</Words>
  <Characters>12958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2022-09-08T17:15:52Z</dcterms:created>
  <dcterms:modified xsi:type="dcterms:W3CDTF">2022-09-08T17:15:52Z</dcterms:modified>
</cp:coreProperties>
</file>