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2E7599" w:rsidRPr="00AC38EA" w:rsidP="002E7599" w14:paraId="3EB4180B" w14:textId="77777777">
      <w:pPr>
        <w:spacing w:after="0" w:line="240" w:lineRule="auto"/>
        <w:jc w:val="center"/>
        <w:rPr>
          <w:rFonts w:cs="Times New Roman"/>
          <w:b/>
          <w:bCs/>
          <w:szCs w:val="24"/>
        </w:rPr>
      </w:pPr>
      <w:r w:rsidRPr="00AC38EA">
        <w:rPr>
          <w:rFonts w:cs="Times New Roman"/>
          <w:b/>
          <w:szCs w:val="24"/>
        </w:rPr>
        <w:t>BEFORE</w:t>
      </w:r>
    </w:p>
    <w:p w:rsidR="002E7599" w:rsidRPr="00AC38EA" w:rsidP="002E7599" w14:paraId="1E0B37B0" w14:textId="3CFD9CB3">
      <w:pPr>
        <w:spacing w:after="0" w:line="240" w:lineRule="auto"/>
        <w:jc w:val="center"/>
        <w:rPr>
          <w:rFonts w:cs="Times New Roman"/>
          <w:b/>
          <w:szCs w:val="24"/>
        </w:rPr>
      </w:pPr>
      <w:r w:rsidRPr="00AC38EA">
        <w:rPr>
          <w:rFonts w:cs="Times New Roman"/>
          <w:b/>
          <w:szCs w:val="24"/>
        </w:rPr>
        <w:t>THE</w:t>
      </w:r>
      <w:r w:rsidRPr="00AC38EA">
        <w:rPr>
          <w:rFonts w:cs="Times New Roman"/>
          <w:b/>
          <w:spacing w:val="-10"/>
          <w:szCs w:val="24"/>
        </w:rPr>
        <w:t xml:space="preserve"> </w:t>
      </w:r>
      <w:r w:rsidRPr="00AC38EA">
        <w:rPr>
          <w:rFonts w:cs="Times New Roman"/>
          <w:b/>
          <w:spacing w:val="-1"/>
          <w:szCs w:val="24"/>
        </w:rPr>
        <w:t>PUBLIC</w:t>
      </w:r>
      <w:r w:rsidRPr="00AC38EA">
        <w:rPr>
          <w:rFonts w:cs="Times New Roman"/>
          <w:b/>
          <w:spacing w:val="-12"/>
          <w:szCs w:val="24"/>
        </w:rPr>
        <w:t xml:space="preserve"> </w:t>
      </w:r>
      <w:r w:rsidR="00A07F0A">
        <w:rPr>
          <w:rFonts w:cs="Times New Roman"/>
          <w:b/>
          <w:szCs w:val="24"/>
        </w:rPr>
        <w:t>UTILITIES</w:t>
      </w:r>
      <w:r w:rsidRPr="00AC38EA">
        <w:rPr>
          <w:rFonts w:cs="Times New Roman"/>
          <w:b/>
          <w:spacing w:val="-10"/>
          <w:szCs w:val="24"/>
        </w:rPr>
        <w:t xml:space="preserve"> </w:t>
      </w:r>
      <w:r w:rsidRPr="00AC38EA">
        <w:rPr>
          <w:rFonts w:cs="Times New Roman"/>
          <w:b/>
          <w:spacing w:val="-1"/>
          <w:szCs w:val="24"/>
        </w:rPr>
        <w:t>COMMISSION</w:t>
      </w:r>
      <w:r w:rsidRPr="00AC38EA">
        <w:rPr>
          <w:rFonts w:cs="Times New Roman"/>
          <w:b/>
          <w:spacing w:val="-11"/>
          <w:szCs w:val="24"/>
        </w:rPr>
        <w:t xml:space="preserve"> </w:t>
      </w:r>
      <w:r w:rsidRPr="00AC38EA">
        <w:rPr>
          <w:rFonts w:cs="Times New Roman"/>
          <w:b/>
          <w:spacing w:val="-1"/>
          <w:szCs w:val="24"/>
        </w:rPr>
        <w:t>OF</w:t>
      </w:r>
      <w:r w:rsidRPr="00AC38EA">
        <w:rPr>
          <w:rFonts w:cs="Times New Roman"/>
          <w:b/>
          <w:spacing w:val="-13"/>
          <w:szCs w:val="24"/>
        </w:rPr>
        <w:t xml:space="preserve"> O</w:t>
      </w:r>
      <w:r w:rsidRPr="00AC38EA">
        <w:rPr>
          <w:rFonts w:cs="Times New Roman"/>
          <w:b/>
          <w:szCs w:val="24"/>
        </w:rPr>
        <w:t>HIO</w:t>
      </w:r>
    </w:p>
    <w:p w:rsidR="002E7599" w:rsidRPr="00AC38EA" w:rsidP="002E7599" w14:paraId="2F641EAD" w14:textId="77777777">
      <w:pPr>
        <w:pStyle w:val="HTMLPreformatted"/>
        <w:rPr>
          <w:rFonts w:ascii="Times New Roman" w:hAnsi="Times New Roman" w:cs="Times New Roman"/>
          <w:sz w:val="24"/>
          <w:szCs w:val="24"/>
        </w:rPr>
      </w:pPr>
    </w:p>
    <w:tbl>
      <w:tblPr>
        <w:tblW w:w="9360" w:type="dxa"/>
        <w:tblLook w:val="01E0"/>
      </w:tblPr>
      <w:tblGrid>
        <w:gridCol w:w="4590"/>
        <w:gridCol w:w="360"/>
        <w:gridCol w:w="4410"/>
      </w:tblGrid>
      <w:tr w14:paraId="47A5E251" w14:textId="77777777" w:rsidTr="00764490">
        <w:tblPrEx>
          <w:tblW w:w="9360" w:type="dxa"/>
          <w:tblLook w:val="01E0"/>
        </w:tblPrEx>
        <w:trPr>
          <w:trHeight w:val="807"/>
        </w:trPr>
        <w:tc>
          <w:tcPr>
            <w:tcW w:w="4590" w:type="dxa"/>
            <w:shd w:val="clear" w:color="auto" w:fill="auto"/>
          </w:tcPr>
          <w:p w:rsidR="002E7599" w:rsidRPr="00AC38EA" w:rsidP="00764490" w14:paraId="2EF98E1E" w14:textId="77777777">
            <w:pPr>
              <w:pStyle w:val="HTMLPreformatted"/>
              <w:rPr>
                <w:rFonts w:ascii="Times New Roman" w:hAnsi="Times New Roman" w:cs="Times New Roman"/>
                <w:sz w:val="24"/>
                <w:szCs w:val="24"/>
              </w:rPr>
            </w:pPr>
            <w:r w:rsidRPr="00AC38EA">
              <w:rPr>
                <w:rFonts w:ascii="Times New Roman" w:hAnsi="Times New Roman" w:cs="Times New Roman"/>
                <w:sz w:val="24"/>
                <w:szCs w:val="24"/>
              </w:rPr>
              <w:t>In the Matter of the Review of Ohio Edison Company, The Cleveland Electric Illuminating Company, and The Toledo Edison Company’s Compliance with R.C. 4928.17 and Ohio Adm. Code Chapter 4901:1-37.</w:t>
            </w:r>
          </w:p>
        </w:tc>
        <w:tc>
          <w:tcPr>
            <w:tcW w:w="360" w:type="dxa"/>
            <w:shd w:val="clear" w:color="auto" w:fill="auto"/>
          </w:tcPr>
          <w:p w:rsidR="002E7599" w:rsidRPr="00AC38EA" w:rsidP="00764490" w14:paraId="36CDE260" w14:textId="77777777">
            <w:pPr>
              <w:pStyle w:val="HTMLPreformatted"/>
              <w:rPr>
                <w:rFonts w:ascii="Times New Roman" w:hAnsi="Times New Roman" w:cs="Times New Roman"/>
                <w:sz w:val="24"/>
                <w:szCs w:val="24"/>
              </w:rPr>
            </w:pPr>
            <w:r w:rsidRPr="00AC38EA">
              <w:rPr>
                <w:rFonts w:ascii="Times New Roman" w:hAnsi="Times New Roman" w:cs="Times New Roman"/>
                <w:sz w:val="24"/>
                <w:szCs w:val="24"/>
              </w:rPr>
              <w:t>)</w:t>
            </w:r>
          </w:p>
          <w:p w:rsidR="002E7599" w:rsidRPr="00AC38EA" w:rsidP="00764490" w14:paraId="13724FAC" w14:textId="77777777">
            <w:pPr>
              <w:pStyle w:val="HTMLPreformatted"/>
              <w:rPr>
                <w:rFonts w:ascii="Times New Roman" w:hAnsi="Times New Roman" w:cs="Times New Roman"/>
                <w:sz w:val="24"/>
                <w:szCs w:val="24"/>
              </w:rPr>
            </w:pPr>
            <w:r w:rsidRPr="00AC38EA">
              <w:rPr>
                <w:rFonts w:ascii="Times New Roman" w:hAnsi="Times New Roman" w:cs="Times New Roman"/>
                <w:sz w:val="24"/>
                <w:szCs w:val="24"/>
              </w:rPr>
              <w:t>)</w:t>
            </w:r>
          </w:p>
          <w:p w:rsidR="002E7599" w:rsidRPr="00AC38EA" w:rsidP="00764490" w14:paraId="23674850" w14:textId="77777777">
            <w:pPr>
              <w:pStyle w:val="HTMLPreformatted"/>
              <w:rPr>
                <w:rFonts w:ascii="Times New Roman" w:hAnsi="Times New Roman" w:cs="Times New Roman"/>
                <w:sz w:val="24"/>
                <w:szCs w:val="24"/>
              </w:rPr>
            </w:pPr>
            <w:r w:rsidRPr="00AC38EA">
              <w:rPr>
                <w:rFonts w:ascii="Times New Roman" w:hAnsi="Times New Roman" w:cs="Times New Roman"/>
                <w:sz w:val="24"/>
                <w:szCs w:val="24"/>
              </w:rPr>
              <w:t>)</w:t>
            </w:r>
          </w:p>
          <w:p w:rsidR="002E7599" w:rsidRPr="00AC38EA" w:rsidP="00764490" w14:paraId="4C4DDBD6" w14:textId="77777777">
            <w:pPr>
              <w:pStyle w:val="HTMLPreformatted"/>
              <w:rPr>
                <w:rFonts w:ascii="Times New Roman" w:hAnsi="Times New Roman" w:cs="Times New Roman"/>
                <w:sz w:val="24"/>
                <w:szCs w:val="24"/>
              </w:rPr>
            </w:pPr>
            <w:r w:rsidRPr="00AC38EA">
              <w:rPr>
                <w:rFonts w:ascii="Times New Roman" w:hAnsi="Times New Roman" w:cs="Times New Roman"/>
                <w:sz w:val="24"/>
                <w:szCs w:val="24"/>
              </w:rPr>
              <w:t>)</w:t>
            </w:r>
          </w:p>
          <w:p w:rsidR="002E7599" w:rsidRPr="00AC38EA" w:rsidP="00764490" w14:paraId="61F7721D" w14:textId="77777777">
            <w:pPr>
              <w:pStyle w:val="HTMLPreformatted"/>
              <w:rPr>
                <w:rFonts w:ascii="Times New Roman" w:hAnsi="Times New Roman" w:cs="Times New Roman"/>
                <w:sz w:val="24"/>
                <w:szCs w:val="24"/>
              </w:rPr>
            </w:pPr>
            <w:r w:rsidRPr="00AC38EA">
              <w:rPr>
                <w:rFonts w:ascii="Times New Roman" w:hAnsi="Times New Roman" w:cs="Times New Roman"/>
                <w:sz w:val="24"/>
                <w:szCs w:val="24"/>
              </w:rPr>
              <w:t>)</w:t>
            </w:r>
          </w:p>
          <w:p w:rsidR="002E7599" w:rsidRPr="00AC38EA" w:rsidP="00764490" w14:paraId="6CE1A66A" w14:textId="77777777">
            <w:pPr>
              <w:pStyle w:val="HTMLPreformatted"/>
              <w:rPr>
                <w:rFonts w:ascii="Times New Roman" w:hAnsi="Times New Roman" w:cs="Times New Roman"/>
                <w:sz w:val="24"/>
                <w:szCs w:val="24"/>
              </w:rPr>
            </w:pPr>
            <w:r w:rsidRPr="00AC38EA">
              <w:rPr>
                <w:rFonts w:ascii="Times New Roman" w:hAnsi="Times New Roman" w:cs="Times New Roman"/>
                <w:sz w:val="24"/>
                <w:szCs w:val="24"/>
              </w:rPr>
              <w:t>)</w:t>
            </w:r>
          </w:p>
        </w:tc>
        <w:tc>
          <w:tcPr>
            <w:tcW w:w="4410" w:type="dxa"/>
            <w:shd w:val="clear" w:color="auto" w:fill="auto"/>
          </w:tcPr>
          <w:p w:rsidR="002E7599" w:rsidRPr="00AC38EA" w:rsidP="00764490" w14:paraId="27BA0F38" w14:textId="77777777">
            <w:pPr>
              <w:pStyle w:val="HTMLPreformatted"/>
              <w:rPr>
                <w:rFonts w:ascii="Times New Roman" w:hAnsi="Times New Roman" w:cs="Times New Roman"/>
                <w:sz w:val="24"/>
                <w:szCs w:val="24"/>
              </w:rPr>
            </w:pPr>
          </w:p>
          <w:p w:rsidR="002E7599" w:rsidRPr="00AC38EA" w:rsidP="00764490" w14:paraId="27E6A199" w14:textId="77777777">
            <w:pPr>
              <w:pStyle w:val="HTMLPreformatted"/>
              <w:rPr>
                <w:rFonts w:ascii="Times New Roman" w:hAnsi="Times New Roman" w:cs="Times New Roman"/>
                <w:sz w:val="24"/>
                <w:szCs w:val="24"/>
              </w:rPr>
            </w:pPr>
            <w:r w:rsidRPr="00AC38EA">
              <w:rPr>
                <w:rFonts w:ascii="Times New Roman" w:hAnsi="Times New Roman" w:cs="Times New Roman"/>
                <w:sz w:val="24"/>
                <w:szCs w:val="24"/>
              </w:rPr>
              <w:t>Case No. 17-974-EL-UNC</w:t>
            </w:r>
          </w:p>
          <w:p w:rsidR="002E7599" w:rsidRPr="00AC38EA" w:rsidP="00764490" w14:paraId="55D244A5" w14:textId="77777777">
            <w:pPr>
              <w:pStyle w:val="HTMLPreformatted"/>
              <w:rPr>
                <w:rFonts w:ascii="Times New Roman" w:hAnsi="Times New Roman" w:cs="Times New Roman"/>
                <w:sz w:val="24"/>
                <w:szCs w:val="24"/>
              </w:rPr>
            </w:pPr>
          </w:p>
          <w:p w:rsidR="002E7599" w:rsidRPr="00AC38EA" w:rsidP="00764490" w14:paraId="7EA05484" w14:textId="77777777">
            <w:pPr>
              <w:pStyle w:val="HTMLPreformatted"/>
              <w:rPr>
                <w:rFonts w:ascii="Times New Roman" w:hAnsi="Times New Roman" w:cs="Times New Roman"/>
                <w:sz w:val="24"/>
                <w:szCs w:val="24"/>
              </w:rPr>
            </w:pPr>
          </w:p>
          <w:p w:rsidR="002E7599" w:rsidRPr="00AC38EA" w:rsidP="00764490" w14:paraId="67D73F57" w14:textId="77777777">
            <w:pPr>
              <w:pStyle w:val="HTMLPreformatted"/>
              <w:rPr>
                <w:rFonts w:ascii="Times New Roman" w:hAnsi="Times New Roman" w:cs="Times New Roman"/>
                <w:sz w:val="24"/>
                <w:szCs w:val="24"/>
              </w:rPr>
            </w:pPr>
          </w:p>
        </w:tc>
      </w:tr>
    </w:tbl>
    <w:p w:rsidR="002E7599" w:rsidRPr="00AC38EA" w:rsidP="002E7599" w14:paraId="41E824FA" w14:textId="77777777">
      <w:pPr>
        <w:pBdr>
          <w:bottom w:val="single" w:sz="12" w:space="1" w:color="auto"/>
        </w:pBdr>
        <w:spacing w:after="0" w:line="240" w:lineRule="auto"/>
        <w:rPr>
          <w:rFonts w:cs="Times New Roman"/>
          <w:szCs w:val="24"/>
        </w:rPr>
      </w:pPr>
    </w:p>
    <w:p w:rsidR="002E7599" w:rsidRPr="00AC38EA" w:rsidP="002E7599" w14:paraId="01DF65B6" w14:textId="77777777">
      <w:pPr>
        <w:pStyle w:val="HTMLPreformatted"/>
        <w:rPr>
          <w:rFonts w:ascii="Times New Roman" w:hAnsi="Times New Roman" w:cs="Times New Roman"/>
          <w:b/>
          <w:bCs/>
          <w:i/>
          <w:sz w:val="24"/>
          <w:szCs w:val="24"/>
        </w:rPr>
      </w:pPr>
    </w:p>
    <w:p w:rsidR="002E7599" w:rsidRPr="00AC38EA" w:rsidP="002E7599" w14:paraId="2A7C250A" w14:textId="68715318">
      <w:pPr>
        <w:pStyle w:val="HTMLPreformatted"/>
        <w:pBdr>
          <w:bottom w:val="single" w:sz="12" w:space="1" w:color="auto"/>
        </w:pBdr>
        <w:jc w:val="center"/>
        <w:rPr>
          <w:rFonts w:ascii="Times New Roman" w:hAnsi="Times New Roman" w:cs="Times New Roman"/>
          <w:b/>
          <w:bCs/>
          <w:sz w:val="24"/>
          <w:szCs w:val="24"/>
        </w:rPr>
      </w:pPr>
      <w:r w:rsidRPr="00AC38EA">
        <w:rPr>
          <w:rFonts w:ascii="Times New Roman" w:hAnsi="Times New Roman" w:cs="Times New Roman"/>
          <w:b/>
          <w:bCs/>
          <w:sz w:val="24"/>
          <w:szCs w:val="24"/>
        </w:rPr>
        <w:t>MEMORANDUM CONTRA TO</w:t>
      </w:r>
      <w:r w:rsidRPr="00AC38EA" w:rsidR="001E3543">
        <w:rPr>
          <w:rFonts w:ascii="Times New Roman" w:hAnsi="Times New Roman" w:cs="Times New Roman"/>
          <w:b/>
          <w:bCs/>
          <w:sz w:val="24"/>
          <w:szCs w:val="24"/>
        </w:rPr>
        <w:t xml:space="preserve"> </w:t>
      </w:r>
      <w:r w:rsidR="00A07F0A">
        <w:rPr>
          <w:rFonts w:ascii="Times New Roman" w:hAnsi="Times New Roman" w:cs="Times New Roman"/>
          <w:b/>
          <w:bCs/>
          <w:sz w:val="24"/>
          <w:szCs w:val="24"/>
        </w:rPr>
        <w:t xml:space="preserve">THE </w:t>
      </w:r>
      <w:r w:rsidR="006838F8">
        <w:rPr>
          <w:rFonts w:ascii="Times New Roman" w:hAnsi="Times New Roman" w:cs="Times New Roman"/>
          <w:b/>
          <w:bCs/>
          <w:sz w:val="24"/>
          <w:szCs w:val="24"/>
        </w:rPr>
        <w:t xml:space="preserve">FIRSTENERGY </w:t>
      </w:r>
      <w:r w:rsidR="00A07F0A">
        <w:rPr>
          <w:rFonts w:ascii="Times New Roman" w:hAnsi="Times New Roman" w:cs="Times New Roman"/>
          <w:b/>
          <w:bCs/>
          <w:sz w:val="24"/>
          <w:szCs w:val="24"/>
        </w:rPr>
        <w:t>UTILITIES</w:t>
      </w:r>
      <w:r w:rsidR="000E7789">
        <w:rPr>
          <w:rFonts w:ascii="Times New Roman" w:hAnsi="Times New Roman" w:cs="Times New Roman"/>
          <w:b/>
          <w:bCs/>
          <w:sz w:val="24"/>
          <w:szCs w:val="24"/>
        </w:rPr>
        <w:t>’</w:t>
      </w:r>
      <w:r w:rsidRPr="00AC38EA">
        <w:rPr>
          <w:rFonts w:ascii="Times New Roman" w:hAnsi="Times New Roman" w:cs="Times New Roman"/>
          <w:b/>
          <w:bCs/>
          <w:sz w:val="24"/>
          <w:szCs w:val="24"/>
        </w:rPr>
        <w:t xml:space="preserve"> </w:t>
      </w:r>
    </w:p>
    <w:p w:rsidR="002E7599" w:rsidRPr="00AC38EA" w:rsidP="002E7599" w14:paraId="2B13BB23" w14:textId="08880CA7">
      <w:pPr>
        <w:pStyle w:val="HTMLPreformatted"/>
        <w:pBdr>
          <w:bottom w:val="single" w:sz="12" w:space="1" w:color="auto"/>
        </w:pBdr>
        <w:jc w:val="center"/>
        <w:rPr>
          <w:rFonts w:ascii="Times New Roman" w:hAnsi="Times New Roman" w:cs="Times New Roman"/>
          <w:b/>
          <w:bCs/>
          <w:sz w:val="24"/>
          <w:szCs w:val="24"/>
        </w:rPr>
      </w:pPr>
      <w:r w:rsidRPr="00AC38EA">
        <w:rPr>
          <w:rFonts w:ascii="Times New Roman" w:hAnsi="Times New Roman" w:cs="Times New Roman"/>
          <w:b/>
          <w:bCs/>
          <w:sz w:val="24"/>
          <w:szCs w:val="24"/>
        </w:rPr>
        <w:t>MOTION FOR A PARTIAL PROTECTIVE ORDER ON OCC’S FOURTH SET OF DISCOVERY REQUESTS</w:t>
      </w:r>
    </w:p>
    <w:p w:rsidR="002E7599" w:rsidRPr="00AC38EA" w:rsidP="002E7599" w14:paraId="2EFEE696" w14:textId="77777777">
      <w:pPr>
        <w:pStyle w:val="HTMLPreformatted"/>
        <w:pBdr>
          <w:bottom w:val="single" w:sz="12" w:space="1" w:color="auto"/>
        </w:pBdr>
        <w:jc w:val="center"/>
        <w:rPr>
          <w:rFonts w:ascii="Times New Roman" w:hAnsi="Times New Roman" w:cs="Times New Roman"/>
          <w:b/>
          <w:bCs/>
          <w:sz w:val="24"/>
          <w:szCs w:val="24"/>
        </w:rPr>
      </w:pPr>
      <w:r w:rsidRPr="00AC38EA">
        <w:rPr>
          <w:rFonts w:ascii="Times New Roman" w:hAnsi="Times New Roman" w:cs="Times New Roman"/>
          <w:b/>
          <w:bCs/>
          <w:sz w:val="24"/>
          <w:szCs w:val="24"/>
        </w:rPr>
        <w:t xml:space="preserve">BY </w:t>
      </w:r>
    </w:p>
    <w:p w:rsidR="002E7599" w:rsidRPr="00AC38EA" w:rsidP="002E7599" w14:paraId="03E0DD2A" w14:textId="77777777">
      <w:pPr>
        <w:pStyle w:val="HTMLPreformatted"/>
        <w:pBdr>
          <w:bottom w:val="single" w:sz="12" w:space="1" w:color="auto"/>
        </w:pBdr>
        <w:jc w:val="center"/>
        <w:rPr>
          <w:rFonts w:ascii="Times New Roman" w:hAnsi="Times New Roman" w:cs="Times New Roman"/>
          <w:b/>
          <w:bCs/>
          <w:sz w:val="24"/>
          <w:szCs w:val="24"/>
        </w:rPr>
      </w:pPr>
      <w:r w:rsidRPr="00AC38EA">
        <w:rPr>
          <w:rFonts w:ascii="Times New Roman" w:hAnsi="Times New Roman" w:cs="Times New Roman"/>
          <w:b/>
          <w:bCs/>
          <w:sz w:val="24"/>
          <w:szCs w:val="24"/>
        </w:rPr>
        <w:t>OFFICE OF THE OHIO CONSUMERS' COUNSEL</w:t>
      </w:r>
    </w:p>
    <w:p w:rsidR="002E7599" w:rsidRPr="00AC38EA" w:rsidP="002E7599" w14:paraId="64915179" w14:textId="77777777">
      <w:pPr>
        <w:pStyle w:val="HTMLPreformatted"/>
        <w:pBdr>
          <w:bottom w:val="single" w:sz="12" w:space="1" w:color="auto"/>
        </w:pBdr>
        <w:jc w:val="center"/>
        <w:rPr>
          <w:rFonts w:ascii="Times New Roman" w:hAnsi="Times New Roman" w:cs="Times New Roman"/>
          <w:b/>
          <w:bCs/>
          <w:sz w:val="24"/>
          <w:szCs w:val="24"/>
        </w:rPr>
      </w:pPr>
    </w:p>
    <w:p w:rsidR="002E7599" w:rsidRPr="00AC38EA" w:rsidP="002E7599" w14:paraId="35EF7828" w14:textId="77777777">
      <w:pPr>
        <w:pStyle w:val="BodyTextIndent3"/>
        <w:widowControl w:val="0"/>
        <w:spacing w:after="0" w:line="240" w:lineRule="auto"/>
        <w:ind w:left="0"/>
        <w:rPr>
          <w:rFonts w:cs="Times New Roman"/>
          <w:sz w:val="24"/>
          <w:szCs w:val="24"/>
        </w:rPr>
      </w:pPr>
      <w:r w:rsidRPr="00AC38EA">
        <w:rPr>
          <w:rFonts w:cs="Times New Roman"/>
          <w:sz w:val="24"/>
          <w:szCs w:val="24"/>
        </w:rPr>
        <w:t xml:space="preserve"> </w:t>
      </w:r>
      <w:r w:rsidRPr="00AC38EA">
        <w:rPr>
          <w:rFonts w:cs="Times New Roman"/>
          <w:sz w:val="24"/>
          <w:szCs w:val="24"/>
        </w:rPr>
        <w:tab/>
      </w:r>
    </w:p>
    <w:p w:rsidR="002E7599" w:rsidRPr="00AC38EA" w:rsidP="002E7599" w14:paraId="69C33CA1" w14:textId="77777777">
      <w:pPr>
        <w:spacing w:after="0" w:line="240" w:lineRule="auto"/>
        <w:jc w:val="center"/>
        <w:rPr>
          <w:rFonts w:cs="Times New Roman"/>
          <w:b/>
          <w:szCs w:val="24"/>
        </w:rPr>
      </w:pPr>
    </w:p>
    <w:p w:rsidR="002E7599" w:rsidRPr="00AC38EA" w:rsidP="002E7599" w14:paraId="6A3F67E3" w14:textId="77777777">
      <w:pPr>
        <w:spacing w:after="0" w:line="240" w:lineRule="auto"/>
        <w:jc w:val="center"/>
        <w:rPr>
          <w:rFonts w:cs="Times New Roman"/>
          <w:b/>
          <w:szCs w:val="24"/>
        </w:rPr>
      </w:pPr>
    </w:p>
    <w:p w:rsidR="002E7599" w:rsidRPr="00AC38EA" w:rsidP="002E7599" w14:paraId="2716E380" w14:textId="5665C758">
      <w:pPr>
        <w:pStyle w:val="Footer"/>
        <w:tabs>
          <w:tab w:val="left" w:pos="4320"/>
        </w:tabs>
        <w:spacing w:before="240"/>
        <w:rPr>
          <w:rFonts w:cs="Times New Roman"/>
          <w:szCs w:val="24"/>
        </w:rPr>
      </w:pPr>
      <w:r w:rsidRPr="00AC38EA">
        <w:rPr>
          <w:rFonts w:cs="Times New Roman"/>
          <w:szCs w:val="24"/>
        </w:rPr>
        <w:tab/>
      </w:r>
      <w:r w:rsidRPr="00AC38EA">
        <w:rPr>
          <w:rFonts w:cs="Times New Roman"/>
          <w:szCs w:val="24"/>
        </w:rPr>
        <w:tab/>
        <w:t>Bruce Weston (#0016973)</w:t>
      </w:r>
    </w:p>
    <w:p w:rsidR="002E7599" w:rsidRPr="00AC38EA" w:rsidP="002E7599" w14:paraId="34227FDD" w14:textId="77777777">
      <w:pPr>
        <w:tabs>
          <w:tab w:val="left" w:pos="4320"/>
        </w:tabs>
        <w:rPr>
          <w:rFonts w:cs="Times New Roman"/>
          <w:szCs w:val="24"/>
        </w:rPr>
      </w:pPr>
      <w:r w:rsidRPr="00AC38EA">
        <w:rPr>
          <w:rFonts w:cs="Times New Roman"/>
          <w:szCs w:val="24"/>
        </w:rPr>
        <w:tab/>
        <w:t>Ohio Consumers’ Counsel</w:t>
      </w:r>
    </w:p>
    <w:p w:rsidR="002E7599" w:rsidRPr="00AC38EA" w:rsidP="002E7599" w14:paraId="6E20E1B7" w14:textId="16EEEEB5">
      <w:pPr>
        <w:tabs>
          <w:tab w:val="left" w:pos="4320"/>
        </w:tabs>
        <w:spacing w:after="0" w:line="240" w:lineRule="auto"/>
        <w:rPr>
          <w:rFonts w:cs="Times New Roman"/>
          <w:szCs w:val="24"/>
        </w:rPr>
      </w:pPr>
      <w:r w:rsidRPr="00AC38EA">
        <w:rPr>
          <w:rFonts w:cs="Times New Roman"/>
          <w:szCs w:val="24"/>
        </w:rPr>
        <w:tab/>
        <w:t>Maureen R. Willis (#0020847)</w:t>
      </w:r>
    </w:p>
    <w:p w:rsidR="002E7599" w:rsidRPr="00AC38EA" w:rsidP="002E7599" w14:paraId="7E802961" w14:textId="77777777">
      <w:pPr>
        <w:tabs>
          <w:tab w:val="left" w:pos="4320"/>
        </w:tabs>
        <w:spacing w:after="0" w:line="240" w:lineRule="auto"/>
        <w:rPr>
          <w:rFonts w:cs="Times New Roman"/>
          <w:szCs w:val="24"/>
        </w:rPr>
      </w:pPr>
      <w:r w:rsidRPr="00AC38EA">
        <w:rPr>
          <w:rFonts w:cs="Times New Roman"/>
          <w:szCs w:val="24"/>
        </w:rPr>
        <w:tab/>
        <w:t>Senior Counsel</w:t>
      </w:r>
    </w:p>
    <w:p w:rsidR="002E7599" w:rsidRPr="00AC38EA" w:rsidP="002E7599" w14:paraId="15C070D7" w14:textId="77777777">
      <w:pPr>
        <w:tabs>
          <w:tab w:val="left" w:pos="4320"/>
        </w:tabs>
        <w:spacing w:after="0" w:line="240" w:lineRule="auto"/>
        <w:rPr>
          <w:rFonts w:cs="Times New Roman"/>
          <w:szCs w:val="24"/>
        </w:rPr>
      </w:pPr>
      <w:r w:rsidRPr="00AC38EA">
        <w:rPr>
          <w:rFonts w:cs="Times New Roman"/>
          <w:szCs w:val="24"/>
        </w:rPr>
        <w:tab/>
        <w:t xml:space="preserve">Counsel of Record  </w:t>
      </w:r>
    </w:p>
    <w:p w:rsidR="002E7599" w:rsidRPr="00AC38EA" w:rsidP="002E7599" w14:paraId="12B5B2AA" w14:textId="77777777">
      <w:pPr>
        <w:tabs>
          <w:tab w:val="left" w:pos="4320"/>
        </w:tabs>
        <w:spacing w:after="0" w:line="240" w:lineRule="auto"/>
        <w:rPr>
          <w:rFonts w:cs="Times New Roman"/>
          <w:szCs w:val="24"/>
        </w:rPr>
      </w:pPr>
      <w:r w:rsidRPr="00AC38EA">
        <w:rPr>
          <w:rFonts w:cs="Times New Roman"/>
          <w:szCs w:val="24"/>
        </w:rPr>
        <w:tab/>
        <w:t>John Finnigan (#0018689)</w:t>
      </w:r>
    </w:p>
    <w:p w:rsidR="002E7599" w:rsidRPr="00AC38EA" w:rsidP="002E7599" w14:paraId="5F93CCF7" w14:textId="77777777">
      <w:pPr>
        <w:tabs>
          <w:tab w:val="left" w:pos="4320"/>
        </w:tabs>
        <w:spacing w:after="0" w:line="240" w:lineRule="auto"/>
        <w:rPr>
          <w:rFonts w:cs="Times New Roman"/>
          <w:szCs w:val="24"/>
        </w:rPr>
      </w:pPr>
      <w:r w:rsidRPr="00AC38EA">
        <w:rPr>
          <w:rFonts w:cs="Times New Roman"/>
          <w:szCs w:val="24"/>
        </w:rPr>
        <w:tab/>
        <w:t>Assistant Consumers’ Counsel</w:t>
      </w:r>
    </w:p>
    <w:p w:rsidR="002E7599" w:rsidRPr="00AC38EA" w:rsidP="002E7599" w14:paraId="442B1C30" w14:textId="77777777">
      <w:pPr>
        <w:spacing w:after="0" w:line="240" w:lineRule="auto"/>
        <w:rPr>
          <w:rFonts w:cs="Times New Roman"/>
          <w:szCs w:val="24"/>
        </w:rPr>
      </w:pPr>
      <w:r w:rsidRPr="00AC38EA">
        <w:rPr>
          <w:rFonts w:cs="Times New Roman"/>
          <w:szCs w:val="24"/>
        </w:rPr>
        <w:tab/>
      </w:r>
    </w:p>
    <w:p w:rsidR="002E7599" w:rsidRPr="00AC38EA" w:rsidP="002E7599" w14:paraId="44E52BF6" w14:textId="77777777">
      <w:pPr>
        <w:spacing w:after="0" w:line="240" w:lineRule="auto"/>
        <w:ind w:left="4320"/>
        <w:rPr>
          <w:rFonts w:cs="Times New Roman"/>
          <w:b/>
          <w:bCs/>
          <w:szCs w:val="24"/>
        </w:rPr>
      </w:pPr>
      <w:r w:rsidRPr="00AC38EA">
        <w:rPr>
          <w:rFonts w:cs="Times New Roman"/>
          <w:b/>
          <w:bCs/>
          <w:szCs w:val="24"/>
        </w:rPr>
        <w:t>Office of the Ohio Consumers’ Counsel</w:t>
      </w:r>
    </w:p>
    <w:p w:rsidR="002E7599" w:rsidRPr="00AC38EA" w:rsidP="002E7599" w14:paraId="26D463FF" w14:textId="77777777">
      <w:pPr>
        <w:spacing w:after="0" w:line="240" w:lineRule="auto"/>
        <w:rPr>
          <w:rFonts w:cs="Times New Roman"/>
          <w:bCs/>
          <w:szCs w:val="24"/>
        </w:rPr>
      </w:pP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bCs/>
          <w:szCs w:val="24"/>
        </w:rPr>
        <w:t>Columbus, Ohio 43215</w:t>
      </w:r>
    </w:p>
    <w:p w:rsidR="002E7599" w:rsidRPr="00AC38EA" w:rsidP="002E7599" w14:paraId="3D0CE921" w14:textId="77777777">
      <w:pPr>
        <w:autoSpaceDE w:val="0"/>
        <w:autoSpaceDN w:val="0"/>
        <w:adjustRightInd w:val="0"/>
        <w:spacing w:after="0" w:line="240" w:lineRule="auto"/>
        <w:ind w:left="3600" w:firstLine="720"/>
        <w:rPr>
          <w:rFonts w:cs="Times New Roman"/>
          <w:szCs w:val="24"/>
        </w:rPr>
      </w:pPr>
      <w:r w:rsidRPr="00AC38EA">
        <w:rPr>
          <w:rFonts w:cs="Times New Roman"/>
          <w:szCs w:val="24"/>
        </w:rPr>
        <w:t xml:space="preserve">Telephone: (614) 466-9567 (Willis) </w:t>
      </w:r>
    </w:p>
    <w:p w:rsidR="002E7599" w:rsidRPr="00AC38EA" w:rsidP="002E7599" w14:paraId="3358795F" w14:textId="77777777">
      <w:pPr>
        <w:autoSpaceDE w:val="0"/>
        <w:autoSpaceDN w:val="0"/>
        <w:adjustRightInd w:val="0"/>
        <w:spacing w:after="0" w:line="240" w:lineRule="auto"/>
        <w:ind w:left="3600" w:firstLine="720"/>
        <w:rPr>
          <w:rFonts w:cs="Times New Roman"/>
          <w:szCs w:val="24"/>
        </w:rPr>
      </w:pPr>
      <w:r w:rsidRPr="00AC38EA">
        <w:rPr>
          <w:rFonts w:cs="Times New Roman"/>
          <w:szCs w:val="24"/>
        </w:rPr>
        <w:t>Telephone: (614) 466-9585 (Finnigan)</w:t>
      </w:r>
    </w:p>
    <w:p w:rsidR="002E7599" w:rsidRPr="00AC38EA" w:rsidP="002E7599" w14:paraId="6434F7F1" w14:textId="77777777">
      <w:pPr>
        <w:autoSpaceDE w:val="0"/>
        <w:autoSpaceDN w:val="0"/>
        <w:adjustRightInd w:val="0"/>
        <w:spacing w:after="0" w:line="240" w:lineRule="auto"/>
        <w:ind w:left="3600" w:firstLine="720"/>
        <w:rPr>
          <w:rFonts w:cs="Times New Roman"/>
          <w:szCs w:val="24"/>
        </w:rPr>
      </w:pPr>
      <w:hyperlink r:id="rId6" w:history="1">
        <w:r w:rsidRPr="00AC38EA" w:rsidR="009A2D12">
          <w:rPr>
            <w:rStyle w:val="Hyperlink"/>
            <w:rFonts w:cs="Times New Roman"/>
            <w:szCs w:val="24"/>
          </w:rPr>
          <w:t>Maureen.willis@occ.ohio.gov</w:t>
        </w:r>
      </w:hyperlink>
    </w:p>
    <w:p w:rsidR="002E7599" w:rsidRPr="00AC38EA" w:rsidP="002E7599" w14:paraId="5F18CEDC" w14:textId="77777777">
      <w:pPr>
        <w:spacing w:after="0" w:line="240" w:lineRule="auto"/>
        <w:rPr>
          <w:rFonts w:cs="Times New Roman"/>
          <w:szCs w:val="24"/>
        </w:rPr>
      </w:pP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r>
      <w:hyperlink r:id="rId7" w:history="1">
        <w:r w:rsidRPr="00AC38EA">
          <w:rPr>
            <w:rStyle w:val="Hyperlink"/>
            <w:rFonts w:cs="Times New Roman"/>
            <w:szCs w:val="24"/>
          </w:rPr>
          <w:t>John.finnigan@occ.ohio.gov</w:t>
        </w:r>
      </w:hyperlink>
    </w:p>
    <w:p w:rsidR="002E7599" w:rsidRPr="00AC38EA" w:rsidP="002E7599" w14:paraId="55C4C6DB" w14:textId="18964FC5">
      <w:pPr>
        <w:spacing w:after="0" w:line="240" w:lineRule="auto"/>
        <w:rPr>
          <w:rFonts w:cs="Times New Roman"/>
          <w:szCs w:val="24"/>
        </w:rPr>
      </w:pPr>
      <w:r w:rsidRPr="00AC38EA">
        <w:rPr>
          <w:rFonts w:cs="Times New Roman"/>
          <w:szCs w:val="24"/>
        </w:rPr>
        <w:t xml:space="preserve">Date </w:t>
      </w:r>
      <w:r w:rsidRPr="00AC38EA" w:rsidR="00F84110">
        <w:rPr>
          <w:rFonts w:cs="Times New Roman"/>
          <w:szCs w:val="24"/>
        </w:rPr>
        <w:t>May 28</w:t>
      </w:r>
      <w:r w:rsidRPr="00AC38EA">
        <w:rPr>
          <w:rFonts w:cs="Times New Roman"/>
          <w:szCs w:val="24"/>
        </w:rPr>
        <w:t>, 2021</w:t>
      </w: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t>(willing to accept service by e-mail)</w:t>
      </w:r>
    </w:p>
    <w:p w:rsidR="002E7599" w:rsidRPr="00AC38EA" w:rsidP="002E7599" w14:paraId="431922E4" w14:textId="77777777">
      <w:pPr>
        <w:spacing w:after="0" w:line="240" w:lineRule="auto"/>
        <w:jc w:val="center"/>
        <w:rPr>
          <w:rFonts w:cs="Times New Roman"/>
          <w:b/>
          <w:szCs w:val="24"/>
        </w:rPr>
      </w:pPr>
    </w:p>
    <w:p w:rsidR="002E7599" w:rsidRPr="00AC38EA" w:rsidP="002E7599" w14:paraId="0EA32F13" w14:textId="77777777">
      <w:pPr>
        <w:spacing w:after="0" w:line="240" w:lineRule="auto"/>
        <w:jc w:val="center"/>
        <w:rPr>
          <w:rFonts w:cs="Times New Roman"/>
          <w:b/>
          <w:szCs w:val="24"/>
        </w:rPr>
      </w:pPr>
    </w:p>
    <w:p w:rsidR="002E7599" w:rsidRPr="00AC38EA" w:rsidP="002E7599" w14:paraId="49394871" w14:textId="77777777">
      <w:pPr>
        <w:spacing w:after="0" w:line="240" w:lineRule="auto"/>
        <w:jc w:val="center"/>
        <w:rPr>
          <w:rFonts w:cs="Times New Roman"/>
          <w:b/>
          <w:szCs w:val="24"/>
        </w:rPr>
        <w:sectPr w:rsidSect="00E27A16">
          <w:footerReference w:type="default" r:id="rId8"/>
          <w:pgSz w:w="12240" w:h="15840"/>
          <w:pgMar w:top="1440" w:right="1440" w:bottom="1440" w:left="1440" w:header="720" w:footer="720" w:gutter="0"/>
          <w:pgNumType w:fmt="lowerRoman" w:start="1"/>
          <w:cols w:space="720"/>
          <w:docGrid w:linePitch="360"/>
        </w:sectPr>
      </w:pPr>
    </w:p>
    <w:p w:rsidR="002E7599" w:rsidRPr="00AC38EA" w:rsidP="002E7599" w14:paraId="5438422D" w14:textId="77777777">
      <w:pPr>
        <w:spacing w:after="0" w:line="240" w:lineRule="auto"/>
        <w:jc w:val="center"/>
        <w:rPr>
          <w:rFonts w:cs="Times New Roman"/>
          <w:b/>
          <w:szCs w:val="24"/>
          <w:u w:val="single"/>
        </w:rPr>
      </w:pPr>
      <w:r w:rsidRPr="00AC38EA">
        <w:rPr>
          <w:rFonts w:cs="Times New Roman"/>
          <w:b/>
          <w:szCs w:val="24"/>
          <w:u w:val="single"/>
        </w:rPr>
        <w:t>TABLE  OF CONTENTS</w:t>
      </w:r>
    </w:p>
    <w:p w:rsidR="002E7599" w:rsidRPr="00AC38EA" w:rsidP="002E7599" w14:paraId="3FB3B81A" w14:textId="77777777">
      <w:pPr>
        <w:spacing w:after="0" w:line="240" w:lineRule="auto"/>
        <w:rPr>
          <w:rFonts w:cs="Times New Roman"/>
          <w:b/>
          <w:szCs w:val="24"/>
        </w:rPr>
      </w:pPr>
    </w:p>
    <w:p w:rsidR="002E7599" w:rsidP="002E7599" w14:paraId="53D3A078" w14:textId="1C060FB5">
      <w:pPr>
        <w:spacing w:after="0" w:line="240" w:lineRule="auto"/>
        <w:rPr>
          <w:rFonts w:cs="Times New Roman"/>
          <w:b/>
          <w:szCs w:val="24"/>
        </w:rPr>
      </w:pPr>
      <w:r w:rsidRPr="00AC38EA">
        <w:rPr>
          <w:rFonts w:cs="Times New Roman"/>
          <w:b/>
          <w:szCs w:val="24"/>
        </w:rPr>
        <w:tab/>
      </w:r>
      <w:r w:rsidRPr="00AC38EA">
        <w:rPr>
          <w:rFonts w:cs="Times New Roman"/>
          <w:b/>
          <w:szCs w:val="24"/>
        </w:rPr>
        <w:tab/>
      </w:r>
      <w:r w:rsidRPr="00AC38EA">
        <w:rPr>
          <w:rFonts w:cs="Times New Roman"/>
          <w:b/>
          <w:szCs w:val="24"/>
        </w:rPr>
        <w:tab/>
      </w:r>
      <w:r w:rsidRPr="00AC38EA">
        <w:rPr>
          <w:rFonts w:cs="Times New Roman"/>
          <w:b/>
          <w:szCs w:val="24"/>
        </w:rPr>
        <w:tab/>
      </w:r>
      <w:r w:rsidRPr="00AC38EA">
        <w:rPr>
          <w:rFonts w:cs="Times New Roman"/>
          <w:b/>
          <w:szCs w:val="24"/>
        </w:rPr>
        <w:tab/>
      </w:r>
      <w:r w:rsidRPr="00AC38EA">
        <w:rPr>
          <w:rFonts w:cs="Times New Roman"/>
          <w:b/>
          <w:szCs w:val="24"/>
        </w:rPr>
        <w:tab/>
      </w:r>
      <w:r w:rsidRPr="00AC38EA">
        <w:rPr>
          <w:rFonts w:cs="Times New Roman"/>
          <w:b/>
          <w:szCs w:val="24"/>
        </w:rPr>
        <w:tab/>
      </w:r>
      <w:r w:rsidRPr="00AC38EA">
        <w:rPr>
          <w:rFonts w:cs="Times New Roman"/>
          <w:b/>
          <w:szCs w:val="24"/>
        </w:rPr>
        <w:tab/>
      </w:r>
      <w:r w:rsidRPr="00AC38EA">
        <w:rPr>
          <w:rFonts w:cs="Times New Roman"/>
          <w:b/>
          <w:szCs w:val="24"/>
        </w:rPr>
        <w:tab/>
      </w:r>
      <w:r w:rsidRPr="00AC38EA">
        <w:rPr>
          <w:rFonts w:cs="Times New Roman"/>
          <w:b/>
          <w:szCs w:val="24"/>
        </w:rPr>
        <w:tab/>
      </w:r>
      <w:r w:rsidRPr="00AC38EA">
        <w:rPr>
          <w:rFonts w:cs="Times New Roman"/>
          <w:b/>
          <w:szCs w:val="24"/>
        </w:rPr>
        <w:tab/>
      </w:r>
      <w:r w:rsidRPr="00AC38EA">
        <w:rPr>
          <w:rFonts w:cs="Times New Roman"/>
          <w:b/>
          <w:szCs w:val="24"/>
        </w:rPr>
        <w:tab/>
        <w:t>PAGE</w:t>
      </w:r>
    </w:p>
    <w:p w:rsidR="006F61A3" w:rsidP="002E7599" w14:paraId="2F955D75" w14:textId="77777777">
      <w:pPr>
        <w:spacing w:after="0" w:line="240" w:lineRule="auto"/>
        <w:rPr>
          <w:rFonts w:cs="Times New Roman"/>
          <w:b/>
          <w:szCs w:val="24"/>
        </w:rPr>
      </w:pPr>
    </w:p>
    <w:p w:rsidR="003C5525" w14:paraId="375532A7" w14:textId="5ACAB17A">
      <w:pPr>
        <w:pStyle w:val="TOC1"/>
        <w:rPr>
          <w:rFonts w:asciiTheme="minorHAnsi" w:eastAsiaTheme="minorEastAsia" w:hAnsiTheme="minorHAnsi"/>
          <w:caps w:val="0"/>
          <w:noProof/>
          <w:sz w:val="22"/>
        </w:rPr>
      </w:pPr>
      <w:r>
        <w:rPr>
          <w:rFonts w:cs="Times New Roman"/>
          <w:b/>
          <w:szCs w:val="24"/>
        </w:rPr>
        <w:fldChar w:fldCharType="begin"/>
      </w:r>
      <w:r>
        <w:rPr>
          <w:rFonts w:cs="Times New Roman"/>
          <w:b/>
          <w:szCs w:val="24"/>
        </w:rPr>
        <w:instrText xml:space="preserve"> TOC \o "1-3" \h \z \u </w:instrText>
      </w:r>
      <w:r>
        <w:rPr>
          <w:rFonts w:cs="Times New Roman"/>
          <w:b/>
          <w:szCs w:val="24"/>
        </w:rPr>
        <w:fldChar w:fldCharType="separate"/>
      </w:r>
      <w:hyperlink w:anchor="_Toc73106040" w:history="1">
        <w:r w:rsidRPr="00BD07E8">
          <w:rPr>
            <w:rStyle w:val="Hyperlink"/>
            <w:rFonts w:cs="Times New Roman"/>
            <w:noProof/>
          </w:rPr>
          <w:t>I.</w:t>
        </w:r>
        <w:r>
          <w:rPr>
            <w:rFonts w:asciiTheme="minorHAnsi" w:eastAsiaTheme="minorEastAsia" w:hAnsiTheme="minorHAnsi"/>
            <w:caps w:val="0"/>
            <w:noProof/>
            <w:sz w:val="22"/>
          </w:rPr>
          <w:tab/>
        </w:r>
        <w:r w:rsidRPr="00BD07E8">
          <w:rPr>
            <w:rStyle w:val="Hyperlink"/>
            <w:rFonts w:cs="Times New Roman"/>
            <w:noProof/>
          </w:rPr>
          <w:t>INTRODUCTION</w:t>
        </w:r>
        <w:r>
          <w:rPr>
            <w:noProof/>
            <w:webHidden/>
          </w:rPr>
          <w:tab/>
        </w:r>
        <w:r>
          <w:rPr>
            <w:noProof/>
            <w:webHidden/>
          </w:rPr>
          <w:fldChar w:fldCharType="begin"/>
        </w:r>
        <w:r>
          <w:rPr>
            <w:noProof/>
            <w:webHidden/>
          </w:rPr>
          <w:instrText xml:space="preserve"> PAGEREF _Toc73106040 \h </w:instrText>
        </w:r>
        <w:r>
          <w:rPr>
            <w:noProof/>
            <w:webHidden/>
          </w:rPr>
          <w:fldChar w:fldCharType="separate"/>
        </w:r>
        <w:r>
          <w:rPr>
            <w:noProof/>
            <w:webHidden/>
          </w:rPr>
          <w:t>1</w:t>
        </w:r>
        <w:r>
          <w:rPr>
            <w:noProof/>
            <w:webHidden/>
          </w:rPr>
          <w:fldChar w:fldCharType="end"/>
        </w:r>
      </w:hyperlink>
    </w:p>
    <w:p w:rsidR="003C5525" w14:paraId="5A8501D0" w14:textId="17EF5A51">
      <w:pPr>
        <w:pStyle w:val="TOC1"/>
        <w:rPr>
          <w:rFonts w:asciiTheme="minorHAnsi" w:eastAsiaTheme="minorEastAsia" w:hAnsiTheme="minorHAnsi"/>
          <w:caps w:val="0"/>
          <w:noProof/>
          <w:sz w:val="22"/>
        </w:rPr>
      </w:pPr>
      <w:hyperlink w:anchor="_Toc73106041" w:history="1">
        <w:r w:rsidRPr="00BD07E8" w:rsidR="00056B38">
          <w:rPr>
            <w:rStyle w:val="Hyperlink"/>
            <w:rFonts w:cs="Times New Roman"/>
            <w:noProof/>
          </w:rPr>
          <w:t>II.</w:t>
        </w:r>
        <w:r w:rsidR="00056B38">
          <w:rPr>
            <w:rFonts w:asciiTheme="minorHAnsi" w:eastAsiaTheme="minorEastAsia" w:hAnsiTheme="minorHAnsi"/>
            <w:caps w:val="0"/>
            <w:noProof/>
            <w:sz w:val="22"/>
          </w:rPr>
          <w:tab/>
        </w:r>
        <w:r w:rsidRPr="00BD07E8" w:rsidR="00056B38">
          <w:rPr>
            <w:rStyle w:val="Hyperlink"/>
            <w:rFonts w:cs="Times New Roman"/>
            <w:noProof/>
          </w:rPr>
          <w:t>ARGUMENT</w:t>
        </w:r>
        <w:r w:rsidR="00056B38">
          <w:rPr>
            <w:noProof/>
            <w:webHidden/>
          </w:rPr>
          <w:tab/>
        </w:r>
        <w:r w:rsidR="00056B38">
          <w:rPr>
            <w:noProof/>
            <w:webHidden/>
          </w:rPr>
          <w:fldChar w:fldCharType="begin"/>
        </w:r>
        <w:r w:rsidR="00056B38">
          <w:rPr>
            <w:noProof/>
            <w:webHidden/>
          </w:rPr>
          <w:instrText xml:space="preserve"> PAGEREF _Toc73106041 \h </w:instrText>
        </w:r>
        <w:r w:rsidR="00056B38">
          <w:rPr>
            <w:noProof/>
            <w:webHidden/>
          </w:rPr>
          <w:fldChar w:fldCharType="separate"/>
        </w:r>
        <w:r w:rsidR="00056B38">
          <w:rPr>
            <w:noProof/>
            <w:webHidden/>
          </w:rPr>
          <w:t>3</w:t>
        </w:r>
        <w:r w:rsidR="00056B38">
          <w:rPr>
            <w:noProof/>
            <w:webHidden/>
          </w:rPr>
          <w:fldChar w:fldCharType="end"/>
        </w:r>
      </w:hyperlink>
    </w:p>
    <w:p w:rsidR="003C5525" w14:paraId="3BA37DE7" w14:textId="74553D1E">
      <w:pPr>
        <w:pStyle w:val="TOC2"/>
        <w:tabs>
          <w:tab w:val="left" w:pos="1440"/>
        </w:tabs>
        <w:rPr>
          <w:rFonts w:asciiTheme="minorHAnsi" w:eastAsiaTheme="minorEastAsia" w:hAnsiTheme="minorHAnsi"/>
          <w:noProof/>
          <w:sz w:val="22"/>
        </w:rPr>
      </w:pPr>
      <w:hyperlink w:anchor="_Toc73106042" w:history="1">
        <w:r w:rsidRPr="00BD07E8" w:rsidR="00056B38">
          <w:rPr>
            <w:rStyle w:val="Hyperlink"/>
            <w:noProof/>
          </w:rPr>
          <w:t>A.</w:t>
        </w:r>
        <w:r w:rsidR="00056B38">
          <w:rPr>
            <w:rFonts w:asciiTheme="minorHAnsi" w:eastAsiaTheme="minorEastAsia" w:hAnsiTheme="minorHAnsi"/>
            <w:noProof/>
            <w:sz w:val="22"/>
          </w:rPr>
          <w:tab/>
        </w:r>
        <w:r w:rsidRPr="00BD07E8" w:rsidR="00056B38">
          <w:rPr>
            <w:rStyle w:val="Hyperlink"/>
            <w:noProof/>
          </w:rPr>
          <w:t>The PUCO should uphold OCC’s broad right to discovery.</w:t>
        </w:r>
        <w:r w:rsidR="00056B38">
          <w:rPr>
            <w:noProof/>
            <w:webHidden/>
          </w:rPr>
          <w:tab/>
        </w:r>
        <w:r w:rsidR="00056B38">
          <w:rPr>
            <w:noProof/>
            <w:webHidden/>
          </w:rPr>
          <w:fldChar w:fldCharType="begin"/>
        </w:r>
        <w:r w:rsidR="00056B38">
          <w:rPr>
            <w:noProof/>
            <w:webHidden/>
          </w:rPr>
          <w:instrText xml:space="preserve"> PAGEREF _Toc73106042 \h </w:instrText>
        </w:r>
        <w:r w:rsidR="00056B38">
          <w:rPr>
            <w:noProof/>
            <w:webHidden/>
          </w:rPr>
          <w:fldChar w:fldCharType="separate"/>
        </w:r>
        <w:r w:rsidR="00056B38">
          <w:rPr>
            <w:noProof/>
            <w:webHidden/>
          </w:rPr>
          <w:t>3</w:t>
        </w:r>
        <w:r w:rsidR="00056B38">
          <w:rPr>
            <w:noProof/>
            <w:webHidden/>
          </w:rPr>
          <w:fldChar w:fldCharType="end"/>
        </w:r>
      </w:hyperlink>
    </w:p>
    <w:p w:rsidR="003C5525" w14:paraId="0A21CBA1" w14:textId="7E9A26CF">
      <w:pPr>
        <w:pStyle w:val="TOC2"/>
        <w:tabs>
          <w:tab w:val="left" w:pos="1440"/>
        </w:tabs>
        <w:rPr>
          <w:rFonts w:asciiTheme="minorHAnsi" w:eastAsiaTheme="minorEastAsia" w:hAnsiTheme="minorHAnsi"/>
          <w:noProof/>
          <w:sz w:val="22"/>
        </w:rPr>
      </w:pPr>
      <w:hyperlink w:anchor="_Toc73106043" w:history="1">
        <w:r w:rsidRPr="00BD07E8" w:rsidR="00056B38">
          <w:rPr>
            <w:rStyle w:val="Hyperlink"/>
            <w:noProof/>
          </w:rPr>
          <w:t xml:space="preserve">B. </w:t>
        </w:r>
        <w:r w:rsidR="00056B38">
          <w:rPr>
            <w:rFonts w:asciiTheme="minorHAnsi" w:eastAsiaTheme="minorEastAsia" w:hAnsiTheme="minorHAnsi"/>
            <w:noProof/>
            <w:sz w:val="22"/>
          </w:rPr>
          <w:tab/>
        </w:r>
        <w:r w:rsidRPr="00BD07E8" w:rsidR="00056B38">
          <w:rPr>
            <w:rStyle w:val="Hyperlink"/>
            <w:noProof/>
          </w:rPr>
          <w:t>The information OCC seeks is within the scope of this corporate separation proceeding.</w:t>
        </w:r>
        <w:r w:rsidR="00056B38">
          <w:rPr>
            <w:noProof/>
            <w:webHidden/>
          </w:rPr>
          <w:tab/>
        </w:r>
        <w:r w:rsidR="00056B38">
          <w:rPr>
            <w:noProof/>
            <w:webHidden/>
          </w:rPr>
          <w:fldChar w:fldCharType="begin"/>
        </w:r>
        <w:r w:rsidR="00056B38">
          <w:rPr>
            <w:noProof/>
            <w:webHidden/>
          </w:rPr>
          <w:instrText xml:space="preserve"> PAGEREF _Toc73106043 \h </w:instrText>
        </w:r>
        <w:r w:rsidR="00056B38">
          <w:rPr>
            <w:noProof/>
            <w:webHidden/>
          </w:rPr>
          <w:fldChar w:fldCharType="separate"/>
        </w:r>
        <w:r w:rsidR="00056B38">
          <w:rPr>
            <w:noProof/>
            <w:webHidden/>
          </w:rPr>
          <w:t>5</w:t>
        </w:r>
        <w:r w:rsidR="00056B38">
          <w:rPr>
            <w:noProof/>
            <w:webHidden/>
          </w:rPr>
          <w:fldChar w:fldCharType="end"/>
        </w:r>
      </w:hyperlink>
    </w:p>
    <w:p w:rsidR="003C5525" w14:paraId="4D8DA89E" w14:textId="7EBA45F8">
      <w:pPr>
        <w:pStyle w:val="TOC3"/>
        <w:tabs>
          <w:tab w:val="left" w:pos="2160"/>
        </w:tabs>
        <w:rPr>
          <w:rFonts w:asciiTheme="minorHAnsi" w:eastAsiaTheme="minorEastAsia" w:hAnsiTheme="minorHAnsi"/>
          <w:noProof/>
          <w:sz w:val="22"/>
        </w:rPr>
      </w:pPr>
      <w:hyperlink w:anchor="_Toc73106044" w:history="1">
        <w:r w:rsidRPr="00BD07E8" w:rsidR="00056B38">
          <w:rPr>
            <w:rStyle w:val="Hyperlink"/>
            <w:rFonts w:cs="Times New Roman"/>
            <w:noProof/>
          </w:rPr>
          <w:t>1.</w:t>
        </w:r>
        <w:r w:rsidR="00056B38">
          <w:rPr>
            <w:rFonts w:asciiTheme="minorHAnsi" w:eastAsiaTheme="minorEastAsia" w:hAnsiTheme="minorHAnsi"/>
            <w:noProof/>
            <w:sz w:val="22"/>
          </w:rPr>
          <w:tab/>
        </w:r>
        <w:r w:rsidRPr="00BD07E8" w:rsidR="00056B38">
          <w:rPr>
            <w:rStyle w:val="Hyperlink"/>
            <w:rFonts w:cs="Times New Roman"/>
            <w:noProof/>
          </w:rPr>
          <w:t>The scope of discovery includes whether the FirstEnergy Utilities and their affiliates violated Ohio law, PUCO rules and state policy prohibiting cross-subsidization.</w:t>
        </w:r>
        <w:r w:rsidR="00056B38">
          <w:rPr>
            <w:noProof/>
            <w:webHidden/>
          </w:rPr>
          <w:tab/>
        </w:r>
        <w:r w:rsidR="00056B38">
          <w:rPr>
            <w:noProof/>
            <w:webHidden/>
          </w:rPr>
          <w:fldChar w:fldCharType="begin"/>
        </w:r>
        <w:r w:rsidR="00056B38">
          <w:rPr>
            <w:noProof/>
            <w:webHidden/>
          </w:rPr>
          <w:instrText xml:space="preserve"> PAGEREF _Toc73106044 \h </w:instrText>
        </w:r>
        <w:r w:rsidR="00056B38">
          <w:rPr>
            <w:noProof/>
            <w:webHidden/>
          </w:rPr>
          <w:fldChar w:fldCharType="separate"/>
        </w:r>
        <w:r w:rsidR="00056B38">
          <w:rPr>
            <w:noProof/>
            <w:webHidden/>
          </w:rPr>
          <w:t>7</w:t>
        </w:r>
        <w:r w:rsidR="00056B38">
          <w:rPr>
            <w:noProof/>
            <w:webHidden/>
          </w:rPr>
          <w:fldChar w:fldCharType="end"/>
        </w:r>
      </w:hyperlink>
    </w:p>
    <w:p w:rsidR="003C5525" w14:paraId="4E8A9A07" w14:textId="1086C098">
      <w:pPr>
        <w:pStyle w:val="TOC3"/>
        <w:tabs>
          <w:tab w:val="left" w:pos="2160"/>
        </w:tabs>
        <w:rPr>
          <w:rFonts w:asciiTheme="minorHAnsi" w:eastAsiaTheme="minorEastAsia" w:hAnsiTheme="minorHAnsi"/>
          <w:noProof/>
          <w:sz w:val="22"/>
        </w:rPr>
      </w:pPr>
      <w:hyperlink w:anchor="_Toc73106045" w:history="1">
        <w:r w:rsidRPr="00BD07E8" w:rsidR="00056B38">
          <w:rPr>
            <w:rStyle w:val="Hyperlink"/>
            <w:rFonts w:cs="Times New Roman"/>
            <w:noProof/>
          </w:rPr>
          <w:t>2.</w:t>
        </w:r>
        <w:r w:rsidR="00056B38">
          <w:rPr>
            <w:rFonts w:asciiTheme="minorHAnsi" w:eastAsiaTheme="minorEastAsia" w:hAnsiTheme="minorHAnsi"/>
            <w:noProof/>
            <w:sz w:val="22"/>
          </w:rPr>
          <w:tab/>
        </w:r>
        <w:r w:rsidRPr="00BD07E8" w:rsidR="00056B38">
          <w:rPr>
            <w:rStyle w:val="Hyperlink"/>
            <w:rFonts w:cs="Times New Roman"/>
            <w:noProof/>
          </w:rPr>
          <w:t>The scope of discovery includes FirstEnergy’s public statements that it fired executives for violating company policies and the code of conduct.</w:t>
        </w:r>
        <w:r w:rsidR="00056B38">
          <w:rPr>
            <w:noProof/>
            <w:webHidden/>
          </w:rPr>
          <w:tab/>
        </w:r>
        <w:r w:rsidR="00056B38">
          <w:rPr>
            <w:noProof/>
            <w:webHidden/>
          </w:rPr>
          <w:fldChar w:fldCharType="begin"/>
        </w:r>
        <w:r w:rsidR="00056B38">
          <w:rPr>
            <w:noProof/>
            <w:webHidden/>
          </w:rPr>
          <w:instrText xml:space="preserve"> PAGEREF _Toc73106045 \h </w:instrText>
        </w:r>
        <w:r w:rsidR="00056B38">
          <w:rPr>
            <w:noProof/>
            <w:webHidden/>
          </w:rPr>
          <w:fldChar w:fldCharType="separate"/>
        </w:r>
        <w:r w:rsidR="00056B38">
          <w:rPr>
            <w:noProof/>
            <w:webHidden/>
          </w:rPr>
          <w:t>10</w:t>
        </w:r>
        <w:r w:rsidR="00056B38">
          <w:rPr>
            <w:noProof/>
            <w:webHidden/>
          </w:rPr>
          <w:fldChar w:fldCharType="end"/>
        </w:r>
      </w:hyperlink>
    </w:p>
    <w:p w:rsidR="003C5525" w14:paraId="3643D636" w14:textId="14B78F17">
      <w:pPr>
        <w:pStyle w:val="TOC3"/>
        <w:tabs>
          <w:tab w:val="left" w:pos="2160"/>
        </w:tabs>
        <w:rPr>
          <w:rFonts w:asciiTheme="minorHAnsi" w:eastAsiaTheme="minorEastAsia" w:hAnsiTheme="minorHAnsi"/>
          <w:noProof/>
          <w:sz w:val="22"/>
        </w:rPr>
      </w:pPr>
      <w:hyperlink w:anchor="_Toc73106046" w:history="1">
        <w:r w:rsidRPr="00BD07E8" w:rsidR="00056B38">
          <w:rPr>
            <w:rStyle w:val="Hyperlink"/>
            <w:rFonts w:cs="Times New Roman"/>
            <w:noProof/>
          </w:rPr>
          <w:t>3.</w:t>
        </w:r>
        <w:r w:rsidR="00056B38">
          <w:rPr>
            <w:rFonts w:asciiTheme="minorHAnsi" w:eastAsiaTheme="minorEastAsia" w:hAnsiTheme="minorHAnsi"/>
            <w:noProof/>
            <w:sz w:val="22"/>
          </w:rPr>
          <w:tab/>
        </w:r>
        <w:r w:rsidRPr="00BD07E8" w:rsidR="00056B38">
          <w:rPr>
            <w:rStyle w:val="Hyperlink"/>
            <w:rFonts w:cs="Times New Roman"/>
            <w:noProof/>
          </w:rPr>
          <w:t>The scope discovery includes the corporate separation matters raised in the Entry that established a scope of work for the independent auditor.</w:t>
        </w:r>
        <w:r w:rsidR="00056B38">
          <w:rPr>
            <w:noProof/>
            <w:webHidden/>
          </w:rPr>
          <w:tab/>
        </w:r>
        <w:r w:rsidR="00056B38">
          <w:rPr>
            <w:noProof/>
            <w:webHidden/>
          </w:rPr>
          <w:fldChar w:fldCharType="begin"/>
        </w:r>
        <w:r w:rsidR="00056B38">
          <w:rPr>
            <w:noProof/>
            <w:webHidden/>
          </w:rPr>
          <w:instrText xml:space="preserve"> PAGEREF _Toc73106046 \h </w:instrText>
        </w:r>
        <w:r w:rsidR="00056B38">
          <w:rPr>
            <w:noProof/>
            <w:webHidden/>
          </w:rPr>
          <w:fldChar w:fldCharType="separate"/>
        </w:r>
        <w:r w:rsidR="00056B38">
          <w:rPr>
            <w:noProof/>
            <w:webHidden/>
          </w:rPr>
          <w:t>13</w:t>
        </w:r>
        <w:r w:rsidR="00056B38">
          <w:rPr>
            <w:noProof/>
            <w:webHidden/>
          </w:rPr>
          <w:fldChar w:fldCharType="end"/>
        </w:r>
      </w:hyperlink>
    </w:p>
    <w:p w:rsidR="003C5525" w14:paraId="637D9D06" w14:textId="36D6028C">
      <w:pPr>
        <w:pStyle w:val="TOC2"/>
        <w:tabs>
          <w:tab w:val="left" w:pos="1440"/>
        </w:tabs>
        <w:rPr>
          <w:rFonts w:asciiTheme="minorHAnsi" w:eastAsiaTheme="minorEastAsia" w:hAnsiTheme="minorHAnsi"/>
          <w:noProof/>
          <w:sz w:val="22"/>
        </w:rPr>
      </w:pPr>
      <w:hyperlink w:anchor="_Toc73106047" w:history="1">
        <w:r w:rsidRPr="00BD07E8" w:rsidR="00056B38">
          <w:rPr>
            <w:rStyle w:val="Hyperlink"/>
            <w:noProof/>
          </w:rPr>
          <w:t xml:space="preserve">C. </w:t>
        </w:r>
        <w:r w:rsidR="00056B38">
          <w:rPr>
            <w:rFonts w:asciiTheme="minorHAnsi" w:eastAsiaTheme="minorEastAsia" w:hAnsiTheme="minorHAnsi"/>
            <w:noProof/>
            <w:sz w:val="22"/>
          </w:rPr>
          <w:tab/>
        </w:r>
        <w:r w:rsidRPr="00BD07E8" w:rsidR="00056B38">
          <w:rPr>
            <w:rStyle w:val="Hyperlink"/>
            <w:noProof/>
          </w:rPr>
          <w:t>The information OCC seeks is within the PUCO’s jurisdiction and OCC’s authority to investigate.</w:t>
        </w:r>
        <w:r w:rsidR="00056B38">
          <w:rPr>
            <w:noProof/>
            <w:webHidden/>
          </w:rPr>
          <w:tab/>
        </w:r>
        <w:r w:rsidR="00056B38">
          <w:rPr>
            <w:noProof/>
            <w:webHidden/>
          </w:rPr>
          <w:fldChar w:fldCharType="begin"/>
        </w:r>
        <w:r w:rsidR="00056B38">
          <w:rPr>
            <w:noProof/>
            <w:webHidden/>
          </w:rPr>
          <w:instrText xml:space="preserve"> PAGEREF _Toc73106047 \h </w:instrText>
        </w:r>
        <w:r w:rsidR="00056B38">
          <w:rPr>
            <w:noProof/>
            <w:webHidden/>
          </w:rPr>
          <w:fldChar w:fldCharType="separate"/>
        </w:r>
        <w:r w:rsidR="00056B38">
          <w:rPr>
            <w:noProof/>
            <w:webHidden/>
          </w:rPr>
          <w:t>15</w:t>
        </w:r>
        <w:r w:rsidR="00056B38">
          <w:rPr>
            <w:noProof/>
            <w:webHidden/>
          </w:rPr>
          <w:fldChar w:fldCharType="end"/>
        </w:r>
      </w:hyperlink>
    </w:p>
    <w:p w:rsidR="003C5525" w14:paraId="64FDCCFD" w14:textId="1E2596C4">
      <w:pPr>
        <w:pStyle w:val="TOC2"/>
        <w:tabs>
          <w:tab w:val="left" w:pos="1440"/>
        </w:tabs>
        <w:rPr>
          <w:rFonts w:asciiTheme="minorHAnsi" w:eastAsiaTheme="minorEastAsia" w:hAnsiTheme="minorHAnsi"/>
          <w:noProof/>
          <w:sz w:val="22"/>
        </w:rPr>
      </w:pPr>
      <w:hyperlink w:anchor="_Toc73106048" w:history="1">
        <w:r w:rsidRPr="00BD07E8" w:rsidR="00056B38">
          <w:rPr>
            <w:rStyle w:val="Hyperlink"/>
            <w:noProof/>
          </w:rPr>
          <w:t>D.</w:t>
        </w:r>
        <w:r w:rsidR="00056B38">
          <w:rPr>
            <w:rFonts w:asciiTheme="minorHAnsi" w:eastAsiaTheme="minorEastAsia" w:hAnsiTheme="minorHAnsi"/>
            <w:noProof/>
            <w:sz w:val="22"/>
          </w:rPr>
          <w:tab/>
        </w:r>
        <w:r w:rsidRPr="00BD07E8" w:rsidR="00056B38">
          <w:rPr>
            <w:rStyle w:val="Hyperlink"/>
            <w:noProof/>
          </w:rPr>
          <w:t>The information OCC seeks is neither overbroad nor vague.</w:t>
        </w:r>
        <w:r w:rsidR="00056B38">
          <w:rPr>
            <w:noProof/>
            <w:webHidden/>
          </w:rPr>
          <w:tab/>
        </w:r>
        <w:r w:rsidR="00056B38">
          <w:rPr>
            <w:noProof/>
            <w:webHidden/>
          </w:rPr>
          <w:fldChar w:fldCharType="begin"/>
        </w:r>
        <w:r w:rsidR="00056B38">
          <w:rPr>
            <w:noProof/>
            <w:webHidden/>
          </w:rPr>
          <w:instrText xml:space="preserve"> PAGEREF _Toc73106048 \h </w:instrText>
        </w:r>
        <w:r w:rsidR="00056B38">
          <w:rPr>
            <w:noProof/>
            <w:webHidden/>
          </w:rPr>
          <w:fldChar w:fldCharType="separate"/>
        </w:r>
        <w:r w:rsidR="00056B38">
          <w:rPr>
            <w:noProof/>
            <w:webHidden/>
          </w:rPr>
          <w:t>18</w:t>
        </w:r>
        <w:r w:rsidR="00056B38">
          <w:rPr>
            <w:noProof/>
            <w:webHidden/>
          </w:rPr>
          <w:fldChar w:fldCharType="end"/>
        </w:r>
      </w:hyperlink>
    </w:p>
    <w:p w:rsidR="003C5525" w14:paraId="77ADEFA2" w14:textId="26C953E5">
      <w:pPr>
        <w:pStyle w:val="TOC1"/>
        <w:rPr>
          <w:rFonts w:asciiTheme="minorHAnsi" w:eastAsiaTheme="minorEastAsia" w:hAnsiTheme="minorHAnsi"/>
          <w:caps w:val="0"/>
          <w:noProof/>
          <w:sz w:val="22"/>
        </w:rPr>
      </w:pPr>
      <w:hyperlink w:anchor="_Toc73106049" w:history="1">
        <w:r w:rsidRPr="00BD07E8" w:rsidR="00056B38">
          <w:rPr>
            <w:rStyle w:val="Hyperlink"/>
            <w:rFonts w:cs="Times New Roman"/>
            <w:noProof/>
          </w:rPr>
          <w:t>III.</w:t>
        </w:r>
        <w:r w:rsidR="00056B38">
          <w:rPr>
            <w:rFonts w:asciiTheme="minorHAnsi" w:eastAsiaTheme="minorEastAsia" w:hAnsiTheme="minorHAnsi"/>
            <w:caps w:val="0"/>
            <w:noProof/>
            <w:sz w:val="22"/>
          </w:rPr>
          <w:tab/>
        </w:r>
        <w:r w:rsidRPr="00BD07E8" w:rsidR="00056B38">
          <w:rPr>
            <w:rStyle w:val="Hyperlink"/>
            <w:rFonts w:cs="Times New Roman"/>
            <w:noProof/>
          </w:rPr>
          <w:t>CONCLUSION</w:t>
        </w:r>
        <w:r w:rsidR="00056B38">
          <w:rPr>
            <w:noProof/>
            <w:webHidden/>
          </w:rPr>
          <w:tab/>
        </w:r>
        <w:r w:rsidR="00056B38">
          <w:rPr>
            <w:noProof/>
            <w:webHidden/>
          </w:rPr>
          <w:fldChar w:fldCharType="begin"/>
        </w:r>
        <w:r w:rsidR="00056B38">
          <w:rPr>
            <w:noProof/>
            <w:webHidden/>
          </w:rPr>
          <w:instrText xml:space="preserve"> PAGEREF _Toc73106049 \h </w:instrText>
        </w:r>
        <w:r w:rsidR="00056B38">
          <w:rPr>
            <w:noProof/>
            <w:webHidden/>
          </w:rPr>
          <w:fldChar w:fldCharType="separate"/>
        </w:r>
        <w:r w:rsidR="00056B38">
          <w:rPr>
            <w:noProof/>
            <w:webHidden/>
          </w:rPr>
          <w:t>20</w:t>
        </w:r>
        <w:r w:rsidR="00056B38">
          <w:rPr>
            <w:noProof/>
            <w:webHidden/>
          </w:rPr>
          <w:fldChar w:fldCharType="end"/>
        </w:r>
      </w:hyperlink>
    </w:p>
    <w:p w:rsidR="006F61A3" w14:paraId="4D0AF58D" w14:textId="66CEFF01">
      <w:pPr>
        <w:rPr>
          <w:rFonts w:cs="Times New Roman"/>
          <w:b/>
          <w:szCs w:val="24"/>
        </w:rPr>
      </w:pPr>
      <w:r>
        <w:rPr>
          <w:rFonts w:cs="Times New Roman"/>
          <w:b/>
          <w:szCs w:val="24"/>
        </w:rPr>
        <w:fldChar w:fldCharType="end"/>
      </w:r>
    </w:p>
    <w:p w:rsidR="006F61A3" w14:paraId="2C888FB3" w14:textId="77777777">
      <w:pPr>
        <w:rPr>
          <w:rFonts w:cs="Times New Roman"/>
          <w:b/>
          <w:szCs w:val="24"/>
        </w:rPr>
      </w:pPr>
    </w:p>
    <w:p w:rsidR="006F61A3" w:rsidP="002E7599" w14:paraId="51C0694D" w14:textId="77777777">
      <w:pPr>
        <w:spacing w:after="0" w:line="240" w:lineRule="auto"/>
        <w:jc w:val="center"/>
        <w:rPr>
          <w:rFonts w:cs="Times New Roman"/>
          <w:b/>
          <w:szCs w:val="24"/>
        </w:rPr>
        <w:sectPr w:rsidSect="006F61A3">
          <w:footerReference w:type="default" r:id="rId9"/>
          <w:pgSz w:w="12240" w:h="15840"/>
          <w:pgMar w:top="1440" w:right="1440" w:bottom="1440" w:left="1440" w:header="720" w:footer="720" w:gutter="0"/>
          <w:pgNumType w:fmt="lowerRoman" w:start="1"/>
          <w:cols w:space="720"/>
          <w:docGrid w:linePitch="360"/>
        </w:sectPr>
      </w:pPr>
    </w:p>
    <w:p w:rsidR="002E7599" w:rsidRPr="00AC38EA" w:rsidP="002E7599" w14:paraId="589DFB75" w14:textId="0DFD8412">
      <w:pPr>
        <w:spacing w:after="0" w:line="240" w:lineRule="auto"/>
        <w:jc w:val="center"/>
        <w:rPr>
          <w:rFonts w:cs="Times New Roman"/>
          <w:b/>
          <w:bCs/>
          <w:szCs w:val="24"/>
        </w:rPr>
      </w:pPr>
      <w:r w:rsidRPr="00AC38EA">
        <w:rPr>
          <w:rFonts w:cs="Times New Roman"/>
          <w:b/>
          <w:szCs w:val="24"/>
        </w:rPr>
        <w:t>BEFORE</w:t>
      </w:r>
    </w:p>
    <w:p w:rsidR="002E7599" w:rsidRPr="00AC38EA" w:rsidP="002E7599" w14:paraId="3FC48C79" w14:textId="5BFE669A">
      <w:pPr>
        <w:spacing w:after="0" w:line="240" w:lineRule="auto"/>
        <w:jc w:val="center"/>
        <w:rPr>
          <w:rFonts w:cs="Times New Roman"/>
          <w:b/>
          <w:szCs w:val="24"/>
        </w:rPr>
      </w:pPr>
      <w:r w:rsidRPr="00AC38EA">
        <w:rPr>
          <w:rFonts w:cs="Times New Roman"/>
          <w:b/>
          <w:szCs w:val="24"/>
        </w:rPr>
        <w:t>THE</w:t>
      </w:r>
      <w:r w:rsidRPr="00AC38EA">
        <w:rPr>
          <w:rFonts w:cs="Times New Roman"/>
          <w:b/>
          <w:spacing w:val="-10"/>
          <w:szCs w:val="24"/>
        </w:rPr>
        <w:t xml:space="preserve"> </w:t>
      </w:r>
      <w:r w:rsidRPr="00AC38EA">
        <w:rPr>
          <w:rFonts w:cs="Times New Roman"/>
          <w:b/>
          <w:spacing w:val="-1"/>
          <w:szCs w:val="24"/>
        </w:rPr>
        <w:t>PUBLIC</w:t>
      </w:r>
      <w:r w:rsidRPr="00AC38EA">
        <w:rPr>
          <w:rFonts w:cs="Times New Roman"/>
          <w:b/>
          <w:spacing w:val="-12"/>
          <w:szCs w:val="24"/>
        </w:rPr>
        <w:t xml:space="preserve"> </w:t>
      </w:r>
      <w:r w:rsidR="00A07F0A">
        <w:rPr>
          <w:rFonts w:cs="Times New Roman"/>
          <w:b/>
          <w:szCs w:val="24"/>
        </w:rPr>
        <w:t>UTILITIES</w:t>
      </w:r>
      <w:r w:rsidRPr="00AC38EA">
        <w:rPr>
          <w:rFonts w:cs="Times New Roman"/>
          <w:b/>
          <w:spacing w:val="-10"/>
          <w:szCs w:val="24"/>
        </w:rPr>
        <w:t xml:space="preserve"> </w:t>
      </w:r>
      <w:r w:rsidRPr="00AC38EA">
        <w:rPr>
          <w:rFonts w:cs="Times New Roman"/>
          <w:b/>
          <w:spacing w:val="-1"/>
          <w:szCs w:val="24"/>
        </w:rPr>
        <w:t>COMMISSION</w:t>
      </w:r>
      <w:r w:rsidRPr="00AC38EA">
        <w:rPr>
          <w:rFonts w:cs="Times New Roman"/>
          <w:b/>
          <w:spacing w:val="-11"/>
          <w:szCs w:val="24"/>
        </w:rPr>
        <w:t xml:space="preserve"> </w:t>
      </w:r>
      <w:r w:rsidRPr="00AC38EA">
        <w:rPr>
          <w:rFonts w:cs="Times New Roman"/>
          <w:b/>
          <w:spacing w:val="-1"/>
          <w:szCs w:val="24"/>
        </w:rPr>
        <w:t>OF</w:t>
      </w:r>
      <w:r w:rsidRPr="00AC38EA">
        <w:rPr>
          <w:rFonts w:cs="Times New Roman"/>
          <w:b/>
          <w:spacing w:val="-13"/>
          <w:szCs w:val="24"/>
        </w:rPr>
        <w:t xml:space="preserve"> O</w:t>
      </w:r>
      <w:r w:rsidRPr="00AC38EA">
        <w:rPr>
          <w:rFonts w:cs="Times New Roman"/>
          <w:b/>
          <w:szCs w:val="24"/>
        </w:rPr>
        <w:t>HIO</w:t>
      </w:r>
    </w:p>
    <w:p w:rsidR="002E7599" w:rsidRPr="00AC38EA" w:rsidP="002E7599" w14:paraId="724DD70B" w14:textId="77777777">
      <w:pPr>
        <w:pStyle w:val="HTMLPreformatted"/>
        <w:rPr>
          <w:rFonts w:ascii="Times New Roman" w:hAnsi="Times New Roman" w:cs="Times New Roman"/>
          <w:sz w:val="24"/>
          <w:szCs w:val="24"/>
        </w:rPr>
      </w:pPr>
    </w:p>
    <w:tbl>
      <w:tblPr>
        <w:tblW w:w="9360" w:type="dxa"/>
        <w:tblLook w:val="01E0"/>
      </w:tblPr>
      <w:tblGrid>
        <w:gridCol w:w="4590"/>
        <w:gridCol w:w="360"/>
        <w:gridCol w:w="4410"/>
      </w:tblGrid>
      <w:tr w14:paraId="3046278E" w14:textId="77777777" w:rsidTr="00764490">
        <w:tblPrEx>
          <w:tblW w:w="9360" w:type="dxa"/>
          <w:tblLook w:val="01E0"/>
        </w:tblPrEx>
        <w:trPr>
          <w:trHeight w:val="807"/>
        </w:trPr>
        <w:tc>
          <w:tcPr>
            <w:tcW w:w="4590" w:type="dxa"/>
            <w:shd w:val="clear" w:color="auto" w:fill="auto"/>
          </w:tcPr>
          <w:p w:rsidR="002E7599" w:rsidRPr="00AC38EA" w:rsidP="00764490" w14:paraId="2F3FC013" w14:textId="77777777">
            <w:pPr>
              <w:pStyle w:val="HTMLPreformatted"/>
              <w:rPr>
                <w:rFonts w:ascii="Times New Roman" w:hAnsi="Times New Roman" w:cs="Times New Roman"/>
                <w:sz w:val="24"/>
                <w:szCs w:val="24"/>
              </w:rPr>
            </w:pPr>
            <w:r w:rsidRPr="00AC38EA">
              <w:rPr>
                <w:rFonts w:ascii="Times New Roman" w:hAnsi="Times New Roman" w:cs="Times New Roman"/>
                <w:sz w:val="24"/>
                <w:szCs w:val="24"/>
              </w:rPr>
              <w:t>In the Matter of the Review of Ohio Edison Company, The Cleveland Electric Illuminating Company, and The Toledo Edison Company’s Compliance with R.C. 4928.17 and Ohio Adm. Code Chapter 4901:1-37.</w:t>
            </w:r>
          </w:p>
        </w:tc>
        <w:tc>
          <w:tcPr>
            <w:tcW w:w="360" w:type="dxa"/>
            <w:shd w:val="clear" w:color="auto" w:fill="auto"/>
          </w:tcPr>
          <w:p w:rsidR="002E7599" w:rsidRPr="00AC38EA" w:rsidP="00764490" w14:paraId="3BB87524" w14:textId="77777777">
            <w:pPr>
              <w:pStyle w:val="HTMLPreformatted"/>
              <w:rPr>
                <w:rFonts w:ascii="Times New Roman" w:hAnsi="Times New Roman" w:cs="Times New Roman"/>
                <w:sz w:val="24"/>
                <w:szCs w:val="24"/>
              </w:rPr>
            </w:pPr>
            <w:r w:rsidRPr="00AC38EA">
              <w:rPr>
                <w:rFonts w:ascii="Times New Roman" w:hAnsi="Times New Roman" w:cs="Times New Roman"/>
                <w:sz w:val="24"/>
                <w:szCs w:val="24"/>
              </w:rPr>
              <w:t>)</w:t>
            </w:r>
          </w:p>
          <w:p w:rsidR="002E7599" w:rsidRPr="00AC38EA" w:rsidP="00764490" w14:paraId="2E72B08F" w14:textId="77777777">
            <w:pPr>
              <w:pStyle w:val="HTMLPreformatted"/>
              <w:rPr>
                <w:rFonts w:ascii="Times New Roman" w:hAnsi="Times New Roman" w:cs="Times New Roman"/>
                <w:sz w:val="24"/>
                <w:szCs w:val="24"/>
              </w:rPr>
            </w:pPr>
            <w:r w:rsidRPr="00AC38EA">
              <w:rPr>
                <w:rFonts w:ascii="Times New Roman" w:hAnsi="Times New Roman" w:cs="Times New Roman"/>
                <w:sz w:val="24"/>
                <w:szCs w:val="24"/>
              </w:rPr>
              <w:t>)</w:t>
            </w:r>
          </w:p>
          <w:p w:rsidR="002E7599" w:rsidRPr="00AC38EA" w:rsidP="00764490" w14:paraId="00EC268F" w14:textId="77777777">
            <w:pPr>
              <w:pStyle w:val="HTMLPreformatted"/>
              <w:rPr>
                <w:rFonts w:ascii="Times New Roman" w:hAnsi="Times New Roman" w:cs="Times New Roman"/>
                <w:sz w:val="24"/>
                <w:szCs w:val="24"/>
              </w:rPr>
            </w:pPr>
            <w:r w:rsidRPr="00AC38EA">
              <w:rPr>
                <w:rFonts w:ascii="Times New Roman" w:hAnsi="Times New Roman" w:cs="Times New Roman"/>
                <w:sz w:val="24"/>
                <w:szCs w:val="24"/>
              </w:rPr>
              <w:t>)</w:t>
            </w:r>
          </w:p>
          <w:p w:rsidR="002E7599" w:rsidRPr="00AC38EA" w:rsidP="00764490" w14:paraId="7E8FEFCC" w14:textId="77777777">
            <w:pPr>
              <w:pStyle w:val="HTMLPreformatted"/>
              <w:rPr>
                <w:rFonts w:ascii="Times New Roman" w:hAnsi="Times New Roman" w:cs="Times New Roman"/>
                <w:sz w:val="24"/>
                <w:szCs w:val="24"/>
              </w:rPr>
            </w:pPr>
            <w:r w:rsidRPr="00AC38EA">
              <w:rPr>
                <w:rFonts w:ascii="Times New Roman" w:hAnsi="Times New Roman" w:cs="Times New Roman"/>
                <w:sz w:val="24"/>
                <w:szCs w:val="24"/>
              </w:rPr>
              <w:t>)</w:t>
            </w:r>
          </w:p>
          <w:p w:rsidR="002E7599" w:rsidRPr="00AC38EA" w:rsidP="00764490" w14:paraId="72EF599F" w14:textId="77777777">
            <w:pPr>
              <w:pStyle w:val="HTMLPreformatted"/>
              <w:rPr>
                <w:rFonts w:ascii="Times New Roman" w:hAnsi="Times New Roman" w:cs="Times New Roman"/>
                <w:sz w:val="24"/>
                <w:szCs w:val="24"/>
              </w:rPr>
            </w:pPr>
            <w:r w:rsidRPr="00AC38EA">
              <w:rPr>
                <w:rFonts w:ascii="Times New Roman" w:hAnsi="Times New Roman" w:cs="Times New Roman"/>
                <w:sz w:val="24"/>
                <w:szCs w:val="24"/>
              </w:rPr>
              <w:t>)</w:t>
            </w:r>
          </w:p>
          <w:p w:rsidR="002E7599" w:rsidRPr="00AC38EA" w:rsidP="00764490" w14:paraId="634E1F85" w14:textId="77777777">
            <w:pPr>
              <w:pStyle w:val="HTMLPreformatted"/>
              <w:rPr>
                <w:rFonts w:ascii="Times New Roman" w:hAnsi="Times New Roman" w:cs="Times New Roman"/>
                <w:sz w:val="24"/>
                <w:szCs w:val="24"/>
              </w:rPr>
            </w:pPr>
            <w:r w:rsidRPr="00AC38EA">
              <w:rPr>
                <w:rFonts w:ascii="Times New Roman" w:hAnsi="Times New Roman" w:cs="Times New Roman"/>
                <w:sz w:val="24"/>
                <w:szCs w:val="24"/>
              </w:rPr>
              <w:t>)</w:t>
            </w:r>
          </w:p>
        </w:tc>
        <w:tc>
          <w:tcPr>
            <w:tcW w:w="4410" w:type="dxa"/>
            <w:shd w:val="clear" w:color="auto" w:fill="auto"/>
          </w:tcPr>
          <w:p w:rsidR="002E7599" w:rsidRPr="00AC38EA" w:rsidP="00764490" w14:paraId="471C2DC6" w14:textId="77777777">
            <w:pPr>
              <w:pStyle w:val="HTMLPreformatted"/>
              <w:rPr>
                <w:rFonts w:ascii="Times New Roman" w:hAnsi="Times New Roman" w:cs="Times New Roman"/>
                <w:sz w:val="24"/>
                <w:szCs w:val="24"/>
              </w:rPr>
            </w:pPr>
          </w:p>
          <w:p w:rsidR="002E7599" w:rsidRPr="00AC38EA" w:rsidP="00764490" w14:paraId="1F14D375" w14:textId="77777777">
            <w:pPr>
              <w:pStyle w:val="HTMLPreformatted"/>
              <w:rPr>
                <w:rFonts w:ascii="Times New Roman" w:hAnsi="Times New Roman" w:cs="Times New Roman"/>
                <w:sz w:val="24"/>
                <w:szCs w:val="24"/>
              </w:rPr>
            </w:pPr>
            <w:r w:rsidRPr="00AC38EA">
              <w:rPr>
                <w:rFonts w:ascii="Times New Roman" w:hAnsi="Times New Roman" w:cs="Times New Roman"/>
                <w:sz w:val="24"/>
                <w:szCs w:val="24"/>
              </w:rPr>
              <w:t>Case No. 17-974-EL-UNC</w:t>
            </w:r>
          </w:p>
          <w:p w:rsidR="002E7599" w:rsidRPr="00AC38EA" w:rsidP="00764490" w14:paraId="7D00F0C3" w14:textId="77777777">
            <w:pPr>
              <w:pStyle w:val="HTMLPreformatted"/>
              <w:rPr>
                <w:rFonts w:ascii="Times New Roman" w:hAnsi="Times New Roman" w:cs="Times New Roman"/>
                <w:sz w:val="24"/>
                <w:szCs w:val="24"/>
              </w:rPr>
            </w:pPr>
          </w:p>
          <w:p w:rsidR="002E7599" w:rsidRPr="00AC38EA" w:rsidP="00764490" w14:paraId="28217110" w14:textId="77777777">
            <w:pPr>
              <w:pStyle w:val="HTMLPreformatted"/>
              <w:rPr>
                <w:rFonts w:ascii="Times New Roman" w:hAnsi="Times New Roman" w:cs="Times New Roman"/>
                <w:sz w:val="24"/>
                <w:szCs w:val="24"/>
              </w:rPr>
            </w:pPr>
          </w:p>
          <w:p w:rsidR="002E7599" w:rsidRPr="00AC38EA" w:rsidP="00764490" w14:paraId="25FB2EFB" w14:textId="77777777">
            <w:pPr>
              <w:pStyle w:val="HTMLPreformatted"/>
              <w:rPr>
                <w:rFonts w:ascii="Times New Roman" w:hAnsi="Times New Roman" w:cs="Times New Roman"/>
                <w:sz w:val="24"/>
                <w:szCs w:val="24"/>
              </w:rPr>
            </w:pPr>
          </w:p>
        </w:tc>
      </w:tr>
    </w:tbl>
    <w:p w:rsidR="002E7599" w:rsidRPr="00AC38EA" w:rsidP="002E7599" w14:paraId="0E683A4C" w14:textId="77777777">
      <w:pPr>
        <w:pBdr>
          <w:bottom w:val="single" w:sz="12" w:space="1" w:color="auto"/>
        </w:pBdr>
        <w:spacing w:after="0" w:line="240" w:lineRule="auto"/>
        <w:rPr>
          <w:rFonts w:cs="Times New Roman"/>
          <w:szCs w:val="24"/>
        </w:rPr>
      </w:pPr>
    </w:p>
    <w:p w:rsidR="002E7599" w:rsidRPr="00AC38EA" w:rsidP="002E7599" w14:paraId="4F912291" w14:textId="77777777">
      <w:pPr>
        <w:pStyle w:val="HTMLPreformatted"/>
        <w:rPr>
          <w:rFonts w:ascii="Times New Roman" w:hAnsi="Times New Roman" w:cs="Times New Roman"/>
          <w:b/>
          <w:bCs/>
          <w:i/>
          <w:sz w:val="24"/>
          <w:szCs w:val="24"/>
        </w:rPr>
      </w:pPr>
    </w:p>
    <w:p w:rsidR="00DF4B35" w:rsidRPr="00AC38EA" w:rsidP="00DF4B35" w14:paraId="1535643D" w14:textId="49B3029A">
      <w:pPr>
        <w:pStyle w:val="HTMLPreformatted"/>
        <w:pBdr>
          <w:bottom w:val="single" w:sz="12" w:space="1" w:color="auto"/>
        </w:pBdr>
        <w:jc w:val="center"/>
        <w:rPr>
          <w:rFonts w:ascii="Times New Roman" w:hAnsi="Times New Roman" w:cs="Times New Roman"/>
          <w:b/>
          <w:bCs/>
          <w:sz w:val="24"/>
          <w:szCs w:val="24"/>
        </w:rPr>
      </w:pPr>
      <w:r w:rsidRPr="00AC38EA">
        <w:rPr>
          <w:rFonts w:ascii="Times New Roman" w:hAnsi="Times New Roman" w:cs="Times New Roman"/>
          <w:b/>
          <w:bCs/>
          <w:sz w:val="24"/>
          <w:szCs w:val="24"/>
        </w:rPr>
        <w:t xml:space="preserve">MEMORANDUM CONTRA TO </w:t>
      </w:r>
      <w:r w:rsidR="00A07F0A">
        <w:rPr>
          <w:rFonts w:ascii="Times New Roman" w:hAnsi="Times New Roman" w:cs="Times New Roman"/>
          <w:b/>
          <w:bCs/>
          <w:sz w:val="24"/>
          <w:szCs w:val="24"/>
        </w:rPr>
        <w:t xml:space="preserve">THE </w:t>
      </w:r>
      <w:r w:rsidR="006838F8">
        <w:rPr>
          <w:rFonts w:ascii="Times New Roman" w:hAnsi="Times New Roman" w:cs="Times New Roman"/>
          <w:b/>
          <w:bCs/>
          <w:sz w:val="24"/>
          <w:szCs w:val="24"/>
        </w:rPr>
        <w:t xml:space="preserve">FIRSTENERGY </w:t>
      </w:r>
      <w:r w:rsidR="00A07F0A">
        <w:rPr>
          <w:rFonts w:ascii="Times New Roman" w:hAnsi="Times New Roman" w:cs="Times New Roman"/>
          <w:b/>
          <w:bCs/>
          <w:sz w:val="24"/>
          <w:szCs w:val="24"/>
        </w:rPr>
        <w:t>UTILITIES</w:t>
      </w:r>
      <w:r>
        <w:rPr>
          <w:rFonts w:ascii="Times New Roman" w:hAnsi="Times New Roman" w:cs="Times New Roman"/>
          <w:b/>
          <w:bCs/>
          <w:sz w:val="24"/>
          <w:szCs w:val="24"/>
        </w:rPr>
        <w:t>’</w:t>
      </w:r>
      <w:r w:rsidRPr="00AC38EA">
        <w:rPr>
          <w:rFonts w:ascii="Times New Roman" w:hAnsi="Times New Roman" w:cs="Times New Roman"/>
          <w:b/>
          <w:bCs/>
          <w:sz w:val="24"/>
          <w:szCs w:val="24"/>
        </w:rPr>
        <w:t xml:space="preserve"> </w:t>
      </w:r>
    </w:p>
    <w:p w:rsidR="00DF4B35" w:rsidRPr="00AC38EA" w:rsidP="00DF4B35" w14:paraId="3C5325A4" w14:textId="77777777">
      <w:pPr>
        <w:pStyle w:val="HTMLPreformatted"/>
        <w:pBdr>
          <w:bottom w:val="single" w:sz="12" w:space="1" w:color="auto"/>
        </w:pBdr>
        <w:jc w:val="center"/>
        <w:rPr>
          <w:rFonts w:ascii="Times New Roman" w:hAnsi="Times New Roman" w:cs="Times New Roman"/>
          <w:b/>
          <w:bCs/>
          <w:sz w:val="24"/>
          <w:szCs w:val="24"/>
        </w:rPr>
      </w:pPr>
      <w:r w:rsidRPr="00AC38EA">
        <w:rPr>
          <w:rFonts w:ascii="Times New Roman" w:hAnsi="Times New Roman" w:cs="Times New Roman"/>
          <w:b/>
          <w:bCs/>
          <w:sz w:val="24"/>
          <w:szCs w:val="24"/>
        </w:rPr>
        <w:t>MOTION FOR A PARTIAL PROTECTIVE ORDER ON OCC’S FOURTH SET OF DISCOVERY REQUESTS</w:t>
      </w:r>
    </w:p>
    <w:p w:rsidR="00DF4B35" w:rsidRPr="00AC38EA" w:rsidP="00DF4B35" w14:paraId="5CD7E83B" w14:textId="77777777">
      <w:pPr>
        <w:pStyle w:val="HTMLPreformatted"/>
        <w:pBdr>
          <w:bottom w:val="single" w:sz="12" w:space="1" w:color="auto"/>
        </w:pBdr>
        <w:jc w:val="center"/>
        <w:rPr>
          <w:rFonts w:ascii="Times New Roman" w:hAnsi="Times New Roman" w:cs="Times New Roman"/>
          <w:b/>
          <w:bCs/>
          <w:sz w:val="24"/>
          <w:szCs w:val="24"/>
        </w:rPr>
      </w:pPr>
      <w:r w:rsidRPr="00AC38EA">
        <w:rPr>
          <w:rFonts w:ascii="Times New Roman" w:hAnsi="Times New Roman" w:cs="Times New Roman"/>
          <w:b/>
          <w:bCs/>
          <w:sz w:val="24"/>
          <w:szCs w:val="24"/>
        </w:rPr>
        <w:t xml:space="preserve">BY </w:t>
      </w:r>
    </w:p>
    <w:p w:rsidR="00DF4B35" w:rsidRPr="00AC38EA" w:rsidP="00DF4B35" w14:paraId="61F50F99" w14:textId="77777777">
      <w:pPr>
        <w:pStyle w:val="HTMLPreformatted"/>
        <w:pBdr>
          <w:bottom w:val="single" w:sz="12" w:space="1" w:color="auto"/>
        </w:pBdr>
        <w:jc w:val="center"/>
        <w:rPr>
          <w:rFonts w:ascii="Times New Roman" w:hAnsi="Times New Roman" w:cs="Times New Roman"/>
          <w:b/>
          <w:bCs/>
          <w:sz w:val="24"/>
          <w:szCs w:val="24"/>
        </w:rPr>
      </w:pPr>
      <w:r w:rsidRPr="00AC38EA">
        <w:rPr>
          <w:rFonts w:ascii="Times New Roman" w:hAnsi="Times New Roman" w:cs="Times New Roman"/>
          <w:b/>
          <w:bCs/>
          <w:sz w:val="24"/>
          <w:szCs w:val="24"/>
        </w:rPr>
        <w:t>OFFICE OF THE OHIO CONSUMERS' COUNSEL</w:t>
      </w:r>
    </w:p>
    <w:p w:rsidR="002E7599" w:rsidP="002E7599" w14:paraId="3B3571C6" w14:textId="022E3E1B">
      <w:pPr>
        <w:pStyle w:val="HTMLPreformatted"/>
        <w:pBdr>
          <w:bottom w:val="single" w:sz="12" w:space="1" w:color="auto"/>
        </w:pBdr>
        <w:jc w:val="center"/>
        <w:rPr>
          <w:rFonts w:ascii="Times New Roman" w:hAnsi="Times New Roman" w:cs="Times New Roman"/>
          <w:b/>
          <w:bCs/>
          <w:sz w:val="24"/>
          <w:szCs w:val="24"/>
        </w:rPr>
      </w:pPr>
    </w:p>
    <w:p w:rsidR="00DF4B35" w:rsidRPr="00AC38EA" w:rsidP="002E7599" w14:paraId="431134CD" w14:textId="77777777">
      <w:pPr>
        <w:pStyle w:val="HTMLPreformatted"/>
        <w:pBdr>
          <w:bottom w:val="single" w:sz="12" w:space="1" w:color="auto"/>
        </w:pBdr>
        <w:jc w:val="center"/>
        <w:rPr>
          <w:rFonts w:ascii="Times New Roman" w:hAnsi="Times New Roman" w:cs="Times New Roman"/>
          <w:b/>
          <w:bCs/>
          <w:sz w:val="24"/>
          <w:szCs w:val="24"/>
        </w:rPr>
      </w:pPr>
    </w:p>
    <w:p w:rsidR="002E7599" w:rsidRPr="00AC38EA" w:rsidP="002E7599" w14:paraId="0C5A7CE5" w14:textId="77777777">
      <w:pPr>
        <w:pStyle w:val="BodyTextIndent3"/>
        <w:widowControl w:val="0"/>
        <w:spacing w:after="0" w:line="240" w:lineRule="auto"/>
        <w:ind w:left="0"/>
        <w:rPr>
          <w:rFonts w:cs="Times New Roman"/>
          <w:sz w:val="24"/>
          <w:szCs w:val="24"/>
        </w:rPr>
      </w:pPr>
      <w:r w:rsidRPr="00AC38EA">
        <w:rPr>
          <w:rFonts w:cs="Times New Roman"/>
          <w:sz w:val="24"/>
          <w:szCs w:val="24"/>
        </w:rPr>
        <w:t xml:space="preserve"> </w:t>
      </w:r>
      <w:r w:rsidRPr="00AC38EA">
        <w:rPr>
          <w:rFonts w:cs="Times New Roman"/>
          <w:sz w:val="24"/>
          <w:szCs w:val="24"/>
        </w:rPr>
        <w:tab/>
      </w:r>
    </w:p>
    <w:p w:rsidR="00346095" w:rsidRPr="00AC38EA" w:rsidP="002E7599" w14:paraId="51A19D15" w14:textId="4DBF9D91">
      <w:pPr>
        <w:pStyle w:val="Heading1"/>
        <w:numPr>
          <w:ilvl w:val="0"/>
          <w:numId w:val="0"/>
        </w:numPr>
        <w:ind w:left="720" w:hanging="720"/>
        <w:rPr>
          <w:rFonts w:ascii="Times New Roman" w:hAnsi="Times New Roman" w:cs="Times New Roman"/>
          <w:szCs w:val="24"/>
        </w:rPr>
      </w:pPr>
      <w:bookmarkStart w:id="0" w:name="_Toc72747105"/>
      <w:bookmarkStart w:id="1" w:name="_Toc73086658"/>
      <w:bookmarkStart w:id="2" w:name="_Toc73106040"/>
      <w:r w:rsidRPr="00AC38EA">
        <w:rPr>
          <w:rFonts w:ascii="Times New Roman" w:hAnsi="Times New Roman" w:cs="Times New Roman"/>
          <w:szCs w:val="24"/>
        </w:rPr>
        <w:t>I.</w:t>
      </w:r>
      <w:r w:rsidRPr="00AC38EA">
        <w:rPr>
          <w:rFonts w:ascii="Times New Roman" w:hAnsi="Times New Roman" w:cs="Times New Roman"/>
          <w:szCs w:val="24"/>
        </w:rPr>
        <w:tab/>
        <w:t>INTRODUCTION</w:t>
      </w:r>
      <w:bookmarkEnd w:id="0"/>
      <w:bookmarkEnd w:id="1"/>
      <w:bookmarkEnd w:id="2"/>
    </w:p>
    <w:p w:rsidR="005C0785" w:rsidP="005C0785" w14:paraId="6E7B2997" w14:textId="4F096CF1">
      <w:pPr>
        <w:spacing w:after="0" w:line="480" w:lineRule="auto"/>
        <w:ind w:firstLine="720"/>
        <w:rPr>
          <w:rFonts w:cs="Times New Roman"/>
          <w:szCs w:val="24"/>
        </w:rPr>
      </w:pPr>
      <w:r w:rsidRPr="00AC38EA">
        <w:rPr>
          <w:rFonts w:cs="Times New Roman"/>
          <w:szCs w:val="24"/>
        </w:rPr>
        <w:t xml:space="preserve">The </w:t>
      </w:r>
      <w:r w:rsidR="00A07F0A">
        <w:rPr>
          <w:rFonts w:cs="Times New Roman"/>
          <w:szCs w:val="24"/>
        </w:rPr>
        <w:t>FirstEnergy Utilities</w:t>
      </w:r>
      <w:r w:rsidRPr="00AC38EA">
        <w:rPr>
          <w:rFonts w:cs="Times New Roman"/>
          <w:szCs w:val="24"/>
        </w:rPr>
        <w:t>’ Motion for Protection is the latest delay</w:t>
      </w:r>
      <w:r w:rsidR="00AC5E01">
        <w:rPr>
          <w:rFonts w:cs="Times New Roman"/>
          <w:szCs w:val="24"/>
        </w:rPr>
        <w:t>ing</w:t>
      </w:r>
      <w:r w:rsidRPr="00AC38EA">
        <w:rPr>
          <w:rFonts w:cs="Times New Roman"/>
          <w:szCs w:val="24"/>
        </w:rPr>
        <w:t xml:space="preserve"> and obstruct</w:t>
      </w:r>
      <w:r w:rsidR="00AC5E01">
        <w:rPr>
          <w:rFonts w:cs="Times New Roman"/>
          <w:szCs w:val="24"/>
        </w:rPr>
        <w:t>ing</w:t>
      </w:r>
      <w:r w:rsidRPr="00AC38EA">
        <w:rPr>
          <w:rFonts w:cs="Times New Roman"/>
          <w:szCs w:val="24"/>
        </w:rPr>
        <w:t xml:space="preserve"> tactic to stymie discovery</w:t>
      </w:r>
      <w:r>
        <w:rPr>
          <w:rFonts w:cs="Times New Roman"/>
          <w:szCs w:val="24"/>
        </w:rPr>
        <w:t xml:space="preserve"> (and the public interest)</w:t>
      </w:r>
      <w:r w:rsidRPr="00AC38EA">
        <w:rPr>
          <w:rFonts w:cs="Times New Roman"/>
          <w:szCs w:val="24"/>
        </w:rPr>
        <w:t xml:space="preserve"> in this case. </w:t>
      </w:r>
      <w:r w:rsidR="00CA032A">
        <w:rPr>
          <w:rFonts w:cs="Times New Roman"/>
          <w:szCs w:val="24"/>
        </w:rPr>
        <w:t>Upon the</w:t>
      </w:r>
      <w:r w:rsidRPr="00AC38EA">
        <w:rPr>
          <w:rFonts w:cs="Times New Roman"/>
          <w:szCs w:val="24"/>
        </w:rPr>
        <w:t xml:space="preserve"> Attorney Examiner summarily reject</w:t>
      </w:r>
      <w:r w:rsidR="003E39AD">
        <w:rPr>
          <w:rFonts w:cs="Times New Roman"/>
          <w:szCs w:val="24"/>
        </w:rPr>
        <w:t>ing</w:t>
      </w:r>
      <w:r w:rsidRPr="00AC38EA">
        <w:rPr>
          <w:rFonts w:cs="Times New Roman"/>
          <w:szCs w:val="24"/>
        </w:rPr>
        <w:t xml:space="preserve"> </w:t>
      </w:r>
      <w:r w:rsidR="003E39AD">
        <w:rPr>
          <w:rFonts w:cs="Times New Roman"/>
          <w:szCs w:val="24"/>
        </w:rPr>
        <w:t xml:space="preserve">the </w:t>
      </w:r>
      <w:r w:rsidR="00A07F0A">
        <w:rPr>
          <w:rFonts w:cs="Times New Roman"/>
          <w:szCs w:val="24"/>
        </w:rPr>
        <w:t>FirstEnergy Utilities</w:t>
      </w:r>
      <w:r w:rsidR="003E39AD">
        <w:rPr>
          <w:rFonts w:cs="Times New Roman"/>
          <w:szCs w:val="24"/>
        </w:rPr>
        <w:t>’</w:t>
      </w:r>
      <w:r w:rsidRPr="00AC38EA">
        <w:rPr>
          <w:rFonts w:cs="Times New Roman"/>
          <w:szCs w:val="24"/>
        </w:rPr>
        <w:t xml:space="preserve"> claims (in a related case),</w:t>
      </w:r>
      <w:r>
        <w:rPr>
          <w:rStyle w:val="FootnoteReference"/>
          <w:rFonts w:cs="Times New Roman"/>
          <w:szCs w:val="24"/>
        </w:rPr>
        <w:footnoteReference w:id="2"/>
      </w:r>
      <w:r w:rsidRPr="00AC38EA">
        <w:rPr>
          <w:rFonts w:cs="Times New Roman"/>
          <w:szCs w:val="24"/>
        </w:rPr>
        <w:t xml:space="preserve"> and after OCC fil</w:t>
      </w:r>
      <w:r w:rsidR="00A1121A">
        <w:rPr>
          <w:rFonts w:cs="Times New Roman"/>
          <w:szCs w:val="24"/>
        </w:rPr>
        <w:t>ing</w:t>
      </w:r>
      <w:r w:rsidRPr="00AC38EA">
        <w:rPr>
          <w:rFonts w:cs="Times New Roman"/>
          <w:szCs w:val="24"/>
        </w:rPr>
        <w:t xml:space="preserve"> a Motion to Compel in this case, </w:t>
      </w:r>
      <w:r w:rsidR="00CA032A">
        <w:rPr>
          <w:rFonts w:cs="Times New Roman"/>
          <w:szCs w:val="24"/>
        </w:rPr>
        <w:t>it took five months for</w:t>
      </w:r>
      <w:r w:rsidRPr="00AC38EA">
        <w:rPr>
          <w:rFonts w:cs="Times New Roman"/>
          <w:szCs w:val="24"/>
        </w:rPr>
        <w:t xml:space="preserve"> </w:t>
      </w:r>
      <w:r w:rsidR="00A07F0A">
        <w:rPr>
          <w:rFonts w:cs="Times New Roman"/>
          <w:szCs w:val="24"/>
        </w:rPr>
        <w:t>FirstEnergy Utilities</w:t>
      </w:r>
      <w:r w:rsidR="00CA032A">
        <w:rPr>
          <w:rFonts w:cs="Times New Roman"/>
          <w:szCs w:val="24"/>
        </w:rPr>
        <w:t xml:space="preserve"> to</w:t>
      </w:r>
      <w:r w:rsidRPr="00AC38EA">
        <w:rPr>
          <w:rFonts w:cs="Times New Roman"/>
          <w:szCs w:val="24"/>
        </w:rPr>
        <w:t xml:space="preserve"> “supplement” the</w:t>
      </w:r>
      <w:r w:rsidR="003E39AD">
        <w:rPr>
          <w:rFonts w:cs="Times New Roman"/>
          <w:szCs w:val="24"/>
        </w:rPr>
        <w:t>ir</w:t>
      </w:r>
      <w:r w:rsidRPr="00AC38EA">
        <w:rPr>
          <w:rFonts w:cs="Times New Roman"/>
          <w:szCs w:val="24"/>
        </w:rPr>
        <w:t xml:space="preserve"> </w:t>
      </w:r>
      <w:r w:rsidR="003E39AD">
        <w:rPr>
          <w:rFonts w:cs="Times New Roman"/>
          <w:szCs w:val="24"/>
        </w:rPr>
        <w:t xml:space="preserve">unacceptable </w:t>
      </w:r>
      <w:r w:rsidR="00CA032A">
        <w:rPr>
          <w:rFonts w:cs="Times New Roman"/>
          <w:szCs w:val="24"/>
        </w:rPr>
        <w:t xml:space="preserve">original </w:t>
      </w:r>
      <w:r w:rsidR="003E39AD">
        <w:rPr>
          <w:rFonts w:cs="Times New Roman"/>
          <w:szCs w:val="24"/>
        </w:rPr>
        <w:t>discovery responses</w:t>
      </w:r>
      <w:r w:rsidRPr="00AC38EA">
        <w:rPr>
          <w:rFonts w:cs="Times New Roman"/>
          <w:szCs w:val="24"/>
        </w:rPr>
        <w:t xml:space="preserve">.  </w:t>
      </w:r>
      <w:r w:rsidR="002C6336">
        <w:rPr>
          <w:rFonts w:cs="Times New Roman"/>
          <w:szCs w:val="24"/>
        </w:rPr>
        <w:t>Despite the five-month delay, w</w:t>
      </w:r>
      <w:r>
        <w:rPr>
          <w:rFonts w:cs="Times New Roman"/>
          <w:szCs w:val="24"/>
        </w:rPr>
        <w:t>e were not</w:t>
      </w:r>
      <w:r w:rsidRPr="00AC38EA">
        <w:rPr>
          <w:rFonts w:cs="Times New Roman"/>
          <w:szCs w:val="24"/>
        </w:rPr>
        <w:t xml:space="preserve"> surprise</w:t>
      </w:r>
      <w:r>
        <w:rPr>
          <w:rFonts w:cs="Times New Roman"/>
          <w:szCs w:val="24"/>
        </w:rPr>
        <w:t>d</w:t>
      </w:r>
      <w:r w:rsidRPr="00AC38EA">
        <w:rPr>
          <w:rFonts w:cs="Times New Roman"/>
          <w:szCs w:val="24"/>
        </w:rPr>
        <w:t xml:space="preserve"> when the </w:t>
      </w:r>
      <w:r w:rsidR="00A07F0A">
        <w:rPr>
          <w:rFonts w:cs="Times New Roman"/>
          <w:szCs w:val="24"/>
        </w:rPr>
        <w:t>FirstEnergy Utilities</w:t>
      </w:r>
      <w:r w:rsidRPr="00AC38EA">
        <w:rPr>
          <w:rFonts w:cs="Times New Roman"/>
          <w:szCs w:val="24"/>
        </w:rPr>
        <w:t xml:space="preserve">’ </w:t>
      </w:r>
      <w:r w:rsidR="00C675D4">
        <w:rPr>
          <w:rFonts w:cs="Times New Roman"/>
          <w:szCs w:val="24"/>
        </w:rPr>
        <w:t xml:space="preserve">discovery </w:t>
      </w:r>
      <w:r w:rsidRPr="00AC38EA">
        <w:rPr>
          <w:rFonts w:cs="Times New Roman"/>
          <w:szCs w:val="24"/>
        </w:rPr>
        <w:t xml:space="preserve">“supplement” </w:t>
      </w:r>
      <w:r w:rsidR="003E39AD">
        <w:rPr>
          <w:rFonts w:cs="Times New Roman"/>
          <w:szCs w:val="24"/>
        </w:rPr>
        <w:t>contained</w:t>
      </w:r>
      <w:r w:rsidRPr="00AC38EA">
        <w:rPr>
          <w:rFonts w:cs="Times New Roman"/>
          <w:szCs w:val="24"/>
        </w:rPr>
        <w:t xml:space="preserve"> more objections and non-answers accompanied with a Motion for Protection. </w:t>
      </w:r>
      <w:r w:rsidR="00575155">
        <w:rPr>
          <w:rFonts w:cs="Times New Roman"/>
          <w:szCs w:val="24"/>
        </w:rPr>
        <w:t xml:space="preserve"> </w:t>
      </w:r>
    </w:p>
    <w:p w:rsidR="00AD74A6" w:rsidP="002652FA" w14:paraId="70FCC228" w14:textId="563D744C">
      <w:pPr>
        <w:spacing w:after="0" w:line="480" w:lineRule="auto"/>
        <w:ind w:firstLine="720"/>
        <w:rPr>
          <w:rFonts w:cs="Times New Roman"/>
          <w:szCs w:val="24"/>
        </w:rPr>
      </w:pPr>
      <w:r>
        <w:rPr>
          <w:rFonts w:cs="Times New Roman"/>
          <w:szCs w:val="24"/>
        </w:rPr>
        <w:t>In essence, this investigation related to tainted House Bill 6</w:t>
      </w:r>
      <w:r w:rsidR="00A1121A">
        <w:rPr>
          <w:rFonts w:cs="Times New Roman"/>
          <w:szCs w:val="24"/>
        </w:rPr>
        <w:t xml:space="preserve"> (“H.B. 6”)</w:t>
      </w:r>
      <w:r>
        <w:rPr>
          <w:rFonts w:cs="Times New Roman"/>
          <w:szCs w:val="24"/>
        </w:rPr>
        <w:t xml:space="preserve"> will be a charade unless the </w:t>
      </w:r>
      <w:r w:rsidR="00A1121A">
        <w:rPr>
          <w:rFonts w:cs="Times New Roman"/>
          <w:szCs w:val="24"/>
        </w:rPr>
        <w:t xml:space="preserve">Public </w:t>
      </w:r>
      <w:r w:rsidR="00A07F0A">
        <w:rPr>
          <w:rFonts w:cs="Times New Roman"/>
          <w:szCs w:val="24"/>
        </w:rPr>
        <w:t>Utilities</w:t>
      </w:r>
      <w:r w:rsidR="00A1121A">
        <w:rPr>
          <w:rFonts w:cs="Times New Roman"/>
          <w:szCs w:val="24"/>
        </w:rPr>
        <w:t xml:space="preserve"> Commission of Ohio (“</w:t>
      </w:r>
      <w:r>
        <w:rPr>
          <w:rFonts w:cs="Times New Roman"/>
          <w:szCs w:val="24"/>
        </w:rPr>
        <w:t>PUCO</w:t>
      </w:r>
      <w:r w:rsidR="00A1121A">
        <w:rPr>
          <w:rFonts w:cs="Times New Roman"/>
          <w:szCs w:val="24"/>
        </w:rPr>
        <w:t>”)</w:t>
      </w:r>
      <w:r>
        <w:rPr>
          <w:rFonts w:cs="Times New Roman"/>
          <w:szCs w:val="24"/>
        </w:rPr>
        <w:t xml:space="preserve"> enforces its rules and Ohio law for a fair case process.</w:t>
      </w:r>
      <w:r w:rsidR="005C0785">
        <w:rPr>
          <w:rFonts w:cs="Times New Roman"/>
          <w:szCs w:val="24"/>
        </w:rPr>
        <w:t xml:space="preserve"> </w:t>
      </w:r>
      <w:r w:rsidR="009A1F5D">
        <w:rPr>
          <w:rFonts w:cs="Times New Roman"/>
          <w:szCs w:val="24"/>
        </w:rPr>
        <w:t>Ohio</w:t>
      </w:r>
      <w:r w:rsidRPr="00AC38EA" w:rsidR="009A1F5D">
        <w:rPr>
          <w:rFonts w:cs="Times New Roman"/>
          <w:szCs w:val="24"/>
        </w:rPr>
        <w:t xml:space="preserve"> </w:t>
      </w:r>
      <w:r w:rsidR="009A1F5D">
        <w:rPr>
          <w:rFonts w:cs="Times New Roman"/>
          <w:szCs w:val="24"/>
        </w:rPr>
        <w:t xml:space="preserve">is </w:t>
      </w:r>
      <w:r w:rsidRPr="00AC38EA" w:rsidR="009A1F5D">
        <w:rPr>
          <w:rFonts w:cs="Times New Roman"/>
          <w:szCs w:val="24"/>
        </w:rPr>
        <w:t>approach</w:t>
      </w:r>
      <w:r w:rsidR="005B019B">
        <w:rPr>
          <w:rFonts w:cs="Times New Roman"/>
          <w:szCs w:val="24"/>
        </w:rPr>
        <w:t>ing</w:t>
      </w:r>
      <w:r w:rsidRPr="00AC38EA" w:rsidR="009A1F5D">
        <w:rPr>
          <w:rFonts w:cs="Times New Roman"/>
          <w:szCs w:val="24"/>
        </w:rPr>
        <w:t xml:space="preserve"> the criminal complaint’s one-year anniversary</w:t>
      </w:r>
      <w:r w:rsidR="002652FA">
        <w:rPr>
          <w:rFonts w:cs="Times New Roman"/>
          <w:szCs w:val="24"/>
        </w:rPr>
        <w:t>.</w:t>
      </w:r>
      <w:r>
        <w:rPr>
          <w:rStyle w:val="FootnoteReference"/>
          <w:rFonts w:cs="Times New Roman"/>
          <w:szCs w:val="24"/>
        </w:rPr>
        <w:footnoteReference w:id="3"/>
      </w:r>
      <w:r w:rsidRPr="00AC38EA" w:rsidR="009A1F5D">
        <w:rPr>
          <w:rFonts w:cs="Times New Roman"/>
          <w:szCs w:val="24"/>
        </w:rPr>
        <w:t xml:space="preserve"> </w:t>
      </w:r>
      <w:r w:rsidRPr="00AC38EA" w:rsidR="00006640">
        <w:rPr>
          <w:rFonts w:cs="Times New Roman"/>
          <w:szCs w:val="24"/>
        </w:rPr>
        <w:t>Yet</w:t>
      </w:r>
      <w:r w:rsidR="009A2D12">
        <w:rPr>
          <w:rFonts w:cs="Times New Roman"/>
          <w:szCs w:val="24"/>
        </w:rPr>
        <w:t>,</w:t>
      </w:r>
      <w:r w:rsidRPr="00AC38EA" w:rsidR="00006640">
        <w:rPr>
          <w:rFonts w:cs="Times New Roman"/>
          <w:szCs w:val="24"/>
        </w:rPr>
        <w:t xml:space="preserve"> </w:t>
      </w:r>
      <w:r w:rsidR="000E7789">
        <w:rPr>
          <w:rFonts w:cs="Times New Roman"/>
          <w:szCs w:val="24"/>
        </w:rPr>
        <w:t xml:space="preserve">the </w:t>
      </w:r>
      <w:r w:rsidR="000E7789">
        <w:rPr>
          <w:rFonts w:cs="Times New Roman"/>
          <w:szCs w:val="24"/>
        </w:rPr>
        <w:t xml:space="preserve">state of this investigation remains stalled by diversions </w:t>
      </w:r>
      <w:r w:rsidR="009A2D12">
        <w:rPr>
          <w:rFonts w:cs="Times New Roman"/>
          <w:szCs w:val="24"/>
        </w:rPr>
        <w:t xml:space="preserve">such </w:t>
      </w:r>
      <w:r w:rsidR="000E7789">
        <w:rPr>
          <w:rFonts w:cs="Times New Roman"/>
          <w:szCs w:val="24"/>
        </w:rPr>
        <w:t xml:space="preserve">as </w:t>
      </w:r>
      <w:r w:rsidRPr="00AC38EA" w:rsidR="0005432E">
        <w:rPr>
          <w:rFonts w:cs="Times New Roman"/>
          <w:szCs w:val="24"/>
        </w:rPr>
        <w:t xml:space="preserve">FirstEnergy </w:t>
      </w:r>
      <w:r w:rsidRPr="00AC38EA" w:rsidR="00B565C0">
        <w:rPr>
          <w:rFonts w:cs="Times New Roman"/>
          <w:szCs w:val="24"/>
        </w:rPr>
        <w:t>refus</w:t>
      </w:r>
      <w:r w:rsidR="000E7789">
        <w:rPr>
          <w:rFonts w:cs="Times New Roman"/>
          <w:szCs w:val="24"/>
        </w:rPr>
        <w:t>ing even</w:t>
      </w:r>
      <w:r w:rsidRPr="00AC38EA" w:rsidR="00B565C0">
        <w:rPr>
          <w:rFonts w:cs="Times New Roman"/>
          <w:szCs w:val="24"/>
        </w:rPr>
        <w:t xml:space="preserve"> to</w:t>
      </w:r>
      <w:r w:rsidRPr="00AC38EA" w:rsidR="0005432E">
        <w:rPr>
          <w:rFonts w:cs="Times New Roman"/>
          <w:szCs w:val="24"/>
        </w:rPr>
        <w:t xml:space="preserve"> admit it was the “Company A” described in the criminal complaint</w:t>
      </w:r>
      <w:r w:rsidR="000E7789">
        <w:rPr>
          <w:rFonts w:cs="Times New Roman"/>
          <w:szCs w:val="24"/>
        </w:rPr>
        <w:t>.</w:t>
      </w:r>
      <w:r>
        <w:rPr>
          <w:rStyle w:val="FootnoteReference"/>
          <w:rFonts w:cs="Times New Roman"/>
          <w:szCs w:val="24"/>
        </w:rPr>
        <w:footnoteReference w:id="4"/>
      </w:r>
      <w:r w:rsidRPr="00AC38EA" w:rsidR="0005432E">
        <w:rPr>
          <w:rFonts w:cs="Times New Roman"/>
          <w:szCs w:val="24"/>
        </w:rPr>
        <w:t xml:space="preserve"> </w:t>
      </w:r>
      <w:r w:rsidR="00485147">
        <w:rPr>
          <w:rFonts w:cs="Times New Roman"/>
          <w:szCs w:val="24"/>
        </w:rPr>
        <w:t xml:space="preserve">So much for </w:t>
      </w:r>
      <w:r w:rsidRPr="00AC38EA" w:rsidR="00485147">
        <w:rPr>
          <w:rFonts w:cs="Times New Roman"/>
          <w:szCs w:val="24"/>
        </w:rPr>
        <w:t>FirstEnergy</w:t>
      </w:r>
      <w:r w:rsidR="00485147">
        <w:rPr>
          <w:rFonts w:cs="Times New Roman"/>
          <w:szCs w:val="24"/>
        </w:rPr>
        <w:t>’s</w:t>
      </w:r>
      <w:r w:rsidRPr="00AC38EA" w:rsidR="00485147">
        <w:rPr>
          <w:rFonts w:cs="Times New Roman"/>
          <w:szCs w:val="24"/>
        </w:rPr>
        <w:t xml:space="preserve"> promises of “fostering trust and transparency at all levels”</w:t>
      </w:r>
      <w:r>
        <w:rPr>
          <w:rStyle w:val="FootnoteReference"/>
          <w:rFonts w:cs="Times New Roman"/>
          <w:szCs w:val="24"/>
        </w:rPr>
        <w:footnoteReference w:id="5"/>
      </w:r>
      <w:r w:rsidRPr="00AC38EA" w:rsidR="00485147">
        <w:rPr>
          <w:rFonts w:cs="Times New Roman"/>
          <w:szCs w:val="24"/>
        </w:rPr>
        <w:t xml:space="preserve"> after the H.B. 6 scandal broke.  </w:t>
      </w:r>
      <w:r w:rsidR="000E7789">
        <w:rPr>
          <w:rFonts w:cs="Times New Roman"/>
          <w:szCs w:val="24"/>
        </w:rPr>
        <w:t>(I</w:t>
      </w:r>
      <w:r w:rsidRPr="00AC38EA" w:rsidR="0005432E">
        <w:rPr>
          <w:rFonts w:cs="Times New Roman"/>
          <w:szCs w:val="24"/>
        </w:rPr>
        <w:t xml:space="preserve">t </w:t>
      </w:r>
      <w:r w:rsidR="000E7789">
        <w:rPr>
          <w:rFonts w:cs="Times New Roman"/>
          <w:szCs w:val="24"/>
        </w:rPr>
        <w:t xml:space="preserve">did </w:t>
      </w:r>
      <w:r w:rsidRPr="00AC38EA" w:rsidR="00B565C0">
        <w:rPr>
          <w:rFonts w:cs="Times New Roman"/>
          <w:szCs w:val="24"/>
        </w:rPr>
        <w:t>admit</w:t>
      </w:r>
      <w:r w:rsidRPr="00AC38EA" w:rsidR="0005432E">
        <w:rPr>
          <w:rFonts w:cs="Times New Roman"/>
          <w:szCs w:val="24"/>
        </w:rPr>
        <w:t xml:space="preserve"> making payments to Generation Now on the same dates and in the same amounts as Company A is alleged to have done</w:t>
      </w:r>
      <w:r w:rsidR="000E7789">
        <w:rPr>
          <w:rFonts w:cs="Times New Roman"/>
          <w:szCs w:val="24"/>
        </w:rPr>
        <w:t>.</w:t>
      </w:r>
      <w:r w:rsidRPr="00AC38EA" w:rsidR="0005432E">
        <w:rPr>
          <w:rFonts w:cs="Times New Roman"/>
          <w:szCs w:val="24"/>
        </w:rPr>
        <w:t>)</w:t>
      </w:r>
      <w:r>
        <w:rPr>
          <w:rStyle w:val="FootnoteReference"/>
          <w:rFonts w:cs="Times New Roman"/>
          <w:szCs w:val="24"/>
        </w:rPr>
        <w:footnoteReference w:id="6"/>
      </w:r>
      <w:r w:rsidRPr="00AC38EA" w:rsidR="0005432E">
        <w:rPr>
          <w:rFonts w:cs="Times New Roman"/>
          <w:szCs w:val="24"/>
        </w:rPr>
        <w:t xml:space="preserve">  </w:t>
      </w:r>
    </w:p>
    <w:p w:rsidR="00D94BD5" w:rsidRPr="00AC38EA" w:rsidP="00D94BD5" w14:paraId="33F86F56" w14:textId="19A4FED7">
      <w:pPr>
        <w:spacing w:after="0" w:line="480" w:lineRule="auto"/>
        <w:ind w:firstLine="720"/>
        <w:rPr>
          <w:rFonts w:cs="Times New Roman"/>
          <w:szCs w:val="24"/>
        </w:rPr>
      </w:pPr>
      <w:r w:rsidRPr="00AC38EA">
        <w:rPr>
          <w:rFonts w:cs="Times New Roman"/>
          <w:szCs w:val="24"/>
        </w:rPr>
        <w:t xml:space="preserve">FirstEnergy admitted </w:t>
      </w:r>
      <w:r w:rsidRPr="00AC38EA" w:rsidR="006C7283">
        <w:rPr>
          <w:rFonts w:cs="Times New Roman"/>
          <w:szCs w:val="24"/>
        </w:rPr>
        <w:t>collecting</w:t>
      </w:r>
      <w:r w:rsidRPr="00AC38EA">
        <w:rPr>
          <w:rFonts w:cs="Times New Roman"/>
          <w:szCs w:val="24"/>
        </w:rPr>
        <w:t xml:space="preserve"> improper costs </w:t>
      </w:r>
      <w:r w:rsidRPr="00AC38EA" w:rsidR="006C7283">
        <w:rPr>
          <w:rFonts w:cs="Times New Roman"/>
          <w:szCs w:val="24"/>
        </w:rPr>
        <w:t>from</w:t>
      </w:r>
      <w:r w:rsidRPr="00AC38EA">
        <w:rPr>
          <w:rFonts w:cs="Times New Roman"/>
          <w:szCs w:val="24"/>
        </w:rPr>
        <w:t xml:space="preserve"> customers</w:t>
      </w:r>
      <w:r w:rsidRPr="00AC38EA" w:rsidR="00B565C0">
        <w:rPr>
          <w:rFonts w:cs="Times New Roman"/>
          <w:szCs w:val="24"/>
        </w:rPr>
        <w:t xml:space="preserve"> over a ten-year period</w:t>
      </w:r>
      <w:r w:rsidR="000E7789">
        <w:rPr>
          <w:rFonts w:cs="Times New Roman"/>
          <w:szCs w:val="24"/>
        </w:rPr>
        <w:t>.</w:t>
      </w:r>
      <w:r>
        <w:rPr>
          <w:rStyle w:val="FootnoteReference"/>
          <w:rFonts w:cs="Times New Roman"/>
          <w:szCs w:val="24"/>
        </w:rPr>
        <w:footnoteReference w:id="7"/>
      </w:r>
      <w:r w:rsidRPr="00AC38EA" w:rsidR="00B565C0">
        <w:rPr>
          <w:rFonts w:cs="Times New Roman"/>
          <w:szCs w:val="24"/>
        </w:rPr>
        <w:t xml:space="preserve"> </w:t>
      </w:r>
      <w:r w:rsidR="000E7789">
        <w:rPr>
          <w:rFonts w:cs="Times New Roman"/>
          <w:szCs w:val="24"/>
        </w:rPr>
        <w:t>B</w:t>
      </w:r>
      <w:r w:rsidRPr="00AC38EA" w:rsidR="00B565C0">
        <w:rPr>
          <w:rFonts w:cs="Times New Roman"/>
          <w:szCs w:val="24"/>
        </w:rPr>
        <w:t>u</w:t>
      </w:r>
      <w:r w:rsidR="00A07F0A">
        <w:rPr>
          <w:rFonts w:cs="Times New Roman"/>
          <w:szCs w:val="24"/>
        </w:rPr>
        <w:t xml:space="preserve">t the FirstEnergy Utilities, when </w:t>
      </w:r>
      <w:r w:rsidRPr="00AC38EA" w:rsidR="00CC548C">
        <w:rPr>
          <w:rFonts w:cs="Times New Roman"/>
          <w:szCs w:val="24"/>
        </w:rPr>
        <w:t xml:space="preserve">asked by OCC, </w:t>
      </w:r>
      <w:r w:rsidRPr="00AC38EA" w:rsidR="00B565C0">
        <w:rPr>
          <w:rFonts w:cs="Times New Roman"/>
          <w:szCs w:val="24"/>
        </w:rPr>
        <w:t xml:space="preserve">won’t identify what the charges were for or </w:t>
      </w:r>
      <w:r w:rsidRPr="00AC38EA" w:rsidR="006C7283">
        <w:rPr>
          <w:rFonts w:cs="Times New Roman"/>
          <w:szCs w:val="24"/>
        </w:rPr>
        <w:t>provide</w:t>
      </w:r>
      <w:r w:rsidRPr="00AC38EA" w:rsidR="00B565C0">
        <w:rPr>
          <w:rFonts w:cs="Times New Roman"/>
          <w:szCs w:val="24"/>
        </w:rPr>
        <w:t xml:space="preserve"> the amount of those charges</w:t>
      </w:r>
      <w:r w:rsidRPr="00AC38EA" w:rsidR="00CC548C">
        <w:rPr>
          <w:rFonts w:cs="Times New Roman"/>
          <w:szCs w:val="24"/>
        </w:rPr>
        <w:t xml:space="preserve"> (and we have seen no refund offers).</w:t>
      </w:r>
      <w:r w:rsidRPr="00AC38EA" w:rsidR="00B565C0">
        <w:rPr>
          <w:rFonts w:cs="Times New Roman"/>
          <w:szCs w:val="24"/>
        </w:rPr>
        <w:t xml:space="preserve">  FirstEnergy admitted </w:t>
      </w:r>
      <w:r w:rsidRPr="00AC38EA" w:rsidR="006C7283">
        <w:rPr>
          <w:rFonts w:cs="Times New Roman"/>
          <w:szCs w:val="24"/>
        </w:rPr>
        <w:t>paying</w:t>
      </w:r>
      <w:r w:rsidRPr="00AC38EA" w:rsidR="00B565C0">
        <w:rPr>
          <w:rFonts w:cs="Times New Roman"/>
          <w:szCs w:val="24"/>
        </w:rPr>
        <w:t xml:space="preserve"> an Ohio regulator $4.3 million in </w:t>
      </w:r>
      <w:r w:rsidRPr="00AC38EA" w:rsidR="006C7283">
        <w:rPr>
          <w:rFonts w:cs="Times New Roman"/>
          <w:szCs w:val="24"/>
        </w:rPr>
        <w:t>“</w:t>
      </w:r>
      <w:r w:rsidRPr="00AC38EA" w:rsidR="00B565C0">
        <w:rPr>
          <w:rFonts w:cs="Times New Roman"/>
          <w:szCs w:val="24"/>
        </w:rPr>
        <w:t>consulting fees</w:t>
      </w:r>
      <w:r w:rsidRPr="00AC38EA" w:rsidR="006C7283">
        <w:rPr>
          <w:rFonts w:cs="Times New Roman"/>
          <w:szCs w:val="24"/>
        </w:rPr>
        <w:t>”</w:t>
      </w:r>
      <w:r w:rsidRPr="00AC38EA" w:rsidR="00B565C0">
        <w:rPr>
          <w:rFonts w:cs="Times New Roman"/>
          <w:szCs w:val="24"/>
        </w:rPr>
        <w:t xml:space="preserve"> for “services other than as represented in the consulting agreement.”</w:t>
      </w:r>
      <w:r>
        <w:rPr>
          <w:rStyle w:val="FootnoteReference"/>
          <w:rFonts w:cs="Times New Roman"/>
          <w:szCs w:val="24"/>
        </w:rPr>
        <w:footnoteReference w:id="8"/>
      </w:r>
      <w:r w:rsidRPr="00AC38EA" w:rsidR="00B565C0">
        <w:rPr>
          <w:rFonts w:cs="Times New Roman"/>
          <w:szCs w:val="24"/>
        </w:rPr>
        <w:t xml:space="preserve">  But it </w:t>
      </w:r>
      <w:r w:rsidRPr="00AC38EA" w:rsidR="00CC548C">
        <w:rPr>
          <w:rFonts w:cs="Times New Roman"/>
          <w:szCs w:val="24"/>
        </w:rPr>
        <w:t>hasn’t</w:t>
      </w:r>
      <w:r w:rsidRPr="00AC38EA" w:rsidR="00B565C0">
        <w:rPr>
          <w:rFonts w:cs="Times New Roman"/>
          <w:szCs w:val="24"/>
        </w:rPr>
        <w:t xml:space="preserve"> identif</w:t>
      </w:r>
      <w:r w:rsidRPr="00AC38EA" w:rsidR="00CC548C">
        <w:rPr>
          <w:rFonts w:cs="Times New Roman"/>
          <w:szCs w:val="24"/>
        </w:rPr>
        <w:t>ied</w:t>
      </w:r>
      <w:r w:rsidRPr="00AC38EA" w:rsidR="00B565C0">
        <w:rPr>
          <w:rFonts w:cs="Times New Roman"/>
          <w:szCs w:val="24"/>
        </w:rPr>
        <w:t xml:space="preserve"> the regulator or explain</w:t>
      </w:r>
      <w:r w:rsidRPr="00AC38EA" w:rsidR="00CC548C">
        <w:rPr>
          <w:rFonts w:cs="Times New Roman"/>
          <w:szCs w:val="24"/>
        </w:rPr>
        <w:t>ed</w:t>
      </w:r>
      <w:r w:rsidRPr="00AC38EA" w:rsidR="00B565C0">
        <w:rPr>
          <w:rFonts w:cs="Times New Roman"/>
          <w:szCs w:val="24"/>
        </w:rPr>
        <w:t xml:space="preserve"> the real purpose of the $4.3 million pay</w:t>
      </w:r>
      <w:r w:rsidR="00F42692">
        <w:rPr>
          <w:rFonts w:cs="Times New Roman"/>
          <w:szCs w:val="24"/>
        </w:rPr>
        <w:t>ment</w:t>
      </w:r>
      <w:r w:rsidRPr="00AC38EA" w:rsidR="00B565C0">
        <w:rPr>
          <w:rFonts w:cs="Times New Roman"/>
          <w:szCs w:val="24"/>
        </w:rPr>
        <w:t xml:space="preserve">.  </w:t>
      </w:r>
    </w:p>
    <w:p w:rsidR="003F740B" w:rsidP="00D7222D" w14:paraId="42BB8745" w14:textId="69D13A45">
      <w:pPr>
        <w:spacing w:after="0" w:line="480" w:lineRule="auto"/>
        <w:ind w:firstLine="720"/>
        <w:rPr>
          <w:rFonts w:cs="Times New Roman"/>
          <w:szCs w:val="24"/>
        </w:rPr>
      </w:pPr>
      <w:r w:rsidRPr="00AC38EA">
        <w:rPr>
          <w:rFonts w:cs="Times New Roman"/>
          <w:szCs w:val="24"/>
        </w:rPr>
        <w:t xml:space="preserve">This brings us to </w:t>
      </w:r>
      <w:r w:rsidRPr="00AC38EA" w:rsidR="00D94BD5">
        <w:rPr>
          <w:rFonts w:cs="Times New Roman"/>
          <w:szCs w:val="24"/>
        </w:rPr>
        <w:t xml:space="preserve">the </w:t>
      </w:r>
      <w:r w:rsidR="00A07F0A">
        <w:rPr>
          <w:rFonts w:cs="Times New Roman"/>
          <w:szCs w:val="24"/>
        </w:rPr>
        <w:t>FirstEnergy Utilities</w:t>
      </w:r>
      <w:r w:rsidRPr="00AC38EA" w:rsidR="00D94BD5">
        <w:rPr>
          <w:rFonts w:cs="Times New Roman"/>
          <w:szCs w:val="24"/>
        </w:rPr>
        <w:t xml:space="preserve">’ </w:t>
      </w:r>
      <w:r w:rsidRPr="00AC38EA">
        <w:rPr>
          <w:rFonts w:cs="Times New Roman"/>
          <w:szCs w:val="24"/>
        </w:rPr>
        <w:t xml:space="preserve">motion </w:t>
      </w:r>
      <w:r w:rsidRPr="00AC38EA" w:rsidR="00D94BD5">
        <w:rPr>
          <w:rFonts w:cs="Times New Roman"/>
          <w:szCs w:val="24"/>
        </w:rPr>
        <w:t xml:space="preserve">asking the PUCO to </w:t>
      </w:r>
      <w:r>
        <w:rPr>
          <w:rFonts w:cs="Times New Roman"/>
          <w:szCs w:val="24"/>
        </w:rPr>
        <w:t>“</w:t>
      </w:r>
      <w:r w:rsidRPr="00AC38EA" w:rsidR="00D94BD5">
        <w:rPr>
          <w:rFonts w:cs="Times New Roman"/>
          <w:szCs w:val="24"/>
        </w:rPr>
        <w:t>protect</w:t>
      </w:r>
      <w:r>
        <w:rPr>
          <w:rFonts w:cs="Times New Roman"/>
          <w:szCs w:val="24"/>
        </w:rPr>
        <w:t>”</w:t>
      </w:r>
      <w:r w:rsidRPr="00AC38EA" w:rsidR="00D94BD5">
        <w:rPr>
          <w:rFonts w:cs="Times New Roman"/>
          <w:szCs w:val="24"/>
        </w:rPr>
        <w:t xml:space="preserve"> them from having to respond to approximately half of OCC’s discovery requests in OCC’s Fourth Set of discovery</w:t>
      </w:r>
      <w:r w:rsidRPr="00AC38EA" w:rsidR="00D7222D">
        <w:rPr>
          <w:rFonts w:cs="Times New Roman"/>
          <w:szCs w:val="24"/>
        </w:rPr>
        <w:t xml:space="preserve">. </w:t>
      </w:r>
      <w:r>
        <w:rPr>
          <w:rFonts w:cs="Times New Roman"/>
          <w:szCs w:val="24"/>
        </w:rPr>
        <w:t>But it is Ohio consumers who need the protection. And they are not getting protection based on the case process to date.</w:t>
      </w:r>
    </w:p>
    <w:p w:rsidR="00346095" w:rsidRPr="00AC38EA" w:rsidP="00D7222D" w14:paraId="18DAE064" w14:textId="743801B2">
      <w:pPr>
        <w:spacing w:after="0" w:line="480" w:lineRule="auto"/>
        <w:ind w:firstLine="720"/>
        <w:rPr>
          <w:rFonts w:cs="Times New Roman"/>
          <w:szCs w:val="24"/>
        </w:rPr>
      </w:pPr>
      <w:r w:rsidRPr="00AC38EA">
        <w:rPr>
          <w:rFonts w:cs="Times New Roman"/>
          <w:szCs w:val="24"/>
        </w:rPr>
        <w:t xml:space="preserve">In </w:t>
      </w:r>
      <w:r w:rsidRPr="00AC38EA" w:rsidR="00104584">
        <w:rPr>
          <w:rFonts w:cs="Times New Roman"/>
          <w:szCs w:val="24"/>
        </w:rPr>
        <w:t>their</w:t>
      </w:r>
      <w:r w:rsidRPr="00AC38EA">
        <w:rPr>
          <w:rFonts w:cs="Times New Roman"/>
          <w:szCs w:val="24"/>
        </w:rPr>
        <w:t xml:space="preserve"> </w:t>
      </w:r>
      <w:r w:rsidRPr="00AC38EA" w:rsidR="00777DBE">
        <w:rPr>
          <w:rFonts w:cs="Times New Roman"/>
          <w:szCs w:val="24"/>
        </w:rPr>
        <w:t>M</w:t>
      </w:r>
      <w:r w:rsidRPr="00AC38EA">
        <w:rPr>
          <w:rFonts w:cs="Times New Roman"/>
          <w:szCs w:val="24"/>
        </w:rPr>
        <w:t>otion</w:t>
      </w:r>
      <w:r w:rsidRPr="00AC38EA" w:rsidR="00104584">
        <w:rPr>
          <w:rFonts w:cs="Times New Roman"/>
          <w:szCs w:val="24"/>
        </w:rPr>
        <w:t>,</w:t>
      </w:r>
      <w:r w:rsidRPr="00AC38EA">
        <w:rPr>
          <w:rFonts w:cs="Times New Roman"/>
          <w:szCs w:val="24"/>
        </w:rPr>
        <w:t xml:space="preserve"> the </w:t>
      </w:r>
      <w:r w:rsidR="00A07F0A">
        <w:rPr>
          <w:rFonts w:cs="Times New Roman"/>
          <w:szCs w:val="24"/>
        </w:rPr>
        <w:t>FirstEnergy Utilities</w:t>
      </w:r>
      <w:r w:rsidRPr="00AC38EA" w:rsidR="00B55EE2">
        <w:rPr>
          <w:rFonts w:cs="Times New Roman"/>
          <w:szCs w:val="24"/>
        </w:rPr>
        <w:t xml:space="preserve"> assert that OCC’s requests seek information beyond the PUCO’s jurisdiction to investigate </w:t>
      </w:r>
      <w:r w:rsidRPr="00AC38EA" w:rsidR="001108B8">
        <w:rPr>
          <w:rFonts w:cs="Times New Roman"/>
          <w:szCs w:val="24"/>
        </w:rPr>
        <w:t xml:space="preserve">and OCC’s own authority to investigate, seek information </w:t>
      </w:r>
      <w:r w:rsidRPr="00AC38EA" w:rsidR="00B55EE2">
        <w:rPr>
          <w:rFonts w:cs="Times New Roman"/>
          <w:szCs w:val="24"/>
        </w:rPr>
        <w:t>outside the scope of this proceeding</w:t>
      </w:r>
      <w:r w:rsidRPr="00AC38EA" w:rsidR="001108B8">
        <w:rPr>
          <w:rFonts w:cs="Times New Roman"/>
          <w:szCs w:val="24"/>
        </w:rPr>
        <w:t xml:space="preserve"> and are vague</w:t>
      </w:r>
      <w:r w:rsidR="00AC5E01">
        <w:rPr>
          <w:rFonts w:cs="Times New Roman"/>
          <w:szCs w:val="24"/>
        </w:rPr>
        <w:t>,</w:t>
      </w:r>
      <w:r w:rsidRPr="00AC38EA" w:rsidR="001108B8">
        <w:rPr>
          <w:rFonts w:cs="Times New Roman"/>
          <w:szCs w:val="24"/>
        </w:rPr>
        <w:t xml:space="preserve"> ambiguous and overbroad.</w:t>
      </w:r>
      <w:r>
        <w:rPr>
          <w:rStyle w:val="FootnoteReference"/>
          <w:rFonts w:cs="Times New Roman"/>
          <w:szCs w:val="24"/>
        </w:rPr>
        <w:footnoteReference w:id="9"/>
      </w:r>
      <w:r w:rsidRPr="00AC38EA" w:rsidR="001108B8">
        <w:rPr>
          <w:rFonts w:cs="Times New Roman"/>
          <w:szCs w:val="24"/>
        </w:rPr>
        <w:t xml:space="preserve">  The </w:t>
      </w:r>
      <w:r w:rsidR="00A07F0A">
        <w:rPr>
          <w:rFonts w:cs="Times New Roman"/>
          <w:szCs w:val="24"/>
        </w:rPr>
        <w:t>FirstEnergy Utilities</w:t>
      </w:r>
      <w:r w:rsidRPr="00AC38EA" w:rsidR="001108B8">
        <w:rPr>
          <w:rFonts w:cs="Times New Roman"/>
          <w:szCs w:val="24"/>
        </w:rPr>
        <w:t xml:space="preserve"> then allege the requests are not reasonably calculated to lead to the discovery of admissible or relevant evidence and would cause them “undue burden and expense.”</w:t>
      </w:r>
      <w:r>
        <w:rPr>
          <w:rStyle w:val="FootnoteReference"/>
          <w:rFonts w:cs="Times New Roman"/>
          <w:szCs w:val="24"/>
        </w:rPr>
        <w:footnoteReference w:id="10"/>
      </w:r>
      <w:r w:rsidRPr="00AC38EA" w:rsidR="001108B8">
        <w:rPr>
          <w:rFonts w:cs="Times New Roman"/>
          <w:szCs w:val="24"/>
        </w:rPr>
        <w:t xml:space="preserve">  </w:t>
      </w:r>
    </w:p>
    <w:p w:rsidR="001108B8" w:rsidRPr="00AC38EA" w:rsidP="00D7222D" w14:paraId="1C849AE4" w14:textId="7D18619E">
      <w:pPr>
        <w:spacing w:after="0" w:line="480" w:lineRule="auto"/>
        <w:ind w:firstLine="720"/>
        <w:rPr>
          <w:rFonts w:cs="Times New Roman"/>
          <w:szCs w:val="24"/>
        </w:rPr>
      </w:pPr>
      <w:r w:rsidRPr="00AC38EA">
        <w:rPr>
          <w:rFonts w:cs="Times New Roman"/>
          <w:szCs w:val="24"/>
        </w:rPr>
        <w:t xml:space="preserve">The PUCO should summarily reject </w:t>
      </w:r>
      <w:r w:rsidRPr="00AC38EA" w:rsidR="001E6BEB">
        <w:rPr>
          <w:rFonts w:cs="Times New Roman"/>
          <w:szCs w:val="24"/>
        </w:rPr>
        <w:t xml:space="preserve">the </w:t>
      </w:r>
      <w:r w:rsidR="00A07F0A">
        <w:rPr>
          <w:rFonts w:cs="Times New Roman"/>
          <w:szCs w:val="24"/>
        </w:rPr>
        <w:t>FirstEnergy Utilities</w:t>
      </w:r>
      <w:r w:rsidRPr="00AC38EA" w:rsidR="001E6BEB">
        <w:rPr>
          <w:rFonts w:cs="Times New Roman"/>
          <w:szCs w:val="24"/>
        </w:rPr>
        <w:t>’</w:t>
      </w:r>
      <w:r w:rsidRPr="00AC38EA">
        <w:rPr>
          <w:rFonts w:cs="Times New Roman"/>
          <w:szCs w:val="24"/>
        </w:rPr>
        <w:t xml:space="preserve"> arguments</w:t>
      </w:r>
      <w:r w:rsidRPr="00AC38EA" w:rsidR="0014266B">
        <w:rPr>
          <w:rFonts w:cs="Times New Roman"/>
          <w:szCs w:val="24"/>
        </w:rPr>
        <w:t xml:space="preserve"> on the disputed discovery requests</w:t>
      </w:r>
      <w:r w:rsidR="00231939">
        <w:rPr>
          <w:rFonts w:cs="Times New Roman"/>
          <w:szCs w:val="24"/>
        </w:rPr>
        <w:t>.</w:t>
      </w:r>
      <w:r w:rsidRPr="00AC38EA">
        <w:rPr>
          <w:rFonts w:cs="Times New Roman"/>
          <w:szCs w:val="24"/>
        </w:rPr>
        <w:t xml:space="preserve"> </w:t>
      </w:r>
      <w:r w:rsidR="00231939">
        <w:rPr>
          <w:rFonts w:cs="Times New Roman"/>
          <w:szCs w:val="24"/>
        </w:rPr>
        <w:t>A</w:t>
      </w:r>
      <w:r w:rsidRPr="00AC38EA">
        <w:rPr>
          <w:rFonts w:cs="Times New Roman"/>
          <w:szCs w:val="24"/>
        </w:rPr>
        <w:t xml:space="preserve">nd </w:t>
      </w:r>
      <w:r w:rsidR="00231939">
        <w:rPr>
          <w:rFonts w:cs="Times New Roman"/>
          <w:szCs w:val="24"/>
        </w:rPr>
        <w:t xml:space="preserve">it should </w:t>
      </w:r>
      <w:r w:rsidR="00A07F0A">
        <w:rPr>
          <w:rFonts w:cs="Times New Roman"/>
          <w:szCs w:val="24"/>
        </w:rPr>
        <w:t xml:space="preserve">allow OCC to conduct discovery now, </w:t>
      </w:r>
      <w:r w:rsidR="002861CA">
        <w:rPr>
          <w:rFonts w:cs="Times New Roman"/>
          <w:szCs w:val="24"/>
        </w:rPr>
        <w:t xml:space="preserve">not </w:t>
      </w:r>
      <w:r w:rsidR="006838F8">
        <w:rPr>
          <w:rFonts w:cs="Times New Roman"/>
          <w:szCs w:val="24"/>
        </w:rPr>
        <w:t xml:space="preserve">wait </w:t>
      </w:r>
      <w:r w:rsidR="002861CA">
        <w:rPr>
          <w:rFonts w:cs="Times New Roman"/>
          <w:szCs w:val="24"/>
        </w:rPr>
        <w:t>months from now</w:t>
      </w:r>
      <w:r w:rsidR="006838F8">
        <w:rPr>
          <w:rFonts w:cs="Times New Roman"/>
          <w:szCs w:val="24"/>
        </w:rPr>
        <w:t xml:space="preserve"> until an audit is completed</w:t>
      </w:r>
      <w:r w:rsidR="002861CA">
        <w:rPr>
          <w:rFonts w:cs="Times New Roman"/>
          <w:szCs w:val="24"/>
        </w:rPr>
        <w:t>. The PUCO should h</w:t>
      </w:r>
      <w:r w:rsidRPr="00AC38EA" w:rsidR="000171A1">
        <w:rPr>
          <w:rFonts w:cs="Times New Roman"/>
          <w:szCs w:val="24"/>
        </w:rPr>
        <w:t xml:space="preserve">old the </w:t>
      </w:r>
      <w:r w:rsidR="00A07F0A">
        <w:rPr>
          <w:rFonts w:cs="Times New Roman"/>
          <w:szCs w:val="24"/>
        </w:rPr>
        <w:t>FirstEnergy Utilities</w:t>
      </w:r>
      <w:r w:rsidRPr="00AC38EA" w:rsidR="000171A1">
        <w:rPr>
          <w:rFonts w:cs="Times New Roman"/>
          <w:szCs w:val="24"/>
        </w:rPr>
        <w:t xml:space="preserve"> to</w:t>
      </w:r>
      <w:r w:rsidRPr="00AC38EA" w:rsidR="001E6BEB">
        <w:rPr>
          <w:rFonts w:cs="Times New Roman"/>
          <w:szCs w:val="24"/>
        </w:rPr>
        <w:t xml:space="preserve"> FirstEnergy</w:t>
      </w:r>
      <w:r w:rsidR="006838F8">
        <w:rPr>
          <w:rFonts w:cs="Times New Roman"/>
          <w:szCs w:val="24"/>
        </w:rPr>
        <w:t>’s</w:t>
      </w:r>
      <w:r w:rsidRPr="00AC38EA" w:rsidR="000171A1">
        <w:rPr>
          <w:rFonts w:cs="Times New Roman"/>
          <w:szCs w:val="24"/>
        </w:rPr>
        <w:t xml:space="preserve"> claim of transparency and cooperation</w:t>
      </w:r>
      <w:r w:rsidR="00231939">
        <w:rPr>
          <w:rFonts w:cs="Times New Roman"/>
          <w:szCs w:val="24"/>
        </w:rPr>
        <w:t>.</w:t>
      </w:r>
      <w:r>
        <w:rPr>
          <w:rStyle w:val="FootnoteReference"/>
          <w:rFonts w:cs="Times New Roman"/>
          <w:szCs w:val="24"/>
        </w:rPr>
        <w:footnoteReference w:id="11"/>
      </w:r>
      <w:r w:rsidR="00231939">
        <w:rPr>
          <w:rFonts w:cs="Times New Roman"/>
          <w:szCs w:val="24"/>
        </w:rPr>
        <w:t xml:space="preserve"> </w:t>
      </w:r>
      <w:r w:rsidR="006838F8">
        <w:rPr>
          <w:rFonts w:cs="Times New Roman"/>
          <w:szCs w:val="24"/>
        </w:rPr>
        <w:t xml:space="preserve"> </w:t>
      </w:r>
      <w:r w:rsidR="00231939">
        <w:rPr>
          <w:rFonts w:cs="Times New Roman"/>
          <w:szCs w:val="24"/>
        </w:rPr>
        <w:t xml:space="preserve">But more importantly, the PUCO should hold the </w:t>
      </w:r>
      <w:r w:rsidR="00A07F0A">
        <w:rPr>
          <w:rFonts w:cs="Times New Roman"/>
          <w:szCs w:val="24"/>
        </w:rPr>
        <w:t>FirstEnergy Utilities</w:t>
      </w:r>
      <w:r w:rsidR="00231939">
        <w:rPr>
          <w:rFonts w:cs="Times New Roman"/>
          <w:szCs w:val="24"/>
        </w:rPr>
        <w:t xml:space="preserve"> to the law and rules of Ohio that they are obstructing for cases involving the public and public </w:t>
      </w:r>
      <w:r w:rsidR="00A07F0A">
        <w:rPr>
          <w:rFonts w:cs="Times New Roman"/>
          <w:szCs w:val="24"/>
        </w:rPr>
        <w:t>utilities</w:t>
      </w:r>
      <w:r w:rsidR="00231939">
        <w:rPr>
          <w:rFonts w:cs="Times New Roman"/>
          <w:szCs w:val="24"/>
        </w:rPr>
        <w:t xml:space="preserve"> at the</w:t>
      </w:r>
      <w:r w:rsidR="006838F8">
        <w:rPr>
          <w:rFonts w:cs="Times New Roman"/>
          <w:szCs w:val="24"/>
        </w:rPr>
        <w:t xml:space="preserve"> PUCO</w:t>
      </w:r>
      <w:r w:rsidR="00231939">
        <w:rPr>
          <w:rFonts w:cs="Times New Roman"/>
          <w:szCs w:val="24"/>
        </w:rPr>
        <w:t xml:space="preserve">. </w:t>
      </w:r>
      <w:r w:rsidRPr="00AC38EA" w:rsidR="000171A1">
        <w:rPr>
          <w:rFonts w:cs="Times New Roman"/>
          <w:szCs w:val="24"/>
        </w:rPr>
        <w:t xml:space="preserve">  </w:t>
      </w:r>
    </w:p>
    <w:p w:rsidR="00006640" w:rsidRPr="00AC38EA" w:rsidP="002E7599" w14:paraId="2511C3A7" w14:textId="3B1B4DC4">
      <w:pPr>
        <w:pStyle w:val="Heading1"/>
        <w:numPr>
          <w:ilvl w:val="0"/>
          <w:numId w:val="0"/>
        </w:numPr>
        <w:ind w:left="720" w:hanging="720"/>
        <w:rPr>
          <w:rFonts w:ascii="Times New Roman" w:hAnsi="Times New Roman" w:cs="Times New Roman"/>
          <w:szCs w:val="24"/>
        </w:rPr>
      </w:pPr>
      <w:bookmarkStart w:id="3" w:name="_Toc72747106"/>
      <w:bookmarkStart w:id="4" w:name="_Toc73086659"/>
      <w:bookmarkStart w:id="5" w:name="_Toc73106041"/>
      <w:r w:rsidRPr="00AC38EA">
        <w:rPr>
          <w:rFonts w:ascii="Times New Roman" w:hAnsi="Times New Roman" w:cs="Times New Roman"/>
          <w:szCs w:val="24"/>
        </w:rPr>
        <w:t>II.</w:t>
      </w:r>
      <w:r w:rsidRPr="00AC38EA">
        <w:rPr>
          <w:rFonts w:ascii="Times New Roman" w:hAnsi="Times New Roman" w:cs="Times New Roman"/>
          <w:szCs w:val="24"/>
        </w:rPr>
        <w:tab/>
        <w:t>ARGUMENT</w:t>
      </w:r>
      <w:bookmarkEnd w:id="3"/>
      <w:bookmarkEnd w:id="4"/>
      <w:bookmarkEnd w:id="5"/>
      <w:r w:rsidRPr="00AC38EA">
        <w:rPr>
          <w:rFonts w:ascii="Times New Roman" w:hAnsi="Times New Roman" w:cs="Times New Roman"/>
          <w:szCs w:val="24"/>
        </w:rPr>
        <w:tab/>
      </w:r>
    </w:p>
    <w:p w:rsidR="00B565C0" w:rsidRPr="00AC38EA" w:rsidP="002E7599" w14:paraId="3B58FB9C" w14:textId="4643B37D">
      <w:pPr>
        <w:pStyle w:val="Heading2"/>
        <w:rPr>
          <w:rFonts w:ascii="Times New Roman" w:hAnsi="Times New Roman"/>
        </w:rPr>
      </w:pPr>
      <w:bookmarkStart w:id="6" w:name="_Toc72747107"/>
      <w:bookmarkStart w:id="7" w:name="_Toc73086660"/>
      <w:bookmarkStart w:id="8" w:name="_Toc73106042"/>
      <w:r w:rsidRPr="00AC38EA">
        <w:rPr>
          <w:rFonts w:ascii="Times New Roman" w:hAnsi="Times New Roman"/>
        </w:rPr>
        <w:t>A.</w:t>
      </w:r>
      <w:r w:rsidRPr="00AC38EA">
        <w:rPr>
          <w:rFonts w:ascii="Times New Roman" w:hAnsi="Times New Roman"/>
        </w:rPr>
        <w:tab/>
      </w:r>
      <w:r w:rsidRPr="00AC38EA" w:rsidR="000059AC">
        <w:rPr>
          <w:rFonts w:ascii="Times New Roman" w:hAnsi="Times New Roman"/>
        </w:rPr>
        <w:t>The PUCO should uphold OCC’s broad right to discovery</w:t>
      </w:r>
      <w:r w:rsidRPr="00AC38EA">
        <w:rPr>
          <w:rFonts w:ascii="Times New Roman" w:hAnsi="Times New Roman"/>
        </w:rPr>
        <w:t>.</w:t>
      </w:r>
      <w:bookmarkEnd w:id="6"/>
      <w:bookmarkEnd w:id="7"/>
      <w:bookmarkEnd w:id="8"/>
    </w:p>
    <w:p w:rsidR="00E843A7" w:rsidRPr="00AC38EA" w:rsidP="00E843A7" w14:paraId="27B475AB" w14:textId="5FF50942">
      <w:pPr>
        <w:spacing w:after="0" w:line="480" w:lineRule="auto"/>
        <w:ind w:firstLine="720"/>
        <w:rPr>
          <w:rFonts w:cs="Times New Roman"/>
          <w:szCs w:val="24"/>
        </w:rPr>
      </w:pPr>
      <w:r w:rsidRPr="00AC38EA">
        <w:rPr>
          <w:rFonts w:cs="Times New Roman"/>
          <w:szCs w:val="24"/>
        </w:rPr>
        <w:t>OCC withdraw</w:t>
      </w:r>
      <w:r w:rsidR="00AC5E01">
        <w:rPr>
          <w:rFonts w:cs="Times New Roman"/>
          <w:szCs w:val="24"/>
        </w:rPr>
        <w:t>s</w:t>
      </w:r>
      <w:r w:rsidRPr="00AC38EA">
        <w:rPr>
          <w:rFonts w:cs="Times New Roman"/>
          <w:szCs w:val="24"/>
        </w:rPr>
        <w:t xml:space="preserve"> the following discovery requests at this time: </w:t>
      </w:r>
      <w:r w:rsidRPr="00AC38EA">
        <w:rPr>
          <w:rFonts w:cs="Times New Roman"/>
          <w:b/>
          <w:bCs/>
          <w:szCs w:val="24"/>
        </w:rPr>
        <w:t>INT-04-002, INT-04-04 through INT-04-008, INT-04-009, INT-04-010(a),(b) &amp; (c), INT-04-011, INT-04-015 and INT-04-018; RFA-04-001, RFA-04-002 and RFA-04-004; and RPD-04-007</w:t>
      </w:r>
      <w:r w:rsidRPr="00AC38EA">
        <w:rPr>
          <w:rFonts w:cs="Times New Roman"/>
          <w:szCs w:val="24"/>
        </w:rPr>
        <w:t xml:space="preserve">.  To some extent, these discovery requests go to issues presented in Case No. 20-1502-EL-UNC.  OCC notes that the two cases have not been consolidated, which has forced OCC at times to ask </w:t>
      </w:r>
      <w:r>
        <w:rPr>
          <w:rFonts w:cs="Times New Roman"/>
          <w:szCs w:val="24"/>
        </w:rPr>
        <w:t xml:space="preserve">for </w:t>
      </w:r>
      <w:r w:rsidRPr="00AC38EA">
        <w:rPr>
          <w:rFonts w:cs="Times New Roman"/>
          <w:szCs w:val="24"/>
        </w:rPr>
        <w:t xml:space="preserve">the same discovery in different cases.  OCC reserves the right to re-submit these discovery requests and to ask the PUCO take administrative notice of FirstEnergy’s responses to any corresponding discovery in Case No. 20-1502-EL-UNC.   </w:t>
      </w:r>
    </w:p>
    <w:p w:rsidR="00E843A7" w:rsidRPr="00AC38EA" w:rsidP="00E843A7" w14:paraId="5112DE7D" w14:textId="2B65E3EF">
      <w:pPr>
        <w:spacing w:after="0" w:line="480" w:lineRule="auto"/>
        <w:ind w:firstLine="720"/>
        <w:rPr>
          <w:rFonts w:cs="Times New Roman"/>
          <w:b/>
          <w:bCs/>
          <w:szCs w:val="24"/>
        </w:rPr>
      </w:pPr>
      <w:r w:rsidRPr="00AC38EA">
        <w:rPr>
          <w:rFonts w:cs="Times New Roman"/>
          <w:szCs w:val="24"/>
        </w:rPr>
        <w:t xml:space="preserve">That leaves the PUCO to consider the </w:t>
      </w:r>
      <w:r w:rsidR="00A07F0A">
        <w:rPr>
          <w:rFonts w:cs="Times New Roman"/>
          <w:szCs w:val="24"/>
        </w:rPr>
        <w:t>FirstEnergy Utilities</w:t>
      </w:r>
      <w:r w:rsidRPr="00AC38EA">
        <w:rPr>
          <w:rFonts w:cs="Times New Roman"/>
          <w:szCs w:val="24"/>
        </w:rPr>
        <w:t xml:space="preserve">’ Motion for Protective Order related to the following OCC discovery:  </w:t>
      </w:r>
      <w:r w:rsidRPr="00AC38EA">
        <w:rPr>
          <w:rFonts w:cs="Times New Roman"/>
          <w:b/>
          <w:bCs/>
          <w:szCs w:val="24"/>
        </w:rPr>
        <w:t>INT-04-003, INT-04-010(e), INT-04-016, INT-04-017, INT-04-019, INT-04-021, INT-04-023, INT-04-24, INT-04-025; and RFA-04-003 and RFA-04-013, RFA-04-014,  RFA-04-015; RFP-04-004 and RFP-04-016.</w:t>
      </w:r>
    </w:p>
    <w:p w:rsidR="000059AC" w:rsidRPr="00AC38EA" w:rsidP="000059AC" w14:paraId="6004B9B8" w14:textId="1F8ED708">
      <w:pPr>
        <w:pStyle w:val="ListParagraph"/>
        <w:autoSpaceDE w:val="0"/>
        <w:autoSpaceDN w:val="0"/>
        <w:adjustRightInd w:val="0"/>
        <w:spacing w:after="0" w:line="480" w:lineRule="auto"/>
        <w:ind w:left="0" w:firstLine="720"/>
        <w:rPr>
          <w:rFonts w:ascii="Times New Roman" w:hAnsi="Times New Roman" w:cs="Times New Roman"/>
          <w:color w:val="000000"/>
          <w:sz w:val="24"/>
          <w:szCs w:val="24"/>
        </w:rPr>
      </w:pPr>
      <w:r w:rsidRPr="00AC38EA">
        <w:rPr>
          <w:rFonts w:ascii="Times New Roman" w:hAnsi="Times New Roman" w:cs="Times New Roman"/>
          <w:sz w:val="24"/>
          <w:szCs w:val="24"/>
        </w:rPr>
        <w:t>A</w:t>
      </w:r>
      <w:r w:rsidRPr="00AC38EA">
        <w:rPr>
          <w:rFonts w:ascii="Times New Roman" w:hAnsi="Times New Roman" w:cs="Times New Roman"/>
          <w:color w:val="000000"/>
          <w:sz w:val="24"/>
          <w:szCs w:val="24"/>
        </w:rPr>
        <w:t>ccording to the PUCO “the policy of discovery is to allow the parties to prepare cases and to encourage them to prepare thoroughly without taking undue advantage of the other side’s industry or efforts.”</w:t>
      </w:r>
      <w:r>
        <w:rPr>
          <w:rFonts w:ascii="Times New Roman" w:hAnsi="Times New Roman" w:cs="Times New Roman"/>
          <w:sz w:val="24"/>
          <w:szCs w:val="24"/>
          <w:vertAlign w:val="superscript"/>
        </w:rPr>
        <w:footnoteReference w:id="12"/>
      </w:r>
      <w:r w:rsidRPr="00AC38EA">
        <w:rPr>
          <w:rFonts w:ascii="Times New Roman" w:hAnsi="Times New Roman" w:cs="Times New Roman"/>
          <w:color w:val="000000"/>
          <w:sz w:val="24"/>
          <w:szCs w:val="24"/>
        </w:rPr>
        <w:t xml:space="preserve">  The PUCO’s rules on discovery “</w:t>
      </w:r>
      <w:r w:rsidRPr="00AC38EA">
        <w:rPr>
          <w:rFonts w:ascii="Times New Roman" w:hAnsi="Times New Roman" w:cs="Times New Roman"/>
          <w:i/>
          <w:color w:val="000000"/>
          <w:sz w:val="24"/>
          <w:szCs w:val="24"/>
        </w:rPr>
        <w:t>do not create an additional field of combat to delay trials or to appropriate the Commission’s time and resources</w:t>
      </w:r>
      <w:r w:rsidRPr="00AC38EA">
        <w:rPr>
          <w:rFonts w:ascii="Times New Roman" w:hAnsi="Times New Roman" w:cs="Times New Roman"/>
          <w:color w:val="000000"/>
          <w:sz w:val="24"/>
          <w:szCs w:val="24"/>
        </w:rPr>
        <w:t>; they are designed to confine discovery procedures to counsel and to expedite the administration of the Commission proceedings.”</w:t>
      </w:r>
      <w:r>
        <w:rPr>
          <w:rFonts w:ascii="Times New Roman" w:hAnsi="Times New Roman" w:cs="Times New Roman"/>
          <w:sz w:val="24"/>
          <w:szCs w:val="24"/>
          <w:vertAlign w:val="superscript"/>
        </w:rPr>
        <w:footnoteReference w:id="13"/>
      </w:r>
      <w:r w:rsidRPr="00AC38EA">
        <w:rPr>
          <w:rFonts w:ascii="Times New Roman" w:hAnsi="Times New Roman" w:cs="Times New Roman"/>
          <w:color w:val="000000"/>
          <w:sz w:val="24"/>
          <w:szCs w:val="24"/>
        </w:rPr>
        <w:t xml:space="preserve"> These rules are intended to facilitate full and reasonable discovery, consistent with the statutory discovery rights parties are afforded under R.C. 4903.082.  </w:t>
      </w:r>
    </w:p>
    <w:p w:rsidR="000171A1" w:rsidRPr="00AC38EA" w:rsidP="001E6BEB" w14:paraId="7FCF0119" w14:textId="5B7E6142">
      <w:pPr>
        <w:autoSpaceDE w:val="0"/>
        <w:autoSpaceDN w:val="0"/>
        <w:adjustRightInd w:val="0"/>
        <w:spacing w:after="0" w:line="480" w:lineRule="auto"/>
        <w:ind w:firstLine="720"/>
        <w:rPr>
          <w:rFonts w:cs="Times New Roman"/>
          <w:color w:val="000000"/>
          <w:szCs w:val="24"/>
        </w:rPr>
      </w:pPr>
      <w:r w:rsidRPr="00AC38EA">
        <w:rPr>
          <w:rFonts w:cs="Times New Roman"/>
          <w:szCs w:val="24"/>
        </w:rPr>
        <w:t>R.C. 4903.082 states that “[a]ll parties and intervenors shall be granted ample rights of discovery.”</w:t>
      </w:r>
      <w:r w:rsidRPr="00AC38EA">
        <w:rPr>
          <w:rFonts w:cs="Times New Roman"/>
          <w:i/>
          <w:iCs/>
          <w:szCs w:val="24"/>
        </w:rPr>
        <w:t xml:space="preserve"> See</w:t>
      </w:r>
      <w:r w:rsidRPr="00AC38EA">
        <w:rPr>
          <w:rFonts w:cs="Times New Roman"/>
          <w:szCs w:val="24"/>
        </w:rPr>
        <w:t xml:space="preserve"> </w:t>
      </w:r>
      <w:r w:rsidRPr="00AC38EA">
        <w:rPr>
          <w:rFonts w:cs="Times New Roman"/>
          <w:i/>
          <w:iCs/>
          <w:szCs w:val="24"/>
        </w:rPr>
        <w:t>OCC v. PUC,</w:t>
      </w:r>
      <w:r w:rsidRPr="00AC38EA">
        <w:rPr>
          <w:rFonts w:cs="Times New Roman"/>
          <w:szCs w:val="24"/>
        </w:rPr>
        <w:t xml:space="preserve"> 111 Ohio St.3d 300, 2006-Ohio-5789. The discovery statute was effective in 1983 as part of a more comprehensive regulatory reform.  R.C. 4903.082 was intended to protect discovery rights for parties in PUCO cases.  Yet all these years later, </w:t>
      </w:r>
      <w:r w:rsidRPr="00AC38EA" w:rsidR="001E6BEB">
        <w:rPr>
          <w:rFonts w:cs="Times New Roman"/>
          <w:szCs w:val="24"/>
        </w:rPr>
        <w:t xml:space="preserve">the </w:t>
      </w:r>
      <w:r w:rsidR="00A07F0A">
        <w:rPr>
          <w:rFonts w:cs="Times New Roman"/>
          <w:szCs w:val="24"/>
        </w:rPr>
        <w:t>FirstEnergy Utilities</w:t>
      </w:r>
      <w:r w:rsidRPr="00AC38EA" w:rsidR="001E6BEB">
        <w:rPr>
          <w:rFonts w:cs="Times New Roman"/>
          <w:szCs w:val="24"/>
        </w:rPr>
        <w:t xml:space="preserve"> are</w:t>
      </w:r>
      <w:r w:rsidRPr="00AC38EA">
        <w:rPr>
          <w:rFonts w:cs="Times New Roman"/>
          <w:szCs w:val="24"/>
        </w:rPr>
        <w:t xml:space="preserve"> impeding OCC’s discovery efforts. The PUCO should not allow </w:t>
      </w:r>
      <w:r w:rsidRPr="00AC38EA" w:rsidR="001E6BEB">
        <w:rPr>
          <w:rFonts w:cs="Times New Roman"/>
          <w:szCs w:val="24"/>
        </w:rPr>
        <w:t xml:space="preserve">the </w:t>
      </w:r>
      <w:r w:rsidR="00A07F0A">
        <w:rPr>
          <w:rFonts w:cs="Times New Roman"/>
          <w:szCs w:val="24"/>
        </w:rPr>
        <w:t>FirstEnergy Utilities</w:t>
      </w:r>
      <w:r w:rsidRPr="00AC38EA" w:rsidR="001E6BEB">
        <w:rPr>
          <w:rFonts w:cs="Times New Roman"/>
          <w:szCs w:val="24"/>
        </w:rPr>
        <w:t xml:space="preserve">’ to use </w:t>
      </w:r>
      <w:r w:rsidRPr="00AC38EA">
        <w:rPr>
          <w:rFonts w:cs="Times New Roman"/>
          <w:szCs w:val="24"/>
        </w:rPr>
        <w:t>obstruct</w:t>
      </w:r>
      <w:r w:rsidR="009150E2">
        <w:rPr>
          <w:rFonts w:cs="Times New Roman"/>
          <w:szCs w:val="24"/>
        </w:rPr>
        <w:t>ing</w:t>
      </w:r>
      <w:r w:rsidRPr="00AC38EA">
        <w:rPr>
          <w:rFonts w:cs="Times New Roman"/>
          <w:szCs w:val="24"/>
        </w:rPr>
        <w:t xml:space="preserve"> and delay</w:t>
      </w:r>
      <w:r w:rsidR="009150E2">
        <w:rPr>
          <w:rFonts w:cs="Times New Roman"/>
          <w:szCs w:val="24"/>
        </w:rPr>
        <w:t>ing</w:t>
      </w:r>
      <w:r w:rsidRPr="00AC38EA">
        <w:rPr>
          <w:rFonts w:cs="Times New Roman"/>
          <w:szCs w:val="24"/>
        </w:rPr>
        <w:t xml:space="preserve"> tactics to deny OCC the ample discovery rights </w:t>
      </w:r>
      <w:r w:rsidRPr="00AC38EA" w:rsidR="001E6BEB">
        <w:rPr>
          <w:rFonts w:cs="Times New Roman"/>
          <w:szCs w:val="24"/>
        </w:rPr>
        <w:t xml:space="preserve">it is </w:t>
      </w:r>
      <w:r w:rsidRPr="00AC38EA">
        <w:rPr>
          <w:rFonts w:cs="Times New Roman"/>
          <w:szCs w:val="24"/>
        </w:rPr>
        <w:t xml:space="preserve">allowed under Ohio law and PUCO rules.  OCC, as a party in this proceeding, is entitled to timely and complete responses to its discovery inquiries. Additionally, R.C. 4903.082 directs the PUCO to </w:t>
      </w:r>
      <w:r w:rsidR="002021E0">
        <w:rPr>
          <w:rFonts w:cs="Times New Roman"/>
          <w:szCs w:val="24"/>
        </w:rPr>
        <w:t>makes certain</w:t>
      </w:r>
      <w:r w:rsidRPr="00AC38EA" w:rsidR="002021E0">
        <w:rPr>
          <w:rFonts w:cs="Times New Roman"/>
          <w:szCs w:val="24"/>
        </w:rPr>
        <w:t xml:space="preserve"> </w:t>
      </w:r>
      <w:r w:rsidRPr="00AC38EA">
        <w:rPr>
          <w:rFonts w:cs="Times New Roman"/>
          <w:szCs w:val="24"/>
        </w:rPr>
        <w:t xml:space="preserve">that parties are allowed “full and reasonable discovery” under its rules. </w:t>
      </w:r>
      <w:r w:rsidRPr="00AC38EA">
        <w:rPr>
          <w:rFonts w:cs="Times New Roman"/>
          <w:color w:val="000000"/>
          <w:szCs w:val="24"/>
        </w:rPr>
        <w:t>OCC’s right to discovery is assured by law, rule and Supreme Court of Ohio (“Court”) precedent.</w:t>
      </w:r>
      <w:r>
        <w:rPr>
          <w:rFonts w:cs="Times New Roman"/>
          <w:color w:val="000000"/>
          <w:szCs w:val="24"/>
          <w:vertAlign w:val="superscript"/>
        </w:rPr>
        <w:footnoteReference w:id="14"/>
      </w:r>
      <w:r w:rsidRPr="00AC38EA">
        <w:rPr>
          <w:rFonts w:cs="Times New Roman"/>
          <w:color w:val="000000"/>
          <w:szCs w:val="24"/>
        </w:rPr>
        <w:t xml:space="preserve"> OCC is entitled to timely and complete responses to its discovery inquiries. </w:t>
      </w:r>
    </w:p>
    <w:p w:rsidR="000059AC" w:rsidRPr="00AC38EA" w:rsidP="003C7A1A" w14:paraId="47B820B0" w14:textId="7D3EE8B5">
      <w:pPr>
        <w:pStyle w:val="Heading2"/>
        <w:rPr>
          <w:rFonts w:ascii="Times New Roman" w:hAnsi="Times New Roman"/>
        </w:rPr>
      </w:pPr>
      <w:bookmarkStart w:id="9" w:name="_Toc72747108"/>
      <w:bookmarkStart w:id="10" w:name="_Toc73086661"/>
      <w:bookmarkStart w:id="11" w:name="_Toc73106043"/>
      <w:r w:rsidRPr="00AC38EA">
        <w:rPr>
          <w:rFonts w:ascii="Times New Roman" w:hAnsi="Times New Roman"/>
        </w:rPr>
        <w:t xml:space="preserve">B. </w:t>
      </w:r>
      <w:r w:rsidRPr="00AC38EA">
        <w:rPr>
          <w:rFonts w:ascii="Times New Roman" w:hAnsi="Times New Roman"/>
        </w:rPr>
        <w:tab/>
        <w:t xml:space="preserve">The information OCC seeks is within the scope of this </w:t>
      </w:r>
      <w:r w:rsidRPr="00AC38EA" w:rsidR="001E6BEB">
        <w:rPr>
          <w:rFonts w:ascii="Times New Roman" w:hAnsi="Times New Roman"/>
        </w:rPr>
        <w:t>c</w:t>
      </w:r>
      <w:r w:rsidRPr="00AC38EA">
        <w:rPr>
          <w:rFonts w:ascii="Times New Roman" w:hAnsi="Times New Roman"/>
        </w:rPr>
        <w:t xml:space="preserve">orporate </w:t>
      </w:r>
      <w:r w:rsidRPr="00AC38EA" w:rsidR="001E6BEB">
        <w:rPr>
          <w:rFonts w:ascii="Times New Roman" w:hAnsi="Times New Roman"/>
        </w:rPr>
        <w:t>s</w:t>
      </w:r>
      <w:r w:rsidRPr="00AC38EA">
        <w:rPr>
          <w:rFonts w:ascii="Times New Roman" w:hAnsi="Times New Roman"/>
        </w:rPr>
        <w:t>eparation proceeding.</w:t>
      </w:r>
      <w:bookmarkEnd w:id="9"/>
      <w:bookmarkEnd w:id="10"/>
      <w:bookmarkEnd w:id="11"/>
    </w:p>
    <w:p w:rsidR="000059AC" w:rsidRPr="00AC38EA" w:rsidP="000059AC" w14:paraId="746C51B2" w14:textId="797B2C3C">
      <w:pPr>
        <w:autoSpaceDE w:val="0"/>
        <w:autoSpaceDN w:val="0"/>
        <w:adjustRightInd w:val="0"/>
        <w:spacing w:after="0" w:line="480" w:lineRule="auto"/>
        <w:rPr>
          <w:rFonts w:cs="Times New Roman"/>
          <w:szCs w:val="24"/>
        </w:rPr>
      </w:pPr>
      <w:r w:rsidRPr="00AC38EA">
        <w:rPr>
          <w:rFonts w:cs="Times New Roman"/>
          <w:color w:val="000000"/>
          <w:szCs w:val="24"/>
        </w:rPr>
        <w:tab/>
      </w:r>
      <w:r w:rsidRPr="00AC38EA" w:rsidR="00B91195">
        <w:rPr>
          <w:rFonts w:cs="Times New Roman"/>
          <w:color w:val="000000"/>
          <w:szCs w:val="24"/>
        </w:rPr>
        <w:t xml:space="preserve">OCC’s discovery requests are well within the scope of this investigation into FirstEnergy’s compliance with corporate separation laws and rules. </w:t>
      </w:r>
      <w:r w:rsidRPr="00AC38EA" w:rsidR="001E6BEB">
        <w:rPr>
          <w:rFonts w:cs="Times New Roman"/>
          <w:color w:val="000000"/>
          <w:szCs w:val="24"/>
        </w:rPr>
        <w:t>T</w:t>
      </w:r>
      <w:r w:rsidRPr="00AC38EA" w:rsidR="00B91195">
        <w:rPr>
          <w:rFonts w:cs="Times New Roman"/>
          <w:color w:val="000000"/>
          <w:szCs w:val="24"/>
        </w:rPr>
        <w:t xml:space="preserve">he general scope of discovery </w:t>
      </w:r>
      <w:r w:rsidRPr="00AC38EA" w:rsidR="004800A1">
        <w:rPr>
          <w:rFonts w:cs="Times New Roman"/>
          <w:color w:val="000000"/>
          <w:szCs w:val="24"/>
        </w:rPr>
        <w:t xml:space="preserve">in PUCO proceedings </w:t>
      </w:r>
      <w:r w:rsidRPr="00AC38EA" w:rsidR="00B91195">
        <w:rPr>
          <w:rFonts w:cs="Times New Roman"/>
          <w:color w:val="000000"/>
          <w:szCs w:val="24"/>
        </w:rPr>
        <w:t xml:space="preserve">is quite broad.  </w:t>
      </w:r>
      <w:r w:rsidRPr="00AC38EA">
        <w:rPr>
          <w:rFonts w:cs="Times New Roman"/>
          <w:color w:val="000000"/>
          <w:szCs w:val="24"/>
        </w:rPr>
        <w:t>The PUCO has also adopted rules that specifically define the scope of discovery.  O.A.C. 4901-1-16(B) provides:</w:t>
      </w:r>
    </w:p>
    <w:p w:rsidR="000059AC" w:rsidRPr="00AC38EA" w:rsidP="002E7599" w14:paraId="7A870961" w14:textId="3F1552FE">
      <w:pPr>
        <w:autoSpaceDE w:val="0"/>
        <w:autoSpaceDN w:val="0"/>
        <w:adjustRightInd w:val="0"/>
        <w:spacing w:after="0" w:line="240" w:lineRule="auto"/>
        <w:ind w:left="1440" w:right="1440"/>
        <w:rPr>
          <w:rFonts w:cs="Times New Roman"/>
          <w:color w:val="000000"/>
          <w:szCs w:val="24"/>
        </w:rPr>
      </w:pPr>
      <w:r w:rsidRPr="00AC38EA">
        <w:rPr>
          <w:rFonts w:cs="Times New Roman"/>
          <w:color w:val="000000"/>
          <w:szCs w:val="24"/>
        </w:rPr>
        <w:t xml:space="preserve">any party to a commission proceeding may obtain discovery of any matter, not privileged, which is relevant to the subject matter of the proceeding.  It is not a ground for objection that the information sought would be inadmissible at the hearing, if the information sought </w:t>
      </w:r>
      <w:r w:rsidRPr="00AC38EA">
        <w:rPr>
          <w:rFonts w:cs="Times New Roman"/>
          <w:i/>
          <w:color w:val="000000"/>
          <w:szCs w:val="24"/>
        </w:rPr>
        <w:t>appears</w:t>
      </w:r>
      <w:r w:rsidRPr="00AC38EA">
        <w:rPr>
          <w:rFonts w:cs="Times New Roman"/>
          <w:color w:val="000000"/>
          <w:szCs w:val="24"/>
        </w:rPr>
        <w:t xml:space="preserve"> reasonably calculated to lead to the discovery of admissible evidence. (Emphasis added.)</w:t>
      </w:r>
    </w:p>
    <w:p w:rsidR="00B91195" w:rsidRPr="00AC38EA" w:rsidP="002E7599" w14:paraId="301DA906" w14:textId="77777777">
      <w:pPr>
        <w:autoSpaceDE w:val="0"/>
        <w:autoSpaceDN w:val="0"/>
        <w:adjustRightInd w:val="0"/>
        <w:spacing w:after="0" w:line="240" w:lineRule="auto"/>
        <w:ind w:left="1440" w:right="1440"/>
        <w:rPr>
          <w:rFonts w:cs="Times New Roman"/>
          <w:color w:val="000000"/>
          <w:szCs w:val="24"/>
        </w:rPr>
      </w:pPr>
    </w:p>
    <w:p w:rsidR="000171A1" w:rsidRPr="00AC38EA" w:rsidP="003C7A1A" w14:paraId="59310A56" w14:textId="41119309">
      <w:pPr>
        <w:autoSpaceDE w:val="0"/>
        <w:autoSpaceDN w:val="0"/>
        <w:adjustRightInd w:val="0"/>
        <w:spacing w:after="0" w:line="480" w:lineRule="auto"/>
        <w:rPr>
          <w:rFonts w:cs="Times New Roman"/>
          <w:color w:val="000000"/>
          <w:szCs w:val="24"/>
        </w:rPr>
      </w:pPr>
      <w:r w:rsidRPr="00AC38EA">
        <w:rPr>
          <w:rFonts w:cs="Times New Roman"/>
          <w:color w:val="000000"/>
          <w:szCs w:val="24"/>
        </w:rPr>
        <w:tab/>
        <w:t>The PUCO’s rule is similar to Ohio Civ. R. 26 (B)(1), which governs the scope of discovery in civil cases. Civ. R. 26(B) has been liberally construed to allow for broad discovery of any unprivileged matter relevant to the subject matter of the pending proceeding.</w:t>
      </w:r>
      <w:r>
        <w:rPr>
          <w:rFonts w:cs="Times New Roman"/>
          <w:szCs w:val="24"/>
          <w:vertAlign w:val="superscript"/>
        </w:rPr>
        <w:footnoteReference w:id="15"/>
      </w:r>
      <w:r w:rsidRPr="00AC38EA">
        <w:rPr>
          <w:rFonts w:cs="Times New Roman"/>
          <w:color w:val="000000"/>
          <w:szCs w:val="24"/>
        </w:rPr>
        <w:t xml:space="preserve">  This scope of discovery also applies to requests for production.  Requests for production may elicit documents within the possession, custody, or control, of the party upon whom the discovery is served, under O.A.C. 4901-1-20. </w:t>
      </w:r>
    </w:p>
    <w:p w:rsidR="00497A7E" w:rsidRPr="00AC38EA" w:rsidP="000171A1" w14:paraId="7B374459" w14:textId="2FEC7D6C">
      <w:pPr>
        <w:spacing w:after="0" w:line="480" w:lineRule="auto"/>
        <w:ind w:firstLine="720"/>
        <w:rPr>
          <w:rFonts w:cs="Times New Roman"/>
          <w:szCs w:val="24"/>
        </w:rPr>
      </w:pPr>
      <w:r w:rsidRPr="00AC38EA">
        <w:rPr>
          <w:rFonts w:cs="Times New Roman"/>
          <w:szCs w:val="24"/>
        </w:rPr>
        <w:t>Despite th</w:t>
      </w:r>
      <w:r w:rsidRPr="00AC38EA" w:rsidR="008A5355">
        <w:rPr>
          <w:rFonts w:cs="Times New Roman"/>
          <w:szCs w:val="24"/>
        </w:rPr>
        <w:t>is</w:t>
      </w:r>
      <w:r w:rsidRPr="00AC38EA">
        <w:rPr>
          <w:rFonts w:cs="Times New Roman"/>
          <w:szCs w:val="24"/>
        </w:rPr>
        <w:t xml:space="preserve"> broad scope of discovery</w:t>
      </w:r>
      <w:r w:rsidRPr="00AC38EA" w:rsidR="008A5355">
        <w:rPr>
          <w:rFonts w:cs="Times New Roman"/>
          <w:szCs w:val="24"/>
        </w:rPr>
        <w:t xml:space="preserve"> under the PUCO rules</w:t>
      </w:r>
      <w:r w:rsidRPr="00AC38EA">
        <w:rPr>
          <w:rFonts w:cs="Times New Roman"/>
          <w:szCs w:val="24"/>
        </w:rPr>
        <w:t xml:space="preserve">, the </w:t>
      </w:r>
      <w:r w:rsidR="00A07F0A">
        <w:rPr>
          <w:rFonts w:cs="Times New Roman"/>
          <w:szCs w:val="24"/>
        </w:rPr>
        <w:t>FirstEnergy Utilities</w:t>
      </w:r>
      <w:r w:rsidRPr="00AC38EA" w:rsidR="000171A1">
        <w:rPr>
          <w:rFonts w:cs="Times New Roman"/>
          <w:szCs w:val="24"/>
        </w:rPr>
        <w:t xml:space="preserve"> claim that the information OCC seeks is outside the scope of this proceeding</w:t>
      </w:r>
      <w:r w:rsidRPr="00AC38EA" w:rsidR="00B91195">
        <w:rPr>
          <w:rFonts w:cs="Times New Roman"/>
          <w:szCs w:val="24"/>
        </w:rPr>
        <w:t xml:space="preserve">.  </w:t>
      </w:r>
      <w:r w:rsidRPr="00AC38EA" w:rsidR="000171A1">
        <w:rPr>
          <w:rFonts w:cs="Times New Roman"/>
          <w:szCs w:val="24"/>
        </w:rPr>
        <w:t xml:space="preserve">The </w:t>
      </w:r>
      <w:r w:rsidR="00A07F0A">
        <w:rPr>
          <w:rFonts w:cs="Times New Roman"/>
          <w:szCs w:val="24"/>
        </w:rPr>
        <w:t>FirstEnergy Utilities</w:t>
      </w:r>
      <w:r w:rsidRPr="00AC38EA">
        <w:rPr>
          <w:rFonts w:cs="Times New Roman"/>
          <w:szCs w:val="24"/>
        </w:rPr>
        <w:t xml:space="preserve"> assert that R.C. 4928.17 does not reach either the </w:t>
      </w:r>
      <w:r w:rsidR="00A07F0A">
        <w:rPr>
          <w:rFonts w:cs="Times New Roman"/>
          <w:szCs w:val="24"/>
        </w:rPr>
        <w:t>FirstEnergy Utilities</w:t>
      </w:r>
      <w:r w:rsidRPr="00AC38EA">
        <w:rPr>
          <w:rFonts w:cs="Times New Roman"/>
          <w:szCs w:val="24"/>
        </w:rPr>
        <w:t xml:space="preserve"> or their affiliates</w:t>
      </w:r>
      <w:r w:rsidRPr="00AC38EA" w:rsidR="008A5355">
        <w:rPr>
          <w:rFonts w:cs="Times New Roman"/>
          <w:szCs w:val="24"/>
        </w:rPr>
        <w:t>’</w:t>
      </w:r>
      <w:r w:rsidRPr="00AC38EA">
        <w:rPr>
          <w:rFonts w:cs="Times New Roman"/>
          <w:szCs w:val="24"/>
        </w:rPr>
        <w:t xml:space="preserve"> political spending</w:t>
      </w:r>
      <w:r w:rsidRPr="00AC38EA" w:rsidR="008A5355">
        <w:rPr>
          <w:rFonts w:cs="Times New Roman"/>
          <w:szCs w:val="24"/>
        </w:rPr>
        <w:t>.</w:t>
      </w:r>
      <w:r>
        <w:rPr>
          <w:rStyle w:val="FootnoteReference"/>
          <w:rFonts w:cs="Times New Roman"/>
          <w:szCs w:val="24"/>
        </w:rPr>
        <w:footnoteReference w:id="16"/>
      </w:r>
      <w:r w:rsidRPr="00AC38EA">
        <w:rPr>
          <w:rFonts w:cs="Times New Roman"/>
          <w:szCs w:val="24"/>
        </w:rPr>
        <w:t xml:space="preserve"> </w:t>
      </w:r>
      <w:r w:rsidRPr="00AC38EA" w:rsidR="008A5355">
        <w:rPr>
          <w:rFonts w:cs="Times New Roman"/>
          <w:szCs w:val="24"/>
        </w:rPr>
        <w:t>And while admitting that the PUCO has expanded the scope of this proceeding to include review of the Companies’ corporate separation plan, they nonetheless assert that all questions about political and charitable spending are “out of bounds</w:t>
      </w:r>
      <w:r w:rsidRPr="00AC38EA">
        <w:rPr>
          <w:rFonts w:cs="Times New Roman"/>
          <w:szCs w:val="24"/>
        </w:rPr>
        <w:t>.</w:t>
      </w:r>
      <w:r w:rsidRPr="00AC38EA" w:rsidR="008A5355">
        <w:rPr>
          <w:rFonts w:cs="Times New Roman"/>
          <w:szCs w:val="24"/>
        </w:rPr>
        <w:t>”</w:t>
      </w:r>
      <w:r>
        <w:rPr>
          <w:rStyle w:val="FootnoteReference"/>
          <w:rFonts w:cs="Times New Roman"/>
          <w:szCs w:val="24"/>
        </w:rPr>
        <w:footnoteReference w:id="17"/>
      </w:r>
      <w:r w:rsidRPr="00AC38EA" w:rsidR="008A5355">
        <w:rPr>
          <w:rFonts w:cs="Times New Roman"/>
          <w:szCs w:val="24"/>
        </w:rPr>
        <w:t xml:space="preserve"> </w:t>
      </w:r>
    </w:p>
    <w:p w:rsidR="008356B0" w:rsidRPr="00AC38EA" w:rsidP="000171A1" w14:paraId="14E81A4D" w14:textId="282281FB">
      <w:pPr>
        <w:spacing w:after="0" w:line="480" w:lineRule="auto"/>
        <w:ind w:firstLine="720"/>
        <w:rPr>
          <w:rFonts w:cs="Times New Roman"/>
          <w:szCs w:val="24"/>
        </w:rPr>
      </w:pPr>
      <w:r w:rsidRPr="00AC38EA">
        <w:rPr>
          <w:rFonts w:cs="Times New Roman"/>
          <w:szCs w:val="24"/>
        </w:rPr>
        <w:t xml:space="preserve">What remains of OCC’s discovery for the PUCO to resolve, is well within the scope of this proceeding. </w:t>
      </w:r>
      <w:r w:rsidRPr="00AC38EA" w:rsidR="00155906">
        <w:rPr>
          <w:rFonts w:cs="Times New Roman"/>
          <w:szCs w:val="24"/>
        </w:rPr>
        <w:t xml:space="preserve">The </w:t>
      </w:r>
      <w:r w:rsidRPr="00AC38EA" w:rsidR="00FD4E31">
        <w:rPr>
          <w:rFonts w:cs="Times New Roman"/>
          <w:szCs w:val="24"/>
        </w:rPr>
        <w:t xml:space="preserve">PUCO should </w:t>
      </w:r>
      <w:r w:rsidRPr="00AC38EA" w:rsidR="007F66D6">
        <w:rPr>
          <w:rFonts w:cs="Times New Roman"/>
          <w:szCs w:val="24"/>
        </w:rPr>
        <w:t xml:space="preserve">deny the </w:t>
      </w:r>
      <w:r w:rsidR="00A07F0A">
        <w:rPr>
          <w:rFonts w:cs="Times New Roman"/>
          <w:szCs w:val="24"/>
        </w:rPr>
        <w:t>FirstEnergy Utilities</w:t>
      </w:r>
      <w:r w:rsidRPr="00AC38EA" w:rsidR="007F66D6">
        <w:rPr>
          <w:rFonts w:cs="Times New Roman"/>
          <w:szCs w:val="24"/>
        </w:rPr>
        <w:t xml:space="preserve">’ motion </w:t>
      </w:r>
      <w:r w:rsidR="00F3021C">
        <w:rPr>
          <w:rFonts w:cs="Times New Roman"/>
          <w:szCs w:val="24"/>
        </w:rPr>
        <w:t>that</w:t>
      </w:r>
      <w:r w:rsidRPr="00AC38EA" w:rsidR="00F3021C">
        <w:rPr>
          <w:rFonts w:cs="Times New Roman"/>
          <w:szCs w:val="24"/>
        </w:rPr>
        <w:t xml:space="preserve"> </w:t>
      </w:r>
      <w:r w:rsidRPr="00AC38EA" w:rsidR="007F66D6">
        <w:rPr>
          <w:rFonts w:cs="Times New Roman"/>
          <w:szCs w:val="24"/>
        </w:rPr>
        <w:t xml:space="preserve">is based on an </w:t>
      </w:r>
      <w:r w:rsidRPr="00AC38EA" w:rsidR="00155906">
        <w:rPr>
          <w:rFonts w:cs="Times New Roman"/>
          <w:szCs w:val="24"/>
        </w:rPr>
        <w:t>overly narrow and simplistic view of scope of this proceeding</w:t>
      </w:r>
      <w:r w:rsidRPr="00AC38EA" w:rsidR="00FD4E31">
        <w:rPr>
          <w:rFonts w:cs="Times New Roman"/>
          <w:szCs w:val="24"/>
        </w:rPr>
        <w:t xml:space="preserve">.  First, </w:t>
      </w:r>
      <w:r w:rsidR="00F3021C">
        <w:rPr>
          <w:rFonts w:cs="Times New Roman"/>
          <w:szCs w:val="24"/>
        </w:rPr>
        <w:t xml:space="preserve">the </w:t>
      </w:r>
      <w:r w:rsidRPr="00AC38EA" w:rsidR="007F66D6">
        <w:rPr>
          <w:rFonts w:cs="Times New Roman"/>
          <w:szCs w:val="24"/>
        </w:rPr>
        <w:t xml:space="preserve">scope proposed by the </w:t>
      </w:r>
      <w:r w:rsidR="00A07F0A">
        <w:rPr>
          <w:rFonts w:cs="Times New Roman"/>
          <w:szCs w:val="24"/>
        </w:rPr>
        <w:t>FirstEnergy Utilities</w:t>
      </w:r>
      <w:r w:rsidRPr="00AC38EA" w:rsidR="007F66D6">
        <w:rPr>
          <w:rFonts w:cs="Times New Roman"/>
          <w:szCs w:val="24"/>
        </w:rPr>
        <w:t xml:space="preserve"> </w:t>
      </w:r>
      <w:r w:rsidRPr="00AC38EA" w:rsidR="00FD4E31">
        <w:rPr>
          <w:rFonts w:cs="Times New Roman"/>
          <w:szCs w:val="24"/>
        </w:rPr>
        <w:t xml:space="preserve">is inconsistent with the </w:t>
      </w:r>
      <w:r w:rsidRPr="00AC38EA" w:rsidR="006F7396">
        <w:rPr>
          <w:rFonts w:cs="Times New Roman"/>
          <w:szCs w:val="24"/>
        </w:rPr>
        <w:t xml:space="preserve">express purpose of the periodic PUCO-ordered audits of </w:t>
      </w:r>
      <w:r w:rsidR="009150E2">
        <w:rPr>
          <w:rFonts w:cs="Times New Roman"/>
          <w:szCs w:val="24"/>
        </w:rPr>
        <w:t xml:space="preserve">the </w:t>
      </w:r>
      <w:r w:rsidR="00A07F0A">
        <w:rPr>
          <w:rFonts w:cs="Times New Roman"/>
          <w:szCs w:val="24"/>
        </w:rPr>
        <w:t>FirstEnergy Utilities</w:t>
      </w:r>
      <w:r w:rsidRPr="00AC38EA" w:rsidR="006F7396">
        <w:rPr>
          <w:rFonts w:cs="Times New Roman"/>
          <w:szCs w:val="24"/>
        </w:rPr>
        <w:t xml:space="preserve">’ corporate separation plans: </w:t>
      </w:r>
      <w:r w:rsidRPr="00AC38EA" w:rsidR="00FD4E31">
        <w:rPr>
          <w:rFonts w:cs="Times New Roman"/>
          <w:szCs w:val="24"/>
        </w:rPr>
        <w:t xml:space="preserve">to vigilantly monitor </w:t>
      </w:r>
      <w:r w:rsidR="009150E2">
        <w:rPr>
          <w:rFonts w:cs="Times New Roman"/>
          <w:szCs w:val="24"/>
        </w:rPr>
        <w:t xml:space="preserve">the </w:t>
      </w:r>
      <w:r w:rsidR="00A07F0A">
        <w:rPr>
          <w:rFonts w:cs="Times New Roman"/>
          <w:szCs w:val="24"/>
        </w:rPr>
        <w:t>FirstEnergy Utilities</w:t>
      </w:r>
      <w:r w:rsidRPr="00AC38EA" w:rsidR="006F7396">
        <w:rPr>
          <w:rFonts w:cs="Times New Roman"/>
          <w:szCs w:val="24"/>
        </w:rPr>
        <w:t xml:space="preserve"> </w:t>
      </w:r>
      <w:r w:rsidRPr="00AC38EA" w:rsidR="00FD4E31">
        <w:rPr>
          <w:rFonts w:cs="Times New Roman"/>
          <w:szCs w:val="24"/>
        </w:rPr>
        <w:t>and their affiliates compliance with Ohio law (R.C. 4928.17), Ohio policies (</w:t>
      </w:r>
      <w:r w:rsidRPr="00AC38EA" w:rsidR="00531E18">
        <w:rPr>
          <w:rFonts w:cs="Times New Roman"/>
          <w:szCs w:val="24"/>
        </w:rPr>
        <w:t xml:space="preserve">including </w:t>
      </w:r>
      <w:r w:rsidRPr="00AC38EA" w:rsidR="00FD4E31">
        <w:rPr>
          <w:rFonts w:cs="Times New Roman"/>
          <w:szCs w:val="24"/>
        </w:rPr>
        <w:t>R.C. 4928.02(h), and PUCO rules (O.A.C. 4901:</w:t>
      </w:r>
      <w:r w:rsidRPr="00AC38EA" w:rsidR="00155906">
        <w:rPr>
          <w:rFonts w:cs="Times New Roman"/>
          <w:szCs w:val="24"/>
        </w:rPr>
        <w:t>1-37)</w:t>
      </w:r>
      <w:r w:rsidRPr="00AC38EA" w:rsidR="00FD4E31">
        <w:rPr>
          <w:rFonts w:cs="Times New Roman"/>
          <w:szCs w:val="24"/>
        </w:rPr>
        <w:t>.</w:t>
      </w:r>
      <w:r>
        <w:rPr>
          <w:rStyle w:val="FootnoteReference"/>
          <w:rFonts w:cs="Times New Roman"/>
          <w:szCs w:val="24"/>
        </w:rPr>
        <w:footnoteReference w:id="18"/>
      </w:r>
      <w:r w:rsidRPr="00AC38EA" w:rsidR="00FD4E31">
        <w:rPr>
          <w:rFonts w:cs="Times New Roman"/>
          <w:szCs w:val="24"/>
        </w:rPr>
        <w:t xml:space="preserve"> </w:t>
      </w:r>
      <w:r w:rsidRPr="00AC38EA" w:rsidR="006F7396">
        <w:rPr>
          <w:rFonts w:cs="Times New Roman"/>
          <w:szCs w:val="24"/>
        </w:rPr>
        <w:t xml:space="preserve"> Second, the </w:t>
      </w:r>
      <w:r w:rsidR="00A07F0A">
        <w:rPr>
          <w:rFonts w:cs="Times New Roman"/>
          <w:szCs w:val="24"/>
        </w:rPr>
        <w:t>FirstEnergy Utilities</w:t>
      </w:r>
      <w:r w:rsidRPr="00AC38EA" w:rsidR="00006584">
        <w:rPr>
          <w:rFonts w:cs="Times New Roman"/>
          <w:szCs w:val="24"/>
        </w:rPr>
        <w:t>’</w:t>
      </w:r>
      <w:r w:rsidRPr="00AC38EA" w:rsidR="006F7396">
        <w:rPr>
          <w:rFonts w:cs="Times New Roman"/>
          <w:szCs w:val="24"/>
        </w:rPr>
        <w:t xml:space="preserve"> proposed scope of this proceeding fails to </w:t>
      </w:r>
      <w:r w:rsidRPr="00AC38EA" w:rsidR="00531E18">
        <w:rPr>
          <w:rFonts w:cs="Times New Roman"/>
          <w:szCs w:val="24"/>
        </w:rPr>
        <w:t xml:space="preserve">acknowledge </w:t>
      </w:r>
      <w:r w:rsidRPr="00AC38EA" w:rsidR="00006584">
        <w:rPr>
          <w:rFonts w:cs="Times New Roman"/>
          <w:szCs w:val="24"/>
        </w:rPr>
        <w:t xml:space="preserve">why </w:t>
      </w:r>
      <w:r w:rsidRPr="00AC38EA" w:rsidR="00531E18">
        <w:rPr>
          <w:rFonts w:cs="Times New Roman"/>
          <w:szCs w:val="24"/>
        </w:rPr>
        <w:t>the PUCO order</w:t>
      </w:r>
      <w:r w:rsidRPr="00AC38EA" w:rsidR="00006584">
        <w:rPr>
          <w:rFonts w:cs="Times New Roman"/>
          <w:szCs w:val="24"/>
        </w:rPr>
        <w:t>ed</w:t>
      </w:r>
      <w:r w:rsidRPr="00AC38EA" w:rsidR="00531E18">
        <w:rPr>
          <w:rFonts w:cs="Times New Roman"/>
          <w:szCs w:val="24"/>
        </w:rPr>
        <w:t xml:space="preserve"> an additional corporate separation audit to cover the time period of H.B. 6 activities.  </w:t>
      </w:r>
      <w:r w:rsidRPr="00AC38EA" w:rsidR="00006584">
        <w:rPr>
          <w:rFonts w:cs="Times New Roman"/>
          <w:szCs w:val="24"/>
        </w:rPr>
        <w:t xml:space="preserve">The PUCO’s order was prompted by </w:t>
      </w:r>
      <w:r w:rsidRPr="00AC38EA" w:rsidR="00531E18">
        <w:rPr>
          <w:rFonts w:cs="Times New Roman"/>
          <w:szCs w:val="24"/>
        </w:rPr>
        <w:t xml:space="preserve">the October 29, 2020 FirstEnergy Corp. </w:t>
      </w:r>
      <w:r w:rsidR="00F3021C">
        <w:rPr>
          <w:rFonts w:cs="Times New Roman"/>
          <w:szCs w:val="24"/>
        </w:rPr>
        <w:t>news</w:t>
      </w:r>
      <w:r w:rsidRPr="00AC38EA" w:rsidR="00F3021C">
        <w:rPr>
          <w:rFonts w:cs="Times New Roman"/>
          <w:szCs w:val="24"/>
        </w:rPr>
        <w:t xml:space="preserve"> </w:t>
      </w:r>
      <w:r w:rsidRPr="00AC38EA" w:rsidR="00006584">
        <w:rPr>
          <w:rFonts w:cs="Times New Roman"/>
          <w:szCs w:val="24"/>
        </w:rPr>
        <w:t>release</w:t>
      </w:r>
      <w:r>
        <w:rPr>
          <w:rStyle w:val="FootnoteReference"/>
          <w:rFonts w:cs="Times New Roman"/>
          <w:szCs w:val="24"/>
        </w:rPr>
        <w:footnoteReference w:id="19"/>
      </w:r>
      <w:r w:rsidRPr="00AC38EA" w:rsidR="00006584">
        <w:rPr>
          <w:rFonts w:cs="Times New Roman"/>
          <w:szCs w:val="24"/>
        </w:rPr>
        <w:t xml:space="preserve"> and </w:t>
      </w:r>
      <w:r w:rsidRPr="00AC38EA" w:rsidR="009755CB">
        <w:rPr>
          <w:rFonts w:cs="Times New Roman"/>
          <w:szCs w:val="24"/>
        </w:rPr>
        <w:t xml:space="preserve">Form </w:t>
      </w:r>
      <w:r w:rsidRPr="00AC38EA" w:rsidR="00531E18">
        <w:rPr>
          <w:rFonts w:cs="Times New Roman"/>
          <w:szCs w:val="24"/>
        </w:rPr>
        <w:t>8</w:t>
      </w:r>
      <w:r w:rsidRPr="00AC38EA" w:rsidR="00006584">
        <w:rPr>
          <w:rFonts w:cs="Times New Roman"/>
          <w:szCs w:val="24"/>
        </w:rPr>
        <w:t>-K</w:t>
      </w:r>
      <w:r w:rsidRPr="00AC38EA" w:rsidR="00531E18">
        <w:rPr>
          <w:rFonts w:cs="Times New Roman"/>
          <w:szCs w:val="24"/>
        </w:rPr>
        <w:t xml:space="preserve"> filing with the Securities and Exchange Commission,</w:t>
      </w:r>
      <w:r>
        <w:rPr>
          <w:rStyle w:val="FootnoteReference"/>
          <w:rFonts w:cs="Times New Roman"/>
          <w:szCs w:val="24"/>
        </w:rPr>
        <w:footnoteReference w:id="20"/>
      </w:r>
      <w:r w:rsidRPr="00AC38EA" w:rsidR="00531E18">
        <w:rPr>
          <w:rFonts w:cs="Times New Roman"/>
          <w:szCs w:val="24"/>
        </w:rPr>
        <w:t xml:space="preserve"> revealing that terminated FirstEnergy executives violated certain FirstEnergy Corp. policies and its code of conduct.</w:t>
      </w:r>
      <w:r>
        <w:rPr>
          <w:rStyle w:val="FootnoteReference"/>
          <w:rFonts w:cs="Times New Roman"/>
          <w:szCs w:val="24"/>
        </w:rPr>
        <w:footnoteReference w:id="21"/>
      </w:r>
      <w:r w:rsidRPr="00AC38EA" w:rsidR="00531E18">
        <w:rPr>
          <w:rFonts w:cs="Times New Roman"/>
          <w:szCs w:val="24"/>
        </w:rPr>
        <w:t xml:space="preserve">  Third, the narrow scope the </w:t>
      </w:r>
      <w:r w:rsidR="00A07F0A">
        <w:rPr>
          <w:rFonts w:cs="Times New Roman"/>
          <w:szCs w:val="24"/>
        </w:rPr>
        <w:t>FirstEnergy Utilities</w:t>
      </w:r>
      <w:r w:rsidRPr="00AC38EA" w:rsidR="00531E18">
        <w:rPr>
          <w:rFonts w:cs="Times New Roman"/>
          <w:szCs w:val="24"/>
        </w:rPr>
        <w:t xml:space="preserve"> seek to tie OCC to is inconsistent with purpose and scope of the audit</w:t>
      </w:r>
      <w:r w:rsidRPr="00AC38EA" w:rsidR="00006243">
        <w:rPr>
          <w:rFonts w:cs="Times New Roman"/>
          <w:szCs w:val="24"/>
        </w:rPr>
        <w:t xml:space="preserve">, as set forth in the PUCO-approved </w:t>
      </w:r>
      <w:r w:rsidR="00F3021C">
        <w:rPr>
          <w:rFonts w:cs="Times New Roman"/>
          <w:szCs w:val="24"/>
        </w:rPr>
        <w:t>Request for Proposal (“</w:t>
      </w:r>
      <w:r w:rsidRPr="00AC38EA" w:rsidR="00006243">
        <w:rPr>
          <w:rFonts w:cs="Times New Roman"/>
          <w:szCs w:val="24"/>
        </w:rPr>
        <w:t>RFP</w:t>
      </w:r>
      <w:r w:rsidR="00F3021C">
        <w:rPr>
          <w:rFonts w:cs="Times New Roman"/>
          <w:szCs w:val="24"/>
        </w:rPr>
        <w:t>”)</w:t>
      </w:r>
      <w:r w:rsidRPr="00AC38EA" w:rsidR="00006243">
        <w:rPr>
          <w:rFonts w:cs="Times New Roman"/>
          <w:szCs w:val="24"/>
        </w:rPr>
        <w:t xml:space="preserve"> for an independent third</w:t>
      </w:r>
      <w:r w:rsidRPr="00AC38EA" w:rsidR="001A43B7">
        <w:rPr>
          <w:rFonts w:cs="Times New Roman"/>
          <w:szCs w:val="24"/>
        </w:rPr>
        <w:t>-</w:t>
      </w:r>
      <w:r w:rsidRPr="00AC38EA" w:rsidR="00006243">
        <w:rPr>
          <w:rFonts w:cs="Times New Roman"/>
          <w:szCs w:val="24"/>
        </w:rPr>
        <w:t>party audit.</w:t>
      </w:r>
      <w:r w:rsidRPr="00AC38EA" w:rsidR="00E73F10">
        <w:rPr>
          <w:rFonts w:cs="Times New Roman"/>
          <w:szCs w:val="24"/>
        </w:rPr>
        <w:t xml:space="preserve">  </w:t>
      </w:r>
    </w:p>
    <w:p w:rsidR="005126EA" w:rsidRPr="00AC38EA" w:rsidP="000171A1" w14:paraId="2161EB5A" w14:textId="4EE14AF5">
      <w:pPr>
        <w:spacing w:after="0" w:line="480" w:lineRule="auto"/>
        <w:ind w:firstLine="720"/>
        <w:rPr>
          <w:rFonts w:cs="Times New Roman"/>
          <w:szCs w:val="24"/>
        </w:rPr>
      </w:pPr>
      <w:r w:rsidRPr="00AC38EA">
        <w:rPr>
          <w:rFonts w:cs="Times New Roman"/>
          <w:szCs w:val="24"/>
        </w:rPr>
        <w:t xml:space="preserve">As explained below, </w:t>
      </w:r>
      <w:r w:rsidRPr="00AC38EA" w:rsidR="001A43B7">
        <w:rPr>
          <w:rFonts w:cs="Times New Roman"/>
          <w:szCs w:val="24"/>
        </w:rPr>
        <w:t xml:space="preserve">the PUCO rules, Ohio law, and PUCO Entries define a broad scope of </w:t>
      </w:r>
      <w:r w:rsidRPr="00AC38EA">
        <w:rPr>
          <w:rFonts w:cs="Times New Roman"/>
          <w:szCs w:val="24"/>
        </w:rPr>
        <w:t>the issues for discovery in this case</w:t>
      </w:r>
      <w:r w:rsidRPr="00AC38EA" w:rsidR="001A43B7">
        <w:rPr>
          <w:rFonts w:cs="Times New Roman"/>
          <w:szCs w:val="24"/>
        </w:rPr>
        <w:t xml:space="preserve">.  The </w:t>
      </w:r>
      <w:r w:rsidRPr="00AC38EA">
        <w:rPr>
          <w:rFonts w:cs="Times New Roman"/>
          <w:szCs w:val="24"/>
        </w:rPr>
        <w:t>disputed discovery requests are either directly relevant to these issues, or reasonably calculated to lead to the discovery of admissible evidence.</w:t>
      </w:r>
      <w:r w:rsidRPr="00AC38EA" w:rsidR="001A43B7">
        <w:rPr>
          <w:rFonts w:cs="Times New Roman"/>
          <w:szCs w:val="24"/>
        </w:rPr>
        <w:t xml:space="preserve">  The </w:t>
      </w:r>
      <w:r w:rsidR="00A07F0A">
        <w:rPr>
          <w:rFonts w:cs="Times New Roman"/>
          <w:szCs w:val="24"/>
        </w:rPr>
        <w:t>FirstEnergy Utilities</w:t>
      </w:r>
      <w:r w:rsidRPr="00AC38EA" w:rsidR="007F66D6">
        <w:rPr>
          <w:rFonts w:cs="Times New Roman"/>
          <w:szCs w:val="24"/>
        </w:rPr>
        <w:t>’</w:t>
      </w:r>
      <w:r w:rsidRPr="00AC38EA" w:rsidR="001A43B7">
        <w:rPr>
          <w:rFonts w:cs="Times New Roman"/>
          <w:szCs w:val="24"/>
        </w:rPr>
        <w:t xml:space="preserve"> request for a protection order should therefore be denied.  </w:t>
      </w:r>
    </w:p>
    <w:p w:rsidR="00B13F8F" w:rsidRPr="00AC38EA" w:rsidP="001E3543" w14:paraId="51F863C7" w14:textId="34056B80">
      <w:pPr>
        <w:pStyle w:val="Heading3"/>
        <w:rPr>
          <w:rFonts w:ascii="Times New Roman" w:hAnsi="Times New Roman" w:cs="Times New Roman"/>
          <w:szCs w:val="24"/>
        </w:rPr>
      </w:pPr>
      <w:bookmarkStart w:id="12" w:name="_Toc73086662"/>
      <w:bookmarkStart w:id="13" w:name="_Toc73106044"/>
      <w:r w:rsidRPr="00AC38EA">
        <w:rPr>
          <w:rFonts w:ascii="Times New Roman" w:hAnsi="Times New Roman" w:cs="Times New Roman"/>
          <w:szCs w:val="24"/>
        </w:rPr>
        <w:t>1.</w:t>
      </w:r>
      <w:r w:rsidRPr="00AC38EA">
        <w:rPr>
          <w:rFonts w:ascii="Times New Roman" w:hAnsi="Times New Roman" w:cs="Times New Roman"/>
          <w:szCs w:val="24"/>
        </w:rPr>
        <w:tab/>
        <w:t xml:space="preserve">The scope of discovery includes whether the </w:t>
      </w:r>
      <w:r w:rsidR="00A07F0A">
        <w:rPr>
          <w:rFonts w:ascii="Times New Roman" w:hAnsi="Times New Roman" w:cs="Times New Roman"/>
          <w:szCs w:val="24"/>
        </w:rPr>
        <w:t>FirstEnergy Utilities</w:t>
      </w:r>
      <w:r w:rsidRPr="00AC38EA" w:rsidR="004E595A">
        <w:rPr>
          <w:rFonts w:ascii="Times New Roman" w:hAnsi="Times New Roman" w:cs="Times New Roman"/>
          <w:szCs w:val="24"/>
        </w:rPr>
        <w:t xml:space="preserve"> and their affiliates </w:t>
      </w:r>
      <w:r w:rsidRPr="00AC38EA">
        <w:rPr>
          <w:rFonts w:ascii="Times New Roman" w:hAnsi="Times New Roman" w:cs="Times New Roman"/>
          <w:szCs w:val="24"/>
        </w:rPr>
        <w:t xml:space="preserve">violated </w:t>
      </w:r>
      <w:r w:rsidRPr="00AC38EA" w:rsidR="004E595A">
        <w:rPr>
          <w:rFonts w:ascii="Times New Roman" w:hAnsi="Times New Roman" w:cs="Times New Roman"/>
          <w:szCs w:val="24"/>
        </w:rPr>
        <w:t>Ohio law,</w:t>
      </w:r>
      <w:r w:rsidRPr="00AC38EA">
        <w:rPr>
          <w:rFonts w:ascii="Times New Roman" w:hAnsi="Times New Roman" w:cs="Times New Roman"/>
          <w:szCs w:val="24"/>
        </w:rPr>
        <w:t xml:space="preserve"> </w:t>
      </w:r>
      <w:r w:rsidRPr="00AC38EA" w:rsidR="00A662B9">
        <w:rPr>
          <w:rFonts w:ascii="Times New Roman" w:hAnsi="Times New Roman" w:cs="Times New Roman"/>
          <w:szCs w:val="24"/>
        </w:rPr>
        <w:t xml:space="preserve">PUCO </w:t>
      </w:r>
      <w:r w:rsidRPr="00AC38EA" w:rsidR="004E595A">
        <w:rPr>
          <w:rFonts w:ascii="Times New Roman" w:hAnsi="Times New Roman" w:cs="Times New Roman"/>
          <w:szCs w:val="24"/>
        </w:rPr>
        <w:t xml:space="preserve">rules and </w:t>
      </w:r>
      <w:r w:rsidRPr="00AC38EA">
        <w:rPr>
          <w:rFonts w:ascii="Times New Roman" w:hAnsi="Times New Roman" w:cs="Times New Roman"/>
          <w:szCs w:val="24"/>
        </w:rPr>
        <w:t>state</w:t>
      </w:r>
      <w:r w:rsidRPr="00AC38EA" w:rsidR="004E595A">
        <w:rPr>
          <w:rFonts w:ascii="Times New Roman" w:hAnsi="Times New Roman" w:cs="Times New Roman"/>
          <w:szCs w:val="24"/>
        </w:rPr>
        <w:t xml:space="preserve"> polic</w:t>
      </w:r>
      <w:r w:rsidRPr="00AC38EA" w:rsidR="007E1D7F">
        <w:rPr>
          <w:rFonts w:ascii="Times New Roman" w:hAnsi="Times New Roman" w:cs="Times New Roman"/>
          <w:szCs w:val="24"/>
        </w:rPr>
        <w:t>y</w:t>
      </w:r>
      <w:r w:rsidRPr="00AC38EA">
        <w:rPr>
          <w:rFonts w:ascii="Times New Roman" w:hAnsi="Times New Roman" w:cs="Times New Roman"/>
          <w:szCs w:val="24"/>
        </w:rPr>
        <w:t xml:space="preserve"> prohibiting cross-subsidization.</w:t>
      </w:r>
      <w:bookmarkEnd w:id="12"/>
      <w:bookmarkEnd w:id="13"/>
      <w:r w:rsidRPr="00AC38EA" w:rsidR="007E1D7F">
        <w:rPr>
          <w:rFonts w:ascii="Times New Roman" w:hAnsi="Times New Roman" w:cs="Times New Roman"/>
          <w:szCs w:val="24"/>
        </w:rPr>
        <w:t xml:space="preserve"> </w:t>
      </w:r>
    </w:p>
    <w:p w:rsidR="00956E0D" w:rsidRPr="00AC38EA" w:rsidP="00307E31" w14:paraId="3239B21D" w14:textId="4A67F8BB">
      <w:pPr>
        <w:spacing w:after="0" w:line="480" w:lineRule="auto"/>
        <w:rPr>
          <w:rFonts w:cs="Times New Roman"/>
          <w:szCs w:val="24"/>
        </w:rPr>
      </w:pPr>
      <w:r w:rsidRPr="00AC38EA">
        <w:rPr>
          <w:rFonts w:cs="Times New Roman"/>
          <w:szCs w:val="24"/>
        </w:rPr>
        <w:tab/>
      </w:r>
      <w:r w:rsidRPr="00AC38EA" w:rsidR="002A1324">
        <w:rPr>
          <w:rFonts w:cs="Times New Roman"/>
          <w:szCs w:val="24"/>
        </w:rPr>
        <w:t xml:space="preserve">Ohio's corporate separation laws, rules and state policy prohibit an electric utility from using its status as a monopoly service provider to confer a competitive advantage to a competitive service provided by the </w:t>
      </w:r>
      <w:r w:rsidR="00A07F0A">
        <w:rPr>
          <w:rFonts w:cs="Times New Roman"/>
          <w:szCs w:val="24"/>
        </w:rPr>
        <w:t>FirstEnergy Utilities</w:t>
      </w:r>
      <w:r w:rsidRPr="00AC38EA" w:rsidR="002A1324">
        <w:rPr>
          <w:rFonts w:cs="Times New Roman"/>
          <w:szCs w:val="24"/>
        </w:rPr>
        <w:t>’ affiliate.</w:t>
      </w:r>
      <w:r>
        <w:rPr>
          <w:rStyle w:val="FootnoteReference"/>
          <w:rFonts w:cs="Times New Roman"/>
          <w:szCs w:val="24"/>
        </w:rPr>
        <w:footnoteReference w:id="22"/>
      </w:r>
      <w:r w:rsidRPr="00AC38EA" w:rsidR="002A1324">
        <w:rPr>
          <w:rFonts w:cs="Times New Roman"/>
          <w:szCs w:val="24"/>
        </w:rPr>
        <w:t xml:space="preserve"> </w:t>
      </w:r>
    </w:p>
    <w:p w:rsidR="007E1D7F" w:rsidRPr="00AC38EA" w:rsidP="00956E0D" w14:paraId="7C4C2392" w14:textId="3F0E01A8">
      <w:pPr>
        <w:spacing w:after="0" w:line="480" w:lineRule="auto"/>
        <w:ind w:firstLine="720"/>
        <w:rPr>
          <w:rFonts w:cs="Times New Roman"/>
          <w:szCs w:val="24"/>
        </w:rPr>
      </w:pPr>
      <w:r w:rsidRPr="00AC38EA">
        <w:rPr>
          <w:rFonts w:cs="Times New Roman"/>
          <w:szCs w:val="24"/>
        </w:rPr>
        <w:t>A key corporate separation principle prohibits a utility from cross-subsidizing its competitive affiliate and vice versa.</w:t>
      </w:r>
      <w:r>
        <w:rPr>
          <w:rStyle w:val="FootnoteReference"/>
          <w:rFonts w:cs="Times New Roman"/>
          <w:szCs w:val="24"/>
        </w:rPr>
        <w:footnoteReference w:id="23"/>
      </w:r>
      <w:r w:rsidRPr="00AC38EA" w:rsidR="00956E0D">
        <w:rPr>
          <w:rFonts w:cs="Times New Roman"/>
          <w:szCs w:val="24"/>
        </w:rPr>
        <w:t xml:space="preserve">  </w:t>
      </w:r>
      <w:r w:rsidRPr="00AC38EA" w:rsidR="00DD6D6F">
        <w:rPr>
          <w:rFonts w:cs="Times New Roman"/>
          <w:szCs w:val="24"/>
        </w:rPr>
        <w:t>As a corollary, t</w:t>
      </w:r>
      <w:r w:rsidRPr="00AC38EA">
        <w:rPr>
          <w:rFonts w:cs="Times New Roman"/>
          <w:szCs w:val="24"/>
        </w:rPr>
        <w:t xml:space="preserve">he PUCO’s rules require </w:t>
      </w:r>
      <w:r w:rsidR="009150E2">
        <w:rPr>
          <w:rFonts w:cs="Times New Roman"/>
          <w:szCs w:val="24"/>
        </w:rPr>
        <w:t xml:space="preserve">the </w:t>
      </w:r>
      <w:r w:rsidR="00A07F0A">
        <w:rPr>
          <w:rFonts w:cs="Times New Roman"/>
          <w:szCs w:val="24"/>
        </w:rPr>
        <w:t>FirstEnergy Utilities</w:t>
      </w:r>
      <w:r w:rsidRPr="00AC38EA">
        <w:rPr>
          <w:rFonts w:cs="Times New Roman"/>
          <w:szCs w:val="24"/>
        </w:rPr>
        <w:t xml:space="preserve"> to keep detailed cost allocation manuals </w:t>
      </w:r>
      <w:r w:rsidRPr="00AC38EA" w:rsidR="00DD6D6F">
        <w:rPr>
          <w:rFonts w:cs="Times New Roman"/>
          <w:szCs w:val="24"/>
        </w:rPr>
        <w:t xml:space="preserve">(“CAM”) </w:t>
      </w:r>
      <w:r w:rsidRPr="00AC38EA">
        <w:rPr>
          <w:rFonts w:cs="Times New Roman"/>
          <w:szCs w:val="24"/>
        </w:rPr>
        <w:t xml:space="preserve">that specify </w:t>
      </w:r>
      <w:r w:rsidRPr="00AC38EA" w:rsidR="00DD6D6F">
        <w:rPr>
          <w:rFonts w:cs="Times New Roman"/>
          <w:szCs w:val="24"/>
        </w:rPr>
        <w:t>the policies and practices</w:t>
      </w:r>
      <w:r w:rsidR="009150E2">
        <w:rPr>
          <w:rFonts w:cs="Times New Roman"/>
          <w:szCs w:val="24"/>
        </w:rPr>
        <w:t xml:space="preserve"> the</w:t>
      </w:r>
      <w:r w:rsidRPr="00AC38EA" w:rsidR="00DD6D6F">
        <w:rPr>
          <w:rFonts w:cs="Times New Roman"/>
          <w:szCs w:val="24"/>
        </w:rPr>
        <w:t xml:space="preserve"> </w:t>
      </w:r>
      <w:r w:rsidR="00A07F0A">
        <w:rPr>
          <w:rFonts w:cs="Times New Roman"/>
          <w:szCs w:val="24"/>
        </w:rPr>
        <w:t>FirstEnergy Utilities</w:t>
      </w:r>
      <w:r w:rsidRPr="00AC38EA" w:rsidR="00DD6D6F">
        <w:rPr>
          <w:rFonts w:cs="Times New Roman"/>
          <w:szCs w:val="24"/>
        </w:rPr>
        <w:t xml:space="preserve"> follow to avoid cross-subsidization.</w:t>
      </w:r>
      <w:r>
        <w:rPr>
          <w:rStyle w:val="FootnoteReference"/>
          <w:rFonts w:cs="Times New Roman"/>
          <w:szCs w:val="24"/>
        </w:rPr>
        <w:footnoteReference w:id="24"/>
      </w:r>
      <w:r w:rsidRPr="00AC38EA" w:rsidR="00DD6D6F">
        <w:rPr>
          <w:rFonts w:cs="Times New Roman"/>
          <w:szCs w:val="24"/>
        </w:rPr>
        <w:t xml:space="preserve">  The CAM must also show </w:t>
      </w:r>
      <w:r w:rsidRPr="00AC38EA">
        <w:rPr>
          <w:rFonts w:cs="Times New Roman"/>
          <w:szCs w:val="24"/>
        </w:rPr>
        <w:t xml:space="preserve">how costs charged to the utility are traceable to </w:t>
      </w:r>
      <w:r w:rsidRPr="00AC38EA" w:rsidR="00DD6D6F">
        <w:rPr>
          <w:rFonts w:cs="Times New Roman"/>
          <w:szCs w:val="24"/>
        </w:rPr>
        <w:t>the corporate entity that incurred the costs.</w:t>
      </w:r>
      <w:r>
        <w:rPr>
          <w:rStyle w:val="FootnoteReference"/>
          <w:rFonts w:cs="Times New Roman"/>
          <w:szCs w:val="24"/>
        </w:rPr>
        <w:footnoteReference w:id="25"/>
      </w:r>
    </w:p>
    <w:p w:rsidR="000D2E5B" w:rsidRPr="00AC38EA" w:rsidP="00A662B9" w14:paraId="24E66D76" w14:textId="1AE28FC6">
      <w:pPr>
        <w:spacing w:after="0" w:line="480" w:lineRule="auto"/>
        <w:ind w:firstLine="720"/>
        <w:rPr>
          <w:rFonts w:cs="Times New Roman"/>
          <w:szCs w:val="24"/>
        </w:rPr>
      </w:pPr>
      <w:r w:rsidRPr="00AC38EA">
        <w:rPr>
          <w:rFonts w:cs="Times New Roman"/>
          <w:szCs w:val="24"/>
        </w:rPr>
        <w:t xml:space="preserve">One issue in this case is whether </w:t>
      </w:r>
      <w:r w:rsidRPr="00AC38EA" w:rsidR="008356B0">
        <w:rPr>
          <w:rFonts w:cs="Times New Roman"/>
          <w:szCs w:val="24"/>
        </w:rPr>
        <w:t xml:space="preserve">the </w:t>
      </w:r>
      <w:r w:rsidR="00A07F0A">
        <w:rPr>
          <w:rFonts w:cs="Times New Roman"/>
          <w:szCs w:val="24"/>
        </w:rPr>
        <w:t>FirstEnergy Utilities</w:t>
      </w:r>
      <w:r w:rsidRPr="00AC38EA" w:rsidR="008356B0">
        <w:rPr>
          <w:rFonts w:cs="Times New Roman"/>
          <w:szCs w:val="24"/>
        </w:rPr>
        <w:t xml:space="preserve">’ affiliates, including FirstEnergy Service Company, </w:t>
      </w:r>
      <w:r w:rsidRPr="00AC38EA" w:rsidR="00E73F10">
        <w:rPr>
          <w:rFonts w:cs="Times New Roman"/>
          <w:szCs w:val="24"/>
        </w:rPr>
        <w:t xml:space="preserve">improperly </w:t>
      </w:r>
      <w:r w:rsidRPr="00AC38EA">
        <w:rPr>
          <w:rFonts w:cs="Times New Roman"/>
          <w:szCs w:val="24"/>
        </w:rPr>
        <w:t xml:space="preserve">allocated H.B. 6 costs to the </w:t>
      </w:r>
      <w:r w:rsidR="00A07F0A">
        <w:rPr>
          <w:rFonts w:cs="Times New Roman"/>
          <w:szCs w:val="24"/>
        </w:rPr>
        <w:t>FirstEnergy Utilities</w:t>
      </w:r>
      <w:r w:rsidRPr="00AC38EA" w:rsidR="00E73F10">
        <w:rPr>
          <w:rFonts w:cs="Times New Roman"/>
          <w:szCs w:val="24"/>
        </w:rPr>
        <w:t xml:space="preserve"> (regardless of whether the </w:t>
      </w:r>
      <w:r w:rsidR="00A07F0A">
        <w:rPr>
          <w:rFonts w:cs="Times New Roman"/>
          <w:szCs w:val="24"/>
        </w:rPr>
        <w:t>FirstEnergy Utilities</w:t>
      </w:r>
      <w:r w:rsidRPr="00AC38EA" w:rsidR="00E73F10">
        <w:rPr>
          <w:rFonts w:cs="Times New Roman"/>
          <w:szCs w:val="24"/>
        </w:rPr>
        <w:t xml:space="preserve"> charged customers for these costs)</w:t>
      </w:r>
      <w:r w:rsidRPr="00AC38EA">
        <w:rPr>
          <w:rFonts w:cs="Times New Roman"/>
          <w:szCs w:val="24"/>
        </w:rPr>
        <w:t xml:space="preserve">, </w:t>
      </w:r>
      <w:r w:rsidRPr="00AC38EA" w:rsidR="00E73F10">
        <w:rPr>
          <w:rFonts w:cs="Times New Roman"/>
          <w:szCs w:val="24"/>
        </w:rPr>
        <w:t>resulting in</w:t>
      </w:r>
      <w:r w:rsidRPr="00AC38EA">
        <w:rPr>
          <w:rFonts w:cs="Times New Roman"/>
          <w:szCs w:val="24"/>
        </w:rPr>
        <w:t xml:space="preserve"> cross-subsid</w:t>
      </w:r>
      <w:r w:rsidRPr="00AC38EA" w:rsidR="00E73F10">
        <w:rPr>
          <w:rFonts w:cs="Times New Roman"/>
          <w:szCs w:val="24"/>
        </w:rPr>
        <w:t>ies for</w:t>
      </w:r>
      <w:r w:rsidRPr="00AC38EA">
        <w:rPr>
          <w:rFonts w:cs="Times New Roman"/>
          <w:szCs w:val="24"/>
        </w:rPr>
        <w:t xml:space="preserve"> </w:t>
      </w:r>
      <w:r w:rsidRPr="00AC38EA" w:rsidR="001A43B7">
        <w:rPr>
          <w:rFonts w:cs="Times New Roman"/>
          <w:szCs w:val="24"/>
        </w:rPr>
        <w:t xml:space="preserve">other FirstEnergy affiliates, including </w:t>
      </w:r>
      <w:r w:rsidRPr="00AC38EA">
        <w:rPr>
          <w:rFonts w:cs="Times New Roman"/>
          <w:szCs w:val="24"/>
        </w:rPr>
        <w:t>FirstEnergy Solutions</w:t>
      </w:r>
      <w:r w:rsidRPr="00AC38EA" w:rsidR="001A43B7">
        <w:rPr>
          <w:rFonts w:cs="Times New Roman"/>
          <w:szCs w:val="24"/>
        </w:rPr>
        <w:t xml:space="preserve">. If so, then the </w:t>
      </w:r>
      <w:r w:rsidR="00A07F0A">
        <w:rPr>
          <w:rFonts w:cs="Times New Roman"/>
          <w:szCs w:val="24"/>
        </w:rPr>
        <w:t>FirstEnergy Utilities</w:t>
      </w:r>
      <w:r w:rsidRPr="00AC38EA" w:rsidR="001A43B7">
        <w:rPr>
          <w:rFonts w:cs="Times New Roman"/>
          <w:szCs w:val="24"/>
        </w:rPr>
        <w:t xml:space="preserve"> may have been violating Ohio law and PUCO rules that prohibit cross-subs</w:t>
      </w:r>
      <w:r w:rsidRPr="00AC38EA" w:rsidR="007F66D6">
        <w:rPr>
          <w:rFonts w:cs="Times New Roman"/>
          <w:szCs w:val="24"/>
        </w:rPr>
        <w:t>i</w:t>
      </w:r>
      <w:r w:rsidRPr="00AC38EA" w:rsidR="001A43B7">
        <w:rPr>
          <w:rFonts w:cs="Times New Roman"/>
          <w:szCs w:val="24"/>
        </w:rPr>
        <w:t xml:space="preserve">dization.  </w:t>
      </w:r>
      <w:r w:rsidRPr="00AC38EA" w:rsidR="00493F53">
        <w:rPr>
          <w:rFonts w:cs="Times New Roman"/>
          <w:szCs w:val="24"/>
        </w:rPr>
        <w:t>The following disputed discovery requests go to this issue, as explained below:</w:t>
      </w:r>
    </w:p>
    <w:tbl>
      <w:tblPr>
        <w:tblStyle w:val="TableGrid"/>
        <w:tblW w:w="0" w:type="auto"/>
        <w:tblLook w:val="04A0"/>
      </w:tblPr>
      <w:tblGrid>
        <w:gridCol w:w="1705"/>
        <w:gridCol w:w="3600"/>
        <w:gridCol w:w="4045"/>
      </w:tblGrid>
      <w:tr w14:paraId="75DFF675" w14:textId="77777777" w:rsidTr="00A662B9">
        <w:tblPrEx>
          <w:tblW w:w="0" w:type="auto"/>
          <w:tblLook w:val="04A0"/>
        </w:tblPrEx>
        <w:tc>
          <w:tcPr>
            <w:tcW w:w="1705" w:type="dxa"/>
          </w:tcPr>
          <w:p w:rsidR="00B31F08" w:rsidRPr="00AC38EA" w:rsidP="00A662B9" w14:paraId="140C8C25" w14:textId="37623E6F">
            <w:pPr>
              <w:spacing w:line="480" w:lineRule="auto"/>
              <w:jc w:val="center"/>
              <w:rPr>
                <w:rFonts w:cs="Times New Roman"/>
                <w:b/>
                <w:bCs/>
                <w:szCs w:val="24"/>
                <w:u w:val="single"/>
              </w:rPr>
            </w:pPr>
            <w:r w:rsidRPr="00AC38EA">
              <w:rPr>
                <w:rFonts w:cs="Times New Roman"/>
                <w:b/>
                <w:bCs/>
                <w:szCs w:val="24"/>
                <w:u w:val="single"/>
              </w:rPr>
              <w:t>Request</w:t>
            </w:r>
          </w:p>
        </w:tc>
        <w:tc>
          <w:tcPr>
            <w:tcW w:w="3600" w:type="dxa"/>
          </w:tcPr>
          <w:p w:rsidR="00B31F08" w:rsidRPr="00AC38EA" w:rsidP="00A662B9" w14:paraId="406930CC" w14:textId="37E311E2">
            <w:pPr>
              <w:spacing w:line="480" w:lineRule="auto"/>
              <w:jc w:val="center"/>
              <w:rPr>
                <w:rFonts w:cs="Times New Roman"/>
                <w:b/>
                <w:bCs/>
                <w:szCs w:val="24"/>
                <w:u w:val="single"/>
              </w:rPr>
            </w:pPr>
            <w:r w:rsidRPr="00AC38EA">
              <w:rPr>
                <w:rFonts w:cs="Times New Roman"/>
                <w:b/>
                <w:bCs/>
                <w:szCs w:val="24"/>
                <w:u w:val="single"/>
              </w:rPr>
              <w:t>Summary</w:t>
            </w:r>
          </w:p>
        </w:tc>
        <w:tc>
          <w:tcPr>
            <w:tcW w:w="4045" w:type="dxa"/>
          </w:tcPr>
          <w:p w:rsidR="00B31F08" w:rsidRPr="00AC38EA" w:rsidP="00A662B9" w14:paraId="1E81D548" w14:textId="477A8E40">
            <w:pPr>
              <w:spacing w:line="480" w:lineRule="auto"/>
              <w:jc w:val="center"/>
              <w:rPr>
                <w:rFonts w:cs="Times New Roman"/>
                <w:b/>
                <w:bCs/>
                <w:szCs w:val="24"/>
                <w:u w:val="single"/>
              </w:rPr>
            </w:pPr>
            <w:r w:rsidRPr="00AC38EA">
              <w:rPr>
                <w:rFonts w:cs="Times New Roman"/>
                <w:b/>
                <w:bCs/>
                <w:szCs w:val="24"/>
                <w:u w:val="single"/>
              </w:rPr>
              <w:t>Relevance</w:t>
            </w:r>
          </w:p>
        </w:tc>
      </w:tr>
      <w:tr w14:paraId="7FB7C64B" w14:textId="77777777" w:rsidTr="00A662B9">
        <w:tblPrEx>
          <w:tblW w:w="0" w:type="auto"/>
          <w:tblLook w:val="04A0"/>
        </w:tblPrEx>
        <w:tc>
          <w:tcPr>
            <w:tcW w:w="1705" w:type="dxa"/>
          </w:tcPr>
          <w:p w:rsidR="00B31F08" w:rsidRPr="00AC38EA" w:rsidP="00307E31" w14:paraId="2BFED566" w14:textId="1BF3BD0A">
            <w:pPr>
              <w:spacing w:line="480" w:lineRule="auto"/>
              <w:rPr>
                <w:rFonts w:cs="Times New Roman"/>
                <w:szCs w:val="24"/>
              </w:rPr>
            </w:pPr>
            <w:r w:rsidRPr="00AC38EA">
              <w:rPr>
                <w:rFonts w:cs="Times New Roman"/>
                <w:szCs w:val="24"/>
              </w:rPr>
              <w:t>INT-04-003</w:t>
            </w:r>
          </w:p>
        </w:tc>
        <w:tc>
          <w:tcPr>
            <w:tcW w:w="3600" w:type="dxa"/>
          </w:tcPr>
          <w:p w:rsidR="00B31F08" w:rsidRPr="00AC38EA" w:rsidP="00A662B9" w14:paraId="6A4D7D4C" w14:textId="7B1F8414">
            <w:pPr>
              <w:rPr>
                <w:rFonts w:cs="Times New Roman"/>
                <w:szCs w:val="24"/>
              </w:rPr>
            </w:pPr>
            <w:r w:rsidRPr="00AC38EA">
              <w:rPr>
                <w:rFonts w:cs="Times New Roman"/>
                <w:szCs w:val="24"/>
              </w:rPr>
              <w:t>Payments by Service Company or Corp. to Generation Now</w:t>
            </w:r>
          </w:p>
        </w:tc>
        <w:tc>
          <w:tcPr>
            <w:tcW w:w="4045" w:type="dxa"/>
          </w:tcPr>
          <w:p w:rsidR="00B31F08" w:rsidRPr="00AC38EA" w:rsidP="00A662B9" w14:paraId="39CCC53F" w14:textId="5401D219">
            <w:pPr>
              <w:rPr>
                <w:rFonts w:cs="Times New Roman"/>
                <w:szCs w:val="24"/>
              </w:rPr>
            </w:pPr>
            <w:r w:rsidRPr="00AC38EA">
              <w:rPr>
                <w:rFonts w:cs="Times New Roman"/>
                <w:szCs w:val="24"/>
              </w:rPr>
              <w:t>Could</w:t>
            </w:r>
            <w:r w:rsidRPr="00AC38EA" w:rsidR="003C3F4C">
              <w:rPr>
                <w:rFonts w:cs="Times New Roman"/>
                <w:szCs w:val="24"/>
              </w:rPr>
              <w:t xml:space="preserve"> lead to admissible evidence that </w:t>
            </w:r>
            <w:r w:rsidRPr="00AC38EA" w:rsidR="00A75371">
              <w:rPr>
                <w:rFonts w:cs="Times New Roman"/>
                <w:szCs w:val="24"/>
              </w:rPr>
              <w:t>H.B. 6</w:t>
            </w:r>
            <w:r w:rsidRPr="00AC38EA">
              <w:rPr>
                <w:rFonts w:cs="Times New Roman"/>
                <w:szCs w:val="24"/>
              </w:rPr>
              <w:t xml:space="preserve"> </w:t>
            </w:r>
            <w:r w:rsidRPr="00AC38EA" w:rsidR="003C3F4C">
              <w:rPr>
                <w:rFonts w:cs="Times New Roman"/>
                <w:szCs w:val="24"/>
              </w:rPr>
              <w:t xml:space="preserve">costs were allocated </w:t>
            </w:r>
            <w:r w:rsidRPr="00AC38EA" w:rsidR="000E3093">
              <w:rPr>
                <w:rFonts w:cs="Times New Roman"/>
                <w:szCs w:val="24"/>
              </w:rPr>
              <w:t xml:space="preserve">by the Service Company </w:t>
            </w:r>
            <w:r w:rsidRPr="00AC38EA" w:rsidR="003C3F4C">
              <w:rPr>
                <w:rFonts w:cs="Times New Roman"/>
                <w:szCs w:val="24"/>
              </w:rPr>
              <w:t xml:space="preserve">to </w:t>
            </w:r>
            <w:r w:rsidRPr="00AC38EA" w:rsidR="000E3093">
              <w:rPr>
                <w:rFonts w:cs="Times New Roman"/>
                <w:szCs w:val="24"/>
              </w:rPr>
              <w:t xml:space="preserve">the </w:t>
            </w:r>
            <w:r w:rsidR="00A07F0A">
              <w:rPr>
                <w:rFonts w:cs="Times New Roman"/>
                <w:szCs w:val="24"/>
              </w:rPr>
              <w:t>FirstEnergy Utilities</w:t>
            </w:r>
            <w:r w:rsidRPr="00AC38EA" w:rsidR="003C3F4C">
              <w:rPr>
                <w:rFonts w:cs="Times New Roman"/>
                <w:szCs w:val="24"/>
              </w:rPr>
              <w:t xml:space="preserve"> and </w:t>
            </w:r>
            <w:r w:rsidRPr="00AC38EA" w:rsidR="000E3093">
              <w:rPr>
                <w:rFonts w:cs="Times New Roman"/>
                <w:szCs w:val="24"/>
              </w:rPr>
              <w:t xml:space="preserve">that </w:t>
            </w:r>
            <w:r w:rsidRPr="00AC38EA" w:rsidR="001A43B7">
              <w:rPr>
                <w:rFonts w:cs="Times New Roman"/>
                <w:szCs w:val="24"/>
              </w:rPr>
              <w:t>conferred an unfair competitive advantage</w:t>
            </w:r>
            <w:r w:rsidRPr="00AC38EA" w:rsidR="000E3093">
              <w:rPr>
                <w:rFonts w:cs="Times New Roman"/>
                <w:szCs w:val="24"/>
              </w:rPr>
              <w:t xml:space="preserve"> </w:t>
            </w:r>
            <w:r w:rsidRPr="00AC38EA" w:rsidR="001A43B7">
              <w:rPr>
                <w:rFonts w:cs="Times New Roman"/>
                <w:szCs w:val="24"/>
              </w:rPr>
              <w:t>on FirstEnergy Solutions</w:t>
            </w:r>
            <w:r w:rsidRPr="00AC38EA" w:rsidR="000E3093">
              <w:rPr>
                <w:rFonts w:cs="Times New Roman"/>
                <w:szCs w:val="24"/>
              </w:rPr>
              <w:t xml:space="preserve"> and may have been a form of unlawful cross-subsidization to the detriment of the </w:t>
            </w:r>
            <w:r w:rsidR="00A07F0A">
              <w:rPr>
                <w:rFonts w:cs="Times New Roman"/>
                <w:szCs w:val="24"/>
              </w:rPr>
              <w:t>FirstEnergy Utilities</w:t>
            </w:r>
            <w:r w:rsidRPr="00AC38EA" w:rsidR="000E3093">
              <w:rPr>
                <w:rFonts w:cs="Times New Roman"/>
                <w:szCs w:val="24"/>
              </w:rPr>
              <w:t xml:space="preserve"> customers who depend on the market for greater innovation and low prices. </w:t>
            </w:r>
            <w:r w:rsidRPr="00AC38EA" w:rsidR="003C3F4C">
              <w:rPr>
                <w:rFonts w:cs="Times New Roman"/>
                <w:szCs w:val="24"/>
              </w:rPr>
              <w:t>.</w:t>
            </w:r>
          </w:p>
        </w:tc>
      </w:tr>
      <w:tr w14:paraId="3B65EC04" w14:textId="77777777" w:rsidTr="00A662B9">
        <w:tblPrEx>
          <w:tblW w:w="0" w:type="auto"/>
          <w:tblLook w:val="04A0"/>
        </w:tblPrEx>
        <w:tc>
          <w:tcPr>
            <w:tcW w:w="1705" w:type="dxa"/>
          </w:tcPr>
          <w:p w:rsidR="00B31F08" w:rsidRPr="00AC38EA" w:rsidP="00B31F08" w14:paraId="483F253B" w14:textId="7A3D9409">
            <w:pPr>
              <w:spacing w:line="480" w:lineRule="auto"/>
              <w:rPr>
                <w:rFonts w:cs="Times New Roman"/>
                <w:szCs w:val="24"/>
              </w:rPr>
            </w:pPr>
          </w:p>
        </w:tc>
        <w:tc>
          <w:tcPr>
            <w:tcW w:w="3600" w:type="dxa"/>
          </w:tcPr>
          <w:p w:rsidR="00B31F08" w:rsidRPr="00AC38EA" w:rsidP="00A662B9" w14:paraId="3984172F" w14:textId="698DC64A">
            <w:pPr>
              <w:rPr>
                <w:rFonts w:cs="Times New Roman"/>
                <w:szCs w:val="24"/>
              </w:rPr>
            </w:pPr>
          </w:p>
        </w:tc>
        <w:tc>
          <w:tcPr>
            <w:tcW w:w="4045" w:type="dxa"/>
          </w:tcPr>
          <w:p w:rsidR="00B31F08" w:rsidRPr="00AC38EA" w:rsidP="00A662B9" w14:paraId="1B7A3C3F" w14:textId="7EFCFEB6">
            <w:pPr>
              <w:rPr>
                <w:rFonts w:cs="Times New Roman"/>
                <w:szCs w:val="24"/>
              </w:rPr>
            </w:pPr>
          </w:p>
        </w:tc>
      </w:tr>
      <w:tr w14:paraId="13F22A3A" w14:textId="77777777" w:rsidTr="00A662B9">
        <w:tblPrEx>
          <w:tblW w:w="0" w:type="auto"/>
          <w:tblLook w:val="04A0"/>
        </w:tblPrEx>
        <w:tc>
          <w:tcPr>
            <w:tcW w:w="1705" w:type="dxa"/>
          </w:tcPr>
          <w:p w:rsidR="00B31F08" w:rsidRPr="00AC38EA" w:rsidP="00B31F08" w14:paraId="501C38F5" w14:textId="56EFCDA1">
            <w:pPr>
              <w:spacing w:line="480" w:lineRule="auto"/>
              <w:rPr>
                <w:rFonts w:cs="Times New Roman"/>
                <w:szCs w:val="24"/>
              </w:rPr>
            </w:pPr>
            <w:r w:rsidRPr="00AC38EA">
              <w:rPr>
                <w:rFonts w:cs="Times New Roman"/>
                <w:szCs w:val="24"/>
              </w:rPr>
              <w:t>INT-04-010(e)</w:t>
            </w:r>
          </w:p>
        </w:tc>
        <w:tc>
          <w:tcPr>
            <w:tcW w:w="3600" w:type="dxa"/>
          </w:tcPr>
          <w:p w:rsidR="00B31F08" w:rsidRPr="00AC38EA" w:rsidP="00A662B9" w14:paraId="65C1F13C" w14:textId="65449214">
            <w:pPr>
              <w:rPr>
                <w:rFonts w:cs="Times New Roman"/>
                <w:szCs w:val="24"/>
              </w:rPr>
            </w:pPr>
            <w:r w:rsidRPr="00AC38EA">
              <w:rPr>
                <w:rFonts w:cs="Times New Roman"/>
                <w:szCs w:val="24"/>
              </w:rPr>
              <w:t xml:space="preserve">Accounting detail for </w:t>
            </w:r>
            <w:r w:rsidR="00A07F0A">
              <w:rPr>
                <w:rFonts w:cs="Times New Roman"/>
                <w:szCs w:val="24"/>
              </w:rPr>
              <w:t>FirstEnergy Utilities</w:t>
            </w:r>
            <w:r w:rsidRPr="00AC38EA">
              <w:rPr>
                <w:rFonts w:cs="Times New Roman"/>
                <w:szCs w:val="24"/>
              </w:rPr>
              <w:t>’ state affairs costs</w:t>
            </w:r>
          </w:p>
        </w:tc>
        <w:tc>
          <w:tcPr>
            <w:tcW w:w="4045" w:type="dxa"/>
          </w:tcPr>
          <w:p w:rsidR="00B31F08" w:rsidRPr="00AC38EA" w:rsidP="00A662B9" w14:paraId="5C5069A8" w14:textId="477DD643">
            <w:pPr>
              <w:rPr>
                <w:rFonts w:cs="Times New Roman"/>
                <w:szCs w:val="24"/>
              </w:rPr>
            </w:pPr>
            <w:r w:rsidRPr="00AC38EA">
              <w:rPr>
                <w:rFonts w:cs="Times New Roman"/>
                <w:szCs w:val="24"/>
              </w:rPr>
              <w:t>Same</w:t>
            </w:r>
          </w:p>
        </w:tc>
      </w:tr>
      <w:tr w14:paraId="1A3E56A4" w14:textId="77777777" w:rsidTr="00A662B9">
        <w:tblPrEx>
          <w:tblW w:w="0" w:type="auto"/>
          <w:tblLook w:val="04A0"/>
        </w:tblPrEx>
        <w:tc>
          <w:tcPr>
            <w:tcW w:w="1705" w:type="dxa"/>
          </w:tcPr>
          <w:p w:rsidR="00B31F08" w:rsidRPr="00AC38EA" w:rsidP="00B31F08" w14:paraId="4C4A9E87" w14:textId="79250728">
            <w:pPr>
              <w:spacing w:line="480" w:lineRule="auto"/>
              <w:rPr>
                <w:rFonts w:cs="Times New Roman"/>
                <w:szCs w:val="24"/>
              </w:rPr>
            </w:pPr>
            <w:r w:rsidRPr="00AC38EA">
              <w:rPr>
                <w:rFonts w:cs="Times New Roman"/>
                <w:szCs w:val="24"/>
              </w:rPr>
              <w:t>INT-04-016</w:t>
            </w:r>
          </w:p>
        </w:tc>
        <w:tc>
          <w:tcPr>
            <w:tcW w:w="3600" w:type="dxa"/>
          </w:tcPr>
          <w:p w:rsidR="00B31F08" w:rsidRPr="00AC38EA" w:rsidP="00A662B9" w14:paraId="65B0885E" w14:textId="12A504FA">
            <w:pPr>
              <w:rPr>
                <w:rFonts w:cs="Times New Roman"/>
                <w:szCs w:val="24"/>
              </w:rPr>
            </w:pPr>
            <w:r w:rsidRPr="00AC38EA">
              <w:rPr>
                <w:rFonts w:cs="Times New Roman"/>
                <w:szCs w:val="24"/>
              </w:rPr>
              <w:t xml:space="preserve">Whether the </w:t>
            </w:r>
            <w:r w:rsidR="00A07F0A">
              <w:rPr>
                <w:rFonts w:cs="Times New Roman"/>
                <w:szCs w:val="24"/>
              </w:rPr>
              <w:t>FirstEnergy Utilities</w:t>
            </w:r>
            <w:r w:rsidRPr="00AC38EA">
              <w:rPr>
                <w:rFonts w:cs="Times New Roman"/>
                <w:szCs w:val="24"/>
              </w:rPr>
              <w:t xml:space="preserve"> used revenues from customers for H.B. 6 activities</w:t>
            </w:r>
          </w:p>
        </w:tc>
        <w:tc>
          <w:tcPr>
            <w:tcW w:w="4045" w:type="dxa"/>
          </w:tcPr>
          <w:p w:rsidR="00B31F08" w:rsidRPr="00AC38EA" w:rsidP="00A662B9" w14:paraId="406C6A7F" w14:textId="181D33B8">
            <w:pPr>
              <w:rPr>
                <w:rFonts w:cs="Times New Roman"/>
                <w:szCs w:val="24"/>
              </w:rPr>
            </w:pPr>
            <w:r w:rsidRPr="00AC38EA">
              <w:rPr>
                <w:rFonts w:cs="Times New Roman"/>
                <w:szCs w:val="24"/>
              </w:rPr>
              <w:t>Same</w:t>
            </w:r>
          </w:p>
        </w:tc>
      </w:tr>
      <w:tr w14:paraId="77E7C41D" w14:textId="77777777" w:rsidTr="00A662B9">
        <w:tblPrEx>
          <w:tblW w:w="0" w:type="auto"/>
          <w:tblLook w:val="04A0"/>
        </w:tblPrEx>
        <w:tc>
          <w:tcPr>
            <w:tcW w:w="1705" w:type="dxa"/>
          </w:tcPr>
          <w:p w:rsidR="00B31F08" w:rsidRPr="00AC38EA" w:rsidP="00B31F08" w14:paraId="648E9683" w14:textId="751A8419">
            <w:pPr>
              <w:spacing w:line="480" w:lineRule="auto"/>
              <w:rPr>
                <w:rFonts w:cs="Times New Roman"/>
                <w:szCs w:val="24"/>
              </w:rPr>
            </w:pPr>
            <w:r w:rsidRPr="00AC38EA">
              <w:rPr>
                <w:rFonts w:cs="Times New Roman"/>
                <w:szCs w:val="24"/>
              </w:rPr>
              <w:t>INT-04-017</w:t>
            </w:r>
          </w:p>
        </w:tc>
        <w:tc>
          <w:tcPr>
            <w:tcW w:w="3600" w:type="dxa"/>
          </w:tcPr>
          <w:p w:rsidR="00B31F08" w:rsidRPr="00AC38EA" w:rsidP="00A662B9" w14:paraId="4D30FDA0" w14:textId="5FBC9A06">
            <w:pPr>
              <w:rPr>
                <w:rFonts w:cs="Times New Roman"/>
                <w:szCs w:val="24"/>
              </w:rPr>
            </w:pPr>
            <w:r w:rsidRPr="00AC38EA">
              <w:rPr>
                <w:rFonts w:cs="Times New Roman"/>
                <w:szCs w:val="24"/>
              </w:rPr>
              <w:t xml:space="preserve">Whether the </w:t>
            </w:r>
            <w:r w:rsidR="00A07F0A">
              <w:rPr>
                <w:rFonts w:cs="Times New Roman"/>
                <w:szCs w:val="24"/>
              </w:rPr>
              <w:t>FirstEnergy Utilities</w:t>
            </w:r>
            <w:r w:rsidRPr="00AC38EA">
              <w:rPr>
                <w:rFonts w:cs="Times New Roman"/>
                <w:szCs w:val="24"/>
              </w:rPr>
              <w:t xml:space="preserve"> used revenues from customers under riders approved in Case No. 14-1297-EL-SSO for H.B. 6 activities</w:t>
            </w:r>
          </w:p>
        </w:tc>
        <w:tc>
          <w:tcPr>
            <w:tcW w:w="4045" w:type="dxa"/>
          </w:tcPr>
          <w:p w:rsidR="00B31F08" w:rsidRPr="00AC38EA" w:rsidP="00A662B9" w14:paraId="6B7EBB63" w14:textId="03964F09">
            <w:pPr>
              <w:rPr>
                <w:rFonts w:cs="Times New Roman"/>
                <w:szCs w:val="24"/>
              </w:rPr>
            </w:pPr>
            <w:r w:rsidRPr="00AC38EA">
              <w:rPr>
                <w:rFonts w:cs="Times New Roman"/>
                <w:szCs w:val="24"/>
              </w:rPr>
              <w:t>Same</w:t>
            </w:r>
          </w:p>
        </w:tc>
      </w:tr>
      <w:tr w14:paraId="1C8786BC" w14:textId="77777777" w:rsidTr="00A662B9">
        <w:tblPrEx>
          <w:tblW w:w="0" w:type="auto"/>
          <w:tblLook w:val="04A0"/>
        </w:tblPrEx>
        <w:tc>
          <w:tcPr>
            <w:tcW w:w="1705" w:type="dxa"/>
          </w:tcPr>
          <w:p w:rsidR="00B31F08" w:rsidRPr="00AC38EA" w:rsidP="00B31F08" w14:paraId="115B962E" w14:textId="1B59AF6D">
            <w:pPr>
              <w:spacing w:line="480" w:lineRule="auto"/>
              <w:rPr>
                <w:rFonts w:cs="Times New Roman"/>
                <w:szCs w:val="24"/>
              </w:rPr>
            </w:pPr>
            <w:r w:rsidRPr="00AC38EA">
              <w:rPr>
                <w:rFonts w:cs="Times New Roman"/>
                <w:szCs w:val="24"/>
              </w:rPr>
              <w:t>INT-04-019</w:t>
            </w:r>
          </w:p>
        </w:tc>
        <w:tc>
          <w:tcPr>
            <w:tcW w:w="3600" w:type="dxa"/>
          </w:tcPr>
          <w:p w:rsidR="00B31F08" w:rsidRPr="00AC38EA" w:rsidP="00A662B9" w14:paraId="019D301E" w14:textId="4124898B">
            <w:pPr>
              <w:rPr>
                <w:rFonts w:cs="Times New Roman"/>
                <w:szCs w:val="24"/>
              </w:rPr>
            </w:pPr>
            <w:r w:rsidRPr="00AC38EA">
              <w:rPr>
                <w:rFonts w:cs="Times New Roman"/>
                <w:szCs w:val="24"/>
              </w:rPr>
              <w:t>Identify</w:t>
            </w:r>
            <w:r w:rsidRPr="00AC38EA" w:rsidR="00764490">
              <w:rPr>
                <w:rFonts w:cs="Times New Roman"/>
                <w:szCs w:val="24"/>
              </w:rPr>
              <w:t xml:space="preserve"> corporate policy violations </w:t>
            </w:r>
            <w:r w:rsidRPr="00AC38EA">
              <w:rPr>
                <w:rFonts w:cs="Times New Roman"/>
                <w:szCs w:val="24"/>
              </w:rPr>
              <w:t xml:space="preserve">that </w:t>
            </w:r>
            <w:r w:rsidRPr="00AC38EA" w:rsidR="00764490">
              <w:rPr>
                <w:rFonts w:cs="Times New Roman"/>
                <w:szCs w:val="24"/>
              </w:rPr>
              <w:t>led to Chuck Jones’ termination</w:t>
            </w:r>
          </w:p>
        </w:tc>
        <w:tc>
          <w:tcPr>
            <w:tcW w:w="4045" w:type="dxa"/>
          </w:tcPr>
          <w:p w:rsidR="00B31F08" w:rsidRPr="00AC38EA" w:rsidP="00A662B9" w14:paraId="064B945E" w14:textId="4AD15EC7">
            <w:pPr>
              <w:rPr>
                <w:rFonts w:cs="Times New Roman"/>
                <w:szCs w:val="24"/>
              </w:rPr>
            </w:pPr>
            <w:r w:rsidRPr="00AC38EA">
              <w:rPr>
                <w:rFonts w:cs="Times New Roman"/>
                <w:szCs w:val="24"/>
              </w:rPr>
              <w:t xml:space="preserve">Corporate policies can include many issues that are germane to corporate separation, including </w:t>
            </w:r>
            <w:r w:rsidRPr="00AC38EA" w:rsidR="0002561C">
              <w:rPr>
                <w:rFonts w:cs="Times New Roman"/>
                <w:szCs w:val="24"/>
              </w:rPr>
              <w:t xml:space="preserve">business transactions between the </w:t>
            </w:r>
            <w:r w:rsidR="00A07F0A">
              <w:rPr>
                <w:rFonts w:cs="Times New Roman"/>
                <w:szCs w:val="24"/>
              </w:rPr>
              <w:t>FirstEnergy Utilities</w:t>
            </w:r>
            <w:r w:rsidRPr="00AC38EA" w:rsidR="0002561C">
              <w:rPr>
                <w:rFonts w:cs="Times New Roman"/>
                <w:szCs w:val="24"/>
              </w:rPr>
              <w:t xml:space="preserve"> and their affiliates. </w:t>
            </w:r>
            <w:r w:rsidRPr="00AC38EA" w:rsidR="00764490">
              <w:rPr>
                <w:rFonts w:cs="Times New Roman"/>
                <w:szCs w:val="24"/>
              </w:rPr>
              <w:t>Could lead to admissible evidence that the termination was</w:t>
            </w:r>
            <w:r w:rsidRPr="00AC38EA" w:rsidR="00A75371">
              <w:rPr>
                <w:rFonts w:cs="Times New Roman"/>
                <w:szCs w:val="24"/>
              </w:rPr>
              <w:t xml:space="preserve"> due to improperly allocating </w:t>
            </w:r>
            <w:r w:rsidRPr="00AC38EA" w:rsidR="009214E5">
              <w:rPr>
                <w:rFonts w:cs="Times New Roman"/>
                <w:szCs w:val="24"/>
              </w:rPr>
              <w:t xml:space="preserve">H.B. 6-related </w:t>
            </w:r>
            <w:r w:rsidRPr="00AC38EA" w:rsidR="00A75371">
              <w:rPr>
                <w:rFonts w:cs="Times New Roman"/>
                <w:szCs w:val="24"/>
              </w:rPr>
              <w:t xml:space="preserve">costs to the </w:t>
            </w:r>
            <w:r w:rsidR="00A07F0A">
              <w:rPr>
                <w:rFonts w:cs="Times New Roman"/>
                <w:szCs w:val="24"/>
              </w:rPr>
              <w:t>FirstEnergy Utilities</w:t>
            </w:r>
            <w:r w:rsidRPr="00AC38EA" w:rsidR="00A75371">
              <w:rPr>
                <w:rFonts w:cs="Times New Roman"/>
                <w:szCs w:val="24"/>
              </w:rPr>
              <w:t xml:space="preserve"> that </w:t>
            </w:r>
            <w:r w:rsidRPr="00AC38EA" w:rsidR="009214E5">
              <w:rPr>
                <w:rFonts w:cs="Times New Roman"/>
                <w:szCs w:val="24"/>
              </w:rPr>
              <w:t xml:space="preserve">cross-subsidized </w:t>
            </w:r>
            <w:r w:rsidRPr="00AC38EA" w:rsidR="00A75371">
              <w:rPr>
                <w:rFonts w:cs="Times New Roman"/>
                <w:szCs w:val="24"/>
              </w:rPr>
              <w:t>the H.B. 6 nuclear subsidy for the benefit of FirstEnergy Solutions</w:t>
            </w:r>
          </w:p>
        </w:tc>
      </w:tr>
      <w:tr w14:paraId="548D06AB" w14:textId="77777777" w:rsidTr="00A662B9">
        <w:tblPrEx>
          <w:tblW w:w="0" w:type="auto"/>
          <w:tblLook w:val="04A0"/>
        </w:tblPrEx>
        <w:tc>
          <w:tcPr>
            <w:tcW w:w="1705" w:type="dxa"/>
          </w:tcPr>
          <w:p w:rsidR="00D15CEF" w:rsidRPr="00AC38EA" w:rsidP="00D15CEF" w14:paraId="16489C32" w14:textId="04E6DCC0">
            <w:pPr>
              <w:spacing w:line="480" w:lineRule="auto"/>
              <w:rPr>
                <w:rFonts w:cs="Times New Roman"/>
                <w:szCs w:val="24"/>
              </w:rPr>
            </w:pPr>
            <w:r w:rsidRPr="00AC38EA">
              <w:rPr>
                <w:rFonts w:cs="Times New Roman"/>
                <w:szCs w:val="24"/>
              </w:rPr>
              <w:t>INT-04-021</w:t>
            </w:r>
          </w:p>
        </w:tc>
        <w:tc>
          <w:tcPr>
            <w:tcW w:w="3600" w:type="dxa"/>
          </w:tcPr>
          <w:p w:rsidR="00D15CEF" w:rsidRPr="00AC38EA" w:rsidP="00A662B9" w14:paraId="7A9CDFB2" w14:textId="3BDB62C4">
            <w:pPr>
              <w:rPr>
                <w:rFonts w:cs="Times New Roman"/>
                <w:szCs w:val="24"/>
              </w:rPr>
            </w:pPr>
            <w:r w:rsidRPr="00AC38EA">
              <w:rPr>
                <w:rFonts w:cs="Times New Roman"/>
                <w:szCs w:val="24"/>
              </w:rPr>
              <w:t>Identify corporate policy violations that led to Dennis Chack’s termination</w:t>
            </w:r>
          </w:p>
        </w:tc>
        <w:tc>
          <w:tcPr>
            <w:tcW w:w="4045" w:type="dxa"/>
          </w:tcPr>
          <w:p w:rsidR="00D15CEF" w:rsidRPr="00AC38EA" w:rsidP="00A662B9" w14:paraId="6F3EBAB1" w14:textId="625D43A7">
            <w:pPr>
              <w:rPr>
                <w:rFonts w:cs="Times New Roman"/>
                <w:szCs w:val="24"/>
              </w:rPr>
            </w:pPr>
            <w:r w:rsidRPr="00AC38EA">
              <w:rPr>
                <w:rFonts w:cs="Times New Roman"/>
                <w:szCs w:val="24"/>
              </w:rPr>
              <w:t>Same</w:t>
            </w:r>
          </w:p>
        </w:tc>
      </w:tr>
      <w:tr w14:paraId="2EC54D66" w14:textId="77777777" w:rsidTr="00A662B9">
        <w:tblPrEx>
          <w:tblW w:w="0" w:type="auto"/>
          <w:tblLook w:val="04A0"/>
        </w:tblPrEx>
        <w:tc>
          <w:tcPr>
            <w:tcW w:w="1705" w:type="dxa"/>
          </w:tcPr>
          <w:p w:rsidR="00D15CEF" w:rsidRPr="00AC38EA" w:rsidP="00D15CEF" w14:paraId="4145BD64" w14:textId="4C89661F">
            <w:pPr>
              <w:spacing w:line="480" w:lineRule="auto"/>
              <w:rPr>
                <w:rFonts w:cs="Times New Roman"/>
                <w:szCs w:val="24"/>
              </w:rPr>
            </w:pPr>
            <w:r w:rsidRPr="00AC38EA">
              <w:rPr>
                <w:rFonts w:cs="Times New Roman"/>
                <w:szCs w:val="24"/>
              </w:rPr>
              <w:t>INT-04-023</w:t>
            </w:r>
          </w:p>
        </w:tc>
        <w:tc>
          <w:tcPr>
            <w:tcW w:w="3600" w:type="dxa"/>
          </w:tcPr>
          <w:p w:rsidR="00D15CEF" w:rsidRPr="00AC38EA" w:rsidP="00A662B9" w14:paraId="2B7F750E" w14:textId="36F196F0">
            <w:pPr>
              <w:rPr>
                <w:rFonts w:cs="Times New Roman"/>
                <w:szCs w:val="24"/>
              </w:rPr>
            </w:pPr>
            <w:r w:rsidRPr="00AC38EA">
              <w:rPr>
                <w:rFonts w:cs="Times New Roman"/>
                <w:szCs w:val="24"/>
              </w:rPr>
              <w:t>Identify corporate policy violations that led to Michael Dowling’s termination</w:t>
            </w:r>
          </w:p>
        </w:tc>
        <w:tc>
          <w:tcPr>
            <w:tcW w:w="4045" w:type="dxa"/>
          </w:tcPr>
          <w:p w:rsidR="00D15CEF" w:rsidRPr="00AC38EA" w:rsidP="00A662B9" w14:paraId="53BA57C0" w14:textId="5969B09F">
            <w:pPr>
              <w:rPr>
                <w:rFonts w:cs="Times New Roman"/>
                <w:szCs w:val="24"/>
              </w:rPr>
            </w:pPr>
            <w:r w:rsidRPr="00AC38EA">
              <w:rPr>
                <w:rFonts w:cs="Times New Roman"/>
                <w:szCs w:val="24"/>
              </w:rPr>
              <w:t>Same</w:t>
            </w:r>
          </w:p>
        </w:tc>
      </w:tr>
      <w:tr w14:paraId="6FFF0EAA" w14:textId="77777777" w:rsidTr="00A662B9">
        <w:tblPrEx>
          <w:tblW w:w="0" w:type="auto"/>
          <w:tblLook w:val="04A0"/>
        </w:tblPrEx>
        <w:tc>
          <w:tcPr>
            <w:tcW w:w="1705" w:type="dxa"/>
          </w:tcPr>
          <w:p w:rsidR="00B31F08" w:rsidRPr="00AC38EA" w:rsidP="00B31F08" w14:paraId="62370411" w14:textId="1225AE4A">
            <w:pPr>
              <w:spacing w:line="480" w:lineRule="auto"/>
              <w:rPr>
                <w:rFonts w:cs="Times New Roman"/>
                <w:szCs w:val="24"/>
              </w:rPr>
            </w:pPr>
            <w:r w:rsidRPr="00AC38EA">
              <w:rPr>
                <w:rFonts w:cs="Times New Roman"/>
                <w:szCs w:val="24"/>
              </w:rPr>
              <w:t>INT-04-024</w:t>
            </w:r>
          </w:p>
        </w:tc>
        <w:tc>
          <w:tcPr>
            <w:tcW w:w="3600" w:type="dxa"/>
          </w:tcPr>
          <w:p w:rsidR="00B31F08" w:rsidRPr="00AC38EA" w:rsidP="00A662B9" w14:paraId="73A3DAFC" w14:textId="2901F30B">
            <w:pPr>
              <w:rPr>
                <w:rFonts w:cs="Times New Roman"/>
                <w:szCs w:val="24"/>
              </w:rPr>
            </w:pPr>
            <w:r w:rsidRPr="00AC38EA">
              <w:rPr>
                <w:rFonts w:cs="Times New Roman"/>
                <w:szCs w:val="24"/>
              </w:rPr>
              <w:t>Identify corporate policies that were part of the independent board of directors’ review</w:t>
            </w:r>
          </w:p>
        </w:tc>
        <w:tc>
          <w:tcPr>
            <w:tcW w:w="4045" w:type="dxa"/>
          </w:tcPr>
          <w:p w:rsidR="00B31F08" w:rsidRPr="00AC38EA" w:rsidP="00A662B9" w14:paraId="7014FB71" w14:textId="1F83A301">
            <w:pPr>
              <w:rPr>
                <w:rFonts w:cs="Times New Roman"/>
                <w:szCs w:val="24"/>
              </w:rPr>
            </w:pPr>
            <w:r w:rsidRPr="00AC38EA">
              <w:rPr>
                <w:rFonts w:cs="Times New Roman"/>
                <w:szCs w:val="24"/>
              </w:rPr>
              <w:t>Same</w:t>
            </w:r>
          </w:p>
        </w:tc>
      </w:tr>
      <w:tr w14:paraId="444BE61B" w14:textId="77777777" w:rsidTr="00A662B9">
        <w:tblPrEx>
          <w:tblW w:w="0" w:type="auto"/>
          <w:tblLook w:val="04A0"/>
        </w:tblPrEx>
        <w:tc>
          <w:tcPr>
            <w:tcW w:w="1705" w:type="dxa"/>
          </w:tcPr>
          <w:p w:rsidR="00B31F08" w:rsidRPr="00AC38EA" w:rsidP="00B31F08" w14:paraId="26E29043" w14:textId="24C31A3B">
            <w:pPr>
              <w:spacing w:line="480" w:lineRule="auto"/>
              <w:rPr>
                <w:rFonts w:cs="Times New Roman"/>
                <w:szCs w:val="24"/>
              </w:rPr>
            </w:pPr>
            <w:r w:rsidRPr="00AC38EA">
              <w:rPr>
                <w:rFonts w:cs="Times New Roman"/>
                <w:szCs w:val="24"/>
              </w:rPr>
              <w:t>INT-04-025</w:t>
            </w:r>
          </w:p>
        </w:tc>
        <w:tc>
          <w:tcPr>
            <w:tcW w:w="3600" w:type="dxa"/>
          </w:tcPr>
          <w:p w:rsidR="00B31F08" w:rsidRPr="00AC38EA" w:rsidP="00A662B9" w14:paraId="5CC52198" w14:textId="119032A2">
            <w:pPr>
              <w:rPr>
                <w:rFonts w:cs="Times New Roman"/>
                <w:szCs w:val="24"/>
              </w:rPr>
            </w:pPr>
            <w:r w:rsidRPr="00AC38EA">
              <w:rPr>
                <w:rFonts w:cs="Times New Roman"/>
                <w:szCs w:val="24"/>
              </w:rPr>
              <w:t>Whether the independent board of directors’ review led to any changes in corporate policies relating to corporate separation</w:t>
            </w:r>
          </w:p>
        </w:tc>
        <w:tc>
          <w:tcPr>
            <w:tcW w:w="4045" w:type="dxa"/>
          </w:tcPr>
          <w:p w:rsidR="00B31F08" w:rsidRPr="00AC38EA" w:rsidP="00A662B9" w14:paraId="11A6BA75" w14:textId="2BA0C3BE">
            <w:pPr>
              <w:rPr>
                <w:rFonts w:cs="Times New Roman"/>
                <w:szCs w:val="24"/>
              </w:rPr>
            </w:pPr>
            <w:r w:rsidRPr="00AC38EA">
              <w:rPr>
                <w:rFonts w:cs="Times New Roman"/>
                <w:szCs w:val="24"/>
              </w:rPr>
              <w:t>Same</w:t>
            </w:r>
          </w:p>
        </w:tc>
      </w:tr>
      <w:tr w14:paraId="7D465A6E" w14:textId="77777777" w:rsidTr="00A662B9">
        <w:tblPrEx>
          <w:tblW w:w="0" w:type="auto"/>
          <w:tblLook w:val="04A0"/>
        </w:tblPrEx>
        <w:tc>
          <w:tcPr>
            <w:tcW w:w="1705" w:type="dxa"/>
          </w:tcPr>
          <w:p w:rsidR="00B31F08" w:rsidRPr="001C1920" w:rsidP="00B31F08" w14:paraId="2EC77E37" w14:textId="44CA39DB">
            <w:pPr>
              <w:spacing w:line="480" w:lineRule="auto"/>
              <w:rPr>
                <w:rFonts w:cs="Times New Roman"/>
                <w:szCs w:val="24"/>
              </w:rPr>
            </w:pPr>
            <w:r w:rsidRPr="001C1920">
              <w:rPr>
                <w:rFonts w:cs="Times New Roman"/>
                <w:szCs w:val="24"/>
              </w:rPr>
              <w:t>RFA-04-003</w:t>
            </w:r>
          </w:p>
        </w:tc>
        <w:tc>
          <w:tcPr>
            <w:tcW w:w="3600" w:type="dxa"/>
          </w:tcPr>
          <w:p w:rsidR="00B31F08" w:rsidRPr="001C1920" w:rsidP="00A662B9" w14:paraId="3641C6BE" w14:textId="5D2DD786">
            <w:pPr>
              <w:rPr>
                <w:rFonts w:cs="Times New Roman"/>
                <w:szCs w:val="24"/>
              </w:rPr>
            </w:pPr>
            <w:r w:rsidRPr="001C1920">
              <w:rPr>
                <w:rFonts w:cs="Times New Roman"/>
                <w:szCs w:val="24"/>
              </w:rPr>
              <w:t xml:space="preserve">Admit the </w:t>
            </w:r>
            <w:r w:rsidR="00A07F0A">
              <w:rPr>
                <w:rFonts w:cs="Times New Roman"/>
                <w:szCs w:val="24"/>
              </w:rPr>
              <w:t>FirstEnergy Utilities</w:t>
            </w:r>
            <w:r w:rsidRPr="001C1920">
              <w:rPr>
                <w:rFonts w:cs="Times New Roman"/>
                <w:szCs w:val="24"/>
              </w:rPr>
              <w:t xml:space="preserve"> engaged in political and charitable spending in support of H.B. 6</w:t>
            </w:r>
          </w:p>
        </w:tc>
        <w:tc>
          <w:tcPr>
            <w:tcW w:w="4045" w:type="dxa"/>
          </w:tcPr>
          <w:p w:rsidR="00B31F08" w:rsidRPr="00AC38EA" w:rsidP="00A662B9" w14:paraId="14723ACC" w14:textId="481D6BB2">
            <w:pPr>
              <w:rPr>
                <w:rFonts w:cs="Times New Roman"/>
                <w:szCs w:val="24"/>
              </w:rPr>
            </w:pPr>
            <w:r w:rsidRPr="00AC38EA">
              <w:rPr>
                <w:rFonts w:cs="Times New Roman"/>
                <w:szCs w:val="24"/>
              </w:rPr>
              <w:t xml:space="preserve">Could lead to admissible evidence that </w:t>
            </w:r>
            <w:r w:rsidRPr="00AC38EA" w:rsidR="0002561C">
              <w:rPr>
                <w:rFonts w:cs="Times New Roman"/>
                <w:szCs w:val="24"/>
              </w:rPr>
              <w:t xml:space="preserve">the </w:t>
            </w:r>
            <w:r w:rsidR="00A07F0A">
              <w:rPr>
                <w:rFonts w:cs="Times New Roman"/>
                <w:szCs w:val="24"/>
              </w:rPr>
              <w:t>FirstEnergy Utilities</w:t>
            </w:r>
            <w:r w:rsidRPr="00AC38EA" w:rsidR="0002561C">
              <w:rPr>
                <w:rFonts w:cs="Times New Roman"/>
                <w:szCs w:val="24"/>
              </w:rPr>
              <w:t xml:space="preserve"> engaged in spending on </w:t>
            </w:r>
            <w:r w:rsidRPr="00AC38EA">
              <w:rPr>
                <w:rFonts w:cs="Times New Roman"/>
                <w:szCs w:val="24"/>
              </w:rPr>
              <w:t>H.</w:t>
            </w:r>
            <w:r w:rsidR="00F3021C">
              <w:rPr>
                <w:rFonts w:cs="Times New Roman"/>
                <w:szCs w:val="24"/>
              </w:rPr>
              <w:t>B. 6</w:t>
            </w:r>
            <w:r w:rsidRPr="00AC38EA" w:rsidR="0002561C">
              <w:rPr>
                <w:rFonts w:cs="Times New Roman"/>
                <w:szCs w:val="24"/>
              </w:rPr>
              <w:t xml:space="preserve"> that conferred an unfair competitive advantage on FirstEnergy Solutions and may have been a form of unlawful cross-subsidization to the detriment of the </w:t>
            </w:r>
            <w:r w:rsidR="00A07F0A">
              <w:rPr>
                <w:rFonts w:cs="Times New Roman"/>
                <w:szCs w:val="24"/>
              </w:rPr>
              <w:t>FirstEnergy Utilities</w:t>
            </w:r>
            <w:r w:rsidRPr="00AC38EA" w:rsidR="0002561C">
              <w:rPr>
                <w:rFonts w:cs="Times New Roman"/>
                <w:szCs w:val="24"/>
              </w:rPr>
              <w:t xml:space="preserve"> customers who depend on the market for greater innovation and low prices.</w:t>
            </w:r>
          </w:p>
        </w:tc>
      </w:tr>
      <w:tr w14:paraId="7D9F222D" w14:textId="77777777" w:rsidTr="00A662B9">
        <w:tblPrEx>
          <w:tblW w:w="0" w:type="auto"/>
          <w:tblLook w:val="04A0"/>
        </w:tblPrEx>
        <w:tc>
          <w:tcPr>
            <w:tcW w:w="1705" w:type="dxa"/>
          </w:tcPr>
          <w:p w:rsidR="00B31F08" w:rsidRPr="00AC38EA" w:rsidP="00B31F08" w14:paraId="0F082241" w14:textId="1928C6FE">
            <w:pPr>
              <w:spacing w:line="480" w:lineRule="auto"/>
              <w:rPr>
                <w:rFonts w:cs="Times New Roman"/>
                <w:szCs w:val="24"/>
              </w:rPr>
            </w:pPr>
            <w:r w:rsidRPr="00AC38EA">
              <w:rPr>
                <w:rFonts w:cs="Times New Roman"/>
                <w:szCs w:val="24"/>
              </w:rPr>
              <w:t>RFA-04-013</w:t>
            </w:r>
          </w:p>
        </w:tc>
        <w:tc>
          <w:tcPr>
            <w:tcW w:w="3600" w:type="dxa"/>
          </w:tcPr>
          <w:p w:rsidR="00B31F08" w:rsidRPr="00AC38EA" w:rsidP="00A662B9" w14:paraId="4616C77E" w14:textId="1CD742A2">
            <w:pPr>
              <w:rPr>
                <w:rFonts w:cs="Times New Roman"/>
                <w:szCs w:val="24"/>
              </w:rPr>
            </w:pPr>
            <w:r w:rsidRPr="00AC38EA">
              <w:rPr>
                <w:rFonts w:cs="Times New Roman"/>
                <w:szCs w:val="24"/>
              </w:rPr>
              <w:t xml:space="preserve">Admit the independent board of director’s review </w:t>
            </w:r>
            <w:r w:rsidRPr="00AC38EA" w:rsidR="00A75371">
              <w:rPr>
                <w:rFonts w:cs="Times New Roman"/>
                <w:szCs w:val="24"/>
              </w:rPr>
              <w:t>found that FirstEnergy violated its corporate separation plan</w:t>
            </w:r>
          </w:p>
        </w:tc>
        <w:tc>
          <w:tcPr>
            <w:tcW w:w="4045" w:type="dxa"/>
          </w:tcPr>
          <w:p w:rsidR="00B31F08" w:rsidRPr="00AC38EA" w:rsidP="00A662B9" w14:paraId="72F0093B" w14:textId="6BF6F37B">
            <w:pPr>
              <w:rPr>
                <w:rFonts w:cs="Times New Roman"/>
                <w:szCs w:val="24"/>
              </w:rPr>
            </w:pPr>
            <w:r w:rsidRPr="00AC38EA">
              <w:rPr>
                <w:rFonts w:cs="Times New Roman"/>
                <w:szCs w:val="24"/>
              </w:rPr>
              <w:t xml:space="preserve"> </w:t>
            </w:r>
            <w:r w:rsidRPr="00AC38EA" w:rsidR="009214E5">
              <w:rPr>
                <w:rFonts w:cs="Times New Roman"/>
                <w:szCs w:val="24"/>
              </w:rPr>
              <w:t>Same</w:t>
            </w:r>
          </w:p>
        </w:tc>
      </w:tr>
      <w:tr w14:paraId="3DB1402C" w14:textId="77777777" w:rsidTr="00A662B9">
        <w:tblPrEx>
          <w:tblW w:w="0" w:type="auto"/>
          <w:tblLook w:val="04A0"/>
        </w:tblPrEx>
        <w:tc>
          <w:tcPr>
            <w:tcW w:w="1705" w:type="dxa"/>
          </w:tcPr>
          <w:p w:rsidR="00B31F08" w:rsidRPr="00AC38EA" w:rsidP="00B31F08" w14:paraId="5CEF2164" w14:textId="692DF129">
            <w:pPr>
              <w:spacing w:line="480" w:lineRule="auto"/>
              <w:rPr>
                <w:rFonts w:cs="Times New Roman"/>
                <w:szCs w:val="24"/>
              </w:rPr>
            </w:pPr>
            <w:r w:rsidRPr="00AC38EA">
              <w:rPr>
                <w:rFonts w:cs="Times New Roman"/>
                <w:szCs w:val="24"/>
              </w:rPr>
              <w:t>RFA-04-014</w:t>
            </w:r>
          </w:p>
        </w:tc>
        <w:tc>
          <w:tcPr>
            <w:tcW w:w="3600" w:type="dxa"/>
          </w:tcPr>
          <w:p w:rsidR="00B31F08" w:rsidRPr="00AC38EA" w:rsidP="00A662B9" w14:paraId="5CE0DBB5" w14:textId="62D644C6">
            <w:pPr>
              <w:rPr>
                <w:rFonts w:cs="Times New Roman"/>
                <w:szCs w:val="24"/>
              </w:rPr>
            </w:pPr>
            <w:r w:rsidRPr="00AC38EA">
              <w:rPr>
                <w:rFonts w:cs="Times New Roman"/>
                <w:szCs w:val="24"/>
              </w:rPr>
              <w:t>Admit that Chuck Jones was terminated for violating FirstEnergy’s corporate separation plan</w:t>
            </w:r>
          </w:p>
        </w:tc>
        <w:tc>
          <w:tcPr>
            <w:tcW w:w="4045" w:type="dxa"/>
          </w:tcPr>
          <w:p w:rsidR="00B31F08" w:rsidRPr="00AC38EA" w:rsidP="00A662B9" w14:paraId="39599B8D" w14:textId="2BB974DD">
            <w:pPr>
              <w:rPr>
                <w:rFonts w:cs="Times New Roman"/>
                <w:szCs w:val="24"/>
              </w:rPr>
            </w:pPr>
            <w:r w:rsidRPr="00AC38EA">
              <w:rPr>
                <w:rFonts w:cs="Times New Roman"/>
                <w:szCs w:val="24"/>
              </w:rPr>
              <w:t xml:space="preserve">Could lead to admissible evidence that the termination was due to improperly allocating H.B. 6-related costs to the </w:t>
            </w:r>
            <w:r w:rsidR="00A07F0A">
              <w:rPr>
                <w:rFonts w:cs="Times New Roman"/>
                <w:szCs w:val="24"/>
              </w:rPr>
              <w:t>FirstEnergy Utilities</w:t>
            </w:r>
            <w:r w:rsidRPr="00AC38EA">
              <w:rPr>
                <w:rFonts w:cs="Times New Roman"/>
                <w:szCs w:val="24"/>
              </w:rPr>
              <w:t xml:space="preserve"> that cross-subsidized the H.B. 6 nuclear subsidy for the benefit of FirstEnergy Solutions</w:t>
            </w:r>
          </w:p>
        </w:tc>
      </w:tr>
      <w:tr w14:paraId="31EF290E" w14:textId="77777777" w:rsidTr="00A662B9">
        <w:tblPrEx>
          <w:tblW w:w="0" w:type="auto"/>
          <w:tblLook w:val="04A0"/>
        </w:tblPrEx>
        <w:tc>
          <w:tcPr>
            <w:tcW w:w="1705" w:type="dxa"/>
          </w:tcPr>
          <w:p w:rsidR="00B31F08" w:rsidRPr="00AC38EA" w:rsidP="00B31F08" w14:paraId="53F7AA8E" w14:textId="4B55CA0A">
            <w:pPr>
              <w:spacing w:line="480" w:lineRule="auto"/>
              <w:rPr>
                <w:rFonts w:cs="Times New Roman"/>
                <w:szCs w:val="24"/>
              </w:rPr>
            </w:pPr>
            <w:r w:rsidRPr="00AC38EA">
              <w:rPr>
                <w:rFonts w:cs="Times New Roman"/>
                <w:szCs w:val="24"/>
              </w:rPr>
              <w:t>RFA</w:t>
            </w:r>
            <w:r w:rsidRPr="00AC38EA" w:rsidR="00E0420B">
              <w:rPr>
                <w:rFonts w:cs="Times New Roman"/>
                <w:szCs w:val="24"/>
              </w:rPr>
              <w:t>—04-0</w:t>
            </w:r>
            <w:r w:rsidRPr="00AC38EA">
              <w:rPr>
                <w:rFonts w:cs="Times New Roman"/>
                <w:szCs w:val="24"/>
              </w:rPr>
              <w:t>15</w:t>
            </w:r>
          </w:p>
        </w:tc>
        <w:tc>
          <w:tcPr>
            <w:tcW w:w="3600" w:type="dxa"/>
          </w:tcPr>
          <w:p w:rsidR="00B31F08" w:rsidRPr="00AC38EA" w:rsidP="00A662B9" w14:paraId="5F56E9DE" w14:textId="6E307CAF">
            <w:pPr>
              <w:rPr>
                <w:rFonts w:cs="Times New Roman"/>
                <w:szCs w:val="24"/>
              </w:rPr>
            </w:pPr>
            <w:r w:rsidRPr="00AC38EA">
              <w:rPr>
                <w:rFonts w:cs="Times New Roman"/>
                <w:szCs w:val="24"/>
              </w:rPr>
              <w:t>Admit that Dennis Chack was terminated for violating FirstEnergy’s corporate separation plan</w:t>
            </w:r>
          </w:p>
        </w:tc>
        <w:tc>
          <w:tcPr>
            <w:tcW w:w="4045" w:type="dxa"/>
          </w:tcPr>
          <w:p w:rsidR="00B31F08" w:rsidRPr="00AC38EA" w:rsidP="00A662B9" w14:paraId="2456D326" w14:textId="60CB0F24">
            <w:pPr>
              <w:rPr>
                <w:rFonts w:cs="Times New Roman"/>
                <w:szCs w:val="24"/>
              </w:rPr>
            </w:pPr>
            <w:r w:rsidRPr="00AC38EA">
              <w:rPr>
                <w:rFonts w:cs="Times New Roman"/>
                <w:szCs w:val="24"/>
              </w:rPr>
              <w:t>Same</w:t>
            </w:r>
          </w:p>
        </w:tc>
      </w:tr>
      <w:tr w14:paraId="70B15B2C" w14:textId="77777777" w:rsidTr="00A662B9">
        <w:tblPrEx>
          <w:tblW w:w="0" w:type="auto"/>
          <w:tblLook w:val="04A0"/>
        </w:tblPrEx>
        <w:tc>
          <w:tcPr>
            <w:tcW w:w="1705" w:type="dxa"/>
          </w:tcPr>
          <w:p w:rsidR="009214E5" w:rsidRPr="00AC38EA" w:rsidP="009214E5" w14:paraId="3F06C62B" w14:textId="41CA434A">
            <w:pPr>
              <w:spacing w:line="480" w:lineRule="auto"/>
              <w:rPr>
                <w:rFonts w:cs="Times New Roman"/>
                <w:szCs w:val="24"/>
              </w:rPr>
            </w:pPr>
            <w:r w:rsidRPr="00AC38EA">
              <w:rPr>
                <w:rFonts w:cs="Times New Roman"/>
                <w:szCs w:val="24"/>
              </w:rPr>
              <w:t>RFA-</w:t>
            </w:r>
            <w:r w:rsidRPr="00AC38EA" w:rsidR="00E0420B">
              <w:rPr>
                <w:rFonts w:cs="Times New Roman"/>
                <w:szCs w:val="24"/>
              </w:rPr>
              <w:t>04-0</w:t>
            </w:r>
            <w:r w:rsidRPr="00AC38EA">
              <w:rPr>
                <w:rFonts w:cs="Times New Roman"/>
                <w:szCs w:val="24"/>
              </w:rPr>
              <w:t>16</w:t>
            </w:r>
          </w:p>
        </w:tc>
        <w:tc>
          <w:tcPr>
            <w:tcW w:w="3600" w:type="dxa"/>
          </w:tcPr>
          <w:p w:rsidR="009214E5" w:rsidRPr="00AC38EA" w:rsidP="00A662B9" w14:paraId="01ED2F6D" w14:textId="13355280">
            <w:pPr>
              <w:rPr>
                <w:rFonts w:cs="Times New Roman"/>
                <w:szCs w:val="24"/>
              </w:rPr>
            </w:pPr>
            <w:r w:rsidRPr="00AC38EA">
              <w:rPr>
                <w:rFonts w:cs="Times New Roman"/>
                <w:szCs w:val="24"/>
              </w:rPr>
              <w:t>Admit that Michael Dowling was terminated for violating FirstEnergy’s corporate separation plan</w:t>
            </w:r>
          </w:p>
        </w:tc>
        <w:tc>
          <w:tcPr>
            <w:tcW w:w="4045" w:type="dxa"/>
          </w:tcPr>
          <w:p w:rsidR="009214E5" w:rsidRPr="00AC38EA" w:rsidP="00A662B9" w14:paraId="034106DF" w14:textId="76FBEBE5">
            <w:pPr>
              <w:rPr>
                <w:rFonts w:cs="Times New Roman"/>
                <w:szCs w:val="24"/>
              </w:rPr>
            </w:pPr>
            <w:r w:rsidRPr="00AC38EA">
              <w:rPr>
                <w:rFonts w:cs="Times New Roman"/>
                <w:szCs w:val="24"/>
              </w:rPr>
              <w:t>Same</w:t>
            </w:r>
          </w:p>
        </w:tc>
      </w:tr>
      <w:tr w14:paraId="76078F57" w14:textId="77777777" w:rsidTr="00A662B9">
        <w:tblPrEx>
          <w:tblW w:w="0" w:type="auto"/>
          <w:tblLook w:val="04A0"/>
        </w:tblPrEx>
        <w:tc>
          <w:tcPr>
            <w:tcW w:w="1705" w:type="dxa"/>
          </w:tcPr>
          <w:p w:rsidR="009214E5" w:rsidRPr="00AC38EA" w:rsidP="009214E5" w14:paraId="5F03A6BB" w14:textId="7FC01DDE">
            <w:pPr>
              <w:spacing w:line="480" w:lineRule="auto"/>
              <w:rPr>
                <w:rFonts w:cs="Times New Roman"/>
                <w:szCs w:val="24"/>
              </w:rPr>
            </w:pPr>
            <w:r w:rsidRPr="00AC38EA">
              <w:rPr>
                <w:rFonts w:cs="Times New Roman"/>
                <w:szCs w:val="24"/>
              </w:rPr>
              <w:t>RPD-04-004</w:t>
            </w:r>
          </w:p>
        </w:tc>
        <w:tc>
          <w:tcPr>
            <w:tcW w:w="3600" w:type="dxa"/>
          </w:tcPr>
          <w:p w:rsidR="009214E5" w:rsidRPr="00AC38EA" w:rsidP="00A662B9" w14:paraId="2A2040F5" w14:textId="45361EE7">
            <w:pPr>
              <w:rPr>
                <w:rFonts w:cs="Times New Roman"/>
                <w:szCs w:val="24"/>
              </w:rPr>
            </w:pPr>
            <w:r w:rsidRPr="00AC38EA">
              <w:rPr>
                <w:rFonts w:cs="Times New Roman"/>
                <w:szCs w:val="24"/>
              </w:rPr>
              <w:t>Documents relating to communications with the PUCO regarding this case</w:t>
            </w:r>
          </w:p>
        </w:tc>
        <w:tc>
          <w:tcPr>
            <w:tcW w:w="4045" w:type="dxa"/>
          </w:tcPr>
          <w:p w:rsidR="009214E5" w:rsidRPr="00AC38EA" w:rsidP="00A662B9" w14:paraId="3268B57F" w14:textId="1BA0E975">
            <w:pPr>
              <w:rPr>
                <w:rFonts w:cs="Times New Roman"/>
                <w:szCs w:val="24"/>
              </w:rPr>
            </w:pPr>
            <w:r w:rsidRPr="00AC38EA">
              <w:rPr>
                <w:rFonts w:cs="Times New Roman"/>
                <w:szCs w:val="24"/>
              </w:rPr>
              <w:t>Same</w:t>
            </w:r>
          </w:p>
        </w:tc>
      </w:tr>
      <w:tr w14:paraId="12C68820" w14:textId="77777777" w:rsidTr="00A662B9">
        <w:tblPrEx>
          <w:tblW w:w="0" w:type="auto"/>
          <w:tblLook w:val="04A0"/>
        </w:tblPrEx>
        <w:tc>
          <w:tcPr>
            <w:tcW w:w="1705" w:type="dxa"/>
          </w:tcPr>
          <w:p w:rsidR="009214E5" w:rsidRPr="00AC38EA" w:rsidP="009214E5" w14:paraId="1B130461" w14:textId="0846D679">
            <w:pPr>
              <w:spacing w:line="480" w:lineRule="auto"/>
              <w:rPr>
                <w:rFonts w:cs="Times New Roman"/>
                <w:szCs w:val="24"/>
              </w:rPr>
            </w:pPr>
            <w:r w:rsidRPr="00AC38EA">
              <w:rPr>
                <w:rFonts w:cs="Times New Roman"/>
                <w:szCs w:val="24"/>
              </w:rPr>
              <w:t>RPD-04-016</w:t>
            </w:r>
          </w:p>
        </w:tc>
        <w:tc>
          <w:tcPr>
            <w:tcW w:w="3600" w:type="dxa"/>
          </w:tcPr>
          <w:p w:rsidR="009214E5" w:rsidRPr="00AC38EA" w:rsidP="00A662B9" w14:paraId="439BB5CF" w14:textId="70C7A25A">
            <w:pPr>
              <w:rPr>
                <w:rFonts w:cs="Times New Roman"/>
                <w:szCs w:val="24"/>
              </w:rPr>
            </w:pPr>
            <w:r w:rsidRPr="00AC38EA">
              <w:rPr>
                <w:rFonts w:cs="Times New Roman"/>
                <w:szCs w:val="24"/>
              </w:rPr>
              <w:t>Documents used to prepare answers</w:t>
            </w:r>
          </w:p>
        </w:tc>
        <w:tc>
          <w:tcPr>
            <w:tcW w:w="4045" w:type="dxa"/>
          </w:tcPr>
          <w:p w:rsidR="009214E5" w:rsidRPr="00AC38EA" w:rsidP="00A662B9" w14:paraId="479AA55C" w14:textId="7FE9D795">
            <w:pPr>
              <w:rPr>
                <w:rFonts w:cs="Times New Roman"/>
                <w:szCs w:val="24"/>
              </w:rPr>
            </w:pPr>
            <w:r w:rsidRPr="00AC38EA">
              <w:rPr>
                <w:rFonts w:cs="Times New Roman"/>
                <w:szCs w:val="24"/>
              </w:rPr>
              <w:t>Same</w:t>
            </w:r>
          </w:p>
        </w:tc>
      </w:tr>
    </w:tbl>
    <w:p w:rsidR="00D15CEF" w:rsidRPr="00AC38EA" w:rsidP="003B2546" w14:paraId="5EE10BAD" w14:textId="77777777">
      <w:pPr>
        <w:spacing w:after="0" w:line="240" w:lineRule="auto"/>
        <w:rPr>
          <w:rFonts w:cs="Times New Roman"/>
          <w:szCs w:val="24"/>
        </w:rPr>
      </w:pPr>
    </w:p>
    <w:p w:rsidR="004E595A" w:rsidRPr="00AC38EA" w:rsidP="001E3543" w14:paraId="082B1E5D" w14:textId="5F6EF0CF">
      <w:pPr>
        <w:pStyle w:val="Heading3"/>
        <w:rPr>
          <w:rFonts w:ascii="Times New Roman" w:hAnsi="Times New Roman" w:cs="Times New Roman"/>
          <w:szCs w:val="24"/>
        </w:rPr>
      </w:pPr>
      <w:bookmarkStart w:id="14" w:name="_Toc73086663"/>
      <w:bookmarkStart w:id="15" w:name="_Toc73106045"/>
      <w:r w:rsidRPr="00AC38EA">
        <w:rPr>
          <w:rFonts w:ascii="Times New Roman" w:hAnsi="Times New Roman" w:cs="Times New Roman"/>
          <w:szCs w:val="24"/>
        </w:rPr>
        <w:t>2.</w:t>
      </w:r>
      <w:r w:rsidRPr="00AC38EA">
        <w:rPr>
          <w:rFonts w:ascii="Times New Roman" w:hAnsi="Times New Roman" w:cs="Times New Roman"/>
          <w:szCs w:val="24"/>
        </w:rPr>
        <w:tab/>
      </w:r>
      <w:r w:rsidRPr="00AC38EA" w:rsidR="001D2069">
        <w:rPr>
          <w:rFonts w:ascii="Times New Roman" w:hAnsi="Times New Roman" w:cs="Times New Roman"/>
          <w:szCs w:val="24"/>
        </w:rPr>
        <w:t xml:space="preserve">The scope of discovery includes </w:t>
      </w:r>
      <w:r w:rsidRPr="00AC38EA">
        <w:rPr>
          <w:rFonts w:ascii="Times New Roman" w:hAnsi="Times New Roman" w:cs="Times New Roman"/>
          <w:szCs w:val="24"/>
        </w:rPr>
        <w:t>FirstEne</w:t>
      </w:r>
      <w:r w:rsidRPr="00AC38EA" w:rsidR="00A662B9">
        <w:rPr>
          <w:rFonts w:ascii="Times New Roman" w:hAnsi="Times New Roman" w:cs="Times New Roman"/>
          <w:szCs w:val="24"/>
        </w:rPr>
        <w:t>r</w:t>
      </w:r>
      <w:r w:rsidRPr="00AC38EA">
        <w:rPr>
          <w:rFonts w:ascii="Times New Roman" w:hAnsi="Times New Roman" w:cs="Times New Roman"/>
          <w:szCs w:val="24"/>
        </w:rPr>
        <w:t xml:space="preserve">gy’s </w:t>
      </w:r>
      <w:r w:rsidRPr="00AC38EA" w:rsidR="001D2069">
        <w:rPr>
          <w:rFonts w:ascii="Times New Roman" w:hAnsi="Times New Roman" w:cs="Times New Roman"/>
          <w:szCs w:val="24"/>
        </w:rPr>
        <w:t>public statement</w:t>
      </w:r>
      <w:r w:rsidRPr="00AC38EA" w:rsidR="007F6778">
        <w:rPr>
          <w:rFonts w:ascii="Times New Roman" w:hAnsi="Times New Roman" w:cs="Times New Roman"/>
          <w:szCs w:val="24"/>
        </w:rPr>
        <w:t>s</w:t>
      </w:r>
      <w:r w:rsidRPr="00AC38EA" w:rsidR="001D2069">
        <w:rPr>
          <w:rFonts w:ascii="Times New Roman" w:hAnsi="Times New Roman" w:cs="Times New Roman"/>
          <w:szCs w:val="24"/>
        </w:rPr>
        <w:t xml:space="preserve"> that it fired executives for violating company policies and the code of conduct</w:t>
      </w:r>
      <w:r w:rsidRPr="00AC38EA">
        <w:rPr>
          <w:rFonts w:ascii="Times New Roman" w:hAnsi="Times New Roman" w:cs="Times New Roman"/>
          <w:szCs w:val="24"/>
        </w:rPr>
        <w:t>.</w:t>
      </w:r>
      <w:bookmarkEnd w:id="14"/>
      <w:bookmarkEnd w:id="15"/>
      <w:r w:rsidRPr="00AC38EA" w:rsidR="00F11F5A">
        <w:rPr>
          <w:rFonts w:ascii="Times New Roman" w:hAnsi="Times New Roman" w:cs="Times New Roman"/>
          <w:szCs w:val="24"/>
        </w:rPr>
        <w:t xml:space="preserve"> </w:t>
      </w:r>
    </w:p>
    <w:p w:rsidR="00261104" w:rsidRPr="00AC38EA" w:rsidP="007F66D6" w14:paraId="62E29043" w14:textId="18F747BF">
      <w:pPr>
        <w:spacing w:after="0" w:line="480" w:lineRule="auto"/>
        <w:ind w:firstLine="720"/>
        <w:rPr>
          <w:rFonts w:cs="Times New Roman"/>
          <w:szCs w:val="24"/>
        </w:rPr>
      </w:pPr>
      <w:r w:rsidRPr="00AC38EA">
        <w:rPr>
          <w:rFonts w:cs="Times New Roman"/>
          <w:szCs w:val="24"/>
        </w:rPr>
        <w:t xml:space="preserve">The corporate separation rules also require </w:t>
      </w:r>
      <w:r w:rsidR="009150E2">
        <w:rPr>
          <w:rFonts w:cs="Times New Roman"/>
          <w:szCs w:val="24"/>
        </w:rPr>
        <w:t xml:space="preserve">the </w:t>
      </w:r>
      <w:r w:rsidR="00A07F0A">
        <w:rPr>
          <w:rFonts w:cs="Times New Roman"/>
          <w:szCs w:val="24"/>
        </w:rPr>
        <w:t>FirstEnergy Utilities</w:t>
      </w:r>
      <w:r w:rsidRPr="00AC38EA">
        <w:rPr>
          <w:rFonts w:cs="Times New Roman"/>
          <w:szCs w:val="24"/>
        </w:rPr>
        <w:t xml:space="preserve"> and their employees to follow a code of conduct governing the relationship between the </w:t>
      </w:r>
      <w:r w:rsidR="00A07F0A">
        <w:rPr>
          <w:rFonts w:cs="Times New Roman"/>
          <w:szCs w:val="24"/>
        </w:rPr>
        <w:t>FirstEnergy Utilities</w:t>
      </w:r>
      <w:r w:rsidRPr="00AC38EA">
        <w:rPr>
          <w:rFonts w:cs="Times New Roman"/>
          <w:szCs w:val="24"/>
        </w:rPr>
        <w:t xml:space="preserve"> and their affiliates.</w:t>
      </w:r>
      <w:r>
        <w:rPr>
          <w:rStyle w:val="FootnoteReference"/>
          <w:rFonts w:cs="Times New Roman"/>
          <w:szCs w:val="24"/>
        </w:rPr>
        <w:footnoteReference w:id="26"/>
      </w:r>
      <w:r w:rsidRPr="00AC38EA">
        <w:rPr>
          <w:rFonts w:cs="Times New Roman"/>
          <w:szCs w:val="24"/>
        </w:rPr>
        <w:t xml:space="preserve">  The code of conduct provides that “[t]he electric utility shall ensure effective competition in the provision of retail electric service by avoiding anticompetitive subsidies flowing from a noncompetitive retail electric service to a competitive retail electric service or to a product or service other than retail electric service, and vice versa.”</w:t>
      </w:r>
      <w:r>
        <w:rPr>
          <w:rStyle w:val="FootnoteReference"/>
          <w:rFonts w:cs="Times New Roman"/>
          <w:szCs w:val="24"/>
        </w:rPr>
        <w:footnoteReference w:id="27"/>
      </w:r>
    </w:p>
    <w:p w:rsidR="007F66D6" w:rsidRPr="00AC38EA" w:rsidP="007F66D6" w14:paraId="7B33F5FB" w14:textId="5B151102">
      <w:pPr>
        <w:spacing w:after="0" w:line="480" w:lineRule="auto"/>
        <w:ind w:firstLine="720"/>
        <w:rPr>
          <w:rFonts w:cs="Times New Roman"/>
          <w:szCs w:val="24"/>
        </w:rPr>
      </w:pPr>
      <w:r w:rsidRPr="00AC38EA">
        <w:rPr>
          <w:rFonts w:cs="Times New Roman"/>
          <w:szCs w:val="24"/>
        </w:rPr>
        <w:t>The PUCO ordered an audit as to whether FirstEnergy’s H.B. 6-related activities violated Ohio corporate separation requirements.</w:t>
      </w:r>
      <w:r>
        <w:rPr>
          <w:rStyle w:val="FootnoteReference"/>
          <w:rFonts w:cs="Times New Roman"/>
          <w:szCs w:val="24"/>
        </w:rPr>
        <w:footnoteReference w:id="28"/>
      </w:r>
      <w:r w:rsidRPr="00AC38EA">
        <w:rPr>
          <w:rFonts w:cs="Times New Roman"/>
          <w:szCs w:val="24"/>
        </w:rPr>
        <w:t xml:space="preserve">  The Entry came within days of FirstEnergy’s </w:t>
      </w:r>
      <w:r w:rsidR="004B39F6">
        <w:rPr>
          <w:rFonts w:cs="Times New Roman"/>
          <w:szCs w:val="24"/>
        </w:rPr>
        <w:t>news</w:t>
      </w:r>
      <w:r w:rsidRPr="00AC38EA" w:rsidR="004B39F6">
        <w:rPr>
          <w:rFonts w:cs="Times New Roman"/>
          <w:szCs w:val="24"/>
        </w:rPr>
        <w:t xml:space="preserve"> </w:t>
      </w:r>
      <w:r w:rsidRPr="00AC38EA">
        <w:rPr>
          <w:rFonts w:cs="Times New Roman"/>
          <w:szCs w:val="24"/>
        </w:rPr>
        <w:t>release and Form 8-K filing announcing that the fired executives violated FirstEnergy’s code of conduct.  The Entry opening the case states:</w:t>
      </w:r>
    </w:p>
    <w:p w:rsidR="007F66D6" w:rsidRPr="00AC38EA" w:rsidP="007F66D6" w14:paraId="13709939" w14:textId="77777777">
      <w:pPr>
        <w:spacing w:after="0" w:line="240" w:lineRule="auto"/>
        <w:ind w:left="1440" w:right="1440"/>
        <w:rPr>
          <w:rFonts w:cs="Times New Roman"/>
          <w:szCs w:val="24"/>
        </w:rPr>
      </w:pPr>
      <w:r w:rsidRPr="00AC38EA">
        <w:rPr>
          <w:rFonts w:cs="Times New Roman"/>
          <w:szCs w:val="24"/>
        </w:rPr>
        <w:t>The Commission believes that the information supplied by FirstEnergy Corp. in the Form 8-K requires that we take additional action to ensure compliance by the Companies and their affiliates with the corporate separation provisions of R.C. 4928.17 and with the Companies’ Commission-approved corporate separation plans.</w:t>
      </w:r>
      <w:r>
        <w:rPr>
          <w:rStyle w:val="FootnoteReference"/>
          <w:rFonts w:cs="Times New Roman"/>
          <w:szCs w:val="24"/>
        </w:rPr>
        <w:footnoteReference w:id="29"/>
      </w:r>
    </w:p>
    <w:p w:rsidR="007F66D6" w:rsidRPr="00AC38EA" w:rsidP="007F66D6" w14:paraId="61B2CDA3" w14:textId="77777777">
      <w:pPr>
        <w:spacing w:after="0" w:line="240" w:lineRule="auto"/>
        <w:ind w:right="1440"/>
        <w:rPr>
          <w:rFonts w:cs="Times New Roman"/>
          <w:szCs w:val="24"/>
        </w:rPr>
      </w:pPr>
    </w:p>
    <w:p w:rsidR="007F66D6" w:rsidRPr="00AC38EA" w:rsidP="007F66D6" w14:paraId="2387CD51" w14:textId="77777777">
      <w:pPr>
        <w:spacing w:after="0" w:line="480" w:lineRule="auto"/>
        <w:rPr>
          <w:rFonts w:cs="Times New Roman"/>
          <w:szCs w:val="24"/>
        </w:rPr>
      </w:pPr>
      <w:r w:rsidRPr="00AC38EA">
        <w:rPr>
          <w:rFonts w:cs="Times New Roman"/>
          <w:szCs w:val="24"/>
        </w:rPr>
        <w:tab/>
        <w:t>The Entry stated that the specific information causing the PUCO to open the corporate separation audit specific was FirstEnergy’s admission in the Form 8-K that it violated the code of conduct:</w:t>
      </w:r>
    </w:p>
    <w:p w:rsidR="007F66D6" w:rsidRPr="00AC38EA" w:rsidP="007F66D6" w14:paraId="2BDC73DE" w14:textId="77777777">
      <w:pPr>
        <w:spacing w:after="0" w:line="240" w:lineRule="auto"/>
        <w:ind w:left="1440" w:right="1440"/>
        <w:rPr>
          <w:rFonts w:cs="Times New Roman"/>
          <w:szCs w:val="24"/>
        </w:rPr>
      </w:pPr>
      <w:r w:rsidRPr="00AC38EA">
        <w:rPr>
          <w:rFonts w:cs="Times New Roman"/>
          <w:szCs w:val="24"/>
        </w:rPr>
        <w:t>The Form 8-K further stated that, during the course of FirstEnergy Corp.’s internal investigation related to ongoing government investigations, the Independent Review Committee of the Board of Directors determined that each of the terminated executives violated certain FirstEnergy Corp. policies and its code of conduct.</w:t>
      </w:r>
    </w:p>
    <w:p w:rsidR="007F66D6" w:rsidRPr="00AC38EA" w:rsidP="007F66D6" w14:paraId="4355E483" w14:textId="77777777">
      <w:pPr>
        <w:spacing w:after="0" w:line="240" w:lineRule="auto"/>
        <w:ind w:left="1440" w:right="1440"/>
        <w:rPr>
          <w:rFonts w:cs="Times New Roman"/>
          <w:szCs w:val="24"/>
        </w:rPr>
      </w:pPr>
    </w:p>
    <w:p w:rsidR="007F66D6" w:rsidRPr="00AC38EA" w:rsidP="007F66D6" w14:paraId="512C5FC3" w14:textId="2D1AA976">
      <w:pPr>
        <w:spacing w:after="0" w:line="240" w:lineRule="auto"/>
        <w:ind w:left="1440" w:right="1440" w:firstLine="720"/>
        <w:rPr>
          <w:rFonts w:cs="Times New Roman"/>
          <w:szCs w:val="24"/>
        </w:rPr>
      </w:pPr>
      <w:r w:rsidRPr="00AC38EA">
        <w:rPr>
          <w:rFonts w:cs="Times New Roman"/>
          <w:szCs w:val="24"/>
        </w:rPr>
        <w:t>* * * [W]e believe that the information supplied by FirstEnergy Corp. in the Form 8-K requires that we take additional action to ensure compliance by the Companies and its affiliates with the corporate separation provisions of R.C. 4928.17 and with the Companies’ Commission-approved corporate separation plans.  Therefore, the Commission directs the Staff to issue the attached RFP for audit services to conduct an additional corporate separation audit for the period between November 1, 2016 and October 31, 2020, which includes examination of the time period leading up to the passage of Am. Sub. H.B. 6 and the subsequent referendum.</w:t>
      </w:r>
      <w:r>
        <w:rPr>
          <w:rStyle w:val="FootnoteReference"/>
          <w:rFonts w:cs="Times New Roman"/>
          <w:szCs w:val="24"/>
        </w:rPr>
        <w:footnoteReference w:id="30"/>
      </w:r>
    </w:p>
    <w:p w:rsidR="007F66D6" w:rsidRPr="00AC38EA" w:rsidP="007F66D6" w14:paraId="2E62A471" w14:textId="77777777">
      <w:pPr>
        <w:spacing w:after="0" w:line="240" w:lineRule="auto"/>
        <w:ind w:left="1440" w:right="1440" w:firstLine="720"/>
        <w:rPr>
          <w:rFonts w:cs="Times New Roman"/>
          <w:szCs w:val="24"/>
        </w:rPr>
      </w:pPr>
    </w:p>
    <w:p w:rsidR="00261104" w:rsidRPr="00AC38EA" w:rsidP="00A07F0A" w14:paraId="7F45AFCB" w14:textId="194B4C69">
      <w:pPr>
        <w:spacing w:after="0" w:line="360" w:lineRule="auto"/>
        <w:ind w:firstLine="720"/>
        <w:rPr>
          <w:rFonts w:cs="Times New Roman"/>
          <w:szCs w:val="24"/>
        </w:rPr>
      </w:pPr>
      <w:r w:rsidRPr="00AC38EA">
        <w:rPr>
          <w:rFonts w:cs="Times New Roman"/>
          <w:szCs w:val="24"/>
        </w:rPr>
        <w:t xml:space="preserve">The PUCO opened this corporate separation investigation after FirstEnergy’s disclosures of code of conduct violations. FirstEnergy </w:t>
      </w:r>
      <w:r w:rsidRPr="00AC38EA" w:rsidR="00B42889">
        <w:rPr>
          <w:rFonts w:cs="Times New Roman"/>
          <w:szCs w:val="24"/>
        </w:rPr>
        <w:t xml:space="preserve">said it fired Messrs. Jones, Chack and Dowling for violating company policies and its code of conduct, as follows: </w:t>
      </w:r>
    </w:p>
    <w:p w:rsidR="00B42889" w:rsidRPr="00AC38EA" w:rsidP="00B42889" w14:paraId="42CCEE52" w14:textId="77777777">
      <w:pPr>
        <w:spacing w:after="0" w:line="240" w:lineRule="auto"/>
        <w:ind w:left="1440" w:right="1440"/>
        <w:rPr>
          <w:rFonts w:cs="Times New Roman"/>
          <w:szCs w:val="24"/>
        </w:rPr>
      </w:pPr>
      <w:r w:rsidRPr="00AC38EA">
        <w:rPr>
          <w:rFonts w:cs="Times New Roman"/>
          <w:szCs w:val="24"/>
        </w:rPr>
        <w:t>The Independent Review Committee of the Board of Directors of FirstEnergy Corp. (NYSE: FE) today announced a leadership transition, including the termination of the Company's Chief Executive Officer, Charles E. Jones, effective immediately. FirstEnergy today also announced the termination of two other executives: its Senior Vice President of Product Development, Marketing, and Branding; and its Senior Vice President of External Affairs, effective immediately.</w:t>
      </w:r>
    </w:p>
    <w:p w:rsidR="00B42889" w:rsidRPr="00AC38EA" w:rsidP="00B42889" w14:paraId="64869381" w14:textId="77777777">
      <w:pPr>
        <w:spacing w:after="0" w:line="240" w:lineRule="auto"/>
        <w:ind w:left="1440" w:right="1440"/>
        <w:rPr>
          <w:rFonts w:cs="Times New Roman"/>
          <w:szCs w:val="24"/>
        </w:rPr>
      </w:pPr>
    </w:p>
    <w:p w:rsidR="00261104" w:rsidRPr="00AC38EA" w:rsidP="00A662B9" w14:paraId="01AACF6D" w14:textId="239A5CD0">
      <w:pPr>
        <w:spacing w:after="0" w:line="240" w:lineRule="auto"/>
        <w:ind w:left="1440" w:right="1440"/>
        <w:rPr>
          <w:rFonts w:cs="Times New Roman"/>
          <w:szCs w:val="24"/>
        </w:rPr>
      </w:pPr>
      <w:r w:rsidRPr="00AC38EA">
        <w:rPr>
          <w:rFonts w:cs="Times New Roman"/>
          <w:szCs w:val="24"/>
        </w:rPr>
        <w:t xml:space="preserve">During the course of the Company's previously disclosed internal review related to the government investigations, the Independent Review Committee of the Board determined that these executives violated certain FirstEnergy policies </w:t>
      </w:r>
      <w:r w:rsidRPr="00AC38EA">
        <w:rPr>
          <w:rFonts w:cs="Times New Roman"/>
          <w:i/>
          <w:iCs/>
          <w:szCs w:val="24"/>
        </w:rPr>
        <w:t>and its code of conduct</w:t>
      </w:r>
      <w:r w:rsidRPr="00AC38EA" w:rsidR="00B42889">
        <w:rPr>
          <w:rFonts w:cs="Times New Roman"/>
          <w:i/>
          <w:iCs/>
          <w:szCs w:val="24"/>
        </w:rPr>
        <w:t>.</w:t>
      </w:r>
      <w:r>
        <w:rPr>
          <w:rStyle w:val="FootnoteReference"/>
          <w:rFonts w:cs="Times New Roman"/>
          <w:i/>
          <w:iCs/>
          <w:szCs w:val="24"/>
        </w:rPr>
        <w:footnoteReference w:id="31"/>
      </w:r>
    </w:p>
    <w:p w:rsidR="00FC66DB" w:rsidRPr="00AC38EA" w:rsidP="00A662B9" w14:paraId="152B6EDC" w14:textId="0CD4BED6">
      <w:pPr>
        <w:spacing w:after="0" w:line="240" w:lineRule="auto"/>
        <w:ind w:left="1440" w:right="1440"/>
        <w:rPr>
          <w:rFonts w:cs="Times New Roman"/>
          <w:b/>
          <w:bCs/>
          <w:szCs w:val="24"/>
        </w:rPr>
      </w:pPr>
    </w:p>
    <w:p w:rsidR="00D15CEF" w:rsidRPr="00AC38EA" w:rsidP="00A662B9" w14:paraId="15406248" w14:textId="41F38AA9">
      <w:pPr>
        <w:spacing w:after="0" w:line="480" w:lineRule="auto"/>
        <w:rPr>
          <w:rFonts w:cs="Times New Roman"/>
          <w:szCs w:val="24"/>
        </w:rPr>
      </w:pPr>
      <w:r w:rsidRPr="00AC38EA">
        <w:rPr>
          <w:rFonts w:cs="Times New Roman"/>
          <w:szCs w:val="24"/>
        </w:rPr>
        <w:tab/>
        <w:t>FirstEnergy</w:t>
      </w:r>
      <w:r w:rsidRPr="00AC38EA" w:rsidR="00E0420B">
        <w:rPr>
          <w:rFonts w:cs="Times New Roman"/>
          <w:szCs w:val="24"/>
        </w:rPr>
        <w:t xml:space="preserve">’s own press release </w:t>
      </w:r>
      <w:r w:rsidRPr="00AC38EA" w:rsidR="007F6778">
        <w:rPr>
          <w:rFonts w:cs="Times New Roman"/>
          <w:szCs w:val="24"/>
        </w:rPr>
        <w:t xml:space="preserve">and Form 8-K filing </w:t>
      </w:r>
      <w:r w:rsidRPr="00AC38EA">
        <w:rPr>
          <w:rFonts w:cs="Times New Roman"/>
          <w:szCs w:val="24"/>
        </w:rPr>
        <w:t xml:space="preserve">publicly admitted that </w:t>
      </w:r>
      <w:r w:rsidRPr="00AC38EA" w:rsidR="00E0420B">
        <w:rPr>
          <w:rFonts w:cs="Times New Roman"/>
          <w:szCs w:val="24"/>
        </w:rPr>
        <w:t xml:space="preserve">the terminated executives </w:t>
      </w:r>
      <w:r w:rsidRPr="00AC38EA">
        <w:rPr>
          <w:rFonts w:cs="Times New Roman"/>
          <w:szCs w:val="24"/>
        </w:rPr>
        <w:t>violated its code of conduct.  By definition</w:t>
      </w:r>
      <w:r w:rsidR="009150E2">
        <w:rPr>
          <w:rFonts w:cs="Times New Roman"/>
          <w:szCs w:val="24"/>
        </w:rPr>
        <w:t>,</w:t>
      </w:r>
      <w:r w:rsidRPr="00AC38EA">
        <w:rPr>
          <w:rFonts w:cs="Times New Roman"/>
          <w:szCs w:val="24"/>
        </w:rPr>
        <w:t xml:space="preserve"> this </w:t>
      </w:r>
      <w:r w:rsidR="009150E2">
        <w:rPr>
          <w:rFonts w:cs="Times New Roman"/>
          <w:szCs w:val="24"/>
        </w:rPr>
        <w:t>violates</w:t>
      </w:r>
      <w:r w:rsidRPr="00AC38EA">
        <w:rPr>
          <w:rFonts w:cs="Times New Roman"/>
          <w:szCs w:val="24"/>
        </w:rPr>
        <w:t xml:space="preserve"> the PUCO’s corporate separation rules.  The disputed discovery requests are intended to </w:t>
      </w:r>
      <w:r w:rsidRPr="00AC38EA" w:rsidR="007F6778">
        <w:rPr>
          <w:rFonts w:cs="Times New Roman"/>
          <w:szCs w:val="24"/>
        </w:rPr>
        <w:t xml:space="preserve">get this information into the record of this case and to </w:t>
      </w:r>
      <w:r w:rsidRPr="00AC38EA">
        <w:rPr>
          <w:rFonts w:cs="Times New Roman"/>
          <w:szCs w:val="24"/>
        </w:rPr>
        <w:t>elicit additional information</w:t>
      </w:r>
      <w:r w:rsidRPr="00AC38EA" w:rsidR="00E0420B">
        <w:rPr>
          <w:rFonts w:cs="Times New Roman"/>
          <w:szCs w:val="24"/>
        </w:rPr>
        <w:t xml:space="preserve"> </w:t>
      </w:r>
      <w:r w:rsidRPr="00AC38EA">
        <w:rPr>
          <w:rFonts w:cs="Times New Roman"/>
          <w:szCs w:val="24"/>
        </w:rPr>
        <w:t>about the code of conduct violations, as explained below:</w:t>
      </w:r>
    </w:p>
    <w:p w:rsidR="00D15CEF" w:rsidRPr="00AC38EA" w:rsidP="00FC66DB" w14:paraId="45E5EABB" w14:textId="77777777">
      <w:pPr>
        <w:spacing w:after="0" w:line="240" w:lineRule="auto"/>
        <w:rPr>
          <w:rFonts w:cs="Times New Roman"/>
          <w:b/>
          <w:bCs/>
          <w:szCs w:val="24"/>
        </w:rPr>
      </w:pPr>
    </w:p>
    <w:tbl>
      <w:tblPr>
        <w:tblStyle w:val="TableGrid"/>
        <w:tblW w:w="0" w:type="auto"/>
        <w:tblLook w:val="04A0"/>
      </w:tblPr>
      <w:tblGrid>
        <w:gridCol w:w="1705"/>
        <w:gridCol w:w="3600"/>
        <w:gridCol w:w="4045"/>
      </w:tblGrid>
      <w:tr w14:paraId="0E8EBD28" w14:textId="77777777" w:rsidTr="00E73F10">
        <w:tblPrEx>
          <w:tblW w:w="0" w:type="auto"/>
          <w:tblLook w:val="04A0"/>
        </w:tblPrEx>
        <w:tc>
          <w:tcPr>
            <w:tcW w:w="1705" w:type="dxa"/>
          </w:tcPr>
          <w:p w:rsidR="00D15CEF" w:rsidRPr="00AC38EA" w:rsidP="00E73F10" w14:paraId="7BC99BF6" w14:textId="77777777">
            <w:pPr>
              <w:spacing w:line="480" w:lineRule="auto"/>
              <w:jc w:val="center"/>
              <w:rPr>
                <w:rFonts w:cs="Times New Roman"/>
                <w:b/>
                <w:bCs/>
                <w:szCs w:val="24"/>
                <w:u w:val="single"/>
              </w:rPr>
            </w:pPr>
            <w:r w:rsidRPr="00AC38EA">
              <w:rPr>
                <w:rFonts w:cs="Times New Roman"/>
                <w:b/>
                <w:bCs/>
                <w:szCs w:val="24"/>
                <w:u w:val="single"/>
              </w:rPr>
              <w:t>Request</w:t>
            </w:r>
          </w:p>
        </w:tc>
        <w:tc>
          <w:tcPr>
            <w:tcW w:w="3600" w:type="dxa"/>
          </w:tcPr>
          <w:p w:rsidR="00D15CEF" w:rsidRPr="00AC38EA" w:rsidP="00E73F10" w14:paraId="0071317B" w14:textId="77777777">
            <w:pPr>
              <w:spacing w:line="480" w:lineRule="auto"/>
              <w:jc w:val="center"/>
              <w:rPr>
                <w:rFonts w:cs="Times New Roman"/>
                <w:b/>
                <w:bCs/>
                <w:szCs w:val="24"/>
                <w:u w:val="single"/>
              </w:rPr>
            </w:pPr>
            <w:r w:rsidRPr="00AC38EA">
              <w:rPr>
                <w:rFonts w:cs="Times New Roman"/>
                <w:b/>
                <w:bCs/>
                <w:szCs w:val="24"/>
                <w:u w:val="single"/>
              </w:rPr>
              <w:t>Summary</w:t>
            </w:r>
          </w:p>
        </w:tc>
        <w:tc>
          <w:tcPr>
            <w:tcW w:w="4045" w:type="dxa"/>
          </w:tcPr>
          <w:p w:rsidR="00D15CEF" w:rsidRPr="00AC38EA" w:rsidP="00E73F10" w14:paraId="1183F65B" w14:textId="77777777">
            <w:pPr>
              <w:spacing w:line="480" w:lineRule="auto"/>
              <w:jc w:val="center"/>
              <w:rPr>
                <w:rFonts w:cs="Times New Roman"/>
                <w:b/>
                <w:bCs/>
                <w:szCs w:val="24"/>
                <w:u w:val="single"/>
              </w:rPr>
            </w:pPr>
            <w:r w:rsidRPr="00AC38EA">
              <w:rPr>
                <w:rFonts w:cs="Times New Roman"/>
                <w:b/>
                <w:bCs/>
                <w:szCs w:val="24"/>
                <w:u w:val="single"/>
              </w:rPr>
              <w:t>Relevance</w:t>
            </w:r>
          </w:p>
        </w:tc>
      </w:tr>
      <w:tr w14:paraId="4F9BA81B" w14:textId="77777777" w:rsidTr="00E73F10">
        <w:tblPrEx>
          <w:tblW w:w="0" w:type="auto"/>
          <w:tblLook w:val="04A0"/>
        </w:tblPrEx>
        <w:tc>
          <w:tcPr>
            <w:tcW w:w="1705" w:type="dxa"/>
          </w:tcPr>
          <w:p w:rsidR="00FE4F27" w:rsidRPr="00AC38EA" w:rsidP="00FE4F27" w14:paraId="14FB5A13" w14:textId="3BA0CA7B">
            <w:pPr>
              <w:spacing w:line="480" w:lineRule="auto"/>
              <w:rPr>
                <w:rFonts w:cs="Times New Roman"/>
                <w:szCs w:val="24"/>
              </w:rPr>
            </w:pPr>
            <w:r w:rsidRPr="00AC38EA">
              <w:rPr>
                <w:rFonts w:cs="Times New Roman"/>
                <w:szCs w:val="24"/>
              </w:rPr>
              <w:t>INT-04-019</w:t>
            </w:r>
          </w:p>
        </w:tc>
        <w:tc>
          <w:tcPr>
            <w:tcW w:w="3600" w:type="dxa"/>
          </w:tcPr>
          <w:p w:rsidR="00FE4F27" w:rsidRPr="00AC38EA" w:rsidP="00FE4F27" w14:paraId="09BB3F05" w14:textId="22849D43">
            <w:pPr>
              <w:rPr>
                <w:rFonts w:cs="Times New Roman"/>
                <w:szCs w:val="24"/>
              </w:rPr>
            </w:pPr>
            <w:r w:rsidRPr="00AC38EA">
              <w:rPr>
                <w:rFonts w:cs="Times New Roman"/>
                <w:szCs w:val="24"/>
              </w:rPr>
              <w:t>Identify corporate policy violations that led to Chuck Jones’ termination</w:t>
            </w:r>
          </w:p>
        </w:tc>
        <w:tc>
          <w:tcPr>
            <w:tcW w:w="4045" w:type="dxa"/>
          </w:tcPr>
          <w:p w:rsidR="00FE4F27" w:rsidRPr="00AC38EA" w:rsidP="00FE4F27" w14:paraId="6F6D4FCF" w14:textId="3927355D">
            <w:pPr>
              <w:rPr>
                <w:rFonts w:cs="Times New Roman"/>
                <w:szCs w:val="24"/>
              </w:rPr>
            </w:pPr>
            <w:r w:rsidRPr="00AC38EA">
              <w:rPr>
                <w:rFonts w:cs="Times New Roman"/>
                <w:szCs w:val="24"/>
              </w:rPr>
              <w:t>Could lead to admissible evidence that the termination was due to violating the PUCO’s code of conduct rules (O.A.C. 4901:1-37-04(D)</w:t>
            </w:r>
          </w:p>
        </w:tc>
      </w:tr>
      <w:tr w14:paraId="4E067922" w14:textId="77777777" w:rsidTr="00E73F10">
        <w:tblPrEx>
          <w:tblW w:w="0" w:type="auto"/>
          <w:tblLook w:val="04A0"/>
        </w:tblPrEx>
        <w:tc>
          <w:tcPr>
            <w:tcW w:w="1705" w:type="dxa"/>
          </w:tcPr>
          <w:p w:rsidR="00FE4F27" w:rsidRPr="00AC38EA" w:rsidP="00FE4F27" w14:paraId="218CE542" w14:textId="7B2E276F">
            <w:pPr>
              <w:spacing w:line="480" w:lineRule="auto"/>
              <w:rPr>
                <w:rFonts w:cs="Times New Roman"/>
                <w:szCs w:val="24"/>
              </w:rPr>
            </w:pPr>
            <w:r w:rsidRPr="00AC38EA">
              <w:rPr>
                <w:rFonts w:cs="Times New Roman"/>
                <w:szCs w:val="24"/>
              </w:rPr>
              <w:t>INT-04-021</w:t>
            </w:r>
          </w:p>
        </w:tc>
        <w:tc>
          <w:tcPr>
            <w:tcW w:w="3600" w:type="dxa"/>
          </w:tcPr>
          <w:p w:rsidR="00FE4F27" w:rsidRPr="00AC38EA" w:rsidP="00FE4F27" w14:paraId="3543D976" w14:textId="34ABCC54">
            <w:pPr>
              <w:rPr>
                <w:rFonts w:cs="Times New Roman"/>
                <w:szCs w:val="24"/>
              </w:rPr>
            </w:pPr>
            <w:r w:rsidRPr="00AC38EA">
              <w:rPr>
                <w:rFonts w:cs="Times New Roman"/>
                <w:szCs w:val="24"/>
              </w:rPr>
              <w:t>Identify corporate policy violations that led to Dennis Chack’s termination</w:t>
            </w:r>
          </w:p>
        </w:tc>
        <w:tc>
          <w:tcPr>
            <w:tcW w:w="4045" w:type="dxa"/>
          </w:tcPr>
          <w:p w:rsidR="00FE4F27" w:rsidRPr="00AC38EA" w:rsidP="00FE4F27" w14:paraId="06FA5E76" w14:textId="3DCA87DC">
            <w:pPr>
              <w:rPr>
                <w:rFonts w:cs="Times New Roman"/>
                <w:szCs w:val="24"/>
              </w:rPr>
            </w:pPr>
            <w:r w:rsidRPr="00AC38EA">
              <w:rPr>
                <w:rFonts w:cs="Times New Roman"/>
                <w:szCs w:val="24"/>
              </w:rPr>
              <w:t>Same</w:t>
            </w:r>
          </w:p>
        </w:tc>
      </w:tr>
      <w:tr w14:paraId="29FA3EB6" w14:textId="77777777" w:rsidTr="00E73F10">
        <w:tblPrEx>
          <w:tblW w:w="0" w:type="auto"/>
          <w:tblLook w:val="04A0"/>
        </w:tblPrEx>
        <w:tc>
          <w:tcPr>
            <w:tcW w:w="1705" w:type="dxa"/>
          </w:tcPr>
          <w:p w:rsidR="00FE4F27" w:rsidRPr="00AC38EA" w:rsidP="00FE4F27" w14:paraId="6961E3E4" w14:textId="1DCAD87E">
            <w:pPr>
              <w:spacing w:line="480" w:lineRule="auto"/>
              <w:rPr>
                <w:rFonts w:cs="Times New Roman"/>
                <w:szCs w:val="24"/>
              </w:rPr>
            </w:pPr>
            <w:r w:rsidRPr="00AC38EA">
              <w:rPr>
                <w:rFonts w:cs="Times New Roman"/>
                <w:szCs w:val="24"/>
              </w:rPr>
              <w:t>INT-04-023</w:t>
            </w:r>
          </w:p>
        </w:tc>
        <w:tc>
          <w:tcPr>
            <w:tcW w:w="3600" w:type="dxa"/>
          </w:tcPr>
          <w:p w:rsidR="00FE4F27" w:rsidRPr="00AC38EA" w:rsidP="00FE4F27" w14:paraId="6B709A29" w14:textId="09E01DE3">
            <w:pPr>
              <w:rPr>
                <w:rFonts w:cs="Times New Roman"/>
                <w:szCs w:val="24"/>
              </w:rPr>
            </w:pPr>
            <w:r w:rsidRPr="00AC38EA">
              <w:rPr>
                <w:rFonts w:cs="Times New Roman"/>
                <w:szCs w:val="24"/>
              </w:rPr>
              <w:t>Identify corporate policy violations that led to Michael Dowling’s termination</w:t>
            </w:r>
          </w:p>
        </w:tc>
        <w:tc>
          <w:tcPr>
            <w:tcW w:w="4045" w:type="dxa"/>
          </w:tcPr>
          <w:p w:rsidR="00FE4F27" w:rsidRPr="00AC38EA" w:rsidP="00FE4F27" w14:paraId="59D70C28" w14:textId="75E74535">
            <w:pPr>
              <w:rPr>
                <w:rFonts w:cs="Times New Roman"/>
                <w:szCs w:val="24"/>
              </w:rPr>
            </w:pPr>
            <w:r w:rsidRPr="00AC38EA">
              <w:rPr>
                <w:rFonts w:cs="Times New Roman"/>
                <w:szCs w:val="24"/>
              </w:rPr>
              <w:t>Same</w:t>
            </w:r>
          </w:p>
        </w:tc>
      </w:tr>
      <w:tr w14:paraId="46BF7090" w14:textId="77777777" w:rsidTr="00E73F10">
        <w:tblPrEx>
          <w:tblW w:w="0" w:type="auto"/>
          <w:tblLook w:val="04A0"/>
        </w:tblPrEx>
        <w:tc>
          <w:tcPr>
            <w:tcW w:w="1705" w:type="dxa"/>
          </w:tcPr>
          <w:p w:rsidR="00E0420B" w:rsidRPr="00AC38EA" w:rsidP="00E0420B" w14:paraId="0044A057" w14:textId="7126117E">
            <w:pPr>
              <w:spacing w:line="480" w:lineRule="auto"/>
              <w:rPr>
                <w:rFonts w:cs="Times New Roman"/>
                <w:szCs w:val="24"/>
              </w:rPr>
            </w:pPr>
            <w:r w:rsidRPr="00AC38EA">
              <w:rPr>
                <w:rFonts w:cs="Times New Roman"/>
                <w:szCs w:val="24"/>
              </w:rPr>
              <w:t>INT-04-024</w:t>
            </w:r>
          </w:p>
        </w:tc>
        <w:tc>
          <w:tcPr>
            <w:tcW w:w="3600" w:type="dxa"/>
          </w:tcPr>
          <w:p w:rsidR="00E0420B" w:rsidRPr="00AC38EA" w:rsidP="00E0420B" w14:paraId="63C7E360" w14:textId="223A73A3">
            <w:pPr>
              <w:rPr>
                <w:rFonts w:cs="Times New Roman"/>
                <w:szCs w:val="24"/>
              </w:rPr>
            </w:pPr>
            <w:r w:rsidRPr="00AC38EA">
              <w:rPr>
                <w:rFonts w:cs="Times New Roman"/>
                <w:szCs w:val="24"/>
              </w:rPr>
              <w:t>Identify corporate policies that were part of the independent board of directors’ review</w:t>
            </w:r>
          </w:p>
        </w:tc>
        <w:tc>
          <w:tcPr>
            <w:tcW w:w="4045" w:type="dxa"/>
          </w:tcPr>
          <w:p w:rsidR="00E0420B" w:rsidRPr="00AC38EA" w:rsidP="00E0420B" w14:paraId="066AB571" w14:textId="5204D9E9">
            <w:pPr>
              <w:rPr>
                <w:rFonts w:cs="Times New Roman"/>
                <w:szCs w:val="24"/>
              </w:rPr>
            </w:pPr>
            <w:r w:rsidRPr="00AC38EA">
              <w:rPr>
                <w:rFonts w:cs="Times New Roman"/>
                <w:szCs w:val="24"/>
              </w:rPr>
              <w:t>Same</w:t>
            </w:r>
          </w:p>
        </w:tc>
      </w:tr>
      <w:tr w14:paraId="4152431E" w14:textId="77777777" w:rsidTr="00E73F10">
        <w:tblPrEx>
          <w:tblW w:w="0" w:type="auto"/>
          <w:tblLook w:val="04A0"/>
        </w:tblPrEx>
        <w:tc>
          <w:tcPr>
            <w:tcW w:w="1705" w:type="dxa"/>
          </w:tcPr>
          <w:p w:rsidR="00E0420B" w:rsidRPr="00AC38EA" w:rsidP="00E0420B" w14:paraId="394E2D36" w14:textId="1F28A51A">
            <w:pPr>
              <w:spacing w:line="480" w:lineRule="auto"/>
              <w:rPr>
                <w:rFonts w:cs="Times New Roman"/>
                <w:szCs w:val="24"/>
              </w:rPr>
            </w:pPr>
            <w:r w:rsidRPr="00AC38EA">
              <w:rPr>
                <w:rFonts w:cs="Times New Roman"/>
                <w:szCs w:val="24"/>
              </w:rPr>
              <w:t>INT-04-025</w:t>
            </w:r>
          </w:p>
        </w:tc>
        <w:tc>
          <w:tcPr>
            <w:tcW w:w="3600" w:type="dxa"/>
          </w:tcPr>
          <w:p w:rsidR="00E0420B" w:rsidRPr="00AC38EA" w:rsidP="00E0420B" w14:paraId="072955D9" w14:textId="755287AC">
            <w:pPr>
              <w:rPr>
                <w:rFonts w:cs="Times New Roman"/>
                <w:szCs w:val="24"/>
              </w:rPr>
            </w:pPr>
            <w:r w:rsidRPr="00AC38EA">
              <w:rPr>
                <w:rFonts w:cs="Times New Roman"/>
                <w:szCs w:val="24"/>
              </w:rPr>
              <w:t>Whether the independent board of directors’ review led to any changes in corporate policies relating to corporate separation</w:t>
            </w:r>
          </w:p>
        </w:tc>
        <w:tc>
          <w:tcPr>
            <w:tcW w:w="4045" w:type="dxa"/>
          </w:tcPr>
          <w:p w:rsidR="00E0420B" w:rsidRPr="00AC38EA" w:rsidP="00E0420B" w14:paraId="57CF2884" w14:textId="7A2BB848">
            <w:pPr>
              <w:rPr>
                <w:rFonts w:cs="Times New Roman"/>
                <w:szCs w:val="24"/>
              </w:rPr>
            </w:pPr>
            <w:r w:rsidRPr="00AC38EA">
              <w:rPr>
                <w:rFonts w:cs="Times New Roman"/>
                <w:szCs w:val="24"/>
              </w:rPr>
              <w:t>Same</w:t>
            </w:r>
          </w:p>
        </w:tc>
      </w:tr>
      <w:tr w14:paraId="6A757526" w14:textId="77777777" w:rsidTr="00E73F10">
        <w:tblPrEx>
          <w:tblW w:w="0" w:type="auto"/>
          <w:tblLook w:val="04A0"/>
        </w:tblPrEx>
        <w:tc>
          <w:tcPr>
            <w:tcW w:w="1705" w:type="dxa"/>
          </w:tcPr>
          <w:p w:rsidR="00E0420B" w:rsidRPr="00AC38EA" w:rsidP="00E0420B" w14:paraId="0BE5B6B6" w14:textId="17CE7468">
            <w:pPr>
              <w:spacing w:line="480" w:lineRule="auto"/>
              <w:rPr>
                <w:rFonts w:cs="Times New Roman"/>
                <w:szCs w:val="24"/>
              </w:rPr>
            </w:pPr>
            <w:r w:rsidRPr="00AC38EA">
              <w:rPr>
                <w:rFonts w:cs="Times New Roman"/>
                <w:szCs w:val="24"/>
              </w:rPr>
              <w:t>RFA-04-014</w:t>
            </w:r>
          </w:p>
        </w:tc>
        <w:tc>
          <w:tcPr>
            <w:tcW w:w="3600" w:type="dxa"/>
          </w:tcPr>
          <w:p w:rsidR="00E0420B" w:rsidRPr="00AC38EA" w:rsidP="00E0420B" w14:paraId="069F0B4F" w14:textId="66547E30">
            <w:pPr>
              <w:rPr>
                <w:rFonts w:cs="Times New Roman"/>
                <w:szCs w:val="24"/>
              </w:rPr>
            </w:pPr>
            <w:r w:rsidRPr="00AC38EA">
              <w:rPr>
                <w:rFonts w:cs="Times New Roman"/>
                <w:szCs w:val="24"/>
              </w:rPr>
              <w:t>Admit that Chuck Jones was terminated for violating FirstEnergy’s corporate separation plan</w:t>
            </w:r>
          </w:p>
        </w:tc>
        <w:tc>
          <w:tcPr>
            <w:tcW w:w="4045" w:type="dxa"/>
          </w:tcPr>
          <w:p w:rsidR="00E0420B" w:rsidRPr="00AC38EA" w:rsidP="00E0420B" w14:paraId="1E81891A" w14:textId="3C8576D6">
            <w:pPr>
              <w:rPr>
                <w:rFonts w:cs="Times New Roman"/>
                <w:szCs w:val="24"/>
              </w:rPr>
            </w:pPr>
            <w:r w:rsidRPr="00AC38EA">
              <w:rPr>
                <w:rFonts w:cs="Times New Roman"/>
                <w:szCs w:val="24"/>
              </w:rPr>
              <w:t>Same</w:t>
            </w:r>
          </w:p>
        </w:tc>
      </w:tr>
      <w:tr w14:paraId="1D34BCC3" w14:textId="77777777" w:rsidTr="00E73F10">
        <w:tblPrEx>
          <w:tblW w:w="0" w:type="auto"/>
          <w:tblLook w:val="04A0"/>
        </w:tblPrEx>
        <w:tc>
          <w:tcPr>
            <w:tcW w:w="1705" w:type="dxa"/>
          </w:tcPr>
          <w:p w:rsidR="00E0420B" w:rsidRPr="00AC38EA" w:rsidP="00E0420B" w14:paraId="371C1051" w14:textId="523A622D">
            <w:pPr>
              <w:spacing w:line="480" w:lineRule="auto"/>
              <w:rPr>
                <w:rFonts w:cs="Times New Roman"/>
                <w:szCs w:val="24"/>
              </w:rPr>
            </w:pPr>
            <w:r w:rsidRPr="00AC38EA">
              <w:rPr>
                <w:rFonts w:cs="Times New Roman"/>
                <w:szCs w:val="24"/>
              </w:rPr>
              <w:t>RFA</w:t>
            </w:r>
            <w:r w:rsidRPr="00AC38EA" w:rsidR="0026083E">
              <w:rPr>
                <w:rFonts w:cs="Times New Roman"/>
                <w:szCs w:val="24"/>
              </w:rPr>
              <w:t>-</w:t>
            </w:r>
            <w:r w:rsidRPr="00AC38EA">
              <w:rPr>
                <w:rFonts w:cs="Times New Roman"/>
                <w:szCs w:val="24"/>
              </w:rPr>
              <w:t>04-015</w:t>
            </w:r>
          </w:p>
        </w:tc>
        <w:tc>
          <w:tcPr>
            <w:tcW w:w="3600" w:type="dxa"/>
          </w:tcPr>
          <w:p w:rsidR="00E0420B" w:rsidRPr="00AC38EA" w:rsidP="00E0420B" w14:paraId="4AAAC147" w14:textId="59F3BBB7">
            <w:pPr>
              <w:rPr>
                <w:rFonts w:cs="Times New Roman"/>
                <w:szCs w:val="24"/>
              </w:rPr>
            </w:pPr>
            <w:r w:rsidRPr="00AC38EA">
              <w:rPr>
                <w:rFonts w:cs="Times New Roman"/>
                <w:szCs w:val="24"/>
              </w:rPr>
              <w:t>Admit that Dennis Chack was terminated for violating FirstEnergy’s corporate separation plan</w:t>
            </w:r>
          </w:p>
        </w:tc>
        <w:tc>
          <w:tcPr>
            <w:tcW w:w="4045" w:type="dxa"/>
          </w:tcPr>
          <w:p w:rsidR="00E0420B" w:rsidRPr="00AC38EA" w:rsidP="00E0420B" w14:paraId="13C59012" w14:textId="767530F8">
            <w:pPr>
              <w:rPr>
                <w:rFonts w:cs="Times New Roman"/>
                <w:szCs w:val="24"/>
              </w:rPr>
            </w:pPr>
            <w:r w:rsidRPr="00AC38EA">
              <w:rPr>
                <w:rFonts w:cs="Times New Roman"/>
                <w:szCs w:val="24"/>
              </w:rPr>
              <w:t>Same</w:t>
            </w:r>
          </w:p>
        </w:tc>
      </w:tr>
      <w:tr w14:paraId="24A43B2D" w14:textId="77777777" w:rsidTr="00E73F10">
        <w:tblPrEx>
          <w:tblW w:w="0" w:type="auto"/>
          <w:tblLook w:val="04A0"/>
        </w:tblPrEx>
        <w:tc>
          <w:tcPr>
            <w:tcW w:w="1705" w:type="dxa"/>
          </w:tcPr>
          <w:p w:rsidR="00E0420B" w:rsidRPr="00AC38EA" w:rsidP="00E0420B" w14:paraId="0B3A3D7D" w14:textId="08E4A3F7">
            <w:pPr>
              <w:spacing w:line="480" w:lineRule="auto"/>
              <w:rPr>
                <w:rFonts w:cs="Times New Roman"/>
                <w:szCs w:val="24"/>
              </w:rPr>
            </w:pPr>
            <w:r w:rsidRPr="00AC38EA">
              <w:rPr>
                <w:rFonts w:cs="Times New Roman"/>
                <w:szCs w:val="24"/>
              </w:rPr>
              <w:t>RFA-04-016</w:t>
            </w:r>
          </w:p>
        </w:tc>
        <w:tc>
          <w:tcPr>
            <w:tcW w:w="3600" w:type="dxa"/>
          </w:tcPr>
          <w:p w:rsidR="00E0420B" w:rsidRPr="00AC38EA" w:rsidP="00E0420B" w14:paraId="5455A42C" w14:textId="4672F699">
            <w:pPr>
              <w:rPr>
                <w:rFonts w:cs="Times New Roman"/>
                <w:szCs w:val="24"/>
              </w:rPr>
            </w:pPr>
            <w:r w:rsidRPr="00AC38EA">
              <w:rPr>
                <w:rFonts w:cs="Times New Roman"/>
                <w:szCs w:val="24"/>
              </w:rPr>
              <w:t>Admit that Michael Dowling was terminated for violating FirstEnergy’s corporate separation plan</w:t>
            </w:r>
          </w:p>
        </w:tc>
        <w:tc>
          <w:tcPr>
            <w:tcW w:w="4045" w:type="dxa"/>
          </w:tcPr>
          <w:p w:rsidR="00E0420B" w:rsidRPr="00AC38EA" w:rsidP="00E0420B" w14:paraId="74881BED" w14:textId="436B2A71">
            <w:pPr>
              <w:rPr>
                <w:rFonts w:cs="Times New Roman"/>
                <w:szCs w:val="24"/>
              </w:rPr>
            </w:pPr>
            <w:r w:rsidRPr="00AC38EA">
              <w:rPr>
                <w:rFonts w:cs="Times New Roman"/>
                <w:szCs w:val="24"/>
              </w:rPr>
              <w:t>Same</w:t>
            </w:r>
          </w:p>
        </w:tc>
      </w:tr>
    </w:tbl>
    <w:p w:rsidR="00D15CEF" w:rsidRPr="00AC38EA" w:rsidP="00FC66DB" w14:paraId="119872AC" w14:textId="77777777">
      <w:pPr>
        <w:spacing w:after="0" w:line="240" w:lineRule="auto"/>
        <w:rPr>
          <w:rFonts w:cs="Times New Roman"/>
          <w:b/>
          <w:bCs/>
          <w:szCs w:val="24"/>
        </w:rPr>
      </w:pPr>
    </w:p>
    <w:p w:rsidR="001E3543" w:rsidRPr="00AC38EA" w14:paraId="047CE988" w14:textId="77777777">
      <w:pPr>
        <w:rPr>
          <w:rFonts w:cs="Times New Roman"/>
          <w:b/>
          <w:bCs/>
          <w:szCs w:val="24"/>
        </w:rPr>
      </w:pPr>
      <w:r w:rsidRPr="00AC38EA">
        <w:rPr>
          <w:rFonts w:cs="Times New Roman"/>
          <w:b/>
          <w:bCs/>
          <w:szCs w:val="24"/>
        </w:rPr>
        <w:br w:type="page"/>
      </w:r>
    </w:p>
    <w:p w:rsidR="005126EA" w:rsidRPr="00AC38EA" w:rsidP="001E3543" w14:paraId="1CE8F016" w14:textId="4E8E5F86">
      <w:pPr>
        <w:pStyle w:val="Heading3"/>
        <w:rPr>
          <w:rFonts w:ascii="Times New Roman" w:hAnsi="Times New Roman" w:cs="Times New Roman"/>
          <w:szCs w:val="24"/>
        </w:rPr>
      </w:pPr>
      <w:bookmarkStart w:id="16" w:name="_Toc73086664"/>
      <w:bookmarkStart w:id="17" w:name="_Toc73106046"/>
      <w:r w:rsidRPr="00AC38EA">
        <w:rPr>
          <w:rFonts w:ascii="Times New Roman" w:hAnsi="Times New Roman" w:cs="Times New Roman"/>
          <w:szCs w:val="24"/>
        </w:rPr>
        <w:t>3.</w:t>
      </w:r>
      <w:r w:rsidRPr="00AC38EA">
        <w:rPr>
          <w:rFonts w:ascii="Times New Roman" w:hAnsi="Times New Roman" w:cs="Times New Roman"/>
          <w:szCs w:val="24"/>
        </w:rPr>
        <w:tab/>
      </w:r>
      <w:r w:rsidRPr="00AC38EA" w:rsidR="00307E31">
        <w:rPr>
          <w:rFonts w:ascii="Times New Roman" w:hAnsi="Times New Roman" w:cs="Times New Roman"/>
          <w:szCs w:val="24"/>
        </w:rPr>
        <w:t xml:space="preserve">The scope </w:t>
      </w:r>
      <w:r w:rsidRPr="00AC38EA" w:rsidR="007F6778">
        <w:rPr>
          <w:rFonts w:ascii="Times New Roman" w:hAnsi="Times New Roman" w:cs="Times New Roman"/>
          <w:szCs w:val="24"/>
        </w:rPr>
        <w:t xml:space="preserve">discovery includes the corporate separation matters raised in </w:t>
      </w:r>
      <w:r w:rsidRPr="00AC38EA" w:rsidR="00307E31">
        <w:rPr>
          <w:rFonts w:ascii="Times New Roman" w:hAnsi="Times New Roman" w:cs="Times New Roman"/>
          <w:szCs w:val="24"/>
        </w:rPr>
        <w:t xml:space="preserve">the </w:t>
      </w:r>
      <w:r w:rsidRPr="00AC38EA" w:rsidR="009755CB">
        <w:rPr>
          <w:rFonts w:ascii="Times New Roman" w:hAnsi="Times New Roman" w:cs="Times New Roman"/>
          <w:szCs w:val="24"/>
        </w:rPr>
        <w:t xml:space="preserve">Entry </w:t>
      </w:r>
      <w:r w:rsidRPr="00AC38EA" w:rsidR="00A662B9">
        <w:rPr>
          <w:rFonts w:ascii="Times New Roman" w:hAnsi="Times New Roman" w:cs="Times New Roman"/>
          <w:szCs w:val="24"/>
        </w:rPr>
        <w:t>that established a scope of work for the independent auditor</w:t>
      </w:r>
      <w:r w:rsidRPr="00AC38EA">
        <w:rPr>
          <w:rFonts w:ascii="Times New Roman" w:hAnsi="Times New Roman" w:cs="Times New Roman"/>
          <w:szCs w:val="24"/>
        </w:rPr>
        <w:t>.</w:t>
      </w:r>
      <w:bookmarkEnd w:id="16"/>
      <w:bookmarkEnd w:id="17"/>
      <w:r w:rsidRPr="00AC38EA" w:rsidR="00355566">
        <w:rPr>
          <w:rFonts w:ascii="Times New Roman" w:hAnsi="Times New Roman" w:cs="Times New Roman"/>
          <w:szCs w:val="24"/>
        </w:rPr>
        <w:t xml:space="preserve"> </w:t>
      </w:r>
      <w:r w:rsidRPr="00AC38EA" w:rsidR="005578FC">
        <w:rPr>
          <w:rFonts w:ascii="Times New Roman" w:hAnsi="Times New Roman" w:cs="Times New Roman"/>
          <w:szCs w:val="24"/>
        </w:rPr>
        <w:t xml:space="preserve"> </w:t>
      </w:r>
    </w:p>
    <w:p w:rsidR="007F6778" w:rsidRPr="00AC38EA" w:rsidP="0024521A" w14:paraId="3DBF6824" w14:textId="304DD695">
      <w:pPr>
        <w:spacing w:after="0" w:line="480" w:lineRule="auto"/>
        <w:ind w:firstLine="720"/>
        <w:rPr>
          <w:rFonts w:cs="Times New Roman"/>
          <w:szCs w:val="24"/>
        </w:rPr>
      </w:pPr>
      <w:r w:rsidRPr="00AC38EA">
        <w:rPr>
          <w:rFonts w:cs="Times New Roman"/>
          <w:szCs w:val="24"/>
        </w:rPr>
        <w:t>In this case, the PUCO ordered a</w:t>
      </w:r>
      <w:r w:rsidRPr="00AC38EA" w:rsidR="009755CB">
        <w:rPr>
          <w:rFonts w:cs="Times New Roman"/>
          <w:szCs w:val="24"/>
        </w:rPr>
        <w:t>n audit as to whether FirstEnergy’s H.B. 6-related activities violated Ohio corporate separation requirements.</w:t>
      </w:r>
      <w:r>
        <w:rPr>
          <w:rStyle w:val="FootnoteReference"/>
          <w:rFonts w:cs="Times New Roman"/>
          <w:szCs w:val="24"/>
        </w:rPr>
        <w:footnoteReference w:id="32"/>
      </w:r>
      <w:r w:rsidRPr="00AC38EA" w:rsidR="009755CB">
        <w:rPr>
          <w:rFonts w:cs="Times New Roman"/>
          <w:szCs w:val="24"/>
        </w:rPr>
        <w:t xml:space="preserve">  The Entry came within days of FirstEnergy’s press release and Form 8-K filing announcing that the fired executives violated FirstEnergy’s code of conduct.  </w:t>
      </w:r>
    </w:p>
    <w:p w:rsidR="000E56DF" w:rsidRPr="00AC38EA" w:rsidP="0024521A" w14:paraId="1350D229" w14:textId="371B3D40">
      <w:pPr>
        <w:spacing w:after="0" w:line="480" w:lineRule="auto"/>
        <w:ind w:firstLine="720"/>
        <w:rPr>
          <w:rFonts w:cs="Times New Roman"/>
          <w:szCs w:val="24"/>
        </w:rPr>
      </w:pPr>
      <w:r w:rsidRPr="00AC38EA">
        <w:rPr>
          <w:rFonts w:cs="Times New Roman"/>
          <w:szCs w:val="24"/>
        </w:rPr>
        <w:t xml:space="preserve">The RFP </w:t>
      </w:r>
      <w:r w:rsidRPr="00AC38EA" w:rsidR="00A662B9">
        <w:rPr>
          <w:rFonts w:cs="Times New Roman"/>
          <w:szCs w:val="24"/>
        </w:rPr>
        <w:t xml:space="preserve">the PUCO approved </w:t>
      </w:r>
      <w:r w:rsidRPr="00AC38EA">
        <w:rPr>
          <w:rFonts w:cs="Times New Roman"/>
          <w:szCs w:val="24"/>
        </w:rPr>
        <w:t xml:space="preserve">laid out the scope of the audit in the broadest possible terms: </w:t>
      </w:r>
      <w:r w:rsidRPr="00AC38EA" w:rsidR="00334272">
        <w:rPr>
          <w:rFonts w:cs="Times New Roman"/>
          <w:szCs w:val="24"/>
        </w:rPr>
        <w:t>a full review of whether FirstEnergy’s activities between November 1, 2016 through October 31, 2020 violated R.C. 4928.17 or any of the corporate separation rules contained in O.A.C. Chapter 4901:1-37.</w:t>
      </w:r>
      <w:r>
        <w:rPr>
          <w:rStyle w:val="FootnoteReference"/>
          <w:rFonts w:cs="Times New Roman"/>
          <w:szCs w:val="24"/>
        </w:rPr>
        <w:footnoteReference w:id="33"/>
      </w:r>
      <w:r w:rsidRPr="00AC38EA" w:rsidR="00334272">
        <w:rPr>
          <w:rFonts w:cs="Times New Roman"/>
          <w:szCs w:val="24"/>
        </w:rPr>
        <w:t xml:space="preserve">  </w:t>
      </w:r>
      <w:r w:rsidRPr="00AC38EA" w:rsidR="00A662B9">
        <w:rPr>
          <w:rFonts w:cs="Times New Roman"/>
          <w:szCs w:val="24"/>
        </w:rPr>
        <w:t xml:space="preserve">Those rules apply to the activities of the electric utility and its transactions or other arrangements with its affiliates and any shared services of the electric </w:t>
      </w:r>
      <w:r w:rsidR="009150E2">
        <w:rPr>
          <w:rFonts w:cs="Times New Roman"/>
          <w:szCs w:val="24"/>
        </w:rPr>
        <w:t>utility</w:t>
      </w:r>
      <w:r w:rsidRPr="00AC38EA" w:rsidR="00A662B9">
        <w:rPr>
          <w:rFonts w:cs="Times New Roman"/>
          <w:szCs w:val="24"/>
        </w:rPr>
        <w:t xml:space="preserve"> </w:t>
      </w:r>
      <w:r w:rsidRPr="00AC38EA" w:rsidR="00214063">
        <w:rPr>
          <w:rFonts w:cs="Times New Roman"/>
          <w:szCs w:val="24"/>
        </w:rPr>
        <w:t>with any affiliates.</w:t>
      </w:r>
      <w:r>
        <w:rPr>
          <w:rStyle w:val="FootnoteReference"/>
          <w:rFonts w:cs="Times New Roman"/>
          <w:szCs w:val="24"/>
        </w:rPr>
        <w:footnoteReference w:id="34"/>
      </w:r>
      <w:r w:rsidRPr="00AC38EA" w:rsidR="00214063">
        <w:rPr>
          <w:rFonts w:cs="Times New Roman"/>
          <w:szCs w:val="24"/>
        </w:rPr>
        <w:t xml:space="preserve">  </w:t>
      </w:r>
    </w:p>
    <w:p w:rsidR="000E56DF" w:rsidRPr="00AC38EA" w:rsidP="00A662B9" w14:paraId="450C1D22" w14:textId="2B09A182">
      <w:pPr>
        <w:spacing w:after="0" w:line="480" w:lineRule="auto"/>
        <w:ind w:firstLine="720"/>
        <w:rPr>
          <w:rFonts w:cs="Times New Roman"/>
          <w:szCs w:val="24"/>
        </w:rPr>
      </w:pPr>
      <w:r w:rsidRPr="00AC38EA">
        <w:rPr>
          <w:rFonts w:cs="Times New Roman"/>
          <w:szCs w:val="24"/>
        </w:rPr>
        <w:t xml:space="preserve">The PUCO </w:t>
      </w:r>
      <w:r w:rsidRPr="00AC38EA" w:rsidR="0052743B">
        <w:rPr>
          <w:rFonts w:cs="Times New Roman"/>
          <w:szCs w:val="24"/>
        </w:rPr>
        <w:t xml:space="preserve">corporate separation </w:t>
      </w:r>
      <w:r w:rsidRPr="00AC38EA">
        <w:rPr>
          <w:rFonts w:cs="Times New Roman"/>
          <w:szCs w:val="24"/>
        </w:rPr>
        <w:t>rules are detailed as they should be.  The rules address the code of conduct required of the utility and its affiliates and include provisions (1) that the utility shall ensure effective competition in the provision of retail electric service by avoiding anti-competitive subsidies; and (2) that the electric utility shall not give its affiliates preferential treatment or advantages over nonaffiliated competitors of retail electric service.</w:t>
      </w:r>
      <w:r>
        <w:rPr>
          <w:rStyle w:val="FootnoteReference"/>
          <w:rFonts w:cs="Times New Roman"/>
          <w:szCs w:val="24"/>
        </w:rPr>
        <w:footnoteReference w:id="35"/>
      </w:r>
      <w:r w:rsidRPr="00AC38EA">
        <w:rPr>
          <w:rFonts w:cs="Times New Roman"/>
          <w:szCs w:val="24"/>
        </w:rPr>
        <w:t xml:space="preserve">  </w:t>
      </w:r>
      <w:r w:rsidRPr="00AC38EA" w:rsidR="0052743B">
        <w:rPr>
          <w:rFonts w:cs="Times New Roman"/>
          <w:szCs w:val="24"/>
        </w:rPr>
        <w:t xml:space="preserve">The PUCO corporate separation rules require a </w:t>
      </w:r>
      <w:r w:rsidRPr="00AC38EA">
        <w:rPr>
          <w:rFonts w:cs="Times New Roman"/>
          <w:szCs w:val="24"/>
        </w:rPr>
        <w:t xml:space="preserve">utility’s corporate separation plan </w:t>
      </w:r>
      <w:r w:rsidRPr="00AC38EA" w:rsidR="0052743B">
        <w:rPr>
          <w:rFonts w:cs="Times New Roman"/>
          <w:szCs w:val="24"/>
        </w:rPr>
        <w:t xml:space="preserve">to </w:t>
      </w:r>
      <w:r w:rsidRPr="00AC38EA">
        <w:rPr>
          <w:rFonts w:cs="Times New Roman"/>
          <w:szCs w:val="24"/>
        </w:rPr>
        <w:t xml:space="preserve">include, among other things, a list identifying and describing the financial arrangements between the electric utility and its affiliate; provisions related to maintaining a cost allocation manual; </w:t>
      </w:r>
      <w:r w:rsidRPr="00AC38EA" w:rsidR="008356B0">
        <w:rPr>
          <w:rFonts w:cs="Times New Roman"/>
          <w:szCs w:val="24"/>
        </w:rPr>
        <w:t xml:space="preserve">and </w:t>
      </w:r>
      <w:r w:rsidRPr="00AC38EA">
        <w:rPr>
          <w:rFonts w:cs="Times New Roman"/>
          <w:szCs w:val="24"/>
        </w:rPr>
        <w:t>a descri</w:t>
      </w:r>
      <w:r w:rsidRPr="00AC38EA" w:rsidR="0052743B">
        <w:rPr>
          <w:rFonts w:cs="Times New Roman"/>
          <w:szCs w:val="24"/>
        </w:rPr>
        <w:t>ption of internal compliance monitoring procedures and methods for corrective action for compliance.</w:t>
      </w:r>
      <w:r>
        <w:rPr>
          <w:rStyle w:val="FootnoteReference"/>
          <w:rFonts w:cs="Times New Roman"/>
          <w:szCs w:val="24"/>
        </w:rPr>
        <w:footnoteReference w:id="36"/>
      </w:r>
      <w:r w:rsidRPr="00AC38EA" w:rsidR="0052743B">
        <w:rPr>
          <w:rFonts w:cs="Times New Roman"/>
          <w:szCs w:val="24"/>
        </w:rPr>
        <w:t xml:space="preserve"> And the PUCO corporate separation rules require </w:t>
      </w:r>
      <w:r w:rsidR="009150E2">
        <w:rPr>
          <w:rFonts w:cs="Times New Roman"/>
          <w:szCs w:val="24"/>
        </w:rPr>
        <w:t>u</w:t>
      </w:r>
      <w:r w:rsidR="00A07F0A">
        <w:rPr>
          <w:rFonts w:cs="Times New Roman"/>
          <w:szCs w:val="24"/>
        </w:rPr>
        <w:t>tilities</w:t>
      </w:r>
      <w:r w:rsidRPr="00AC38EA" w:rsidR="0052743B">
        <w:rPr>
          <w:rFonts w:cs="Times New Roman"/>
          <w:szCs w:val="24"/>
        </w:rPr>
        <w:t xml:space="preserve"> that receive products or services from an affiliate or that provi</w:t>
      </w:r>
      <w:r w:rsidRPr="00AC38EA">
        <w:rPr>
          <w:rFonts w:cs="Times New Roman"/>
          <w:szCs w:val="24"/>
        </w:rPr>
        <w:t xml:space="preserve">de </w:t>
      </w:r>
      <w:r w:rsidRPr="00AC38EA" w:rsidR="0052743B">
        <w:rPr>
          <w:rFonts w:cs="Times New Roman"/>
          <w:szCs w:val="24"/>
        </w:rPr>
        <w:t>products or services to an affiliate to maintain a cost allocation manual documenting how costs are allocated between the electric util</w:t>
      </w:r>
      <w:r w:rsidRPr="00AC38EA">
        <w:rPr>
          <w:rFonts w:cs="Times New Roman"/>
          <w:szCs w:val="24"/>
        </w:rPr>
        <w:t>ity</w:t>
      </w:r>
      <w:r w:rsidRPr="00AC38EA" w:rsidR="0052743B">
        <w:rPr>
          <w:rFonts w:cs="Times New Roman"/>
          <w:szCs w:val="24"/>
        </w:rPr>
        <w:t xml:space="preserve"> and affiliates and the</w:t>
      </w:r>
      <w:r w:rsidRPr="00AC38EA">
        <w:rPr>
          <w:rFonts w:cs="Times New Roman"/>
          <w:szCs w:val="24"/>
        </w:rPr>
        <w:t xml:space="preserve"> regulated and non-regulated operations.</w:t>
      </w:r>
      <w:r>
        <w:rPr>
          <w:rStyle w:val="FootnoteReference"/>
          <w:rFonts w:cs="Times New Roman"/>
          <w:szCs w:val="24"/>
        </w:rPr>
        <w:footnoteReference w:id="37"/>
      </w:r>
      <w:r w:rsidRPr="00AC38EA">
        <w:rPr>
          <w:rFonts w:cs="Times New Roman"/>
          <w:szCs w:val="24"/>
        </w:rPr>
        <w:t xml:space="preserve">  And importantly, under the cost allocation manual, the costs shall be traceable to the books of the applicable corporate entity.</w:t>
      </w:r>
      <w:r>
        <w:rPr>
          <w:rStyle w:val="FootnoteReference"/>
          <w:rFonts w:cs="Times New Roman"/>
          <w:szCs w:val="24"/>
        </w:rPr>
        <w:footnoteReference w:id="38"/>
      </w:r>
      <w:r w:rsidRPr="00AC38EA">
        <w:rPr>
          <w:rFonts w:cs="Times New Roman"/>
          <w:szCs w:val="24"/>
        </w:rPr>
        <w:t xml:space="preserve">  </w:t>
      </w:r>
    </w:p>
    <w:p w:rsidR="0081360E" w:rsidRPr="00AC38EA" w:rsidP="00A662B9" w14:paraId="15429CFD" w14:textId="68E8677A">
      <w:pPr>
        <w:spacing w:after="0" w:line="480" w:lineRule="auto"/>
        <w:ind w:firstLine="720"/>
        <w:rPr>
          <w:rFonts w:cs="Times New Roman"/>
          <w:szCs w:val="24"/>
        </w:rPr>
      </w:pPr>
      <w:r w:rsidRPr="00AC38EA">
        <w:rPr>
          <w:rFonts w:cs="Times New Roman"/>
          <w:szCs w:val="24"/>
        </w:rPr>
        <w:t xml:space="preserve">The disputed discovery requests go directly to the underlying information that prompted FirstEnergy’s statements and </w:t>
      </w:r>
      <w:r w:rsidRPr="00AC38EA" w:rsidR="000E56DF">
        <w:rPr>
          <w:rFonts w:cs="Times New Roman"/>
          <w:szCs w:val="24"/>
        </w:rPr>
        <w:t>to the provisions of the PUCO corporate separation rules</w:t>
      </w:r>
      <w:r w:rsidRPr="00AC38EA" w:rsidR="008356B0">
        <w:rPr>
          <w:rFonts w:cs="Times New Roman"/>
          <w:szCs w:val="24"/>
        </w:rPr>
        <w:t>.</w:t>
      </w:r>
      <w:r w:rsidRPr="00AC38EA" w:rsidR="000E56DF">
        <w:rPr>
          <w:rFonts w:cs="Times New Roman"/>
          <w:szCs w:val="24"/>
        </w:rPr>
        <w:t xml:space="preserve"> </w:t>
      </w:r>
    </w:p>
    <w:p w:rsidR="0081360E" w:rsidRPr="00AC38EA" w:rsidP="0081360E" w14:paraId="378D6290" w14:textId="77777777">
      <w:pPr>
        <w:spacing w:after="0" w:line="240" w:lineRule="auto"/>
        <w:rPr>
          <w:rFonts w:cs="Times New Roman"/>
          <w:b/>
          <w:bCs/>
          <w:szCs w:val="24"/>
        </w:rPr>
      </w:pPr>
    </w:p>
    <w:tbl>
      <w:tblPr>
        <w:tblStyle w:val="TableGrid"/>
        <w:tblW w:w="0" w:type="auto"/>
        <w:tblLook w:val="04A0"/>
      </w:tblPr>
      <w:tblGrid>
        <w:gridCol w:w="1705"/>
        <w:gridCol w:w="3600"/>
        <w:gridCol w:w="4045"/>
      </w:tblGrid>
      <w:tr w14:paraId="2F4D9BAF" w14:textId="77777777" w:rsidTr="00106619">
        <w:tblPrEx>
          <w:tblW w:w="0" w:type="auto"/>
          <w:tblLook w:val="04A0"/>
        </w:tblPrEx>
        <w:tc>
          <w:tcPr>
            <w:tcW w:w="1705" w:type="dxa"/>
          </w:tcPr>
          <w:p w:rsidR="0081360E" w:rsidRPr="00AC38EA" w:rsidP="00106619" w14:paraId="460B0CAF" w14:textId="77777777">
            <w:pPr>
              <w:spacing w:line="480" w:lineRule="auto"/>
              <w:jc w:val="center"/>
              <w:rPr>
                <w:rFonts w:cs="Times New Roman"/>
                <w:b/>
                <w:bCs/>
                <w:szCs w:val="24"/>
                <w:u w:val="single"/>
              </w:rPr>
            </w:pPr>
            <w:r w:rsidRPr="00AC38EA">
              <w:rPr>
                <w:rFonts w:cs="Times New Roman"/>
                <w:b/>
                <w:bCs/>
                <w:szCs w:val="24"/>
                <w:u w:val="single"/>
              </w:rPr>
              <w:t>Request</w:t>
            </w:r>
          </w:p>
        </w:tc>
        <w:tc>
          <w:tcPr>
            <w:tcW w:w="3600" w:type="dxa"/>
          </w:tcPr>
          <w:p w:rsidR="0081360E" w:rsidRPr="00AC38EA" w:rsidP="00106619" w14:paraId="30F279FB" w14:textId="77777777">
            <w:pPr>
              <w:spacing w:line="480" w:lineRule="auto"/>
              <w:jc w:val="center"/>
              <w:rPr>
                <w:rFonts w:cs="Times New Roman"/>
                <w:b/>
                <w:bCs/>
                <w:szCs w:val="24"/>
                <w:u w:val="single"/>
              </w:rPr>
            </w:pPr>
            <w:r w:rsidRPr="00AC38EA">
              <w:rPr>
                <w:rFonts w:cs="Times New Roman"/>
                <w:b/>
                <w:bCs/>
                <w:szCs w:val="24"/>
                <w:u w:val="single"/>
              </w:rPr>
              <w:t>Summary</w:t>
            </w:r>
          </w:p>
        </w:tc>
        <w:tc>
          <w:tcPr>
            <w:tcW w:w="4045" w:type="dxa"/>
          </w:tcPr>
          <w:p w:rsidR="0081360E" w:rsidRPr="00AC38EA" w:rsidP="00106619" w14:paraId="613E54F1" w14:textId="77777777">
            <w:pPr>
              <w:spacing w:line="480" w:lineRule="auto"/>
              <w:jc w:val="center"/>
              <w:rPr>
                <w:rFonts w:cs="Times New Roman"/>
                <w:b/>
                <w:bCs/>
                <w:szCs w:val="24"/>
                <w:u w:val="single"/>
              </w:rPr>
            </w:pPr>
            <w:r w:rsidRPr="00AC38EA">
              <w:rPr>
                <w:rFonts w:cs="Times New Roman"/>
                <w:b/>
                <w:bCs/>
                <w:szCs w:val="24"/>
                <w:u w:val="single"/>
              </w:rPr>
              <w:t>Relevance</w:t>
            </w:r>
          </w:p>
        </w:tc>
      </w:tr>
      <w:tr w14:paraId="1285DF61" w14:textId="77777777" w:rsidTr="00106619">
        <w:tblPrEx>
          <w:tblW w:w="0" w:type="auto"/>
          <w:tblLook w:val="04A0"/>
        </w:tblPrEx>
        <w:tc>
          <w:tcPr>
            <w:tcW w:w="1705" w:type="dxa"/>
          </w:tcPr>
          <w:p w:rsidR="0081360E" w:rsidRPr="00AC38EA" w:rsidP="00106619" w14:paraId="4F5A6543" w14:textId="77777777">
            <w:pPr>
              <w:spacing w:line="480" w:lineRule="auto"/>
              <w:rPr>
                <w:rFonts w:cs="Times New Roman"/>
                <w:szCs w:val="24"/>
              </w:rPr>
            </w:pPr>
            <w:r w:rsidRPr="00AC38EA">
              <w:rPr>
                <w:rFonts w:cs="Times New Roman"/>
                <w:szCs w:val="24"/>
              </w:rPr>
              <w:t>INT-04-019</w:t>
            </w:r>
          </w:p>
        </w:tc>
        <w:tc>
          <w:tcPr>
            <w:tcW w:w="3600" w:type="dxa"/>
          </w:tcPr>
          <w:p w:rsidR="0081360E" w:rsidRPr="00AC38EA" w:rsidP="00106619" w14:paraId="59EB8944" w14:textId="77777777">
            <w:pPr>
              <w:rPr>
                <w:rFonts w:cs="Times New Roman"/>
                <w:szCs w:val="24"/>
              </w:rPr>
            </w:pPr>
            <w:r w:rsidRPr="00AC38EA">
              <w:rPr>
                <w:rFonts w:cs="Times New Roman"/>
                <w:szCs w:val="24"/>
              </w:rPr>
              <w:t>Identify corporate policy violations that led to Chuck Jones’ termination</w:t>
            </w:r>
          </w:p>
        </w:tc>
        <w:tc>
          <w:tcPr>
            <w:tcW w:w="4045" w:type="dxa"/>
          </w:tcPr>
          <w:p w:rsidR="0081360E" w:rsidRPr="00AC38EA" w:rsidP="00106619" w14:paraId="3BFDCBF2" w14:textId="4D549673">
            <w:pPr>
              <w:rPr>
                <w:rFonts w:cs="Times New Roman"/>
                <w:szCs w:val="24"/>
                <w:vertAlign w:val="superscript"/>
              </w:rPr>
            </w:pPr>
            <w:r w:rsidRPr="00AC38EA">
              <w:rPr>
                <w:rFonts w:cs="Times New Roman"/>
                <w:szCs w:val="24"/>
              </w:rPr>
              <w:t xml:space="preserve">Could lead to admissible evidence </w:t>
            </w:r>
            <w:r w:rsidRPr="00AC38EA" w:rsidR="00BB0FBF">
              <w:rPr>
                <w:rFonts w:cs="Times New Roman"/>
                <w:szCs w:val="24"/>
              </w:rPr>
              <w:t xml:space="preserve">regarding FirstEnergy’s public statements </w:t>
            </w:r>
            <w:r w:rsidRPr="00AC38EA">
              <w:rPr>
                <w:rFonts w:cs="Times New Roman"/>
                <w:szCs w:val="24"/>
              </w:rPr>
              <w:t xml:space="preserve">that the termination </w:t>
            </w:r>
            <w:r w:rsidRPr="00AC38EA" w:rsidR="00BB0FBF">
              <w:rPr>
                <w:rFonts w:cs="Times New Roman"/>
                <w:szCs w:val="24"/>
              </w:rPr>
              <w:t xml:space="preserve">resulted from violations of FirstEnergy’s </w:t>
            </w:r>
            <w:r w:rsidRPr="00AC38EA">
              <w:rPr>
                <w:rFonts w:cs="Times New Roman"/>
                <w:szCs w:val="24"/>
              </w:rPr>
              <w:t xml:space="preserve">code of conduct </w:t>
            </w:r>
            <w:r w:rsidRPr="00AC38EA" w:rsidR="00AC10ED">
              <w:rPr>
                <w:rFonts w:cs="Times New Roman"/>
                <w:szCs w:val="24"/>
              </w:rPr>
              <w:t>(4901:1-37-04(D))</w:t>
            </w:r>
          </w:p>
        </w:tc>
      </w:tr>
      <w:tr w14:paraId="140CA12F" w14:textId="77777777" w:rsidTr="00106619">
        <w:tblPrEx>
          <w:tblW w:w="0" w:type="auto"/>
          <w:tblLook w:val="04A0"/>
        </w:tblPrEx>
        <w:tc>
          <w:tcPr>
            <w:tcW w:w="1705" w:type="dxa"/>
          </w:tcPr>
          <w:p w:rsidR="0081360E" w:rsidRPr="00AC38EA" w:rsidP="00106619" w14:paraId="34D74542" w14:textId="77777777">
            <w:pPr>
              <w:spacing w:line="480" w:lineRule="auto"/>
              <w:rPr>
                <w:rFonts w:cs="Times New Roman"/>
                <w:szCs w:val="24"/>
              </w:rPr>
            </w:pPr>
            <w:r w:rsidRPr="00AC38EA">
              <w:rPr>
                <w:rFonts w:cs="Times New Roman"/>
                <w:szCs w:val="24"/>
              </w:rPr>
              <w:t>INT-04-021</w:t>
            </w:r>
          </w:p>
        </w:tc>
        <w:tc>
          <w:tcPr>
            <w:tcW w:w="3600" w:type="dxa"/>
          </w:tcPr>
          <w:p w:rsidR="0081360E" w:rsidRPr="00AC38EA" w:rsidP="00106619" w14:paraId="4188D795" w14:textId="77777777">
            <w:pPr>
              <w:rPr>
                <w:rFonts w:cs="Times New Roman"/>
                <w:szCs w:val="24"/>
              </w:rPr>
            </w:pPr>
            <w:r w:rsidRPr="00AC38EA">
              <w:rPr>
                <w:rFonts w:cs="Times New Roman"/>
                <w:szCs w:val="24"/>
              </w:rPr>
              <w:t>Identify corporate policy violations that led to Dennis Chack’s termination</w:t>
            </w:r>
          </w:p>
        </w:tc>
        <w:tc>
          <w:tcPr>
            <w:tcW w:w="4045" w:type="dxa"/>
          </w:tcPr>
          <w:p w:rsidR="0081360E" w:rsidRPr="00AC38EA" w:rsidP="00106619" w14:paraId="39C34A78" w14:textId="77777777">
            <w:pPr>
              <w:rPr>
                <w:rFonts w:cs="Times New Roman"/>
                <w:szCs w:val="24"/>
              </w:rPr>
            </w:pPr>
            <w:r w:rsidRPr="00AC38EA">
              <w:rPr>
                <w:rFonts w:cs="Times New Roman"/>
                <w:szCs w:val="24"/>
              </w:rPr>
              <w:t>Same</w:t>
            </w:r>
          </w:p>
        </w:tc>
      </w:tr>
      <w:tr w14:paraId="7949DCB9" w14:textId="77777777" w:rsidTr="00106619">
        <w:tblPrEx>
          <w:tblW w:w="0" w:type="auto"/>
          <w:tblLook w:val="04A0"/>
        </w:tblPrEx>
        <w:tc>
          <w:tcPr>
            <w:tcW w:w="1705" w:type="dxa"/>
          </w:tcPr>
          <w:p w:rsidR="0081360E" w:rsidRPr="00AC38EA" w:rsidP="00106619" w14:paraId="43903568" w14:textId="77777777">
            <w:pPr>
              <w:spacing w:line="480" w:lineRule="auto"/>
              <w:rPr>
                <w:rFonts w:cs="Times New Roman"/>
                <w:szCs w:val="24"/>
              </w:rPr>
            </w:pPr>
            <w:r w:rsidRPr="00AC38EA">
              <w:rPr>
                <w:rFonts w:cs="Times New Roman"/>
                <w:szCs w:val="24"/>
              </w:rPr>
              <w:t>INT-04-023</w:t>
            </w:r>
          </w:p>
        </w:tc>
        <w:tc>
          <w:tcPr>
            <w:tcW w:w="3600" w:type="dxa"/>
          </w:tcPr>
          <w:p w:rsidR="0081360E" w:rsidRPr="00AC38EA" w:rsidP="00106619" w14:paraId="0E5DAC81" w14:textId="77777777">
            <w:pPr>
              <w:rPr>
                <w:rFonts w:cs="Times New Roman"/>
                <w:szCs w:val="24"/>
              </w:rPr>
            </w:pPr>
            <w:r w:rsidRPr="00AC38EA">
              <w:rPr>
                <w:rFonts w:cs="Times New Roman"/>
                <w:szCs w:val="24"/>
              </w:rPr>
              <w:t>Identify corporate policy violations that led to Michael Dowling’s termination</w:t>
            </w:r>
          </w:p>
        </w:tc>
        <w:tc>
          <w:tcPr>
            <w:tcW w:w="4045" w:type="dxa"/>
          </w:tcPr>
          <w:p w:rsidR="0081360E" w:rsidRPr="00AC38EA" w:rsidP="00106619" w14:paraId="3AAF7C8C" w14:textId="77777777">
            <w:pPr>
              <w:rPr>
                <w:rFonts w:cs="Times New Roman"/>
                <w:szCs w:val="24"/>
              </w:rPr>
            </w:pPr>
            <w:r w:rsidRPr="00AC38EA">
              <w:rPr>
                <w:rFonts w:cs="Times New Roman"/>
                <w:szCs w:val="24"/>
              </w:rPr>
              <w:t>Same</w:t>
            </w:r>
          </w:p>
        </w:tc>
      </w:tr>
      <w:tr w14:paraId="25E6992C" w14:textId="77777777" w:rsidTr="00106619">
        <w:tblPrEx>
          <w:tblW w:w="0" w:type="auto"/>
          <w:tblLook w:val="04A0"/>
        </w:tblPrEx>
        <w:tc>
          <w:tcPr>
            <w:tcW w:w="1705" w:type="dxa"/>
          </w:tcPr>
          <w:p w:rsidR="0081360E" w:rsidRPr="00AC38EA" w:rsidP="00106619" w14:paraId="21A5AB8E" w14:textId="77777777">
            <w:pPr>
              <w:spacing w:line="480" w:lineRule="auto"/>
              <w:rPr>
                <w:rFonts w:cs="Times New Roman"/>
                <w:szCs w:val="24"/>
              </w:rPr>
            </w:pPr>
            <w:r w:rsidRPr="00AC38EA">
              <w:rPr>
                <w:rFonts w:cs="Times New Roman"/>
                <w:szCs w:val="24"/>
              </w:rPr>
              <w:t>INT-04-024</w:t>
            </w:r>
          </w:p>
        </w:tc>
        <w:tc>
          <w:tcPr>
            <w:tcW w:w="3600" w:type="dxa"/>
          </w:tcPr>
          <w:p w:rsidR="0081360E" w:rsidRPr="00AC38EA" w:rsidP="00106619" w14:paraId="6BB33449" w14:textId="77777777">
            <w:pPr>
              <w:rPr>
                <w:rFonts w:cs="Times New Roman"/>
                <w:szCs w:val="24"/>
              </w:rPr>
            </w:pPr>
            <w:r w:rsidRPr="00AC38EA">
              <w:rPr>
                <w:rFonts w:cs="Times New Roman"/>
                <w:szCs w:val="24"/>
              </w:rPr>
              <w:t>Identify corporate policies that were part of the independent board of directors’ review</w:t>
            </w:r>
          </w:p>
        </w:tc>
        <w:tc>
          <w:tcPr>
            <w:tcW w:w="4045" w:type="dxa"/>
          </w:tcPr>
          <w:p w:rsidR="0081360E" w:rsidRPr="00AC38EA" w:rsidP="00106619" w14:paraId="54E9BC38" w14:textId="77777777">
            <w:pPr>
              <w:rPr>
                <w:rFonts w:cs="Times New Roman"/>
                <w:szCs w:val="24"/>
              </w:rPr>
            </w:pPr>
            <w:r w:rsidRPr="00AC38EA">
              <w:rPr>
                <w:rFonts w:cs="Times New Roman"/>
                <w:szCs w:val="24"/>
              </w:rPr>
              <w:t>Same</w:t>
            </w:r>
          </w:p>
        </w:tc>
      </w:tr>
      <w:tr w14:paraId="462C49DE" w14:textId="77777777" w:rsidTr="00106619">
        <w:tblPrEx>
          <w:tblW w:w="0" w:type="auto"/>
          <w:tblLook w:val="04A0"/>
        </w:tblPrEx>
        <w:tc>
          <w:tcPr>
            <w:tcW w:w="1705" w:type="dxa"/>
          </w:tcPr>
          <w:p w:rsidR="0081360E" w:rsidRPr="00AC38EA" w:rsidP="00106619" w14:paraId="1A8EE4E2" w14:textId="77777777">
            <w:pPr>
              <w:spacing w:line="480" w:lineRule="auto"/>
              <w:rPr>
                <w:rFonts w:cs="Times New Roman"/>
                <w:szCs w:val="24"/>
              </w:rPr>
            </w:pPr>
            <w:r w:rsidRPr="00AC38EA">
              <w:rPr>
                <w:rFonts w:cs="Times New Roman"/>
                <w:szCs w:val="24"/>
              </w:rPr>
              <w:t>INT-04-025</w:t>
            </w:r>
          </w:p>
        </w:tc>
        <w:tc>
          <w:tcPr>
            <w:tcW w:w="3600" w:type="dxa"/>
          </w:tcPr>
          <w:p w:rsidR="0081360E" w:rsidRPr="00AC38EA" w:rsidP="00106619" w14:paraId="76EF78E8" w14:textId="77777777">
            <w:pPr>
              <w:rPr>
                <w:rFonts w:cs="Times New Roman"/>
                <w:szCs w:val="24"/>
              </w:rPr>
            </w:pPr>
            <w:r w:rsidRPr="00AC38EA">
              <w:rPr>
                <w:rFonts w:cs="Times New Roman"/>
                <w:szCs w:val="24"/>
              </w:rPr>
              <w:t>Whether the independent board of directors’ review led to any changes in corporate policies relating to corporate separation</w:t>
            </w:r>
          </w:p>
        </w:tc>
        <w:tc>
          <w:tcPr>
            <w:tcW w:w="4045" w:type="dxa"/>
          </w:tcPr>
          <w:p w:rsidR="0081360E" w:rsidRPr="00AC38EA" w:rsidP="00106619" w14:paraId="5BFE4F12" w14:textId="77777777">
            <w:pPr>
              <w:rPr>
                <w:rFonts w:cs="Times New Roman"/>
                <w:szCs w:val="24"/>
              </w:rPr>
            </w:pPr>
            <w:r w:rsidRPr="00AC38EA">
              <w:rPr>
                <w:rFonts w:cs="Times New Roman"/>
                <w:szCs w:val="24"/>
              </w:rPr>
              <w:t>Same</w:t>
            </w:r>
          </w:p>
        </w:tc>
      </w:tr>
      <w:tr w14:paraId="0C89DB8D" w14:textId="77777777" w:rsidTr="00106619">
        <w:tblPrEx>
          <w:tblW w:w="0" w:type="auto"/>
          <w:tblLook w:val="04A0"/>
        </w:tblPrEx>
        <w:tc>
          <w:tcPr>
            <w:tcW w:w="1705" w:type="dxa"/>
          </w:tcPr>
          <w:p w:rsidR="0081360E" w:rsidRPr="00AC38EA" w:rsidP="00106619" w14:paraId="2C1AABCE" w14:textId="77777777">
            <w:pPr>
              <w:spacing w:line="480" w:lineRule="auto"/>
              <w:rPr>
                <w:rFonts w:cs="Times New Roman"/>
                <w:szCs w:val="24"/>
              </w:rPr>
            </w:pPr>
            <w:r w:rsidRPr="00AC38EA">
              <w:rPr>
                <w:rFonts w:cs="Times New Roman"/>
                <w:szCs w:val="24"/>
              </w:rPr>
              <w:t>RFA-04-014</w:t>
            </w:r>
          </w:p>
        </w:tc>
        <w:tc>
          <w:tcPr>
            <w:tcW w:w="3600" w:type="dxa"/>
          </w:tcPr>
          <w:p w:rsidR="0081360E" w:rsidRPr="00AC38EA" w:rsidP="00106619" w14:paraId="163DD5BB" w14:textId="77777777">
            <w:pPr>
              <w:rPr>
                <w:rFonts w:cs="Times New Roman"/>
                <w:szCs w:val="24"/>
              </w:rPr>
            </w:pPr>
            <w:r w:rsidRPr="00AC38EA">
              <w:rPr>
                <w:rFonts w:cs="Times New Roman"/>
                <w:szCs w:val="24"/>
              </w:rPr>
              <w:t>Admit that Chuck Jones was terminated for violating FirstEnergy’s corporate separation plan</w:t>
            </w:r>
          </w:p>
        </w:tc>
        <w:tc>
          <w:tcPr>
            <w:tcW w:w="4045" w:type="dxa"/>
          </w:tcPr>
          <w:p w:rsidR="0081360E" w:rsidRPr="00AC38EA" w:rsidP="00106619" w14:paraId="5D3D1CE1" w14:textId="77777777">
            <w:pPr>
              <w:rPr>
                <w:rFonts w:cs="Times New Roman"/>
                <w:szCs w:val="24"/>
              </w:rPr>
            </w:pPr>
            <w:r w:rsidRPr="00AC38EA">
              <w:rPr>
                <w:rFonts w:cs="Times New Roman"/>
                <w:szCs w:val="24"/>
              </w:rPr>
              <w:t>Same</w:t>
            </w:r>
          </w:p>
        </w:tc>
      </w:tr>
      <w:tr w14:paraId="7FDF241F" w14:textId="77777777" w:rsidTr="00106619">
        <w:tblPrEx>
          <w:tblW w:w="0" w:type="auto"/>
          <w:tblLook w:val="04A0"/>
        </w:tblPrEx>
        <w:tc>
          <w:tcPr>
            <w:tcW w:w="1705" w:type="dxa"/>
          </w:tcPr>
          <w:p w:rsidR="0081360E" w:rsidRPr="00AC38EA" w:rsidP="00106619" w14:paraId="1FB874B6" w14:textId="77777777">
            <w:pPr>
              <w:spacing w:line="480" w:lineRule="auto"/>
              <w:rPr>
                <w:rFonts w:cs="Times New Roman"/>
                <w:szCs w:val="24"/>
              </w:rPr>
            </w:pPr>
            <w:r w:rsidRPr="00AC38EA">
              <w:rPr>
                <w:rFonts w:cs="Times New Roman"/>
                <w:szCs w:val="24"/>
              </w:rPr>
              <w:t>RFA—04-015</w:t>
            </w:r>
          </w:p>
        </w:tc>
        <w:tc>
          <w:tcPr>
            <w:tcW w:w="3600" w:type="dxa"/>
          </w:tcPr>
          <w:p w:rsidR="0081360E" w:rsidRPr="00AC38EA" w:rsidP="00106619" w14:paraId="02621E59" w14:textId="77777777">
            <w:pPr>
              <w:rPr>
                <w:rFonts w:cs="Times New Roman"/>
                <w:szCs w:val="24"/>
              </w:rPr>
            </w:pPr>
            <w:r w:rsidRPr="00AC38EA">
              <w:rPr>
                <w:rFonts w:cs="Times New Roman"/>
                <w:szCs w:val="24"/>
              </w:rPr>
              <w:t>Admit that Dennis Chack was terminated for violating FirstEnergy’s corporate separation plan</w:t>
            </w:r>
          </w:p>
        </w:tc>
        <w:tc>
          <w:tcPr>
            <w:tcW w:w="4045" w:type="dxa"/>
          </w:tcPr>
          <w:p w:rsidR="0081360E" w:rsidRPr="00AC38EA" w:rsidP="00106619" w14:paraId="0932E09A" w14:textId="77777777">
            <w:pPr>
              <w:rPr>
                <w:rFonts w:cs="Times New Roman"/>
                <w:szCs w:val="24"/>
              </w:rPr>
            </w:pPr>
            <w:r w:rsidRPr="00AC38EA">
              <w:rPr>
                <w:rFonts w:cs="Times New Roman"/>
                <w:szCs w:val="24"/>
              </w:rPr>
              <w:t>Same</w:t>
            </w:r>
          </w:p>
        </w:tc>
      </w:tr>
      <w:tr w14:paraId="5741940A" w14:textId="77777777" w:rsidTr="00106619">
        <w:tblPrEx>
          <w:tblW w:w="0" w:type="auto"/>
          <w:tblLook w:val="04A0"/>
        </w:tblPrEx>
        <w:tc>
          <w:tcPr>
            <w:tcW w:w="1705" w:type="dxa"/>
          </w:tcPr>
          <w:p w:rsidR="0081360E" w:rsidRPr="00AC38EA" w:rsidP="00106619" w14:paraId="2E79C897" w14:textId="77777777">
            <w:pPr>
              <w:spacing w:line="480" w:lineRule="auto"/>
              <w:rPr>
                <w:rFonts w:cs="Times New Roman"/>
                <w:szCs w:val="24"/>
              </w:rPr>
            </w:pPr>
            <w:r w:rsidRPr="00AC38EA">
              <w:rPr>
                <w:rFonts w:cs="Times New Roman"/>
                <w:szCs w:val="24"/>
              </w:rPr>
              <w:t>RFA-04-016</w:t>
            </w:r>
          </w:p>
        </w:tc>
        <w:tc>
          <w:tcPr>
            <w:tcW w:w="3600" w:type="dxa"/>
          </w:tcPr>
          <w:p w:rsidR="0081360E" w:rsidRPr="00AC38EA" w:rsidP="00106619" w14:paraId="111125D8" w14:textId="77777777">
            <w:pPr>
              <w:rPr>
                <w:rFonts w:cs="Times New Roman"/>
                <w:szCs w:val="24"/>
              </w:rPr>
            </w:pPr>
            <w:r w:rsidRPr="00AC38EA">
              <w:rPr>
                <w:rFonts w:cs="Times New Roman"/>
                <w:szCs w:val="24"/>
              </w:rPr>
              <w:t>Admit that Michael Dowling was terminated for violating FirstEnergy’s corporate separation plan</w:t>
            </w:r>
          </w:p>
        </w:tc>
        <w:tc>
          <w:tcPr>
            <w:tcW w:w="4045" w:type="dxa"/>
          </w:tcPr>
          <w:p w:rsidR="0081360E" w:rsidRPr="00AC38EA" w:rsidP="00106619" w14:paraId="59E592E7" w14:textId="77777777">
            <w:pPr>
              <w:rPr>
                <w:rFonts w:cs="Times New Roman"/>
                <w:szCs w:val="24"/>
              </w:rPr>
            </w:pPr>
            <w:r w:rsidRPr="00AC38EA">
              <w:rPr>
                <w:rFonts w:cs="Times New Roman"/>
                <w:szCs w:val="24"/>
              </w:rPr>
              <w:t>Same</w:t>
            </w:r>
          </w:p>
        </w:tc>
      </w:tr>
    </w:tbl>
    <w:p w:rsidR="0081360E" w:rsidRPr="00AC38EA" w:rsidP="0081360E" w14:paraId="09D92199" w14:textId="77777777">
      <w:pPr>
        <w:spacing w:after="0" w:line="240" w:lineRule="auto"/>
        <w:rPr>
          <w:rFonts w:cs="Times New Roman"/>
          <w:b/>
          <w:bCs/>
          <w:szCs w:val="24"/>
        </w:rPr>
      </w:pPr>
    </w:p>
    <w:p w:rsidR="00FC66DB" w:rsidRPr="00AC38EA" w:rsidP="00FC66DB" w14:paraId="4F46DF70" w14:textId="05061A1B">
      <w:pPr>
        <w:pStyle w:val="Heading2"/>
        <w:rPr>
          <w:rFonts w:ascii="Times New Roman" w:hAnsi="Times New Roman"/>
          <w:color w:val="000000"/>
        </w:rPr>
      </w:pPr>
      <w:bookmarkStart w:id="18" w:name="_Toc73086665"/>
      <w:bookmarkStart w:id="19" w:name="_Toc73106047"/>
      <w:bookmarkStart w:id="20" w:name="_Toc72747109"/>
      <w:r w:rsidRPr="00AC38EA">
        <w:rPr>
          <w:rFonts w:ascii="Times New Roman" w:hAnsi="Times New Roman"/>
        </w:rPr>
        <w:t xml:space="preserve">C. </w:t>
      </w:r>
      <w:r w:rsidRPr="00AC38EA" w:rsidR="001E3543">
        <w:rPr>
          <w:rFonts w:ascii="Times New Roman" w:hAnsi="Times New Roman"/>
        </w:rPr>
        <w:tab/>
      </w:r>
      <w:r w:rsidRPr="00AC38EA">
        <w:rPr>
          <w:rFonts w:ascii="Times New Roman" w:hAnsi="Times New Roman"/>
        </w:rPr>
        <w:t xml:space="preserve">The information OCC seeks is within the PUCO’s </w:t>
      </w:r>
      <w:r w:rsidR="006D6B1F">
        <w:rPr>
          <w:rFonts w:ascii="Times New Roman" w:hAnsi="Times New Roman"/>
        </w:rPr>
        <w:t xml:space="preserve">jurisdiction </w:t>
      </w:r>
      <w:r w:rsidRPr="00AC38EA">
        <w:rPr>
          <w:rFonts w:ascii="Times New Roman" w:hAnsi="Times New Roman"/>
        </w:rPr>
        <w:t xml:space="preserve">and OCC’s </w:t>
      </w:r>
      <w:r w:rsidR="006D6B1F">
        <w:rPr>
          <w:rFonts w:ascii="Times New Roman" w:hAnsi="Times New Roman"/>
        </w:rPr>
        <w:t>authority to investigate.</w:t>
      </w:r>
      <w:bookmarkEnd w:id="18"/>
      <w:bookmarkEnd w:id="19"/>
      <w:r w:rsidR="006D6B1F">
        <w:rPr>
          <w:rFonts w:ascii="Times New Roman" w:hAnsi="Times New Roman"/>
        </w:rPr>
        <w:t xml:space="preserve"> </w:t>
      </w:r>
      <w:bookmarkEnd w:id="20"/>
      <w:r w:rsidRPr="00AC38EA">
        <w:rPr>
          <w:rFonts w:ascii="Times New Roman" w:hAnsi="Times New Roman"/>
        </w:rPr>
        <w:t xml:space="preserve"> </w:t>
      </w:r>
    </w:p>
    <w:p w:rsidR="00FC66DB" w:rsidRPr="00AC38EA" w:rsidP="00FC66DB" w14:paraId="6CF69AE2" w14:textId="2B85C93A">
      <w:pPr>
        <w:spacing w:after="0" w:line="480" w:lineRule="auto"/>
        <w:ind w:firstLine="720"/>
        <w:rPr>
          <w:rFonts w:cs="Times New Roman"/>
          <w:szCs w:val="24"/>
        </w:rPr>
      </w:pPr>
      <w:r w:rsidRPr="00AC38EA">
        <w:rPr>
          <w:rFonts w:cs="Times New Roman"/>
          <w:szCs w:val="24"/>
        </w:rPr>
        <w:t xml:space="preserve">The </w:t>
      </w:r>
      <w:r w:rsidR="00A07F0A">
        <w:rPr>
          <w:rFonts w:cs="Times New Roman"/>
          <w:szCs w:val="24"/>
        </w:rPr>
        <w:t>FirstEnergy Utilities</w:t>
      </w:r>
      <w:r w:rsidRPr="00AC38EA">
        <w:rPr>
          <w:rFonts w:cs="Times New Roman"/>
          <w:szCs w:val="24"/>
        </w:rPr>
        <w:t xml:space="preserve"> claim they are entitled to a protective order because OCC seeks information outside the PUCO’s and OCC’s jurisdiction to investigate.</w:t>
      </w:r>
      <w:r>
        <w:rPr>
          <w:rStyle w:val="FootnoteReference"/>
          <w:rFonts w:cs="Times New Roman"/>
          <w:szCs w:val="24"/>
        </w:rPr>
        <w:footnoteReference w:id="39"/>
      </w:r>
      <w:r w:rsidRPr="00AC38EA">
        <w:rPr>
          <w:rFonts w:cs="Times New Roman"/>
          <w:szCs w:val="24"/>
        </w:rPr>
        <w:t xml:space="preserve">  The PUCO should reject this claim</w:t>
      </w:r>
      <w:r w:rsidRPr="00AC38EA" w:rsidR="008356B0">
        <w:rPr>
          <w:rFonts w:cs="Times New Roman"/>
          <w:szCs w:val="24"/>
        </w:rPr>
        <w:t>, as it has rejected similar claims before.</w:t>
      </w:r>
      <w:r>
        <w:rPr>
          <w:rStyle w:val="FootnoteReference"/>
          <w:rFonts w:cs="Times New Roman"/>
          <w:szCs w:val="24"/>
        </w:rPr>
        <w:footnoteReference w:id="40"/>
      </w:r>
      <w:r w:rsidRPr="00AC38EA" w:rsidR="008356B0">
        <w:rPr>
          <w:rFonts w:cs="Times New Roman"/>
          <w:szCs w:val="24"/>
        </w:rPr>
        <w:t xml:space="preserve"> </w:t>
      </w:r>
      <w:r w:rsidRPr="00AC38EA" w:rsidR="001E6BEB">
        <w:rPr>
          <w:rFonts w:cs="Times New Roman"/>
          <w:szCs w:val="24"/>
        </w:rPr>
        <w:t xml:space="preserve"> Additionally, this claim </w:t>
      </w:r>
      <w:r w:rsidRPr="00AC38EA">
        <w:rPr>
          <w:rFonts w:cs="Times New Roman"/>
          <w:szCs w:val="24"/>
        </w:rPr>
        <w:t>has no merit.</w:t>
      </w:r>
    </w:p>
    <w:p w:rsidR="00BC2B0E" w:rsidRPr="00AC38EA" w:rsidP="00FC66DB" w14:paraId="08A6E29B" w14:textId="02C1C54C">
      <w:pPr>
        <w:spacing w:after="0" w:line="480" w:lineRule="auto"/>
        <w:ind w:firstLine="720"/>
        <w:rPr>
          <w:rFonts w:cs="Times New Roman"/>
          <w:szCs w:val="24"/>
        </w:rPr>
      </w:pPr>
      <w:r w:rsidRPr="00AC38EA">
        <w:rPr>
          <w:rFonts w:cs="Times New Roman"/>
          <w:szCs w:val="24"/>
        </w:rPr>
        <w:t>OCC seeks information relating to FirstEnergy’s public disclosures that the terminated executive violated FirstEnergy’s code of conduct.  The PUCO noted that these disclosures prompted it to open the corporate separation investigation.  The PUCO’s Entry lists the statutes that confer jurisdiction for the investigation: R.C. 4928.17, along with “the Commission’s statutory authority to investigate and acquire records, contracts, reports, and other documentation under RC. 4928.</w:t>
      </w:r>
      <w:r w:rsidRPr="00AC38EA" w:rsidR="0076096F">
        <w:rPr>
          <w:rFonts w:cs="Times New Roman"/>
          <w:szCs w:val="24"/>
        </w:rPr>
        <w:t>02, 4928.03, 4928.06, 4928.15, and 4928.16.”</w:t>
      </w:r>
      <w:r>
        <w:rPr>
          <w:rStyle w:val="FootnoteReference"/>
          <w:rFonts w:cs="Times New Roman"/>
          <w:szCs w:val="24"/>
        </w:rPr>
        <w:footnoteReference w:id="41"/>
      </w:r>
    </w:p>
    <w:p w:rsidR="00FC66DB" w:rsidRPr="00AC38EA" w:rsidP="00FC66DB" w14:paraId="4BA0D014" w14:textId="4685771C">
      <w:pPr>
        <w:spacing w:after="0" w:line="480" w:lineRule="auto"/>
        <w:ind w:firstLine="720"/>
        <w:rPr>
          <w:rFonts w:cs="Times New Roman"/>
          <w:szCs w:val="24"/>
        </w:rPr>
      </w:pPr>
      <w:r w:rsidRPr="00AC38EA">
        <w:rPr>
          <w:rFonts w:cs="Times New Roman"/>
          <w:szCs w:val="24"/>
        </w:rPr>
        <w:t xml:space="preserve">OCC </w:t>
      </w:r>
      <w:r w:rsidRPr="00AC38EA" w:rsidR="00BC2B0E">
        <w:rPr>
          <w:rFonts w:cs="Times New Roman"/>
          <w:szCs w:val="24"/>
        </w:rPr>
        <w:t xml:space="preserve">also </w:t>
      </w:r>
      <w:r w:rsidRPr="00AC38EA">
        <w:rPr>
          <w:rFonts w:cs="Times New Roman"/>
          <w:szCs w:val="24"/>
        </w:rPr>
        <w:t xml:space="preserve">seeks </w:t>
      </w:r>
      <w:r w:rsidRPr="00AC38EA" w:rsidR="00BC2B0E">
        <w:rPr>
          <w:rFonts w:cs="Times New Roman"/>
          <w:szCs w:val="24"/>
        </w:rPr>
        <w:t>information relating</w:t>
      </w:r>
      <w:r w:rsidRPr="00AC38EA">
        <w:rPr>
          <w:rFonts w:cs="Times New Roman"/>
          <w:szCs w:val="24"/>
        </w:rPr>
        <w:t xml:space="preserve"> to an independent investigation by the FirstEnergy Board of Directors.  FirstEnergy disclosed that the investigation found that FirstEnergy improperly charged costs to the </w:t>
      </w:r>
      <w:r w:rsidR="00A07F0A">
        <w:rPr>
          <w:rFonts w:cs="Times New Roman"/>
          <w:szCs w:val="24"/>
        </w:rPr>
        <w:t>FirstEnergy Utilities</w:t>
      </w:r>
      <w:r w:rsidRPr="00AC38EA">
        <w:rPr>
          <w:rFonts w:cs="Times New Roman"/>
          <w:szCs w:val="24"/>
        </w:rPr>
        <w:t xml:space="preserve"> over a ten-year period and improperly collected these costs from customers.  </w:t>
      </w:r>
    </w:p>
    <w:p w:rsidR="00FC66DB" w:rsidRPr="00AC38EA" w:rsidP="00FC66DB" w14:paraId="735B7265" w14:textId="77777777">
      <w:pPr>
        <w:spacing w:after="0" w:line="240" w:lineRule="auto"/>
        <w:ind w:left="1440" w:right="1440"/>
        <w:rPr>
          <w:rFonts w:cs="Times New Roman"/>
          <w:szCs w:val="24"/>
        </w:rPr>
      </w:pPr>
      <w:r w:rsidRPr="00AC38EA">
        <w:rPr>
          <w:rStyle w:val="article-content"/>
          <w:rFonts w:cs="Times New Roman"/>
          <w:szCs w:val="24"/>
        </w:rPr>
        <w:t xml:space="preserve">In the course of the internal investigation, we did identify certain transactions, which, in some instances, extended back 10 years or more, including vendor services that were either improperly classified, misallocated to certain of utility or transmission companies or lacked proper supporting documentation. </w:t>
      </w:r>
      <w:r w:rsidRPr="00AC38EA">
        <w:rPr>
          <w:rStyle w:val="article-content"/>
          <w:rFonts w:cs="Times New Roman"/>
          <w:i/>
          <w:iCs/>
          <w:szCs w:val="24"/>
        </w:rPr>
        <w:t>These transactions result in amounts collected from customers that were immaterial to FirstEnergy, and our utility and transmission companies will be working with the appropriate regulatory agencies to address these amounts.</w:t>
      </w:r>
      <w:r>
        <w:rPr>
          <w:rStyle w:val="FootnoteReference"/>
          <w:rFonts w:cs="Times New Roman"/>
          <w:i/>
          <w:iCs/>
          <w:szCs w:val="24"/>
        </w:rPr>
        <w:footnoteReference w:id="42"/>
      </w:r>
    </w:p>
    <w:p w:rsidR="00FC66DB" w:rsidRPr="00AC38EA" w:rsidP="00FC66DB" w14:paraId="16407272" w14:textId="77777777">
      <w:pPr>
        <w:spacing w:after="0" w:line="240" w:lineRule="auto"/>
        <w:rPr>
          <w:rFonts w:cs="Times New Roman"/>
          <w:szCs w:val="24"/>
        </w:rPr>
      </w:pPr>
    </w:p>
    <w:p w:rsidR="00FC66DB" w:rsidRPr="00AC38EA" w:rsidP="00FC66DB" w14:paraId="41734CAA" w14:textId="05EE0875">
      <w:pPr>
        <w:spacing w:after="0" w:line="480" w:lineRule="auto"/>
        <w:rPr>
          <w:rFonts w:cs="Times New Roman"/>
          <w:szCs w:val="24"/>
        </w:rPr>
      </w:pPr>
      <w:r w:rsidRPr="00AC38EA">
        <w:rPr>
          <w:rFonts w:cs="Times New Roman"/>
          <w:szCs w:val="24"/>
        </w:rPr>
        <w:tab/>
        <w:t>When FirstEnergy disclosed the improper charges, it promised to “work with regulatory authorities to address these amounts.”  But now FirstEnergy claims these matters are outside the PUCO’s and OCC’s authority to investigate.  FirstEnergy</w:t>
      </w:r>
      <w:r w:rsidR="0003365F">
        <w:rPr>
          <w:rFonts w:cs="Times New Roman"/>
          <w:szCs w:val="24"/>
        </w:rPr>
        <w:t xml:space="preserve"> is wrong</w:t>
      </w:r>
      <w:r w:rsidRPr="00AC38EA">
        <w:rPr>
          <w:rFonts w:cs="Times New Roman"/>
          <w:szCs w:val="24"/>
        </w:rPr>
        <w:t>.  Here is another example of FirstEnergy’s approach that it will agree to investigate itself on H.B. 6-related matters but will resist the PUCO’s and OCC’s efforts to investigate.  So much for “greater transparency.”</w:t>
      </w:r>
    </w:p>
    <w:p w:rsidR="00FC66DB" w:rsidRPr="00AC38EA" w:rsidP="00FC66DB" w14:paraId="7F50FA02" w14:textId="09373A20">
      <w:pPr>
        <w:spacing w:after="0" w:line="480" w:lineRule="auto"/>
        <w:ind w:firstLine="720"/>
        <w:rPr>
          <w:rFonts w:cs="Times New Roman"/>
          <w:szCs w:val="24"/>
        </w:rPr>
      </w:pPr>
      <w:r w:rsidRPr="00AC38EA">
        <w:rPr>
          <w:rFonts w:cs="Times New Roman"/>
          <w:szCs w:val="24"/>
        </w:rPr>
        <w:t>Th</w:t>
      </w:r>
      <w:r w:rsidRPr="00AC38EA" w:rsidR="009A456C">
        <w:rPr>
          <w:rFonts w:cs="Times New Roman"/>
          <w:szCs w:val="24"/>
        </w:rPr>
        <w:t>e</w:t>
      </w:r>
      <w:r w:rsidRPr="00AC38EA">
        <w:rPr>
          <w:rFonts w:cs="Times New Roman"/>
          <w:szCs w:val="24"/>
        </w:rPr>
        <w:t xml:space="preserve"> information </w:t>
      </w:r>
      <w:r w:rsidRPr="00AC38EA" w:rsidR="009A456C">
        <w:rPr>
          <w:rFonts w:cs="Times New Roman"/>
          <w:szCs w:val="24"/>
        </w:rPr>
        <w:t xml:space="preserve">on the ten years of misallocated costs </w:t>
      </w:r>
      <w:r w:rsidRPr="00AC38EA">
        <w:rPr>
          <w:rFonts w:cs="Times New Roman"/>
          <w:szCs w:val="24"/>
        </w:rPr>
        <w:t xml:space="preserve">is in the possession of the </w:t>
      </w:r>
      <w:r w:rsidR="00A07F0A">
        <w:rPr>
          <w:rFonts w:cs="Times New Roman"/>
          <w:szCs w:val="24"/>
        </w:rPr>
        <w:t>FirstEnergy Utilities</w:t>
      </w:r>
      <w:r w:rsidRPr="00AC38EA">
        <w:rPr>
          <w:rFonts w:cs="Times New Roman"/>
          <w:szCs w:val="24"/>
        </w:rPr>
        <w:t xml:space="preserve"> because they reported it to FERC in their FERC Form 1’s filed on April 6, 2021, as follows:</w:t>
      </w:r>
    </w:p>
    <w:p w:rsidR="00FC66DB" w:rsidRPr="00AC38EA" w:rsidP="00FC66DB" w14:paraId="60942047" w14:textId="77777777">
      <w:pPr>
        <w:autoSpaceDE w:val="0"/>
        <w:autoSpaceDN w:val="0"/>
        <w:adjustRightInd w:val="0"/>
        <w:spacing w:after="0" w:line="240" w:lineRule="auto"/>
        <w:ind w:left="1440" w:right="1440"/>
        <w:rPr>
          <w:rFonts w:cs="Times New Roman"/>
          <w:i/>
          <w:iCs/>
          <w:szCs w:val="24"/>
        </w:rPr>
      </w:pPr>
      <w:r w:rsidRPr="00AC38EA">
        <w:rPr>
          <w:rFonts w:cs="Times New Roman"/>
          <w:szCs w:val="24"/>
        </w:rPr>
        <w:t xml:space="preserve">Also, in connection with the internal investigation, FirstEnergy recently identified certain transactions, which, in some instances, extended back ten years or more, including vendor service, that were either improperly classified, misallocated to certain FirstEnergy utility and transmission companies, or lacked proper supporting documentation. These transactions resulted in amounts collected from customers that were immaterial to FirstEnergy and OE. </w:t>
      </w:r>
      <w:r w:rsidRPr="00AC38EA">
        <w:rPr>
          <w:rFonts w:cs="Times New Roman"/>
          <w:i/>
          <w:iCs/>
          <w:szCs w:val="24"/>
        </w:rPr>
        <w:t>These utility and transmission companies will be working with the appropriate regulatory agencies to address these amounts.</w:t>
      </w:r>
      <w:r>
        <w:rPr>
          <w:rStyle w:val="FootnoteReference"/>
          <w:rFonts w:cs="Times New Roman"/>
          <w:i/>
          <w:iCs/>
          <w:szCs w:val="24"/>
        </w:rPr>
        <w:footnoteReference w:id="43"/>
      </w:r>
    </w:p>
    <w:p w:rsidR="008E6ACF" w:rsidP="00FC66DB" w14:paraId="1ED10019" w14:textId="77777777">
      <w:pPr>
        <w:spacing w:after="0" w:line="480" w:lineRule="auto"/>
        <w:ind w:firstLine="720"/>
        <w:rPr>
          <w:rFonts w:cs="Times New Roman"/>
          <w:szCs w:val="24"/>
        </w:rPr>
      </w:pPr>
    </w:p>
    <w:p w:rsidR="00FC66DB" w:rsidRPr="00AC38EA" w:rsidP="00FC66DB" w14:paraId="7F7EDDA4" w14:textId="26BDA602">
      <w:pPr>
        <w:spacing w:after="0" w:line="480" w:lineRule="auto"/>
        <w:ind w:firstLine="720"/>
        <w:rPr>
          <w:rFonts w:cs="Times New Roman"/>
          <w:szCs w:val="24"/>
        </w:rPr>
      </w:pPr>
      <w:r w:rsidRPr="00AC38EA">
        <w:rPr>
          <w:rFonts w:cs="Times New Roman"/>
          <w:szCs w:val="24"/>
        </w:rPr>
        <w:t xml:space="preserve">Given that this information rests with the </w:t>
      </w:r>
      <w:r w:rsidR="00A07F0A">
        <w:rPr>
          <w:rFonts w:cs="Times New Roman"/>
          <w:szCs w:val="24"/>
        </w:rPr>
        <w:t>FirstEnergy Utilities</w:t>
      </w:r>
      <w:r w:rsidRPr="00AC38EA">
        <w:rPr>
          <w:rFonts w:cs="Times New Roman"/>
          <w:szCs w:val="24"/>
        </w:rPr>
        <w:t xml:space="preserve"> (as reported on their FERC Form 1’s), the information is well within the PUCO’s and OCC’s jurisdiction to investigate.</w:t>
      </w:r>
    </w:p>
    <w:p w:rsidR="00AF6AF8" w:rsidRPr="00AC38EA" w:rsidP="00AF6AF8" w14:paraId="4C439FB8" w14:textId="74A0D4D6">
      <w:pPr>
        <w:spacing w:after="0" w:line="480" w:lineRule="auto"/>
        <w:ind w:firstLine="720"/>
        <w:rPr>
          <w:rFonts w:cs="Times New Roman"/>
          <w:szCs w:val="24"/>
        </w:rPr>
      </w:pPr>
      <w:r w:rsidRPr="00AC38EA">
        <w:rPr>
          <w:rFonts w:cs="Times New Roman"/>
          <w:szCs w:val="24"/>
        </w:rPr>
        <w:t xml:space="preserve">The PUCO </w:t>
      </w:r>
      <w:r w:rsidRPr="00AC38EA" w:rsidR="009A456C">
        <w:rPr>
          <w:rFonts w:cs="Times New Roman"/>
          <w:szCs w:val="24"/>
        </w:rPr>
        <w:t xml:space="preserve">also </w:t>
      </w:r>
      <w:r w:rsidRPr="00AC38EA">
        <w:rPr>
          <w:rFonts w:cs="Times New Roman"/>
          <w:szCs w:val="24"/>
        </w:rPr>
        <w:t xml:space="preserve">has jurisdiction over </w:t>
      </w:r>
      <w:r w:rsidRPr="00AC38EA" w:rsidR="009A456C">
        <w:rPr>
          <w:rFonts w:cs="Times New Roman"/>
          <w:szCs w:val="24"/>
        </w:rPr>
        <w:t xml:space="preserve">these matters under R.C. 4905.05, which authorize the PUCO to inspect </w:t>
      </w:r>
      <w:r w:rsidRPr="00AC38EA">
        <w:rPr>
          <w:rFonts w:cs="Times New Roman"/>
          <w:szCs w:val="24"/>
        </w:rPr>
        <w:t xml:space="preserve">the records of FirstEnergy Corp. and all its </w:t>
      </w:r>
      <w:r w:rsidRPr="00AC38EA" w:rsidR="009A456C">
        <w:rPr>
          <w:rFonts w:cs="Times New Roman"/>
          <w:szCs w:val="24"/>
        </w:rPr>
        <w:t xml:space="preserve">holding company </w:t>
      </w:r>
      <w:r w:rsidRPr="00AC38EA">
        <w:rPr>
          <w:rFonts w:cs="Times New Roman"/>
          <w:szCs w:val="24"/>
        </w:rPr>
        <w:t>affiliates that “in any way affect or relate to the costs associated with the provision of electric utility service.”</w:t>
      </w:r>
      <w:r>
        <w:rPr>
          <w:rStyle w:val="FootnoteReference"/>
          <w:rFonts w:cs="Times New Roman"/>
          <w:szCs w:val="24"/>
        </w:rPr>
        <w:footnoteReference w:id="44"/>
      </w:r>
      <w:r w:rsidRPr="00AC38EA">
        <w:rPr>
          <w:rFonts w:cs="Times New Roman"/>
          <w:szCs w:val="24"/>
        </w:rPr>
        <w:t xml:space="preserve">  </w:t>
      </w:r>
      <w:r w:rsidRPr="00AC38EA" w:rsidR="00356389">
        <w:rPr>
          <w:rFonts w:cs="Times New Roman"/>
          <w:szCs w:val="24"/>
        </w:rPr>
        <w:t>T</w:t>
      </w:r>
      <w:r w:rsidRPr="00AC38EA">
        <w:rPr>
          <w:rFonts w:cs="Times New Roman"/>
          <w:szCs w:val="24"/>
        </w:rPr>
        <w:t>he PUCO’s jurisdiction is also authorized by R.C. 4928.18(B), which provides:</w:t>
      </w:r>
    </w:p>
    <w:p w:rsidR="00AF6AF8" w:rsidRPr="00AC38EA" w:rsidP="00AC10ED" w14:paraId="17FDD6AC" w14:textId="33C2C496">
      <w:pPr>
        <w:spacing w:after="0" w:line="240" w:lineRule="auto"/>
        <w:ind w:left="1440" w:right="1440"/>
        <w:rPr>
          <w:rFonts w:cs="Times New Roman"/>
          <w:szCs w:val="24"/>
        </w:rPr>
      </w:pPr>
      <w:r w:rsidRPr="00AC38EA">
        <w:rPr>
          <w:rFonts w:cs="Times New Roman"/>
          <w:szCs w:val="24"/>
        </w:rPr>
        <w:t xml:space="preserve">The commission has jurisdiction under section </w:t>
      </w:r>
      <w:hyperlink r:id="rId10" w:history="1">
        <w:r w:rsidRPr="00AC38EA">
          <w:rPr>
            <w:rFonts w:cs="Times New Roman"/>
            <w:szCs w:val="24"/>
          </w:rPr>
          <w:t>4905.26</w:t>
        </w:r>
      </w:hyperlink>
      <w:r w:rsidRPr="00AC38EA">
        <w:rPr>
          <w:rFonts w:cs="Times New Roman"/>
          <w:szCs w:val="24"/>
        </w:rPr>
        <w:t xml:space="preserve"> of the Revised Code, upon complaint of any person or upon complaint or initiative of the commission on or after the starting date of competitive retail electric service, to determine whether an electric utility or its affiliate has violated any provision of section </w:t>
      </w:r>
      <w:hyperlink r:id="rId11" w:history="1">
        <w:r w:rsidRPr="00AC38EA">
          <w:rPr>
            <w:rFonts w:cs="Times New Roman"/>
            <w:szCs w:val="24"/>
          </w:rPr>
          <w:t>4928.17</w:t>
        </w:r>
      </w:hyperlink>
      <w:r w:rsidRPr="00AC38EA">
        <w:rPr>
          <w:rFonts w:cs="Times New Roman"/>
          <w:szCs w:val="24"/>
        </w:rPr>
        <w:t xml:space="preserve"> of the Revised Code or an order issued or rule adopted under that section. For this purpose, the commission may examine such books, accounts, or other records kept by an electric utility or its affiliate as may relate to the businesses for which corporate separation is required under section </w:t>
      </w:r>
      <w:hyperlink r:id="rId11" w:history="1">
        <w:r w:rsidRPr="00AC38EA">
          <w:rPr>
            <w:rFonts w:cs="Times New Roman"/>
            <w:szCs w:val="24"/>
          </w:rPr>
          <w:t>4928.17</w:t>
        </w:r>
      </w:hyperlink>
      <w:r w:rsidRPr="00AC38EA">
        <w:rPr>
          <w:rFonts w:cs="Times New Roman"/>
          <w:szCs w:val="24"/>
        </w:rPr>
        <w:t xml:space="preserve"> of the Revised Code, and may investigate such utility or affiliate operations</w:t>
      </w:r>
      <w:r w:rsidRPr="00AC38EA">
        <w:rPr>
          <w:rFonts w:cs="Times New Roman"/>
          <w:i/>
          <w:iCs/>
          <w:szCs w:val="24"/>
        </w:rPr>
        <w:t xml:space="preserve"> as may relate to those businesses and investigate the interrelationship of those operations. </w:t>
      </w:r>
      <w:r w:rsidRPr="00AC38EA">
        <w:rPr>
          <w:rFonts w:cs="Times New Roman"/>
          <w:szCs w:val="24"/>
        </w:rPr>
        <w:t>Any such examination or investigation by the commission shall be governed by Chapter 4903. of the Revised Code.</w:t>
      </w:r>
      <w:r>
        <w:rPr>
          <w:rStyle w:val="FootnoteReference"/>
          <w:rFonts w:cs="Times New Roman"/>
          <w:szCs w:val="24"/>
        </w:rPr>
        <w:footnoteReference w:id="45"/>
      </w:r>
    </w:p>
    <w:p w:rsidR="00AF6AF8" w:rsidRPr="00AC38EA" w:rsidP="00A662B9" w14:paraId="21FAF62C" w14:textId="77777777">
      <w:pPr>
        <w:spacing w:after="0" w:line="240" w:lineRule="auto"/>
        <w:ind w:left="1440" w:right="1440" w:firstLine="720"/>
        <w:rPr>
          <w:rFonts w:cs="Times New Roman"/>
          <w:szCs w:val="24"/>
        </w:rPr>
      </w:pPr>
    </w:p>
    <w:p w:rsidR="00605969" w:rsidRPr="00AC38EA" w:rsidP="00FC66DB" w14:paraId="332C2563" w14:textId="77777777">
      <w:pPr>
        <w:spacing w:after="0" w:line="480" w:lineRule="auto"/>
        <w:ind w:firstLine="720"/>
        <w:rPr>
          <w:rFonts w:cs="Times New Roman"/>
          <w:szCs w:val="24"/>
        </w:rPr>
      </w:pPr>
      <w:r w:rsidRPr="00AC38EA">
        <w:rPr>
          <w:rFonts w:cs="Times New Roman"/>
          <w:szCs w:val="24"/>
        </w:rPr>
        <w:t>And we can look to the PUCO corporate separation rules to see that they are applicable in accordance with R.C. 4928.17 and 4928.18.</w:t>
      </w:r>
      <w:r>
        <w:rPr>
          <w:rStyle w:val="FootnoteReference"/>
          <w:rFonts w:cs="Times New Roman"/>
          <w:szCs w:val="24"/>
        </w:rPr>
        <w:footnoteReference w:id="46"/>
      </w:r>
      <w:r w:rsidRPr="00AC38EA">
        <w:rPr>
          <w:rFonts w:cs="Times New Roman"/>
          <w:szCs w:val="24"/>
        </w:rPr>
        <w:t xml:space="preserve">  The PUCO rules, promulgated to help the PUCO carry out the law, allow extensive access to the “books, accounts, and/or other pertinent records kept by an electric utility </w:t>
      </w:r>
      <w:r w:rsidRPr="00AC38EA">
        <w:rPr>
          <w:rFonts w:cs="Times New Roman"/>
          <w:i/>
          <w:iCs/>
          <w:szCs w:val="24"/>
        </w:rPr>
        <w:t>or its affiliates</w:t>
      </w:r>
      <w:r w:rsidRPr="00AC38EA">
        <w:rPr>
          <w:rFonts w:cs="Times New Roman"/>
          <w:szCs w:val="24"/>
        </w:rPr>
        <w:t xml:space="preserve"> as they may relate to the businesses for which corporate separation is required.”</w:t>
      </w:r>
      <w:r>
        <w:rPr>
          <w:rStyle w:val="FootnoteReference"/>
          <w:rFonts w:cs="Times New Roman"/>
          <w:szCs w:val="24"/>
        </w:rPr>
        <w:footnoteReference w:id="47"/>
      </w:r>
      <w:r w:rsidRPr="00AC38EA">
        <w:rPr>
          <w:rFonts w:cs="Times New Roman"/>
          <w:szCs w:val="24"/>
        </w:rPr>
        <w:t xml:space="preserve">  Further provisions in the corporate separation rules allow the PUCO Staff to “investigate such electric utility </w:t>
      </w:r>
      <w:r w:rsidRPr="00AC38EA">
        <w:rPr>
          <w:rFonts w:cs="Times New Roman"/>
          <w:i/>
          <w:iCs/>
          <w:szCs w:val="24"/>
        </w:rPr>
        <w:t>and/or affiliate operations and the interrelationship of those operations</w:t>
      </w:r>
      <w:r w:rsidRPr="00AC38EA">
        <w:rPr>
          <w:rFonts w:cs="Times New Roman"/>
          <w:szCs w:val="24"/>
        </w:rPr>
        <w:t>.”</w:t>
      </w:r>
      <w:r>
        <w:rPr>
          <w:rStyle w:val="FootnoteReference"/>
          <w:rFonts w:cs="Times New Roman"/>
          <w:szCs w:val="24"/>
        </w:rPr>
        <w:footnoteReference w:id="48"/>
      </w:r>
      <w:r w:rsidRPr="00AC38EA">
        <w:rPr>
          <w:rFonts w:cs="Times New Roman"/>
          <w:szCs w:val="24"/>
        </w:rPr>
        <w:t xml:space="preserve">  </w:t>
      </w:r>
    </w:p>
    <w:p w:rsidR="00FC66DB" w:rsidRPr="00AC38EA" w:rsidP="00FC66DB" w14:paraId="561D61E7" w14:textId="27EF13C9">
      <w:pPr>
        <w:spacing w:after="0" w:line="480" w:lineRule="auto"/>
        <w:ind w:firstLine="720"/>
        <w:rPr>
          <w:rFonts w:cs="Times New Roman"/>
          <w:szCs w:val="24"/>
        </w:rPr>
      </w:pPr>
      <w:r w:rsidRPr="00AC38EA">
        <w:rPr>
          <w:rFonts w:cs="Times New Roman"/>
          <w:szCs w:val="24"/>
        </w:rPr>
        <w:t xml:space="preserve">The records OCC seeks relate to </w:t>
      </w:r>
      <w:r w:rsidRPr="00AC38EA" w:rsidR="009A456C">
        <w:rPr>
          <w:rFonts w:cs="Times New Roman"/>
          <w:szCs w:val="24"/>
        </w:rPr>
        <w:t xml:space="preserve">FirstEnergy’s public disclosures of code of conduct violations and ten years of misallocated </w:t>
      </w:r>
      <w:r w:rsidRPr="00AC38EA">
        <w:rPr>
          <w:rFonts w:cs="Times New Roman"/>
          <w:szCs w:val="24"/>
        </w:rPr>
        <w:t xml:space="preserve">costs of utility service – costs that the </w:t>
      </w:r>
      <w:r w:rsidR="00A07F0A">
        <w:rPr>
          <w:rFonts w:cs="Times New Roman"/>
          <w:szCs w:val="24"/>
        </w:rPr>
        <w:t>FirstEnergy Utilities</w:t>
      </w:r>
      <w:r w:rsidRPr="00AC38EA">
        <w:rPr>
          <w:rFonts w:cs="Times New Roman"/>
          <w:szCs w:val="24"/>
        </w:rPr>
        <w:t xml:space="preserve"> admit were wrongfully charged to the </w:t>
      </w:r>
      <w:r w:rsidR="00A07F0A">
        <w:rPr>
          <w:rFonts w:cs="Times New Roman"/>
          <w:szCs w:val="24"/>
        </w:rPr>
        <w:t>FirstEnergy Utilities</w:t>
      </w:r>
      <w:r w:rsidRPr="00AC38EA">
        <w:rPr>
          <w:rFonts w:cs="Times New Roman"/>
          <w:szCs w:val="24"/>
        </w:rPr>
        <w:t xml:space="preserve">.  OCC seeks these records to determine the full extent of the </w:t>
      </w:r>
      <w:r w:rsidRPr="00AC38EA" w:rsidR="009A456C">
        <w:rPr>
          <w:rFonts w:cs="Times New Roman"/>
          <w:szCs w:val="24"/>
        </w:rPr>
        <w:t xml:space="preserve">code of conduct violations and </w:t>
      </w:r>
      <w:r w:rsidRPr="00AC38EA">
        <w:rPr>
          <w:rFonts w:cs="Times New Roman"/>
          <w:szCs w:val="24"/>
        </w:rPr>
        <w:t>misallocated charges.</w:t>
      </w:r>
      <w:r w:rsidRPr="00AC38EA" w:rsidR="009A456C">
        <w:rPr>
          <w:rFonts w:cs="Times New Roman"/>
          <w:szCs w:val="24"/>
        </w:rPr>
        <w:t xml:space="preserve">  FirstEnergy cannot reasonably dispute the PUCO’s and OCC’s jurisdiction to investigate these matters.</w:t>
      </w:r>
    </w:p>
    <w:p w:rsidR="000171A1" w:rsidRPr="00AC38EA" w:rsidP="000171A1" w14:paraId="4367501A" w14:textId="4C23F838">
      <w:pPr>
        <w:pStyle w:val="Heading2"/>
        <w:rPr>
          <w:rFonts w:ascii="Times New Roman" w:hAnsi="Times New Roman"/>
        </w:rPr>
      </w:pPr>
      <w:bookmarkStart w:id="21" w:name="_Toc72747110"/>
      <w:bookmarkStart w:id="22" w:name="_Toc73086666"/>
      <w:bookmarkStart w:id="23" w:name="_Toc73106048"/>
      <w:r w:rsidRPr="00AC38EA">
        <w:rPr>
          <w:rFonts w:ascii="Times New Roman" w:hAnsi="Times New Roman"/>
        </w:rPr>
        <w:t>D.</w:t>
      </w:r>
      <w:r w:rsidRPr="00AC38EA">
        <w:rPr>
          <w:rFonts w:ascii="Times New Roman" w:hAnsi="Times New Roman"/>
        </w:rPr>
        <w:tab/>
        <w:t xml:space="preserve">The information OCC seeks is </w:t>
      </w:r>
      <w:r w:rsidR="002B2CCE">
        <w:rPr>
          <w:rFonts w:ascii="Times New Roman" w:hAnsi="Times New Roman"/>
        </w:rPr>
        <w:t>neither</w:t>
      </w:r>
      <w:r w:rsidRPr="00AC38EA" w:rsidR="002B2CCE">
        <w:rPr>
          <w:rFonts w:ascii="Times New Roman" w:hAnsi="Times New Roman"/>
        </w:rPr>
        <w:t xml:space="preserve"> </w:t>
      </w:r>
      <w:r w:rsidRPr="00AC38EA">
        <w:rPr>
          <w:rFonts w:ascii="Times New Roman" w:hAnsi="Times New Roman"/>
        </w:rPr>
        <w:t xml:space="preserve">overbroad </w:t>
      </w:r>
      <w:r w:rsidR="002B2CCE">
        <w:rPr>
          <w:rFonts w:ascii="Times New Roman" w:hAnsi="Times New Roman"/>
        </w:rPr>
        <w:t>nor</w:t>
      </w:r>
      <w:r w:rsidRPr="00AC38EA" w:rsidR="002B2CCE">
        <w:rPr>
          <w:rFonts w:ascii="Times New Roman" w:hAnsi="Times New Roman"/>
        </w:rPr>
        <w:t xml:space="preserve"> </w:t>
      </w:r>
      <w:r w:rsidRPr="00AC38EA">
        <w:rPr>
          <w:rFonts w:ascii="Times New Roman" w:hAnsi="Times New Roman"/>
        </w:rPr>
        <w:t>vague.</w:t>
      </w:r>
      <w:bookmarkEnd w:id="21"/>
      <w:bookmarkEnd w:id="22"/>
      <w:bookmarkEnd w:id="23"/>
    </w:p>
    <w:p w:rsidR="000171A1" w:rsidRPr="00AC38EA" w:rsidP="000171A1" w14:paraId="6D78C3E5" w14:textId="6003F2DF">
      <w:pPr>
        <w:spacing w:after="0" w:line="480" w:lineRule="auto"/>
        <w:rPr>
          <w:rFonts w:cs="Times New Roman"/>
          <w:szCs w:val="24"/>
        </w:rPr>
      </w:pPr>
      <w:r w:rsidRPr="00AC38EA">
        <w:rPr>
          <w:rFonts w:cs="Times New Roman"/>
          <w:szCs w:val="24"/>
        </w:rPr>
        <w:t xml:space="preserve"> </w:t>
      </w:r>
      <w:r w:rsidRPr="00AC38EA">
        <w:rPr>
          <w:rFonts w:cs="Times New Roman"/>
          <w:szCs w:val="24"/>
        </w:rPr>
        <w:tab/>
        <w:t xml:space="preserve">Finally, FirstEnergy makes a flawed claim that </w:t>
      </w:r>
      <w:r w:rsidRPr="00AC38EA" w:rsidR="00ED4A2B">
        <w:rPr>
          <w:rFonts w:cs="Times New Roman"/>
          <w:szCs w:val="24"/>
        </w:rPr>
        <w:t>“many” of</w:t>
      </w:r>
      <w:r w:rsidRPr="00AC38EA">
        <w:rPr>
          <w:rFonts w:cs="Times New Roman"/>
          <w:szCs w:val="24"/>
        </w:rPr>
        <w:t xml:space="preserve"> OCC</w:t>
      </w:r>
      <w:r w:rsidRPr="00AC38EA" w:rsidR="00ED4A2B">
        <w:rPr>
          <w:rFonts w:cs="Times New Roman"/>
          <w:szCs w:val="24"/>
        </w:rPr>
        <w:t>’s discovery requests are</w:t>
      </w:r>
      <w:r w:rsidRPr="00AC38EA">
        <w:rPr>
          <w:rFonts w:cs="Times New Roman"/>
          <w:szCs w:val="24"/>
        </w:rPr>
        <w:t xml:space="preserve"> overbroad and vague.  Th</w:t>
      </w:r>
      <w:r w:rsidRPr="00AC38EA" w:rsidR="00ED4A2B">
        <w:rPr>
          <w:rFonts w:cs="Times New Roman"/>
          <w:szCs w:val="24"/>
        </w:rPr>
        <w:t>is</w:t>
      </w:r>
      <w:r w:rsidRPr="00AC38EA">
        <w:rPr>
          <w:rFonts w:cs="Times New Roman"/>
          <w:szCs w:val="24"/>
        </w:rPr>
        <w:t xml:space="preserve"> statement</w:t>
      </w:r>
      <w:r w:rsidRPr="00AC38EA" w:rsidR="00ED4A2B">
        <w:rPr>
          <w:rFonts w:cs="Times New Roman"/>
          <w:szCs w:val="24"/>
        </w:rPr>
        <w:t xml:space="preserve"> is</w:t>
      </w:r>
      <w:r w:rsidRPr="00AC38EA">
        <w:rPr>
          <w:rFonts w:cs="Times New Roman"/>
          <w:szCs w:val="24"/>
        </w:rPr>
        <w:t xml:space="preserve"> conclusory at best.  </w:t>
      </w:r>
      <w:r w:rsidR="008E6ACF">
        <w:rPr>
          <w:rFonts w:cs="Times New Roman"/>
          <w:szCs w:val="24"/>
        </w:rPr>
        <w:t xml:space="preserve">The </w:t>
      </w:r>
      <w:r w:rsidR="00A07F0A">
        <w:rPr>
          <w:rFonts w:cs="Times New Roman"/>
          <w:szCs w:val="24"/>
        </w:rPr>
        <w:t>FirstEnergy Utilities</w:t>
      </w:r>
      <w:r w:rsidRPr="00AC38EA">
        <w:rPr>
          <w:rFonts w:cs="Times New Roman"/>
          <w:szCs w:val="24"/>
        </w:rPr>
        <w:t xml:space="preserve"> must do more than simply repeat the familiar litany that the discovery is overbroad and vague.  Federal case law</w:t>
      </w:r>
      <w:r>
        <w:rPr>
          <w:rStyle w:val="FootnoteReference"/>
          <w:rFonts w:cs="Times New Roman"/>
          <w:szCs w:val="24"/>
        </w:rPr>
        <w:footnoteReference w:id="49"/>
      </w:r>
      <w:r w:rsidRPr="00AC38EA">
        <w:rPr>
          <w:rFonts w:cs="Times New Roman"/>
          <w:szCs w:val="24"/>
        </w:rPr>
        <w:t xml:space="preserve"> has held that, when a party objects to an interrogatory based on being overly broad or an undue burden, that party must show specifically how, despite the broad and liberal construction afforded discovery rules, each interrogatory is overly broad, burdensome, or oppressive.</w:t>
      </w:r>
      <w:r>
        <w:rPr>
          <w:rStyle w:val="FootnoteReference"/>
          <w:rFonts w:cs="Times New Roman"/>
          <w:szCs w:val="24"/>
        </w:rPr>
        <w:footnoteReference w:id="50"/>
      </w:r>
      <w:r w:rsidRPr="00AC38EA">
        <w:rPr>
          <w:rFonts w:cs="Times New Roman"/>
          <w:szCs w:val="24"/>
        </w:rPr>
        <w:t xml:space="preserve">  Here, other than offering conclusory statements, FirstEnergy has failed to show how the discovery requests are overly broad or vague. Because the burden falls upon the party resisting discovery to clarify and explain its objections and to provide support</w:t>
      </w:r>
      <w:r>
        <w:rPr>
          <w:rStyle w:val="FootnoteReference"/>
          <w:rFonts w:cs="Times New Roman"/>
          <w:b/>
          <w:bCs/>
          <w:szCs w:val="24"/>
        </w:rPr>
        <w:footnoteReference w:id="51"/>
      </w:r>
      <w:r w:rsidRPr="00AC38EA">
        <w:rPr>
          <w:rFonts w:cs="Times New Roman"/>
          <w:szCs w:val="24"/>
        </w:rPr>
        <w:t xml:space="preserve"> and </w:t>
      </w:r>
      <w:r w:rsidR="008E6ACF">
        <w:rPr>
          <w:rFonts w:cs="Times New Roman"/>
          <w:szCs w:val="24"/>
        </w:rPr>
        <w:t xml:space="preserve">the </w:t>
      </w:r>
      <w:r w:rsidR="00A07F0A">
        <w:rPr>
          <w:rFonts w:cs="Times New Roman"/>
          <w:szCs w:val="24"/>
        </w:rPr>
        <w:t>FirstEnergy Utilities</w:t>
      </w:r>
      <w:r w:rsidRPr="00AC38EA">
        <w:rPr>
          <w:rFonts w:cs="Times New Roman"/>
          <w:szCs w:val="24"/>
        </w:rPr>
        <w:t xml:space="preserve"> have failed to do so, the PUCO should overrule this objection. </w:t>
      </w:r>
    </w:p>
    <w:p w:rsidR="005E008A" w:rsidRPr="00AC38EA" w:rsidP="000171A1" w14:paraId="79FD26CE" w14:textId="12894CFA">
      <w:pPr>
        <w:spacing w:after="0" w:line="480" w:lineRule="auto"/>
        <w:rPr>
          <w:rFonts w:cs="Times New Roman"/>
          <w:szCs w:val="24"/>
        </w:rPr>
      </w:pPr>
      <w:r w:rsidRPr="00AC38EA">
        <w:rPr>
          <w:rFonts w:cs="Times New Roman"/>
          <w:szCs w:val="24"/>
        </w:rPr>
        <w:tab/>
        <w:t>The only specific discovery request</w:t>
      </w:r>
      <w:r w:rsidRPr="00AC38EA" w:rsidR="00AC10ED">
        <w:rPr>
          <w:rFonts w:cs="Times New Roman"/>
          <w:szCs w:val="24"/>
        </w:rPr>
        <w:t>s</w:t>
      </w:r>
      <w:r w:rsidRPr="00AC38EA" w:rsidR="00605969">
        <w:rPr>
          <w:rFonts w:cs="Times New Roman"/>
          <w:szCs w:val="24"/>
        </w:rPr>
        <w:t xml:space="preserve"> </w:t>
      </w:r>
      <w:r w:rsidRPr="00AC38EA">
        <w:rPr>
          <w:rFonts w:cs="Times New Roman"/>
          <w:szCs w:val="24"/>
        </w:rPr>
        <w:t xml:space="preserve">that FirstEnergy identifies as overbroad and vague are INT-04-008 and RPD-04-008.   OCC asks in INT-04-008 for the </w:t>
      </w:r>
      <w:r w:rsidR="00A07F0A">
        <w:rPr>
          <w:rFonts w:cs="Times New Roman"/>
          <w:szCs w:val="24"/>
        </w:rPr>
        <w:t>FirstEnergy Utilities</w:t>
      </w:r>
      <w:r w:rsidRPr="00AC38EA">
        <w:rPr>
          <w:rFonts w:cs="Times New Roman"/>
          <w:szCs w:val="24"/>
        </w:rPr>
        <w:t xml:space="preserve"> to identify all travel and entertainment expenses in support of H.B. 6 activities.  FirstEnergy complains this is overbroad and vague because OCC asked for the travel and entertainment expenses “including but not limited to” H.B. 6-related activities.  OCC agrees to limit this request to travel and entertainment expenses related to H.B. 6-related activities.  With this limitation, FirstEnergy cannot reasonably object to this request because the PUCO’s entries opening the investigations and audits describe the scope of the cases as arising out of FirstEnergy’s H.B. 6-related activities.</w:t>
      </w:r>
    </w:p>
    <w:p w:rsidR="005E008A" w:rsidRPr="00AC38EA" w:rsidP="000171A1" w14:paraId="638BE118" w14:textId="385ABEE1">
      <w:pPr>
        <w:spacing w:after="0" w:line="480" w:lineRule="auto"/>
        <w:rPr>
          <w:rFonts w:cs="Times New Roman"/>
          <w:szCs w:val="24"/>
        </w:rPr>
      </w:pPr>
      <w:r w:rsidRPr="00AC38EA">
        <w:rPr>
          <w:rFonts w:cs="Times New Roman"/>
          <w:szCs w:val="24"/>
        </w:rPr>
        <w:tab/>
        <w:t xml:space="preserve">FirstEnergy makes the same argument </w:t>
      </w:r>
      <w:r w:rsidRPr="00AC38EA" w:rsidR="00B0327B">
        <w:rPr>
          <w:rFonts w:cs="Times New Roman"/>
          <w:szCs w:val="24"/>
        </w:rPr>
        <w:t xml:space="preserve">regarding RPD-04-008.  Here OCC asks for all invoices for lobbying services for </w:t>
      </w:r>
      <w:r w:rsidR="008E6ACF">
        <w:rPr>
          <w:rFonts w:cs="Times New Roman"/>
          <w:szCs w:val="24"/>
        </w:rPr>
        <w:t xml:space="preserve">the </w:t>
      </w:r>
      <w:r w:rsidR="00A07F0A">
        <w:rPr>
          <w:rFonts w:cs="Times New Roman"/>
          <w:szCs w:val="24"/>
        </w:rPr>
        <w:t>FirstEnergy Utilities</w:t>
      </w:r>
      <w:r w:rsidRPr="00AC38EA" w:rsidR="00B0327B">
        <w:rPr>
          <w:rFonts w:cs="Times New Roman"/>
          <w:szCs w:val="24"/>
        </w:rPr>
        <w:t xml:space="preserve"> or any of </w:t>
      </w:r>
      <w:r w:rsidR="008E6ACF">
        <w:rPr>
          <w:rFonts w:cs="Times New Roman"/>
          <w:szCs w:val="24"/>
        </w:rPr>
        <w:t>their</w:t>
      </w:r>
      <w:r w:rsidRPr="00AC38EA" w:rsidR="00B0327B">
        <w:rPr>
          <w:rFonts w:cs="Times New Roman"/>
          <w:szCs w:val="24"/>
        </w:rPr>
        <w:t xml:space="preserve"> affiliates from 2017 through the present.  OCC agrees to narrow the time frame for this request to the </w:t>
      </w:r>
      <w:r w:rsidR="002B2CCE">
        <w:rPr>
          <w:rFonts w:cs="Times New Roman"/>
          <w:szCs w:val="24"/>
        </w:rPr>
        <w:t>period</w:t>
      </w:r>
      <w:r w:rsidRPr="00AC38EA" w:rsidR="00B0327B">
        <w:rPr>
          <w:rFonts w:cs="Times New Roman"/>
          <w:szCs w:val="24"/>
        </w:rPr>
        <w:t xml:space="preserve"> specified in the PUCO’s Entry ordering the audit – November 1, 2016 through October 31, 2020.</w:t>
      </w:r>
      <w:r>
        <w:rPr>
          <w:rStyle w:val="FootnoteReference"/>
          <w:rFonts w:cs="Times New Roman"/>
          <w:szCs w:val="24"/>
        </w:rPr>
        <w:footnoteReference w:id="52"/>
      </w:r>
      <w:r w:rsidRPr="00AC38EA" w:rsidR="00140B49">
        <w:rPr>
          <w:rFonts w:cs="Times New Roman"/>
          <w:szCs w:val="24"/>
        </w:rPr>
        <w:t xml:space="preserve">  OCC is unwilling to narrow this request to H.B. 6-related activities because FirstEnergy consistently uses its own tortured definition of “H.B. 6-related activities” that has no bearing to reality.  For example, the criminal complaint centers on the $60 million in bribery payments to Generation Now,</w:t>
      </w:r>
      <w:r>
        <w:rPr>
          <w:rStyle w:val="FootnoteReference"/>
          <w:rFonts w:cs="Times New Roman"/>
          <w:szCs w:val="24"/>
        </w:rPr>
        <w:footnoteReference w:id="53"/>
      </w:r>
      <w:r w:rsidRPr="00AC38EA" w:rsidR="00140B49">
        <w:rPr>
          <w:rFonts w:cs="Times New Roman"/>
          <w:szCs w:val="24"/>
        </w:rPr>
        <w:t xml:space="preserve"> which pled guilty,</w:t>
      </w:r>
      <w:r>
        <w:rPr>
          <w:rStyle w:val="FootnoteReference"/>
          <w:rFonts w:cs="Times New Roman"/>
          <w:szCs w:val="24"/>
        </w:rPr>
        <w:footnoteReference w:id="54"/>
      </w:r>
      <w:r w:rsidRPr="00AC38EA" w:rsidR="00140B49">
        <w:rPr>
          <w:rFonts w:cs="Times New Roman"/>
          <w:szCs w:val="24"/>
        </w:rPr>
        <w:t xml:space="preserve"> but FirstEnergy still refuses to concede that its payments to Generation Now were a H.B. 6-related activity.</w:t>
      </w:r>
      <w:r>
        <w:rPr>
          <w:rStyle w:val="FootnoteReference"/>
          <w:rFonts w:cs="Times New Roman"/>
          <w:szCs w:val="24"/>
        </w:rPr>
        <w:footnoteReference w:id="55"/>
      </w:r>
      <w:r w:rsidRPr="00AC38EA" w:rsidR="00F535C6">
        <w:rPr>
          <w:rFonts w:cs="Times New Roman"/>
          <w:szCs w:val="24"/>
        </w:rPr>
        <w:t xml:space="preserve">  So in lieu of requiring FirstEnergy to produce all of its lobbying invoices, OCC agrees t</w:t>
      </w:r>
      <w:r w:rsidRPr="00AC38EA" w:rsidR="00533AA6">
        <w:rPr>
          <w:rFonts w:cs="Times New Roman"/>
          <w:szCs w:val="24"/>
        </w:rPr>
        <w:t>o</w:t>
      </w:r>
      <w:r w:rsidRPr="00AC38EA" w:rsidR="00F535C6">
        <w:rPr>
          <w:rFonts w:cs="Times New Roman"/>
          <w:szCs w:val="24"/>
        </w:rPr>
        <w:t xml:space="preserve"> </w:t>
      </w:r>
      <w:r w:rsidRPr="00AC38EA" w:rsidR="00533AA6">
        <w:rPr>
          <w:rFonts w:cs="Times New Roman"/>
          <w:szCs w:val="24"/>
        </w:rPr>
        <w:t xml:space="preserve">travel to FirstEnergy’s office to </w:t>
      </w:r>
      <w:r w:rsidRPr="00AC38EA" w:rsidR="00F535C6">
        <w:rPr>
          <w:rFonts w:cs="Times New Roman"/>
          <w:szCs w:val="24"/>
        </w:rPr>
        <w:t xml:space="preserve">inspect the records and identify certain ones for copying, </w:t>
      </w:r>
      <w:r w:rsidRPr="00AC38EA" w:rsidR="00AC10ED">
        <w:rPr>
          <w:rFonts w:cs="Times New Roman"/>
          <w:szCs w:val="24"/>
        </w:rPr>
        <w:t xml:space="preserve">under </w:t>
      </w:r>
      <w:r w:rsidRPr="00AC38EA" w:rsidR="00F535C6">
        <w:rPr>
          <w:rFonts w:cs="Times New Roman"/>
          <w:szCs w:val="24"/>
        </w:rPr>
        <w:t xml:space="preserve">O.A.C. </w:t>
      </w:r>
      <w:r w:rsidRPr="00AC38EA" w:rsidR="00533AA6">
        <w:rPr>
          <w:rFonts w:cs="Times New Roman"/>
          <w:szCs w:val="24"/>
        </w:rPr>
        <w:t>4901-1-20(A)(2).  This would lessen any burden on FirstEnergy and would work around FirstEnergy’s unfairly narrow definition of H.B. 6-related activities.</w:t>
      </w:r>
    </w:p>
    <w:p w:rsidR="004A336B" w:rsidRPr="00AC38EA" w:rsidP="00807F0D" w14:paraId="20AF7EAD" w14:textId="32FA224F">
      <w:pPr>
        <w:pStyle w:val="Heading1"/>
        <w:numPr>
          <w:ilvl w:val="0"/>
          <w:numId w:val="0"/>
        </w:numPr>
        <w:ind w:left="720" w:hanging="720"/>
        <w:rPr>
          <w:rStyle w:val="Heading1Char"/>
          <w:rFonts w:ascii="Times New Roman" w:hAnsi="Times New Roman" w:cs="Times New Roman"/>
          <w:szCs w:val="24"/>
        </w:rPr>
      </w:pPr>
      <w:bookmarkStart w:id="24" w:name="_Toc72747111"/>
      <w:bookmarkStart w:id="25" w:name="_Toc73086667"/>
      <w:bookmarkStart w:id="26" w:name="_Toc73106049"/>
      <w:r w:rsidRPr="00AC38EA">
        <w:rPr>
          <w:rFonts w:ascii="Times New Roman" w:hAnsi="Times New Roman" w:cs="Times New Roman"/>
          <w:szCs w:val="24"/>
        </w:rPr>
        <w:t>III.</w:t>
      </w:r>
      <w:r w:rsidRPr="00AC38EA">
        <w:rPr>
          <w:rFonts w:ascii="Times New Roman" w:hAnsi="Times New Roman" w:cs="Times New Roman"/>
          <w:szCs w:val="24"/>
        </w:rPr>
        <w:tab/>
      </w:r>
      <w:r w:rsidRPr="00A07F0A">
        <w:rPr>
          <w:rStyle w:val="Heading1Char"/>
          <w:rFonts w:ascii="Times New Roman" w:hAnsi="Times New Roman" w:cs="Times New Roman"/>
          <w:b/>
          <w:bCs/>
          <w:szCs w:val="24"/>
        </w:rPr>
        <w:t>CONCLUSION</w:t>
      </w:r>
      <w:bookmarkEnd w:id="24"/>
      <w:bookmarkEnd w:id="25"/>
      <w:bookmarkEnd w:id="26"/>
    </w:p>
    <w:p w:rsidR="00553BBF" w:rsidRPr="00AC38EA" w:rsidP="004E4CA6" w14:paraId="0286327E" w14:textId="62F9675E">
      <w:pPr>
        <w:pStyle w:val="Footer"/>
        <w:tabs>
          <w:tab w:val="clear" w:pos="4680"/>
          <w:tab w:val="clear" w:pos="9360"/>
        </w:tabs>
        <w:spacing w:line="480" w:lineRule="auto"/>
        <w:ind w:firstLine="720"/>
        <w:rPr>
          <w:rFonts w:cs="Times New Roman"/>
          <w:szCs w:val="24"/>
        </w:rPr>
      </w:pPr>
      <w:r w:rsidRPr="00AC38EA">
        <w:rPr>
          <w:rFonts w:cs="Times New Roman"/>
          <w:szCs w:val="24"/>
        </w:rPr>
        <w:t xml:space="preserve">Based on the foregoing, </w:t>
      </w:r>
      <w:r w:rsidRPr="00AC38EA" w:rsidR="005710E2">
        <w:rPr>
          <w:rFonts w:cs="Times New Roman"/>
          <w:szCs w:val="24"/>
        </w:rPr>
        <w:t>O</w:t>
      </w:r>
      <w:r w:rsidRPr="00AC38EA" w:rsidR="003F6BA3">
        <w:rPr>
          <w:rFonts w:cs="Times New Roman"/>
          <w:szCs w:val="24"/>
        </w:rPr>
        <w:t>CC</w:t>
      </w:r>
      <w:r w:rsidRPr="00AC38EA" w:rsidR="005710E2">
        <w:rPr>
          <w:rFonts w:cs="Times New Roman"/>
          <w:szCs w:val="24"/>
        </w:rPr>
        <w:t xml:space="preserve"> request</w:t>
      </w:r>
      <w:r w:rsidRPr="00AC38EA" w:rsidR="003F6BA3">
        <w:rPr>
          <w:rFonts w:cs="Times New Roman"/>
          <w:szCs w:val="24"/>
        </w:rPr>
        <w:t>s</w:t>
      </w:r>
      <w:r w:rsidRPr="00AC38EA" w:rsidR="005710E2">
        <w:rPr>
          <w:rFonts w:cs="Times New Roman"/>
          <w:szCs w:val="24"/>
        </w:rPr>
        <w:t xml:space="preserve"> that the PUCO</w:t>
      </w:r>
      <w:r w:rsidRPr="00AC38EA">
        <w:rPr>
          <w:rFonts w:cs="Times New Roman"/>
          <w:szCs w:val="24"/>
        </w:rPr>
        <w:t xml:space="preserve"> overrule the </w:t>
      </w:r>
      <w:r w:rsidR="00A07F0A">
        <w:rPr>
          <w:rFonts w:cs="Times New Roman"/>
          <w:szCs w:val="24"/>
        </w:rPr>
        <w:t>FirstEnergy Utilities</w:t>
      </w:r>
      <w:r w:rsidRPr="00AC38EA">
        <w:rPr>
          <w:rFonts w:cs="Times New Roman"/>
          <w:szCs w:val="24"/>
        </w:rPr>
        <w:t>’ Motion for Protective Order and</w:t>
      </w:r>
      <w:r w:rsidRPr="00AC38EA" w:rsidR="005710E2">
        <w:rPr>
          <w:rFonts w:cs="Times New Roman"/>
          <w:szCs w:val="24"/>
        </w:rPr>
        <w:t xml:space="preserve"> require </w:t>
      </w:r>
      <w:r w:rsidRPr="00AC38EA">
        <w:rPr>
          <w:rFonts w:cs="Times New Roman"/>
          <w:szCs w:val="24"/>
        </w:rPr>
        <w:t xml:space="preserve">the </w:t>
      </w:r>
      <w:r w:rsidR="00A07F0A">
        <w:rPr>
          <w:rFonts w:cs="Times New Roman"/>
          <w:szCs w:val="24"/>
        </w:rPr>
        <w:t>FirstEnergy Utilities</w:t>
      </w:r>
      <w:r w:rsidRPr="00AC38EA" w:rsidR="005710E2">
        <w:rPr>
          <w:rFonts w:cs="Times New Roman"/>
          <w:szCs w:val="24"/>
        </w:rPr>
        <w:t xml:space="preserve"> to fully respond to its discovery requests, post haste.  </w:t>
      </w:r>
    </w:p>
    <w:p w:rsidR="003B2546" w:rsidP="00991E02" w14:paraId="4EE493E7" w14:textId="77777777">
      <w:pPr>
        <w:pStyle w:val="Footer"/>
        <w:tabs>
          <w:tab w:val="left" w:pos="4320"/>
        </w:tabs>
        <w:spacing w:before="240"/>
        <w:rPr>
          <w:rFonts w:cs="Times New Roman"/>
          <w:szCs w:val="24"/>
        </w:rPr>
      </w:pPr>
      <w:r>
        <w:rPr>
          <w:rFonts w:cs="Times New Roman"/>
          <w:szCs w:val="24"/>
        </w:rPr>
        <w:tab/>
      </w:r>
    </w:p>
    <w:p w:rsidR="003B2546" w14:paraId="6957E462" w14:textId="77777777">
      <w:pPr>
        <w:rPr>
          <w:rFonts w:cs="Times New Roman"/>
          <w:szCs w:val="24"/>
        </w:rPr>
      </w:pPr>
      <w:r>
        <w:rPr>
          <w:rFonts w:cs="Times New Roman"/>
          <w:szCs w:val="24"/>
        </w:rPr>
        <w:br w:type="page"/>
      </w:r>
    </w:p>
    <w:p w:rsidR="00991E02" w:rsidRPr="00AC38EA" w:rsidP="00991E02" w14:paraId="0F27933A" w14:textId="6BE17544">
      <w:pPr>
        <w:pStyle w:val="Footer"/>
        <w:tabs>
          <w:tab w:val="left" w:pos="4320"/>
        </w:tabs>
        <w:spacing w:before="240"/>
        <w:rPr>
          <w:rFonts w:cs="Times New Roman"/>
          <w:szCs w:val="24"/>
        </w:rPr>
      </w:pPr>
      <w:r>
        <w:rPr>
          <w:rFonts w:cs="Times New Roman"/>
          <w:szCs w:val="24"/>
        </w:rPr>
        <w:tab/>
      </w:r>
      <w:r w:rsidRPr="00AC38EA">
        <w:rPr>
          <w:rFonts w:cs="Times New Roman"/>
          <w:szCs w:val="24"/>
        </w:rPr>
        <w:t>Respectfully submitted,</w:t>
      </w:r>
    </w:p>
    <w:p w:rsidR="00991E02" w:rsidRPr="00AC38EA" w:rsidP="00991E02" w14:paraId="7C47CB05" w14:textId="77777777">
      <w:pPr>
        <w:pStyle w:val="Footer"/>
        <w:tabs>
          <w:tab w:val="left" w:pos="4320"/>
        </w:tabs>
        <w:spacing w:before="240"/>
        <w:rPr>
          <w:rFonts w:cs="Times New Roman"/>
          <w:szCs w:val="24"/>
        </w:rPr>
      </w:pPr>
      <w:r w:rsidRPr="00AC38EA">
        <w:rPr>
          <w:rFonts w:cs="Times New Roman"/>
          <w:szCs w:val="24"/>
        </w:rPr>
        <w:tab/>
        <w:t>Bruce Weston (#0016973)</w:t>
      </w:r>
    </w:p>
    <w:p w:rsidR="00991E02" w:rsidRPr="00AC38EA" w:rsidP="00991E02" w14:paraId="69446C6F" w14:textId="77777777">
      <w:pPr>
        <w:tabs>
          <w:tab w:val="left" w:pos="4320"/>
        </w:tabs>
        <w:rPr>
          <w:rFonts w:cs="Times New Roman"/>
          <w:szCs w:val="24"/>
        </w:rPr>
      </w:pPr>
      <w:r w:rsidRPr="00AC38EA">
        <w:rPr>
          <w:rFonts w:cs="Times New Roman"/>
          <w:szCs w:val="24"/>
        </w:rPr>
        <w:tab/>
        <w:t>Ohio Consumers’ Counsel</w:t>
      </w:r>
    </w:p>
    <w:p w:rsidR="00991E02" w:rsidRPr="00AC38EA" w:rsidP="00991E02" w14:paraId="17EA43CA" w14:textId="01F6930B">
      <w:pPr>
        <w:tabs>
          <w:tab w:val="left" w:pos="4320"/>
        </w:tabs>
        <w:spacing w:after="0" w:line="240" w:lineRule="auto"/>
        <w:rPr>
          <w:rFonts w:cs="Times New Roman"/>
          <w:i/>
          <w:iCs/>
          <w:szCs w:val="24"/>
          <w:u w:val="single"/>
        </w:rPr>
      </w:pPr>
      <w:r w:rsidRPr="00AC38EA">
        <w:rPr>
          <w:rFonts w:cs="Times New Roman"/>
          <w:szCs w:val="24"/>
        </w:rPr>
        <w:tab/>
      </w:r>
      <w:r w:rsidRPr="00AC38EA">
        <w:rPr>
          <w:rFonts w:cs="Times New Roman"/>
          <w:i/>
          <w:iCs/>
          <w:szCs w:val="24"/>
          <w:u w:val="single"/>
        </w:rPr>
        <w:t>/s/ John Finnigan</w:t>
      </w:r>
    </w:p>
    <w:p w:rsidR="00991E02" w:rsidRPr="00AC38EA" w:rsidP="00991E02" w14:paraId="26E1AF0B" w14:textId="77777777">
      <w:pPr>
        <w:tabs>
          <w:tab w:val="left" w:pos="4320"/>
        </w:tabs>
        <w:spacing w:after="0" w:line="240" w:lineRule="auto"/>
        <w:rPr>
          <w:rFonts w:cs="Times New Roman"/>
          <w:szCs w:val="24"/>
        </w:rPr>
      </w:pPr>
      <w:r w:rsidRPr="00AC38EA">
        <w:rPr>
          <w:rFonts w:cs="Times New Roman"/>
          <w:szCs w:val="24"/>
        </w:rPr>
        <w:tab/>
        <w:t>Maureen R. Willis (#0020847)</w:t>
      </w:r>
    </w:p>
    <w:p w:rsidR="00991E02" w:rsidRPr="00AC38EA" w:rsidP="00991E02" w14:paraId="1137564F" w14:textId="7BAFA7C2">
      <w:pPr>
        <w:tabs>
          <w:tab w:val="left" w:pos="4320"/>
        </w:tabs>
        <w:spacing w:after="0" w:line="240" w:lineRule="auto"/>
        <w:rPr>
          <w:rFonts w:cs="Times New Roman"/>
          <w:szCs w:val="24"/>
        </w:rPr>
      </w:pPr>
      <w:r w:rsidRPr="00AC38EA">
        <w:rPr>
          <w:rFonts w:cs="Times New Roman"/>
          <w:szCs w:val="24"/>
        </w:rPr>
        <w:tab/>
        <w:t>Senior Counsel</w:t>
      </w:r>
    </w:p>
    <w:p w:rsidR="00991E02" w:rsidRPr="00AC38EA" w:rsidP="00991E02" w14:paraId="12F6BCFA" w14:textId="19D82A69">
      <w:pPr>
        <w:tabs>
          <w:tab w:val="left" w:pos="4320"/>
        </w:tabs>
        <w:spacing w:after="0" w:line="240" w:lineRule="auto"/>
        <w:rPr>
          <w:rFonts w:cs="Times New Roman"/>
          <w:szCs w:val="24"/>
        </w:rPr>
      </w:pPr>
      <w:r w:rsidRPr="00AC38EA">
        <w:rPr>
          <w:rFonts w:cs="Times New Roman"/>
          <w:szCs w:val="24"/>
        </w:rPr>
        <w:tab/>
        <w:t xml:space="preserve">Counsel of Record  </w:t>
      </w:r>
    </w:p>
    <w:p w:rsidR="00991E02" w:rsidRPr="00AC38EA" w:rsidP="00991E02" w14:paraId="3FD51A8D" w14:textId="58E4E488">
      <w:pPr>
        <w:tabs>
          <w:tab w:val="left" w:pos="4320"/>
        </w:tabs>
        <w:spacing w:after="0" w:line="240" w:lineRule="auto"/>
        <w:rPr>
          <w:rFonts w:cs="Times New Roman"/>
          <w:szCs w:val="24"/>
        </w:rPr>
      </w:pPr>
      <w:r w:rsidRPr="00AC38EA">
        <w:rPr>
          <w:rFonts w:cs="Times New Roman"/>
          <w:szCs w:val="24"/>
        </w:rPr>
        <w:tab/>
        <w:t>John Finnigan (#0018689)</w:t>
      </w:r>
    </w:p>
    <w:p w:rsidR="00991E02" w:rsidRPr="00AC38EA" w:rsidP="00991E02" w14:paraId="6D68762A" w14:textId="77777777">
      <w:pPr>
        <w:tabs>
          <w:tab w:val="left" w:pos="4320"/>
        </w:tabs>
        <w:spacing w:after="0" w:line="240" w:lineRule="auto"/>
        <w:rPr>
          <w:rFonts w:cs="Times New Roman"/>
          <w:szCs w:val="24"/>
        </w:rPr>
      </w:pPr>
      <w:r w:rsidRPr="00AC38EA">
        <w:rPr>
          <w:rFonts w:cs="Times New Roman"/>
          <w:szCs w:val="24"/>
        </w:rPr>
        <w:tab/>
        <w:t>Assistant Consumers’ Counsel</w:t>
      </w:r>
    </w:p>
    <w:p w:rsidR="00991E02" w:rsidRPr="00AC38EA" w:rsidP="00991E02" w14:paraId="5B8A10CF" w14:textId="77777777">
      <w:pPr>
        <w:spacing w:after="0" w:line="240" w:lineRule="auto"/>
        <w:rPr>
          <w:rFonts w:cs="Times New Roman"/>
          <w:szCs w:val="24"/>
        </w:rPr>
      </w:pPr>
      <w:r w:rsidRPr="00AC38EA">
        <w:rPr>
          <w:rFonts w:cs="Times New Roman"/>
          <w:szCs w:val="24"/>
        </w:rPr>
        <w:tab/>
      </w:r>
    </w:p>
    <w:p w:rsidR="00991E02" w:rsidRPr="00AC38EA" w:rsidP="00991E02" w14:paraId="5AB3B03C" w14:textId="77777777">
      <w:pPr>
        <w:spacing w:after="0" w:line="240" w:lineRule="auto"/>
        <w:ind w:left="4320"/>
        <w:rPr>
          <w:rFonts w:cs="Times New Roman"/>
          <w:b/>
          <w:bCs/>
          <w:szCs w:val="24"/>
        </w:rPr>
      </w:pPr>
      <w:r w:rsidRPr="00AC38EA">
        <w:rPr>
          <w:rFonts w:cs="Times New Roman"/>
          <w:b/>
          <w:bCs/>
          <w:szCs w:val="24"/>
        </w:rPr>
        <w:t>Office of the Ohio Consumers’ Counsel</w:t>
      </w:r>
    </w:p>
    <w:p w:rsidR="00991E02" w:rsidRPr="00AC38EA" w:rsidP="00991E02" w14:paraId="3A7CE23C" w14:textId="77777777">
      <w:pPr>
        <w:spacing w:after="0" w:line="240" w:lineRule="auto"/>
        <w:rPr>
          <w:rFonts w:cs="Times New Roman"/>
          <w:bCs/>
          <w:szCs w:val="24"/>
        </w:rPr>
      </w:pP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bCs/>
          <w:szCs w:val="24"/>
        </w:rPr>
        <w:t>Columbus, Ohio 43215</w:t>
      </w:r>
    </w:p>
    <w:p w:rsidR="00991E02" w:rsidRPr="00AC38EA" w:rsidP="00991E02" w14:paraId="63FFFBF9" w14:textId="77777777">
      <w:pPr>
        <w:autoSpaceDE w:val="0"/>
        <w:autoSpaceDN w:val="0"/>
        <w:adjustRightInd w:val="0"/>
        <w:spacing w:after="0" w:line="240" w:lineRule="auto"/>
        <w:ind w:left="3600" w:firstLine="720"/>
        <w:rPr>
          <w:rFonts w:cs="Times New Roman"/>
          <w:szCs w:val="24"/>
        </w:rPr>
      </w:pPr>
      <w:r w:rsidRPr="00AC38EA">
        <w:rPr>
          <w:rFonts w:cs="Times New Roman"/>
          <w:szCs w:val="24"/>
        </w:rPr>
        <w:t xml:space="preserve">Telephone: (614) 466-9567 (Willis) </w:t>
      </w:r>
    </w:p>
    <w:p w:rsidR="00991E02" w:rsidRPr="00AC38EA" w:rsidP="00991E02" w14:paraId="38C0B1C4" w14:textId="77777777">
      <w:pPr>
        <w:autoSpaceDE w:val="0"/>
        <w:autoSpaceDN w:val="0"/>
        <w:adjustRightInd w:val="0"/>
        <w:spacing w:after="0" w:line="240" w:lineRule="auto"/>
        <w:ind w:left="3600" w:firstLine="720"/>
        <w:rPr>
          <w:rFonts w:cs="Times New Roman"/>
          <w:szCs w:val="24"/>
        </w:rPr>
      </w:pPr>
      <w:r w:rsidRPr="00AC38EA">
        <w:rPr>
          <w:rFonts w:cs="Times New Roman"/>
          <w:szCs w:val="24"/>
        </w:rPr>
        <w:t>Telephone: (614) 466-9585 (Finnigan)</w:t>
      </w:r>
    </w:p>
    <w:p w:rsidR="00991E02" w:rsidRPr="00AC38EA" w:rsidP="00991E02" w14:paraId="537087D7" w14:textId="77777777">
      <w:pPr>
        <w:autoSpaceDE w:val="0"/>
        <w:autoSpaceDN w:val="0"/>
        <w:adjustRightInd w:val="0"/>
        <w:spacing w:after="0" w:line="240" w:lineRule="auto"/>
        <w:ind w:left="3600" w:firstLine="720"/>
        <w:rPr>
          <w:rFonts w:cs="Times New Roman"/>
          <w:szCs w:val="24"/>
        </w:rPr>
      </w:pPr>
      <w:hyperlink r:id="rId6" w:history="1">
        <w:r w:rsidRPr="00AC38EA" w:rsidR="009A2D12">
          <w:rPr>
            <w:rStyle w:val="Hyperlink"/>
            <w:rFonts w:cs="Times New Roman"/>
            <w:szCs w:val="24"/>
          </w:rPr>
          <w:t>Maureen.willis@occ.ohio.gov</w:t>
        </w:r>
      </w:hyperlink>
    </w:p>
    <w:p w:rsidR="00991E02" w:rsidRPr="00AC38EA" w:rsidP="00991E02" w14:paraId="7BF2D7E2" w14:textId="77777777">
      <w:pPr>
        <w:spacing w:after="0" w:line="240" w:lineRule="auto"/>
        <w:rPr>
          <w:rFonts w:cs="Times New Roman"/>
          <w:szCs w:val="24"/>
        </w:rPr>
      </w:pP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r>
      <w:hyperlink r:id="rId7" w:history="1">
        <w:r w:rsidRPr="00AC38EA">
          <w:rPr>
            <w:rStyle w:val="Hyperlink"/>
            <w:rFonts w:cs="Times New Roman"/>
            <w:szCs w:val="24"/>
          </w:rPr>
          <w:t>John.finnigan@occ.ohio.gov</w:t>
        </w:r>
      </w:hyperlink>
    </w:p>
    <w:p w:rsidR="00991E02" w:rsidRPr="00AC38EA" w:rsidP="00991E02" w14:paraId="2E50F6AF" w14:textId="77777777">
      <w:pPr>
        <w:spacing w:after="0" w:line="240" w:lineRule="auto"/>
        <w:rPr>
          <w:rFonts w:cs="Times New Roman"/>
          <w:szCs w:val="24"/>
        </w:rPr>
      </w:pP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t>(willing to accept service by e-mail)</w:t>
      </w:r>
    </w:p>
    <w:p w:rsidR="00844EB5" w:rsidRPr="00AC38EA" w:rsidP="00FD2B5C" w14:paraId="05FA0624" w14:textId="77777777">
      <w:pPr>
        <w:spacing w:after="0"/>
        <w:jc w:val="center"/>
        <w:rPr>
          <w:rFonts w:cs="Times New Roman"/>
          <w:b/>
          <w:szCs w:val="24"/>
        </w:rPr>
        <w:sectPr w:rsidSect="002E7599">
          <w:pgSz w:w="12240" w:h="15840"/>
          <w:pgMar w:top="1440" w:right="1440" w:bottom="1440" w:left="1440" w:header="720" w:footer="720" w:gutter="0"/>
          <w:pgNumType w:start="1"/>
          <w:cols w:space="720"/>
          <w:docGrid w:linePitch="360"/>
        </w:sectPr>
      </w:pPr>
    </w:p>
    <w:p w:rsidR="004E0143" w:rsidRPr="00AC38EA" w:rsidP="004E0143" w14:paraId="2CEC3CFF" w14:textId="77777777">
      <w:pPr>
        <w:jc w:val="center"/>
        <w:rPr>
          <w:rFonts w:cs="Times New Roman"/>
          <w:b/>
          <w:bCs/>
          <w:szCs w:val="24"/>
          <w:u w:val="single"/>
        </w:rPr>
      </w:pPr>
      <w:r w:rsidRPr="00AC38EA">
        <w:rPr>
          <w:rFonts w:cs="Times New Roman"/>
          <w:b/>
          <w:szCs w:val="24"/>
          <w:u w:val="single"/>
        </w:rPr>
        <w:t>CERTIFICATE OF SERVICE</w:t>
      </w:r>
    </w:p>
    <w:p w:rsidR="004E0143" w:rsidRPr="00AC38EA" w:rsidP="004E0143" w14:paraId="02D02620" w14:textId="21EE8482">
      <w:pPr>
        <w:spacing w:line="480" w:lineRule="auto"/>
        <w:rPr>
          <w:rFonts w:cs="Times New Roman"/>
          <w:b/>
          <w:bCs/>
          <w:szCs w:val="24"/>
        </w:rPr>
      </w:pPr>
      <w:r w:rsidRPr="00AC38EA">
        <w:rPr>
          <w:rFonts w:cs="Times New Roman"/>
          <w:szCs w:val="24"/>
        </w:rPr>
        <w:tab/>
        <w:t>I hereby certify that a copy of this M</w:t>
      </w:r>
      <w:r w:rsidRPr="00AC38EA" w:rsidR="004B7E25">
        <w:rPr>
          <w:rFonts w:cs="Times New Roman"/>
          <w:szCs w:val="24"/>
        </w:rPr>
        <w:t>emorandum Contra</w:t>
      </w:r>
      <w:r w:rsidRPr="00AC38EA">
        <w:rPr>
          <w:rFonts w:cs="Times New Roman"/>
          <w:szCs w:val="24"/>
        </w:rPr>
        <w:t xml:space="preserve"> was served on the persons stated below via electric transmission this </w:t>
      </w:r>
      <w:r w:rsidR="0001579C">
        <w:rPr>
          <w:rFonts w:cs="Times New Roman"/>
          <w:szCs w:val="24"/>
        </w:rPr>
        <w:t>28th</w:t>
      </w:r>
      <w:r w:rsidRPr="00AC38EA">
        <w:rPr>
          <w:rFonts w:cs="Times New Roman"/>
          <w:szCs w:val="24"/>
        </w:rPr>
        <w:t xml:space="preserve"> day of </w:t>
      </w:r>
      <w:r w:rsidRPr="00AC38EA" w:rsidR="004B7E25">
        <w:rPr>
          <w:rFonts w:cs="Times New Roman"/>
          <w:szCs w:val="24"/>
        </w:rPr>
        <w:t>May</w:t>
      </w:r>
      <w:r w:rsidRPr="00AC38EA">
        <w:rPr>
          <w:rFonts w:cs="Times New Roman"/>
          <w:szCs w:val="24"/>
        </w:rPr>
        <w:t xml:space="preserve"> 2021.</w:t>
      </w:r>
    </w:p>
    <w:p w:rsidR="004E0143" w:rsidRPr="00AC38EA" w:rsidP="004E0143" w14:paraId="065350DA" w14:textId="77777777">
      <w:pPr>
        <w:rPr>
          <w:rFonts w:cs="Times New Roman"/>
          <w:b/>
          <w:bCs/>
          <w:szCs w:val="24"/>
        </w:rPr>
      </w:pPr>
      <w:bookmarkStart w:id="27" w:name="_Hlk60904023"/>
    </w:p>
    <w:p w:rsidR="004E0143" w:rsidRPr="00AC38EA" w:rsidP="004E0143" w14:paraId="455169A7" w14:textId="77777777">
      <w:pPr>
        <w:spacing w:after="0" w:line="240" w:lineRule="auto"/>
        <w:rPr>
          <w:rFonts w:cs="Times New Roman"/>
          <w:b/>
          <w:bCs/>
          <w:i/>
          <w:iCs/>
          <w:szCs w:val="24"/>
          <w:u w:val="single"/>
        </w:rPr>
      </w:pP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i/>
          <w:iCs/>
          <w:szCs w:val="24"/>
          <w:u w:val="single"/>
        </w:rPr>
        <w:t>/s/ John Finnigan</w:t>
      </w:r>
    </w:p>
    <w:p w:rsidR="004E0143" w:rsidRPr="00AC38EA" w:rsidP="004E0143" w14:paraId="5F4F0DD0" w14:textId="77777777">
      <w:pPr>
        <w:spacing w:after="0" w:line="240" w:lineRule="auto"/>
        <w:rPr>
          <w:rFonts w:cs="Times New Roman"/>
          <w:b/>
          <w:bCs/>
          <w:szCs w:val="24"/>
        </w:rPr>
      </w:pP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t>John Finnigan (0018689)</w:t>
      </w:r>
    </w:p>
    <w:p w:rsidR="004E0143" w:rsidRPr="00AC38EA" w:rsidP="004E0143" w14:paraId="76D1D387" w14:textId="77777777">
      <w:pPr>
        <w:spacing w:after="0" w:line="240" w:lineRule="auto"/>
        <w:rPr>
          <w:rFonts w:cs="Times New Roman"/>
          <w:b/>
          <w:bCs/>
          <w:szCs w:val="24"/>
        </w:rPr>
      </w:pP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r>
      <w:r w:rsidRPr="00AC38EA">
        <w:rPr>
          <w:rFonts w:cs="Times New Roman"/>
          <w:szCs w:val="24"/>
        </w:rPr>
        <w:tab/>
        <w:t>Assistant Consumers’ Counsel</w:t>
      </w:r>
    </w:p>
    <w:bookmarkEnd w:id="27"/>
    <w:p w:rsidR="004E0143" w:rsidRPr="00AC38EA" w:rsidP="004E0143" w14:paraId="6AACE29E" w14:textId="77777777">
      <w:pPr>
        <w:rPr>
          <w:rFonts w:cs="Times New Roman"/>
          <w:b/>
          <w:bCs/>
          <w:szCs w:val="24"/>
        </w:rPr>
      </w:pPr>
    </w:p>
    <w:p w:rsidR="004E0143" w:rsidRPr="00AC38EA" w:rsidP="004E0143" w14:paraId="057EBBEA" w14:textId="77777777">
      <w:pPr>
        <w:rPr>
          <w:rFonts w:cs="Times New Roman"/>
          <w:b/>
          <w:bCs/>
          <w:szCs w:val="24"/>
        </w:rPr>
      </w:pPr>
      <w:r w:rsidRPr="00AC38EA">
        <w:rPr>
          <w:rFonts w:cs="Times New Roman"/>
          <w:szCs w:val="24"/>
        </w:rPr>
        <w:t>The PUCO’s e-filing system will electronically serve notice of the filing of this document on the following parties:</w:t>
      </w:r>
    </w:p>
    <w:p w:rsidR="004E0143" w:rsidRPr="00AC38EA" w:rsidP="004E0143" w14:paraId="69FBC4CA" w14:textId="77777777">
      <w:pPr>
        <w:rPr>
          <w:rFonts w:cs="Times New Roman"/>
          <w:b/>
          <w:bCs/>
          <w:szCs w:val="24"/>
        </w:rPr>
      </w:pPr>
    </w:p>
    <w:p w:rsidR="004E0143" w:rsidRPr="00AC38EA" w:rsidP="004E0143" w14:paraId="7AB96FD7" w14:textId="1B014C81">
      <w:pPr>
        <w:pStyle w:val="CommentText"/>
        <w:jc w:val="center"/>
        <w:rPr>
          <w:b/>
          <w:bCs/>
          <w:u w:val="single"/>
        </w:rPr>
      </w:pPr>
      <w:r w:rsidRPr="00AC38EA">
        <w:rPr>
          <w:b/>
          <w:bCs/>
          <w:u w:val="single"/>
        </w:rPr>
        <w:t>SERVICE LIST</w:t>
      </w:r>
    </w:p>
    <w:p w:rsidR="00991E02" w:rsidRPr="00AC38EA" w:rsidP="00991E02" w14:paraId="1B221C58" w14:textId="77777777">
      <w:pPr>
        <w:pStyle w:val="CommentText"/>
        <w:jc w:val="center"/>
        <w:rPr>
          <w:b/>
          <w:u w:val="single"/>
        </w:rPr>
      </w:pPr>
      <w:bookmarkStart w:id="28" w:name="_Hlk73086069"/>
    </w:p>
    <w:tbl>
      <w:tblPr>
        <w:tblW w:w="0" w:type="auto"/>
        <w:tblLook w:val="04A0"/>
      </w:tblPr>
      <w:tblGrid>
        <w:gridCol w:w="4428"/>
        <w:gridCol w:w="4428"/>
      </w:tblGrid>
      <w:tr w14:paraId="2BAE1C3E" w14:textId="77777777" w:rsidTr="00764490">
        <w:tblPrEx>
          <w:tblW w:w="0" w:type="auto"/>
          <w:tblLook w:val="04A0"/>
        </w:tblPrEx>
        <w:tc>
          <w:tcPr>
            <w:tcW w:w="4428" w:type="dxa"/>
          </w:tcPr>
          <w:p w:rsidR="00991E02" w:rsidRPr="00AC38EA" w:rsidP="00991E02" w14:paraId="06A61944" w14:textId="0E5B77C3">
            <w:pPr>
              <w:autoSpaceDE w:val="0"/>
              <w:autoSpaceDN w:val="0"/>
              <w:adjustRightInd w:val="0"/>
              <w:spacing w:after="0" w:line="240" w:lineRule="auto"/>
              <w:rPr>
                <w:rStyle w:val="Hyperlink"/>
                <w:rFonts w:eastAsia="Calibri" w:cs="Times New Roman"/>
                <w:bCs/>
                <w:szCs w:val="24"/>
              </w:rPr>
            </w:pPr>
            <w:hyperlink r:id="rId12" w:history="1">
              <w:r w:rsidRPr="00A9212D" w:rsidR="003B2546">
                <w:rPr>
                  <w:rStyle w:val="Hyperlink"/>
                  <w:rFonts w:eastAsia="Calibri" w:cs="Times New Roman"/>
                  <w:bCs/>
                  <w:szCs w:val="24"/>
                </w:rPr>
                <w:t>thomas.lindgren@ohioAGO.gov</w:t>
              </w:r>
            </w:hyperlink>
          </w:p>
          <w:p w:rsidR="00991E02" w:rsidRPr="00AC38EA" w:rsidP="00991E02" w14:paraId="2D23E925" w14:textId="6CF68566">
            <w:pPr>
              <w:autoSpaceDE w:val="0"/>
              <w:autoSpaceDN w:val="0"/>
              <w:adjustRightInd w:val="0"/>
              <w:spacing w:after="0" w:line="240" w:lineRule="auto"/>
              <w:rPr>
                <w:rStyle w:val="Hyperlink"/>
                <w:rFonts w:eastAsia="Calibri" w:cs="Times New Roman"/>
                <w:bCs/>
                <w:szCs w:val="24"/>
              </w:rPr>
            </w:pPr>
            <w:hyperlink r:id="rId13" w:history="1">
              <w:r w:rsidRPr="00A9212D" w:rsidR="003B2546">
                <w:rPr>
                  <w:rStyle w:val="Hyperlink"/>
                  <w:rFonts w:eastAsia="Calibri" w:cs="Times New Roman"/>
                  <w:bCs/>
                  <w:szCs w:val="24"/>
                </w:rPr>
                <w:t>werner.margard@ohioAGO.gov</w:t>
              </w:r>
            </w:hyperlink>
          </w:p>
          <w:p w:rsidR="00991E02" w:rsidRPr="00AC38EA" w:rsidP="00991E02" w14:paraId="55B4070F" w14:textId="77777777">
            <w:pPr>
              <w:autoSpaceDE w:val="0"/>
              <w:autoSpaceDN w:val="0"/>
              <w:adjustRightInd w:val="0"/>
              <w:spacing w:after="0" w:line="240" w:lineRule="auto"/>
              <w:rPr>
                <w:rFonts w:cs="Times New Roman"/>
                <w:szCs w:val="24"/>
              </w:rPr>
            </w:pPr>
            <w:hyperlink r:id="rId14" w:history="1">
              <w:r w:rsidRPr="00AC38EA" w:rsidR="009A2D12">
                <w:rPr>
                  <w:rStyle w:val="Hyperlink"/>
                  <w:rFonts w:eastAsia="Calibri" w:cs="Times New Roman"/>
                  <w:szCs w:val="24"/>
                </w:rPr>
                <w:t>joliker@igsenergy.com</w:t>
              </w:r>
            </w:hyperlink>
          </w:p>
          <w:p w:rsidR="00991E02" w:rsidRPr="00AC38EA" w:rsidP="00991E02" w14:paraId="767FA363" w14:textId="77777777">
            <w:pPr>
              <w:autoSpaceDE w:val="0"/>
              <w:autoSpaceDN w:val="0"/>
              <w:adjustRightInd w:val="0"/>
              <w:spacing w:after="0" w:line="240" w:lineRule="auto"/>
              <w:rPr>
                <w:rStyle w:val="Hyperlink"/>
                <w:rFonts w:eastAsia="Calibri" w:cs="Times New Roman"/>
                <w:szCs w:val="24"/>
              </w:rPr>
            </w:pPr>
            <w:hyperlink r:id="rId15" w:history="1">
              <w:r w:rsidRPr="00AC38EA" w:rsidR="009A2D12">
                <w:rPr>
                  <w:rStyle w:val="Hyperlink"/>
                  <w:rFonts w:eastAsia="Calibri" w:cs="Times New Roman"/>
                  <w:szCs w:val="24"/>
                </w:rPr>
                <w:t>Mnugent@igsenergy.com</w:t>
              </w:r>
            </w:hyperlink>
          </w:p>
          <w:p w:rsidR="00991E02" w:rsidRPr="00AC38EA" w:rsidP="00991E02" w14:paraId="19ABFE1C" w14:textId="77777777">
            <w:pPr>
              <w:autoSpaceDE w:val="0"/>
              <w:autoSpaceDN w:val="0"/>
              <w:adjustRightInd w:val="0"/>
              <w:spacing w:after="0" w:line="240" w:lineRule="auto"/>
              <w:rPr>
                <w:rStyle w:val="Hyperlink"/>
                <w:rFonts w:cs="Times New Roman"/>
                <w:szCs w:val="24"/>
              </w:rPr>
            </w:pPr>
            <w:hyperlink r:id="rId16" w:history="1">
              <w:r w:rsidRPr="00AC38EA" w:rsidR="009A2D12">
                <w:rPr>
                  <w:rStyle w:val="Hyperlink"/>
                  <w:rFonts w:cs="Times New Roman"/>
                  <w:szCs w:val="24"/>
                </w:rPr>
                <w:t>bethany.allen@igs.com</w:t>
              </w:r>
            </w:hyperlink>
          </w:p>
          <w:p w:rsidR="00991E02" w:rsidRPr="00AC38EA" w:rsidP="00991E02" w14:paraId="7640366F" w14:textId="77777777">
            <w:pPr>
              <w:autoSpaceDE w:val="0"/>
              <w:autoSpaceDN w:val="0"/>
              <w:adjustRightInd w:val="0"/>
              <w:spacing w:after="0" w:line="240" w:lineRule="auto"/>
              <w:rPr>
                <w:rFonts w:cs="Times New Roman"/>
                <w:color w:val="0000FF"/>
                <w:szCs w:val="24"/>
              </w:rPr>
            </w:pPr>
            <w:hyperlink r:id="rId17" w:history="1">
              <w:r w:rsidRPr="00AC38EA" w:rsidR="009A2D12">
                <w:rPr>
                  <w:rStyle w:val="Hyperlink"/>
                  <w:rFonts w:cs="Times New Roman"/>
                  <w:szCs w:val="24"/>
                </w:rPr>
                <w:t>evan.betterton@igs.com</w:t>
              </w:r>
            </w:hyperlink>
          </w:p>
          <w:p w:rsidR="00991E02" w:rsidRPr="00AC38EA" w:rsidP="00991E02" w14:paraId="18753E5B" w14:textId="77777777">
            <w:pPr>
              <w:autoSpaceDE w:val="0"/>
              <w:autoSpaceDN w:val="0"/>
              <w:adjustRightInd w:val="0"/>
              <w:spacing w:after="0" w:line="240" w:lineRule="auto"/>
              <w:rPr>
                <w:rFonts w:cs="Times New Roman"/>
                <w:color w:val="0000FF"/>
                <w:szCs w:val="24"/>
              </w:rPr>
            </w:pPr>
            <w:hyperlink r:id="rId18" w:history="1">
              <w:r w:rsidRPr="00AC38EA" w:rsidR="009A2D12">
                <w:rPr>
                  <w:rStyle w:val="Hyperlink"/>
                  <w:rFonts w:cs="Times New Roman"/>
                  <w:szCs w:val="24"/>
                </w:rPr>
                <w:t>gkrassen@bricker.com</w:t>
              </w:r>
            </w:hyperlink>
          </w:p>
          <w:p w:rsidR="00991E02" w:rsidRPr="00AC38EA" w:rsidP="00991E02" w14:paraId="64E5F09D" w14:textId="77777777">
            <w:pPr>
              <w:autoSpaceDE w:val="0"/>
              <w:autoSpaceDN w:val="0"/>
              <w:adjustRightInd w:val="0"/>
              <w:spacing w:after="0" w:line="240" w:lineRule="auto"/>
              <w:rPr>
                <w:rStyle w:val="Hyperlink"/>
                <w:rFonts w:cs="Times New Roman"/>
                <w:szCs w:val="24"/>
              </w:rPr>
            </w:pPr>
            <w:hyperlink r:id="rId19" w:history="1">
              <w:r w:rsidRPr="00AC38EA" w:rsidR="009A2D12">
                <w:rPr>
                  <w:rStyle w:val="Hyperlink"/>
                  <w:rFonts w:cs="Times New Roman"/>
                  <w:szCs w:val="24"/>
                </w:rPr>
                <w:t>dstinson@bricker.com</w:t>
              </w:r>
            </w:hyperlink>
          </w:p>
          <w:p w:rsidR="00991E02" w:rsidRPr="00AC38EA" w:rsidP="00991E02" w14:paraId="644CA2C8" w14:textId="77777777">
            <w:pPr>
              <w:autoSpaceDE w:val="0"/>
              <w:autoSpaceDN w:val="0"/>
              <w:adjustRightInd w:val="0"/>
              <w:spacing w:after="0" w:line="240" w:lineRule="auto"/>
              <w:rPr>
                <w:rFonts w:cs="Times New Roman"/>
                <w:color w:val="0000FF"/>
                <w:szCs w:val="24"/>
              </w:rPr>
            </w:pPr>
            <w:hyperlink r:id="rId20" w:history="1">
              <w:r w:rsidRPr="00AC38EA" w:rsidR="009A2D12">
                <w:rPr>
                  <w:rStyle w:val="Hyperlink"/>
                  <w:rFonts w:cs="Times New Roman"/>
                  <w:szCs w:val="24"/>
                </w:rPr>
                <w:t>whitt@whitt-sturtevant.com</w:t>
              </w:r>
            </w:hyperlink>
          </w:p>
          <w:p w:rsidR="00991E02" w:rsidRPr="00AC38EA" w:rsidP="00991E02" w14:paraId="6B0DB423" w14:textId="77777777">
            <w:pPr>
              <w:autoSpaceDE w:val="0"/>
              <w:autoSpaceDN w:val="0"/>
              <w:adjustRightInd w:val="0"/>
              <w:spacing w:after="0" w:line="240" w:lineRule="auto"/>
              <w:rPr>
                <w:rStyle w:val="Hyperlink"/>
                <w:rFonts w:cs="Times New Roman"/>
                <w:szCs w:val="24"/>
              </w:rPr>
            </w:pPr>
            <w:hyperlink r:id="rId21" w:history="1">
              <w:r w:rsidRPr="00AC38EA" w:rsidR="009A2D12">
                <w:rPr>
                  <w:rStyle w:val="Hyperlink"/>
                  <w:rFonts w:cs="Times New Roman"/>
                  <w:szCs w:val="24"/>
                </w:rPr>
                <w:t>fykes@whitt-sturtevant.com</w:t>
              </w:r>
            </w:hyperlink>
          </w:p>
          <w:p w:rsidR="00991E02" w:rsidRPr="00AC38EA" w:rsidP="00991E02" w14:paraId="07C4889F" w14:textId="77777777">
            <w:pPr>
              <w:autoSpaceDE w:val="0"/>
              <w:autoSpaceDN w:val="0"/>
              <w:adjustRightInd w:val="0"/>
              <w:spacing w:after="0" w:line="240" w:lineRule="auto"/>
              <w:rPr>
                <w:rStyle w:val="Hyperlink"/>
                <w:rFonts w:cs="Times New Roman"/>
                <w:szCs w:val="24"/>
              </w:rPr>
            </w:pPr>
            <w:hyperlink r:id="rId22" w:history="1">
              <w:r w:rsidRPr="00AC38EA" w:rsidR="009A2D12">
                <w:rPr>
                  <w:rStyle w:val="Hyperlink"/>
                  <w:rFonts w:cs="Times New Roman"/>
                  <w:szCs w:val="24"/>
                </w:rPr>
                <w:t>ccox@elpc.org</w:t>
              </w:r>
            </w:hyperlink>
          </w:p>
          <w:p w:rsidR="00991E02" w:rsidRPr="005D1155" w:rsidP="00991E02" w14:paraId="19B9F070" w14:textId="77777777">
            <w:pPr>
              <w:pStyle w:val="BodyText"/>
              <w:spacing w:after="0"/>
              <w:rPr>
                <w:sz w:val="24"/>
                <w:szCs w:val="24"/>
              </w:rPr>
            </w:pPr>
            <w:hyperlink r:id="rId23" w:history="1">
              <w:r w:rsidRPr="005D1155" w:rsidR="009A2D12">
                <w:rPr>
                  <w:rStyle w:val="Hyperlink"/>
                  <w:sz w:val="24"/>
                  <w:szCs w:val="24"/>
                </w:rPr>
                <w:t>mfleisher@dickinsonwright.com</w:t>
              </w:r>
            </w:hyperlink>
          </w:p>
          <w:p w:rsidR="00991E02" w:rsidRPr="005D1155" w:rsidP="00991E02" w14:paraId="0D49C6C4" w14:textId="281825B5">
            <w:pPr>
              <w:pStyle w:val="BodyText"/>
              <w:spacing w:after="0"/>
              <w:rPr>
                <w:rStyle w:val="Hyperlink"/>
                <w:sz w:val="24"/>
                <w:szCs w:val="24"/>
              </w:rPr>
            </w:pPr>
            <w:hyperlink r:id="rId24" w:history="1">
              <w:r w:rsidRPr="005D1155" w:rsidR="009A2D12">
                <w:rPr>
                  <w:rStyle w:val="Hyperlink"/>
                  <w:sz w:val="24"/>
                  <w:szCs w:val="24"/>
                </w:rPr>
                <w:t>mwise@mcdonaldhopkins.com</w:t>
              </w:r>
            </w:hyperlink>
          </w:p>
          <w:p w:rsidR="005D1155" w:rsidRPr="00AC38EA" w:rsidP="005D1155" w14:paraId="783BFB87" w14:textId="77777777">
            <w:pPr>
              <w:pStyle w:val="BodyText"/>
              <w:spacing w:after="0"/>
              <w:rPr>
                <w:color w:val="0000FF"/>
                <w:sz w:val="24"/>
                <w:szCs w:val="24"/>
              </w:rPr>
            </w:pPr>
          </w:p>
          <w:p w:rsidR="00991E02" w:rsidRPr="00AC38EA" w:rsidP="00991E02" w14:paraId="188FA068" w14:textId="77777777">
            <w:pPr>
              <w:pStyle w:val="BodyText"/>
              <w:suppressLineNumbers/>
              <w:spacing w:after="0"/>
              <w:rPr>
                <w:sz w:val="24"/>
                <w:szCs w:val="24"/>
              </w:rPr>
            </w:pPr>
            <w:r w:rsidRPr="00AC38EA">
              <w:rPr>
                <w:sz w:val="24"/>
                <w:szCs w:val="24"/>
              </w:rPr>
              <w:t>Attorney Examiner:</w:t>
            </w:r>
          </w:p>
          <w:p w:rsidR="00991E02" w:rsidRPr="00AC38EA" w:rsidP="00991E02" w14:paraId="59096AFB" w14:textId="77777777">
            <w:pPr>
              <w:pStyle w:val="BodyText"/>
              <w:suppressLineNumbers/>
              <w:spacing w:after="0"/>
              <w:rPr>
                <w:rStyle w:val="Hyperlink"/>
                <w:sz w:val="24"/>
                <w:szCs w:val="24"/>
              </w:rPr>
            </w:pPr>
            <w:hyperlink r:id="rId25" w:history="1">
              <w:r w:rsidRPr="00AC38EA" w:rsidR="009A2D12">
                <w:rPr>
                  <w:rStyle w:val="Hyperlink"/>
                  <w:sz w:val="24"/>
                  <w:szCs w:val="24"/>
                </w:rPr>
                <w:t>Gregory.price@puco.ohio.gov</w:t>
              </w:r>
            </w:hyperlink>
          </w:p>
          <w:p w:rsidR="00991E02" w:rsidP="00991E02" w14:paraId="5959F7AC" w14:textId="76D68EE5">
            <w:pPr>
              <w:pStyle w:val="BodyText"/>
              <w:suppressLineNumbers/>
              <w:spacing w:after="0"/>
              <w:rPr>
                <w:rStyle w:val="Hyperlink"/>
                <w:sz w:val="24"/>
                <w:szCs w:val="24"/>
              </w:rPr>
            </w:pPr>
            <w:hyperlink r:id="rId26" w:history="1">
              <w:r w:rsidRPr="00AC38EA" w:rsidR="009A2D12">
                <w:rPr>
                  <w:rStyle w:val="Hyperlink"/>
                  <w:sz w:val="24"/>
                  <w:szCs w:val="24"/>
                </w:rPr>
                <w:t>Megan.addison@puco.ohio.gov</w:t>
              </w:r>
            </w:hyperlink>
          </w:p>
          <w:p w:rsidR="00991E02" w:rsidRPr="00AC38EA" w:rsidP="00E53580" w14:paraId="12D90E8E" w14:textId="1F4DDA01">
            <w:pPr>
              <w:pStyle w:val="BodyText"/>
              <w:suppressLineNumbers/>
              <w:spacing w:after="0"/>
              <w:rPr>
                <w:bCs/>
                <w:szCs w:val="24"/>
              </w:rPr>
            </w:pPr>
            <w:r>
              <w:rPr>
                <w:rStyle w:val="Hyperlink"/>
                <w:sz w:val="24"/>
                <w:szCs w:val="24"/>
              </w:rPr>
              <w:t>Jacqueline.st.john.puco.ohio.gov</w:t>
            </w:r>
          </w:p>
        </w:tc>
        <w:tc>
          <w:tcPr>
            <w:tcW w:w="4428" w:type="dxa"/>
          </w:tcPr>
          <w:p w:rsidR="00991E02" w:rsidRPr="00AC38EA" w:rsidP="00991E02" w14:paraId="2C102525" w14:textId="77777777">
            <w:pPr>
              <w:spacing w:after="0" w:line="240" w:lineRule="auto"/>
              <w:ind w:left="804"/>
              <w:rPr>
                <w:rFonts w:eastAsia="Calibri" w:cs="Times New Roman"/>
                <w:bCs/>
                <w:szCs w:val="24"/>
              </w:rPr>
            </w:pPr>
            <w:hyperlink r:id="rId27" w:history="1">
              <w:r w:rsidRPr="00AC38EA" w:rsidR="009A2D12">
                <w:rPr>
                  <w:rStyle w:val="Hyperlink"/>
                  <w:rFonts w:eastAsia="Calibri" w:cs="Times New Roman"/>
                  <w:bCs/>
                  <w:szCs w:val="24"/>
                </w:rPr>
                <w:t>bknipe@firstenergycorp.com</w:t>
              </w:r>
            </w:hyperlink>
          </w:p>
          <w:p w:rsidR="00991E02" w:rsidRPr="00AC38EA" w:rsidP="00991E02" w14:paraId="026DC1D4" w14:textId="77777777">
            <w:pPr>
              <w:autoSpaceDE w:val="0"/>
              <w:autoSpaceDN w:val="0"/>
              <w:adjustRightInd w:val="0"/>
              <w:spacing w:after="0" w:line="240" w:lineRule="auto"/>
              <w:ind w:left="810"/>
              <w:rPr>
                <w:rFonts w:cs="Times New Roman"/>
                <w:szCs w:val="24"/>
              </w:rPr>
            </w:pPr>
            <w:hyperlink r:id="rId28" w:history="1">
              <w:r w:rsidRPr="00AC38EA" w:rsidR="009A2D12">
                <w:rPr>
                  <w:rStyle w:val="Hyperlink"/>
                  <w:rFonts w:cs="Times New Roman"/>
                  <w:szCs w:val="24"/>
                </w:rPr>
                <w:t>mrgladman@jonesday.com</w:t>
              </w:r>
            </w:hyperlink>
          </w:p>
          <w:p w:rsidR="00991E02" w:rsidRPr="00AC38EA" w:rsidP="00991E02" w14:paraId="47B19D22" w14:textId="77777777">
            <w:pPr>
              <w:autoSpaceDE w:val="0"/>
              <w:autoSpaceDN w:val="0"/>
              <w:adjustRightInd w:val="0"/>
              <w:spacing w:after="0" w:line="240" w:lineRule="auto"/>
              <w:ind w:left="810"/>
              <w:rPr>
                <w:rFonts w:cs="Times New Roman"/>
                <w:szCs w:val="24"/>
              </w:rPr>
            </w:pPr>
            <w:hyperlink r:id="rId29" w:history="1">
              <w:r w:rsidRPr="00AC38EA" w:rsidR="009A2D12">
                <w:rPr>
                  <w:rStyle w:val="Hyperlink"/>
                  <w:rFonts w:cs="Times New Roman"/>
                  <w:szCs w:val="24"/>
                </w:rPr>
                <w:t>mdengler@jonesday.com</w:t>
              </w:r>
            </w:hyperlink>
          </w:p>
          <w:p w:rsidR="00991E02" w:rsidRPr="00AC38EA" w:rsidP="00991E02" w14:paraId="03E60743" w14:textId="77777777">
            <w:pPr>
              <w:spacing w:after="0" w:line="240" w:lineRule="auto"/>
              <w:ind w:left="804"/>
              <w:rPr>
                <w:rFonts w:cs="Times New Roman"/>
                <w:szCs w:val="24"/>
              </w:rPr>
            </w:pPr>
            <w:hyperlink r:id="rId30" w:history="1">
              <w:r w:rsidRPr="00AC38EA" w:rsidR="009A2D12">
                <w:rPr>
                  <w:rStyle w:val="Hyperlink"/>
                  <w:rFonts w:cs="Times New Roman"/>
                  <w:szCs w:val="24"/>
                </w:rPr>
                <w:t>radoringo@jonesday.com</w:t>
              </w:r>
            </w:hyperlink>
          </w:p>
          <w:p w:rsidR="00991E02" w:rsidRPr="00AC38EA" w:rsidP="00991E02" w14:paraId="2AB13AA8" w14:textId="77777777">
            <w:pPr>
              <w:autoSpaceDE w:val="0"/>
              <w:autoSpaceDN w:val="0"/>
              <w:adjustRightInd w:val="0"/>
              <w:spacing w:after="0" w:line="240" w:lineRule="auto"/>
              <w:ind w:left="804"/>
              <w:rPr>
                <w:rFonts w:cs="Times New Roman"/>
                <w:szCs w:val="24"/>
              </w:rPr>
            </w:pPr>
            <w:hyperlink r:id="rId31" w:history="1">
              <w:r w:rsidRPr="00AC38EA" w:rsidR="009A2D12">
                <w:rPr>
                  <w:rStyle w:val="Hyperlink"/>
                  <w:rFonts w:cs="Times New Roman"/>
                  <w:szCs w:val="24"/>
                </w:rPr>
                <w:t>mwager@taftlaw.com</w:t>
              </w:r>
            </w:hyperlink>
          </w:p>
          <w:p w:rsidR="00991E02" w:rsidRPr="00AC38EA" w:rsidP="00991E02" w14:paraId="6C24040A" w14:textId="77777777">
            <w:pPr>
              <w:autoSpaceDE w:val="0"/>
              <w:autoSpaceDN w:val="0"/>
              <w:adjustRightInd w:val="0"/>
              <w:spacing w:after="0" w:line="240" w:lineRule="auto"/>
              <w:ind w:left="804"/>
              <w:rPr>
                <w:rStyle w:val="Hyperlink"/>
                <w:rFonts w:cs="Times New Roman"/>
                <w:szCs w:val="24"/>
              </w:rPr>
            </w:pPr>
            <w:hyperlink r:id="rId32" w:history="1">
              <w:r w:rsidRPr="00AC38EA" w:rsidR="009A2D12">
                <w:rPr>
                  <w:rStyle w:val="Hyperlink"/>
                  <w:rFonts w:cs="Times New Roman"/>
                  <w:szCs w:val="24"/>
                </w:rPr>
                <w:t>iavalon@taftlaw.com</w:t>
              </w:r>
            </w:hyperlink>
          </w:p>
          <w:p w:rsidR="00991E02" w:rsidRPr="00AC38EA" w:rsidP="00991E02" w14:paraId="3CBBD8A3" w14:textId="77777777">
            <w:pPr>
              <w:autoSpaceDE w:val="0"/>
              <w:autoSpaceDN w:val="0"/>
              <w:adjustRightInd w:val="0"/>
              <w:spacing w:after="0" w:line="240" w:lineRule="auto"/>
              <w:ind w:left="774"/>
              <w:rPr>
                <w:rFonts w:cs="Times New Roman"/>
                <w:szCs w:val="24"/>
              </w:rPr>
            </w:pPr>
            <w:hyperlink r:id="rId33" w:history="1">
              <w:r w:rsidRPr="00AC38EA" w:rsidR="009A2D12">
                <w:rPr>
                  <w:rStyle w:val="Hyperlink"/>
                  <w:rFonts w:cs="Times New Roman"/>
                  <w:szCs w:val="24"/>
                </w:rPr>
                <w:t>mpritchard@mcneeslaw.com</w:t>
              </w:r>
            </w:hyperlink>
          </w:p>
          <w:p w:rsidR="00991E02" w:rsidRPr="00AC38EA" w:rsidP="00991E02" w14:paraId="0D72B95D" w14:textId="77777777">
            <w:pPr>
              <w:autoSpaceDE w:val="0"/>
              <w:autoSpaceDN w:val="0"/>
              <w:adjustRightInd w:val="0"/>
              <w:spacing w:after="0" w:line="240" w:lineRule="auto"/>
              <w:ind w:left="774"/>
              <w:rPr>
                <w:rStyle w:val="Hyperlink"/>
                <w:rFonts w:cs="Times New Roman"/>
                <w:szCs w:val="24"/>
              </w:rPr>
            </w:pPr>
            <w:hyperlink r:id="rId34" w:history="1">
              <w:r w:rsidRPr="00AC38EA" w:rsidR="009A2D12">
                <w:rPr>
                  <w:rStyle w:val="Hyperlink"/>
                  <w:rFonts w:cs="Times New Roman"/>
                  <w:szCs w:val="24"/>
                </w:rPr>
                <w:t>tlong@mcneeslaw.com</w:t>
              </w:r>
            </w:hyperlink>
          </w:p>
          <w:p w:rsidR="00991E02" w:rsidRPr="00AC38EA" w:rsidP="00991E02" w14:paraId="053DD797" w14:textId="77777777">
            <w:pPr>
              <w:autoSpaceDE w:val="0"/>
              <w:autoSpaceDN w:val="0"/>
              <w:adjustRightInd w:val="0"/>
              <w:spacing w:after="0" w:line="240" w:lineRule="auto"/>
              <w:ind w:left="774"/>
              <w:rPr>
                <w:rStyle w:val="Hyperlink"/>
                <w:rFonts w:cs="Times New Roman"/>
                <w:szCs w:val="24"/>
              </w:rPr>
            </w:pPr>
            <w:hyperlink r:id="rId35" w:history="1">
              <w:r w:rsidRPr="00AC38EA" w:rsidR="009A2D12">
                <w:rPr>
                  <w:rStyle w:val="Hyperlink"/>
                  <w:rFonts w:cs="Times New Roman"/>
                  <w:szCs w:val="24"/>
                </w:rPr>
                <w:t>rdove@keglerbrown.com</w:t>
              </w:r>
            </w:hyperlink>
          </w:p>
          <w:p w:rsidR="00991E02" w:rsidRPr="00AC38EA" w:rsidP="00991E02" w14:paraId="3084752D" w14:textId="77777777">
            <w:pPr>
              <w:autoSpaceDE w:val="0"/>
              <w:autoSpaceDN w:val="0"/>
              <w:adjustRightInd w:val="0"/>
              <w:spacing w:after="0" w:line="240" w:lineRule="auto"/>
              <w:ind w:left="774"/>
              <w:rPr>
                <w:rStyle w:val="Hyperlink"/>
                <w:rFonts w:cs="Times New Roman"/>
                <w:szCs w:val="24"/>
              </w:rPr>
            </w:pPr>
            <w:hyperlink r:id="rId36" w:history="1">
              <w:r w:rsidRPr="00AC38EA" w:rsidR="009A2D12">
                <w:rPr>
                  <w:rStyle w:val="Hyperlink"/>
                  <w:rFonts w:cs="Times New Roman"/>
                  <w:szCs w:val="24"/>
                </w:rPr>
                <w:t>bojko@carpenterlipps.com</w:t>
              </w:r>
            </w:hyperlink>
          </w:p>
          <w:p w:rsidR="00991E02" w:rsidRPr="00AC38EA" w:rsidP="00991E02" w14:paraId="64901776" w14:textId="77777777">
            <w:pPr>
              <w:autoSpaceDE w:val="0"/>
              <w:autoSpaceDN w:val="0"/>
              <w:adjustRightInd w:val="0"/>
              <w:spacing w:after="0" w:line="240" w:lineRule="auto"/>
              <w:ind w:left="774"/>
              <w:rPr>
                <w:rStyle w:val="Hyperlink"/>
                <w:rFonts w:cs="Times New Roman"/>
                <w:szCs w:val="24"/>
              </w:rPr>
            </w:pPr>
            <w:hyperlink r:id="rId37" w:history="1">
              <w:r w:rsidRPr="00AC38EA" w:rsidR="009A2D12">
                <w:rPr>
                  <w:rStyle w:val="Hyperlink"/>
                  <w:rFonts w:cs="Times New Roman"/>
                  <w:szCs w:val="24"/>
                </w:rPr>
                <w:t>donadio@carpenterlipps.com</w:t>
              </w:r>
            </w:hyperlink>
          </w:p>
          <w:p w:rsidR="00991E02" w:rsidRPr="00AC38EA" w:rsidP="00991E02" w14:paraId="06E0FB16" w14:textId="77777777">
            <w:pPr>
              <w:autoSpaceDE w:val="0"/>
              <w:autoSpaceDN w:val="0"/>
              <w:adjustRightInd w:val="0"/>
              <w:spacing w:after="0" w:line="240" w:lineRule="auto"/>
              <w:ind w:left="774"/>
              <w:rPr>
                <w:rFonts w:cs="Times New Roman"/>
                <w:color w:val="3C78D9"/>
                <w:szCs w:val="24"/>
              </w:rPr>
            </w:pPr>
            <w:hyperlink r:id="rId38" w:history="1">
              <w:r w:rsidRPr="00AC38EA" w:rsidR="009A2D12">
                <w:rPr>
                  <w:rStyle w:val="Hyperlink"/>
                  <w:rFonts w:cs="Times New Roman"/>
                  <w:szCs w:val="24"/>
                </w:rPr>
                <w:t>mleppla@theOEC.org</w:t>
              </w:r>
            </w:hyperlink>
          </w:p>
          <w:p w:rsidR="00991E02" w:rsidRPr="00AC38EA" w:rsidP="00991E02" w14:paraId="000D4015" w14:textId="77777777">
            <w:pPr>
              <w:autoSpaceDE w:val="0"/>
              <w:autoSpaceDN w:val="0"/>
              <w:adjustRightInd w:val="0"/>
              <w:spacing w:after="0" w:line="240" w:lineRule="auto"/>
              <w:ind w:left="774"/>
              <w:rPr>
                <w:rFonts w:cs="Times New Roman"/>
                <w:color w:val="1155CD"/>
                <w:szCs w:val="24"/>
              </w:rPr>
            </w:pPr>
            <w:hyperlink r:id="rId39" w:history="1">
              <w:r w:rsidRPr="00AC38EA" w:rsidR="009A2D12">
                <w:rPr>
                  <w:rStyle w:val="Hyperlink"/>
                  <w:rFonts w:cs="Times New Roman"/>
                  <w:szCs w:val="24"/>
                </w:rPr>
                <w:t>tdougherty@theOEC.org</w:t>
              </w:r>
            </w:hyperlink>
          </w:p>
          <w:p w:rsidR="00991E02" w:rsidRPr="00AC38EA" w:rsidP="00991E02" w14:paraId="176004E0" w14:textId="77777777">
            <w:pPr>
              <w:autoSpaceDE w:val="0"/>
              <w:autoSpaceDN w:val="0"/>
              <w:adjustRightInd w:val="0"/>
              <w:spacing w:after="0" w:line="240" w:lineRule="auto"/>
              <w:ind w:left="774"/>
              <w:rPr>
                <w:rFonts w:cs="Times New Roman"/>
                <w:color w:val="1155CD"/>
                <w:szCs w:val="24"/>
              </w:rPr>
            </w:pPr>
            <w:hyperlink r:id="rId40" w:history="1">
              <w:r w:rsidRPr="00AC38EA" w:rsidR="009A2D12">
                <w:rPr>
                  <w:rStyle w:val="Hyperlink"/>
                  <w:rFonts w:cs="Times New Roman"/>
                  <w:szCs w:val="24"/>
                </w:rPr>
                <w:t>ctavenor@theOEC.org</w:t>
              </w:r>
            </w:hyperlink>
          </w:p>
          <w:p w:rsidR="00991E02" w:rsidRPr="00AC38EA" w:rsidP="00991E02" w14:paraId="59A7D566" w14:textId="77777777">
            <w:pPr>
              <w:autoSpaceDE w:val="0"/>
              <w:autoSpaceDN w:val="0"/>
              <w:adjustRightInd w:val="0"/>
              <w:spacing w:after="0" w:line="240" w:lineRule="auto"/>
              <w:ind w:left="774"/>
              <w:rPr>
                <w:rFonts w:cs="Times New Roman"/>
                <w:szCs w:val="24"/>
              </w:rPr>
            </w:pPr>
          </w:p>
          <w:p w:rsidR="00991E02" w:rsidRPr="00AC38EA" w:rsidP="00991E02" w14:paraId="16B29141" w14:textId="77777777">
            <w:pPr>
              <w:autoSpaceDE w:val="0"/>
              <w:autoSpaceDN w:val="0"/>
              <w:adjustRightInd w:val="0"/>
              <w:spacing w:after="0" w:line="240" w:lineRule="auto"/>
              <w:ind w:left="774"/>
              <w:rPr>
                <w:rFonts w:cs="Times New Roman"/>
                <w:szCs w:val="24"/>
              </w:rPr>
            </w:pPr>
          </w:p>
          <w:p w:rsidR="00991E02" w:rsidRPr="00AC38EA" w:rsidP="00991E02" w14:paraId="5B7B1ACA" w14:textId="77777777">
            <w:pPr>
              <w:autoSpaceDE w:val="0"/>
              <w:autoSpaceDN w:val="0"/>
              <w:adjustRightInd w:val="0"/>
              <w:spacing w:after="0" w:line="240" w:lineRule="auto"/>
              <w:ind w:left="774"/>
              <w:rPr>
                <w:rFonts w:cs="Times New Roman"/>
                <w:szCs w:val="24"/>
              </w:rPr>
            </w:pPr>
          </w:p>
          <w:p w:rsidR="00991E02" w:rsidRPr="00AC38EA" w:rsidP="00991E02" w14:paraId="1CBFAFB8" w14:textId="77777777">
            <w:pPr>
              <w:autoSpaceDE w:val="0"/>
              <w:autoSpaceDN w:val="0"/>
              <w:adjustRightInd w:val="0"/>
              <w:spacing w:after="0" w:line="240" w:lineRule="auto"/>
              <w:ind w:left="804"/>
              <w:rPr>
                <w:rFonts w:cs="Times New Roman"/>
                <w:szCs w:val="24"/>
              </w:rPr>
            </w:pPr>
          </w:p>
          <w:p w:rsidR="00991E02" w:rsidRPr="00AC38EA" w:rsidP="00991E02" w14:paraId="00C4F4BF" w14:textId="77777777">
            <w:pPr>
              <w:pStyle w:val="BodyText"/>
              <w:spacing w:after="0"/>
              <w:ind w:left="612"/>
              <w:rPr>
                <w:sz w:val="24"/>
                <w:szCs w:val="24"/>
              </w:rPr>
            </w:pPr>
          </w:p>
          <w:p w:rsidR="00991E02" w:rsidRPr="00AC38EA" w:rsidP="00991E02" w14:paraId="1EEE0121" w14:textId="77777777">
            <w:pPr>
              <w:pStyle w:val="BodyText"/>
              <w:spacing w:after="0"/>
              <w:rPr>
                <w:sz w:val="24"/>
                <w:szCs w:val="24"/>
              </w:rPr>
            </w:pPr>
          </w:p>
        </w:tc>
      </w:tr>
      <w:bookmarkEnd w:id="28"/>
    </w:tbl>
    <w:p w:rsidR="00991E02" w:rsidRPr="00AC38EA" w:rsidP="004E0143" w14:paraId="5893048B" w14:textId="77777777">
      <w:pPr>
        <w:pStyle w:val="CommentText"/>
        <w:jc w:val="center"/>
        <w:rPr>
          <w:b/>
          <w:bCs/>
          <w:u w:val="single"/>
        </w:rPr>
      </w:pPr>
    </w:p>
    <w:p w:rsidR="004E0143" w:rsidRPr="00AC38EA" w:rsidP="004E0143" w14:paraId="370491FA" w14:textId="77777777">
      <w:pPr>
        <w:pStyle w:val="CommentText"/>
        <w:jc w:val="center"/>
        <w:rPr>
          <w:b/>
          <w:bCs/>
          <w:u w:val="single"/>
        </w:rPr>
      </w:pPr>
    </w:p>
    <w:p w:rsidR="004E0143" w:rsidRPr="00AC38EA" w:rsidP="004E0143" w14:paraId="6E1FB202" w14:textId="77777777">
      <w:pPr>
        <w:ind w:left="3600" w:firstLine="720"/>
        <w:rPr>
          <w:rFonts w:cs="Times New Roman"/>
          <w:szCs w:val="24"/>
        </w:rPr>
      </w:pPr>
    </w:p>
    <w:p w:rsidR="004E0143" w:rsidRPr="00AC38EA" w:rsidP="004E0143" w14:paraId="50FCEF83" w14:textId="77777777">
      <w:pPr>
        <w:rPr>
          <w:rFonts w:cs="Times New Roman"/>
          <w:szCs w:val="24"/>
        </w:rPr>
      </w:pPr>
    </w:p>
    <w:sectPr w:rsidSect="00E27A16">
      <w:footerReference w:type="default" r:id="rI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2D12" w14:paraId="45D799C3" w14:textId="6BAD9B36">
    <w:pPr>
      <w:pStyle w:val="Footer"/>
      <w:jc w:val="center"/>
    </w:pPr>
  </w:p>
  <w:p w:rsidR="009A2D12" w14:paraId="6B94FF4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7851091"/>
      <w:docPartObj>
        <w:docPartGallery w:val="Page Numbers (Bottom of Page)"/>
        <w:docPartUnique/>
      </w:docPartObj>
    </w:sdtPr>
    <w:sdtEndPr>
      <w:rPr>
        <w:noProof/>
      </w:rPr>
    </w:sdtEndPr>
    <w:sdtContent>
      <w:p w:rsidR="009A2D12" w14:paraId="0FBF3E6B"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A2D12" w14:paraId="36CA5B6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6035438"/>
      <w:docPartObj>
        <w:docPartGallery w:val="Page Numbers (Bottom of Page)"/>
        <w:docPartUnique/>
      </w:docPartObj>
    </w:sdtPr>
    <w:sdtEndPr>
      <w:rPr>
        <w:noProof/>
      </w:rPr>
    </w:sdtEndPr>
    <w:sdtContent>
      <w:p w:rsidR="009A2D12" w14:paraId="04187732" w14:textId="025B6F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A2D12" w:rsidRPr="0052413E" w:rsidP="0052413E" w14:paraId="70E4AA90" w14:textId="24763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11D8D" w:rsidP="009A2DA8" w14:paraId="718D868D" w14:textId="77777777">
      <w:pPr>
        <w:spacing w:after="0" w:line="240" w:lineRule="auto"/>
      </w:pPr>
      <w:r>
        <w:separator/>
      </w:r>
    </w:p>
  </w:footnote>
  <w:footnote w:type="continuationSeparator" w:id="1">
    <w:p w:rsidR="00611D8D" w:rsidP="009A2DA8" w14:paraId="25053F51" w14:textId="77777777">
      <w:pPr>
        <w:spacing w:after="0" w:line="240" w:lineRule="auto"/>
      </w:pPr>
      <w:r>
        <w:continuationSeparator/>
      </w:r>
    </w:p>
  </w:footnote>
  <w:footnote w:id="2">
    <w:p w:rsidR="009A2D12" w:rsidRPr="000231B2" w:rsidP="000231B2" w14:paraId="19F0853A" w14:textId="647234B8">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w:t>
      </w:r>
      <w:r w:rsidRPr="000231B2">
        <w:rPr>
          <w:rFonts w:ascii="Times New Roman" w:hAnsi="Times New Roman" w:cs="Times New Roman"/>
          <w:i/>
          <w:iCs/>
        </w:rPr>
        <w:t xml:space="preserve">See </w:t>
      </w:r>
      <w:r w:rsidRPr="000231B2">
        <w:rPr>
          <w:rFonts w:ascii="Times New Roman" w:hAnsi="Times New Roman" w:cs="Times New Roman"/>
        </w:rPr>
        <w:t>Request Re-scheduling of the Prehearing Conference by Office of the Ohio Consumers' Counsel and FirstEnergy Utilities (Apr. 29, 2021).</w:t>
      </w:r>
    </w:p>
  </w:footnote>
  <w:footnote w:id="3">
    <w:p w:rsidR="009A2D12" w:rsidRPr="000231B2" w:rsidP="009A1F5D" w14:paraId="54BBB70E" w14:textId="77777777">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Horn, D. </w:t>
      </w:r>
      <w:r w:rsidRPr="000231B2">
        <w:rPr>
          <w:rFonts w:ascii="Times New Roman" w:hAnsi="Times New Roman" w:cs="Times New Roman"/>
          <w:i/>
          <w:iCs/>
        </w:rPr>
        <w:t>Ohio House Speaker Larry Householder arrested in $60 million bribery case</w:t>
      </w:r>
      <w:r w:rsidRPr="000231B2">
        <w:rPr>
          <w:rFonts w:ascii="Times New Roman" w:hAnsi="Times New Roman" w:cs="Times New Roman"/>
        </w:rPr>
        <w:t xml:space="preserve">. The Cincinnati Enquirer (July 31, 2020).  </w:t>
      </w:r>
    </w:p>
  </w:footnote>
  <w:footnote w:id="4">
    <w:p w:rsidR="009A2D12" w:rsidRPr="000231B2" w:rsidP="000231B2" w14:paraId="141C3F35" w14:textId="626D98A0">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w:t>
      </w:r>
      <w:r w:rsidRPr="000231B2">
        <w:rPr>
          <w:rFonts w:ascii="Times New Roman" w:hAnsi="Times New Roman" w:cs="Times New Roman"/>
          <w:i/>
          <w:iCs/>
        </w:rPr>
        <w:t xml:space="preserve">United </w:t>
      </w:r>
      <w:r w:rsidRPr="000231B2">
        <w:rPr>
          <w:rFonts w:ascii="Times New Roman" w:eastAsia="Times New Roman" w:hAnsi="Times New Roman" w:cs="Times New Roman"/>
          <w:i/>
          <w:iCs/>
        </w:rPr>
        <w:t>States of America v. Larry Householder, Jeffrey Longstreth, Neil Clark, Matthew Borges, Juan Cespedes, and Generation Now</w:t>
      </w:r>
      <w:r w:rsidRPr="000231B2">
        <w:rPr>
          <w:rFonts w:ascii="Times New Roman" w:eastAsia="Times New Roman" w:hAnsi="Times New Roman" w:cs="Times New Roman"/>
        </w:rPr>
        <w:t>, Case No. 1:20-MJ-00526 (U.S. Dist. S.D.) (July 17, 2020).</w:t>
      </w:r>
    </w:p>
  </w:footnote>
  <w:footnote w:id="5">
    <w:p w:rsidR="00485147" w:rsidRPr="000231B2" w:rsidP="00485147" w14:paraId="2402A97C" w14:textId="77777777">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FirstEnergy News Release, “FirstEnergy names Hyun Park Senior Vice President &amp; Chief Legal Officer” (Jan. 5, 2021).</w:t>
      </w:r>
    </w:p>
  </w:footnote>
  <w:footnote w:id="6">
    <w:p w:rsidR="009A2D12" w:rsidRPr="000231B2" w:rsidP="000231B2" w14:paraId="77EE3F2C" w14:textId="28A79DA2">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w:t>
      </w:r>
      <w:r w:rsidRPr="000231B2">
        <w:rPr>
          <w:rFonts w:ascii="Times New Roman" w:hAnsi="Times New Roman" w:cs="Times New Roman"/>
          <w:i/>
          <w:iCs/>
        </w:rPr>
        <w:t xml:space="preserve">Smith v. FirstEnergy Corp. and FirstEnergy Serv. Co., Hudock, et al. v. FirstEnergy Corp., et al. and Buldas v. FirstEnergy Corp., et al., </w:t>
      </w:r>
      <w:r w:rsidRPr="000231B2">
        <w:rPr>
          <w:rFonts w:ascii="Times New Roman" w:hAnsi="Times New Roman" w:cs="Times New Roman"/>
        </w:rPr>
        <w:t xml:space="preserve">Case Nos. 2:20-cv-03755, 03954 and 03987 (S.D. Ohio) Answer of FirstEnergy Corp., </w:t>
      </w:r>
      <w:r w:rsidRPr="000231B2">
        <w:rPr>
          <w:rFonts w:ascii="Times New Roman" w:hAnsi="Times New Roman" w:cs="Times New Roman"/>
          <w:i/>
          <w:iCs/>
        </w:rPr>
        <w:t xml:space="preserve">et al. </w:t>
      </w:r>
      <w:r w:rsidRPr="000231B2">
        <w:rPr>
          <w:rFonts w:ascii="Times New Roman" w:hAnsi="Times New Roman" w:cs="Times New Roman"/>
        </w:rPr>
        <w:t>(Mar. 10, 2021).</w:t>
      </w:r>
    </w:p>
  </w:footnote>
  <w:footnote w:id="7">
    <w:p w:rsidR="009A2D12" w:rsidRPr="000231B2" w:rsidP="000231B2" w14:paraId="43E59A4F" w14:textId="41571A68">
      <w:pPr>
        <w:pStyle w:val="FootnoteText"/>
        <w:spacing w:after="120"/>
        <w:rPr>
          <w:rFonts w:ascii="Times New Roman" w:hAnsi="Times New Roman" w:cs="Times New Roman"/>
          <w:i/>
          <w:iCs/>
        </w:rPr>
      </w:pPr>
      <w:r w:rsidRPr="000231B2">
        <w:rPr>
          <w:rStyle w:val="FootnoteReference"/>
          <w:rFonts w:ascii="Times New Roman" w:hAnsi="Times New Roman" w:cs="Times New Roman"/>
        </w:rPr>
        <w:footnoteRef/>
      </w:r>
      <w:r w:rsidRPr="000231B2">
        <w:rPr>
          <w:rFonts w:ascii="Times New Roman" w:hAnsi="Times New Roman" w:cs="Times New Roman"/>
        </w:rPr>
        <w:t xml:space="preserve"> Tobias, A., </w:t>
      </w:r>
      <w:r w:rsidRPr="000231B2">
        <w:rPr>
          <w:rFonts w:ascii="Times New Roman" w:hAnsi="Times New Roman" w:cs="Times New Roman"/>
          <w:i/>
          <w:iCs/>
        </w:rPr>
        <w:t xml:space="preserve">FirstEnergy says it charged customers for improper expenses, pledges to end its dark money political spending, </w:t>
      </w:r>
      <w:r w:rsidRPr="000231B2">
        <w:rPr>
          <w:rFonts w:ascii="Times New Roman" w:hAnsi="Times New Roman" w:cs="Times New Roman"/>
        </w:rPr>
        <w:t>Cleveland.com (Feb. 19, 2021).</w:t>
      </w:r>
    </w:p>
  </w:footnote>
  <w:footnote w:id="8">
    <w:p w:rsidR="009A2D12" w:rsidRPr="000231B2" w:rsidP="000231B2" w14:paraId="6637D309" w14:textId="459CD75B">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FirstEnergy Corp., Quarterly Report (Form 10-Q) at 36 (Nov. 19, 2020).</w:t>
      </w:r>
    </w:p>
  </w:footnote>
  <w:footnote w:id="9">
    <w:p w:rsidR="009A2D12" w:rsidRPr="000231B2" w:rsidP="000231B2" w14:paraId="547F2E99" w14:textId="0C5D5867">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FirstEnergy Utilities’ Motion for Partial Protective Order, Memorandum in Support at 4 (May 13, 2021). </w:t>
      </w:r>
    </w:p>
  </w:footnote>
  <w:footnote w:id="10">
    <w:p w:rsidR="009A2D12" w:rsidRPr="000231B2" w:rsidP="000231B2" w14:paraId="2A376042" w14:textId="4684D3D9">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w:t>
      </w:r>
      <w:r w:rsidRPr="000231B2">
        <w:rPr>
          <w:rFonts w:ascii="Times New Roman" w:hAnsi="Times New Roman" w:cs="Times New Roman"/>
          <w:i/>
          <w:iCs/>
        </w:rPr>
        <w:t>Id</w:t>
      </w:r>
      <w:r w:rsidRPr="000231B2">
        <w:rPr>
          <w:rFonts w:ascii="Times New Roman" w:hAnsi="Times New Roman" w:cs="Times New Roman"/>
        </w:rPr>
        <w:t xml:space="preserve">.  </w:t>
      </w:r>
    </w:p>
  </w:footnote>
  <w:footnote w:id="11">
    <w:p w:rsidR="009A2D12" w:rsidRPr="000231B2" w:rsidP="000231B2" w14:paraId="669EA9FC" w14:textId="5A3EB1D4">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FirstEnergy Press Release, “FirstEnergy names Hyun Park Senior Vice President &amp; Chief Legal Officer” (Jan. 5, 2021).</w:t>
      </w:r>
    </w:p>
  </w:footnote>
  <w:footnote w:id="12">
    <w:p w:rsidR="009A2D12" w:rsidRPr="000231B2" w:rsidP="000231B2" w14:paraId="3E2263DB" w14:textId="77777777">
      <w:pPr>
        <w:spacing w:after="120" w:line="240" w:lineRule="auto"/>
        <w:rPr>
          <w:rFonts w:cs="Times New Roman"/>
          <w:sz w:val="20"/>
          <w:szCs w:val="20"/>
        </w:rPr>
      </w:pPr>
      <w:r w:rsidRPr="000231B2">
        <w:rPr>
          <w:rStyle w:val="FootnoteReference"/>
          <w:rFonts w:cs="Times New Roman"/>
          <w:sz w:val="20"/>
          <w:szCs w:val="20"/>
        </w:rPr>
        <w:footnoteRef/>
      </w:r>
      <w:r w:rsidRPr="000231B2">
        <w:rPr>
          <w:rFonts w:cs="Times New Roman"/>
          <w:sz w:val="20"/>
          <w:szCs w:val="20"/>
        </w:rPr>
        <w:t xml:space="preserve"> </w:t>
      </w:r>
      <w:r w:rsidRPr="000231B2">
        <w:rPr>
          <w:rFonts w:cs="Times New Roman"/>
          <w:i/>
          <w:sz w:val="20"/>
          <w:szCs w:val="20"/>
        </w:rPr>
        <w:t>In the Matter of the Investigation into the Perry Nuclear Power Plant</w:t>
      </w:r>
      <w:r w:rsidRPr="000231B2">
        <w:rPr>
          <w:rFonts w:cs="Times New Roman"/>
          <w:sz w:val="20"/>
          <w:szCs w:val="20"/>
        </w:rPr>
        <w:t>, Case No. 85-521-EL-COI, Entry at 23 (Mar. 17, 1987).</w:t>
      </w:r>
    </w:p>
  </w:footnote>
  <w:footnote w:id="13">
    <w:p w:rsidR="009A2D12" w:rsidRPr="000231B2" w:rsidP="000231B2" w14:paraId="485D97AF" w14:textId="5BE436FE">
      <w:pPr>
        <w:spacing w:after="120" w:line="240" w:lineRule="auto"/>
        <w:rPr>
          <w:rFonts w:cs="Times New Roman"/>
          <w:sz w:val="20"/>
          <w:szCs w:val="20"/>
        </w:rPr>
      </w:pPr>
      <w:r w:rsidRPr="000231B2">
        <w:rPr>
          <w:rStyle w:val="FootnoteReference"/>
          <w:rFonts w:cs="Times New Roman"/>
          <w:sz w:val="20"/>
          <w:szCs w:val="20"/>
        </w:rPr>
        <w:footnoteRef/>
      </w:r>
      <w:r w:rsidRPr="000231B2">
        <w:rPr>
          <w:rFonts w:cs="Times New Roman"/>
          <w:sz w:val="20"/>
          <w:szCs w:val="20"/>
        </w:rPr>
        <w:t xml:space="preserve"> </w:t>
      </w:r>
      <w:r w:rsidRPr="000231B2">
        <w:rPr>
          <w:rFonts w:cs="Times New Roman"/>
          <w:i/>
          <w:sz w:val="20"/>
          <w:szCs w:val="20"/>
        </w:rPr>
        <w:t>Id.</w:t>
      </w:r>
      <w:r w:rsidRPr="000231B2">
        <w:rPr>
          <w:rFonts w:cs="Times New Roman"/>
          <w:sz w:val="20"/>
          <w:szCs w:val="20"/>
        </w:rPr>
        <w:t>, citing</w:t>
      </w:r>
      <w:r w:rsidRPr="000231B2">
        <w:rPr>
          <w:rFonts w:cs="Times New Roman"/>
          <w:i/>
          <w:sz w:val="20"/>
          <w:szCs w:val="20"/>
        </w:rPr>
        <w:t xml:space="preserve"> Penn Central Transportation Co. v. Armco Steel Corp</w:t>
      </w:r>
      <w:r w:rsidRPr="000231B2">
        <w:rPr>
          <w:rFonts w:cs="Times New Roman"/>
          <w:sz w:val="20"/>
          <w:szCs w:val="20"/>
        </w:rPr>
        <w:t xml:space="preserve">. (C.P. 1971), 27 Ohio Misc. 76.  (Emphasis added).  </w:t>
      </w:r>
    </w:p>
  </w:footnote>
  <w:footnote w:id="14">
    <w:p w:rsidR="009A2D12" w:rsidRPr="000231B2" w:rsidP="000231B2" w14:paraId="595E87BF" w14:textId="77777777">
      <w:pPr>
        <w:spacing w:after="120" w:line="240" w:lineRule="auto"/>
        <w:rPr>
          <w:rFonts w:cs="Times New Roman"/>
          <w:sz w:val="20"/>
          <w:szCs w:val="20"/>
        </w:rPr>
      </w:pPr>
      <w:r w:rsidRPr="000231B2">
        <w:rPr>
          <w:rStyle w:val="FootnoteReference"/>
          <w:rFonts w:cs="Times New Roman"/>
          <w:sz w:val="20"/>
          <w:szCs w:val="20"/>
        </w:rPr>
        <w:footnoteRef/>
      </w:r>
      <w:r w:rsidRPr="000231B2">
        <w:rPr>
          <w:rFonts w:cs="Times New Roman"/>
          <w:sz w:val="20"/>
          <w:szCs w:val="20"/>
        </w:rPr>
        <w:t xml:space="preserve"> </w:t>
      </w:r>
      <w:r w:rsidRPr="000231B2">
        <w:rPr>
          <w:rFonts w:cs="Times New Roman"/>
          <w:i/>
          <w:sz w:val="20"/>
          <w:szCs w:val="20"/>
        </w:rPr>
        <w:t>OCC v. PUC</w:t>
      </w:r>
      <w:r w:rsidRPr="000231B2">
        <w:rPr>
          <w:rFonts w:cs="Times New Roman"/>
          <w:sz w:val="20"/>
          <w:szCs w:val="20"/>
        </w:rPr>
        <w:t xml:space="preserve">, 111 Ohio St.3d 300, 2006-Ohio-5789, 856 N.E.2d 213. </w:t>
      </w:r>
    </w:p>
  </w:footnote>
  <w:footnote w:id="15">
    <w:p w:rsidR="009A2D12" w:rsidRPr="000231B2" w:rsidP="000231B2" w14:paraId="7582D5CF" w14:textId="77777777">
      <w:pPr>
        <w:spacing w:after="120" w:line="240" w:lineRule="auto"/>
        <w:rPr>
          <w:rFonts w:cs="Times New Roman"/>
          <w:sz w:val="20"/>
          <w:szCs w:val="20"/>
        </w:rPr>
      </w:pPr>
      <w:r w:rsidRPr="000231B2">
        <w:rPr>
          <w:rStyle w:val="FootnoteReference"/>
          <w:rFonts w:cs="Times New Roman"/>
          <w:sz w:val="20"/>
          <w:szCs w:val="20"/>
        </w:rPr>
        <w:footnoteRef/>
      </w:r>
      <w:r w:rsidRPr="000231B2">
        <w:rPr>
          <w:rFonts w:cs="Times New Roman"/>
          <w:sz w:val="20"/>
          <w:szCs w:val="20"/>
        </w:rPr>
        <w:t xml:space="preserve"> </w:t>
      </w:r>
      <w:r w:rsidRPr="000231B2">
        <w:rPr>
          <w:rFonts w:cs="Times New Roman"/>
          <w:i/>
          <w:sz w:val="20"/>
          <w:szCs w:val="20"/>
        </w:rPr>
        <w:t>Ohio Consumers’ Counsel v. Pub. Util. Comm</w:t>
      </w:r>
      <w:r w:rsidRPr="000231B2">
        <w:rPr>
          <w:rFonts w:cs="Times New Roman"/>
          <w:sz w:val="20"/>
          <w:szCs w:val="20"/>
        </w:rPr>
        <w:t xml:space="preserve">., 111 Ohio St.3d 300, 2006-Ohio-5789, citing to </w:t>
      </w:r>
      <w:r w:rsidRPr="000231B2">
        <w:rPr>
          <w:rFonts w:cs="Times New Roman"/>
          <w:i/>
          <w:sz w:val="20"/>
          <w:szCs w:val="20"/>
        </w:rPr>
        <w:t>Moskovitz v. Mt. Sinai Med. Ctr.</w:t>
      </w:r>
      <w:r w:rsidRPr="000231B2">
        <w:rPr>
          <w:rFonts w:cs="Times New Roman"/>
          <w:sz w:val="20"/>
          <w:szCs w:val="20"/>
        </w:rPr>
        <w:t xml:space="preserve"> (1994), 69 Ohio St.3d 638, 661 and </w:t>
      </w:r>
      <w:r w:rsidRPr="000231B2">
        <w:rPr>
          <w:rFonts w:cs="Times New Roman"/>
          <w:i/>
          <w:sz w:val="20"/>
          <w:szCs w:val="20"/>
        </w:rPr>
        <w:t>Disciplinary Counsel v. O’Neill</w:t>
      </w:r>
      <w:r w:rsidRPr="000231B2">
        <w:rPr>
          <w:rFonts w:cs="Times New Roman"/>
          <w:sz w:val="20"/>
          <w:szCs w:val="20"/>
        </w:rPr>
        <w:t xml:space="preserve"> (1996), 75 Ohio St.3d 1479. </w:t>
      </w:r>
    </w:p>
  </w:footnote>
  <w:footnote w:id="16">
    <w:p w:rsidR="009A2D12" w:rsidRPr="000231B2" w:rsidP="000231B2" w14:paraId="3BF944BF" w14:textId="74152DEC">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FirstEnergy Utilities’ Motion for Partial Protective Order, Memorandum in Support at 7-8 (May 13, 2021).  </w:t>
      </w:r>
    </w:p>
  </w:footnote>
  <w:footnote w:id="17">
    <w:p w:rsidR="009A2D12" w:rsidRPr="000231B2" w:rsidP="000231B2" w14:paraId="1EB575B7" w14:textId="288BD2D4">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w:t>
      </w:r>
      <w:r w:rsidRPr="000231B2">
        <w:rPr>
          <w:rFonts w:ascii="Times New Roman" w:hAnsi="Times New Roman" w:cs="Times New Roman"/>
          <w:i/>
          <w:iCs/>
        </w:rPr>
        <w:t>Id</w:t>
      </w:r>
      <w:r w:rsidRPr="000231B2">
        <w:rPr>
          <w:rFonts w:ascii="Times New Roman" w:hAnsi="Times New Roman" w:cs="Times New Roman"/>
        </w:rPr>
        <w:t xml:space="preserve">. at 9.  </w:t>
      </w:r>
    </w:p>
  </w:footnote>
  <w:footnote w:id="18">
    <w:p w:rsidR="009A2D12" w:rsidRPr="000231B2" w:rsidP="000231B2" w14:paraId="36163DE0" w14:textId="79BD85C6">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w:t>
      </w:r>
      <w:r w:rsidRPr="000231B2">
        <w:rPr>
          <w:rFonts w:ascii="Times New Roman" w:hAnsi="Times New Roman" w:cs="Times New Roman"/>
          <w:i/>
          <w:iCs/>
        </w:rPr>
        <w:t>In re Commission Investigation of Ohio’s Retail Electric Service Market</w:t>
      </w:r>
      <w:r w:rsidRPr="000231B2">
        <w:rPr>
          <w:rFonts w:ascii="Times New Roman" w:hAnsi="Times New Roman" w:cs="Times New Roman"/>
        </w:rPr>
        <w:t xml:space="preserve">, Case No. 12-3151-EL-COI , Finding and Order  at 16-17 (Mar. 26, 2014).  </w:t>
      </w:r>
    </w:p>
  </w:footnote>
  <w:footnote w:id="19">
    <w:p w:rsidR="009A2D12" w:rsidRPr="000231B2" w:rsidP="000231B2" w14:paraId="6064EBF3" w14:textId="57DCA8E7">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FirstEnergy Press Release, </w:t>
      </w:r>
      <w:r w:rsidRPr="000231B2">
        <w:rPr>
          <w:rFonts w:ascii="Times New Roman" w:hAnsi="Times New Roman" w:cs="Times New Roman"/>
          <w:i/>
          <w:iCs/>
        </w:rPr>
        <w:t>FirstEnergy Announces Leadership Transition. Board of Directors Terminates Charles E. Jones; Appoints Steven E. Strah Acting CEO Christopher D. Pappas Named Executive Director of the Board; Donald T. Misheff Remains Non-Executive Chairman</w:t>
      </w:r>
      <w:r w:rsidRPr="000231B2">
        <w:rPr>
          <w:rFonts w:ascii="Times New Roman" w:hAnsi="Times New Roman" w:cs="Times New Roman"/>
        </w:rPr>
        <w:t xml:space="preserve"> (Oct. 29, 2020).</w:t>
      </w:r>
    </w:p>
  </w:footnote>
  <w:footnote w:id="20">
    <w:p w:rsidR="009A2D12" w:rsidRPr="000231B2" w:rsidP="000231B2" w14:paraId="08124183" w14:textId="474881DB">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FirstEnergy Corp., Form 8-K (Oct. 29, 2020).</w:t>
      </w:r>
    </w:p>
  </w:footnote>
  <w:footnote w:id="21">
    <w:p w:rsidR="009A2D12" w:rsidRPr="000231B2" w:rsidP="000231B2" w14:paraId="0199B85E" w14:textId="44710316">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Entry at ¶ 6-17.   </w:t>
      </w:r>
    </w:p>
  </w:footnote>
  <w:footnote w:id="22">
    <w:p w:rsidR="009A2D12" w:rsidRPr="000231B2" w:rsidP="000231B2" w14:paraId="724B1F4C" w14:textId="32390927">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R.C. 4928.17; O.A.C. Chapter 4901:1-37; R.C. 4928.02.</w:t>
      </w:r>
    </w:p>
  </w:footnote>
  <w:footnote w:id="23">
    <w:p w:rsidR="009A2D12" w:rsidRPr="000231B2" w:rsidP="000231B2" w14:paraId="46335DDD" w14:textId="5120EFAA">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R.C. 4928.02(H).</w:t>
      </w:r>
    </w:p>
  </w:footnote>
  <w:footnote w:id="24">
    <w:p w:rsidR="009A2D12" w:rsidRPr="000231B2" w:rsidP="000231B2" w14:paraId="6C0CC544" w14:textId="77972612">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O.A.C. 4901:1-37-08(C).</w:t>
      </w:r>
    </w:p>
  </w:footnote>
  <w:footnote w:id="25">
    <w:p w:rsidR="009A2D12" w:rsidRPr="000231B2" w:rsidP="000231B2" w14:paraId="4E75F511" w14:textId="06567D85">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O.A.C. 4901:1-37-08(E).</w:t>
      </w:r>
    </w:p>
  </w:footnote>
  <w:footnote w:id="26">
    <w:p w:rsidR="009A2D12" w:rsidRPr="000231B2" w:rsidP="000231B2" w14:paraId="6B754B28" w14:textId="044653DC">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O.A.C. 4901:1-37-04(D).</w:t>
      </w:r>
    </w:p>
  </w:footnote>
  <w:footnote w:id="27">
    <w:p w:rsidR="009A2D12" w:rsidRPr="000231B2" w:rsidP="000231B2" w14:paraId="5E289E3D" w14:textId="190BE38F">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O.A.C. 4901:1-37-04(D)(6).</w:t>
      </w:r>
    </w:p>
  </w:footnote>
  <w:footnote w:id="28">
    <w:p w:rsidR="009A2D12" w:rsidRPr="000231B2" w:rsidP="000231B2" w14:paraId="6DDEFDF1" w14:textId="7825A71C">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Entry directing the Staff to issue the attached RFP for audit services to conduct an additional corporate separation audit which includes examination of the time period leading up to the passage of Am. Sub. H.B. 6 and the subsequent referendum (Nov. 4, 2020).</w:t>
      </w:r>
    </w:p>
  </w:footnote>
  <w:footnote w:id="29">
    <w:p w:rsidR="009A2D12" w:rsidRPr="000231B2" w:rsidP="000231B2" w14:paraId="1F8F3F86" w14:textId="5788C5EC">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w:t>
      </w:r>
      <w:r w:rsidRPr="000231B2">
        <w:rPr>
          <w:rFonts w:ascii="Times New Roman" w:hAnsi="Times New Roman" w:cs="Times New Roman"/>
          <w:i/>
          <w:iCs/>
        </w:rPr>
        <w:t xml:space="preserve">Id. </w:t>
      </w:r>
      <w:r w:rsidRPr="000231B2">
        <w:rPr>
          <w:rFonts w:ascii="Times New Roman" w:hAnsi="Times New Roman" w:cs="Times New Roman"/>
        </w:rPr>
        <w:t>at 1.</w:t>
      </w:r>
    </w:p>
  </w:footnote>
  <w:footnote w:id="30">
    <w:p w:rsidR="009A2D12" w:rsidRPr="000231B2" w:rsidP="000231B2" w14:paraId="1E502FA8" w14:textId="491D47E7">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w:t>
      </w:r>
      <w:r w:rsidRPr="000231B2">
        <w:rPr>
          <w:rFonts w:ascii="Times New Roman" w:hAnsi="Times New Roman" w:cs="Times New Roman"/>
          <w:i/>
          <w:iCs/>
        </w:rPr>
        <w:t xml:space="preserve">Id. </w:t>
      </w:r>
      <w:r w:rsidRPr="000231B2">
        <w:rPr>
          <w:rFonts w:ascii="Times New Roman" w:hAnsi="Times New Roman" w:cs="Times New Roman"/>
        </w:rPr>
        <w:t>at 4-5.</w:t>
      </w:r>
    </w:p>
  </w:footnote>
  <w:footnote w:id="31">
    <w:p w:rsidR="009A2D12" w:rsidRPr="000231B2" w:rsidP="000231B2" w14:paraId="73E76D34" w14:textId="250741A9">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FirstEnergy Press Release, </w:t>
      </w:r>
      <w:r w:rsidRPr="000231B2">
        <w:rPr>
          <w:rFonts w:ascii="Times New Roman" w:hAnsi="Times New Roman" w:cs="Times New Roman"/>
          <w:i/>
          <w:iCs/>
        </w:rPr>
        <w:t>FirstEnergy Announces Leadership Transition. Board of Directors Terminates Charles E. Jones; Appoints Steven E. Strah Acting CEO Christopher D. Pappas Named Executive Director of the Board; Donald T. Misheff Remains Non-Executive Chairman</w:t>
      </w:r>
      <w:r w:rsidRPr="000231B2">
        <w:rPr>
          <w:rFonts w:ascii="Times New Roman" w:hAnsi="Times New Roman" w:cs="Times New Roman"/>
        </w:rPr>
        <w:t xml:space="preserve"> (Oct. 29, 2020) (Emphasis added).</w:t>
      </w:r>
    </w:p>
  </w:footnote>
  <w:footnote w:id="32">
    <w:p w:rsidR="009A2D12" w:rsidRPr="000231B2" w:rsidP="000231B2" w14:paraId="28434E78" w14:textId="7C9C6E28">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Entry directing the Staff to issue the attached RFP for audit services to conduct an additional corporate separation audit which includes examination of the time period leading up to the passage of Am. Sub. H.B. 6 and the subsequent referendum (Nov. 4, 2020).</w:t>
      </w:r>
    </w:p>
  </w:footnote>
  <w:footnote w:id="33">
    <w:p w:rsidR="009A2D12" w:rsidRPr="000231B2" w:rsidP="000231B2" w14:paraId="35FD8639" w14:textId="6B8FB403">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w:t>
      </w:r>
      <w:r w:rsidRPr="000231B2">
        <w:rPr>
          <w:rFonts w:ascii="Times New Roman" w:hAnsi="Times New Roman" w:cs="Times New Roman"/>
          <w:i/>
          <w:iCs/>
        </w:rPr>
        <w:t xml:space="preserve">Id. </w:t>
      </w:r>
      <w:r w:rsidRPr="000231B2">
        <w:rPr>
          <w:rFonts w:ascii="Times New Roman" w:hAnsi="Times New Roman" w:cs="Times New Roman"/>
        </w:rPr>
        <w:t>Request for Proposal No. RA20-CA-X, A Compliance Audit of the First Energy Operating Companies with the Corporate Separation Rules of the Public Utilities Commission of Ohio at 1-2.</w:t>
      </w:r>
    </w:p>
  </w:footnote>
  <w:footnote w:id="34">
    <w:p w:rsidR="009A2D12" w:rsidRPr="000231B2" w:rsidP="000231B2" w14:paraId="3B8FF71F" w14:textId="2750331E">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O.A.C. 4901:1-37-03(A).</w:t>
      </w:r>
    </w:p>
  </w:footnote>
  <w:footnote w:id="35">
    <w:p w:rsidR="009A2D12" w:rsidRPr="000231B2" w:rsidP="000231B2" w14:paraId="27A4F25B" w14:textId="587DF5E5">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O.A.C. 4901:1-37-04(D)(6), (10)(c).  </w:t>
      </w:r>
    </w:p>
  </w:footnote>
  <w:footnote w:id="36">
    <w:p w:rsidR="009A2D12" w:rsidRPr="000231B2" w:rsidP="000231B2" w14:paraId="048A92B0" w14:textId="4AC5C6C9">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O.A.C. 4901:1-37-05(B)(4),(7),(10).  </w:t>
      </w:r>
    </w:p>
  </w:footnote>
  <w:footnote w:id="37">
    <w:p w:rsidR="009A2D12" w:rsidRPr="000231B2" w:rsidP="000231B2" w14:paraId="143E0016" w14:textId="2067F266">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O.A.C. 4901:1-37-08(A). </w:t>
      </w:r>
    </w:p>
  </w:footnote>
  <w:footnote w:id="38">
    <w:p w:rsidR="009A2D12" w:rsidRPr="000231B2" w:rsidP="000231B2" w14:paraId="7385786A" w14:textId="3B4DECE2">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O.A.C. 4901:1-37-08(F).  </w:t>
      </w:r>
    </w:p>
  </w:footnote>
  <w:footnote w:id="39">
    <w:p w:rsidR="009A2D12" w:rsidRPr="000231B2" w:rsidP="000231B2" w14:paraId="796B1C4A" w14:textId="02F9CBE8">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FirstEnergy Utilities’ Motion for Partial Protective Order, Memorandum in Support at 5-7 (May 13, 2021). </w:t>
      </w:r>
    </w:p>
  </w:footnote>
  <w:footnote w:id="40">
    <w:p w:rsidR="009A2D12" w:rsidRPr="000231B2" w:rsidP="000231B2" w14:paraId="62342736" w14:textId="5D58EEC5">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i/>
          <w:iCs/>
        </w:rPr>
        <w:t xml:space="preserve"> In the Matter of the Review of the Political and Charitable Spending by Ohio Edison Company, the Cleveland Electric Illuminating Company and the Toledo Edison Company, </w:t>
      </w:r>
      <w:r w:rsidRPr="000231B2">
        <w:rPr>
          <w:rFonts w:ascii="Times New Roman" w:hAnsi="Times New Roman" w:cs="Times New Roman"/>
        </w:rPr>
        <w:t xml:space="preserve">Case No. 20-1502-EL-UNC, Revised Motion to Compel Responses to Discovery and Memorandum in Support, Attachments 1 and 2 (Nov. 10, 2020); </w:t>
      </w:r>
      <w:r w:rsidRPr="000231B2">
        <w:rPr>
          <w:rFonts w:ascii="Times New Roman" w:hAnsi="Times New Roman" w:cs="Times New Roman"/>
          <w:i/>
          <w:iCs/>
        </w:rPr>
        <w:t xml:space="preserve">Id., </w:t>
      </w:r>
      <w:r w:rsidRPr="000231B2">
        <w:rPr>
          <w:rFonts w:ascii="Times New Roman" w:hAnsi="Times New Roman" w:cs="Times New Roman"/>
        </w:rPr>
        <w:t>Transcript for Hearing Held on January 7, 2021 (Jan. 19, 2021).</w:t>
      </w:r>
    </w:p>
  </w:footnote>
  <w:footnote w:id="41">
    <w:p w:rsidR="009A2D12" w:rsidRPr="000231B2" w:rsidP="000231B2" w14:paraId="0904DF31" w14:textId="37CCDD20">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w:t>
      </w:r>
      <w:r w:rsidRPr="000231B2">
        <w:rPr>
          <w:rFonts w:ascii="Times New Roman" w:hAnsi="Times New Roman" w:cs="Times New Roman"/>
          <w:i/>
          <w:iCs/>
        </w:rPr>
        <w:t xml:space="preserve">Id. </w:t>
      </w:r>
      <w:r w:rsidRPr="000231B2">
        <w:rPr>
          <w:rFonts w:ascii="Times New Roman" w:hAnsi="Times New Roman" w:cs="Times New Roman"/>
        </w:rPr>
        <w:t>at 5-6.</w:t>
      </w:r>
    </w:p>
  </w:footnote>
  <w:footnote w:id="42">
    <w:p w:rsidR="009A2D12" w:rsidRPr="000231B2" w:rsidP="000231B2" w14:paraId="0AAE159F" w14:textId="77777777">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w:t>
      </w:r>
      <w:r w:rsidRPr="000231B2">
        <w:rPr>
          <w:rFonts w:ascii="Times New Roman" w:hAnsi="Times New Roman" w:cs="Times New Roman"/>
          <w:i/>
          <w:iCs/>
        </w:rPr>
        <w:t xml:space="preserve">FirstEnergy Corp. (FE) Q4 2020 Earnings Call Transcript, </w:t>
      </w:r>
      <w:r w:rsidRPr="000231B2">
        <w:rPr>
          <w:rFonts w:ascii="Times New Roman" w:hAnsi="Times New Roman" w:cs="Times New Roman"/>
        </w:rPr>
        <w:t xml:space="preserve">The Motley Fool (Feb. 18, 2021) (Emphasis added), available at: </w:t>
      </w:r>
      <w:hyperlink r:id="rId1" w:history="1">
        <w:r w:rsidRPr="000231B2">
          <w:rPr>
            <w:rStyle w:val="Hyperlink"/>
            <w:rFonts w:ascii="Times New Roman" w:hAnsi="Times New Roman" w:cs="Times New Roman"/>
          </w:rPr>
          <w:t>https://www.fool.com/earnings/call-transcripts/2021/02/18/firstenergy-corp-fe-q4-2020-earnings-call-transcri/</w:t>
        </w:r>
      </w:hyperlink>
    </w:p>
  </w:footnote>
  <w:footnote w:id="43">
    <w:p w:rsidR="009A2D12" w:rsidRPr="000231B2" w:rsidP="000231B2" w14:paraId="53802BAF" w14:textId="77777777">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Ohio Edison, FERC Form 1 at 123.12 (Apr. 6, 2021).</w:t>
      </w:r>
    </w:p>
  </w:footnote>
  <w:footnote w:id="44">
    <w:p w:rsidR="009A2D12" w:rsidRPr="000231B2" w:rsidP="000231B2" w14:paraId="1EBD6F37" w14:textId="494BDB22">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R.C. 4905.05.</w:t>
      </w:r>
    </w:p>
  </w:footnote>
  <w:footnote w:id="45">
    <w:p w:rsidR="009A2D12" w:rsidRPr="000231B2" w:rsidP="000231B2" w14:paraId="2721ACE0" w14:textId="7E227E44">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R.C. 4928.18(B) (Emphasis added).</w:t>
      </w:r>
    </w:p>
  </w:footnote>
  <w:footnote w:id="46">
    <w:p w:rsidR="009A2D12" w:rsidRPr="000231B2" w:rsidP="000231B2" w14:paraId="6BFB2EC7" w14:textId="0C52EB85">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O.A.C. 4901:1-37-03(A).</w:t>
      </w:r>
    </w:p>
  </w:footnote>
  <w:footnote w:id="47">
    <w:p w:rsidR="009A2D12" w:rsidRPr="000231B2" w:rsidP="000231B2" w14:paraId="1875BDCA" w14:textId="64605E88">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O.A.C. 4901:1-37-07(A) (Emphasis added).  </w:t>
      </w:r>
    </w:p>
  </w:footnote>
  <w:footnote w:id="48">
    <w:p w:rsidR="009A2D12" w:rsidRPr="000231B2" w:rsidP="000231B2" w14:paraId="123C09A2" w14:textId="642207AF">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O.A.C. 4901:1-37-07(B) (Emphasis added).</w:t>
      </w:r>
    </w:p>
  </w:footnote>
  <w:footnote w:id="49">
    <w:p w:rsidR="009A2D12" w:rsidRPr="000231B2" w:rsidP="000231B2" w14:paraId="72DAA110" w14:textId="3633AA38">
      <w:pPr>
        <w:autoSpaceDE w:val="0"/>
        <w:autoSpaceDN w:val="0"/>
        <w:adjustRightInd w:val="0"/>
        <w:spacing w:after="120" w:line="240" w:lineRule="auto"/>
        <w:rPr>
          <w:rFonts w:cs="Times New Roman"/>
          <w:sz w:val="20"/>
          <w:szCs w:val="20"/>
        </w:rPr>
      </w:pPr>
      <w:r w:rsidRPr="000231B2">
        <w:rPr>
          <w:rStyle w:val="FootnoteReference"/>
          <w:rFonts w:cs="Times New Roman"/>
          <w:sz w:val="20"/>
          <w:szCs w:val="20"/>
        </w:rPr>
        <w:footnoteRef/>
      </w:r>
      <w:r w:rsidRPr="000231B2">
        <w:rPr>
          <w:rFonts w:cs="Times New Roman"/>
          <w:sz w:val="20"/>
          <w:szCs w:val="20"/>
        </w:rPr>
        <w:t xml:space="preserve"> Although federal case law is not binding upon the PUCO with regard to interpreting the Ohio Civil Rules of Practice (upon which the PUCO discovery rules are based), it is instructive where, as here, Ohio's rule is similar to the federal rules. Ohio Adm. Code 4901-1-24 allows a protective order to limit discovery to protect against "undue burden and expense." C.R. 26(c) similarly allows a protective order to limit discovery “to protect against undue burden and expense." </w:t>
      </w:r>
      <w:r w:rsidRPr="000231B2">
        <w:rPr>
          <w:rFonts w:cs="Times New Roman"/>
          <w:i/>
          <w:sz w:val="20"/>
          <w:szCs w:val="20"/>
        </w:rPr>
        <w:t>Cf. In the Matter of the Investigation into Perry Nuclear Power Station</w:t>
      </w:r>
      <w:r w:rsidRPr="000231B2">
        <w:rPr>
          <w:rFonts w:cs="Times New Roman"/>
          <w:sz w:val="20"/>
          <w:szCs w:val="20"/>
        </w:rPr>
        <w:t>, Case No. 85-521-EL-COI, Entry at 14-15 (Mar. 17,1987), where the Commission opined that a motion for protective order on discovery must be "specific and detailed as to the reasons why providing the responses to matters***will be unduly burdensome."</w:t>
      </w:r>
    </w:p>
  </w:footnote>
  <w:footnote w:id="50">
    <w:p w:rsidR="009A2D12" w:rsidRPr="000231B2" w:rsidP="000231B2" w14:paraId="5AE72DA2" w14:textId="77777777">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w:t>
      </w:r>
      <w:r w:rsidRPr="000231B2">
        <w:rPr>
          <w:rFonts w:ascii="Times New Roman" w:hAnsi="Times New Roman" w:cs="Times New Roman"/>
          <w:i/>
        </w:rPr>
        <w:t>Trabon Engineering Corp. v. Eaton Manufacturing Co</w:t>
      </w:r>
      <w:r w:rsidRPr="000231B2">
        <w:rPr>
          <w:rFonts w:ascii="Times New Roman" w:hAnsi="Times New Roman" w:cs="Times New Roman"/>
        </w:rPr>
        <w:t>., (N.D. Ohio 1964), 37 F.R.D. 51, 54.</w:t>
      </w:r>
    </w:p>
  </w:footnote>
  <w:footnote w:id="51">
    <w:p w:rsidR="009A2D12" w:rsidRPr="000231B2" w:rsidP="000231B2" w14:paraId="71CE8EE4" w14:textId="77777777">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w:t>
      </w:r>
      <w:r w:rsidRPr="000231B2">
        <w:rPr>
          <w:rFonts w:ascii="Times New Roman" w:hAnsi="Times New Roman" w:cs="Times New Roman"/>
          <w:i/>
        </w:rPr>
        <w:t xml:space="preserve">Gulf Oil Corp, v Schlesinger, </w:t>
      </w:r>
      <w:r w:rsidRPr="000231B2">
        <w:rPr>
          <w:rFonts w:ascii="Times New Roman" w:hAnsi="Times New Roman" w:cs="Times New Roman"/>
        </w:rPr>
        <w:t>(E.D.Pa. 1979), 465 F.Supp. 913, 916-917.</w:t>
      </w:r>
    </w:p>
  </w:footnote>
  <w:footnote w:id="52">
    <w:p w:rsidR="009A2D12" w:rsidRPr="000231B2" w:rsidP="000231B2" w14:paraId="57E07DC6" w14:textId="2325D055">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Entry directing the Staff to issue the attached RFP for audit services to conduct an additional corporate separation audit which includes examination of the time period leading up to the passage of Am. Sub. H.B. 6 and the subsequent referendum at ¶17 (Nov. 4, 2020).</w:t>
      </w:r>
    </w:p>
  </w:footnote>
  <w:footnote w:id="53">
    <w:p w:rsidR="009A2D12" w:rsidRPr="000231B2" w:rsidP="000231B2" w14:paraId="2152F455" w14:textId="7716075F">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w:t>
      </w:r>
      <w:r w:rsidRPr="000231B2">
        <w:rPr>
          <w:rFonts w:ascii="Times New Roman" w:hAnsi="Times New Roman" w:cs="Times New Roman"/>
          <w:i/>
          <w:iCs/>
        </w:rPr>
        <w:t xml:space="preserve">United </w:t>
      </w:r>
      <w:r w:rsidRPr="000231B2">
        <w:rPr>
          <w:rFonts w:ascii="Times New Roman" w:eastAsia="Times New Roman" w:hAnsi="Times New Roman" w:cs="Times New Roman"/>
          <w:i/>
          <w:iCs/>
        </w:rPr>
        <w:t>States of America v. Larry Householder, Jeffrey Longstreth, Neil Clark, Matthew Borges, Juan Cespedes, and Generation Now</w:t>
      </w:r>
      <w:r w:rsidRPr="000231B2">
        <w:rPr>
          <w:rFonts w:ascii="Times New Roman" w:eastAsia="Times New Roman" w:hAnsi="Times New Roman" w:cs="Times New Roman"/>
        </w:rPr>
        <w:t>, Case No. 1:20-MJ-00526 (U.S. Dist. S.D.) (July 17, 2020).</w:t>
      </w:r>
    </w:p>
  </w:footnote>
  <w:footnote w:id="54">
    <w:p w:rsidR="009A2D12" w:rsidRPr="000231B2" w:rsidP="000231B2" w14:paraId="204CFAD1" w14:textId="7CB61A6D">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Caniglia, J., </w:t>
      </w:r>
      <w:r w:rsidRPr="000231B2">
        <w:rPr>
          <w:rFonts w:ascii="Times New Roman" w:hAnsi="Times New Roman" w:cs="Times New Roman"/>
          <w:i/>
          <w:iCs/>
        </w:rPr>
        <w:t xml:space="preserve">Generation Now, the nonprofit that prosecutors say received millions in bribes, pleads guilty to racketeering charge involving House Bill 6, </w:t>
      </w:r>
      <w:r w:rsidRPr="000231B2">
        <w:rPr>
          <w:rFonts w:ascii="Times New Roman" w:hAnsi="Times New Roman" w:cs="Times New Roman"/>
        </w:rPr>
        <w:t>Cleveland.com (Feb. 19, 2021).</w:t>
      </w:r>
    </w:p>
  </w:footnote>
  <w:footnote w:id="55">
    <w:p w:rsidR="009A2D12" w:rsidRPr="000231B2" w:rsidP="000231B2" w14:paraId="4CCDF457" w14:textId="6796C704">
      <w:pPr>
        <w:pStyle w:val="FootnoteText"/>
        <w:spacing w:after="120"/>
        <w:rPr>
          <w:rFonts w:ascii="Times New Roman" w:hAnsi="Times New Roman" w:cs="Times New Roman"/>
        </w:rPr>
      </w:pPr>
      <w:r w:rsidRPr="000231B2">
        <w:rPr>
          <w:rStyle w:val="FootnoteReference"/>
          <w:rFonts w:ascii="Times New Roman" w:hAnsi="Times New Roman" w:cs="Times New Roman"/>
        </w:rPr>
        <w:footnoteRef/>
      </w:r>
      <w:r w:rsidRPr="000231B2">
        <w:rPr>
          <w:rFonts w:ascii="Times New Roman" w:hAnsi="Times New Roman" w:cs="Times New Roman"/>
        </w:rPr>
        <w:t xml:space="preserve"> </w:t>
      </w:r>
      <w:r w:rsidRPr="000231B2">
        <w:rPr>
          <w:rFonts w:ascii="Times New Roman" w:hAnsi="Times New Roman" w:cs="Times New Roman"/>
          <w:i/>
          <w:iCs/>
        </w:rPr>
        <w:t xml:space="preserve">In the Matter of the Review of the Political and Charitable Spending by Ohio Edison Company, the Cleveland Electric Illuminating Company and the Toledo Edison Company, </w:t>
      </w:r>
      <w:r w:rsidRPr="000231B2">
        <w:rPr>
          <w:rFonts w:ascii="Times New Roman" w:hAnsi="Times New Roman" w:cs="Times New Roman"/>
        </w:rPr>
        <w:t>Case No. 20-1502-EL-UNC, Deposition of Santino L. Fanelli at 129-137 (Mar. 9,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FA33D3"/>
    <w:multiLevelType w:val="hybridMultilevel"/>
    <w:tmpl w:val="FB4E8F5A"/>
    <w:lvl w:ilvl="0">
      <w:start w:val="1"/>
      <w:numFmt w:val="upperLetter"/>
      <w:lvlText w:val="%1."/>
      <w:lvlJc w:val="left"/>
      <w:pPr>
        <w:ind w:left="990" w:hanging="360"/>
      </w:pPr>
      <w:rPr>
        <w:rFonts w:ascii="Times New Roman" w:hAnsi="Times New Roman" w:cs="Times New Roman" w:hint="default"/>
        <w:b/>
        <w:bCs/>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
    <w:nsid w:val="093C65E8"/>
    <w:multiLevelType w:val="hybridMultilevel"/>
    <w:tmpl w:val="81C4A802"/>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2">
    <w:nsid w:val="0D047711"/>
    <w:multiLevelType w:val="hybridMultilevel"/>
    <w:tmpl w:val="79E82CF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0A54CF0"/>
    <w:multiLevelType w:val="hybridMultilevel"/>
    <w:tmpl w:val="249E4AA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0869DC"/>
    <w:multiLevelType w:val="hybridMultilevel"/>
    <w:tmpl w:val="6A9E9E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81B7BC4"/>
    <w:multiLevelType w:val="hybridMultilevel"/>
    <w:tmpl w:val="C05054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B117EFD"/>
    <w:multiLevelType w:val="hybridMultilevel"/>
    <w:tmpl w:val="F9D88C9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32C026C5"/>
    <w:multiLevelType w:val="hybridMultilevel"/>
    <w:tmpl w:val="3F061DD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3FBA7527"/>
    <w:multiLevelType w:val="hybridMultilevel"/>
    <w:tmpl w:val="68B094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4458183A"/>
    <w:multiLevelType w:val="hybridMultilevel"/>
    <w:tmpl w:val="B186F830"/>
    <w:lvl w:ilvl="0">
      <w:start w:val="3"/>
      <w:numFmt w:val="upperRoman"/>
      <w:pStyle w:val="Heading1"/>
      <w:lvlText w:val="%1."/>
      <w:lvlJc w:val="left"/>
      <w:pPr>
        <w:ind w:left="2790" w:hanging="720"/>
      </w:pPr>
      <w:rPr>
        <w:rFonts w:hint="default"/>
      </w:rPr>
    </w:lvl>
    <w:lvl w:ilvl="1" w:tentative="1">
      <w:start w:val="1"/>
      <w:numFmt w:val="lowerLetter"/>
      <w:lvlText w:val="%2."/>
      <w:lvlJc w:val="left"/>
      <w:pPr>
        <w:ind w:left="3150" w:hanging="360"/>
      </w:pPr>
    </w:lvl>
    <w:lvl w:ilvl="2" w:tentative="1">
      <w:start w:val="1"/>
      <w:numFmt w:val="lowerRoman"/>
      <w:lvlText w:val="%3."/>
      <w:lvlJc w:val="right"/>
      <w:pPr>
        <w:ind w:left="3870" w:hanging="180"/>
      </w:pPr>
    </w:lvl>
    <w:lvl w:ilvl="3" w:tentative="1">
      <w:start w:val="1"/>
      <w:numFmt w:val="decimal"/>
      <w:lvlText w:val="%4."/>
      <w:lvlJc w:val="left"/>
      <w:pPr>
        <w:ind w:left="4590" w:hanging="360"/>
      </w:pPr>
    </w:lvl>
    <w:lvl w:ilvl="4" w:tentative="1">
      <w:start w:val="1"/>
      <w:numFmt w:val="lowerLetter"/>
      <w:lvlText w:val="%5."/>
      <w:lvlJc w:val="left"/>
      <w:pPr>
        <w:ind w:left="5310" w:hanging="360"/>
      </w:pPr>
    </w:lvl>
    <w:lvl w:ilvl="5" w:tentative="1">
      <w:start w:val="1"/>
      <w:numFmt w:val="lowerRoman"/>
      <w:lvlText w:val="%6."/>
      <w:lvlJc w:val="right"/>
      <w:pPr>
        <w:ind w:left="6030" w:hanging="180"/>
      </w:pPr>
    </w:lvl>
    <w:lvl w:ilvl="6" w:tentative="1">
      <w:start w:val="1"/>
      <w:numFmt w:val="decimal"/>
      <w:lvlText w:val="%7."/>
      <w:lvlJc w:val="left"/>
      <w:pPr>
        <w:ind w:left="6750" w:hanging="360"/>
      </w:pPr>
    </w:lvl>
    <w:lvl w:ilvl="7" w:tentative="1">
      <w:start w:val="1"/>
      <w:numFmt w:val="lowerLetter"/>
      <w:lvlText w:val="%8."/>
      <w:lvlJc w:val="left"/>
      <w:pPr>
        <w:ind w:left="7470" w:hanging="360"/>
      </w:pPr>
    </w:lvl>
    <w:lvl w:ilvl="8" w:tentative="1">
      <w:start w:val="1"/>
      <w:numFmt w:val="lowerRoman"/>
      <w:lvlText w:val="%9."/>
      <w:lvlJc w:val="right"/>
      <w:pPr>
        <w:ind w:left="8190" w:hanging="180"/>
      </w:pPr>
    </w:lvl>
  </w:abstractNum>
  <w:abstractNum w:abstractNumId="10">
    <w:nsid w:val="53A47EA9"/>
    <w:multiLevelType w:val="hybridMultilevel"/>
    <w:tmpl w:val="15D84206"/>
    <w:lvl w:ilvl="0">
      <w:start w:val="0"/>
      <w:numFmt w:val="bullet"/>
      <w:lvlText w:val=""/>
      <w:lvlJc w:val="left"/>
      <w:pPr>
        <w:ind w:left="2520" w:hanging="360"/>
      </w:pPr>
      <w:rPr>
        <w:rFonts w:ascii="Symbol" w:hAnsi="Symbol" w:eastAsiaTheme="minorHAnsi" w:cstheme="minorBidi"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1">
    <w:nsid w:val="55893D15"/>
    <w:multiLevelType w:val="hybridMultilevel"/>
    <w:tmpl w:val="6C00BE8E"/>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C213155"/>
    <w:multiLevelType w:val="hybridMultilevel"/>
    <w:tmpl w:val="C4DA9812"/>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EC4471E"/>
    <w:multiLevelType w:val="hybridMultilevel"/>
    <w:tmpl w:val="0EECB84A"/>
    <w:lvl w:ilvl="0">
      <w:start w:val="1"/>
      <w:numFmt w:val="upperRoman"/>
      <w:lvlText w:val="%1."/>
      <w:lvlJc w:val="left"/>
      <w:pPr>
        <w:ind w:left="2430" w:hanging="360"/>
      </w:pPr>
      <w:rPr>
        <w:rFonts w:hint="default"/>
      </w:rPr>
    </w:lvl>
    <w:lvl w:ilvl="1">
      <w:start w:val="1"/>
      <w:numFmt w:val="upperLetter"/>
      <w:lvlText w:val="%2."/>
      <w:lvlJc w:val="left"/>
      <w:pPr>
        <w:ind w:left="1440" w:hanging="360"/>
      </w:pPr>
    </w:lvl>
    <w:lvl w:ilvl="2">
      <w:start w:val="1"/>
      <w:numFmt w:val="decimal"/>
      <w:lvlText w:val="%3."/>
      <w:lvlJc w:val="left"/>
      <w:pPr>
        <w:ind w:left="2160" w:hanging="180"/>
      </w:pPr>
      <w:rPr>
        <w:rFonts w:hint="default"/>
      </w:rPr>
    </w:lvl>
    <w:lvl w:ilvl="3">
      <w:start w:val="1"/>
      <w:numFmt w:val="decimal"/>
      <w:lvlText w:val="%4."/>
      <w:lvlJc w:val="left"/>
      <w:pPr>
        <w:ind w:left="2070" w:hanging="360"/>
      </w:pPr>
      <w:rPr>
        <w:b/>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42364BE"/>
    <w:multiLevelType w:val="hybridMultilevel"/>
    <w:tmpl w:val="0A46867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68B11564"/>
    <w:multiLevelType w:val="hybridMultilevel"/>
    <w:tmpl w:val="91E8E0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7EB06842"/>
    <w:multiLevelType w:val="hybridMultilevel"/>
    <w:tmpl w:val="15C0DE5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5"/>
  </w:num>
  <w:num w:numId="5">
    <w:abstractNumId w:val="7"/>
  </w:num>
  <w:num w:numId="6">
    <w:abstractNumId w:val="15"/>
  </w:num>
  <w:num w:numId="7">
    <w:abstractNumId w:val="6"/>
  </w:num>
  <w:num w:numId="8">
    <w:abstractNumId w:val="13"/>
  </w:num>
  <w:num w:numId="9">
    <w:abstractNumId w:val="11"/>
  </w:num>
  <w:num w:numId="10">
    <w:abstractNumId w:val="16"/>
  </w:num>
  <w:num w:numId="11">
    <w:abstractNumId w:val="9"/>
  </w:num>
  <w:num w:numId="12">
    <w:abstractNumId w:val="12"/>
  </w:num>
  <w:num w:numId="13">
    <w:abstractNumId w:val="14"/>
  </w:num>
  <w:num w:numId="14">
    <w:abstractNumId w:val="3"/>
  </w:num>
  <w:num w:numId="15">
    <w:abstractNumId w:val="0"/>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8A"/>
    <w:rsid w:val="0000210C"/>
    <w:rsid w:val="00003B4B"/>
    <w:rsid w:val="000044B6"/>
    <w:rsid w:val="000059AC"/>
    <w:rsid w:val="00006155"/>
    <w:rsid w:val="00006243"/>
    <w:rsid w:val="0000646A"/>
    <w:rsid w:val="00006584"/>
    <w:rsid w:val="00006640"/>
    <w:rsid w:val="00015299"/>
    <w:rsid w:val="0001579C"/>
    <w:rsid w:val="000171A1"/>
    <w:rsid w:val="00021FA7"/>
    <w:rsid w:val="000231B2"/>
    <w:rsid w:val="0002561C"/>
    <w:rsid w:val="00030181"/>
    <w:rsid w:val="0003365F"/>
    <w:rsid w:val="00034C9D"/>
    <w:rsid w:val="0003578A"/>
    <w:rsid w:val="00035FE5"/>
    <w:rsid w:val="00046A26"/>
    <w:rsid w:val="0005003B"/>
    <w:rsid w:val="0005335F"/>
    <w:rsid w:val="0005432E"/>
    <w:rsid w:val="00056B38"/>
    <w:rsid w:val="0006143C"/>
    <w:rsid w:val="00066342"/>
    <w:rsid w:val="00066D29"/>
    <w:rsid w:val="00067DB7"/>
    <w:rsid w:val="00071BDB"/>
    <w:rsid w:val="0007419E"/>
    <w:rsid w:val="0008205A"/>
    <w:rsid w:val="00085E5E"/>
    <w:rsid w:val="00087897"/>
    <w:rsid w:val="00093FF7"/>
    <w:rsid w:val="00096965"/>
    <w:rsid w:val="00097429"/>
    <w:rsid w:val="000A0033"/>
    <w:rsid w:val="000A44C6"/>
    <w:rsid w:val="000A76F7"/>
    <w:rsid w:val="000A78C8"/>
    <w:rsid w:val="000A79A6"/>
    <w:rsid w:val="000B15CF"/>
    <w:rsid w:val="000B4D40"/>
    <w:rsid w:val="000B7D66"/>
    <w:rsid w:val="000C4D18"/>
    <w:rsid w:val="000D0410"/>
    <w:rsid w:val="000D2E5B"/>
    <w:rsid w:val="000E1A4F"/>
    <w:rsid w:val="000E3093"/>
    <w:rsid w:val="000E56DF"/>
    <w:rsid w:val="000E72CA"/>
    <w:rsid w:val="000E7789"/>
    <w:rsid w:val="000F2F85"/>
    <w:rsid w:val="00104584"/>
    <w:rsid w:val="00104975"/>
    <w:rsid w:val="00106619"/>
    <w:rsid w:val="001072B1"/>
    <w:rsid w:val="001108B8"/>
    <w:rsid w:val="00121823"/>
    <w:rsid w:val="00123BE9"/>
    <w:rsid w:val="0013375E"/>
    <w:rsid w:val="0014067F"/>
    <w:rsid w:val="00140B49"/>
    <w:rsid w:val="0014266B"/>
    <w:rsid w:val="001502CB"/>
    <w:rsid w:val="0015143A"/>
    <w:rsid w:val="001539E3"/>
    <w:rsid w:val="00153A50"/>
    <w:rsid w:val="00155182"/>
    <w:rsid w:val="00155906"/>
    <w:rsid w:val="00160AA0"/>
    <w:rsid w:val="0016768D"/>
    <w:rsid w:val="0017032C"/>
    <w:rsid w:val="0018386C"/>
    <w:rsid w:val="00185F1A"/>
    <w:rsid w:val="0019205B"/>
    <w:rsid w:val="00194FE2"/>
    <w:rsid w:val="00196928"/>
    <w:rsid w:val="00197107"/>
    <w:rsid w:val="001A001C"/>
    <w:rsid w:val="001A43B7"/>
    <w:rsid w:val="001A5FBA"/>
    <w:rsid w:val="001B3D8E"/>
    <w:rsid w:val="001B4746"/>
    <w:rsid w:val="001B704E"/>
    <w:rsid w:val="001C1920"/>
    <w:rsid w:val="001C6983"/>
    <w:rsid w:val="001D2069"/>
    <w:rsid w:val="001E3543"/>
    <w:rsid w:val="001E4D10"/>
    <w:rsid w:val="001E6BEB"/>
    <w:rsid w:val="001F2934"/>
    <w:rsid w:val="001F7235"/>
    <w:rsid w:val="00201D2A"/>
    <w:rsid w:val="002021E0"/>
    <w:rsid w:val="00211740"/>
    <w:rsid w:val="00214063"/>
    <w:rsid w:val="0021536E"/>
    <w:rsid w:val="002205B4"/>
    <w:rsid w:val="002234BF"/>
    <w:rsid w:val="00231939"/>
    <w:rsid w:val="00233AA6"/>
    <w:rsid w:val="00233D62"/>
    <w:rsid w:val="0023632B"/>
    <w:rsid w:val="002372EA"/>
    <w:rsid w:val="0024427F"/>
    <w:rsid w:val="0024521A"/>
    <w:rsid w:val="00245BA0"/>
    <w:rsid w:val="00251A7B"/>
    <w:rsid w:val="0026083E"/>
    <w:rsid w:val="00261104"/>
    <w:rsid w:val="002635D8"/>
    <w:rsid w:val="00263A68"/>
    <w:rsid w:val="002652FA"/>
    <w:rsid w:val="00265306"/>
    <w:rsid w:val="00265EBA"/>
    <w:rsid w:val="00267DDE"/>
    <w:rsid w:val="002752C3"/>
    <w:rsid w:val="002810D2"/>
    <w:rsid w:val="00282981"/>
    <w:rsid w:val="002861CA"/>
    <w:rsid w:val="002911D7"/>
    <w:rsid w:val="002A1324"/>
    <w:rsid w:val="002A1CED"/>
    <w:rsid w:val="002A467F"/>
    <w:rsid w:val="002A7BB3"/>
    <w:rsid w:val="002B03B1"/>
    <w:rsid w:val="002B2CCE"/>
    <w:rsid w:val="002C30E1"/>
    <w:rsid w:val="002C3E6E"/>
    <w:rsid w:val="002C6336"/>
    <w:rsid w:val="002C66EC"/>
    <w:rsid w:val="002C7CB1"/>
    <w:rsid w:val="002D0764"/>
    <w:rsid w:val="002D13D1"/>
    <w:rsid w:val="002D48B1"/>
    <w:rsid w:val="002E294B"/>
    <w:rsid w:val="002E6B09"/>
    <w:rsid w:val="002E7599"/>
    <w:rsid w:val="002F495F"/>
    <w:rsid w:val="002F589D"/>
    <w:rsid w:val="002F5CF1"/>
    <w:rsid w:val="002F5F66"/>
    <w:rsid w:val="00303862"/>
    <w:rsid w:val="003047D5"/>
    <w:rsid w:val="00307E31"/>
    <w:rsid w:val="003168E4"/>
    <w:rsid w:val="00316AB8"/>
    <w:rsid w:val="00320416"/>
    <w:rsid w:val="003306E6"/>
    <w:rsid w:val="00334272"/>
    <w:rsid w:val="003343CF"/>
    <w:rsid w:val="0033728C"/>
    <w:rsid w:val="00337836"/>
    <w:rsid w:val="00342642"/>
    <w:rsid w:val="0034352E"/>
    <w:rsid w:val="00346095"/>
    <w:rsid w:val="00353431"/>
    <w:rsid w:val="00355566"/>
    <w:rsid w:val="00356389"/>
    <w:rsid w:val="00363BF3"/>
    <w:rsid w:val="00366881"/>
    <w:rsid w:val="003726B8"/>
    <w:rsid w:val="0037381A"/>
    <w:rsid w:val="00373927"/>
    <w:rsid w:val="003776F2"/>
    <w:rsid w:val="00384145"/>
    <w:rsid w:val="003872B7"/>
    <w:rsid w:val="00387C09"/>
    <w:rsid w:val="00390219"/>
    <w:rsid w:val="003953A1"/>
    <w:rsid w:val="003969BD"/>
    <w:rsid w:val="00396CA9"/>
    <w:rsid w:val="003A1076"/>
    <w:rsid w:val="003A7908"/>
    <w:rsid w:val="003A7C2B"/>
    <w:rsid w:val="003B2546"/>
    <w:rsid w:val="003C3378"/>
    <w:rsid w:val="003C3F4C"/>
    <w:rsid w:val="003C5525"/>
    <w:rsid w:val="003C7A1A"/>
    <w:rsid w:val="003D2C29"/>
    <w:rsid w:val="003D69E0"/>
    <w:rsid w:val="003D793D"/>
    <w:rsid w:val="003E39AD"/>
    <w:rsid w:val="003E7FCF"/>
    <w:rsid w:val="003F3A9D"/>
    <w:rsid w:val="003F6BA3"/>
    <w:rsid w:val="003F740B"/>
    <w:rsid w:val="00401532"/>
    <w:rsid w:val="004024EB"/>
    <w:rsid w:val="00406192"/>
    <w:rsid w:val="00413711"/>
    <w:rsid w:val="00420705"/>
    <w:rsid w:val="00420F3D"/>
    <w:rsid w:val="004215EB"/>
    <w:rsid w:val="004226F5"/>
    <w:rsid w:val="00423176"/>
    <w:rsid w:val="00425F88"/>
    <w:rsid w:val="00427240"/>
    <w:rsid w:val="00433511"/>
    <w:rsid w:val="004421DD"/>
    <w:rsid w:val="004442DA"/>
    <w:rsid w:val="00451714"/>
    <w:rsid w:val="00452DA8"/>
    <w:rsid w:val="004558B7"/>
    <w:rsid w:val="00456342"/>
    <w:rsid w:val="00463262"/>
    <w:rsid w:val="00466CA1"/>
    <w:rsid w:val="0047289F"/>
    <w:rsid w:val="004767C4"/>
    <w:rsid w:val="004800A1"/>
    <w:rsid w:val="00482968"/>
    <w:rsid w:val="00485147"/>
    <w:rsid w:val="0049219B"/>
    <w:rsid w:val="00493F53"/>
    <w:rsid w:val="00494F58"/>
    <w:rsid w:val="00496222"/>
    <w:rsid w:val="00497A78"/>
    <w:rsid w:val="00497A7E"/>
    <w:rsid w:val="004A336B"/>
    <w:rsid w:val="004A59E9"/>
    <w:rsid w:val="004A5A97"/>
    <w:rsid w:val="004A5F1F"/>
    <w:rsid w:val="004A6170"/>
    <w:rsid w:val="004B288D"/>
    <w:rsid w:val="004B39F6"/>
    <w:rsid w:val="004B7047"/>
    <w:rsid w:val="004B7B1C"/>
    <w:rsid w:val="004B7E25"/>
    <w:rsid w:val="004C0C6C"/>
    <w:rsid w:val="004C738C"/>
    <w:rsid w:val="004C7C3A"/>
    <w:rsid w:val="004D23A4"/>
    <w:rsid w:val="004E0143"/>
    <w:rsid w:val="004E1D95"/>
    <w:rsid w:val="004E4CA6"/>
    <w:rsid w:val="004E595A"/>
    <w:rsid w:val="004E6015"/>
    <w:rsid w:val="004F3727"/>
    <w:rsid w:val="00502FC7"/>
    <w:rsid w:val="00511626"/>
    <w:rsid w:val="005126EA"/>
    <w:rsid w:val="00514C00"/>
    <w:rsid w:val="00523BD8"/>
    <w:rsid w:val="0052413E"/>
    <w:rsid w:val="00525CB3"/>
    <w:rsid w:val="0052743B"/>
    <w:rsid w:val="00530517"/>
    <w:rsid w:val="00531E18"/>
    <w:rsid w:val="00533AA6"/>
    <w:rsid w:val="00533C0D"/>
    <w:rsid w:val="00533FCE"/>
    <w:rsid w:val="00534195"/>
    <w:rsid w:val="00537003"/>
    <w:rsid w:val="0054155F"/>
    <w:rsid w:val="00550AB4"/>
    <w:rsid w:val="00553236"/>
    <w:rsid w:val="00553AA1"/>
    <w:rsid w:val="00553BBF"/>
    <w:rsid w:val="005578FC"/>
    <w:rsid w:val="00563999"/>
    <w:rsid w:val="0056438D"/>
    <w:rsid w:val="005710E2"/>
    <w:rsid w:val="005737F5"/>
    <w:rsid w:val="00574BC2"/>
    <w:rsid w:val="00575155"/>
    <w:rsid w:val="00581A2C"/>
    <w:rsid w:val="0058323E"/>
    <w:rsid w:val="005978F5"/>
    <w:rsid w:val="00597C63"/>
    <w:rsid w:val="00597CE6"/>
    <w:rsid w:val="005A186B"/>
    <w:rsid w:val="005B019B"/>
    <w:rsid w:val="005B0769"/>
    <w:rsid w:val="005C0785"/>
    <w:rsid w:val="005C1350"/>
    <w:rsid w:val="005C7EDE"/>
    <w:rsid w:val="005D1155"/>
    <w:rsid w:val="005E008A"/>
    <w:rsid w:val="005E1170"/>
    <w:rsid w:val="005E205C"/>
    <w:rsid w:val="005E4025"/>
    <w:rsid w:val="005F065C"/>
    <w:rsid w:val="005F089C"/>
    <w:rsid w:val="005F163D"/>
    <w:rsid w:val="005F563D"/>
    <w:rsid w:val="005F56D2"/>
    <w:rsid w:val="005F7F7A"/>
    <w:rsid w:val="00604959"/>
    <w:rsid w:val="00605969"/>
    <w:rsid w:val="0060622B"/>
    <w:rsid w:val="0060627A"/>
    <w:rsid w:val="00611CF5"/>
    <w:rsid w:val="00611D8D"/>
    <w:rsid w:val="00612E28"/>
    <w:rsid w:val="00617286"/>
    <w:rsid w:val="006201A9"/>
    <w:rsid w:val="00623EBD"/>
    <w:rsid w:val="00632179"/>
    <w:rsid w:val="00633AA4"/>
    <w:rsid w:val="00633EC8"/>
    <w:rsid w:val="00637B32"/>
    <w:rsid w:val="00641A7D"/>
    <w:rsid w:val="00645777"/>
    <w:rsid w:val="00655391"/>
    <w:rsid w:val="00655A2C"/>
    <w:rsid w:val="006562CC"/>
    <w:rsid w:val="006570B4"/>
    <w:rsid w:val="00657B6C"/>
    <w:rsid w:val="0066131F"/>
    <w:rsid w:val="00662553"/>
    <w:rsid w:val="00662CAB"/>
    <w:rsid w:val="006650CB"/>
    <w:rsid w:val="00677BBC"/>
    <w:rsid w:val="0068102A"/>
    <w:rsid w:val="00681F50"/>
    <w:rsid w:val="006838F8"/>
    <w:rsid w:val="00683FF5"/>
    <w:rsid w:val="00685217"/>
    <w:rsid w:val="006916BE"/>
    <w:rsid w:val="00696421"/>
    <w:rsid w:val="006A5EF4"/>
    <w:rsid w:val="006B3B65"/>
    <w:rsid w:val="006B3DE7"/>
    <w:rsid w:val="006B3EB7"/>
    <w:rsid w:val="006B551F"/>
    <w:rsid w:val="006B573B"/>
    <w:rsid w:val="006C3978"/>
    <w:rsid w:val="006C3C57"/>
    <w:rsid w:val="006C7283"/>
    <w:rsid w:val="006D3820"/>
    <w:rsid w:val="006D6B1F"/>
    <w:rsid w:val="006D7726"/>
    <w:rsid w:val="006E235F"/>
    <w:rsid w:val="006F61A3"/>
    <w:rsid w:val="006F7396"/>
    <w:rsid w:val="007105CA"/>
    <w:rsid w:val="007109BD"/>
    <w:rsid w:val="007200FA"/>
    <w:rsid w:val="00723AFC"/>
    <w:rsid w:val="007323DE"/>
    <w:rsid w:val="007355B6"/>
    <w:rsid w:val="00745086"/>
    <w:rsid w:val="00746350"/>
    <w:rsid w:val="00747DDC"/>
    <w:rsid w:val="0075262B"/>
    <w:rsid w:val="0076096F"/>
    <w:rsid w:val="00760F4E"/>
    <w:rsid w:val="00764490"/>
    <w:rsid w:val="007774CF"/>
    <w:rsid w:val="00777DBE"/>
    <w:rsid w:val="00787AE6"/>
    <w:rsid w:val="00791207"/>
    <w:rsid w:val="007914D1"/>
    <w:rsid w:val="00792AE7"/>
    <w:rsid w:val="00797C21"/>
    <w:rsid w:val="007A6EEF"/>
    <w:rsid w:val="007B14B2"/>
    <w:rsid w:val="007C2F91"/>
    <w:rsid w:val="007C4682"/>
    <w:rsid w:val="007C486B"/>
    <w:rsid w:val="007D533C"/>
    <w:rsid w:val="007D623C"/>
    <w:rsid w:val="007E1D7F"/>
    <w:rsid w:val="007E79A4"/>
    <w:rsid w:val="007F0112"/>
    <w:rsid w:val="007F15FB"/>
    <w:rsid w:val="007F66D6"/>
    <w:rsid w:val="007F6778"/>
    <w:rsid w:val="007F6DAC"/>
    <w:rsid w:val="00800348"/>
    <w:rsid w:val="008027C1"/>
    <w:rsid w:val="00806481"/>
    <w:rsid w:val="0080726F"/>
    <w:rsid w:val="00807F0D"/>
    <w:rsid w:val="0081360E"/>
    <w:rsid w:val="0081416A"/>
    <w:rsid w:val="00815457"/>
    <w:rsid w:val="0082726A"/>
    <w:rsid w:val="00827624"/>
    <w:rsid w:val="00832469"/>
    <w:rsid w:val="008356B0"/>
    <w:rsid w:val="00836263"/>
    <w:rsid w:val="0084137A"/>
    <w:rsid w:val="008418FD"/>
    <w:rsid w:val="00844EB5"/>
    <w:rsid w:val="00847553"/>
    <w:rsid w:val="00852319"/>
    <w:rsid w:val="00856FB1"/>
    <w:rsid w:val="00864516"/>
    <w:rsid w:val="00864F9C"/>
    <w:rsid w:val="00866CBD"/>
    <w:rsid w:val="00872CE6"/>
    <w:rsid w:val="008810E2"/>
    <w:rsid w:val="00881710"/>
    <w:rsid w:val="00882508"/>
    <w:rsid w:val="008A5355"/>
    <w:rsid w:val="008A6D7A"/>
    <w:rsid w:val="008A7E64"/>
    <w:rsid w:val="008B2447"/>
    <w:rsid w:val="008B5556"/>
    <w:rsid w:val="008B5809"/>
    <w:rsid w:val="008B616A"/>
    <w:rsid w:val="008B6BA4"/>
    <w:rsid w:val="008C6B98"/>
    <w:rsid w:val="008D3A72"/>
    <w:rsid w:val="008D43B7"/>
    <w:rsid w:val="008D725D"/>
    <w:rsid w:val="008E326E"/>
    <w:rsid w:val="008E6ACF"/>
    <w:rsid w:val="008E7EBF"/>
    <w:rsid w:val="008F21B2"/>
    <w:rsid w:val="009111FB"/>
    <w:rsid w:val="00912185"/>
    <w:rsid w:val="009150E2"/>
    <w:rsid w:val="00915595"/>
    <w:rsid w:val="00916D22"/>
    <w:rsid w:val="009214E5"/>
    <w:rsid w:val="00922D61"/>
    <w:rsid w:val="0092727A"/>
    <w:rsid w:val="00930672"/>
    <w:rsid w:val="00932AF0"/>
    <w:rsid w:val="00936A5F"/>
    <w:rsid w:val="0094183B"/>
    <w:rsid w:val="009454AD"/>
    <w:rsid w:val="00950CDF"/>
    <w:rsid w:val="00954B6D"/>
    <w:rsid w:val="00955F72"/>
    <w:rsid w:val="00956E0D"/>
    <w:rsid w:val="00974972"/>
    <w:rsid w:val="009755CB"/>
    <w:rsid w:val="0098497E"/>
    <w:rsid w:val="00990689"/>
    <w:rsid w:val="00991E02"/>
    <w:rsid w:val="00992E12"/>
    <w:rsid w:val="00996E61"/>
    <w:rsid w:val="00997E56"/>
    <w:rsid w:val="009A1F5D"/>
    <w:rsid w:val="009A2D12"/>
    <w:rsid w:val="009A2DA8"/>
    <w:rsid w:val="009A456C"/>
    <w:rsid w:val="009A7B90"/>
    <w:rsid w:val="009B6227"/>
    <w:rsid w:val="009B7247"/>
    <w:rsid w:val="009C0062"/>
    <w:rsid w:val="009C1D7D"/>
    <w:rsid w:val="009C572D"/>
    <w:rsid w:val="009C6912"/>
    <w:rsid w:val="009D1DFB"/>
    <w:rsid w:val="009D2C86"/>
    <w:rsid w:val="009D45C2"/>
    <w:rsid w:val="009D50A4"/>
    <w:rsid w:val="009E116C"/>
    <w:rsid w:val="009E2810"/>
    <w:rsid w:val="009E3080"/>
    <w:rsid w:val="009F097B"/>
    <w:rsid w:val="00A02067"/>
    <w:rsid w:val="00A02E79"/>
    <w:rsid w:val="00A07F0A"/>
    <w:rsid w:val="00A1121A"/>
    <w:rsid w:val="00A16E65"/>
    <w:rsid w:val="00A201B5"/>
    <w:rsid w:val="00A21735"/>
    <w:rsid w:val="00A31767"/>
    <w:rsid w:val="00A31A8F"/>
    <w:rsid w:val="00A36E47"/>
    <w:rsid w:val="00A37DFD"/>
    <w:rsid w:val="00A460F5"/>
    <w:rsid w:val="00A559F9"/>
    <w:rsid w:val="00A62A6C"/>
    <w:rsid w:val="00A662B9"/>
    <w:rsid w:val="00A7046B"/>
    <w:rsid w:val="00A71CD8"/>
    <w:rsid w:val="00A72921"/>
    <w:rsid w:val="00A73FFF"/>
    <w:rsid w:val="00A75371"/>
    <w:rsid w:val="00A835ED"/>
    <w:rsid w:val="00A83FAB"/>
    <w:rsid w:val="00A903A3"/>
    <w:rsid w:val="00A9212D"/>
    <w:rsid w:val="00AB1752"/>
    <w:rsid w:val="00AB5FC0"/>
    <w:rsid w:val="00AB64B7"/>
    <w:rsid w:val="00AC10ED"/>
    <w:rsid w:val="00AC28CA"/>
    <w:rsid w:val="00AC38EA"/>
    <w:rsid w:val="00AC4862"/>
    <w:rsid w:val="00AC5E01"/>
    <w:rsid w:val="00AC5FE6"/>
    <w:rsid w:val="00AC6C3A"/>
    <w:rsid w:val="00AD047C"/>
    <w:rsid w:val="00AD0EE9"/>
    <w:rsid w:val="00AD1706"/>
    <w:rsid w:val="00AD569E"/>
    <w:rsid w:val="00AD5AE5"/>
    <w:rsid w:val="00AD74A6"/>
    <w:rsid w:val="00AE2364"/>
    <w:rsid w:val="00AE47D4"/>
    <w:rsid w:val="00AF6AF8"/>
    <w:rsid w:val="00AF7319"/>
    <w:rsid w:val="00B0327B"/>
    <w:rsid w:val="00B0419B"/>
    <w:rsid w:val="00B06B2B"/>
    <w:rsid w:val="00B071A0"/>
    <w:rsid w:val="00B138D0"/>
    <w:rsid w:val="00B13F8F"/>
    <w:rsid w:val="00B16310"/>
    <w:rsid w:val="00B17DAB"/>
    <w:rsid w:val="00B27B99"/>
    <w:rsid w:val="00B30BF3"/>
    <w:rsid w:val="00B31F08"/>
    <w:rsid w:val="00B34F03"/>
    <w:rsid w:val="00B413BC"/>
    <w:rsid w:val="00B42889"/>
    <w:rsid w:val="00B43A5E"/>
    <w:rsid w:val="00B509D6"/>
    <w:rsid w:val="00B53C45"/>
    <w:rsid w:val="00B55EE2"/>
    <w:rsid w:val="00B565C0"/>
    <w:rsid w:val="00B63A0A"/>
    <w:rsid w:val="00B6486E"/>
    <w:rsid w:val="00B71DEB"/>
    <w:rsid w:val="00B745FC"/>
    <w:rsid w:val="00B85BD1"/>
    <w:rsid w:val="00B91195"/>
    <w:rsid w:val="00BA1B21"/>
    <w:rsid w:val="00BA1F59"/>
    <w:rsid w:val="00BA4CC3"/>
    <w:rsid w:val="00BA4FB7"/>
    <w:rsid w:val="00BA503F"/>
    <w:rsid w:val="00BA7951"/>
    <w:rsid w:val="00BB0FBF"/>
    <w:rsid w:val="00BB260F"/>
    <w:rsid w:val="00BB29AA"/>
    <w:rsid w:val="00BC2B0E"/>
    <w:rsid w:val="00BC7EF1"/>
    <w:rsid w:val="00BD07E8"/>
    <w:rsid w:val="00BE1D60"/>
    <w:rsid w:val="00BF4F60"/>
    <w:rsid w:val="00BF5206"/>
    <w:rsid w:val="00C039EF"/>
    <w:rsid w:val="00C03D8E"/>
    <w:rsid w:val="00C057D9"/>
    <w:rsid w:val="00C058D7"/>
    <w:rsid w:val="00C15DAB"/>
    <w:rsid w:val="00C21F76"/>
    <w:rsid w:val="00C22676"/>
    <w:rsid w:val="00C27C8A"/>
    <w:rsid w:val="00C27F64"/>
    <w:rsid w:val="00C30D9E"/>
    <w:rsid w:val="00C3141F"/>
    <w:rsid w:val="00C365D7"/>
    <w:rsid w:val="00C37750"/>
    <w:rsid w:val="00C4448E"/>
    <w:rsid w:val="00C45BAA"/>
    <w:rsid w:val="00C478F7"/>
    <w:rsid w:val="00C6400A"/>
    <w:rsid w:val="00C675D4"/>
    <w:rsid w:val="00C71943"/>
    <w:rsid w:val="00C854CF"/>
    <w:rsid w:val="00C92A2F"/>
    <w:rsid w:val="00C93687"/>
    <w:rsid w:val="00C9426E"/>
    <w:rsid w:val="00C9435E"/>
    <w:rsid w:val="00CA032A"/>
    <w:rsid w:val="00CA2766"/>
    <w:rsid w:val="00CA7FDC"/>
    <w:rsid w:val="00CC45F2"/>
    <w:rsid w:val="00CC548C"/>
    <w:rsid w:val="00CC62DA"/>
    <w:rsid w:val="00CD5990"/>
    <w:rsid w:val="00CE4BB5"/>
    <w:rsid w:val="00CE7079"/>
    <w:rsid w:val="00CF2299"/>
    <w:rsid w:val="00CF28D9"/>
    <w:rsid w:val="00CF52F7"/>
    <w:rsid w:val="00D003FF"/>
    <w:rsid w:val="00D07437"/>
    <w:rsid w:val="00D15CEF"/>
    <w:rsid w:val="00D2222A"/>
    <w:rsid w:val="00D23B20"/>
    <w:rsid w:val="00D249F3"/>
    <w:rsid w:val="00D311AD"/>
    <w:rsid w:val="00D356CD"/>
    <w:rsid w:val="00D4385B"/>
    <w:rsid w:val="00D516FE"/>
    <w:rsid w:val="00D51CD1"/>
    <w:rsid w:val="00D5263A"/>
    <w:rsid w:val="00D55811"/>
    <w:rsid w:val="00D62C01"/>
    <w:rsid w:val="00D637E4"/>
    <w:rsid w:val="00D64631"/>
    <w:rsid w:val="00D6520E"/>
    <w:rsid w:val="00D655F0"/>
    <w:rsid w:val="00D713A1"/>
    <w:rsid w:val="00D71B55"/>
    <w:rsid w:val="00D7222D"/>
    <w:rsid w:val="00D7368D"/>
    <w:rsid w:val="00D75FC6"/>
    <w:rsid w:val="00D82702"/>
    <w:rsid w:val="00D91228"/>
    <w:rsid w:val="00D94BD5"/>
    <w:rsid w:val="00D95534"/>
    <w:rsid w:val="00D97629"/>
    <w:rsid w:val="00DA21A0"/>
    <w:rsid w:val="00DA6199"/>
    <w:rsid w:val="00DA70FC"/>
    <w:rsid w:val="00DC1402"/>
    <w:rsid w:val="00DC1DB7"/>
    <w:rsid w:val="00DC45F7"/>
    <w:rsid w:val="00DC5FF4"/>
    <w:rsid w:val="00DD6D6F"/>
    <w:rsid w:val="00DE12BF"/>
    <w:rsid w:val="00DE39D0"/>
    <w:rsid w:val="00DE697B"/>
    <w:rsid w:val="00DF0473"/>
    <w:rsid w:val="00DF4B35"/>
    <w:rsid w:val="00DF7465"/>
    <w:rsid w:val="00E01939"/>
    <w:rsid w:val="00E0420B"/>
    <w:rsid w:val="00E146C6"/>
    <w:rsid w:val="00E14D82"/>
    <w:rsid w:val="00E27A16"/>
    <w:rsid w:val="00E31512"/>
    <w:rsid w:val="00E32A33"/>
    <w:rsid w:val="00E348C9"/>
    <w:rsid w:val="00E354F2"/>
    <w:rsid w:val="00E45ABC"/>
    <w:rsid w:val="00E45E2A"/>
    <w:rsid w:val="00E507D1"/>
    <w:rsid w:val="00E53580"/>
    <w:rsid w:val="00E5585D"/>
    <w:rsid w:val="00E565CA"/>
    <w:rsid w:val="00E57199"/>
    <w:rsid w:val="00E64032"/>
    <w:rsid w:val="00E70EFB"/>
    <w:rsid w:val="00E73F10"/>
    <w:rsid w:val="00E77E4C"/>
    <w:rsid w:val="00E77E8A"/>
    <w:rsid w:val="00E804D5"/>
    <w:rsid w:val="00E843A7"/>
    <w:rsid w:val="00E8469A"/>
    <w:rsid w:val="00E90F17"/>
    <w:rsid w:val="00E91092"/>
    <w:rsid w:val="00EA4B99"/>
    <w:rsid w:val="00EA548C"/>
    <w:rsid w:val="00EA5C73"/>
    <w:rsid w:val="00EB29A8"/>
    <w:rsid w:val="00EB64C9"/>
    <w:rsid w:val="00EB6FFD"/>
    <w:rsid w:val="00EC1FB5"/>
    <w:rsid w:val="00ED2167"/>
    <w:rsid w:val="00ED4A2B"/>
    <w:rsid w:val="00ED5D90"/>
    <w:rsid w:val="00ED674F"/>
    <w:rsid w:val="00EE023B"/>
    <w:rsid w:val="00EE0D85"/>
    <w:rsid w:val="00EE2BAE"/>
    <w:rsid w:val="00EF3A89"/>
    <w:rsid w:val="00EF42AD"/>
    <w:rsid w:val="00EF7417"/>
    <w:rsid w:val="00F04A6F"/>
    <w:rsid w:val="00F11F5A"/>
    <w:rsid w:val="00F20DF5"/>
    <w:rsid w:val="00F21E87"/>
    <w:rsid w:val="00F3021C"/>
    <w:rsid w:val="00F31560"/>
    <w:rsid w:val="00F3275F"/>
    <w:rsid w:val="00F33A4E"/>
    <w:rsid w:val="00F357F1"/>
    <w:rsid w:val="00F35A83"/>
    <w:rsid w:val="00F4117A"/>
    <w:rsid w:val="00F42692"/>
    <w:rsid w:val="00F4296E"/>
    <w:rsid w:val="00F51106"/>
    <w:rsid w:val="00F51CC8"/>
    <w:rsid w:val="00F535C6"/>
    <w:rsid w:val="00F5381E"/>
    <w:rsid w:val="00F742C4"/>
    <w:rsid w:val="00F82540"/>
    <w:rsid w:val="00F834C9"/>
    <w:rsid w:val="00F84110"/>
    <w:rsid w:val="00F94323"/>
    <w:rsid w:val="00FA173A"/>
    <w:rsid w:val="00FA3395"/>
    <w:rsid w:val="00FA3A78"/>
    <w:rsid w:val="00FA58D2"/>
    <w:rsid w:val="00FB2109"/>
    <w:rsid w:val="00FB3FDB"/>
    <w:rsid w:val="00FB5FBD"/>
    <w:rsid w:val="00FC0A26"/>
    <w:rsid w:val="00FC11C1"/>
    <w:rsid w:val="00FC41DC"/>
    <w:rsid w:val="00FC62B9"/>
    <w:rsid w:val="00FC66DB"/>
    <w:rsid w:val="00FD2B5C"/>
    <w:rsid w:val="00FD34EA"/>
    <w:rsid w:val="00FD4683"/>
    <w:rsid w:val="00FD46BF"/>
    <w:rsid w:val="00FD4ACC"/>
    <w:rsid w:val="00FD4E31"/>
    <w:rsid w:val="00FE0F79"/>
    <w:rsid w:val="00FE3A39"/>
    <w:rsid w:val="00FE4F27"/>
    <w:rsid w:val="00FE5074"/>
    <w:rsid w:val="00FE7360"/>
    <w:rsid w:val="00FF42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40C"/>
    <w:rPr>
      <w:rFonts w:ascii="Times New Roman" w:hAnsi="Times New Roman"/>
      <w:sz w:val="24"/>
    </w:rPr>
  </w:style>
  <w:style w:type="paragraph" w:styleId="Heading1">
    <w:name w:val="heading 1"/>
    <w:basedOn w:val="Normal"/>
    <w:next w:val="Normal"/>
    <w:link w:val="Heading1Char"/>
    <w:autoRedefine/>
    <w:uiPriority w:val="9"/>
    <w:qFormat/>
    <w:rsid w:val="002E7599"/>
    <w:pPr>
      <w:keepNext/>
      <w:numPr>
        <w:numId w:val="11"/>
      </w:numPr>
      <w:spacing w:after="240" w:line="240" w:lineRule="auto"/>
      <w:ind w:left="720"/>
      <w:outlineLvl w:val="0"/>
    </w:pPr>
    <w:rPr>
      <w:rFonts w:ascii="Times New Roman Bold" w:hAnsi="Times New Roman Bold" w:eastAsiaTheme="majorEastAsia" w:cstheme="majorBidi"/>
      <w:b/>
      <w:bCs/>
      <w:caps/>
      <w:szCs w:val="28"/>
    </w:rPr>
  </w:style>
  <w:style w:type="paragraph" w:styleId="Heading2">
    <w:name w:val="heading 2"/>
    <w:basedOn w:val="Normal"/>
    <w:next w:val="Normal"/>
    <w:link w:val="Heading2Char"/>
    <w:autoRedefine/>
    <w:uiPriority w:val="9"/>
    <w:unhideWhenUsed/>
    <w:qFormat/>
    <w:rsid w:val="007914D1"/>
    <w:pPr>
      <w:spacing w:after="240" w:line="240" w:lineRule="auto"/>
      <w:ind w:left="1440" w:right="720" w:hanging="720"/>
      <w:outlineLvl w:val="1"/>
    </w:pPr>
    <w:rPr>
      <w:rFonts w:ascii="Times New Roman Bold" w:hAnsi="Times New Roman Bold" w:eastAsiaTheme="majorEastAsia" w:cs="Times New Roman"/>
      <w:b/>
      <w:szCs w:val="24"/>
    </w:rPr>
  </w:style>
  <w:style w:type="paragraph" w:styleId="Heading3">
    <w:name w:val="heading 3"/>
    <w:basedOn w:val="Normal"/>
    <w:next w:val="Normal"/>
    <w:link w:val="Heading3Char"/>
    <w:autoRedefine/>
    <w:uiPriority w:val="9"/>
    <w:unhideWhenUsed/>
    <w:qFormat/>
    <w:rsid w:val="000E56E0"/>
    <w:pPr>
      <w:keepNext/>
      <w:tabs>
        <w:tab w:val="left" w:pos="720"/>
        <w:tab w:val="left" w:pos="1440"/>
      </w:tabs>
      <w:spacing w:after="240" w:line="240" w:lineRule="auto"/>
      <w:ind w:left="2160" w:right="720" w:hanging="720"/>
      <w:outlineLvl w:val="2"/>
    </w:pPr>
    <w:rPr>
      <w:rFonts w:ascii="Times New Roman Bold" w:hAnsi="Times New Roman Bold" w:eastAsiaTheme="majorEastAsia" w:cstheme="majorBidi"/>
      <w:b/>
      <w:bCs/>
      <w:szCs w:val="20"/>
    </w:rPr>
  </w:style>
  <w:style w:type="paragraph" w:styleId="Heading4">
    <w:name w:val="heading 4"/>
    <w:basedOn w:val="Normal"/>
    <w:next w:val="Normal"/>
    <w:link w:val="Heading4Char"/>
    <w:uiPriority w:val="9"/>
    <w:unhideWhenUsed/>
    <w:qFormat/>
    <w:rsid w:val="00C73E5B"/>
    <w:pPr>
      <w:keepNext/>
      <w:keepLines/>
      <w:spacing w:after="240" w:line="240" w:lineRule="auto"/>
      <w:ind w:left="288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uiPriority w:val="9"/>
    <w:unhideWhenUsed/>
    <w:qFormat/>
    <w:rsid w:val="00D446C5"/>
    <w:pPr>
      <w:keepNext/>
      <w:keepLines/>
      <w:spacing w:after="240" w:line="240" w:lineRule="auto"/>
      <w:ind w:left="3600" w:hanging="7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56E0"/>
    <w:rPr>
      <w:rFonts w:ascii="Times New Roman Bold" w:hAnsi="Times New Roman Bold" w:eastAsiaTheme="majorEastAsia" w:cstheme="majorBidi"/>
      <w:b/>
      <w:bCs/>
      <w:sz w:val="24"/>
      <w:szCs w:val="20"/>
    </w:rPr>
  </w:style>
  <w:style w:type="character" w:styleId="Hyperlink">
    <w:name w:val="Hyperlink"/>
    <w:basedOn w:val="DefaultParagraphFont"/>
    <w:uiPriority w:val="99"/>
    <w:unhideWhenUsed/>
    <w:rsid w:val="006F040C"/>
    <w:rPr>
      <w:color w:val="0000FF"/>
      <w:u w:val="single"/>
    </w:rPr>
  </w:style>
  <w:style w:type="paragraph" w:styleId="HTMLPreformatted">
    <w:name w:val="HTML Preformatted"/>
    <w:aliases w:val=" Char,Char"/>
    <w:basedOn w:val="Normal"/>
    <w:link w:val="HTMLPreformattedChar"/>
    <w:unhideWhenUsed/>
    <w:rsid w:val="006F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sid w:val="006F040C"/>
    <w:rPr>
      <w:rFonts w:ascii="Courier New" w:eastAsia="Courier New" w:hAnsi="Courier New" w:cs="Courier New"/>
      <w:sz w:val="20"/>
      <w:szCs w:val="20"/>
    </w:rPr>
  </w:style>
  <w:style w:type="paragraph" w:styleId="FootnoteText">
    <w:name w:val="footnote text"/>
    <w:aliases w:val="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076C62"/>
    <w:pPr>
      <w:spacing w:after="0" w:line="240" w:lineRule="auto"/>
    </w:pPr>
    <w:rPr>
      <w:rFonts w:asciiTheme="minorHAnsi" w:hAnsiTheme="minorHAnsi"/>
      <w:sz w:val="20"/>
      <w:szCs w:val="20"/>
    </w:rPr>
  </w:style>
  <w:style w:type="character" w:customStyle="1" w:styleId="FootnoteTextChar">
    <w:name w:val="Footnote Text Char"/>
    <w:aliases w:val="Footnote Text Char Char Char Char Char1,Footnote Text Char Char Char1 Char1,Footnote Text Char Char Char2,Footnote Text Char Char1 Char1,Footnote Text Char1 Char Char Char1,Footnote Text Char1 Char1 Char1,Footnote Text Char2 Char1"/>
    <w:basedOn w:val="DefaultParagraphFont"/>
    <w:link w:val="FootnoteText"/>
    <w:uiPriority w:val="99"/>
    <w:rsid w:val="00076C62"/>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rsid w:val="00076C62"/>
    <w:rPr>
      <w:vertAlign w:val="superscript"/>
    </w:rPr>
  </w:style>
  <w:style w:type="paragraph" w:styleId="ListParagraph">
    <w:name w:val="List Paragraph"/>
    <w:basedOn w:val="Normal"/>
    <w:uiPriority w:val="34"/>
    <w:qFormat/>
    <w:rsid w:val="00076C62"/>
    <w:pPr>
      <w:ind w:left="720"/>
      <w:contextualSpacing/>
    </w:pPr>
    <w:rPr>
      <w:rFonts w:asciiTheme="minorHAnsi" w:hAnsiTheme="minorHAnsi"/>
      <w:sz w:val="22"/>
    </w:rPr>
  </w:style>
  <w:style w:type="table" w:styleId="TableGrid">
    <w:name w:val="Table Grid"/>
    <w:basedOn w:val="TableNormal"/>
    <w:uiPriority w:val="59"/>
    <w:rsid w:val="00076C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6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C62"/>
    <w:rPr>
      <w:rFonts w:ascii="Times New Roman" w:hAnsi="Times New Roman"/>
      <w:sz w:val="24"/>
    </w:rPr>
  </w:style>
  <w:style w:type="character" w:customStyle="1" w:styleId="Heading1Char">
    <w:name w:val="Heading 1 Char"/>
    <w:basedOn w:val="DefaultParagraphFont"/>
    <w:link w:val="Heading1"/>
    <w:uiPriority w:val="9"/>
    <w:rsid w:val="002E7599"/>
    <w:rPr>
      <w:rFonts w:ascii="Times New Roman Bold" w:hAnsi="Times New Roman Bold" w:eastAsiaTheme="majorEastAsia" w:cstheme="majorBidi"/>
      <w:b/>
      <w:bCs/>
      <w:caps/>
      <w:sz w:val="24"/>
      <w:szCs w:val="28"/>
    </w:rPr>
  </w:style>
  <w:style w:type="character" w:customStyle="1" w:styleId="Heading2Char">
    <w:name w:val="Heading 2 Char"/>
    <w:basedOn w:val="DefaultParagraphFont"/>
    <w:link w:val="Heading2"/>
    <w:uiPriority w:val="9"/>
    <w:rsid w:val="007914D1"/>
    <w:rPr>
      <w:rFonts w:ascii="Times New Roman Bold" w:hAnsi="Times New Roman Bold" w:eastAsiaTheme="majorEastAsia" w:cs="Times New Roman"/>
      <w:b/>
      <w:sz w:val="24"/>
      <w:szCs w:val="24"/>
    </w:rPr>
  </w:style>
  <w:style w:type="paragraph" w:styleId="Header">
    <w:name w:val="header"/>
    <w:basedOn w:val="Normal"/>
    <w:link w:val="HeaderChar"/>
    <w:uiPriority w:val="99"/>
    <w:unhideWhenUsed/>
    <w:rsid w:val="00B81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D4"/>
    <w:rPr>
      <w:rFonts w:ascii="Times New Roman" w:hAnsi="Times New Roman"/>
      <w:sz w:val="24"/>
    </w:rPr>
  </w:style>
  <w:style w:type="paragraph" w:styleId="CommentText">
    <w:name w:val="annotation text"/>
    <w:basedOn w:val="Normal"/>
    <w:link w:val="CommentTextChar"/>
    <w:rsid w:val="00C75249"/>
    <w:pPr>
      <w:spacing w:after="0" w:line="240" w:lineRule="auto"/>
    </w:pPr>
    <w:rPr>
      <w:rFonts w:eastAsia="Times New Roman" w:cs="Times New Roman"/>
      <w:szCs w:val="24"/>
    </w:rPr>
  </w:style>
  <w:style w:type="character" w:customStyle="1" w:styleId="CommentTextChar">
    <w:name w:val="Comment Text Char"/>
    <w:basedOn w:val="DefaultParagraphFont"/>
    <w:link w:val="CommentText"/>
    <w:rsid w:val="00C75249"/>
    <w:rPr>
      <w:rFonts w:ascii="Times New Roman" w:eastAsia="Times New Roman" w:hAnsi="Times New Roman" w:cs="Times New Roman"/>
      <w:sz w:val="24"/>
      <w:szCs w:val="24"/>
    </w:rPr>
  </w:style>
  <w:style w:type="paragraph" w:styleId="TOC1">
    <w:name w:val="toc 1"/>
    <w:basedOn w:val="Normal"/>
    <w:next w:val="Normal"/>
    <w:autoRedefine/>
    <w:uiPriority w:val="39"/>
    <w:unhideWhenUsed/>
    <w:qFormat/>
    <w:rsid w:val="0052413E"/>
    <w:pPr>
      <w:tabs>
        <w:tab w:val="decimal" w:leader="dot" w:pos="9360"/>
      </w:tabs>
      <w:spacing w:after="240" w:line="240" w:lineRule="auto"/>
      <w:ind w:left="720" w:hanging="720"/>
      <w:outlineLvl w:val="0"/>
    </w:pPr>
    <w:rPr>
      <w:caps/>
    </w:rPr>
  </w:style>
  <w:style w:type="paragraph" w:styleId="TOC2">
    <w:name w:val="toc 2"/>
    <w:basedOn w:val="Normal"/>
    <w:next w:val="Normal"/>
    <w:autoRedefine/>
    <w:uiPriority w:val="39"/>
    <w:unhideWhenUsed/>
    <w:qFormat/>
    <w:rsid w:val="0052413E"/>
    <w:pPr>
      <w:tabs>
        <w:tab w:val="decimal" w:leader="dot" w:pos="9360"/>
      </w:tabs>
      <w:spacing w:after="240" w:line="240" w:lineRule="auto"/>
      <w:ind w:left="1440" w:hanging="720"/>
      <w:outlineLvl w:val="1"/>
    </w:pPr>
  </w:style>
  <w:style w:type="paragraph" w:styleId="TOC3">
    <w:name w:val="toc 3"/>
    <w:basedOn w:val="Normal"/>
    <w:next w:val="Normal"/>
    <w:autoRedefine/>
    <w:uiPriority w:val="39"/>
    <w:unhideWhenUsed/>
    <w:qFormat/>
    <w:rsid w:val="006F61A3"/>
    <w:pPr>
      <w:tabs>
        <w:tab w:val="decimal" w:leader="dot" w:pos="9360"/>
      </w:tabs>
      <w:spacing w:after="240" w:line="240" w:lineRule="auto"/>
      <w:ind w:left="2160" w:hanging="720"/>
      <w:outlineLvl w:val="2"/>
    </w:pPr>
  </w:style>
  <w:style w:type="paragraph" w:styleId="BalloonText">
    <w:name w:val="Balloon Text"/>
    <w:basedOn w:val="Normal"/>
    <w:link w:val="BalloonTextChar"/>
    <w:uiPriority w:val="99"/>
    <w:semiHidden/>
    <w:unhideWhenUsed/>
    <w:rsid w:val="00E8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17D"/>
    <w:rPr>
      <w:rFonts w:ascii="Tahoma" w:hAnsi="Tahoma" w:cs="Tahoma"/>
      <w:sz w:val="16"/>
      <w:szCs w:val="16"/>
    </w:rPr>
  </w:style>
  <w:style w:type="character" w:customStyle="1" w:styleId="apple-converted-space">
    <w:name w:val="apple-converted-space"/>
    <w:basedOn w:val="DefaultParagraphFont"/>
    <w:rsid w:val="005D179E"/>
  </w:style>
  <w:style w:type="character" w:customStyle="1" w:styleId="ssit">
    <w:name w:val="ss_it"/>
    <w:basedOn w:val="DefaultParagraphFont"/>
    <w:rsid w:val="005D179E"/>
  </w:style>
  <w:style w:type="character" w:styleId="CommentReference">
    <w:name w:val="annotation reference"/>
    <w:basedOn w:val="DefaultParagraphFont"/>
    <w:uiPriority w:val="99"/>
    <w:semiHidden/>
    <w:unhideWhenUsed/>
    <w:rsid w:val="00B82BFE"/>
    <w:rPr>
      <w:sz w:val="16"/>
      <w:szCs w:val="16"/>
    </w:rPr>
  </w:style>
  <w:style w:type="paragraph" w:styleId="CommentSubject">
    <w:name w:val="annotation subject"/>
    <w:basedOn w:val="CommentText"/>
    <w:next w:val="CommentText"/>
    <w:link w:val="CommentSubjectChar"/>
    <w:uiPriority w:val="99"/>
    <w:semiHidden/>
    <w:unhideWhenUsed/>
    <w:rsid w:val="00B82BFE"/>
    <w:pPr>
      <w:spacing w:after="200"/>
    </w:pPr>
    <w:rPr>
      <w:rFonts w:eastAsiaTheme="minorHAnsi" w:cstheme="minorBidi"/>
      <w:b/>
      <w:bCs/>
      <w:sz w:val="20"/>
      <w:szCs w:val="20"/>
    </w:rPr>
  </w:style>
  <w:style w:type="character" w:customStyle="1" w:styleId="CommentSubjectChar">
    <w:name w:val="Comment Subject Char"/>
    <w:basedOn w:val="CommentTextChar"/>
    <w:link w:val="CommentSubject"/>
    <w:uiPriority w:val="99"/>
    <w:semiHidden/>
    <w:rsid w:val="00B82BFE"/>
    <w:rPr>
      <w:rFonts w:ascii="Times New Roman" w:eastAsia="Times New Roman" w:hAnsi="Times New Roman" w:cs="Times New Roman"/>
      <w:b/>
      <w:bCs/>
      <w:sz w:val="20"/>
      <w:szCs w:val="20"/>
    </w:rPr>
  </w:style>
  <w:style w:type="paragraph" w:styleId="Revision">
    <w:name w:val="Revision"/>
    <w:hidden/>
    <w:uiPriority w:val="99"/>
    <w:semiHidden/>
    <w:rsid w:val="00B82BFE"/>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rsid w:val="00C73E5B"/>
    <w:rPr>
      <w:rFonts w:ascii="Times New Roman Bold" w:hAnsi="Times New Roman Bold" w:eastAsiaTheme="majorEastAsia" w:cstheme="majorBidi"/>
      <w:b/>
      <w:bCs/>
      <w:iCs/>
      <w:sz w:val="24"/>
    </w:rPr>
  </w:style>
  <w:style w:type="character" w:customStyle="1" w:styleId="Heading5Char">
    <w:name w:val="Heading 5 Char"/>
    <w:basedOn w:val="DefaultParagraphFont"/>
    <w:link w:val="Heading5"/>
    <w:uiPriority w:val="9"/>
    <w:rsid w:val="00D446C5"/>
    <w:rPr>
      <w:rFonts w:ascii="Times New Roman" w:hAnsi="Times New Roman" w:eastAsiaTheme="majorEastAsia" w:cstheme="majorBidi"/>
      <w:sz w:val="24"/>
    </w:rPr>
  </w:style>
  <w:style w:type="paragraph" w:styleId="TOC4">
    <w:name w:val="toc 4"/>
    <w:basedOn w:val="Normal"/>
    <w:next w:val="Normal"/>
    <w:autoRedefine/>
    <w:uiPriority w:val="39"/>
    <w:unhideWhenUsed/>
    <w:rsid w:val="00C73E5B"/>
    <w:pPr>
      <w:tabs>
        <w:tab w:val="left" w:pos="720"/>
        <w:tab w:val="left" w:pos="1440"/>
        <w:tab w:val="decimal" w:leader="dot" w:pos="8640"/>
      </w:tabs>
      <w:spacing w:after="240" w:line="240" w:lineRule="auto"/>
      <w:ind w:left="2880" w:hanging="720"/>
    </w:pPr>
  </w:style>
  <w:style w:type="paragraph" w:styleId="TOC5">
    <w:name w:val="toc 5"/>
    <w:basedOn w:val="Normal"/>
    <w:next w:val="Normal"/>
    <w:autoRedefine/>
    <w:uiPriority w:val="39"/>
    <w:unhideWhenUsed/>
    <w:rsid w:val="00C73E5B"/>
    <w:pPr>
      <w:tabs>
        <w:tab w:val="decimal" w:leader="dot" w:pos="720"/>
        <w:tab w:val="decimal" w:pos="1440"/>
        <w:tab w:val="decimal" w:leader="dot" w:pos="8640"/>
      </w:tabs>
      <w:spacing w:after="240" w:line="240" w:lineRule="auto"/>
      <w:ind w:left="3600" w:hanging="720"/>
    </w:pPr>
  </w:style>
  <w:style w:type="character" w:styleId="FollowedHyperlink">
    <w:name w:val="FollowedHyperlink"/>
    <w:basedOn w:val="DefaultParagraphFont"/>
    <w:uiPriority w:val="99"/>
    <w:semiHidden/>
    <w:unhideWhenUsed/>
    <w:rsid w:val="007200FA"/>
    <w:rPr>
      <w:color w:val="800080" w:themeColor="followedHyperlink"/>
      <w:u w:val="single"/>
    </w:rPr>
  </w:style>
  <w:style w:type="paragraph" w:styleId="BodyText">
    <w:name w:val="Body Text"/>
    <w:basedOn w:val="Normal"/>
    <w:link w:val="BodyTextChar"/>
    <w:rsid w:val="004B7047"/>
    <w:pPr>
      <w:spacing w:after="120" w:line="240" w:lineRule="auto"/>
    </w:pPr>
    <w:rPr>
      <w:rFonts w:eastAsia="Times New Roman" w:cs="Times New Roman"/>
      <w:sz w:val="20"/>
      <w:szCs w:val="20"/>
    </w:rPr>
  </w:style>
  <w:style w:type="character" w:customStyle="1" w:styleId="BodyTextChar">
    <w:name w:val="Body Text Char"/>
    <w:basedOn w:val="DefaultParagraphFont"/>
    <w:link w:val="BodyText"/>
    <w:rsid w:val="004B7047"/>
    <w:rPr>
      <w:rFonts w:ascii="Times New Roman" w:eastAsia="Times New Roman" w:hAnsi="Times New Roman" w:cs="Times New Roman"/>
      <w:sz w:val="20"/>
      <w:szCs w:val="20"/>
    </w:rPr>
  </w:style>
  <w:style w:type="character" w:customStyle="1" w:styleId="FootnoteTextChar1">
    <w:name w:val="Footnote Text Char1"/>
    <w:aliases w:val="Footnote Text Char Char Char,Footnote Text Char Char Char Char Char,Footnote Text Char Char Char1 Char,Footnote Text Char Char1 Char,Footnote Text Char1 Char Char Char,Footnote Text Char1 Char1 Char,Footnote Text Char2 Char"/>
    <w:uiPriority w:val="99"/>
    <w:locked/>
    <w:rsid w:val="00581A2C"/>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AB64B7"/>
    <w:pPr>
      <w:spacing w:after="120"/>
      <w:ind w:left="360"/>
    </w:pPr>
    <w:rPr>
      <w:sz w:val="16"/>
      <w:szCs w:val="16"/>
    </w:rPr>
  </w:style>
  <w:style w:type="character" w:customStyle="1" w:styleId="BodyTextIndent3Char">
    <w:name w:val="Body Text Indent 3 Char"/>
    <w:basedOn w:val="DefaultParagraphFont"/>
    <w:link w:val="BodyTextIndent3"/>
    <w:uiPriority w:val="99"/>
    <w:rsid w:val="00AB64B7"/>
    <w:rPr>
      <w:rFonts w:ascii="Times New Roman" w:hAnsi="Times New Roman"/>
      <w:sz w:val="16"/>
      <w:szCs w:val="16"/>
    </w:rPr>
  </w:style>
  <w:style w:type="paragraph" w:styleId="EndnoteText">
    <w:name w:val="endnote text"/>
    <w:basedOn w:val="Normal"/>
    <w:link w:val="EndnoteTextChar"/>
    <w:uiPriority w:val="99"/>
    <w:semiHidden/>
    <w:unhideWhenUsed/>
    <w:rsid w:val="003A10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1076"/>
    <w:rPr>
      <w:rFonts w:ascii="Times New Roman" w:hAnsi="Times New Roman"/>
      <w:sz w:val="20"/>
      <w:szCs w:val="20"/>
    </w:rPr>
  </w:style>
  <w:style w:type="character" w:styleId="EndnoteReference">
    <w:name w:val="endnote reference"/>
    <w:basedOn w:val="DefaultParagraphFont"/>
    <w:uiPriority w:val="99"/>
    <w:semiHidden/>
    <w:unhideWhenUsed/>
    <w:rsid w:val="003A1076"/>
    <w:rPr>
      <w:vertAlign w:val="superscript"/>
    </w:rPr>
  </w:style>
  <w:style w:type="character" w:customStyle="1" w:styleId="UnresolvedMention1">
    <w:name w:val="Unresolved Mention1"/>
    <w:basedOn w:val="DefaultParagraphFont"/>
    <w:uiPriority w:val="99"/>
    <w:semiHidden/>
    <w:unhideWhenUsed/>
    <w:rsid w:val="00EA548C"/>
    <w:rPr>
      <w:color w:val="605E5C"/>
      <w:shd w:val="clear" w:color="auto" w:fill="E1DFDD"/>
    </w:rPr>
  </w:style>
  <w:style w:type="paragraph" w:styleId="NormalWeb">
    <w:name w:val="Normal (Web)"/>
    <w:basedOn w:val="Normal"/>
    <w:uiPriority w:val="99"/>
    <w:unhideWhenUsed/>
    <w:rsid w:val="00AB1752"/>
    <w:pPr>
      <w:spacing w:before="100" w:beforeAutospacing="1" w:after="100" w:afterAutospacing="1" w:line="240" w:lineRule="auto"/>
    </w:pPr>
    <w:rPr>
      <w:rFonts w:eastAsia="Times New Roman" w:cs="Times New Roman"/>
      <w:szCs w:val="24"/>
    </w:rPr>
  </w:style>
  <w:style w:type="character" w:customStyle="1" w:styleId="UnresolvedMention2">
    <w:name w:val="Unresolved Mention2"/>
    <w:basedOn w:val="DefaultParagraphFont"/>
    <w:uiPriority w:val="99"/>
    <w:rsid w:val="002C7CB1"/>
    <w:rPr>
      <w:color w:val="605E5C"/>
      <w:shd w:val="clear" w:color="auto" w:fill="E1DFDD"/>
    </w:rPr>
  </w:style>
  <w:style w:type="character" w:styleId="Emphasis">
    <w:name w:val="Emphasis"/>
    <w:basedOn w:val="DefaultParagraphFont"/>
    <w:uiPriority w:val="20"/>
    <w:qFormat/>
    <w:rsid w:val="00681F50"/>
    <w:rPr>
      <w:i/>
      <w:iCs/>
    </w:rPr>
  </w:style>
  <w:style w:type="character" w:customStyle="1" w:styleId="article-content">
    <w:name w:val="article-content"/>
    <w:basedOn w:val="DefaultParagraphFont"/>
    <w:rsid w:val="00553236"/>
  </w:style>
  <w:style w:type="character" w:customStyle="1" w:styleId="enumxml">
    <w:name w:val="enumxml"/>
    <w:basedOn w:val="DefaultParagraphFont"/>
    <w:rsid w:val="00046A26"/>
  </w:style>
  <w:style w:type="character" w:customStyle="1" w:styleId="et03">
    <w:name w:val="et03"/>
    <w:basedOn w:val="DefaultParagraphFont"/>
    <w:rsid w:val="00046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codes.ohio.gov/ohio-revised-code/section-4905.26" TargetMode="External" /><Relationship Id="rId11" Type="http://schemas.openxmlformats.org/officeDocument/2006/relationships/hyperlink" Target="https://codes.ohio.gov/ohio-revised-code/section-4928.17" TargetMode="External" /><Relationship Id="rId12" Type="http://schemas.openxmlformats.org/officeDocument/2006/relationships/hyperlink" Target="mailto:thomas.lindgren@ohioAGO.gov" TargetMode="External" /><Relationship Id="rId13" Type="http://schemas.openxmlformats.org/officeDocument/2006/relationships/hyperlink" Target="mailto:werner.margard@ohioAGO.gov" TargetMode="External" /><Relationship Id="rId14" Type="http://schemas.openxmlformats.org/officeDocument/2006/relationships/hyperlink" Target="mailto:joliker@igsenergy.com" TargetMode="External" /><Relationship Id="rId15" Type="http://schemas.openxmlformats.org/officeDocument/2006/relationships/hyperlink" Target="mailto:Mnugent@igsenergy.com" TargetMode="External" /><Relationship Id="rId16" Type="http://schemas.openxmlformats.org/officeDocument/2006/relationships/hyperlink" Target="mailto:bethany.allen@igs.com" TargetMode="External" /><Relationship Id="rId17" Type="http://schemas.openxmlformats.org/officeDocument/2006/relationships/hyperlink" Target="mailto:evan.betterton@igs.com" TargetMode="External" /><Relationship Id="rId18" Type="http://schemas.openxmlformats.org/officeDocument/2006/relationships/hyperlink" Target="mailto:gkrassen@bricker.com" TargetMode="External" /><Relationship Id="rId19" Type="http://schemas.openxmlformats.org/officeDocument/2006/relationships/hyperlink" Target="mailto:dstinson@bricker.com" TargetMode="External" /><Relationship Id="rId2" Type="http://schemas.openxmlformats.org/officeDocument/2006/relationships/settings" Target="settings.xml" /><Relationship Id="rId20" Type="http://schemas.openxmlformats.org/officeDocument/2006/relationships/hyperlink" Target="mailto:whitt@whitt-sturtevant.com" TargetMode="External" /><Relationship Id="rId21" Type="http://schemas.openxmlformats.org/officeDocument/2006/relationships/hyperlink" Target="mailto:fykes@whitt-sturtevant.com" TargetMode="External" /><Relationship Id="rId22" Type="http://schemas.openxmlformats.org/officeDocument/2006/relationships/hyperlink" Target="mailto:ccox@elpc.org" TargetMode="External" /><Relationship Id="rId23" Type="http://schemas.openxmlformats.org/officeDocument/2006/relationships/hyperlink" Target="mailto:mfleisher@dickinsonwright.com" TargetMode="External" /><Relationship Id="rId24" Type="http://schemas.openxmlformats.org/officeDocument/2006/relationships/hyperlink" Target="mailto:mwise@mcdonaldhopkins.com" TargetMode="External" /><Relationship Id="rId25" Type="http://schemas.openxmlformats.org/officeDocument/2006/relationships/hyperlink" Target="mailto:Gregory.price@puco.ohio.gov" TargetMode="External" /><Relationship Id="rId26" Type="http://schemas.openxmlformats.org/officeDocument/2006/relationships/hyperlink" Target="mailto:Megan.addison@puco.ohio.gov" TargetMode="External" /><Relationship Id="rId27" Type="http://schemas.openxmlformats.org/officeDocument/2006/relationships/hyperlink" Target="mailto:bknipe@firstenergycorp.com" TargetMode="External" /><Relationship Id="rId28" Type="http://schemas.openxmlformats.org/officeDocument/2006/relationships/hyperlink" Target="mailto:mrgladman@jonesday.com" TargetMode="External" /><Relationship Id="rId29" Type="http://schemas.openxmlformats.org/officeDocument/2006/relationships/hyperlink" Target="mailto:mdengler@jonesday.com" TargetMode="External" /><Relationship Id="rId3" Type="http://schemas.openxmlformats.org/officeDocument/2006/relationships/webSettings" Target="webSettings.xml" /><Relationship Id="rId30" Type="http://schemas.openxmlformats.org/officeDocument/2006/relationships/hyperlink" Target="mailto:radoringo@jonesday.com" TargetMode="External" /><Relationship Id="rId31" Type="http://schemas.openxmlformats.org/officeDocument/2006/relationships/hyperlink" Target="mailto:mwager@taftlaw.com" TargetMode="External" /><Relationship Id="rId32" Type="http://schemas.openxmlformats.org/officeDocument/2006/relationships/hyperlink" Target="mailto:iavalon@taftlaw.com" TargetMode="External" /><Relationship Id="rId33" Type="http://schemas.openxmlformats.org/officeDocument/2006/relationships/hyperlink" Target="mailto:mpritchard@mcneeslaw.com" TargetMode="External" /><Relationship Id="rId34" Type="http://schemas.openxmlformats.org/officeDocument/2006/relationships/hyperlink" Target="mailto:tlong@mcneeslaw.com" TargetMode="External" /><Relationship Id="rId35" Type="http://schemas.openxmlformats.org/officeDocument/2006/relationships/hyperlink" Target="mailto:rdove@keglerbrown.com" TargetMode="External" /><Relationship Id="rId36" Type="http://schemas.openxmlformats.org/officeDocument/2006/relationships/hyperlink" Target="mailto:bojko@carpenterlipps.com" TargetMode="External" /><Relationship Id="rId37" Type="http://schemas.openxmlformats.org/officeDocument/2006/relationships/hyperlink" Target="mailto:donadio@carpenterlipps.com" TargetMode="External" /><Relationship Id="rId38" Type="http://schemas.openxmlformats.org/officeDocument/2006/relationships/hyperlink" Target="mailto:mleppla@theOEC.org" TargetMode="External" /><Relationship Id="rId39" Type="http://schemas.openxmlformats.org/officeDocument/2006/relationships/hyperlink" Target="mailto:tdougherty@theOEC.org" TargetMode="External" /><Relationship Id="rId4" Type="http://schemas.openxmlformats.org/officeDocument/2006/relationships/fontTable" Target="fontTable.xml" /><Relationship Id="rId40" Type="http://schemas.openxmlformats.org/officeDocument/2006/relationships/hyperlink" Target="mailto:ctavenor@theOEC.org" TargetMode="External" /><Relationship Id="rId41" Type="http://schemas.openxmlformats.org/officeDocument/2006/relationships/footer" Target="footer3.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Maureen.willis@occ.ohio.gov" TargetMode="External" /><Relationship Id="rId7" Type="http://schemas.openxmlformats.org/officeDocument/2006/relationships/hyperlink" Target="mailto:John.finnigan@occ.ohio.gov" TargetMode="External" /><Relationship Id="rId8" Type="http://schemas.openxmlformats.org/officeDocument/2006/relationships/footer" Target="footer1.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fool.com/earnings/call-transcripts/2021/02/18/firstenergy-corp-fe-q4-2020-earnings-call-transcr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AFBCA-16CA-432A-BAC7-3D00A33A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5539</Words>
  <Characters>31578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2021-05-28T19:28:36Z</dcterms:created>
  <dcterms:modified xsi:type="dcterms:W3CDTF">2021-05-28T19:28:36Z</dcterms:modified>
</cp:coreProperties>
</file>