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9B" w:rsidRPr="0017569B" w:rsidRDefault="0017569B" w:rsidP="0026595D">
      <w:pPr>
        <w:spacing w:after="0"/>
        <w:jc w:val="center"/>
        <w:rPr>
          <w:rFonts w:eastAsia="Calibri" w:cs="Arial"/>
          <w:b/>
          <w:smallCaps/>
          <w:sz w:val="32"/>
          <w:szCs w:val="32"/>
        </w:rPr>
      </w:pPr>
      <w:r w:rsidRPr="0017569B">
        <w:rPr>
          <w:rFonts w:eastAsia="Calibri" w:cs="Arial"/>
          <w:b/>
          <w:smallCaps/>
          <w:sz w:val="32"/>
          <w:szCs w:val="32"/>
        </w:rPr>
        <w:t>Before</w:t>
      </w:r>
    </w:p>
    <w:p w:rsidR="0017569B" w:rsidRPr="0017569B" w:rsidRDefault="0017569B" w:rsidP="0026595D">
      <w:pPr>
        <w:spacing w:after="0"/>
        <w:jc w:val="center"/>
        <w:rPr>
          <w:rFonts w:eastAsia="Calibri" w:cs="Arial"/>
          <w:b/>
          <w:smallCaps/>
          <w:sz w:val="32"/>
          <w:szCs w:val="32"/>
        </w:rPr>
      </w:pPr>
      <w:r w:rsidRPr="0017569B">
        <w:rPr>
          <w:rFonts w:eastAsia="Calibri" w:cs="Arial"/>
          <w:b/>
          <w:smallCaps/>
          <w:sz w:val="32"/>
          <w:szCs w:val="32"/>
        </w:rPr>
        <w:t>The Public Utilities Commission Of Ohio</w:t>
      </w:r>
    </w:p>
    <w:p w:rsidR="0017569B" w:rsidRPr="0017569B" w:rsidRDefault="0017569B" w:rsidP="0026595D">
      <w:pPr>
        <w:spacing w:after="0"/>
        <w:jc w:val="both"/>
        <w:rPr>
          <w:rFonts w:eastAsia="Calibri" w:cs="Times New Roman"/>
          <w:b/>
          <w:szCs w:val="22"/>
        </w:rPr>
      </w:pPr>
    </w:p>
    <w:p w:rsidR="0017569B" w:rsidRPr="0017569B" w:rsidRDefault="0017569B" w:rsidP="0026595D">
      <w:pPr>
        <w:spacing w:after="0"/>
        <w:jc w:val="both"/>
        <w:rPr>
          <w:rFonts w:eastAsia="Calibri" w:cs="Times New Roman"/>
          <w:b/>
          <w:szCs w:val="22"/>
        </w:rPr>
      </w:pPr>
    </w:p>
    <w:p w:rsidR="0017569B" w:rsidRPr="0017569B" w:rsidRDefault="0017569B" w:rsidP="0026595D">
      <w:pPr>
        <w:spacing w:after="0"/>
        <w:jc w:val="both"/>
        <w:rPr>
          <w:rFonts w:eastAsia="Calibri" w:cs="Arial"/>
          <w:szCs w:val="22"/>
        </w:rPr>
      </w:pPr>
      <w:r w:rsidRPr="0017569B">
        <w:rPr>
          <w:rFonts w:eastAsia="Calibri" w:cs="Arial"/>
          <w:szCs w:val="22"/>
        </w:rPr>
        <w:t>In the Matter of the Application of</w:t>
      </w:r>
      <w:r w:rsidRPr="0017569B">
        <w:rPr>
          <w:rFonts w:eastAsia="Calibri" w:cs="Arial"/>
          <w:szCs w:val="22"/>
        </w:rPr>
        <w:tab/>
      </w:r>
      <w:r w:rsidRPr="0017569B">
        <w:rPr>
          <w:rFonts w:eastAsia="Calibri" w:cs="Arial"/>
          <w:szCs w:val="22"/>
        </w:rPr>
        <w:tab/>
      </w:r>
      <w:r w:rsidRPr="0017569B">
        <w:rPr>
          <w:rFonts w:eastAsia="Calibri" w:cs="Arial"/>
          <w:szCs w:val="22"/>
        </w:rPr>
        <w:tab/>
        <w:t>)</w:t>
      </w:r>
    </w:p>
    <w:p w:rsidR="0017569B" w:rsidRPr="0017569B" w:rsidRDefault="0017569B" w:rsidP="0026595D">
      <w:pPr>
        <w:spacing w:after="0"/>
        <w:jc w:val="both"/>
        <w:rPr>
          <w:rFonts w:eastAsia="Calibri" w:cs="Arial"/>
          <w:szCs w:val="22"/>
        </w:rPr>
      </w:pPr>
      <w:r w:rsidRPr="0017569B">
        <w:rPr>
          <w:rFonts w:eastAsia="Calibri" w:cs="Arial"/>
          <w:szCs w:val="22"/>
        </w:rPr>
        <w:t>Ohio Power Company for Authority to</w:t>
      </w:r>
      <w:r w:rsidRPr="0017569B">
        <w:rPr>
          <w:rFonts w:eastAsia="Calibri" w:cs="Arial"/>
          <w:szCs w:val="22"/>
        </w:rPr>
        <w:tab/>
      </w:r>
      <w:r w:rsidRPr="0017569B">
        <w:rPr>
          <w:rFonts w:eastAsia="Calibri" w:cs="Arial"/>
          <w:szCs w:val="22"/>
        </w:rPr>
        <w:tab/>
        <w:t>)</w:t>
      </w:r>
      <w:r w:rsidRPr="0017569B">
        <w:rPr>
          <w:rFonts w:eastAsia="Calibri" w:cs="Arial"/>
          <w:szCs w:val="22"/>
        </w:rPr>
        <w:tab/>
        <w:t>Case No. 13-2385-EL-SSO</w:t>
      </w:r>
    </w:p>
    <w:p w:rsidR="0017569B" w:rsidRPr="0017569B" w:rsidRDefault="0017569B" w:rsidP="0026595D">
      <w:pPr>
        <w:spacing w:after="0"/>
        <w:jc w:val="both"/>
        <w:rPr>
          <w:rFonts w:eastAsia="Calibri" w:cs="Arial"/>
          <w:szCs w:val="22"/>
        </w:rPr>
      </w:pPr>
      <w:r w:rsidRPr="0017569B">
        <w:rPr>
          <w:rFonts w:eastAsia="Calibri" w:cs="Arial"/>
          <w:szCs w:val="22"/>
        </w:rPr>
        <w:t>Establish a Standard Service Offer</w:t>
      </w:r>
      <w:r w:rsidRPr="0017569B">
        <w:rPr>
          <w:rFonts w:eastAsia="Calibri" w:cs="Arial"/>
          <w:szCs w:val="22"/>
        </w:rPr>
        <w:tab/>
      </w:r>
      <w:r w:rsidRPr="0017569B">
        <w:rPr>
          <w:rFonts w:eastAsia="Calibri" w:cs="Arial"/>
          <w:szCs w:val="22"/>
        </w:rPr>
        <w:tab/>
        <w:t>)</w:t>
      </w:r>
      <w:r w:rsidRPr="0017569B">
        <w:rPr>
          <w:rFonts w:eastAsia="Calibri" w:cs="Arial"/>
          <w:szCs w:val="22"/>
        </w:rPr>
        <w:tab/>
      </w:r>
    </w:p>
    <w:p w:rsidR="0017569B" w:rsidRPr="0017569B" w:rsidRDefault="0017569B" w:rsidP="0026595D">
      <w:pPr>
        <w:spacing w:after="0"/>
        <w:jc w:val="both"/>
        <w:rPr>
          <w:rFonts w:eastAsia="Calibri" w:cs="Arial"/>
          <w:szCs w:val="22"/>
        </w:rPr>
      </w:pPr>
      <w:r w:rsidRPr="0017569B">
        <w:rPr>
          <w:rFonts w:eastAsia="Calibri" w:cs="Arial"/>
          <w:szCs w:val="22"/>
        </w:rPr>
        <w:t>Pursuant to §4928.143, Ohio Rev. Code,</w:t>
      </w:r>
      <w:r w:rsidRPr="0017569B">
        <w:rPr>
          <w:rFonts w:eastAsia="Calibri" w:cs="Arial"/>
          <w:szCs w:val="22"/>
        </w:rPr>
        <w:tab/>
        <w:t>)</w:t>
      </w:r>
    </w:p>
    <w:p w:rsidR="0017569B" w:rsidRPr="0017569B" w:rsidRDefault="0017569B" w:rsidP="0026595D">
      <w:pPr>
        <w:spacing w:after="0"/>
        <w:jc w:val="both"/>
        <w:rPr>
          <w:rFonts w:eastAsia="Calibri" w:cs="Arial"/>
          <w:szCs w:val="22"/>
        </w:rPr>
      </w:pPr>
      <w:r w:rsidRPr="0017569B">
        <w:rPr>
          <w:rFonts w:eastAsia="Calibri" w:cs="Arial"/>
          <w:szCs w:val="22"/>
        </w:rPr>
        <w:t>in the Form of an Electric Security Plan.</w:t>
      </w:r>
      <w:r w:rsidRPr="0017569B">
        <w:rPr>
          <w:rFonts w:eastAsia="Calibri" w:cs="Arial"/>
          <w:szCs w:val="22"/>
        </w:rPr>
        <w:tab/>
      </w:r>
      <w:r w:rsidRPr="0017569B">
        <w:rPr>
          <w:rFonts w:eastAsia="Calibri" w:cs="Arial"/>
          <w:szCs w:val="22"/>
        </w:rPr>
        <w:tab/>
        <w:t>)</w:t>
      </w:r>
    </w:p>
    <w:p w:rsidR="0017569B" w:rsidRPr="0017569B" w:rsidRDefault="0017569B" w:rsidP="0026595D">
      <w:pPr>
        <w:spacing w:after="0"/>
        <w:jc w:val="both"/>
        <w:rPr>
          <w:rFonts w:eastAsia="Calibri" w:cs="Arial"/>
          <w:szCs w:val="22"/>
        </w:rPr>
      </w:pPr>
    </w:p>
    <w:p w:rsidR="0017569B" w:rsidRPr="0017569B" w:rsidRDefault="0017569B" w:rsidP="0026595D">
      <w:pPr>
        <w:spacing w:after="0"/>
        <w:jc w:val="both"/>
        <w:rPr>
          <w:rFonts w:eastAsia="Calibri" w:cs="Arial"/>
          <w:szCs w:val="22"/>
        </w:rPr>
      </w:pPr>
      <w:r w:rsidRPr="0017569B">
        <w:rPr>
          <w:rFonts w:eastAsia="Calibri" w:cs="Arial"/>
          <w:szCs w:val="22"/>
        </w:rPr>
        <w:t>In the Matter of the Application of</w:t>
      </w:r>
      <w:r w:rsidRPr="0017569B">
        <w:rPr>
          <w:rFonts w:eastAsia="Calibri" w:cs="Arial"/>
          <w:szCs w:val="22"/>
        </w:rPr>
        <w:tab/>
      </w:r>
      <w:r w:rsidRPr="0017569B">
        <w:rPr>
          <w:rFonts w:eastAsia="Calibri" w:cs="Arial"/>
          <w:szCs w:val="22"/>
        </w:rPr>
        <w:tab/>
      </w:r>
      <w:r w:rsidRPr="0017569B">
        <w:rPr>
          <w:rFonts w:eastAsia="Calibri" w:cs="Arial"/>
          <w:szCs w:val="22"/>
        </w:rPr>
        <w:tab/>
        <w:t>)</w:t>
      </w:r>
    </w:p>
    <w:p w:rsidR="0017569B" w:rsidRPr="0017569B" w:rsidRDefault="0017569B" w:rsidP="0026595D">
      <w:pPr>
        <w:spacing w:after="0"/>
        <w:jc w:val="both"/>
        <w:rPr>
          <w:rFonts w:eastAsia="Calibri" w:cs="Arial"/>
          <w:szCs w:val="22"/>
        </w:rPr>
      </w:pPr>
      <w:r w:rsidRPr="0017569B">
        <w:rPr>
          <w:rFonts w:eastAsia="Calibri" w:cs="Arial"/>
          <w:szCs w:val="22"/>
        </w:rPr>
        <w:t>Ohio Power Company for Approval of</w:t>
      </w:r>
      <w:r w:rsidRPr="0017569B">
        <w:rPr>
          <w:rFonts w:eastAsia="Calibri" w:cs="Arial"/>
          <w:szCs w:val="22"/>
        </w:rPr>
        <w:tab/>
      </w:r>
      <w:r w:rsidRPr="0017569B">
        <w:rPr>
          <w:rFonts w:eastAsia="Calibri" w:cs="Arial"/>
          <w:szCs w:val="22"/>
        </w:rPr>
        <w:tab/>
        <w:t>)</w:t>
      </w:r>
      <w:r w:rsidRPr="0017569B">
        <w:rPr>
          <w:rFonts w:eastAsia="Calibri" w:cs="Arial"/>
          <w:szCs w:val="22"/>
        </w:rPr>
        <w:tab/>
        <w:t>Case No. 13-2386-EL-AAM</w:t>
      </w:r>
    </w:p>
    <w:p w:rsidR="0017569B" w:rsidRPr="0017569B" w:rsidRDefault="0017569B" w:rsidP="0026595D">
      <w:pPr>
        <w:spacing w:after="0"/>
        <w:jc w:val="both"/>
        <w:rPr>
          <w:rFonts w:eastAsia="Calibri" w:cs="Arial"/>
          <w:szCs w:val="22"/>
        </w:rPr>
      </w:pPr>
      <w:r w:rsidRPr="0017569B">
        <w:rPr>
          <w:rFonts w:eastAsia="Calibri" w:cs="Arial"/>
          <w:szCs w:val="22"/>
        </w:rPr>
        <w:t>Certain Accounting Authority.</w:t>
      </w:r>
      <w:r w:rsidRPr="0017569B">
        <w:rPr>
          <w:rFonts w:eastAsia="Calibri" w:cs="Arial"/>
          <w:szCs w:val="22"/>
        </w:rPr>
        <w:tab/>
      </w:r>
      <w:r w:rsidRPr="0017569B">
        <w:rPr>
          <w:rFonts w:eastAsia="Calibri" w:cs="Arial"/>
          <w:szCs w:val="22"/>
        </w:rPr>
        <w:tab/>
      </w:r>
      <w:r w:rsidRPr="0017569B">
        <w:rPr>
          <w:rFonts w:eastAsia="Calibri" w:cs="Arial"/>
          <w:szCs w:val="22"/>
        </w:rPr>
        <w:tab/>
        <w:t>)</w:t>
      </w:r>
    </w:p>
    <w:p w:rsidR="0017569B" w:rsidRPr="0017569B" w:rsidRDefault="0017569B" w:rsidP="0026595D">
      <w:pPr>
        <w:spacing w:after="0"/>
        <w:jc w:val="both"/>
        <w:rPr>
          <w:rFonts w:eastAsia="Calibri" w:cs="Times New Roman"/>
          <w:szCs w:val="22"/>
        </w:rPr>
      </w:pPr>
    </w:p>
    <w:p w:rsidR="0017569B" w:rsidRPr="0017569B" w:rsidRDefault="0017569B" w:rsidP="0026595D">
      <w:pPr>
        <w:spacing w:after="0"/>
        <w:jc w:val="both"/>
        <w:rPr>
          <w:rFonts w:eastAsia="Calibri" w:cs="Times New Roman"/>
          <w:szCs w:val="22"/>
        </w:rPr>
      </w:pPr>
    </w:p>
    <w:p w:rsidR="0017569B" w:rsidRPr="0017569B" w:rsidRDefault="0017569B" w:rsidP="0026595D">
      <w:pPr>
        <w:pBdr>
          <w:top w:val="single" w:sz="12" w:space="1" w:color="auto"/>
          <w:bottom w:val="single" w:sz="12" w:space="1" w:color="auto"/>
        </w:pBdr>
        <w:spacing w:after="0"/>
        <w:jc w:val="both"/>
        <w:rPr>
          <w:rFonts w:ascii="Arial Bold" w:eastAsia="Calibri" w:hAnsi="Arial Bold" w:cs="Times New Roman"/>
          <w:b/>
          <w:caps/>
          <w:szCs w:val="22"/>
        </w:rPr>
      </w:pPr>
    </w:p>
    <w:p w:rsidR="0017569B" w:rsidRPr="0017569B" w:rsidRDefault="0017569B" w:rsidP="0026595D">
      <w:pPr>
        <w:pBdr>
          <w:top w:val="single" w:sz="12" w:space="1" w:color="auto"/>
          <w:bottom w:val="single" w:sz="12" w:space="1" w:color="auto"/>
        </w:pBdr>
        <w:spacing w:after="0"/>
        <w:jc w:val="center"/>
        <w:rPr>
          <w:rFonts w:eastAsia="Calibri" w:cs="Arial"/>
          <w:b/>
          <w:caps/>
          <w:sz w:val="28"/>
          <w:szCs w:val="28"/>
        </w:rPr>
      </w:pPr>
      <w:r>
        <w:rPr>
          <w:rFonts w:eastAsia="Calibri" w:cs="Arial"/>
          <w:b/>
          <w:caps/>
          <w:sz w:val="28"/>
          <w:szCs w:val="28"/>
        </w:rPr>
        <w:t xml:space="preserve">Memorandum </w:t>
      </w:r>
      <w:r w:rsidRPr="0017569B">
        <w:rPr>
          <w:rFonts w:eastAsia="Calibri" w:cs="Arial"/>
          <w:b/>
          <w:caps/>
          <w:sz w:val="28"/>
          <w:szCs w:val="28"/>
        </w:rPr>
        <w:t>of Industrial Energy Users-Ohio</w:t>
      </w:r>
      <w:r>
        <w:rPr>
          <w:rFonts w:eastAsia="Calibri" w:cs="Arial"/>
          <w:b/>
          <w:caps/>
          <w:sz w:val="28"/>
          <w:szCs w:val="28"/>
        </w:rPr>
        <w:t xml:space="preserve"> in opposition to the application</w:t>
      </w:r>
      <w:r w:rsidR="00A8190B">
        <w:rPr>
          <w:rFonts w:eastAsia="Calibri" w:cs="Arial"/>
          <w:b/>
          <w:caps/>
          <w:sz w:val="28"/>
          <w:szCs w:val="28"/>
        </w:rPr>
        <w:t>s</w:t>
      </w:r>
      <w:r>
        <w:rPr>
          <w:rFonts w:eastAsia="Calibri" w:cs="Arial"/>
          <w:b/>
          <w:caps/>
          <w:sz w:val="28"/>
          <w:szCs w:val="28"/>
        </w:rPr>
        <w:t xml:space="preserve"> for rehearing </w:t>
      </w:r>
      <w:r w:rsidR="008D76BA">
        <w:rPr>
          <w:rFonts w:eastAsia="Calibri" w:cs="Arial"/>
          <w:b/>
          <w:caps/>
          <w:sz w:val="28"/>
          <w:szCs w:val="28"/>
        </w:rPr>
        <w:t>of the ohio power company, ohio manufacturers’ association energy group, and environmental advocates</w:t>
      </w:r>
    </w:p>
    <w:p w:rsidR="0017569B" w:rsidRPr="0017569B" w:rsidRDefault="0017569B" w:rsidP="0026595D">
      <w:pPr>
        <w:pBdr>
          <w:top w:val="single" w:sz="12" w:space="1" w:color="auto"/>
          <w:bottom w:val="single" w:sz="12" w:space="1" w:color="auto"/>
        </w:pBdr>
        <w:spacing w:after="0"/>
        <w:jc w:val="both"/>
        <w:rPr>
          <w:rFonts w:ascii="Arial Bold" w:eastAsia="Calibri" w:hAnsi="Arial Bold" w:cs="Times New Roman"/>
          <w:b/>
          <w:caps/>
          <w:szCs w:val="22"/>
        </w:rPr>
      </w:pPr>
    </w:p>
    <w:p w:rsidR="0017569B" w:rsidRPr="0017569B" w:rsidRDefault="0017569B" w:rsidP="0026595D">
      <w:pPr>
        <w:spacing w:after="0"/>
        <w:ind w:firstLine="720"/>
        <w:jc w:val="both"/>
        <w:rPr>
          <w:rFonts w:eastAsia="Calibri" w:cs="Arial"/>
          <w:b/>
          <w:szCs w:val="22"/>
        </w:rPr>
      </w:pPr>
    </w:p>
    <w:p w:rsidR="0017569B" w:rsidRPr="0017569B" w:rsidRDefault="0017569B" w:rsidP="0026595D">
      <w:pPr>
        <w:tabs>
          <w:tab w:val="left" w:pos="-1440"/>
          <w:tab w:val="left" w:pos="-720"/>
          <w:tab w:val="right" w:pos="8640"/>
        </w:tabs>
        <w:spacing w:after="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Frank P. Darr</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Matthew R. Pritchard</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McNees Wallace &amp; Nurick LLC</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21 East State Street, Suite 1700</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Columbus, OH 43215-4228</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Telephone:  614-469-8000</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Telecopier:  614-469-4653</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fdarr@mwncmh.com</w:t>
      </w:r>
    </w:p>
    <w:p w:rsidR="0017569B" w:rsidRPr="0017569B" w:rsidRDefault="0017569B" w:rsidP="0026595D">
      <w:pPr>
        <w:tabs>
          <w:tab w:val="left" w:pos="-1440"/>
          <w:tab w:val="left" w:pos="-720"/>
          <w:tab w:val="right" w:pos="8640"/>
        </w:tabs>
        <w:spacing w:after="0"/>
        <w:ind w:left="4320"/>
        <w:jc w:val="both"/>
        <w:rPr>
          <w:rFonts w:eastAsia="Calibri" w:cs="Arial"/>
          <w:szCs w:val="22"/>
        </w:rPr>
      </w:pPr>
      <w:r w:rsidRPr="0017569B">
        <w:rPr>
          <w:rFonts w:eastAsia="Calibri" w:cs="Arial"/>
          <w:szCs w:val="22"/>
        </w:rPr>
        <w:t>mpritchard@mwncmh.com</w:t>
      </w:r>
    </w:p>
    <w:p w:rsidR="0017569B" w:rsidRPr="0017569B" w:rsidRDefault="0017569B" w:rsidP="0026595D">
      <w:pPr>
        <w:tabs>
          <w:tab w:val="left" w:pos="-1440"/>
          <w:tab w:val="left" w:pos="-720"/>
          <w:tab w:val="right" w:pos="8640"/>
        </w:tabs>
        <w:spacing w:after="0"/>
        <w:ind w:left="4320"/>
        <w:jc w:val="both"/>
        <w:rPr>
          <w:rFonts w:eastAsia="Calibri" w:cs="Arial"/>
          <w:szCs w:val="22"/>
        </w:rPr>
      </w:pPr>
    </w:p>
    <w:p w:rsidR="00BA6EEB" w:rsidRDefault="0017569B" w:rsidP="0026595D">
      <w:pPr>
        <w:spacing w:after="0"/>
        <w:jc w:val="both"/>
        <w:rPr>
          <w:rFonts w:eastAsia="Calibri" w:cs="Arial"/>
          <w:b/>
          <w:color w:val="000000"/>
          <w:szCs w:val="22"/>
        </w:rPr>
      </w:pPr>
      <w:r>
        <w:rPr>
          <w:rFonts w:eastAsia="Calibri" w:cs="Arial"/>
          <w:b/>
          <w:color w:val="000000"/>
          <w:szCs w:val="22"/>
        </w:rPr>
        <w:t>April 6</w:t>
      </w:r>
      <w:r w:rsidRPr="0017569B">
        <w:rPr>
          <w:rFonts w:eastAsia="Calibri" w:cs="Arial"/>
          <w:b/>
          <w:color w:val="000000"/>
          <w:szCs w:val="22"/>
        </w:rPr>
        <w:t>, 2015</w:t>
      </w:r>
      <w:r w:rsidRPr="0017569B">
        <w:rPr>
          <w:rFonts w:eastAsia="Calibri" w:cs="Arial"/>
          <w:b/>
          <w:color w:val="000000"/>
          <w:szCs w:val="22"/>
        </w:rPr>
        <w:tab/>
      </w:r>
      <w:r w:rsidRPr="0017569B">
        <w:rPr>
          <w:rFonts w:eastAsia="Calibri" w:cs="Arial"/>
          <w:b/>
          <w:color w:val="000000"/>
          <w:szCs w:val="22"/>
        </w:rPr>
        <w:tab/>
      </w:r>
      <w:r w:rsidRPr="0017569B">
        <w:rPr>
          <w:rFonts w:eastAsia="Calibri" w:cs="Arial"/>
          <w:b/>
          <w:color w:val="000000"/>
          <w:szCs w:val="22"/>
        </w:rPr>
        <w:tab/>
      </w:r>
      <w:r w:rsidRPr="0017569B">
        <w:rPr>
          <w:rFonts w:eastAsia="Calibri" w:cs="Arial"/>
          <w:b/>
          <w:color w:val="000000"/>
          <w:szCs w:val="22"/>
        </w:rPr>
        <w:tab/>
      </w:r>
      <w:r>
        <w:rPr>
          <w:rFonts w:eastAsia="Calibri" w:cs="Arial"/>
          <w:b/>
          <w:color w:val="000000"/>
          <w:szCs w:val="22"/>
        </w:rPr>
        <w:tab/>
      </w:r>
      <w:r w:rsidRPr="0017569B">
        <w:rPr>
          <w:rFonts w:eastAsia="Calibri" w:cs="Arial"/>
          <w:b/>
          <w:color w:val="000000"/>
          <w:szCs w:val="22"/>
        </w:rPr>
        <w:t>Attorneys for Industrial Energy Users-Ohio</w:t>
      </w:r>
    </w:p>
    <w:p w:rsidR="0017569B" w:rsidRPr="0017569B" w:rsidRDefault="0017569B" w:rsidP="00FB05D9">
      <w:pPr>
        <w:spacing w:after="0"/>
        <w:rPr>
          <w:rFonts w:eastAsia="Calibri" w:cs="Arial"/>
          <w:b/>
          <w:color w:val="000000"/>
          <w:szCs w:val="22"/>
        </w:rPr>
      </w:pPr>
    </w:p>
    <w:p w:rsidR="0017569B" w:rsidRPr="0017569B" w:rsidRDefault="0017569B" w:rsidP="0017569B">
      <w:pPr>
        <w:jc w:val="both"/>
        <w:rPr>
          <w:rFonts w:eastAsia="Calibri" w:cs="Arial"/>
          <w:b/>
          <w:smallCaps/>
          <w:sz w:val="28"/>
        </w:rPr>
        <w:sectPr w:rsidR="0017569B" w:rsidRPr="0017569B" w:rsidSect="00BA6EE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F9651B" w:rsidRPr="008045FF" w:rsidRDefault="008045FF" w:rsidP="008045FF">
      <w:pPr>
        <w:pStyle w:val="TOCHeading"/>
        <w:rPr>
          <w:rFonts w:ascii="Arial Bold" w:hAnsi="Arial Bold"/>
          <w:caps/>
          <w:color w:val="auto"/>
          <w:u w:val="single"/>
        </w:rPr>
      </w:pPr>
      <w:bookmarkStart w:id="0" w:name="TOCHeading"/>
      <w:r w:rsidRPr="008045FF">
        <w:rPr>
          <w:rFonts w:ascii="Arial Bold" w:hAnsi="Arial Bold"/>
          <w:caps/>
          <w:color w:val="auto"/>
          <w:u w:val="single"/>
        </w:rPr>
        <w:lastRenderedPageBreak/>
        <w:t>Table of Contents</w:t>
      </w:r>
      <w:bookmarkStart w:id="1" w:name="_GoBack"/>
      <w:bookmarkEnd w:id="0"/>
      <w:bookmarkEnd w:id="1"/>
    </w:p>
    <w:p w:rsidR="006819AB" w:rsidRDefault="006819AB" w:rsidP="00FB05D9">
      <w:pPr>
        <w:pStyle w:val="TOCPage"/>
      </w:pPr>
      <w:bookmarkStart w:id="2" w:name="TOCPage"/>
      <w:r>
        <w:t>Page</w:t>
      </w:r>
    </w:p>
    <w:bookmarkEnd w:id="2"/>
    <w:p w:rsidR="008045FF" w:rsidRDefault="008045FF">
      <w:pPr>
        <w:pStyle w:val="TOC1"/>
        <w:rPr>
          <w:rFonts w:asciiTheme="minorHAnsi" w:eastAsiaTheme="minorEastAsia" w:hAnsiTheme="minorHAnsi"/>
          <w:noProof/>
          <w:sz w:val="22"/>
          <w:szCs w:val="22"/>
        </w:rPr>
      </w:pPr>
      <w:r>
        <w:rPr>
          <w:noProof/>
        </w:rPr>
        <w:fldChar w:fldCharType="begin"/>
      </w:r>
      <w:r>
        <w:rPr>
          <w:noProof/>
        </w:rPr>
        <w:instrText xml:space="preserve"> TOC \t "Heading 1,1,Heading 2,2,Heading 3,3,Heading 4,4" </w:instrText>
      </w:r>
      <w:r>
        <w:rPr>
          <w:noProof/>
        </w:rPr>
        <w:fldChar w:fldCharType="separate"/>
      </w:r>
      <w:bookmarkStart w:id="3" w:name="TOCLocation"/>
      <w:r w:rsidRPr="00C174AD">
        <w:rPr>
          <w:noProof/>
          <w:color w:val="010000"/>
        </w:rPr>
        <w:t>I.</w:t>
      </w:r>
      <w:r>
        <w:rPr>
          <w:rFonts w:asciiTheme="minorHAnsi" w:eastAsiaTheme="minorEastAsia" w:hAnsiTheme="minorHAnsi"/>
          <w:noProof/>
          <w:sz w:val="22"/>
          <w:szCs w:val="22"/>
        </w:rPr>
        <w:tab/>
      </w:r>
      <w:r w:rsidRPr="008045FF">
        <w:rPr>
          <w:caps/>
          <w:noProof/>
        </w:rPr>
        <w:t>Introduction</w:t>
      </w:r>
      <w:r>
        <w:rPr>
          <w:noProof/>
        </w:rPr>
        <w:tab/>
      </w:r>
      <w:r>
        <w:rPr>
          <w:noProof/>
        </w:rPr>
        <w:fldChar w:fldCharType="begin"/>
      </w:r>
      <w:r>
        <w:rPr>
          <w:noProof/>
        </w:rPr>
        <w:instrText xml:space="preserve"> PAGEREF _Toc416098615 \h </w:instrText>
      </w:r>
      <w:r>
        <w:rPr>
          <w:noProof/>
        </w:rPr>
      </w:r>
      <w:r>
        <w:rPr>
          <w:noProof/>
        </w:rPr>
        <w:fldChar w:fldCharType="separate"/>
      </w:r>
      <w:r>
        <w:rPr>
          <w:noProof/>
        </w:rPr>
        <w:t>1</w:t>
      </w:r>
      <w:r>
        <w:rPr>
          <w:noProof/>
        </w:rPr>
        <w:fldChar w:fldCharType="end"/>
      </w:r>
    </w:p>
    <w:p w:rsidR="008045FF" w:rsidRDefault="008045FF">
      <w:pPr>
        <w:pStyle w:val="TOC1"/>
        <w:rPr>
          <w:rFonts w:asciiTheme="minorHAnsi" w:eastAsiaTheme="minorEastAsia" w:hAnsiTheme="minorHAnsi"/>
          <w:noProof/>
          <w:sz w:val="22"/>
          <w:szCs w:val="22"/>
        </w:rPr>
      </w:pPr>
      <w:r w:rsidRPr="00C174AD">
        <w:rPr>
          <w:noProof/>
          <w:color w:val="010000"/>
        </w:rPr>
        <w:t>II.</w:t>
      </w:r>
      <w:r>
        <w:rPr>
          <w:rFonts w:asciiTheme="minorHAnsi" w:eastAsiaTheme="minorEastAsia" w:hAnsiTheme="minorHAnsi"/>
          <w:noProof/>
          <w:sz w:val="22"/>
          <w:szCs w:val="22"/>
        </w:rPr>
        <w:tab/>
      </w:r>
      <w:r w:rsidRPr="008045FF">
        <w:rPr>
          <w:caps/>
          <w:noProof/>
        </w:rPr>
        <w:t>The Commission correctly found that AEP-Ohio failed to sustain its burden of proof that the PPA Rider would promote stability or was in the public interest</w:t>
      </w:r>
      <w:r>
        <w:rPr>
          <w:noProof/>
        </w:rPr>
        <w:tab/>
      </w:r>
      <w:r>
        <w:rPr>
          <w:noProof/>
        </w:rPr>
        <w:fldChar w:fldCharType="begin"/>
      </w:r>
      <w:r>
        <w:rPr>
          <w:noProof/>
        </w:rPr>
        <w:instrText xml:space="preserve"> PAGEREF _Toc416098616 \h </w:instrText>
      </w:r>
      <w:r>
        <w:rPr>
          <w:noProof/>
        </w:rPr>
      </w:r>
      <w:r>
        <w:rPr>
          <w:noProof/>
        </w:rPr>
        <w:fldChar w:fldCharType="separate"/>
      </w:r>
      <w:r>
        <w:rPr>
          <w:noProof/>
        </w:rPr>
        <w:t>2</w:t>
      </w:r>
      <w:r>
        <w:rPr>
          <w:noProof/>
        </w:rPr>
        <w:fldChar w:fldCharType="end"/>
      </w:r>
    </w:p>
    <w:p w:rsidR="008045FF" w:rsidRDefault="008045FF">
      <w:pPr>
        <w:pStyle w:val="TOC2"/>
        <w:rPr>
          <w:rFonts w:asciiTheme="minorHAnsi" w:eastAsiaTheme="minorEastAsia" w:hAnsiTheme="minorHAnsi"/>
          <w:noProof/>
          <w:sz w:val="22"/>
          <w:szCs w:val="22"/>
        </w:rPr>
      </w:pPr>
      <w:r w:rsidRPr="00C174AD">
        <w:rPr>
          <w:noProof/>
          <w:color w:val="010000"/>
        </w:rPr>
        <w:t>A.</w:t>
      </w:r>
      <w:r>
        <w:rPr>
          <w:rFonts w:asciiTheme="minorHAnsi" w:eastAsiaTheme="minorEastAsia" w:hAnsiTheme="minorHAnsi"/>
          <w:noProof/>
          <w:sz w:val="22"/>
          <w:szCs w:val="22"/>
        </w:rPr>
        <w:tab/>
      </w:r>
      <w:r>
        <w:rPr>
          <w:noProof/>
        </w:rPr>
        <w:t>The PPA Rider is not a short or long-term benefit for customers</w:t>
      </w:r>
      <w:r>
        <w:rPr>
          <w:noProof/>
        </w:rPr>
        <w:tab/>
      </w:r>
      <w:r>
        <w:rPr>
          <w:noProof/>
        </w:rPr>
        <w:fldChar w:fldCharType="begin"/>
      </w:r>
      <w:r>
        <w:rPr>
          <w:noProof/>
        </w:rPr>
        <w:instrText xml:space="preserve"> PAGEREF _Toc416098617 \h </w:instrText>
      </w:r>
      <w:r>
        <w:rPr>
          <w:noProof/>
        </w:rPr>
      </w:r>
      <w:r>
        <w:rPr>
          <w:noProof/>
        </w:rPr>
        <w:fldChar w:fldCharType="separate"/>
      </w:r>
      <w:r>
        <w:rPr>
          <w:noProof/>
        </w:rPr>
        <w:t>3</w:t>
      </w:r>
      <w:r>
        <w:rPr>
          <w:noProof/>
        </w:rPr>
        <w:fldChar w:fldCharType="end"/>
      </w:r>
    </w:p>
    <w:p w:rsidR="008045FF" w:rsidRDefault="008045FF" w:rsidP="008045FF">
      <w:pPr>
        <w:pStyle w:val="TOC2"/>
        <w:ind w:left="1440" w:hanging="720"/>
        <w:rPr>
          <w:rFonts w:asciiTheme="minorHAnsi" w:eastAsiaTheme="minorEastAsia" w:hAnsiTheme="minorHAnsi"/>
          <w:noProof/>
          <w:sz w:val="22"/>
          <w:szCs w:val="22"/>
        </w:rPr>
      </w:pPr>
      <w:r w:rsidRPr="00C174AD">
        <w:rPr>
          <w:noProof/>
          <w:color w:val="010000"/>
        </w:rPr>
        <w:t>B.</w:t>
      </w:r>
      <w:r>
        <w:rPr>
          <w:rFonts w:asciiTheme="minorHAnsi" w:eastAsiaTheme="minorEastAsia" w:hAnsiTheme="minorHAnsi"/>
          <w:noProof/>
          <w:sz w:val="22"/>
          <w:szCs w:val="22"/>
        </w:rPr>
        <w:tab/>
      </w:r>
      <w:r>
        <w:rPr>
          <w:noProof/>
        </w:rPr>
        <w:t>AEP-Ohio has not made a long-term commitment to flow the “benefit” of the PPA Rider to retail customers</w:t>
      </w:r>
      <w:r>
        <w:rPr>
          <w:noProof/>
        </w:rPr>
        <w:tab/>
      </w:r>
      <w:r>
        <w:rPr>
          <w:noProof/>
        </w:rPr>
        <w:fldChar w:fldCharType="begin"/>
      </w:r>
      <w:r>
        <w:rPr>
          <w:noProof/>
        </w:rPr>
        <w:instrText xml:space="preserve"> PAGEREF _Toc416098618 \h </w:instrText>
      </w:r>
      <w:r>
        <w:rPr>
          <w:noProof/>
        </w:rPr>
      </w:r>
      <w:r>
        <w:rPr>
          <w:noProof/>
        </w:rPr>
        <w:fldChar w:fldCharType="separate"/>
      </w:r>
      <w:r>
        <w:rPr>
          <w:noProof/>
        </w:rPr>
        <w:t>6</w:t>
      </w:r>
      <w:r>
        <w:rPr>
          <w:noProof/>
        </w:rPr>
        <w:fldChar w:fldCharType="end"/>
      </w:r>
    </w:p>
    <w:p w:rsidR="008045FF" w:rsidRDefault="008045FF" w:rsidP="008045FF">
      <w:pPr>
        <w:pStyle w:val="TOC2"/>
        <w:ind w:left="1440" w:hanging="720"/>
        <w:rPr>
          <w:rFonts w:asciiTheme="minorHAnsi" w:eastAsiaTheme="minorEastAsia" w:hAnsiTheme="minorHAnsi"/>
          <w:noProof/>
          <w:sz w:val="22"/>
          <w:szCs w:val="22"/>
        </w:rPr>
      </w:pPr>
      <w:r w:rsidRPr="00C174AD">
        <w:rPr>
          <w:noProof/>
          <w:color w:val="010000"/>
        </w:rPr>
        <w:t>C.</w:t>
      </w:r>
      <w:r>
        <w:rPr>
          <w:rFonts w:asciiTheme="minorHAnsi" w:eastAsiaTheme="minorEastAsia" w:hAnsiTheme="minorHAnsi"/>
          <w:noProof/>
          <w:sz w:val="22"/>
          <w:szCs w:val="22"/>
        </w:rPr>
        <w:tab/>
      </w:r>
      <w:r>
        <w:rPr>
          <w:noProof/>
        </w:rPr>
        <w:t>Pending regulatory reforms of the wholesale capacity and energy markets and environmental rules do not support authorization for AEP-Ohio to bill and collect above-market generation-related wholesale revenue</w:t>
      </w:r>
      <w:r>
        <w:rPr>
          <w:noProof/>
        </w:rPr>
        <w:tab/>
      </w:r>
      <w:r>
        <w:rPr>
          <w:noProof/>
        </w:rPr>
        <w:fldChar w:fldCharType="begin"/>
      </w:r>
      <w:r>
        <w:rPr>
          <w:noProof/>
        </w:rPr>
        <w:instrText xml:space="preserve"> PAGEREF _Toc416098619 \h </w:instrText>
      </w:r>
      <w:r>
        <w:rPr>
          <w:noProof/>
        </w:rPr>
      </w:r>
      <w:r>
        <w:rPr>
          <w:noProof/>
        </w:rPr>
        <w:fldChar w:fldCharType="separate"/>
      </w:r>
      <w:r>
        <w:rPr>
          <w:noProof/>
        </w:rPr>
        <w:t>7</w:t>
      </w:r>
      <w:r>
        <w:rPr>
          <w:noProof/>
        </w:rPr>
        <w:fldChar w:fldCharType="end"/>
      </w:r>
    </w:p>
    <w:p w:rsidR="008045FF" w:rsidRDefault="008045FF">
      <w:pPr>
        <w:pStyle w:val="TOC2"/>
        <w:rPr>
          <w:rFonts w:asciiTheme="minorHAnsi" w:eastAsiaTheme="minorEastAsia" w:hAnsiTheme="minorHAnsi"/>
          <w:noProof/>
          <w:sz w:val="22"/>
          <w:szCs w:val="22"/>
        </w:rPr>
      </w:pPr>
      <w:r w:rsidRPr="00C174AD">
        <w:rPr>
          <w:noProof/>
          <w:color w:val="010000"/>
        </w:rPr>
        <w:t>D.</w:t>
      </w:r>
      <w:r>
        <w:rPr>
          <w:rFonts w:asciiTheme="minorHAnsi" w:eastAsiaTheme="minorEastAsia" w:hAnsiTheme="minorHAnsi"/>
          <w:noProof/>
          <w:sz w:val="22"/>
          <w:szCs w:val="22"/>
        </w:rPr>
        <w:tab/>
      </w:r>
      <w:r>
        <w:rPr>
          <w:noProof/>
        </w:rPr>
        <w:t>AEP-Ohio’s claims regarding retail price volatility are flawed</w:t>
      </w:r>
      <w:r>
        <w:rPr>
          <w:noProof/>
        </w:rPr>
        <w:tab/>
      </w:r>
      <w:r>
        <w:rPr>
          <w:noProof/>
        </w:rPr>
        <w:fldChar w:fldCharType="begin"/>
      </w:r>
      <w:r>
        <w:rPr>
          <w:noProof/>
        </w:rPr>
        <w:instrText xml:space="preserve"> PAGEREF _Toc416098620 \h </w:instrText>
      </w:r>
      <w:r>
        <w:rPr>
          <w:noProof/>
        </w:rPr>
      </w:r>
      <w:r>
        <w:rPr>
          <w:noProof/>
        </w:rPr>
        <w:fldChar w:fldCharType="separate"/>
      </w:r>
      <w:r>
        <w:rPr>
          <w:noProof/>
        </w:rPr>
        <w:t>8</w:t>
      </w:r>
      <w:r>
        <w:rPr>
          <w:noProof/>
        </w:rPr>
        <w:fldChar w:fldCharType="end"/>
      </w:r>
    </w:p>
    <w:p w:rsidR="008045FF" w:rsidRDefault="008045FF" w:rsidP="008045FF">
      <w:pPr>
        <w:pStyle w:val="TOC2"/>
        <w:ind w:left="1440" w:hanging="720"/>
        <w:rPr>
          <w:rFonts w:asciiTheme="minorHAnsi" w:eastAsiaTheme="minorEastAsia" w:hAnsiTheme="minorHAnsi"/>
          <w:noProof/>
          <w:sz w:val="22"/>
          <w:szCs w:val="22"/>
        </w:rPr>
      </w:pPr>
      <w:r w:rsidRPr="00C174AD">
        <w:rPr>
          <w:rFonts w:eastAsia="Times New Roman"/>
          <w:noProof/>
          <w:color w:val="010000"/>
        </w:rPr>
        <w:t>E.</w:t>
      </w:r>
      <w:r>
        <w:rPr>
          <w:rFonts w:asciiTheme="minorHAnsi" w:eastAsiaTheme="minorEastAsia" w:hAnsiTheme="minorHAnsi"/>
          <w:noProof/>
          <w:sz w:val="22"/>
          <w:szCs w:val="22"/>
        </w:rPr>
        <w:tab/>
      </w:r>
      <w:r w:rsidRPr="00C174AD">
        <w:rPr>
          <w:rFonts w:eastAsia="Times New Roman"/>
          <w:noProof/>
        </w:rPr>
        <w:t>Authorization of the PPA Rider is unlawful, unreasonable, and not in the public interest</w:t>
      </w:r>
      <w:r>
        <w:rPr>
          <w:noProof/>
        </w:rPr>
        <w:tab/>
      </w:r>
      <w:r>
        <w:rPr>
          <w:noProof/>
        </w:rPr>
        <w:fldChar w:fldCharType="begin"/>
      </w:r>
      <w:r>
        <w:rPr>
          <w:noProof/>
        </w:rPr>
        <w:instrText xml:space="preserve"> PAGEREF _Toc416098621 \h </w:instrText>
      </w:r>
      <w:r>
        <w:rPr>
          <w:noProof/>
        </w:rPr>
      </w:r>
      <w:r>
        <w:rPr>
          <w:noProof/>
        </w:rPr>
        <w:fldChar w:fldCharType="separate"/>
      </w:r>
      <w:r>
        <w:rPr>
          <w:noProof/>
        </w:rPr>
        <w:t>9</w:t>
      </w:r>
      <w:r>
        <w:rPr>
          <w:noProof/>
        </w:rPr>
        <w:fldChar w:fldCharType="end"/>
      </w:r>
    </w:p>
    <w:p w:rsidR="008045FF" w:rsidRDefault="008045FF">
      <w:pPr>
        <w:pStyle w:val="TOC1"/>
        <w:rPr>
          <w:rFonts w:asciiTheme="minorHAnsi" w:eastAsiaTheme="minorEastAsia" w:hAnsiTheme="minorHAnsi"/>
          <w:noProof/>
          <w:sz w:val="22"/>
          <w:szCs w:val="22"/>
        </w:rPr>
      </w:pPr>
      <w:r w:rsidRPr="00C174AD">
        <w:rPr>
          <w:noProof/>
          <w:color w:val="010000"/>
        </w:rPr>
        <w:t>III.</w:t>
      </w:r>
      <w:r>
        <w:rPr>
          <w:rFonts w:asciiTheme="minorHAnsi" w:eastAsiaTheme="minorEastAsia" w:hAnsiTheme="minorHAnsi"/>
          <w:noProof/>
          <w:sz w:val="22"/>
          <w:szCs w:val="22"/>
        </w:rPr>
        <w:tab/>
      </w:r>
      <w:r>
        <w:rPr>
          <w:noProof/>
        </w:rPr>
        <w:t>T</w:t>
      </w:r>
      <w:r w:rsidRPr="008045FF">
        <w:rPr>
          <w:caps/>
          <w:noProof/>
        </w:rPr>
        <w:t>he proposed modifications of Schedule IRP-D limiting the availability of the schedule and amending the current portfolio plan sought by AEP-Ohio are unreasonable and unlawful</w:t>
      </w:r>
      <w:r>
        <w:rPr>
          <w:noProof/>
        </w:rPr>
        <w:tab/>
      </w:r>
      <w:r>
        <w:rPr>
          <w:noProof/>
        </w:rPr>
        <w:fldChar w:fldCharType="begin"/>
      </w:r>
      <w:r>
        <w:rPr>
          <w:noProof/>
        </w:rPr>
        <w:instrText xml:space="preserve"> PAGEREF _Toc416098622 \h </w:instrText>
      </w:r>
      <w:r>
        <w:rPr>
          <w:noProof/>
        </w:rPr>
      </w:r>
      <w:r>
        <w:rPr>
          <w:noProof/>
        </w:rPr>
        <w:fldChar w:fldCharType="separate"/>
      </w:r>
      <w:r>
        <w:rPr>
          <w:noProof/>
        </w:rPr>
        <w:t>10</w:t>
      </w:r>
      <w:r>
        <w:rPr>
          <w:noProof/>
        </w:rPr>
        <w:fldChar w:fldCharType="end"/>
      </w:r>
    </w:p>
    <w:p w:rsidR="008045FF" w:rsidRDefault="008045FF" w:rsidP="008045FF">
      <w:pPr>
        <w:pStyle w:val="TOC2"/>
        <w:ind w:left="1440" w:hanging="720"/>
        <w:rPr>
          <w:rFonts w:asciiTheme="minorHAnsi" w:eastAsiaTheme="minorEastAsia" w:hAnsiTheme="minorHAnsi"/>
          <w:noProof/>
          <w:sz w:val="22"/>
          <w:szCs w:val="22"/>
        </w:rPr>
      </w:pPr>
      <w:r w:rsidRPr="00C174AD">
        <w:rPr>
          <w:noProof/>
          <w:color w:val="010000"/>
        </w:rPr>
        <w:t>A.</w:t>
      </w:r>
      <w:r>
        <w:rPr>
          <w:rFonts w:asciiTheme="minorHAnsi" w:eastAsiaTheme="minorEastAsia" w:hAnsiTheme="minorHAnsi"/>
          <w:noProof/>
          <w:sz w:val="22"/>
          <w:szCs w:val="22"/>
        </w:rPr>
        <w:tab/>
      </w:r>
      <w:r>
        <w:rPr>
          <w:noProof/>
        </w:rPr>
        <w:t>The Commission should reject AEP-Ohio’s proposed aggregate load cap on interruptible load that may be contracted under Schedule IRP-D</w:t>
      </w:r>
      <w:r>
        <w:rPr>
          <w:noProof/>
        </w:rPr>
        <w:tab/>
      </w:r>
      <w:r>
        <w:rPr>
          <w:noProof/>
        </w:rPr>
        <w:fldChar w:fldCharType="begin"/>
      </w:r>
      <w:r>
        <w:rPr>
          <w:noProof/>
        </w:rPr>
        <w:instrText xml:space="preserve"> PAGEREF _Toc416098623 \h </w:instrText>
      </w:r>
      <w:r>
        <w:rPr>
          <w:noProof/>
        </w:rPr>
      </w:r>
      <w:r>
        <w:rPr>
          <w:noProof/>
        </w:rPr>
        <w:fldChar w:fldCharType="separate"/>
      </w:r>
      <w:r>
        <w:rPr>
          <w:noProof/>
        </w:rPr>
        <w:t>11</w:t>
      </w:r>
      <w:r>
        <w:rPr>
          <w:noProof/>
        </w:rPr>
        <w:fldChar w:fldCharType="end"/>
      </w:r>
    </w:p>
    <w:p w:rsidR="008045FF" w:rsidRDefault="008045FF" w:rsidP="008045FF">
      <w:pPr>
        <w:pStyle w:val="TOC2"/>
        <w:ind w:left="1440" w:hanging="720"/>
        <w:rPr>
          <w:rFonts w:asciiTheme="minorHAnsi" w:eastAsiaTheme="minorEastAsia" w:hAnsiTheme="minorHAnsi"/>
          <w:noProof/>
          <w:sz w:val="22"/>
          <w:szCs w:val="22"/>
        </w:rPr>
      </w:pPr>
      <w:r w:rsidRPr="00C174AD">
        <w:rPr>
          <w:noProof/>
          <w:color w:val="010000"/>
        </w:rPr>
        <w:t>B.</w:t>
      </w:r>
      <w:r>
        <w:rPr>
          <w:rFonts w:asciiTheme="minorHAnsi" w:eastAsiaTheme="minorEastAsia" w:hAnsiTheme="minorHAnsi"/>
          <w:noProof/>
          <w:sz w:val="22"/>
          <w:szCs w:val="22"/>
        </w:rPr>
        <w:tab/>
      </w:r>
      <w:r>
        <w:rPr>
          <w:noProof/>
        </w:rPr>
        <w:t>The Commission should grant AEP-Ohio’s request for rehearing as to bidding demand resources into base residual auctions that coincide for the ESP term, but reject AEP-Ohio’s alternative approach which would require customers to bid into future auctions</w:t>
      </w:r>
      <w:r>
        <w:rPr>
          <w:noProof/>
        </w:rPr>
        <w:tab/>
      </w:r>
      <w:r>
        <w:rPr>
          <w:noProof/>
        </w:rPr>
        <w:fldChar w:fldCharType="begin"/>
      </w:r>
      <w:r>
        <w:rPr>
          <w:noProof/>
        </w:rPr>
        <w:instrText xml:space="preserve"> PAGEREF _Toc416098624 \h </w:instrText>
      </w:r>
      <w:r>
        <w:rPr>
          <w:noProof/>
        </w:rPr>
      </w:r>
      <w:r>
        <w:rPr>
          <w:noProof/>
        </w:rPr>
        <w:fldChar w:fldCharType="separate"/>
      </w:r>
      <w:r>
        <w:rPr>
          <w:noProof/>
        </w:rPr>
        <w:t>11</w:t>
      </w:r>
      <w:r>
        <w:rPr>
          <w:noProof/>
        </w:rPr>
        <w:fldChar w:fldCharType="end"/>
      </w:r>
    </w:p>
    <w:p w:rsidR="008045FF" w:rsidRDefault="008045FF" w:rsidP="008045FF">
      <w:pPr>
        <w:pStyle w:val="TOC2"/>
        <w:ind w:left="1440" w:hanging="720"/>
        <w:rPr>
          <w:rFonts w:asciiTheme="minorHAnsi" w:eastAsiaTheme="minorEastAsia" w:hAnsiTheme="minorHAnsi"/>
          <w:noProof/>
          <w:sz w:val="22"/>
          <w:szCs w:val="22"/>
        </w:rPr>
      </w:pPr>
      <w:r w:rsidRPr="00C174AD">
        <w:rPr>
          <w:noProof/>
          <w:color w:val="010000"/>
        </w:rPr>
        <w:t>C.</w:t>
      </w:r>
      <w:r>
        <w:rPr>
          <w:rFonts w:asciiTheme="minorHAnsi" w:eastAsiaTheme="minorEastAsia" w:hAnsiTheme="minorHAnsi"/>
          <w:noProof/>
          <w:sz w:val="22"/>
          <w:szCs w:val="22"/>
        </w:rPr>
        <w:tab/>
      </w:r>
      <w:r>
        <w:rPr>
          <w:noProof/>
        </w:rPr>
        <w:t>The proposal to recover the costs of the IRP-D credit through the EDR is a proposed amendment of AEP-Ohio’s current portfolio plan that is barred by Section 7 of Substitute Senate Bill 310 (“SB 310”); if the Commission authorizes the amendment, it should also state that customers may elect the streamlined opt-out of the benefits and costs of the amended portfolio plan</w:t>
      </w:r>
      <w:r>
        <w:rPr>
          <w:noProof/>
        </w:rPr>
        <w:tab/>
      </w:r>
      <w:r>
        <w:rPr>
          <w:noProof/>
        </w:rPr>
        <w:fldChar w:fldCharType="begin"/>
      </w:r>
      <w:r>
        <w:rPr>
          <w:noProof/>
        </w:rPr>
        <w:instrText xml:space="preserve"> PAGEREF _Toc416098625 \h </w:instrText>
      </w:r>
      <w:r>
        <w:rPr>
          <w:noProof/>
        </w:rPr>
      </w:r>
      <w:r>
        <w:rPr>
          <w:noProof/>
        </w:rPr>
        <w:fldChar w:fldCharType="separate"/>
      </w:r>
      <w:r>
        <w:rPr>
          <w:noProof/>
        </w:rPr>
        <w:t>13</w:t>
      </w:r>
      <w:r>
        <w:rPr>
          <w:noProof/>
        </w:rPr>
        <w:fldChar w:fldCharType="end"/>
      </w:r>
    </w:p>
    <w:p w:rsidR="008045FF" w:rsidRDefault="008045FF">
      <w:pPr>
        <w:pStyle w:val="TOC1"/>
        <w:rPr>
          <w:rFonts w:asciiTheme="minorHAnsi" w:eastAsiaTheme="minorEastAsia" w:hAnsiTheme="minorHAnsi"/>
          <w:noProof/>
          <w:sz w:val="22"/>
          <w:szCs w:val="22"/>
        </w:rPr>
      </w:pPr>
      <w:r w:rsidRPr="00C174AD">
        <w:rPr>
          <w:rFonts w:eastAsia="Times New Roman"/>
          <w:noProof/>
          <w:color w:val="010000"/>
        </w:rPr>
        <w:t>IV.</w:t>
      </w:r>
      <w:r>
        <w:rPr>
          <w:rFonts w:asciiTheme="minorHAnsi" w:eastAsiaTheme="minorEastAsia" w:hAnsiTheme="minorHAnsi"/>
          <w:noProof/>
          <w:sz w:val="22"/>
          <w:szCs w:val="22"/>
        </w:rPr>
        <w:tab/>
      </w:r>
      <w:r w:rsidRPr="008045FF">
        <w:rPr>
          <w:rFonts w:eastAsia="Times New Roman"/>
          <w:caps/>
          <w:noProof/>
        </w:rPr>
        <w:t>The Commission should reject AEP-Ohio’s “clarification” of the Commission’s final order regarding the DIR in the ESP II Case</w:t>
      </w:r>
      <w:r>
        <w:rPr>
          <w:noProof/>
        </w:rPr>
        <w:tab/>
      </w:r>
      <w:r>
        <w:rPr>
          <w:noProof/>
        </w:rPr>
        <w:fldChar w:fldCharType="begin"/>
      </w:r>
      <w:r>
        <w:rPr>
          <w:noProof/>
        </w:rPr>
        <w:instrText xml:space="preserve"> PAGEREF _Toc416098626 \h </w:instrText>
      </w:r>
      <w:r>
        <w:rPr>
          <w:noProof/>
        </w:rPr>
      </w:r>
      <w:r>
        <w:rPr>
          <w:noProof/>
        </w:rPr>
        <w:fldChar w:fldCharType="separate"/>
      </w:r>
      <w:r>
        <w:rPr>
          <w:noProof/>
        </w:rPr>
        <w:t>15</w:t>
      </w:r>
      <w:r>
        <w:rPr>
          <w:noProof/>
        </w:rPr>
        <w:fldChar w:fldCharType="end"/>
      </w:r>
    </w:p>
    <w:p w:rsidR="008045FF" w:rsidRDefault="008045FF">
      <w:pPr>
        <w:pStyle w:val="TOC1"/>
        <w:rPr>
          <w:rFonts w:asciiTheme="minorHAnsi" w:eastAsiaTheme="minorEastAsia" w:hAnsiTheme="minorHAnsi"/>
          <w:noProof/>
          <w:sz w:val="22"/>
          <w:szCs w:val="22"/>
        </w:rPr>
      </w:pPr>
      <w:r w:rsidRPr="00C174AD">
        <w:rPr>
          <w:rFonts w:eastAsia="Times New Roman"/>
          <w:noProof/>
          <w:color w:val="010000"/>
        </w:rPr>
        <w:t>V.</w:t>
      </w:r>
      <w:r>
        <w:rPr>
          <w:rFonts w:asciiTheme="minorHAnsi" w:eastAsiaTheme="minorEastAsia" w:hAnsiTheme="minorHAnsi"/>
          <w:noProof/>
          <w:sz w:val="22"/>
          <w:szCs w:val="22"/>
        </w:rPr>
        <w:tab/>
      </w:r>
      <w:r w:rsidRPr="008045FF">
        <w:rPr>
          <w:rFonts w:eastAsia="Times New Roman"/>
          <w:caps/>
          <w:noProof/>
        </w:rPr>
        <w:t>The Commission should deny AEP-Ohio’s request for authorization of the NCCR</w:t>
      </w:r>
      <w:r>
        <w:rPr>
          <w:noProof/>
        </w:rPr>
        <w:tab/>
      </w:r>
      <w:r>
        <w:rPr>
          <w:noProof/>
        </w:rPr>
        <w:fldChar w:fldCharType="begin"/>
      </w:r>
      <w:r>
        <w:rPr>
          <w:noProof/>
        </w:rPr>
        <w:instrText xml:space="preserve"> PAGEREF _Toc416098627 \h </w:instrText>
      </w:r>
      <w:r>
        <w:rPr>
          <w:noProof/>
        </w:rPr>
      </w:r>
      <w:r>
        <w:rPr>
          <w:noProof/>
        </w:rPr>
        <w:fldChar w:fldCharType="separate"/>
      </w:r>
      <w:r>
        <w:rPr>
          <w:noProof/>
        </w:rPr>
        <w:t>20</w:t>
      </w:r>
      <w:r>
        <w:rPr>
          <w:noProof/>
        </w:rPr>
        <w:fldChar w:fldCharType="end"/>
      </w:r>
    </w:p>
    <w:p w:rsidR="008045FF" w:rsidRDefault="008045FF">
      <w:pPr>
        <w:pStyle w:val="TOC1"/>
        <w:rPr>
          <w:rFonts w:asciiTheme="minorHAnsi" w:eastAsiaTheme="minorEastAsia" w:hAnsiTheme="minorHAnsi"/>
          <w:noProof/>
          <w:sz w:val="22"/>
          <w:szCs w:val="22"/>
        </w:rPr>
      </w:pPr>
      <w:r w:rsidRPr="00C174AD">
        <w:rPr>
          <w:rFonts w:eastAsia="Times New Roman"/>
          <w:noProof/>
          <w:color w:val="010000"/>
        </w:rPr>
        <w:lastRenderedPageBreak/>
        <w:t>VI.</w:t>
      </w:r>
      <w:r>
        <w:rPr>
          <w:rFonts w:asciiTheme="minorHAnsi" w:eastAsiaTheme="minorEastAsia" w:hAnsiTheme="minorHAnsi"/>
          <w:noProof/>
          <w:sz w:val="22"/>
          <w:szCs w:val="22"/>
        </w:rPr>
        <w:tab/>
      </w:r>
      <w:r w:rsidRPr="008045FF">
        <w:rPr>
          <w:rFonts w:eastAsia="Times New Roman"/>
          <w:caps/>
          <w:noProof/>
        </w:rPr>
        <w:t>Conclusion</w:t>
      </w:r>
      <w:r>
        <w:rPr>
          <w:noProof/>
        </w:rPr>
        <w:tab/>
      </w:r>
      <w:r>
        <w:rPr>
          <w:noProof/>
        </w:rPr>
        <w:fldChar w:fldCharType="begin"/>
      </w:r>
      <w:r>
        <w:rPr>
          <w:noProof/>
        </w:rPr>
        <w:instrText xml:space="preserve"> PAGEREF _Toc416098628 \h </w:instrText>
      </w:r>
      <w:r>
        <w:rPr>
          <w:noProof/>
        </w:rPr>
      </w:r>
      <w:r>
        <w:rPr>
          <w:noProof/>
        </w:rPr>
        <w:fldChar w:fldCharType="separate"/>
      </w:r>
      <w:r>
        <w:rPr>
          <w:noProof/>
        </w:rPr>
        <w:t>21</w:t>
      </w:r>
      <w:r>
        <w:rPr>
          <w:noProof/>
        </w:rPr>
        <w:fldChar w:fldCharType="end"/>
      </w:r>
    </w:p>
    <w:bookmarkEnd w:id="3"/>
    <w:p w:rsidR="007D0E35" w:rsidRDefault="008045FF" w:rsidP="00F9651B">
      <w:pPr>
        <w:rPr>
          <w:noProof/>
        </w:rPr>
      </w:pPr>
      <w:r>
        <w:rPr>
          <w:noProof/>
        </w:rPr>
        <w:fldChar w:fldCharType="end"/>
      </w:r>
    </w:p>
    <w:p w:rsidR="0071279D" w:rsidRDefault="0071279D" w:rsidP="0071279D">
      <w:pPr>
        <w:rPr>
          <w:noProof/>
        </w:rPr>
      </w:pPr>
    </w:p>
    <w:p w:rsidR="003D2771" w:rsidRDefault="003D2771" w:rsidP="0071279D">
      <w:pPr>
        <w:tabs>
          <w:tab w:val="right" w:leader="dot" w:pos="9360"/>
        </w:tabs>
        <w:ind w:right="720"/>
        <w:sectPr w:rsidR="003D2771" w:rsidSect="003D2771">
          <w:headerReference w:type="default" r:id="rId15"/>
          <w:footerReference w:type="default" r:id="rId16"/>
          <w:headerReference w:type="first" r:id="rId17"/>
          <w:footerReference w:type="first" r:id="rId18"/>
          <w:pgSz w:w="12240" w:h="15840" w:code="1"/>
          <w:pgMar w:top="1440" w:right="1440" w:bottom="1141" w:left="1440" w:header="720" w:footer="720" w:gutter="0"/>
          <w:pgNumType w:fmt="lowerRoman" w:start="1"/>
          <w:cols w:space="720"/>
          <w:titlePg/>
          <w:docGrid w:linePitch="326"/>
        </w:sectPr>
      </w:pPr>
    </w:p>
    <w:p w:rsidR="0026595D" w:rsidRPr="0017569B" w:rsidRDefault="0026595D" w:rsidP="003D2771">
      <w:pPr>
        <w:spacing w:after="0"/>
        <w:jc w:val="center"/>
        <w:rPr>
          <w:rFonts w:eastAsia="Calibri" w:cs="Arial"/>
          <w:b/>
          <w:smallCaps/>
          <w:sz w:val="32"/>
          <w:szCs w:val="32"/>
        </w:rPr>
      </w:pPr>
      <w:r w:rsidRPr="0017569B">
        <w:rPr>
          <w:rFonts w:eastAsia="Calibri" w:cs="Arial"/>
          <w:b/>
          <w:smallCaps/>
          <w:sz w:val="32"/>
          <w:szCs w:val="32"/>
        </w:rPr>
        <w:lastRenderedPageBreak/>
        <w:t>Before</w:t>
      </w:r>
    </w:p>
    <w:p w:rsidR="0026595D" w:rsidRPr="0017569B" w:rsidRDefault="0026595D" w:rsidP="0026595D">
      <w:pPr>
        <w:spacing w:after="0"/>
        <w:jc w:val="center"/>
        <w:rPr>
          <w:rFonts w:eastAsia="Calibri" w:cs="Arial"/>
          <w:b/>
          <w:smallCaps/>
          <w:sz w:val="32"/>
          <w:szCs w:val="32"/>
        </w:rPr>
      </w:pPr>
      <w:r w:rsidRPr="0017569B">
        <w:rPr>
          <w:rFonts w:eastAsia="Calibri" w:cs="Arial"/>
          <w:b/>
          <w:smallCaps/>
          <w:sz w:val="32"/>
          <w:szCs w:val="32"/>
        </w:rPr>
        <w:t>The Public Utilities Commission Of Ohio</w:t>
      </w:r>
    </w:p>
    <w:p w:rsidR="0026595D" w:rsidRPr="0017569B" w:rsidRDefault="0026595D" w:rsidP="0026595D">
      <w:pPr>
        <w:spacing w:after="0"/>
        <w:jc w:val="both"/>
        <w:rPr>
          <w:rFonts w:eastAsia="Calibri" w:cs="Times New Roman"/>
          <w:b/>
          <w:szCs w:val="22"/>
        </w:rPr>
      </w:pPr>
    </w:p>
    <w:p w:rsidR="0026595D" w:rsidRPr="0017569B" w:rsidRDefault="0026595D" w:rsidP="0026595D">
      <w:pPr>
        <w:spacing w:after="0"/>
        <w:jc w:val="both"/>
        <w:rPr>
          <w:rFonts w:eastAsia="Calibri" w:cs="Times New Roman"/>
          <w:b/>
          <w:szCs w:val="22"/>
        </w:rPr>
      </w:pPr>
    </w:p>
    <w:p w:rsidR="0026595D" w:rsidRPr="0017569B" w:rsidRDefault="0026595D" w:rsidP="0026595D">
      <w:pPr>
        <w:spacing w:after="0"/>
        <w:jc w:val="both"/>
        <w:rPr>
          <w:rFonts w:eastAsia="Calibri" w:cs="Arial"/>
          <w:szCs w:val="22"/>
        </w:rPr>
      </w:pPr>
      <w:r w:rsidRPr="0017569B">
        <w:rPr>
          <w:rFonts w:eastAsia="Calibri" w:cs="Arial"/>
          <w:szCs w:val="22"/>
        </w:rPr>
        <w:t>In the Matter of the Application of</w:t>
      </w:r>
      <w:r w:rsidRPr="0017569B">
        <w:rPr>
          <w:rFonts w:eastAsia="Calibri" w:cs="Arial"/>
          <w:szCs w:val="22"/>
        </w:rPr>
        <w:tab/>
      </w:r>
      <w:r w:rsidRPr="0017569B">
        <w:rPr>
          <w:rFonts w:eastAsia="Calibri" w:cs="Arial"/>
          <w:szCs w:val="22"/>
        </w:rPr>
        <w:tab/>
      </w:r>
      <w:r w:rsidRPr="0017569B">
        <w:rPr>
          <w:rFonts w:eastAsia="Calibri" w:cs="Arial"/>
          <w:szCs w:val="22"/>
        </w:rPr>
        <w:tab/>
        <w:t>)</w:t>
      </w:r>
    </w:p>
    <w:p w:rsidR="0026595D" w:rsidRPr="0017569B" w:rsidRDefault="0026595D" w:rsidP="0026595D">
      <w:pPr>
        <w:spacing w:after="0"/>
        <w:jc w:val="both"/>
        <w:rPr>
          <w:rFonts w:eastAsia="Calibri" w:cs="Arial"/>
          <w:szCs w:val="22"/>
        </w:rPr>
      </w:pPr>
      <w:r w:rsidRPr="0017569B">
        <w:rPr>
          <w:rFonts w:eastAsia="Calibri" w:cs="Arial"/>
          <w:szCs w:val="22"/>
        </w:rPr>
        <w:t>Ohio Power Company for Authority to</w:t>
      </w:r>
      <w:r w:rsidRPr="0017569B">
        <w:rPr>
          <w:rFonts w:eastAsia="Calibri" w:cs="Arial"/>
          <w:szCs w:val="22"/>
        </w:rPr>
        <w:tab/>
      </w:r>
      <w:r w:rsidRPr="0017569B">
        <w:rPr>
          <w:rFonts w:eastAsia="Calibri" w:cs="Arial"/>
          <w:szCs w:val="22"/>
        </w:rPr>
        <w:tab/>
        <w:t>)</w:t>
      </w:r>
      <w:r w:rsidRPr="0017569B">
        <w:rPr>
          <w:rFonts w:eastAsia="Calibri" w:cs="Arial"/>
          <w:szCs w:val="22"/>
        </w:rPr>
        <w:tab/>
        <w:t>Case No. 13-2385-EL-SSO</w:t>
      </w:r>
    </w:p>
    <w:p w:rsidR="0026595D" w:rsidRPr="0017569B" w:rsidRDefault="0026595D" w:rsidP="0026595D">
      <w:pPr>
        <w:spacing w:after="0"/>
        <w:jc w:val="both"/>
        <w:rPr>
          <w:rFonts w:eastAsia="Calibri" w:cs="Arial"/>
          <w:szCs w:val="22"/>
        </w:rPr>
      </w:pPr>
      <w:r w:rsidRPr="0017569B">
        <w:rPr>
          <w:rFonts w:eastAsia="Calibri" w:cs="Arial"/>
          <w:szCs w:val="22"/>
        </w:rPr>
        <w:t>Establish a Standard Service Offer</w:t>
      </w:r>
      <w:r w:rsidRPr="0017569B">
        <w:rPr>
          <w:rFonts w:eastAsia="Calibri" w:cs="Arial"/>
          <w:szCs w:val="22"/>
        </w:rPr>
        <w:tab/>
      </w:r>
      <w:r w:rsidRPr="0017569B">
        <w:rPr>
          <w:rFonts w:eastAsia="Calibri" w:cs="Arial"/>
          <w:szCs w:val="22"/>
        </w:rPr>
        <w:tab/>
        <w:t>)</w:t>
      </w:r>
      <w:r w:rsidRPr="0017569B">
        <w:rPr>
          <w:rFonts w:eastAsia="Calibri" w:cs="Arial"/>
          <w:szCs w:val="22"/>
        </w:rPr>
        <w:tab/>
      </w:r>
    </w:p>
    <w:p w:rsidR="0026595D" w:rsidRPr="0017569B" w:rsidRDefault="0026595D" w:rsidP="0026595D">
      <w:pPr>
        <w:spacing w:after="0"/>
        <w:jc w:val="both"/>
        <w:rPr>
          <w:rFonts w:eastAsia="Calibri" w:cs="Arial"/>
          <w:szCs w:val="22"/>
        </w:rPr>
      </w:pPr>
      <w:r w:rsidRPr="0017569B">
        <w:rPr>
          <w:rFonts w:eastAsia="Calibri" w:cs="Arial"/>
          <w:szCs w:val="22"/>
        </w:rPr>
        <w:t>Pursuant to §4928.143, Ohio Rev. Code,</w:t>
      </w:r>
      <w:r w:rsidRPr="0017569B">
        <w:rPr>
          <w:rFonts w:eastAsia="Calibri" w:cs="Arial"/>
          <w:szCs w:val="22"/>
        </w:rPr>
        <w:tab/>
        <w:t>)</w:t>
      </w:r>
    </w:p>
    <w:p w:rsidR="0026595D" w:rsidRPr="0017569B" w:rsidRDefault="0026595D" w:rsidP="0026595D">
      <w:pPr>
        <w:spacing w:after="0"/>
        <w:jc w:val="both"/>
        <w:rPr>
          <w:rFonts w:eastAsia="Calibri" w:cs="Arial"/>
          <w:szCs w:val="22"/>
        </w:rPr>
      </w:pPr>
      <w:r w:rsidRPr="0017569B">
        <w:rPr>
          <w:rFonts w:eastAsia="Calibri" w:cs="Arial"/>
          <w:szCs w:val="22"/>
        </w:rPr>
        <w:t>in the Form of an Electric Security Plan.</w:t>
      </w:r>
      <w:r w:rsidRPr="0017569B">
        <w:rPr>
          <w:rFonts w:eastAsia="Calibri" w:cs="Arial"/>
          <w:szCs w:val="22"/>
        </w:rPr>
        <w:tab/>
      </w:r>
      <w:r w:rsidRPr="0017569B">
        <w:rPr>
          <w:rFonts w:eastAsia="Calibri" w:cs="Arial"/>
          <w:szCs w:val="22"/>
        </w:rPr>
        <w:tab/>
        <w:t>)</w:t>
      </w:r>
    </w:p>
    <w:p w:rsidR="0026595D" w:rsidRPr="0017569B" w:rsidRDefault="0026595D" w:rsidP="0026595D">
      <w:pPr>
        <w:spacing w:after="0"/>
        <w:jc w:val="both"/>
        <w:rPr>
          <w:rFonts w:eastAsia="Calibri" w:cs="Arial"/>
          <w:szCs w:val="22"/>
        </w:rPr>
      </w:pPr>
    </w:p>
    <w:p w:rsidR="0026595D" w:rsidRPr="0017569B" w:rsidRDefault="0026595D" w:rsidP="0026595D">
      <w:pPr>
        <w:spacing w:after="0"/>
        <w:jc w:val="both"/>
        <w:rPr>
          <w:rFonts w:eastAsia="Calibri" w:cs="Arial"/>
          <w:szCs w:val="22"/>
        </w:rPr>
      </w:pPr>
      <w:r w:rsidRPr="0017569B">
        <w:rPr>
          <w:rFonts w:eastAsia="Calibri" w:cs="Arial"/>
          <w:szCs w:val="22"/>
        </w:rPr>
        <w:t>In the Matter of the Application of</w:t>
      </w:r>
      <w:r w:rsidRPr="0017569B">
        <w:rPr>
          <w:rFonts w:eastAsia="Calibri" w:cs="Arial"/>
          <w:szCs w:val="22"/>
        </w:rPr>
        <w:tab/>
      </w:r>
      <w:r w:rsidRPr="0017569B">
        <w:rPr>
          <w:rFonts w:eastAsia="Calibri" w:cs="Arial"/>
          <w:szCs w:val="22"/>
        </w:rPr>
        <w:tab/>
      </w:r>
      <w:r w:rsidRPr="0017569B">
        <w:rPr>
          <w:rFonts w:eastAsia="Calibri" w:cs="Arial"/>
          <w:szCs w:val="22"/>
        </w:rPr>
        <w:tab/>
        <w:t>)</w:t>
      </w:r>
    </w:p>
    <w:p w:rsidR="0026595D" w:rsidRPr="0017569B" w:rsidRDefault="0026595D" w:rsidP="0026595D">
      <w:pPr>
        <w:spacing w:after="0"/>
        <w:jc w:val="both"/>
        <w:rPr>
          <w:rFonts w:eastAsia="Calibri" w:cs="Arial"/>
          <w:szCs w:val="22"/>
        </w:rPr>
      </w:pPr>
      <w:r w:rsidRPr="0017569B">
        <w:rPr>
          <w:rFonts w:eastAsia="Calibri" w:cs="Arial"/>
          <w:szCs w:val="22"/>
        </w:rPr>
        <w:t>Ohio Power Company for Approval of</w:t>
      </w:r>
      <w:r w:rsidRPr="0017569B">
        <w:rPr>
          <w:rFonts w:eastAsia="Calibri" w:cs="Arial"/>
          <w:szCs w:val="22"/>
        </w:rPr>
        <w:tab/>
      </w:r>
      <w:r w:rsidRPr="0017569B">
        <w:rPr>
          <w:rFonts w:eastAsia="Calibri" w:cs="Arial"/>
          <w:szCs w:val="22"/>
        </w:rPr>
        <w:tab/>
        <w:t>)</w:t>
      </w:r>
      <w:r w:rsidRPr="0017569B">
        <w:rPr>
          <w:rFonts w:eastAsia="Calibri" w:cs="Arial"/>
          <w:szCs w:val="22"/>
        </w:rPr>
        <w:tab/>
        <w:t>Case No. 13-2386-EL-AAM</w:t>
      </w:r>
    </w:p>
    <w:p w:rsidR="0026595D" w:rsidRPr="0017569B" w:rsidRDefault="0026595D" w:rsidP="0026595D">
      <w:pPr>
        <w:spacing w:after="0"/>
        <w:jc w:val="both"/>
        <w:rPr>
          <w:rFonts w:eastAsia="Calibri" w:cs="Arial"/>
          <w:szCs w:val="22"/>
        </w:rPr>
      </w:pPr>
      <w:r w:rsidRPr="0017569B">
        <w:rPr>
          <w:rFonts w:eastAsia="Calibri" w:cs="Arial"/>
          <w:szCs w:val="22"/>
        </w:rPr>
        <w:t>Certain Accounting Authority.</w:t>
      </w:r>
      <w:r w:rsidRPr="0017569B">
        <w:rPr>
          <w:rFonts w:eastAsia="Calibri" w:cs="Arial"/>
          <w:szCs w:val="22"/>
        </w:rPr>
        <w:tab/>
      </w:r>
      <w:r w:rsidRPr="0017569B">
        <w:rPr>
          <w:rFonts w:eastAsia="Calibri" w:cs="Arial"/>
          <w:szCs w:val="22"/>
        </w:rPr>
        <w:tab/>
      </w:r>
      <w:r w:rsidRPr="0017569B">
        <w:rPr>
          <w:rFonts w:eastAsia="Calibri" w:cs="Arial"/>
          <w:szCs w:val="22"/>
        </w:rPr>
        <w:tab/>
        <w:t>)</w:t>
      </w:r>
    </w:p>
    <w:p w:rsidR="0026595D" w:rsidRPr="0017569B" w:rsidRDefault="0026595D" w:rsidP="0026595D">
      <w:pPr>
        <w:spacing w:after="0"/>
        <w:jc w:val="both"/>
        <w:rPr>
          <w:rFonts w:eastAsia="Calibri" w:cs="Times New Roman"/>
          <w:szCs w:val="22"/>
        </w:rPr>
      </w:pPr>
    </w:p>
    <w:p w:rsidR="0026595D" w:rsidRPr="0017569B" w:rsidRDefault="0026595D" w:rsidP="0026595D">
      <w:pPr>
        <w:pBdr>
          <w:top w:val="single" w:sz="12" w:space="1" w:color="auto"/>
          <w:bottom w:val="single" w:sz="12" w:space="1" w:color="auto"/>
        </w:pBdr>
        <w:spacing w:after="0"/>
        <w:jc w:val="both"/>
        <w:rPr>
          <w:rFonts w:ascii="Arial Bold" w:eastAsia="Calibri" w:hAnsi="Arial Bold" w:cs="Times New Roman"/>
          <w:b/>
          <w:caps/>
          <w:szCs w:val="22"/>
        </w:rPr>
      </w:pPr>
    </w:p>
    <w:p w:rsidR="0026595D" w:rsidRDefault="0026595D" w:rsidP="0026595D">
      <w:pPr>
        <w:pBdr>
          <w:top w:val="single" w:sz="12" w:space="1" w:color="auto"/>
          <w:bottom w:val="single" w:sz="12" w:space="1" w:color="auto"/>
        </w:pBdr>
        <w:spacing w:after="0"/>
        <w:jc w:val="center"/>
        <w:rPr>
          <w:rFonts w:eastAsia="Calibri" w:cs="Arial"/>
          <w:b/>
          <w:caps/>
          <w:sz w:val="28"/>
          <w:szCs w:val="28"/>
        </w:rPr>
      </w:pPr>
      <w:r>
        <w:rPr>
          <w:rFonts w:eastAsia="Calibri" w:cs="Arial"/>
          <w:b/>
          <w:caps/>
          <w:sz w:val="28"/>
          <w:szCs w:val="28"/>
        </w:rPr>
        <w:t xml:space="preserve">Memorandum </w:t>
      </w:r>
      <w:r w:rsidRPr="0017569B">
        <w:rPr>
          <w:rFonts w:eastAsia="Calibri" w:cs="Arial"/>
          <w:b/>
          <w:caps/>
          <w:sz w:val="28"/>
          <w:szCs w:val="28"/>
        </w:rPr>
        <w:t>of Industrial Energy Users-Ohio</w:t>
      </w:r>
      <w:r>
        <w:rPr>
          <w:rFonts w:eastAsia="Calibri" w:cs="Arial"/>
          <w:b/>
          <w:caps/>
          <w:sz w:val="28"/>
          <w:szCs w:val="28"/>
        </w:rPr>
        <w:t xml:space="preserve"> in opposition to the application</w:t>
      </w:r>
      <w:r w:rsidR="00A8190B">
        <w:rPr>
          <w:rFonts w:eastAsia="Calibri" w:cs="Arial"/>
          <w:b/>
          <w:caps/>
          <w:sz w:val="28"/>
          <w:szCs w:val="28"/>
        </w:rPr>
        <w:t>s</w:t>
      </w:r>
      <w:r>
        <w:rPr>
          <w:rFonts w:eastAsia="Calibri" w:cs="Arial"/>
          <w:b/>
          <w:caps/>
          <w:sz w:val="28"/>
          <w:szCs w:val="28"/>
        </w:rPr>
        <w:t xml:space="preserve"> for rehearing </w:t>
      </w:r>
      <w:r w:rsidR="008D76BA">
        <w:rPr>
          <w:rFonts w:eastAsia="Calibri" w:cs="Arial"/>
          <w:b/>
          <w:caps/>
          <w:sz w:val="28"/>
          <w:szCs w:val="28"/>
        </w:rPr>
        <w:t>of the ohio power company, ohio manufacturers’ association energy group, and environmental advocates</w:t>
      </w:r>
    </w:p>
    <w:p w:rsidR="0026595D" w:rsidRPr="0017569B" w:rsidRDefault="0026595D" w:rsidP="0026595D">
      <w:pPr>
        <w:pBdr>
          <w:top w:val="single" w:sz="12" w:space="1" w:color="auto"/>
          <w:bottom w:val="single" w:sz="12" w:space="1" w:color="auto"/>
        </w:pBdr>
        <w:jc w:val="center"/>
        <w:rPr>
          <w:rFonts w:ascii="Arial Bold" w:eastAsia="Calibri" w:hAnsi="Arial Bold" w:cs="Times New Roman"/>
          <w:b/>
          <w:caps/>
          <w:szCs w:val="22"/>
        </w:rPr>
      </w:pPr>
    </w:p>
    <w:p w:rsidR="0026595D" w:rsidRDefault="0026595D" w:rsidP="0026595D">
      <w:pPr>
        <w:pStyle w:val="Heading1"/>
        <w:numPr>
          <w:ilvl w:val="0"/>
          <w:numId w:val="0"/>
        </w:numPr>
        <w:ind w:left="720"/>
      </w:pPr>
    </w:p>
    <w:p w:rsidR="0017569B" w:rsidRDefault="0017569B" w:rsidP="00FB05D9">
      <w:pPr>
        <w:pStyle w:val="Heading1"/>
      </w:pPr>
      <w:bookmarkStart w:id="4" w:name="_Toc415668371"/>
      <w:bookmarkStart w:id="5" w:name="_Toc415670059"/>
      <w:bookmarkStart w:id="6" w:name="_Toc415670178"/>
      <w:bookmarkStart w:id="7" w:name="_Toc415748772"/>
      <w:bookmarkStart w:id="8" w:name="_Toc416080115"/>
      <w:bookmarkStart w:id="9" w:name="_Toc416094971"/>
      <w:bookmarkStart w:id="10" w:name="_Toc416098615"/>
      <w:r>
        <w:t>Introduction</w:t>
      </w:r>
      <w:bookmarkEnd w:id="4"/>
      <w:bookmarkEnd w:id="5"/>
      <w:bookmarkEnd w:id="6"/>
      <w:bookmarkEnd w:id="7"/>
      <w:bookmarkEnd w:id="8"/>
      <w:bookmarkEnd w:id="9"/>
      <w:bookmarkEnd w:id="10"/>
    </w:p>
    <w:p w:rsidR="00BA6EEB" w:rsidRDefault="00BA6EEB" w:rsidP="007277CE">
      <w:pPr>
        <w:spacing w:after="0" w:line="480" w:lineRule="auto"/>
        <w:ind w:firstLine="720"/>
        <w:jc w:val="both"/>
        <w:rPr>
          <w:rFonts w:eastAsia="Calibri" w:cs="Times New Roman"/>
        </w:rPr>
      </w:pPr>
      <w:r w:rsidRPr="00077C6E">
        <w:rPr>
          <w:rFonts w:eastAsia="Calibri" w:cs="Times New Roman"/>
        </w:rPr>
        <w:t xml:space="preserve">In the </w:t>
      </w:r>
      <w:r>
        <w:rPr>
          <w:rFonts w:eastAsia="Calibri" w:cs="Times New Roman"/>
        </w:rPr>
        <w:t>Opinion and Order in these cases (“</w:t>
      </w:r>
      <w:r w:rsidRPr="00077C6E">
        <w:rPr>
          <w:rFonts w:eastAsia="Calibri" w:cs="Times New Roman"/>
        </w:rPr>
        <w:t>ESP III Order</w:t>
      </w:r>
      <w:r>
        <w:rPr>
          <w:rFonts w:eastAsia="Calibri" w:cs="Times New Roman"/>
        </w:rPr>
        <w:t>”)</w:t>
      </w:r>
      <w:r w:rsidRPr="00077C6E">
        <w:rPr>
          <w:rFonts w:eastAsia="Calibri" w:cs="Times New Roman"/>
        </w:rPr>
        <w:t xml:space="preserve"> issued on February 25, 2015,</w:t>
      </w:r>
      <w:r w:rsidR="00BB46C8">
        <w:rPr>
          <w:rStyle w:val="FootnoteReference"/>
          <w:rFonts w:eastAsia="Calibri" w:cs="Times New Roman"/>
        </w:rPr>
        <w:footnoteReference w:id="1"/>
      </w:r>
      <w:r w:rsidRPr="00077C6E">
        <w:rPr>
          <w:rFonts w:eastAsia="Calibri" w:cs="Times New Roman"/>
        </w:rPr>
        <w:t xml:space="preserve"> the </w:t>
      </w:r>
      <w:r>
        <w:rPr>
          <w:rFonts w:eastAsia="Calibri" w:cs="Times New Roman"/>
        </w:rPr>
        <w:t xml:space="preserve">Public Utilities </w:t>
      </w:r>
      <w:r w:rsidRPr="00077C6E">
        <w:rPr>
          <w:rFonts w:eastAsia="Calibri" w:cs="Times New Roman"/>
        </w:rPr>
        <w:t xml:space="preserve">Commission </w:t>
      </w:r>
      <w:r>
        <w:rPr>
          <w:rFonts w:eastAsia="Calibri" w:cs="Times New Roman"/>
        </w:rPr>
        <w:t xml:space="preserve">of Ohio (“Commission”) </w:t>
      </w:r>
      <w:r w:rsidR="00BB46C8">
        <w:rPr>
          <w:rFonts w:eastAsia="Calibri" w:cs="Times New Roman"/>
        </w:rPr>
        <w:t>modified an</w:t>
      </w:r>
      <w:r w:rsidR="00A8190B">
        <w:rPr>
          <w:rFonts w:eastAsia="Calibri" w:cs="Times New Roman"/>
        </w:rPr>
        <w:t>d</w:t>
      </w:r>
      <w:r w:rsidR="00BB46C8">
        <w:rPr>
          <w:rFonts w:eastAsia="Calibri" w:cs="Times New Roman"/>
        </w:rPr>
        <w:t xml:space="preserve"> approved an application for an electric security plan</w:t>
      </w:r>
      <w:r w:rsidR="0057449A">
        <w:rPr>
          <w:rFonts w:eastAsia="Calibri" w:cs="Times New Roman"/>
        </w:rPr>
        <w:t xml:space="preserve"> (“ESP”)</w:t>
      </w:r>
      <w:r w:rsidR="00BB46C8">
        <w:rPr>
          <w:rFonts w:eastAsia="Calibri" w:cs="Times New Roman"/>
        </w:rPr>
        <w:t xml:space="preserve"> for Ohio Power Company (“AEP-Ohio”).  </w:t>
      </w:r>
      <w:r w:rsidR="00C218C9">
        <w:rPr>
          <w:rFonts w:eastAsia="Calibri" w:cs="Times New Roman"/>
        </w:rPr>
        <w:t xml:space="preserve">AEP-Ohio filed </w:t>
      </w:r>
      <w:r w:rsidR="00407C72">
        <w:rPr>
          <w:rFonts w:eastAsia="Calibri" w:cs="Times New Roman"/>
        </w:rPr>
        <w:t xml:space="preserve">an </w:t>
      </w:r>
      <w:r w:rsidR="00C218C9">
        <w:rPr>
          <w:rFonts w:eastAsia="Calibri" w:cs="Times New Roman"/>
        </w:rPr>
        <w:t>application for rehearing of the ESP III Order on March 27, 2015.</w:t>
      </w:r>
      <w:r w:rsidR="008519A5">
        <w:rPr>
          <w:rStyle w:val="FootnoteReference"/>
          <w:rFonts w:eastAsia="Calibri" w:cs="Times New Roman"/>
        </w:rPr>
        <w:footnoteReference w:id="2"/>
      </w:r>
      <w:r w:rsidR="00C218C9">
        <w:rPr>
          <w:rFonts w:eastAsia="Calibri" w:cs="Times New Roman"/>
        </w:rPr>
        <w:t xml:space="preserve">  </w:t>
      </w:r>
      <w:r w:rsidR="003E6249">
        <w:rPr>
          <w:rFonts w:eastAsia="Calibri" w:cs="Times New Roman"/>
        </w:rPr>
        <w:t>In its Application for Rehearing</w:t>
      </w:r>
      <w:r w:rsidR="00BB46C8">
        <w:rPr>
          <w:rFonts w:eastAsia="Calibri" w:cs="Times New Roman"/>
        </w:rPr>
        <w:t>,</w:t>
      </w:r>
      <w:r w:rsidR="008519A5" w:rsidRPr="00C218C9">
        <w:rPr>
          <w:rFonts w:eastAsia="Calibri" w:cs="Times New Roman"/>
          <w:vertAlign w:val="superscript"/>
        </w:rPr>
        <w:footnoteReference w:id="3"/>
      </w:r>
      <w:r w:rsidR="00BB46C8">
        <w:rPr>
          <w:rFonts w:eastAsia="Calibri" w:cs="Times New Roman"/>
        </w:rPr>
        <w:t xml:space="preserve"> </w:t>
      </w:r>
      <w:r w:rsidR="00C218C9" w:rsidRPr="00C218C9">
        <w:rPr>
          <w:rFonts w:eastAsia="Calibri" w:cs="Times New Roman"/>
        </w:rPr>
        <w:t>AEP-Ohio requests that the Commission reverse its order denying AEP-Ohio authorization</w:t>
      </w:r>
      <w:r w:rsidR="00C218C9">
        <w:rPr>
          <w:rFonts w:eastAsia="Calibri" w:cs="Times New Roman"/>
        </w:rPr>
        <w:t xml:space="preserve"> under the Purchase Power </w:t>
      </w:r>
      <w:r w:rsidR="00C218C9">
        <w:rPr>
          <w:rFonts w:eastAsia="Calibri" w:cs="Times New Roman"/>
        </w:rPr>
        <w:lastRenderedPageBreak/>
        <w:t>Agreement Rider (“PPA Rider”)</w:t>
      </w:r>
      <w:r w:rsidR="00C218C9" w:rsidRPr="00C218C9">
        <w:rPr>
          <w:rFonts w:eastAsia="Calibri" w:cs="Times New Roman"/>
        </w:rPr>
        <w:t xml:space="preserve"> </w:t>
      </w:r>
      <w:r w:rsidR="00982BD7">
        <w:rPr>
          <w:rFonts w:eastAsia="Calibri" w:cs="Times New Roman"/>
        </w:rPr>
        <w:t xml:space="preserve">to begin collecting above-market generation-related wholesale costs </w:t>
      </w:r>
      <w:r w:rsidR="008D76BA">
        <w:rPr>
          <w:rFonts w:eastAsia="Calibri" w:cs="Times New Roman"/>
        </w:rPr>
        <w:t>so that AEP-Ohio may</w:t>
      </w:r>
      <w:r w:rsidR="008D76BA" w:rsidRPr="00C218C9">
        <w:rPr>
          <w:rFonts w:eastAsia="Calibri" w:cs="Times New Roman"/>
        </w:rPr>
        <w:t xml:space="preserve"> </w:t>
      </w:r>
      <w:r w:rsidR="0057449A">
        <w:rPr>
          <w:rFonts w:eastAsia="Calibri" w:cs="Times New Roman"/>
        </w:rPr>
        <w:t xml:space="preserve">insulate itself from the losses it would incur as a result of </w:t>
      </w:r>
      <w:r w:rsidR="001937D6">
        <w:rPr>
          <w:rFonts w:eastAsia="Calibri" w:cs="Times New Roman"/>
        </w:rPr>
        <w:t xml:space="preserve">its </w:t>
      </w:r>
      <w:r w:rsidR="0057449A">
        <w:rPr>
          <w:rFonts w:eastAsia="Calibri" w:cs="Times New Roman"/>
        </w:rPr>
        <w:t>decision to retain ownership of an interest in</w:t>
      </w:r>
      <w:r w:rsidR="00C218C9" w:rsidRPr="00C218C9">
        <w:rPr>
          <w:rFonts w:eastAsia="Calibri" w:cs="Times New Roman"/>
        </w:rPr>
        <w:t xml:space="preserve"> Ohio Valley Electric Corporation (“OVEC”).</w:t>
      </w:r>
      <w:r w:rsidR="00C218C9" w:rsidRPr="00C218C9">
        <w:rPr>
          <w:rFonts w:eastAsia="Calibri" w:cs="Times New Roman"/>
          <w:vertAlign w:val="superscript"/>
        </w:rPr>
        <w:footnoteReference w:id="4"/>
      </w:r>
      <w:r w:rsidR="00C218C9" w:rsidRPr="00C218C9">
        <w:rPr>
          <w:rFonts w:eastAsia="Calibri" w:cs="Times New Roman"/>
        </w:rPr>
        <w:t xml:space="preserve">  </w:t>
      </w:r>
      <w:r w:rsidR="003E6249">
        <w:rPr>
          <w:rFonts w:eastAsia="Calibri" w:cs="Times New Roman"/>
        </w:rPr>
        <w:t>Second</w:t>
      </w:r>
      <w:r w:rsidR="00C218C9" w:rsidRPr="00C218C9">
        <w:rPr>
          <w:rFonts w:eastAsia="Calibri" w:cs="Times New Roman"/>
        </w:rPr>
        <w:t xml:space="preserve">, it seeks to narrow the availability </w:t>
      </w:r>
      <w:r w:rsidR="00C218C9">
        <w:rPr>
          <w:rFonts w:eastAsia="Calibri" w:cs="Times New Roman"/>
        </w:rPr>
        <w:t>and value</w:t>
      </w:r>
      <w:r w:rsidR="00C218C9" w:rsidRPr="00C218C9">
        <w:rPr>
          <w:rFonts w:eastAsia="Calibri" w:cs="Times New Roman"/>
        </w:rPr>
        <w:t xml:space="preserve"> </w:t>
      </w:r>
      <w:r w:rsidR="00C218C9">
        <w:rPr>
          <w:rFonts w:eastAsia="Calibri" w:cs="Times New Roman"/>
        </w:rPr>
        <w:t xml:space="preserve">to customers </w:t>
      </w:r>
      <w:r w:rsidR="00C218C9" w:rsidRPr="00C218C9">
        <w:rPr>
          <w:rFonts w:eastAsia="Calibri" w:cs="Times New Roman"/>
        </w:rPr>
        <w:t>of Schedule IRP-D.</w:t>
      </w:r>
      <w:r w:rsidR="00C218C9" w:rsidRPr="00C218C9">
        <w:rPr>
          <w:rFonts w:eastAsia="Calibri" w:cs="Times New Roman"/>
          <w:vertAlign w:val="superscript"/>
        </w:rPr>
        <w:footnoteReference w:id="5"/>
      </w:r>
      <w:r w:rsidR="00C218C9" w:rsidRPr="00C218C9">
        <w:rPr>
          <w:rFonts w:eastAsia="Calibri" w:cs="Times New Roman"/>
        </w:rPr>
        <w:t xml:space="preserve">  Third, </w:t>
      </w:r>
      <w:r w:rsidR="00C218C9">
        <w:rPr>
          <w:rFonts w:eastAsia="Calibri" w:cs="Times New Roman"/>
        </w:rPr>
        <w:t>AEP-Ohio</w:t>
      </w:r>
      <w:r w:rsidR="00C218C9" w:rsidRPr="00C218C9">
        <w:rPr>
          <w:rFonts w:eastAsia="Calibri" w:cs="Times New Roman"/>
        </w:rPr>
        <w:t xml:space="preserve"> seeks to adjust the balance it may bill and collect under its authorization of the </w:t>
      </w:r>
      <w:r w:rsidR="00C33BAC">
        <w:rPr>
          <w:rFonts w:eastAsia="Calibri" w:cs="Times New Roman"/>
        </w:rPr>
        <w:t>Distribution Investment Rider (“</w:t>
      </w:r>
      <w:r w:rsidR="00C218C9" w:rsidRPr="00C218C9">
        <w:rPr>
          <w:rFonts w:eastAsia="Calibri" w:cs="Times New Roman"/>
        </w:rPr>
        <w:t>DIR</w:t>
      </w:r>
      <w:r w:rsidR="00C33BAC">
        <w:rPr>
          <w:rFonts w:eastAsia="Calibri" w:cs="Times New Roman"/>
        </w:rPr>
        <w:t>”)</w:t>
      </w:r>
      <w:r w:rsidR="00C218C9" w:rsidRPr="00C218C9">
        <w:rPr>
          <w:rFonts w:eastAsia="Calibri" w:cs="Times New Roman"/>
        </w:rPr>
        <w:t>.</w:t>
      </w:r>
      <w:r w:rsidR="00C218C9" w:rsidRPr="00C218C9">
        <w:rPr>
          <w:rFonts w:eastAsia="Calibri" w:cs="Times New Roman"/>
          <w:vertAlign w:val="superscript"/>
        </w:rPr>
        <w:footnoteReference w:id="6"/>
      </w:r>
      <w:r w:rsidR="00C218C9" w:rsidRPr="00C218C9">
        <w:rPr>
          <w:rFonts w:eastAsia="Calibri" w:cs="Times New Roman"/>
        </w:rPr>
        <w:t xml:space="preserve">  Finally, it seeks reversal of the Commission’s refusal to authorize the N</w:t>
      </w:r>
      <w:r w:rsidR="00C218C9">
        <w:rPr>
          <w:rFonts w:eastAsia="Calibri" w:cs="Times New Roman"/>
        </w:rPr>
        <w:t xml:space="preserve">ERC </w:t>
      </w:r>
      <w:r w:rsidR="00C218C9" w:rsidRPr="00C218C9">
        <w:rPr>
          <w:rFonts w:eastAsia="Calibri" w:cs="Times New Roman"/>
        </w:rPr>
        <w:t>C</w:t>
      </w:r>
      <w:r w:rsidR="00C218C9">
        <w:rPr>
          <w:rFonts w:eastAsia="Calibri" w:cs="Times New Roman"/>
        </w:rPr>
        <w:t xml:space="preserve">ompliance and </w:t>
      </w:r>
      <w:r w:rsidR="00C218C9" w:rsidRPr="00C218C9">
        <w:rPr>
          <w:rFonts w:eastAsia="Calibri" w:cs="Times New Roman"/>
        </w:rPr>
        <w:t>C</w:t>
      </w:r>
      <w:r w:rsidR="00C218C9">
        <w:rPr>
          <w:rFonts w:eastAsia="Calibri" w:cs="Times New Roman"/>
        </w:rPr>
        <w:t xml:space="preserve">ybersecurity </w:t>
      </w:r>
      <w:r w:rsidR="00C218C9" w:rsidRPr="00C218C9">
        <w:rPr>
          <w:rFonts w:eastAsia="Calibri" w:cs="Times New Roman"/>
        </w:rPr>
        <w:t>R</w:t>
      </w:r>
      <w:r w:rsidR="00C218C9">
        <w:rPr>
          <w:rFonts w:eastAsia="Calibri" w:cs="Times New Roman"/>
        </w:rPr>
        <w:t>ider (“NCCR”)</w:t>
      </w:r>
      <w:r w:rsidR="00C218C9" w:rsidRPr="00C218C9">
        <w:rPr>
          <w:rFonts w:eastAsia="Calibri" w:cs="Times New Roman"/>
        </w:rPr>
        <w:t>.</w:t>
      </w:r>
      <w:r w:rsidR="00C218C9" w:rsidRPr="00C218C9">
        <w:rPr>
          <w:rFonts w:eastAsia="Calibri" w:cs="Times New Roman"/>
          <w:vertAlign w:val="superscript"/>
        </w:rPr>
        <w:footnoteReference w:id="7"/>
      </w:r>
    </w:p>
    <w:p w:rsidR="001C4F3D" w:rsidRPr="00077C6E" w:rsidRDefault="001C4F3D" w:rsidP="00FB05D9">
      <w:pPr>
        <w:spacing w:line="480" w:lineRule="auto"/>
        <w:ind w:firstLine="720"/>
        <w:jc w:val="both"/>
        <w:rPr>
          <w:rFonts w:eastAsia="Calibri" w:cs="Times New Roman"/>
        </w:rPr>
      </w:pPr>
      <w:r>
        <w:rPr>
          <w:rFonts w:eastAsia="Calibri" w:cs="Times New Roman"/>
        </w:rPr>
        <w:t xml:space="preserve">For the reasons discussed below, the Commission should deny </w:t>
      </w:r>
      <w:r w:rsidR="00C218C9">
        <w:rPr>
          <w:rFonts w:eastAsia="Calibri" w:cs="Times New Roman"/>
        </w:rPr>
        <w:t xml:space="preserve">these </w:t>
      </w:r>
      <w:r>
        <w:rPr>
          <w:rFonts w:eastAsia="Calibri" w:cs="Times New Roman"/>
        </w:rPr>
        <w:t>requests for rehearing</w:t>
      </w:r>
      <w:r w:rsidR="003E6249">
        <w:rPr>
          <w:rFonts w:eastAsia="Calibri" w:cs="Times New Roman"/>
        </w:rPr>
        <w:t xml:space="preserve"> by AEP-Ohio</w:t>
      </w:r>
      <w:r>
        <w:rPr>
          <w:rFonts w:eastAsia="Calibri" w:cs="Times New Roman"/>
        </w:rPr>
        <w:t>.</w:t>
      </w:r>
      <w:r>
        <w:rPr>
          <w:rStyle w:val="FootnoteReference"/>
          <w:rFonts w:eastAsia="Calibri" w:cs="Times New Roman"/>
        </w:rPr>
        <w:footnoteReference w:id="8"/>
      </w:r>
    </w:p>
    <w:p w:rsidR="008E3BF4" w:rsidRDefault="0044491C" w:rsidP="007277CE">
      <w:pPr>
        <w:pStyle w:val="Heading1"/>
        <w:spacing w:after="0"/>
      </w:pPr>
      <w:bookmarkStart w:id="11" w:name="_Toc415668372"/>
      <w:bookmarkStart w:id="12" w:name="_Toc415670060"/>
      <w:bookmarkStart w:id="13" w:name="_Toc415670179"/>
      <w:bookmarkStart w:id="14" w:name="_Toc415748773"/>
      <w:bookmarkStart w:id="15" w:name="_Toc416080116"/>
      <w:bookmarkStart w:id="16" w:name="_Toc416094972"/>
      <w:bookmarkStart w:id="17" w:name="_Toc416098616"/>
      <w:r>
        <w:t>The Commission correctly found that AEP-Ohio failed to sustain its burden of proof that the PPA</w:t>
      </w:r>
      <w:r w:rsidR="00C218C9">
        <w:t xml:space="preserve"> </w:t>
      </w:r>
      <w:r>
        <w:t>R</w:t>
      </w:r>
      <w:r w:rsidR="00C218C9">
        <w:t>ider</w:t>
      </w:r>
      <w:r>
        <w:t xml:space="preserve"> would promote stability or was in the public interest</w:t>
      </w:r>
      <w:bookmarkEnd w:id="11"/>
      <w:bookmarkEnd w:id="12"/>
      <w:bookmarkEnd w:id="13"/>
      <w:bookmarkEnd w:id="14"/>
      <w:bookmarkEnd w:id="15"/>
      <w:bookmarkEnd w:id="16"/>
      <w:bookmarkEnd w:id="17"/>
    </w:p>
    <w:p w:rsidR="007277CE" w:rsidRPr="007277CE" w:rsidRDefault="007277CE" w:rsidP="007277CE">
      <w:pPr>
        <w:spacing w:after="0"/>
      </w:pPr>
    </w:p>
    <w:p w:rsidR="000C0EB3" w:rsidRDefault="0044491C" w:rsidP="007277CE">
      <w:pPr>
        <w:spacing w:after="0" w:line="480" w:lineRule="auto"/>
        <w:jc w:val="both"/>
      </w:pPr>
      <w:r>
        <w:tab/>
      </w:r>
      <w:r w:rsidR="00D9705E">
        <w:t>In the ESP III Order</w:t>
      </w:r>
      <w:r>
        <w:t xml:space="preserve">, the Commission </w:t>
      </w:r>
      <w:r w:rsidR="00D9705E">
        <w:t xml:space="preserve">found </w:t>
      </w:r>
      <w:r w:rsidR="006F7DC8">
        <w:t xml:space="preserve">(1) </w:t>
      </w:r>
      <w:r w:rsidR="00D9705E">
        <w:t xml:space="preserve">that </w:t>
      </w:r>
      <w:r>
        <w:t xml:space="preserve">AEP-Ohio </w:t>
      </w:r>
      <w:r w:rsidR="00D9705E">
        <w:t xml:space="preserve">failed </w:t>
      </w:r>
      <w:r>
        <w:t xml:space="preserve">to demonstrate that </w:t>
      </w:r>
      <w:r w:rsidR="000972B4">
        <w:t xml:space="preserve">collection of the above-market generation-related wholesale costs of OVEC under </w:t>
      </w:r>
      <w:r>
        <w:t xml:space="preserve">the PPA Rider would have the effect of stabilizing </w:t>
      </w:r>
      <w:r w:rsidR="00D9705E">
        <w:t>retail electric service</w:t>
      </w:r>
      <w:r>
        <w:t xml:space="preserve"> </w:t>
      </w:r>
      <w:r w:rsidR="00026D94">
        <w:t>and</w:t>
      </w:r>
      <w:r w:rsidR="0057449A">
        <w:t xml:space="preserve"> </w:t>
      </w:r>
      <w:r w:rsidR="006F7DC8">
        <w:t xml:space="preserve">(2) </w:t>
      </w:r>
      <w:r>
        <w:t xml:space="preserve">that authorization </w:t>
      </w:r>
      <w:r w:rsidR="00026D94">
        <w:t xml:space="preserve">of collection of those costs </w:t>
      </w:r>
      <w:r>
        <w:t>was</w:t>
      </w:r>
      <w:r w:rsidR="0057449A">
        <w:t xml:space="preserve"> </w:t>
      </w:r>
      <w:r w:rsidR="006F7DC8">
        <w:t xml:space="preserve">not </w:t>
      </w:r>
      <w:r>
        <w:t>in the public interest.</w:t>
      </w:r>
      <w:r>
        <w:rPr>
          <w:rStyle w:val="FootnoteReference"/>
        </w:rPr>
        <w:footnoteReference w:id="9"/>
      </w:r>
      <w:r>
        <w:t xml:space="preserve">  In </w:t>
      </w:r>
      <w:r w:rsidR="0015688B">
        <w:t>AEP-Ohio’s</w:t>
      </w:r>
      <w:r>
        <w:t xml:space="preserve"> Application for Rehearing, </w:t>
      </w:r>
      <w:r w:rsidR="00A313AF">
        <w:t>AEP-Ohio</w:t>
      </w:r>
      <w:r>
        <w:t xml:space="preserve"> </w:t>
      </w:r>
      <w:r w:rsidR="00982D0C">
        <w:t>argues</w:t>
      </w:r>
      <w:r>
        <w:t xml:space="preserve"> that the Commission </w:t>
      </w:r>
      <w:r w:rsidR="00982D0C">
        <w:t>erroneously concluded</w:t>
      </w:r>
      <w:r>
        <w:t xml:space="preserve"> </w:t>
      </w:r>
      <w:r w:rsidR="00A313AF">
        <w:t>(1)</w:t>
      </w:r>
      <w:r w:rsidR="006F7DC8">
        <w:t xml:space="preserve"> </w:t>
      </w:r>
      <w:r>
        <w:t xml:space="preserve">that </w:t>
      </w:r>
      <w:r w:rsidR="000972B4">
        <w:t>AEP-Ohio’s proposed recovery of above-market generation-related wholesale costs of OVEC</w:t>
      </w:r>
      <w:r>
        <w:t xml:space="preserve"> would be a cost to customers with little, if </w:t>
      </w:r>
      <w:r>
        <w:lastRenderedPageBreak/>
        <w:t>any</w:t>
      </w:r>
      <w:r w:rsidR="00B17C1E">
        <w:t>,</w:t>
      </w:r>
      <w:r>
        <w:t xml:space="preserve"> offsetting benefit; </w:t>
      </w:r>
      <w:r w:rsidR="006F7DC8">
        <w:t xml:space="preserve">(2) </w:t>
      </w:r>
      <w:r>
        <w:t xml:space="preserve">that AEP-Ohio had not made a commitment to maintain the rider beyond the term of the ESP; </w:t>
      </w:r>
      <w:r w:rsidR="006F7DC8">
        <w:t xml:space="preserve">(3) </w:t>
      </w:r>
      <w:r>
        <w:t xml:space="preserve">that it was inappropriate </w:t>
      </w:r>
      <w:r w:rsidR="00026D94">
        <w:t xml:space="preserve">to </w:t>
      </w:r>
      <w:r w:rsidR="00A313AF">
        <w:t>approve</w:t>
      </w:r>
      <w:r w:rsidR="0057449A">
        <w:t xml:space="preserve"> </w:t>
      </w:r>
      <w:r w:rsidR="000972B4">
        <w:t>wholesale cost recovery</w:t>
      </w:r>
      <w:r>
        <w:t xml:space="preserve"> when wholesale markets </w:t>
      </w:r>
      <w:r w:rsidR="000972B4">
        <w:t xml:space="preserve">and environmental regulations </w:t>
      </w:r>
      <w:r>
        <w:t xml:space="preserve">were undergoing review; and </w:t>
      </w:r>
      <w:r w:rsidR="006F7DC8">
        <w:t xml:space="preserve">(4) </w:t>
      </w:r>
      <w:r w:rsidR="0015688B">
        <w:t xml:space="preserve">that </w:t>
      </w:r>
      <w:r>
        <w:t xml:space="preserve">customers already </w:t>
      </w:r>
      <w:r w:rsidR="006F7DC8">
        <w:t>have a means of fixing their generation-related costs</w:t>
      </w:r>
      <w:r>
        <w:t xml:space="preserve"> </w:t>
      </w:r>
      <w:r w:rsidR="006F7DC8">
        <w:t>through the current market structure</w:t>
      </w:r>
      <w:r>
        <w:t>.</w:t>
      </w:r>
      <w:r>
        <w:rPr>
          <w:rStyle w:val="FootnoteReference"/>
        </w:rPr>
        <w:footnoteReference w:id="10"/>
      </w:r>
      <w:r>
        <w:t xml:space="preserve">  </w:t>
      </w:r>
    </w:p>
    <w:p w:rsidR="000C0EB3" w:rsidRDefault="000C0EB3" w:rsidP="007277CE">
      <w:pPr>
        <w:spacing w:after="0" w:line="480" w:lineRule="auto"/>
        <w:ind w:firstLine="720"/>
        <w:jc w:val="both"/>
      </w:pPr>
      <w:r>
        <w:t xml:space="preserve">As Industrial Energy Users-Ohio </w:t>
      </w:r>
      <w:r w:rsidR="00B17C1E">
        <w:t xml:space="preserve">(“IEU-Ohio”) </w:t>
      </w:r>
      <w:r>
        <w:t xml:space="preserve">demonstrated both in </w:t>
      </w:r>
      <w:r w:rsidR="00714F6F">
        <w:t xml:space="preserve">its </w:t>
      </w:r>
      <w:r>
        <w:t xml:space="preserve">initial </w:t>
      </w:r>
      <w:r w:rsidR="00714F6F">
        <w:t>brief</w:t>
      </w:r>
      <w:r>
        <w:rPr>
          <w:rStyle w:val="FootnoteReference"/>
        </w:rPr>
        <w:footnoteReference w:id="11"/>
      </w:r>
      <w:r>
        <w:t xml:space="preserve"> and its Application for Rehearing, the </w:t>
      </w:r>
      <w:r w:rsidR="006F7DC8">
        <w:t>PPA Rider</w:t>
      </w:r>
      <w:r>
        <w:t xml:space="preserve"> cannot be lawfully authorized as a nonbypassable or placeholder rider </w:t>
      </w:r>
      <w:r w:rsidR="000972B4">
        <w:t>as a term of an ESP</w:t>
      </w:r>
      <w:r w:rsidR="006F7DC8">
        <w:t>,</w:t>
      </w:r>
      <w:r>
        <w:t xml:space="preserve"> </w:t>
      </w:r>
      <w:r w:rsidR="000972B4">
        <w:t xml:space="preserve">the rider’s </w:t>
      </w:r>
      <w:r>
        <w:t>authorization violates several other provisions of the Revised Code</w:t>
      </w:r>
      <w:r w:rsidR="006F7DC8">
        <w:t>, and authorization is preempted by federal law</w:t>
      </w:r>
      <w:r>
        <w:t>.</w:t>
      </w:r>
      <w:r>
        <w:rPr>
          <w:rStyle w:val="FootnoteReference"/>
        </w:rPr>
        <w:footnoteReference w:id="12"/>
      </w:r>
      <w:r>
        <w:t xml:space="preserve">  </w:t>
      </w:r>
      <w:r w:rsidR="008D76BA">
        <w:t xml:space="preserve">By correctly finding that Ohio law does </w:t>
      </w:r>
      <w:r w:rsidR="00E60EF4">
        <w:t xml:space="preserve">not </w:t>
      </w:r>
      <w:r w:rsidR="008D76BA">
        <w:t>authorize the PPA Rider</w:t>
      </w:r>
      <w:r w:rsidR="000972B4">
        <w:t xml:space="preserve"> and that </w:t>
      </w:r>
      <w:r w:rsidR="006F7DC8">
        <w:t>federal law preempts authorization</w:t>
      </w:r>
      <w:r>
        <w:t xml:space="preserve">, </w:t>
      </w:r>
      <w:r w:rsidR="000972B4">
        <w:t xml:space="preserve">the Commission </w:t>
      </w:r>
      <w:r w:rsidR="00890717">
        <w:t>need not address the inaccurate factual claims AEP-Ohio presents</w:t>
      </w:r>
      <w:r w:rsidR="00A313AF">
        <w:t xml:space="preserve"> </w:t>
      </w:r>
      <w:r w:rsidR="00890717">
        <w:t xml:space="preserve">in its </w:t>
      </w:r>
      <w:r w:rsidR="000C5AF0">
        <w:t>A</w:t>
      </w:r>
      <w:r w:rsidR="00890717">
        <w:t xml:space="preserve">pplication for </w:t>
      </w:r>
      <w:r w:rsidR="000C5AF0">
        <w:t>R</w:t>
      </w:r>
      <w:r w:rsidR="00890717">
        <w:t>ehearing</w:t>
      </w:r>
      <w:r w:rsidR="006F7DC8">
        <w:t xml:space="preserve"> a second time</w:t>
      </w:r>
      <w:r w:rsidR="008D76BA">
        <w:t>.</w:t>
      </w:r>
    </w:p>
    <w:p w:rsidR="0044491C" w:rsidRDefault="000C0EB3" w:rsidP="007277CE">
      <w:pPr>
        <w:spacing w:after="0" w:line="480" w:lineRule="auto"/>
        <w:ind w:firstLine="720"/>
        <w:jc w:val="both"/>
      </w:pPr>
      <w:r>
        <w:t xml:space="preserve">Further, </w:t>
      </w:r>
      <w:r w:rsidR="0015688B">
        <w:t>the Commission should reject AEP-Ohio’s first assignment of error</w:t>
      </w:r>
      <w:r w:rsidRPr="000C0EB3">
        <w:t xml:space="preserve"> </w:t>
      </w:r>
      <w:r>
        <w:t xml:space="preserve">because AEP-Ohio has not raised any new argument </w:t>
      </w:r>
      <w:r w:rsidR="00890717">
        <w:t xml:space="preserve">that justifies </w:t>
      </w:r>
      <w:r>
        <w:t>the Commission’s consideration</w:t>
      </w:r>
      <w:r w:rsidR="0015688B">
        <w:t>.</w:t>
      </w:r>
    </w:p>
    <w:p w:rsidR="000A0B3B" w:rsidRDefault="000A0B3B" w:rsidP="007277CE">
      <w:pPr>
        <w:pStyle w:val="Heading2"/>
        <w:spacing w:after="0"/>
      </w:pPr>
      <w:bookmarkStart w:id="18" w:name="_Toc415668373"/>
      <w:bookmarkStart w:id="19" w:name="_Toc415670061"/>
      <w:bookmarkStart w:id="20" w:name="_Toc415670180"/>
      <w:bookmarkStart w:id="21" w:name="_Toc415748774"/>
      <w:bookmarkStart w:id="22" w:name="_Toc416080117"/>
      <w:bookmarkStart w:id="23" w:name="_Toc416094973"/>
      <w:bookmarkStart w:id="24" w:name="_Toc416098617"/>
      <w:r>
        <w:t xml:space="preserve">The PPA Rider is not a short or </w:t>
      </w:r>
      <w:r w:rsidR="00A54E90">
        <w:t>long-</w:t>
      </w:r>
      <w:r>
        <w:t>term benefit for customers</w:t>
      </w:r>
      <w:bookmarkEnd w:id="18"/>
      <w:bookmarkEnd w:id="19"/>
      <w:bookmarkEnd w:id="20"/>
      <w:bookmarkEnd w:id="21"/>
      <w:bookmarkEnd w:id="22"/>
      <w:bookmarkEnd w:id="23"/>
      <w:bookmarkEnd w:id="24"/>
    </w:p>
    <w:p w:rsidR="007277CE" w:rsidRPr="007277CE" w:rsidRDefault="007277CE" w:rsidP="007277CE">
      <w:pPr>
        <w:spacing w:after="0"/>
      </w:pPr>
    </w:p>
    <w:p w:rsidR="000C0EB3" w:rsidRDefault="00815362" w:rsidP="007277CE">
      <w:pPr>
        <w:spacing w:after="0" w:line="480" w:lineRule="auto"/>
        <w:jc w:val="both"/>
      </w:pPr>
      <w:r>
        <w:tab/>
        <w:t>Initially, AEP-Ohio claims that the Commission incorrectly found that the PPA Rider “does not offer a hedge benefit that offsets the potential short-term costs over the ESP term</w:t>
      </w:r>
      <w:r w:rsidR="000A0B3B">
        <w:t>.”</w:t>
      </w:r>
      <w:r w:rsidR="000A0B3B">
        <w:rPr>
          <w:rStyle w:val="FootnoteReference"/>
        </w:rPr>
        <w:footnoteReference w:id="13"/>
      </w:r>
      <w:r w:rsidR="000A0B3B">
        <w:t xml:space="preserve">  It continues, “The benefit of a hedge is not a guaranteed price reduction </w:t>
      </w:r>
      <w:r w:rsidR="000A0B3B">
        <w:lastRenderedPageBreak/>
        <w:t>but stabilization of otherwise volatile prices.”</w:t>
      </w:r>
      <w:r w:rsidR="000A0B3B">
        <w:rPr>
          <w:rStyle w:val="FootnoteReference"/>
        </w:rPr>
        <w:footnoteReference w:id="14"/>
      </w:r>
      <w:r w:rsidR="000A0B3B">
        <w:t xml:space="preserve">  Neither assertion is correct</w:t>
      </w:r>
      <w:r w:rsidR="0015688B">
        <w:t xml:space="preserve"> with regard to AEP-Ohio’s </w:t>
      </w:r>
      <w:r w:rsidR="00890717">
        <w:t>effort through the PPA Rider to transfer its business and financial risk associated with OVEC to retail customers</w:t>
      </w:r>
      <w:r w:rsidR="000A0B3B">
        <w:t>.</w:t>
      </w:r>
    </w:p>
    <w:p w:rsidR="000A0B3B" w:rsidRDefault="000A0B3B" w:rsidP="007277CE">
      <w:pPr>
        <w:spacing w:after="0" w:line="480" w:lineRule="auto"/>
        <w:jc w:val="both"/>
      </w:pPr>
      <w:r>
        <w:tab/>
      </w:r>
      <w:r w:rsidR="007277CE">
        <w:t xml:space="preserve">Contrary to AEP-Ohio’s assertion that </w:t>
      </w:r>
      <w:r w:rsidR="00982D0C">
        <w:t>the PPA Rider</w:t>
      </w:r>
      <w:r w:rsidR="007277CE">
        <w:t xml:space="preserve"> </w:t>
      </w:r>
      <w:r w:rsidR="0000363C">
        <w:t xml:space="preserve">would provide </w:t>
      </w:r>
      <w:r w:rsidR="007277CE">
        <w:t>a benefit to customers</w:t>
      </w:r>
      <w:r w:rsidR="000C0EB3">
        <w:t xml:space="preserve">, </w:t>
      </w:r>
      <w:r>
        <w:t>AEP-Ohio’s financial projections indicated several different outcomes, ranging from a charge of $52 million to a credit of $8 million.</w:t>
      </w:r>
      <w:r w:rsidR="0015688B">
        <w:rPr>
          <w:rStyle w:val="FootnoteReference"/>
        </w:rPr>
        <w:footnoteReference w:id="15"/>
      </w:r>
      <w:r>
        <w:t xml:space="preserve">  Other projections correcting for errors in AEP-Ohio’s estimates of the cost of the PPA Rider </w:t>
      </w:r>
      <w:r w:rsidR="00982D0C">
        <w:t xml:space="preserve">limited to </w:t>
      </w:r>
      <w:r>
        <w:t>only the OVEC above-market generation-related wholesale costs were substantially more expensive for customers.</w:t>
      </w:r>
      <w:r w:rsidR="0015688B">
        <w:rPr>
          <w:rStyle w:val="FootnoteReference"/>
        </w:rPr>
        <w:footnoteReference w:id="16"/>
      </w:r>
      <w:r>
        <w:t xml:space="preserve">  </w:t>
      </w:r>
      <w:r w:rsidRPr="000A0B3B">
        <w:t xml:space="preserve">Even if AEP-Ohio </w:t>
      </w:r>
      <w:r w:rsidR="0015688B">
        <w:t>were</w:t>
      </w:r>
      <w:r w:rsidRPr="000A0B3B">
        <w:t xml:space="preserve"> correct that customers may realize an $8 million benefit</w:t>
      </w:r>
      <w:r w:rsidR="000972B4">
        <w:t xml:space="preserve">, </w:t>
      </w:r>
      <w:r w:rsidRPr="000A0B3B">
        <w:t xml:space="preserve">the </w:t>
      </w:r>
      <w:r w:rsidR="0000363C">
        <w:t>“benefit”</w:t>
      </w:r>
      <w:r w:rsidR="0000363C" w:rsidRPr="000A0B3B">
        <w:t xml:space="preserve"> </w:t>
      </w:r>
      <w:r w:rsidRPr="000A0B3B">
        <w:t>will be 7¢/MWh over the entire term of the proposed ESP.</w:t>
      </w:r>
      <w:r w:rsidRPr="000A0B3B">
        <w:rPr>
          <w:vertAlign w:val="superscript"/>
        </w:rPr>
        <w:footnoteReference w:id="17"/>
      </w:r>
      <w:r w:rsidRPr="000A0B3B">
        <w:t xml:space="preserve">  </w:t>
      </w:r>
      <w:r w:rsidR="008D76BA">
        <w:t>Thus, the Commission correctly found that the PPA Rider provided little or no benefit to customers and was likely a net cost.</w:t>
      </w:r>
    </w:p>
    <w:p w:rsidR="000A0B3B" w:rsidRPr="000A0B3B" w:rsidRDefault="000A0B3B" w:rsidP="007277CE">
      <w:pPr>
        <w:spacing w:after="0" w:line="480" w:lineRule="auto"/>
        <w:ind w:firstLine="720"/>
        <w:jc w:val="both"/>
      </w:pPr>
      <w:r w:rsidRPr="000A0B3B">
        <w:t xml:space="preserve">AEP-Ohio </w:t>
      </w:r>
      <w:r w:rsidR="007277CE">
        <w:t xml:space="preserve">also </w:t>
      </w:r>
      <w:r w:rsidRPr="000A0B3B">
        <w:t>failed to demonstrate that customers will realize even the 7¢</w:t>
      </w:r>
      <w:r w:rsidR="00B17C1E">
        <w:t>/MWh</w:t>
      </w:r>
      <w:r w:rsidRPr="000A0B3B">
        <w:t xml:space="preserve"> benefit.  The claim is based on the </w:t>
      </w:r>
      <w:r w:rsidR="00982D0C">
        <w:t xml:space="preserve">assumption that the </w:t>
      </w:r>
      <w:r w:rsidRPr="000A0B3B">
        <w:t xml:space="preserve">costs of OVEC generation </w:t>
      </w:r>
      <w:r w:rsidR="00982D0C">
        <w:t>are</w:t>
      </w:r>
      <w:r w:rsidRPr="000A0B3B">
        <w:t xml:space="preserve"> stable,</w:t>
      </w:r>
      <w:r w:rsidRPr="000A0B3B">
        <w:rPr>
          <w:vertAlign w:val="superscript"/>
        </w:rPr>
        <w:footnoteReference w:id="18"/>
      </w:r>
      <w:r w:rsidRPr="000A0B3B">
        <w:t xml:space="preserve"> but OVEC costs can vary significantly from year to year.  One recent report indicate</w:t>
      </w:r>
      <w:r w:rsidR="008D76BA">
        <w:t>d</w:t>
      </w:r>
      <w:r w:rsidRPr="000A0B3B">
        <w:t xml:space="preserve"> that OVEC costs shifted 24% due to a change in output from 2011 to 2012, and output is a function of several factors including weather, general economic conditions, and lower energy prices.</w:t>
      </w:r>
      <w:r w:rsidRPr="000A0B3B">
        <w:rPr>
          <w:vertAlign w:val="superscript"/>
        </w:rPr>
        <w:footnoteReference w:id="19"/>
      </w:r>
      <w:r w:rsidRPr="000A0B3B">
        <w:t xml:space="preserve">  AEP-Ohio</w:t>
      </w:r>
      <w:r>
        <w:t xml:space="preserve"> conceded</w:t>
      </w:r>
      <w:r w:rsidRPr="000A0B3B">
        <w:t xml:space="preserve"> that it does not </w:t>
      </w:r>
      <w:r w:rsidRPr="000A0B3B">
        <w:lastRenderedPageBreak/>
        <w:t>know how weather, economic conditions, or low power prices individually affect OVEC output.</w:t>
      </w:r>
      <w:r w:rsidRPr="000A0B3B">
        <w:rPr>
          <w:vertAlign w:val="superscript"/>
        </w:rPr>
        <w:footnoteReference w:id="20"/>
      </w:r>
      <w:r w:rsidRPr="000A0B3B">
        <w:t xml:space="preserve">  </w:t>
      </w:r>
    </w:p>
    <w:p w:rsidR="000A0B3B" w:rsidRPr="000A0B3B" w:rsidRDefault="000A0B3B" w:rsidP="007277CE">
      <w:pPr>
        <w:spacing w:after="0" w:line="480" w:lineRule="auto"/>
        <w:ind w:firstLine="720"/>
        <w:jc w:val="both"/>
      </w:pPr>
      <w:r w:rsidRPr="000A0B3B">
        <w:t>Further, the 7¢ solution on which AEP-Ohio reli</w:t>
      </w:r>
      <w:r>
        <w:t>ed</w:t>
      </w:r>
      <w:r w:rsidRPr="000A0B3B">
        <w:t xml:space="preserve"> is premised on OVEC cost reductions,</w:t>
      </w:r>
      <w:r w:rsidRPr="000A0B3B">
        <w:rPr>
          <w:vertAlign w:val="superscript"/>
        </w:rPr>
        <w:footnoteReference w:id="21"/>
      </w:r>
      <w:r w:rsidRPr="000A0B3B">
        <w:t xml:space="preserve"> but those reductions are speculative.  OVEC </w:t>
      </w:r>
      <w:r>
        <w:t>had</w:t>
      </w:r>
      <w:r w:rsidRPr="000A0B3B">
        <w:t xml:space="preserve"> not committed to those reductions, and AEP-Ohio </w:t>
      </w:r>
      <w:r>
        <w:t>made</w:t>
      </w:r>
      <w:r w:rsidRPr="000A0B3B">
        <w:t xml:space="preserve"> no commitment to customers to flow-through the alleged customer benefit if OVEC </w:t>
      </w:r>
      <w:r w:rsidR="00922BB8">
        <w:t>failed</w:t>
      </w:r>
      <w:r w:rsidRPr="000A0B3B">
        <w:t xml:space="preserve"> to deliver the cost reductions.</w:t>
      </w:r>
      <w:r w:rsidRPr="000A0B3B">
        <w:rPr>
          <w:vertAlign w:val="superscript"/>
        </w:rPr>
        <w:footnoteReference w:id="22"/>
      </w:r>
      <w:r w:rsidRPr="000A0B3B">
        <w:t xml:space="preserve">  Moreover, the cost reductions may have no effect on the costs charged to </w:t>
      </w:r>
      <w:r w:rsidR="00982D0C">
        <w:t>AEP-Ohio</w:t>
      </w:r>
      <w:r w:rsidRPr="000A0B3B">
        <w:t xml:space="preserve"> because other unrelated costs may increase.</w:t>
      </w:r>
      <w:r w:rsidRPr="000A0B3B">
        <w:rPr>
          <w:vertAlign w:val="superscript"/>
        </w:rPr>
        <w:footnoteReference w:id="23"/>
      </w:r>
      <w:r w:rsidRPr="000A0B3B">
        <w:t xml:space="preserve"> </w:t>
      </w:r>
    </w:p>
    <w:p w:rsidR="000A0B3B" w:rsidRDefault="0000363C" w:rsidP="007277CE">
      <w:pPr>
        <w:spacing w:after="0" w:line="480" w:lineRule="auto"/>
        <w:ind w:firstLine="720"/>
        <w:jc w:val="both"/>
      </w:pPr>
      <w:r>
        <w:t>Additionally,</w:t>
      </w:r>
      <w:r w:rsidR="008D76BA">
        <w:t xml:space="preserve"> </w:t>
      </w:r>
      <w:r w:rsidR="00026D94">
        <w:t xml:space="preserve">AEP-Ohio itself undermined </w:t>
      </w:r>
      <w:r w:rsidR="008D76BA">
        <w:t xml:space="preserve">the credibility of </w:t>
      </w:r>
      <w:r w:rsidR="00026D94">
        <w:t>its</w:t>
      </w:r>
      <w:r w:rsidR="008D76BA">
        <w:t xml:space="preserve"> claims about the benefit of the PPA Rider because it</w:t>
      </w:r>
      <w:r w:rsidR="000A0B3B" w:rsidRPr="000A0B3B">
        <w:t xml:space="preserve"> demonstrated little faith in its estimate that the </w:t>
      </w:r>
      <w:r w:rsidR="00982D0C">
        <w:t>PPA Rider</w:t>
      </w:r>
      <w:r w:rsidR="000A0B3B" w:rsidRPr="000A0B3B">
        <w:t xml:space="preserve"> will provide a financial benefit to customers.  At least one of the estimates was available to </w:t>
      </w:r>
      <w:r w:rsidR="00042531">
        <w:t>AEP-Ohio</w:t>
      </w:r>
      <w:r w:rsidR="00042531" w:rsidRPr="000A0B3B">
        <w:t xml:space="preserve"> </w:t>
      </w:r>
      <w:r w:rsidR="000A0B3B" w:rsidRPr="000A0B3B">
        <w:t>when it filed its ESP (the one showing that the PPA</w:t>
      </w:r>
      <w:r w:rsidR="007277CE">
        <w:t xml:space="preserve"> </w:t>
      </w:r>
      <w:r w:rsidR="000A0B3B" w:rsidRPr="000A0B3B">
        <w:t>R</w:t>
      </w:r>
      <w:r w:rsidR="007277CE">
        <w:t>ider</w:t>
      </w:r>
      <w:r w:rsidR="000A0B3B" w:rsidRPr="000A0B3B">
        <w:t xml:space="preserve"> would result in a $52 million cost to customers was prepared in August 2013, several months before AEP-Ohio filed the Application).</w:t>
      </w:r>
      <w:r w:rsidR="000A0B3B" w:rsidRPr="000A0B3B">
        <w:rPr>
          <w:vertAlign w:val="superscript"/>
        </w:rPr>
        <w:footnoteReference w:id="24"/>
      </w:r>
      <w:r w:rsidR="000A0B3B" w:rsidRPr="000A0B3B">
        <w:t xml:space="preserve">  AEP-Ohio recognized that the cost of the rider would be unique to the ESP in the ESP v. MRO Test,</w:t>
      </w:r>
      <w:r w:rsidR="003E6249">
        <w:rPr>
          <w:rStyle w:val="FootnoteReference"/>
        </w:rPr>
        <w:footnoteReference w:id="25"/>
      </w:r>
      <w:r w:rsidR="000A0B3B" w:rsidRPr="000A0B3B">
        <w:t xml:space="preserve"> but it did not include a value for the PPA</w:t>
      </w:r>
      <w:r w:rsidR="007277CE">
        <w:t xml:space="preserve"> </w:t>
      </w:r>
      <w:r w:rsidR="000A0B3B" w:rsidRPr="000A0B3B">
        <w:t>R</w:t>
      </w:r>
      <w:r w:rsidR="007277CE">
        <w:t>ider</w:t>
      </w:r>
      <w:r w:rsidR="000A0B3B" w:rsidRPr="000A0B3B">
        <w:t xml:space="preserve"> in the ESP side of the test.</w:t>
      </w:r>
      <w:r w:rsidR="000A0B3B" w:rsidRPr="000A0B3B">
        <w:rPr>
          <w:vertAlign w:val="superscript"/>
        </w:rPr>
        <w:footnoteReference w:id="26"/>
      </w:r>
      <w:r w:rsidR="000A0B3B" w:rsidRPr="000A0B3B">
        <w:t xml:space="preserve">  AEP-Ohio also did not provide a value for the PPA</w:t>
      </w:r>
      <w:r w:rsidR="007277CE">
        <w:t xml:space="preserve"> </w:t>
      </w:r>
      <w:r w:rsidR="000A0B3B" w:rsidRPr="000A0B3B">
        <w:t>R</w:t>
      </w:r>
      <w:r w:rsidR="007277CE">
        <w:t>ider</w:t>
      </w:r>
      <w:r w:rsidR="000A0B3B" w:rsidRPr="000A0B3B">
        <w:t xml:space="preserve"> in its bill comparisons.</w:t>
      </w:r>
      <w:r w:rsidR="000A0B3B" w:rsidRPr="000A0B3B">
        <w:rPr>
          <w:vertAlign w:val="superscript"/>
        </w:rPr>
        <w:footnoteReference w:id="27"/>
      </w:r>
      <w:r w:rsidR="000A0B3B" w:rsidRPr="000A0B3B">
        <w:t xml:space="preserve">  According to Mr. Roush, AEP-Ohio’s witness on </w:t>
      </w:r>
      <w:r w:rsidR="000A0B3B" w:rsidRPr="000A0B3B">
        <w:lastRenderedPageBreak/>
        <w:t>the bill comparisons, Mr. Allen indicated that the value of the rider could be positive or negative and directed Mr. Roush to use a value of zero to account for the effects of the PPA</w:t>
      </w:r>
      <w:r w:rsidR="007277CE">
        <w:t xml:space="preserve"> </w:t>
      </w:r>
      <w:r w:rsidR="000A0B3B" w:rsidRPr="000A0B3B">
        <w:t>R</w:t>
      </w:r>
      <w:r w:rsidR="007277CE">
        <w:t>ider</w:t>
      </w:r>
      <w:r w:rsidR="000A0B3B" w:rsidRPr="000A0B3B">
        <w:t xml:space="preserve"> in preparing the bill comparisons.</w:t>
      </w:r>
      <w:r w:rsidR="000A0B3B" w:rsidRPr="000A0B3B">
        <w:rPr>
          <w:vertAlign w:val="superscript"/>
        </w:rPr>
        <w:footnoteReference w:id="28"/>
      </w:r>
      <w:r w:rsidR="000A0B3B" w:rsidRPr="000A0B3B">
        <w:t xml:space="preserve">  Thus, it is apparent that AEP-Ohio was unwilling to stand behind </w:t>
      </w:r>
      <w:r w:rsidR="00833800">
        <w:t xml:space="preserve">estimates </w:t>
      </w:r>
      <w:r w:rsidR="000A0B3B" w:rsidRPr="000A0B3B">
        <w:t>until Mr. Allen decided to recalculate the alleged benefits on the first day of hearing and offer his revision on the second day of hearing.</w:t>
      </w:r>
      <w:r w:rsidR="000A0B3B" w:rsidRPr="000A0B3B">
        <w:rPr>
          <w:vertAlign w:val="superscript"/>
        </w:rPr>
        <w:footnoteReference w:id="29"/>
      </w:r>
    </w:p>
    <w:p w:rsidR="00922BB8" w:rsidRDefault="00922BB8" w:rsidP="007277CE">
      <w:pPr>
        <w:spacing w:after="0" w:line="480" w:lineRule="auto"/>
        <w:ind w:firstLine="720"/>
        <w:jc w:val="both"/>
      </w:pPr>
      <w:r>
        <w:t xml:space="preserve">Because AEP-Ohio was unable to support its claim that customers might see a benefit from the </w:t>
      </w:r>
      <w:r w:rsidR="00982D0C">
        <w:t xml:space="preserve">PPA </w:t>
      </w:r>
      <w:r w:rsidR="003556B4">
        <w:t>Rider</w:t>
      </w:r>
      <w:r>
        <w:t xml:space="preserve">, it </w:t>
      </w:r>
      <w:r w:rsidR="00FA2252">
        <w:t xml:space="preserve">also </w:t>
      </w:r>
      <w:r>
        <w:t xml:space="preserve">now claims that the </w:t>
      </w:r>
      <w:r w:rsidR="00982D0C">
        <w:t xml:space="preserve">financial </w:t>
      </w:r>
      <w:r>
        <w:t>hedge</w:t>
      </w:r>
      <w:r w:rsidR="007277CE">
        <w:t xml:space="preserve">, regardless of whether the rider is a credit or charge, </w:t>
      </w:r>
      <w:r>
        <w:t xml:space="preserve">is the benefit.  </w:t>
      </w:r>
      <w:r w:rsidR="008D76BA">
        <w:t>The PPA Rider, however</w:t>
      </w:r>
      <w:r w:rsidR="00292D29">
        <w:t>, would</w:t>
      </w:r>
      <w:r w:rsidR="008D76BA">
        <w:t xml:space="preserve"> not be</w:t>
      </w:r>
      <w:r w:rsidR="008D76BA" w:rsidRPr="00890717">
        <w:t xml:space="preserve"> a hedge against market volatility</w:t>
      </w:r>
      <w:r w:rsidR="008D76BA">
        <w:t>,</w:t>
      </w:r>
      <w:r w:rsidR="008D76BA" w:rsidRPr="00890717">
        <w:t xml:space="preserve"> regardless of the cost or benefit conclusions.  Market volatility will be what it will be.  Customers will pay the “market price” for </w:t>
      </w:r>
      <w:r w:rsidR="008D76BA">
        <w:t xml:space="preserve">retail </w:t>
      </w:r>
      <w:r w:rsidR="008D76BA" w:rsidRPr="00890717">
        <w:t xml:space="preserve">generation supply and whatever volatility occurs will be reflected in their electric bills subject to whatever measures (including substituting natural gas for electricity) they may implement, on their own, to reduce such risk.  During the ESP period, the </w:t>
      </w:r>
      <w:r w:rsidR="008D76BA">
        <w:t xml:space="preserve">as-proposed PPA </w:t>
      </w:r>
      <w:r w:rsidR="00E60EF4">
        <w:t xml:space="preserve">Rider </w:t>
      </w:r>
      <w:r w:rsidR="008D76BA">
        <w:t>will</w:t>
      </w:r>
      <w:r w:rsidR="008D76BA" w:rsidRPr="00890717">
        <w:t xml:space="preserve"> only increase electric bills through another rider that will make the electric bill more volatile and harder to predict.  </w:t>
      </w:r>
      <w:r>
        <w:t xml:space="preserve">As noted above, </w:t>
      </w:r>
      <w:r w:rsidR="00890717">
        <w:t xml:space="preserve">the only </w:t>
      </w:r>
      <w:r w:rsidR="008D76BA">
        <w:t>“</w:t>
      </w:r>
      <w:r w:rsidR="00890717">
        <w:t>hedge</w:t>
      </w:r>
      <w:r w:rsidR="008D76BA">
        <w:t>”</w:t>
      </w:r>
      <w:r w:rsidR="00890717">
        <w:t xml:space="preserve"> the PPA Rider provides is an assurance that AEP-Ohio would be free of the business and financial risk of its interest in OVEC.  </w:t>
      </w:r>
      <w:r w:rsidR="00292D29">
        <w:t>Accordingly,</w:t>
      </w:r>
      <w:r>
        <w:t xml:space="preserve"> </w:t>
      </w:r>
      <w:r w:rsidR="00891E9C">
        <w:t xml:space="preserve">the </w:t>
      </w:r>
      <w:r>
        <w:t>Commission correctly found</w:t>
      </w:r>
      <w:r w:rsidR="00292D29">
        <w:t xml:space="preserve"> that </w:t>
      </w:r>
      <w:r>
        <w:t xml:space="preserve">AEP-Ohio failed to demonstrate that the </w:t>
      </w:r>
      <w:r w:rsidR="00026D94">
        <w:t>collection of above-market generation</w:t>
      </w:r>
      <w:r w:rsidR="00E60EF4">
        <w:t>-related</w:t>
      </w:r>
      <w:r w:rsidR="00026D94">
        <w:t xml:space="preserve"> wholesale costs of OVEC</w:t>
      </w:r>
      <w:r>
        <w:t xml:space="preserve"> </w:t>
      </w:r>
      <w:r w:rsidR="007F1F88">
        <w:t xml:space="preserve">will provide rate stability or </w:t>
      </w:r>
      <w:r>
        <w:t>is in the public interest.</w:t>
      </w:r>
      <w:r>
        <w:rPr>
          <w:rStyle w:val="FootnoteReference"/>
        </w:rPr>
        <w:footnoteReference w:id="30"/>
      </w:r>
    </w:p>
    <w:p w:rsidR="00922BB8" w:rsidRDefault="00922BB8" w:rsidP="004264F9">
      <w:pPr>
        <w:pStyle w:val="Heading2"/>
      </w:pPr>
      <w:bookmarkStart w:id="25" w:name="_Toc415668374"/>
      <w:bookmarkStart w:id="26" w:name="_Toc415670062"/>
      <w:bookmarkStart w:id="27" w:name="_Toc415670181"/>
      <w:bookmarkStart w:id="28" w:name="_Toc415748775"/>
      <w:bookmarkStart w:id="29" w:name="_Toc416080118"/>
      <w:bookmarkStart w:id="30" w:name="_Toc416094974"/>
      <w:bookmarkStart w:id="31" w:name="_Toc416098618"/>
      <w:r>
        <w:t xml:space="preserve">AEP-Ohio has not made a </w:t>
      </w:r>
      <w:r w:rsidR="00E60EF4">
        <w:t>long-</w:t>
      </w:r>
      <w:r>
        <w:t>term commitment</w:t>
      </w:r>
      <w:r w:rsidR="00C05818">
        <w:t xml:space="preserve"> </w:t>
      </w:r>
      <w:bookmarkEnd w:id="25"/>
      <w:bookmarkEnd w:id="26"/>
      <w:bookmarkEnd w:id="27"/>
      <w:bookmarkEnd w:id="28"/>
      <w:r w:rsidR="00213B66">
        <w:t>to flow the “benefit” of the PPA Rider to retail customers</w:t>
      </w:r>
      <w:bookmarkEnd w:id="29"/>
      <w:bookmarkEnd w:id="30"/>
      <w:bookmarkEnd w:id="31"/>
    </w:p>
    <w:p w:rsidR="00C05818" w:rsidRDefault="00922BB8" w:rsidP="00F362C0">
      <w:pPr>
        <w:spacing w:after="0" w:line="480" w:lineRule="auto"/>
        <w:ind w:firstLine="720"/>
        <w:jc w:val="both"/>
      </w:pPr>
      <w:r>
        <w:lastRenderedPageBreak/>
        <w:t xml:space="preserve">As grounds for </w:t>
      </w:r>
      <w:r w:rsidR="00F362C0">
        <w:t>reversing</w:t>
      </w:r>
      <w:r>
        <w:t xml:space="preserve"> the Commission’s finding that AEP-Ohio should not be authorized to collect the above-market generation-related wholesale costs of OVEC, AEP-Ohio </w:t>
      </w:r>
      <w:r w:rsidR="00F362C0">
        <w:t xml:space="preserve">also claims </w:t>
      </w:r>
      <w:r>
        <w:t>that Mr. Vegas made a commitment to continue the PPA Rider beyond the term of the ESP.</w:t>
      </w:r>
      <w:r w:rsidR="00C05818">
        <w:rPr>
          <w:rStyle w:val="FootnoteReference"/>
        </w:rPr>
        <w:footnoteReference w:id="31"/>
      </w:r>
      <w:r>
        <w:t xml:space="preserve">  </w:t>
      </w:r>
      <w:r w:rsidR="001148FD">
        <w:t xml:space="preserve">When presented with the question of whether AEP-Ohio was making a commitment in this ESP to extend the rider beyond the term of the ESP, </w:t>
      </w:r>
      <w:r w:rsidR="00F362C0">
        <w:t>however, Mr. Vegas stated</w:t>
      </w:r>
      <w:r w:rsidR="001148FD">
        <w:t xml:space="preserve"> unequivocally that the rider’s term was limited to the term of the ESP.  </w:t>
      </w:r>
    </w:p>
    <w:p w:rsidR="001148FD" w:rsidRDefault="001148FD" w:rsidP="007277CE">
      <w:pPr>
        <w:spacing w:after="0"/>
        <w:ind w:left="720" w:right="720"/>
        <w:jc w:val="both"/>
      </w:pPr>
      <w:r>
        <w:t xml:space="preserve">Q. </w:t>
      </w:r>
      <w:r w:rsidR="0096396F">
        <w:t xml:space="preserve">… </w:t>
      </w:r>
      <w:r>
        <w:t xml:space="preserve">I guess what I’m asking is as </w:t>
      </w:r>
      <w:r w:rsidR="00541B8E">
        <w:t>proposed</w:t>
      </w:r>
      <w:r>
        <w:t xml:space="preserve"> in the application, I’m going to get to Mr. Kurtz’s hypothetical, but as proposed in the application, it actually—all rider</w:t>
      </w:r>
      <w:r w:rsidR="00A809D6">
        <w:t>s</w:t>
      </w:r>
      <w:r>
        <w:t>, I believe you said earlier today, all riders terminate at the end of the ESP whether the ESP goes two years or three years, all riders including the PPA terminate.  Is that right or are you—</w:t>
      </w:r>
    </w:p>
    <w:p w:rsidR="001148FD" w:rsidRDefault="001148FD" w:rsidP="007277CE">
      <w:pPr>
        <w:spacing w:after="0"/>
        <w:ind w:left="720" w:right="720"/>
        <w:jc w:val="both"/>
      </w:pPr>
      <w:r>
        <w:t>A.  I believe that’s true.</w:t>
      </w:r>
    </w:p>
    <w:p w:rsidR="00B32B55" w:rsidRDefault="001148FD" w:rsidP="007277CE">
      <w:pPr>
        <w:spacing w:after="0"/>
        <w:ind w:left="720" w:right="720"/>
        <w:jc w:val="both"/>
      </w:pPr>
      <w:r>
        <w:t>Q.  Okay.  I mean, you’re not requesting today in your application that the Commission hold one PPA rider outside of the ESP and approve it for a longer term, are you?</w:t>
      </w:r>
      <w:r w:rsidR="00B32B55" w:rsidDel="00B32B55">
        <w:t xml:space="preserve"> </w:t>
      </w:r>
    </w:p>
    <w:p w:rsidR="001148FD" w:rsidRDefault="001148FD" w:rsidP="007277CE">
      <w:pPr>
        <w:spacing w:after="0"/>
        <w:ind w:left="720" w:right="720"/>
        <w:jc w:val="both"/>
      </w:pPr>
      <w:r>
        <w:t>A.  No, we’re not.</w:t>
      </w:r>
    </w:p>
    <w:p w:rsidR="001148FD" w:rsidRDefault="001148FD" w:rsidP="007277CE">
      <w:pPr>
        <w:spacing w:after="0"/>
        <w:ind w:left="720" w:right="720"/>
        <w:jc w:val="both"/>
      </w:pPr>
      <w:r>
        <w:t>Q.  And as we discussed earlier, if the PPA—if the ESP, excuse me, terminates at the end of two years, the PPA would terminate at the end of two years; is that right?</w:t>
      </w:r>
    </w:p>
    <w:p w:rsidR="001148FD" w:rsidRDefault="001148FD" w:rsidP="007277CE">
      <w:pPr>
        <w:spacing w:after="0"/>
        <w:ind w:left="720" w:right="720"/>
        <w:jc w:val="both"/>
      </w:pPr>
      <w:r>
        <w:t>A.  I believe the answer is still yes, contingent to then—</w:t>
      </w:r>
      <w:r w:rsidR="00A809D6">
        <w:t xml:space="preserve">the </w:t>
      </w:r>
      <w:r>
        <w:t>acceptance of a new ESP by the Commission.</w:t>
      </w:r>
      <w:r>
        <w:rPr>
          <w:rStyle w:val="FootnoteReference"/>
        </w:rPr>
        <w:footnoteReference w:id="32"/>
      </w:r>
    </w:p>
    <w:p w:rsidR="00D87AA7" w:rsidRDefault="00D87AA7" w:rsidP="007277CE">
      <w:pPr>
        <w:spacing w:after="0"/>
        <w:ind w:left="720" w:right="720"/>
        <w:jc w:val="both"/>
      </w:pPr>
    </w:p>
    <w:p w:rsidR="001148FD" w:rsidRDefault="001148FD" w:rsidP="007277CE">
      <w:pPr>
        <w:spacing w:after="0" w:line="480" w:lineRule="auto"/>
        <w:jc w:val="both"/>
      </w:pPr>
      <w:r>
        <w:t xml:space="preserve">AEP-Ohio’s attempt to rewrite the record on </w:t>
      </w:r>
      <w:r w:rsidR="00CE7301">
        <w:t xml:space="preserve">the proposed term of the </w:t>
      </w:r>
      <w:r w:rsidR="00F16F97">
        <w:t>PPA Rider</w:t>
      </w:r>
      <w:r w:rsidR="00CE7301">
        <w:t xml:space="preserve"> should be rejected.</w:t>
      </w:r>
    </w:p>
    <w:p w:rsidR="00C05818" w:rsidRDefault="003E6249" w:rsidP="007277CE">
      <w:pPr>
        <w:pStyle w:val="Heading2"/>
        <w:spacing w:after="0"/>
      </w:pPr>
      <w:bookmarkStart w:id="32" w:name="_Toc415668375"/>
      <w:bookmarkStart w:id="33" w:name="_Toc415670063"/>
      <w:bookmarkStart w:id="34" w:name="_Toc415670182"/>
      <w:bookmarkStart w:id="35" w:name="_Toc415748776"/>
      <w:bookmarkStart w:id="36" w:name="_Toc416080119"/>
      <w:bookmarkStart w:id="37" w:name="_Toc416094975"/>
      <w:bookmarkStart w:id="38" w:name="_Toc416098619"/>
      <w:r>
        <w:t>P</w:t>
      </w:r>
      <w:r w:rsidR="000A2893">
        <w:t xml:space="preserve">ending regulatory reforms of the </w:t>
      </w:r>
      <w:r w:rsidR="00247730">
        <w:t xml:space="preserve">wholesale capacity and energy </w:t>
      </w:r>
      <w:r w:rsidR="000A2893">
        <w:t>market</w:t>
      </w:r>
      <w:r w:rsidR="00247730">
        <w:t>s</w:t>
      </w:r>
      <w:r w:rsidR="000A2893">
        <w:t xml:space="preserve"> and environmental </w:t>
      </w:r>
      <w:r w:rsidR="00B32B55">
        <w:t xml:space="preserve">rules </w:t>
      </w:r>
      <w:r w:rsidR="00C05818">
        <w:t>do not support authorization for AEP-Ohio to bill and collect above-market generation-related wholesale revenue</w:t>
      </w:r>
      <w:bookmarkEnd w:id="32"/>
      <w:bookmarkEnd w:id="33"/>
      <w:bookmarkEnd w:id="34"/>
      <w:bookmarkEnd w:id="35"/>
      <w:bookmarkEnd w:id="36"/>
      <w:bookmarkEnd w:id="37"/>
      <w:bookmarkEnd w:id="38"/>
    </w:p>
    <w:p w:rsidR="000A2893" w:rsidRPr="000A2893" w:rsidRDefault="000A2893" w:rsidP="000A2893"/>
    <w:p w:rsidR="00CE7301" w:rsidRDefault="00C05818" w:rsidP="00DF5E03">
      <w:pPr>
        <w:spacing w:after="0" w:line="480" w:lineRule="auto"/>
        <w:ind w:firstLine="720"/>
        <w:jc w:val="both"/>
      </w:pPr>
      <w:r>
        <w:t xml:space="preserve">AEP-Ohio also contests the Commission’s refusal to authorize billing and collection of above-market generation-related wholesale </w:t>
      </w:r>
      <w:r w:rsidR="00292D29">
        <w:t xml:space="preserve">revenue </w:t>
      </w:r>
      <w:r>
        <w:t xml:space="preserve">because the current </w:t>
      </w:r>
      <w:r>
        <w:lastRenderedPageBreak/>
        <w:t xml:space="preserve">regulatory environment </w:t>
      </w:r>
      <w:r w:rsidR="00833800">
        <w:t>may change</w:t>
      </w:r>
      <w:r>
        <w:t>.  In support of allowing recovery sooner rather than later, AEP-Ohio states</w:t>
      </w:r>
      <w:r w:rsidR="00B32B55">
        <w:t xml:space="preserve"> that </w:t>
      </w:r>
      <w:r w:rsidR="00922BB8">
        <w:t xml:space="preserve">waiting until wholesale market </w:t>
      </w:r>
      <w:r w:rsidR="00976185">
        <w:t xml:space="preserve">reforms </w:t>
      </w:r>
      <w:r w:rsidR="00922BB8">
        <w:t>and environmental rules are settled may cause wholesale market prices to increase with the effect that</w:t>
      </w:r>
      <w:r>
        <w:t xml:space="preserve"> “it would be too late for the PPA Rider to be taken up at that point.”</w:t>
      </w:r>
      <w:r>
        <w:rPr>
          <w:rStyle w:val="FootnoteReference"/>
        </w:rPr>
        <w:footnoteReference w:id="33"/>
      </w:r>
      <w:r>
        <w:t xml:space="preserve">  </w:t>
      </w:r>
      <w:r w:rsidR="003E6249">
        <w:t>The Commission</w:t>
      </w:r>
      <w:r w:rsidR="0000363C">
        <w:t>, however,</w:t>
      </w:r>
      <w:r w:rsidR="003E6249">
        <w:t xml:space="preserve"> rejected authorization </w:t>
      </w:r>
      <w:r w:rsidR="002C3F10">
        <w:t>to collect above-market OVEC-related wholesale costs</w:t>
      </w:r>
      <w:r w:rsidR="003E6249">
        <w:t xml:space="preserve"> because it found that AEP-Ohio had failed to demonstrate that </w:t>
      </w:r>
      <w:r w:rsidR="002C3F10">
        <w:t>authorization would have</w:t>
      </w:r>
      <w:r w:rsidR="003E6249">
        <w:t xml:space="preserve"> the effect of stabilizing rates.  Regardless of whether the wholesale market is in some sort of regulatory flux, this finding that the PPA Rider did not satisfy a statutory requir</w:t>
      </w:r>
      <w:r w:rsidR="00833800">
        <w:t>ement of R.C. 4928.143(B)(2)(d)</w:t>
      </w:r>
      <w:r w:rsidR="003E6249">
        <w:t xml:space="preserve"> was fatal to AEP-Ohio’s request.</w:t>
      </w:r>
      <w:r w:rsidR="00CB4C1D">
        <w:rPr>
          <w:rStyle w:val="FootnoteReference"/>
        </w:rPr>
        <w:footnoteReference w:id="34"/>
      </w:r>
      <w:r w:rsidR="003E6249">
        <w:t xml:space="preserve">  </w:t>
      </w:r>
    </w:p>
    <w:p w:rsidR="000A2893" w:rsidRPr="000A2893" w:rsidRDefault="000A2893" w:rsidP="00411841">
      <w:pPr>
        <w:pStyle w:val="Heading2"/>
      </w:pPr>
      <w:bookmarkStart w:id="39" w:name="_Toc415668376"/>
      <w:bookmarkStart w:id="40" w:name="_Toc415670064"/>
      <w:bookmarkStart w:id="41" w:name="_Toc415670183"/>
      <w:bookmarkStart w:id="42" w:name="_Toc415748777"/>
      <w:bookmarkStart w:id="43" w:name="_Toc416080120"/>
      <w:bookmarkStart w:id="44" w:name="_Toc416094976"/>
      <w:bookmarkStart w:id="45" w:name="_Toc416098620"/>
      <w:r>
        <w:t>AEP-Ohio’s claims</w:t>
      </w:r>
      <w:bookmarkStart w:id="46" w:name="_Toc415668377"/>
      <w:bookmarkStart w:id="47" w:name="_Toc415670065"/>
      <w:bookmarkEnd w:id="39"/>
      <w:bookmarkEnd w:id="40"/>
      <w:bookmarkEnd w:id="46"/>
      <w:bookmarkEnd w:id="47"/>
      <w:bookmarkEnd w:id="41"/>
      <w:bookmarkEnd w:id="42"/>
      <w:r w:rsidR="00CB4C1D">
        <w:t xml:space="preserve"> regarding </w:t>
      </w:r>
      <w:r w:rsidR="00A64D49">
        <w:t xml:space="preserve">retail </w:t>
      </w:r>
      <w:r w:rsidR="00CB4C1D">
        <w:t>price volatility are flawed</w:t>
      </w:r>
      <w:bookmarkEnd w:id="43"/>
      <w:bookmarkEnd w:id="44"/>
      <w:bookmarkEnd w:id="45"/>
    </w:p>
    <w:p w:rsidR="007C7156" w:rsidRDefault="00285DEE" w:rsidP="007277CE">
      <w:pPr>
        <w:spacing w:after="0" w:line="480" w:lineRule="auto"/>
        <w:jc w:val="both"/>
      </w:pPr>
      <w:r>
        <w:tab/>
        <w:t>Finally, AEP-Ohio asserts that the Commission “would be misguided to conclude that an additional tool for rate mitigation should be categorically excluded, especially given the flaws and limitations of the current tools.”</w:t>
      </w:r>
      <w:r>
        <w:rPr>
          <w:rStyle w:val="FootnoteReference"/>
        </w:rPr>
        <w:footnoteReference w:id="35"/>
      </w:r>
      <w:r>
        <w:t xml:space="preserve">  AEP-Ohio then rehashes the arguments it presented at hearing to support its claim that the </w:t>
      </w:r>
      <w:r w:rsidR="00FA2252">
        <w:t>“hedge” resulting from the</w:t>
      </w:r>
      <w:r>
        <w:t xml:space="preserve"> </w:t>
      </w:r>
      <w:r w:rsidR="00976185">
        <w:t>Standard Service Offer (“</w:t>
      </w:r>
      <w:r>
        <w:t>SSO</w:t>
      </w:r>
      <w:r w:rsidR="00976185">
        <w:t>”)</w:t>
      </w:r>
      <w:r>
        <w:t xml:space="preserve"> auction process and customers’ reliance on </w:t>
      </w:r>
      <w:r w:rsidR="00976185">
        <w:t>fixed-</w:t>
      </w:r>
      <w:r>
        <w:t xml:space="preserve">price </w:t>
      </w:r>
      <w:r>
        <w:lastRenderedPageBreak/>
        <w:t xml:space="preserve">contracts </w:t>
      </w:r>
      <w:r w:rsidR="00FA2252">
        <w:t xml:space="preserve">to fix their generation costs </w:t>
      </w:r>
      <w:r>
        <w:t>are “short-term</w:t>
      </w:r>
      <w:r w:rsidR="008C14CA">
        <w:t>” and “limited</w:t>
      </w:r>
      <w:r>
        <w:t>.</w:t>
      </w:r>
      <w:r w:rsidR="008C14CA">
        <w:t>”</w:t>
      </w:r>
      <w:r>
        <w:rPr>
          <w:rStyle w:val="FootnoteReference"/>
        </w:rPr>
        <w:footnoteReference w:id="36"/>
      </w:r>
      <w:r>
        <w:t xml:space="preserve">  </w:t>
      </w:r>
      <w:r w:rsidR="007F1F88">
        <w:t>H</w:t>
      </w:r>
      <w:r w:rsidR="00A64D49">
        <w:t xml:space="preserve">owever, </w:t>
      </w:r>
      <w:r w:rsidR="00FA2252">
        <w:t>AEP-Ohio’s “solution” to market volatility, the PPA Rider, does not deliver any benefit</w:t>
      </w:r>
      <w:r w:rsidR="008C14CA">
        <w:t>.</w:t>
      </w:r>
    </w:p>
    <w:p w:rsidR="00285DEE" w:rsidRDefault="00285DEE" w:rsidP="007277CE">
      <w:pPr>
        <w:spacing w:after="0" w:line="480" w:lineRule="auto"/>
        <w:jc w:val="both"/>
        <w:rPr>
          <w:rFonts w:eastAsia="Times New Roman" w:cs="Arial"/>
        </w:rPr>
      </w:pPr>
      <w:r>
        <w:tab/>
      </w:r>
      <w:r w:rsidR="00213B66">
        <w:t>As the Commission correctly found,</w:t>
      </w:r>
      <w:r w:rsidR="008C14CA">
        <w:t xml:space="preserve"> </w:t>
      </w:r>
      <w:r w:rsidR="008C14CA">
        <w:rPr>
          <w:rFonts w:eastAsia="Times New Roman" w:cs="Arial"/>
        </w:rPr>
        <w:t>AEP-Ohio failed to demonstrate that</w:t>
      </w:r>
      <w:r w:rsidR="007C7156">
        <w:rPr>
          <w:rFonts w:eastAsia="Times New Roman" w:cs="Arial"/>
        </w:rPr>
        <w:t xml:space="preserve"> </w:t>
      </w:r>
      <w:r w:rsidR="00231596">
        <w:rPr>
          <w:rFonts w:eastAsia="Times New Roman" w:cs="Arial"/>
        </w:rPr>
        <w:t xml:space="preserve">the PPA Rider has the effect of </w:t>
      </w:r>
      <w:r w:rsidR="008C14CA">
        <w:rPr>
          <w:rFonts w:eastAsia="Times New Roman" w:cs="Arial"/>
        </w:rPr>
        <w:t>stabilizing retail electric service</w:t>
      </w:r>
      <w:r w:rsidR="00231596">
        <w:rPr>
          <w:rFonts w:eastAsia="Times New Roman" w:cs="Arial"/>
        </w:rPr>
        <w:t>.</w:t>
      </w:r>
      <w:r w:rsidR="008C14CA">
        <w:rPr>
          <w:rStyle w:val="FootnoteReference"/>
          <w:rFonts w:eastAsia="Times New Roman" w:cs="Arial"/>
        </w:rPr>
        <w:footnoteReference w:id="37"/>
      </w:r>
      <w:r w:rsidR="00231596">
        <w:rPr>
          <w:rFonts w:eastAsia="Times New Roman" w:cs="Arial"/>
        </w:rPr>
        <w:t xml:space="preserve"> </w:t>
      </w:r>
      <w:r w:rsidR="007C7156">
        <w:rPr>
          <w:rFonts w:eastAsia="Times New Roman" w:cs="Arial"/>
        </w:rPr>
        <w:t xml:space="preserve"> </w:t>
      </w:r>
      <w:r w:rsidR="00FA2252">
        <w:t>To the contrary</w:t>
      </w:r>
      <w:r w:rsidR="008C14CA">
        <w:t>, the record showed that the rider would inject additional volatility into customer bills</w:t>
      </w:r>
      <w:r w:rsidR="00FA2252">
        <w:t xml:space="preserve">, </w:t>
      </w:r>
      <w:r w:rsidR="00FA2252">
        <w:rPr>
          <w:rFonts w:eastAsia="Times New Roman" w:cs="Arial"/>
        </w:rPr>
        <w:t>and</w:t>
      </w:r>
      <w:r w:rsidR="007E6D4F">
        <w:rPr>
          <w:rFonts w:eastAsia="Times New Roman" w:cs="Arial"/>
        </w:rPr>
        <w:t xml:space="preserve"> the only party that would benefit from the PPA Rider would be AEP-Ohio, which would no longer be exposed to the business and financial risk of its interest in OVEC</w:t>
      </w:r>
      <w:r w:rsidR="003473F1">
        <w:rPr>
          <w:rFonts w:eastAsia="Times New Roman" w:cs="Arial"/>
        </w:rPr>
        <w:t>.</w:t>
      </w:r>
      <w:r w:rsidR="00A64D49">
        <w:rPr>
          <w:rStyle w:val="FootnoteReference"/>
          <w:rFonts w:eastAsia="Times New Roman" w:cs="Arial"/>
        </w:rPr>
        <w:footnoteReference w:id="38"/>
      </w:r>
    </w:p>
    <w:p w:rsidR="00231596" w:rsidRDefault="00E71469" w:rsidP="00DF5E03">
      <w:pPr>
        <w:spacing w:after="0" w:line="480" w:lineRule="auto"/>
        <w:jc w:val="both"/>
        <w:rPr>
          <w:rFonts w:eastAsia="Times New Roman" w:cs="Arial"/>
        </w:rPr>
      </w:pPr>
      <w:r>
        <w:rPr>
          <w:rFonts w:eastAsia="Times New Roman" w:cs="Arial"/>
        </w:rPr>
        <w:tab/>
      </w:r>
      <w:r w:rsidR="00833800">
        <w:rPr>
          <w:rFonts w:eastAsia="Times New Roman" w:cs="Arial"/>
        </w:rPr>
        <w:t>In</w:t>
      </w:r>
      <w:r w:rsidR="00843A7E">
        <w:rPr>
          <w:rFonts w:eastAsia="Times New Roman" w:cs="Arial"/>
        </w:rPr>
        <w:t xml:space="preserve"> support of </w:t>
      </w:r>
      <w:r w:rsidR="00231596">
        <w:rPr>
          <w:rFonts w:eastAsia="Times New Roman" w:cs="Arial"/>
        </w:rPr>
        <w:t>the</w:t>
      </w:r>
      <w:r w:rsidR="00843A7E">
        <w:rPr>
          <w:rFonts w:eastAsia="Times New Roman" w:cs="Arial"/>
        </w:rPr>
        <w:t xml:space="preserve"> claim</w:t>
      </w:r>
      <w:r w:rsidR="00231596">
        <w:rPr>
          <w:rFonts w:eastAsia="Times New Roman" w:cs="Arial"/>
        </w:rPr>
        <w:t xml:space="preserve"> that shopping customers will benefit from the PPA Rider</w:t>
      </w:r>
      <w:r w:rsidR="00843A7E">
        <w:rPr>
          <w:rFonts w:eastAsia="Times New Roman" w:cs="Arial"/>
        </w:rPr>
        <w:t xml:space="preserve">, </w:t>
      </w:r>
      <w:r w:rsidR="007C7156">
        <w:rPr>
          <w:rFonts w:eastAsia="Times New Roman" w:cs="Arial"/>
        </w:rPr>
        <w:t>AEP-Ohio</w:t>
      </w:r>
      <w:r w:rsidR="00833800">
        <w:rPr>
          <w:rFonts w:eastAsia="Times New Roman" w:cs="Arial"/>
        </w:rPr>
        <w:t xml:space="preserve"> also</w:t>
      </w:r>
      <w:r w:rsidR="007C7156">
        <w:rPr>
          <w:rFonts w:eastAsia="Times New Roman" w:cs="Arial"/>
        </w:rPr>
        <w:t xml:space="preserve"> </w:t>
      </w:r>
      <w:r w:rsidR="00F16F97">
        <w:rPr>
          <w:rFonts w:eastAsia="Times New Roman" w:cs="Arial"/>
        </w:rPr>
        <w:t>argues</w:t>
      </w:r>
      <w:r w:rsidR="007C7156">
        <w:rPr>
          <w:rFonts w:eastAsia="Times New Roman" w:cs="Arial"/>
        </w:rPr>
        <w:t xml:space="preserve"> that </w:t>
      </w:r>
      <w:r w:rsidR="00FA2252">
        <w:rPr>
          <w:rFonts w:eastAsia="Times New Roman" w:cs="Arial"/>
        </w:rPr>
        <w:t>customers have limited options to manage retail price volatility</w:t>
      </w:r>
      <w:r w:rsidR="007C7156">
        <w:rPr>
          <w:rFonts w:eastAsia="Times New Roman" w:cs="Arial"/>
        </w:rPr>
        <w:t>.</w:t>
      </w:r>
      <w:r w:rsidR="007C7156">
        <w:rPr>
          <w:rStyle w:val="FootnoteReference"/>
          <w:rFonts w:eastAsia="Times New Roman" w:cs="Arial"/>
        </w:rPr>
        <w:footnoteReference w:id="39"/>
      </w:r>
      <w:r w:rsidR="00843A7E">
        <w:rPr>
          <w:rFonts w:eastAsia="Times New Roman" w:cs="Arial"/>
        </w:rPr>
        <w:t xml:space="preserve">  </w:t>
      </w:r>
      <w:r w:rsidR="00FA2252">
        <w:rPr>
          <w:rFonts w:eastAsia="Times New Roman" w:cs="Arial"/>
        </w:rPr>
        <w:t>The</w:t>
      </w:r>
      <w:r w:rsidR="00231596">
        <w:rPr>
          <w:rFonts w:eastAsia="Times New Roman" w:cs="Arial"/>
        </w:rPr>
        <w:t xml:space="preserve"> evidence</w:t>
      </w:r>
      <w:r>
        <w:rPr>
          <w:rFonts w:eastAsia="Times New Roman" w:cs="Arial"/>
        </w:rPr>
        <w:t>, however,</w:t>
      </w:r>
      <w:r w:rsidR="00231596">
        <w:rPr>
          <w:rFonts w:eastAsia="Times New Roman" w:cs="Arial"/>
        </w:rPr>
        <w:t xml:space="preserve"> </w:t>
      </w:r>
      <w:r w:rsidR="00833800">
        <w:rPr>
          <w:rFonts w:eastAsia="Times New Roman" w:cs="Arial"/>
        </w:rPr>
        <w:t>demonstrated</w:t>
      </w:r>
      <w:r w:rsidR="00231596">
        <w:rPr>
          <w:rFonts w:eastAsia="Times New Roman" w:cs="Arial"/>
        </w:rPr>
        <w:t xml:space="preserve"> </w:t>
      </w:r>
      <w:r w:rsidR="00D87AA7">
        <w:rPr>
          <w:rFonts w:eastAsia="Times New Roman" w:cs="Arial"/>
        </w:rPr>
        <w:t>that</w:t>
      </w:r>
      <w:r w:rsidR="00231596">
        <w:rPr>
          <w:rFonts w:eastAsia="Times New Roman" w:cs="Arial"/>
        </w:rPr>
        <w:t xml:space="preserve"> </w:t>
      </w:r>
      <w:r w:rsidR="00843A7E">
        <w:rPr>
          <w:rFonts w:eastAsia="Times New Roman" w:cs="Arial"/>
        </w:rPr>
        <w:t xml:space="preserve">customers have available fixed price term contracts that reflect a </w:t>
      </w:r>
      <w:r w:rsidR="0063160E">
        <w:rPr>
          <w:rFonts w:eastAsia="Times New Roman" w:cs="Arial"/>
        </w:rPr>
        <w:t>tradeoff</w:t>
      </w:r>
      <w:r w:rsidR="00843A7E">
        <w:rPr>
          <w:rFonts w:eastAsia="Times New Roman" w:cs="Arial"/>
        </w:rPr>
        <w:t xml:space="preserve"> of term and price</w:t>
      </w:r>
      <w:r w:rsidR="00231596">
        <w:rPr>
          <w:rFonts w:eastAsia="Times New Roman" w:cs="Arial"/>
        </w:rPr>
        <w:t xml:space="preserve"> for up to the term of the ESP</w:t>
      </w:r>
      <w:r w:rsidR="00843A7E">
        <w:rPr>
          <w:rFonts w:eastAsia="Times New Roman" w:cs="Arial"/>
        </w:rPr>
        <w:t xml:space="preserve">.  </w:t>
      </w:r>
      <w:r w:rsidR="00231596">
        <w:rPr>
          <w:rFonts w:eastAsia="Times New Roman" w:cs="Arial"/>
        </w:rPr>
        <w:t>Unlike the proposed nonbypassable rider</w:t>
      </w:r>
      <w:r w:rsidR="00FA2252">
        <w:rPr>
          <w:rFonts w:eastAsia="Times New Roman" w:cs="Arial"/>
        </w:rPr>
        <w:t xml:space="preserve"> </w:t>
      </w:r>
      <w:r w:rsidR="00826167">
        <w:rPr>
          <w:rFonts w:eastAsia="Times New Roman" w:cs="Arial"/>
        </w:rPr>
        <w:t>that</w:t>
      </w:r>
      <w:r w:rsidR="00FA2252">
        <w:rPr>
          <w:rFonts w:eastAsia="Times New Roman" w:cs="Arial"/>
        </w:rPr>
        <w:t xml:space="preserve"> prevents choice</w:t>
      </w:r>
      <w:r w:rsidR="00292D29">
        <w:rPr>
          <w:rFonts w:eastAsia="Times New Roman" w:cs="Arial"/>
        </w:rPr>
        <w:t>,</w:t>
      </w:r>
      <w:r w:rsidR="00231596">
        <w:rPr>
          <w:rStyle w:val="FootnoteReference"/>
          <w:rFonts w:eastAsia="Times New Roman" w:cs="Arial"/>
        </w:rPr>
        <w:footnoteReference w:id="40"/>
      </w:r>
      <w:r w:rsidR="00843A7E">
        <w:rPr>
          <w:rFonts w:eastAsia="Times New Roman" w:cs="Arial"/>
        </w:rPr>
        <w:t xml:space="preserve"> customers can </w:t>
      </w:r>
      <w:r w:rsidR="00292D29">
        <w:rPr>
          <w:rFonts w:eastAsia="Times New Roman" w:cs="Arial"/>
        </w:rPr>
        <w:t xml:space="preserve">contract </w:t>
      </w:r>
      <w:r w:rsidR="00843A7E">
        <w:rPr>
          <w:rFonts w:eastAsia="Times New Roman" w:cs="Arial"/>
        </w:rPr>
        <w:t>the term and price combination</w:t>
      </w:r>
      <w:r w:rsidR="00292D29">
        <w:rPr>
          <w:rFonts w:eastAsia="Times New Roman" w:cs="Arial"/>
        </w:rPr>
        <w:t>s</w:t>
      </w:r>
      <w:r w:rsidR="00843A7E">
        <w:rPr>
          <w:rFonts w:eastAsia="Times New Roman" w:cs="Arial"/>
        </w:rPr>
        <w:t xml:space="preserve"> that best meet their desired outcomes.  </w:t>
      </w:r>
      <w:r w:rsidR="00742656">
        <w:rPr>
          <w:rFonts w:eastAsia="Times New Roman" w:cs="Arial"/>
        </w:rPr>
        <w:t>Additionally, customers can elect other alternative</w:t>
      </w:r>
      <w:r w:rsidR="00213B66">
        <w:rPr>
          <w:rFonts w:eastAsia="Times New Roman" w:cs="Arial"/>
        </w:rPr>
        <w:t>s</w:t>
      </w:r>
      <w:r w:rsidR="00742656">
        <w:rPr>
          <w:rFonts w:eastAsia="Times New Roman" w:cs="Arial"/>
        </w:rPr>
        <w:t xml:space="preserve"> </w:t>
      </w:r>
      <w:r w:rsidR="00213B66">
        <w:rPr>
          <w:rFonts w:eastAsia="Times New Roman" w:cs="Arial"/>
        </w:rPr>
        <w:t>such as</w:t>
      </w:r>
      <w:r w:rsidR="00742656">
        <w:rPr>
          <w:rFonts w:eastAsia="Times New Roman" w:cs="Arial"/>
        </w:rPr>
        <w:t xml:space="preserve"> substitution of </w:t>
      </w:r>
      <w:r w:rsidR="00213B66">
        <w:rPr>
          <w:rFonts w:eastAsia="Times New Roman" w:cs="Arial"/>
        </w:rPr>
        <w:t>natural gas</w:t>
      </w:r>
      <w:r w:rsidR="00742656">
        <w:rPr>
          <w:rFonts w:eastAsia="Times New Roman" w:cs="Arial"/>
        </w:rPr>
        <w:t xml:space="preserve"> to manage the price risk associated with their </w:t>
      </w:r>
      <w:r w:rsidR="00213B66">
        <w:rPr>
          <w:rFonts w:eastAsia="Times New Roman" w:cs="Arial"/>
        </w:rPr>
        <w:t>energy needs</w:t>
      </w:r>
      <w:r w:rsidR="00742656">
        <w:rPr>
          <w:rFonts w:eastAsia="Times New Roman" w:cs="Arial"/>
        </w:rPr>
        <w:t>.  Accordingly,</w:t>
      </w:r>
      <w:r w:rsidR="00742656" w:rsidRPr="007F1F88">
        <w:rPr>
          <w:rFonts w:eastAsia="Times New Roman" w:cs="Arial"/>
          <w:i/>
        </w:rPr>
        <w:t xml:space="preserve"> </w:t>
      </w:r>
      <w:r w:rsidR="00213B66">
        <w:rPr>
          <w:rFonts w:eastAsia="Times New Roman" w:cs="Arial"/>
        </w:rPr>
        <w:t>AEP-Ohio’s suggestion that customers lack options to manage their energy needs is nonsense.</w:t>
      </w:r>
      <w:r w:rsidR="00231596">
        <w:rPr>
          <w:rFonts w:eastAsia="Times New Roman" w:cs="Arial"/>
        </w:rPr>
        <w:t xml:space="preserve"> </w:t>
      </w:r>
    </w:p>
    <w:p w:rsidR="00F362C0" w:rsidRDefault="00F362C0" w:rsidP="00F362C0">
      <w:pPr>
        <w:pStyle w:val="Heading2"/>
        <w:rPr>
          <w:rFonts w:eastAsia="Times New Roman"/>
        </w:rPr>
      </w:pPr>
      <w:bookmarkStart w:id="48" w:name="_Toc415668378"/>
      <w:bookmarkStart w:id="49" w:name="_Toc415670066"/>
      <w:bookmarkStart w:id="50" w:name="_Toc415670184"/>
      <w:bookmarkStart w:id="51" w:name="_Toc415748778"/>
      <w:bookmarkStart w:id="52" w:name="_Toc416080121"/>
      <w:bookmarkStart w:id="53" w:name="_Toc416094977"/>
      <w:bookmarkStart w:id="54" w:name="_Toc416098621"/>
      <w:r>
        <w:rPr>
          <w:rFonts w:eastAsia="Times New Roman"/>
        </w:rPr>
        <w:t>Authorization of the PPA Rider is unlawful, unreasonable, and not in the public interest</w:t>
      </w:r>
      <w:bookmarkEnd w:id="48"/>
      <w:bookmarkEnd w:id="49"/>
      <w:bookmarkEnd w:id="50"/>
      <w:bookmarkEnd w:id="51"/>
      <w:bookmarkEnd w:id="52"/>
      <w:bookmarkEnd w:id="53"/>
      <w:bookmarkEnd w:id="54"/>
    </w:p>
    <w:p w:rsidR="007C7156" w:rsidRDefault="00742656" w:rsidP="004264F9">
      <w:pPr>
        <w:spacing w:line="480" w:lineRule="auto"/>
        <w:ind w:firstLine="720"/>
        <w:jc w:val="both"/>
        <w:rPr>
          <w:rFonts w:eastAsia="Times New Roman" w:cs="Arial"/>
        </w:rPr>
      </w:pPr>
      <w:r>
        <w:lastRenderedPageBreak/>
        <w:t xml:space="preserve">AEP-Ohio has not presented any </w:t>
      </w:r>
      <w:r w:rsidR="00826167">
        <w:t>issue that</w:t>
      </w:r>
      <w:r>
        <w:t xml:space="preserve"> </w:t>
      </w:r>
      <w:r w:rsidR="00826167">
        <w:t>justifies authorization to collect above-market generation-related costs</w:t>
      </w:r>
      <w:r>
        <w:t>.</w:t>
      </w:r>
      <w:r>
        <w:rPr>
          <w:rStyle w:val="FootnoteReference"/>
        </w:rPr>
        <w:footnoteReference w:id="41"/>
      </w:r>
      <w:r w:rsidR="006D66BE">
        <w:rPr>
          <w:rFonts w:eastAsia="Times New Roman" w:cs="Arial"/>
        </w:rPr>
        <w:t xml:space="preserve">  </w:t>
      </w:r>
      <w:r>
        <w:rPr>
          <w:rFonts w:eastAsia="Times New Roman" w:cs="Arial"/>
        </w:rPr>
        <w:t xml:space="preserve">Moreover, there is no justification for the Commission under Ohio </w:t>
      </w:r>
      <w:r w:rsidR="00691586">
        <w:rPr>
          <w:rFonts w:eastAsia="Times New Roman" w:cs="Arial"/>
        </w:rPr>
        <w:t xml:space="preserve">or federal </w:t>
      </w:r>
      <w:r>
        <w:rPr>
          <w:rFonts w:eastAsia="Times New Roman" w:cs="Arial"/>
        </w:rPr>
        <w:t xml:space="preserve">law to authorize a rider that shifts the business and financial risk of a generation owner to retail customers.  </w:t>
      </w:r>
      <w:r w:rsidR="00826167">
        <w:rPr>
          <w:rFonts w:eastAsia="Times New Roman" w:cs="Arial"/>
        </w:rPr>
        <w:t>R</w:t>
      </w:r>
      <w:r>
        <w:rPr>
          <w:rFonts w:eastAsia="Times New Roman" w:cs="Arial"/>
        </w:rPr>
        <w:t>etail electric generation has been declared competitive,</w:t>
      </w:r>
      <w:r>
        <w:rPr>
          <w:rStyle w:val="FootnoteReference"/>
          <w:rFonts w:eastAsia="Times New Roman" w:cs="Arial"/>
        </w:rPr>
        <w:footnoteReference w:id="42"/>
      </w:r>
      <w:r>
        <w:rPr>
          <w:rFonts w:eastAsia="Times New Roman" w:cs="Arial"/>
        </w:rPr>
        <w:t xml:space="preserve"> and the electric distribution utility (“EDU”) “shall be fully on its own in the competitive market.”</w:t>
      </w:r>
      <w:r>
        <w:rPr>
          <w:rStyle w:val="FootnoteReference"/>
          <w:rFonts w:eastAsia="Times New Roman" w:cs="Arial"/>
        </w:rPr>
        <w:footnoteReference w:id="43"/>
      </w:r>
      <w:r>
        <w:rPr>
          <w:rFonts w:eastAsia="Times New Roman" w:cs="Arial"/>
        </w:rPr>
        <w:t xml:space="preserve">  </w:t>
      </w:r>
      <w:r w:rsidR="00826167">
        <w:rPr>
          <w:rFonts w:eastAsia="Times New Roman" w:cs="Arial"/>
        </w:rPr>
        <w:t>Thus</w:t>
      </w:r>
      <w:r>
        <w:rPr>
          <w:rFonts w:eastAsia="Times New Roman" w:cs="Arial"/>
        </w:rPr>
        <w:t>, t</w:t>
      </w:r>
      <w:r w:rsidR="00E71469">
        <w:rPr>
          <w:rFonts w:eastAsia="Times New Roman" w:cs="Arial"/>
        </w:rPr>
        <w:t xml:space="preserve">he Commission </w:t>
      </w:r>
      <w:r>
        <w:rPr>
          <w:rFonts w:eastAsia="Times New Roman" w:cs="Arial"/>
        </w:rPr>
        <w:t xml:space="preserve">should </w:t>
      </w:r>
      <w:r w:rsidR="009903DD">
        <w:rPr>
          <w:rFonts w:eastAsia="Times New Roman" w:cs="Arial"/>
        </w:rPr>
        <w:t xml:space="preserve">cut off </w:t>
      </w:r>
      <w:r w:rsidR="00E71469">
        <w:rPr>
          <w:rFonts w:eastAsia="Times New Roman" w:cs="Arial"/>
        </w:rPr>
        <w:t xml:space="preserve">the debate </w:t>
      </w:r>
      <w:r>
        <w:rPr>
          <w:rFonts w:eastAsia="Times New Roman" w:cs="Arial"/>
        </w:rPr>
        <w:t xml:space="preserve">over the PPA Rider </w:t>
      </w:r>
      <w:r w:rsidR="00E71469">
        <w:rPr>
          <w:rFonts w:eastAsia="Times New Roman" w:cs="Arial"/>
        </w:rPr>
        <w:t xml:space="preserve">by correctly finding that it cannot </w:t>
      </w:r>
      <w:r w:rsidR="00691586">
        <w:rPr>
          <w:rFonts w:eastAsia="Times New Roman" w:cs="Arial"/>
        </w:rPr>
        <w:t xml:space="preserve">lawfully </w:t>
      </w:r>
      <w:r w:rsidR="00E71469">
        <w:rPr>
          <w:rFonts w:eastAsia="Times New Roman" w:cs="Arial"/>
        </w:rPr>
        <w:t xml:space="preserve">authorize the </w:t>
      </w:r>
      <w:r w:rsidR="00826167">
        <w:rPr>
          <w:rFonts w:eastAsia="Times New Roman" w:cs="Arial"/>
        </w:rPr>
        <w:t>rider</w:t>
      </w:r>
      <w:r w:rsidR="006D66BE">
        <w:rPr>
          <w:rFonts w:eastAsia="Times New Roman" w:cs="Arial"/>
        </w:rPr>
        <w:t>.</w:t>
      </w:r>
    </w:p>
    <w:p w:rsidR="00D87AA7" w:rsidRDefault="00D87AA7" w:rsidP="007277CE">
      <w:pPr>
        <w:pStyle w:val="Heading1"/>
        <w:spacing w:after="0"/>
      </w:pPr>
      <w:bookmarkStart w:id="55" w:name="_Toc415668379"/>
      <w:bookmarkStart w:id="56" w:name="_Toc415670067"/>
      <w:bookmarkStart w:id="57" w:name="_Toc415670185"/>
      <w:bookmarkStart w:id="58" w:name="_Toc415748779"/>
      <w:bookmarkStart w:id="59" w:name="_Toc416080122"/>
      <w:bookmarkStart w:id="60" w:name="_Toc416094978"/>
      <w:bookmarkStart w:id="61" w:name="_Toc416098622"/>
      <w:r>
        <w:t xml:space="preserve">The </w:t>
      </w:r>
      <w:r w:rsidR="00247730">
        <w:t xml:space="preserve">proposed </w:t>
      </w:r>
      <w:r>
        <w:t xml:space="preserve">modifications of Schedule IRP-D </w:t>
      </w:r>
      <w:r w:rsidR="00213B66">
        <w:t xml:space="preserve">limiting the availability of the schedule and amending the current portfolio plan </w:t>
      </w:r>
      <w:r>
        <w:t>sought by AEP-Ohio are unreasonable and unlawful</w:t>
      </w:r>
      <w:bookmarkEnd w:id="55"/>
      <w:bookmarkEnd w:id="56"/>
      <w:bookmarkEnd w:id="57"/>
      <w:bookmarkEnd w:id="58"/>
      <w:bookmarkEnd w:id="59"/>
      <w:bookmarkEnd w:id="60"/>
      <w:bookmarkEnd w:id="61"/>
    </w:p>
    <w:p w:rsidR="00F362C0" w:rsidRPr="00F362C0" w:rsidRDefault="00F362C0" w:rsidP="00F362C0">
      <w:pPr>
        <w:spacing w:after="0"/>
      </w:pPr>
    </w:p>
    <w:p w:rsidR="00407485" w:rsidRDefault="00E71469" w:rsidP="007277CE">
      <w:pPr>
        <w:spacing w:after="0" w:line="480" w:lineRule="auto"/>
        <w:jc w:val="both"/>
      </w:pPr>
      <w:r>
        <w:tab/>
        <w:t>In its Application for R</w:t>
      </w:r>
      <w:r w:rsidR="00D87AA7">
        <w:t>ehearing</w:t>
      </w:r>
      <w:r>
        <w:t>,</w:t>
      </w:r>
      <w:r w:rsidR="00D87AA7">
        <w:t xml:space="preserve"> AEP-Ohio requests that the Commission modify </w:t>
      </w:r>
      <w:r w:rsidR="00247730">
        <w:t>the ESP III Order</w:t>
      </w:r>
      <w:r w:rsidR="00D87AA7">
        <w:t xml:space="preserve"> to cap the aggregate load that may </w:t>
      </w:r>
      <w:r w:rsidR="00213B66">
        <w:t>be under</w:t>
      </w:r>
      <w:r>
        <w:t xml:space="preserve"> contract under Schedule IRP-D</w:t>
      </w:r>
      <w:r w:rsidR="00F83468">
        <w:t xml:space="preserve"> and reverse a requirement to bid demand resources associated interruptible load into capacity auctions of PJM Interconnection, LLC (“PJM”).  Further, AEP-Ohio and others seek to amend</w:t>
      </w:r>
      <w:r w:rsidR="00D87AA7">
        <w:t xml:space="preserve"> </w:t>
      </w:r>
      <w:r w:rsidR="00F83468">
        <w:t xml:space="preserve">AEP-Ohio’s </w:t>
      </w:r>
      <w:r w:rsidR="00D87AA7">
        <w:t>portfolio plan to move collection of the IRP-D credit from the EE/PDR Rider to</w:t>
      </w:r>
      <w:r w:rsidR="00F83468">
        <w:t xml:space="preserve"> the EDR</w:t>
      </w:r>
      <w:r w:rsidR="00D87AA7">
        <w:t>.</w:t>
      </w:r>
      <w:r w:rsidR="00D87AA7">
        <w:rPr>
          <w:rStyle w:val="FootnoteReference"/>
        </w:rPr>
        <w:footnoteReference w:id="44"/>
      </w:r>
      <w:r w:rsidR="00B0115E">
        <w:t xml:space="preserve">  </w:t>
      </w:r>
      <w:r w:rsidR="0049223C">
        <w:t>For the reasons discussed below, the Commission should grant</w:t>
      </w:r>
      <w:r w:rsidR="00B0115E">
        <w:t xml:space="preserve"> AEP-Ohio’s request to remove the requirement to bid the </w:t>
      </w:r>
      <w:r w:rsidR="00E02375">
        <w:t xml:space="preserve">demand </w:t>
      </w:r>
      <w:r w:rsidR="00B0115E">
        <w:t>resources into the base residual auctions</w:t>
      </w:r>
      <w:r w:rsidR="00247730">
        <w:t xml:space="preserve"> during the term of the ESP</w:t>
      </w:r>
      <w:r w:rsidR="00B0115E">
        <w:t xml:space="preserve"> </w:t>
      </w:r>
      <w:r w:rsidR="0049223C">
        <w:t xml:space="preserve">and deny the balance of </w:t>
      </w:r>
      <w:r w:rsidR="00F83468">
        <w:t>the</w:t>
      </w:r>
      <w:r w:rsidR="0049223C">
        <w:t xml:space="preserve"> assignments of error regarding Schedule IRP-D</w:t>
      </w:r>
      <w:r w:rsidR="00407485">
        <w:t>.</w:t>
      </w:r>
    </w:p>
    <w:p w:rsidR="007E0B49" w:rsidRDefault="007E0B49" w:rsidP="007E0B49">
      <w:pPr>
        <w:pStyle w:val="Heading2"/>
        <w:spacing w:after="0"/>
      </w:pPr>
      <w:bookmarkStart w:id="62" w:name="_Toc415668380"/>
      <w:bookmarkStart w:id="63" w:name="_Toc415670068"/>
      <w:bookmarkStart w:id="64" w:name="_Toc415670186"/>
      <w:bookmarkStart w:id="65" w:name="_Toc415748780"/>
      <w:bookmarkStart w:id="66" w:name="_Toc416080123"/>
      <w:bookmarkStart w:id="67" w:name="_Toc416094979"/>
      <w:bookmarkStart w:id="68" w:name="_Toc416098623"/>
      <w:r>
        <w:lastRenderedPageBreak/>
        <w:t xml:space="preserve">The Commission should reject AEP-Ohio’s proposed aggregate load cap on interruptible load </w:t>
      </w:r>
      <w:bookmarkEnd w:id="62"/>
      <w:bookmarkEnd w:id="63"/>
      <w:bookmarkEnd w:id="64"/>
      <w:bookmarkEnd w:id="65"/>
      <w:r w:rsidR="00247730">
        <w:t>that may be contracted under Schedule IRP-D</w:t>
      </w:r>
      <w:bookmarkEnd w:id="66"/>
      <w:bookmarkEnd w:id="67"/>
      <w:bookmarkEnd w:id="68"/>
    </w:p>
    <w:p w:rsidR="007E0B49" w:rsidRPr="007E0B49" w:rsidRDefault="007E0B49" w:rsidP="007E0B49">
      <w:pPr>
        <w:spacing w:after="0"/>
      </w:pPr>
    </w:p>
    <w:p w:rsidR="007E0B49" w:rsidRDefault="007E0B49" w:rsidP="00541AAB">
      <w:pPr>
        <w:spacing w:after="0" w:line="480" w:lineRule="auto"/>
        <w:jc w:val="both"/>
      </w:pPr>
      <w:r>
        <w:tab/>
        <w:t>In its Application for Rehearing, AEP-Ohio seeks authorization to limit the total aggregate load that may</w:t>
      </w:r>
      <w:r w:rsidR="00C02DB0">
        <w:t xml:space="preserve"> contract under Schedule</w:t>
      </w:r>
      <w:r>
        <w:t xml:space="preserve"> IRP-D </w:t>
      </w:r>
      <w:r w:rsidR="00455D18">
        <w:t xml:space="preserve">to </w:t>
      </w:r>
      <w:r>
        <w:t>525 MW.</w:t>
      </w:r>
      <w:r>
        <w:rPr>
          <w:rStyle w:val="FootnoteReference"/>
        </w:rPr>
        <w:footnoteReference w:id="45"/>
      </w:r>
      <w:r>
        <w:t xml:space="preserve">  </w:t>
      </w:r>
      <w:r w:rsidR="00213B66">
        <w:t xml:space="preserve">The ESP III Order, however, did not provide for such a limitation, and one should not be ordered.  </w:t>
      </w:r>
      <w:r w:rsidR="00C02DB0">
        <w:t>Given the expansion of the customers that may participate to include shopping customers and the</w:t>
      </w:r>
      <w:r>
        <w:t xml:space="preserve"> recognized value of interruptible service, limiting </w:t>
      </w:r>
      <w:r w:rsidR="00C02DB0">
        <w:t xml:space="preserve">available load to </w:t>
      </w:r>
      <w:r>
        <w:t xml:space="preserve">525 MW is unreasonable.  </w:t>
      </w:r>
    </w:p>
    <w:p w:rsidR="00D87AA7" w:rsidRDefault="00D87AA7" w:rsidP="007277CE">
      <w:pPr>
        <w:pStyle w:val="Heading2"/>
        <w:spacing w:after="0"/>
      </w:pPr>
      <w:bookmarkStart w:id="69" w:name="_Toc415668381"/>
      <w:bookmarkStart w:id="70" w:name="_Toc415670069"/>
      <w:bookmarkStart w:id="71" w:name="_Toc415670187"/>
      <w:bookmarkStart w:id="72" w:name="_Toc415748781"/>
      <w:bookmarkStart w:id="73" w:name="_Toc416080124"/>
      <w:bookmarkStart w:id="74" w:name="_Toc416094980"/>
      <w:bookmarkStart w:id="75" w:name="_Toc416098624"/>
      <w:r>
        <w:t xml:space="preserve">The Commission should grant AEP-Ohio’s request for rehearing as to bidding </w:t>
      </w:r>
      <w:r w:rsidR="0017761E">
        <w:t xml:space="preserve">demand resources </w:t>
      </w:r>
      <w:r>
        <w:t xml:space="preserve">into base residual auctions that coincide for the ESP term, </w:t>
      </w:r>
      <w:r w:rsidR="00213B66">
        <w:t xml:space="preserve">but </w:t>
      </w:r>
      <w:r>
        <w:t>reject AEP-Ohio’s alternative approach which would require customers to bid into future auctions</w:t>
      </w:r>
      <w:bookmarkEnd w:id="69"/>
      <w:bookmarkEnd w:id="70"/>
      <w:bookmarkEnd w:id="71"/>
      <w:bookmarkEnd w:id="72"/>
      <w:bookmarkEnd w:id="73"/>
      <w:bookmarkEnd w:id="74"/>
      <w:bookmarkEnd w:id="75"/>
    </w:p>
    <w:p w:rsidR="00407485" w:rsidRPr="00407485" w:rsidRDefault="00407485" w:rsidP="00407485">
      <w:pPr>
        <w:spacing w:after="0"/>
      </w:pPr>
    </w:p>
    <w:p w:rsidR="00D87AA7" w:rsidRDefault="00D87AA7" w:rsidP="007277CE">
      <w:pPr>
        <w:spacing w:after="0" w:line="480" w:lineRule="auto"/>
        <w:jc w:val="both"/>
      </w:pPr>
      <w:r>
        <w:tab/>
        <w:t xml:space="preserve">In </w:t>
      </w:r>
      <w:r w:rsidR="00870A0A">
        <w:t>the ESP III</w:t>
      </w:r>
      <w:r>
        <w:t xml:space="preserve"> Order</w:t>
      </w:r>
      <w:r w:rsidR="00C02DB0">
        <w:t>,</w:t>
      </w:r>
      <w:r>
        <w:t xml:space="preserve"> the Commission directed AEP-Ohio to bid </w:t>
      </w:r>
      <w:r w:rsidR="00F16F97">
        <w:t xml:space="preserve">the additional </w:t>
      </w:r>
      <w:r w:rsidR="00833800">
        <w:t>demand</w:t>
      </w:r>
      <w:r w:rsidR="00F16F97">
        <w:t xml:space="preserve"> resources associated with Schedule IRP-D into the PJM base residual auctions held during the term of the ESP</w:t>
      </w:r>
      <w:r>
        <w:t xml:space="preserve">, with </w:t>
      </w:r>
      <w:r w:rsidR="00F16F97">
        <w:t>any</w:t>
      </w:r>
      <w:r>
        <w:t xml:space="preserve"> resulting revenue credited back to customers through the EE/PDR Rider.</w:t>
      </w:r>
      <w:r>
        <w:rPr>
          <w:rStyle w:val="FootnoteReference"/>
        </w:rPr>
        <w:footnoteReference w:id="46"/>
      </w:r>
      <w:r>
        <w:t xml:space="preserve">  AEP-Ohio seeks rehearing of this requirement</w:t>
      </w:r>
      <w:r w:rsidR="0017761E">
        <w:t>,</w:t>
      </w:r>
      <w:r>
        <w:t xml:space="preserve"> arguing that it would be impossible for it to bid into PJM’s base residual auctions </w:t>
      </w:r>
      <w:r w:rsidR="00F16F97">
        <w:t>during</w:t>
      </w:r>
      <w:r>
        <w:t xml:space="preserve"> the term of its ESP because the base residual auctions for delivery periods during the ESP term have already occurred.</w:t>
      </w:r>
      <w:r>
        <w:rPr>
          <w:rStyle w:val="FootnoteReference"/>
        </w:rPr>
        <w:footnoteReference w:id="47"/>
      </w:r>
      <w:r>
        <w:t xml:space="preserve">  AEP-Ohio then argues that the Commission could adopt an alternative approach that transfers bidding requirements to individual customers</w:t>
      </w:r>
      <w:r w:rsidR="00C02DB0">
        <w:t>.  Under this alternative, AEP-Ohio also proposes that it be authorized to reduce</w:t>
      </w:r>
      <w:r>
        <w:t xml:space="preserve"> the IRP-D credit</w:t>
      </w:r>
      <w:r w:rsidR="00C02DB0">
        <w:t xml:space="preserve"> available to customers</w:t>
      </w:r>
      <w:r>
        <w:t xml:space="preserve">.  The Commission should grant rehearing and remove the </w:t>
      </w:r>
      <w:r>
        <w:lastRenderedPageBreak/>
        <w:t>requirement that AEP-Ohio bid into the base residual auctions</w:t>
      </w:r>
      <w:r w:rsidR="00C02DB0">
        <w:t>,</w:t>
      </w:r>
      <w:r>
        <w:t xml:space="preserve"> but should not approve AEP-Ohio’s alternative approach.</w:t>
      </w:r>
    </w:p>
    <w:p w:rsidR="00D87AA7" w:rsidRDefault="00D87AA7" w:rsidP="007277CE">
      <w:pPr>
        <w:spacing w:after="0" w:line="480" w:lineRule="auto"/>
        <w:jc w:val="both"/>
      </w:pPr>
      <w:r>
        <w:tab/>
        <w:t xml:space="preserve">AEP-Ohio correctly identifies that </w:t>
      </w:r>
      <w:r w:rsidR="00C02DB0">
        <w:t xml:space="preserve">PJM has conducted </w:t>
      </w:r>
      <w:r>
        <w:t>all base residual auctions for delivery years that coincide with the ESP term.</w:t>
      </w:r>
      <w:r>
        <w:rPr>
          <w:rStyle w:val="FootnoteReference"/>
        </w:rPr>
        <w:footnoteReference w:id="48"/>
      </w:r>
      <w:r>
        <w:t xml:space="preserve">  Therefore, neither AEP-Ohio nor customers may bid into these auctions any additional capacity </w:t>
      </w:r>
      <w:r w:rsidR="00C02DB0">
        <w:t>that may be interrupted under Schedule IRP-D</w:t>
      </w:r>
      <w:r>
        <w:t xml:space="preserve">.  </w:t>
      </w:r>
    </w:p>
    <w:p w:rsidR="00D87AA7" w:rsidRDefault="00D87AA7" w:rsidP="00F16F97">
      <w:pPr>
        <w:spacing w:after="0" w:line="480" w:lineRule="auto"/>
        <w:jc w:val="both"/>
      </w:pPr>
      <w:r>
        <w:tab/>
      </w:r>
      <w:r w:rsidR="00C02DB0">
        <w:t>AEP-Ohio, however, does not provide a reasonable alternative proposal</w:t>
      </w:r>
      <w:r>
        <w:t xml:space="preserve">.  Under AEP-Ohio’s alternative </w:t>
      </w:r>
      <w:r w:rsidR="00C02DB0">
        <w:t>proposal,</w:t>
      </w:r>
      <w:r>
        <w:t xml:space="preserve"> a customer </w:t>
      </w:r>
      <w:r w:rsidR="00F16F97">
        <w:t xml:space="preserve">that has entered a contract under Schedule </w:t>
      </w:r>
      <w:r>
        <w:t xml:space="preserve">IRP-D would be required to bid into future PJM base residual auctions.  </w:t>
      </w:r>
      <w:r w:rsidR="00CF663E">
        <w:t>Although c</w:t>
      </w:r>
      <w:r w:rsidR="00C02DB0">
        <w:t>ustomers that bid and clear their demand response capabilities into the upcoming PJM base residual auctions</w:t>
      </w:r>
      <w:r w:rsidR="00CF663E">
        <w:t xml:space="preserve"> </w:t>
      </w:r>
      <w:r w:rsidR="00C02DB0">
        <w:t>will not receive any revenue from PJM until after the ESP term ends</w:t>
      </w:r>
      <w:r w:rsidR="00F16F97">
        <w:t xml:space="preserve"> because the auctions are three years in advance of the delivery year</w:t>
      </w:r>
      <w:r w:rsidR="00C02DB0">
        <w:t xml:space="preserve">, </w:t>
      </w:r>
      <w:r w:rsidR="00F16F97">
        <w:t xml:space="preserve">they </w:t>
      </w:r>
      <w:r>
        <w:t xml:space="preserve">would have the $8.21/kW-month credit reduced by any revenue the customer </w:t>
      </w:r>
      <w:r w:rsidR="00C02DB0">
        <w:t>may receive</w:t>
      </w:r>
      <w:r>
        <w:t xml:space="preserve"> </w:t>
      </w:r>
      <w:r w:rsidR="00F16F97">
        <w:t>when the delivery year begins</w:t>
      </w:r>
      <w:r>
        <w:t>.</w:t>
      </w:r>
      <w:r>
        <w:rPr>
          <w:rStyle w:val="FootnoteReference"/>
        </w:rPr>
        <w:footnoteReference w:id="49"/>
      </w:r>
      <w:r>
        <w:t xml:space="preserve">  </w:t>
      </w:r>
      <w:r w:rsidR="00F16F97">
        <w:t xml:space="preserve">As a result, </w:t>
      </w:r>
      <w:r w:rsidR="00887FBB">
        <w:t>AEP-Ohio</w:t>
      </w:r>
      <w:r w:rsidR="005E6AD1">
        <w:t>’s alternative proposal</w:t>
      </w:r>
      <w:r w:rsidR="00887FBB">
        <w:t xml:space="preserve"> is unworkable since it attempts to match out-of-period revenue to the current period charges.  Accordingly, the Commission should reject the proposal.</w:t>
      </w:r>
      <w:r w:rsidR="0049223C">
        <w:rPr>
          <w:rStyle w:val="FootnoteReference"/>
        </w:rPr>
        <w:footnoteReference w:id="50"/>
      </w:r>
    </w:p>
    <w:p w:rsidR="00D87AA7" w:rsidRDefault="00D87AA7" w:rsidP="007277CE">
      <w:pPr>
        <w:spacing w:after="0" w:line="480" w:lineRule="auto"/>
        <w:jc w:val="both"/>
      </w:pPr>
      <w:r>
        <w:tab/>
        <w:t>In sum, neither AEP-Ohio nor customers may bid into PJM base residual auctions for the delivery years associated with the term of the ESP</w:t>
      </w:r>
      <w:r w:rsidR="0017761E">
        <w:t>, but AEP-Ohio’s “solution” to the problem is unworkable</w:t>
      </w:r>
      <w:r>
        <w:t xml:space="preserve">.  </w:t>
      </w:r>
      <w:r w:rsidR="006B58CE">
        <w:t xml:space="preserve">Therefore, the Commission should grant </w:t>
      </w:r>
      <w:r w:rsidR="006B58CE">
        <w:lastRenderedPageBreak/>
        <w:t>rehearing for the sole purpose of reversing its order that requires AEP-Ohio to bid additional capacity resources associated with Schedule IRP-D into base residual auctions during the term of the ESP</w:t>
      </w:r>
      <w:r>
        <w:t>.</w:t>
      </w:r>
    </w:p>
    <w:p w:rsidR="00407485" w:rsidRDefault="0081028E" w:rsidP="00A04F97">
      <w:pPr>
        <w:pStyle w:val="Heading2"/>
      </w:pPr>
      <w:bookmarkStart w:id="76" w:name="_Toc415668382"/>
      <w:bookmarkStart w:id="77" w:name="_Toc415670070"/>
      <w:bookmarkStart w:id="78" w:name="_Toc415670188"/>
      <w:bookmarkStart w:id="79" w:name="_Toc415748782"/>
      <w:bookmarkStart w:id="80" w:name="_Toc416080125"/>
      <w:bookmarkStart w:id="81" w:name="_Toc416094981"/>
      <w:bookmarkStart w:id="82" w:name="_Toc416098625"/>
      <w:r>
        <w:t>The proposal to recover the costs</w:t>
      </w:r>
      <w:r w:rsidR="00407485">
        <w:t xml:space="preserve"> of the IRP-D credit </w:t>
      </w:r>
      <w:r w:rsidR="000F298B">
        <w:t>through</w:t>
      </w:r>
      <w:r w:rsidR="00407485">
        <w:t xml:space="preserve"> the EDR is </w:t>
      </w:r>
      <w:r>
        <w:t>a proposed amendment</w:t>
      </w:r>
      <w:r w:rsidR="00815558">
        <w:t xml:space="preserve"> </w:t>
      </w:r>
      <w:r w:rsidR="00407485">
        <w:t xml:space="preserve">of AEP-Ohio’s current portfolio plan that </w:t>
      </w:r>
      <w:r>
        <w:t xml:space="preserve">is barred by Section 7 of </w:t>
      </w:r>
      <w:r w:rsidRPr="0081028E">
        <w:t>Substitute Senate Bill 310 (“SB 310”)</w:t>
      </w:r>
      <w:r w:rsidR="00836F42">
        <w:t>; if the Commission authorizes the amendment, it should also state that customers may elect</w:t>
      </w:r>
      <w:r w:rsidR="00815558">
        <w:t xml:space="preserve"> </w:t>
      </w:r>
      <w:r w:rsidR="00407485">
        <w:t xml:space="preserve">the streamlined opt-out </w:t>
      </w:r>
      <w:r w:rsidR="00836F42">
        <w:t>of the benefits and costs of the amended portfolio plan</w:t>
      </w:r>
      <w:bookmarkEnd w:id="76"/>
      <w:bookmarkEnd w:id="77"/>
      <w:bookmarkEnd w:id="78"/>
      <w:bookmarkEnd w:id="79"/>
      <w:bookmarkEnd w:id="80"/>
      <w:bookmarkEnd w:id="81"/>
      <w:bookmarkEnd w:id="82"/>
    </w:p>
    <w:p w:rsidR="00407485" w:rsidRDefault="00407485" w:rsidP="00A04F97">
      <w:pPr>
        <w:spacing w:after="0" w:line="480" w:lineRule="auto"/>
        <w:jc w:val="both"/>
      </w:pPr>
      <w:r>
        <w:tab/>
        <w:t xml:space="preserve">In </w:t>
      </w:r>
      <w:r w:rsidR="003C484A">
        <w:t xml:space="preserve">their Applications </w:t>
      </w:r>
      <w:r>
        <w:t xml:space="preserve">for </w:t>
      </w:r>
      <w:r w:rsidR="003C484A">
        <w:t>Rehearing</w:t>
      </w:r>
      <w:r>
        <w:t>, AEP-Ohio</w:t>
      </w:r>
      <w:r w:rsidR="00E5472E">
        <w:t>, OMAEG, and Environmental Advocates request</w:t>
      </w:r>
      <w:r>
        <w:t xml:space="preserve"> that the Commission </w:t>
      </w:r>
      <w:r w:rsidR="00A04F97">
        <w:t xml:space="preserve">amend </w:t>
      </w:r>
      <w:r w:rsidR="005E6AD1">
        <w:t xml:space="preserve">AEP-Ohio’s </w:t>
      </w:r>
      <w:r w:rsidR="00A04F97">
        <w:t>current portfolio plan to authorize</w:t>
      </w:r>
      <w:r>
        <w:t xml:space="preserve"> recovery of IRP-D credits from the </w:t>
      </w:r>
      <w:r w:rsidR="00815558">
        <w:t>EDR instead of the EE/PDR Rider</w:t>
      </w:r>
      <w:r w:rsidR="00E5472E">
        <w:t xml:space="preserve">.  AEP-Ohio argues that the amendment of the portfolio plan </w:t>
      </w:r>
      <w:r>
        <w:t>would be “equitable” because mercantile customers can avoid the EE/PDR Rider and because a “central purpose of Rider IRP-D</w:t>
      </w:r>
      <w:r w:rsidR="00A04F97">
        <w:t xml:space="preserve"> [</w:t>
      </w:r>
      <w:r w:rsidR="00A04F97" w:rsidRPr="00A04F97">
        <w:rPr>
          <w:i/>
        </w:rPr>
        <w:t>sic</w:t>
      </w:r>
      <w:r w:rsidR="00A04F97">
        <w:t>]</w:t>
      </w:r>
      <w:r>
        <w:t xml:space="preserve"> </w:t>
      </w:r>
      <w:r w:rsidR="000C5AF0">
        <w:t>..</w:t>
      </w:r>
      <w:r>
        <w:t>. is the promotion of economic development.”</w:t>
      </w:r>
      <w:r>
        <w:rPr>
          <w:rStyle w:val="FootnoteReference"/>
        </w:rPr>
        <w:footnoteReference w:id="51"/>
      </w:r>
      <w:r>
        <w:t xml:space="preserve">  </w:t>
      </w:r>
      <w:r w:rsidR="00815558">
        <w:t>An amendment of the portfolio plan is currently barred by SB 310, but if the Commission grants the r</w:t>
      </w:r>
      <w:r w:rsidR="00E5472E">
        <w:t xml:space="preserve">equest </w:t>
      </w:r>
      <w:r w:rsidR="00815558">
        <w:t>of AEP-Ohio and the other parties, it should also</w:t>
      </w:r>
      <w:r w:rsidR="00E5472E">
        <w:t xml:space="preserve"> find that</w:t>
      </w:r>
      <w:r w:rsidR="00A04F97">
        <w:t xml:space="preserve"> </w:t>
      </w:r>
      <w:r w:rsidR="00E5472E">
        <w:t>the</w:t>
      </w:r>
      <w:r w:rsidR="00A04F97">
        <w:t xml:space="preserve"> amendment of</w:t>
      </w:r>
      <w:r>
        <w:t xml:space="preserve"> AEP-Ohio’s current portfolio plan trigger</w:t>
      </w:r>
      <w:r w:rsidR="00815558">
        <w:t>s</w:t>
      </w:r>
      <w:r>
        <w:t xml:space="preserve"> the streamlined opt-out option </w:t>
      </w:r>
      <w:r w:rsidR="00836F42">
        <w:t>for customers</w:t>
      </w:r>
      <w:r>
        <w:t>.</w:t>
      </w:r>
    </w:p>
    <w:p w:rsidR="00E5472E" w:rsidRDefault="00407485" w:rsidP="00A04F97">
      <w:pPr>
        <w:spacing w:after="0" w:line="480" w:lineRule="auto"/>
        <w:jc w:val="both"/>
      </w:pPr>
      <w:r>
        <w:tab/>
        <w:t xml:space="preserve">AEP-Ohio’s current portfolio plan was approved in Case Nos. 11-5568-EL-POR, </w:t>
      </w:r>
      <w:r>
        <w:rPr>
          <w:i/>
        </w:rPr>
        <w:t>et al.</w:t>
      </w:r>
      <w:r>
        <w:t>, (hereinafter “</w:t>
      </w:r>
      <w:r>
        <w:rPr>
          <w:i/>
        </w:rPr>
        <w:t>Portfolio Plan Case</w:t>
      </w:r>
      <w:r>
        <w:t>”)</w:t>
      </w:r>
      <w:r w:rsidR="00A04F97">
        <w:t xml:space="preserve"> after parties entered into a stipulation and recommendation (“Stipulation”)</w:t>
      </w:r>
      <w:r>
        <w:t>.</w:t>
      </w:r>
      <w:r>
        <w:rPr>
          <w:rStyle w:val="FootnoteReference"/>
        </w:rPr>
        <w:footnoteReference w:id="52"/>
      </w:r>
      <w:r>
        <w:t xml:space="preserve">  </w:t>
      </w:r>
      <w:r w:rsidR="00A04F97">
        <w:t xml:space="preserve">Under </w:t>
      </w:r>
      <w:r w:rsidR="00E5472E">
        <w:t>the</w:t>
      </w:r>
      <w:r w:rsidR="00A04F97">
        <w:t xml:space="preserve"> Commission-approved S</w:t>
      </w:r>
      <w:r>
        <w:t xml:space="preserve">tipulation, </w:t>
      </w:r>
      <w:r w:rsidR="00A04F97">
        <w:t>AEP-Ohio may count interruptible load under contract pursuant to Schedule IRP-D</w:t>
      </w:r>
      <w:r>
        <w:t xml:space="preserve"> toward satisfaction of AEP-Ohio’s peak demand reduction portfolio requirement, and the costs </w:t>
      </w:r>
      <w:r>
        <w:lastRenderedPageBreak/>
        <w:t>of the IRP-D credit are recovered through the EE/PDR Rider.</w:t>
      </w:r>
      <w:r>
        <w:rPr>
          <w:rStyle w:val="FootnoteReference"/>
        </w:rPr>
        <w:footnoteReference w:id="53"/>
      </w:r>
      <w:r>
        <w:t xml:space="preserve">  </w:t>
      </w:r>
      <w:r w:rsidR="00E5472E">
        <w:t>Although the portfolio plan was scheduled to terminate at the end of 2014, the plan remains in effect until the end of 2016 under Section 6(D) of SB 310.</w:t>
      </w:r>
      <w:r w:rsidR="00E5472E">
        <w:rPr>
          <w:vertAlign w:val="superscript"/>
        </w:rPr>
        <w:footnoteReference w:id="54"/>
      </w:r>
      <w:r w:rsidR="00E5472E">
        <w:t xml:space="preserve">  Thus, if the Commission grants the relief AEP-Ohio and the others request, the Commission would </w:t>
      </w:r>
      <w:r w:rsidR="005E6AD1">
        <w:t xml:space="preserve">authorize </w:t>
      </w:r>
      <w:r w:rsidR="00E5472E">
        <w:t>an amendment to the current portfolio plan.</w:t>
      </w:r>
    </w:p>
    <w:p w:rsidR="006B58CE" w:rsidRDefault="00E5472E" w:rsidP="00870A0A">
      <w:pPr>
        <w:spacing w:after="0" w:line="480" w:lineRule="auto"/>
        <w:ind w:firstLine="720"/>
        <w:jc w:val="both"/>
      </w:pPr>
      <w:r>
        <w:t xml:space="preserve">Section 7(B) </w:t>
      </w:r>
      <w:r w:rsidR="006C4000">
        <w:t>of SB 310</w:t>
      </w:r>
      <w:r w:rsidR="00870A0A">
        <w:t>, however</w:t>
      </w:r>
      <w:r w:rsidR="006C4000">
        <w:t xml:space="preserve"> </w:t>
      </w:r>
      <w:r>
        <w:t>limits the amendments that the Commission may authorize to those permitted under</w:t>
      </w:r>
      <w:r w:rsidR="0062780E">
        <w:t xml:space="preserve"> Section 6(B) of SB 310.  Under the terms of those sections, </w:t>
      </w:r>
      <w:r w:rsidR="00870A0A">
        <w:t xml:space="preserve">an amendment of the portfolio plan </w:t>
      </w:r>
      <w:r w:rsidR="006327DE">
        <w:t>was</w:t>
      </w:r>
      <w:r w:rsidR="00870A0A">
        <w:t xml:space="preserve"> timely</w:t>
      </w:r>
      <w:r w:rsidR="006327DE">
        <w:t xml:space="preserve"> within </w:t>
      </w:r>
      <w:r w:rsidR="00722053">
        <w:t xml:space="preserve">thirty </w:t>
      </w:r>
      <w:r w:rsidR="006327DE">
        <w:t>days after the effective date of the legislation</w:t>
      </w:r>
      <w:r w:rsidR="00870A0A">
        <w:t xml:space="preserve">.  </w:t>
      </w:r>
      <w:r w:rsidR="006327DE">
        <w:t>Since the legislation was effective September 12, 2014</w:t>
      </w:r>
      <w:r w:rsidR="0062780E">
        <w:t xml:space="preserve">, </w:t>
      </w:r>
      <w:r w:rsidR="00722053">
        <w:t xml:space="preserve">the thirty-day period has expired.  Accordingly, </w:t>
      </w:r>
      <w:r w:rsidR="0062780E">
        <w:t>the</w:t>
      </w:r>
      <w:r w:rsidR="00870A0A">
        <w:t xml:space="preserve"> amendment of the portfolio plan sought by the </w:t>
      </w:r>
      <w:r w:rsidR="0062780E">
        <w:t>Application</w:t>
      </w:r>
      <w:r w:rsidR="006C4000">
        <w:t>s</w:t>
      </w:r>
      <w:r w:rsidR="0062780E">
        <w:t xml:space="preserve"> for Rehearing </w:t>
      </w:r>
      <w:r w:rsidR="006B58CE">
        <w:t xml:space="preserve">of AEP-Ohio, OMAEG, and the Environmental Advocates </w:t>
      </w:r>
      <w:r w:rsidR="006327DE">
        <w:t>is</w:t>
      </w:r>
      <w:r w:rsidR="006C4000">
        <w:t xml:space="preserve"> </w:t>
      </w:r>
      <w:r w:rsidR="00CF663E">
        <w:t>untimely</w:t>
      </w:r>
      <w:r w:rsidR="0062780E">
        <w:t xml:space="preserve">.  </w:t>
      </w:r>
    </w:p>
    <w:p w:rsidR="00407485" w:rsidRDefault="00CF663E" w:rsidP="004264F9">
      <w:pPr>
        <w:spacing w:line="480" w:lineRule="auto"/>
        <w:ind w:firstLine="720"/>
        <w:jc w:val="both"/>
      </w:pPr>
      <w:r>
        <w:t>If</w:t>
      </w:r>
      <w:r w:rsidR="0062780E">
        <w:t xml:space="preserve"> the Commission authorizes an </w:t>
      </w:r>
      <w:r>
        <w:t>untimely amendment to the</w:t>
      </w:r>
      <w:r w:rsidR="0062780E">
        <w:t xml:space="preserve"> portfolio plan by granting the Applications for Rehearing, </w:t>
      </w:r>
      <w:r>
        <w:t xml:space="preserve">however, </w:t>
      </w:r>
      <w:r w:rsidR="0062780E">
        <w:t xml:space="preserve">the Commission’s entry </w:t>
      </w:r>
      <w:r w:rsidR="00180B4A">
        <w:t xml:space="preserve">also </w:t>
      </w:r>
      <w:r w:rsidR="0062780E">
        <w:t xml:space="preserve">should </w:t>
      </w:r>
      <w:r w:rsidR="006B58CE">
        <w:t>direct that</w:t>
      </w:r>
      <w:r w:rsidR="00407485">
        <w:t xml:space="preserve"> </w:t>
      </w:r>
      <w:r w:rsidR="006B58CE">
        <w:t>cust</w:t>
      </w:r>
      <w:r w:rsidR="003556B4">
        <w:t>o</w:t>
      </w:r>
      <w:r w:rsidR="006B58CE">
        <w:t xml:space="preserve">mers may exercise </w:t>
      </w:r>
      <w:r w:rsidR="00407485">
        <w:t xml:space="preserve">the streamlined opt-out </w:t>
      </w:r>
      <w:r w:rsidR="00870A0A">
        <w:t>that would have been available under</w:t>
      </w:r>
      <w:r w:rsidR="00836F42">
        <w:t xml:space="preserve"> </w:t>
      </w:r>
      <w:r w:rsidR="00407485">
        <w:t>Section 8 of SB 310</w:t>
      </w:r>
      <w:r w:rsidR="00836F42">
        <w:t xml:space="preserve"> </w:t>
      </w:r>
      <w:r w:rsidR="000F298B">
        <w:t xml:space="preserve">as </w:t>
      </w:r>
      <w:r w:rsidR="00836F42">
        <w:t>if AEP-Ohio had properly sought an amendment</w:t>
      </w:r>
      <w:r w:rsidR="00407485">
        <w:t>.</w:t>
      </w:r>
      <w:r w:rsidR="00407485">
        <w:rPr>
          <w:rStyle w:val="FootnoteReference"/>
        </w:rPr>
        <w:footnoteReference w:id="55"/>
      </w:r>
      <w:r w:rsidR="00E5472E">
        <w:t xml:space="preserve">  </w:t>
      </w:r>
      <w:r w:rsidR="006B58CE">
        <w:t xml:space="preserve">Under that section, customers may opt out of the opportunity to obtain direct benefits of an electric utility’s </w:t>
      </w:r>
      <w:r>
        <w:t xml:space="preserve">amended </w:t>
      </w:r>
      <w:r w:rsidR="006B58CE">
        <w:t xml:space="preserve">portfolio plan </w:t>
      </w:r>
      <w:r w:rsidR="006327DE">
        <w:t>and</w:t>
      </w:r>
      <w:r w:rsidR="006B58CE">
        <w:t xml:space="preserve"> avoid the costs.  </w:t>
      </w:r>
      <w:r w:rsidR="000B5194">
        <w:t xml:space="preserve">The purpose of the early opt-out provision is to accelerate customer relief from the portfolio </w:t>
      </w:r>
      <w:r w:rsidR="00870A0A">
        <w:lastRenderedPageBreak/>
        <w:t>costs</w:t>
      </w:r>
      <w:r w:rsidR="000B5194">
        <w:t>.</w:t>
      </w:r>
      <w:r w:rsidR="006327DE">
        <w:rPr>
          <w:rStyle w:val="FootnoteReference"/>
        </w:rPr>
        <w:footnoteReference w:id="56"/>
      </w:r>
      <w:r w:rsidR="000B5194">
        <w:t xml:space="preserve">  </w:t>
      </w:r>
      <w:r w:rsidR="006B58CE">
        <w:t xml:space="preserve">If the Commission grants the Applications for Rehearing and permits AEP-Ohio to amend its portfolio plan, </w:t>
      </w:r>
      <w:r w:rsidR="00B15EA1">
        <w:t xml:space="preserve">therefore, </w:t>
      </w:r>
      <w:r w:rsidR="006B58CE">
        <w:t xml:space="preserve">customers should be afforded the right to opt out </w:t>
      </w:r>
      <w:r w:rsidR="00317229">
        <w:t xml:space="preserve">as </w:t>
      </w:r>
      <w:r w:rsidR="006B58CE">
        <w:t>provided by SB 310</w:t>
      </w:r>
      <w:r w:rsidR="00317229">
        <w:t>,</w:t>
      </w:r>
      <w:r w:rsidR="00180B4A">
        <w:t xml:space="preserve"> even though the amendment is untimely</w:t>
      </w:r>
      <w:r w:rsidR="000B5194">
        <w:t>.</w:t>
      </w:r>
    </w:p>
    <w:p w:rsidR="0062780E" w:rsidRPr="003556B4" w:rsidRDefault="00BE6F79" w:rsidP="00B67655">
      <w:pPr>
        <w:pStyle w:val="Heading1"/>
        <w:rPr>
          <w:rFonts w:eastAsia="Times New Roman"/>
        </w:rPr>
      </w:pPr>
      <w:bookmarkStart w:id="83" w:name="_Toc415668383"/>
      <w:bookmarkStart w:id="84" w:name="_Toc415670071"/>
      <w:bookmarkStart w:id="85" w:name="_Toc415670189"/>
      <w:bookmarkStart w:id="86" w:name="_Toc415748783"/>
      <w:bookmarkStart w:id="87" w:name="_Toc416080126"/>
      <w:bookmarkStart w:id="88" w:name="_Toc416094982"/>
      <w:bookmarkStart w:id="89" w:name="_Toc416098626"/>
      <w:r>
        <w:rPr>
          <w:rFonts w:eastAsia="Times New Roman"/>
        </w:rPr>
        <w:t xml:space="preserve">The Commission should reject AEP-Ohio’s </w:t>
      </w:r>
      <w:r w:rsidR="00F45F7B">
        <w:rPr>
          <w:rFonts w:eastAsia="Times New Roman"/>
        </w:rPr>
        <w:t>“clarification”</w:t>
      </w:r>
      <w:r>
        <w:rPr>
          <w:rFonts w:eastAsia="Times New Roman"/>
        </w:rPr>
        <w:t xml:space="preserve"> </w:t>
      </w:r>
      <w:r w:rsidR="00F45F7B">
        <w:rPr>
          <w:rFonts w:eastAsia="Times New Roman"/>
        </w:rPr>
        <w:t xml:space="preserve">of </w:t>
      </w:r>
      <w:r>
        <w:rPr>
          <w:rFonts w:eastAsia="Times New Roman"/>
        </w:rPr>
        <w:t>the Commission’s final order regarding the DIR in the ESP II Case</w:t>
      </w:r>
      <w:bookmarkEnd w:id="83"/>
      <w:bookmarkEnd w:id="84"/>
      <w:bookmarkEnd w:id="85"/>
      <w:bookmarkEnd w:id="86"/>
      <w:bookmarkEnd w:id="87"/>
      <w:bookmarkEnd w:id="88"/>
      <w:bookmarkEnd w:id="89"/>
    </w:p>
    <w:p w:rsidR="00F45F7B" w:rsidRPr="00F45F7B" w:rsidRDefault="00BE6F79" w:rsidP="004264F9">
      <w:pPr>
        <w:spacing w:after="0" w:line="480" w:lineRule="auto"/>
        <w:jc w:val="both"/>
      </w:pPr>
      <w:r>
        <w:rPr>
          <w:rFonts w:eastAsia="Times New Roman" w:cs="Arial"/>
        </w:rPr>
        <w:tab/>
        <w:t xml:space="preserve">According to AEP-Ohio, the Commission erred when it reduced the amount AEP-Ohio may collect in carrying charges associated with distribution assets by reducing the </w:t>
      </w:r>
      <w:r w:rsidR="008C08DE">
        <w:rPr>
          <w:rFonts w:eastAsia="Times New Roman" w:cs="Arial"/>
        </w:rPr>
        <w:t xml:space="preserve">revenue </w:t>
      </w:r>
      <w:r>
        <w:rPr>
          <w:rFonts w:eastAsia="Times New Roman" w:cs="Arial"/>
        </w:rPr>
        <w:t xml:space="preserve">caps </w:t>
      </w:r>
      <w:r w:rsidR="00B15EA1">
        <w:rPr>
          <w:rFonts w:eastAsia="Times New Roman" w:cs="Arial"/>
        </w:rPr>
        <w:t>and removing proposed additions of general plant from the calculation of the DIR that AEP-Ohio sought in its Application</w:t>
      </w:r>
      <w:r>
        <w:rPr>
          <w:rFonts w:eastAsia="Times New Roman" w:cs="Arial"/>
        </w:rPr>
        <w:t>.</w:t>
      </w:r>
      <w:r>
        <w:rPr>
          <w:rStyle w:val="FootnoteReference"/>
          <w:rFonts w:eastAsia="Times New Roman" w:cs="Arial"/>
        </w:rPr>
        <w:footnoteReference w:id="57"/>
      </w:r>
      <w:r>
        <w:rPr>
          <w:rFonts w:eastAsia="Times New Roman" w:cs="Arial"/>
        </w:rPr>
        <w:t xml:space="preserve">  As an alternative</w:t>
      </w:r>
      <w:r w:rsidR="0062780E">
        <w:rPr>
          <w:rFonts w:eastAsia="Times New Roman" w:cs="Arial"/>
        </w:rPr>
        <w:t xml:space="preserve"> to increasing the caps</w:t>
      </w:r>
      <w:r>
        <w:rPr>
          <w:rFonts w:eastAsia="Times New Roman" w:cs="Arial"/>
        </w:rPr>
        <w:t xml:space="preserve">, it argues that “[i]t would … partially offset the adverse effects of drastic annual revenue cap reductions to clarify in this context </w:t>
      </w:r>
      <w:r w:rsidR="00CA7F4A">
        <w:rPr>
          <w:rFonts w:eastAsia="Times New Roman" w:cs="Arial"/>
        </w:rPr>
        <w:t xml:space="preserve">that </w:t>
      </w:r>
      <w:r>
        <w:rPr>
          <w:rFonts w:eastAsia="Times New Roman" w:cs="Arial"/>
        </w:rPr>
        <w:t xml:space="preserve">the Commission’s intention in the ESP II decision </w:t>
      </w:r>
      <w:r w:rsidR="0062780E">
        <w:rPr>
          <w:rFonts w:eastAsia="Times New Roman" w:cs="Arial"/>
        </w:rPr>
        <w:t>.</w:t>
      </w:r>
      <w:r>
        <w:rPr>
          <w:rFonts w:eastAsia="Times New Roman" w:cs="Arial"/>
        </w:rPr>
        <w:t>..</w:t>
      </w:r>
      <w:r w:rsidR="0062780E">
        <w:rPr>
          <w:rFonts w:eastAsia="Times New Roman" w:cs="Arial"/>
        </w:rPr>
        <w:t xml:space="preserve"> </w:t>
      </w:r>
      <w:r>
        <w:rPr>
          <w:rFonts w:eastAsia="Times New Roman" w:cs="Arial"/>
        </w:rPr>
        <w:t>to adopt an $86 million annual revenue cap for 2012 without proration, which would produce a significant carryover amount.”</w:t>
      </w:r>
      <w:r>
        <w:rPr>
          <w:rStyle w:val="FootnoteReference"/>
          <w:rFonts w:eastAsia="Times New Roman" w:cs="Arial"/>
        </w:rPr>
        <w:footnoteReference w:id="58"/>
      </w:r>
      <w:r>
        <w:rPr>
          <w:rFonts w:eastAsia="Times New Roman" w:cs="Arial"/>
        </w:rPr>
        <w:t xml:space="preserve">  </w:t>
      </w:r>
      <w:r w:rsidR="008C08DE">
        <w:t xml:space="preserve">The Commission should reject </w:t>
      </w:r>
      <w:r w:rsidR="00F45F7B" w:rsidRPr="00F45F7B">
        <w:t>AEP-Ohio’s request to rewrite the DIR as authorized in the ESP II Order</w:t>
      </w:r>
      <w:r w:rsidR="008C08DE">
        <w:t xml:space="preserve"> because the “clarification” AEP-Ohio is seeking</w:t>
      </w:r>
      <w:r w:rsidR="00F45F7B" w:rsidRPr="00F45F7B">
        <w:t xml:space="preserve"> is unlawful</w:t>
      </w:r>
      <w:r w:rsidR="00CB788F">
        <w:t xml:space="preserve"> and unreasonable</w:t>
      </w:r>
      <w:r w:rsidR="00F45F7B" w:rsidRPr="00F45F7B">
        <w:t>.</w:t>
      </w:r>
    </w:p>
    <w:p w:rsidR="0062780E" w:rsidRDefault="00BE6F79" w:rsidP="007277CE">
      <w:pPr>
        <w:spacing w:after="0" w:line="480" w:lineRule="auto"/>
        <w:jc w:val="both"/>
        <w:rPr>
          <w:rFonts w:eastAsia="Times New Roman" w:cs="Arial"/>
        </w:rPr>
      </w:pPr>
      <w:r>
        <w:rPr>
          <w:rFonts w:eastAsia="Times New Roman" w:cs="Arial"/>
        </w:rPr>
        <w:tab/>
        <w:t xml:space="preserve">The Commission issued the ESP II </w:t>
      </w:r>
      <w:r w:rsidR="00970F33">
        <w:rPr>
          <w:rFonts w:eastAsia="Times New Roman" w:cs="Arial"/>
        </w:rPr>
        <w:t xml:space="preserve">Order </w:t>
      </w:r>
      <w:r>
        <w:rPr>
          <w:rFonts w:eastAsia="Times New Roman" w:cs="Arial"/>
        </w:rPr>
        <w:t xml:space="preserve">on August 8, 2012.  </w:t>
      </w:r>
      <w:r w:rsidR="004643C1">
        <w:rPr>
          <w:rFonts w:eastAsia="Times New Roman" w:cs="Arial"/>
        </w:rPr>
        <w:t>The ESP II Order provided</w:t>
      </w:r>
      <w:r w:rsidR="0062780E">
        <w:rPr>
          <w:rFonts w:eastAsia="Times New Roman" w:cs="Arial"/>
        </w:rPr>
        <w:t xml:space="preserve"> </w:t>
      </w:r>
      <w:r w:rsidR="004643C1">
        <w:rPr>
          <w:rFonts w:eastAsia="Times New Roman" w:cs="Arial"/>
        </w:rPr>
        <w:t xml:space="preserve">that AEP-Ohio was subject to annual </w:t>
      </w:r>
      <w:r w:rsidR="00CB788F">
        <w:rPr>
          <w:rFonts w:eastAsia="Times New Roman" w:cs="Arial"/>
        </w:rPr>
        <w:t xml:space="preserve">revenue </w:t>
      </w:r>
      <w:r w:rsidR="004643C1">
        <w:rPr>
          <w:rFonts w:eastAsia="Times New Roman" w:cs="Arial"/>
        </w:rPr>
        <w:t xml:space="preserve">caps of $86 million in 2012, </w:t>
      </w:r>
      <w:r w:rsidR="0062780E">
        <w:rPr>
          <w:rFonts w:eastAsia="Times New Roman" w:cs="Arial"/>
        </w:rPr>
        <w:t>$</w:t>
      </w:r>
      <w:r w:rsidR="004643C1">
        <w:rPr>
          <w:rFonts w:eastAsia="Times New Roman" w:cs="Arial"/>
        </w:rPr>
        <w:t xml:space="preserve">104 million in 2013, </w:t>
      </w:r>
      <w:r w:rsidR="0062780E">
        <w:rPr>
          <w:rFonts w:eastAsia="Times New Roman" w:cs="Arial"/>
        </w:rPr>
        <w:t>$</w:t>
      </w:r>
      <w:r w:rsidR="00CA7F4A">
        <w:rPr>
          <w:rFonts w:eastAsia="Times New Roman" w:cs="Arial"/>
        </w:rPr>
        <w:t xml:space="preserve">124 </w:t>
      </w:r>
      <w:r w:rsidR="004643C1">
        <w:rPr>
          <w:rFonts w:eastAsia="Times New Roman" w:cs="Arial"/>
        </w:rPr>
        <w:t>million in 2014, and $51.7 million for the period of January 1 through May 21, 2015.</w:t>
      </w:r>
      <w:r w:rsidR="004643C1">
        <w:rPr>
          <w:rStyle w:val="FootnoteReference"/>
          <w:rFonts w:eastAsia="Times New Roman" w:cs="Arial"/>
        </w:rPr>
        <w:footnoteReference w:id="59"/>
      </w:r>
      <w:r w:rsidR="004643C1">
        <w:rPr>
          <w:rFonts w:eastAsia="Times New Roman" w:cs="Arial"/>
        </w:rPr>
        <w:t xml:space="preserve">  Further,</w:t>
      </w:r>
      <w:r w:rsidR="0062780E">
        <w:rPr>
          <w:rFonts w:eastAsia="Times New Roman" w:cs="Arial"/>
        </w:rPr>
        <w:t xml:space="preserve"> the order stated that AEP-Ohio was to increase or decrease </w:t>
      </w:r>
      <w:r w:rsidR="006C4000">
        <w:rPr>
          <w:rFonts w:eastAsia="Times New Roman" w:cs="Arial"/>
        </w:rPr>
        <w:t xml:space="preserve">the </w:t>
      </w:r>
      <w:r w:rsidR="00CB788F">
        <w:rPr>
          <w:rFonts w:eastAsia="Times New Roman" w:cs="Arial"/>
        </w:rPr>
        <w:t>annual revenue cap</w:t>
      </w:r>
      <w:r w:rsidR="0062780E">
        <w:rPr>
          <w:rFonts w:eastAsia="Times New Roman" w:cs="Arial"/>
        </w:rPr>
        <w:t xml:space="preserve"> in a subsequent period by</w:t>
      </w:r>
      <w:r w:rsidR="004643C1">
        <w:rPr>
          <w:rFonts w:eastAsia="Times New Roman" w:cs="Arial"/>
        </w:rPr>
        <w:t xml:space="preserve"> </w:t>
      </w:r>
      <w:r w:rsidR="0062780E">
        <w:rPr>
          <w:rFonts w:eastAsia="Times New Roman" w:cs="Arial"/>
        </w:rPr>
        <w:t>the amount it</w:t>
      </w:r>
      <w:r w:rsidR="004643C1">
        <w:rPr>
          <w:rFonts w:eastAsia="Times New Roman" w:cs="Arial"/>
        </w:rPr>
        <w:t xml:space="preserve"> under or </w:t>
      </w:r>
      <w:r w:rsidR="004643C1">
        <w:rPr>
          <w:rFonts w:eastAsia="Times New Roman" w:cs="Arial"/>
        </w:rPr>
        <w:lastRenderedPageBreak/>
        <w:t xml:space="preserve">over-recovered </w:t>
      </w:r>
      <w:r w:rsidR="0062780E">
        <w:rPr>
          <w:rFonts w:eastAsia="Times New Roman" w:cs="Arial"/>
        </w:rPr>
        <w:t>in the current year</w:t>
      </w:r>
      <w:r w:rsidR="004643C1">
        <w:rPr>
          <w:rFonts w:eastAsia="Times New Roman" w:cs="Arial"/>
        </w:rPr>
        <w:t>.</w:t>
      </w:r>
      <w:r w:rsidR="004643C1">
        <w:rPr>
          <w:rStyle w:val="FootnoteReference"/>
          <w:rFonts w:eastAsia="Times New Roman" w:cs="Arial"/>
        </w:rPr>
        <w:footnoteReference w:id="60"/>
      </w:r>
      <w:r w:rsidR="004643C1">
        <w:rPr>
          <w:rFonts w:eastAsia="Times New Roman" w:cs="Arial"/>
        </w:rPr>
        <w:t xml:space="preserve">  </w:t>
      </w:r>
      <w:r w:rsidR="00E73F62">
        <w:rPr>
          <w:rFonts w:eastAsia="Times New Roman" w:cs="Arial"/>
        </w:rPr>
        <w:t xml:space="preserve">The </w:t>
      </w:r>
      <w:r w:rsidR="006327DE">
        <w:rPr>
          <w:rFonts w:eastAsia="Times New Roman" w:cs="Arial"/>
        </w:rPr>
        <w:t>ESP II Order</w:t>
      </w:r>
      <w:r w:rsidR="00E73F62">
        <w:rPr>
          <w:rFonts w:eastAsia="Times New Roman" w:cs="Arial"/>
        </w:rPr>
        <w:t xml:space="preserve"> also required AEP-Ohio to adjust the </w:t>
      </w:r>
      <w:r w:rsidR="008C08DE">
        <w:rPr>
          <w:rFonts w:eastAsia="Times New Roman" w:cs="Arial"/>
        </w:rPr>
        <w:t xml:space="preserve">revenue AEP-Ohio could bill and collect under the DIR </w:t>
      </w:r>
      <w:r w:rsidR="00CB788F">
        <w:rPr>
          <w:rFonts w:eastAsia="Times New Roman" w:cs="Arial"/>
        </w:rPr>
        <w:t>to re</w:t>
      </w:r>
      <w:r w:rsidR="00682875">
        <w:rPr>
          <w:rFonts w:eastAsia="Times New Roman" w:cs="Arial"/>
        </w:rPr>
        <w:t>f</w:t>
      </w:r>
      <w:r w:rsidR="004264F9">
        <w:rPr>
          <w:rFonts w:eastAsia="Times New Roman" w:cs="Arial"/>
        </w:rPr>
        <w:t>l</w:t>
      </w:r>
      <w:r w:rsidR="00CB788F">
        <w:rPr>
          <w:rFonts w:eastAsia="Times New Roman" w:cs="Arial"/>
        </w:rPr>
        <w:t xml:space="preserve">ect an offset </w:t>
      </w:r>
      <w:r w:rsidR="00E73F62">
        <w:rPr>
          <w:rFonts w:eastAsia="Times New Roman" w:cs="Arial"/>
        </w:rPr>
        <w:t>to account for accumulated deferred income taxes (“ADIT”).</w:t>
      </w:r>
      <w:r w:rsidR="00E73F62">
        <w:rPr>
          <w:rStyle w:val="FootnoteReference"/>
          <w:rFonts w:eastAsia="Times New Roman" w:cs="Arial"/>
        </w:rPr>
        <w:footnoteReference w:id="61"/>
      </w:r>
      <w:r w:rsidR="00E73F62">
        <w:rPr>
          <w:rFonts w:eastAsia="Times New Roman" w:cs="Arial"/>
        </w:rPr>
        <w:t xml:space="preserve">  </w:t>
      </w:r>
    </w:p>
    <w:p w:rsidR="00BE6F79" w:rsidRDefault="00E73F62" w:rsidP="0062780E">
      <w:pPr>
        <w:spacing w:after="0" w:line="480" w:lineRule="auto"/>
        <w:ind w:firstLine="720"/>
        <w:jc w:val="both"/>
        <w:rPr>
          <w:rFonts w:eastAsia="Times New Roman" w:cs="Arial"/>
        </w:rPr>
      </w:pPr>
      <w:r>
        <w:rPr>
          <w:rFonts w:eastAsia="Times New Roman" w:cs="Arial"/>
        </w:rPr>
        <w:t xml:space="preserve">AEP-Ohio sought rehearing </w:t>
      </w:r>
      <w:r w:rsidR="006327DE">
        <w:rPr>
          <w:rFonts w:eastAsia="Times New Roman" w:cs="Arial"/>
        </w:rPr>
        <w:t>of the ESP II Order</w:t>
      </w:r>
      <w:r w:rsidR="0062780E">
        <w:rPr>
          <w:rFonts w:eastAsia="Times New Roman" w:cs="Arial"/>
        </w:rPr>
        <w:t xml:space="preserve"> authorizing the DIR,</w:t>
      </w:r>
      <w:r>
        <w:rPr>
          <w:rStyle w:val="FootnoteReference"/>
          <w:rFonts w:eastAsia="Times New Roman" w:cs="Arial"/>
        </w:rPr>
        <w:footnoteReference w:id="62"/>
      </w:r>
      <w:r w:rsidR="00916879">
        <w:rPr>
          <w:rFonts w:eastAsia="Times New Roman" w:cs="Arial"/>
        </w:rPr>
        <w:t xml:space="preserve"> </w:t>
      </w:r>
      <w:r w:rsidR="0062780E">
        <w:rPr>
          <w:rFonts w:eastAsia="Times New Roman" w:cs="Arial"/>
        </w:rPr>
        <w:t>but</w:t>
      </w:r>
      <w:r>
        <w:rPr>
          <w:rFonts w:eastAsia="Times New Roman" w:cs="Arial"/>
        </w:rPr>
        <w:t xml:space="preserve"> challenged </w:t>
      </w:r>
      <w:r w:rsidR="00916879">
        <w:rPr>
          <w:rFonts w:eastAsia="Times New Roman" w:cs="Arial"/>
        </w:rPr>
        <w:t>only the requirement that</w:t>
      </w:r>
      <w:r>
        <w:rPr>
          <w:rFonts w:eastAsia="Times New Roman" w:cs="Arial"/>
        </w:rPr>
        <w:t xml:space="preserve"> it </w:t>
      </w:r>
      <w:r w:rsidR="00020DD5">
        <w:rPr>
          <w:rFonts w:eastAsia="Times New Roman" w:cs="Arial"/>
        </w:rPr>
        <w:t xml:space="preserve">adjust the DIR revenue </w:t>
      </w:r>
      <w:r w:rsidR="00DF5E03">
        <w:rPr>
          <w:rFonts w:eastAsia="Times New Roman" w:cs="Arial"/>
        </w:rPr>
        <w:t>calculation</w:t>
      </w:r>
      <w:r w:rsidR="00020DD5">
        <w:rPr>
          <w:rFonts w:eastAsia="Times New Roman" w:cs="Arial"/>
        </w:rPr>
        <w:t xml:space="preserve"> for</w:t>
      </w:r>
      <w:r>
        <w:rPr>
          <w:rFonts w:eastAsia="Times New Roman" w:cs="Arial"/>
        </w:rPr>
        <w:t xml:space="preserve"> ADIT.</w:t>
      </w:r>
      <w:r>
        <w:rPr>
          <w:rStyle w:val="FootnoteReference"/>
          <w:rFonts w:eastAsia="Times New Roman" w:cs="Arial"/>
        </w:rPr>
        <w:footnoteReference w:id="63"/>
      </w:r>
      <w:r>
        <w:rPr>
          <w:rFonts w:eastAsia="Times New Roman" w:cs="Arial"/>
        </w:rPr>
        <w:t xml:space="preserve">  </w:t>
      </w:r>
      <w:r w:rsidR="00916879">
        <w:rPr>
          <w:rFonts w:eastAsia="Times New Roman" w:cs="Arial"/>
        </w:rPr>
        <w:t xml:space="preserve">The Commission denied rehearing of </w:t>
      </w:r>
      <w:r w:rsidR="0099061E">
        <w:rPr>
          <w:rFonts w:eastAsia="Times New Roman" w:cs="Arial"/>
        </w:rPr>
        <w:t xml:space="preserve">AEP-Ohio’s assignment of error </w:t>
      </w:r>
      <w:r w:rsidR="006C4000">
        <w:rPr>
          <w:rFonts w:eastAsia="Times New Roman" w:cs="Arial"/>
        </w:rPr>
        <w:t xml:space="preserve">in </w:t>
      </w:r>
      <w:r w:rsidR="00916879">
        <w:rPr>
          <w:rFonts w:eastAsia="Times New Roman" w:cs="Arial"/>
        </w:rPr>
        <w:t>an</w:t>
      </w:r>
      <w:r w:rsidR="0099061E">
        <w:rPr>
          <w:rFonts w:eastAsia="Times New Roman" w:cs="Arial"/>
        </w:rPr>
        <w:t xml:space="preserve"> Entry on Rehearing </w:t>
      </w:r>
      <w:r w:rsidR="00916879">
        <w:rPr>
          <w:rFonts w:eastAsia="Times New Roman" w:cs="Arial"/>
        </w:rPr>
        <w:t>issued</w:t>
      </w:r>
      <w:r w:rsidR="0099061E">
        <w:rPr>
          <w:rFonts w:eastAsia="Times New Roman" w:cs="Arial"/>
        </w:rPr>
        <w:t xml:space="preserve"> January 30, 2013.</w:t>
      </w:r>
      <w:r w:rsidR="00970F33">
        <w:rPr>
          <w:rStyle w:val="FootnoteReference"/>
          <w:rFonts w:eastAsia="Times New Roman" w:cs="Arial"/>
        </w:rPr>
        <w:footnoteReference w:id="64"/>
      </w:r>
      <w:r w:rsidR="0099061E">
        <w:rPr>
          <w:rFonts w:eastAsia="Times New Roman" w:cs="Arial"/>
        </w:rPr>
        <w:t xml:space="preserve">  </w:t>
      </w:r>
      <w:r w:rsidR="006C4000">
        <w:rPr>
          <w:rFonts w:eastAsia="Times New Roman" w:cs="Arial"/>
        </w:rPr>
        <w:t>The Office of the Ohio Consumers’ Counsel (“</w:t>
      </w:r>
      <w:r w:rsidR="0099061E">
        <w:rPr>
          <w:rFonts w:eastAsia="Times New Roman" w:cs="Arial"/>
        </w:rPr>
        <w:t>OCC</w:t>
      </w:r>
      <w:r w:rsidR="006C4000">
        <w:rPr>
          <w:rFonts w:eastAsia="Times New Roman" w:cs="Arial"/>
        </w:rPr>
        <w:t>”)</w:t>
      </w:r>
      <w:r w:rsidR="0099061E">
        <w:rPr>
          <w:rFonts w:eastAsia="Times New Roman" w:cs="Arial"/>
        </w:rPr>
        <w:t xml:space="preserve"> and IEU-Ohio </w:t>
      </w:r>
      <w:r w:rsidR="00916879">
        <w:rPr>
          <w:rFonts w:eastAsia="Times New Roman" w:cs="Arial"/>
        </w:rPr>
        <w:t xml:space="preserve">filed </w:t>
      </w:r>
      <w:r w:rsidR="0099061E">
        <w:rPr>
          <w:rFonts w:eastAsia="Times New Roman" w:cs="Arial"/>
        </w:rPr>
        <w:t xml:space="preserve">applications for rehearing of the January 30, </w:t>
      </w:r>
      <w:r w:rsidR="00916879">
        <w:rPr>
          <w:rFonts w:eastAsia="Times New Roman" w:cs="Arial"/>
        </w:rPr>
        <w:t xml:space="preserve">2013 </w:t>
      </w:r>
      <w:r w:rsidR="0099061E">
        <w:rPr>
          <w:rFonts w:eastAsia="Times New Roman" w:cs="Arial"/>
        </w:rPr>
        <w:t xml:space="preserve">Entry </w:t>
      </w:r>
      <w:r w:rsidR="00916879">
        <w:rPr>
          <w:rFonts w:eastAsia="Times New Roman" w:cs="Arial"/>
        </w:rPr>
        <w:t>on</w:t>
      </w:r>
      <w:r w:rsidR="0099061E">
        <w:rPr>
          <w:rFonts w:eastAsia="Times New Roman" w:cs="Arial"/>
        </w:rPr>
        <w:t xml:space="preserve"> Rehearing on March 1, 2013.</w:t>
      </w:r>
      <w:r w:rsidR="0099061E">
        <w:rPr>
          <w:rStyle w:val="FootnoteReference"/>
          <w:rFonts w:eastAsia="Times New Roman" w:cs="Arial"/>
        </w:rPr>
        <w:footnoteReference w:id="65"/>
      </w:r>
      <w:r w:rsidR="0099061E">
        <w:rPr>
          <w:rFonts w:eastAsia="Times New Roman" w:cs="Arial"/>
        </w:rPr>
        <w:t xml:space="preserve">  The Commission denied these applications for rehearing on March 27, 2013.</w:t>
      </w:r>
      <w:r w:rsidR="0099061E">
        <w:rPr>
          <w:rStyle w:val="FootnoteReference"/>
          <w:rFonts w:eastAsia="Times New Roman" w:cs="Arial"/>
        </w:rPr>
        <w:footnoteReference w:id="66"/>
      </w:r>
      <w:r w:rsidR="0099061E">
        <w:rPr>
          <w:rFonts w:eastAsia="Times New Roman" w:cs="Arial"/>
        </w:rPr>
        <w:t xml:space="preserve">  No party sought rehearing of the March 27, 2013 Entry on Rehearing.</w:t>
      </w:r>
      <w:r w:rsidR="00916879">
        <w:rPr>
          <w:rFonts w:eastAsia="Times New Roman" w:cs="Arial"/>
        </w:rPr>
        <w:t xml:space="preserve">  The ESP II Order thus became final thirty days later when no party filed </w:t>
      </w:r>
      <w:r w:rsidR="00020DD5">
        <w:rPr>
          <w:rFonts w:eastAsia="Times New Roman" w:cs="Arial"/>
        </w:rPr>
        <w:t>another</w:t>
      </w:r>
      <w:r w:rsidR="00916879">
        <w:rPr>
          <w:rFonts w:eastAsia="Times New Roman" w:cs="Arial"/>
        </w:rPr>
        <w:t xml:space="preserve"> application for rehearing.  Having failed to seek rehearing of the Commission’s order </w:t>
      </w:r>
      <w:r w:rsidR="00B22B31">
        <w:rPr>
          <w:rFonts w:eastAsia="Times New Roman" w:cs="Arial"/>
        </w:rPr>
        <w:t>concerning</w:t>
      </w:r>
      <w:r w:rsidR="00916879">
        <w:rPr>
          <w:rFonts w:eastAsia="Times New Roman" w:cs="Arial"/>
        </w:rPr>
        <w:t xml:space="preserve"> </w:t>
      </w:r>
      <w:r w:rsidR="00264396">
        <w:rPr>
          <w:rFonts w:eastAsia="Times New Roman" w:cs="Arial"/>
        </w:rPr>
        <w:t>the calculation of the annual revenue caps</w:t>
      </w:r>
      <w:r w:rsidR="00916879">
        <w:rPr>
          <w:rFonts w:eastAsia="Times New Roman" w:cs="Arial"/>
        </w:rPr>
        <w:t>, AEP-Ohio waived review of that provision of the ESP II Order.</w:t>
      </w:r>
      <w:r w:rsidR="00916879">
        <w:rPr>
          <w:rStyle w:val="FootnoteReference"/>
          <w:rFonts w:eastAsia="Times New Roman" w:cs="Arial"/>
        </w:rPr>
        <w:footnoteReference w:id="67"/>
      </w:r>
      <w:r w:rsidR="00916879">
        <w:rPr>
          <w:rFonts w:eastAsia="Times New Roman" w:cs="Arial"/>
        </w:rPr>
        <w:t xml:space="preserve">  </w:t>
      </w:r>
    </w:p>
    <w:p w:rsidR="00020DD5" w:rsidRPr="00020DD5" w:rsidRDefault="00020DD5" w:rsidP="00020DD5">
      <w:pPr>
        <w:spacing w:after="0" w:line="480" w:lineRule="auto"/>
        <w:ind w:firstLine="720"/>
        <w:jc w:val="both"/>
        <w:rPr>
          <w:rFonts w:eastAsia="Times New Roman" w:cs="Arial"/>
        </w:rPr>
      </w:pPr>
      <w:r>
        <w:rPr>
          <w:rFonts w:eastAsia="Times New Roman" w:cs="Arial"/>
        </w:rPr>
        <w:t xml:space="preserve">The Commission subsequently ordered an audit of the 2012 DIR rate </w:t>
      </w:r>
      <w:r w:rsidRPr="00020DD5">
        <w:rPr>
          <w:rFonts w:eastAsia="Times New Roman" w:cs="Arial"/>
        </w:rPr>
        <w:t>for the collection period of August to December 2012.</w:t>
      </w:r>
      <w:r w:rsidRPr="00020DD5">
        <w:rPr>
          <w:rFonts w:eastAsia="Times New Roman" w:cs="Arial"/>
          <w:vertAlign w:val="superscript"/>
        </w:rPr>
        <w:footnoteReference w:id="68"/>
      </w:r>
      <w:r w:rsidRPr="00020DD5">
        <w:rPr>
          <w:rFonts w:eastAsia="Times New Roman" w:cs="Arial"/>
        </w:rPr>
        <w:t xml:space="preserve">  On June 20, 2013, the auditor filed its </w:t>
      </w:r>
      <w:r w:rsidRPr="00020DD5">
        <w:rPr>
          <w:rFonts w:eastAsia="Times New Roman" w:cs="Arial"/>
        </w:rPr>
        <w:lastRenderedPageBreak/>
        <w:t>report.</w:t>
      </w:r>
      <w:r w:rsidRPr="00020DD5">
        <w:rPr>
          <w:rFonts w:eastAsia="Times New Roman" w:cs="Arial"/>
          <w:vertAlign w:val="superscript"/>
        </w:rPr>
        <w:footnoteReference w:id="69"/>
      </w:r>
      <w:r w:rsidRPr="00020DD5">
        <w:rPr>
          <w:rFonts w:eastAsia="Times New Roman" w:cs="Arial"/>
        </w:rPr>
        <w:t xml:space="preserve">  As outlined in the </w:t>
      </w:r>
      <w:r w:rsidR="00C07EEC">
        <w:rPr>
          <w:rFonts w:eastAsia="Times New Roman" w:cs="Arial"/>
        </w:rPr>
        <w:t>2012 Compliance Report</w:t>
      </w:r>
      <w:r w:rsidRPr="00020DD5">
        <w:rPr>
          <w:rFonts w:eastAsia="Times New Roman" w:cs="Arial"/>
        </w:rPr>
        <w:t>, AEP-Ohio’s cap on revenue was stated to be $86 million for 2012.  Based on the rates established through the formula to calculate the rate, AEP-Ohio would have had a revenue under-recovery of $9.7 million if the rate had been in effect for all of 2012.  Under the terms of the ESP II Order, AEP-Ohio carried forward that $9.7 million as an increase in the 2013 revenue cap.</w:t>
      </w:r>
      <w:r w:rsidRPr="00020DD5">
        <w:rPr>
          <w:rFonts w:eastAsia="Times New Roman" w:cs="Arial"/>
          <w:vertAlign w:val="superscript"/>
        </w:rPr>
        <w:footnoteReference w:id="70"/>
      </w:r>
      <w:r w:rsidRPr="00020DD5">
        <w:rPr>
          <w:rFonts w:eastAsia="Times New Roman" w:cs="Arial"/>
        </w:rPr>
        <w:t xml:space="preserve">  Separately, AEP-Ohio also calculated “underbilled” revenue of $4.8 million which it described as the difference between the DIR “costs” and the DIR revenue billed for the August 2012 to December 2012 period that led to a revenue shortfall.</w:t>
      </w:r>
      <w:r w:rsidRPr="00020DD5">
        <w:rPr>
          <w:rFonts w:eastAsia="Times New Roman" w:cs="Arial"/>
          <w:vertAlign w:val="superscript"/>
        </w:rPr>
        <w:footnoteReference w:id="71"/>
      </w:r>
      <w:r w:rsidRPr="00020DD5">
        <w:rPr>
          <w:rFonts w:eastAsia="Times New Roman" w:cs="Arial"/>
        </w:rPr>
        <w:t xml:space="preserve">  AEP-Ohio adjusted the subsequent rate for the underbilled amount.</w:t>
      </w:r>
      <w:r w:rsidRPr="00020DD5">
        <w:rPr>
          <w:rFonts w:eastAsia="Times New Roman" w:cs="Arial"/>
          <w:vertAlign w:val="superscript"/>
        </w:rPr>
        <w:footnoteReference w:id="72"/>
      </w:r>
      <w:r w:rsidRPr="00020DD5">
        <w:rPr>
          <w:rFonts w:eastAsia="Times New Roman" w:cs="Arial"/>
        </w:rPr>
        <w:t xml:space="preserve">  Following submission of the </w:t>
      </w:r>
      <w:r w:rsidR="00C07EEC">
        <w:rPr>
          <w:rFonts w:eastAsia="Times New Roman" w:cs="Arial"/>
        </w:rPr>
        <w:t>2012 Compliance Report</w:t>
      </w:r>
      <w:r w:rsidRPr="00020DD5">
        <w:rPr>
          <w:rFonts w:eastAsia="Times New Roman" w:cs="Arial"/>
        </w:rPr>
        <w:t xml:space="preserve">, parties to the case entered into a Stipulation </w:t>
      </w:r>
      <w:r w:rsidR="00C07EEC">
        <w:rPr>
          <w:rFonts w:eastAsia="Times New Roman" w:cs="Arial"/>
        </w:rPr>
        <w:t>that the Commission approved</w:t>
      </w:r>
      <w:r w:rsidRPr="00020DD5">
        <w:rPr>
          <w:rFonts w:eastAsia="Times New Roman" w:cs="Arial"/>
        </w:rPr>
        <w:t>.</w:t>
      </w:r>
      <w:r w:rsidRPr="00020DD5">
        <w:rPr>
          <w:rFonts w:eastAsia="Times New Roman" w:cs="Arial"/>
          <w:vertAlign w:val="superscript"/>
        </w:rPr>
        <w:footnoteReference w:id="73"/>
      </w:r>
      <w:r w:rsidRPr="00020DD5">
        <w:rPr>
          <w:rFonts w:eastAsia="Times New Roman" w:cs="Arial"/>
        </w:rPr>
        <w:t xml:space="preserve">  The parties agreed to the calculation of the cap and the rate subject to a small adjustment to the rate and an alteration of the treatment of certain equipment.</w:t>
      </w:r>
      <w:r w:rsidRPr="00020DD5">
        <w:rPr>
          <w:rFonts w:eastAsia="Times New Roman" w:cs="Arial"/>
          <w:vertAlign w:val="superscript"/>
        </w:rPr>
        <w:footnoteReference w:id="74"/>
      </w:r>
      <w:r w:rsidRPr="00020DD5">
        <w:rPr>
          <w:rFonts w:eastAsia="Times New Roman" w:cs="Arial"/>
        </w:rPr>
        <w:t xml:space="preserve"> </w:t>
      </w:r>
      <w:r>
        <w:rPr>
          <w:rFonts w:eastAsia="Times New Roman" w:cs="Arial"/>
        </w:rPr>
        <w:t xml:space="preserve"> AEP-Ohio did not seek rehearing of the revenue calculation</w:t>
      </w:r>
      <w:r w:rsidR="00722053">
        <w:rPr>
          <w:rFonts w:eastAsia="Times New Roman" w:cs="Arial"/>
        </w:rPr>
        <w:t>s</w:t>
      </w:r>
      <w:r>
        <w:rPr>
          <w:rFonts w:eastAsia="Times New Roman" w:cs="Arial"/>
        </w:rPr>
        <w:t xml:space="preserve"> the Commission reviewed in the 2012 Compliance Report.</w:t>
      </w:r>
    </w:p>
    <w:p w:rsidR="00550E99" w:rsidRDefault="004643C1" w:rsidP="007277CE">
      <w:pPr>
        <w:spacing w:after="0" w:line="480" w:lineRule="auto"/>
        <w:jc w:val="both"/>
        <w:rPr>
          <w:rFonts w:eastAsia="Times New Roman" w:cs="Arial"/>
        </w:rPr>
      </w:pPr>
      <w:r>
        <w:rPr>
          <w:rFonts w:eastAsia="Times New Roman" w:cs="Arial"/>
        </w:rPr>
        <w:tab/>
      </w:r>
      <w:r w:rsidR="00020DD5">
        <w:rPr>
          <w:rFonts w:eastAsia="Times New Roman" w:cs="Arial"/>
        </w:rPr>
        <w:t xml:space="preserve">Although it has never sought rehearing of the </w:t>
      </w:r>
      <w:r w:rsidR="00A313AF">
        <w:rPr>
          <w:rFonts w:eastAsia="Times New Roman" w:cs="Arial"/>
        </w:rPr>
        <w:t>terms of the DIR in the ESP II Order</w:t>
      </w:r>
      <w:r w:rsidR="00020DD5">
        <w:rPr>
          <w:rFonts w:eastAsia="Times New Roman" w:cs="Arial"/>
        </w:rPr>
        <w:t xml:space="preserve"> except as </w:t>
      </w:r>
      <w:r w:rsidR="00A313AF">
        <w:rPr>
          <w:rFonts w:eastAsia="Times New Roman" w:cs="Arial"/>
        </w:rPr>
        <w:t>they relate</w:t>
      </w:r>
      <w:r w:rsidR="00020DD5">
        <w:rPr>
          <w:rFonts w:eastAsia="Times New Roman" w:cs="Arial"/>
        </w:rPr>
        <w:t xml:space="preserve"> to the requirement to adjust the </w:t>
      </w:r>
      <w:r w:rsidR="00A313AF">
        <w:rPr>
          <w:rFonts w:eastAsia="Times New Roman" w:cs="Arial"/>
        </w:rPr>
        <w:t>revenue collected</w:t>
      </w:r>
      <w:r w:rsidR="00020DD5">
        <w:rPr>
          <w:rFonts w:eastAsia="Times New Roman" w:cs="Arial"/>
        </w:rPr>
        <w:t xml:space="preserve"> for ADIT</w:t>
      </w:r>
      <w:r>
        <w:rPr>
          <w:rFonts w:eastAsia="Times New Roman" w:cs="Arial"/>
        </w:rPr>
        <w:t xml:space="preserve">, AEP-Ohio seeks a </w:t>
      </w:r>
      <w:r w:rsidR="00264396">
        <w:rPr>
          <w:rFonts w:eastAsia="Times New Roman" w:cs="Arial"/>
        </w:rPr>
        <w:t>“</w:t>
      </w:r>
      <w:r>
        <w:rPr>
          <w:rFonts w:eastAsia="Times New Roman" w:cs="Arial"/>
        </w:rPr>
        <w:t>clarification</w:t>
      </w:r>
      <w:r w:rsidR="00264396">
        <w:rPr>
          <w:rFonts w:eastAsia="Times New Roman" w:cs="Arial"/>
        </w:rPr>
        <w:t>”</w:t>
      </w:r>
      <w:r>
        <w:rPr>
          <w:rFonts w:eastAsia="Times New Roman" w:cs="Arial"/>
        </w:rPr>
        <w:t xml:space="preserve"> </w:t>
      </w:r>
      <w:r w:rsidR="00916879">
        <w:rPr>
          <w:rFonts w:eastAsia="Times New Roman" w:cs="Arial"/>
        </w:rPr>
        <w:t xml:space="preserve">of the </w:t>
      </w:r>
      <w:r w:rsidR="00CF2F9A">
        <w:rPr>
          <w:rFonts w:eastAsia="Times New Roman" w:cs="Arial"/>
        </w:rPr>
        <w:t xml:space="preserve">ESP II Order so </w:t>
      </w:r>
      <w:r>
        <w:rPr>
          <w:rFonts w:eastAsia="Times New Roman" w:cs="Arial"/>
        </w:rPr>
        <w:t xml:space="preserve">that it may </w:t>
      </w:r>
      <w:r w:rsidR="00264396">
        <w:rPr>
          <w:rFonts w:eastAsia="Times New Roman" w:cs="Arial"/>
        </w:rPr>
        <w:t>increase the revenue cap for</w:t>
      </w:r>
      <w:r>
        <w:rPr>
          <w:rFonts w:eastAsia="Times New Roman" w:cs="Arial"/>
        </w:rPr>
        <w:t xml:space="preserve"> </w:t>
      </w:r>
      <w:r w:rsidR="00BB2AE3">
        <w:rPr>
          <w:rFonts w:eastAsia="Times New Roman" w:cs="Arial"/>
        </w:rPr>
        <w:t>2015</w:t>
      </w:r>
      <w:r w:rsidR="006A1D72">
        <w:rPr>
          <w:rFonts w:eastAsia="Times New Roman" w:cs="Arial"/>
        </w:rPr>
        <w:t xml:space="preserve"> as part of its </w:t>
      </w:r>
      <w:r w:rsidR="000C5AF0">
        <w:rPr>
          <w:rFonts w:eastAsia="Times New Roman" w:cs="Arial"/>
        </w:rPr>
        <w:t>A</w:t>
      </w:r>
      <w:r w:rsidR="006A1D72">
        <w:rPr>
          <w:rFonts w:eastAsia="Times New Roman" w:cs="Arial"/>
        </w:rPr>
        <w:t xml:space="preserve">pplication for </w:t>
      </w:r>
      <w:r w:rsidR="000C5AF0">
        <w:rPr>
          <w:rFonts w:eastAsia="Times New Roman" w:cs="Arial"/>
        </w:rPr>
        <w:t>R</w:t>
      </w:r>
      <w:r w:rsidR="006A1D72">
        <w:rPr>
          <w:rFonts w:eastAsia="Times New Roman" w:cs="Arial"/>
        </w:rPr>
        <w:t>ehearing of the ESP III Case</w:t>
      </w:r>
      <w:r w:rsidR="00CF2F9A">
        <w:rPr>
          <w:rFonts w:eastAsia="Times New Roman" w:cs="Arial"/>
        </w:rPr>
        <w:t xml:space="preserve">.  </w:t>
      </w:r>
      <w:r w:rsidR="00264396" w:rsidRPr="00F45F7B">
        <w:rPr>
          <w:rFonts w:eastAsia="Times New Roman" w:cs="Arial"/>
        </w:rPr>
        <w:t xml:space="preserve">According to AEP-Ohio, it is unclear “whether the Commission intended to prorate the $86 million </w:t>
      </w:r>
      <w:r w:rsidR="00264396" w:rsidRPr="00F45F7B">
        <w:rPr>
          <w:rFonts w:eastAsia="Times New Roman" w:cs="Arial"/>
        </w:rPr>
        <w:lastRenderedPageBreak/>
        <w:t>revenue cap for 2012 (based on an effective date of August 2012), so that the actual revenue cap for 2012 could either be $86 million per the order or $35.8 million (5/12 of $86 million).”</w:t>
      </w:r>
      <w:r w:rsidR="00264396" w:rsidRPr="00F45F7B">
        <w:rPr>
          <w:rFonts w:eastAsia="Times New Roman" w:cs="Arial"/>
          <w:vertAlign w:val="superscript"/>
        </w:rPr>
        <w:footnoteReference w:id="75"/>
      </w:r>
      <w:r w:rsidR="00264396" w:rsidRPr="00F45F7B">
        <w:rPr>
          <w:rFonts w:eastAsia="Times New Roman" w:cs="Arial"/>
        </w:rPr>
        <w:t xml:space="preserve">  </w:t>
      </w:r>
    </w:p>
    <w:p w:rsidR="00F45F7B" w:rsidRPr="00F45F7B" w:rsidRDefault="006A1D72" w:rsidP="00BC5464">
      <w:pPr>
        <w:spacing w:after="0" w:line="480" w:lineRule="auto"/>
        <w:ind w:firstLine="720"/>
        <w:jc w:val="both"/>
        <w:rPr>
          <w:rFonts w:eastAsia="Times New Roman" w:cs="Arial"/>
        </w:rPr>
      </w:pPr>
      <w:r>
        <w:rPr>
          <w:rFonts w:eastAsia="Times New Roman" w:cs="Arial"/>
        </w:rPr>
        <w:t xml:space="preserve">The Commission’s approval of the </w:t>
      </w:r>
      <w:r w:rsidR="00C07EEC">
        <w:rPr>
          <w:rFonts w:eastAsia="Times New Roman" w:cs="Arial"/>
        </w:rPr>
        <w:t>2012 Compliance Report</w:t>
      </w:r>
      <w:r>
        <w:rPr>
          <w:rFonts w:eastAsia="Times New Roman" w:cs="Arial"/>
        </w:rPr>
        <w:t xml:space="preserve">, however, demonstrates that there is nothing for the Commission to clarify.  </w:t>
      </w:r>
      <w:r w:rsidR="00020DD5">
        <w:rPr>
          <w:rFonts w:eastAsia="Times New Roman" w:cs="Arial"/>
        </w:rPr>
        <w:t xml:space="preserve">As confirmed by the 2012 Compliance Report, </w:t>
      </w:r>
      <w:r w:rsidR="00A313AF">
        <w:rPr>
          <w:rFonts w:eastAsia="Times New Roman" w:cs="Arial"/>
        </w:rPr>
        <w:t xml:space="preserve">the revenue cap of </w:t>
      </w:r>
      <w:r w:rsidR="00A313AF" w:rsidRPr="000C435F">
        <w:rPr>
          <w:rFonts w:eastAsia="Times New Roman" w:cs="Arial"/>
        </w:rPr>
        <w:t xml:space="preserve">$86 million </w:t>
      </w:r>
      <w:r w:rsidR="00A313AF">
        <w:rPr>
          <w:rFonts w:eastAsia="Times New Roman" w:cs="Arial"/>
        </w:rPr>
        <w:t xml:space="preserve">for 2012 </w:t>
      </w:r>
      <w:r w:rsidR="00020DD5">
        <w:rPr>
          <w:rFonts w:eastAsia="Times New Roman" w:cs="Arial"/>
        </w:rPr>
        <w:t>was used to determine the carryover amount</w:t>
      </w:r>
      <w:r w:rsidR="000C435F">
        <w:rPr>
          <w:rFonts w:eastAsia="Times New Roman" w:cs="Arial"/>
        </w:rPr>
        <w:t xml:space="preserve">.  </w:t>
      </w:r>
      <w:r w:rsidR="00BC5464">
        <w:rPr>
          <w:rFonts w:eastAsia="Times New Roman" w:cs="Arial"/>
        </w:rPr>
        <w:t>Because</w:t>
      </w:r>
      <w:r w:rsidR="00F45F7B" w:rsidRPr="00F45F7B">
        <w:rPr>
          <w:rFonts w:eastAsia="Times New Roman" w:cs="Arial"/>
        </w:rPr>
        <w:t xml:space="preserve"> </w:t>
      </w:r>
      <w:r w:rsidR="000C435F">
        <w:rPr>
          <w:rFonts w:eastAsia="Times New Roman" w:cs="Arial"/>
        </w:rPr>
        <w:t>a</w:t>
      </w:r>
      <w:r w:rsidR="00F45F7B" w:rsidRPr="00F45F7B">
        <w:rPr>
          <w:rFonts w:eastAsia="Times New Roman" w:cs="Arial"/>
        </w:rPr>
        <w:t xml:space="preserve"> calculation based on the </w:t>
      </w:r>
      <w:r w:rsidR="00A313AF">
        <w:rPr>
          <w:rFonts w:eastAsia="Times New Roman" w:cs="Arial"/>
        </w:rPr>
        <w:t xml:space="preserve">$86 million </w:t>
      </w:r>
      <w:r w:rsidR="00F45F7B" w:rsidRPr="00F45F7B">
        <w:rPr>
          <w:rFonts w:eastAsia="Times New Roman" w:cs="Arial"/>
        </w:rPr>
        <w:t xml:space="preserve">revenue cap has already been performed and AEP-Ohio has secured the opportunity to bill and collect the </w:t>
      </w:r>
      <w:r w:rsidR="000C435F">
        <w:rPr>
          <w:rFonts w:eastAsia="Times New Roman" w:cs="Arial"/>
        </w:rPr>
        <w:t xml:space="preserve">adjusted </w:t>
      </w:r>
      <w:r w:rsidR="00F45F7B" w:rsidRPr="00F45F7B">
        <w:rPr>
          <w:rFonts w:eastAsia="Times New Roman" w:cs="Arial"/>
        </w:rPr>
        <w:t xml:space="preserve">revenue cap </w:t>
      </w:r>
      <w:r w:rsidR="00B22B31">
        <w:rPr>
          <w:rFonts w:eastAsia="Times New Roman" w:cs="Arial"/>
        </w:rPr>
        <w:t xml:space="preserve">amount </w:t>
      </w:r>
      <w:r w:rsidR="00F45F7B" w:rsidRPr="00F45F7B">
        <w:rPr>
          <w:rFonts w:eastAsia="Times New Roman" w:cs="Arial"/>
        </w:rPr>
        <w:t>for 2013</w:t>
      </w:r>
      <w:r w:rsidR="00A313AF">
        <w:rPr>
          <w:rFonts w:eastAsia="Times New Roman" w:cs="Arial"/>
        </w:rPr>
        <w:t xml:space="preserve"> and beyond</w:t>
      </w:r>
      <w:r w:rsidR="00F45F7B" w:rsidRPr="00F45F7B">
        <w:rPr>
          <w:rFonts w:eastAsia="Times New Roman" w:cs="Arial"/>
        </w:rPr>
        <w:t xml:space="preserve"> as permitt</w:t>
      </w:r>
      <w:r w:rsidR="00BC5464">
        <w:rPr>
          <w:rFonts w:eastAsia="Times New Roman" w:cs="Arial"/>
        </w:rPr>
        <w:t xml:space="preserve">ed by the </w:t>
      </w:r>
      <w:r w:rsidR="00CF663E">
        <w:rPr>
          <w:rFonts w:eastAsia="Times New Roman" w:cs="Arial"/>
        </w:rPr>
        <w:t>ESP II Order</w:t>
      </w:r>
      <w:r w:rsidR="00BC5464">
        <w:rPr>
          <w:rFonts w:eastAsia="Times New Roman" w:cs="Arial"/>
        </w:rPr>
        <w:t>, t</w:t>
      </w:r>
      <w:r w:rsidR="00F45F7B" w:rsidRPr="00F45F7B">
        <w:rPr>
          <w:rFonts w:eastAsia="Times New Roman" w:cs="Arial"/>
        </w:rPr>
        <w:t>here is no reasonable basis for the Commission to allow AEP-Ohio to increase its 2015 DIR cap any further.</w:t>
      </w:r>
    </w:p>
    <w:p w:rsidR="00F45F7B" w:rsidRDefault="00F45F7B" w:rsidP="007277CE">
      <w:pPr>
        <w:spacing w:after="0" w:line="480" w:lineRule="auto"/>
        <w:jc w:val="both"/>
        <w:rPr>
          <w:rFonts w:eastAsia="Times New Roman" w:cs="Arial"/>
        </w:rPr>
      </w:pPr>
      <w:r w:rsidRPr="00F45F7B">
        <w:rPr>
          <w:rFonts w:eastAsia="Times New Roman" w:cs="Arial"/>
        </w:rPr>
        <w:tab/>
      </w:r>
      <w:r w:rsidR="00BC5464">
        <w:rPr>
          <w:rFonts w:eastAsia="Times New Roman" w:cs="Arial"/>
        </w:rPr>
        <w:t>Moreover, i</w:t>
      </w:r>
      <w:r w:rsidR="000C435F">
        <w:rPr>
          <w:rFonts w:eastAsia="Times New Roman" w:cs="Arial"/>
        </w:rPr>
        <w:t xml:space="preserve">f the Commission allowed AEP-Ohio to reach back to a period prior to the authorization of the DIR to determine the revenue cap, the </w:t>
      </w:r>
      <w:r w:rsidR="00687A65">
        <w:rPr>
          <w:rFonts w:eastAsia="Times New Roman" w:cs="Arial"/>
        </w:rPr>
        <w:t>clarification</w:t>
      </w:r>
      <w:r w:rsidRPr="00F45F7B">
        <w:rPr>
          <w:rFonts w:eastAsia="Times New Roman" w:cs="Arial"/>
        </w:rPr>
        <w:t xml:space="preserve"> would result in unlawful retroactive ratemaking.  </w:t>
      </w:r>
      <w:r w:rsidR="0026141D">
        <w:rPr>
          <w:rFonts w:eastAsia="Times New Roman" w:cs="Arial"/>
        </w:rPr>
        <w:t xml:space="preserve">To calculate the revenue cap for 2012, AEP-Ohio is seeking to treat the period for the collection of revenue as twelve months rather than the five months that the DIR was authorized and carry the alleged revenue shortfall forward.  Thus, </w:t>
      </w:r>
      <w:r w:rsidR="00550E99">
        <w:rPr>
          <w:rFonts w:eastAsia="Times New Roman" w:cs="Arial"/>
        </w:rPr>
        <w:t>AEP-Ohio’s clarification to i</w:t>
      </w:r>
      <w:r w:rsidR="0026141D">
        <w:rPr>
          <w:rFonts w:eastAsia="Times New Roman" w:cs="Arial"/>
        </w:rPr>
        <w:t>ncrease the revenue cap for 2012 and thereafter</w:t>
      </w:r>
      <w:r w:rsidR="00550E99">
        <w:rPr>
          <w:rFonts w:eastAsia="Times New Roman" w:cs="Arial"/>
        </w:rPr>
        <w:t xml:space="preserve"> would have the same financial effect as the order in AEP-Ohio’s first ESP case that the </w:t>
      </w:r>
      <w:r w:rsidR="00C07EEC">
        <w:rPr>
          <w:rFonts w:eastAsia="Times New Roman" w:cs="Arial"/>
        </w:rPr>
        <w:t xml:space="preserve">Supreme </w:t>
      </w:r>
      <w:r w:rsidR="00550E99">
        <w:rPr>
          <w:rFonts w:eastAsia="Times New Roman" w:cs="Arial"/>
        </w:rPr>
        <w:t>Court found unlawful</w:t>
      </w:r>
      <w:r w:rsidR="00C07EEC">
        <w:rPr>
          <w:rFonts w:eastAsia="Times New Roman" w:cs="Arial"/>
        </w:rPr>
        <w:t xml:space="preserve"> because it permitted AEP-Ohio to </w:t>
      </w:r>
      <w:r w:rsidR="0026141D">
        <w:rPr>
          <w:rFonts w:eastAsia="Times New Roman" w:cs="Arial"/>
        </w:rPr>
        <w:t>adjust its revenue requirement as if the rates have been in effect for twelve rather than nine months.</w:t>
      </w:r>
      <w:r w:rsidR="0026141D" w:rsidRPr="00F45F7B">
        <w:rPr>
          <w:rFonts w:eastAsia="Times New Roman" w:cs="Arial"/>
          <w:vertAlign w:val="superscript"/>
        </w:rPr>
        <w:footnoteReference w:id="76"/>
      </w:r>
      <w:r w:rsidR="00550E99">
        <w:rPr>
          <w:rFonts w:eastAsia="Times New Roman" w:cs="Arial"/>
        </w:rPr>
        <w:t xml:space="preserve"> </w:t>
      </w:r>
      <w:r w:rsidR="0026141D">
        <w:rPr>
          <w:rFonts w:eastAsia="Times New Roman" w:cs="Arial"/>
        </w:rPr>
        <w:t xml:space="preserve"> If the Commission granted the “clarification” AEP seeks of the ESP II Order, the Commission</w:t>
      </w:r>
      <w:r w:rsidR="00550E99">
        <w:rPr>
          <w:rFonts w:eastAsia="Times New Roman" w:cs="Arial"/>
        </w:rPr>
        <w:t xml:space="preserve"> would permit AEP-Ohio to </w:t>
      </w:r>
      <w:r w:rsidR="0026141D">
        <w:rPr>
          <w:rFonts w:eastAsia="Times New Roman" w:cs="Arial"/>
        </w:rPr>
        <w:t>adjust the revenue cap</w:t>
      </w:r>
      <w:r w:rsidR="00550E99">
        <w:rPr>
          <w:rFonts w:eastAsia="Times New Roman" w:cs="Arial"/>
        </w:rPr>
        <w:t xml:space="preserve"> </w:t>
      </w:r>
      <w:r w:rsidR="0026141D">
        <w:rPr>
          <w:rFonts w:eastAsia="Times New Roman" w:cs="Arial"/>
        </w:rPr>
        <w:t xml:space="preserve">as if the DIR </w:t>
      </w:r>
      <w:r w:rsidR="00A313AF">
        <w:rPr>
          <w:rFonts w:eastAsia="Times New Roman" w:cs="Arial"/>
        </w:rPr>
        <w:t>had</w:t>
      </w:r>
      <w:r w:rsidR="0026141D">
        <w:rPr>
          <w:rFonts w:eastAsia="Times New Roman" w:cs="Arial"/>
        </w:rPr>
        <w:t xml:space="preserve"> been </w:t>
      </w:r>
      <w:r w:rsidR="00550E99">
        <w:rPr>
          <w:rFonts w:eastAsia="Times New Roman" w:cs="Arial"/>
        </w:rPr>
        <w:t xml:space="preserve">in </w:t>
      </w:r>
      <w:r w:rsidR="00550E99">
        <w:rPr>
          <w:rFonts w:eastAsia="Times New Roman" w:cs="Arial"/>
        </w:rPr>
        <w:lastRenderedPageBreak/>
        <w:t xml:space="preserve">effect for the full year instead of the last five months of 2012.  </w:t>
      </w:r>
      <w:r w:rsidR="0026141D">
        <w:rPr>
          <w:rFonts w:eastAsia="Times New Roman" w:cs="Arial"/>
        </w:rPr>
        <w:t>Because the clarification would result in unlawful retroactive ratemaking, the Commission should reject it.</w:t>
      </w:r>
    </w:p>
    <w:p w:rsidR="004643C1" w:rsidRDefault="00F45F7B" w:rsidP="007277CE">
      <w:pPr>
        <w:spacing w:after="0" w:line="480" w:lineRule="auto"/>
        <w:ind w:firstLine="720"/>
        <w:jc w:val="both"/>
        <w:rPr>
          <w:rFonts w:eastAsia="Times New Roman" w:cs="Arial"/>
        </w:rPr>
      </w:pPr>
      <w:r>
        <w:rPr>
          <w:rFonts w:eastAsia="Times New Roman" w:cs="Arial"/>
        </w:rPr>
        <w:t xml:space="preserve">Additionally, </w:t>
      </w:r>
      <w:r w:rsidR="00BB2AE3">
        <w:rPr>
          <w:rFonts w:eastAsia="Times New Roman" w:cs="Arial"/>
        </w:rPr>
        <w:t xml:space="preserve">AEP-Ohio’s request to increase the </w:t>
      </w:r>
      <w:r w:rsidR="004072C8">
        <w:rPr>
          <w:rFonts w:eastAsia="Times New Roman" w:cs="Arial"/>
        </w:rPr>
        <w:t>revenue</w:t>
      </w:r>
      <w:r w:rsidR="00BB2AE3">
        <w:rPr>
          <w:rFonts w:eastAsia="Times New Roman" w:cs="Arial"/>
        </w:rPr>
        <w:t xml:space="preserve"> it may </w:t>
      </w:r>
      <w:r w:rsidR="004072C8">
        <w:rPr>
          <w:rFonts w:eastAsia="Times New Roman" w:cs="Arial"/>
        </w:rPr>
        <w:t xml:space="preserve">recover </w:t>
      </w:r>
      <w:r w:rsidR="00BC5464">
        <w:rPr>
          <w:rFonts w:eastAsia="Times New Roman" w:cs="Arial"/>
        </w:rPr>
        <w:t>through</w:t>
      </w:r>
      <w:r w:rsidR="00BB2AE3">
        <w:rPr>
          <w:rFonts w:eastAsia="Times New Roman" w:cs="Arial"/>
        </w:rPr>
        <w:t xml:space="preserve"> the DIR in 2015</w:t>
      </w:r>
      <w:r w:rsidR="00CF2F9A">
        <w:rPr>
          <w:rFonts w:eastAsia="Times New Roman" w:cs="Arial"/>
        </w:rPr>
        <w:t xml:space="preserve"> </w:t>
      </w:r>
      <w:r w:rsidR="00744672">
        <w:rPr>
          <w:rFonts w:eastAsia="Times New Roman" w:cs="Arial"/>
        </w:rPr>
        <w:t>is</w:t>
      </w:r>
      <w:r w:rsidR="00CF2F9A">
        <w:rPr>
          <w:rFonts w:eastAsia="Times New Roman" w:cs="Arial"/>
        </w:rPr>
        <w:t xml:space="preserve"> an untimely application for rehearing of the ESP II Order.</w:t>
      </w:r>
      <w:r w:rsidR="0099061E">
        <w:rPr>
          <w:rFonts w:eastAsia="Times New Roman" w:cs="Arial"/>
        </w:rPr>
        <w:t xml:space="preserve">  </w:t>
      </w:r>
      <w:r w:rsidR="00744672">
        <w:rPr>
          <w:rFonts w:eastAsia="Times New Roman" w:cs="Arial"/>
        </w:rPr>
        <w:t>To be timely, AEP-Ohio was required to seek “clarification” within thirty days after the Com</w:t>
      </w:r>
      <w:r w:rsidR="00224EE5">
        <w:rPr>
          <w:rFonts w:eastAsia="Times New Roman" w:cs="Arial"/>
        </w:rPr>
        <w:t>mission issued the ESP II Order.</w:t>
      </w:r>
      <w:r w:rsidR="00744672">
        <w:rPr>
          <w:rStyle w:val="FootnoteReference"/>
          <w:rFonts w:eastAsia="Times New Roman" w:cs="Arial"/>
        </w:rPr>
        <w:footnoteReference w:id="77"/>
      </w:r>
      <w:r w:rsidR="00224EE5">
        <w:rPr>
          <w:rFonts w:eastAsia="Times New Roman" w:cs="Arial"/>
        </w:rPr>
        <w:t xml:space="preserve"> </w:t>
      </w:r>
      <w:r w:rsidR="001F71F4">
        <w:rPr>
          <w:rFonts w:eastAsia="Times New Roman" w:cs="Arial"/>
        </w:rPr>
        <w:t xml:space="preserve"> </w:t>
      </w:r>
      <w:r w:rsidR="00CF663E">
        <w:rPr>
          <w:rFonts w:eastAsia="Times New Roman" w:cs="Arial"/>
        </w:rPr>
        <w:t xml:space="preserve">This </w:t>
      </w:r>
      <w:r w:rsidR="00C47736">
        <w:rPr>
          <w:rFonts w:eastAsia="Times New Roman" w:cs="Arial"/>
        </w:rPr>
        <w:t xml:space="preserve">request for </w:t>
      </w:r>
      <w:r w:rsidR="00CF663E">
        <w:rPr>
          <w:rFonts w:eastAsia="Times New Roman" w:cs="Arial"/>
        </w:rPr>
        <w:t xml:space="preserve">“clarification” comes long after the </w:t>
      </w:r>
      <w:r w:rsidR="0096396F">
        <w:rPr>
          <w:rFonts w:eastAsia="Times New Roman" w:cs="Arial"/>
        </w:rPr>
        <w:t xml:space="preserve">thirty-day </w:t>
      </w:r>
      <w:r w:rsidR="00CF663E">
        <w:rPr>
          <w:rFonts w:eastAsia="Times New Roman" w:cs="Arial"/>
        </w:rPr>
        <w:t>period to seek rehearing.</w:t>
      </w:r>
      <w:r w:rsidR="00744672">
        <w:rPr>
          <w:rFonts w:eastAsia="Times New Roman" w:cs="Arial"/>
        </w:rPr>
        <w:t xml:space="preserve">  Because AEP-Ohio’s request for clarification of the ESP II Order is not timely, the Commission must deny it.</w:t>
      </w:r>
      <w:r w:rsidR="00744672">
        <w:rPr>
          <w:rStyle w:val="FootnoteReference"/>
          <w:rFonts w:eastAsia="Times New Roman" w:cs="Arial"/>
        </w:rPr>
        <w:footnoteReference w:id="78"/>
      </w:r>
    </w:p>
    <w:p w:rsidR="00401F64" w:rsidRDefault="00401F64" w:rsidP="007277CE">
      <w:pPr>
        <w:spacing w:after="0" w:line="480" w:lineRule="auto"/>
        <w:ind w:firstLine="720"/>
        <w:jc w:val="both"/>
        <w:rPr>
          <w:rFonts w:eastAsia="Times New Roman" w:cs="Arial"/>
        </w:rPr>
      </w:pPr>
      <w:r>
        <w:rPr>
          <w:rFonts w:eastAsia="Times New Roman" w:cs="Arial"/>
        </w:rPr>
        <w:t xml:space="preserve">Further, AEP-Ohio is barred from raising this issue under the doctrines of </w:t>
      </w:r>
      <w:r w:rsidR="008F21B0" w:rsidRPr="00BC5464">
        <w:rPr>
          <w:rFonts w:eastAsia="Times New Roman" w:cs="Arial"/>
          <w:i/>
        </w:rPr>
        <w:t>res judicata</w:t>
      </w:r>
      <w:r w:rsidR="008F21B0">
        <w:rPr>
          <w:rFonts w:eastAsia="Times New Roman" w:cs="Arial"/>
        </w:rPr>
        <w:t xml:space="preserve"> and </w:t>
      </w:r>
      <w:r>
        <w:rPr>
          <w:rFonts w:eastAsia="Times New Roman" w:cs="Arial"/>
        </w:rPr>
        <w:t xml:space="preserve">collateral estoppel.  </w:t>
      </w:r>
      <w:r w:rsidR="008F21B0">
        <w:rPr>
          <w:rFonts w:eastAsia="Times New Roman" w:cs="Arial"/>
        </w:rPr>
        <w:t xml:space="preserve">The Commission </w:t>
      </w:r>
      <w:r w:rsidR="004072C8">
        <w:rPr>
          <w:rFonts w:eastAsia="Times New Roman" w:cs="Arial"/>
        </w:rPr>
        <w:t xml:space="preserve">previously </w:t>
      </w:r>
      <w:r w:rsidR="008F21B0">
        <w:rPr>
          <w:rFonts w:eastAsia="Times New Roman" w:cs="Arial"/>
        </w:rPr>
        <w:t xml:space="preserve">determined the amount of over or under-recovery that may be </w:t>
      </w:r>
      <w:r w:rsidR="004072C8">
        <w:rPr>
          <w:rFonts w:eastAsia="Times New Roman" w:cs="Arial"/>
        </w:rPr>
        <w:t>included in the revenue cap</w:t>
      </w:r>
      <w:r w:rsidR="008F21B0">
        <w:rPr>
          <w:rFonts w:eastAsia="Times New Roman" w:cs="Arial"/>
        </w:rPr>
        <w:t xml:space="preserve"> in a subsequent period in the ESP II Order and </w:t>
      </w:r>
      <w:r w:rsidR="007C1014">
        <w:rPr>
          <w:rFonts w:eastAsia="Times New Roman" w:cs="Arial"/>
        </w:rPr>
        <w:t xml:space="preserve">confirmed </w:t>
      </w:r>
      <w:r w:rsidR="00C47736">
        <w:rPr>
          <w:rFonts w:eastAsia="Times New Roman" w:cs="Arial"/>
        </w:rPr>
        <w:t>a</w:t>
      </w:r>
      <w:r w:rsidR="007C1014">
        <w:rPr>
          <w:rFonts w:eastAsia="Times New Roman" w:cs="Arial"/>
        </w:rPr>
        <w:t xml:space="preserve"> </w:t>
      </w:r>
      <w:r w:rsidR="00C47736">
        <w:rPr>
          <w:rFonts w:eastAsia="Times New Roman" w:cs="Arial"/>
        </w:rPr>
        <w:t xml:space="preserve">methodology for the </w:t>
      </w:r>
      <w:r w:rsidR="007C1014">
        <w:rPr>
          <w:rFonts w:eastAsia="Times New Roman" w:cs="Arial"/>
        </w:rPr>
        <w:t>calculation when it approved the 2012 Compliance Report</w:t>
      </w:r>
      <w:r w:rsidR="00317BE6">
        <w:rPr>
          <w:rFonts w:eastAsia="Times New Roman" w:cs="Arial"/>
        </w:rPr>
        <w:t xml:space="preserve">.  </w:t>
      </w:r>
      <w:r w:rsidR="008F21B0">
        <w:rPr>
          <w:rFonts w:eastAsia="Times New Roman" w:cs="Arial"/>
        </w:rPr>
        <w:t xml:space="preserve">AEP-Ohio did not seek rehearing of </w:t>
      </w:r>
      <w:r w:rsidR="00317BE6">
        <w:rPr>
          <w:rFonts w:eastAsia="Times New Roman" w:cs="Arial"/>
        </w:rPr>
        <w:t>either decision</w:t>
      </w:r>
      <w:r w:rsidR="008F21B0">
        <w:rPr>
          <w:rFonts w:eastAsia="Times New Roman" w:cs="Arial"/>
        </w:rPr>
        <w:t xml:space="preserve">.  “The inevitable conclusion from these facts is that [AEP-Ohio] is barred by the doctrines of </w:t>
      </w:r>
      <w:r w:rsidR="008F21B0" w:rsidRPr="004072C8">
        <w:rPr>
          <w:rFonts w:eastAsia="Times New Roman" w:cs="Arial"/>
          <w:i/>
        </w:rPr>
        <w:t>res judicata</w:t>
      </w:r>
      <w:r w:rsidR="008F21B0">
        <w:rPr>
          <w:rFonts w:eastAsia="Times New Roman" w:cs="Arial"/>
        </w:rPr>
        <w:t xml:space="preserve"> and collateral estoppel from attempting to relitigate the issue.”</w:t>
      </w:r>
      <w:r w:rsidR="008F21B0">
        <w:rPr>
          <w:rStyle w:val="FootnoteReference"/>
          <w:rFonts w:eastAsia="Times New Roman" w:cs="Arial"/>
        </w:rPr>
        <w:footnoteReference w:id="79"/>
      </w:r>
    </w:p>
    <w:p w:rsidR="00F562CC" w:rsidRDefault="00F562CC" w:rsidP="004264F9">
      <w:pPr>
        <w:spacing w:line="480" w:lineRule="auto"/>
        <w:ind w:firstLine="720"/>
        <w:jc w:val="both"/>
        <w:rPr>
          <w:rFonts w:eastAsia="Times New Roman" w:cs="Arial"/>
        </w:rPr>
      </w:pPr>
      <w:r>
        <w:rPr>
          <w:rFonts w:eastAsia="Times New Roman" w:cs="Arial"/>
        </w:rPr>
        <w:t xml:space="preserve">Accordingly, the Commission should deny AEP-Ohio’s attempt to increase its compensation through an increase in the amount it can claim to recover under the ESP II Order because </w:t>
      </w:r>
      <w:r w:rsidR="003D7FA2">
        <w:rPr>
          <w:rFonts w:eastAsia="Times New Roman" w:cs="Arial"/>
        </w:rPr>
        <w:t xml:space="preserve">the “clarification” is </w:t>
      </w:r>
      <w:r w:rsidR="00550E99">
        <w:rPr>
          <w:rFonts w:eastAsia="Times New Roman" w:cs="Arial"/>
        </w:rPr>
        <w:t>inconsistent with the findings of the</w:t>
      </w:r>
      <w:r w:rsidR="002438DE">
        <w:rPr>
          <w:rFonts w:eastAsia="Times New Roman" w:cs="Arial"/>
        </w:rPr>
        <w:t xml:space="preserve"> ESP II Order and </w:t>
      </w:r>
      <w:r w:rsidR="00550E99">
        <w:rPr>
          <w:rFonts w:eastAsia="Times New Roman" w:cs="Arial"/>
        </w:rPr>
        <w:t>2012 Compliance Report that the Commission previously approved</w:t>
      </w:r>
      <w:r w:rsidR="003D7FA2">
        <w:rPr>
          <w:rFonts w:eastAsia="Times New Roman" w:cs="Arial"/>
        </w:rPr>
        <w:t xml:space="preserve">, </w:t>
      </w:r>
      <w:r w:rsidR="00B22B31">
        <w:rPr>
          <w:rFonts w:eastAsia="Times New Roman" w:cs="Arial"/>
        </w:rPr>
        <w:t xml:space="preserve">would result in unlawful retroactive ratemaking, </w:t>
      </w:r>
      <w:r w:rsidR="00550E99">
        <w:rPr>
          <w:rFonts w:eastAsia="Times New Roman" w:cs="Arial"/>
        </w:rPr>
        <w:t xml:space="preserve">would result </w:t>
      </w:r>
      <w:r w:rsidR="006F42C6">
        <w:rPr>
          <w:rFonts w:eastAsia="Times New Roman" w:cs="Arial"/>
        </w:rPr>
        <w:t xml:space="preserve">in </w:t>
      </w:r>
      <w:r>
        <w:rPr>
          <w:rFonts w:eastAsia="Times New Roman" w:cs="Arial"/>
        </w:rPr>
        <w:t>an untimely rehearing of the ESP II Order</w:t>
      </w:r>
      <w:r w:rsidR="003D7FA2">
        <w:rPr>
          <w:rFonts w:eastAsia="Times New Roman" w:cs="Arial"/>
        </w:rPr>
        <w:t>,</w:t>
      </w:r>
      <w:r>
        <w:rPr>
          <w:rFonts w:eastAsia="Times New Roman" w:cs="Arial"/>
        </w:rPr>
        <w:t xml:space="preserve"> and </w:t>
      </w:r>
      <w:r w:rsidR="001F71F4">
        <w:rPr>
          <w:rFonts w:eastAsia="Times New Roman" w:cs="Arial"/>
        </w:rPr>
        <w:t xml:space="preserve">is </w:t>
      </w:r>
      <w:r>
        <w:rPr>
          <w:rFonts w:eastAsia="Times New Roman" w:cs="Arial"/>
        </w:rPr>
        <w:t xml:space="preserve">barred by the doctrines of </w:t>
      </w:r>
      <w:r w:rsidRPr="00B67655">
        <w:rPr>
          <w:rFonts w:eastAsia="Times New Roman" w:cs="Arial"/>
          <w:i/>
        </w:rPr>
        <w:t>res judicata</w:t>
      </w:r>
      <w:r>
        <w:rPr>
          <w:rFonts w:eastAsia="Times New Roman" w:cs="Arial"/>
        </w:rPr>
        <w:t xml:space="preserve"> and collateral estoppel.  </w:t>
      </w:r>
    </w:p>
    <w:p w:rsidR="00EC5C57" w:rsidRDefault="00EC5C57" w:rsidP="004264F9">
      <w:pPr>
        <w:pStyle w:val="Heading1"/>
        <w:rPr>
          <w:rFonts w:eastAsia="Times New Roman"/>
        </w:rPr>
      </w:pPr>
      <w:bookmarkStart w:id="90" w:name="_Toc415668384"/>
      <w:bookmarkStart w:id="91" w:name="_Toc415670072"/>
      <w:bookmarkStart w:id="92" w:name="_Toc415670190"/>
      <w:bookmarkStart w:id="93" w:name="_Toc415748784"/>
      <w:bookmarkStart w:id="94" w:name="_Toc416080127"/>
      <w:bookmarkStart w:id="95" w:name="_Toc416094983"/>
      <w:bookmarkStart w:id="96" w:name="_Toc416098627"/>
      <w:r>
        <w:rPr>
          <w:rFonts w:eastAsia="Times New Roman"/>
        </w:rPr>
        <w:lastRenderedPageBreak/>
        <w:t>The Commission should deny AEP-Ohio’s request for authorization of the NCCR</w:t>
      </w:r>
      <w:bookmarkEnd w:id="90"/>
      <w:bookmarkEnd w:id="91"/>
      <w:bookmarkEnd w:id="92"/>
      <w:bookmarkEnd w:id="93"/>
      <w:bookmarkEnd w:id="94"/>
      <w:bookmarkEnd w:id="95"/>
      <w:bookmarkEnd w:id="96"/>
    </w:p>
    <w:p w:rsidR="00EC5C57" w:rsidRDefault="00EC5C57" w:rsidP="007277CE">
      <w:pPr>
        <w:spacing w:after="0" w:line="480" w:lineRule="auto"/>
        <w:jc w:val="both"/>
        <w:rPr>
          <w:rFonts w:eastAsia="Times New Roman" w:cs="Arial"/>
        </w:rPr>
      </w:pPr>
      <w:r>
        <w:rPr>
          <w:rFonts w:eastAsia="Times New Roman" w:cs="Arial"/>
        </w:rPr>
        <w:tab/>
      </w:r>
      <w:r w:rsidR="00317BE6">
        <w:rPr>
          <w:rFonts w:eastAsia="Times New Roman" w:cs="Arial"/>
        </w:rPr>
        <w:t>Because</w:t>
      </w:r>
      <w:r>
        <w:rPr>
          <w:rFonts w:eastAsia="Times New Roman" w:cs="Arial"/>
        </w:rPr>
        <w:t xml:space="preserve"> AEP-Ohio </w:t>
      </w:r>
      <w:r w:rsidR="00317BE6">
        <w:rPr>
          <w:rFonts w:eastAsia="Times New Roman" w:cs="Arial"/>
        </w:rPr>
        <w:t xml:space="preserve">failed </w:t>
      </w:r>
      <w:r>
        <w:rPr>
          <w:rFonts w:eastAsia="Times New Roman" w:cs="Arial"/>
        </w:rPr>
        <w:t>to carry its burden of proof, the Commission denied authorization of AEP-Ohio</w:t>
      </w:r>
      <w:r w:rsidR="00224EE5">
        <w:rPr>
          <w:rFonts w:eastAsia="Times New Roman" w:cs="Arial"/>
        </w:rPr>
        <w:t>’s</w:t>
      </w:r>
      <w:r>
        <w:rPr>
          <w:rFonts w:eastAsia="Times New Roman" w:cs="Arial"/>
        </w:rPr>
        <w:t xml:space="preserve"> request for the NCCR.</w:t>
      </w:r>
      <w:r w:rsidR="00224EE5">
        <w:rPr>
          <w:rStyle w:val="FootnoteReference"/>
          <w:rFonts w:eastAsia="Times New Roman" w:cs="Arial"/>
        </w:rPr>
        <w:footnoteReference w:id="80"/>
      </w:r>
      <w:r>
        <w:rPr>
          <w:rFonts w:eastAsia="Times New Roman" w:cs="Arial"/>
        </w:rPr>
        <w:t xml:space="preserve">  Even though AEP-Ohio failed to demonstrate that it had or would have any </w:t>
      </w:r>
      <w:r w:rsidR="00AC2FF3">
        <w:rPr>
          <w:rFonts w:eastAsia="Times New Roman" w:cs="Arial"/>
        </w:rPr>
        <w:t>NERC compliance or cybersecurity costs</w:t>
      </w:r>
      <w:r>
        <w:rPr>
          <w:rFonts w:eastAsia="Times New Roman" w:cs="Arial"/>
        </w:rPr>
        <w:t>, AEP-Ohio seeks rehearing of the Commission’s denial</w:t>
      </w:r>
      <w:r w:rsidR="00AC2FF3">
        <w:rPr>
          <w:rFonts w:eastAsia="Times New Roman" w:cs="Arial"/>
        </w:rPr>
        <w:t xml:space="preserve"> of authorization, arguing that the Commission should authorize a placeholder rider as it has done in previous ESP cases and that it is “clear” that AEP-Ohio will incur cybersecurity costs.</w:t>
      </w:r>
      <w:r w:rsidR="00AC2FF3">
        <w:rPr>
          <w:rStyle w:val="FootnoteReference"/>
          <w:rFonts w:eastAsia="Times New Roman" w:cs="Arial"/>
        </w:rPr>
        <w:footnoteReference w:id="81"/>
      </w:r>
      <w:r w:rsidR="00AC2FF3">
        <w:rPr>
          <w:rFonts w:eastAsia="Times New Roman" w:cs="Arial"/>
        </w:rPr>
        <w:t xml:space="preserve">  AEP-Ohio</w:t>
      </w:r>
      <w:r w:rsidR="00224EE5">
        <w:rPr>
          <w:rFonts w:eastAsia="Times New Roman" w:cs="Arial"/>
        </w:rPr>
        <w:t>, however,</w:t>
      </w:r>
      <w:r w:rsidR="00AC2FF3">
        <w:rPr>
          <w:rFonts w:eastAsia="Times New Roman" w:cs="Arial"/>
        </w:rPr>
        <w:t xml:space="preserve"> offers </w:t>
      </w:r>
      <w:r w:rsidR="00224EE5">
        <w:rPr>
          <w:rFonts w:eastAsia="Times New Roman" w:cs="Arial"/>
        </w:rPr>
        <w:t>no legal basis</w:t>
      </w:r>
      <w:r w:rsidR="00AC2FF3">
        <w:rPr>
          <w:rFonts w:eastAsia="Times New Roman" w:cs="Arial"/>
        </w:rPr>
        <w:t xml:space="preserve"> to reverse the Commission’s conclusion that AEP-Ohio fail</w:t>
      </w:r>
      <w:r w:rsidR="00224EE5">
        <w:rPr>
          <w:rFonts w:eastAsia="Times New Roman" w:cs="Arial"/>
        </w:rPr>
        <w:t xml:space="preserve">ed to carry its burden of proof, </w:t>
      </w:r>
      <w:r w:rsidR="00AC2FF3">
        <w:rPr>
          <w:rFonts w:eastAsia="Times New Roman" w:cs="Arial"/>
        </w:rPr>
        <w:t xml:space="preserve">and authorization would trigger a violation of </w:t>
      </w:r>
      <w:r w:rsidR="00FE22A9">
        <w:rPr>
          <w:rFonts w:eastAsia="Times New Roman" w:cs="Arial"/>
        </w:rPr>
        <w:t>the ESP v. MRO Test</w:t>
      </w:r>
      <w:r w:rsidR="00224EE5">
        <w:rPr>
          <w:rFonts w:eastAsia="Times New Roman" w:cs="Arial"/>
        </w:rPr>
        <w:t>.  Accordingly,</w:t>
      </w:r>
      <w:r w:rsidR="00AC2FF3">
        <w:rPr>
          <w:rFonts w:eastAsia="Times New Roman" w:cs="Arial"/>
        </w:rPr>
        <w:t xml:space="preserve"> the Commission should deny AEP-Ohio’s assignment of error.</w:t>
      </w:r>
    </w:p>
    <w:p w:rsidR="00AC2FF3" w:rsidRDefault="00AC2FF3" w:rsidP="007277CE">
      <w:pPr>
        <w:spacing w:after="0" w:line="480" w:lineRule="auto"/>
        <w:jc w:val="both"/>
        <w:rPr>
          <w:rFonts w:eastAsia="Times New Roman" w:cs="Arial"/>
        </w:rPr>
      </w:pPr>
      <w:r>
        <w:rPr>
          <w:rFonts w:eastAsia="Times New Roman" w:cs="Arial"/>
        </w:rPr>
        <w:tab/>
        <w:t xml:space="preserve">Initially, AEP-Ohio does not offer any basis for the Commission to reverse it prior determination that AEP-Ohio failed to carry its burden of proof to support the rider.  </w:t>
      </w:r>
      <w:r w:rsidR="00224EE5">
        <w:rPr>
          <w:rFonts w:eastAsia="Times New Roman" w:cs="Arial"/>
        </w:rPr>
        <w:t xml:space="preserve">AEP-Ohio points to the Commission’s understandable recognition that reliability is important and that </w:t>
      </w:r>
      <w:r w:rsidR="0081028E">
        <w:rPr>
          <w:rFonts w:eastAsia="Times New Roman" w:cs="Arial"/>
        </w:rPr>
        <w:t xml:space="preserve">AEP-Ohio </w:t>
      </w:r>
      <w:r w:rsidR="00224EE5">
        <w:rPr>
          <w:rFonts w:eastAsia="Times New Roman" w:cs="Arial"/>
        </w:rPr>
        <w:t>may incur costs in the future, as if that somehow justifies cost recovery.</w:t>
      </w:r>
      <w:r w:rsidR="00224EE5">
        <w:rPr>
          <w:rStyle w:val="FootnoteReference"/>
          <w:rFonts w:eastAsia="Times New Roman" w:cs="Arial"/>
        </w:rPr>
        <w:footnoteReference w:id="82"/>
      </w:r>
      <w:r w:rsidR="00224EE5">
        <w:rPr>
          <w:rFonts w:eastAsia="Times New Roman" w:cs="Arial"/>
        </w:rPr>
        <w:t xml:space="preserve">  </w:t>
      </w:r>
      <w:r w:rsidR="00FE22A9">
        <w:rPr>
          <w:rFonts w:eastAsia="Times New Roman" w:cs="Arial"/>
        </w:rPr>
        <w:t xml:space="preserve">The burden of proof to demonstrate the lawfulness and reasonableness of </w:t>
      </w:r>
      <w:r w:rsidR="000F298B">
        <w:rPr>
          <w:rFonts w:eastAsia="Times New Roman" w:cs="Arial"/>
        </w:rPr>
        <w:t>cost recovery</w:t>
      </w:r>
      <w:r w:rsidR="00224EE5">
        <w:rPr>
          <w:rFonts w:eastAsia="Times New Roman" w:cs="Arial"/>
        </w:rPr>
        <w:t>, however,</w:t>
      </w:r>
      <w:r w:rsidR="00FE22A9">
        <w:rPr>
          <w:rFonts w:eastAsia="Times New Roman" w:cs="Arial"/>
        </w:rPr>
        <w:t xml:space="preserve"> rests with AEP-Ohio.</w:t>
      </w:r>
      <w:r w:rsidR="00FE22A9">
        <w:rPr>
          <w:rStyle w:val="FootnoteReference"/>
          <w:rFonts w:eastAsia="Times New Roman" w:cs="Arial"/>
        </w:rPr>
        <w:footnoteReference w:id="83"/>
      </w:r>
      <w:r w:rsidR="00FE22A9">
        <w:rPr>
          <w:rFonts w:eastAsia="Times New Roman" w:cs="Arial"/>
        </w:rPr>
        <w:t xml:space="preserve">  As the Commission correctly found, </w:t>
      </w:r>
      <w:r>
        <w:rPr>
          <w:rFonts w:eastAsia="Times New Roman" w:cs="Arial"/>
        </w:rPr>
        <w:t>AEP-Ohio did not demonstrate tha</w:t>
      </w:r>
      <w:r w:rsidR="00224EE5">
        <w:rPr>
          <w:rFonts w:eastAsia="Times New Roman" w:cs="Arial"/>
        </w:rPr>
        <w:t>t it had any identifiable costs</w:t>
      </w:r>
      <w:r w:rsidR="00FE22A9">
        <w:rPr>
          <w:rStyle w:val="FootnoteReference"/>
          <w:rFonts w:eastAsia="Times New Roman" w:cs="Arial"/>
        </w:rPr>
        <w:footnoteReference w:id="84"/>
      </w:r>
      <w:r>
        <w:rPr>
          <w:rFonts w:eastAsia="Times New Roman" w:cs="Arial"/>
        </w:rPr>
        <w:t xml:space="preserve"> </w:t>
      </w:r>
      <w:r w:rsidR="00224EE5">
        <w:rPr>
          <w:rFonts w:eastAsia="Times New Roman" w:cs="Arial"/>
        </w:rPr>
        <w:t>and</w:t>
      </w:r>
      <w:r w:rsidR="00FE22A9">
        <w:rPr>
          <w:rFonts w:eastAsia="Times New Roman" w:cs="Arial"/>
        </w:rPr>
        <w:t xml:space="preserve"> failed to show how costs would be allocated.</w:t>
      </w:r>
      <w:r w:rsidR="00FE22A9">
        <w:rPr>
          <w:rStyle w:val="FootnoteReference"/>
          <w:rFonts w:eastAsia="Times New Roman" w:cs="Arial"/>
        </w:rPr>
        <w:footnoteReference w:id="85"/>
      </w:r>
      <w:r w:rsidR="00FE22A9">
        <w:rPr>
          <w:rFonts w:eastAsia="Times New Roman" w:cs="Arial"/>
        </w:rPr>
        <w:t xml:space="preserve">  </w:t>
      </w:r>
      <w:r w:rsidR="00224EE5">
        <w:rPr>
          <w:rFonts w:eastAsia="Times New Roman" w:cs="Arial"/>
        </w:rPr>
        <w:t xml:space="preserve">Further, the Commission correctly noted </w:t>
      </w:r>
      <w:r w:rsidR="00224EE5">
        <w:rPr>
          <w:rFonts w:eastAsia="Times New Roman" w:cs="Arial"/>
        </w:rPr>
        <w:lastRenderedPageBreak/>
        <w:t xml:space="preserve">that AEP-Ohio </w:t>
      </w:r>
      <w:r w:rsidR="001F71F4">
        <w:rPr>
          <w:rFonts w:eastAsia="Times New Roman" w:cs="Arial"/>
        </w:rPr>
        <w:t>could</w:t>
      </w:r>
      <w:r w:rsidR="00224EE5">
        <w:rPr>
          <w:rFonts w:eastAsia="Times New Roman" w:cs="Arial"/>
        </w:rPr>
        <w:t xml:space="preserve"> file a distribution case if it wishes to secure cost recovery.</w:t>
      </w:r>
      <w:r w:rsidR="00224EE5">
        <w:rPr>
          <w:rStyle w:val="FootnoteReference"/>
          <w:rFonts w:eastAsia="Times New Roman" w:cs="Arial"/>
        </w:rPr>
        <w:footnoteReference w:id="86"/>
      </w:r>
      <w:r w:rsidR="00224EE5">
        <w:rPr>
          <w:rFonts w:eastAsia="Times New Roman" w:cs="Arial"/>
        </w:rPr>
        <w:t xml:space="preserve">  Accordingly, AEP-Ohio has not offered a reasoned basis for the Commission to reverse its </w:t>
      </w:r>
      <w:r w:rsidR="0081028E">
        <w:rPr>
          <w:rFonts w:eastAsia="Times New Roman" w:cs="Arial"/>
        </w:rPr>
        <w:t>refusal to authorize the NCCR</w:t>
      </w:r>
      <w:r w:rsidR="00224EE5">
        <w:rPr>
          <w:rFonts w:eastAsia="Times New Roman" w:cs="Arial"/>
        </w:rPr>
        <w:t>.</w:t>
      </w:r>
    </w:p>
    <w:p w:rsidR="00AC2FF3" w:rsidRDefault="00AC2FF3" w:rsidP="00F9651B">
      <w:pPr>
        <w:spacing w:line="480" w:lineRule="auto"/>
        <w:jc w:val="both"/>
        <w:rPr>
          <w:rFonts w:eastAsia="Times New Roman" w:cs="Arial"/>
        </w:rPr>
      </w:pPr>
      <w:r>
        <w:rPr>
          <w:rFonts w:eastAsia="Times New Roman" w:cs="Arial"/>
        </w:rPr>
        <w:tab/>
        <w:t xml:space="preserve">Moreover, authorization of the NCCR as a placeholder rider would trigger a violation of R.C. 4928.143(C)(1).  </w:t>
      </w:r>
      <w:r w:rsidR="00FE22A9">
        <w:rPr>
          <w:rFonts w:eastAsia="Times New Roman" w:cs="Arial"/>
        </w:rPr>
        <w:t>Under that section</w:t>
      </w:r>
      <w:r w:rsidR="00FE22A9" w:rsidRPr="00FE22A9">
        <w:rPr>
          <w:rFonts w:eastAsia="Times New Roman" w:cs="Arial"/>
        </w:rPr>
        <w:t>, the Commission must find that the ESP, “so approved, including its pricing and all other terms and conditions, including any deferrals and any future recovery of deferrals, is more favorable in the aggregate as compared to the expected results that would otherwise apply under section 4928.142 of the Revised Code.”</w:t>
      </w:r>
      <w:r w:rsidR="00FE22A9" w:rsidRPr="00FE22A9">
        <w:rPr>
          <w:rFonts w:eastAsia="Times New Roman" w:cs="Arial"/>
          <w:vertAlign w:val="superscript"/>
        </w:rPr>
        <w:footnoteReference w:id="87"/>
      </w:r>
      <w:r w:rsidR="00FE22A9" w:rsidRPr="00FE22A9">
        <w:rPr>
          <w:rFonts w:eastAsia="Times New Roman" w:cs="Arial"/>
        </w:rPr>
        <w:t xml:space="preserve">  Thus, the Commission can approve a rider as a term of the ESP only if it addresses all the expected charges that will be imposed by the ESP, including those deferred for future recovery, and finds that the result is better than the expected results of an MRO.</w:t>
      </w:r>
      <w:r w:rsidR="00FE22A9">
        <w:rPr>
          <w:rFonts w:eastAsia="Times New Roman" w:cs="Arial"/>
        </w:rPr>
        <w:t xml:space="preserve">  </w:t>
      </w:r>
      <w:r w:rsidR="00FE22A9" w:rsidRPr="00FE22A9">
        <w:rPr>
          <w:rFonts w:eastAsia="Times New Roman" w:cs="Arial"/>
        </w:rPr>
        <w:t xml:space="preserve">If </w:t>
      </w:r>
      <w:r w:rsidR="00FE22A9">
        <w:rPr>
          <w:rFonts w:eastAsia="Times New Roman" w:cs="Arial"/>
        </w:rPr>
        <w:t xml:space="preserve">the Commission authorizes the NCCR with an initial rate of zero, </w:t>
      </w:r>
      <w:r w:rsidR="00FE22A9" w:rsidRPr="00FE22A9">
        <w:rPr>
          <w:rFonts w:eastAsia="Times New Roman" w:cs="Arial"/>
        </w:rPr>
        <w:t xml:space="preserve">AEP-Ohio </w:t>
      </w:r>
      <w:r w:rsidR="00080E89">
        <w:rPr>
          <w:rFonts w:eastAsia="Times New Roman" w:cs="Arial"/>
        </w:rPr>
        <w:t>will be permitted to pursue</w:t>
      </w:r>
      <w:r w:rsidR="00FE22A9" w:rsidRPr="00FE22A9">
        <w:rPr>
          <w:rFonts w:eastAsia="Times New Roman" w:cs="Arial"/>
        </w:rPr>
        <w:t xml:space="preserve"> authorization </w:t>
      </w:r>
      <w:r w:rsidR="00080E89">
        <w:rPr>
          <w:rFonts w:eastAsia="Times New Roman" w:cs="Arial"/>
        </w:rPr>
        <w:t>to collect costs while</w:t>
      </w:r>
      <w:r w:rsidR="00032606">
        <w:rPr>
          <w:rFonts w:eastAsia="Times New Roman" w:cs="Arial"/>
        </w:rPr>
        <w:t xml:space="preserve"> </w:t>
      </w:r>
      <w:r w:rsidR="00080E89">
        <w:rPr>
          <w:rFonts w:eastAsia="Times New Roman" w:cs="Arial"/>
        </w:rPr>
        <w:t>evading</w:t>
      </w:r>
      <w:r w:rsidR="00FE22A9" w:rsidRPr="00FE22A9">
        <w:rPr>
          <w:rFonts w:eastAsia="Times New Roman" w:cs="Arial"/>
        </w:rPr>
        <w:t xml:space="preserve"> its burden of proof to demonstrate that the ESP, including those additional costs</w:t>
      </w:r>
      <w:r w:rsidR="0057449A">
        <w:rPr>
          <w:rFonts w:eastAsia="Times New Roman" w:cs="Arial"/>
        </w:rPr>
        <w:t xml:space="preserve"> recovered under the NCCR</w:t>
      </w:r>
      <w:r w:rsidR="00FE22A9" w:rsidRPr="00FE22A9">
        <w:rPr>
          <w:rFonts w:eastAsia="Times New Roman" w:cs="Arial"/>
        </w:rPr>
        <w:t xml:space="preserve">, passes the ESP v. MRO Test.  </w:t>
      </w:r>
      <w:r w:rsidR="00080E89">
        <w:rPr>
          <w:rFonts w:eastAsia="Times New Roman" w:cs="Arial"/>
        </w:rPr>
        <w:t>Accordingly, authorization of the NCCR a</w:t>
      </w:r>
      <w:r w:rsidR="001F71F4">
        <w:rPr>
          <w:rFonts w:eastAsia="Times New Roman" w:cs="Arial"/>
        </w:rPr>
        <w:t>s</w:t>
      </w:r>
      <w:r w:rsidR="00080E89">
        <w:rPr>
          <w:rFonts w:eastAsia="Times New Roman" w:cs="Arial"/>
        </w:rPr>
        <w:t xml:space="preserve"> a placeholder rider is unlawful.</w:t>
      </w:r>
    </w:p>
    <w:p w:rsidR="009E4109" w:rsidRDefault="009E4109" w:rsidP="009E4109">
      <w:pPr>
        <w:pStyle w:val="Heading1"/>
        <w:rPr>
          <w:rFonts w:eastAsia="Times New Roman"/>
        </w:rPr>
      </w:pPr>
      <w:bookmarkStart w:id="97" w:name="_Toc415668385"/>
      <w:bookmarkStart w:id="98" w:name="_Toc415670073"/>
      <w:bookmarkStart w:id="99" w:name="_Toc415670191"/>
      <w:bookmarkStart w:id="100" w:name="_Toc415748785"/>
      <w:bookmarkStart w:id="101" w:name="_Toc416080128"/>
      <w:bookmarkStart w:id="102" w:name="_Toc416094984"/>
      <w:bookmarkStart w:id="103" w:name="_Toc416098628"/>
      <w:r>
        <w:rPr>
          <w:rFonts w:eastAsia="Times New Roman"/>
        </w:rPr>
        <w:t>Conclusion</w:t>
      </w:r>
      <w:bookmarkEnd w:id="97"/>
      <w:bookmarkEnd w:id="98"/>
      <w:bookmarkEnd w:id="99"/>
      <w:bookmarkEnd w:id="100"/>
      <w:bookmarkEnd w:id="101"/>
      <w:bookmarkEnd w:id="102"/>
      <w:bookmarkEnd w:id="103"/>
    </w:p>
    <w:p w:rsidR="009E4109" w:rsidRDefault="00032606" w:rsidP="00032606">
      <w:pPr>
        <w:spacing w:line="480" w:lineRule="auto"/>
        <w:ind w:firstLine="720"/>
        <w:jc w:val="both"/>
        <w:rPr>
          <w:rFonts w:eastAsia="Times New Roman" w:cs="Arial"/>
        </w:rPr>
      </w:pPr>
      <w:r>
        <w:rPr>
          <w:rFonts w:eastAsia="Times New Roman" w:cs="Arial"/>
        </w:rPr>
        <w:t>For the reasons discussed above, the Commission should deny AEP-Ohio’s request for authorization to bill and collect above-market generation-related wholesale costs of OVEC.  Further, the Commission should not authorize the revisions of Schedule IRP-D requested by AEP-Ohio</w:t>
      </w:r>
      <w:r w:rsidR="00317BE6">
        <w:rPr>
          <w:rFonts w:eastAsia="Times New Roman" w:cs="Arial"/>
        </w:rPr>
        <w:t xml:space="preserve"> with one exception related to bidding resources into the PJM base residual auctions during the ESP term</w:t>
      </w:r>
      <w:r>
        <w:rPr>
          <w:rFonts w:eastAsia="Times New Roman" w:cs="Arial"/>
        </w:rPr>
        <w:t xml:space="preserve">.  The Commission </w:t>
      </w:r>
      <w:r w:rsidR="001F71F4">
        <w:rPr>
          <w:rFonts w:eastAsia="Times New Roman" w:cs="Arial"/>
        </w:rPr>
        <w:lastRenderedPageBreak/>
        <w:t xml:space="preserve">should </w:t>
      </w:r>
      <w:r>
        <w:rPr>
          <w:rFonts w:eastAsia="Times New Roman" w:cs="Arial"/>
        </w:rPr>
        <w:t xml:space="preserve">also reject AEP-Ohio’s untimely attempt to secure </w:t>
      </w:r>
      <w:r w:rsidR="00317BE6">
        <w:rPr>
          <w:rFonts w:eastAsia="Times New Roman" w:cs="Arial"/>
        </w:rPr>
        <w:t>clarification</w:t>
      </w:r>
      <w:r>
        <w:rPr>
          <w:rFonts w:eastAsia="Times New Roman" w:cs="Arial"/>
        </w:rPr>
        <w:t xml:space="preserve"> of the DIR in the ESP II Order.  Finally, the Commission should reject AEP-Ohio’s request for authorization of the NCCR.  </w:t>
      </w:r>
    </w:p>
    <w:p w:rsidR="009E4109" w:rsidRPr="009E4109" w:rsidRDefault="009E4109" w:rsidP="009E4109">
      <w:pPr>
        <w:spacing w:after="200" w:line="276" w:lineRule="auto"/>
        <w:ind w:left="4320"/>
        <w:jc w:val="both"/>
        <w:rPr>
          <w:rFonts w:eastAsia="Times New Roman" w:cs="Arial"/>
        </w:rPr>
      </w:pPr>
      <w:r w:rsidRPr="009E4109">
        <w:rPr>
          <w:rFonts w:eastAsia="Times New Roman" w:cs="Arial"/>
        </w:rPr>
        <w:t>Respectfully submitted,</w:t>
      </w:r>
    </w:p>
    <w:p w:rsidR="009E4109" w:rsidRPr="009E4109" w:rsidRDefault="009E4109" w:rsidP="009E4109">
      <w:pPr>
        <w:tabs>
          <w:tab w:val="left" w:pos="4320"/>
          <w:tab w:val="right" w:pos="8640"/>
        </w:tabs>
        <w:ind w:left="4320" w:hanging="4320"/>
        <w:jc w:val="both"/>
        <w:rPr>
          <w:rFonts w:eastAsia="Times New Roman" w:cs="Arial"/>
        </w:rPr>
      </w:pPr>
      <w:r w:rsidRPr="009E4109">
        <w:rPr>
          <w:rFonts w:eastAsia="Times New Roman" w:cs="Arial"/>
        </w:rPr>
        <w:tab/>
      </w:r>
    </w:p>
    <w:p w:rsidR="009E4109" w:rsidRPr="009E4109" w:rsidRDefault="009E4109" w:rsidP="00E01787">
      <w:pPr>
        <w:tabs>
          <w:tab w:val="left" w:pos="4320"/>
          <w:tab w:val="right" w:pos="8640"/>
        </w:tabs>
        <w:spacing w:after="0"/>
        <w:ind w:left="4320" w:hanging="4320"/>
        <w:jc w:val="both"/>
        <w:rPr>
          <w:rFonts w:eastAsia="Times New Roman" w:cs="Arial"/>
          <w:u w:val="single"/>
        </w:rPr>
      </w:pPr>
      <w:r w:rsidRPr="009E4109">
        <w:rPr>
          <w:rFonts w:eastAsia="Times New Roman" w:cs="Arial"/>
        </w:rPr>
        <w:tab/>
      </w:r>
      <w:r w:rsidRPr="009E4109">
        <w:rPr>
          <w:rFonts w:eastAsia="Times New Roman" w:cs="Arial"/>
          <w:u w:val="single"/>
        </w:rPr>
        <w:t>/s/ Frank P. Darr</w:t>
      </w:r>
      <w:r w:rsidRPr="009E4109">
        <w:rPr>
          <w:rFonts w:eastAsia="Times New Roman" w:cs="Arial"/>
          <w:u w:val="single"/>
        </w:rPr>
        <w:tab/>
      </w:r>
    </w:p>
    <w:p w:rsidR="009E4109" w:rsidRPr="009E4109" w:rsidRDefault="009E4109" w:rsidP="00E01787">
      <w:pPr>
        <w:tabs>
          <w:tab w:val="left" w:pos="4320"/>
          <w:tab w:val="right" w:pos="8640"/>
        </w:tabs>
        <w:spacing w:after="0"/>
        <w:ind w:left="4320" w:hanging="4320"/>
        <w:jc w:val="both"/>
        <w:rPr>
          <w:rFonts w:eastAsia="Times New Roman" w:cs="Arial"/>
          <w:bCs/>
          <w:lang w:val="fr-FR"/>
        </w:rPr>
      </w:pPr>
      <w:r w:rsidRPr="009E4109">
        <w:rPr>
          <w:rFonts w:eastAsia="Times New Roman" w:cs="Arial"/>
        </w:rPr>
        <w:tab/>
      </w:r>
      <w:r w:rsidRPr="009E4109">
        <w:rPr>
          <w:rFonts w:eastAsia="Times New Roman" w:cs="Arial"/>
          <w:bCs/>
          <w:lang w:val="fr-FR"/>
        </w:rPr>
        <w:t>Frank P. Darr</w:t>
      </w:r>
    </w:p>
    <w:p w:rsidR="009E4109" w:rsidRPr="009E4109" w:rsidRDefault="009E4109" w:rsidP="00E01787">
      <w:pPr>
        <w:widowControl w:val="0"/>
        <w:tabs>
          <w:tab w:val="left" w:pos="4320"/>
        </w:tabs>
        <w:spacing w:after="0"/>
        <w:ind w:left="4320" w:hanging="4320"/>
        <w:jc w:val="both"/>
        <w:rPr>
          <w:rFonts w:eastAsia="Times New Roman" w:cs="Arial"/>
          <w:bCs/>
          <w:lang w:val="fr-FR"/>
        </w:rPr>
      </w:pPr>
      <w:r w:rsidRPr="009E4109">
        <w:rPr>
          <w:rFonts w:eastAsia="Times New Roman" w:cs="Arial"/>
          <w:bCs/>
          <w:lang w:val="fr-FR"/>
        </w:rPr>
        <w:tab/>
        <w:t>Matthew R. Pritchard</w:t>
      </w:r>
    </w:p>
    <w:p w:rsidR="009E4109" w:rsidRPr="009E4109" w:rsidRDefault="009E4109" w:rsidP="00E01787">
      <w:pPr>
        <w:widowControl w:val="0"/>
        <w:tabs>
          <w:tab w:val="left" w:pos="4320"/>
        </w:tabs>
        <w:spacing w:after="0"/>
        <w:ind w:left="4320" w:hanging="4320"/>
        <w:jc w:val="both"/>
        <w:rPr>
          <w:rFonts w:eastAsia="Times New Roman" w:cs="Arial"/>
          <w:bCs/>
          <w:smallCaps/>
        </w:rPr>
      </w:pPr>
      <w:r w:rsidRPr="009E4109">
        <w:rPr>
          <w:rFonts w:eastAsia="Times New Roman" w:cs="Arial"/>
          <w:bCs/>
          <w:lang w:val="fr-FR"/>
        </w:rPr>
        <w:tab/>
      </w:r>
      <w:r w:rsidRPr="009E4109">
        <w:rPr>
          <w:rFonts w:eastAsia="Times New Roman" w:cs="Arial"/>
          <w:bCs/>
          <w:smallCaps/>
        </w:rPr>
        <w:t>McNees Wallace &amp; Nurick LLC</w:t>
      </w:r>
    </w:p>
    <w:p w:rsidR="009E4109" w:rsidRPr="009E4109" w:rsidRDefault="009E4109" w:rsidP="00E01787">
      <w:pPr>
        <w:widowControl w:val="0"/>
        <w:tabs>
          <w:tab w:val="left" w:pos="4320"/>
        </w:tabs>
        <w:spacing w:after="0"/>
        <w:ind w:left="4320" w:hanging="4320"/>
        <w:jc w:val="both"/>
        <w:rPr>
          <w:rFonts w:eastAsia="Times New Roman" w:cs="Arial"/>
          <w:bCs/>
        </w:rPr>
      </w:pPr>
      <w:r w:rsidRPr="009E4109">
        <w:rPr>
          <w:rFonts w:eastAsia="Times New Roman" w:cs="Arial"/>
          <w:bCs/>
        </w:rPr>
        <w:tab/>
        <w:t>21 East State Street, 17</w:t>
      </w:r>
      <w:r w:rsidRPr="009E4109">
        <w:rPr>
          <w:rFonts w:eastAsia="Times New Roman" w:cs="Arial"/>
          <w:bCs/>
          <w:vertAlign w:val="superscript"/>
        </w:rPr>
        <w:t>TH</w:t>
      </w:r>
      <w:r w:rsidRPr="009E4109">
        <w:rPr>
          <w:rFonts w:eastAsia="Times New Roman" w:cs="Arial"/>
          <w:bCs/>
        </w:rPr>
        <w:t xml:space="preserve"> Floor</w:t>
      </w:r>
    </w:p>
    <w:p w:rsidR="009E4109" w:rsidRPr="009E4109" w:rsidRDefault="009E4109" w:rsidP="00E01787">
      <w:pPr>
        <w:tabs>
          <w:tab w:val="left" w:pos="4320"/>
        </w:tabs>
        <w:spacing w:after="0"/>
        <w:ind w:left="4320" w:hanging="4320"/>
        <w:jc w:val="both"/>
        <w:rPr>
          <w:rFonts w:eastAsia="Calibri" w:cs="Arial"/>
        </w:rPr>
      </w:pPr>
      <w:r w:rsidRPr="009E4109">
        <w:rPr>
          <w:rFonts w:eastAsia="Calibri" w:cs="Arial"/>
        </w:rPr>
        <w:tab/>
        <w:t>Columbus, OH  43215</w:t>
      </w:r>
    </w:p>
    <w:p w:rsidR="009E4109" w:rsidRPr="009E4109" w:rsidRDefault="009E4109" w:rsidP="00E01787">
      <w:pPr>
        <w:tabs>
          <w:tab w:val="left" w:pos="4320"/>
        </w:tabs>
        <w:spacing w:after="0"/>
        <w:ind w:left="4320" w:hanging="4320"/>
        <w:jc w:val="both"/>
        <w:rPr>
          <w:rFonts w:eastAsia="Calibri" w:cs="Arial"/>
        </w:rPr>
      </w:pPr>
      <w:r w:rsidRPr="009E4109">
        <w:rPr>
          <w:rFonts w:eastAsia="Calibri" w:cs="Arial"/>
        </w:rPr>
        <w:tab/>
        <w:t>Telephone:  (614) 469-8000</w:t>
      </w:r>
    </w:p>
    <w:p w:rsidR="009E4109" w:rsidRPr="009E4109" w:rsidRDefault="009E4109" w:rsidP="00E01787">
      <w:pPr>
        <w:tabs>
          <w:tab w:val="left" w:pos="4320"/>
        </w:tabs>
        <w:spacing w:after="0"/>
        <w:ind w:left="4320" w:hanging="4320"/>
        <w:jc w:val="both"/>
        <w:rPr>
          <w:rFonts w:eastAsia="Calibri" w:cs="Arial"/>
        </w:rPr>
      </w:pPr>
      <w:r w:rsidRPr="009E4109">
        <w:rPr>
          <w:rFonts w:eastAsia="Calibri" w:cs="Arial"/>
        </w:rPr>
        <w:tab/>
        <w:t>Telecopier:  (614) 469-4653</w:t>
      </w:r>
    </w:p>
    <w:p w:rsidR="009E4109" w:rsidRPr="009E4109" w:rsidRDefault="009E4109" w:rsidP="00E01787">
      <w:pPr>
        <w:spacing w:after="0"/>
        <w:ind w:left="4320" w:hanging="4320"/>
        <w:jc w:val="both"/>
        <w:rPr>
          <w:rFonts w:eastAsia="Calibri" w:cs="Arial"/>
        </w:rPr>
      </w:pPr>
      <w:r w:rsidRPr="009E4109">
        <w:rPr>
          <w:rFonts w:eastAsia="Calibri" w:cs="Arial"/>
        </w:rPr>
        <w:tab/>
        <w:t>fdarr@mwncmh.com</w:t>
      </w:r>
    </w:p>
    <w:p w:rsidR="009E4109" w:rsidRPr="009E4109" w:rsidRDefault="009E4109" w:rsidP="00E01787">
      <w:pPr>
        <w:spacing w:after="0"/>
        <w:ind w:left="4320" w:hanging="4320"/>
        <w:jc w:val="both"/>
        <w:rPr>
          <w:rFonts w:eastAsia="Calibri" w:cs="Arial"/>
        </w:rPr>
      </w:pPr>
      <w:r w:rsidRPr="009E4109">
        <w:rPr>
          <w:rFonts w:eastAsia="Calibri" w:cs="Arial"/>
        </w:rPr>
        <w:tab/>
        <w:t>mpritchard@mwncmh.com</w:t>
      </w:r>
    </w:p>
    <w:p w:rsidR="009E4109" w:rsidRPr="009E4109" w:rsidRDefault="009E4109" w:rsidP="009E4109">
      <w:pPr>
        <w:ind w:left="4320" w:hanging="4320"/>
        <w:jc w:val="both"/>
        <w:rPr>
          <w:rFonts w:eastAsia="Calibri" w:cs="Arial"/>
        </w:rPr>
      </w:pPr>
    </w:p>
    <w:p w:rsidR="009E4109" w:rsidRPr="009E4109" w:rsidRDefault="009E4109" w:rsidP="009E4109">
      <w:pPr>
        <w:jc w:val="both"/>
        <w:rPr>
          <w:rFonts w:eastAsia="Calibri" w:cs="Arial"/>
          <w:b/>
        </w:rPr>
      </w:pPr>
      <w:r w:rsidRPr="009E4109">
        <w:rPr>
          <w:rFonts w:eastAsia="Calibri" w:cs="Arial"/>
          <w:b/>
        </w:rPr>
        <w:tab/>
      </w:r>
      <w:r w:rsidRPr="009E4109">
        <w:rPr>
          <w:rFonts w:eastAsia="Calibri" w:cs="Arial"/>
          <w:b/>
        </w:rPr>
        <w:tab/>
      </w:r>
      <w:r w:rsidRPr="009E4109">
        <w:rPr>
          <w:rFonts w:eastAsia="Calibri" w:cs="Arial"/>
          <w:b/>
        </w:rPr>
        <w:tab/>
      </w:r>
      <w:r w:rsidRPr="009E4109">
        <w:rPr>
          <w:rFonts w:eastAsia="Calibri" w:cs="Arial"/>
          <w:b/>
        </w:rPr>
        <w:tab/>
      </w:r>
      <w:r w:rsidRPr="009E4109">
        <w:rPr>
          <w:rFonts w:eastAsia="Calibri" w:cs="Arial"/>
          <w:b/>
        </w:rPr>
        <w:tab/>
      </w:r>
      <w:r w:rsidRPr="009E4109">
        <w:rPr>
          <w:rFonts w:eastAsia="Calibri" w:cs="Arial"/>
          <w:b/>
        </w:rPr>
        <w:tab/>
        <w:t>Attorneys for Industrial Energy Users-Ohio</w:t>
      </w:r>
    </w:p>
    <w:p w:rsidR="009E4109" w:rsidRDefault="009E4109">
      <w:pPr>
        <w:rPr>
          <w:rFonts w:eastAsia="Times New Roman" w:cs="Arial"/>
        </w:rPr>
      </w:pPr>
      <w:r>
        <w:rPr>
          <w:rFonts w:eastAsia="Times New Roman" w:cs="Arial"/>
        </w:rPr>
        <w:br w:type="page"/>
      </w:r>
    </w:p>
    <w:p w:rsidR="009E4109" w:rsidRPr="009E4109" w:rsidRDefault="009E4109" w:rsidP="009E4109">
      <w:pPr>
        <w:jc w:val="center"/>
        <w:rPr>
          <w:rFonts w:ascii="Arial Bold" w:eastAsia="Times New Roman" w:hAnsi="Arial Bold" w:cs="Times New Roman"/>
          <w:b/>
          <w:caps/>
          <w:szCs w:val="20"/>
          <w:u w:val="single"/>
        </w:rPr>
      </w:pPr>
      <w:r w:rsidRPr="009E4109">
        <w:rPr>
          <w:rFonts w:ascii="Arial Bold" w:eastAsia="Times New Roman" w:hAnsi="Arial Bold" w:cs="Times New Roman"/>
          <w:b/>
          <w:caps/>
          <w:szCs w:val="20"/>
          <w:u w:val="single"/>
        </w:rPr>
        <w:lastRenderedPageBreak/>
        <w:t>Certificate of Service</w:t>
      </w:r>
    </w:p>
    <w:p w:rsidR="009E4109" w:rsidRPr="009E4109" w:rsidRDefault="009E4109" w:rsidP="009E4109">
      <w:pPr>
        <w:jc w:val="both"/>
        <w:rPr>
          <w:rFonts w:eastAsia="Times New Roman" w:cs="Times New Roman"/>
          <w:szCs w:val="20"/>
        </w:rPr>
      </w:pPr>
    </w:p>
    <w:p w:rsidR="009E4109" w:rsidRPr="009E4109" w:rsidRDefault="009E4109" w:rsidP="009E4109">
      <w:pPr>
        <w:spacing w:line="480" w:lineRule="auto"/>
        <w:ind w:firstLine="720"/>
        <w:jc w:val="both"/>
        <w:rPr>
          <w:rFonts w:ascii="Times New Roman" w:eastAsia="Times New Roman" w:hAnsi="Times New Roman" w:cs="Times New Roman"/>
        </w:rPr>
      </w:pPr>
      <w:r w:rsidRPr="009E4109">
        <w:rPr>
          <w:rFonts w:eastAsia="Times New Roman"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Pr>
          <w:rFonts w:eastAsia="Times New Roman" w:cs="Arial"/>
          <w:i/>
        </w:rPr>
        <w:t xml:space="preserve">Memorandum </w:t>
      </w:r>
      <w:r w:rsidRPr="009E4109">
        <w:rPr>
          <w:rFonts w:eastAsia="Times New Roman" w:cs="Arial"/>
          <w:i/>
        </w:rPr>
        <w:t>of Industrial Energy Users-Ohio</w:t>
      </w:r>
      <w:r>
        <w:rPr>
          <w:rFonts w:eastAsia="Times New Roman" w:cs="Arial"/>
          <w:i/>
        </w:rPr>
        <w:t xml:space="preserve"> in Opposition to the Application</w:t>
      </w:r>
      <w:r w:rsidR="00A8190B">
        <w:rPr>
          <w:rFonts w:eastAsia="Times New Roman" w:cs="Arial"/>
          <w:i/>
        </w:rPr>
        <w:t>s</w:t>
      </w:r>
      <w:r>
        <w:rPr>
          <w:rFonts w:eastAsia="Times New Roman" w:cs="Arial"/>
          <w:i/>
        </w:rPr>
        <w:t xml:space="preserve"> for Rehearing</w:t>
      </w:r>
      <w:r w:rsidR="00990DFC" w:rsidRPr="00990DFC">
        <w:rPr>
          <w:rFonts w:eastAsia="Calibri" w:cs="Arial"/>
          <w:b/>
          <w:caps/>
          <w:sz w:val="28"/>
          <w:szCs w:val="28"/>
        </w:rPr>
        <w:t xml:space="preserve"> </w:t>
      </w:r>
      <w:r w:rsidR="00990DFC" w:rsidRPr="00541AAB">
        <w:rPr>
          <w:rFonts w:eastAsia="Times New Roman" w:cs="Arial"/>
          <w:i/>
        </w:rPr>
        <w:t xml:space="preserve">of </w:t>
      </w:r>
      <w:r w:rsidR="00990DFC">
        <w:rPr>
          <w:rFonts w:eastAsia="Times New Roman" w:cs="Arial"/>
          <w:i/>
        </w:rPr>
        <w:t>the O</w:t>
      </w:r>
      <w:r w:rsidR="00990DFC" w:rsidRPr="00541AAB">
        <w:rPr>
          <w:rFonts w:eastAsia="Times New Roman" w:cs="Arial"/>
          <w:i/>
        </w:rPr>
        <w:t xml:space="preserve">hio </w:t>
      </w:r>
      <w:r w:rsidR="00990DFC">
        <w:rPr>
          <w:rFonts w:eastAsia="Times New Roman" w:cs="Arial"/>
          <w:i/>
        </w:rPr>
        <w:t>Power C</w:t>
      </w:r>
      <w:r w:rsidR="00990DFC" w:rsidRPr="00541AAB">
        <w:rPr>
          <w:rFonts w:eastAsia="Times New Roman" w:cs="Arial"/>
          <w:i/>
        </w:rPr>
        <w:t xml:space="preserve">ompany, </w:t>
      </w:r>
      <w:r w:rsidR="00990DFC" w:rsidRPr="00990DFC">
        <w:rPr>
          <w:rFonts w:eastAsia="Times New Roman" w:cs="Arial"/>
          <w:i/>
        </w:rPr>
        <w:t>Ohio</w:t>
      </w:r>
      <w:r w:rsidR="00990DFC">
        <w:rPr>
          <w:rFonts w:eastAsia="Times New Roman" w:cs="Arial"/>
          <w:i/>
        </w:rPr>
        <w:t xml:space="preserve"> M</w:t>
      </w:r>
      <w:r w:rsidR="00990DFC" w:rsidRPr="00541AAB">
        <w:rPr>
          <w:rFonts w:eastAsia="Times New Roman" w:cs="Arial"/>
          <w:i/>
        </w:rPr>
        <w:t>anufacturers</w:t>
      </w:r>
      <w:r w:rsidR="00990DFC">
        <w:rPr>
          <w:rFonts w:eastAsia="Times New Roman" w:cs="Arial"/>
          <w:i/>
        </w:rPr>
        <w:t>’ Association Energy Group, and Environmental A</w:t>
      </w:r>
      <w:r w:rsidR="00990DFC" w:rsidRPr="00541AAB">
        <w:rPr>
          <w:rFonts w:eastAsia="Times New Roman" w:cs="Arial"/>
          <w:i/>
        </w:rPr>
        <w:t>dvocates</w:t>
      </w:r>
      <w:r>
        <w:rPr>
          <w:rFonts w:eastAsia="Times New Roman" w:cs="Arial"/>
          <w:i/>
        </w:rPr>
        <w:t xml:space="preserve"> </w:t>
      </w:r>
      <w:r w:rsidRPr="009E4109">
        <w:rPr>
          <w:rFonts w:eastAsia="Times New Roman" w:cs="Arial"/>
        </w:rPr>
        <w:t xml:space="preserve">was sent by, or on behalf of, the undersigned counsel for IEU-Ohio to the following parties of record this </w:t>
      </w:r>
      <w:r>
        <w:rPr>
          <w:rFonts w:eastAsia="Times New Roman" w:cs="Arial"/>
        </w:rPr>
        <w:t>6th</w:t>
      </w:r>
      <w:r w:rsidRPr="009E4109">
        <w:rPr>
          <w:rFonts w:eastAsia="Times New Roman" w:cs="Arial"/>
        </w:rPr>
        <w:t xml:space="preserve"> day of </w:t>
      </w:r>
      <w:r>
        <w:rPr>
          <w:rFonts w:eastAsia="Times New Roman" w:cs="Arial"/>
        </w:rPr>
        <w:t>April</w:t>
      </w:r>
      <w:r w:rsidRPr="009E4109">
        <w:rPr>
          <w:rFonts w:eastAsia="Times New Roman" w:cs="Arial"/>
        </w:rPr>
        <w:t xml:space="preserve"> 2015, </w:t>
      </w:r>
      <w:r w:rsidRPr="009E4109">
        <w:rPr>
          <w:rFonts w:eastAsia="Times New Roman" w:cs="Arial"/>
          <w:i/>
        </w:rPr>
        <w:t>via</w:t>
      </w:r>
      <w:r w:rsidRPr="009E4109">
        <w:rPr>
          <w:rFonts w:eastAsia="Times New Roman" w:cs="Arial"/>
        </w:rPr>
        <w:t xml:space="preserve"> electronic transmission. </w:t>
      </w:r>
    </w:p>
    <w:p w:rsidR="009E4109" w:rsidRPr="009E4109" w:rsidRDefault="009E4109" w:rsidP="009E4109">
      <w:pPr>
        <w:tabs>
          <w:tab w:val="right" w:pos="8640"/>
        </w:tabs>
        <w:ind w:left="5040"/>
        <w:jc w:val="both"/>
        <w:rPr>
          <w:rFonts w:eastAsia="Times New Roman" w:cs="Arial"/>
          <w:u w:val="single"/>
        </w:rPr>
      </w:pPr>
      <w:r w:rsidRPr="009E4109">
        <w:rPr>
          <w:rFonts w:eastAsia="Times New Roman" w:cs="Arial"/>
          <w:u w:val="single"/>
        </w:rPr>
        <w:t>/s/ Frank P. Darr</w:t>
      </w:r>
      <w:r w:rsidRPr="009E4109">
        <w:rPr>
          <w:rFonts w:eastAsia="Times New Roman" w:cs="Arial"/>
          <w:u w:val="single"/>
        </w:rPr>
        <w:tab/>
      </w:r>
    </w:p>
    <w:p w:rsidR="009E4109" w:rsidRPr="009E4109" w:rsidRDefault="009E4109" w:rsidP="009E4109">
      <w:pPr>
        <w:tabs>
          <w:tab w:val="left" w:pos="2160"/>
          <w:tab w:val="left" w:pos="2280"/>
        </w:tabs>
        <w:jc w:val="both"/>
        <w:rPr>
          <w:rFonts w:eastAsia="Times New Roman" w:cs="Arial"/>
        </w:rPr>
      </w:pPr>
      <w:r w:rsidRPr="009E4109">
        <w:rPr>
          <w:rFonts w:eastAsia="Times New Roman" w:cs="Arial"/>
        </w:rPr>
        <w:tab/>
      </w:r>
      <w:r w:rsidRPr="009E4109">
        <w:rPr>
          <w:rFonts w:eastAsia="Times New Roman" w:cs="Arial"/>
        </w:rPr>
        <w:tab/>
      </w:r>
      <w:r w:rsidRPr="009E4109">
        <w:rPr>
          <w:rFonts w:eastAsia="Times New Roman" w:cs="Arial"/>
        </w:rPr>
        <w:tab/>
      </w:r>
      <w:r w:rsidRPr="009E4109">
        <w:rPr>
          <w:rFonts w:eastAsia="Times New Roman" w:cs="Arial"/>
        </w:rPr>
        <w:tab/>
      </w:r>
      <w:r w:rsidRPr="009E4109">
        <w:rPr>
          <w:rFonts w:eastAsia="Times New Roman" w:cs="Arial"/>
        </w:rPr>
        <w:tab/>
      </w:r>
      <w:r w:rsidRPr="009E4109">
        <w:rPr>
          <w:rFonts w:eastAsia="Times New Roman" w:cs="Arial"/>
        </w:rPr>
        <w:tab/>
      </w:r>
      <w:r w:rsidRPr="009E4109">
        <w:rPr>
          <w:rFonts w:eastAsia="Times New Roman" w:cs="Arial"/>
        </w:rPr>
        <w:tab/>
        <w:t>Frank P. Darr</w:t>
      </w:r>
    </w:p>
    <w:p w:rsidR="009E4109" w:rsidRPr="009E4109" w:rsidRDefault="009E4109" w:rsidP="009E4109">
      <w:pPr>
        <w:autoSpaceDE w:val="0"/>
        <w:autoSpaceDN w:val="0"/>
        <w:adjustRightInd w:val="0"/>
        <w:jc w:val="both"/>
        <w:rPr>
          <w:rFonts w:eastAsia="Calibri" w:cs="Arial"/>
        </w:rPr>
        <w:sectPr w:rsidR="009E4109" w:rsidRPr="009E4109" w:rsidSect="003D2771">
          <w:footerReference w:type="first" r:id="rId19"/>
          <w:pgSz w:w="12240" w:h="15840" w:code="1"/>
          <w:pgMar w:top="1440" w:right="1440" w:bottom="1141" w:left="1440" w:header="720" w:footer="720" w:gutter="0"/>
          <w:pgNumType w:start="1"/>
          <w:cols w:space="720"/>
          <w:titlePg/>
          <w:docGrid w:linePitch="326"/>
        </w:sectPr>
      </w:pPr>
    </w:p>
    <w:p w:rsidR="009E4109" w:rsidRPr="009E4109" w:rsidRDefault="009E4109" w:rsidP="009E4109">
      <w:pPr>
        <w:jc w:val="both"/>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Steven T. Nourse (0046705)</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Matthew J. Satterwhite (0071972)</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American Electric Power Corporation</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 Riverside Plaza, 29</w:t>
      </w:r>
      <w:r w:rsidRPr="009E4109">
        <w:rPr>
          <w:rFonts w:eastAsia="Times New Roman" w:cs="Times New Roman"/>
          <w:szCs w:val="20"/>
          <w:vertAlign w:val="superscript"/>
        </w:rPr>
        <w:t>th</w:t>
      </w:r>
      <w:r w:rsidRPr="009E4109">
        <w:rPr>
          <w:rFonts w:eastAsia="Times New Roman" w:cs="Times New Roman"/>
          <w:szCs w:val="20"/>
        </w:rPr>
        <w:t xml:space="preserve"> Floor</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43215-2373</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stnourse@aep.com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mjsatterwhite@aep.com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Daniel R. Conway (0023058)</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Porter Wright Morris &amp; Arthur</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Huntington Center</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41 South High Street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dconway@porterwright.com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J.A. Bouknight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Steptoe &amp; Johnson LLP</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1330 Connecticut Avenue, NW</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Washington, DC  20036</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lbouknight@steptoe.com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Ohio Power Company</w:t>
      </w:r>
    </w:p>
    <w:p w:rsidR="009E4109" w:rsidRPr="009E4109" w:rsidRDefault="009E4109" w:rsidP="00E84D5C">
      <w:pPr>
        <w:spacing w:after="0"/>
        <w:rPr>
          <w:rFonts w:eastAsia="Times New Roman" w:cs="Times New Roman"/>
          <w:b/>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br w:type="column"/>
      </w:r>
    </w:p>
    <w:p w:rsidR="009E4109" w:rsidRPr="009E4109" w:rsidRDefault="009E4109" w:rsidP="00E84D5C">
      <w:pPr>
        <w:spacing w:after="0"/>
        <w:rPr>
          <w:rFonts w:eastAsia="Times New Roman" w:cs="Times New Roman"/>
          <w:szCs w:val="20"/>
        </w:rPr>
      </w:pPr>
      <w:r w:rsidRPr="009E4109">
        <w:rPr>
          <w:rFonts w:eastAsia="Times New Roman" w:cs="Times New Roman"/>
          <w:szCs w:val="20"/>
        </w:rPr>
        <w:t>William L. Wright (0018010)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Werner Margard (0024858)</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Katherine Johnson (0091064)</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Assistant Attorneys’ General</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180 E. Broad Street, 6</w:t>
      </w:r>
      <w:r w:rsidRPr="009E4109">
        <w:rPr>
          <w:rFonts w:eastAsia="Times New Roman" w:cs="Times New Roman"/>
          <w:szCs w:val="20"/>
          <w:vertAlign w:val="superscript"/>
        </w:rPr>
        <w:t>th</w:t>
      </w:r>
      <w:r w:rsidRPr="009E4109">
        <w:rPr>
          <w:rFonts w:eastAsia="Times New Roman" w:cs="Times New Roman"/>
          <w:szCs w:val="20"/>
        </w:rPr>
        <w:t xml:space="preserve"> Floor</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43215-3793</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William.wright@puc.state.oh.us</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werner.margard@puc.state.oh.us</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katherine.johnson@puc.state.oh.us</w:t>
      </w:r>
    </w:p>
    <w:p w:rsidR="009E4109" w:rsidRPr="009E4109" w:rsidRDefault="009E4109" w:rsidP="00E84D5C">
      <w:pPr>
        <w:spacing w:after="0"/>
        <w:rPr>
          <w:rFonts w:eastAsia="Times New Roman" w:cs="Times New Roman"/>
          <w:b/>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the Staff of the Public</w:t>
      </w:r>
    </w:p>
    <w:p w:rsidR="009E4109" w:rsidRPr="009E4109" w:rsidRDefault="009E4109" w:rsidP="00E84D5C">
      <w:pPr>
        <w:spacing w:after="0"/>
        <w:rPr>
          <w:rFonts w:eastAsia="Times New Roman" w:cs="Times New Roman"/>
          <w:b/>
          <w:szCs w:val="20"/>
        </w:rPr>
      </w:pPr>
      <w:r w:rsidRPr="009E4109">
        <w:rPr>
          <w:rFonts w:ascii="Arial Bold" w:eastAsia="Times New Roman" w:hAnsi="Arial Bold" w:cs="Times New Roman"/>
          <w:b/>
          <w:smallCaps/>
          <w:szCs w:val="20"/>
        </w:rPr>
        <w:t>Utilities Commission of Ohio</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David F. Boehm (0021881)</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Michael L. Kurtz (0033350)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Jody Kyler Cohn (0085402)</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Boehm, Kurtz &amp; Lowry</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36 East Seventh Street, Suite 1510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Cincinnati, Ohio  45202</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dboehm@BKLlawfirm.com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mkurtz@BKLlawfirm.com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jkylercohn@BKLlawfirm.com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b/>
          <w:smallCaps/>
          <w:szCs w:val="20"/>
        </w:rPr>
      </w:pPr>
      <w:r w:rsidRPr="009E4109">
        <w:rPr>
          <w:rFonts w:eastAsia="Times New Roman" w:cs="Times New Roman"/>
          <w:b/>
          <w:smallCaps/>
          <w:szCs w:val="20"/>
        </w:rPr>
        <w:t>On Behalf of the Ohio Energy Group</w:t>
      </w:r>
    </w:p>
    <w:p w:rsidR="009E4109" w:rsidRPr="009E4109" w:rsidRDefault="009E4109" w:rsidP="00E84D5C">
      <w:pPr>
        <w:spacing w:after="0"/>
        <w:rPr>
          <w:rFonts w:eastAsia="Times New Roman" w:cs="Times New Roman"/>
          <w:szCs w:val="20"/>
        </w:rPr>
        <w:sectPr w:rsidR="009E4109" w:rsidRPr="009E4109" w:rsidSect="00BA6EEB">
          <w:headerReference w:type="default" r:id="rId20"/>
          <w:footerReference w:type="default" r:id="rId21"/>
          <w:headerReference w:type="first" r:id="rId22"/>
          <w:footerReference w:type="first" r:id="rId23"/>
          <w:type w:val="continuous"/>
          <w:pgSz w:w="12240" w:h="15840" w:code="1"/>
          <w:pgMar w:top="1440" w:right="1440" w:bottom="1440" w:left="1440" w:header="720" w:footer="720" w:gutter="0"/>
          <w:cols w:num="2" w:space="720"/>
          <w:titlePg/>
          <w:docGrid w:linePitch="360"/>
        </w:sect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lastRenderedPageBreak/>
        <w:t>Maureen R. Grady (0020847)</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Assistant Consumers’ Counsel</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Office of the Ohio Consumers’ Counsel</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10 West Broad Street, Suite 1800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43215-3485</w:t>
      </w:r>
    </w:p>
    <w:p w:rsidR="009E4109" w:rsidRPr="009E4109" w:rsidRDefault="008045FF" w:rsidP="00E84D5C">
      <w:pPr>
        <w:spacing w:after="0"/>
        <w:rPr>
          <w:rFonts w:eastAsia="Times New Roman" w:cs="Times New Roman"/>
          <w:szCs w:val="20"/>
        </w:rPr>
      </w:pPr>
      <w:hyperlink r:id="rId24" w:history="1">
        <w:r w:rsidR="009E4109" w:rsidRPr="009E4109">
          <w:rPr>
            <w:rFonts w:eastAsia="Times New Roman" w:cs="Times New Roman"/>
            <w:szCs w:val="20"/>
          </w:rPr>
          <w:t>grady@occ.state.oh.us</w:t>
        </w:r>
      </w:hyperlink>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b/>
          <w:smallCaps/>
          <w:szCs w:val="20"/>
        </w:rPr>
      </w:pPr>
      <w:r w:rsidRPr="009E4109">
        <w:rPr>
          <w:rFonts w:eastAsia="Times New Roman" w:cs="Times New Roman"/>
          <w:b/>
          <w:smallCaps/>
          <w:szCs w:val="20"/>
        </w:rPr>
        <w:t>On Behalf of the Office of the Ohio Consumers’ Counsel</w:t>
      </w:r>
    </w:p>
    <w:p w:rsidR="009E4109" w:rsidRPr="009E4109" w:rsidRDefault="009E4109" w:rsidP="00E84D5C">
      <w:pPr>
        <w:spacing w:after="0"/>
        <w:rPr>
          <w:rFonts w:eastAsia="Times New Roman" w:cs="Times New Roman"/>
          <w:b/>
          <w:smallCaps/>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Rocco D’Ascenzo (0077651)</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Duke Energy Ohio, Inc.</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139 East Fourth Street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Cincinnati, Ohio  45202</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Rocco.D’Ascenzo@duke-energy.com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Elizabeth H. Watts</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Assistant General Counsel</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Duke Energy Ohio</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155 East Broad Street, 21</w:t>
      </w:r>
      <w:r w:rsidRPr="009E4109">
        <w:rPr>
          <w:rFonts w:eastAsia="Times New Roman" w:cs="Times New Roman"/>
          <w:szCs w:val="20"/>
          <w:vertAlign w:val="superscript"/>
        </w:rPr>
        <w:t>st</w:t>
      </w:r>
      <w:r w:rsidRPr="009E4109">
        <w:rPr>
          <w:rFonts w:eastAsia="Times New Roman" w:cs="Times New Roman"/>
          <w:szCs w:val="20"/>
        </w:rPr>
        <w:t xml:space="preserve"> Floor</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Elizabeth.Watts@duke-energy.com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b/>
          <w:smallCaps/>
          <w:szCs w:val="20"/>
        </w:rPr>
        <w:t>On Behalf of Duke Energy Ohio, Inc.</w:t>
      </w:r>
      <w:r w:rsidRPr="009E4109">
        <w:rPr>
          <w:rFonts w:eastAsia="Times New Roman" w:cs="Times New Roman"/>
          <w:szCs w:val="20"/>
        </w:rPr>
        <w:t xml:space="preserve"> </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Barth E. Royer (0016999)</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Bell &amp; Royer Co</w:t>
      </w:r>
      <w:r w:rsidR="00341D74">
        <w:rPr>
          <w:rFonts w:eastAsia="Times New Roman" w:cs="Times New Roman"/>
          <w:smallCaps/>
          <w:szCs w:val="20"/>
        </w:rPr>
        <w:t>.</w:t>
      </w:r>
      <w:r w:rsidR="00341D74" w:rsidRPr="009E4109">
        <w:rPr>
          <w:rFonts w:eastAsia="Times New Roman" w:cs="Times New Roman"/>
          <w:smallCaps/>
          <w:szCs w:val="20"/>
        </w:rPr>
        <w:t>,</w:t>
      </w:r>
      <w:r w:rsidRPr="009E4109">
        <w:rPr>
          <w:rFonts w:eastAsia="Times New Roman" w:cs="Times New Roman"/>
          <w:smallCaps/>
          <w:szCs w:val="20"/>
        </w:rPr>
        <w:t xml:space="preserve"> LPA</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33 South Grant Avenue</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43215-3927</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BarthRoyer@aol.com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Gary A. Jeffries (0071742)</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Dominion Resources Services, Inc.</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501 Martindale Street, Suite 400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Pittsburg, PA  15212-5817</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Gary.A.Jeffries@dom.com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Dominion Retail, Inc. d/b/a Dominion Energy Solutions</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br w:type="column"/>
      </w:r>
      <w:r w:rsidRPr="009E4109">
        <w:rPr>
          <w:rFonts w:eastAsia="Times New Roman" w:cs="Times New Roman"/>
          <w:szCs w:val="20"/>
        </w:rPr>
        <w:lastRenderedPageBreak/>
        <w:t>Richard L. Sites (0019887)</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Ohio Hospital Association</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155 East Broad Street, 15</w:t>
      </w:r>
      <w:r w:rsidRPr="009E4109">
        <w:rPr>
          <w:rFonts w:eastAsia="Times New Roman" w:cs="Times New Roman"/>
          <w:szCs w:val="20"/>
          <w:vertAlign w:val="superscript"/>
        </w:rPr>
        <w:t>th</w:t>
      </w:r>
      <w:r w:rsidRPr="009E4109">
        <w:rPr>
          <w:rFonts w:eastAsia="Times New Roman" w:cs="Times New Roman"/>
          <w:szCs w:val="20"/>
        </w:rPr>
        <w:t xml:space="preserve"> Floor</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43215-3620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ricks@ohanet.org</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Thomas J. O’Brien (0066249)</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Dylan F. Borchers (0090690)</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Bricker &amp; Eckler LLP</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100 South Third Street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43215-4291</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tobrien@bricker.com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dborchers@bricker.com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The Ohio Hospital Association</w:t>
      </w:r>
    </w:p>
    <w:p w:rsidR="009E4109" w:rsidRPr="009E4109" w:rsidRDefault="009E4109" w:rsidP="00E84D5C">
      <w:pPr>
        <w:spacing w:after="0"/>
        <w:rPr>
          <w:rFonts w:ascii="Arial Bold" w:eastAsia="Times New Roman" w:hAnsi="Arial Bold" w:cs="Times New Roman"/>
          <w:b/>
          <w:smallCaps/>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Phillip B. Sineneng (0083406)</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Thompson Hine LLP</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41 South High Street, Suite 1700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PhilipSineneng@ThompsonHine.com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Duke Energy Retail Sales, LLC and Duke Energy Commercial Asset Management, Inc.</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sectPr w:rsidR="009E4109" w:rsidRPr="009E4109" w:rsidSect="00BA6EEB">
          <w:pgSz w:w="12240" w:h="15840" w:code="1"/>
          <w:pgMar w:top="1440" w:right="1440" w:bottom="1440" w:left="1440" w:header="720" w:footer="720" w:gutter="0"/>
          <w:cols w:num="2" w:space="720"/>
          <w:titlePg/>
          <w:docGrid w:linePitch="360"/>
        </w:sect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lastRenderedPageBreak/>
        <w:t>Mark A. Whitt (0067996)</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Andrew J. Campbell (0081485)</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Whitt Sturtevant LLP</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The KeyBank Building, Suite 1590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88 East Broad Street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whit@whitt-sturtevant.com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campbell@whitt-sturtevant.com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Lawrence Friedeman (0018902)</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Interstate Gas Supply, Inc.</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6100 Emerald Parkway</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Dublin, Ohio  43016</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lfriedeman@igsenergy.com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pPr>
      <w:r w:rsidRPr="009E4109">
        <w:t>Barth E. Royer</w:t>
      </w:r>
    </w:p>
    <w:p w:rsidR="009E4109" w:rsidRPr="009E4109" w:rsidRDefault="009E4109" w:rsidP="00E84D5C">
      <w:pPr>
        <w:spacing w:after="0"/>
        <w:rPr>
          <w:smallCaps/>
        </w:rPr>
      </w:pPr>
      <w:r w:rsidRPr="009E4109">
        <w:rPr>
          <w:smallCaps/>
        </w:rPr>
        <w:t>Barth E. Royer, LLC</w:t>
      </w:r>
    </w:p>
    <w:p w:rsidR="009E4109" w:rsidRPr="009E4109" w:rsidRDefault="009E4109" w:rsidP="00E84D5C">
      <w:pPr>
        <w:spacing w:after="0"/>
      </w:pPr>
      <w:r w:rsidRPr="009E4109">
        <w:t>2740 East Main Street</w:t>
      </w:r>
    </w:p>
    <w:p w:rsidR="009E4109" w:rsidRPr="009E4109" w:rsidRDefault="009E4109" w:rsidP="00E84D5C">
      <w:pPr>
        <w:spacing w:after="0"/>
      </w:pPr>
      <w:r w:rsidRPr="009E4109">
        <w:t>Bexley, Ohio  43209</w:t>
      </w:r>
    </w:p>
    <w:p w:rsidR="009E4109" w:rsidRPr="009E4109" w:rsidRDefault="009E4109" w:rsidP="00E84D5C">
      <w:pPr>
        <w:spacing w:after="0"/>
      </w:pPr>
      <w:r w:rsidRPr="009E4109">
        <w:t>BarthRoyer@aol.com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Interstate Gas Supply, Inc.</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Kimberly W. Bojko (0069402)</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Jonathan A. Allison</w:t>
      </w:r>
    </w:p>
    <w:p w:rsidR="009E4109" w:rsidRPr="009E4109" w:rsidRDefault="009E4109" w:rsidP="00E84D5C">
      <w:pPr>
        <w:spacing w:after="0"/>
        <w:rPr>
          <w:rFonts w:eastAsia="Times New Roman" w:cs="Times New Roman"/>
          <w:smallCaps/>
          <w:szCs w:val="20"/>
        </w:rPr>
      </w:pPr>
      <w:r w:rsidRPr="009E4109">
        <w:rPr>
          <w:rFonts w:eastAsia="Times New Roman" w:cs="Times New Roman"/>
          <w:smallCaps/>
          <w:szCs w:val="20"/>
        </w:rPr>
        <w:t>Carpenter Lipps &amp; Leland LLP</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280 Plaza, Suite 1300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280 North High Street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Columbus, Ohio 43215</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Bojko@carpenterlipps.com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Allison@carpenterlipps.com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OMA Energy Group</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br w:type="column"/>
      </w:r>
      <w:r w:rsidRPr="009E4109">
        <w:rPr>
          <w:rFonts w:eastAsia="Times New Roman" w:cs="Times New Roman"/>
          <w:szCs w:val="20"/>
        </w:rPr>
        <w:lastRenderedPageBreak/>
        <w:t>Mark A. Hayden (0081077)</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Jacob A. McDermott (0087187)</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Scott J. Casto (0085756)</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First Energy Service Company</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76 South Main Street</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Akron, Ohio  44308</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haydenm@firstenergycorp.com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jmcdermott@firstenergycorp.com</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scasto@firstenergycorp.com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eastAsia="Times New Roman" w:cs="Times New Roman"/>
          <w:szCs w:val="20"/>
        </w:rPr>
      </w:pPr>
      <w:r w:rsidRPr="009E4109">
        <w:rPr>
          <w:rFonts w:eastAsia="Times New Roman" w:cs="Times New Roman"/>
          <w:szCs w:val="20"/>
        </w:rPr>
        <w:t>David L. Schwartz</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Latham &amp; Watkins LLP</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555 Eleventh Street, NW</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Suite 1000</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Washington, D.C.  20004-1304</w:t>
      </w:r>
    </w:p>
    <w:p w:rsidR="009E4109" w:rsidRPr="009E4109" w:rsidRDefault="009E4109" w:rsidP="00E84D5C">
      <w:pPr>
        <w:spacing w:after="0"/>
        <w:rPr>
          <w:rFonts w:eastAsia="Times New Roman" w:cs="Times New Roman"/>
          <w:szCs w:val="20"/>
        </w:rPr>
      </w:pPr>
      <w:r w:rsidRPr="009E4109">
        <w:rPr>
          <w:rFonts w:eastAsia="Times New Roman" w:cs="Times New Roman"/>
          <w:szCs w:val="20"/>
        </w:rPr>
        <w:t>David.schwartz@lw.com</w:t>
      </w:r>
    </w:p>
    <w:p w:rsidR="009E4109" w:rsidRPr="009E4109" w:rsidRDefault="009E4109" w:rsidP="00E84D5C">
      <w:pPr>
        <w:spacing w:after="0"/>
        <w:rPr>
          <w:rFonts w:eastAsia="Times New Roman" w:cs="Times New Roman"/>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FirstEnergy Solutions Corp.</w:t>
      </w:r>
    </w:p>
    <w:p w:rsidR="009E4109" w:rsidRPr="009E4109" w:rsidRDefault="009E4109" w:rsidP="00E84D5C">
      <w:pPr>
        <w:spacing w:after="0"/>
        <w:rPr>
          <w:rFonts w:ascii="Arial Bold" w:eastAsia="Times New Roman" w:hAnsi="Arial Bold" w:cs="Times New Roman"/>
          <w:b/>
          <w:smallCaps/>
          <w:szCs w:val="20"/>
        </w:rPr>
      </w:pPr>
    </w:p>
    <w:p w:rsidR="009E4109" w:rsidRPr="009E4109" w:rsidRDefault="009E4109" w:rsidP="00E84D5C">
      <w:pPr>
        <w:spacing w:after="0"/>
        <w:rPr>
          <w:rFonts w:eastAsia="Times New Roman" w:cs="Arial"/>
          <w:szCs w:val="20"/>
        </w:rPr>
      </w:pPr>
      <w:r w:rsidRPr="009E4109">
        <w:rPr>
          <w:rFonts w:eastAsia="Times New Roman" w:cs="Arial"/>
          <w:szCs w:val="20"/>
        </w:rPr>
        <w:t>Colleen L. Mooney (0015668)</w:t>
      </w:r>
    </w:p>
    <w:p w:rsidR="009E4109" w:rsidRPr="009E4109" w:rsidRDefault="009E4109" w:rsidP="00E84D5C">
      <w:pPr>
        <w:spacing w:after="0"/>
        <w:rPr>
          <w:rFonts w:eastAsia="Times New Roman" w:cs="Arial"/>
          <w:smallCaps/>
          <w:szCs w:val="20"/>
        </w:rPr>
      </w:pPr>
      <w:r w:rsidRPr="009E4109">
        <w:rPr>
          <w:rFonts w:eastAsia="Times New Roman" w:cs="Arial"/>
          <w:smallCaps/>
          <w:szCs w:val="20"/>
        </w:rPr>
        <w:t>Ohio Partners for Affordable Energy</w:t>
      </w:r>
    </w:p>
    <w:p w:rsidR="009E4109" w:rsidRPr="009E4109" w:rsidRDefault="009E4109" w:rsidP="00E84D5C">
      <w:pPr>
        <w:spacing w:after="0"/>
        <w:rPr>
          <w:rFonts w:eastAsia="Times New Roman" w:cs="Arial"/>
          <w:szCs w:val="20"/>
        </w:rPr>
      </w:pPr>
      <w:r w:rsidRPr="009E4109">
        <w:rPr>
          <w:rFonts w:eastAsia="Times New Roman" w:cs="Arial"/>
          <w:szCs w:val="20"/>
        </w:rPr>
        <w:t>231 West Lima Street</w:t>
      </w:r>
    </w:p>
    <w:p w:rsidR="009E4109" w:rsidRPr="009E4109" w:rsidRDefault="009E4109" w:rsidP="00E84D5C">
      <w:pPr>
        <w:spacing w:after="0"/>
        <w:rPr>
          <w:rFonts w:eastAsia="Times New Roman" w:cs="Arial"/>
          <w:szCs w:val="20"/>
        </w:rPr>
      </w:pPr>
      <w:r w:rsidRPr="009E4109">
        <w:rPr>
          <w:rFonts w:eastAsia="Times New Roman" w:cs="Arial"/>
          <w:szCs w:val="20"/>
        </w:rPr>
        <w:t>Findlay, Ohio  45839-1793</w:t>
      </w:r>
    </w:p>
    <w:p w:rsidR="009E4109" w:rsidRPr="009E4109" w:rsidRDefault="009E4109" w:rsidP="00E84D5C">
      <w:pPr>
        <w:spacing w:after="0"/>
        <w:rPr>
          <w:rFonts w:eastAsia="Times New Roman" w:cs="Arial"/>
          <w:szCs w:val="20"/>
        </w:rPr>
      </w:pPr>
      <w:r w:rsidRPr="009E4109">
        <w:rPr>
          <w:rFonts w:eastAsia="Times New Roman" w:cs="Arial"/>
          <w:szCs w:val="20"/>
        </w:rPr>
        <w:t>cmooney@ohiopartners.org</w:t>
      </w:r>
    </w:p>
    <w:p w:rsidR="009E4109" w:rsidRPr="009E4109" w:rsidRDefault="009E4109" w:rsidP="00E84D5C">
      <w:pPr>
        <w:spacing w:after="0"/>
        <w:rPr>
          <w:rFonts w:ascii="Arial Bold" w:eastAsia="Times New Roman" w:hAnsi="Arial Bold" w:cs="Times New Roman"/>
          <w:b/>
          <w:smallCaps/>
          <w:szCs w:val="20"/>
        </w:rPr>
      </w:pPr>
    </w:p>
    <w:p w:rsidR="009E4109" w:rsidRPr="009E4109" w:rsidRDefault="009E4109" w:rsidP="00E84D5C">
      <w:pPr>
        <w:spacing w:after="0"/>
        <w:rPr>
          <w:rFonts w:ascii="Arial Bold" w:eastAsia="Times New Roman" w:hAnsi="Arial Bold" w:cs="Times New Roman"/>
          <w:b/>
          <w:smallCaps/>
          <w:szCs w:val="20"/>
        </w:rPr>
      </w:pPr>
      <w:r w:rsidRPr="009E4109">
        <w:rPr>
          <w:rFonts w:ascii="Arial Bold" w:eastAsia="Times New Roman" w:hAnsi="Arial Bold" w:cs="Times New Roman"/>
          <w:b/>
          <w:smallCaps/>
          <w:szCs w:val="20"/>
        </w:rPr>
        <w:t>On Behalf of Ohio Partners for Affordable Energy</w:t>
      </w:r>
    </w:p>
    <w:p w:rsidR="009E4109" w:rsidRPr="009E4109" w:rsidRDefault="009E4109" w:rsidP="00E84D5C">
      <w:pPr>
        <w:spacing w:after="0"/>
        <w:rPr>
          <w:rFonts w:ascii="Arial Bold" w:eastAsia="Times New Roman" w:hAnsi="Arial Bold" w:cs="Times New Roman"/>
          <w:b/>
          <w:smallCaps/>
          <w:szCs w:val="20"/>
        </w:rPr>
      </w:pPr>
    </w:p>
    <w:p w:rsidR="009E4109" w:rsidRPr="009E4109" w:rsidRDefault="009E4109" w:rsidP="00E84D5C">
      <w:pPr>
        <w:spacing w:after="0"/>
        <w:rPr>
          <w:rFonts w:eastAsia="Times New Roman" w:cs="Arial"/>
          <w:szCs w:val="20"/>
        </w:rPr>
      </w:pPr>
      <w:r w:rsidRPr="009E4109">
        <w:rPr>
          <w:rFonts w:eastAsia="Times New Roman" w:cs="Arial"/>
          <w:szCs w:val="20"/>
        </w:rPr>
        <w:t>Mark S. Yurick (0039176)</w:t>
      </w:r>
    </w:p>
    <w:p w:rsidR="009E4109" w:rsidRPr="009E4109" w:rsidRDefault="009E4109" w:rsidP="00E84D5C">
      <w:pPr>
        <w:spacing w:after="0"/>
        <w:rPr>
          <w:rFonts w:eastAsia="Times New Roman" w:cs="Arial"/>
          <w:smallCaps/>
          <w:szCs w:val="20"/>
        </w:rPr>
      </w:pPr>
      <w:r w:rsidRPr="009E4109">
        <w:rPr>
          <w:rFonts w:eastAsia="Times New Roman" w:cs="Arial"/>
          <w:smallCaps/>
          <w:szCs w:val="20"/>
        </w:rPr>
        <w:t>Taft, Stettinius &amp; Hollister LLP</w:t>
      </w:r>
    </w:p>
    <w:p w:rsidR="009E4109" w:rsidRPr="009E4109" w:rsidRDefault="009E4109" w:rsidP="00E84D5C">
      <w:pPr>
        <w:spacing w:after="0"/>
        <w:rPr>
          <w:rFonts w:eastAsia="Times New Roman" w:cs="Arial"/>
          <w:szCs w:val="20"/>
        </w:rPr>
      </w:pPr>
      <w:r w:rsidRPr="009E4109">
        <w:rPr>
          <w:rFonts w:eastAsia="Times New Roman" w:cs="Arial"/>
          <w:szCs w:val="20"/>
        </w:rPr>
        <w:t>65 East State Street, Suite 1000</w:t>
      </w:r>
    </w:p>
    <w:p w:rsidR="009E4109" w:rsidRPr="009E4109" w:rsidRDefault="009E4109" w:rsidP="00E84D5C">
      <w:pPr>
        <w:spacing w:after="0"/>
        <w:rPr>
          <w:rFonts w:eastAsia="Times New Roman" w:cs="Arial"/>
          <w:szCs w:val="20"/>
        </w:rPr>
      </w:pPr>
      <w:r w:rsidRPr="009E4109">
        <w:rPr>
          <w:rFonts w:eastAsia="Times New Roman" w:cs="Arial"/>
          <w:szCs w:val="20"/>
        </w:rPr>
        <w:t>Columbus, Ohio  43215</w:t>
      </w:r>
    </w:p>
    <w:p w:rsidR="009E4109" w:rsidRPr="009E4109" w:rsidRDefault="009E4109" w:rsidP="00E84D5C">
      <w:pPr>
        <w:spacing w:after="0"/>
        <w:rPr>
          <w:rFonts w:eastAsia="Times New Roman" w:cs="Arial"/>
          <w:szCs w:val="20"/>
        </w:rPr>
      </w:pPr>
      <w:r w:rsidRPr="009E4109">
        <w:rPr>
          <w:rFonts w:eastAsia="Times New Roman" w:cs="Arial"/>
          <w:szCs w:val="20"/>
        </w:rPr>
        <w:t>myurick@taftlaw.com</w:t>
      </w:r>
    </w:p>
    <w:p w:rsidR="009E4109" w:rsidRPr="009E4109" w:rsidRDefault="009E4109" w:rsidP="00E84D5C">
      <w:pPr>
        <w:spacing w:after="0"/>
        <w:rPr>
          <w:rFonts w:eastAsia="Times New Roman" w:cs="Arial"/>
          <w:szCs w:val="20"/>
        </w:rPr>
      </w:pPr>
    </w:p>
    <w:p w:rsidR="009E4109" w:rsidRPr="009E4109" w:rsidRDefault="009E4109" w:rsidP="00E84D5C">
      <w:pPr>
        <w:spacing w:after="0"/>
        <w:rPr>
          <w:rFonts w:ascii="Arial Bold" w:eastAsia="Times New Roman" w:hAnsi="Arial Bold" w:cs="Arial"/>
          <w:b/>
          <w:smallCaps/>
          <w:szCs w:val="20"/>
        </w:rPr>
      </w:pPr>
      <w:r w:rsidRPr="009E4109">
        <w:rPr>
          <w:rFonts w:ascii="Arial Bold" w:eastAsia="Times New Roman" w:hAnsi="Arial Bold" w:cs="Arial"/>
          <w:b/>
          <w:smallCaps/>
          <w:szCs w:val="20"/>
        </w:rPr>
        <w:t>On Behalf of The Kroger Co.</w:t>
      </w:r>
    </w:p>
    <w:p w:rsidR="009E4109" w:rsidRPr="009E4109" w:rsidRDefault="009E4109" w:rsidP="00E84D5C">
      <w:pPr>
        <w:spacing w:after="0"/>
        <w:rPr>
          <w:rFonts w:ascii="Arial Bold" w:eastAsia="Times New Roman" w:hAnsi="Arial Bold" w:cs="Arial"/>
          <w:b/>
          <w:smallCaps/>
          <w:szCs w:val="2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Judi L. Sobecki (0067186)</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The Dayton Power and Light Company</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1065 Woodman Drive</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Dayton, Ohio  45432</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judi.sobecki@aes.com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ascii="Arial Bold" w:eastAsia="Times New Roman" w:hAnsi="Arial Bold" w:cs="Arial"/>
          <w:b/>
          <w:smallCaps/>
          <w:color w:val="000000"/>
        </w:rPr>
      </w:pPr>
      <w:r w:rsidRPr="009E4109">
        <w:rPr>
          <w:rFonts w:ascii="Arial Bold" w:eastAsia="Times New Roman" w:hAnsi="Arial Bold" w:cs="Arial"/>
          <w:b/>
          <w:smallCaps/>
          <w:color w:val="000000"/>
        </w:rPr>
        <w:t>On Behalf of The Dayton Power and Light Company</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lastRenderedPageBreak/>
        <w:t>Joseph M. Clark (0080711)</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Direct Energy</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21 East State Street, 19th Floor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43215</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joseph.clark@directenergy.com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ascii="Arial Bold" w:eastAsia="Times New Roman" w:hAnsi="Arial Bold" w:cs="Arial"/>
          <w:b/>
          <w:smallCaps/>
          <w:color w:val="000000"/>
        </w:rPr>
      </w:pPr>
      <w:r w:rsidRPr="009E4109">
        <w:rPr>
          <w:rFonts w:ascii="Arial Bold" w:eastAsia="Times New Roman" w:hAnsi="Arial Bold" w:cs="Arial"/>
          <w:b/>
          <w:smallCaps/>
          <w:color w:val="000000"/>
        </w:rPr>
        <w:t>On</w:t>
      </w:r>
      <w:r w:rsidRPr="009E4109">
        <w:rPr>
          <w:rFonts w:ascii="Arial Bold" w:eastAsia="Times New Roman" w:hAnsi="Arial Bold" w:cs="Arial"/>
          <w:b/>
          <w:color w:val="000000"/>
        </w:rPr>
        <w:t xml:space="preserve"> </w:t>
      </w:r>
      <w:r w:rsidRPr="009E4109">
        <w:rPr>
          <w:rFonts w:ascii="Arial Bold" w:eastAsia="Times New Roman" w:hAnsi="Arial Bold" w:cs="Arial"/>
          <w:b/>
          <w:smallCaps/>
          <w:color w:val="000000"/>
        </w:rPr>
        <w:t>Behalf</w:t>
      </w:r>
      <w:r w:rsidRPr="009E4109">
        <w:rPr>
          <w:rFonts w:ascii="Arial Bold" w:eastAsia="Times New Roman" w:hAnsi="Arial Bold" w:cs="Arial"/>
          <w:b/>
          <w:color w:val="000000"/>
        </w:rPr>
        <w:t xml:space="preserve"> </w:t>
      </w:r>
      <w:r w:rsidRPr="009E4109">
        <w:rPr>
          <w:rFonts w:ascii="Arial Bold" w:eastAsia="Times New Roman" w:hAnsi="Arial Bold" w:cs="Arial"/>
          <w:b/>
          <w:smallCaps/>
          <w:color w:val="000000"/>
        </w:rPr>
        <w:t>of Direct Energy Services, LLC and Direct Energy Business, LLC</w:t>
      </w:r>
    </w:p>
    <w:p w:rsidR="009E4109" w:rsidRPr="009E4109" w:rsidRDefault="009E4109" w:rsidP="00E84D5C">
      <w:pPr>
        <w:tabs>
          <w:tab w:val="left" w:pos="4680"/>
        </w:tabs>
        <w:spacing w:after="0"/>
        <w:rPr>
          <w:rFonts w:eastAsia="Times New Roman" w:cs="Arial"/>
          <w:smallCaps/>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Trent Dougherty (0079817)</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Ohio Environmental Council</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1207 Grandview Avenue, Suite 201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43212-3449</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tdougherty@theOEC.org</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John Finnigan (0018689)</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Senior Regulatory Attorney</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Environmental Defense Fund</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128 Winding Brook Lane</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Terrace Park, Ohio  45174</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jfinnigan@edf.org</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ascii="Arial Bold" w:eastAsia="Times New Roman" w:hAnsi="Arial Bold" w:cs="Arial"/>
          <w:b/>
          <w:smallCaps/>
          <w:color w:val="000000"/>
        </w:rPr>
      </w:pPr>
      <w:r w:rsidRPr="009E4109">
        <w:rPr>
          <w:rFonts w:ascii="Arial Bold" w:eastAsia="Times New Roman" w:hAnsi="Arial Bold" w:cs="Arial"/>
          <w:b/>
          <w:smallCaps/>
          <w:color w:val="000000"/>
        </w:rPr>
        <w:t>On Behalf of the Ohio Environmental Council and Environmental Defense Fund</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Michael R. Smalz (0041897)</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Ohio Poverty Law Center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555 Buttles Avenue</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43215-1137</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msmalz@ohiopovertylaw.com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Peggy P. Lee (0067912)</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Southeastern Ohio Legal Services</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964 E. State Street</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Athens, Ohio 45701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plee@oslsa.org</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the Appalachian Peace and Justice Network</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br w:type="column"/>
      </w:r>
      <w:r w:rsidRPr="009E4109">
        <w:rPr>
          <w:rFonts w:eastAsia="Times New Roman" w:cs="Arial"/>
          <w:color w:val="000000"/>
        </w:rPr>
        <w:lastRenderedPageBreak/>
        <w:t>Robert Kelter</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Environmental Law &amp; Policy Center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35 East Wacker Drive, Suite 1600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Chicago, IL  60601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rkelter@elpc.org</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Madeline Fleisher</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Environmental Law &amp; Policy Center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1207 Grandview Avenue, Suite 201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  43212</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mfleisher@elpc.org</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ascii="Arial Bold" w:eastAsia="Times New Roman" w:hAnsi="Arial Bold" w:cs="Arial"/>
          <w:b/>
          <w:smallCaps/>
          <w:color w:val="000000"/>
        </w:rPr>
      </w:pPr>
      <w:r w:rsidRPr="009E4109">
        <w:rPr>
          <w:rFonts w:ascii="Arial Bold" w:eastAsia="Times New Roman" w:hAnsi="Arial Bold" w:cs="Arial"/>
          <w:b/>
          <w:smallCaps/>
          <w:color w:val="000000"/>
        </w:rPr>
        <w:t>On Behalf of the Environmental Law and Policy Center</w:t>
      </w:r>
    </w:p>
    <w:p w:rsidR="009E4109" w:rsidRPr="009E4109" w:rsidRDefault="009E4109" w:rsidP="00E84D5C">
      <w:pPr>
        <w:tabs>
          <w:tab w:val="left" w:pos="4680"/>
        </w:tabs>
        <w:spacing w:after="0"/>
        <w:rPr>
          <w:rFonts w:ascii="Arial Bold" w:eastAsia="Times New Roman" w:hAnsi="Arial Bold" w:cs="Arial"/>
          <w:b/>
          <w:smallCaps/>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 Howard Petricoff</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Gretchen L. Petrucci</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Vorys, Sater, Seymour and Pease LLP</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52 East Gay Street</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P.O. Box 1008</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43216-1008</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mhpetricoff@vorys.com</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glpetrucci@vorys.com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the Retail Energy Supply Association</w:t>
      </w:r>
    </w:p>
    <w:p w:rsidR="009E4109" w:rsidRPr="009E4109" w:rsidRDefault="009E4109" w:rsidP="00E84D5C">
      <w:pPr>
        <w:tabs>
          <w:tab w:val="left" w:pos="4680"/>
        </w:tabs>
        <w:spacing w:after="0"/>
        <w:rPr>
          <w:rFonts w:eastAsia="Times New Roman" w:cs="Arial"/>
          <w:b/>
          <w:smallCaps/>
          <w:color w:val="000000"/>
        </w:rPr>
      </w:pPr>
    </w:p>
    <w:p w:rsidR="009E4109" w:rsidRPr="009E4109" w:rsidRDefault="009E4109" w:rsidP="00E84D5C">
      <w:pPr>
        <w:tabs>
          <w:tab w:val="left" w:pos="4680"/>
        </w:tabs>
        <w:spacing w:after="0"/>
        <w:rPr>
          <w:rFonts w:eastAsia="Times New Roman" w:cs="Arial"/>
          <w:color w:val="000000"/>
        </w:rPr>
        <w:sectPr w:rsidR="009E4109" w:rsidRPr="009E4109" w:rsidSect="00BA6EEB">
          <w:pgSz w:w="12240" w:h="15840" w:code="1"/>
          <w:pgMar w:top="1440" w:right="1440" w:bottom="1440" w:left="1440" w:header="720" w:footer="720" w:gutter="0"/>
          <w:cols w:num="2" w:space="720"/>
          <w:titlePg/>
          <w:docGrid w:linePitch="360"/>
        </w:sect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lastRenderedPageBreak/>
        <w:t>M. Howard Petricoff (0008287)</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Michael J. Settineri (0073369)</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Gretchen L. Petrucci (0046608)</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Vorys, Sater, Seymour and Pease LLP</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52 East Gay Street</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P.O. Box 1008</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43216-1008</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mhpetricoff@vorys.com</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mjsettineri@vorys.com</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glpetrucci@vorys.com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David I Fein</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Vice President, State Government Affairs-East</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Exelon Corporation</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10 South Dearborn Street, 47th Floor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Chicago, IL  60603</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david.fein@exeloncorp.com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Cynthia Fonner Brady</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Assistant General Counsel</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Exelon Business Services Company</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4300 Winfield Road</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Warrenville, IL  60555</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cynthia.brady@constellation.com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Lael Campbell</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Exelon</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101 Constitution Avenue, NW</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Washington, DC  20001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Lael.Campbell@constellation.com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Constellation NewEnergy, Inc. and Exelon Generation Company, LLC</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br w:type="column"/>
      </w:r>
      <w:r w:rsidRPr="009E4109">
        <w:rPr>
          <w:rFonts w:eastAsia="Times New Roman" w:cs="Arial"/>
          <w:color w:val="000000"/>
        </w:rPr>
        <w:lastRenderedPageBreak/>
        <w:t>Lisa M. Hawrot</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Spilman Thomas &amp; Battle, PLLC</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Century Centre Building</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1233 Main Street, Suite 4000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P.O. Box 831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Wheeling, WV  26003-8731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lhawrot@spilmanlaw.com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Derrick Price Williamson</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Spilman Thomas &amp; Battle, PLLC</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1100 Bent Creek Blvd., Suite 101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Mechanicsburg, PA  17050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dwilliamson@spilmanlaw.com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Steve W. Chriss</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Senior Manager, Energy Regulatory Analysis</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Wal-Mart Stores, Inc.</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2001 SE 10th Street</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Bentonville, AR  72716-0550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Stephen.Chriss@walmart.com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Wal-Mart Stores East, LP and Sam’s East, Inc.</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Samantha Williams</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Natural Resources Defense Council</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20 N. Wacker Drive, Suite 1600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Chicago, IL  60606</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swilliams@nrdc.org</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the Natural Resources Defense Council</w:t>
      </w:r>
    </w:p>
    <w:p w:rsidR="009E4109" w:rsidRPr="009E4109" w:rsidRDefault="009E4109" w:rsidP="00E84D5C">
      <w:pPr>
        <w:tabs>
          <w:tab w:val="left" w:pos="4680"/>
        </w:tabs>
        <w:spacing w:after="0"/>
        <w:rPr>
          <w:rFonts w:eastAsia="Times New Roman" w:cs="Arial"/>
          <w:b/>
          <w:smallCaps/>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Kevin R. Schmidt (0086722)</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Energy Professionals of Ohio</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88 East Broad Street, Suite 1770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43215</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Schmidt@sppgrp.com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ascii="Arial Bold" w:eastAsia="Times New Roman" w:hAnsi="Arial Bold" w:cs="Arial"/>
          <w:b/>
          <w:smallCaps/>
          <w:color w:val="000000"/>
        </w:rPr>
      </w:pPr>
      <w:r w:rsidRPr="009E4109">
        <w:rPr>
          <w:rFonts w:ascii="Arial Bold" w:eastAsia="Times New Roman" w:hAnsi="Arial Bold" w:cs="Arial"/>
          <w:b/>
          <w:smallCaps/>
          <w:color w:val="000000"/>
        </w:rPr>
        <w:t>On Behalf of the Energy Professionals of Ohio</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br w:type="column"/>
      </w:r>
      <w:r w:rsidRPr="009E4109">
        <w:rPr>
          <w:rFonts w:eastAsia="Times New Roman" w:cs="Arial"/>
          <w:color w:val="000000"/>
        </w:rPr>
        <w:lastRenderedPageBreak/>
        <w:t>Gregory J. Poulos (0070532)</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EnerNOC, Inc.</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471 E. Broad Street, Suite 1520</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43215</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gpoulos@enernoc.com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EnerNOC, Inc.</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J. Thomas Siwo (0088069)</w:t>
      </w:r>
    </w:p>
    <w:p w:rsidR="009E4109" w:rsidRPr="009E4109" w:rsidRDefault="009E4109" w:rsidP="00E84D5C">
      <w:pPr>
        <w:tabs>
          <w:tab w:val="left" w:pos="4680"/>
        </w:tabs>
        <w:spacing w:after="0"/>
        <w:rPr>
          <w:rFonts w:eastAsia="Times New Roman" w:cs="Arial"/>
          <w:smallCaps/>
          <w:color w:val="000000"/>
        </w:rPr>
      </w:pPr>
      <w:r w:rsidRPr="009E4109">
        <w:rPr>
          <w:rFonts w:eastAsia="Times New Roman" w:cs="Arial"/>
          <w:smallCaps/>
          <w:color w:val="000000"/>
        </w:rPr>
        <w:t>Bricker &amp; Eckler LLP</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100 South Third Street</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Ohio  43215-4291</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tsiwo@bricker.com</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b/>
          <w:smallCaps/>
          <w:color w:val="000000"/>
        </w:rPr>
      </w:pPr>
      <w:r w:rsidRPr="009E4109">
        <w:rPr>
          <w:rFonts w:eastAsia="Times New Roman" w:cs="Arial"/>
          <w:b/>
          <w:smallCaps/>
          <w:color w:val="000000"/>
        </w:rPr>
        <w:t>On Behalf of Paulding Wind Farm II LLC</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Sarah Parrot (0082197)</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 xml:space="preserve">Greta See </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Attorney Examiner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Public Utilities Commission of Ohio</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180 East Broad Street, 12</w:t>
      </w:r>
      <w:r w:rsidRPr="009E4109">
        <w:rPr>
          <w:rFonts w:eastAsia="Times New Roman" w:cs="Arial"/>
          <w:color w:val="000000"/>
          <w:vertAlign w:val="superscript"/>
        </w:rPr>
        <w:t>th</w:t>
      </w:r>
      <w:r w:rsidRPr="009E4109">
        <w:rPr>
          <w:rFonts w:eastAsia="Times New Roman" w:cs="Arial"/>
          <w:color w:val="000000"/>
        </w:rPr>
        <w:t xml:space="preserve"> Floor</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Columbus, OH  43215</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sarah.parrot@puc.state.oh.us</w:t>
      </w:r>
    </w:p>
    <w:p w:rsidR="009E4109" w:rsidRPr="009E4109" w:rsidRDefault="009E4109" w:rsidP="00E84D5C">
      <w:pPr>
        <w:tabs>
          <w:tab w:val="left" w:pos="4680"/>
        </w:tabs>
        <w:spacing w:after="0"/>
        <w:rPr>
          <w:rFonts w:eastAsia="Times New Roman" w:cs="Arial"/>
          <w:color w:val="000000"/>
        </w:rPr>
      </w:pPr>
      <w:r w:rsidRPr="009E4109">
        <w:rPr>
          <w:rFonts w:eastAsia="Times New Roman" w:cs="Arial"/>
          <w:color w:val="000000"/>
        </w:rPr>
        <w:t>Greta.See@puc.state.oh.us</w:t>
      </w:r>
    </w:p>
    <w:p w:rsidR="009E4109" w:rsidRPr="009E4109" w:rsidRDefault="009E4109" w:rsidP="00E84D5C">
      <w:pPr>
        <w:tabs>
          <w:tab w:val="left" w:pos="4680"/>
        </w:tabs>
        <w:spacing w:after="0"/>
        <w:rPr>
          <w:rFonts w:eastAsia="Times New Roman" w:cs="Arial"/>
          <w:color w:val="000000"/>
        </w:rPr>
      </w:pPr>
    </w:p>
    <w:p w:rsidR="009E4109" w:rsidRPr="009E4109" w:rsidRDefault="009E4109" w:rsidP="00E84D5C">
      <w:pPr>
        <w:tabs>
          <w:tab w:val="left" w:pos="2160"/>
          <w:tab w:val="left" w:pos="2280"/>
        </w:tabs>
        <w:spacing w:after="0"/>
        <w:rPr>
          <w:rFonts w:ascii="Arial Bold" w:eastAsia="Times New Roman" w:hAnsi="Arial Bold" w:cs="Arial"/>
          <w:b/>
          <w:smallCaps/>
        </w:rPr>
      </w:pPr>
      <w:r w:rsidRPr="009E4109">
        <w:rPr>
          <w:rFonts w:eastAsia="Times New Roman" w:cs="Arial"/>
          <w:b/>
          <w:smallCaps/>
          <w:color w:val="000000"/>
        </w:rPr>
        <w:t>Attorney Examiner</w:t>
      </w:r>
    </w:p>
    <w:p w:rsidR="009E4109" w:rsidRPr="009E4109" w:rsidRDefault="009E4109" w:rsidP="009E4109">
      <w:pPr>
        <w:rPr>
          <w:rFonts w:eastAsia="Times New Roman" w:cs="Arial"/>
        </w:rPr>
      </w:pPr>
    </w:p>
    <w:p w:rsidR="009E4109" w:rsidRPr="009E4109" w:rsidRDefault="009E4109" w:rsidP="009E4109">
      <w:pPr>
        <w:rPr>
          <w:rFonts w:eastAsia="Times New Roman" w:cs="Arial"/>
        </w:rPr>
      </w:pPr>
    </w:p>
    <w:p w:rsidR="009E4109" w:rsidRPr="009E4109" w:rsidRDefault="009E4109" w:rsidP="009E4109">
      <w:pPr>
        <w:rPr>
          <w:rFonts w:eastAsia="Times New Roman" w:cs="Arial"/>
        </w:rPr>
      </w:pPr>
    </w:p>
    <w:p w:rsidR="009E4109" w:rsidRPr="009E4109" w:rsidRDefault="009E4109" w:rsidP="009E4109">
      <w:pPr>
        <w:jc w:val="both"/>
      </w:pPr>
    </w:p>
    <w:p w:rsidR="009E4109" w:rsidRDefault="009E4109" w:rsidP="000C07F8">
      <w:pPr>
        <w:spacing w:line="480" w:lineRule="auto"/>
        <w:jc w:val="both"/>
        <w:rPr>
          <w:rFonts w:eastAsia="Times New Roman" w:cs="Arial"/>
        </w:rPr>
      </w:pPr>
    </w:p>
    <w:sectPr w:rsidR="009E4109" w:rsidSect="003D2771">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6F" w:rsidRDefault="0096396F" w:rsidP="0044491C">
      <w:r>
        <w:separator/>
      </w:r>
    </w:p>
  </w:endnote>
  <w:endnote w:type="continuationSeparator" w:id="0">
    <w:p w:rsidR="0096396F" w:rsidRDefault="0096396F" w:rsidP="0044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FF" w:rsidRDefault="008045F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3473F1" w:rsidRDefault="008045FF">
    <w:pPr>
      <w:pStyle w:val="Footer"/>
    </w:pPr>
    <w:r w:rsidRPr="008045FF">
      <w:rPr>
        <w:noProof/>
        <w:sz w:val="16"/>
      </w:rPr>
      <w:t>{C46992:2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3473F1" w:rsidRDefault="008045FF">
    <w:pPr>
      <w:pStyle w:val="Footer"/>
    </w:pPr>
    <w:r w:rsidRPr="008045FF">
      <w:rPr>
        <w:noProof/>
        <w:sz w:val="16"/>
      </w:rPr>
      <w:t>{C46992:2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DD43C4" w:rsidRDefault="008045FF" w:rsidP="00BA6EEB">
    <w:pPr>
      <w:pStyle w:val="Footer"/>
    </w:pPr>
    <w:r w:rsidRPr="008045FF">
      <w:rPr>
        <w:noProof/>
        <w:sz w:val="16"/>
      </w:rPr>
      <w:t>{C46992:2 }</w:t>
    </w:r>
    <w:sdt>
      <w:sdtPr>
        <w:id w:val="1231804515"/>
        <w:docPartObj>
          <w:docPartGallery w:val="Page Numbers (Bottom of Page)"/>
          <w:docPartUnique/>
        </w:docPartObj>
      </w:sdtPr>
      <w:sdtEndPr>
        <w:rPr>
          <w:noProof/>
        </w:rPr>
      </w:sdtEndPr>
      <w:sdtContent>
        <w:r w:rsidR="0096396F">
          <w:tab/>
        </w:r>
        <w:r w:rsidR="0096396F">
          <w:fldChar w:fldCharType="begin"/>
        </w:r>
        <w:r w:rsidR="0096396F">
          <w:instrText xml:space="preserve"> PAGE  \* roman  \* MERGEFORMAT </w:instrText>
        </w:r>
        <w:r w:rsidR="0096396F">
          <w:fldChar w:fldCharType="separate"/>
        </w:r>
        <w:r w:rsidR="0096396F">
          <w:rPr>
            <w:noProof/>
          </w:rPr>
          <w:t>i</w:t>
        </w:r>
        <w:r w:rsidR="0096396F">
          <w:fldChar w:fldCharType="end"/>
        </w:r>
      </w:sdtContent>
    </w:sdt>
  </w:p>
  <w:p w:rsidR="0096396F" w:rsidRPr="00DD43C4" w:rsidRDefault="0096396F" w:rsidP="00BA6E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4A225A" w:rsidRDefault="008045FF" w:rsidP="00BA6EEB">
    <w:pPr>
      <w:pStyle w:val="Footer"/>
    </w:pPr>
    <w:r w:rsidRPr="008045FF">
      <w:rPr>
        <w:noProof/>
        <w:sz w:val="16"/>
      </w:rPr>
      <w:t>{C46992:2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3D2771" w:rsidRDefault="008045FF" w:rsidP="00855301">
    <w:pPr>
      <w:pStyle w:val="Footer"/>
    </w:pPr>
    <w:r w:rsidRPr="008045FF">
      <w:rPr>
        <w:noProof/>
        <w:sz w:val="16"/>
      </w:rPr>
      <w:t>{C46992:2 }</w:t>
    </w:r>
    <w:sdt>
      <w:sdtPr>
        <w:id w:val="-1296598281"/>
        <w:docPartObj>
          <w:docPartGallery w:val="Page Numbers (Bottom of Page)"/>
          <w:docPartUnique/>
        </w:docPartObj>
      </w:sdtPr>
      <w:sdtEndPr>
        <w:rPr>
          <w:noProof/>
        </w:rPr>
      </w:sdtEndPr>
      <w:sdtContent>
        <w:r w:rsidR="0096396F">
          <w:tab/>
        </w:r>
        <w:r w:rsidR="0096396F" w:rsidRPr="003D2771">
          <w:fldChar w:fldCharType="begin"/>
        </w:r>
        <w:r w:rsidR="0096396F" w:rsidRPr="003D2771">
          <w:instrText xml:space="preserve"> PAGE   \* MERGEFORMAT </w:instrText>
        </w:r>
        <w:r w:rsidR="0096396F" w:rsidRPr="003D2771">
          <w:fldChar w:fldCharType="separate"/>
        </w:r>
        <w:r>
          <w:rPr>
            <w:noProof/>
          </w:rPr>
          <w:t>ii</w:t>
        </w:r>
        <w:r w:rsidR="0096396F" w:rsidRPr="003D2771">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D87AA7" w:rsidRDefault="008045FF" w:rsidP="003D2771">
    <w:pPr>
      <w:pStyle w:val="Footer"/>
    </w:pPr>
    <w:r w:rsidRPr="008045FF">
      <w:rPr>
        <w:noProof/>
        <w:sz w:val="16"/>
      </w:rPr>
      <w:t>{C46992:2 }</w:t>
    </w:r>
    <w:sdt>
      <w:sdtPr>
        <w:id w:val="-1308389826"/>
        <w:docPartObj>
          <w:docPartGallery w:val="Page Numbers (Bottom of Page)"/>
          <w:docPartUnique/>
        </w:docPartObj>
      </w:sdtPr>
      <w:sdtEndPr>
        <w:rPr>
          <w:noProof/>
        </w:rPr>
      </w:sdtEndPr>
      <w:sdtContent>
        <w:r w:rsidR="0096396F">
          <w:tab/>
        </w:r>
        <w:r w:rsidR="0096396F" w:rsidRPr="00D87AA7">
          <w:fldChar w:fldCharType="begin"/>
        </w:r>
        <w:r w:rsidR="0096396F" w:rsidRPr="00D87AA7">
          <w:instrText xml:space="preserve"> PAGE    \* MERGEFORMAT </w:instrText>
        </w:r>
        <w:r w:rsidR="0096396F" w:rsidRPr="00D87AA7">
          <w:fldChar w:fldCharType="separate"/>
        </w:r>
        <w:r>
          <w:rPr>
            <w:noProof/>
          </w:rPr>
          <w:t>i</w:t>
        </w:r>
        <w:r w:rsidR="0096396F" w:rsidRPr="00D87AA7">
          <w:fldChar w:fldCharType="end"/>
        </w:r>
      </w:sdtContent>
    </w:sdt>
  </w:p>
  <w:p w:rsidR="0096396F" w:rsidRPr="00D87AA7" w:rsidRDefault="0096396F">
    <w:pPr>
      <w:pStyle w:val="Footer"/>
      <w:rPr>
        <w:rFonts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3D2771" w:rsidRDefault="008045FF" w:rsidP="00E01787">
    <w:pPr>
      <w:pStyle w:val="Footer"/>
    </w:pPr>
    <w:r w:rsidRPr="008045FF">
      <w:rPr>
        <w:noProof/>
        <w:sz w:val="16"/>
      </w:rPr>
      <w:t>{C46992:2 }</w:t>
    </w:r>
    <w:r w:rsidR="0096396F">
      <w:rPr>
        <w:noProof/>
        <w:sz w:val="16"/>
      </w:rPr>
      <w:tab/>
    </w:r>
  </w:p>
  <w:p w:rsidR="0096396F" w:rsidRPr="003D2771" w:rsidRDefault="0096396F" w:rsidP="003D277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6F2FDB" w:rsidRDefault="008045FF">
    <w:pPr>
      <w:pStyle w:val="Footer"/>
    </w:pPr>
    <w:r w:rsidRPr="008045FF">
      <w:rPr>
        <w:noProof/>
        <w:sz w:val="16"/>
      </w:rPr>
      <w:t>{C46992:2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Pr="003D2771" w:rsidRDefault="008045FF">
    <w:pPr>
      <w:pStyle w:val="Footer"/>
    </w:pPr>
    <w:r w:rsidRPr="008045FF">
      <w:rPr>
        <w:noProof/>
        <w:sz w:val="16"/>
      </w:rPr>
      <w:t>{C46992:2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6F" w:rsidRDefault="0096396F" w:rsidP="0044491C">
      <w:pPr>
        <w:rPr>
          <w:noProof/>
        </w:rPr>
      </w:pPr>
      <w:r>
        <w:rPr>
          <w:noProof/>
        </w:rPr>
        <w:separator/>
      </w:r>
    </w:p>
  </w:footnote>
  <w:footnote w:type="continuationSeparator" w:id="0">
    <w:p w:rsidR="0096396F" w:rsidRDefault="0096396F" w:rsidP="0044491C">
      <w:r>
        <w:continuationSeparator/>
      </w:r>
    </w:p>
  </w:footnote>
  <w:footnote w:id="1">
    <w:p w:rsidR="0096396F" w:rsidRDefault="0096396F" w:rsidP="003E4199">
      <w:pPr>
        <w:pStyle w:val="FootnoteText"/>
        <w:jc w:val="both"/>
      </w:pPr>
      <w:r>
        <w:rPr>
          <w:rStyle w:val="FootnoteReference"/>
        </w:rPr>
        <w:footnoteRef/>
      </w:r>
      <w:r>
        <w:t xml:space="preserve"> Opinion and Order (Feb. 25, 2015).</w:t>
      </w:r>
    </w:p>
  </w:footnote>
  <w:footnote w:id="2">
    <w:p w:rsidR="0096396F" w:rsidRDefault="0096396F" w:rsidP="008519A5">
      <w:pPr>
        <w:pStyle w:val="FootnoteText"/>
        <w:jc w:val="both"/>
      </w:pPr>
      <w:r>
        <w:rPr>
          <w:rStyle w:val="FootnoteReference"/>
        </w:rPr>
        <w:footnoteRef/>
      </w:r>
      <w:r>
        <w:t xml:space="preserve"> Application for Rehearing of Ohio Power Company (Mar. 27, 2015) (“AEP-Ohio Application for Rehearing”).</w:t>
      </w:r>
    </w:p>
  </w:footnote>
  <w:footnote w:id="3">
    <w:p w:rsidR="0096396F" w:rsidRDefault="0096396F" w:rsidP="008519A5">
      <w:pPr>
        <w:pStyle w:val="FootnoteText"/>
        <w:jc w:val="both"/>
      </w:pPr>
      <w:r>
        <w:rPr>
          <w:rStyle w:val="FootnoteReference"/>
        </w:rPr>
        <w:footnoteRef/>
      </w:r>
      <w:r>
        <w:t xml:space="preserve"> In one instance, this Memorandum also addresses an issue that is presented by parties other than AEP-Ohio.  In their respective applications for rehearing, AEP-Ohio, Ohio Manufacturers’ Association Energy Group (“OMAEG”), and the Environmental Advocates also sought an order that collection of costs associated with Schedule IRP-D be changed from the Energy Efficiency and Peak Demand Reduction Rider (“EE/PDR Rider”) to the Economic Development Rider (“EDR”).  </w:t>
      </w:r>
    </w:p>
  </w:footnote>
  <w:footnote w:id="4">
    <w:p w:rsidR="0096396F" w:rsidRDefault="0096396F" w:rsidP="003E4199">
      <w:pPr>
        <w:pStyle w:val="FootnoteText"/>
        <w:jc w:val="both"/>
      </w:pPr>
      <w:r>
        <w:rPr>
          <w:rStyle w:val="FootnoteReference"/>
        </w:rPr>
        <w:footnoteRef/>
      </w:r>
      <w:r>
        <w:t xml:space="preserve"> AEP-Ohio Application for Rehearing at 15-25.  </w:t>
      </w:r>
      <w:r w:rsidRPr="00541AAB">
        <w:rPr>
          <w:i/>
        </w:rPr>
        <w:t>See</w:t>
      </w:r>
      <w:r>
        <w:t xml:space="preserve"> IEU-Ohio Ex. 1B at 26.</w:t>
      </w:r>
    </w:p>
  </w:footnote>
  <w:footnote w:id="5">
    <w:p w:rsidR="0096396F" w:rsidRDefault="0096396F" w:rsidP="00511E1F">
      <w:pPr>
        <w:pStyle w:val="FootnoteText"/>
        <w:jc w:val="both"/>
      </w:pPr>
      <w:r>
        <w:rPr>
          <w:rStyle w:val="FootnoteReference"/>
        </w:rPr>
        <w:footnoteRef/>
      </w:r>
      <w:r>
        <w:t xml:space="preserve"> </w:t>
      </w:r>
      <w:r w:rsidRPr="0076065B">
        <w:t xml:space="preserve">AEP-Ohio Application for Rehearing </w:t>
      </w:r>
      <w:r>
        <w:t>at 41-50.</w:t>
      </w:r>
    </w:p>
  </w:footnote>
  <w:footnote w:id="6">
    <w:p w:rsidR="0096396F" w:rsidRDefault="0096396F" w:rsidP="00511E1F">
      <w:pPr>
        <w:pStyle w:val="FootnoteText"/>
        <w:jc w:val="both"/>
      </w:pPr>
      <w:r>
        <w:rPr>
          <w:rStyle w:val="FootnoteReference"/>
        </w:rPr>
        <w:footnoteRef/>
      </w:r>
      <w:r>
        <w:t xml:space="preserve"> </w:t>
      </w:r>
      <w:r w:rsidRPr="0026595D">
        <w:rPr>
          <w:i/>
        </w:rPr>
        <w:t>Id.</w:t>
      </w:r>
      <w:r>
        <w:t xml:space="preserve"> at 38-40.</w:t>
      </w:r>
    </w:p>
  </w:footnote>
  <w:footnote w:id="7">
    <w:p w:rsidR="0096396F" w:rsidRDefault="0096396F" w:rsidP="00511E1F">
      <w:pPr>
        <w:pStyle w:val="FootnoteText"/>
        <w:jc w:val="both"/>
      </w:pPr>
      <w:r>
        <w:rPr>
          <w:rStyle w:val="FootnoteReference"/>
        </w:rPr>
        <w:footnoteRef/>
      </w:r>
      <w:r>
        <w:t xml:space="preserve"> </w:t>
      </w:r>
      <w:r w:rsidRPr="0026595D">
        <w:rPr>
          <w:i/>
        </w:rPr>
        <w:t>Id.</w:t>
      </w:r>
      <w:r>
        <w:t xml:space="preserve"> at 63-66.</w:t>
      </w:r>
    </w:p>
  </w:footnote>
  <w:footnote w:id="8">
    <w:p w:rsidR="0096396F" w:rsidRDefault="0096396F" w:rsidP="00511E1F">
      <w:pPr>
        <w:pStyle w:val="FootnoteText"/>
        <w:jc w:val="both"/>
      </w:pPr>
      <w:r>
        <w:rPr>
          <w:rStyle w:val="FootnoteReference"/>
        </w:rPr>
        <w:footnoteRef/>
      </w:r>
      <w:r>
        <w:t xml:space="preserve"> Failure to address any of the issues raised by AEP-Ohio’s Application for Rehearing does not indicate any agreement with AEP-Ohio.</w:t>
      </w:r>
    </w:p>
  </w:footnote>
  <w:footnote w:id="9">
    <w:p w:rsidR="0096396F" w:rsidRDefault="0096396F" w:rsidP="00511E1F">
      <w:pPr>
        <w:pStyle w:val="FootnoteText"/>
        <w:jc w:val="both"/>
      </w:pPr>
      <w:r>
        <w:rPr>
          <w:rStyle w:val="FootnoteReference"/>
        </w:rPr>
        <w:footnoteRef/>
      </w:r>
      <w:r>
        <w:t xml:space="preserve"> ESP III Order at 23-24.</w:t>
      </w:r>
    </w:p>
  </w:footnote>
  <w:footnote w:id="10">
    <w:p w:rsidR="0096396F" w:rsidRDefault="0096396F" w:rsidP="00511E1F">
      <w:pPr>
        <w:pStyle w:val="FootnoteText"/>
        <w:jc w:val="both"/>
      </w:pPr>
      <w:r>
        <w:rPr>
          <w:rStyle w:val="FootnoteReference"/>
        </w:rPr>
        <w:footnoteRef/>
      </w:r>
      <w:r>
        <w:t xml:space="preserve"> AEP-Ohio Application for Rehearing at 16-25.</w:t>
      </w:r>
    </w:p>
  </w:footnote>
  <w:footnote w:id="11">
    <w:p w:rsidR="0096396F" w:rsidRDefault="0096396F" w:rsidP="00511E1F">
      <w:pPr>
        <w:pStyle w:val="FootnoteText"/>
        <w:jc w:val="both"/>
      </w:pPr>
      <w:r>
        <w:rPr>
          <w:rStyle w:val="FootnoteReference"/>
        </w:rPr>
        <w:footnoteRef/>
      </w:r>
      <w:r>
        <w:t xml:space="preserve"> Initial Brief of Industrial Energy Users-Ohio at 3-37 (July 23, 2014).</w:t>
      </w:r>
    </w:p>
  </w:footnote>
  <w:footnote w:id="12">
    <w:p w:rsidR="0096396F" w:rsidRDefault="0096396F" w:rsidP="00511E1F">
      <w:pPr>
        <w:pStyle w:val="FootnoteText"/>
        <w:jc w:val="both"/>
      </w:pPr>
      <w:r>
        <w:rPr>
          <w:rStyle w:val="FootnoteReference"/>
        </w:rPr>
        <w:footnoteRef/>
      </w:r>
      <w:r>
        <w:t xml:space="preserve"> </w:t>
      </w:r>
      <w:r w:rsidRPr="000C0EB3">
        <w:rPr>
          <w:i/>
        </w:rPr>
        <w:t>See, e.g.,</w:t>
      </w:r>
      <w:r>
        <w:t xml:space="preserve"> Application for Rehearing and Memorandum in Support of Industrial Energy Users-Ohio at 11-52 (Mar. 27, 2015) (“IEU-Ohio Application for Rehearing”).</w:t>
      </w:r>
    </w:p>
  </w:footnote>
  <w:footnote w:id="13">
    <w:p w:rsidR="0096396F" w:rsidRDefault="0096396F" w:rsidP="003E4199">
      <w:pPr>
        <w:pStyle w:val="FootnoteText"/>
        <w:jc w:val="both"/>
      </w:pPr>
      <w:r>
        <w:rPr>
          <w:rStyle w:val="FootnoteReference"/>
        </w:rPr>
        <w:footnoteRef/>
      </w:r>
      <w:r>
        <w:t xml:space="preserve"> </w:t>
      </w:r>
      <w:r w:rsidRPr="000A0B3B">
        <w:t xml:space="preserve">AEP-Ohio Application for Rehearing at </w:t>
      </w:r>
      <w:r>
        <w:t>17</w:t>
      </w:r>
      <w:r w:rsidRPr="000A0B3B">
        <w:t>.</w:t>
      </w:r>
    </w:p>
  </w:footnote>
  <w:footnote w:id="14">
    <w:p w:rsidR="0096396F" w:rsidRDefault="0096396F" w:rsidP="00511E1F">
      <w:pPr>
        <w:pStyle w:val="FootnoteText"/>
        <w:jc w:val="both"/>
      </w:pPr>
      <w:r>
        <w:rPr>
          <w:rStyle w:val="FootnoteReference"/>
        </w:rPr>
        <w:footnoteRef/>
      </w:r>
      <w:r>
        <w:t xml:space="preserve"> </w:t>
      </w:r>
      <w:r w:rsidRPr="004264F9">
        <w:rPr>
          <w:i/>
        </w:rPr>
        <w:t>Id</w:t>
      </w:r>
      <w:r w:rsidRPr="000A0B3B">
        <w:t>.</w:t>
      </w:r>
    </w:p>
  </w:footnote>
  <w:footnote w:id="15">
    <w:p w:rsidR="0096396F" w:rsidRDefault="0096396F" w:rsidP="00511E1F">
      <w:pPr>
        <w:pStyle w:val="FootnoteText"/>
        <w:jc w:val="both"/>
      </w:pPr>
      <w:r w:rsidRPr="004264F9">
        <w:rPr>
          <w:rStyle w:val="FootnoteReference"/>
        </w:rPr>
        <w:footnoteRef/>
      </w:r>
      <w:r w:rsidRPr="004264F9">
        <w:t xml:space="preserve"> ESP III Order at 24.</w:t>
      </w:r>
    </w:p>
  </w:footnote>
  <w:footnote w:id="16">
    <w:p w:rsidR="0096396F" w:rsidRDefault="0096396F" w:rsidP="00511E1F">
      <w:pPr>
        <w:pStyle w:val="FootnoteText"/>
        <w:jc w:val="both"/>
      </w:pPr>
      <w:r>
        <w:rPr>
          <w:rStyle w:val="FootnoteReference"/>
        </w:rPr>
        <w:footnoteRef/>
      </w:r>
      <w:r>
        <w:t xml:space="preserve"> </w:t>
      </w:r>
      <w:r w:rsidRPr="004264F9">
        <w:rPr>
          <w:i/>
        </w:rPr>
        <w:t>Id</w:t>
      </w:r>
      <w:r w:rsidRPr="004264F9">
        <w:t>. at 16.</w:t>
      </w:r>
    </w:p>
  </w:footnote>
  <w:footnote w:id="17">
    <w:p w:rsidR="0096396F" w:rsidRDefault="0096396F" w:rsidP="003E4199">
      <w:pPr>
        <w:pStyle w:val="FootnoteText"/>
        <w:jc w:val="both"/>
      </w:pPr>
      <w:r w:rsidRPr="004264F9">
        <w:rPr>
          <w:rStyle w:val="FootnoteReference"/>
        </w:rPr>
        <w:footnoteRef/>
      </w:r>
      <w:r w:rsidRPr="004264F9">
        <w:t xml:space="preserve"> AEP-Ohio Ex. 8A.</w:t>
      </w:r>
    </w:p>
  </w:footnote>
  <w:footnote w:id="18">
    <w:p w:rsidR="0096396F" w:rsidRDefault="0096396F" w:rsidP="00511E1F">
      <w:pPr>
        <w:pStyle w:val="FootnoteText"/>
        <w:jc w:val="both"/>
      </w:pPr>
      <w:r>
        <w:rPr>
          <w:rStyle w:val="FootnoteReference"/>
        </w:rPr>
        <w:footnoteRef/>
      </w:r>
      <w:r>
        <w:t xml:space="preserve"> AEP-Ohio Ex. 7 at 8.</w:t>
      </w:r>
    </w:p>
  </w:footnote>
  <w:footnote w:id="19">
    <w:p w:rsidR="0096396F" w:rsidRDefault="0096396F" w:rsidP="00511E1F">
      <w:pPr>
        <w:pStyle w:val="FootnoteText"/>
        <w:jc w:val="both"/>
      </w:pPr>
      <w:r>
        <w:rPr>
          <w:rStyle w:val="FootnoteReference"/>
        </w:rPr>
        <w:footnoteRef/>
      </w:r>
      <w:r>
        <w:t xml:space="preserve"> IEU-Ohio Ex. 1B at Ex. KMM-3, page 2.</w:t>
      </w:r>
    </w:p>
  </w:footnote>
  <w:footnote w:id="20">
    <w:p w:rsidR="0096396F" w:rsidRDefault="0096396F" w:rsidP="00511E1F">
      <w:pPr>
        <w:pStyle w:val="FootnoteText"/>
        <w:jc w:val="both"/>
      </w:pPr>
      <w:r>
        <w:rPr>
          <w:rStyle w:val="FootnoteReference"/>
        </w:rPr>
        <w:footnoteRef/>
      </w:r>
      <w:r>
        <w:t xml:space="preserve"> Tr. Vol. II at 544-45.</w:t>
      </w:r>
    </w:p>
  </w:footnote>
  <w:footnote w:id="21">
    <w:p w:rsidR="0096396F" w:rsidRDefault="0096396F" w:rsidP="00511E1F">
      <w:pPr>
        <w:pStyle w:val="FootnoteText"/>
        <w:jc w:val="both"/>
      </w:pPr>
      <w:r>
        <w:rPr>
          <w:rStyle w:val="FootnoteReference"/>
        </w:rPr>
        <w:footnoteRef/>
      </w:r>
      <w:r>
        <w:t xml:space="preserve"> Tr. Vol. XI at 2603-04.</w:t>
      </w:r>
    </w:p>
  </w:footnote>
  <w:footnote w:id="22">
    <w:p w:rsidR="0096396F" w:rsidRDefault="0096396F" w:rsidP="00511E1F">
      <w:pPr>
        <w:pStyle w:val="FootnoteText"/>
        <w:jc w:val="both"/>
      </w:pPr>
      <w:r>
        <w:rPr>
          <w:rStyle w:val="FootnoteReference"/>
        </w:rPr>
        <w:footnoteRef/>
      </w:r>
      <w:r>
        <w:t xml:space="preserve"> Tr. Vol. II at 552.</w:t>
      </w:r>
    </w:p>
  </w:footnote>
  <w:footnote w:id="23">
    <w:p w:rsidR="0096396F" w:rsidRDefault="0096396F" w:rsidP="00511E1F">
      <w:pPr>
        <w:pStyle w:val="FootnoteText"/>
        <w:jc w:val="both"/>
      </w:pPr>
      <w:r>
        <w:rPr>
          <w:rStyle w:val="FootnoteReference"/>
        </w:rPr>
        <w:footnoteRef/>
      </w:r>
      <w:r>
        <w:t xml:space="preserve"> Tr. Vol. III at 749-50.</w:t>
      </w:r>
    </w:p>
  </w:footnote>
  <w:footnote w:id="24">
    <w:p w:rsidR="0096396F" w:rsidRDefault="0096396F" w:rsidP="00511E1F">
      <w:pPr>
        <w:pStyle w:val="FootnoteText"/>
        <w:jc w:val="both"/>
      </w:pPr>
      <w:r>
        <w:rPr>
          <w:rStyle w:val="FootnoteReference"/>
        </w:rPr>
        <w:footnoteRef/>
      </w:r>
      <w:r>
        <w:t xml:space="preserve"> Tr. Vol. II at 494.</w:t>
      </w:r>
    </w:p>
  </w:footnote>
  <w:footnote w:id="25">
    <w:p w:rsidR="0096396F" w:rsidRDefault="0096396F" w:rsidP="00511E1F">
      <w:pPr>
        <w:pStyle w:val="FootnoteText"/>
        <w:jc w:val="both"/>
      </w:pPr>
      <w:r>
        <w:rPr>
          <w:rStyle w:val="FootnoteReference"/>
        </w:rPr>
        <w:footnoteRef/>
      </w:r>
      <w:r>
        <w:t xml:space="preserve"> R.C. 4928.143(C)(1) requires the Commission to find that the ESP, including its pricing and all other terms and conditions, is more favorable in the aggregate as compared to the expected results that would otherwise apply under R.C. 4928.142.</w:t>
      </w:r>
    </w:p>
  </w:footnote>
  <w:footnote w:id="26">
    <w:p w:rsidR="0096396F" w:rsidRDefault="0096396F" w:rsidP="003E4199">
      <w:pPr>
        <w:pStyle w:val="FootnoteText"/>
        <w:jc w:val="both"/>
      </w:pPr>
      <w:r>
        <w:rPr>
          <w:rStyle w:val="FootnoteReference"/>
        </w:rPr>
        <w:footnoteRef/>
      </w:r>
      <w:r>
        <w:t xml:space="preserve"> AEP-Ohio Ex. 7 at 5.</w:t>
      </w:r>
    </w:p>
  </w:footnote>
  <w:footnote w:id="27">
    <w:p w:rsidR="0096396F" w:rsidRDefault="0096396F" w:rsidP="00511E1F">
      <w:pPr>
        <w:pStyle w:val="FootnoteText"/>
        <w:jc w:val="both"/>
      </w:pPr>
      <w:r>
        <w:rPr>
          <w:rStyle w:val="FootnoteReference"/>
        </w:rPr>
        <w:footnoteRef/>
      </w:r>
      <w:r>
        <w:t xml:space="preserve"> </w:t>
      </w:r>
      <w:r w:rsidRPr="00DD1355">
        <w:t>Tr. Vol. III at 930.</w:t>
      </w:r>
    </w:p>
  </w:footnote>
  <w:footnote w:id="28">
    <w:p w:rsidR="0096396F" w:rsidRDefault="0096396F" w:rsidP="00511E1F">
      <w:pPr>
        <w:pStyle w:val="FootnoteText"/>
        <w:jc w:val="both"/>
      </w:pPr>
      <w:r>
        <w:rPr>
          <w:rStyle w:val="FootnoteReference"/>
        </w:rPr>
        <w:footnoteRef/>
      </w:r>
      <w:r>
        <w:t xml:space="preserve"> Tr. Vol. III at 930.</w:t>
      </w:r>
    </w:p>
  </w:footnote>
  <w:footnote w:id="29">
    <w:p w:rsidR="0096396F" w:rsidRDefault="0096396F" w:rsidP="00511E1F">
      <w:pPr>
        <w:pStyle w:val="FootnoteText"/>
        <w:jc w:val="both"/>
      </w:pPr>
      <w:r>
        <w:rPr>
          <w:rStyle w:val="FootnoteReference"/>
        </w:rPr>
        <w:footnoteRef/>
      </w:r>
      <w:r>
        <w:t xml:space="preserve"> Tr. Vol. II at 484.</w:t>
      </w:r>
    </w:p>
  </w:footnote>
  <w:footnote w:id="30">
    <w:p w:rsidR="0096396F" w:rsidRDefault="0096396F" w:rsidP="00511E1F">
      <w:pPr>
        <w:pStyle w:val="FootnoteText"/>
        <w:jc w:val="both"/>
      </w:pPr>
      <w:r>
        <w:rPr>
          <w:rStyle w:val="FootnoteReference"/>
        </w:rPr>
        <w:footnoteRef/>
      </w:r>
      <w:r>
        <w:t xml:space="preserve"> ESP III Order at 24.</w:t>
      </w:r>
    </w:p>
  </w:footnote>
  <w:footnote w:id="31">
    <w:p w:rsidR="0096396F" w:rsidRDefault="0096396F" w:rsidP="00511E1F">
      <w:pPr>
        <w:pStyle w:val="FootnoteText"/>
        <w:jc w:val="both"/>
      </w:pPr>
      <w:r>
        <w:rPr>
          <w:rStyle w:val="FootnoteReference"/>
        </w:rPr>
        <w:footnoteRef/>
      </w:r>
      <w:r>
        <w:t xml:space="preserve"> AEP-Ohio Application for Rehearing at 18-19.</w:t>
      </w:r>
    </w:p>
  </w:footnote>
  <w:footnote w:id="32">
    <w:p w:rsidR="0096396F" w:rsidRDefault="0096396F" w:rsidP="00511E1F">
      <w:pPr>
        <w:pStyle w:val="FootnoteText"/>
        <w:jc w:val="both"/>
      </w:pPr>
      <w:r>
        <w:rPr>
          <w:rStyle w:val="FootnoteReference"/>
        </w:rPr>
        <w:footnoteRef/>
      </w:r>
      <w:r>
        <w:t xml:space="preserve"> Tr. Vol. I at 151.</w:t>
      </w:r>
    </w:p>
  </w:footnote>
  <w:footnote w:id="33">
    <w:p w:rsidR="0096396F" w:rsidRDefault="0096396F" w:rsidP="00511E1F">
      <w:pPr>
        <w:pStyle w:val="FootnoteText"/>
        <w:jc w:val="both"/>
      </w:pPr>
      <w:r>
        <w:rPr>
          <w:rStyle w:val="FootnoteReference"/>
        </w:rPr>
        <w:footnoteRef/>
      </w:r>
      <w:r>
        <w:t xml:space="preserve"> AEP-Ohio Application for Rehearing at 19.</w:t>
      </w:r>
    </w:p>
  </w:footnote>
  <w:footnote w:id="34">
    <w:p w:rsidR="0096396F" w:rsidRDefault="0096396F" w:rsidP="00541AAB">
      <w:pPr>
        <w:pStyle w:val="FootnoteText"/>
        <w:jc w:val="both"/>
      </w:pPr>
      <w:r>
        <w:rPr>
          <w:rStyle w:val="FootnoteReference"/>
        </w:rPr>
        <w:footnoteRef/>
      </w:r>
      <w:r>
        <w:t xml:space="preserve"> Further, AEP-Ohio’s claims about the need for a “hedge” to address weather-related events such as the January 2014 weather events may be largely for local consumption.  In contrast to AEP-Ohio’s attempt to justify the PPA Rider as a response to weather-related reliability concerns, a vice president of American Electric Power recently stated that the transmission system “provides a tremendous amount of resiliency whereby customers are no longer exposed to outages associated with the loss of a single transmission line or generating station; rather the grid ensures reliable power even during times when there are maintenance or storm-related outages of major system components.”  Testimony of Lisa M. Barton, Executive Vice President, Transmission, American Electric Power, on the State of Technological Innovation Related to the Electric Grid Before the Committee on Energy and Natural Resources, United States Senate at 3 (Mar. 17, 2015).</w:t>
      </w:r>
    </w:p>
  </w:footnote>
  <w:footnote w:id="35">
    <w:p w:rsidR="0096396F" w:rsidRDefault="0096396F" w:rsidP="003E4199">
      <w:pPr>
        <w:pStyle w:val="FootnoteText"/>
        <w:jc w:val="both"/>
      </w:pPr>
      <w:r>
        <w:rPr>
          <w:rStyle w:val="FootnoteReference"/>
        </w:rPr>
        <w:footnoteRef/>
      </w:r>
      <w:r>
        <w:t xml:space="preserve"> </w:t>
      </w:r>
      <w:r w:rsidRPr="00541AAB">
        <w:t>AEP-Ohio Application for Rehearing</w:t>
      </w:r>
      <w:r>
        <w:t xml:space="preserve"> at 22.  Although AEP-Ohio has overstated the</w:t>
      </w:r>
      <w:r w:rsidRPr="008C14CA">
        <w:t xml:space="preserve"> Commission</w:t>
      </w:r>
      <w:r>
        <w:t>’s decision regarding the PPA Rider by stating that the Commission has</w:t>
      </w:r>
      <w:r w:rsidRPr="008C14CA">
        <w:t xml:space="preserve"> “categorically excluded” this so-called rate mitigation tool</w:t>
      </w:r>
      <w:r>
        <w:t>, denial of the authorization would be the correct outcome in rehearing</w:t>
      </w:r>
      <w:r w:rsidRPr="008C14CA">
        <w:t>.  As IEU-Ohio demonstrated in its Application for Rehearing, the Commission’s authorization to AEP-Ohio to establish the PPA Rider was neither lawful nor reasonable</w:t>
      </w:r>
      <w:r>
        <w:t>.</w:t>
      </w:r>
      <w:r w:rsidRPr="008C14CA">
        <w:t xml:space="preserve"> </w:t>
      </w:r>
      <w:r>
        <w:t xml:space="preserve"> IEU-Ohio Application for Rehearing at 11-52.</w:t>
      </w:r>
    </w:p>
  </w:footnote>
  <w:footnote w:id="36">
    <w:p w:rsidR="0096396F" w:rsidRDefault="0096396F" w:rsidP="003E4199">
      <w:pPr>
        <w:pStyle w:val="FootnoteText"/>
        <w:jc w:val="both"/>
      </w:pPr>
      <w:r>
        <w:rPr>
          <w:rStyle w:val="FootnoteReference"/>
        </w:rPr>
        <w:footnoteRef/>
      </w:r>
      <w:r>
        <w:t xml:space="preserve"> ESP III Order at 24.</w:t>
      </w:r>
    </w:p>
  </w:footnote>
  <w:footnote w:id="37">
    <w:p w:rsidR="0096396F" w:rsidRDefault="0096396F" w:rsidP="00511E1F">
      <w:pPr>
        <w:pStyle w:val="FootnoteText"/>
        <w:jc w:val="both"/>
      </w:pPr>
      <w:r>
        <w:rPr>
          <w:rStyle w:val="FootnoteReference"/>
        </w:rPr>
        <w:footnoteRef/>
      </w:r>
      <w:r>
        <w:t xml:space="preserve"> </w:t>
      </w:r>
      <w:r w:rsidRPr="00E71469">
        <w:rPr>
          <w:i/>
        </w:rPr>
        <w:t>Id</w:t>
      </w:r>
      <w:r>
        <w:t>.</w:t>
      </w:r>
    </w:p>
  </w:footnote>
  <w:footnote w:id="38">
    <w:p w:rsidR="0096396F" w:rsidRDefault="0096396F">
      <w:pPr>
        <w:pStyle w:val="FootnoteText"/>
      </w:pPr>
      <w:r>
        <w:rPr>
          <w:rStyle w:val="FootnoteReference"/>
        </w:rPr>
        <w:footnoteRef/>
      </w:r>
      <w:r>
        <w:t xml:space="preserve"> IEU-Ohio Ex. 1B at 26.</w:t>
      </w:r>
    </w:p>
  </w:footnote>
  <w:footnote w:id="39">
    <w:p w:rsidR="0096396F" w:rsidRDefault="0096396F" w:rsidP="003E4199">
      <w:pPr>
        <w:pStyle w:val="FootnoteText"/>
        <w:jc w:val="both"/>
      </w:pPr>
      <w:r>
        <w:rPr>
          <w:rStyle w:val="FootnoteReference"/>
        </w:rPr>
        <w:footnoteRef/>
      </w:r>
      <w:r>
        <w:t xml:space="preserve"> AEP-Ohio Application for Rehearing at 23.</w:t>
      </w:r>
    </w:p>
  </w:footnote>
  <w:footnote w:id="40">
    <w:p w:rsidR="0096396F" w:rsidRDefault="0096396F" w:rsidP="003E4199">
      <w:pPr>
        <w:pStyle w:val="FootnoteText"/>
        <w:jc w:val="both"/>
      </w:pPr>
      <w:r>
        <w:rPr>
          <w:rStyle w:val="FootnoteReference"/>
        </w:rPr>
        <w:footnoteRef/>
      </w:r>
      <w:r>
        <w:t xml:space="preserve"> No customer supported AEP-Ohio’s proposal.  Only OEG indicated it supported a PPA Rider, but the rider it proposed was substantially different from that advanced by AEP-Ohio.  OEG Ex. 1 </w:t>
      </w:r>
      <w:r w:rsidRPr="00231596">
        <w:rPr>
          <w:i/>
        </w:rPr>
        <w:t>passim</w:t>
      </w:r>
      <w:r>
        <w:t>.</w:t>
      </w:r>
    </w:p>
  </w:footnote>
  <w:footnote w:id="41">
    <w:p w:rsidR="0096396F" w:rsidRDefault="0096396F" w:rsidP="00742656">
      <w:pPr>
        <w:pStyle w:val="FootnoteText"/>
        <w:jc w:val="both"/>
      </w:pPr>
      <w:r>
        <w:rPr>
          <w:rStyle w:val="FootnoteReference"/>
        </w:rPr>
        <w:footnoteRef/>
      </w:r>
      <w:r>
        <w:t xml:space="preserve"> </w:t>
      </w:r>
      <w:r w:rsidRPr="004264F9">
        <w:rPr>
          <w:i/>
        </w:rPr>
        <w:t xml:space="preserve">In the Matter of the Application of Columbus Southern Power Company and Ohio Power Company for Authority to Establish a Standard Service Offer Pursuant to Section 4928.143, Revised Code, in the </w:t>
      </w:r>
      <w:r w:rsidRPr="005E6AD1">
        <w:rPr>
          <w:i/>
        </w:rPr>
        <w:t>Form</w:t>
      </w:r>
      <w:r w:rsidRPr="004264F9">
        <w:rPr>
          <w:i/>
        </w:rPr>
        <w:t xml:space="preserve"> of an Electric Security Plan</w:t>
      </w:r>
      <w:r>
        <w:t xml:space="preserve">, Case Nos. 11-346-EL-SSO, </w:t>
      </w:r>
      <w:r w:rsidRPr="004264F9">
        <w:rPr>
          <w:i/>
        </w:rPr>
        <w:t>et al</w:t>
      </w:r>
      <w:r>
        <w:t>., Second Entry on Rehearing at 3 (Mar. 27, 2013) (the 2011 ESP case is hereafter referred to as “ESP II Case” or “ESP II Order” as appropriate) (rehearing denied because no new issue presented).</w:t>
      </w:r>
    </w:p>
  </w:footnote>
  <w:footnote w:id="42">
    <w:p w:rsidR="0096396F" w:rsidRDefault="0096396F">
      <w:pPr>
        <w:pStyle w:val="FootnoteText"/>
      </w:pPr>
      <w:r>
        <w:rPr>
          <w:rStyle w:val="FootnoteReference"/>
        </w:rPr>
        <w:footnoteRef/>
      </w:r>
      <w:r>
        <w:t xml:space="preserve"> R.C. 4928.03.</w:t>
      </w:r>
    </w:p>
  </w:footnote>
  <w:footnote w:id="43">
    <w:p w:rsidR="0096396F" w:rsidRDefault="0096396F">
      <w:pPr>
        <w:pStyle w:val="FootnoteText"/>
      </w:pPr>
      <w:r>
        <w:rPr>
          <w:rStyle w:val="FootnoteReference"/>
        </w:rPr>
        <w:footnoteRef/>
      </w:r>
      <w:r>
        <w:t xml:space="preserve"> R.C. 4928.38.</w:t>
      </w:r>
    </w:p>
  </w:footnote>
  <w:footnote w:id="44">
    <w:p w:rsidR="0096396F" w:rsidRDefault="0096396F" w:rsidP="003E4199">
      <w:pPr>
        <w:pStyle w:val="FootnoteText"/>
        <w:jc w:val="both"/>
      </w:pPr>
      <w:r>
        <w:rPr>
          <w:rStyle w:val="FootnoteReference"/>
        </w:rPr>
        <w:footnoteRef/>
      </w:r>
      <w:r>
        <w:t xml:space="preserve"> AEP-Ohio Application for Rehearing at 41-49. </w:t>
      </w:r>
      <w:r w:rsidRPr="00E71469">
        <w:t xml:space="preserve"> </w:t>
      </w:r>
      <w:r>
        <w:t>OMAEG and the Environmental Advocates also request that the Commission transfer recovery of the IRP-D credit from the EE/PDR Rider to the EDR.  OMAEG Application for Rehearing at 13-16; Environmental Advocates Application for Rehearing at 18-19.</w:t>
      </w:r>
    </w:p>
  </w:footnote>
  <w:footnote w:id="45">
    <w:p w:rsidR="0096396F" w:rsidRDefault="0096396F" w:rsidP="00C82DB1">
      <w:pPr>
        <w:pStyle w:val="FootnoteText"/>
        <w:jc w:val="both"/>
      </w:pPr>
      <w:r>
        <w:rPr>
          <w:rStyle w:val="FootnoteReference"/>
        </w:rPr>
        <w:footnoteRef/>
      </w:r>
      <w:r>
        <w:t xml:space="preserve"> AEP-Ohio Application for Rehearing at 44.</w:t>
      </w:r>
      <w:r w:rsidRPr="00213B66">
        <w:t xml:space="preserve"> </w:t>
      </w:r>
      <w:r>
        <w:t xml:space="preserve"> In its Application for Rehearing, IEU-Ohio asked that the Commission clarify that there are no caps on the interruptible load that may be contracted under Schedule IRP-D. </w:t>
      </w:r>
      <w:r w:rsidRPr="00213B66">
        <w:t xml:space="preserve"> </w:t>
      </w:r>
      <w:r>
        <w:t>IEU-Ohio Application for Rehearing at 72.</w:t>
      </w:r>
    </w:p>
  </w:footnote>
  <w:footnote w:id="46">
    <w:p w:rsidR="0096396F" w:rsidRDefault="0096396F" w:rsidP="00C82DB1">
      <w:pPr>
        <w:pStyle w:val="FootnoteText"/>
        <w:jc w:val="both"/>
      </w:pPr>
      <w:r>
        <w:rPr>
          <w:rStyle w:val="FootnoteReference"/>
        </w:rPr>
        <w:footnoteRef/>
      </w:r>
      <w:r>
        <w:t xml:space="preserve"> ESP III Order at 40.</w:t>
      </w:r>
    </w:p>
  </w:footnote>
  <w:footnote w:id="47">
    <w:p w:rsidR="0096396F" w:rsidRDefault="0096396F" w:rsidP="00C82DB1">
      <w:pPr>
        <w:pStyle w:val="FootnoteText"/>
        <w:jc w:val="both"/>
      </w:pPr>
      <w:r>
        <w:rPr>
          <w:rStyle w:val="FootnoteReference"/>
        </w:rPr>
        <w:footnoteRef/>
      </w:r>
      <w:r>
        <w:t xml:space="preserve"> AEP-Ohio Application for Rehearing at 47.</w:t>
      </w:r>
    </w:p>
  </w:footnote>
  <w:footnote w:id="48">
    <w:p w:rsidR="0096396F" w:rsidRDefault="0096396F" w:rsidP="00511E1F">
      <w:pPr>
        <w:pStyle w:val="FootnoteText"/>
        <w:jc w:val="both"/>
        <w:rPr>
          <w:i/>
        </w:rPr>
      </w:pPr>
      <w:r>
        <w:rPr>
          <w:rStyle w:val="FootnoteReference"/>
        </w:rPr>
        <w:footnoteRef/>
      </w:r>
      <w:r>
        <w:t xml:space="preserve"> </w:t>
      </w:r>
      <w:r>
        <w:rPr>
          <w:i/>
        </w:rPr>
        <w:t>Id.</w:t>
      </w:r>
    </w:p>
  </w:footnote>
  <w:footnote w:id="49">
    <w:p w:rsidR="0096396F" w:rsidRDefault="0096396F" w:rsidP="00511E1F">
      <w:pPr>
        <w:pStyle w:val="FootnoteText"/>
        <w:jc w:val="both"/>
      </w:pPr>
      <w:r>
        <w:rPr>
          <w:rStyle w:val="FootnoteReference"/>
        </w:rPr>
        <w:footnoteRef/>
      </w:r>
      <w:r>
        <w:t xml:space="preserve"> </w:t>
      </w:r>
      <w:r w:rsidRPr="00511E1F">
        <w:rPr>
          <w:i/>
        </w:rPr>
        <w:t>Id</w:t>
      </w:r>
      <w:r>
        <w:t>. at 48.</w:t>
      </w:r>
    </w:p>
  </w:footnote>
  <w:footnote w:id="50">
    <w:p w:rsidR="0096396F" w:rsidRDefault="0096396F" w:rsidP="00541AAB">
      <w:pPr>
        <w:pStyle w:val="FootnoteText"/>
        <w:jc w:val="both"/>
      </w:pPr>
      <w:r>
        <w:rPr>
          <w:rStyle w:val="FootnoteReference"/>
        </w:rPr>
        <w:footnoteRef/>
      </w:r>
      <w:r>
        <w:t xml:space="preserve"> A separate problem with AEP-Ohio’s recommendation is the pending review of the PJM demand response product.  As a result of a federal court decision, there is presently uncertainty regarding the role and compensation of demand response resources in future PJM auctions.  </w:t>
      </w:r>
      <w:r w:rsidRPr="00541AAB">
        <w:rPr>
          <w:i/>
        </w:rPr>
        <w:t>See PJM Interconnection, L.L.C.</w:t>
      </w:r>
      <w:r>
        <w:t>, Docket No. ER15-852-000, Order Rejecting Tariff Provisions (Mar. 31, 2015).  Because the future of demand response resources is uncertain, it would not be reasonable for the Commission to adopt AEP-Ohio’s alternative proposal.</w:t>
      </w:r>
    </w:p>
  </w:footnote>
  <w:footnote w:id="51">
    <w:p w:rsidR="0096396F" w:rsidRDefault="0096396F" w:rsidP="00511E1F">
      <w:pPr>
        <w:pStyle w:val="FootnoteText"/>
        <w:jc w:val="both"/>
      </w:pPr>
      <w:r>
        <w:rPr>
          <w:rStyle w:val="FootnoteReference"/>
        </w:rPr>
        <w:footnoteRef/>
      </w:r>
      <w:r>
        <w:t xml:space="preserve"> </w:t>
      </w:r>
      <w:r w:rsidRPr="00541AAB">
        <w:t>AEP-Ohio Application for Rehearing</w:t>
      </w:r>
      <w:r>
        <w:t xml:space="preserve"> at 46.</w:t>
      </w:r>
    </w:p>
  </w:footnote>
  <w:footnote w:id="52">
    <w:p w:rsidR="0096396F" w:rsidRDefault="0096396F" w:rsidP="00511E1F">
      <w:pPr>
        <w:pStyle w:val="FootnoteText"/>
        <w:jc w:val="both"/>
      </w:pPr>
      <w:r>
        <w:rPr>
          <w:rStyle w:val="FootnoteReference"/>
        </w:rPr>
        <w:footnoteRef/>
      </w:r>
      <w:r>
        <w:t xml:space="preserve"> </w:t>
      </w:r>
      <w:r>
        <w:rPr>
          <w:i/>
        </w:rPr>
        <w:t>Portfolio Plan Case</w:t>
      </w:r>
      <w:r>
        <w:t>, Stipulation and Recommendation at 4 (Nov. 29, 2011).</w:t>
      </w:r>
    </w:p>
  </w:footnote>
  <w:footnote w:id="53">
    <w:p w:rsidR="0096396F" w:rsidRDefault="0096396F" w:rsidP="00511E1F">
      <w:pPr>
        <w:pStyle w:val="FootnoteText"/>
        <w:jc w:val="both"/>
      </w:pPr>
      <w:r>
        <w:rPr>
          <w:rStyle w:val="FootnoteReference"/>
        </w:rPr>
        <w:footnoteRef/>
      </w:r>
      <w:r>
        <w:t xml:space="preserve"> The stipulation provides that under AEP-Ohio’s portfolio plan “[c]ontracted interruptible load associated with the Companies’ existing tariff programs for interruptible service (IRP-D) will count toward the PDR benchmarks.”  </w:t>
      </w:r>
      <w:r w:rsidRPr="0026595D">
        <w:rPr>
          <w:i/>
        </w:rPr>
        <w:t>Id.</w:t>
      </w:r>
      <w:r>
        <w:t xml:space="preserve">; </w:t>
      </w:r>
      <w:r>
        <w:rPr>
          <w:i/>
        </w:rPr>
        <w:t>see also Portfolio Plan Case</w:t>
      </w:r>
      <w:r>
        <w:t xml:space="preserve">, Opinion and Order at 7 (Mar. 21, 2012).  The stipulation further provides that the costs associated with its portfolio plan will be recovered through the EE/PDR Rider.  </w:t>
      </w:r>
      <w:r>
        <w:rPr>
          <w:i/>
        </w:rPr>
        <w:t>Portfolio Plan Case</w:t>
      </w:r>
      <w:r>
        <w:t xml:space="preserve">, Stipulation and Recommendation at 9 (Nov. 29, 2011).  The Commission approved the stipulation without modification.  </w:t>
      </w:r>
      <w:r>
        <w:rPr>
          <w:i/>
        </w:rPr>
        <w:t>Portfolio Plan Case</w:t>
      </w:r>
      <w:r>
        <w:t>, Opinion and Order at 17-18 (Mar. 21, 2012).</w:t>
      </w:r>
    </w:p>
  </w:footnote>
  <w:footnote w:id="54">
    <w:p w:rsidR="0096396F" w:rsidRDefault="0096396F" w:rsidP="00511E1F">
      <w:pPr>
        <w:pStyle w:val="FootnoteText"/>
        <w:jc w:val="both"/>
      </w:pPr>
      <w:r>
        <w:rPr>
          <w:rStyle w:val="FootnoteReference"/>
        </w:rPr>
        <w:footnoteRef/>
      </w:r>
      <w:r>
        <w:t xml:space="preserve"> SB 310, </w:t>
      </w:r>
      <w:r>
        <w:rPr>
          <w:rFonts w:cs="Arial"/>
        </w:rPr>
        <w:t>§</w:t>
      </w:r>
      <w:r>
        <w:t xml:space="preserve"> 6(D), available at: http://archives.legislature.state.oh.us/bills.cfm?ID=130_SB_310.</w:t>
      </w:r>
    </w:p>
  </w:footnote>
  <w:footnote w:id="55">
    <w:p w:rsidR="0096396F" w:rsidRDefault="0096396F" w:rsidP="00511E1F">
      <w:pPr>
        <w:pStyle w:val="FootnoteText"/>
        <w:jc w:val="both"/>
      </w:pPr>
      <w:r>
        <w:rPr>
          <w:rStyle w:val="FootnoteReference"/>
        </w:rPr>
        <w:footnoteRef/>
      </w:r>
      <w:r>
        <w:t xml:space="preserve"> </w:t>
      </w:r>
      <w:r w:rsidRPr="0026595D">
        <w:rPr>
          <w:i/>
        </w:rPr>
        <w:t>Id.</w:t>
      </w:r>
      <w:r>
        <w:t xml:space="preserve">, </w:t>
      </w:r>
      <w:r>
        <w:rPr>
          <w:rFonts w:cs="Arial"/>
        </w:rPr>
        <w:t>§</w:t>
      </w:r>
      <w:r>
        <w:t xml:space="preserve"> 8.</w:t>
      </w:r>
    </w:p>
  </w:footnote>
  <w:footnote w:id="56">
    <w:p w:rsidR="0096396F" w:rsidRDefault="0096396F">
      <w:pPr>
        <w:pStyle w:val="FootnoteText"/>
      </w:pPr>
      <w:r>
        <w:rPr>
          <w:rStyle w:val="FootnoteReference"/>
        </w:rPr>
        <w:footnoteRef/>
      </w:r>
      <w:r>
        <w:t xml:space="preserve"> </w:t>
      </w:r>
      <w:r w:rsidRPr="006327DE">
        <w:rPr>
          <w:i/>
        </w:rPr>
        <w:t>Id</w:t>
      </w:r>
      <w:r>
        <w:t xml:space="preserve">., </w:t>
      </w:r>
      <w:r>
        <w:rPr>
          <w:rFonts w:cs="Arial"/>
        </w:rPr>
        <w:t>§</w:t>
      </w:r>
      <w:r>
        <w:t xml:space="preserve"> 3 (purpose of review to reduce “unrealistic” energy efficiency mandates).</w:t>
      </w:r>
    </w:p>
  </w:footnote>
  <w:footnote w:id="57">
    <w:p w:rsidR="0096396F" w:rsidRDefault="0096396F" w:rsidP="00511E1F">
      <w:pPr>
        <w:pStyle w:val="FootnoteText"/>
        <w:jc w:val="both"/>
      </w:pPr>
      <w:r>
        <w:rPr>
          <w:rStyle w:val="FootnoteReference"/>
        </w:rPr>
        <w:footnoteRef/>
      </w:r>
      <w:r>
        <w:t xml:space="preserve"> AEP-Ohio Application for Rehearing at 25-38.</w:t>
      </w:r>
    </w:p>
  </w:footnote>
  <w:footnote w:id="58">
    <w:p w:rsidR="0096396F" w:rsidRDefault="0096396F" w:rsidP="00511E1F">
      <w:pPr>
        <w:pStyle w:val="FootnoteText"/>
        <w:jc w:val="both"/>
      </w:pPr>
      <w:r>
        <w:rPr>
          <w:rStyle w:val="FootnoteReference"/>
        </w:rPr>
        <w:footnoteRef/>
      </w:r>
      <w:r>
        <w:t xml:space="preserve"> </w:t>
      </w:r>
      <w:r w:rsidRPr="004264F9">
        <w:rPr>
          <w:i/>
        </w:rPr>
        <w:t>Id</w:t>
      </w:r>
      <w:r>
        <w:t>. at 38.</w:t>
      </w:r>
    </w:p>
  </w:footnote>
  <w:footnote w:id="59">
    <w:p w:rsidR="0096396F" w:rsidRDefault="0096396F" w:rsidP="00511E1F">
      <w:pPr>
        <w:pStyle w:val="FootnoteText"/>
        <w:jc w:val="both"/>
      </w:pPr>
      <w:r>
        <w:rPr>
          <w:rStyle w:val="FootnoteReference"/>
        </w:rPr>
        <w:footnoteRef/>
      </w:r>
      <w:r>
        <w:t xml:space="preserve"> ESP II Order at 42.</w:t>
      </w:r>
    </w:p>
  </w:footnote>
  <w:footnote w:id="60">
    <w:p w:rsidR="0096396F" w:rsidRDefault="0096396F" w:rsidP="00511E1F">
      <w:pPr>
        <w:pStyle w:val="FootnoteText"/>
        <w:jc w:val="both"/>
      </w:pPr>
      <w:r>
        <w:rPr>
          <w:rStyle w:val="FootnoteReference"/>
        </w:rPr>
        <w:footnoteRef/>
      </w:r>
      <w:r>
        <w:t xml:space="preserve"> </w:t>
      </w:r>
      <w:r w:rsidRPr="00D87AA7">
        <w:rPr>
          <w:i/>
        </w:rPr>
        <w:t>Id.</w:t>
      </w:r>
      <w:r>
        <w:t xml:space="preserve"> at 42-43.</w:t>
      </w:r>
    </w:p>
  </w:footnote>
  <w:footnote w:id="61">
    <w:p w:rsidR="0096396F" w:rsidRDefault="0096396F" w:rsidP="00511E1F">
      <w:pPr>
        <w:pStyle w:val="FootnoteText"/>
        <w:jc w:val="both"/>
      </w:pPr>
      <w:r>
        <w:rPr>
          <w:rStyle w:val="FootnoteReference"/>
        </w:rPr>
        <w:footnoteRef/>
      </w:r>
      <w:r>
        <w:t xml:space="preserve"> </w:t>
      </w:r>
      <w:r w:rsidRPr="00D87AA7">
        <w:rPr>
          <w:i/>
        </w:rPr>
        <w:t>Id.</w:t>
      </w:r>
      <w:r>
        <w:t xml:space="preserve"> at 47.</w:t>
      </w:r>
    </w:p>
  </w:footnote>
  <w:footnote w:id="62">
    <w:p w:rsidR="0096396F" w:rsidRDefault="0096396F" w:rsidP="00511E1F">
      <w:pPr>
        <w:pStyle w:val="FootnoteText"/>
        <w:jc w:val="both"/>
      </w:pPr>
      <w:r>
        <w:rPr>
          <w:rStyle w:val="FootnoteReference"/>
        </w:rPr>
        <w:footnoteRef/>
      </w:r>
      <w:r>
        <w:t xml:space="preserve"> </w:t>
      </w:r>
      <w:r w:rsidRPr="00D87AA7">
        <w:rPr>
          <w:i/>
        </w:rPr>
        <w:t>Id.</w:t>
      </w:r>
      <w:r>
        <w:t>, Application for Rehearing of Ohio Power Company (Sept. 7, 2012).</w:t>
      </w:r>
    </w:p>
  </w:footnote>
  <w:footnote w:id="63">
    <w:p w:rsidR="0096396F" w:rsidRDefault="0096396F" w:rsidP="00511E1F">
      <w:pPr>
        <w:pStyle w:val="FootnoteText"/>
        <w:jc w:val="both"/>
      </w:pPr>
      <w:r>
        <w:rPr>
          <w:rStyle w:val="FootnoteReference"/>
        </w:rPr>
        <w:footnoteRef/>
      </w:r>
      <w:r>
        <w:t xml:space="preserve"> </w:t>
      </w:r>
      <w:r w:rsidRPr="00D87AA7">
        <w:rPr>
          <w:i/>
        </w:rPr>
        <w:t>Id.</w:t>
      </w:r>
      <w:r>
        <w:t xml:space="preserve"> at 2 (Assignment of Error IV).</w:t>
      </w:r>
    </w:p>
  </w:footnote>
  <w:footnote w:id="64">
    <w:p w:rsidR="0096396F" w:rsidRDefault="0096396F">
      <w:pPr>
        <w:pStyle w:val="FootnoteText"/>
      </w:pPr>
      <w:r>
        <w:rPr>
          <w:rStyle w:val="FootnoteReference"/>
        </w:rPr>
        <w:footnoteRef/>
      </w:r>
      <w:r>
        <w:t xml:space="preserve"> </w:t>
      </w:r>
      <w:r w:rsidRPr="008C0581">
        <w:rPr>
          <w:i/>
        </w:rPr>
        <w:t>Id</w:t>
      </w:r>
      <w:r>
        <w:t>., Entry on Rehearing at 45-46 (Jan. 30, 2013).</w:t>
      </w:r>
    </w:p>
  </w:footnote>
  <w:footnote w:id="65">
    <w:p w:rsidR="0096396F" w:rsidRDefault="0096396F" w:rsidP="00511E1F">
      <w:pPr>
        <w:pStyle w:val="FootnoteText"/>
        <w:jc w:val="both"/>
      </w:pPr>
      <w:r>
        <w:rPr>
          <w:rStyle w:val="FootnoteReference"/>
        </w:rPr>
        <w:footnoteRef/>
      </w:r>
      <w:r>
        <w:t xml:space="preserve"> </w:t>
      </w:r>
      <w:r w:rsidRPr="008C0581">
        <w:rPr>
          <w:i/>
        </w:rPr>
        <w:t>See</w:t>
      </w:r>
      <w:r>
        <w:t xml:space="preserve"> </w:t>
      </w:r>
      <w:r w:rsidRPr="00141F02">
        <w:rPr>
          <w:i/>
        </w:rPr>
        <w:t>id.</w:t>
      </w:r>
      <w:r>
        <w:t>, Application for Rehearing of the January 30, 213 Entry on Rehearing and Memorandum in Support (Mar. 1, 2013).</w:t>
      </w:r>
    </w:p>
  </w:footnote>
  <w:footnote w:id="66">
    <w:p w:rsidR="0096396F" w:rsidRDefault="0096396F" w:rsidP="00511E1F">
      <w:pPr>
        <w:pStyle w:val="FootnoteText"/>
        <w:jc w:val="both"/>
      </w:pPr>
      <w:r>
        <w:rPr>
          <w:rStyle w:val="FootnoteReference"/>
        </w:rPr>
        <w:footnoteRef/>
      </w:r>
      <w:r>
        <w:t xml:space="preserve"> </w:t>
      </w:r>
      <w:r w:rsidRPr="00D87AA7">
        <w:rPr>
          <w:i/>
        </w:rPr>
        <w:t>Id.</w:t>
      </w:r>
      <w:r>
        <w:t>, Second Entry on Rehearing (Mar. 27, 2013).</w:t>
      </w:r>
    </w:p>
  </w:footnote>
  <w:footnote w:id="67">
    <w:p w:rsidR="0096396F" w:rsidRDefault="0096396F" w:rsidP="00511E1F">
      <w:pPr>
        <w:pStyle w:val="FootnoteText"/>
        <w:jc w:val="both"/>
      </w:pPr>
      <w:r>
        <w:rPr>
          <w:rStyle w:val="FootnoteReference"/>
        </w:rPr>
        <w:footnoteRef/>
      </w:r>
      <w:r>
        <w:t xml:space="preserve"> </w:t>
      </w:r>
      <w:r w:rsidRPr="004264F9">
        <w:t>An assignment of error must be made with specificity or is waived.  R.C. 4903.10.</w:t>
      </w:r>
    </w:p>
  </w:footnote>
  <w:footnote w:id="68">
    <w:p w:rsidR="0096396F" w:rsidRDefault="0096396F" w:rsidP="00511E1F">
      <w:pPr>
        <w:pStyle w:val="FootnoteText"/>
        <w:jc w:val="both"/>
      </w:pPr>
      <w:r>
        <w:rPr>
          <w:rStyle w:val="FootnoteReference"/>
        </w:rPr>
        <w:footnoteRef/>
      </w:r>
      <w:r>
        <w:t xml:space="preserve"> </w:t>
      </w:r>
      <w:r>
        <w:rPr>
          <w:i/>
        </w:rPr>
        <w:t>In the Matter of the Review of the Delivery Capital Recovery Rider Contained in the Tariff of Ohio Power Company</w:t>
      </w:r>
      <w:r>
        <w:t>, Case No. 13-419-EL-RDR, Entry, (Feb. 20, 2013).</w:t>
      </w:r>
    </w:p>
  </w:footnote>
  <w:footnote w:id="69">
    <w:p w:rsidR="0096396F" w:rsidRDefault="0096396F" w:rsidP="00511E1F">
      <w:pPr>
        <w:pStyle w:val="FootnoteText"/>
        <w:jc w:val="both"/>
      </w:pPr>
      <w:r>
        <w:rPr>
          <w:rStyle w:val="FootnoteReference"/>
        </w:rPr>
        <w:footnoteRef/>
      </w:r>
      <w:r>
        <w:t xml:space="preserve"> </w:t>
      </w:r>
      <w:r>
        <w:rPr>
          <w:i/>
        </w:rPr>
        <w:t>Id</w:t>
      </w:r>
      <w:r>
        <w:t>., Compliance Audit of 2012 Distribution Investment Rider (DIR) of Columbus Southern Power and Ohio Power Company d/b/a AEP-Ohio (June 20, 2013) (“2012 Compliance Report”).</w:t>
      </w:r>
    </w:p>
  </w:footnote>
  <w:footnote w:id="70">
    <w:p w:rsidR="0096396F" w:rsidRDefault="0096396F" w:rsidP="00511E1F">
      <w:pPr>
        <w:pStyle w:val="FootnoteText"/>
        <w:jc w:val="both"/>
      </w:pPr>
      <w:r>
        <w:rPr>
          <w:rStyle w:val="FootnoteReference"/>
        </w:rPr>
        <w:footnoteRef/>
      </w:r>
      <w:r>
        <w:t xml:space="preserve"> </w:t>
      </w:r>
      <w:r>
        <w:rPr>
          <w:i/>
        </w:rPr>
        <w:t>Id</w:t>
      </w:r>
      <w:r>
        <w:t>., 2012 Compliance Report at 45.</w:t>
      </w:r>
    </w:p>
  </w:footnote>
  <w:footnote w:id="71">
    <w:p w:rsidR="0096396F" w:rsidRDefault="0096396F" w:rsidP="00511E1F">
      <w:pPr>
        <w:pStyle w:val="FootnoteText"/>
        <w:jc w:val="both"/>
      </w:pPr>
      <w:r>
        <w:rPr>
          <w:rStyle w:val="FootnoteReference"/>
        </w:rPr>
        <w:footnoteRef/>
      </w:r>
      <w:r>
        <w:t xml:space="preserve"> </w:t>
      </w:r>
      <w:r>
        <w:rPr>
          <w:i/>
        </w:rPr>
        <w:t>Id</w:t>
      </w:r>
      <w:r>
        <w:t>., 2012 Compliance Report at 45-46.</w:t>
      </w:r>
    </w:p>
  </w:footnote>
  <w:footnote w:id="72">
    <w:p w:rsidR="0096396F" w:rsidRDefault="0096396F" w:rsidP="00511E1F">
      <w:pPr>
        <w:pStyle w:val="FootnoteText"/>
        <w:jc w:val="both"/>
      </w:pPr>
      <w:r>
        <w:rPr>
          <w:rStyle w:val="FootnoteReference"/>
        </w:rPr>
        <w:footnoteRef/>
      </w:r>
      <w:r>
        <w:t xml:space="preserve"> </w:t>
      </w:r>
      <w:r>
        <w:rPr>
          <w:i/>
        </w:rPr>
        <w:t>Id</w:t>
      </w:r>
      <w:r>
        <w:t>., 2012 Compliance Report at 45.</w:t>
      </w:r>
    </w:p>
  </w:footnote>
  <w:footnote w:id="73">
    <w:p w:rsidR="0096396F" w:rsidRDefault="0096396F" w:rsidP="00511E1F">
      <w:pPr>
        <w:pStyle w:val="FootnoteText"/>
        <w:jc w:val="both"/>
      </w:pPr>
      <w:r>
        <w:rPr>
          <w:rStyle w:val="FootnoteReference"/>
        </w:rPr>
        <w:footnoteRef/>
      </w:r>
      <w:r>
        <w:t xml:space="preserve"> </w:t>
      </w:r>
      <w:r>
        <w:rPr>
          <w:i/>
        </w:rPr>
        <w:t>Id</w:t>
      </w:r>
      <w:r>
        <w:t>., Opinion and Order (Apr. 23, 2014).</w:t>
      </w:r>
    </w:p>
  </w:footnote>
  <w:footnote w:id="74">
    <w:p w:rsidR="0096396F" w:rsidRDefault="0096396F" w:rsidP="00511E1F">
      <w:pPr>
        <w:pStyle w:val="FootnoteText"/>
        <w:jc w:val="both"/>
      </w:pPr>
      <w:r>
        <w:rPr>
          <w:rStyle w:val="FootnoteReference"/>
        </w:rPr>
        <w:footnoteRef/>
      </w:r>
      <w:r>
        <w:t xml:space="preserve"> </w:t>
      </w:r>
      <w:r>
        <w:rPr>
          <w:i/>
        </w:rPr>
        <w:t>Id</w:t>
      </w:r>
      <w:r>
        <w:t>., Amended Stipulation and Recommendation (Jan. 17, 2014).</w:t>
      </w:r>
    </w:p>
  </w:footnote>
  <w:footnote w:id="75">
    <w:p w:rsidR="0096396F" w:rsidRDefault="0096396F" w:rsidP="00511E1F">
      <w:pPr>
        <w:pStyle w:val="FootnoteText"/>
        <w:jc w:val="both"/>
      </w:pPr>
      <w:r>
        <w:rPr>
          <w:rStyle w:val="FootnoteReference"/>
        </w:rPr>
        <w:footnoteRef/>
      </w:r>
      <w:r>
        <w:t xml:space="preserve"> AEP-Ohio Application for Rehearing at 39.</w:t>
      </w:r>
    </w:p>
  </w:footnote>
  <w:footnote w:id="76">
    <w:p w:rsidR="0096396F" w:rsidRDefault="0096396F" w:rsidP="0026141D">
      <w:pPr>
        <w:pStyle w:val="FootnoteText"/>
        <w:jc w:val="both"/>
      </w:pPr>
      <w:r>
        <w:rPr>
          <w:rStyle w:val="FootnoteReference"/>
        </w:rPr>
        <w:footnoteRef/>
      </w:r>
      <w:r>
        <w:t xml:space="preserve"> </w:t>
      </w:r>
      <w:r w:rsidRPr="0097008D">
        <w:rPr>
          <w:i/>
        </w:rPr>
        <w:t>In re Columbus S. Power Co</w:t>
      </w:r>
      <w:r>
        <w:t>., 128 Ohio St.3d 512, 514-15 (2011).</w:t>
      </w:r>
    </w:p>
  </w:footnote>
  <w:footnote w:id="77">
    <w:p w:rsidR="0096396F" w:rsidRDefault="0096396F" w:rsidP="003E4199">
      <w:pPr>
        <w:pStyle w:val="FootnoteText"/>
        <w:jc w:val="both"/>
      </w:pPr>
      <w:r>
        <w:rPr>
          <w:rStyle w:val="FootnoteReference"/>
        </w:rPr>
        <w:footnoteRef/>
      </w:r>
      <w:r>
        <w:t xml:space="preserve"> R.C. 4903.10.</w:t>
      </w:r>
    </w:p>
  </w:footnote>
  <w:footnote w:id="78">
    <w:p w:rsidR="0096396F" w:rsidRDefault="0096396F" w:rsidP="00C82DB1">
      <w:pPr>
        <w:pStyle w:val="FootnoteText"/>
        <w:jc w:val="both"/>
      </w:pPr>
      <w:r>
        <w:rPr>
          <w:rStyle w:val="FootnoteReference"/>
        </w:rPr>
        <w:footnoteRef/>
      </w:r>
      <w:r>
        <w:t xml:space="preserve"> </w:t>
      </w:r>
      <w:r w:rsidRPr="004264F9">
        <w:rPr>
          <w:bCs/>
          <w:i/>
        </w:rPr>
        <w:t>In</w:t>
      </w:r>
      <w:r w:rsidRPr="00224EE5">
        <w:rPr>
          <w:i/>
        </w:rPr>
        <w:t> the Matter of the Commission-Ordered Investigation of Ameritech Ohio Relative to Its Compliance with Certain Provisions of the Minimum Telephone Service Standards Set Forth </w:t>
      </w:r>
      <w:r w:rsidRPr="004264F9">
        <w:rPr>
          <w:bCs/>
          <w:i/>
        </w:rPr>
        <w:t>in</w:t>
      </w:r>
      <w:r w:rsidRPr="00224EE5">
        <w:rPr>
          <w:i/>
        </w:rPr>
        <w:t> Chapter 4901:1-5, Ohio Administrative Code</w:t>
      </w:r>
      <w:r>
        <w:t xml:space="preserve">, </w:t>
      </w:r>
      <w:r w:rsidRPr="00F562CC">
        <w:t>Case No. 99-938-TP-COI</w:t>
      </w:r>
      <w:r>
        <w:t xml:space="preserve">, Entry on Rehearing at </w:t>
      </w:r>
      <w:r>
        <w:rPr>
          <w:rFonts w:cs="Arial"/>
        </w:rPr>
        <w:t>¶</w:t>
      </w:r>
      <w:r>
        <w:t>34 (Sept. 19, 2000).</w:t>
      </w:r>
    </w:p>
  </w:footnote>
  <w:footnote w:id="79">
    <w:p w:rsidR="0096396F" w:rsidRDefault="0096396F" w:rsidP="00C82DB1">
      <w:pPr>
        <w:pStyle w:val="FootnoteText"/>
        <w:jc w:val="both"/>
      </w:pPr>
      <w:r>
        <w:rPr>
          <w:rStyle w:val="FootnoteReference"/>
        </w:rPr>
        <w:footnoteRef/>
      </w:r>
      <w:r>
        <w:t xml:space="preserve"> </w:t>
      </w:r>
      <w:r w:rsidRPr="00224EE5">
        <w:rPr>
          <w:i/>
        </w:rPr>
        <w:t>Office of Consumers’ Counsel v. Pub. Util. Comm’n of Ohio</w:t>
      </w:r>
      <w:r>
        <w:t>, 16 Ohio St.3d 9, 10 (1985).</w:t>
      </w:r>
    </w:p>
  </w:footnote>
  <w:footnote w:id="80">
    <w:p w:rsidR="0096396F" w:rsidRDefault="0096396F" w:rsidP="00511E1F">
      <w:pPr>
        <w:pStyle w:val="FootnoteText"/>
        <w:jc w:val="both"/>
      </w:pPr>
      <w:r>
        <w:rPr>
          <w:rStyle w:val="FootnoteReference"/>
        </w:rPr>
        <w:footnoteRef/>
      </w:r>
      <w:r>
        <w:t xml:space="preserve"> ESP III Order at 62.</w:t>
      </w:r>
    </w:p>
  </w:footnote>
  <w:footnote w:id="81">
    <w:p w:rsidR="0096396F" w:rsidRDefault="0096396F" w:rsidP="003E4199">
      <w:pPr>
        <w:pStyle w:val="FootnoteText"/>
        <w:jc w:val="both"/>
      </w:pPr>
      <w:r>
        <w:rPr>
          <w:rStyle w:val="FootnoteReference"/>
        </w:rPr>
        <w:footnoteRef/>
      </w:r>
      <w:r>
        <w:t xml:space="preserve"> AEP-Ohio Application for Rehearing at 64-65.</w:t>
      </w:r>
    </w:p>
  </w:footnote>
  <w:footnote w:id="82">
    <w:p w:rsidR="0096396F" w:rsidRDefault="0096396F" w:rsidP="00511E1F">
      <w:pPr>
        <w:pStyle w:val="FootnoteText"/>
        <w:jc w:val="both"/>
      </w:pPr>
      <w:r>
        <w:rPr>
          <w:rStyle w:val="FootnoteReference"/>
        </w:rPr>
        <w:footnoteRef/>
      </w:r>
      <w:r>
        <w:t xml:space="preserve"> </w:t>
      </w:r>
      <w:r w:rsidRPr="00224EE5">
        <w:rPr>
          <w:i/>
        </w:rPr>
        <w:t>Id</w:t>
      </w:r>
      <w:r>
        <w:t>.</w:t>
      </w:r>
    </w:p>
  </w:footnote>
  <w:footnote w:id="83">
    <w:p w:rsidR="0096396F" w:rsidRDefault="0096396F" w:rsidP="003E4199">
      <w:pPr>
        <w:pStyle w:val="FootnoteText"/>
        <w:jc w:val="both"/>
      </w:pPr>
      <w:r>
        <w:rPr>
          <w:rStyle w:val="FootnoteReference"/>
        </w:rPr>
        <w:footnoteRef/>
      </w:r>
      <w:r>
        <w:t xml:space="preserve"> </w:t>
      </w:r>
      <w:r w:rsidRPr="00FE22A9">
        <w:t>R.C. 4928.143(C)(1).</w:t>
      </w:r>
    </w:p>
  </w:footnote>
  <w:footnote w:id="84">
    <w:p w:rsidR="0096396F" w:rsidRDefault="0096396F" w:rsidP="00C82DB1">
      <w:pPr>
        <w:pStyle w:val="FootnoteText"/>
        <w:jc w:val="both"/>
      </w:pPr>
      <w:r>
        <w:rPr>
          <w:rStyle w:val="FootnoteReference"/>
        </w:rPr>
        <w:footnoteRef/>
      </w:r>
      <w:r>
        <w:t xml:space="preserve"> ESP III Order at 62.</w:t>
      </w:r>
    </w:p>
  </w:footnote>
  <w:footnote w:id="85">
    <w:p w:rsidR="0096396F" w:rsidRDefault="0096396F" w:rsidP="00C82DB1">
      <w:pPr>
        <w:pStyle w:val="FootnoteText"/>
        <w:jc w:val="both"/>
      </w:pPr>
      <w:r>
        <w:rPr>
          <w:rStyle w:val="FootnoteReference"/>
        </w:rPr>
        <w:footnoteRef/>
      </w:r>
      <w:r>
        <w:t xml:space="preserve"> </w:t>
      </w:r>
      <w:r w:rsidRPr="00D87AA7">
        <w:rPr>
          <w:i/>
        </w:rPr>
        <w:t>Id.</w:t>
      </w:r>
    </w:p>
  </w:footnote>
  <w:footnote w:id="86">
    <w:p w:rsidR="0096396F" w:rsidRDefault="0096396F" w:rsidP="00511E1F">
      <w:pPr>
        <w:pStyle w:val="FootnoteText"/>
        <w:jc w:val="both"/>
      </w:pPr>
      <w:r>
        <w:rPr>
          <w:rStyle w:val="FootnoteReference"/>
        </w:rPr>
        <w:footnoteRef/>
      </w:r>
      <w:r>
        <w:t xml:space="preserve"> </w:t>
      </w:r>
      <w:r w:rsidRPr="00224EE5">
        <w:rPr>
          <w:i/>
        </w:rPr>
        <w:t>Id</w:t>
      </w:r>
      <w:r>
        <w:t>.</w:t>
      </w:r>
    </w:p>
  </w:footnote>
  <w:footnote w:id="87">
    <w:p w:rsidR="0096396F" w:rsidRPr="00CB4ABE" w:rsidRDefault="0096396F" w:rsidP="003E4199">
      <w:pPr>
        <w:pStyle w:val="FootnoteText"/>
        <w:jc w:val="both"/>
        <w:rPr>
          <w:rFonts w:cs="Arial"/>
        </w:rPr>
      </w:pPr>
      <w:r w:rsidRPr="00CB4ABE">
        <w:rPr>
          <w:rStyle w:val="FootnoteReference"/>
        </w:rPr>
        <w:footnoteRef/>
      </w:r>
      <w:r w:rsidRPr="00CB4ABE">
        <w:rPr>
          <w:rFonts w:cs="Arial"/>
        </w:rPr>
        <w:t xml:space="preserve"> R.C. 4928.143(C)(1).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FF" w:rsidRDefault="008045F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FF" w:rsidRDefault="008045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5FF" w:rsidRDefault="008045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rsidP="00BA6E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rsidP="00BA6EE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F" w:rsidRDefault="00963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D1E38"/>
    <w:multiLevelType w:val="multilevel"/>
    <w:tmpl w:val="A28A3170"/>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
    <w:nsid w:val="67B71568"/>
    <w:multiLevelType w:val="multilevel"/>
    <w:tmpl w:val="E82A196A"/>
    <w:lvl w:ilvl="0">
      <w:start w:val="1"/>
      <w:numFmt w:val="upperRoman"/>
      <w:lvlText w:val="%1."/>
      <w:lvlJc w:val="left"/>
      <w:pPr>
        <w:tabs>
          <w:tab w:val="num" w:pos="720"/>
        </w:tabs>
        <w:ind w:left="720" w:hanging="720"/>
      </w:pPr>
      <w:rPr>
        <w:b w:val="0"/>
        <w:caps w:val="0"/>
        <w:vanish w:val="0"/>
        <w:color w:val="010000"/>
        <w:u w:val="none"/>
      </w:rPr>
    </w:lvl>
    <w:lvl w:ilvl="1">
      <w:start w:val="1"/>
      <w:numFmt w:val="upperLetter"/>
      <w:lvlText w:val="%2."/>
      <w:lvlJc w:val="left"/>
      <w:pPr>
        <w:tabs>
          <w:tab w:val="num" w:pos="1440"/>
        </w:tabs>
        <w:ind w:left="1440" w:hanging="720"/>
      </w:pPr>
      <w:rPr>
        <w:b/>
        <w:caps w:val="0"/>
        <w:vanish w:val="0"/>
        <w:color w:val="010000"/>
        <w:u w:val="none"/>
      </w:rPr>
    </w:lvl>
    <w:lvl w:ilvl="2">
      <w:start w:val="1"/>
      <w:numFmt w:val="decimal"/>
      <w:lvlText w:val="%3."/>
      <w:lvlJc w:val="left"/>
      <w:pPr>
        <w:tabs>
          <w:tab w:val="num" w:pos="2160"/>
        </w:tabs>
        <w:ind w:left="2160" w:hanging="720"/>
      </w:pPr>
      <w:rPr>
        <w:b w:val="0"/>
        <w:i w:val="0"/>
        <w:caps w:val="0"/>
        <w:vanish w:val="0"/>
        <w:color w:val="010000"/>
        <w:u w:val="none"/>
      </w:rPr>
    </w:lvl>
    <w:lvl w:ilvl="3">
      <w:start w:val="1"/>
      <w:numFmt w:val="lowerLetter"/>
      <w:lvlText w:val="%4."/>
      <w:lvlJc w:val="left"/>
      <w:pPr>
        <w:tabs>
          <w:tab w:val="num" w:pos="2880"/>
        </w:tabs>
        <w:ind w:left="2880" w:hanging="720"/>
      </w:pPr>
      <w:rPr>
        <w:b w:val="0"/>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nd. Energy Users Group"/>
    <w:docVar w:name="LastSchemeUniqueID" w:val="1"/>
    <w:docVar w:name="NoNumberLevel1TOC" w:val="False"/>
    <w:docVar w:name="Option0True" w:val="False"/>
    <w:docVar w:name="Option1True"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4"/>
  </w:docVars>
  <w:rsids>
    <w:rsidRoot w:val="0044491C"/>
    <w:rsid w:val="0000363C"/>
    <w:rsid w:val="0001698A"/>
    <w:rsid w:val="00020DD5"/>
    <w:rsid w:val="00026D94"/>
    <w:rsid w:val="00032606"/>
    <w:rsid w:val="00042531"/>
    <w:rsid w:val="00080E89"/>
    <w:rsid w:val="00094F7C"/>
    <w:rsid w:val="000972B4"/>
    <w:rsid w:val="000A0B3B"/>
    <w:rsid w:val="000A2893"/>
    <w:rsid w:val="000B114B"/>
    <w:rsid w:val="000B5194"/>
    <w:rsid w:val="000C07F8"/>
    <w:rsid w:val="000C0EB3"/>
    <w:rsid w:val="000C435F"/>
    <w:rsid w:val="000C5AF0"/>
    <w:rsid w:val="000D389B"/>
    <w:rsid w:val="000F298B"/>
    <w:rsid w:val="001148FD"/>
    <w:rsid w:val="001233D7"/>
    <w:rsid w:val="00141F02"/>
    <w:rsid w:val="0015688B"/>
    <w:rsid w:val="0017569B"/>
    <w:rsid w:val="0017761E"/>
    <w:rsid w:val="00180B4A"/>
    <w:rsid w:val="001937D6"/>
    <w:rsid w:val="001C4F3D"/>
    <w:rsid w:val="001D6DD7"/>
    <w:rsid w:val="001F71F4"/>
    <w:rsid w:val="00201109"/>
    <w:rsid w:val="00213B66"/>
    <w:rsid w:val="00224EE5"/>
    <w:rsid w:val="00231596"/>
    <w:rsid w:val="002438DE"/>
    <w:rsid w:val="00247730"/>
    <w:rsid w:val="0026141D"/>
    <w:rsid w:val="00264396"/>
    <w:rsid w:val="0026595D"/>
    <w:rsid w:val="00285BB1"/>
    <w:rsid w:val="00285DEE"/>
    <w:rsid w:val="00292D29"/>
    <w:rsid w:val="002C3F10"/>
    <w:rsid w:val="002E3C70"/>
    <w:rsid w:val="002E49D5"/>
    <w:rsid w:val="00317229"/>
    <w:rsid w:val="00317BE6"/>
    <w:rsid w:val="00341D74"/>
    <w:rsid w:val="003473F1"/>
    <w:rsid w:val="003556B4"/>
    <w:rsid w:val="003B2883"/>
    <w:rsid w:val="003C484A"/>
    <w:rsid w:val="003D2771"/>
    <w:rsid w:val="003D7FA2"/>
    <w:rsid w:val="003E4199"/>
    <w:rsid w:val="003E6249"/>
    <w:rsid w:val="00401F64"/>
    <w:rsid w:val="004072C8"/>
    <w:rsid w:val="00407485"/>
    <w:rsid w:val="00407C72"/>
    <w:rsid w:val="00411841"/>
    <w:rsid w:val="004264F9"/>
    <w:rsid w:val="0044491C"/>
    <w:rsid w:val="00455D18"/>
    <w:rsid w:val="004643C1"/>
    <w:rsid w:val="00487CCE"/>
    <w:rsid w:val="0049223C"/>
    <w:rsid w:val="004C1E30"/>
    <w:rsid w:val="004C7EB5"/>
    <w:rsid w:val="00511E1F"/>
    <w:rsid w:val="00541AAB"/>
    <w:rsid w:val="00541B8E"/>
    <w:rsid w:val="00550E99"/>
    <w:rsid w:val="005701DD"/>
    <w:rsid w:val="0057449A"/>
    <w:rsid w:val="00575F74"/>
    <w:rsid w:val="005E6AD1"/>
    <w:rsid w:val="006235FB"/>
    <w:rsid w:val="0062780E"/>
    <w:rsid w:val="0063160E"/>
    <w:rsid w:val="006327DE"/>
    <w:rsid w:val="006819AB"/>
    <w:rsid w:val="00682875"/>
    <w:rsid w:val="00687A65"/>
    <w:rsid w:val="00691586"/>
    <w:rsid w:val="006A1D72"/>
    <w:rsid w:val="006B58CE"/>
    <w:rsid w:val="006C4000"/>
    <w:rsid w:val="006D66BE"/>
    <w:rsid w:val="006E7E7F"/>
    <w:rsid w:val="006F42C6"/>
    <w:rsid w:val="006F7DC8"/>
    <w:rsid w:val="0071279D"/>
    <w:rsid w:val="00714F6F"/>
    <w:rsid w:val="00722053"/>
    <w:rsid w:val="007277CE"/>
    <w:rsid w:val="00742656"/>
    <w:rsid w:val="00744672"/>
    <w:rsid w:val="0076065B"/>
    <w:rsid w:val="007801B7"/>
    <w:rsid w:val="007C1014"/>
    <w:rsid w:val="007C7156"/>
    <w:rsid w:val="007D0E35"/>
    <w:rsid w:val="007D6451"/>
    <w:rsid w:val="007E0B49"/>
    <w:rsid w:val="007E6D4F"/>
    <w:rsid w:val="007F16CA"/>
    <w:rsid w:val="007F1F88"/>
    <w:rsid w:val="008045FF"/>
    <w:rsid w:val="0081028E"/>
    <w:rsid w:val="00810C67"/>
    <w:rsid w:val="00815362"/>
    <w:rsid w:val="00815558"/>
    <w:rsid w:val="00826167"/>
    <w:rsid w:val="00833800"/>
    <w:rsid w:val="00836F42"/>
    <w:rsid w:val="00843A7E"/>
    <w:rsid w:val="008448A6"/>
    <w:rsid w:val="008519A5"/>
    <w:rsid w:val="00855301"/>
    <w:rsid w:val="00870A0A"/>
    <w:rsid w:val="00887FBB"/>
    <w:rsid w:val="00890717"/>
    <w:rsid w:val="00891E9C"/>
    <w:rsid w:val="008C0581"/>
    <w:rsid w:val="008C08DE"/>
    <w:rsid w:val="008C14CA"/>
    <w:rsid w:val="008D76BA"/>
    <w:rsid w:val="008E38D0"/>
    <w:rsid w:val="008E3BF4"/>
    <w:rsid w:val="008F21B0"/>
    <w:rsid w:val="00916879"/>
    <w:rsid w:val="00922BB8"/>
    <w:rsid w:val="009323F3"/>
    <w:rsid w:val="0096396F"/>
    <w:rsid w:val="00964678"/>
    <w:rsid w:val="00970F33"/>
    <w:rsid w:val="00976185"/>
    <w:rsid w:val="00982BD7"/>
    <w:rsid w:val="00982D0C"/>
    <w:rsid w:val="009903DD"/>
    <w:rsid w:val="0099061E"/>
    <w:rsid w:val="00990DFC"/>
    <w:rsid w:val="00994989"/>
    <w:rsid w:val="009E4109"/>
    <w:rsid w:val="009E5187"/>
    <w:rsid w:val="00A04F97"/>
    <w:rsid w:val="00A313AF"/>
    <w:rsid w:val="00A54E90"/>
    <w:rsid w:val="00A64D49"/>
    <w:rsid w:val="00A76C1C"/>
    <w:rsid w:val="00A809D6"/>
    <w:rsid w:val="00A8190B"/>
    <w:rsid w:val="00AC2FF3"/>
    <w:rsid w:val="00AD5FFE"/>
    <w:rsid w:val="00B0115E"/>
    <w:rsid w:val="00B15EA1"/>
    <w:rsid w:val="00B17C1E"/>
    <w:rsid w:val="00B22B31"/>
    <w:rsid w:val="00B32B55"/>
    <w:rsid w:val="00B67655"/>
    <w:rsid w:val="00BA39E2"/>
    <w:rsid w:val="00BA6EEB"/>
    <w:rsid w:val="00BB2AE3"/>
    <w:rsid w:val="00BB46C8"/>
    <w:rsid w:val="00BC5464"/>
    <w:rsid w:val="00BE6F79"/>
    <w:rsid w:val="00C02DB0"/>
    <w:rsid w:val="00C0405A"/>
    <w:rsid w:val="00C05818"/>
    <w:rsid w:val="00C07EEC"/>
    <w:rsid w:val="00C218C9"/>
    <w:rsid w:val="00C33BAC"/>
    <w:rsid w:val="00C360D4"/>
    <w:rsid w:val="00C47736"/>
    <w:rsid w:val="00C82DB1"/>
    <w:rsid w:val="00C9377B"/>
    <w:rsid w:val="00CA7F4A"/>
    <w:rsid w:val="00CB4C1D"/>
    <w:rsid w:val="00CB4C68"/>
    <w:rsid w:val="00CB788F"/>
    <w:rsid w:val="00CE7301"/>
    <w:rsid w:val="00CF2F9A"/>
    <w:rsid w:val="00CF663E"/>
    <w:rsid w:val="00D3693E"/>
    <w:rsid w:val="00D47830"/>
    <w:rsid w:val="00D838F9"/>
    <w:rsid w:val="00D87AA7"/>
    <w:rsid w:val="00D919AC"/>
    <w:rsid w:val="00D96483"/>
    <w:rsid w:val="00D9705E"/>
    <w:rsid w:val="00DB4826"/>
    <w:rsid w:val="00DF5E03"/>
    <w:rsid w:val="00E01787"/>
    <w:rsid w:val="00E02375"/>
    <w:rsid w:val="00E0760A"/>
    <w:rsid w:val="00E5472E"/>
    <w:rsid w:val="00E60EF4"/>
    <w:rsid w:val="00E71469"/>
    <w:rsid w:val="00E73F62"/>
    <w:rsid w:val="00E84D5C"/>
    <w:rsid w:val="00EC5C57"/>
    <w:rsid w:val="00F16F97"/>
    <w:rsid w:val="00F33819"/>
    <w:rsid w:val="00F362C0"/>
    <w:rsid w:val="00F45F7B"/>
    <w:rsid w:val="00F562CC"/>
    <w:rsid w:val="00F83468"/>
    <w:rsid w:val="00F9651B"/>
    <w:rsid w:val="00F97733"/>
    <w:rsid w:val="00FA2252"/>
    <w:rsid w:val="00FB05D9"/>
    <w:rsid w:val="00FE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5D"/>
  </w:style>
  <w:style w:type="paragraph" w:styleId="Heading1">
    <w:name w:val="heading 1"/>
    <w:basedOn w:val="Normal"/>
    <w:next w:val="Normal"/>
    <w:link w:val="Heading1Char"/>
    <w:uiPriority w:val="9"/>
    <w:qFormat/>
    <w:rsid w:val="0017569B"/>
    <w:pPr>
      <w:numPr>
        <w:numId w:val="1"/>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17569B"/>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17569B"/>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4"/>
    <w:unhideWhenUsed/>
    <w:qFormat/>
    <w:rsid w:val="0017569B"/>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17569B"/>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17569B"/>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17569B"/>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17569B"/>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17569B"/>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44491C"/>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44491C"/>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sid w:val="0044491C"/>
    <w:rPr>
      <w:vertAlign w:val="superscript"/>
    </w:rPr>
  </w:style>
  <w:style w:type="paragraph" w:styleId="Header">
    <w:name w:val="header"/>
    <w:basedOn w:val="Normal"/>
    <w:link w:val="HeaderChar"/>
    <w:uiPriority w:val="99"/>
    <w:unhideWhenUsed/>
    <w:rsid w:val="003473F1"/>
    <w:pPr>
      <w:tabs>
        <w:tab w:val="center" w:pos="4680"/>
        <w:tab w:val="right" w:pos="9360"/>
      </w:tabs>
    </w:pPr>
  </w:style>
  <w:style w:type="character" w:customStyle="1" w:styleId="HeaderChar">
    <w:name w:val="Header Char"/>
    <w:basedOn w:val="DefaultParagraphFont"/>
    <w:link w:val="Header"/>
    <w:uiPriority w:val="99"/>
    <w:rsid w:val="003473F1"/>
  </w:style>
  <w:style w:type="paragraph" w:styleId="Footer">
    <w:name w:val="footer"/>
    <w:basedOn w:val="Normal"/>
    <w:link w:val="FooterChar"/>
    <w:uiPriority w:val="99"/>
    <w:unhideWhenUsed/>
    <w:rsid w:val="003473F1"/>
    <w:pPr>
      <w:tabs>
        <w:tab w:val="center" w:pos="4680"/>
        <w:tab w:val="right" w:pos="9360"/>
      </w:tabs>
    </w:pPr>
  </w:style>
  <w:style w:type="character" w:customStyle="1" w:styleId="FooterChar">
    <w:name w:val="Footer Char"/>
    <w:basedOn w:val="DefaultParagraphFont"/>
    <w:link w:val="Footer"/>
    <w:uiPriority w:val="99"/>
    <w:rsid w:val="003473F1"/>
  </w:style>
  <w:style w:type="character" w:customStyle="1" w:styleId="Heading2Char">
    <w:name w:val="Heading 2 Char"/>
    <w:basedOn w:val="DefaultParagraphFont"/>
    <w:link w:val="Heading2"/>
    <w:uiPriority w:val="9"/>
    <w:rsid w:val="0017569B"/>
    <w:rPr>
      <w:rFonts w:eastAsiaTheme="majorEastAsia" w:cs="Arial"/>
      <w:b/>
      <w:bCs/>
      <w:szCs w:val="26"/>
    </w:rPr>
  </w:style>
  <w:style w:type="character" w:customStyle="1" w:styleId="Heading1Char">
    <w:name w:val="Heading 1 Char"/>
    <w:basedOn w:val="DefaultParagraphFont"/>
    <w:link w:val="Heading1"/>
    <w:uiPriority w:val="9"/>
    <w:rsid w:val="0017569B"/>
    <w:rPr>
      <w:rFonts w:eastAsiaTheme="majorEastAsia" w:cs="Arial"/>
      <w:b/>
      <w:bCs/>
      <w:caps/>
      <w:szCs w:val="28"/>
      <w:u w:val="single"/>
    </w:rPr>
  </w:style>
  <w:style w:type="character" w:customStyle="1" w:styleId="Heading3Char">
    <w:name w:val="Heading 3 Char"/>
    <w:basedOn w:val="DefaultParagraphFont"/>
    <w:link w:val="Heading3"/>
    <w:uiPriority w:val="9"/>
    <w:semiHidden/>
    <w:rsid w:val="0017569B"/>
    <w:rPr>
      <w:rFonts w:eastAsiaTheme="majorEastAsia" w:cs="Arial"/>
      <w:b/>
      <w:bCs/>
    </w:rPr>
  </w:style>
  <w:style w:type="character" w:customStyle="1" w:styleId="Heading4Char">
    <w:name w:val="Heading 4 Char"/>
    <w:basedOn w:val="DefaultParagraphFont"/>
    <w:link w:val="Heading4"/>
    <w:uiPriority w:val="9"/>
    <w:semiHidden/>
    <w:rsid w:val="0017569B"/>
    <w:rPr>
      <w:rFonts w:eastAsiaTheme="majorEastAsia" w:cs="Arial"/>
      <w:b/>
      <w:bCs/>
      <w:i/>
      <w:iCs/>
    </w:rPr>
  </w:style>
  <w:style w:type="character" w:customStyle="1" w:styleId="Heading5Char">
    <w:name w:val="Heading 5 Char"/>
    <w:basedOn w:val="DefaultParagraphFont"/>
    <w:link w:val="Heading5"/>
    <w:uiPriority w:val="9"/>
    <w:semiHidden/>
    <w:rsid w:val="0017569B"/>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17569B"/>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17569B"/>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17569B"/>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17569B"/>
    <w:rPr>
      <w:rFonts w:asciiTheme="majorHAnsi" w:eastAsiaTheme="majorEastAsia" w:hAnsiTheme="majorHAnsi" w:cs="Arial"/>
      <w:iCs/>
      <w:color w:val="404040" w:themeColor="text1" w:themeTint="BF"/>
      <w:szCs w:val="20"/>
    </w:rPr>
  </w:style>
  <w:style w:type="paragraph" w:styleId="BalloonText">
    <w:name w:val="Balloon Text"/>
    <w:basedOn w:val="Normal"/>
    <w:link w:val="BalloonTextChar"/>
    <w:uiPriority w:val="99"/>
    <w:semiHidden/>
    <w:unhideWhenUsed/>
    <w:rsid w:val="002659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5D"/>
    <w:rPr>
      <w:rFonts w:ascii="Tahoma" w:hAnsi="Tahoma" w:cs="Tahoma"/>
      <w:sz w:val="16"/>
      <w:szCs w:val="16"/>
    </w:rPr>
  </w:style>
  <w:style w:type="character" w:styleId="CommentReference">
    <w:name w:val="annotation reference"/>
    <w:basedOn w:val="DefaultParagraphFont"/>
    <w:uiPriority w:val="99"/>
    <w:semiHidden/>
    <w:unhideWhenUsed/>
    <w:rsid w:val="00F33819"/>
    <w:rPr>
      <w:sz w:val="16"/>
      <w:szCs w:val="16"/>
    </w:rPr>
  </w:style>
  <w:style w:type="paragraph" w:styleId="CommentText">
    <w:name w:val="annotation text"/>
    <w:basedOn w:val="Normal"/>
    <w:link w:val="CommentTextChar"/>
    <w:uiPriority w:val="99"/>
    <w:semiHidden/>
    <w:unhideWhenUsed/>
    <w:rsid w:val="00F33819"/>
    <w:rPr>
      <w:sz w:val="20"/>
      <w:szCs w:val="20"/>
    </w:rPr>
  </w:style>
  <w:style w:type="character" w:customStyle="1" w:styleId="CommentTextChar">
    <w:name w:val="Comment Text Char"/>
    <w:basedOn w:val="DefaultParagraphFont"/>
    <w:link w:val="CommentText"/>
    <w:uiPriority w:val="99"/>
    <w:semiHidden/>
    <w:rsid w:val="00F33819"/>
    <w:rPr>
      <w:sz w:val="20"/>
      <w:szCs w:val="20"/>
    </w:rPr>
  </w:style>
  <w:style w:type="paragraph" w:styleId="CommentSubject">
    <w:name w:val="annotation subject"/>
    <w:basedOn w:val="CommentText"/>
    <w:next w:val="CommentText"/>
    <w:link w:val="CommentSubjectChar"/>
    <w:uiPriority w:val="99"/>
    <w:semiHidden/>
    <w:unhideWhenUsed/>
    <w:rsid w:val="00F33819"/>
    <w:rPr>
      <w:b/>
      <w:bCs/>
    </w:rPr>
  </w:style>
  <w:style w:type="character" w:customStyle="1" w:styleId="CommentSubjectChar">
    <w:name w:val="Comment Subject Char"/>
    <w:basedOn w:val="CommentTextChar"/>
    <w:link w:val="CommentSubject"/>
    <w:uiPriority w:val="99"/>
    <w:semiHidden/>
    <w:rsid w:val="00F33819"/>
    <w:rPr>
      <w:b/>
      <w:bCs/>
      <w:sz w:val="20"/>
      <w:szCs w:val="20"/>
    </w:rPr>
  </w:style>
  <w:style w:type="paragraph" w:styleId="Revision">
    <w:name w:val="Revision"/>
    <w:hidden/>
    <w:uiPriority w:val="99"/>
    <w:semiHidden/>
    <w:rsid w:val="00F33819"/>
    <w:pPr>
      <w:spacing w:after="0"/>
    </w:pPr>
  </w:style>
  <w:style w:type="paragraph" w:styleId="TOCHeading">
    <w:name w:val="TOC Heading"/>
    <w:basedOn w:val="Normal"/>
    <w:next w:val="TOC1"/>
    <w:uiPriority w:val="39"/>
    <w:unhideWhenUsed/>
    <w:qFormat/>
    <w:rsid w:val="006819AB"/>
    <w:pPr>
      <w:keepNext/>
      <w:keepLines/>
      <w:spacing w:before="480" w:after="240"/>
      <w:jc w:val="center"/>
    </w:pPr>
    <w:rPr>
      <w:rFonts w:cs="Arial"/>
      <w:b/>
      <w:color w:val="365F91" w:themeColor="accent1" w:themeShade="BF"/>
    </w:rPr>
  </w:style>
  <w:style w:type="paragraph" w:styleId="TOC1">
    <w:name w:val="toc 1"/>
    <w:basedOn w:val="Normal"/>
    <w:next w:val="Normal"/>
    <w:autoRedefine/>
    <w:uiPriority w:val="39"/>
    <w:unhideWhenUsed/>
    <w:rsid w:val="00411841"/>
    <w:pPr>
      <w:tabs>
        <w:tab w:val="left" w:pos="720"/>
        <w:tab w:val="right" w:leader="dot" w:pos="9360"/>
      </w:tabs>
      <w:spacing w:after="100"/>
      <w:ind w:left="720" w:right="720" w:hanging="720"/>
    </w:pPr>
  </w:style>
  <w:style w:type="paragraph" w:styleId="TOC2">
    <w:name w:val="toc 2"/>
    <w:basedOn w:val="Normal"/>
    <w:next w:val="Normal"/>
    <w:autoRedefine/>
    <w:uiPriority w:val="39"/>
    <w:unhideWhenUsed/>
    <w:rsid w:val="00411841"/>
    <w:pPr>
      <w:tabs>
        <w:tab w:val="left" w:pos="1440"/>
        <w:tab w:val="right" w:leader="dot" w:pos="9360"/>
      </w:tabs>
      <w:spacing w:after="100"/>
      <w:ind w:left="720" w:right="720"/>
      <w:jc w:val="both"/>
    </w:pPr>
  </w:style>
  <w:style w:type="paragraph" w:styleId="TOC3">
    <w:name w:val="toc 3"/>
    <w:basedOn w:val="Normal"/>
    <w:next w:val="Normal"/>
    <w:autoRedefine/>
    <w:uiPriority w:val="39"/>
    <w:semiHidden/>
    <w:unhideWhenUsed/>
    <w:rsid w:val="006819AB"/>
    <w:pPr>
      <w:spacing w:after="100"/>
      <w:ind w:left="480"/>
    </w:pPr>
  </w:style>
  <w:style w:type="paragraph" w:styleId="TOC4">
    <w:name w:val="toc 4"/>
    <w:basedOn w:val="Normal"/>
    <w:next w:val="Normal"/>
    <w:autoRedefine/>
    <w:uiPriority w:val="39"/>
    <w:semiHidden/>
    <w:unhideWhenUsed/>
    <w:rsid w:val="006819AB"/>
    <w:pPr>
      <w:spacing w:after="100"/>
      <w:ind w:left="720"/>
    </w:pPr>
  </w:style>
  <w:style w:type="paragraph" w:styleId="TOC5">
    <w:name w:val="toc 5"/>
    <w:basedOn w:val="Normal"/>
    <w:next w:val="Normal"/>
    <w:autoRedefine/>
    <w:uiPriority w:val="39"/>
    <w:semiHidden/>
    <w:unhideWhenUsed/>
    <w:rsid w:val="006819AB"/>
    <w:pPr>
      <w:spacing w:after="100"/>
      <w:ind w:left="960"/>
    </w:pPr>
  </w:style>
  <w:style w:type="paragraph" w:styleId="TOC6">
    <w:name w:val="toc 6"/>
    <w:basedOn w:val="Normal"/>
    <w:next w:val="Normal"/>
    <w:autoRedefine/>
    <w:uiPriority w:val="39"/>
    <w:semiHidden/>
    <w:unhideWhenUsed/>
    <w:rsid w:val="006819AB"/>
    <w:pPr>
      <w:spacing w:after="100"/>
      <w:ind w:left="1200"/>
    </w:pPr>
  </w:style>
  <w:style w:type="paragraph" w:styleId="TOC7">
    <w:name w:val="toc 7"/>
    <w:basedOn w:val="Normal"/>
    <w:next w:val="Normal"/>
    <w:autoRedefine/>
    <w:uiPriority w:val="39"/>
    <w:semiHidden/>
    <w:unhideWhenUsed/>
    <w:rsid w:val="006819AB"/>
    <w:pPr>
      <w:spacing w:after="100"/>
      <w:ind w:left="1440"/>
    </w:pPr>
  </w:style>
  <w:style w:type="paragraph" w:styleId="TOC8">
    <w:name w:val="toc 8"/>
    <w:basedOn w:val="Normal"/>
    <w:next w:val="Normal"/>
    <w:autoRedefine/>
    <w:uiPriority w:val="39"/>
    <w:semiHidden/>
    <w:unhideWhenUsed/>
    <w:rsid w:val="006819AB"/>
    <w:pPr>
      <w:spacing w:after="100"/>
      <w:ind w:left="1680"/>
    </w:pPr>
  </w:style>
  <w:style w:type="paragraph" w:styleId="TOC9">
    <w:name w:val="toc 9"/>
    <w:basedOn w:val="Normal"/>
    <w:next w:val="Normal"/>
    <w:autoRedefine/>
    <w:uiPriority w:val="39"/>
    <w:semiHidden/>
    <w:unhideWhenUsed/>
    <w:rsid w:val="006819AB"/>
    <w:pPr>
      <w:spacing w:after="100"/>
      <w:ind w:left="1920"/>
    </w:pPr>
  </w:style>
  <w:style w:type="paragraph" w:customStyle="1" w:styleId="TOCPage">
    <w:name w:val="TOC Page"/>
    <w:basedOn w:val="Normal"/>
    <w:rsid w:val="006819AB"/>
    <w:pPr>
      <w:spacing w:after="240"/>
      <w:jc w:val="right"/>
    </w:pPr>
    <w:rPr>
      <w:rFonts w:eastAsia="Times New Roman" w:cs="Arial"/>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5D"/>
  </w:style>
  <w:style w:type="paragraph" w:styleId="Heading1">
    <w:name w:val="heading 1"/>
    <w:basedOn w:val="Normal"/>
    <w:next w:val="Normal"/>
    <w:link w:val="Heading1Char"/>
    <w:uiPriority w:val="9"/>
    <w:qFormat/>
    <w:rsid w:val="0017569B"/>
    <w:pPr>
      <w:numPr>
        <w:numId w:val="1"/>
      </w:numPr>
      <w:tabs>
        <w:tab w:val="clear" w:pos="720"/>
      </w:tabs>
      <w:spacing w:after="240"/>
      <w:jc w:val="both"/>
      <w:outlineLvl w:val="0"/>
    </w:pPr>
    <w:rPr>
      <w:rFonts w:eastAsiaTheme="majorEastAsia" w:cs="Arial"/>
      <w:b/>
      <w:bCs/>
      <w:caps/>
      <w:szCs w:val="28"/>
      <w:u w:val="single"/>
    </w:rPr>
  </w:style>
  <w:style w:type="paragraph" w:styleId="Heading2">
    <w:name w:val="heading 2"/>
    <w:basedOn w:val="Normal"/>
    <w:next w:val="Normal"/>
    <w:link w:val="Heading2Char"/>
    <w:uiPriority w:val="9"/>
    <w:unhideWhenUsed/>
    <w:qFormat/>
    <w:rsid w:val="0017569B"/>
    <w:pPr>
      <w:numPr>
        <w:ilvl w:val="1"/>
        <w:numId w:val="1"/>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17569B"/>
    <w:pPr>
      <w:numPr>
        <w:ilvl w:val="2"/>
        <w:numId w:val="1"/>
      </w:numPr>
      <w:spacing w:after="240"/>
      <w:jc w:val="both"/>
      <w:outlineLvl w:val="2"/>
    </w:pPr>
    <w:rPr>
      <w:rFonts w:eastAsiaTheme="majorEastAsia" w:cs="Arial"/>
      <w:b/>
      <w:bCs/>
    </w:rPr>
  </w:style>
  <w:style w:type="paragraph" w:styleId="Heading4">
    <w:name w:val="heading 4"/>
    <w:basedOn w:val="Normal"/>
    <w:next w:val="Normal"/>
    <w:link w:val="Heading4Char"/>
    <w:uiPriority w:val="4"/>
    <w:unhideWhenUsed/>
    <w:qFormat/>
    <w:rsid w:val="0017569B"/>
    <w:pPr>
      <w:numPr>
        <w:ilvl w:val="3"/>
        <w:numId w:val="1"/>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17569B"/>
    <w:pPr>
      <w:numPr>
        <w:ilvl w:val="4"/>
        <w:numId w:val="1"/>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17569B"/>
    <w:pPr>
      <w:numPr>
        <w:ilvl w:val="5"/>
        <w:numId w:val="1"/>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17569B"/>
    <w:pPr>
      <w:numPr>
        <w:ilvl w:val="6"/>
        <w:numId w:val="1"/>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17569B"/>
    <w:pPr>
      <w:numPr>
        <w:ilvl w:val="7"/>
        <w:numId w:val="1"/>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17569B"/>
    <w:pPr>
      <w:numPr>
        <w:ilvl w:val="8"/>
        <w:numId w:val="1"/>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44491C"/>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44491C"/>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sid w:val="0044491C"/>
    <w:rPr>
      <w:vertAlign w:val="superscript"/>
    </w:rPr>
  </w:style>
  <w:style w:type="paragraph" w:styleId="Header">
    <w:name w:val="header"/>
    <w:basedOn w:val="Normal"/>
    <w:link w:val="HeaderChar"/>
    <w:uiPriority w:val="99"/>
    <w:unhideWhenUsed/>
    <w:rsid w:val="003473F1"/>
    <w:pPr>
      <w:tabs>
        <w:tab w:val="center" w:pos="4680"/>
        <w:tab w:val="right" w:pos="9360"/>
      </w:tabs>
    </w:pPr>
  </w:style>
  <w:style w:type="character" w:customStyle="1" w:styleId="HeaderChar">
    <w:name w:val="Header Char"/>
    <w:basedOn w:val="DefaultParagraphFont"/>
    <w:link w:val="Header"/>
    <w:uiPriority w:val="99"/>
    <w:rsid w:val="003473F1"/>
  </w:style>
  <w:style w:type="paragraph" w:styleId="Footer">
    <w:name w:val="footer"/>
    <w:basedOn w:val="Normal"/>
    <w:link w:val="FooterChar"/>
    <w:uiPriority w:val="99"/>
    <w:unhideWhenUsed/>
    <w:rsid w:val="003473F1"/>
    <w:pPr>
      <w:tabs>
        <w:tab w:val="center" w:pos="4680"/>
        <w:tab w:val="right" w:pos="9360"/>
      </w:tabs>
    </w:pPr>
  </w:style>
  <w:style w:type="character" w:customStyle="1" w:styleId="FooterChar">
    <w:name w:val="Footer Char"/>
    <w:basedOn w:val="DefaultParagraphFont"/>
    <w:link w:val="Footer"/>
    <w:uiPriority w:val="99"/>
    <w:rsid w:val="003473F1"/>
  </w:style>
  <w:style w:type="character" w:customStyle="1" w:styleId="Heading2Char">
    <w:name w:val="Heading 2 Char"/>
    <w:basedOn w:val="DefaultParagraphFont"/>
    <w:link w:val="Heading2"/>
    <w:uiPriority w:val="9"/>
    <w:rsid w:val="0017569B"/>
    <w:rPr>
      <w:rFonts w:eastAsiaTheme="majorEastAsia" w:cs="Arial"/>
      <w:b/>
      <w:bCs/>
      <w:szCs w:val="26"/>
    </w:rPr>
  </w:style>
  <w:style w:type="character" w:customStyle="1" w:styleId="Heading1Char">
    <w:name w:val="Heading 1 Char"/>
    <w:basedOn w:val="DefaultParagraphFont"/>
    <w:link w:val="Heading1"/>
    <w:uiPriority w:val="9"/>
    <w:rsid w:val="0017569B"/>
    <w:rPr>
      <w:rFonts w:eastAsiaTheme="majorEastAsia" w:cs="Arial"/>
      <w:b/>
      <w:bCs/>
      <w:caps/>
      <w:szCs w:val="28"/>
      <w:u w:val="single"/>
    </w:rPr>
  </w:style>
  <w:style w:type="character" w:customStyle="1" w:styleId="Heading3Char">
    <w:name w:val="Heading 3 Char"/>
    <w:basedOn w:val="DefaultParagraphFont"/>
    <w:link w:val="Heading3"/>
    <w:uiPriority w:val="9"/>
    <w:semiHidden/>
    <w:rsid w:val="0017569B"/>
    <w:rPr>
      <w:rFonts w:eastAsiaTheme="majorEastAsia" w:cs="Arial"/>
      <w:b/>
      <w:bCs/>
    </w:rPr>
  </w:style>
  <w:style w:type="character" w:customStyle="1" w:styleId="Heading4Char">
    <w:name w:val="Heading 4 Char"/>
    <w:basedOn w:val="DefaultParagraphFont"/>
    <w:link w:val="Heading4"/>
    <w:uiPriority w:val="9"/>
    <w:semiHidden/>
    <w:rsid w:val="0017569B"/>
    <w:rPr>
      <w:rFonts w:eastAsiaTheme="majorEastAsia" w:cs="Arial"/>
      <w:b/>
      <w:bCs/>
      <w:i/>
      <w:iCs/>
    </w:rPr>
  </w:style>
  <w:style w:type="character" w:customStyle="1" w:styleId="Heading5Char">
    <w:name w:val="Heading 5 Char"/>
    <w:basedOn w:val="DefaultParagraphFont"/>
    <w:link w:val="Heading5"/>
    <w:uiPriority w:val="9"/>
    <w:semiHidden/>
    <w:rsid w:val="0017569B"/>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17569B"/>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17569B"/>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17569B"/>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17569B"/>
    <w:rPr>
      <w:rFonts w:asciiTheme="majorHAnsi" w:eastAsiaTheme="majorEastAsia" w:hAnsiTheme="majorHAnsi" w:cs="Arial"/>
      <w:iCs/>
      <w:color w:val="404040" w:themeColor="text1" w:themeTint="BF"/>
      <w:szCs w:val="20"/>
    </w:rPr>
  </w:style>
  <w:style w:type="paragraph" w:styleId="BalloonText">
    <w:name w:val="Balloon Text"/>
    <w:basedOn w:val="Normal"/>
    <w:link w:val="BalloonTextChar"/>
    <w:uiPriority w:val="99"/>
    <w:semiHidden/>
    <w:unhideWhenUsed/>
    <w:rsid w:val="002659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95D"/>
    <w:rPr>
      <w:rFonts w:ascii="Tahoma" w:hAnsi="Tahoma" w:cs="Tahoma"/>
      <w:sz w:val="16"/>
      <w:szCs w:val="16"/>
    </w:rPr>
  </w:style>
  <w:style w:type="character" w:styleId="CommentReference">
    <w:name w:val="annotation reference"/>
    <w:basedOn w:val="DefaultParagraphFont"/>
    <w:uiPriority w:val="99"/>
    <w:semiHidden/>
    <w:unhideWhenUsed/>
    <w:rsid w:val="00F33819"/>
    <w:rPr>
      <w:sz w:val="16"/>
      <w:szCs w:val="16"/>
    </w:rPr>
  </w:style>
  <w:style w:type="paragraph" w:styleId="CommentText">
    <w:name w:val="annotation text"/>
    <w:basedOn w:val="Normal"/>
    <w:link w:val="CommentTextChar"/>
    <w:uiPriority w:val="99"/>
    <w:semiHidden/>
    <w:unhideWhenUsed/>
    <w:rsid w:val="00F33819"/>
    <w:rPr>
      <w:sz w:val="20"/>
      <w:szCs w:val="20"/>
    </w:rPr>
  </w:style>
  <w:style w:type="character" w:customStyle="1" w:styleId="CommentTextChar">
    <w:name w:val="Comment Text Char"/>
    <w:basedOn w:val="DefaultParagraphFont"/>
    <w:link w:val="CommentText"/>
    <w:uiPriority w:val="99"/>
    <w:semiHidden/>
    <w:rsid w:val="00F33819"/>
    <w:rPr>
      <w:sz w:val="20"/>
      <w:szCs w:val="20"/>
    </w:rPr>
  </w:style>
  <w:style w:type="paragraph" w:styleId="CommentSubject">
    <w:name w:val="annotation subject"/>
    <w:basedOn w:val="CommentText"/>
    <w:next w:val="CommentText"/>
    <w:link w:val="CommentSubjectChar"/>
    <w:uiPriority w:val="99"/>
    <w:semiHidden/>
    <w:unhideWhenUsed/>
    <w:rsid w:val="00F33819"/>
    <w:rPr>
      <w:b/>
      <w:bCs/>
    </w:rPr>
  </w:style>
  <w:style w:type="character" w:customStyle="1" w:styleId="CommentSubjectChar">
    <w:name w:val="Comment Subject Char"/>
    <w:basedOn w:val="CommentTextChar"/>
    <w:link w:val="CommentSubject"/>
    <w:uiPriority w:val="99"/>
    <w:semiHidden/>
    <w:rsid w:val="00F33819"/>
    <w:rPr>
      <w:b/>
      <w:bCs/>
      <w:sz w:val="20"/>
      <w:szCs w:val="20"/>
    </w:rPr>
  </w:style>
  <w:style w:type="paragraph" w:styleId="Revision">
    <w:name w:val="Revision"/>
    <w:hidden/>
    <w:uiPriority w:val="99"/>
    <w:semiHidden/>
    <w:rsid w:val="00F33819"/>
    <w:pPr>
      <w:spacing w:after="0"/>
    </w:pPr>
  </w:style>
  <w:style w:type="paragraph" w:styleId="TOCHeading">
    <w:name w:val="TOC Heading"/>
    <w:basedOn w:val="Normal"/>
    <w:next w:val="TOC1"/>
    <w:uiPriority w:val="39"/>
    <w:unhideWhenUsed/>
    <w:qFormat/>
    <w:rsid w:val="006819AB"/>
    <w:pPr>
      <w:keepNext/>
      <w:keepLines/>
      <w:spacing w:before="480" w:after="240"/>
      <w:jc w:val="center"/>
    </w:pPr>
    <w:rPr>
      <w:rFonts w:cs="Arial"/>
      <w:b/>
      <w:color w:val="365F91" w:themeColor="accent1" w:themeShade="BF"/>
    </w:rPr>
  </w:style>
  <w:style w:type="paragraph" w:styleId="TOC1">
    <w:name w:val="toc 1"/>
    <w:basedOn w:val="Normal"/>
    <w:next w:val="Normal"/>
    <w:autoRedefine/>
    <w:uiPriority w:val="39"/>
    <w:unhideWhenUsed/>
    <w:rsid w:val="00411841"/>
    <w:pPr>
      <w:tabs>
        <w:tab w:val="left" w:pos="720"/>
        <w:tab w:val="right" w:leader="dot" w:pos="9360"/>
      </w:tabs>
      <w:spacing w:after="100"/>
      <w:ind w:left="720" w:right="720" w:hanging="720"/>
    </w:pPr>
  </w:style>
  <w:style w:type="paragraph" w:styleId="TOC2">
    <w:name w:val="toc 2"/>
    <w:basedOn w:val="Normal"/>
    <w:next w:val="Normal"/>
    <w:autoRedefine/>
    <w:uiPriority w:val="39"/>
    <w:unhideWhenUsed/>
    <w:rsid w:val="00411841"/>
    <w:pPr>
      <w:tabs>
        <w:tab w:val="left" w:pos="1440"/>
        <w:tab w:val="right" w:leader="dot" w:pos="9360"/>
      </w:tabs>
      <w:spacing w:after="100"/>
      <w:ind w:left="720" w:right="720"/>
      <w:jc w:val="both"/>
    </w:pPr>
  </w:style>
  <w:style w:type="paragraph" w:styleId="TOC3">
    <w:name w:val="toc 3"/>
    <w:basedOn w:val="Normal"/>
    <w:next w:val="Normal"/>
    <w:autoRedefine/>
    <w:uiPriority w:val="39"/>
    <w:semiHidden/>
    <w:unhideWhenUsed/>
    <w:rsid w:val="006819AB"/>
    <w:pPr>
      <w:spacing w:after="100"/>
      <w:ind w:left="480"/>
    </w:pPr>
  </w:style>
  <w:style w:type="paragraph" w:styleId="TOC4">
    <w:name w:val="toc 4"/>
    <w:basedOn w:val="Normal"/>
    <w:next w:val="Normal"/>
    <w:autoRedefine/>
    <w:uiPriority w:val="39"/>
    <w:semiHidden/>
    <w:unhideWhenUsed/>
    <w:rsid w:val="006819AB"/>
    <w:pPr>
      <w:spacing w:after="100"/>
      <w:ind w:left="720"/>
    </w:pPr>
  </w:style>
  <w:style w:type="paragraph" w:styleId="TOC5">
    <w:name w:val="toc 5"/>
    <w:basedOn w:val="Normal"/>
    <w:next w:val="Normal"/>
    <w:autoRedefine/>
    <w:uiPriority w:val="39"/>
    <w:semiHidden/>
    <w:unhideWhenUsed/>
    <w:rsid w:val="006819AB"/>
    <w:pPr>
      <w:spacing w:after="100"/>
      <w:ind w:left="960"/>
    </w:pPr>
  </w:style>
  <w:style w:type="paragraph" w:styleId="TOC6">
    <w:name w:val="toc 6"/>
    <w:basedOn w:val="Normal"/>
    <w:next w:val="Normal"/>
    <w:autoRedefine/>
    <w:uiPriority w:val="39"/>
    <w:semiHidden/>
    <w:unhideWhenUsed/>
    <w:rsid w:val="006819AB"/>
    <w:pPr>
      <w:spacing w:after="100"/>
      <w:ind w:left="1200"/>
    </w:pPr>
  </w:style>
  <w:style w:type="paragraph" w:styleId="TOC7">
    <w:name w:val="toc 7"/>
    <w:basedOn w:val="Normal"/>
    <w:next w:val="Normal"/>
    <w:autoRedefine/>
    <w:uiPriority w:val="39"/>
    <w:semiHidden/>
    <w:unhideWhenUsed/>
    <w:rsid w:val="006819AB"/>
    <w:pPr>
      <w:spacing w:after="100"/>
      <w:ind w:left="1440"/>
    </w:pPr>
  </w:style>
  <w:style w:type="paragraph" w:styleId="TOC8">
    <w:name w:val="toc 8"/>
    <w:basedOn w:val="Normal"/>
    <w:next w:val="Normal"/>
    <w:autoRedefine/>
    <w:uiPriority w:val="39"/>
    <w:semiHidden/>
    <w:unhideWhenUsed/>
    <w:rsid w:val="006819AB"/>
    <w:pPr>
      <w:spacing w:after="100"/>
      <w:ind w:left="1680"/>
    </w:pPr>
  </w:style>
  <w:style w:type="paragraph" w:styleId="TOC9">
    <w:name w:val="toc 9"/>
    <w:basedOn w:val="Normal"/>
    <w:next w:val="Normal"/>
    <w:autoRedefine/>
    <w:uiPriority w:val="39"/>
    <w:semiHidden/>
    <w:unhideWhenUsed/>
    <w:rsid w:val="006819AB"/>
    <w:pPr>
      <w:spacing w:after="100"/>
      <w:ind w:left="1920"/>
    </w:pPr>
  </w:style>
  <w:style w:type="paragraph" w:customStyle="1" w:styleId="TOCPage">
    <w:name w:val="TOC Page"/>
    <w:basedOn w:val="Normal"/>
    <w:rsid w:val="006819AB"/>
    <w:pPr>
      <w:spacing w:after="240"/>
      <w:jc w:val="right"/>
    </w:pPr>
    <w:rPr>
      <w:rFonts w:eastAsia="Times New Roman"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858189">
      <w:bodyDiv w:val="1"/>
      <w:marLeft w:val="0"/>
      <w:marRight w:val="0"/>
      <w:marTop w:val="0"/>
      <w:marBottom w:val="0"/>
      <w:divBdr>
        <w:top w:val="none" w:sz="0" w:space="0" w:color="auto"/>
        <w:left w:val="none" w:sz="0" w:space="0" w:color="auto"/>
        <w:bottom w:val="none" w:sz="0" w:space="0" w:color="auto"/>
        <w:right w:val="none" w:sz="0" w:space="0" w:color="auto"/>
      </w:divBdr>
    </w:div>
    <w:div w:id="438724068">
      <w:bodyDiv w:val="1"/>
      <w:marLeft w:val="0"/>
      <w:marRight w:val="0"/>
      <w:marTop w:val="0"/>
      <w:marBottom w:val="0"/>
      <w:divBdr>
        <w:top w:val="none" w:sz="0" w:space="0" w:color="auto"/>
        <w:left w:val="none" w:sz="0" w:space="0" w:color="auto"/>
        <w:bottom w:val="none" w:sz="0" w:space="0" w:color="auto"/>
        <w:right w:val="none" w:sz="0" w:space="0" w:color="auto"/>
      </w:divBdr>
    </w:div>
    <w:div w:id="961494856">
      <w:bodyDiv w:val="1"/>
      <w:marLeft w:val="0"/>
      <w:marRight w:val="0"/>
      <w:marTop w:val="0"/>
      <w:marBottom w:val="0"/>
      <w:divBdr>
        <w:top w:val="none" w:sz="0" w:space="0" w:color="auto"/>
        <w:left w:val="none" w:sz="0" w:space="0" w:color="auto"/>
        <w:bottom w:val="none" w:sz="0" w:space="0" w:color="auto"/>
        <w:right w:val="none" w:sz="0" w:space="0" w:color="auto"/>
      </w:divBdr>
    </w:div>
    <w:div w:id="19631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grady@occ.state.oh.u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04F6-7DC6-4F62-864C-753D11FE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31</Pages>
  <Words>6666</Words>
  <Characters>36749</Characters>
  <Application>Microsoft Office Word</Application>
  <DocSecurity>0</DocSecurity>
  <PresentationFormat/>
  <Lines>942</Lines>
  <Paragraphs>406</Paragraphs>
  <ScaleCrop>false</ScaleCrop>
  <HeadingPairs>
    <vt:vector size="2" baseType="variant">
      <vt:variant>
        <vt:lpstr>Title</vt:lpstr>
      </vt:variant>
      <vt:variant>
        <vt:i4>1</vt:i4>
      </vt:variant>
    </vt:vector>
  </HeadingPairs>
  <TitlesOfParts>
    <vt:vector size="1" baseType="lpstr">
      <vt:lpstr>rehearing; memo contra;final (C46992-2).DOCX</vt:lpstr>
    </vt:vector>
  </TitlesOfParts>
  <Company/>
  <LinksUpToDate>false</LinksUpToDate>
  <CharactersWithSpaces>43269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rehearing; memo contra;final (C46992-2).DOCX</dc:title>
  <dc:subject>C46992:2 /font=8</dc:subject>
  <dc:creator>_</dc:creator>
  <cp:keywords/>
  <dc:description/>
  <cp:lastModifiedBy>Karen Bowman</cp:lastModifiedBy>
  <cp:revision>31</cp:revision>
  <cp:lastPrinted>2015-04-06T15:45:00Z</cp:lastPrinted>
  <dcterms:created xsi:type="dcterms:W3CDTF">2015-04-04T12:19:00Z</dcterms:created>
  <dcterms:modified xsi:type="dcterms:W3CDTF">2015-04-06T19:54:00Z</dcterms:modified>
</cp:coreProperties>
</file>