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B4712" w:rsidRPr="000B4712" w:rsidP="007F56FC" w14:paraId="1992614B" w14:textId="77777777">
      <w:pPr>
        <w:jc w:val="center"/>
        <w:rPr>
          <w:rFonts w:cs="Times New Roman"/>
          <w:b/>
          <w:bCs/>
          <w:szCs w:val="24"/>
        </w:rPr>
      </w:pPr>
      <w:r w:rsidRPr="000B4712">
        <w:rPr>
          <w:rFonts w:cs="Times New Roman"/>
          <w:b/>
          <w:bCs/>
          <w:szCs w:val="24"/>
        </w:rPr>
        <w:t xml:space="preserve">BEFORE </w:t>
      </w:r>
    </w:p>
    <w:p w:rsidR="007F56FC" w:rsidRPr="000B4712" w:rsidP="000B4712" w14:paraId="0A529AA1" w14:textId="3083C251">
      <w:pPr>
        <w:jc w:val="center"/>
        <w:rPr>
          <w:rFonts w:cs="Times New Roman"/>
          <w:b/>
          <w:bCs/>
          <w:szCs w:val="24"/>
        </w:rPr>
      </w:pPr>
      <w:r w:rsidRPr="000B4712">
        <w:rPr>
          <w:rFonts w:cs="Times New Roman"/>
          <w:b/>
          <w:bCs/>
          <w:szCs w:val="24"/>
        </w:rPr>
        <w:t>THE</w:t>
      </w:r>
      <w:r w:rsidRPr="000B4712" w:rsidR="000B4712">
        <w:rPr>
          <w:rFonts w:cs="Times New Roman"/>
          <w:b/>
          <w:bCs/>
          <w:szCs w:val="24"/>
        </w:rPr>
        <w:t xml:space="preserve"> </w:t>
      </w:r>
      <w:r w:rsidRPr="000B4712">
        <w:rPr>
          <w:rFonts w:cs="Times New Roman"/>
          <w:b/>
          <w:bCs/>
          <w:szCs w:val="24"/>
        </w:rPr>
        <w:t>PUBLIC UTILITIES COMMISSION OF OHIO</w:t>
      </w:r>
    </w:p>
    <w:p w:rsidR="000B4712" w:rsidRPr="000B4712" w:rsidP="000B4712" w14:paraId="49C26428" w14:textId="77777777">
      <w:pPr>
        <w:jc w:val="center"/>
        <w:rPr>
          <w:rFonts w:cs="Times New Roman"/>
          <w:b/>
          <w:bCs/>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479"/>
        <w:gridCol w:w="3117"/>
      </w:tblGrid>
      <w:tr w14:paraId="57295D80" w14:textId="77777777" w:rsidTr="00FD5EF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5665" w:type="dxa"/>
          </w:tcPr>
          <w:p w:rsidR="007F56FC" w:rsidRPr="000B4712" w:rsidP="00FD5EF9" w14:paraId="1E02D327" w14:textId="53354173">
            <w:pPr>
              <w:rPr>
                <w:rFonts w:ascii="Times New Roman" w:hAnsi="Times New Roman" w:cs="Times New Roman"/>
                <w:sz w:val="24"/>
                <w:szCs w:val="24"/>
              </w:rPr>
            </w:pPr>
            <w:r w:rsidRPr="000B4712">
              <w:rPr>
                <w:rFonts w:ascii="Times New Roman" w:hAnsi="Times New Roman" w:cs="Times New Roman"/>
                <w:sz w:val="24"/>
                <w:szCs w:val="24"/>
              </w:rPr>
              <w:t xml:space="preserve">In The Matter Of The Determination Of The </w:t>
            </w:r>
            <w:r w:rsidRPr="000B4712">
              <w:rPr>
                <w:rFonts w:ascii="Times New Roman" w:hAnsi="Times New Roman" w:cs="Times New Roman"/>
                <w:sz w:val="24"/>
                <w:szCs w:val="24"/>
              </w:rPr>
              <w:br/>
              <w:t>Existence Of Significantly Excessive Earnings For 2017 Under The Electric Security Plans Of Ohio Edison Company, The Cleveland Electric Illuminating Company, And The Toledo Edison Company</w:t>
            </w:r>
            <w:r>
              <w:rPr>
                <w:rFonts w:ascii="Times New Roman" w:hAnsi="Times New Roman" w:cs="Times New Roman"/>
                <w:sz w:val="24"/>
                <w:szCs w:val="24"/>
              </w:rPr>
              <w:t>.</w:t>
            </w:r>
          </w:p>
        </w:tc>
        <w:tc>
          <w:tcPr>
            <w:tcW w:w="479" w:type="dxa"/>
          </w:tcPr>
          <w:p w:rsidR="007F56FC" w:rsidRPr="000B4712" w:rsidP="00FD5EF9" w14:paraId="6D6B4FA3"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48DB2390"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19F03530"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2F353F2A"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28C50819"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tc>
        <w:tc>
          <w:tcPr>
            <w:tcW w:w="3117" w:type="dxa"/>
            <w:vAlign w:val="center"/>
          </w:tcPr>
          <w:p w:rsidR="007F56FC" w:rsidRPr="000B4712" w:rsidP="00FD5EF9" w14:paraId="29D478C1" w14:textId="77777777">
            <w:pPr>
              <w:rPr>
                <w:rFonts w:ascii="Times New Roman" w:hAnsi="Times New Roman" w:cs="Times New Roman"/>
                <w:sz w:val="24"/>
                <w:szCs w:val="24"/>
              </w:rPr>
            </w:pPr>
            <w:r w:rsidRPr="000B4712">
              <w:rPr>
                <w:rFonts w:ascii="Times New Roman" w:hAnsi="Times New Roman" w:cs="Times New Roman"/>
                <w:sz w:val="24"/>
                <w:szCs w:val="24"/>
              </w:rPr>
              <w:t>Case No. 18-857-EL-UNC</w:t>
            </w:r>
          </w:p>
        </w:tc>
      </w:tr>
      <w:tr w14:paraId="5EA222AF" w14:textId="77777777" w:rsidTr="00FD5EF9">
        <w:tblPrEx>
          <w:tblW w:w="0" w:type="auto"/>
          <w:jc w:val="center"/>
          <w:tblLook w:val="04A0"/>
        </w:tblPrEx>
        <w:trPr>
          <w:jc w:val="center"/>
        </w:trPr>
        <w:tc>
          <w:tcPr>
            <w:tcW w:w="5665" w:type="dxa"/>
          </w:tcPr>
          <w:p w:rsidR="007F56FC" w:rsidRPr="000B4712" w:rsidP="00FD5EF9" w14:paraId="68F4EC16" w14:textId="77777777">
            <w:pPr>
              <w:rPr>
                <w:rFonts w:ascii="Times New Roman" w:hAnsi="Times New Roman" w:cs="Times New Roman"/>
                <w:sz w:val="24"/>
                <w:szCs w:val="24"/>
              </w:rPr>
            </w:pPr>
          </w:p>
        </w:tc>
        <w:tc>
          <w:tcPr>
            <w:tcW w:w="479" w:type="dxa"/>
          </w:tcPr>
          <w:p w:rsidR="007F56FC" w:rsidRPr="000B4712" w:rsidP="00FD5EF9" w14:paraId="1711FA1C"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tc>
        <w:tc>
          <w:tcPr>
            <w:tcW w:w="3117" w:type="dxa"/>
            <w:vAlign w:val="center"/>
          </w:tcPr>
          <w:p w:rsidR="007F56FC" w:rsidRPr="000B4712" w:rsidP="00FD5EF9" w14:paraId="27B4D027" w14:textId="77777777">
            <w:pPr>
              <w:rPr>
                <w:rFonts w:ascii="Times New Roman" w:hAnsi="Times New Roman" w:cs="Times New Roman"/>
                <w:sz w:val="24"/>
                <w:szCs w:val="24"/>
              </w:rPr>
            </w:pPr>
          </w:p>
        </w:tc>
      </w:tr>
      <w:tr w14:paraId="42CAC031" w14:textId="77777777" w:rsidTr="00FD5EF9">
        <w:tblPrEx>
          <w:tblW w:w="0" w:type="auto"/>
          <w:jc w:val="center"/>
          <w:tblLook w:val="04A0"/>
        </w:tblPrEx>
        <w:trPr>
          <w:jc w:val="center"/>
        </w:trPr>
        <w:tc>
          <w:tcPr>
            <w:tcW w:w="5665" w:type="dxa"/>
          </w:tcPr>
          <w:p w:rsidR="007F56FC" w:rsidRPr="000B4712" w:rsidP="00FD5EF9" w14:paraId="0D198E76" w14:textId="3D1CC1E7">
            <w:pPr>
              <w:rPr>
                <w:rFonts w:ascii="Times New Roman" w:hAnsi="Times New Roman" w:cs="Times New Roman"/>
                <w:sz w:val="24"/>
                <w:szCs w:val="24"/>
              </w:rPr>
            </w:pPr>
            <w:r w:rsidRPr="000B4712">
              <w:rPr>
                <w:rFonts w:ascii="Times New Roman" w:hAnsi="Times New Roman" w:cs="Times New Roman"/>
                <w:sz w:val="24"/>
                <w:szCs w:val="24"/>
              </w:rPr>
              <w:t xml:space="preserve">In The Matter Of The Determination Of The </w:t>
            </w:r>
            <w:r w:rsidRPr="000B4712">
              <w:rPr>
                <w:rFonts w:ascii="Times New Roman" w:hAnsi="Times New Roman" w:cs="Times New Roman"/>
                <w:sz w:val="24"/>
                <w:szCs w:val="24"/>
              </w:rPr>
              <w:br/>
              <w:t>Existence Of Significantly Excessive Earnings For 2018 Under The Electric Security Plans Of Ohio Edison Company, The Cleveland Electric Illuminating Company, And The Toledo Edison Company</w:t>
            </w:r>
            <w:r>
              <w:rPr>
                <w:rFonts w:ascii="Times New Roman" w:hAnsi="Times New Roman" w:cs="Times New Roman"/>
                <w:sz w:val="24"/>
                <w:szCs w:val="24"/>
              </w:rPr>
              <w:t>.</w:t>
            </w:r>
          </w:p>
        </w:tc>
        <w:tc>
          <w:tcPr>
            <w:tcW w:w="479" w:type="dxa"/>
          </w:tcPr>
          <w:p w:rsidR="007F56FC" w:rsidRPr="000B4712" w:rsidP="00FD5EF9" w14:paraId="287AF426"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0FF520E3"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49FB5817"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4A6F49F7"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2A7559E1"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tc>
        <w:tc>
          <w:tcPr>
            <w:tcW w:w="3117" w:type="dxa"/>
            <w:vAlign w:val="center"/>
          </w:tcPr>
          <w:p w:rsidR="007F56FC" w:rsidRPr="000B4712" w:rsidP="00FD5EF9" w14:paraId="7305DBB6" w14:textId="77777777">
            <w:pPr>
              <w:rPr>
                <w:rFonts w:ascii="Times New Roman" w:hAnsi="Times New Roman" w:cs="Times New Roman"/>
                <w:sz w:val="24"/>
                <w:szCs w:val="24"/>
              </w:rPr>
            </w:pPr>
            <w:r w:rsidRPr="000B4712">
              <w:rPr>
                <w:rFonts w:ascii="Times New Roman" w:hAnsi="Times New Roman" w:cs="Times New Roman"/>
                <w:sz w:val="24"/>
                <w:szCs w:val="24"/>
              </w:rPr>
              <w:t>Case No. 19-1338-EL-UNC</w:t>
            </w:r>
          </w:p>
        </w:tc>
      </w:tr>
      <w:tr w14:paraId="7D1F86C9" w14:textId="77777777" w:rsidTr="00FD5EF9">
        <w:tblPrEx>
          <w:tblW w:w="0" w:type="auto"/>
          <w:jc w:val="center"/>
          <w:tblLook w:val="04A0"/>
        </w:tblPrEx>
        <w:trPr>
          <w:jc w:val="center"/>
        </w:trPr>
        <w:tc>
          <w:tcPr>
            <w:tcW w:w="5665" w:type="dxa"/>
          </w:tcPr>
          <w:p w:rsidR="007F56FC" w:rsidRPr="000B4712" w:rsidP="00FD5EF9" w14:paraId="773BE101" w14:textId="77777777">
            <w:pPr>
              <w:rPr>
                <w:rFonts w:ascii="Times New Roman" w:hAnsi="Times New Roman" w:cs="Times New Roman"/>
                <w:sz w:val="24"/>
                <w:szCs w:val="24"/>
              </w:rPr>
            </w:pPr>
          </w:p>
        </w:tc>
        <w:tc>
          <w:tcPr>
            <w:tcW w:w="479" w:type="dxa"/>
          </w:tcPr>
          <w:p w:rsidR="007F56FC" w:rsidRPr="000B4712" w:rsidP="00FD5EF9" w14:paraId="4F33CEF6"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tc>
        <w:tc>
          <w:tcPr>
            <w:tcW w:w="3117" w:type="dxa"/>
            <w:vAlign w:val="center"/>
          </w:tcPr>
          <w:p w:rsidR="007F56FC" w:rsidRPr="000B4712" w:rsidP="00FD5EF9" w14:paraId="119786EA" w14:textId="77777777">
            <w:pPr>
              <w:rPr>
                <w:rFonts w:ascii="Times New Roman" w:hAnsi="Times New Roman" w:cs="Times New Roman"/>
                <w:sz w:val="24"/>
                <w:szCs w:val="24"/>
              </w:rPr>
            </w:pPr>
          </w:p>
        </w:tc>
      </w:tr>
      <w:tr w14:paraId="7C636434" w14:textId="77777777" w:rsidTr="00FD5EF9">
        <w:tblPrEx>
          <w:tblW w:w="0" w:type="auto"/>
          <w:jc w:val="center"/>
          <w:tblLook w:val="04A0"/>
        </w:tblPrEx>
        <w:trPr>
          <w:jc w:val="center"/>
        </w:trPr>
        <w:tc>
          <w:tcPr>
            <w:tcW w:w="5665" w:type="dxa"/>
          </w:tcPr>
          <w:p w:rsidR="007F56FC" w:rsidRPr="000B4712" w:rsidP="00FD5EF9" w14:paraId="3D82CDAC" w14:textId="13478EB1">
            <w:pPr>
              <w:rPr>
                <w:rFonts w:ascii="Times New Roman" w:hAnsi="Times New Roman" w:cs="Times New Roman"/>
                <w:sz w:val="24"/>
                <w:szCs w:val="24"/>
              </w:rPr>
            </w:pPr>
            <w:r w:rsidRPr="000B4712">
              <w:rPr>
                <w:rFonts w:ascii="Times New Roman" w:hAnsi="Times New Roman" w:cs="Times New Roman"/>
                <w:sz w:val="24"/>
                <w:szCs w:val="24"/>
              </w:rPr>
              <w:t xml:space="preserve">In The Matter Of The Determination Of The </w:t>
            </w:r>
            <w:r w:rsidRPr="000B4712">
              <w:rPr>
                <w:rFonts w:ascii="Times New Roman" w:hAnsi="Times New Roman" w:cs="Times New Roman"/>
                <w:sz w:val="24"/>
                <w:szCs w:val="24"/>
              </w:rPr>
              <w:br/>
              <w:t>Existence Of Significantly Excessive Earnings For 2019 Under The Electric Security Plans Of Ohio Edison Company, The Cleveland Electric Illuminating Company, And The Toledo Edison Company</w:t>
            </w:r>
            <w:r>
              <w:rPr>
                <w:rFonts w:ascii="Times New Roman" w:hAnsi="Times New Roman" w:cs="Times New Roman"/>
                <w:sz w:val="24"/>
                <w:szCs w:val="24"/>
              </w:rPr>
              <w:t>.</w:t>
            </w:r>
          </w:p>
        </w:tc>
        <w:tc>
          <w:tcPr>
            <w:tcW w:w="479" w:type="dxa"/>
          </w:tcPr>
          <w:p w:rsidR="007F56FC" w:rsidRPr="000B4712" w:rsidP="00FD5EF9" w14:paraId="5E1914AD"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033B1ED9"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0E1B10D3"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3F6125A7"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0CEE4E97"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tc>
        <w:tc>
          <w:tcPr>
            <w:tcW w:w="3117" w:type="dxa"/>
            <w:vAlign w:val="center"/>
          </w:tcPr>
          <w:p w:rsidR="007F56FC" w:rsidRPr="000B4712" w:rsidP="00FD5EF9" w14:paraId="2D499EF2" w14:textId="77777777">
            <w:pPr>
              <w:rPr>
                <w:rFonts w:ascii="Times New Roman" w:hAnsi="Times New Roman" w:cs="Times New Roman"/>
                <w:sz w:val="24"/>
                <w:szCs w:val="24"/>
              </w:rPr>
            </w:pPr>
            <w:r w:rsidRPr="000B4712">
              <w:rPr>
                <w:rFonts w:ascii="Times New Roman" w:hAnsi="Times New Roman" w:cs="Times New Roman"/>
                <w:sz w:val="24"/>
                <w:szCs w:val="24"/>
              </w:rPr>
              <w:t>Case No. 20-1034-EL-UNC</w:t>
            </w:r>
          </w:p>
        </w:tc>
      </w:tr>
      <w:tr w14:paraId="2FF9C1CF" w14:textId="77777777" w:rsidTr="00FD5EF9">
        <w:tblPrEx>
          <w:tblW w:w="0" w:type="auto"/>
          <w:jc w:val="center"/>
          <w:tblLook w:val="04A0"/>
        </w:tblPrEx>
        <w:trPr>
          <w:jc w:val="center"/>
        </w:trPr>
        <w:tc>
          <w:tcPr>
            <w:tcW w:w="5665" w:type="dxa"/>
          </w:tcPr>
          <w:p w:rsidR="007F56FC" w:rsidRPr="000B4712" w:rsidP="00FD5EF9" w14:paraId="0C082B3C" w14:textId="77777777">
            <w:pPr>
              <w:rPr>
                <w:rFonts w:ascii="Times New Roman" w:hAnsi="Times New Roman" w:cs="Times New Roman"/>
                <w:sz w:val="24"/>
                <w:szCs w:val="24"/>
              </w:rPr>
            </w:pPr>
          </w:p>
        </w:tc>
        <w:tc>
          <w:tcPr>
            <w:tcW w:w="479" w:type="dxa"/>
          </w:tcPr>
          <w:p w:rsidR="007F56FC" w:rsidRPr="000B4712" w:rsidP="00FD5EF9" w14:paraId="306F5884"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tc>
        <w:tc>
          <w:tcPr>
            <w:tcW w:w="3117" w:type="dxa"/>
            <w:vAlign w:val="center"/>
          </w:tcPr>
          <w:p w:rsidR="007F56FC" w:rsidRPr="000B4712" w:rsidP="00FD5EF9" w14:paraId="3AA390E0" w14:textId="77777777">
            <w:pPr>
              <w:rPr>
                <w:rFonts w:ascii="Times New Roman" w:hAnsi="Times New Roman" w:cs="Times New Roman"/>
                <w:sz w:val="24"/>
                <w:szCs w:val="24"/>
              </w:rPr>
            </w:pPr>
          </w:p>
        </w:tc>
      </w:tr>
      <w:tr w14:paraId="6F1DE838" w14:textId="77777777" w:rsidTr="00FD5EF9">
        <w:tblPrEx>
          <w:tblW w:w="0" w:type="auto"/>
          <w:jc w:val="center"/>
          <w:tblLook w:val="04A0"/>
        </w:tblPrEx>
        <w:trPr>
          <w:jc w:val="center"/>
        </w:trPr>
        <w:tc>
          <w:tcPr>
            <w:tcW w:w="5665" w:type="dxa"/>
          </w:tcPr>
          <w:p w:rsidR="007F56FC" w:rsidRPr="000B4712" w:rsidP="00FD5EF9" w14:paraId="1B8CF346" w14:textId="3B39D2A0">
            <w:pPr>
              <w:rPr>
                <w:rFonts w:ascii="Times New Roman" w:hAnsi="Times New Roman" w:cs="Times New Roman"/>
                <w:sz w:val="24"/>
                <w:szCs w:val="24"/>
              </w:rPr>
            </w:pPr>
            <w:r w:rsidRPr="000B4712">
              <w:rPr>
                <w:rFonts w:ascii="Times New Roman" w:hAnsi="Times New Roman" w:cs="Times New Roman"/>
                <w:sz w:val="24"/>
                <w:szCs w:val="24"/>
              </w:rPr>
              <w:t xml:space="preserve">In the Matter of the Quadrennial Review Required </w:t>
            </w:r>
            <w:r w:rsidRPr="000B4712">
              <w:rPr>
                <w:rFonts w:ascii="Times New Roman" w:hAnsi="Times New Roman" w:cs="Times New Roman"/>
                <w:sz w:val="24"/>
                <w:szCs w:val="24"/>
              </w:rPr>
              <w:br/>
              <w:t xml:space="preserve">By R.C. 4928.143(E) For The Electric Security Plans </w:t>
            </w:r>
            <w:r w:rsidRPr="000B4712">
              <w:rPr>
                <w:rFonts w:ascii="Times New Roman" w:hAnsi="Times New Roman" w:cs="Times New Roman"/>
                <w:sz w:val="24"/>
                <w:szCs w:val="24"/>
              </w:rPr>
              <w:br/>
              <w:t>Of Ohio Edison Company, The Cleveland Electric Illuminating Company, And The Toledo Edison Company</w:t>
            </w:r>
            <w:r>
              <w:rPr>
                <w:rFonts w:ascii="Times New Roman" w:hAnsi="Times New Roman" w:cs="Times New Roman"/>
                <w:sz w:val="24"/>
                <w:szCs w:val="24"/>
              </w:rPr>
              <w:t>.</w:t>
            </w:r>
          </w:p>
        </w:tc>
        <w:tc>
          <w:tcPr>
            <w:tcW w:w="479" w:type="dxa"/>
          </w:tcPr>
          <w:p w:rsidR="007F56FC" w:rsidRPr="000B4712" w:rsidP="00FD5EF9" w14:paraId="095D8C70"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64E16D84"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37335013"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4693AAB0"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p w:rsidR="007F56FC" w:rsidRPr="000B4712" w:rsidP="00FD5EF9" w14:paraId="2A080E36" w14:textId="77777777">
            <w:pPr>
              <w:jc w:val="center"/>
              <w:rPr>
                <w:rFonts w:ascii="Times New Roman" w:hAnsi="Times New Roman" w:cs="Times New Roman"/>
                <w:sz w:val="24"/>
                <w:szCs w:val="24"/>
              </w:rPr>
            </w:pPr>
            <w:r w:rsidRPr="000B4712">
              <w:rPr>
                <w:rFonts w:ascii="Times New Roman" w:hAnsi="Times New Roman" w:cs="Times New Roman"/>
                <w:sz w:val="24"/>
                <w:szCs w:val="24"/>
              </w:rPr>
              <w:t>)</w:t>
            </w:r>
          </w:p>
        </w:tc>
        <w:tc>
          <w:tcPr>
            <w:tcW w:w="3117" w:type="dxa"/>
            <w:vAlign w:val="center"/>
          </w:tcPr>
          <w:p w:rsidR="007F56FC" w:rsidRPr="000B4712" w:rsidP="00FD5EF9" w14:paraId="1215F327" w14:textId="5774CFED">
            <w:pPr>
              <w:rPr>
                <w:rFonts w:ascii="Times New Roman" w:hAnsi="Times New Roman" w:cs="Times New Roman"/>
                <w:sz w:val="24"/>
                <w:szCs w:val="24"/>
              </w:rPr>
            </w:pPr>
            <w:r w:rsidRPr="000B4712">
              <w:rPr>
                <w:rFonts w:ascii="Times New Roman" w:hAnsi="Times New Roman" w:cs="Times New Roman"/>
                <w:sz w:val="24"/>
                <w:szCs w:val="24"/>
              </w:rPr>
              <w:t>Case No. 20-1476-EL-UNC</w:t>
            </w:r>
          </w:p>
        </w:tc>
      </w:tr>
    </w:tbl>
    <w:p w:rsidR="007F56FC" w:rsidRPr="000B4712" w:rsidP="007F56FC" w14:paraId="6962B05D" w14:textId="77777777">
      <w:pPr>
        <w:rPr>
          <w:rFonts w:cs="Times New Roman"/>
          <w:szCs w:val="24"/>
        </w:rPr>
      </w:pPr>
    </w:p>
    <w:p w:rsidR="007F56FC" w:rsidRPr="000B4712" w:rsidP="007F56FC" w14:paraId="538FDFA6" w14:textId="3D356D6B">
      <w:pPr>
        <w:jc w:val="center"/>
        <w:rPr>
          <w:rFonts w:cs="Times New Roman"/>
          <w:b/>
          <w:bCs/>
          <w:szCs w:val="24"/>
        </w:rPr>
      </w:pPr>
      <w:r w:rsidRPr="000B4712">
        <w:rPr>
          <w:rFonts w:cs="Times New Roman"/>
          <w:b/>
          <w:bCs/>
          <w:szCs w:val="24"/>
        </w:rPr>
        <w:t>_____________________________________________________________________________</w:t>
      </w:r>
    </w:p>
    <w:p w:rsidR="007F56FC" w:rsidRPr="000B4712" w:rsidP="007F56FC" w14:paraId="5183C7A2" w14:textId="77777777">
      <w:pPr>
        <w:jc w:val="center"/>
        <w:rPr>
          <w:rFonts w:cs="Times New Roman"/>
          <w:b/>
          <w:bCs/>
          <w:szCs w:val="24"/>
        </w:rPr>
      </w:pPr>
    </w:p>
    <w:p w:rsidR="007F56FC" w:rsidRPr="000B4712" w:rsidP="007F56FC" w14:paraId="3F05489E" w14:textId="5FACC32E">
      <w:pPr>
        <w:jc w:val="center"/>
        <w:rPr>
          <w:rFonts w:cs="Times New Roman"/>
          <w:b/>
          <w:bCs/>
          <w:szCs w:val="24"/>
        </w:rPr>
      </w:pPr>
      <w:r w:rsidRPr="000B4712">
        <w:rPr>
          <w:rFonts w:cs="Times New Roman"/>
          <w:b/>
          <w:bCs/>
          <w:szCs w:val="24"/>
        </w:rPr>
        <w:t xml:space="preserve">MEMORANDUM CONTRA FIRSTENERGY’S MOTION </w:t>
      </w:r>
      <w:r w:rsidRPr="000B4712" w:rsidR="00794002">
        <w:rPr>
          <w:rFonts w:cs="Times New Roman"/>
          <w:b/>
          <w:bCs/>
          <w:szCs w:val="24"/>
        </w:rPr>
        <w:t>FOR A 90-DAY</w:t>
      </w:r>
      <w:r w:rsidRPr="000B4712">
        <w:rPr>
          <w:rFonts w:cs="Times New Roman"/>
          <w:b/>
          <w:bCs/>
          <w:szCs w:val="24"/>
        </w:rPr>
        <w:t xml:space="preserve"> DELAY </w:t>
      </w:r>
      <w:r w:rsidRPr="000B4712" w:rsidR="00794002">
        <w:rPr>
          <w:rFonts w:cs="Times New Roman"/>
          <w:b/>
          <w:bCs/>
          <w:szCs w:val="24"/>
        </w:rPr>
        <w:t xml:space="preserve">IN </w:t>
      </w:r>
      <w:r w:rsidRPr="000B4712">
        <w:rPr>
          <w:rFonts w:cs="Times New Roman"/>
          <w:b/>
          <w:bCs/>
          <w:szCs w:val="24"/>
        </w:rPr>
        <w:t xml:space="preserve">THESE CASES </w:t>
      </w:r>
      <w:r w:rsidRPr="000B4712" w:rsidR="00794002">
        <w:rPr>
          <w:rFonts w:cs="Times New Roman"/>
          <w:b/>
          <w:bCs/>
          <w:szCs w:val="24"/>
        </w:rPr>
        <w:t>INVOLV</w:t>
      </w:r>
      <w:r w:rsidRPr="000B4712" w:rsidR="00A46C73">
        <w:rPr>
          <w:rFonts w:cs="Times New Roman"/>
          <w:b/>
          <w:bCs/>
          <w:szCs w:val="24"/>
        </w:rPr>
        <w:t>ING REFUNDS TO CONSUMERS FOR</w:t>
      </w:r>
      <w:r w:rsidRPr="000B4712" w:rsidR="00794002">
        <w:rPr>
          <w:rFonts w:cs="Times New Roman"/>
          <w:b/>
          <w:bCs/>
          <w:szCs w:val="24"/>
        </w:rPr>
        <w:t xml:space="preserve"> EXCESS</w:t>
      </w:r>
      <w:r w:rsidRPr="000B4712" w:rsidR="00A46C73">
        <w:rPr>
          <w:rFonts w:cs="Times New Roman"/>
          <w:b/>
          <w:bCs/>
          <w:szCs w:val="24"/>
        </w:rPr>
        <w:t xml:space="preserve"> </w:t>
      </w:r>
      <w:r w:rsidRPr="000B4712" w:rsidR="00794002">
        <w:rPr>
          <w:rFonts w:cs="Times New Roman"/>
          <w:b/>
          <w:bCs/>
          <w:szCs w:val="24"/>
        </w:rPr>
        <w:t xml:space="preserve">PROFITS </w:t>
      </w:r>
    </w:p>
    <w:p w:rsidR="007F56FC" w:rsidRPr="000B4712" w:rsidP="007F56FC" w14:paraId="050A3326" w14:textId="4077E341">
      <w:pPr>
        <w:jc w:val="center"/>
        <w:rPr>
          <w:rFonts w:cs="Times New Roman"/>
          <w:b/>
          <w:bCs/>
          <w:szCs w:val="24"/>
        </w:rPr>
      </w:pPr>
      <w:r w:rsidRPr="000B4712">
        <w:rPr>
          <w:rFonts w:cs="Times New Roman"/>
          <w:b/>
          <w:bCs/>
          <w:szCs w:val="24"/>
        </w:rPr>
        <w:t>BY</w:t>
      </w:r>
    </w:p>
    <w:p w:rsidR="007F56FC" w:rsidRPr="000B4712" w:rsidP="007F56FC" w14:paraId="52561AAA" w14:textId="27CA9B9E">
      <w:pPr>
        <w:jc w:val="center"/>
        <w:rPr>
          <w:rFonts w:cs="Times New Roman"/>
          <w:b/>
          <w:bCs/>
          <w:szCs w:val="24"/>
        </w:rPr>
      </w:pPr>
      <w:r w:rsidRPr="000B4712">
        <w:rPr>
          <w:rFonts w:cs="Times New Roman"/>
          <w:b/>
          <w:bCs/>
          <w:szCs w:val="24"/>
        </w:rPr>
        <w:t>OFFICE OF THE OHIO CONSUMERS’ COUNSEL</w:t>
      </w:r>
    </w:p>
    <w:p w:rsidR="007F56FC" w:rsidRPr="000B4712" w:rsidP="007F56FC" w14:paraId="48BFB1B6" w14:textId="77777777">
      <w:pPr>
        <w:jc w:val="center"/>
        <w:rPr>
          <w:rFonts w:cs="Times New Roman"/>
          <w:b/>
          <w:bCs/>
          <w:szCs w:val="24"/>
        </w:rPr>
      </w:pPr>
      <w:r w:rsidRPr="000B4712">
        <w:rPr>
          <w:rFonts w:cs="Times New Roman"/>
          <w:b/>
          <w:bCs/>
          <w:szCs w:val="24"/>
        </w:rPr>
        <w:t>_____________________________________________________________________________</w:t>
      </w:r>
    </w:p>
    <w:p w:rsidR="007F56FC" w:rsidRPr="000B4712" w:rsidP="007F56FC" w14:paraId="7D116490" w14:textId="77777777">
      <w:pPr>
        <w:rPr>
          <w:rFonts w:cs="Times New Roman"/>
          <w:b/>
          <w:bCs/>
          <w:szCs w:val="24"/>
        </w:rPr>
      </w:pPr>
    </w:p>
    <w:p w:rsidR="000B4712" w:rsidRPr="000B4712" w:rsidP="007F56FC" w14:paraId="74D9D4AC" w14:textId="77777777">
      <w:pPr>
        <w:spacing w:line="480" w:lineRule="auto"/>
        <w:ind w:firstLine="720"/>
        <w:rPr>
          <w:rFonts w:cs="Times New Roman"/>
          <w:szCs w:val="24"/>
        </w:rPr>
        <w:sectPr w:rsidSect="00BD1B34">
          <w:footerReference w:type="default" r:id="rId6"/>
          <w:pgSz w:w="12240" w:h="15840"/>
          <w:pgMar w:top="1440" w:right="1440" w:bottom="1440" w:left="1440" w:header="720" w:footer="720" w:gutter="0"/>
          <w:cols w:space="720"/>
          <w:docGrid w:linePitch="360"/>
        </w:sectPr>
      </w:pPr>
      <w:r w:rsidRPr="000B4712">
        <w:rPr>
          <w:rFonts w:cs="Times New Roman"/>
          <w:szCs w:val="24"/>
        </w:rPr>
        <w:t xml:space="preserve">The </w:t>
      </w:r>
      <w:r w:rsidRPr="000B4712" w:rsidR="007F56FC">
        <w:rPr>
          <w:rFonts w:cs="Times New Roman"/>
          <w:szCs w:val="24"/>
        </w:rPr>
        <w:t>FirstEnergy</w:t>
      </w:r>
      <w:r w:rsidRPr="000B4712">
        <w:rPr>
          <w:rFonts w:cs="Times New Roman"/>
          <w:szCs w:val="24"/>
        </w:rPr>
        <w:t xml:space="preserve"> Utilities, </w:t>
      </w:r>
      <w:r w:rsidRPr="000B4712" w:rsidR="0025259F">
        <w:rPr>
          <w:rFonts w:cs="Times New Roman"/>
          <w:szCs w:val="24"/>
        </w:rPr>
        <w:t xml:space="preserve">affiliates </w:t>
      </w:r>
      <w:r w:rsidRPr="000B4712">
        <w:rPr>
          <w:rFonts w:cs="Times New Roman"/>
          <w:szCs w:val="24"/>
        </w:rPr>
        <w:t xml:space="preserve">of the company that has just been charged with a federal crime </w:t>
      </w:r>
      <w:r w:rsidRPr="000B4712" w:rsidR="007275AD">
        <w:rPr>
          <w:rFonts w:cs="Times New Roman"/>
          <w:szCs w:val="24"/>
        </w:rPr>
        <w:t xml:space="preserve">of </w:t>
      </w:r>
      <w:r w:rsidRPr="000B4712" w:rsidR="00872081">
        <w:rPr>
          <w:rFonts w:cs="Times New Roman"/>
          <w:szCs w:val="24"/>
        </w:rPr>
        <w:t>defrauding the public</w:t>
      </w:r>
      <w:r w:rsidRPr="000B4712" w:rsidR="004C0D1C">
        <w:rPr>
          <w:rFonts w:cs="Times New Roman"/>
          <w:szCs w:val="24"/>
        </w:rPr>
        <w:t>,</w:t>
      </w:r>
      <w:r>
        <w:rPr>
          <w:rStyle w:val="FootnoteReference"/>
          <w:rFonts w:cs="Times New Roman"/>
          <w:szCs w:val="24"/>
        </w:rPr>
        <w:footnoteReference w:id="2"/>
      </w:r>
      <w:r w:rsidRPr="000B4712">
        <w:rPr>
          <w:rFonts w:cs="Times New Roman"/>
          <w:szCs w:val="24"/>
        </w:rPr>
        <w:t xml:space="preserve"> </w:t>
      </w:r>
      <w:r w:rsidRPr="000B4712" w:rsidR="007F56FC">
        <w:rPr>
          <w:rFonts w:cs="Times New Roman"/>
          <w:szCs w:val="24"/>
        </w:rPr>
        <w:t>owe consumers at least $200 million</w:t>
      </w:r>
      <w:r w:rsidRPr="000B4712" w:rsidR="00BA2B81">
        <w:rPr>
          <w:rFonts w:cs="Times New Roman"/>
          <w:szCs w:val="24"/>
        </w:rPr>
        <w:t xml:space="preserve"> (by our count)</w:t>
      </w:r>
      <w:r w:rsidRPr="000B4712" w:rsidR="007F56FC">
        <w:rPr>
          <w:rFonts w:cs="Times New Roman"/>
          <w:szCs w:val="24"/>
        </w:rPr>
        <w:t xml:space="preserve"> in </w:t>
      </w:r>
    </w:p>
    <w:p w:rsidR="00BF2CD8" w:rsidRPr="000B4712" w:rsidP="000B4712" w14:paraId="20EBDDC7" w14:textId="6F28372E">
      <w:pPr>
        <w:spacing w:line="480" w:lineRule="auto"/>
        <w:rPr>
          <w:rFonts w:cs="Times New Roman"/>
          <w:szCs w:val="24"/>
        </w:rPr>
      </w:pPr>
      <w:r w:rsidRPr="000B4712">
        <w:rPr>
          <w:rFonts w:cs="Times New Roman"/>
          <w:szCs w:val="24"/>
        </w:rPr>
        <w:t xml:space="preserve">refunds for </w:t>
      </w:r>
      <w:r w:rsidRPr="000B4712" w:rsidR="001160A2">
        <w:rPr>
          <w:rFonts w:cs="Times New Roman"/>
          <w:szCs w:val="24"/>
        </w:rPr>
        <w:t>their</w:t>
      </w:r>
      <w:r w:rsidRPr="000B4712">
        <w:rPr>
          <w:rFonts w:cs="Times New Roman"/>
          <w:szCs w:val="24"/>
        </w:rPr>
        <w:t xml:space="preserve"> significantly excessive profits</w:t>
      </w:r>
      <w:r w:rsidRPr="000B4712" w:rsidR="00CE1E08">
        <w:rPr>
          <w:rFonts w:cs="Times New Roman"/>
          <w:szCs w:val="24"/>
        </w:rPr>
        <w:t>.</w:t>
      </w:r>
      <w:r w:rsidRPr="000B4712">
        <w:rPr>
          <w:rFonts w:cs="Times New Roman"/>
          <w:szCs w:val="24"/>
        </w:rPr>
        <w:t xml:space="preserve"> </w:t>
      </w:r>
      <w:r w:rsidRPr="000B4712" w:rsidR="00CE1E08">
        <w:rPr>
          <w:rFonts w:cs="Times New Roman"/>
          <w:szCs w:val="24"/>
        </w:rPr>
        <w:t xml:space="preserve">The </w:t>
      </w:r>
      <w:r w:rsidRPr="000B4712">
        <w:rPr>
          <w:rFonts w:cs="Times New Roman"/>
          <w:szCs w:val="24"/>
        </w:rPr>
        <w:t>FirstEnergy</w:t>
      </w:r>
      <w:r w:rsidRPr="000B4712" w:rsidR="00CE1E08">
        <w:rPr>
          <w:rFonts w:cs="Times New Roman"/>
          <w:szCs w:val="24"/>
        </w:rPr>
        <w:t xml:space="preserve"> Utilities now</w:t>
      </w:r>
      <w:r w:rsidRPr="000B4712">
        <w:rPr>
          <w:rFonts w:cs="Times New Roman"/>
          <w:szCs w:val="24"/>
        </w:rPr>
        <w:t xml:space="preserve"> seek a 90-day delay.</w:t>
      </w:r>
      <w:r>
        <w:rPr>
          <w:rStyle w:val="FootnoteReference"/>
          <w:rFonts w:cs="Times New Roman"/>
          <w:szCs w:val="24"/>
        </w:rPr>
        <w:footnoteReference w:id="3"/>
      </w:r>
      <w:r w:rsidRPr="000B4712" w:rsidR="00872010">
        <w:rPr>
          <w:rFonts w:cs="Times New Roman"/>
          <w:szCs w:val="24"/>
        </w:rPr>
        <w:t xml:space="preserve"> </w:t>
      </w:r>
      <w:r w:rsidRPr="000B4712" w:rsidR="00590B38">
        <w:rPr>
          <w:rFonts w:cs="Times New Roman"/>
          <w:szCs w:val="24"/>
        </w:rPr>
        <w:t>For consumers, t</w:t>
      </w:r>
      <w:r w:rsidRPr="000B4712" w:rsidR="00872010">
        <w:rPr>
          <w:rFonts w:cs="Times New Roman"/>
          <w:szCs w:val="24"/>
        </w:rPr>
        <w:t>he PUCO should say no.</w:t>
      </w:r>
      <w:r w:rsidRPr="000B4712">
        <w:rPr>
          <w:rFonts w:cs="Times New Roman"/>
          <w:szCs w:val="24"/>
        </w:rPr>
        <w:t xml:space="preserve"> </w:t>
      </w:r>
    </w:p>
    <w:p w:rsidR="007F56FC" w:rsidRPr="000B4712" w:rsidP="007F56FC" w14:paraId="6163944B" w14:textId="3DCA1E7D">
      <w:pPr>
        <w:spacing w:line="480" w:lineRule="auto"/>
        <w:ind w:firstLine="720"/>
        <w:rPr>
          <w:rFonts w:cs="Times New Roman"/>
          <w:szCs w:val="24"/>
        </w:rPr>
      </w:pPr>
      <w:r w:rsidRPr="000B4712">
        <w:rPr>
          <w:rFonts w:cs="Times New Roman"/>
          <w:szCs w:val="24"/>
        </w:rPr>
        <w:t>There is no “good cause” to delay the</w:t>
      </w:r>
      <w:r w:rsidRPr="000B4712" w:rsidR="00BF2CD8">
        <w:rPr>
          <w:rFonts w:cs="Times New Roman"/>
          <w:szCs w:val="24"/>
        </w:rPr>
        <w:t xml:space="preserve"> PUCO’s consideration of refunds to consumers</w:t>
      </w:r>
      <w:r w:rsidRPr="000B4712">
        <w:rPr>
          <w:rFonts w:cs="Times New Roman"/>
          <w:szCs w:val="24"/>
        </w:rPr>
        <w:t xml:space="preserve"> </w:t>
      </w:r>
      <w:r w:rsidRPr="000B4712" w:rsidR="00872010">
        <w:rPr>
          <w:rFonts w:cs="Times New Roman"/>
          <w:szCs w:val="24"/>
        </w:rPr>
        <w:t xml:space="preserve">for </w:t>
      </w:r>
      <w:r w:rsidRPr="000B4712" w:rsidR="00C672A2">
        <w:rPr>
          <w:rFonts w:cs="Times New Roman"/>
          <w:szCs w:val="24"/>
        </w:rPr>
        <w:t>90 days</w:t>
      </w:r>
      <w:r w:rsidRPr="000B4712" w:rsidR="00BF2CD8">
        <w:rPr>
          <w:rFonts w:cs="Times New Roman"/>
          <w:szCs w:val="24"/>
        </w:rPr>
        <w:t>.</w:t>
      </w:r>
      <w:r w:rsidRPr="000B4712">
        <w:rPr>
          <w:rFonts w:cs="Times New Roman"/>
          <w:szCs w:val="24"/>
        </w:rPr>
        <w:t xml:space="preserve"> </w:t>
      </w:r>
      <w:r w:rsidRPr="000B4712" w:rsidR="00BF2CD8">
        <w:rPr>
          <w:rFonts w:cs="Times New Roman"/>
          <w:szCs w:val="24"/>
        </w:rPr>
        <w:t>A</w:t>
      </w:r>
      <w:r w:rsidRPr="000B4712">
        <w:rPr>
          <w:rFonts w:cs="Times New Roman"/>
          <w:szCs w:val="24"/>
        </w:rPr>
        <w:t xml:space="preserve">nd </w:t>
      </w:r>
      <w:r w:rsidRPr="000B4712" w:rsidR="00BF2CD8">
        <w:rPr>
          <w:rFonts w:cs="Times New Roman"/>
          <w:szCs w:val="24"/>
        </w:rPr>
        <w:t xml:space="preserve">so </w:t>
      </w:r>
      <w:r w:rsidRPr="000B4712">
        <w:rPr>
          <w:rFonts w:cs="Times New Roman"/>
          <w:szCs w:val="24"/>
        </w:rPr>
        <w:t>FirstEnergy’s motion should be denied under O.A.C. 4901-1-13(A).</w:t>
      </w:r>
    </w:p>
    <w:p w:rsidR="00880ADE" w:rsidRPr="000B4712" w:rsidP="00EE59CC" w14:paraId="5FA0C04F" w14:textId="4134E872">
      <w:pPr>
        <w:tabs>
          <w:tab w:val="left" w:pos="2430"/>
        </w:tabs>
        <w:spacing w:line="480" w:lineRule="auto"/>
        <w:ind w:firstLine="720"/>
        <w:rPr>
          <w:rFonts w:cs="Times New Roman"/>
          <w:szCs w:val="24"/>
        </w:rPr>
      </w:pPr>
      <w:r w:rsidRPr="000B4712">
        <w:rPr>
          <w:rFonts w:cs="Times New Roman"/>
          <w:szCs w:val="24"/>
        </w:rPr>
        <w:t xml:space="preserve">Some </w:t>
      </w:r>
      <w:r w:rsidRPr="000B4712" w:rsidR="007E17E3">
        <w:rPr>
          <w:rFonts w:cs="Times New Roman"/>
          <w:szCs w:val="24"/>
        </w:rPr>
        <w:t>context</w:t>
      </w:r>
      <w:r w:rsidRPr="000B4712">
        <w:rPr>
          <w:rFonts w:cs="Times New Roman"/>
          <w:szCs w:val="24"/>
        </w:rPr>
        <w:t xml:space="preserve"> is </w:t>
      </w:r>
      <w:r w:rsidRPr="000B4712" w:rsidR="00694418">
        <w:rPr>
          <w:rFonts w:cs="Times New Roman"/>
          <w:szCs w:val="24"/>
        </w:rPr>
        <w:t xml:space="preserve">in </w:t>
      </w:r>
      <w:r w:rsidRPr="000B4712">
        <w:rPr>
          <w:rFonts w:cs="Times New Roman"/>
          <w:szCs w:val="24"/>
        </w:rPr>
        <w:t>order</w:t>
      </w:r>
      <w:r w:rsidRPr="000B4712" w:rsidR="001F41E0">
        <w:rPr>
          <w:rFonts w:cs="Times New Roman"/>
          <w:szCs w:val="24"/>
        </w:rPr>
        <w:t xml:space="preserve"> for FirstEnergy’s motion</w:t>
      </w:r>
      <w:r w:rsidRPr="000B4712">
        <w:rPr>
          <w:rFonts w:cs="Times New Roman"/>
          <w:szCs w:val="24"/>
        </w:rPr>
        <w:t>.</w:t>
      </w:r>
      <w:r w:rsidRPr="000B4712" w:rsidR="00BF2CD8">
        <w:rPr>
          <w:rFonts w:cs="Times New Roman"/>
          <w:szCs w:val="24"/>
        </w:rPr>
        <w:t xml:space="preserve"> At the same time as FirstEnergy’s involvement in the </w:t>
      </w:r>
      <w:r w:rsidRPr="000B4712" w:rsidR="003A6D1C">
        <w:rPr>
          <w:rFonts w:cs="Times New Roman"/>
          <w:szCs w:val="24"/>
        </w:rPr>
        <w:t xml:space="preserve">scandal of </w:t>
      </w:r>
      <w:r w:rsidRPr="000B4712" w:rsidR="00BF2CD8">
        <w:rPr>
          <w:rFonts w:cs="Times New Roman"/>
          <w:szCs w:val="24"/>
        </w:rPr>
        <w:t xml:space="preserve">H.B. 6, </w:t>
      </w:r>
      <w:r w:rsidRPr="000B4712" w:rsidR="00AE10CA">
        <w:rPr>
          <w:rFonts w:cs="Times New Roman"/>
          <w:szCs w:val="24"/>
        </w:rPr>
        <w:t>a</w:t>
      </w:r>
      <w:r w:rsidRPr="000B4712" w:rsidR="00ED7505">
        <w:rPr>
          <w:rFonts w:cs="Times New Roman"/>
          <w:szCs w:val="24"/>
        </w:rPr>
        <w:t>n anti-consumer</w:t>
      </w:r>
      <w:r w:rsidRPr="000B4712" w:rsidR="00AE10CA">
        <w:rPr>
          <w:rFonts w:cs="Times New Roman"/>
          <w:szCs w:val="24"/>
        </w:rPr>
        <w:t xml:space="preserve"> benefit</w:t>
      </w:r>
      <w:r w:rsidRPr="000B4712" w:rsidR="00ED7505">
        <w:rPr>
          <w:rFonts w:cs="Times New Roman"/>
          <w:szCs w:val="24"/>
        </w:rPr>
        <w:t xml:space="preserve"> for FirstEnergy</w:t>
      </w:r>
      <w:r w:rsidRPr="000B4712" w:rsidR="00AE10CA">
        <w:rPr>
          <w:rFonts w:cs="Times New Roman"/>
          <w:szCs w:val="24"/>
        </w:rPr>
        <w:t xml:space="preserve"> was</w:t>
      </w:r>
      <w:r w:rsidRPr="000B4712" w:rsidR="000A6E29">
        <w:rPr>
          <w:rFonts w:cs="Times New Roman"/>
          <w:szCs w:val="24"/>
        </w:rPr>
        <w:t xml:space="preserve"> </w:t>
      </w:r>
      <w:r w:rsidRPr="000B4712" w:rsidR="00BF2CD8">
        <w:rPr>
          <w:rFonts w:cs="Times New Roman"/>
          <w:szCs w:val="24"/>
        </w:rPr>
        <w:t>slipp</w:t>
      </w:r>
      <w:r w:rsidRPr="000B4712" w:rsidR="000A6E29">
        <w:rPr>
          <w:rFonts w:cs="Times New Roman"/>
          <w:szCs w:val="24"/>
        </w:rPr>
        <w:t>ed</w:t>
      </w:r>
      <w:r w:rsidRPr="000B4712" w:rsidR="00BF2CD8">
        <w:rPr>
          <w:rFonts w:cs="Times New Roman"/>
          <w:szCs w:val="24"/>
        </w:rPr>
        <w:t xml:space="preserve"> into the state budget bill</w:t>
      </w:r>
      <w:r w:rsidRPr="000B4712" w:rsidR="00ED7505">
        <w:rPr>
          <w:rFonts w:cs="Times New Roman"/>
          <w:szCs w:val="24"/>
        </w:rPr>
        <w:t>,</w:t>
      </w:r>
      <w:r w:rsidRPr="000B4712" w:rsidR="00BF2CD8">
        <w:rPr>
          <w:rFonts w:cs="Times New Roman"/>
          <w:szCs w:val="24"/>
        </w:rPr>
        <w:t xml:space="preserve"> H.B. </w:t>
      </w:r>
      <w:r w:rsidRPr="000B4712" w:rsidR="00D8316F">
        <w:rPr>
          <w:rFonts w:cs="Times New Roman"/>
          <w:szCs w:val="24"/>
        </w:rPr>
        <w:t>166</w:t>
      </w:r>
      <w:r w:rsidRPr="000B4712" w:rsidR="00ED7505">
        <w:rPr>
          <w:rFonts w:cs="Times New Roman"/>
          <w:szCs w:val="24"/>
        </w:rPr>
        <w:t>,</w:t>
      </w:r>
      <w:r w:rsidRPr="000B4712" w:rsidR="00BF2CD8">
        <w:rPr>
          <w:rFonts w:cs="Times New Roman"/>
          <w:szCs w:val="24"/>
        </w:rPr>
        <w:t xml:space="preserve"> </w:t>
      </w:r>
      <w:r w:rsidRPr="000B4712" w:rsidR="00881417">
        <w:rPr>
          <w:rFonts w:cs="Times New Roman"/>
          <w:szCs w:val="24"/>
        </w:rPr>
        <w:t>over OCC’s objection</w:t>
      </w:r>
      <w:r w:rsidRPr="000B4712" w:rsidR="00ED7505">
        <w:rPr>
          <w:rFonts w:cs="Times New Roman"/>
          <w:szCs w:val="24"/>
        </w:rPr>
        <w:t xml:space="preserve"> and testimony</w:t>
      </w:r>
      <w:r w:rsidRPr="000B4712" w:rsidR="003A6D1C">
        <w:rPr>
          <w:rFonts w:cs="Times New Roman"/>
          <w:szCs w:val="24"/>
        </w:rPr>
        <w:t xml:space="preserve">. That </w:t>
      </w:r>
      <w:r w:rsidRPr="000B4712" w:rsidR="007B5C1C">
        <w:rPr>
          <w:rFonts w:cs="Times New Roman"/>
          <w:szCs w:val="24"/>
        </w:rPr>
        <w:t xml:space="preserve">budget-bill </w:t>
      </w:r>
      <w:r w:rsidRPr="000B4712" w:rsidR="003A6D1C">
        <w:rPr>
          <w:rFonts w:cs="Times New Roman"/>
          <w:szCs w:val="24"/>
        </w:rPr>
        <w:t>benefit would have</w:t>
      </w:r>
      <w:r w:rsidRPr="000B4712" w:rsidR="00BF2CD8">
        <w:rPr>
          <w:rFonts w:cs="Times New Roman"/>
          <w:szCs w:val="24"/>
        </w:rPr>
        <w:t xml:space="preserve"> protect</w:t>
      </w:r>
      <w:r w:rsidRPr="000B4712" w:rsidR="003A6D1C">
        <w:rPr>
          <w:rFonts w:cs="Times New Roman"/>
          <w:szCs w:val="24"/>
        </w:rPr>
        <w:t>ed</w:t>
      </w:r>
      <w:r w:rsidRPr="000B4712" w:rsidR="00BF2CD8">
        <w:rPr>
          <w:rFonts w:cs="Times New Roman"/>
          <w:szCs w:val="24"/>
        </w:rPr>
        <w:t xml:space="preserve"> </w:t>
      </w:r>
      <w:r w:rsidRPr="000B4712" w:rsidR="003A6D1C">
        <w:rPr>
          <w:rFonts w:cs="Times New Roman"/>
          <w:szCs w:val="24"/>
        </w:rPr>
        <w:t>FirstEnergy</w:t>
      </w:r>
      <w:r w:rsidRPr="000B4712" w:rsidR="00BF2CD8">
        <w:rPr>
          <w:rFonts w:cs="Times New Roman"/>
          <w:szCs w:val="24"/>
        </w:rPr>
        <w:t xml:space="preserve"> from refunding </w:t>
      </w:r>
      <w:r w:rsidRPr="000B4712" w:rsidR="000A6E29">
        <w:rPr>
          <w:rFonts w:cs="Times New Roman"/>
          <w:szCs w:val="24"/>
        </w:rPr>
        <w:t xml:space="preserve">excess </w:t>
      </w:r>
      <w:r w:rsidRPr="000B4712" w:rsidR="00BF2CD8">
        <w:rPr>
          <w:rFonts w:cs="Times New Roman"/>
          <w:szCs w:val="24"/>
        </w:rPr>
        <w:t>profits to consumers</w:t>
      </w:r>
      <w:r w:rsidRPr="000B4712" w:rsidR="003A6D1C">
        <w:rPr>
          <w:rFonts w:cs="Times New Roman"/>
          <w:szCs w:val="24"/>
        </w:rPr>
        <w:t xml:space="preserve"> now under consideration</w:t>
      </w:r>
      <w:r w:rsidRPr="000B4712" w:rsidR="00BF2CD8">
        <w:rPr>
          <w:rFonts w:cs="Times New Roman"/>
          <w:szCs w:val="24"/>
        </w:rPr>
        <w:t>.</w:t>
      </w:r>
      <w:r>
        <w:rPr>
          <w:rStyle w:val="FootnoteReference"/>
          <w:rFonts w:cs="Times New Roman"/>
          <w:szCs w:val="24"/>
        </w:rPr>
        <w:footnoteReference w:id="4"/>
      </w:r>
      <w:r w:rsidRPr="000B4712" w:rsidR="00BF2CD8">
        <w:rPr>
          <w:rFonts w:cs="Times New Roman"/>
          <w:szCs w:val="24"/>
        </w:rPr>
        <w:t xml:space="preserve"> </w:t>
      </w:r>
      <w:r w:rsidRPr="000B4712" w:rsidR="00917A77">
        <w:rPr>
          <w:rFonts w:cs="Times New Roman"/>
          <w:szCs w:val="24"/>
        </w:rPr>
        <w:t xml:space="preserve">After the H.B. 6 scandal was revealed, the budget-bill scheme for FirstEnergy went south when repealed in H.B. 128. </w:t>
      </w:r>
    </w:p>
    <w:p w:rsidR="00694418" w:rsidRPr="000B4712" w:rsidP="007F56FC" w14:paraId="04815565" w14:textId="25C64531">
      <w:pPr>
        <w:spacing w:line="480" w:lineRule="auto"/>
        <w:ind w:firstLine="720"/>
        <w:rPr>
          <w:rFonts w:cs="Times New Roman"/>
          <w:szCs w:val="24"/>
        </w:rPr>
      </w:pPr>
      <w:r w:rsidRPr="000B4712">
        <w:rPr>
          <w:rFonts w:cs="Times New Roman"/>
          <w:szCs w:val="24"/>
        </w:rPr>
        <w:t>Meanwhile, things were happening</w:t>
      </w:r>
      <w:r w:rsidRPr="000B4712" w:rsidR="00917A77">
        <w:rPr>
          <w:rFonts w:cs="Times New Roman"/>
          <w:szCs w:val="24"/>
        </w:rPr>
        <w:t xml:space="preserve"> on profits</w:t>
      </w:r>
      <w:r w:rsidRPr="000B4712">
        <w:rPr>
          <w:rFonts w:cs="Times New Roman"/>
          <w:szCs w:val="24"/>
        </w:rPr>
        <w:t xml:space="preserve"> for the FirstEnergy Utilities </w:t>
      </w:r>
      <w:r w:rsidRPr="000B4712" w:rsidR="00917A77">
        <w:rPr>
          <w:rFonts w:cs="Times New Roman"/>
          <w:szCs w:val="24"/>
        </w:rPr>
        <w:t xml:space="preserve">in another branch of government, </w:t>
      </w:r>
      <w:r w:rsidRPr="000B4712">
        <w:rPr>
          <w:rFonts w:cs="Times New Roman"/>
          <w:szCs w:val="24"/>
        </w:rPr>
        <w:t>at the PUCO</w:t>
      </w:r>
      <w:r w:rsidRPr="000B4712" w:rsidR="00917A77">
        <w:rPr>
          <w:rFonts w:cs="Times New Roman"/>
          <w:szCs w:val="24"/>
        </w:rPr>
        <w:t xml:space="preserve">. </w:t>
      </w:r>
      <w:r w:rsidRPr="000B4712">
        <w:rPr>
          <w:rFonts w:cs="Times New Roman"/>
          <w:szCs w:val="24"/>
        </w:rPr>
        <w:t xml:space="preserve">The PUCO ordered that the charges for FirstEnergy’s infamous “Distribution Modernization </w:t>
      </w:r>
      <w:r w:rsidRPr="000B4712" w:rsidR="007C4A94">
        <w:rPr>
          <w:rFonts w:cs="Times New Roman"/>
          <w:szCs w:val="24"/>
        </w:rPr>
        <w:t>Rider</w:t>
      </w:r>
      <w:r w:rsidRPr="000B4712">
        <w:rPr>
          <w:rFonts w:cs="Times New Roman"/>
          <w:szCs w:val="24"/>
        </w:rPr>
        <w:t>” would not be counted in the calculation of whether the FirstEnergy Utilities had overcharged consumers for profits.</w:t>
      </w:r>
      <w:r>
        <w:rPr>
          <w:rStyle w:val="FootnoteReference"/>
          <w:rFonts w:cs="Times New Roman"/>
          <w:szCs w:val="24"/>
        </w:rPr>
        <w:footnoteReference w:id="5"/>
      </w:r>
      <w:r w:rsidRPr="000B4712">
        <w:rPr>
          <w:rFonts w:cs="Times New Roman"/>
          <w:szCs w:val="24"/>
        </w:rPr>
        <w:t xml:space="preserve"> </w:t>
      </w:r>
      <w:r w:rsidRPr="000B4712" w:rsidR="00917A77">
        <w:rPr>
          <w:rFonts w:cs="Times New Roman"/>
          <w:szCs w:val="24"/>
        </w:rPr>
        <w:t xml:space="preserve">That “new math” protected FirstEnergy by making its profits appear lower and less refundable </w:t>
      </w:r>
      <w:r w:rsidRPr="000B4712" w:rsidR="00917A77">
        <w:rPr>
          <w:rFonts w:cs="Times New Roman"/>
          <w:i/>
          <w:iCs/>
          <w:szCs w:val="24"/>
        </w:rPr>
        <w:t>on paper</w:t>
      </w:r>
      <w:r w:rsidRPr="000B4712" w:rsidR="00917A77">
        <w:rPr>
          <w:rFonts w:cs="Times New Roman"/>
          <w:szCs w:val="24"/>
        </w:rPr>
        <w:t xml:space="preserve">. </w:t>
      </w:r>
    </w:p>
    <w:p w:rsidR="00880ADE" w:rsidRPr="000B4712" w:rsidP="007F56FC" w14:paraId="22D3B16A" w14:textId="5824A909">
      <w:pPr>
        <w:spacing w:line="480" w:lineRule="auto"/>
        <w:ind w:firstLine="720"/>
        <w:rPr>
          <w:rFonts w:cs="Times New Roman"/>
          <w:szCs w:val="24"/>
        </w:rPr>
      </w:pPr>
      <w:r w:rsidRPr="000B4712">
        <w:rPr>
          <w:rFonts w:cs="Times New Roman"/>
          <w:szCs w:val="24"/>
        </w:rPr>
        <w:t>The</w:t>
      </w:r>
      <w:r w:rsidRPr="000B4712" w:rsidR="000A6E29">
        <w:rPr>
          <w:rFonts w:cs="Times New Roman"/>
          <w:szCs w:val="24"/>
        </w:rPr>
        <w:t>n</w:t>
      </w:r>
      <w:r w:rsidRPr="000B4712">
        <w:rPr>
          <w:rFonts w:cs="Times New Roman"/>
          <w:szCs w:val="24"/>
        </w:rPr>
        <w:t>, in</w:t>
      </w:r>
      <w:r w:rsidRPr="000B4712" w:rsidR="000A6E29">
        <w:rPr>
          <w:rFonts w:cs="Times New Roman"/>
          <w:szCs w:val="24"/>
        </w:rPr>
        <w:t xml:space="preserve"> OCC’s appeal to the third branch of government, the Ohio Supreme Court, the Court threw out the PUCO’s order</w:t>
      </w:r>
      <w:r w:rsidRPr="000B4712" w:rsidR="00917A77">
        <w:rPr>
          <w:rFonts w:cs="Times New Roman"/>
          <w:szCs w:val="24"/>
        </w:rPr>
        <w:t xml:space="preserve"> as unlawful.</w:t>
      </w:r>
      <w:r>
        <w:rPr>
          <w:rStyle w:val="FootnoteReference"/>
          <w:rFonts w:cs="Times New Roman"/>
          <w:szCs w:val="24"/>
        </w:rPr>
        <w:footnoteReference w:id="6"/>
      </w:r>
      <w:r w:rsidRPr="000B4712" w:rsidR="00917A77">
        <w:rPr>
          <w:rFonts w:cs="Times New Roman"/>
          <w:szCs w:val="24"/>
        </w:rPr>
        <w:t xml:space="preserve"> The Court</w:t>
      </w:r>
      <w:r w:rsidRPr="000B4712" w:rsidR="000A6E29">
        <w:rPr>
          <w:rFonts w:cs="Times New Roman"/>
          <w:szCs w:val="24"/>
        </w:rPr>
        <w:t xml:space="preserve"> protected consumers’ right to a refund of significantly excessive profits. </w:t>
      </w:r>
    </w:p>
    <w:p w:rsidR="00A10F80" w:rsidRPr="000B4712" w:rsidP="0044788D" w14:paraId="7A8B4F04" w14:textId="0EBE81F1">
      <w:pPr>
        <w:spacing w:line="480" w:lineRule="auto"/>
        <w:ind w:firstLine="720"/>
        <w:rPr>
          <w:rFonts w:cs="Times New Roman"/>
          <w:szCs w:val="24"/>
        </w:rPr>
      </w:pPr>
      <w:r w:rsidRPr="000B4712">
        <w:rPr>
          <w:rFonts w:cs="Times New Roman"/>
          <w:szCs w:val="24"/>
        </w:rPr>
        <w:t>With th</w:t>
      </w:r>
      <w:r w:rsidRPr="000B4712" w:rsidR="00917A77">
        <w:rPr>
          <w:rFonts w:cs="Times New Roman"/>
          <w:szCs w:val="24"/>
        </w:rPr>
        <w:t>at</w:t>
      </w:r>
      <w:r w:rsidRPr="000B4712">
        <w:rPr>
          <w:rFonts w:cs="Times New Roman"/>
          <w:szCs w:val="24"/>
        </w:rPr>
        <w:t xml:space="preserve"> </w:t>
      </w:r>
      <w:r w:rsidRPr="000B4712" w:rsidR="00B50BC9">
        <w:rPr>
          <w:rFonts w:cs="Times New Roman"/>
          <w:szCs w:val="24"/>
        </w:rPr>
        <w:t xml:space="preserve">troubling </w:t>
      </w:r>
      <w:r w:rsidRPr="000B4712">
        <w:rPr>
          <w:rFonts w:cs="Times New Roman"/>
          <w:szCs w:val="24"/>
        </w:rPr>
        <w:t>background</w:t>
      </w:r>
      <w:r w:rsidRPr="000B4712" w:rsidR="00B50BC9">
        <w:rPr>
          <w:rFonts w:cs="Times New Roman"/>
          <w:szCs w:val="24"/>
        </w:rPr>
        <w:t xml:space="preserve"> involving </w:t>
      </w:r>
      <w:r w:rsidRPr="000B4712" w:rsidR="00917A77">
        <w:rPr>
          <w:rFonts w:cs="Times New Roman"/>
          <w:szCs w:val="24"/>
        </w:rPr>
        <w:t xml:space="preserve">protection for </w:t>
      </w:r>
      <w:r w:rsidRPr="000B4712" w:rsidR="00B50BC9">
        <w:rPr>
          <w:rFonts w:cs="Times New Roman"/>
          <w:szCs w:val="24"/>
        </w:rPr>
        <w:t>FirstEnergy</w:t>
      </w:r>
      <w:r w:rsidRPr="000B4712" w:rsidR="007C4A94">
        <w:rPr>
          <w:rFonts w:cs="Times New Roman"/>
          <w:szCs w:val="24"/>
        </w:rPr>
        <w:t xml:space="preserve"> (at consumer detriment)</w:t>
      </w:r>
      <w:r w:rsidRPr="000B4712">
        <w:rPr>
          <w:rFonts w:cs="Times New Roman"/>
          <w:szCs w:val="24"/>
        </w:rPr>
        <w:t xml:space="preserve"> and</w:t>
      </w:r>
      <w:r w:rsidRPr="000B4712" w:rsidR="00B50BC9">
        <w:rPr>
          <w:rFonts w:cs="Times New Roman"/>
          <w:szCs w:val="24"/>
        </w:rPr>
        <w:t xml:space="preserve"> learning lessons from decades of experience in the PUCO’s settlement process that favors utilities, it is</w:t>
      </w:r>
      <w:r w:rsidRPr="000B4712" w:rsidR="007C4A94">
        <w:rPr>
          <w:rFonts w:cs="Times New Roman"/>
          <w:szCs w:val="24"/>
        </w:rPr>
        <w:t xml:space="preserve"> virtually</w:t>
      </w:r>
      <w:r w:rsidRPr="000B4712" w:rsidR="00B50BC9">
        <w:rPr>
          <w:rFonts w:cs="Times New Roman"/>
          <w:szCs w:val="24"/>
        </w:rPr>
        <w:t xml:space="preserve"> inconceivable that FirstEnergy’s proposed three-month delay to negotiate a settlement is good for consumers. The FirstEnergy Utilities’ strategy is no surprise</w:t>
      </w:r>
      <w:r w:rsidRPr="000B4712" w:rsidR="005E3237">
        <w:rPr>
          <w:rFonts w:cs="Times New Roman"/>
          <w:szCs w:val="24"/>
        </w:rPr>
        <w:t xml:space="preserve">. </w:t>
      </w:r>
    </w:p>
    <w:p w:rsidR="00B50BC9" w:rsidRPr="000B4712" w:rsidP="0044788D" w14:paraId="7414016D" w14:textId="59468140">
      <w:pPr>
        <w:spacing w:line="480" w:lineRule="auto"/>
        <w:ind w:firstLine="720"/>
        <w:rPr>
          <w:rFonts w:cs="Times New Roman"/>
          <w:szCs w:val="24"/>
        </w:rPr>
      </w:pPr>
      <w:r w:rsidRPr="000B4712">
        <w:rPr>
          <w:rFonts w:cs="Times New Roman"/>
          <w:szCs w:val="24"/>
        </w:rPr>
        <w:t>The PUCO’s settlement process favors utilities over consumers</w:t>
      </w:r>
      <w:r w:rsidRPr="000B4712" w:rsidR="00917A77">
        <w:rPr>
          <w:rFonts w:cs="Times New Roman"/>
          <w:szCs w:val="24"/>
        </w:rPr>
        <w:t xml:space="preserve"> by implicitly endowing</w:t>
      </w:r>
      <w:r w:rsidRPr="000B4712" w:rsidR="00542FF6">
        <w:rPr>
          <w:rFonts w:cs="Times New Roman"/>
          <w:szCs w:val="24"/>
        </w:rPr>
        <w:t xml:space="preserve"> utilities </w:t>
      </w:r>
      <w:r w:rsidRPr="000B4712" w:rsidR="00917A77">
        <w:rPr>
          <w:rFonts w:cs="Times New Roman"/>
          <w:szCs w:val="24"/>
        </w:rPr>
        <w:t>with</w:t>
      </w:r>
      <w:r w:rsidRPr="000B4712" w:rsidR="00542FF6">
        <w:rPr>
          <w:rFonts w:cs="Times New Roman"/>
          <w:szCs w:val="24"/>
        </w:rPr>
        <w:t xml:space="preserve"> superior bargaining power</w:t>
      </w:r>
      <w:r w:rsidRPr="000B4712">
        <w:rPr>
          <w:rFonts w:cs="Times New Roman"/>
          <w:szCs w:val="24"/>
        </w:rPr>
        <w:t>.</w:t>
      </w:r>
      <w:r w:rsidRPr="000B4712" w:rsidR="00542FF6">
        <w:rPr>
          <w:rFonts w:cs="Times New Roman"/>
          <w:szCs w:val="24"/>
        </w:rPr>
        <w:t xml:space="preserve"> </w:t>
      </w:r>
      <w:r w:rsidRPr="000B4712" w:rsidR="00C11D12">
        <w:rPr>
          <w:rFonts w:cs="Times New Roman"/>
          <w:szCs w:val="24"/>
        </w:rPr>
        <w:t>As former Commissioner Roberto noted in a PUCO opinion, in electric security plan cases, there is a “balance of power” favoring utilities such that intervenors “do not possess equal bargaining power.”</w:t>
      </w:r>
      <w:r>
        <w:rPr>
          <w:rStyle w:val="FootnoteReference"/>
          <w:rFonts w:cs="Times New Roman"/>
          <w:szCs w:val="24"/>
        </w:rPr>
        <w:footnoteReference w:id="7"/>
      </w:r>
      <w:r w:rsidRPr="000B4712" w:rsidR="00C11D12">
        <w:rPr>
          <w:rFonts w:cs="Times New Roman"/>
          <w:szCs w:val="24"/>
        </w:rPr>
        <w:t xml:space="preserve"> </w:t>
      </w:r>
      <w:r w:rsidRPr="000B4712" w:rsidR="00542FF6">
        <w:rPr>
          <w:rFonts w:cs="Times New Roman"/>
          <w:szCs w:val="24"/>
        </w:rPr>
        <w:t xml:space="preserve">At the PUCO, there essentially is never a settlement unless the utility </w:t>
      </w:r>
      <w:r w:rsidRPr="000B4712" w:rsidR="00AE757E">
        <w:rPr>
          <w:rFonts w:cs="Times New Roman"/>
          <w:szCs w:val="24"/>
        </w:rPr>
        <w:t>gives its consent to the settlement</w:t>
      </w:r>
      <w:r w:rsidRPr="000B4712" w:rsidR="00542FF6">
        <w:rPr>
          <w:rFonts w:cs="Times New Roman"/>
          <w:szCs w:val="24"/>
        </w:rPr>
        <w:t>.</w:t>
      </w:r>
      <w:r w:rsidRPr="000B4712" w:rsidR="00917A77">
        <w:rPr>
          <w:rFonts w:cs="Times New Roman"/>
          <w:szCs w:val="24"/>
        </w:rPr>
        <w:t xml:space="preserve"> It’s like an unwritten rule. Utility c</w:t>
      </w:r>
      <w:r w:rsidRPr="000B4712" w:rsidR="00AE757E">
        <w:rPr>
          <w:rFonts w:cs="Times New Roman"/>
          <w:szCs w:val="24"/>
        </w:rPr>
        <w:t>onsumers, through OCC, are not given that corresponding power over settlements</w:t>
      </w:r>
      <w:r w:rsidRPr="000B4712" w:rsidR="00542FF6">
        <w:rPr>
          <w:rFonts w:cs="Times New Roman"/>
          <w:szCs w:val="24"/>
        </w:rPr>
        <w:t>.</w:t>
      </w:r>
      <w:r w:rsidRPr="000B4712" w:rsidR="00C11D12">
        <w:rPr>
          <w:rFonts w:cs="Times New Roman"/>
          <w:szCs w:val="24"/>
        </w:rPr>
        <w:t xml:space="preserve"> </w:t>
      </w:r>
    </w:p>
    <w:p w:rsidR="00A10F80" w:rsidRPr="000B4712" w:rsidP="0044788D" w14:paraId="7BB8D864" w14:textId="762B1F47">
      <w:pPr>
        <w:spacing w:line="480" w:lineRule="auto"/>
        <w:ind w:firstLine="720"/>
        <w:rPr>
          <w:rFonts w:cs="Times New Roman"/>
          <w:szCs w:val="24"/>
        </w:rPr>
      </w:pPr>
      <w:r w:rsidRPr="000B4712">
        <w:rPr>
          <w:rFonts w:cs="Times New Roman"/>
          <w:szCs w:val="24"/>
        </w:rPr>
        <w:t xml:space="preserve">Moreover, the PUCO allows the bad practice of utilities offering cash and cash equivalents to parties willing to sign settlements. Of course, OCC does not have cash to counter </w:t>
      </w:r>
      <w:r w:rsidRPr="000B4712" w:rsidR="003A62CC">
        <w:rPr>
          <w:rFonts w:cs="Times New Roman"/>
          <w:szCs w:val="24"/>
        </w:rPr>
        <w:t xml:space="preserve">the </w:t>
      </w:r>
      <w:r w:rsidRPr="000B4712">
        <w:rPr>
          <w:rFonts w:cs="Times New Roman"/>
          <w:szCs w:val="24"/>
        </w:rPr>
        <w:t>utility cash</w:t>
      </w:r>
      <w:r w:rsidRPr="000B4712" w:rsidR="00F15DCC">
        <w:rPr>
          <w:rFonts w:cs="Times New Roman"/>
          <w:szCs w:val="24"/>
        </w:rPr>
        <w:t>—</w:t>
      </w:r>
      <w:r w:rsidRPr="000B4712">
        <w:rPr>
          <w:rFonts w:cs="Times New Roman"/>
          <w:szCs w:val="24"/>
        </w:rPr>
        <w:t>nor would OCC want it</w:t>
      </w:r>
      <w:r w:rsidRPr="000B4712" w:rsidR="00F15DCC">
        <w:rPr>
          <w:rFonts w:cs="Times New Roman"/>
          <w:szCs w:val="24"/>
        </w:rPr>
        <w:t>,</w:t>
      </w:r>
      <w:r w:rsidRPr="000B4712">
        <w:rPr>
          <w:rFonts w:cs="Times New Roman"/>
          <w:szCs w:val="24"/>
        </w:rPr>
        <w:t xml:space="preserve"> for this PUCO settlement practice that should be void as against public policy. </w:t>
      </w:r>
      <w:r w:rsidRPr="000B4712" w:rsidR="00EE59CC">
        <w:rPr>
          <w:rFonts w:cs="Times New Roman"/>
          <w:szCs w:val="24"/>
        </w:rPr>
        <w:t>There was a case where the PUCO itself expressed concern about utility payments of cash to special interests in settlements</w:t>
      </w:r>
      <w:r w:rsidRPr="000B4712" w:rsidR="00C11D12">
        <w:rPr>
          <w:rFonts w:cs="Times New Roman"/>
          <w:szCs w:val="24"/>
        </w:rPr>
        <w:t>, stating that settlements with cash payments to intervenors are “strongly disfavored by the Commission and are highly likely to be stricken from any future stipulation submitted to the Commission for approval.”</w:t>
      </w:r>
      <w:r>
        <w:rPr>
          <w:rStyle w:val="FootnoteReference"/>
          <w:rFonts w:cs="Times New Roman"/>
          <w:szCs w:val="24"/>
        </w:rPr>
        <w:footnoteReference w:id="8"/>
      </w:r>
      <w:r w:rsidRPr="000B4712" w:rsidR="00EE59CC">
        <w:rPr>
          <w:rFonts w:cs="Times New Roman"/>
          <w:szCs w:val="24"/>
        </w:rPr>
        <w:t xml:space="preserve"> </w:t>
      </w:r>
    </w:p>
    <w:p w:rsidR="003A62CC" w:rsidRPr="000B4712" w:rsidP="0044788D" w14:paraId="3226499C" w14:textId="4259323B">
      <w:pPr>
        <w:spacing w:line="480" w:lineRule="auto"/>
        <w:ind w:firstLine="720"/>
        <w:rPr>
          <w:rFonts w:cs="Times New Roman"/>
          <w:szCs w:val="24"/>
        </w:rPr>
      </w:pPr>
      <w:r w:rsidRPr="000B4712">
        <w:rPr>
          <w:rFonts w:cs="Times New Roman"/>
          <w:szCs w:val="24"/>
        </w:rPr>
        <w:t>Further, the PUCO’s review of settlements is limited</w:t>
      </w:r>
      <w:r w:rsidRPr="000B4712" w:rsidR="00753867">
        <w:rPr>
          <w:rFonts w:cs="Times New Roman"/>
          <w:szCs w:val="24"/>
        </w:rPr>
        <w:t>,</w:t>
      </w:r>
      <w:r w:rsidRPr="000B4712">
        <w:rPr>
          <w:rFonts w:cs="Times New Roman"/>
          <w:szCs w:val="24"/>
        </w:rPr>
        <w:t xml:space="preserve"> where the PUCO </w:t>
      </w:r>
      <w:r w:rsidRPr="000B4712" w:rsidR="00917A77">
        <w:rPr>
          <w:rFonts w:cs="Times New Roman"/>
          <w:szCs w:val="24"/>
        </w:rPr>
        <w:t xml:space="preserve">merely </w:t>
      </w:r>
      <w:r w:rsidRPr="000B4712">
        <w:rPr>
          <w:rFonts w:cs="Times New Roman"/>
          <w:szCs w:val="24"/>
        </w:rPr>
        <w:t>considers the settlement as a “package” instead of considering the merits of each individual issue. Again, that favors the utilities that are always part of every settlement.</w:t>
      </w:r>
    </w:p>
    <w:p w:rsidR="000A6E29" w:rsidRPr="000B4712" w:rsidP="007F56FC" w14:paraId="2D68B88D" w14:textId="72E8DB92">
      <w:pPr>
        <w:spacing w:line="480" w:lineRule="auto"/>
        <w:ind w:firstLine="720"/>
        <w:rPr>
          <w:rFonts w:cs="Times New Roman"/>
          <w:szCs w:val="24"/>
        </w:rPr>
      </w:pPr>
      <w:r w:rsidRPr="000B4712">
        <w:rPr>
          <w:rFonts w:cs="Times New Roman"/>
          <w:szCs w:val="24"/>
        </w:rPr>
        <w:t>T</w:t>
      </w:r>
      <w:r w:rsidRPr="000B4712" w:rsidR="00EC7AF9">
        <w:rPr>
          <w:rFonts w:cs="Times New Roman"/>
          <w:szCs w:val="24"/>
        </w:rPr>
        <w:t>h</w:t>
      </w:r>
      <w:r w:rsidRPr="000B4712" w:rsidR="00917A77">
        <w:rPr>
          <w:rFonts w:cs="Times New Roman"/>
          <w:szCs w:val="24"/>
        </w:rPr>
        <w:t>e</w:t>
      </w:r>
      <w:r w:rsidRPr="000B4712" w:rsidR="00EC7AF9">
        <w:rPr>
          <w:rFonts w:cs="Times New Roman"/>
          <w:szCs w:val="24"/>
        </w:rPr>
        <w:t xml:space="preserve"> settlement process problem for consumers can be seen in the </w:t>
      </w:r>
      <w:r w:rsidRPr="000B4712" w:rsidR="003A62CC">
        <w:rPr>
          <w:rFonts w:cs="Times New Roman"/>
          <w:szCs w:val="24"/>
        </w:rPr>
        <w:t xml:space="preserve">recent experience </w:t>
      </w:r>
      <w:r w:rsidRPr="000B4712" w:rsidR="005E3237">
        <w:rPr>
          <w:rFonts w:cs="Times New Roman"/>
          <w:szCs w:val="24"/>
        </w:rPr>
        <w:t>on the</w:t>
      </w:r>
      <w:r w:rsidRPr="000B4712" w:rsidR="00694418">
        <w:rPr>
          <w:rFonts w:cs="Times New Roman"/>
          <w:szCs w:val="24"/>
        </w:rPr>
        <w:t xml:space="preserve"> same</w:t>
      </w:r>
      <w:r w:rsidRPr="000B4712" w:rsidR="005E3237">
        <w:rPr>
          <w:rFonts w:cs="Times New Roman"/>
          <w:szCs w:val="24"/>
        </w:rPr>
        <w:t xml:space="preserve"> profits</w:t>
      </w:r>
      <w:r w:rsidRPr="000B4712" w:rsidR="00B50BC9">
        <w:rPr>
          <w:rFonts w:cs="Times New Roman"/>
          <w:szCs w:val="24"/>
        </w:rPr>
        <w:t>-refund</w:t>
      </w:r>
      <w:r w:rsidRPr="000B4712" w:rsidR="005E3237">
        <w:rPr>
          <w:rFonts w:cs="Times New Roman"/>
          <w:szCs w:val="24"/>
        </w:rPr>
        <w:t xml:space="preserve"> issue for </w:t>
      </w:r>
      <w:r w:rsidRPr="000B4712" w:rsidR="00EC7AF9">
        <w:rPr>
          <w:rFonts w:cs="Times New Roman"/>
          <w:szCs w:val="24"/>
        </w:rPr>
        <w:t xml:space="preserve">Dayton-area consumers. </w:t>
      </w:r>
      <w:r w:rsidRPr="000B4712" w:rsidR="005E3237">
        <w:rPr>
          <w:rFonts w:cs="Times New Roman"/>
          <w:szCs w:val="24"/>
        </w:rPr>
        <w:t>DP&amp;L</w:t>
      </w:r>
      <w:r w:rsidRPr="000B4712" w:rsidR="00917A77">
        <w:rPr>
          <w:rFonts w:cs="Times New Roman"/>
          <w:szCs w:val="24"/>
        </w:rPr>
        <w:t xml:space="preserve"> and</w:t>
      </w:r>
      <w:r w:rsidRPr="000B4712" w:rsidR="005E3237">
        <w:rPr>
          <w:rFonts w:cs="Times New Roman"/>
          <w:szCs w:val="24"/>
        </w:rPr>
        <w:t xml:space="preserve"> the PUCO Staff </w:t>
      </w:r>
      <w:r w:rsidRPr="000B4712" w:rsidR="00EB0D0F">
        <w:rPr>
          <w:rFonts w:cs="Times New Roman"/>
          <w:szCs w:val="24"/>
        </w:rPr>
        <w:t>(</w:t>
      </w:r>
      <w:r w:rsidRPr="000B4712" w:rsidR="005E3237">
        <w:rPr>
          <w:rFonts w:cs="Times New Roman"/>
          <w:szCs w:val="24"/>
        </w:rPr>
        <w:t>and others</w:t>
      </w:r>
      <w:r w:rsidRPr="000B4712" w:rsidR="00EB0D0F">
        <w:rPr>
          <w:rFonts w:cs="Times New Roman"/>
          <w:szCs w:val="24"/>
        </w:rPr>
        <w:t>)</w:t>
      </w:r>
      <w:r w:rsidRPr="000B4712" w:rsidR="005E3237">
        <w:rPr>
          <w:rFonts w:cs="Times New Roman"/>
          <w:szCs w:val="24"/>
        </w:rPr>
        <w:t xml:space="preserve"> signed a settlement where Dayton-area consumers were denied </w:t>
      </w:r>
      <w:r w:rsidRPr="000B4712" w:rsidR="00753867">
        <w:rPr>
          <w:rFonts w:cs="Times New Roman"/>
          <w:szCs w:val="24"/>
        </w:rPr>
        <w:t>tens of millions of dollars</w:t>
      </w:r>
      <w:r w:rsidRPr="000B4712" w:rsidR="00F15DCC">
        <w:rPr>
          <w:rFonts w:cs="Times New Roman"/>
          <w:szCs w:val="24"/>
        </w:rPr>
        <w:t xml:space="preserve"> in</w:t>
      </w:r>
      <w:r w:rsidRPr="000B4712" w:rsidR="00753867">
        <w:rPr>
          <w:rFonts w:cs="Times New Roman"/>
          <w:szCs w:val="24"/>
        </w:rPr>
        <w:t xml:space="preserve"> direct</w:t>
      </w:r>
      <w:r w:rsidRPr="000B4712" w:rsidR="00F15DCC">
        <w:rPr>
          <w:rFonts w:cs="Times New Roman"/>
          <w:szCs w:val="24"/>
        </w:rPr>
        <w:t xml:space="preserve"> </w:t>
      </w:r>
      <w:r w:rsidRPr="000B4712" w:rsidR="00EB0D0F">
        <w:rPr>
          <w:rFonts w:cs="Times New Roman"/>
          <w:szCs w:val="24"/>
        </w:rPr>
        <w:t xml:space="preserve">profits </w:t>
      </w:r>
      <w:r w:rsidRPr="000B4712" w:rsidR="005E3237">
        <w:rPr>
          <w:rFonts w:cs="Times New Roman"/>
          <w:szCs w:val="24"/>
        </w:rPr>
        <w:t xml:space="preserve">refunds and instead </w:t>
      </w:r>
      <w:r w:rsidRPr="000B4712" w:rsidR="00F15DCC">
        <w:rPr>
          <w:rFonts w:cs="Times New Roman"/>
          <w:szCs w:val="24"/>
        </w:rPr>
        <w:t>might</w:t>
      </w:r>
      <w:r w:rsidRPr="000B4712" w:rsidR="005E3237">
        <w:rPr>
          <w:rFonts w:cs="Times New Roman"/>
          <w:szCs w:val="24"/>
        </w:rPr>
        <w:t xml:space="preserve"> receive a </w:t>
      </w:r>
      <w:r w:rsidRPr="000B4712" w:rsidR="00694418">
        <w:rPr>
          <w:rFonts w:cs="Times New Roman"/>
          <w:szCs w:val="24"/>
        </w:rPr>
        <w:t>nebulous</w:t>
      </w:r>
      <w:r w:rsidRPr="000B4712" w:rsidR="005E3237">
        <w:rPr>
          <w:rFonts w:cs="Times New Roman"/>
          <w:szCs w:val="24"/>
        </w:rPr>
        <w:t xml:space="preserve"> future offset to DP&amp;L investment charges. </w:t>
      </w:r>
      <w:r w:rsidRPr="000B4712" w:rsidR="00EC7AF9">
        <w:rPr>
          <w:rFonts w:cs="Times New Roman"/>
          <w:szCs w:val="24"/>
        </w:rPr>
        <w:t xml:space="preserve">Various of the settling parties were paid cash or cash equivalents by DP&amp;L. </w:t>
      </w:r>
    </w:p>
    <w:p w:rsidR="005E3237" w:rsidRPr="000B4712" w:rsidP="007F56FC" w14:paraId="73A8A08C" w14:textId="4086AEDE">
      <w:pPr>
        <w:spacing w:line="480" w:lineRule="auto"/>
        <w:ind w:firstLine="720"/>
        <w:rPr>
          <w:rFonts w:cs="Times New Roman"/>
          <w:szCs w:val="24"/>
        </w:rPr>
      </w:pPr>
      <w:r w:rsidRPr="000B4712">
        <w:rPr>
          <w:rFonts w:cs="Times New Roman"/>
          <w:szCs w:val="24"/>
        </w:rPr>
        <w:t xml:space="preserve">Against this backdrop it’s no wonder that </w:t>
      </w:r>
      <w:r w:rsidRPr="000B4712" w:rsidR="00B9514B">
        <w:rPr>
          <w:rFonts w:cs="Times New Roman"/>
          <w:szCs w:val="24"/>
        </w:rPr>
        <w:t xml:space="preserve">the </w:t>
      </w:r>
      <w:r w:rsidRPr="000B4712">
        <w:rPr>
          <w:rFonts w:cs="Times New Roman"/>
          <w:szCs w:val="24"/>
        </w:rPr>
        <w:t>FirstEnergy</w:t>
      </w:r>
      <w:r w:rsidRPr="000B4712" w:rsidR="00B9514B">
        <w:rPr>
          <w:rFonts w:cs="Times New Roman"/>
          <w:szCs w:val="24"/>
        </w:rPr>
        <w:t xml:space="preserve"> Utilities</w:t>
      </w:r>
      <w:r w:rsidRPr="000B4712">
        <w:rPr>
          <w:rFonts w:cs="Times New Roman"/>
          <w:szCs w:val="24"/>
        </w:rPr>
        <w:t xml:space="preserve"> </w:t>
      </w:r>
      <w:r w:rsidRPr="000B4712" w:rsidR="001B2605">
        <w:rPr>
          <w:rFonts w:cs="Times New Roman"/>
          <w:szCs w:val="24"/>
        </w:rPr>
        <w:t>prefer</w:t>
      </w:r>
      <w:r w:rsidRPr="000B4712">
        <w:rPr>
          <w:rFonts w:cs="Times New Roman"/>
          <w:szCs w:val="24"/>
        </w:rPr>
        <w:t xml:space="preserve"> to operate in the </w:t>
      </w:r>
      <w:r w:rsidRPr="000B4712" w:rsidR="00EB0D0F">
        <w:rPr>
          <w:rFonts w:cs="Times New Roman"/>
          <w:szCs w:val="24"/>
        </w:rPr>
        <w:t>confidential</w:t>
      </w:r>
      <w:r w:rsidRPr="000B4712">
        <w:rPr>
          <w:rFonts w:cs="Times New Roman"/>
          <w:szCs w:val="24"/>
        </w:rPr>
        <w:t xml:space="preserve"> setting of settlement negotiations</w:t>
      </w:r>
      <w:r w:rsidRPr="000B4712" w:rsidR="00EB0D0F">
        <w:rPr>
          <w:rFonts w:cs="Times New Roman"/>
          <w:szCs w:val="24"/>
        </w:rPr>
        <w:t xml:space="preserve">. There, </w:t>
      </w:r>
      <w:r w:rsidRPr="000B4712" w:rsidR="00B9514B">
        <w:rPr>
          <w:rFonts w:cs="Times New Roman"/>
          <w:szCs w:val="24"/>
        </w:rPr>
        <w:t>the public cannot attend</w:t>
      </w:r>
      <w:r w:rsidRPr="000B4712" w:rsidR="00EB0D0F">
        <w:rPr>
          <w:rFonts w:cs="Times New Roman"/>
          <w:szCs w:val="24"/>
        </w:rPr>
        <w:t>.</w:t>
      </w:r>
      <w:r w:rsidRPr="000B4712" w:rsidR="00591CC5">
        <w:rPr>
          <w:rFonts w:cs="Times New Roman"/>
          <w:szCs w:val="24"/>
        </w:rPr>
        <w:t xml:space="preserve"> </w:t>
      </w:r>
      <w:r w:rsidRPr="000B4712" w:rsidR="00EB0D0F">
        <w:rPr>
          <w:rFonts w:cs="Times New Roman"/>
          <w:szCs w:val="24"/>
        </w:rPr>
        <w:t>A</w:t>
      </w:r>
      <w:r w:rsidRPr="000B4712" w:rsidR="00591CC5">
        <w:rPr>
          <w:rFonts w:cs="Times New Roman"/>
          <w:szCs w:val="24"/>
        </w:rPr>
        <w:t>nd</w:t>
      </w:r>
      <w:r w:rsidRPr="000B4712" w:rsidR="00B9514B">
        <w:rPr>
          <w:rFonts w:cs="Times New Roman"/>
          <w:szCs w:val="24"/>
        </w:rPr>
        <w:t xml:space="preserve"> </w:t>
      </w:r>
      <w:r w:rsidRPr="000B4712" w:rsidR="00EB0D0F">
        <w:rPr>
          <w:rFonts w:cs="Times New Roman"/>
          <w:szCs w:val="24"/>
        </w:rPr>
        <w:t xml:space="preserve">the result will be </w:t>
      </w:r>
      <w:r w:rsidRPr="000B4712" w:rsidR="00B9514B">
        <w:rPr>
          <w:rFonts w:cs="Times New Roman"/>
          <w:szCs w:val="24"/>
        </w:rPr>
        <w:t xml:space="preserve">subject to the </w:t>
      </w:r>
      <w:r w:rsidRPr="000B4712" w:rsidR="00591CC5">
        <w:rPr>
          <w:rFonts w:cs="Times New Roman"/>
          <w:szCs w:val="24"/>
        </w:rPr>
        <w:t>PUCO’s favorable settlement standards.</w:t>
      </w:r>
      <w:r w:rsidRPr="000B4712">
        <w:rPr>
          <w:rFonts w:cs="Times New Roman"/>
          <w:szCs w:val="24"/>
        </w:rPr>
        <w:t xml:space="preserve"> </w:t>
      </w:r>
    </w:p>
    <w:p w:rsidR="0098701C" w:rsidRPr="000B4712" w:rsidP="0098701C" w14:paraId="49E99E77" w14:textId="77777777">
      <w:pPr>
        <w:spacing w:line="480" w:lineRule="auto"/>
        <w:ind w:firstLine="720"/>
        <w:rPr>
          <w:rFonts w:cs="Times New Roman"/>
          <w:szCs w:val="24"/>
        </w:rPr>
      </w:pPr>
      <w:r w:rsidRPr="000B4712">
        <w:rPr>
          <w:rFonts w:cs="Times New Roman"/>
          <w:szCs w:val="24"/>
        </w:rPr>
        <w:t>T</w:t>
      </w:r>
      <w:r w:rsidRPr="000B4712" w:rsidR="00A54ED0">
        <w:rPr>
          <w:rFonts w:cs="Times New Roman"/>
          <w:szCs w:val="24"/>
        </w:rPr>
        <w:t xml:space="preserve">he PUCO should deny the </w:t>
      </w:r>
      <w:r w:rsidRPr="000B4712" w:rsidR="00E67B1F">
        <w:rPr>
          <w:rFonts w:cs="Times New Roman"/>
          <w:szCs w:val="24"/>
        </w:rPr>
        <w:t xml:space="preserve">three-month </w:t>
      </w:r>
      <w:r w:rsidRPr="000B4712" w:rsidR="00A54ED0">
        <w:rPr>
          <w:rFonts w:cs="Times New Roman"/>
          <w:szCs w:val="24"/>
        </w:rPr>
        <w:t xml:space="preserve">delay proposed by the FirstEnergy Utilities for a settlement. </w:t>
      </w:r>
      <w:r w:rsidRPr="000B4712" w:rsidR="003661C6">
        <w:rPr>
          <w:rFonts w:cs="Times New Roman"/>
          <w:szCs w:val="24"/>
        </w:rPr>
        <w:t>But regarding any settlement process in these cases</w:t>
      </w:r>
      <w:r w:rsidRPr="000B4712" w:rsidR="00A54ED0">
        <w:rPr>
          <w:rFonts w:cs="Times New Roman"/>
          <w:szCs w:val="24"/>
        </w:rPr>
        <w:t xml:space="preserve">, the PUCO should require </w:t>
      </w:r>
      <w:r w:rsidRPr="000B4712" w:rsidR="003661C6">
        <w:rPr>
          <w:rFonts w:cs="Times New Roman"/>
          <w:szCs w:val="24"/>
        </w:rPr>
        <w:t xml:space="preserve">the process to </w:t>
      </w:r>
      <w:r w:rsidRPr="000B4712" w:rsidR="00A54ED0">
        <w:rPr>
          <w:rFonts w:cs="Times New Roman"/>
          <w:szCs w:val="24"/>
        </w:rPr>
        <w:t xml:space="preserve">be conducted as follows. </w:t>
      </w:r>
    </w:p>
    <w:p w:rsidR="0098701C" w:rsidRPr="000B4712" w:rsidP="0098701C" w14:paraId="6FE95B9A" w14:textId="28DF0C8D">
      <w:pPr>
        <w:spacing w:line="480" w:lineRule="auto"/>
        <w:ind w:firstLine="720"/>
        <w:rPr>
          <w:rFonts w:cs="Times New Roman"/>
          <w:szCs w:val="24"/>
        </w:rPr>
      </w:pPr>
      <w:r w:rsidRPr="000B4712">
        <w:rPr>
          <w:rFonts w:cs="Times New Roman"/>
          <w:szCs w:val="24"/>
        </w:rPr>
        <w:t>The PUCO should bar FirstEnergy from paying cash and cash equivalents to special interests for signing the settlement. The PUCO should not consider a settlement unless it is signed by a bona fide</w:t>
      </w:r>
      <w:r>
        <w:rPr>
          <w:rStyle w:val="FootnoteReference"/>
          <w:rFonts w:cs="Times New Roman"/>
          <w:szCs w:val="24"/>
        </w:rPr>
        <w:footnoteReference w:id="9"/>
      </w:r>
      <w:r w:rsidRPr="000B4712">
        <w:rPr>
          <w:rFonts w:cs="Times New Roman"/>
          <w:szCs w:val="24"/>
        </w:rPr>
        <w:t xml:space="preserve"> consumer representative (such as OCC and NOPEC) broadly representing the FirstEnergy Utilities’ consumers. The participation of the PUCO Staff, given they are employees of the very people judging the case (Commissioners), should not be participants in the settlement process. Or, at most, the PUCO Staff’s role should be limited to impartial facilitation.</w:t>
      </w:r>
    </w:p>
    <w:p w:rsidR="00E67B1F" w:rsidRPr="000B4712" w:rsidP="007F56FC" w14:paraId="7E404BC9" w14:textId="77777777">
      <w:pPr>
        <w:spacing w:line="480" w:lineRule="auto"/>
        <w:ind w:firstLine="720"/>
        <w:rPr>
          <w:rFonts w:cs="Times New Roman"/>
          <w:szCs w:val="24"/>
        </w:rPr>
      </w:pPr>
      <w:r w:rsidRPr="000B4712">
        <w:rPr>
          <w:rFonts w:cs="Times New Roman"/>
          <w:szCs w:val="24"/>
        </w:rPr>
        <w:t xml:space="preserve">The hearing in these cases is currently scheduled for August 30, 2021. If parties want to pursue settlement—and OCC </w:t>
      </w:r>
      <w:r w:rsidRPr="000B4712" w:rsidR="007F56FC">
        <w:rPr>
          <w:rFonts w:cs="Times New Roman"/>
          <w:szCs w:val="24"/>
        </w:rPr>
        <w:t>will</w:t>
      </w:r>
      <w:r w:rsidRPr="000B4712">
        <w:rPr>
          <w:rFonts w:cs="Times New Roman"/>
          <w:szCs w:val="24"/>
        </w:rPr>
        <w:t xml:space="preserve"> </w:t>
      </w:r>
      <w:r w:rsidRPr="000B4712" w:rsidR="007F56FC">
        <w:rPr>
          <w:rFonts w:cs="Times New Roman"/>
          <w:szCs w:val="24"/>
        </w:rPr>
        <w:t>consider</w:t>
      </w:r>
      <w:r w:rsidRPr="000B4712">
        <w:rPr>
          <w:rFonts w:cs="Times New Roman"/>
          <w:szCs w:val="24"/>
        </w:rPr>
        <w:t xml:space="preserve"> reasonable settlement offers </w:t>
      </w:r>
      <w:r w:rsidRPr="000B4712" w:rsidR="007F56FC">
        <w:rPr>
          <w:rFonts w:cs="Times New Roman"/>
          <w:szCs w:val="24"/>
        </w:rPr>
        <w:t>that</w:t>
      </w:r>
      <w:r w:rsidRPr="000B4712">
        <w:rPr>
          <w:rFonts w:cs="Times New Roman"/>
          <w:szCs w:val="24"/>
        </w:rPr>
        <w:t xml:space="preserve"> benefit consumers—five weeks is more than enough time to determine whether there is a reasonable possibility of settlement. </w:t>
      </w:r>
    </w:p>
    <w:p w:rsidR="00C672A2" w:rsidRPr="000B4712" w:rsidP="007F56FC" w14:paraId="4C4699CB" w14:textId="6C115E21">
      <w:pPr>
        <w:spacing w:line="480" w:lineRule="auto"/>
        <w:ind w:firstLine="720"/>
        <w:rPr>
          <w:rFonts w:cs="Times New Roman"/>
          <w:szCs w:val="24"/>
        </w:rPr>
      </w:pPr>
      <w:r w:rsidRPr="000B4712">
        <w:rPr>
          <w:rFonts w:cs="Times New Roman"/>
          <w:szCs w:val="24"/>
        </w:rPr>
        <w:t xml:space="preserve">If it </w:t>
      </w:r>
      <w:r w:rsidRPr="000B4712" w:rsidR="00E67B1F">
        <w:rPr>
          <w:rFonts w:cs="Times New Roman"/>
          <w:szCs w:val="24"/>
        </w:rPr>
        <w:t xml:space="preserve">develops </w:t>
      </w:r>
      <w:r w:rsidRPr="000B4712">
        <w:rPr>
          <w:rFonts w:cs="Times New Roman"/>
          <w:szCs w:val="24"/>
        </w:rPr>
        <w:t xml:space="preserve">that </w:t>
      </w:r>
      <w:r w:rsidRPr="000B4712" w:rsidR="00E67B1F">
        <w:rPr>
          <w:rFonts w:cs="Times New Roman"/>
          <w:szCs w:val="24"/>
        </w:rPr>
        <w:t xml:space="preserve">a </w:t>
      </w:r>
      <w:r w:rsidRPr="000B4712">
        <w:rPr>
          <w:rFonts w:cs="Times New Roman"/>
          <w:szCs w:val="24"/>
        </w:rPr>
        <w:t>settlement might be achievable</w:t>
      </w:r>
      <w:r w:rsidRPr="000B4712" w:rsidR="00E67B1F">
        <w:rPr>
          <w:rFonts w:cs="Times New Roman"/>
          <w:szCs w:val="24"/>
        </w:rPr>
        <w:t xml:space="preserve"> </w:t>
      </w:r>
      <w:r w:rsidRPr="000B4712" w:rsidR="00E67B1F">
        <w:rPr>
          <w:rFonts w:cs="Times New Roman"/>
          <w:i/>
          <w:iCs/>
          <w:szCs w:val="24"/>
        </w:rPr>
        <w:t>on the terms for a fair process that OCC describes above</w:t>
      </w:r>
      <w:r w:rsidRPr="000B4712">
        <w:rPr>
          <w:rFonts w:cs="Times New Roman"/>
          <w:szCs w:val="24"/>
        </w:rPr>
        <w:t>, then it might make sense</w:t>
      </w:r>
      <w:r w:rsidRPr="000B4712" w:rsidR="00A10F80">
        <w:rPr>
          <w:rFonts w:cs="Times New Roman"/>
          <w:szCs w:val="24"/>
        </w:rPr>
        <w:t xml:space="preserve"> for a 14-day extension and potentially a </w:t>
      </w:r>
      <w:r w:rsidRPr="000B4712">
        <w:rPr>
          <w:rFonts w:cs="Times New Roman"/>
          <w:szCs w:val="24"/>
        </w:rPr>
        <w:t>further postpone</w:t>
      </w:r>
      <w:r w:rsidRPr="000B4712" w:rsidR="00A10F80">
        <w:rPr>
          <w:rFonts w:cs="Times New Roman"/>
          <w:szCs w:val="24"/>
        </w:rPr>
        <w:t>ment in</w:t>
      </w:r>
      <w:r w:rsidRPr="000B4712">
        <w:rPr>
          <w:rFonts w:cs="Times New Roman"/>
          <w:szCs w:val="24"/>
        </w:rPr>
        <w:t xml:space="preserve"> the hearing date. But to</w:t>
      </w:r>
      <w:r w:rsidRPr="000B4712" w:rsidR="00EB0D0F">
        <w:rPr>
          <w:rFonts w:cs="Times New Roman"/>
          <w:szCs w:val="24"/>
        </w:rPr>
        <w:t xml:space="preserve"> now</w:t>
      </w:r>
      <w:r w:rsidRPr="000B4712">
        <w:rPr>
          <w:rFonts w:cs="Times New Roman"/>
          <w:szCs w:val="24"/>
        </w:rPr>
        <w:t xml:space="preserve"> postpone the hearing date </w:t>
      </w:r>
      <w:r w:rsidRPr="000B4712" w:rsidR="00EB0D0F">
        <w:rPr>
          <w:rFonts w:cs="Times New Roman"/>
          <w:szCs w:val="24"/>
        </w:rPr>
        <w:t>for</w:t>
      </w:r>
      <w:r w:rsidRPr="000B4712">
        <w:rPr>
          <w:rFonts w:cs="Times New Roman"/>
          <w:szCs w:val="24"/>
        </w:rPr>
        <w:t xml:space="preserve"> 90 days, with</w:t>
      </w:r>
      <w:r w:rsidRPr="000B4712" w:rsidR="00EB0D0F">
        <w:rPr>
          <w:rFonts w:cs="Times New Roman"/>
          <w:szCs w:val="24"/>
        </w:rPr>
        <w:t xml:space="preserve"> an unfair process</w:t>
      </w:r>
      <w:r w:rsidRPr="000B4712">
        <w:rPr>
          <w:rFonts w:cs="Times New Roman"/>
          <w:szCs w:val="24"/>
        </w:rPr>
        <w:t xml:space="preserve">, would be </w:t>
      </w:r>
      <w:r w:rsidRPr="000B4712" w:rsidR="007F56FC">
        <w:rPr>
          <w:rFonts w:cs="Times New Roman"/>
          <w:szCs w:val="24"/>
        </w:rPr>
        <w:t xml:space="preserve">prejudicial to the </w:t>
      </w:r>
      <w:r w:rsidRPr="000B4712" w:rsidR="00B5396F">
        <w:rPr>
          <w:rFonts w:cs="Times New Roman"/>
          <w:szCs w:val="24"/>
        </w:rPr>
        <w:t>two million FirstEnergy</w:t>
      </w:r>
      <w:r w:rsidRPr="000B4712" w:rsidR="00EB0D0F">
        <w:rPr>
          <w:rFonts w:cs="Times New Roman"/>
          <w:szCs w:val="24"/>
        </w:rPr>
        <w:t xml:space="preserve"> utility</w:t>
      </w:r>
      <w:r w:rsidRPr="000B4712" w:rsidR="00B5396F">
        <w:rPr>
          <w:rFonts w:cs="Times New Roman"/>
          <w:szCs w:val="24"/>
        </w:rPr>
        <w:t xml:space="preserve"> </w:t>
      </w:r>
      <w:r w:rsidRPr="000B4712" w:rsidR="007F56FC">
        <w:rPr>
          <w:rFonts w:cs="Times New Roman"/>
          <w:szCs w:val="24"/>
        </w:rPr>
        <w:t>consumers that OCC represents.</w:t>
      </w:r>
    </w:p>
    <w:p w:rsidR="007F56FC" w:rsidRPr="000B4712" w14:paraId="43AEC2CD" w14:textId="3CEE6ED6">
      <w:pPr>
        <w:rPr>
          <w:rFonts w:eastAsia="Times New Roman" w:cs="Times New Roman"/>
          <w:szCs w:val="24"/>
        </w:rPr>
      </w:pPr>
    </w:p>
    <w:p w:rsidR="007F56FC" w:rsidRPr="000B4712" w:rsidP="007F56FC" w14:paraId="62AB144B" w14:textId="30F86105">
      <w:pPr>
        <w:pStyle w:val="BodyTextIndent3"/>
        <w:widowControl w:val="0"/>
        <w:spacing w:line="480" w:lineRule="auto"/>
        <w:ind w:left="3600" w:firstLine="0"/>
        <w:rPr>
          <w:szCs w:val="24"/>
        </w:rPr>
      </w:pPr>
      <w:r w:rsidRPr="000B4712">
        <w:rPr>
          <w:szCs w:val="24"/>
        </w:rPr>
        <w:t>Respectfully submitted,</w:t>
      </w:r>
    </w:p>
    <w:p w:rsidR="007F56FC" w:rsidRPr="000B4712" w:rsidP="007F56FC" w14:paraId="583660DA" w14:textId="77777777">
      <w:pPr>
        <w:ind w:left="3600"/>
        <w:rPr>
          <w:rFonts w:cs="Times New Roman"/>
          <w:szCs w:val="24"/>
        </w:rPr>
      </w:pPr>
      <w:r w:rsidRPr="000B4712">
        <w:rPr>
          <w:rFonts w:cs="Times New Roman"/>
          <w:szCs w:val="24"/>
        </w:rPr>
        <w:t>Bruce Weston (0016973)</w:t>
      </w:r>
    </w:p>
    <w:p w:rsidR="007F56FC" w:rsidRPr="000B4712" w:rsidP="007F56FC" w14:paraId="392E82B5" w14:textId="77777777">
      <w:pPr>
        <w:tabs>
          <w:tab w:val="left" w:pos="4320"/>
        </w:tabs>
        <w:ind w:left="3600"/>
        <w:rPr>
          <w:rFonts w:cs="Times New Roman"/>
          <w:szCs w:val="24"/>
        </w:rPr>
      </w:pPr>
      <w:r w:rsidRPr="000B4712">
        <w:rPr>
          <w:rFonts w:cs="Times New Roman"/>
          <w:szCs w:val="24"/>
        </w:rPr>
        <w:t>Ohio Consumers’ Counsel</w:t>
      </w:r>
    </w:p>
    <w:p w:rsidR="007F56FC" w:rsidRPr="000B4712" w:rsidP="007F56FC" w14:paraId="485928BA" w14:textId="77777777">
      <w:pPr>
        <w:tabs>
          <w:tab w:val="left" w:pos="4320"/>
        </w:tabs>
        <w:ind w:left="3600"/>
        <w:rPr>
          <w:rFonts w:cs="Times New Roman"/>
          <w:szCs w:val="24"/>
        </w:rPr>
      </w:pPr>
    </w:p>
    <w:p w:rsidR="007F56FC" w:rsidRPr="000B4712" w:rsidP="007F56FC" w14:paraId="1F7C52A5" w14:textId="5CD3CCEF">
      <w:pPr>
        <w:autoSpaceDE w:val="0"/>
        <w:autoSpaceDN w:val="0"/>
        <w:adjustRightInd w:val="0"/>
        <w:ind w:left="3600"/>
        <w:rPr>
          <w:rFonts w:cs="Times New Roman"/>
          <w:i/>
          <w:szCs w:val="24"/>
        </w:rPr>
      </w:pPr>
      <w:r w:rsidRPr="000B4712">
        <w:rPr>
          <w:rFonts w:cs="Times New Roman"/>
          <w:i/>
          <w:szCs w:val="24"/>
          <w:u w:val="single"/>
        </w:rPr>
        <w:t>/s/ Christopher Healey</w:t>
      </w:r>
      <w:r w:rsidRPr="000B4712">
        <w:rPr>
          <w:rFonts w:cs="Times New Roman"/>
          <w:i/>
          <w:szCs w:val="24"/>
          <w:u w:val="single"/>
        </w:rPr>
        <w:tab/>
      </w:r>
      <w:r w:rsidRPr="000B4712">
        <w:rPr>
          <w:rFonts w:cs="Times New Roman"/>
          <w:i/>
          <w:szCs w:val="24"/>
          <w:u w:val="single"/>
        </w:rPr>
        <w:tab/>
      </w:r>
      <w:r w:rsidRPr="000B4712">
        <w:rPr>
          <w:rFonts w:cs="Times New Roman"/>
          <w:i/>
          <w:szCs w:val="24"/>
          <w:u w:val="single"/>
        </w:rPr>
        <w:tab/>
      </w:r>
      <w:r w:rsidRPr="000B4712">
        <w:rPr>
          <w:rFonts w:cs="Times New Roman"/>
          <w:i/>
          <w:szCs w:val="24"/>
          <w:u w:val="single"/>
        </w:rPr>
        <w:tab/>
      </w:r>
    </w:p>
    <w:p w:rsidR="007F56FC" w:rsidRPr="000B4712" w:rsidP="007F56FC" w14:paraId="7F7B4D11" w14:textId="77777777">
      <w:pPr>
        <w:tabs>
          <w:tab w:val="left" w:pos="4320"/>
        </w:tabs>
        <w:ind w:left="3600"/>
        <w:rPr>
          <w:rFonts w:cs="Times New Roman"/>
          <w:szCs w:val="24"/>
        </w:rPr>
      </w:pPr>
      <w:r w:rsidRPr="000B4712">
        <w:rPr>
          <w:rFonts w:cs="Times New Roman"/>
          <w:szCs w:val="24"/>
        </w:rPr>
        <w:t>William J. Michael (0070921)</w:t>
      </w:r>
    </w:p>
    <w:p w:rsidR="007F56FC" w:rsidRPr="000B4712" w:rsidP="007F56FC" w14:paraId="3848902B" w14:textId="77777777">
      <w:pPr>
        <w:tabs>
          <w:tab w:val="left" w:pos="4320"/>
        </w:tabs>
        <w:ind w:left="3600"/>
        <w:rPr>
          <w:rFonts w:cs="Times New Roman"/>
          <w:szCs w:val="24"/>
        </w:rPr>
      </w:pPr>
      <w:r w:rsidRPr="000B4712">
        <w:rPr>
          <w:rFonts w:cs="Times New Roman"/>
          <w:szCs w:val="24"/>
        </w:rPr>
        <w:t>Counsel of Record for Case No. 18-857-EL-UNC</w:t>
      </w:r>
    </w:p>
    <w:p w:rsidR="007F56FC" w:rsidRPr="000B4712" w:rsidP="007F56FC" w14:paraId="52CF995C" w14:textId="77777777">
      <w:pPr>
        <w:tabs>
          <w:tab w:val="left" w:pos="4320"/>
        </w:tabs>
        <w:ind w:left="3600"/>
        <w:rPr>
          <w:rFonts w:cs="Times New Roman"/>
          <w:szCs w:val="24"/>
        </w:rPr>
      </w:pPr>
      <w:r w:rsidRPr="000B4712">
        <w:rPr>
          <w:rFonts w:cs="Times New Roman"/>
          <w:szCs w:val="24"/>
        </w:rPr>
        <w:t>Angela D. O’Brien (0097579)</w:t>
      </w:r>
    </w:p>
    <w:p w:rsidR="007F56FC" w:rsidRPr="000B4712" w:rsidP="007F56FC" w14:paraId="013B532A" w14:textId="77777777">
      <w:pPr>
        <w:tabs>
          <w:tab w:val="left" w:pos="4320"/>
        </w:tabs>
        <w:ind w:left="3600"/>
        <w:rPr>
          <w:rFonts w:cs="Times New Roman"/>
          <w:szCs w:val="24"/>
        </w:rPr>
      </w:pPr>
      <w:r w:rsidRPr="000B4712">
        <w:rPr>
          <w:rFonts w:cs="Times New Roman"/>
          <w:szCs w:val="24"/>
        </w:rPr>
        <w:t>Counsel of Record for Case No. 19-1338-EL-UNC</w:t>
      </w:r>
    </w:p>
    <w:p w:rsidR="007F56FC" w:rsidRPr="000B4712" w:rsidP="007F56FC" w14:paraId="5BF22595" w14:textId="77777777">
      <w:pPr>
        <w:tabs>
          <w:tab w:val="left" w:pos="4320"/>
        </w:tabs>
        <w:ind w:left="3600"/>
        <w:rPr>
          <w:rFonts w:cs="Times New Roman"/>
          <w:szCs w:val="24"/>
        </w:rPr>
      </w:pPr>
      <w:r w:rsidRPr="000B4712">
        <w:rPr>
          <w:rFonts w:cs="Times New Roman"/>
          <w:szCs w:val="24"/>
        </w:rPr>
        <w:t>Amy Botschner O’Brien (0074423)</w:t>
      </w:r>
    </w:p>
    <w:p w:rsidR="007F56FC" w:rsidRPr="000B4712" w:rsidP="007F56FC" w14:paraId="7398AF3A" w14:textId="77777777">
      <w:pPr>
        <w:tabs>
          <w:tab w:val="left" w:pos="4320"/>
        </w:tabs>
        <w:ind w:left="3600"/>
        <w:rPr>
          <w:rFonts w:cs="Times New Roman"/>
          <w:szCs w:val="24"/>
        </w:rPr>
      </w:pPr>
      <w:r w:rsidRPr="000B4712">
        <w:rPr>
          <w:rFonts w:cs="Times New Roman"/>
          <w:szCs w:val="24"/>
        </w:rPr>
        <w:t>Counsel of Record for Case No. 20-1034-EL-UNC</w:t>
      </w:r>
    </w:p>
    <w:p w:rsidR="007F56FC" w:rsidRPr="000B4712" w:rsidP="007F56FC" w14:paraId="4387312A" w14:textId="77777777">
      <w:pPr>
        <w:tabs>
          <w:tab w:val="left" w:pos="4320"/>
        </w:tabs>
        <w:ind w:left="3600"/>
        <w:rPr>
          <w:rFonts w:cs="Times New Roman"/>
          <w:szCs w:val="24"/>
        </w:rPr>
      </w:pPr>
      <w:r w:rsidRPr="000B4712">
        <w:rPr>
          <w:rFonts w:cs="Times New Roman"/>
          <w:szCs w:val="24"/>
        </w:rPr>
        <w:t>Christopher Healey (0086027)</w:t>
      </w:r>
    </w:p>
    <w:p w:rsidR="007F56FC" w:rsidRPr="000B4712" w:rsidP="007F56FC" w14:paraId="34760415" w14:textId="77777777">
      <w:pPr>
        <w:tabs>
          <w:tab w:val="left" w:pos="4320"/>
        </w:tabs>
        <w:ind w:left="3600"/>
        <w:rPr>
          <w:rFonts w:cs="Times New Roman"/>
          <w:szCs w:val="24"/>
        </w:rPr>
      </w:pPr>
      <w:r w:rsidRPr="000B4712">
        <w:rPr>
          <w:rFonts w:cs="Times New Roman"/>
          <w:szCs w:val="24"/>
        </w:rPr>
        <w:t>Counsel of Record for Case No. 20-1476-EL-UNC</w:t>
      </w:r>
    </w:p>
    <w:p w:rsidR="007F56FC" w:rsidRPr="000B4712" w:rsidP="007F56FC" w14:paraId="2E875BB8" w14:textId="77777777">
      <w:pPr>
        <w:tabs>
          <w:tab w:val="left" w:pos="4320"/>
        </w:tabs>
        <w:ind w:left="3600"/>
        <w:rPr>
          <w:rFonts w:cs="Times New Roman"/>
          <w:szCs w:val="24"/>
        </w:rPr>
      </w:pPr>
      <w:r w:rsidRPr="000B4712">
        <w:rPr>
          <w:rFonts w:cs="Times New Roman"/>
          <w:szCs w:val="24"/>
        </w:rPr>
        <w:t>Assistant Consumers’ Counsel</w:t>
      </w:r>
      <w:r w:rsidRPr="000B4712">
        <w:rPr>
          <w:rFonts w:cs="Times New Roman"/>
          <w:szCs w:val="24"/>
        </w:rPr>
        <w:br/>
      </w:r>
    </w:p>
    <w:p w:rsidR="007F56FC" w:rsidRPr="000B4712" w:rsidP="007F56FC" w14:paraId="19D65D44" w14:textId="77777777">
      <w:pPr>
        <w:tabs>
          <w:tab w:val="left" w:pos="4320"/>
        </w:tabs>
        <w:ind w:left="3600"/>
        <w:rPr>
          <w:rFonts w:cs="Times New Roman"/>
          <w:b/>
          <w:szCs w:val="24"/>
        </w:rPr>
      </w:pPr>
      <w:r w:rsidRPr="000B4712">
        <w:rPr>
          <w:rFonts w:cs="Times New Roman"/>
          <w:b/>
          <w:szCs w:val="24"/>
        </w:rPr>
        <w:t>Office of the Ohio Consumers' Counsel</w:t>
      </w:r>
    </w:p>
    <w:p w:rsidR="007F56FC" w:rsidRPr="000B4712" w:rsidP="007F56FC" w14:paraId="4FC4AEC0" w14:textId="77777777">
      <w:pPr>
        <w:tabs>
          <w:tab w:val="left" w:pos="4320"/>
        </w:tabs>
        <w:ind w:left="3600"/>
        <w:rPr>
          <w:rFonts w:cs="Times New Roman"/>
          <w:szCs w:val="24"/>
        </w:rPr>
      </w:pPr>
      <w:r w:rsidRPr="000B4712">
        <w:rPr>
          <w:rFonts w:cs="Times New Roman"/>
          <w:szCs w:val="24"/>
        </w:rPr>
        <w:t>65 E. State Street, 7</w:t>
      </w:r>
      <w:r w:rsidRPr="000B4712">
        <w:rPr>
          <w:rFonts w:cs="Times New Roman"/>
          <w:szCs w:val="24"/>
          <w:vertAlign w:val="superscript"/>
        </w:rPr>
        <w:t>th</w:t>
      </w:r>
      <w:r w:rsidRPr="000B4712">
        <w:rPr>
          <w:rFonts w:cs="Times New Roman"/>
          <w:szCs w:val="24"/>
        </w:rPr>
        <w:t xml:space="preserve"> Floor</w:t>
      </w:r>
    </w:p>
    <w:p w:rsidR="007F56FC" w:rsidRPr="000B4712" w:rsidP="007F56FC" w14:paraId="4770ECAB" w14:textId="77777777">
      <w:pPr>
        <w:tabs>
          <w:tab w:val="left" w:pos="4320"/>
        </w:tabs>
        <w:ind w:left="3600"/>
        <w:rPr>
          <w:rFonts w:cs="Times New Roman"/>
          <w:szCs w:val="24"/>
        </w:rPr>
      </w:pPr>
      <w:r w:rsidRPr="000B4712">
        <w:rPr>
          <w:rFonts w:cs="Times New Roman"/>
          <w:szCs w:val="24"/>
        </w:rPr>
        <w:t>Columbus, Ohio 43215</w:t>
      </w:r>
    </w:p>
    <w:p w:rsidR="007F56FC" w:rsidRPr="000B4712" w:rsidP="007F56FC" w14:paraId="52342BB2" w14:textId="77777777">
      <w:pPr>
        <w:tabs>
          <w:tab w:val="left" w:pos="4320"/>
        </w:tabs>
        <w:ind w:left="3600"/>
        <w:rPr>
          <w:rFonts w:cs="Times New Roman"/>
          <w:szCs w:val="24"/>
        </w:rPr>
      </w:pPr>
      <w:r w:rsidRPr="000B4712">
        <w:rPr>
          <w:rFonts w:cs="Times New Roman"/>
          <w:szCs w:val="24"/>
        </w:rPr>
        <w:t>Telephone [O’Brien] (614) 466-9531</w:t>
      </w:r>
    </w:p>
    <w:p w:rsidR="007F56FC" w:rsidRPr="000B4712" w:rsidP="007F56FC" w14:paraId="367D21C2" w14:textId="77777777">
      <w:pPr>
        <w:tabs>
          <w:tab w:val="left" w:pos="4320"/>
        </w:tabs>
        <w:ind w:left="3600"/>
        <w:rPr>
          <w:rFonts w:cs="Times New Roman"/>
          <w:szCs w:val="24"/>
        </w:rPr>
      </w:pPr>
      <w:r w:rsidRPr="000B4712">
        <w:rPr>
          <w:rFonts w:cs="Times New Roman"/>
          <w:szCs w:val="24"/>
        </w:rPr>
        <w:t>Telephone [Botschner O’Brien] (614) 466-9575</w:t>
      </w:r>
    </w:p>
    <w:p w:rsidR="007F56FC" w:rsidRPr="000B4712" w:rsidP="007F56FC" w14:paraId="7984DE00" w14:textId="77777777">
      <w:pPr>
        <w:tabs>
          <w:tab w:val="left" w:pos="4320"/>
        </w:tabs>
        <w:ind w:left="3600"/>
        <w:rPr>
          <w:rFonts w:cs="Times New Roman"/>
          <w:szCs w:val="24"/>
        </w:rPr>
      </w:pPr>
      <w:r w:rsidRPr="000B4712">
        <w:rPr>
          <w:rFonts w:cs="Times New Roman"/>
          <w:szCs w:val="24"/>
        </w:rPr>
        <w:t>Telephone [Healey] (614) 466-9571</w:t>
      </w:r>
    </w:p>
    <w:p w:rsidR="007F56FC" w:rsidRPr="000B4712" w:rsidP="007F56FC" w14:paraId="79458D9F" w14:textId="77777777">
      <w:pPr>
        <w:tabs>
          <w:tab w:val="left" w:pos="4320"/>
        </w:tabs>
        <w:ind w:left="3600"/>
        <w:rPr>
          <w:rFonts w:cs="Times New Roman"/>
          <w:szCs w:val="24"/>
        </w:rPr>
      </w:pPr>
      <w:r w:rsidRPr="000B4712">
        <w:rPr>
          <w:rFonts w:cs="Times New Roman"/>
          <w:szCs w:val="24"/>
        </w:rPr>
        <w:t>Telephone [Michael] (614) 466-1291</w:t>
      </w:r>
    </w:p>
    <w:p w:rsidR="000B4712" w:rsidRPr="000B4712" w:rsidP="007F56FC" w14:paraId="6DEFAA41" w14:textId="7E90A495">
      <w:pPr>
        <w:ind w:left="3600"/>
        <w:rPr>
          <w:rFonts w:cs="Times New Roman"/>
          <w:szCs w:val="24"/>
        </w:rPr>
      </w:pPr>
      <w:hyperlink r:id="rId7" w:history="1">
        <w:r w:rsidRPr="000B4712" w:rsidR="003B276F">
          <w:rPr>
            <w:rStyle w:val="Hyperlink"/>
            <w:rFonts w:cs="Times New Roman"/>
            <w:szCs w:val="24"/>
          </w:rPr>
          <w:t>william.michael@occ.ohio.gov</w:t>
        </w:r>
      </w:hyperlink>
    </w:p>
    <w:p w:rsidR="007F56FC" w:rsidRPr="000B4712" w:rsidP="007F56FC" w14:paraId="33CFA383" w14:textId="1FB51CCD">
      <w:pPr>
        <w:ind w:left="3600"/>
        <w:rPr>
          <w:rFonts w:cs="Times New Roman"/>
          <w:szCs w:val="24"/>
        </w:rPr>
      </w:pPr>
      <w:hyperlink r:id="rId8" w:history="1">
        <w:r w:rsidRPr="000B4712" w:rsidR="000B4712">
          <w:rPr>
            <w:rStyle w:val="Hyperlink"/>
            <w:rFonts w:cs="Times New Roman"/>
            <w:szCs w:val="24"/>
          </w:rPr>
          <w:t>angela.obrien@occ.ohio.gov</w:t>
        </w:r>
      </w:hyperlink>
    </w:p>
    <w:p w:rsidR="000B4712" w:rsidRPr="000B4712" w:rsidP="007F56FC" w14:paraId="0BC5F36D" w14:textId="077428EC">
      <w:pPr>
        <w:ind w:left="3600"/>
        <w:rPr>
          <w:rFonts w:cs="Times New Roman"/>
          <w:szCs w:val="24"/>
        </w:rPr>
      </w:pPr>
      <w:hyperlink r:id="rId9" w:history="1">
        <w:r w:rsidRPr="000B4712" w:rsidR="003B276F">
          <w:rPr>
            <w:rStyle w:val="Hyperlink"/>
            <w:rFonts w:cs="Times New Roman"/>
            <w:szCs w:val="24"/>
          </w:rPr>
          <w:t>amy.botschner.obrien@occ.ohio.gov</w:t>
        </w:r>
      </w:hyperlink>
    </w:p>
    <w:p w:rsidR="007F56FC" w:rsidRPr="000B4712" w:rsidP="007F56FC" w14:paraId="5C119415" w14:textId="28642B88">
      <w:pPr>
        <w:ind w:left="3600"/>
        <w:rPr>
          <w:rFonts w:cs="Times New Roman"/>
          <w:szCs w:val="24"/>
        </w:rPr>
      </w:pPr>
      <w:hyperlink r:id="rId10" w:history="1">
        <w:r w:rsidRPr="000B4712" w:rsidR="000B4712">
          <w:rPr>
            <w:rStyle w:val="Hyperlink"/>
            <w:rFonts w:cs="Times New Roman"/>
            <w:szCs w:val="24"/>
          </w:rPr>
          <w:t>christopher.healey@occ.ohio.gov</w:t>
        </w:r>
      </w:hyperlink>
    </w:p>
    <w:p w:rsidR="007F56FC" w:rsidRPr="000B4712" w:rsidP="007F56FC" w14:paraId="296ADB4C" w14:textId="77777777">
      <w:pPr>
        <w:autoSpaceDE w:val="0"/>
        <w:autoSpaceDN w:val="0"/>
        <w:adjustRightInd w:val="0"/>
        <w:spacing w:line="480" w:lineRule="auto"/>
        <w:ind w:left="3600"/>
        <w:rPr>
          <w:rFonts w:cs="Times New Roman"/>
          <w:szCs w:val="24"/>
        </w:rPr>
      </w:pPr>
      <w:r w:rsidRPr="000B4712">
        <w:rPr>
          <w:rFonts w:cs="Times New Roman"/>
          <w:szCs w:val="24"/>
        </w:rPr>
        <w:t>(willing to accept service by e-mail)</w:t>
      </w:r>
    </w:p>
    <w:p w:rsidR="007F56FC" w:rsidRPr="000B4712" w:rsidP="007F56FC" w14:paraId="036BBB25" w14:textId="77777777">
      <w:pPr>
        <w:autoSpaceDE w:val="0"/>
        <w:autoSpaceDN w:val="0"/>
        <w:adjustRightInd w:val="0"/>
        <w:spacing w:line="480" w:lineRule="auto"/>
        <w:ind w:left="3600"/>
        <w:rPr>
          <w:rFonts w:cs="Times New Roman"/>
          <w:szCs w:val="24"/>
        </w:rPr>
      </w:pPr>
    </w:p>
    <w:p w:rsidR="007F56FC" w:rsidRPr="000B4712" w:rsidP="007F56FC" w14:paraId="1604E45B" w14:textId="77777777">
      <w:pPr>
        <w:spacing w:line="480" w:lineRule="auto"/>
        <w:ind w:firstLine="720"/>
        <w:rPr>
          <w:rFonts w:cs="Times New Roman"/>
          <w:szCs w:val="24"/>
        </w:rPr>
      </w:pPr>
    </w:p>
    <w:p w:rsidR="00C672A2" w:rsidRPr="000B4712" w14:paraId="1C469585" w14:textId="5AE2CACF">
      <w:pPr>
        <w:rPr>
          <w:rFonts w:cs="Times New Roman"/>
          <w:szCs w:val="24"/>
        </w:rPr>
      </w:pPr>
    </w:p>
    <w:p w:rsidR="000B4712" w:rsidRPr="000B4712" w14:paraId="4F26B7A9" w14:textId="77777777">
      <w:pPr>
        <w:rPr>
          <w:rFonts w:cs="Times New Roman"/>
          <w:szCs w:val="24"/>
        </w:rPr>
        <w:sectPr w:rsidSect="00BD1B34">
          <w:footerReference w:type="default" r:id="rId11"/>
          <w:pgSz w:w="12240" w:h="15840"/>
          <w:pgMar w:top="1440" w:right="1440" w:bottom="1440" w:left="1440" w:header="720" w:footer="720" w:gutter="0"/>
          <w:cols w:space="720"/>
          <w:docGrid w:linePitch="360"/>
        </w:sectPr>
      </w:pPr>
    </w:p>
    <w:p w:rsidR="000B4712" w:rsidRPr="000B4712" w:rsidP="000B4712" w14:paraId="0D9B7E47" w14:textId="77777777">
      <w:pPr>
        <w:pStyle w:val="DirectAnswer"/>
        <w:numPr>
          <w:ilvl w:val="0"/>
          <w:numId w:val="0"/>
        </w:numPr>
        <w:jc w:val="center"/>
        <w:rPr>
          <w:rFonts w:cs="Times New Roman"/>
          <w:b/>
          <w:bCs w:val="0"/>
          <w:szCs w:val="24"/>
          <w:u w:val="single"/>
        </w:rPr>
      </w:pPr>
      <w:r w:rsidRPr="000B4712">
        <w:rPr>
          <w:rFonts w:cs="Times New Roman"/>
          <w:b/>
          <w:bCs w:val="0"/>
          <w:szCs w:val="24"/>
          <w:u w:val="single"/>
        </w:rPr>
        <w:t>CERTIFICATE OF SERVICE</w:t>
      </w:r>
    </w:p>
    <w:p w:rsidR="000B4712" w:rsidRPr="000B4712" w:rsidP="000B4712" w14:paraId="21480EF6" w14:textId="03B3D72C">
      <w:pPr>
        <w:pStyle w:val="DirectAnswer"/>
        <w:numPr>
          <w:ilvl w:val="0"/>
          <w:numId w:val="0"/>
        </w:numPr>
        <w:ind w:firstLine="720"/>
        <w:rPr>
          <w:rFonts w:cs="Times New Roman"/>
          <w:szCs w:val="24"/>
        </w:rPr>
      </w:pPr>
      <w:r w:rsidRPr="000B4712">
        <w:rPr>
          <w:rFonts w:cs="Times New Roman"/>
          <w:szCs w:val="24"/>
        </w:rPr>
        <w:t xml:space="preserve">I hereby certify that a true copy of the foregoing </w:t>
      </w:r>
      <w:r w:rsidRPr="000B4712">
        <w:rPr>
          <w:rFonts w:cs="Times New Roman"/>
          <w:i/>
          <w:szCs w:val="24"/>
        </w:rPr>
        <w:t xml:space="preserve">Memorandum Contra </w:t>
      </w:r>
      <w:r w:rsidRPr="000B4712">
        <w:rPr>
          <w:rFonts w:cs="Times New Roman"/>
          <w:szCs w:val="24"/>
        </w:rPr>
        <w:t>was served via electronic transmission to the persons listed below on this 26th day of July 2021.</w:t>
      </w:r>
    </w:p>
    <w:p w:rsidR="000B4712" w:rsidRPr="000B4712" w:rsidP="000B4712" w14:paraId="6472AA70" w14:textId="77777777">
      <w:pPr>
        <w:pStyle w:val="DirectAnswer"/>
        <w:numPr>
          <w:ilvl w:val="0"/>
          <w:numId w:val="0"/>
        </w:numPr>
        <w:spacing w:line="240" w:lineRule="auto"/>
        <w:ind w:left="4320"/>
        <w:rPr>
          <w:rFonts w:cs="Times New Roman"/>
          <w:szCs w:val="24"/>
          <w:u w:val="single"/>
        </w:rPr>
      </w:pPr>
      <w:r w:rsidRPr="000B4712">
        <w:rPr>
          <w:rFonts w:cs="Times New Roman"/>
          <w:szCs w:val="24"/>
        </w:rPr>
        <w:tab/>
      </w:r>
      <w:r w:rsidRPr="000B4712">
        <w:rPr>
          <w:rFonts w:cs="Times New Roman"/>
          <w:szCs w:val="24"/>
          <w:u w:val="single"/>
        </w:rPr>
        <w:t>/s/ Christopher Healey</w:t>
      </w:r>
      <w:r w:rsidRPr="000B4712">
        <w:rPr>
          <w:rFonts w:cs="Times New Roman"/>
          <w:szCs w:val="24"/>
          <w:u w:val="single"/>
        </w:rPr>
        <w:tab/>
      </w:r>
    </w:p>
    <w:p w:rsidR="000B4712" w:rsidRPr="000B4712" w:rsidP="000B4712" w14:paraId="1E0177EF" w14:textId="77777777">
      <w:pPr>
        <w:pStyle w:val="DirectAnswer"/>
        <w:numPr>
          <w:ilvl w:val="0"/>
          <w:numId w:val="0"/>
        </w:numPr>
        <w:spacing w:line="240" w:lineRule="auto"/>
        <w:ind w:left="4320"/>
        <w:rPr>
          <w:rFonts w:cs="Times New Roman"/>
          <w:szCs w:val="24"/>
        </w:rPr>
      </w:pPr>
      <w:r w:rsidRPr="000B4712">
        <w:rPr>
          <w:rFonts w:cs="Times New Roman"/>
          <w:szCs w:val="24"/>
        </w:rPr>
        <w:tab/>
        <w:t>Christopher Healey (0086027)</w:t>
      </w:r>
    </w:p>
    <w:p w:rsidR="000B4712" w:rsidRPr="000B4712" w:rsidP="000B4712" w14:paraId="3962DF38" w14:textId="77777777">
      <w:pPr>
        <w:pStyle w:val="DirectAnswer"/>
        <w:numPr>
          <w:ilvl w:val="0"/>
          <w:numId w:val="0"/>
        </w:numPr>
        <w:spacing w:line="240" w:lineRule="auto"/>
        <w:ind w:left="4320"/>
        <w:rPr>
          <w:rFonts w:cs="Times New Roman"/>
          <w:szCs w:val="24"/>
        </w:rPr>
      </w:pPr>
      <w:r w:rsidRPr="000B4712">
        <w:rPr>
          <w:rFonts w:cs="Times New Roman"/>
          <w:szCs w:val="24"/>
        </w:rPr>
        <w:tab/>
        <w:t>Assistant Consumers’ Counsel</w:t>
      </w:r>
    </w:p>
    <w:p w:rsidR="000B4712" w:rsidRPr="000B4712" w:rsidP="000B4712" w14:paraId="211A478E" w14:textId="77777777">
      <w:pPr>
        <w:pStyle w:val="DirectAnswer"/>
        <w:numPr>
          <w:ilvl w:val="0"/>
          <w:numId w:val="0"/>
        </w:numPr>
        <w:spacing w:line="240" w:lineRule="auto"/>
        <w:rPr>
          <w:rFonts w:cs="Times New Roman"/>
          <w:szCs w:val="24"/>
        </w:rPr>
      </w:pPr>
    </w:p>
    <w:p w:rsidR="000B4712" w:rsidRPr="000B4712" w:rsidP="000B4712" w14:paraId="0837CEC2" w14:textId="77777777">
      <w:pPr>
        <w:pStyle w:val="DirectAnswer"/>
        <w:numPr>
          <w:ilvl w:val="0"/>
          <w:numId w:val="0"/>
        </w:numPr>
        <w:spacing w:line="240" w:lineRule="auto"/>
        <w:rPr>
          <w:rFonts w:cs="Times New Roman"/>
          <w:szCs w:val="24"/>
        </w:rPr>
      </w:pPr>
      <w:r w:rsidRPr="000B4712">
        <w:rPr>
          <w:rFonts w:cs="Times New Roman"/>
          <w:szCs w:val="24"/>
        </w:rPr>
        <w:t>The PUCO’s e-filing system will electronically serve notice of the filing of this document on the following parties:</w:t>
      </w:r>
    </w:p>
    <w:p w:rsidR="000B4712" w:rsidRPr="000B4712" w:rsidP="000B4712" w14:paraId="6003967B" w14:textId="77777777">
      <w:pPr>
        <w:pStyle w:val="DirectAnswer"/>
        <w:numPr>
          <w:ilvl w:val="0"/>
          <w:numId w:val="0"/>
        </w:numPr>
        <w:jc w:val="center"/>
        <w:rPr>
          <w:rFonts w:cs="Times New Roman"/>
          <w:b/>
          <w:bCs w:val="0"/>
          <w:szCs w:val="24"/>
          <w:u w:val="single"/>
        </w:rPr>
      </w:pPr>
      <w:r w:rsidRPr="000B4712">
        <w:rPr>
          <w:rFonts w:cs="Times New Roman"/>
          <w:b/>
          <w:bCs w:val="0"/>
          <w:szCs w:val="24"/>
          <w:u w:val="single"/>
        </w:rPr>
        <w:t>SERVICE LIST</w:t>
      </w:r>
    </w:p>
    <w:tbl>
      <w:tblPr>
        <w:tblW w:w="0" w:type="auto"/>
        <w:tblLook w:val="04A0"/>
      </w:tblPr>
      <w:tblGrid>
        <w:gridCol w:w="4428"/>
        <w:gridCol w:w="4428"/>
      </w:tblGrid>
      <w:tr w14:paraId="74B40314" w14:textId="77777777" w:rsidTr="00CB7096">
        <w:tblPrEx>
          <w:tblW w:w="0" w:type="auto"/>
          <w:tblLook w:val="04A0"/>
        </w:tblPrEx>
        <w:tc>
          <w:tcPr>
            <w:tcW w:w="4428" w:type="dxa"/>
            <w:shd w:val="clear" w:color="auto" w:fill="auto"/>
          </w:tcPr>
          <w:p w:rsidR="000B4712" w:rsidRPr="000B4712" w:rsidP="00CB7096" w14:paraId="04B0DAC2" w14:textId="77777777">
            <w:pPr>
              <w:pStyle w:val="CommentText"/>
              <w:suppressLineNumbers/>
              <w:rPr>
                <w:rFonts w:cs="Times New Roman"/>
                <w:sz w:val="24"/>
                <w:szCs w:val="24"/>
              </w:rPr>
            </w:pPr>
            <w:hyperlink r:id="rId12" w:history="1">
              <w:r w:rsidRPr="000B4712" w:rsidR="003B276F">
                <w:rPr>
                  <w:rStyle w:val="Hyperlink"/>
                  <w:rFonts w:cs="Times New Roman"/>
                  <w:sz w:val="24"/>
                  <w:szCs w:val="24"/>
                </w:rPr>
                <w:t>Werner.margard@OhioAGO.gov</w:t>
              </w:r>
            </w:hyperlink>
          </w:p>
          <w:p w:rsidR="000B4712" w:rsidRPr="000B4712" w:rsidP="00CB7096" w14:paraId="0FC4F170" w14:textId="77777777">
            <w:pPr>
              <w:pStyle w:val="CommentText"/>
              <w:suppressLineNumbers/>
              <w:rPr>
                <w:rStyle w:val="Hyperlink"/>
                <w:rFonts w:cs="Times New Roman"/>
                <w:sz w:val="24"/>
                <w:szCs w:val="24"/>
              </w:rPr>
            </w:pPr>
            <w:hyperlink r:id="rId13" w:history="1">
              <w:r w:rsidRPr="000B4712" w:rsidR="003B276F">
                <w:rPr>
                  <w:rStyle w:val="Hyperlink"/>
                  <w:rFonts w:cs="Times New Roman"/>
                  <w:sz w:val="24"/>
                  <w:szCs w:val="24"/>
                </w:rPr>
                <w:t>Kyle.kern@OhioAGO.gov</w:t>
              </w:r>
            </w:hyperlink>
          </w:p>
          <w:p w:rsidR="000B4712" w:rsidRPr="000B4712" w:rsidP="00CB7096" w14:paraId="116F0891" w14:textId="77777777">
            <w:pPr>
              <w:pStyle w:val="CommentText"/>
              <w:suppressLineNumbers/>
              <w:rPr>
                <w:rFonts w:cs="Times New Roman"/>
                <w:sz w:val="24"/>
                <w:szCs w:val="24"/>
              </w:rPr>
            </w:pPr>
            <w:hyperlink r:id="rId14" w:history="1">
              <w:r w:rsidRPr="000B4712" w:rsidR="003B276F">
                <w:rPr>
                  <w:rStyle w:val="Hyperlink"/>
                  <w:rFonts w:cs="Times New Roman"/>
                  <w:sz w:val="24"/>
                  <w:szCs w:val="24"/>
                </w:rPr>
                <w:t>mkurtz@BKLlawfirm.com</w:t>
              </w:r>
            </w:hyperlink>
          </w:p>
          <w:p w:rsidR="000B4712" w:rsidRPr="000B4712" w:rsidP="00CB7096" w14:paraId="6BA862F6" w14:textId="77777777">
            <w:pPr>
              <w:pStyle w:val="CommentText"/>
              <w:suppressLineNumbers/>
              <w:rPr>
                <w:rFonts w:cs="Times New Roman"/>
                <w:sz w:val="24"/>
                <w:szCs w:val="24"/>
              </w:rPr>
            </w:pPr>
            <w:hyperlink r:id="rId15" w:history="1">
              <w:r w:rsidRPr="000B4712" w:rsidR="003B276F">
                <w:rPr>
                  <w:rStyle w:val="Hyperlink"/>
                  <w:rFonts w:cs="Times New Roman"/>
                  <w:sz w:val="24"/>
                  <w:szCs w:val="24"/>
                </w:rPr>
                <w:t>Kboehm@BKLlawfirm.com</w:t>
              </w:r>
            </w:hyperlink>
          </w:p>
          <w:p w:rsidR="000B4712" w:rsidRPr="000B4712" w:rsidP="00CB7096" w14:paraId="35E971BA" w14:textId="77777777">
            <w:pPr>
              <w:pStyle w:val="CommentText"/>
              <w:suppressLineNumbers/>
              <w:rPr>
                <w:rStyle w:val="Hyperlink"/>
                <w:rFonts w:cs="Times New Roman"/>
                <w:sz w:val="24"/>
                <w:szCs w:val="24"/>
              </w:rPr>
            </w:pPr>
            <w:hyperlink r:id="rId16" w:history="1">
              <w:r w:rsidRPr="000B4712" w:rsidR="003B276F">
                <w:rPr>
                  <w:rStyle w:val="Hyperlink"/>
                  <w:rFonts w:cs="Times New Roman"/>
                  <w:sz w:val="24"/>
                  <w:szCs w:val="24"/>
                </w:rPr>
                <w:t>jkylercohn@BKLlawfirm.com</w:t>
              </w:r>
            </w:hyperlink>
          </w:p>
          <w:p w:rsidR="000B4712" w:rsidRPr="000B4712" w:rsidP="00CB7096" w14:paraId="57BCB7DF" w14:textId="77777777">
            <w:pPr>
              <w:suppressLineNumbers/>
              <w:autoSpaceDE w:val="0"/>
              <w:autoSpaceDN w:val="0"/>
              <w:adjustRightInd w:val="0"/>
              <w:rPr>
                <w:rFonts w:cs="Times New Roman"/>
                <w:color w:val="0000FF"/>
                <w:szCs w:val="24"/>
              </w:rPr>
            </w:pPr>
            <w:hyperlink r:id="rId17" w:history="1">
              <w:r w:rsidRPr="000B4712" w:rsidR="003B276F">
                <w:rPr>
                  <w:rStyle w:val="Hyperlink"/>
                  <w:rFonts w:cs="Times New Roman"/>
                  <w:szCs w:val="24"/>
                </w:rPr>
                <w:t>mpritchard@mcneeslaw.com</w:t>
              </w:r>
            </w:hyperlink>
          </w:p>
          <w:p w:rsidR="000B4712" w:rsidRPr="000B4712" w:rsidP="00CB7096" w14:paraId="7DE6D4E7" w14:textId="77777777">
            <w:pPr>
              <w:suppressLineNumbers/>
              <w:autoSpaceDE w:val="0"/>
              <w:autoSpaceDN w:val="0"/>
              <w:adjustRightInd w:val="0"/>
              <w:rPr>
                <w:rFonts w:cs="Times New Roman"/>
                <w:color w:val="0000FF"/>
                <w:szCs w:val="24"/>
              </w:rPr>
            </w:pPr>
            <w:hyperlink r:id="rId18" w:history="1">
              <w:r w:rsidRPr="000B4712" w:rsidR="003B276F">
                <w:rPr>
                  <w:rStyle w:val="Hyperlink"/>
                  <w:rFonts w:cs="Times New Roman"/>
                  <w:szCs w:val="24"/>
                </w:rPr>
                <w:t>rglover@mcneeslaw.com</w:t>
              </w:r>
            </w:hyperlink>
          </w:p>
          <w:p w:rsidR="000B4712" w:rsidRPr="000B4712" w:rsidP="00CB7096" w14:paraId="1B829B87" w14:textId="77777777">
            <w:pPr>
              <w:suppressLineNumbers/>
              <w:autoSpaceDE w:val="0"/>
              <w:autoSpaceDN w:val="0"/>
              <w:adjustRightInd w:val="0"/>
              <w:rPr>
                <w:rFonts w:cs="Times New Roman"/>
                <w:color w:val="0000FF"/>
                <w:szCs w:val="24"/>
              </w:rPr>
            </w:pPr>
            <w:hyperlink r:id="rId19" w:history="1">
              <w:r w:rsidRPr="000B4712" w:rsidR="003B276F">
                <w:rPr>
                  <w:rStyle w:val="Hyperlink"/>
                  <w:rFonts w:cs="Times New Roman"/>
                  <w:szCs w:val="24"/>
                </w:rPr>
                <w:t>bethany.allen@igs.com</w:t>
              </w:r>
            </w:hyperlink>
          </w:p>
          <w:p w:rsidR="000B4712" w:rsidRPr="000B4712" w:rsidP="00CB7096" w14:paraId="7C955C63" w14:textId="77777777">
            <w:pPr>
              <w:suppressLineNumbers/>
              <w:autoSpaceDE w:val="0"/>
              <w:autoSpaceDN w:val="0"/>
              <w:adjustRightInd w:val="0"/>
              <w:rPr>
                <w:rFonts w:cs="Times New Roman"/>
                <w:color w:val="0000FF"/>
                <w:szCs w:val="24"/>
              </w:rPr>
            </w:pPr>
            <w:hyperlink r:id="rId20" w:history="1">
              <w:r w:rsidRPr="000B4712" w:rsidR="003B276F">
                <w:rPr>
                  <w:rStyle w:val="Hyperlink"/>
                  <w:rFonts w:cs="Times New Roman"/>
                  <w:szCs w:val="24"/>
                </w:rPr>
                <w:t>joe.oliker@igs.com</w:t>
              </w:r>
            </w:hyperlink>
          </w:p>
          <w:p w:rsidR="000B4712" w:rsidRPr="000B4712" w:rsidP="00CB7096" w14:paraId="090633B6" w14:textId="77777777">
            <w:pPr>
              <w:pStyle w:val="CommentText"/>
              <w:suppressLineNumbers/>
              <w:rPr>
                <w:rStyle w:val="Hyperlink"/>
                <w:rFonts w:cs="Times New Roman"/>
                <w:sz w:val="24"/>
                <w:szCs w:val="24"/>
              </w:rPr>
            </w:pPr>
            <w:hyperlink r:id="rId21" w:history="1">
              <w:r w:rsidRPr="000B4712" w:rsidR="003B276F">
                <w:rPr>
                  <w:rStyle w:val="Hyperlink"/>
                  <w:rFonts w:cs="Times New Roman"/>
                  <w:sz w:val="24"/>
                  <w:szCs w:val="24"/>
                </w:rPr>
                <w:t>michael.nugent@igs.com</w:t>
              </w:r>
            </w:hyperlink>
          </w:p>
          <w:p w:rsidR="000B4712" w:rsidRPr="000B4712" w:rsidP="00CB7096" w14:paraId="4DFA7667" w14:textId="77777777">
            <w:pPr>
              <w:pStyle w:val="CommentText"/>
              <w:suppressLineNumbers/>
              <w:rPr>
                <w:rStyle w:val="Hyperlink"/>
                <w:rFonts w:cs="Times New Roman"/>
                <w:sz w:val="24"/>
                <w:szCs w:val="24"/>
              </w:rPr>
            </w:pPr>
          </w:p>
          <w:p w:rsidR="000B4712" w:rsidRPr="000B4712" w:rsidP="00CB7096" w14:paraId="1C9D2A7B" w14:textId="77777777">
            <w:pPr>
              <w:pStyle w:val="BodyText"/>
              <w:suppressLineNumbers/>
              <w:suppressAutoHyphens/>
              <w:spacing w:after="0"/>
              <w:rPr>
                <w:rFonts w:cs="Times New Roman"/>
                <w:szCs w:val="24"/>
                <w:lang w:eastAsia="ar-SA"/>
              </w:rPr>
            </w:pPr>
            <w:r w:rsidRPr="000B4712">
              <w:rPr>
                <w:rFonts w:cs="Times New Roman"/>
                <w:szCs w:val="24"/>
                <w:lang w:eastAsia="ar-SA"/>
              </w:rPr>
              <w:t>Attorney Examiners:</w:t>
            </w:r>
          </w:p>
          <w:p w:rsidR="000B4712" w:rsidRPr="000B4712" w:rsidP="00CB7096" w14:paraId="54737B16" w14:textId="77777777">
            <w:pPr>
              <w:pStyle w:val="BodyText"/>
              <w:suppressLineNumbers/>
              <w:suppressAutoHyphens/>
              <w:spacing w:after="0"/>
              <w:rPr>
                <w:rFonts w:cs="Times New Roman"/>
                <w:szCs w:val="24"/>
                <w:lang w:eastAsia="ar-SA"/>
              </w:rPr>
            </w:pPr>
            <w:hyperlink r:id="rId22" w:history="1">
              <w:r w:rsidRPr="000B4712" w:rsidR="003B276F">
                <w:rPr>
                  <w:rStyle w:val="Hyperlink"/>
                  <w:rFonts w:cs="Times New Roman"/>
                  <w:szCs w:val="24"/>
                  <w:lang w:eastAsia="ar-SA"/>
                </w:rPr>
                <w:t>Megan.adddison@puco.ohio.gov</w:t>
              </w:r>
            </w:hyperlink>
          </w:p>
          <w:p w:rsidR="000B4712" w:rsidRPr="000B4712" w:rsidP="00CB7096" w14:paraId="6D45E2FD" w14:textId="77777777">
            <w:pPr>
              <w:pStyle w:val="BodyText"/>
              <w:suppressLineNumbers/>
              <w:suppressAutoHyphens/>
              <w:spacing w:after="0"/>
              <w:rPr>
                <w:rStyle w:val="Hyperlink"/>
                <w:rFonts w:cs="Times New Roman"/>
                <w:szCs w:val="24"/>
              </w:rPr>
            </w:pPr>
            <w:hyperlink r:id="rId23" w:history="1">
              <w:r w:rsidRPr="000B4712" w:rsidR="003B276F">
                <w:rPr>
                  <w:rStyle w:val="Hyperlink"/>
                  <w:rFonts w:cs="Times New Roman"/>
                  <w:szCs w:val="24"/>
                  <w:lang w:eastAsia="ar-SA"/>
                </w:rPr>
                <w:t>Gregory.price@puco.ohio.gov</w:t>
              </w:r>
            </w:hyperlink>
          </w:p>
          <w:p w:rsidR="000B4712" w:rsidRPr="000B4712" w:rsidP="00CB7096" w14:paraId="2D22089C" w14:textId="77777777">
            <w:pPr>
              <w:pStyle w:val="BodyText"/>
              <w:suppressLineNumbers/>
              <w:suppressAutoHyphens/>
              <w:spacing w:after="0"/>
              <w:rPr>
                <w:rStyle w:val="Hyperlink"/>
                <w:rFonts w:cs="Times New Roman"/>
                <w:szCs w:val="24"/>
              </w:rPr>
            </w:pPr>
            <w:hyperlink r:id="rId24" w:history="1">
              <w:r w:rsidRPr="000B4712" w:rsidR="003B276F">
                <w:rPr>
                  <w:rStyle w:val="Hyperlink"/>
                  <w:rFonts w:cs="Times New Roman"/>
                  <w:szCs w:val="24"/>
                </w:rPr>
                <w:t>Jacqueline.st.john@puco.ohio.gov</w:t>
              </w:r>
            </w:hyperlink>
          </w:p>
          <w:p w:rsidR="000B4712" w:rsidRPr="000B4712" w:rsidP="00CB7096" w14:paraId="0DB11687" w14:textId="77777777">
            <w:pPr>
              <w:pStyle w:val="CommentText"/>
              <w:suppressLineNumbers/>
              <w:rPr>
                <w:rFonts w:cs="Times New Roman"/>
                <w:color w:val="0000FF"/>
                <w:sz w:val="24"/>
                <w:szCs w:val="24"/>
              </w:rPr>
            </w:pPr>
          </w:p>
          <w:p w:rsidR="000B4712" w:rsidRPr="000B4712" w:rsidP="00CB7096" w14:paraId="5DB9E1F4" w14:textId="77777777">
            <w:pPr>
              <w:pStyle w:val="CommentText"/>
              <w:suppressLineNumbers/>
              <w:rPr>
                <w:rFonts w:cs="Times New Roman"/>
                <w:sz w:val="24"/>
                <w:szCs w:val="24"/>
              </w:rPr>
            </w:pPr>
          </w:p>
          <w:p w:rsidR="000B4712" w:rsidRPr="000B4712" w:rsidP="00CB7096" w14:paraId="3F1E2E39" w14:textId="77777777">
            <w:pPr>
              <w:suppressLineNumbers/>
              <w:autoSpaceDE w:val="0"/>
              <w:autoSpaceDN w:val="0"/>
              <w:adjustRightInd w:val="0"/>
              <w:rPr>
                <w:rFonts w:cs="Times New Roman"/>
                <w:color w:val="0000FF"/>
                <w:szCs w:val="24"/>
              </w:rPr>
            </w:pPr>
          </w:p>
          <w:p w:rsidR="000B4712" w:rsidRPr="000B4712" w:rsidP="00CB7096" w14:paraId="03E01FB8" w14:textId="77777777">
            <w:pPr>
              <w:pStyle w:val="CommentText"/>
              <w:suppressLineNumbers/>
              <w:rPr>
                <w:rFonts w:cs="Times New Roman"/>
                <w:sz w:val="24"/>
                <w:szCs w:val="24"/>
              </w:rPr>
            </w:pPr>
          </w:p>
        </w:tc>
        <w:tc>
          <w:tcPr>
            <w:tcW w:w="4428" w:type="dxa"/>
            <w:shd w:val="clear" w:color="auto" w:fill="auto"/>
          </w:tcPr>
          <w:p w:rsidR="000B4712" w:rsidRPr="000B4712" w:rsidP="00CB7096" w14:paraId="482D959C" w14:textId="77777777">
            <w:pPr>
              <w:suppressLineNumbers/>
              <w:autoSpaceDE w:val="0"/>
              <w:autoSpaceDN w:val="0"/>
              <w:adjustRightInd w:val="0"/>
              <w:ind w:left="516"/>
              <w:rPr>
                <w:rFonts w:cs="Times New Roman"/>
                <w:szCs w:val="24"/>
              </w:rPr>
            </w:pPr>
            <w:hyperlink r:id="rId25" w:history="1">
              <w:r w:rsidRPr="000B4712" w:rsidR="003B276F">
                <w:rPr>
                  <w:rStyle w:val="Hyperlink"/>
                  <w:rFonts w:cs="Times New Roman"/>
                  <w:szCs w:val="24"/>
                </w:rPr>
                <w:t>bknipe@firstenergycorp.com</w:t>
              </w:r>
            </w:hyperlink>
          </w:p>
          <w:p w:rsidR="000B4712" w:rsidRPr="000B4712" w:rsidP="00CB7096" w14:paraId="17D14B41" w14:textId="77777777">
            <w:pPr>
              <w:suppressLineNumbers/>
              <w:autoSpaceDE w:val="0"/>
              <w:autoSpaceDN w:val="0"/>
              <w:adjustRightInd w:val="0"/>
              <w:ind w:left="504"/>
              <w:rPr>
                <w:rFonts w:cs="Times New Roman"/>
                <w:szCs w:val="24"/>
              </w:rPr>
            </w:pPr>
            <w:hyperlink r:id="rId26" w:history="1">
              <w:r w:rsidRPr="000B4712" w:rsidR="003B276F">
                <w:rPr>
                  <w:rStyle w:val="Hyperlink"/>
                  <w:rFonts w:cs="Times New Roman"/>
                  <w:szCs w:val="24"/>
                </w:rPr>
                <w:t>mrgladman@jonesday.com</w:t>
              </w:r>
            </w:hyperlink>
          </w:p>
          <w:p w:rsidR="000B4712" w:rsidRPr="000B4712" w:rsidP="00CB7096" w14:paraId="5340BE53" w14:textId="77777777">
            <w:pPr>
              <w:suppressLineNumbers/>
              <w:autoSpaceDE w:val="0"/>
              <w:autoSpaceDN w:val="0"/>
              <w:adjustRightInd w:val="0"/>
              <w:ind w:left="504"/>
              <w:rPr>
                <w:rFonts w:cs="Times New Roman"/>
                <w:szCs w:val="24"/>
              </w:rPr>
            </w:pPr>
            <w:hyperlink r:id="rId27" w:history="1">
              <w:r w:rsidRPr="000B4712" w:rsidR="003B276F">
                <w:rPr>
                  <w:rStyle w:val="Hyperlink"/>
                  <w:rFonts w:cs="Times New Roman"/>
                  <w:szCs w:val="24"/>
                </w:rPr>
                <w:t>mdengler@jonesday.com</w:t>
              </w:r>
            </w:hyperlink>
          </w:p>
          <w:p w:rsidR="000B4712" w:rsidRPr="000B4712" w:rsidP="00CB7096" w14:paraId="75D25B74" w14:textId="77777777">
            <w:pPr>
              <w:suppressLineNumbers/>
              <w:ind w:left="504"/>
              <w:rPr>
                <w:rFonts w:cs="Times New Roman"/>
                <w:szCs w:val="24"/>
              </w:rPr>
            </w:pPr>
            <w:hyperlink r:id="rId28" w:history="1">
              <w:r w:rsidRPr="000B4712" w:rsidR="003B276F">
                <w:rPr>
                  <w:rStyle w:val="Hyperlink"/>
                  <w:rFonts w:cs="Times New Roman"/>
                  <w:szCs w:val="24"/>
                </w:rPr>
                <w:t>radoringo@jonesday.com</w:t>
              </w:r>
            </w:hyperlink>
          </w:p>
          <w:p w:rsidR="000B4712" w:rsidRPr="000B4712" w:rsidP="00CB7096" w14:paraId="220B6129" w14:textId="77777777">
            <w:pPr>
              <w:suppressLineNumbers/>
              <w:autoSpaceDE w:val="0"/>
              <w:autoSpaceDN w:val="0"/>
              <w:adjustRightInd w:val="0"/>
              <w:ind w:left="516"/>
              <w:rPr>
                <w:rFonts w:cs="Times New Roman"/>
                <w:color w:val="0000FF"/>
                <w:szCs w:val="24"/>
              </w:rPr>
            </w:pPr>
            <w:hyperlink r:id="rId29" w:history="1">
              <w:r w:rsidRPr="000B4712" w:rsidR="003B276F">
                <w:rPr>
                  <w:rStyle w:val="Hyperlink"/>
                  <w:rFonts w:cs="Times New Roman"/>
                  <w:szCs w:val="24"/>
                </w:rPr>
                <w:t>gkrassen@bricker.com</w:t>
              </w:r>
            </w:hyperlink>
          </w:p>
          <w:p w:rsidR="000B4712" w:rsidRPr="000B4712" w:rsidP="00CB7096" w14:paraId="299B2AA7" w14:textId="77777777">
            <w:pPr>
              <w:suppressLineNumbers/>
              <w:autoSpaceDE w:val="0"/>
              <w:autoSpaceDN w:val="0"/>
              <w:adjustRightInd w:val="0"/>
              <w:ind w:left="516"/>
              <w:rPr>
                <w:rFonts w:cs="Times New Roman"/>
                <w:color w:val="0000FF"/>
                <w:szCs w:val="24"/>
              </w:rPr>
            </w:pPr>
            <w:hyperlink r:id="rId30" w:history="1">
              <w:r w:rsidRPr="000B4712" w:rsidR="003B276F">
                <w:rPr>
                  <w:rStyle w:val="Hyperlink"/>
                  <w:rFonts w:cs="Times New Roman"/>
                  <w:szCs w:val="24"/>
                </w:rPr>
                <w:t>dstinson@bricker.com</w:t>
              </w:r>
            </w:hyperlink>
          </w:p>
          <w:p w:rsidR="000B4712" w:rsidRPr="000B4712" w:rsidP="00CB7096" w14:paraId="40C00A75" w14:textId="77777777">
            <w:pPr>
              <w:suppressLineNumbers/>
              <w:autoSpaceDE w:val="0"/>
              <w:autoSpaceDN w:val="0"/>
              <w:adjustRightInd w:val="0"/>
              <w:ind w:left="516"/>
              <w:rPr>
                <w:rFonts w:cs="Times New Roman"/>
                <w:color w:val="0000FF"/>
                <w:szCs w:val="24"/>
              </w:rPr>
            </w:pPr>
            <w:hyperlink r:id="rId31" w:history="1">
              <w:r w:rsidRPr="000B4712" w:rsidR="003B276F">
                <w:rPr>
                  <w:rStyle w:val="Hyperlink"/>
                  <w:rFonts w:cs="Times New Roman"/>
                  <w:szCs w:val="24"/>
                </w:rPr>
                <w:t>paul@carpenterlipps.com</w:t>
              </w:r>
            </w:hyperlink>
          </w:p>
          <w:p w:rsidR="000B4712" w:rsidRPr="000B4712" w:rsidP="00CB7096" w14:paraId="225DF06A" w14:textId="77777777">
            <w:pPr>
              <w:suppressLineNumbers/>
              <w:autoSpaceDE w:val="0"/>
              <w:autoSpaceDN w:val="0"/>
              <w:adjustRightInd w:val="0"/>
              <w:ind w:left="516"/>
              <w:rPr>
                <w:rFonts w:cs="Times New Roman"/>
                <w:color w:val="0000FF"/>
                <w:szCs w:val="24"/>
              </w:rPr>
            </w:pPr>
            <w:hyperlink r:id="rId32" w:history="1">
              <w:r w:rsidRPr="000B4712" w:rsidR="003B276F">
                <w:rPr>
                  <w:rStyle w:val="Hyperlink"/>
                  <w:rFonts w:cs="Times New Roman"/>
                  <w:szCs w:val="24"/>
                </w:rPr>
                <w:t>bojko@carpenterlipps.com</w:t>
              </w:r>
            </w:hyperlink>
          </w:p>
          <w:p w:rsidR="000B4712" w:rsidRPr="000B4712" w:rsidP="00CB7096" w14:paraId="08DCD80C" w14:textId="77777777">
            <w:pPr>
              <w:suppressLineNumbers/>
              <w:autoSpaceDE w:val="0"/>
              <w:autoSpaceDN w:val="0"/>
              <w:adjustRightInd w:val="0"/>
              <w:ind w:left="516"/>
              <w:rPr>
                <w:rFonts w:cs="Times New Roman"/>
                <w:color w:val="0000FF"/>
                <w:szCs w:val="24"/>
              </w:rPr>
            </w:pPr>
            <w:hyperlink r:id="rId33" w:history="1">
              <w:r w:rsidRPr="000B4712" w:rsidR="003B276F">
                <w:rPr>
                  <w:rStyle w:val="Hyperlink"/>
                  <w:rFonts w:cs="Times New Roman"/>
                  <w:szCs w:val="24"/>
                </w:rPr>
                <w:t>mkl@smxblaw.com</w:t>
              </w:r>
            </w:hyperlink>
          </w:p>
          <w:p w:rsidR="000B4712" w:rsidRPr="000B4712" w:rsidP="00CB7096" w14:paraId="1B58E70E" w14:textId="77777777">
            <w:pPr>
              <w:suppressLineNumbers/>
              <w:autoSpaceDE w:val="0"/>
              <w:autoSpaceDN w:val="0"/>
              <w:adjustRightInd w:val="0"/>
              <w:ind w:left="516"/>
              <w:rPr>
                <w:rFonts w:cs="Times New Roman"/>
                <w:color w:val="0000FF"/>
                <w:szCs w:val="24"/>
              </w:rPr>
            </w:pPr>
            <w:hyperlink r:id="rId34" w:history="1">
              <w:r w:rsidRPr="000B4712" w:rsidR="003B276F">
                <w:rPr>
                  <w:rStyle w:val="Hyperlink"/>
                  <w:rFonts w:cs="Times New Roman"/>
                  <w:szCs w:val="24"/>
                </w:rPr>
                <w:t>jrb@smxblaw.com</w:t>
              </w:r>
            </w:hyperlink>
          </w:p>
          <w:p w:rsidR="000B4712" w:rsidRPr="000B4712" w:rsidP="00CB7096" w14:paraId="3CA4BB62" w14:textId="77777777">
            <w:pPr>
              <w:suppressLineNumbers/>
              <w:autoSpaceDE w:val="0"/>
              <w:autoSpaceDN w:val="0"/>
              <w:adjustRightInd w:val="0"/>
              <w:ind w:left="516"/>
              <w:rPr>
                <w:rFonts w:cs="Times New Roman"/>
                <w:color w:val="0000FF"/>
                <w:szCs w:val="24"/>
              </w:rPr>
            </w:pPr>
            <w:hyperlink r:id="rId35" w:history="1">
              <w:r w:rsidRPr="000B4712" w:rsidR="003B276F">
                <w:rPr>
                  <w:rStyle w:val="Hyperlink"/>
                  <w:rFonts w:cs="Times New Roman"/>
                  <w:szCs w:val="24"/>
                </w:rPr>
                <w:t>dborchers@bricker.com</w:t>
              </w:r>
            </w:hyperlink>
          </w:p>
          <w:p w:rsidR="000B4712" w:rsidRPr="000B4712" w:rsidP="00CB7096" w14:paraId="16B57A64" w14:textId="77777777">
            <w:pPr>
              <w:suppressLineNumbers/>
              <w:autoSpaceDE w:val="0"/>
              <w:autoSpaceDN w:val="0"/>
              <w:adjustRightInd w:val="0"/>
              <w:ind w:left="516"/>
              <w:rPr>
                <w:rFonts w:cs="Times New Roman"/>
                <w:color w:val="0000FF"/>
                <w:szCs w:val="24"/>
              </w:rPr>
            </w:pPr>
            <w:hyperlink r:id="rId36" w:history="1">
              <w:r w:rsidRPr="000B4712" w:rsidR="003B276F">
                <w:rPr>
                  <w:rStyle w:val="Hyperlink"/>
                  <w:rFonts w:cs="Times New Roman"/>
                  <w:szCs w:val="24"/>
                </w:rPr>
                <w:t>jspottswood@bricker.com</w:t>
              </w:r>
            </w:hyperlink>
          </w:p>
          <w:p w:rsidR="000B4712" w:rsidRPr="000B4712" w:rsidP="00CB7096" w14:paraId="4B25155C" w14:textId="77777777">
            <w:pPr>
              <w:suppressLineNumbers/>
              <w:autoSpaceDE w:val="0"/>
              <w:autoSpaceDN w:val="0"/>
              <w:adjustRightInd w:val="0"/>
              <w:ind w:left="516"/>
              <w:rPr>
                <w:rFonts w:cs="Times New Roman"/>
                <w:color w:val="0000FF"/>
                <w:szCs w:val="24"/>
              </w:rPr>
            </w:pPr>
          </w:p>
          <w:p w:rsidR="000B4712" w:rsidRPr="000B4712" w:rsidP="00CB7096" w14:paraId="68B14BC0" w14:textId="77777777">
            <w:pPr>
              <w:pStyle w:val="CommentText"/>
              <w:suppressLineNumbers/>
              <w:rPr>
                <w:rFonts w:cs="Times New Roman"/>
                <w:sz w:val="24"/>
                <w:szCs w:val="24"/>
              </w:rPr>
            </w:pPr>
          </w:p>
        </w:tc>
      </w:tr>
    </w:tbl>
    <w:p w:rsidR="000B4712" w:rsidRPr="000B4712" w:rsidP="000B4712" w14:paraId="38E6F98C" w14:textId="77777777">
      <w:pPr>
        <w:pStyle w:val="DirectAnswer"/>
        <w:numPr>
          <w:ilvl w:val="0"/>
          <w:numId w:val="0"/>
        </w:numPr>
        <w:rPr>
          <w:rFonts w:cs="Times New Roman"/>
          <w:szCs w:val="24"/>
        </w:rPr>
      </w:pPr>
    </w:p>
    <w:p w:rsidR="000B4712" w:rsidRPr="000B4712" w:rsidP="000B4712" w14:paraId="10003D43" w14:textId="77777777">
      <w:pPr>
        <w:pStyle w:val="DirectAnswer"/>
        <w:numPr>
          <w:ilvl w:val="0"/>
          <w:numId w:val="0"/>
        </w:numPr>
        <w:ind w:right="-90"/>
        <w:rPr>
          <w:rFonts w:cs="Times New Roman"/>
          <w:szCs w:val="24"/>
        </w:rPr>
      </w:pPr>
    </w:p>
    <w:p w:rsidR="00C672A2" w:rsidRPr="000B4712" w14:paraId="498B4994" w14:textId="57D98741">
      <w:pPr>
        <w:rPr>
          <w:rFonts w:cs="Times New Roman"/>
          <w:szCs w:val="24"/>
        </w:rPr>
      </w:pPr>
    </w:p>
    <w:sectPr w:rsidSect="003B0B8B">
      <w:headerReference w:type="default" r:id="rId37"/>
      <w:footerReference w:type="default" r:id="rId38"/>
      <w:pgSz w:w="12240" w:h="15840" w:code="1"/>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4712" w14:paraId="5ADE6E88" w14:textId="58F0B8FD">
    <w:pPr>
      <w:pStyle w:val="Footer"/>
      <w:jc w:val="center"/>
    </w:pPr>
  </w:p>
  <w:p w:rsidR="00450D99" w14:paraId="571EA5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5296561"/>
      <w:docPartObj>
        <w:docPartGallery w:val="Page Numbers (Bottom of Page)"/>
        <w:docPartUnique/>
      </w:docPartObj>
    </w:sdtPr>
    <w:sdtEndPr>
      <w:rPr>
        <w:noProof/>
      </w:rPr>
    </w:sdtEndPr>
    <w:sdtContent>
      <w:p w:rsidR="000B4712" w14:paraId="589D43E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4712" w14:paraId="24425AE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43159340"/>
      <w:docPartObj>
        <w:docPartGallery w:val="Page Numbers (Bottom of Page)"/>
        <w:docPartUnique/>
      </w:docPartObj>
    </w:sdtPr>
    <w:sdtEndPr>
      <w:rPr>
        <w:noProof/>
      </w:rPr>
    </w:sdtEndPr>
    <w:sdtContent>
      <w:p w:rsidR="00AF5473" w14:paraId="5ECF8283" w14:textId="77777777">
        <w:pPr>
          <w:pStyle w:val="Footer"/>
          <w:jc w:val="center"/>
        </w:pPr>
        <w:r>
          <w:t>1</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E1E08" w:rsidP="00A707C1" w14:paraId="6265AE44" w14:textId="77777777">
      <w:r>
        <w:separator/>
      </w:r>
    </w:p>
  </w:footnote>
  <w:footnote w:type="continuationSeparator" w:id="1">
    <w:p w:rsidR="00CE1E08" w:rsidP="00A707C1" w14:paraId="0555EE81" w14:textId="77777777">
      <w:r>
        <w:continuationSeparator/>
      </w:r>
    </w:p>
  </w:footnote>
  <w:footnote w:id="2">
    <w:p w:rsidR="00A46C73" w:rsidRPr="0053454A" w:rsidP="00E16E06" w14:paraId="2354B75E" w14:textId="639FF3E9">
      <w:pPr>
        <w:pStyle w:val="FootnoteText"/>
        <w:spacing w:after="120"/>
      </w:pPr>
      <w:r>
        <w:rPr>
          <w:rStyle w:val="FootnoteReference"/>
        </w:rPr>
        <w:footnoteRef/>
      </w:r>
      <w:r>
        <w:t xml:space="preserve"> </w:t>
      </w:r>
      <w:r w:rsidR="009A1567">
        <w:t>The federal charge and deferred prosecution agreement led to this front-page headline in the Sunday early print edition (on Saturday) of the July 24, 2021 Columbus Dispatch: “Feds: FirstEnergy Bribed Regulator.”</w:t>
      </w:r>
      <w:r w:rsidR="0053454A">
        <w:t xml:space="preserve"> </w:t>
      </w:r>
      <w:r w:rsidR="0053454A">
        <w:rPr>
          <w:i/>
          <w:iCs/>
        </w:rPr>
        <w:t>Available at</w:t>
      </w:r>
      <w:r w:rsidR="0053454A">
        <w:t xml:space="preserve"> </w:t>
      </w:r>
      <w:hyperlink r:id="rId1" w:history="1">
        <w:r w:rsidRPr="008405E4" w:rsidR="005C52B3">
          <w:rPr>
            <w:rStyle w:val="Hyperlink"/>
          </w:rPr>
          <w:t>https://www.pressreader.com/usa/the-columbus-dispatch/20210724</w:t>
        </w:r>
      </w:hyperlink>
      <w:r w:rsidR="0053454A">
        <w:t xml:space="preserve">. </w:t>
      </w:r>
    </w:p>
  </w:footnote>
  <w:footnote w:id="3">
    <w:p w:rsidR="007F56FC" w:rsidRPr="007F56FC" w:rsidP="00E16E06" w14:paraId="7BD6BE53" w14:textId="094D094D">
      <w:pPr>
        <w:pStyle w:val="FootnoteText"/>
        <w:spacing w:after="120"/>
      </w:pPr>
      <w:r>
        <w:rPr>
          <w:rStyle w:val="FootnoteReference"/>
        </w:rPr>
        <w:footnoteRef/>
      </w:r>
      <w:r>
        <w:t xml:space="preserve"> </w:t>
      </w:r>
      <w:r>
        <w:rPr>
          <w:i/>
          <w:iCs/>
        </w:rPr>
        <w:t>See</w:t>
      </w:r>
      <w:r w:rsidR="001A1436">
        <w:t xml:space="preserve"> Motion for 90 Day Extension of the Remaining Case Schedule </w:t>
      </w:r>
      <w:r>
        <w:t>(July 23, 2021).</w:t>
      </w:r>
    </w:p>
  </w:footnote>
  <w:footnote w:id="4">
    <w:p w:rsidR="00D8316F" w:rsidRPr="00D8316F" w:rsidP="00E16E06" w14:paraId="4AB5E855" w14:textId="6B4FCCEA">
      <w:pPr>
        <w:pStyle w:val="FootnoteText"/>
        <w:spacing w:after="120"/>
      </w:pPr>
      <w:r>
        <w:rPr>
          <w:rStyle w:val="FootnoteReference"/>
        </w:rPr>
        <w:footnoteRef/>
      </w:r>
      <w:r>
        <w:t xml:space="preserve"> </w:t>
      </w:r>
      <w:r>
        <w:rPr>
          <w:i/>
          <w:iCs/>
        </w:rPr>
        <w:t>See</w:t>
      </w:r>
      <w:r>
        <w:t xml:space="preserve"> H.B. 166 (133rd) at 1394 (modifying R.C. 4928.143(F) to allow FirstEnergy to consolidate its three operating utilities, on paper only, when assessing whether utility profits are significantly excessive, thus reducing the ability of consumers to get a refund for an individual utility’s significantly excessive profits).</w:t>
      </w:r>
    </w:p>
  </w:footnote>
  <w:footnote w:id="5">
    <w:p w:rsidR="000E134C" w:rsidRPr="000E134C" w:rsidP="00E16E06" w14:paraId="5DC70ABD" w14:textId="38AE8973">
      <w:pPr>
        <w:pStyle w:val="FootnoteText"/>
        <w:spacing w:after="120"/>
      </w:pPr>
      <w:r>
        <w:rPr>
          <w:rStyle w:val="FootnoteReference"/>
        </w:rPr>
        <w:footnoteRef/>
      </w:r>
      <w:r>
        <w:t xml:space="preserve"> </w:t>
      </w:r>
      <w:r>
        <w:rPr>
          <w:i/>
          <w:iCs/>
        </w:rPr>
        <w:t>In re Determination of the Existence of Significantly Excessive Earnings for 2017 Under the Elec. Sec. Plan of Ohio Edison Co., the Cleveland Elec. Illuminating Co., &amp; the Toledo Edison Co.</w:t>
      </w:r>
      <w:r>
        <w:t>, Case No. 18-857-EL-UNC, Opinion &amp; Order (Mar. 20, 2019).</w:t>
      </w:r>
    </w:p>
  </w:footnote>
  <w:footnote w:id="6">
    <w:p w:rsidR="009E3C68" w:rsidRPr="009E3C68" w:rsidP="00E16E06" w14:paraId="158B2DF3" w14:textId="2BC0CDCD">
      <w:pPr>
        <w:pStyle w:val="FootnoteText"/>
        <w:spacing w:after="120"/>
      </w:pPr>
      <w:r>
        <w:rPr>
          <w:rStyle w:val="FootnoteReference"/>
        </w:rPr>
        <w:footnoteRef/>
      </w:r>
      <w:r>
        <w:t xml:space="preserve"> </w:t>
      </w:r>
      <w:r>
        <w:rPr>
          <w:i/>
          <w:iCs/>
        </w:rPr>
        <w:t>In re Determination of Existence of Significantly Excessive Earnings for 2017 Under Elec. Sec. Plan of Ohio Edison Co.</w:t>
      </w:r>
      <w:r>
        <w:t>, 2020-Ohio-5450.</w:t>
      </w:r>
    </w:p>
  </w:footnote>
  <w:footnote w:id="7">
    <w:p w:rsidR="00C11D12" w:rsidRPr="00F15DCC" w:rsidP="00E16E06" w14:paraId="0173373A" w14:textId="28201A88">
      <w:pPr>
        <w:pStyle w:val="FootnoteText"/>
        <w:spacing w:after="120"/>
      </w:pPr>
      <w:r>
        <w:rPr>
          <w:rStyle w:val="FootnoteReference"/>
        </w:rPr>
        <w:footnoteRef/>
      </w:r>
      <w:r>
        <w:t xml:space="preserve"> </w:t>
      </w:r>
      <w:r>
        <w:rPr>
          <w:i/>
          <w:iCs/>
        </w:rPr>
        <w:t>In re Application of [FirstEnergy] for Authority to Establish a Standard Serv. Offer Pursuant to Section 4928.143, Revised Code, in the Form of an Elec. Sec. Plan</w:t>
      </w:r>
      <w:r>
        <w:t>, Case No. 08-935-EL-SSO, Concurring in Part &amp; Dissenting in Part Opinion of Commissioner Cheryl L. Roberto (Mar. 25, 2009).</w:t>
      </w:r>
    </w:p>
  </w:footnote>
  <w:footnote w:id="8">
    <w:p w:rsidR="00EE59CC" w:rsidRPr="00243534" w:rsidP="00E16E06" w14:paraId="7402F971" w14:textId="11E7174D">
      <w:pPr>
        <w:pStyle w:val="FootnoteText"/>
        <w:spacing w:after="120"/>
      </w:pPr>
      <w:r>
        <w:rPr>
          <w:rStyle w:val="FootnoteReference"/>
        </w:rPr>
        <w:footnoteRef/>
      </w:r>
      <w:r>
        <w:t xml:space="preserve"> </w:t>
      </w:r>
      <w:r w:rsidR="00243534">
        <w:rPr>
          <w:i/>
          <w:iCs/>
        </w:rPr>
        <w:t>See In re Application of Columbus S. Power Co. &amp; Ohio Power Co. for Authority to Recover Cost Associated with the Ultimate Construction &amp; Operation of an Integrated Gasification Combined Cycle Elec. Gen. Facility</w:t>
      </w:r>
      <w:r w:rsidR="00243534">
        <w:t>, Case No. 05-376-EL-UNC, Order on Remand at 11-12 (Feb. 11, 2015).</w:t>
      </w:r>
    </w:p>
  </w:footnote>
  <w:footnote w:id="9">
    <w:p w:rsidR="0098701C" w:rsidP="00E16E06" w14:paraId="5D849ADD" w14:textId="77777777">
      <w:pPr>
        <w:pStyle w:val="FootnoteText"/>
        <w:spacing w:after="120"/>
      </w:pPr>
      <w:r>
        <w:rPr>
          <w:rStyle w:val="FootnoteReference"/>
        </w:rPr>
        <w:footnoteRef/>
      </w:r>
      <w:r>
        <w:t xml:space="preserve"> Given the unsavory role of alleged social welfare organizations in the H.B. 6 scandal, utility front groups (were any to enter the case going forward) would not qualify as bona fide consumer advocates.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D18" w:rsidRPr="00294DD3" w:rsidP="00294DD3" w14:paraId="743AFF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CD289B"/>
    <w:multiLevelType w:val="multilevel"/>
    <w:tmpl w:val="73389A42"/>
    <w:lvl w:ilvl="0">
      <w:start w:val="1"/>
      <w:numFmt w:val="decimal"/>
      <w:pStyle w:val="DirectAnswer"/>
      <w:lvlText w:val="A%1."/>
      <w:lvlJc w:val="left"/>
      <w:pPr>
        <w:ind w:left="630" w:hanging="360"/>
      </w:pPr>
      <w:rPr>
        <w:rFonts w:cs="Times New Roman" w:hint="default"/>
        <w:b/>
        <w:i/>
      </w:rPr>
    </w:lvl>
    <w:lvl w:ilvl="1">
      <w:start w:val="1"/>
      <w:numFmt w:val="none"/>
      <w:lvlJc w:val="left"/>
      <w:pPr>
        <w:tabs>
          <w:tab w:val="num" w:pos="3528"/>
        </w:tabs>
        <w:ind w:left="3528" w:hanging="648"/>
      </w:pPr>
      <w:rPr>
        <w:rFonts w:cs="Times New Roman" w:hint="default"/>
      </w:rPr>
    </w:lvl>
    <w:lvl w:ilvl="2">
      <w:start w:val="1"/>
      <w:numFmt w:val="none"/>
      <w:lvlJc w:val="left"/>
      <w:pPr>
        <w:tabs>
          <w:tab w:val="num" w:pos="3528"/>
        </w:tabs>
        <w:ind w:left="3528" w:hanging="648"/>
      </w:pPr>
      <w:rPr>
        <w:rFonts w:cs="Times New Roman" w:hint="default"/>
      </w:rPr>
    </w:lvl>
    <w:lvl w:ilvl="3">
      <w:start w:val="1"/>
      <w:numFmt w:val="none"/>
      <w:lvlJc w:val="left"/>
      <w:pPr>
        <w:tabs>
          <w:tab w:val="num" w:pos="1440"/>
        </w:tabs>
        <w:ind w:left="1440" w:hanging="360"/>
      </w:pPr>
      <w:rPr>
        <w:rFonts w:cs="Times New Roman" w:hint="default"/>
      </w:rPr>
    </w:lvl>
    <w:lvl w:ilvl="4">
      <w:start w:val="1"/>
      <w:numFmt w:val="none"/>
      <w:lvlJc w:val="left"/>
      <w:pPr>
        <w:tabs>
          <w:tab w:val="num" w:pos="1800"/>
        </w:tabs>
        <w:ind w:left="1800" w:hanging="360"/>
      </w:pPr>
      <w:rPr>
        <w:rFonts w:cs="Times New Roman" w:hint="default"/>
      </w:rPr>
    </w:lvl>
    <w:lvl w:ilvl="5">
      <w:start w:val="1"/>
      <w:numFmt w:val="none"/>
      <w:lvlJc w:val="left"/>
      <w:pPr>
        <w:tabs>
          <w:tab w:val="num" w:pos="2160"/>
        </w:tabs>
        <w:ind w:left="2160" w:hanging="360"/>
      </w:pPr>
      <w:rPr>
        <w:rFonts w:cs="Times New Roman" w:hint="default"/>
      </w:rPr>
    </w:lvl>
    <w:lvl w:ilvl="6">
      <w:start w:val="1"/>
      <w:numFmt w:val="none"/>
      <w:lvlJc w:val="left"/>
      <w:pPr>
        <w:tabs>
          <w:tab w:val="num" w:pos="2520"/>
        </w:tabs>
        <w:ind w:left="2520" w:hanging="360"/>
      </w:pPr>
      <w:rPr>
        <w:rFonts w:cs="Times New Roman" w:hint="default"/>
      </w:rPr>
    </w:lvl>
    <w:lvl w:ilvl="7">
      <w:start w:val="1"/>
      <w:numFmt w:val="none"/>
      <w:lvlJc w:val="left"/>
      <w:pPr>
        <w:tabs>
          <w:tab w:val="num" w:pos="2880"/>
        </w:tabs>
        <w:ind w:left="2880" w:hanging="360"/>
      </w:pPr>
      <w:rPr>
        <w:rFonts w:cs="Times New Roman" w:hint="default"/>
      </w:rPr>
    </w:lvl>
    <w:lvl w:ilvl="8">
      <w:start w:val="1"/>
      <w:numFmt w:val="none"/>
      <w:lvlJc w:val="left"/>
      <w:pPr>
        <w:tabs>
          <w:tab w:val="num" w:pos="3240"/>
        </w:tabs>
        <w:ind w:left="32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C1"/>
    <w:rsid w:val="000165AD"/>
    <w:rsid w:val="00026581"/>
    <w:rsid w:val="000A6E29"/>
    <w:rsid w:val="000B4712"/>
    <w:rsid w:val="000E134C"/>
    <w:rsid w:val="001160A2"/>
    <w:rsid w:val="001440D0"/>
    <w:rsid w:val="00183D1F"/>
    <w:rsid w:val="001A1436"/>
    <w:rsid w:val="001B2605"/>
    <w:rsid w:val="001B6331"/>
    <w:rsid w:val="001D77CE"/>
    <w:rsid w:val="001F41E0"/>
    <w:rsid w:val="00226F62"/>
    <w:rsid w:val="00243534"/>
    <w:rsid w:val="0025259F"/>
    <w:rsid w:val="00286400"/>
    <w:rsid w:val="00294DD3"/>
    <w:rsid w:val="002D15CC"/>
    <w:rsid w:val="003031EC"/>
    <w:rsid w:val="003035B9"/>
    <w:rsid w:val="003145B0"/>
    <w:rsid w:val="00364081"/>
    <w:rsid w:val="00365A98"/>
    <w:rsid w:val="003661C6"/>
    <w:rsid w:val="00385A71"/>
    <w:rsid w:val="003A62CC"/>
    <w:rsid w:val="003A6D1C"/>
    <w:rsid w:val="003B276F"/>
    <w:rsid w:val="003D1AC8"/>
    <w:rsid w:val="00422670"/>
    <w:rsid w:val="0044788D"/>
    <w:rsid w:val="00450D99"/>
    <w:rsid w:val="004C0D1C"/>
    <w:rsid w:val="004C3C16"/>
    <w:rsid w:val="004C5F9F"/>
    <w:rsid w:val="004D3F8A"/>
    <w:rsid w:val="004D7D94"/>
    <w:rsid w:val="00532CFB"/>
    <w:rsid w:val="0053454A"/>
    <w:rsid w:val="00542FF6"/>
    <w:rsid w:val="00581796"/>
    <w:rsid w:val="005870F3"/>
    <w:rsid w:val="00590B38"/>
    <w:rsid w:val="00591CC5"/>
    <w:rsid w:val="005B2902"/>
    <w:rsid w:val="005C52B3"/>
    <w:rsid w:val="005E3237"/>
    <w:rsid w:val="00602885"/>
    <w:rsid w:val="00684300"/>
    <w:rsid w:val="006934C2"/>
    <w:rsid w:val="00694418"/>
    <w:rsid w:val="0071230F"/>
    <w:rsid w:val="007275AD"/>
    <w:rsid w:val="00753867"/>
    <w:rsid w:val="00767378"/>
    <w:rsid w:val="00794002"/>
    <w:rsid w:val="007B5C1C"/>
    <w:rsid w:val="007C12AC"/>
    <w:rsid w:val="007C4A94"/>
    <w:rsid w:val="007E17E3"/>
    <w:rsid w:val="007F56FC"/>
    <w:rsid w:val="007F7503"/>
    <w:rsid w:val="008405E4"/>
    <w:rsid w:val="00855A86"/>
    <w:rsid w:val="00872010"/>
    <w:rsid w:val="00872081"/>
    <w:rsid w:val="00880ADE"/>
    <w:rsid w:val="00881417"/>
    <w:rsid w:val="008E50B1"/>
    <w:rsid w:val="00917A77"/>
    <w:rsid w:val="00937A5A"/>
    <w:rsid w:val="009805AD"/>
    <w:rsid w:val="0098701C"/>
    <w:rsid w:val="00997CBA"/>
    <w:rsid w:val="009A1567"/>
    <w:rsid w:val="009E3C68"/>
    <w:rsid w:val="00A10F80"/>
    <w:rsid w:val="00A15B4F"/>
    <w:rsid w:val="00A2256C"/>
    <w:rsid w:val="00A27B36"/>
    <w:rsid w:val="00A46C73"/>
    <w:rsid w:val="00A54ED0"/>
    <w:rsid w:val="00A707C1"/>
    <w:rsid w:val="00AB2027"/>
    <w:rsid w:val="00AD36A8"/>
    <w:rsid w:val="00AE10CA"/>
    <w:rsid w:val="00AE757E"/>
    <w:rsid w:val="00AF5473"/>
    <w:rsid w:val="00B45169"/>
    <w:rsid w:val="00B50BC9"/>
    <w:rsid w:val="00B5396F"/>
    <w:rsid w:val="00B9514B"/>
    <w:rsid w:val="00BA2B81"/>
    <w:rsid w:val="00BD1B34"/>
    <w:rsid w:val="00BF193E"/>
    <w:rsid w:val="00BF2CD8"/>
    <w:rsid w:val="00C11D12"/>
    <w:rsid w:val="00C672A2"/>
    <w:rsid w:val="00C91821"/>
    <w:rsid w:val="00CA2BD5"/>
    <w:rsid w:val="00CB7096"/>
    <w:rsid w:val="00CC18F4"/>
    <w:rsid w:val="00CE1E08"/>
    <w:rsid w:val="00D8316F"/>
    <w:rsid w:val="00D8375C"/>
    <w:rsid w:val="00DC1C28"/>
    <w:rsid w:val="00DD333B"/>
    <w:rsid w:val="00DE3D18"/>
    <w:rsid w:val="00E16E06"/>
    <w:rsid w:val="00E557FB"/>
    <w:rsid w:val="00E67B1F"/>
    <w:rsid w:val="00E9040A"/>
    <w:rsid w:val="00EB0D0F"/>
    <w:rsid w:val="00EC7AF9"/>
    <w:rsid w:val="00ED4610"/>
    <w:rsid w:val="00ED4D5F"/>
    <w:rsid w:val="00ED7505"/>
    <w:rsid w:val="00EE47BB"/>
    <w:rsid w:val="00EE59CC"/>
    <w:rsid w:val="00F12F62"/>
    <w:rsid w:val="00F15DCC"/>
    <w:rsid w:val="00FB0937"/>
    <w:rsid w:val="00FD5EF9"/>
    <w:rsid w:val="00FE2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07C1"/>
    <w:rPr>
      <w:sz w:val="20"/>
      <w:szCs w:val="20"/>
    </w:rPr>
  </w:style>
  <w:style w:type="character" w:customStyle="1" w:styleId="FootnoteTextChar">
    <w:name w:val="Footnote Text Char"/>
    <w:basedOn w:val="DefaultParagraphFont"/>
    <w:link w:val="FootnoteText"/>
    <w:uiPriority w:val="99"/>
    <w:semiHidden/>
    <w:rsid w:val="00A707C1"/>
    <w:rPr>
      <w:sz w:val="20"/>
      <w:szCs w:val="20"/>
    </w:rPr>
  </w:style>
  <w:style w:type="character" w:styleId="FootnoteReference">
    <w:name w:val="footnote reference"/>
    <w:basedOn w:val="DefaultParagraphFont"/>
    <w:uiPriority w:val="99"/>
    <w:semiHidden/>
    <w:unhideWhenUsed/>
    <w:rsid w:val="00A707C1"/>
    <w:rPr>
      <w:vertAlign w:val="superscript"/>
    </w:rPr>
  </w:style>
  <w:style w:type="table" w:styleId="TableGrid">
    <w:name w:val="Table Grid"/>
    <w:basedOn w:val="TableNormal"/>
    <w:uiPriority w:val="39"/>
    <w:rsid w:val="007F56FC"/>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56FC"/>
    <w:rPr>
      <w:color w:val="0000FF"/>
      <w:u w:val="single"/>
    </w:rPr>
  </w:style>
  <w:style w:type="paragraph" w:styleId="BodyTextIndent3">
    <w:name w:val="Body Text Indent 3"/>
    <w:basedOn w:val="Normal"/>
    <w:link w:val="BodyTextIndent3Char"/>
    <w:rsid w:val="007F56FC"/>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7F56FC"/>
    <w:rPr>
      <w:rFonts w:eastAsia="Times New Roman" w:cs="Times New Roman"/>
      <w:szCs w:val="20"/>
    </w:rPr>
  </w:style>
  <w:style w:type="paragraph" w:styleId="BalloonText">
    <w:name w:val="Balloon Text"/>
    <w:basedOn w:val="Normal"/>
    <w:link w:val="BalloonTextChar"/>
    <w:uiPriority w:val="99"/>
    <w:semiHidden/>
    <w:unhideWhenUsed/>
    <w:rsid w:val="00794002"/>
    <w:rPr>
      <w:rFonts w:cs="Times New Roman"/>
      <w:sz w:val="18"/>
      <w:szCs w:val="18"/>
    </w:rPr>
  </w:style>
  <w:style w:type="character" w:customStyle="1" w:styleId="BalloonTextChar">
    <w:name w:val="Balloon Text Char"/>
    <w:basedOn w:val="DefaultParagraphFont"/>
    <w:link w:val="BalloonText"/>
    <w:uiPriority w:val="99"/>
    <w:semiHidden/>
    <w:rsid w:val="00794002"/>
    <w:rPr>
      <w:rFonts w:cs="Times New Roman"/>
      <w:sz w:val="18"/>
      <w:szCs w:val="18"/>
    </w:rPr>
  </w:style>
  <w:style w:type="character" w:styleId="CommentReference">
    <w:name w:val="annotation reference"/>
    <w:basedOn w:val="DefaultParagraphFont"/>
    <w:uiPriority w:val="99"/>
    <w:semiHidden/>
    <w:unhideWhenUsed/>
    <w:rsid w:val="00BA2B81"/>
    <w:rPr>
      <w:sz w:val="16"/>
      <w:szCs w:val="16"/>
    </w:rPr>
  </w:style>
  <w:style w:type="paragraph" w:styleId="CommentText">
    <w:name w:val="annotation text"/>
    <w:basedOn w:val="Normal"/>
    <w:link w:val="CommentTextChar"/>
    <w:unhideWhenUsed/>
    <w:rsid w:val="00BA2B81"/>
    <w:rPr>
      <w:sz w:val="20"/>
      <w:szCs w:val="20"/>
    </w:rPr>
  </w:style>
  <w:style w:type="character" w:customStyle="1" w:styleId="CommentTextChar">
    <w:name w:val="Comment Text Char"/>
    <w:basedOn w:val="DefaultParagraphFont"/>
    <w:link w:val="CommentText"/>
    <w:rsid w:val="00BA2B81"/>
    <w:rPr>
      <w:sz w:val="20"/>
      <w:szCs w:val="20"/>
    </w:rPr>
  </w:style>
  <w:style w:type="paragraph" w:styleId="CommentSubject">
    <w:name w:val="annotation subject"/>
    <w:basedOn w:val="CommentText"/>
    <w:next w:val="CommentText"/>
    <w:link w:val="CommentSubjectChar"/>
    <w:uiPriority w:val="99"/>
    <w:semiHidden/>
    <w:unhideWhenUsed/>
    <w:rsid w:val="00BA2B81"/>
    <w:rPr>
      <w:b/>
      <w:bCs/>
    </w:rPr>
  </w:style>
  <w:style w:type="character" w:customStyle="1" w:styleId="CommentSubjectChar">
    <w:name w:val="Comment Subject Char"/>
    <w:basedOn w:val="CommentTextChar"/>
    <w:link w:val="CommentSubject"/>
    <w:uiPriority w:val="99"/>
    <w:semiHidden/>
    <w:rsid w:val="00BA2B81"/>
    <w:rPr>
      <w:b/>
      <w:bCs/>
      <w:sz w:val="20"/>
      <w:szCs w:val="20"/>
    </w:rPr>
  </w:style>
  <w:style w:type="paragraph" w:styleId="Header">
    <w:name w:val="header"/>
    <w:basedOn w:val="Normal"/>
    <w:link w:val="HeaderChar"/>
    <w:uiPriority w:val="99"/>
    <w:unhideWhenUsed/>
    <w:rsid w:val="00422670"/>
    <w:pPr>
      <w:tabs>
        <w:tab w:val="center" w:pos="4680"/>
        <w:tab w:val="right" w:pos="9360"/>
      </w:tabs>
    </w:pPr>
  </w:style>
  <w:style w:type="character" w:customStyle="1" w:styleId="HeaderChar">
    <w:name w:val="Header Char"/>
    <w:basedOn w:val="DefaultParagraphFont"/>
    <w:link w:val="Header"/>
    <w:uiPriority w:val="99"/>
    <w:rsid w:val="00422670"/>
  </w:style>
  <w:style w:type="paragraph" w:styleId="Footer">
    <w:name w:val="footer"/>
    <w:basedOn w:val="Normal"/>
    <w:link w:val="FooterChar"/>
    <w:uiPriority w:val="99"/>
    <w:unhideWhenUsed/>
    <w:rsid w:val="00422670"/>
    <w:pPr>
      <w:tabs>
        <w:tab w:val="center" w:pos="4680"/>
        <w:tab w:val="right" w:pos="9360"/>
      </w:tabs>
    </w:pPr>
  </w:style>
  <w:style w:type="character" w:customStyle="1" w:styleId="FooterChar">
    <w:name w:val="Footer Char"/>
    <w:basedOn w:val="DefaultParagraphFont"/>
    <w:link w:val="Footer"/>
    <w:uiPriority w:val="99"/>
    <w:rsid w:val="00422670"/>
  </w:style>
  <w:style w:type="character" w:customStyle="1" w:styleId="UnresolvedMention1">
    <w:name w:val="Unresolved Mention1"/>
    <w:basedOn w:val="DefaultParagraphFont"/>
    <w:uiPriority w:val="99"/>
    <w:semiHidden/>
    <w:unhideWhenUsed/>
    <w:rsid w:val="0053454A"/>
    <w:rPr>
      <w:color w:val="605E5C"/>
      <w:shd w:val="clear" w:color="auto" w:fill="E1DFDD"/>
    </w:rPr>
  </w:style>
  <w:style w:type="character" w:customStyle="1" w:styleId="UnresolvedMention2">
    <w:name w:val="Unresolved Mention2"/>
    <w:basedOn w:val="DefaultParagraphFont"/>
    <w:uiPriority w:val="99"/>
    <w:rsid w:val="005C52B3"/>
    <w:rPr>
      <w:color w:val="605E5C"/>
      <w:shd w:val="clear" w:color="auto" w:fill="E1DFDD"/>
    </w:rPr>
  </w:style>
  <w:style w:type="paragraph" w:styleId="BodyText">
    <w:name w:val="Body Text"/>
    <w:basedOn w:val="Normal"/>
    <w:link w:val="BodyTextChar"/>
    <w:uiPriority w:val="99"/>
    <w:semiHidden/>
    <w:unhideWhenUsed/>
    <w:rsid w:val="000B4712"/>
    <w:pPr>
      <w:spacing w:after="120"/>
    </w:pPr>
  </w:style>
  <w:style w:type="character" w:customStyle="1" w:styleId="BodyTextChar">
    <w:name w:val="Body Text Char"/>
    <w:basedOn w:val="DefaultParagraphFont"/>
    <w:link w:val="BodyText"/>
    <w:uiPriority w:val="99"/>
    <w:semiHidden/>
    <w:rsid w:val="000B4712"/>
  </w:style>
  <w:style w:type="paragraph" w:customStyle="1" w:styleId="DirectAnswer">
    <w:name w:val="Direct Answer"/>
    <w:basedOn w:val="Normal"/>
    <w:next w:val="Normal"/>
    <w:autoRedefine/>
    <w:rsid w:val="000B4712"/>
    <w:pPr>
      <w:numPr>
        <w:numId w:val="1"/>
      </w:numPr>
      <w:spacing w:line="480" w:lineRule="auto"/>
      <w:ind w:left="720" w:hanging="720"/>
    </w:pPr>
    <w:rPr>
      <w:rFonts w:eastAsia="Calibri"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ristopher.healey@occ.ohio.gov" TargetMode="External" /><Relationship Id="rId11" Type="http://schemas.openxmlformats.org/officeDocument/2006/relationships/footer" Target="footer2.xml" /><Relationship Id="rId12" Type="http://schemas.openxmlformats.org/officeDocument/2006/relationships/hyperlink" Target="mailto:Werner.margard@OhioAGO.gov" TargetMode="External" /><Relationship Id="rId13" Type="http://schemas.openxmlformats.org/officeDocument/2006/relationships/hyperlink" Target="mailto:Kyle.kern@OhioAGO.gov" TargetMode="External" /><Relationship Id="rId14" Type="http://schemas.openxmlformats.org/officeDocument/2006/relationships/hyperlink" Target="mailto:mkurtz@BKLlawfirm.com" TargetMode="External" /><Relationship Id="rId15" Type="http://schemas.openxmlformats.org/officeDocument/2006/relationships/hyperlink" Target="mailto:Kboehm@BKLlawfirm.com" TargetMode="External" /><Relationship Id="rId16" Type="http://schemas.openxmlformats.org/officeDocument/2006/relationships/hyperlink" Target="mailto:jkylercohn@BKLlawfirm.com" TargetMode="External" /><Relationship Id="rId17" Type="http://schemas.openxmlformats.org/officeDocument/2006/relationships/hyperlink" Target="mailto:mpritchard@mcneeslaw.com" TargetMode="External" /><Relationship Id="rId18" Type="http://schemas.openxmlformats.org/officeDocument/2006/relationships/hyperlink" Target="mailto:rglover@mcneeslaw.com" TargetMode="External" /><Relationship Id="rId19" Type="http://schemas.openxmlformats.org/officeDocument/2006/relationships/hyperlink" Target="mailto:bethany.allen@igs.com" TargetMode="External" /><Relationship Id="rId2" Type="http://schemas.openxmlformats.org/officeDocument/2006/relationships/settings" Target="settings.xml" /><Relationship Id="rId20" Type="http://schemas.openxmlformats.org/officeDocument/2006/relationships/hyperlink" Target="mailto:joe.oliker@igs.com" TargetMode="External" /><Relationship Id="rId21" Type="http://schemas.openxmlformats.org/officeDocument/2006/relationships/hyperlink" Target="mailto:michael.nugent@igs.com" TargetMode="External" /><Relationship Id="rId22" Type="http://schemas.openxmlformats.org/officeDocument/2006/relationships/hyperlink" Target="mailto:Megan.adddison@puco.ohio.gov" TargetMode="External" /><Relationship Id="rId23" Type="http://schemas.openxmlformats.org/officeDocument/2006/relationships/hyperlink" Target="mailto:Gregory.price@puco.ohio.gov" TargetMode="External" /><Relationship Id="rId24" Type="http://schemas.openxmlformats.org/officeDocument/2006/relationships/hyperlink" Target="mailto:Jacqueline.st.john@puco.ohio.gov" TargetMode="External" /><Relationship Id="rId25" Type="http://schemas.openxmlformats.org/officeDocument/2006/relationships/hyperlink" Target="mailto:bknipe@firstenergycorp.com" TargetMode="External" /><Relationship Id="rId26" Type="http://schemas.openxmlformats.org/officeDocument/2006/relationships/hyperlink" Target="mailto:mrgladman@jonesday.com" TargetMode="External" /><Relationship Id="rId27" Type="http://schemas.openxmlformats.org/officeDocument/2006/relationships/hyperlink" Target="mailto:mdengler@jonesday.com" TargetMode="External" /><Relationship Id="rId28" Type="http://schemas.openxmlformats.org/officeDocument/2006/relationships/hyperlink" Target="mailto:radoringo@jonesday.com" TargetMode="External" /><Relationship Id="rId29" Type="http://schemas.openxmlformats.org/officeDocument/2006/relationships/hyperlink" Target="mailto:gkrassen@bricker.com" TargetMode="External" /><Relationship Id="rId3" Type="http://schemas.openxmlformats.org/officeDocument/2006/relationships/webSettings" Target="webSettings.xml" /><Relationship Id="rId30" Type="http://schemas.openxmlformats.org/officeDocument/2006/relationships/hyperlink" Target="mailto:dstinson@bricker.com" TargetMode="External" /><Relationship Id="rId31" Type="http://schemas.openxmlformats.org/officeDocument/2006/relationships/hyperlink" Target="mailto:paul@carpenterlipps.com" TargetMode="External" /><Relationship Id="rId32" Type="http://schemas.openxmlformats.org/officeDocument/2006/relationships/hyperlink" Target="mailto:bojko@carpenterlipps.com" TargetMode="External" /><Relationship Id="rId33" Type="http://schemas.openxmlformats.org/officeDocument/2006/relationships/hyperlink" Target="mailto:mkl@smxblaw.com" TargetMode="External" /><Relationship Id="rId34" Type="http://schemas.openxmlformats.org/officeDocument/2006/relationships/hyperlink" Target="mailto:jrb@smxblaw.com" TargetMode="External" /><Relationship Id="rId35" Type="http://schemas.openxmlformats.org/officeDocument/2006/relationships/hyperlink" Target="mailto:dborchers@bricker.com" TargetMode="External" /><Relationship Id="rId36" Type="http://schemas.openxmlformats.org/officeDocument/2006/relationships/hyperlink" Target="mailto:jspottswood@bricker.com" TargetMode="External" /><Relationship Id="rId37" Type="http://schemas.openxmlformats.org/officeDocument/2006/relationships/header" Target="header1.xml" /><Relationship Id="rId38" Type="http://schemas.openxmlformats.org/officeDocument/2006/relationships/footer" Target="footer3.xml" /><Relationship Id="rId39" Type="http://schemas.openxmlformats.org/officeDocument/2006/relationships/theme" Target="theme/theme1.xml" /><Relationship Id="rId4" Type="http://schemas.openxmlformats.org/officeDocument/2006/relationships/fontTable" Target="fontTable.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william.michael@occ.ohio.gov" TargetMode="External" /><Relationship Id="rId8" Type="http://schemas.openxmlformats.org/officeDocument/2006/relationships/hyperlink" Target="mailto:angela.obrien@occ.ohio.gov" TargetMode="External" /><Relationship Id="rId9" Type="http://schemas.openxmlformats.org/officeDocument/2006/relationships/hyperlink" Target="mailto:amy.botschner.obrien@occ.ohio.go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pressreader.com/usa/the-columbus-dispatch/202107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A62C-FBC1-40BC-83C3-4121CAD2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2021-07-26T21:16:29Z</dcterms:created>
  <dcterms:modified xsi:type="dcterms:W3CDTF">2021-07-26T21:16:29Z</dcterms:modified>
</cp:coreProperties>
</file>