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6D2B6" w14:textId="77777777" w:rsidR="00545F29" w:rsidRPr="009D71F6" w:rsidRDefault="0056270F">
      <w:pPr>
        <w:pStyle w:val="Title"/>
        <w:widowControl w:val="0"/>
        <w:rPr>
          <w:rFonts w:ascii="Arial" w:hAnsi="Arial" w:cs="Arial"/>
          <w:szCs w:val="24"/>
        </w:rPr>
      </w:pPr>
      <w:r w:rsidRPr="009D71F6">
        <w:rPr>
          <w:rFonts w:ascii="Arial" w:hAnsi="Arial" w:cs="Arial"/>
          <w:szCs w:val="24"/>
        </w:rPr>
        <w:t>BEFORE</w:t>
      </w:r>
    </w:p>
    <w:p w14:paraId="7176D2B7" w14:textId="77777777" w:rsidR="00545F29" w:rsidRPr="009D71F6" w:rsidRDefault="0056270F">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BE3B88" w:rsidRPr="009D71F6" w14:paraId="7176D2C6" w14:textId="77777777">
        <w:trPr>
          <w:trHeight w:val="873"/>
          <w:jc w:val="center"/>
        </w:trPr>
        <w:tc>
          <w:tcPr>
            <w:tcW w:w="4739" w:type="dxa"/>
          </w:tcPr>
          <w:p w14:paraId="614A7EEA" w14:textId="4A7C929C" w:rsidR="00BE3B88" w:rsidRDefault="00C81C96" w:rsidP="00BE3B88">
            <w:pPr>
              <w:spacing w:after="0" w:line="240" w:lineRule="auto"/>
              <w:rPr>
                <w:rFonts w:ascii="Arial" w:hAnsi="Arial" w:cs="Arial"/>
                <w:sz w:val="24"/>
                <w:szCs w:val="24"/>
              </w:rPr>
            </w:pPr>
            <w:r w:rsidRPr="00C81C96">
              <w:rPr>
                <w:rFonts w:ascii="Arial" w:hAnsi="Arial" w:cs="Arial"/>
                <w:sz w:val="24"/>
                <w:szCs w:val="24"/>
              </w:rPr>
              <w:t xml:space="preserve">In the Matter of the Application of Duke Energy Ohio, Inc. for an Increase in Electric Distribution Rates. </w:t>
            </w:r>
          </w:p>
          <w:p w14:paraId="7AECBC24" w14:textId="77777777" w:rsidR="00C81C96" w:rsidRDefault="00C81C96" w:rsidP="00BE3B88">
            <w:pPr>
              <w:spacing w:after="0" w:line="240" w:lineRule="auto"/>
              <w:rPr>
                <w:rFonts w:ascii="Arial" w:hAnsi="Arial" w:cs="Arial"/>
                <w:sz w:val="24"/>
                <w:szCs w:val="24"/>
              </w:rPr>
            </w:pPr>
          </w:p>
          <w:p w14:paraId="79BB3CED" w14:textId="3EAEC575" w:rsidR="00C81C96" w:rsidRDefault="00C81C96" w:rsidP="00BE3B88">
            <w:pPr>
              <w:autoSpaceDE w:val="0"/>
              <w:autoSpaceDN w:val="0"/>
              <w:adjustRightInd w:val="0"/>
              <w:spacing w:after="0" w:line="240" w:lineRule="auto"/>
              <w:rPr>
                <w:rFonts w:ascii="Arial" w:hAnsi="Arial" w:cs="Arial"/>
                <w:sz w:val="24"/>
                <w:szCs w:val="24"/>
              </w:rPr>
            </w:pPr>
            <w:r w:rsidRPr="00C81C96">
              <w:rPr>
                <w:rFonts w:ascii="Arial" w:hAnsi="Arial" w:cs="Arial"/>
                <w:sz w:val="24"/>
                <w:szCs w:val="24"/>
              </w:rPr>
              <w:t>In the Matter of</w:t>
            </w:r>
            <w:r w:rsidR="00ED1193">
              <w:rPr>
                <w:rFonts w:ascii="Arial" w:hAnsi="Arial" w:cs="Arial"/>
                <w:sz w:val="24"/>
                <w:szCs w:val="24"/>
              </w:rPr>
              <w:t xml:space="preserve"> the</w:t>
            </w:r>
            <w:r w:rsidRPr="00C81C96">
              <w:rPr>
                <w:rFonts w:ascii="Arial" w:hAnsi="Arial" w:cs="Arial"/>
                <w:sz w:val="24"/>
                <w:szCs w:val="24"/>
              </w:rPr>
              <w:t xml:space="preserve"> Application of Duke Energy Ohio, Inc. for Tariff Approval.</w:t>
            </w:r>
          </w:p>
          <w:p w14:paraId="3F31B33D" w14:textId="77777777" w:rsidR="00C81C96" w:rsidRDefault="00C81C96" w:rsidP="00BE3B88">
            <w:pPr>
              <w:autoSpaceDE w:val="0"/>
              <w:autoSpaceDN w:val="0"/>
              <w:adjustRightInd w:val="0"/>
              <w:spacing w:after="0" w:line="240" w:lineRule="auto"/>
              <w:rPr>
                <w:rFonts w:ascii="Arial" w:hAnsi="Arial" w:cs="Arial"/>
                <w:sz w:val="24"/>
                <w:szCs w:val="24"/>
              </w:rPr>
            </w:pPr>
          </w:p>
          <w:p w14:paraId="7176D2BB" w14:textId="59727397" w:rsidR="00BE3B88" w:rsidRPr="009D71F6" w:rsidRDefault="00C81C96" w:rsidP="00BE3B88">
            <w:pPr>
              <w:autoSpaceDE w:val="0"/>
              <w:autoSpaceDN w:val="0"/>
              <w:adjustRightInd w:val="0"/>
              <w:spacing w:after="0" w:line="240" w:lineRule="auto"/>
              <w:rPr>
                <w:rFonts w:ascii="Arial" w:hAnsi="Arial" w:cs="Arial"/>
                <w:sz w:val="24"/>
                <w:szCs w:val="24"/>
              </w:rPr>
            </w:pPr>
            <w:r w:rsidRPr="00C81C96">
              <w:rPr>
                <w:rFonts w:ascii="Arial" w:hAnsi="Arial" w:cs="Arial"/>
                <w:sz w:val="24"/>
                <w:szCs w:val="24"/>
              </w:rPr>
              <w:t xml:space="preserve">In the Matter of the Application of Duke Energy Ohio, Inc. for Approval to Change Accounting Methods. </w:t>
            </w:r>
          </w:p>
        </w:tc>
        <w:tc>
          <w:tcPr>
            <w:tcW w:w="630" w:type="dxa"/>
          </w:tcPr>
          <w:p w14:paraId="7EA031CF" w14:textId="77777777" w:rsidR="00BE3B88" w:rsidRPr="00561663" w:rsidRDefault="00BE3B88" w:rsidP="00BE3B88">
            <w:pPr>
              <w:widowControl w:val="0"/>
              <w:spacing w:after="0" w:line="240" w:lineRule="auto"/>
              <w:jc w:val="center"/>
              <w:rPr>
                <w:rFonts w:ascii="Arial" w:hAnsi="Arial" w:cs="Arial"/>
                <w:sz w:val="24"/>
                <w:szCs w:val="24"/>
              </w:rPr>
            </w:pPr>
            <w:r w:rsidRPr="00561663">
              <w:rPr>
                <w:rFonts w:ascii="Arial" w:hAnsi="Arial" w:cs="Arial"/>
                <w:sz w:val="24"/>
                <w:szCs w:val="24"/>
              </w:rPr>
              <w:t>)</w:t>
            </w:r>
          </w:p>
          <w:p w14:paraId="62A3CAC2" w14:textId="77777777" w:rsidR="00BE3B88" w:rsidRPr="00561663" w:rsidRDefault="00BE3B88" w:rsidP="00BE3B88">
            <w:pPr>
              <w:widowControl w:val="0"/>
              <w:spacing w:after="0" w:line="240" w:lineRule="auto"/>
              <w:jc w:val="center"/>
              <w:rPr>
                <w:rFonts w:ascii="Arial" w:hAnsi="Arial" w:cs="Arial"/>
                <w:sz w:val="24"/>
                <w:szCs w:val="24"/>
              </w:rPr>
            </w:pPr>
            <w:r w:rsidRPr="00561663">
              <w:rPr>
                <w:rFonts w:ascii="Arial" w:hAnsi="Arial" w:cs="Arial"/>
                <w:sz w:val="24"/>
                <w:szCs w:val="24"/>
              </w:rPr>
              <w:t>)</w:t>
            </w:r>
          </w:p>
          <w:p w14:paraId="40A66F49" w14:textId="77777777" w:rsidR="00BE3B88" w:rsidRPr="00561663" w:rsidRDefault="00BE3B88" w:rsidP="00BE3B88">
            <w:pPr>
              <w:widowControl w:val="0"/>
              <w:spacing w:after="0" w:line="240" w:lineRule="auto"/>
              <w:jc w:val="center"/>
              <w:rPr>
                <w:rFonts w:ascii="Arial" w:hAnsi="Arial" w:cs="Arial"/>
                <w:sz w:val="24"/>
                <w:szCs w:val="24"/>
              </w:rPr>
            </w:pPr>
            <w:r w:rsidRPr="00561663">
              <w:rPr>
                <w:rFonts w:ascii="Arial" w:hAnsi="Arial" w:cs="Arial"/>
                <w:sz w:val="24"/>
                <w:szCs w:val="24"/>
              </w:rPr>
              <w:t>)</w:t>
            </w:r>
          </w:p>
          <w:p w14:paraId="4C081232" w14:textId="07CABFF1" w:rsidR="00BE3B88" w:rsidRDefault="00BE3B88" w:rsidP="00BE3B88">
            <w:pPr>
              <w:widowControl w:val="0"/>
              <w:spacing w:after="0" w:line="240" w:lineRule="auto"/>
              <w:jc w:val="center"/>
              <w:rPr>
                <w:rFonts w:ascii="Arial" w:hAnsi="Arial" w:cs="Arial"/>
                <w:sz w:val="24"/>
                <w:szCs w:val="24"/>
              </w:rPr>
            </w:pPr>
          </w:p>
          <w:p w14:paraId="6CAED75C" w14:textId="77777777" w:rsidR="00BE3B88" w:rsidRDefault="00BE3B88" w:rsidP="00BE3B88">
            <w:pPr>
              <w:widowControl w:val="0"/>
              <w:spacing w:after="0" w:line="240" w:lineRule="auto"/>
              <w:jc w:val="center"/>
              <w:rPr>
                <w:rFonts w:ascii="Arial" w:hAnsi="Arial" w:cs="Arial"/>
                <w:sz w:val="24"/>
                <w:szCs w:val="24"/>
              </w:rPr>
            </w:pPr>
            <w:r>
              <w:rPr>
                <w:rFonts w:ascii="Arial" w:hAnsi="Arial" w:cs="Arial"/>
                <w:sz w:val="24"/>
                <w:szCs w:val="24"/>
              </w:rPr>
              <w:t>)</w:t>
            </w:r>
          </w:p>
          <w:p w14:paraId="0A88E467" w14:textId="77777777" w:rsidR="00BE3B88" w:rsidRDefault="00BE3B88" w:rsidP="00BE3B88">
            <w:pPr>
              <w:widowControl w:val="0"/>
              <w:spacing w:after="0" w:line="240" w:lineRule="auto"/>
              <w:jc w:val="center"/>
              <w:rPr>
                <w:rFonts w:ascii="Arial" w:hAnsi="Arial" w:cs="Arial"/>
                <w:sz w:val="24"/>
                <w:szCs w:val="24"/>
              </w:rPr>
            </w:pPr>
            <w:r>
              <w:rPr>
                <w:rFonts w:ascii="Arial" w:hAnsi="Arial" w:cs="Arial"/>
                <w:sz w:val="24"/>
                <w:szCs w:val="24"/>
              </w:rPr>
              <w:t>)</w:t>
            </w:r>
          </w:p>
          <w:p w14:paraId="40AF002F" w14:textId="77777777" w:rsidR="00BE3B88" w:rsidRDefault="00BE3B88" w:rsidP="00BE3B88">
            <w:pPr>
              <w:widowControl w:val="0"/>
              <w:spacing w:after="0" w:line="240" w:lineRule="auto"/>
              <w:jc w:val="center"/>
              <w:rPr>
                <w:rFonts w:ascii="Arial" w:hAnsi="Arial" w:cs="Arial"/>
                <w:sz w:val="24"/>
                <w:szCs w:val="24"/>
              </w:rPr>
            </w:pPr>
          </w:p>
          <w:p w14:paraId="14A6F0D4" w14:textId="77777777" w:rsidR="00BE3B88" w:rsidRDefault="00BE3B88" w:rsidP="00BE3B88">
            <w:pPr>
              <w:widowControl w:val="0"/>
              <w:spacing w:after="0" w:line="240" w:lineRule="auto"/>
              <w:jc w:val="center"/>
              <w:rPr>
                <w:rFonts w:ascii="Arial" w:hAnsi="Arial" w:cs="Arial"/>
                <w:sz w:val="24"/>
                <w:szCs w:val="24"/>
              </w:rPr>
            </w:pPr>
            <w:r>
              <w:rPr>
                <w:rFonts w:ascii="Arial" w:hAnsi="Arial" w:cs="Arial"/>
                <w:sz w:val="24"/>
                <w:szCs w:val="24"/>
              </w:rPr>
              <w:t>)</w:t>
            </w:r>
          </w:p>
          <w:p w14:paraId="6371C21D" w14:textId="77777777" w:rsidR="00BE3B88" w:rsidRDefault="00BE3B88" w:rsidP="00BE3B88">
            <w:pPr>
              <w:widowControl w:val="0"/>
              <w:spacing w:after="0" w:line="240" w:lineRule="auto"/>
              <w:jc w:val="center"/>
              <w:rPr>
                <w:rFonts w:ascii="Arial" w:hAnsi="Arial" w:cs="Arial"/>
                <w:sz w:val="24"/>
                <w:szCs w:val="24"/>
              </w:rPr>
            </w:pPr>
            <w:r>
              <w:rPr>
                <w:rFonts w:ascii="Arial" w:hAnsi="Arial" w:cs="Arial"/>
                <w:sz w:val="24"/>
                <w:szCs w:val="24"/>
              </w:rPr>
              <w:t>)</w:t>
            </w:r>
          </w:p>
          <w:p w14:paraId="6931FE09" w14:textId="3DEB93EF" w:rsidR="00BE3B88" w:rsidRDefault="00BE3B88" w:rsidP="00BE3B88">
            <w:pPr>
              <w:widowControl w:val="0"/>
              <w:spacing w:after="0" w:line="240" w:lineRule="auto"/>
              <w:jc w:val="center"/>
              <w:rPr>
                <w:rFonts w:ascii="Arial" w:hAnsi="Arial" w:cs="Arial"/>
                <w:sz w:val="24"/>
                <w:szCs w:val="24"/>
              </w:rPr>
            </w:pPr>
            <w:r>
              <w:rPr>
                <w:rFonts w:ascii="Arial" w:hAnsi="Arial" w:cs="Arial"/>
                <w:sz w:val="24"/>
                <w:szCs w:val="24"/>
              </w:rPr>
              <w:t>)</w:t>
            </w:r>
          </w:p>
          <w:p w14:paraId="7176D2C0" w14:textId="0824C251" w:rsidR="00BE3B88" w:rsidRPr="009D71F6" w:rsidRDefault="00BE3B88" w:rsidP="00BE3B88">
            <w:pPr>
              <w:widowControl w:val="0"/>
              <w:spacing w:after="0" w:line="240" w:lineRule="auto"/>
              <w:rPr>
                <w:rFonts w:ascii="Arial" w:hAnsi="Arial" w:cs="Arial"/>
                <w:sz w:val="24"/>
                <w:szCs w:val="24"/>
              </w:rPr>
            </w:pPr>
          </w:p>
        </w:tc>
        <w:tc>
          <w:tcPr>
            <w:tcW w:w="3928" w:type="dxa"/>
          </w:tcPr>
          <w:p w14:paraId="42D51B68" w14:textId="77777777" w:rsidR="00BE3B88" w:rsidRPr="00561663" w:rsidRDefault="00BE3B88" w:rsidP="00BE3B88">
            <w:pPr>
              <w:widowControl w:val="0"/>
              <w:spacing w:after="0" w:line="240" w:lineRule="auto"/>
              <w:rPr>
                <w:rFonts w:ascii="Arial" w:hAnsi="Arial" w:cs="Arial"/>
                <w:sz w:val="24"/>
                <w:szCs w:val="24"/>
              </w:rPr>
            </w:pPr>
          </w:p>
          <w:p w14:paraId="448D9CF2" w14:textId="161C3BF1" w:rsidR="00C81C96" w:rsidRPr="00561663" w:rsidRDefault="00C81C96" w:rsidP="00C81C96">
            <w:pPr>
              <w:widowControl w:val="0"/>
              <w:spacing w:after="0" w:line="240" w:lineRule="auto"/>
              <w:rPr>
                <w:rFonts w:ascii="Arial" w:hAnsi="Arial" w:cs="Arial"/>
                <w:sz w:val="24"/>
                <w:szCs w:val="24"/>
              </w:rPr>
            </w:pPr>
            <w:r>
              <w:rPr>
                <w:rFonts w:ascii="Arial" w:hAnsi="Arial" w:cs="Arial"/>
                <w:sz w:val="24"/>
                <w:szCs w:val="24"/>
              </w:rPr>
              <w:t>Case No. 17-32-EL-AIR</w:t>
            </w:r>
          </w:p>
          <w:p w14:paraId="1A019161" w14:textId="77777777" w:rsidR="00BE3B88" w:rsidRDefault="00BE3B88" w:rsidP="00BE3B88">
            <w:pPr>
              <w:widowControl w:val="0"/>
              <w:spacing w:after="0" w:line="240" w:lineRule="auto"/>
              <w:rPr>
                <w:rFonts w:ascii="Arial" w:hAnsi="Arial" w:cs="Arial"/>
                <w:sz w:val="24"/>
                <w:szCs w:val="24"/>
              </w:rPr>
            </w:pPr>
          </w:p>
          <w:p w14:paraId="4932E571" w14:textId="77777777" w:rsidR="00BE3B88" w:rsidRDefault="00BE3B88" w:rsidP="00BE3B88">
            <w:pPr>
              <w:widowControl w:val="0"/>
              <w:spacing w:after="0" w:line="240" w:lineRule="auto"/>
              <w:rPr>
                <w:rFonts w:ascii="Arial" w:hAnsi="Arial" w:cs="Arial"/>
                <w:sz w:val="24"/>
                <w:szCs w:val="24"/>
              </w:rPr>
            </w:pPr>
          </w:p>
          <w:p w14:paraId="08F742BC" w14:textId="7A5DE749" w:rsidR="00C81C96" w:rsidRPr="00561663" w:rsidRDefault="00C81C96" w:rsidP="00C81C96">
            <w:pPr>
              <w:widowControl w:val="0"/>
              <w:spacing w:after="0" w:line="240" w:lineRule="auto"/>
              <w:rPr>
                <w:rFonts w:ascii="Arial" w:hAnsi="Arial" w:cs="Arial"/>
                <w:sz w:val="24"/>
                <w:szCs w:val="24"/>
              </w:rPr>
            </w:pPr>
            <w:r>
              <w:rPr>
                <w:rFonts w:ascii="Arial" w:hAnsi="Arial" w:cs="Arial"/>
                <w:sz w:val="24"/>
                <w:szCs w:val="24"/>
              </w:rPr>
              <w:t>Case No. 17-33-EL-ATA</w:t>
            </w:r>
          </w:p>
          <w:p w14:paraId="40990A86" w14:textId="77777777" w:rsidR="00BE3B88" w:rsidRDefault="00BE3B88" w:rsidP="00BE3B88">
            <w:pPr>
              <w:widowControl w:val="0"/>
              <w:spacing w:after="0" w:line="240" w:lineRule="auto"/>
              <w:rPr>
                <w:rFonts w:ascii="Arial" w:hAnsi="Arial" w:cs="Arial"/>
                <w:sz w:val="24"/>
                <w:szCs w:val="24"/>
              </w:rPr>
            </w:pPr>
          </w:p>
          <w:p w14:paraId="4A3594CA" w14:textId="77777777" w:rsidR="00BE3B88" w:rsidRDefault="00BE3B88" w:rsidP="00BE3B88">
            <w:pPr>
              <w:widowControl w:val="0"/>
              <w:spacing w:after="0" w:line="240" w:lineRule="auto"/>
              <w:rPr>
                <w:rFonts w:ascii="Arial" w:hAnsi="Arial" w:cs="Arial"/>
                <w:sz w:val="24"/>
                <w:szCs w:val="24"/>
              </w:rPr>
            </w:pPr>
          </w:p>
          <w:p w14:paraId="0499E89F" w14:textId="77777777" w:rsidR="00BE3B88" w:rsidRDefault="00BE3B88" w:rsidP="00BE3B88">
            <w:pPr>
              <w:widowControl w:val="0"/>
              <w:spacing w:after="0" w:line="240" w:lineRule="auto"/>
              <w:rPr>
                <w:rFonts w:ascii="Arial" w:hAnsi="Arial" w:cs="Arial"/>
                <w:sz w:val="24"/>
                <w:szCs w:val="24"/>
              </w:rPr>
            </w:pPr>
          </w:p>
          <w:p w14:paraId="1F7DCA12" w14:textId="28FAC2A1" w:rsidR="00BE3B88" w:rsidRPr="00561663" w:rsidRDefault="00BE3B88" w:rsidP="00BE3B88">
            <w:pPr>
              <w:widowControl w:val="0"/>
              <w:spacing w:after="0" w:line="240" w:lineRule="auto"/>
              <w:rPr>
                <w:rFonts w:ascii="Arial" w:hAnsi="Arial" w:cs="Arial"/>
                <w:sz w:val="24"/>
                <w:szCs w:val="24"/>
              </w:rPr>
            </w:pPr>
            <w:r>
              <w:rPr>
                <w:rFonts w:ascii="Arial" w:hAnsi="Arial" w:cs="Arial"/>
                <w:sz w:val="24"/>
                <w:szCs w:val="24"/>
              </w:rPr>
              <w:t xml:space="preserve">Case No. </w:t>
            </w:r>
            <w:r w:rsidR="00C81C96">
              <w:rPr>
                <w:rFonts w:ascii="Arial" w:hAnsi="Arial" w:cs="Arial"/>
                <w:sz w:val="24"/>
                <w:szCs w:val="24"/>
              </w:rPr>
              <w:t>17-34-EL-AAM</w:t>
            </w:r>
          </w:p>
          <w:p w14:paraId="7176D2C5" w14:textId="518A5469" w:rsidR="00BE3B88" w:rsidRPr="009D71F6" w:rsidRDefault="00BE3B88" w:rsidP="00BE3B88">
            <w:pPr>
              <w:widowControl w:val="0"/>
              <w:spacing w:after="0" w:line="240" w:lineRule="auto"/>
              <w:rPr>
                <w:rFonts w:ascii="Arial" w:hAnsi="Arial" w:cs="Arial"/>
                <w:sz w:val="24"/>
                <w:szCs w:val="24"/>
              </w:rPr>
            </w:pPr>
          </w:p>
        </w:tc>
      </w:tr>
    </w:tbl>
    <w:p w14:paraId="7176D2C7" w14:textId="4CA8FA59" w:rsidR="00545F29" w:rsidRPr="009D71F6" w:rsidRDefault="00545F29">
      <w:pPr>
        <w:widowControl w:val="0"/>
        <w:pBdr>
          <w:bottom w:val="single" w:sz="12" w:space="0" w:color="auto"/>
        </w:pBdr>
        <w:spacing w:after="0" w:line="240" w:lineRule="auto"/>
        <w:rPr>
          <w:rFonts w:ascii="Arial" w:hAnsi="Arial" w:cs="Arial"/>
          <w:sz w:val="24"/>
          <w:szCs w:val="24"/>
        </w:rPr>
      </w:pPr>
    </w:p>
    <w:p w14:paraId="6E0DCC2E" w14:textId="77777777" w:rsidR="00280A2E" w:rsidRDefault="00280A2E" w:rsidP="00280A2E">
      <w:pPr>
        <w:widowControl w:val="0"/>
        <w:spacing w:after="0" w:line="240" w:lineRule="auto"/>
        <w:jc w:val="center"/>
        <w:rPr>
          <w:rFonts w:ascii="Arial" w:hAnsi="Arial" w:cs="Arial"/>
          <w:b/>
          <w:bCs/>
          <w:sz w:val="24"/>
          <w:szCs w:val="24"/>
        </w:rPr>
      </w:pPr>
    </w:p>
    <w:p w14:paraId="7176D2CA" w14:textId="07439A74" w:rsidR="00545F29" w:rsidRPr="009D71F6" w:rsidRDefault="00280A2E" w:rsidP="00280A2E">
      <w:pPr>
        <w:widowControl w:val="0"/>
        <w:spacing w:after="0" w:line="240" w:lineRule="auto"/>
        <w:jc w:val="center"/>
        <w:rPr>
          <w:rFonts w:ascii="Arial" w:hAnsi="Arial" w:cs="Arial"/>
          <w:b/>
          <w:bCs/>
          <w:sz w:val="24"/>
          <w:szCs w:val="24"/>
        </w:rPr>
      </w:pPr>
      <w:r>
        <w:rPr>
          <w:rFonts w:ascii="Arial" w:hAnsi="Arial" w:cs="Arial"/>
          <w:b/>
          <w:bCs/>
          <w:sz w:val="24"/>
          <w:szCs w:val="24"/>
        </w:rPr>
        <w:t xml:space="preserve">OBJECTIONS TO STAFF REPORT OF INVESTIGATION AND SUMMARY OF MAJOR ISSUES </w:t>
      </w:r>
      <w:r w:rsidR="00AA75B4">
        <w:rPr>
          <w:rFonts w:ascii="Arial" w:hAnsi="Arial" w:cs="Arial"/>
          <w:b/>
          <w:bCs/>
          <w:sz w:val="24"/>
          <w:szCs w:val="24"/>
        </w:rPr>
        <w:t xml:space="preserve">OF </w:t>
      </w:r>
      <w:r w:rsidR="0040267C">
        <w:rPr>
          <w:rFonts w:ascii="Arial" w:hAnsi="Arial" w:cs="Arial"/>
          <w:b/>
          <w:bCs/>
          <w:sz w:val="24"/>
          <w:szCs w:val="24"/>
        </w:rPr>
        <w:t>INTERSTATE GAS SUPPLY, INC.</w:t>
      </w:r>
    </w:p>
    <w:p w14:paraId="7176D2CB" w14:textId="77777777" w:rsidR="00545F29" w:rsidRPr="009D71F6" w:rsidRDefault="00545F29">
      <w:pPr>
        <w:widowControl w:val="0"/>
        <w:pBdr>
          <w:bottom w:val="single" w:sz="12" w:space="1" w:color="auto"/>
        </w:pBdr>
        <w:tabs>
          <w:tab w:val="left" w:pos="6461"/>
        </w:tabs>
        <w:spacing w:after="0" w:line="240" w:lineRule="auto"/>
        <w:jc w:val="center"/>
        <w:rPr>
          <w:rFonts w:ascii="Arial" w:hAnsi="Arial" w:cs="Arial"/>
          <w:sz w:val="24"/>
          <w:szCs w:val="24"/>
        </w:rPr>
      </w:pPr>
    </w:p>
    <w:p w14:paraId="7176D2CC" w14:textId="77777777" w:rsidR="00545F29" w:rsidRPr="009D71F6" w:rsidRDefault="00545F29">
      <w:pPr>
        <w:tabs>
          <w:tab w:val="left" w:pos="360"/>
        </w:tabs>
        <w:spacing w:after="0" w:line="240" w:lineRule="auto"/>
        <w:ind w:left="360" w:hanging="360"/>
        <w:jc w:val="both"/>
        <w:rPr>
          <w:rFonts w:ascii="Arial" w:hAnsi="Arial" w:cs="Arial"/>
          <w:sz w:val="24"/>
          <w:szCs w:val="24"/>
        </w:rPr>
      </w:pPr>
    </w:p>
    <w:p w14:paraId="7D434B1A"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39545212" w14:textId="77777777" w:rsidR="00237730" w:rsidRDefault="00237730" w:rsidP="00A75F7D">
      <w:pPr>
        <w:autoSpaceDE w:val="0"/>
        <w:autoSpaceDN w:val="0"/>
        <w:adjustRightInd w:val="0"/>
        <w:spacing w:after="120" w:line="480" w:lineRule="auto"/>
        <w:jc w:val="both"/>
        <w:rPr>
          <w:rFonts w:ascii="Arial" w:hAnsi="Arial" w:cs="Arial"/>
          <w:sz w:val="24"/>
          <w:szCs w:val="24"/>
        </w:rPr>
      </w:pPr>
    </w:p>
    <w:p w14:paraId="1FFAC93F" w14:textId="5772FB47" w:rsidR="00237730" w:rsidRDefault="00237730" w:rsidP="00237730">
      <w:pPr>
        <w:spacing w:after="0" w:line="240" w:lineRule="auto"/>
        <w:ind w:left="5040"/>
        <w:rPr>
          <w:rFonts w:ascii="Arial" w:eastAsia="Calibri" w:hAnsi="Arial" w:cs="Arial"/>
          <w:sz w:val="24"/>
          <w:szCs w:val="24"/>
          <w:u w:val="single"/>
        </w:rPr>
      </w:pPr>
    </w:p>
    <w:p w14:paraId="7A0CBADF" w14:textId="77777777" w:rsidR="006E5083" w:rsidRDefault="006E5083" w:rsidP="00BE3B88">
      <w:pPr>
        <w:spacing w:after="0" w:line="240" w:lineRule="auto"/>
        <w:ind w:left="5040"/>
        <w:rPr>
          <w:rFonts w:ascii="Arial" w:hAnsi="Arial" w:cs="Arial"/>
          <w:sz w:val="24"/>
          <w:szCs w:val="24"/>
        </w:rPr>
      </w:pPr>
    </w:p>
    <w:p w14:paraId="5569FB0B" w14:textId="77777777" w:rsidR="006E5083" w:rsidRDefault="006E5083" w:rsidP="00BE3B88">
      <w:pPr>
        <w:spacing w:after="0" w:line="240" w:lineRule="auto"/>
        <w:ind w:left="5040"/>
        <w:rPr>
          <w:rFonts w:ascii="Arial" w:hAnsi="Arial" w:cs="Arial"/>
          <w:sz w:val="24"/>
          <w:szCs w:val="24"/>
        </w:rPr>
      </w:pPr>
    </w:p>
    <w:p w14:paraId="5DD0A7F1" w14:textId="77777777" w:rsidR="006E5083" w:rsidRDefault="006E5083" w:rsidP="00BE3B88">
      <w:pPr>
        <w:spacing w:after="0" w:line="240" w:lineRule="auto"/>
        <w:ind w:left="5040"/>
        <w:rPr>
          <w:rFonts w:ascii="Arial" w:hAnsi="Arial" w:cs="Arial"/>
          <w:sz w:val="24"/>
          <w:szCs w:val="24"/>
        </w:rPr>
      </w:pPr>
    </w:p>
    <w:p w14:paraId="28C7A550" w14:textId="77777777" w:rsidR="006E5083" w:rsidRDefault="006E5083" w:rsidP="00BE3B88">
      <w:pPr>
        <w:spacing w:after="0" w:line="240" w:lineRule="auto"/>
        <w:ind w:left="5040"/>
        <w:rPr>
          <w:rFonts w:ascii="Arial" w:hAnsi="Arial" w:cs="Arial"/>
          <w:sz w:val="24"/>
          <w:szCs w:val="24"/>
        </w:rPr>
      </w:pPr>
    </w:p>
    <w:p w14:paraId="0E1DC2F6" w14:textId="77777777" w:rsidR="006E5083" w:rsidRDefault="006E5083" w:rsidP="00BE3B88">
      <w:pPr>
        <w:spacing w:after="0" w:line="240" w:lineRule="auto"/>
        <w:ind w:left="5040"/>
        <w:rPr>
          <w:rFonts w:ascii="Arial" w:hAnsi="Arial" w:cs="Arial"/>
          <w:sz w:val="24"/>
          <w:szCs w:val="24"/>
        </w:rPr>
      </w:pPr>
    </w:p>
    <w:p w14:paraId="26CD0321" w14:textId="77777777" w:rsidR="006E5083" w:rsidRDefault="006E5083" w:rsidP="00BE3B88">
      <w:pPr>
        <w:spacing w:after="0" w:line="240" w:lineRule="auto"/>
        <w:ind w:left="5040"/>
        <w:rPr>
          <w:rFonts w:ascii="Arial" w:hAnsi="Arial" w:cs="Arial"/>
          <w:sz w:val="24"/>
          <w:szCs w:val="24"/>
        </w:rPr>
      </w:pPr>
    </w:p>
    <w:p w14:paraId="1EA6EDBB" w14:textId="77777777" w:rsidR="006E5083" w:rsidRPr="00C51B26" w:rsidRDefault="006E5083" w:rsidP="00C51B26">
      <w:pPr>
        <w:spacing w:after="0" w:line="240" w:lineRule="auto"/>
        <w:rPr>
          <w:rFonts w:ascii="Arial" w:hAnsi="Arial" w:cs="Arial"/>
          <w:sz w:val="24"/>
          <w:szCs w:val="24"/>
        </w:rPr>
      </w:pPr>
    </w:p>
    <w:p w14:paraId="63222642" w14:textId="77777777" w:rsidR="00BE3B88" w:rsidRDefault="00BE3B88" w:rsidP="00BE3B88">
      <w:pPr>
        <w:spacing w:after="0" w:line="240" w:lineRule="auto"/>
        <w:ind w:left="5040"/>
        <w:rPr>
          <w:rFonts w:ascii="Arial" w:hAnsi="Arial" w:cs="Arial"/>
          <w:sz w:val="24"/>
          <w:szCs w:val="24"/>
        </w:rPr>
      </w:pPr>
      <w:r w:rsidRPr="00C51B26">
        <w:rPr>
          <w:rFonts w:ascii="Arial" w:hAnsi="Arial" w:cs="Arial"/>
          <w:sz w:val="24"/>
          <w:szCs w:val="24"/>
        </w:rPr>
        <w:t>Joseph Oliker (0086088)</w:t>
      </w:r>
    </w:p>
    <w:p w14:paraId="4534E81F" w14:textId="6025E603" w:rsidR="00C51B26" w:rsidRPr="00C51B26" w:rsidRDefault="00C51B26" w:rsidP="00BE3B88">
      <w:pPr>
        <w:spacing w:after="0" w:line="240" w:lineRule="auto"/>
        <w:ind w:left="5040"/>
        <w:rPr>
          <w:rFonts w:ascii="Arial" w:hAnsi="Arial" w:cs="Arial"/>
          <w:sz w:val="24"/>
          <w:szCs w:val="24"/>
        </w:rPr>
      </w:pPr>
      <w:r>
        <w:rPr>
          <w:rFonts w:ascii="Arial" w:hAnsi="Arial" w:cs="Arial"/>
          <w:sz w:val="24"/>
          <w:szCs w:val="24"/>
        </w:rPr>
        <w:t xml:space="preserve">Counsel of Record </w:t>
      </w:r>
    </w:p>
    <w:p w14:paraId="3022AE22" w14:textId="77777777" w:rsidR="00BE3B88" w:rsidRPr="00C51B26" w:rsidRDefault="00BE3B88" w:rsidP="00BE3B88">
      <w:pPr>
        <w:spacing w:after="0" w:line="240" w:lineRule="auto"/>
        <w:ind w:left="5040"/>
        <w:rPr>
          <w:rStyle w:val="Hyperlink"/>
          <w:rFonts w:ascii="Arial" w:hAnsi="Arial" w:cs="Arial"/>
          <w:color w:val="auto"/>
          <w:sz w:val="24"/>
          <w:szCs w:val="24"/>
          <w:u w:val="none"/>
        </w:rPr>
      </w:pPr>
      <w:r w:rsidRPr="00C51B26">
        <w:rPr>
          <w:rFonts w:ascii="Arial" w:hAnsi="Arial" w:cs="Arial"/>
          <w:sz w:val="24"/>
          <w:szCs w:val="24"/>
        </w:rPr>
        <w:t xml:space="preserve">Email: </w:t>
      </w:r>
      <w:hyperlink r:id="rId8" w:history="1">
        <w:r w:rsidRPr="00C51B26">
          <w:rPr>
            <w:rStyle w:val="Hyperlink"/>
            <w:rFonts w:ascii="Arial" w:hAnsi="Arial" w:cs="Arial"/>
            <w:color w:val="auto"/>
            <w:sz w:val="24"/>
            <w:szCs w:val="24"/>
            <w:u w:val="none"/>
          </w:rPr>
          <w:t>joliker@igsenergy.com</w:t>
        </w:r>
      </w:hyperlink>
    </w:p>
    <w:p w14:paraId="581AACB6" w14:textId="20AA87E6" w:rsidR="00C51B26" w:rsidRPr="00C51B26" w:rsidRDefault="00C51B26" w:rsidP="00BE3B88">
      <w:pPr>
        <w:spacing w:after="0" w:line="240" w:lineRule="auto"/>
        <w:ind w:left="5040"/>
        <w:rPr>
          <w:rStyle w:val="Hyperlink"/>
          <w:rFonts w:ascii="Arial" w:hAnsi="Arial" w:cs="Arial"/>
          <w:color w:val="auto"/>
          <w:sz w:val="24"/>
          <w:szCs w:val="24"/>
          <w:u w:val="none"/>
        </w:rPr>
      </w:pPr>
      <w:r w:rsidRPr="00C51B26">
        <w:rPr>
          <w:rStyle w:val="Hyperlink"/>
          <w:rFonts w:ascii="Arial" w:hAnsi="Arial" w:cs="Arial"/>
          <w:color w:val="auto"/>
          <w:sz w:val="24"/>
          <w:szCs w:val="24"/>
          <w:u w:val="none"/>
        </w:rPr>
        <w:t>Michael Nugent</w:t>
      </w:r>
    </w:p>
    <w:p w14:paraId="1260A51A" w14:textId="28F5FC20" w:rsidR="00C51B26" w:rsidRPr="00C51B26" w:rsidRDefault="00C51B26" w:rsidP="00BE3B88">
      <w:pPr>
        <w:spacing w:after="0" w:line="240" w:lineRule="auto"/>
        <w:ind w:left="5040"/>
        <w:rPr>
          <w:rFonts w:ascii="Arial" w:hAnsi="Arial" w:cs="Arial"/>
          <w:sz w:val="24"/>
          <w:szCs w:val="24"/>
        </w:rPr>
      </w:pPr>
      <w:r>
        <w:rPr>
          <w:rStyle w:val="Hyperlink"/>
          <w:rFonts w:ascii="Arial" w:hAnsi="Arial" w:cs="Arial"/>
          <w:color w:val="auto"/>
          <w:sz w:val="24"/>
          <w:szCs w:val="24"/>
          <w:u w:val="none"/>
        </w:rPr>
        <w:t xml:space="preserve">Email:  </w:t>
      </w:r>
      <w:r w:rsidRPr="00C51B26">
        <w:rPr>
          <w:rStyle w:val="Hyperlink"/>
          <w:rFonts w:ascii="Arial" w:hAnsi="Arial" w:cs="Arial"/>
          <w:color w:val="auto"/>
          <w:sz w:val="24"/>
          <w:szCs w:val="24"/>
          <w:u w:val="none"/>
        </w:rPr>
        <w:t>Mnugent@igsenergy.com</w:t>
      </w:r>
    </w:p>
    <w:p w14:paraId="521612E5" w14:textId="77777777" w:rsidR="00BE3B88" w:rsidRPr="00C51B26" w:rsidRDefault="00BE3B88" w:rsidP="00BE3B88">
      <w:pPr>
        <w:spacing w:after="0" w:line="240" w:lineRule="auto"/>
        <w:ind w:left="5040"/>
        <w:rPr>
          <w:rFonts w:ascii="Arial" w:hAnsi="Arial" w:cs="Arial"/>
          <w:sz w:val="24"/>
          <w:szCs w:val="24"/>
        </w:rPr>
      </w:pPr>
      <w:r w:rsidRPr="00C51B26">
        <w:rPr>
          <w:rFonts w:ascii="Arial" w:hAnsi="Arial" w:cs="Arial"/>
          <w:sz w:val="24"/>
          <w:szCs w:val="24"/>
        </w:rPr>
        <w:t>IGS Energy</w:t>
      </w:r>
    </w:p>
    <w:p w14:paraId="33DFBB8D" w14:textId="77777777" w:rsidR="00BE3B88" w:rsidRPr="00C51B26" w:rsidRDefault="00BE3B88" w:rsidP="00BE3B88">
      <w:pPr>
        <w:spacing w:after="0" w:line="240" w:lineRule="auto"/>
        <w:ind w:left="5040"/>
        <w:rPr>
          <w:rFonts w:ascii="Arial" w:hAnsi="Arial" w:cs="Arial"/>
          <w:sz w:val="24"/>
          <w:szCs w:val="24"/>
        </w:rPr>
      </w:pPr>
      <w:r w:rsidRPr="00C51B26">
        <w:rPr>
          <w:rFonts w:ascii="Arial" w:hAnsi="Arial" w:cs="Arial"/>
          <w:sz w:val="24"/>
          <w:szCs w:val="24"/>
        </w:rPr>
        <w:t>6100 Emerald Parkway</w:t>
      </w:r>
    </w:p>
    <w:p w14:paraId="292ADA54" w14:textId="77777777" w:rsidR="00BE3B88" w:rsidRPr="00C51B26" w:rsidRDefault="00BE3B88" w:rsidP="00BE3B88">
      <w:pPr>
        <w:spacing w:after="0" w:line="240" w:lineRule="auto"/>
        <w:ind w:left="5040"/>
        <w:rPr>
          <w:rFonts w:ascii="Arial" w:hAnsi="Arial" w:cs="Arial"/>
          <w:sz w:val="24"/>
          <w:szCs w:val="24"/>
        </w:rPr>
      </w:pPr>
      <w:r w:rsidRPr="00C51B26">
        <w:rPr>
          <w:rFonts w:ascii="Arial" w:hAnsi="Arial" w:cs="Arial"/>
          <w:sz w:val="24"/>
          <w:szCs w:val="24"/>
        </w:rPr>
        <w:t>Dublin, Ohio 43016</w:t>
      </w:r>
    </w:p>
    <w:p w14:paraId="6C0694A4" w14:textId="77777777" w:rsidR="00BE3B88" w:rsidRDefault="00BE3B88" w:rsidP="00BE3B88">
      <w:pPr>
        <w:spacing w:after="0" w:line="240" w:lineRule="auto"/>
        <w:ind w:left="5040"/>
        <w:rPr>
          <w:rFonts w:ascii="Arial" w:hAnsi="Arial" w:cs="Arial"/>
          <w:sz w:val="24"/>
          <w:szCs w:val="24"/>
        </w:rPr>
      </w:pPr>
      <w:r w:rsidRPr="00C51B26">
        <w:rPr>
          <w:rFonts w:ascii="Arial" w:hAnsi="Arial" w:cs="Arial"/>
          <w:sz w:val="24"/>
          <w:szCs w:val="24"/>
        </w:rPr>
        <w:t>Telephone:</w:t>
      </w:r>
      <w:r w:rsidRPr="00C51B26">
        <w:rPr>
          <w:rFonts w:ascii="Arial" w:hAnsi="Arial" w:cs="Arial"/>
          <w:sz w:val="24"/>
          <w:szCs w:val="24"/>
        </w:rPr>
        <w:tab/>
        <w:t>(614) 659</w:t>
      </w:r>
      <w:r>
        <w:rPr>
          <w:rFonts w:ascii="Arial" w:hAnsi="Arial" w:cs="Arial"/>
          <w:sz w:val="24"/>
          <w:szCs w:val="24"/>
        </w:rPr>
        <w:t>-5000</w:t>
      </w:r>
    </w:p>
    <w:p w14:paraId="53814665" w14:textId="77777777" w:rsidR="00BE3B88" w:rsidRDefault="00BE3B88" w:rsidP="00BE3B88">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21768369" w14:textId="77777777" w:rsidR="00BE3B88" w:rsidRDefault="00BE3B88" w:rsidP="00BE3B88">
      <w:pPr>
        <w:spacing w:after="0" w:line="240" w:lineRule="auto"/>
        <w:ind w:left="5040"/>
        <w:rPr>
          <w:rFonts w:ascii="Arial" w:hAnsi="Arial" w:cs="Arial"/>
          <w:sz w:val="24"/>
          <w:szCs w:val="24"/>
        </w:rPr>
      </w:pPr>
    </w:p>
    <w:p w14:paraId="29245C49" w14:textId="52EA654E" w:rsidR="00237730" w:rsidRDefault="00BE3B88" w:rsidP="00C51B26">
      <w:pPr>
        <w:spacing w:after="0" w:line="240" w:lineRule="auto"/>
        <w:ind w:left="5040"/>
        <w:rPr>
          <w:rFonts w:ascii="Arial" w:hAnsi="Arial" w:cs="Arial"/>
          <w:b/>
          <w:i/>
          <w:sz w:val="24"/>
          <w:szCs w:val="24"/>
        </w:rPr>
      </w:pPr>
      <w:r>
        <w:rPr>
          <w:rFonts w:ascii="Arial" w:hAnsi="Arial" w:cs="Arial"/>
          <w:b/>
          <w:i/>
          <w:sz w:val="24"/>
          <w:szCs w:val="24"/>
        </w:rPr>
        <w:t>Attorney</w:t>
      </w:r>
      <w:r w:rsidR="00C51B26">
        <w:rPr>
          <w:rFonts w:ascii="Arial" w:hAnsi="Arial" w:cs="Arial"/>
          <w:b/>
          <w:i/>
          <w:sz w:val="24"/>
          <w:szCs w:val="24"/>
        </w:rPr>
        <w:t>s</w:t>
      </w:r>
      <w:r>
        <w:rPr>
          <w:rFonts w:ascii="Arial" w:hAnsi="Arial" w:cs="Arial"/>
          <w:b/>
          <w:i/>
          <w:sz w:val="24"/>
          <w:szCs w:val="24"/>
        </w:rPr>
        <w:t xml:space="preserve"> for IGS Energy</w:t>
      </w:r>
    </w:p>
    <w:p w14:paraId="6499D885" w14:textId="3B1CBA0F" w:rsidR="00BE3B88" w:rsidRDefault="00C51B26" w:rsidP="006E5083">
      <w:pPr>
        <w:spacing w:after="0" w:line="240" w:lineRule="auto"/>
        <w:rPr>
          <w:rFonts w:ascii="Arial" w:hAnsi="Arial" w:cs="Arial"/>
          <w:b/>
          <w:sz w:val="24"/>
          <w:szCs w:val="24"/>
        </w:rPr>
      </w:pPr>
      <w:r>
        <w:rPr>
          <w:rFonts w:ascii="Arial" w:hAnsi="Arial" w:cs="Arial"/>
          <w:b/>
          <w:sz w:val="24"/>
          <w:szCs w:val="24"/>
        </w:rPr>
        <w:t>October</w:t>
      </w:r>
      <w:r w:rsidR="00BE3B88">
        <w:rPr>
          <w:rFonts w:ascii="Arial" w:hAnsi="Arial" w:cs="Arial"/>
          <w:b/>
          <w:sz w:val="24"/>
          <w:szCs w:val="24"/>
        </w:rPr>
        <w:t xml:space="preserve"> 2</w:t>
      </w:r>
      <w:r>
        <w:rPr>
          <w:rFonts w:ascii="Arial" w:hAnsi="Arial" w:cs="Arial"/>
          <w:b/>
          <w:sz w:val="24"/>
          <w:szCs w:val="24"/>
        </w:rPr>
        <w:t>6</w:t>
      </w:r>
      <w:r w:rsidR="0082522C">
        <w:rPr>
          <w:rFonts w:ascii="Arial" w:hAnsi="Arial" w:cs="Arial"/>
          <w:b/>
          <w:sz w:val="24"/>
          <w:szCs w:val="24"/>
        </w:rPr>
        <w:t>,</w:t>
      </w:r>
      <w:r w:rsidR="00C81C96">
        <w:rPr>
          <w:rFonts w:ascii="Arial" w:hAnsi="Arial" w:cs="Arial"/>
          <w:b/>
          <w:sz w:val="24"/>
          <w:szCs w:val="24"/>
        </w:rPr>
        <w:t xml:space="preserve"> 2017</w:t>
      </w:r>
    </w:p>
    <w:p w14:paraId="15EC67ED" w14:textId="77777777" w:rsidR="005948BC" w:rsidRDefault="005948BC" w:rsidP="005948BC">
      <w:pPr>
        <w:widowControl w:val="0"/>
        <w:spacing w:after="0" w:line="240" w:lineRule="auto"/>
        <w:jc w:val="center"/>
        <w:rPr>
          <w:rFonts w:ascii="Arial" w:hAnsi="Arial" w:cs="Arial"/>
          <w:b/>
          <w:bCs/>
          <w:sz w:val="24"/>
          <w:szCs w:val="24"/>
          <w:u w:val="single"/>
        </w:rPr>
      </w:pPr>
      <w:r w:rsidRPr="00EC2ABB">
        <w:rPr>
          <w:rFonts w:ascii="Arial" w:hAnsi="Arial" w:cs="Arial"/>
          <w:b/>
          <w:bCs/>
          <w:sz w:val="24"/>
          <w:szCs w:val="24"/>
          <w:u w:val="single"/>
        </w:rPr>
        <w:lastRenderedPageBreak/>
        <w:t>TABLE OF CONTENTS</w:t>
      </w:r>
    </w:p>
    <w:p w14:paraId="295BAD37" w14:textId="77777777" w:rsidR="005948BC" w:rsidRPr="00AE7A34" w:rsidRDefault="005948BC" w:rsidP="005948BC">
      <w:pPr>
        <w:widowControl w:val="0"/>
        <w:spacing w:after="0" w:line="240" w:lineRule="auto"/>
        <w:jc w:val="center"/>
        <w:rPr>
          <w:rFonts w:ascii="Arial" w:hAnsi="Arial" w:cs="Arial"/>
          <w:b/>
          <w:bCs/>
          <w:sz w:val="24"/>
          <w:szCs w:val="24"/>
          <w:u w:val="single"/>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u w:val="single"/>
        </w:rPr>
        <w:t>PAGE</w:t>
      </w:r>
    </w:p>
    <w:p w14:paraId="3D10E0B6" w14:textId="77777777" w:rsidR="005948BC" w:rsidRDefault="005948BC" w:rsidP="005948BC">
      <w:pPr>
        <w:pStyle w:val="Level1"/>
        <w:rPr>
          <w:webHidden/>
        </w:rPr>
      </w:pPr>
    </w:p>
    <w:p w14:paraId="4B8975C4" w14:textId="77777777" w:rsidR="005948BC" w:rsidRPr="00AE7A34" w:rsidRDefault="005948BC" w:rsidP="005948BC">
      <w:pPr>
        <w:pStyle w:val="Level1"/>
        <w:numPr>
          <w:ilvl w:val="0"/>
          <w:numId w:val="16"/>
        </w:numPr>
        <w:rPr>
          <w:rFonts w:ascii="Arial" w:hAnsi="Arial" w:cs="Arial"/>
        </w:rPr>
      </w:pPr>
      <w:r w:rsidRPr="00AE7A34">
        <w:rPr>
          <w:rFonts w:ascii="Arial" w:hAnsi="Arial" w:cs="Arial"/>
          <w:webHidden/>
        </w:rPr>
        <w:t xml:space="preserve">introduction </w:t>
      </w:r>
      <w:r w:rsidRPr="00AE7A34">
        <w:rPr>
          <w:rFonts w:ascii="Arial" w:hAnsi="Arial" w:cs="Arial"/>
          <w:webHidden/>
        </w:rPr>
        <w:tab/>
      </w:r>
      <w:r>
        <w:rPr>
          <w:rFonts w:ascii="Arial" w:hAnsi="Arial" w:cs="Arial"/>
          <w:webHidden/>
        </w:rPr>
        <w:t>3</w:t>
      </w:r>
    </w:p>
    <w:p w14:paraId="7377BD43" w14:textId="77777777" w:rsidR="005948BC" w:rsidRDefault="005948BC" w:rsidP="005948BC">
      <w:pPr>
        <w:pStyle w:val="Level1"/>
        <w:numPr>
          <w:ilvl w:val="0"/>
          <w:numId w:val="16"/>
        </w:numPr>
        <w:rPr>
          <w:rFonts w:ascii="Arial" w:hAnsi="Arial" w:cs="Arial"/>
          <w:webHidden/>
        </w:rPr>
      </w:pPr>
      <w:r>
        <w:rPr>
          <w:rFonts w:ascii="Arial" w:hAnsi="Arial" w:cs="Arial"/>
          <w:webHidden/>
        </w:rPr>
        <w:t>OBJECTIONS TO THE STAFF REPORT</w:t>
      </w:r>
      <w:r w:rsidRPr="00AE7A34">
        <w:rPr>
          <w:rFonts w:ascii="Arial" w:hAnsi="Arial" w:cs="Arial"/>
          <w:webHidden/>
        </w:rPr>
        <w:tab/>
      </w:r>
      <w:r>
        <w:rPr>
          <w:rFonts w:ascii="Arial" w:hAnsi="Arial" w:cs="Arial"/>
          <w:webHidden/>
        </w:rPr>
        <w:t>4</w:t>
      </w:r>
    </w:p>
    <w:p w14:paraId="53A4A41B" w14:textId="77777777" w:rsidR="005948BC" w:rsidRPr="00F2733B" w:rsidRDefault="005948BC" w:rsidP="005948BC">
      <w:pPr>
        <w:pStyle w:val="Level1"/>
        <w:numPr>
          <w:ilvl w:val="1"/>
          <w:numId w:val="16"/>
        </w:numPr>
        <w:rPr>
          <w:rFonts w:ascii="Arial" w:hAnsi="Arial" w:cs="Arial"/>
        </w:rPr>
      </w:pPr>
      <w:r w:rsidRPr="00F2733B">
        <w:rPr>
          <w:rFonts w:ascii="Arial" w:hAnsi="Arial" w:cs="Arial"/>
        </w:rPr>
        <w:t xml:space="preserve">The Staff Report fails to recommend that Duke unbundle </w:t>
      </w:r>
      <w:r>
        <w:rPr>
          <w:rFonts w:ascii="Arial" w:hAnsi="Arial" w:cs="Arial"/>
        </w:rPr>
        <w:t xml:space="preserve">                </w:t>
      </w:r>
      <w:r w:rsidRPr="00F2733B">
        <w:rPr>
          <w:rFonts w:ascii="Arial" w:hAnsi="Arial" w:cs="Arial"/>
        </w:rPr>
        <w:t xml:space="preserve">from distribution rates costs related to the provision of </w:t>
      </w:r>
      <w:r>
        <w:rPr>
          <w:rFonts w:ascii="Arial" w:hAnsi="Arial" w:cs="Arial"/>
        </w:rPr>
        <w:t xml:space="preserve">             </w:t>
      </w:r>
      <w:r w:rsidRPr="00F2733B">
        <w:rPr>
          <w:rFonts w:ascii="Arial" w:hAnsi="Arial" w:cs="Arial"/>
        </w:rPr>
        <w:t xml:space="preserve">the standard service offer </w:t>
      </w:r>
      <w:r w:rsidRPr="00AE7A34">
        <w:rPr>
          <w:rFonts w:ascii="Arial" w:hAnsi="Arial" w:cs="Arial"/>
          <w:webHidden/>
        </w:rPr>
        <w:tab/>
      </w:r>
      <w:r>
        <w:rPr>
          <w:rFonts w:ascii="Arial" w:hAnsi="Arial" w:cs="Arial"/>
          <w:webHidden/>
        </w:rPr>
        <w:t>4</w:t>
      </w:r>
      <w:r w:rsidRPr="00F2733B">
        <w:rPr>
          <w:rFonts w:ascii="Arial" w:hAnsi="Arial" w:cs="Arial"/>
        </w:rPr>
        <w:t xml:space="preserve"> </w:t>
      </w:r>
    </w:p>
    <w:p w14:paraId="6E3887E2" w14:textId="77777777" w:rsidR="005948BC" w:rsidRPr="00AE7A34" w:rsidRDefault="005948BC" w:rsidP="005948BC">
      <w:pPr>
        <w:pStyle w:val="Level1"/>
        <w:numPr>
          <w:ilvl w:val="1"/>
          <w:numId w:val="16"/>
        </w:numPr>
        <w:rPr>
          <w:rFonts w:ascii="Arial" w:hAnsi="Arial" w:cs="Arial"/>
          <w:webHidden/>
        </w:rPr>
      </w:pPr>
      <w:r>
        <w:rPr>
          <w:rFonts w:ascii="Arial" w:hAnsi="Arial" w:cs="Arial"/>
          <w:webHidden/>
        </w:rPr>
        <w:t>PURCHASE OF RECEIVABLES DISCOUNT</w:t>
      </w:r>
      <w:r w:rsidRPr="00AE7A34">
        <w:rPr>
          <w:rFonts w:ascii="Arial" w:hAnsi="Arial" w:cs="Arial"/>
          <w:webHidden/>
        </w:rPr>
        <w:tab/>
      </w:r>
      <w:r>
        <w:rPr>
          <w:rFonts w:ascii="Arial" w:hAnsi="Arial" w:cs="Arial"/>
          <w:webHidden/>
        </w:rPr>
        <w:t>7</w:t>
      </w:r>
    </w:p>
    <w:p w14:paraId="09C1CE69" w14:textId="77777777" w:rsidR="005948BC" w:rsidRDefault="005948BC" w:rsidP="005948BC">
      <w:pPr>
        <w:pStyle w:val="Level1"/>
        <w:numPr>
          <w:ilvl w:val="1"/>
          <w:numId w:val="16"/>
        </w:numPr>
        <w:rPr>
          <w:rFonts w:ascii="Arial" w:hAnsi="Arial" w:cs="Arial"/>
          <w:webHidden/>
        </w:rPr>
      </w:pPr>
      <w:r>
        <w:rPr>
          <w:rFonts w:ascii="Arial" w:hAnsi="Arial" w:cs="Arial"/>
          <w:webHidden/>
        </w:rPr>
        <w:t>time-of-use rates</w:t>
      </w:r>
      <w:r w:rsidRPr="00AE7A34">
        <w:rPr>
          <w:rFonts w:ascii="Arial" w:hAnsi="Arial" w:cs="Arial"/>
          <w:webHidden/>
        </w:rPr>
        <w:tab/>
      </w:r>
      <w:r>
        <w:rPr>
          <w:rFonts w:ascii="Arial" w:hAnsi="Arial" w:cs="Arial"/>
          <w:webHidden/>
        </w:rPr>
        <w:t>10</w:t>
      </w:r>
    </w:p>
    <w:p w14:paraId="6B18356F" w14:textId="77777777" w:rsidR="005948BC" w:rsidRDefault="005948BC" w:rsidP="005948BC">
      <w:pPr>
        <w:pStyle w:val="Level1"/>
        <w:numPr>
          <w:ilvl w:val="1"/>
          <w:numId w:val="16"/>
        </w:numPr>
        <w:rPr>
          <w:rFonts w:ascii="Arial" w:hAnsi="Arial" w:cs="Arial"/>
          <w:webHidden/>
        </w:rPr>
      </w:pPr>
      <w:r w:rsidRPr="004752F9">
        <w:rPr>
          <w:rFonts w:ascii="Arial" w:hAnsi="Arial" w:cs="Arial"/>
        </w:rPr>
        <w:t xml:space="preserve">The Staff Report fails to evaluate whether the test year </w:t>
      </w:r>
      <w:r>
        <w:rPr>
          <w:rFonts w:ascii="Arial" w:hAnsi="Arial" w:cs="Arial"/>
        </w:rPr>
        <w:t xml:space="preserve">  </w:t>
      </w:r>
      <w:r w:rsidRPr="004752F9">
        <w:rPr>
          <w:rFonts w:ascii="Arial" w:hAnsi="Arial" w:cs="Arial"/>
        </w:rPr>
        <w:t xml:space="preserve">includes costs related to the provision of services on </w:t>
      </w:r>
      <w:r>
        <w:rPr>
          <w:rFonts w:ascii="Arial" w:hAnsi="Arial" w:cs="Arial"/>
        </w:rPr>
        <w:t xml:space="preserve">           </w:t>
      </w:r>
      <w:r w:rsidRPr="004752F9">
        <w:rPr>
          <w:rFonts w:ascii="Arial" w:hAnsi="Arial" w:cs="Arial"/>
        </w:rPr>
        <w:t>behalf of affiliated entities</w:t>
      </w:r>
      <w:r w:rsidRPr="00AE7A34">
        <w:rPr>
          <w:rFonts w:ascii="Arial" w:hAnsi="Arial" w:cs="Arial"/>
          <w:webHidden/>
        </w:rPr>
        <w:tab/>
      </w:r>
      <w:r>
        <w:rPr>
          <w:rFonts w:ascii="Arial" w:hAnsi="Arial" w:cs="Arial"/>
          <w:webHidden/>
        </w:rPr>
        <w:t>11</w:t>
      </w:r>
    </w:p>
    <w:p w14:paraId="1AC6D25F" w14:textId="2C6352D4" w:rsidR="005948BC" w:rsidRDefault="005948BC" w:rsidP="005948BC">
      <w:pPr>
        <w:pStyle w:val="Level1"/>
        <w:numPr>
          <w:ilvl w:val="1"/>
          <w:numId w:val="16"/>
        </w:numPr>
        <w:rPr>
          <w:rFonts w:ascii="Arial" w:hAnsi="Arial" w:cs="Arial"/>
          <w:webHidden/>
        </w:rPr>
      </w:pPr>
      <w:r>
        <w:rPr>
          <w:rFonts w:ascii="Arial" w:hAnsi="Arial" w:cs="Arial"/>
          <w:webHidden/>
        </w:rPr>
        <w:t>customer information system</w:t>
      </w:r>
      <w:r w:rsidRPr="00AE7A34">
        <w:rPr>
          <w:rFonts w:ascii="Arial" w:hAnsi="Arial" w:cs="Arial"/>
          <w:webHidden/>
        </w:rPr>
        <w:tab/>
      </w:r>
      <w:r w:rsidR="00526ADC">
        <w:rPr>
          <w:rFonts w:ascii="Arial" w:hAnsi="Arial" w:cs="Arial"/>
          <w:webHidden/>
        </w:rPr>
        <w:t>12</w:t>
      </w:r>
    </w:p>
    <w:p w14:paraId="5881417B" w14:textId="01F393FE" w:rsidR="005948BC" w:rsidRDefault="005948BC" w:rsidP="005948BC">
      <w:pPr>
        <w:pStyle w:val="Level1"/>
        <w:numPr>
          <w:ilvl w:val="2"/>
          <w:numId w:val="16"/>
        </w:numPr>
        <w:rPr>
          <w:rFonts w:ascii="Arial" w:hAnsi="Arial" w:cs="Arial"/>
          <w:webHidden/>
        </w:rPr>
      </w:pPr>
      <w:r>
        <w:rPr>
          <w:rFonts w:ascii="Arial" w:hAnsi="Arial" w:cs="Arial"/>
          <w:webHidden/>
        </w:rPr>
        <w:t xml:space="preserve"> interval data transmission</w:t>
      </w:r>
      <w:r w:rsidRPr="00AE7A34">
        <w:rPr>
          <w:rFonts w:ascii="Arial" w:hAnsi="Arial" w:cs="Arial"/>
          <w:webHidden/>
        </w:rPr>
        <w:tab/>
      </w:r>
      <w:r w:rsidR="001704AC">
        <w:rPr>
          <w:rFonts w:ascii="Arial" w:hAnsi="Arial" w:cs="Arial"/>
          <w:webHidden/>
        </w:rPr>
        <w:t>12</w:t>
      </w:r>
    </w:p>
    <w:p w14:paraId="71B9E3A6" w14:textId="32727138" w:rsidR="005948BC" w:rsidRDefault="005948BC" w:rsidP="005948BC">
      <w:pPr>
        <w:pStyle w:val="Level1"/>
        <w:numPr>
          <w:ilvl w:val="2"/>
          <w:numId w:val="16"/>
        </w:numPr>
        <w:rPr>
          <w:rFonts w:ascii="Arial" w:hAnsi="Arial" w:cs="Arial"/>
          <w:webHidden/>
        </w:rPr>
      </w:pPr>
      <w:r>
        <w:rPr>
          <w:rFonts w:ascii="Arial" w:hAnsi="Arial" w:cs="Arial"/>
          <w:webHidden/>
        </w:rPr>
        <w:t xml:space="preserve"> enhanced billing functionality</w:t>
      </w:r>
      <w:r w:rsidRPr="00AE7A34">
        <w:rPr>
          <w:rFonts w:ascii="Arial" w:hAnsi="Arial" w:cs="Arial"/>
          <w:webHidden/>
        </w:rPr>
        <w:tab/>
      </w:r>
      <w:r w:rsidR="001704AC">
        <w:rPr>
          <w:rFonts w:ascii="Arial" w:hAnsi="Arial" w:cs="Arial"/>
          <w:webHidden/>
        </w:rPr>
        <w:t>16</w:t>
      </w:r>
    </w:p>
    <w:p w14:paraId="035F3A97" w14:textId="69ADDBE4" w:rsidR="005948BC" w:rsidRDefault="005948BC" w:rsidP="005948BC">
      <w:pPr>
        <w:pStyle w:val="Level1"/>
        <w:numPr>
          <w:ilvl w:val="1"/>
          <w:numId w:val="16"/>
        </w:numPr>
        <w:rPr>
          <w:rFonts w:ascii="Arial" w:hAnsi="Arial" w:cs="Arial"/>
          <w:webHidden/>
        </w:rPr>
      </w:pPr>
      <w:r>
        <w:rPr>
          <w:rFonts w:ascii="Arial" w:hAnsi="Arial" w:cs="Arial"/>
          <w:webHidden/>
        </w:rPr>
        <w:t>LED lighting</w:t>
      </w:r>
      <w:r w:rsidRPr="00AE7A34">
        <w:rPr>
          <w:rFonts w:ascii="Arial" w:hAnsi="Arial" w:cs="Arial"/>
          <w:webHidden/>
        </w:rPr>
        <w:tab/>
      </w:r>
      <w:r w:rsidR="001704AC">
        <w:rPr>
          <w:rFonts w:ascii="Arial" w:hAnsi="Arial" w:cs="Arial"/>
          <w:webHidden/>
        </w:rPr>
        <w:t>17</w:t>
      </w:r>
    </w:p>
    <w:p w14:paraId="775759E4" w14:textId="77777777" w:rsidR="005948BC" w:rsidRPr="00AE7A34" w:rsidRDefault="005948BC" w:rsidP="005948BC">
      <w:pPr>
        <w:pStyle w:val="Level1"/>
        <w:numPr>
          <w:ilvl w:val="0"/>
          <w:numId w:val="16"/>
        </w:numPr>
        <w:rPr>
          <w:rFonts w:ascii="Arial" w:hAnsi="Arial" w:cs="Arial"/>
        </w:rPr>
      </w:pPr>
      <w:r>
        <w:rPr>
          <w:rFonts w:ascii="Arial" w:hAnsi="Arial" w:cs="Arial"/>
        </w:rPr>
        <w:t>summary of major issues</w:t>
      </w:r>
      <w:r w:rsidRPr="00AE7A34">
        <w:rPr>
          <w:rFonts w:ascii="Arial" w:hAnsi="Arial" w:cs="Arial"/>
          <w:webHidden/>
        </w:rPr>
        <w:tab/>
      </w:r>
      <w:r>
        <w:rPr>
          <w:rFonts w:ascii="Arial" w:hAnsi="Arial" w:cs="Arial"/>
          <w:webHidden/>
        </w:rPr>
        <w:t>17</w:t>
      </w:r>
    </w:p>
    <w:p w14:paraId="77CDA981" w14:textId="3F22E0F1" w:rsidR="005948BC" w:rsidRPr="005948BC" w:rsidRDefault="005948BC" w:rsidP="005948BC">
      <w:pPr>
        <w:rPr>
          <w:rFonts w:ascii="Arial" w:eastAsia="Times New Roman" w:hAnsi="Arial" w:cs="Arial"/>
          <w:b/>
          <w:sz w:val="24"/>
          <w:szCs w:val="24"/>
        </w:rPr>
      </w:pPr>
      <w:r>
        <w:rPr>
          <w:rFonts w:ascii="Arial" w:eastAsia="Times New Roman" w:hAnsi="Arial" w:cs="Arial"/>
          <w:b/>
          <w:sz w:val="24"/>
          <w:szCs w:val="24"/>
        </w:rPr>
        <w:br w:type="page"/>
      </w:r>
    </w:p>
    <w:p w14:paraId="6C2ADBD3" w14:textId="1EA45741" w:rsidR="00237730" w:rsidRPr="009D71F6" w:rsidRDefault="00237730" w:rsidP="00237730">
      <w:pPr>
        <w:pStyle w:val="Title"/>
        <w:widowControl w:val="0"/>
        <w:rPr>
          <w:rFonts w:ascii="Arial" w:hAnsi="Arial" w:cs="Arial"/>
          <w:szCs w:val="24"/>
        </w:rPr>
      </w:pPr>
      <w:r w:rsidRPr="009D71F6">
        <w:rPr>
          <w:rFonts w:ascii="Arial" w:hAnsi="Arial" w:cs="Arial"/>
          <w:szCs w:val="24"/>
        </w:rPr>
        <w:lastRenderedPageBreak/>
        <w:t>BEFORE</w:t>
      </w:r>
    </w:p>
    <w:p w14:paraId="43401F05" w14:textId="77777777" w:rsidR="00237730" w:rsidRPr="009D71F6" w:rsidRDefault="00237730" w:rsidP="00237730">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C81C96" w:rsidRPr="009D71F6" w14:paraId="7097BB97" w14:textId="77777777" w:rsidTr="0055339D">
        <w:trPr>
          <w:trHeight w:val="873"/>
          <w:jc w:val="center"/>
        </w:trPr>
        <w:tc>
          <w:tcPr>
            <w:tcW w:w="4739" w:type="dxa"/>
          </w:tcPr>
          <w:p w14:paraId="712B0739" w14:textId="77777777" w:rsidR="00C81C96" w:rsidRDefault="00C81C96" w:rsidP="00C81C96">
            <w:pPr>
              <w:spacing w:after="0" w:line="240" w:lineRule="auto"/>
              <w:rPr>
                <w:rFonts w:ascii="Arial" w:hAnsi="Arial" w:cs="Arial"/>
                <w:sz w:val="24"/>
                <w:szCs w:val="24"/>
              </w:rPr>
            </w:pPr>
            <w:r w:rsidRPr="00C81C96">
              <w:rPr>
                <w:rFonts w:ascii="Arial" w:hAnsi="Arial" w:cs="Arial"/>
                <w:sz w:val="24"/>
                <w:szCs w:val="24"/>
              </w:rPr>
              <w:t xml:space="preserve">In the Matter of the Application of Duke Energy Ohio, Inc. for an Increase in Electric Distribution Rates. </w:t>
            </w:r>
          </w:p>
          <w:p w14:paraId="1AC1068D" w14:textId="77777777" w:rsidR="00C81C96" w:rsidRDefault="00C81C96" w:rsidP="00C81C96">
            <w:pPr>
              <w:spacing w:after="0" w:line="240" w:lineRule="auto"/>
              <w:rPr>
                <w:rFonts w:ascii="Arial" w:hAnsi="Arial" w:cs="Arial"/>
                <w:sz w:val="24"/>
                <w:szCs w:val="24"/>
              </w:rPr>
            </w:pPr>
          </w:p>
          <w:p w14:paraId="7A2517FA" w14:textId="2C09081D" w:rsidR="00C81C96" w:rsidRDefault="00C81C96" w:rsidP="00C81C96">
            <w:pPr>
              <w:autoSpaceDE w:val="0"/>
              <w:autoSpaceDN w:val="0"/>
              <w:adjustRightInd w:val="0"/>
              <w:spacing w:after="0" w:line="240" w:lineRule="auto"/>
              <w:rPr>
                <w:rFonts w:ascii="Arial" w:hAnsi="Arial" w:cs="Arial"/>
                <w:sz w:val="24"/>
                <w:szCs w:val="24"/>
              </w:rPr>
            </w:pPr>
            <w:r w:rsidRPr="00C81C96">
              <w:rPr>
                <w:rFonts w:ascii="Arial" w:hAnsi="Arial" w:cs="Arial"/>
                <w:sz w:val="24"/>
                <w:szCs w:val="24"/>
              </w:rPr>
              <w:t>In the Matter of</w:t>
            </w:r>
            <w:r>
              <w:rPr>
                <w:rFonts w:ascii="Arial" w:hAnsi="Arial" w:cs="Arial"/>
                <w:sz w:val="24"/>
                <w:szCs w:val="24"/>
              </w:rPr>
              <w:t xml:space="preserve"> the</w:t>
            </w:r>
            <w:r w:rsidRPr="00C81C96">
              <w:rPr>
                <w:rFonts w:ascii="Arial" w:hAnsi="Arial" w:cs="Arial"/>
                <w:sz w:val="24"/>
                <w:szCs w:val="24"/>
              </w:rPr>
              <w:t xml:space="preserve"> Application of Duke Energy Ohio, Inc. for Tariff Approval.</w:t>
            </w:r>
          </w:p>
          <w:p w14:paraId="7C15B9F8" w14:textId="77777777" w:rsidR="00C81C96" w:rsidRDefault="00C81C96" w:rsidP="00C81C96">
            <w:pPr>
              <w:autoSpaceDE w:val="0"/>
              <w:autoSpaceDN w:val="0"/>
              <w:adjustRightInd w:val="0"/>
              <w:spacing w:after="0" w:line="240" w:lineRule="auto"/>
              <w:rPr>
                <w:rFonts w:ascii="Arial" w:hAnsi="Arial" w:cs="Arial"/>
                <w:sz w:val="24"/>
                <w:szCs w:val="24"/>
              </w:rPr>
            </w:pPr>
          </w:p>
          <w:p w14:paraId="4F7A1708" w14:textId="688C4B83" w:rsidR="00C81C96" w:rsidRPr="009D71F6" w:rsidRDefault="00C81C96" w:rsidP="00C81C96">
            <w:pPr>
              <w:widowControl w:val="0"/>
              <w:spacing w:after="0" w:line="240" w:lineRule="auto"/>
              <w:rPr>
                <w:rFonts w:ascii="Arial" w:hAnsi="Arial" w:cs="Arial"/>
                <w:sz w:val="24"/>
                <w:szCs w:val="24"/>
              </w:rPr>
            </w:pPr>
            <w:r w:rsidRPr="00C81C96">
              <w:rPr>
                <w:rFonts w:ascii="Arial" w:hAnsi="Arial" w:cs="Arial"/>
                <w:sz w:val="24"/>
                <w:szCs w:val="24"/>
              </w:rPr>
              <w:t xml:space="preserve">In the Matter of the Application of Duke Energy Ohio, Inc. for Approval to Change Accounting Methods. </w:t>
            </w:r>
          </w:p>
        </w:tc>
        <w:tc>
          <w:tcPr>
            <w:tcW w:w="630" w:type="dxa"/>
          </w:tcPr>
          <w:p w14:paraId="6939DA7F" w14:textId="77777777" w:rsidR="00C81C96" w:rsidRPr="00561663" w:rsidRDefault="00C81C96" w:rsidP="00C81C96">
            <w:pPr>
              <w:widowControl w:val="0"/>
              <w:spacing w:after="0" w:line="240" w:lineRule="auto"/>
              <w:jc w:val="center"/>
              <w:rPr>
                <w:rFonts w:ascii="Arial" w:hAnsi="Arial" w:cs="Arial"/>
                <w:sz w:val="24"/>
                <w:szCs w:val="24"/>
              </w:rPr>
            </w:pPr>
            <w:r w:rsidRPr="00561663">
              <w:rPr>
                <w:rFonts w:ascii="Arial" w:hAnsi="Arial" w:cs="Arial"/>
                <w:sz w:val="24"/>
                <w:szCs w:val="24"/>
              </w:rPr>
              <w:t>)</w:t>
            </w:r>
          </w:p>
          <w:p w14:paraId="6B802847" w14:textId="77777777" w:rsidR="00C81C96" w:rsidRPr="00561663" w:rsidRDefault="00C81C96" w:rsidP="00C81C96">
            <w:pPr>
              <w:widowControl w:val="0"/>
              <w:spacing w:after="0" w:line="240" w:lineRule="auto"/>
              <w:jc w:val="center"/>
              <w:rPr>
                <w:rFonts w:ascii="Arial" w:hAnsi="Arial" w:cs="Arial"/>
                <w:sz w:val="24"/>
                <w:szCs w:val="24"/>
              </w:rPr>
            </w:pPr>
            <w:r w:rsidRPr="00561663">
              <w:rPr>
                <w:rFonts w:ascii="Arial" w:hAnsi="Arial" w:cs="Arial"/>
                <w:sz w:val="24"/>
                <w:szCs w:val="24"/>
              </w:rPr>
              <w:t>)</w:t>
            </w:r>
          </w:p>
          <w:p w14:paraId="2E962C72" w14:textId="77777777" w:rsidR="00C81C96" w:rsidRPr="00561663" w:rsidRDefault="00C81C96" w:rsidP="00C81C96">
            <w:pPr>
              <w:widowControl w:val="0"/>
              <w:spacing w:after="0" w:line="240" w:lineRule="auto"/>
              <w:jc w:val="center"/>
              <w:rPr>
                <w:rFonts w:ascii="Arial" w:hAnsi="Arial" w:cs="Arial"/>
                <w:sz w:val="24"/>
                <w:szCs w:val="24"/>
              </w:rPr>
            </w:pPr>
            <w:r w:rsidRPr="00561663">
              <w:rPr>
                <w:rFonts w:ascii="Arial" w:hAnsi="Arial" w:cs="Arial"/>
                <w:sz w:val="24"/>
                <w:szCs w:val="24"/>
              </w:rPr>
              <w:t>)</w:t>
            </w:r>
          </w:p>
          <w:p w14:paraId="5233E69B" w14:textId="77777777" w:rsidR="00C81C96" w:rsidRDefault="00C81C96" w:rsidP="00C81C96">
            <w:pPr>
              <w:widowControl w:val="0"/>
              <w:spacing w:after="0" w:line="240" w:lineRule="auto"/>
              <w:jc w:val="center"/>
              <w:rPr>
                <w:rFonts w:ascii="Arial" w:hAnsi="Arial" w:cs="Arial"/>
                <w:sz w:val="24"/>
                <w:szCs w:val="24"/>
              </w:rPr>
            </w:pPr>
          </w:p>
          <w:p w14:paraId="2C22B64E" w14:textId="77777777" w:rsidR="00C81C96" w:rsidRDefault="00C81C96" w:rsidP="00C81C96">
            <w:pPr>
              <w:widowControl w:val="0"/>
              <w:spacing w:after="0" w:line="240" w:lineRule="auto"/>
              <w:jc w:val="center"/>
              <w:rPr>
                <w:rFonts w:ascii="Arial" w:hAnsi="Arial" w:cs="Arial"/>
                <w:sz w:val="24"/>
                <w:szCs w:val="24"/>
              </w:rPr>
            </w:pPr>
            <w:r>
              <w:rPr>
                <w:rFonts w:ascii="Arial" w:hAnsi="Arial" w:cs="Arial"/>
                <w:sz w:val="24"/>
                <w:szCs w:val="24"/>
              </w:rPr>
              <w:t>)</w:t>
            </w:r>
          </w:p>
          <w:p w14:paraId="4AB89AB0" w14:textId="77777777" w:rsidR="00C81C96" w:rsidRDefault="00C81C96" w:rsidP="00C81C96">
            <w:pPr>
              <w:widowControl w:val="0"/>
              <w:spacing w:after="0" w:line="240" w:lineRule="auto"/>
              <w:jc w:val="center"/>
              <w:rPr>
                <w:rFonts w:ascii="Arial" w:hAnsi="Arial" w:cs="Arial"/>
                <w:sz w:val="24"/>
                <w:szCs w:val="24"/>
              </w:rPr>
            </w:pPr>
            <w:r>
              <w:rPr>
                <w:rFonts w:ascii="Arial" w:hAnsi="Arial" w:cs="Arial"/>
                <w:sz w:val="24"/>
                <w:szCs w:val="24"/>
              </w:rPr>
              <w:t>)</w:t>
            </w:r>
          </w:p>
          <w:p w14:paraId="27132F4D" w14:textId="77777777" w:rsidR="00C81C96" w:rsidRDefault="00C81C96" w:rsidP="00C81C96">
            <w:pPr>
              <w:widowControl w:val="0"/>
              <w:spacing w:after="0" w:line="240" w:lineRule="auto"/>
              <w:jc w:val="center"/>
              <w:rPr>
                <w:rFonts w:ascii="Arial" w:hAnsi="Arial" w:cs="Arial"/>
                <w:sz w:val="24"/>
                <w:szCs w:val="24"/>
              </w:rPr>
            </w:pPr>
          </w:p>
          <w:p w14:paraId="260A5CE3" w14:textId="77777777" w:rsidR="00C81C96" w:rsidRDefault="00C81C96" w:rsidP="00C81C96">
            <w:pPr>
              <w:widowControl w:val="0"/>
              <w:spacing w:after="0" w:line="240" w:lineRule="auto"/>
              <w:jc w:val="center"/>
              <w:rPr>
                <w:rFonts w:ascii="Arial" w:hAnsi="Arial" w:cs="Arial"/>
                <w:sz w:val="24"/>
                <w:szCs w:val="24"/>
              </w:rPr>
            </w:pPr>
            <w:r>
              <w:rPr>
                <w:rFonts w:ascii="Arial" w:hAnsi="Arial" w:cs="Arial"/>
                <w:sz w:val="24"/>
                <w:szCs w:val="24"/>
              </w:rPr>
              <w:t>)</w:t>
            </w:r>
          </w:p>
          <w:p w14:paraId="769A47FA" w14:textId="77777777" w:rsidR="00C81C96" w:rsidRDefault="00C81C96" w:rsidP="00C81C96">
            <w:pPr>
              <w:widowControl w:val="0"/>
              <w:spacing w:after="0" w:line="240" w:lineRule="auto"/>
              <w:jc w:val="center"/>
              <w:rPr>
                <w:rFonts w:ascii="Arial" w:hAnsi="Arial" w:cs="Arial"/>
                <w:sz w:val="24"/>
                <w:szCs w:val="24"/>
              </w:rPr>
            </w:pPr>
            <w:r>
              <w:rPr>
                <w:rFonts w:ascii="Arial" w:hAnsi="Arial" w:cs="Arial"/>
                <w:sz w:val="24"/>
                <w:szCs w:val="24"/>
              </w:rPr>
              <w:t>)</w:t>
            </w:r>
          </w:p>
          <w:p w14:paraId="17C84805" w14:textId="77777777" w:rsidR="00C81C96" w:rsidRDefault="00C81C96" w:rsidP="00C81C96">
            <w:pPr>
              <w:widowControl w:val="0"/>
              <w:spacing w:after="0" w:line="240" w:lineRule="auto"/>
              <w:jc w:val="center"/>
              <w:rPr>
                <w:rFonts w:ascii="Arial" w:hAnsi="Arial" w:cs="Arial"/>
                <w:sz w:val="24"/>
                <w:szCs w:val="24"/>
              </w:rPr>
            </w:pPr>
            <w:r>
              <w:rPr>
                <w:rFonts w:ascii="Arial" w:hAnsi="Arial" w:cs="Arial"/>
                <w:sz w:val="24"/>
                <w:szCs w:val="24"/>
              </w:rPr>
              <w:t>)</w:t>
            </w:r>
          </w:p>
          <w:p w14:paraId="38CC3C19" w14:textId="378E4C29" w:rsidR="00C81C96" w:rsidRPr="009D71F6" w:rsidRDefault="00C81C96" w:rsidP="00C81C96">
            <w:pPr>
              <w:widowControl w:val="0"/>
              <w:spacing w:after="0" w:line="240" w:lineRule="auto"/>
              <w:jc w:val="center"/>
              <w:rPr>
                <w:rFonts w:ascii="Arial" w:hAnsi="Arial" w:cs="Arial"/>
                <w:sz w:val="24"/>
                <w:szCs w:val="24"/>
              </w:rPr>
            </w:pPr>
          </w:p>
        </w:tc>
        <w:tc>
          <w:tcPr>
            <w:tcW w:w="3928" w:type="dxa"/>
          </w:tcPr>
          <w:p w14:paraId="797FA794" w14:textId="77777777" w:rsidR="00C81C96" w:rsidRPr="00561663" w:rsidRDefault="00C81C96" w:rsidP="00C81C96">
            <w:pPr>
              <w:widowControl w:val="0"/>
              <w:spacing w:after="0" w:line="240" w:lineRule="auto"/>
              <w:rPr>
                <w:rFonts w:ascii="Arial" w:hAnsi="Arial" w:cs="Arial"/>
                <w:sz w:val="24"/>
                <w:szCs w:val="24"/>
              </w:rPr>
            </w:pPr>
          </w:p>
          <w:p w14:paraId="314CC8B6" w14:textId="77777777" w:rsidR="00C81C96" w:rsidRPr="00561663" w:rsidRDefault="00C81C96" w:rsidP="00C81C96">
            <w:pPr>
              <w:widowControl w:val="0"/>
              <w:spacing w:after="0" w:line="240" w:lineRule="auto"/>
              <w:rPr>
                <w:rFonts w:ascii="Arial" w:hAnsi="Arial" w:cs="Arial"/>
                <w:sz w:val="24"/>
                <w:szCs w:val="24"/>
              </w:rPr>
            </w:pPr>
            <w:r>
              <w:rPr>
                <w:rFonts w:ascii="Arial" w:hAnsi="Arial" w:cs="Arial"/>
                <w:sz w:val="24"/>
                <w:szCs w:val="24"/>
              </w:rPr>
              <w:t>Case No. 17-32-EL-AIR</w:t>
            </w:r>
          </w:p>
          <w:p w14:paraId="69BCAFFA" w14:textId="77777777" w:rsidR="00C81C96" w:rsidRDefault="00C81C96" w:rsidP="00C81C96">
            <w:pPr>
              <w:widowControl w:val="0"/>
              <w:spacing w:after="0" w:line="240" w:lineRule="auto"/>
              <w:rPr>
                <w:rFonts w:ascii="Arial" w:hAnsi="Arial" w:cs="Arial"/>
                <w:sz w:val="24"/>
                <w:szCs w:val="24"/>
              </w:rPr>
            </w:pPr>
          </w:p>
          <w:p w14:paraId="06B7FD10" w14:textId="77777777" w:rsidR="00C81C96" w:rsidRDefault="00C81C96" w:rsidP="00C81C96">
            <w:pPr>
              <w:widowControl w:val="0"/>
              <w:spacing w:after="0" w:line="240" w:lineRule="auto"/>
              <w:rPr>
                <w:rFonts w:ascii="Arial" w:hAnsi="Arial" w:cs="Arial"/>
                <w:sz w:val="24"/>
                <w:szCs w:val="24"/>
              </w:rPr>
            </w:pPr>
          </w:p>
          <w:p w14:paraId="5B741039" w14:textId="77777777" w:rsidR="00C81C96" w:rsidRPr="00561663" w:rsidRDefault="00C81C96" w:rsidP="00C81C96">
            <w:pPr>
              <w:widowControl w:val="0"/>
              <w:spacing w:after="0" w:line="240" w:lineRule="auto"/>
              <w:rPr>
                <w:rFonts w:ascii="Arial" w:hAnsi="Arial" w:cs="Arial"/>
                <w:sz w:val="24"/>
                <w:szCs w:val="24"/>
              </w:rPr>
            </w:pPr>
            <w:r>
              <w:rPr>
                <w:rFonts w:ascii="Arial" w:hAnsi="Arial" w:cs="Arial"/>
                <w:sz w:val="24"/>
                <w:szCs w:val="24"/>
              </w:rPr>
              <w:t>Case No. 17-33-EL-ATA</w:t>
            </w:r>
          </w:p>
          <w:p w14:paraId="0E9F4A81" w14:textId="77777777" w:rsidR="00C81C96" w:rsidRDefault="00C81C96" w:rsidP="00C81C96">
            <w:pPr>
              <w:widowControl w:val="0"/>
              <w:spacing w:after="0" w:line="240" w:lineRule="auto"/>
              <w:rPr>
                <w:rFonts w:ascii="Arial" w:hAnsi="Arial" w:cs="Arial"/>
                <w:sz w:val="24"/>
                <w:szCs w:val="24"/>
              </w:rPr>
            </w:pPr>
          </w:p>
          <w:p w14:paraId="0FF9EAA4" w14:textId="77777777" w:rsidR="00C81C96" w:rsidRDefault="00C81C96" w:rsidP="00C81C96">
            <w:pPr>
              <w:widowControl w:val="0"/>
              <w:spacing w:after="0" w:line="240" w:lineRule="auto"/>
              <w:rPr>
                <w:rFonts w:ascii="Arial" w:hAnsi="Arial" w:cs="Arial"/>
                <w:sz w:val="24"/>
                <w:szCs w:val="24"/>
              </w:rPr>
            </w:pPr>
          </w:p>
          <w:p w14:paraId="01AB5CC4" w14:textId="77777777" w:rsidR="00C81C96" w:rsidRDefault="00C81C96" w:rsidP="00C81C96">
            <w:pPr>
              <w:widowControl w:val="0"/>
              <w:spacing w:after="0" w:line="240" w:lineRule="auto"/>
              <w:rPr>
                <w:rFonts w:ascii="Arial" w:hAnsi="Arial" w:cs="Arial"/>
                <w:sz w:val="24"/>
                <w:szCs w:val="24"/>
              </w:rPr>
            </w:pPr>
          </w:p>
          <w:p w14:paraId="26126DBF" w14:textId="77777777" w:rsidR="00C81C96" w:rsidRPr="00561663" w:rsidRDefault="00C81C96" w:rsidP="00C81C96">
            <w:pPr>
              <w:widowControl w:val="0"/>
              <w:spacing w:after="0" w:line="240" w:lineRule="auto"/>
              <w:rPr>
                <w:rFonts w:ascii="Arial" w:hAnsi="Arial" w:cs="Arial"/>
                <w:sz w:val="24"/>
                <w:szCs w:val="24"/>
              </w:rPr>
            </w:pPr>
            <w:r>
              <w:rPr>
                <w:rFonts w:ascii="Arial" w:hAnsi="Arial" w:cs="Arial"/>
                <w:sz w:val="24"/>
                <w:szCs w:val="24"/>
              </w:rPr>
              <w:t>Case No. 17-34-EL-AAM</w:t>
            </w:r>
          </w:p>
          <w:p w14:paraId="0B4852A8" w14:textId="0F629CE6" w:rsidR="00C81C96" w:rsidRPr="009D71F6" w:rsidRDefault="00C81C96" w:rsidP="00C81C96">
            <w:pPr>
              <w:widowControl w:val="0"/>
              <w:spacing w:after="0" w:line="240" w:lineRule="auto"/>
              <w:rPr>
                <w:rFonts w:ascii="Arial" w:hAnsi="Arial" w:cs="Arial"/>
                <w:sz w:val="24"/>
                <w:szCs w:val="24"/>
              </w:rPr>
            </w:pPr>
          </w:p>
        </w:tc>
      </w:tr>
    </w:tbl>
    <w:p w14:paraId="0804716A" w14:textId="77777777" w:rsidR="00237730" w:rsidRPr="009D71F6" w:rsidRDefault="00237730" w:rsidP="00237730">
      <w:pPr>
        <w:widowControl w:val="0"/>
        <w:pBdr>
          <w:bottom w:val="single" w:sz="12" w:space="0" w:color="auto"/>
        </w:pBdr>
        <w:spacing w:after="0" w:line="240" w:lineRule="auto"/>
        <w:rPr>
          <w:rFonts w:ascii="Arial" w:hAnsi="Arial" w:cs="Arial"/>
          <w:sz w:val="24"/>
          <w:szCs w:val="24"/>
        </w:rPr>
      </w:pPr>
    </w:p>
    <w:p w14:paraId="5009809A" w14:textId="4F0DD519" w:rsidR="00280A2E" w:rsidRDefault="00280A2E" w:rsidP="00280A2E">
      <w:pPr>
        <w:widowControl w:val="0"/>
        <w:spacing w:after="0" w:line="240" w:lineRule="auto"/>
        <w:rPr>
          <w:rFonts w:ascii="Arial" w:hAnsi="Arial" w:cs="Arial"/>
          <w:b/>
          <w:bCs/>
          <w:sz w:val="24"/>
          <w:szCs w:val="24"/>
        </w:rPr>
      </w:pPr>
    </w:p>
    <w:p w14:paraId="17768E5F" w14:textId="71490F4C" w:rsidR="00237730" w:rsidRPr="009D71F6" w:rsidRDefault="00280A2E" w:rsidP="00280A2E">
      <w:pPr>
        <w:widowControl w:val="0"/>
        <w:spacing w:after="0" w:line="240" w:lineRule="auto"/>
        <w:jc w:val="center"/>
        <w:rPr>
          <w:rFonts w:ascii="Arial" w:hAnsi="Arial" w:cs="Arial"/>
          <w:b/>
          <w:bCs/>
          <w:sz w:val="24"/>
          <w:szCs w:val="24"/>
        </w:rPr>
      </w:pPr>
      <w:r>
        <w:rPr>
          <w:rFonts w:ascii="Arial" w:hAnsi="Arial" w:cs="Arial"/>
          <w:b/>
          <w:bCs/>
          <w:sz w:val="24"/>
          <w:szCs w:val="24"/>
        </w:rPr>
        <w:t>OBJECTIONS TO STAFF REPORT OF INVESTIGATION AND SUMMARY OF MAJOR ISSUES OF INTERSTATE GAS SUPPLY, INC.</w:t>
      </w:r>
    </w:p>
    <w:p w14:paraId="5C6BDE06" w14:textId="77777777" w:rsidR="00237730" w:rsidRPr="009D71F6" w:rsidRDefault="00237730" w:rsidP="00237730">
      <w:pPr>
        <w:widowControl w:val="0"/>
        <w:pBdr>
          <w:bottom w:val="single" w:sz="12" w:space="1" w:color="auto"/>
        </w:pBdr>
        <w:tabs>
          <w:tab w:val="left" w:pos="6461"/>
        </w:tabs>
        <w:spacing w:after="0" w:line="240" w:lineRule="auto"/>
        <w:jc w:val="center"/>
        <w:rPr>
          <w:rFonts w:ascii="Arial" w:hAnsi="Arial" w:cs="Arial"/>
          <w:sz w:val="24"/>
          <w:szCs w:val="24"/>
        </w:rPr>
      </w:pPr>
    </w:p>
    <w:p w14:paraId="31317229" w14:textId="77777777" w:rsidR="00237730" w:rsidRPr="009D71F6" w:rsidRDefault="00237730" w:rsidP="00237730">
      <w:pPr>
        <w:tabs>
          <w:tab w:val="left" w:pos="360"/>
        </w:tabs>
        <w:spacing w:after="0" w:line="240" w:lineRule="auto"/>
        <w:ind w:left="360" w:hanging="360"/>
        <w:jc w:val="both"/>
        <w:rPr>
          <w:rFonts w:ascii="Arial" w:hAnsi="Arial" w:cs="Arial"/>
          <w:sz w:val="24"/>
          <w:szCs w:val="24"/>
        </w:rPr>
      </w:pPr>
    </w:p>
    <w:p w14:paraId="6D49FB03" w14:textId="5E30CB86" w:rsidR="00785F0D" w:rsidRPr="00785F0D" w:rsidRDefault="00785F0D" w:rsidP="00785F0D">
      <w:pPr>
        <w:pStyle w:val="ListParagraph"/>
        <w:numPr>
          <w:ilvl w:val="0"/>
          <w:numId w:val="8"/>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t>INTRODUCTION</w:t>
      </w:r>
    </w:p>
    <w:p w14:paraId="59E80FEE" w14:textId="0CFA55F7" w:rsidR="000D2057" w:rsidRDefault="000D2057" w:rsidP="000D2057">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On March 2, 2017, Duke Energy Ohio, Inc. (“Duke”) filed an application to increase in distribution rates, for tariff approval, and to change its accounting methods (“Application”).  </w:t>
      </w:r>
      <w:r w:rsidRPr="000D2057">
        <w:rPr>
          <w:rFonts w:ascii="Arial" w:hAnsi="Arial" w:cs="Arial"/>
          <w:sz w:val="24"/>
          <w:szCs w:val="24"/>
        </w:rPr>
        <w:t>The Staff Report</w:t>
      </w:r>
      <w:r>
        <w:rPr>
          <w:rFonts w:ascii="Arial" w:hAnsi="Arial" w:cs="Arial"/>
          <w:sz w:val="24"/>
          <w:szCs w:val="24"/>
        </w:rPr>
        <w:t xml:space="preserve"> of Investigation (“Staff Report”)</w:t>
      </w:r>
      <w:r w:rsidRPr="000D2057">
        <w:rPr>
          <w:rFonts w:ascii="Arial" w:hAnsi="Arial" w:cs="Arial"/>
          <w:sz w:val="24"/>
          <w:szCs w:val="24"/>
        </w:rPr>
        <w:t xml:space="preserve"> was filed with the Public Utilities Commission of Oh</w:t>
      </w:r>
      <w:r w:rsidR="002E2896">
        <w:rPr>
          <w:rFonts w:ascii="Arial" w:hAnsi="Arial" w:cs="Arial"/>
          <w:sz w:val="24"/>
          <w:szCs w:val="24"/>
        </w:rPr>
        <w:t>io ("Commission") on September 2</w:t>
      </w:r>
      <w:r w:rsidRPr="000D2057">
        <w:rPr>
          <w:rFonts w:ascii="Arial" w:hAnsi="Arial" w:cs="Arial"/>
          <w:sz w:val="24"/>
          <w:szCs w:val="24"/>
        </w:rPr>
        <w:t>6, 2017, setting forth the Commission Staff</w:t>
      </w:r>
      <w:r w:rsidR="004417DE">
        <w:rPr>
          <w:rFonts w:ascii="Arial" w:hAnsi="Arial" w:cs="Arial"/>
          <w:sz w:val="24"/>
          <w:szCs w:val="24"/>
        </w:rPr>
        <w:t>’</w:t>
      </w:r>
      <w:r w:rsidRPr="000D2057">
        <w:rPr>
          <w:rFonts w:ascii="Arial" w:hAnsi="Arial" w:cs="Arial"/>
          <w:sz w:val="24"/>
          <w:szCs w:val="24"/>
        </w:rPr>
        <w:t>s ("Staff') findings reg</w:t>
      </w:r>
      <w:r>
        <w:rPr>
          <w:rFonts w:ascii="Arial" w:hAnsi="Arial" w:cs="Arial"/>
          <w:sz w:val="24"/>
          <w:szCs w:val="24"/>
        </w:rPr>
        <w:t>arding the Application.</w:t>
      </w:r>
    </w:p>
    <w:p w14:paraId="23FD26CB" w14:textId="173FD2D3" w:rsidR="000D2057" w:rsidRDefault="002E2896" w:rsidP="000D2057">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Pursuant to R.C. 4909.19,</w:t>
      </w:r>
      <w:r w:rsidR="000D2057">
        <w:rPr>
          <w:rFonts w:ascii="Arial" w:hAnsi="Arial" w:cs="Arial"/>
          <w:sz w:val="24"/>
          <w:szCs w:val="24"/>
        </w:rPr>
        <w:t xml:space="preserve"> Rule 4901-1-28, Ohio </w:t>
      </w:r>
      <w:r w:rsidR="000D2057" w:rsidRPr="000D2057">
        <w:rPr>
          <w:rFonts w:ascii="Arial" w:hAnsi="Arial" w:cs="Arial"/>
          <w:sz w:val="24"/>
          <w:szCs w:val="24"/>
        </w:rPr>
        <w:t>Administrative Code ("O.A.C"), and the Attorney Exa</w:t>
      </w:r>
      <w:r w:rsidR="000D2057">
        <w:rPr>
          <w:rFonts w:ascii="Arial" w:hAnsi="Arial" w:cs="Arial"/>
          <w:sz w:val="24"/>
          <w:szCs w:val="24"/>
        </w:rPr>
        <w:t>miner's Entry dated September 28</w:t>
      </w:r>
      <w:r w:rsidR="000D2057" w:rsidRPr="000D2057">
        <w:rPr>
          <w:rFonts w:ascii="Arial" w:hAnsi="Arial" w:cs="Arial"/>
          <w:sz w:val="24"/>
          <w:szCs w:val="24"/>
        </w:rPr>
        <w:t>,</w:t>
      </w:r>
      <w:r w:rsidR="000D2057">
        <w:rPr>
          <w:rFonts w:ascii="Arial" w:hAnsi="Arial" w:cs="Arial"/>
          <w:sz w:val="24"/>
          <w:szCs w:val="24"/>
        </w:rPr>
        <w:t xml:space="preserve"> 2017, Interstate Gas Supply, Inc. (“IGS”)</w:t>
      </w:r>
      <w:r w:rsidR="000D2057" w:rsidRPr="000D2057">
        <w:rPr>
          <w:rFonts w:ascii="Arial" w:hAnsi="Arial" w:cs="Arial"/>
          <w:sz w:val="24"/>
          <w:szCs w:val="24"/>
        </w:rPr>
        <w:t xml:space="preserve"> hereby files its Objections to the Staff</w:t>
      </w:r>
      <w:r w:rsidR="000D2057">
        <w:rPr>
          <w:rFonts w:ascii="Arial" w:hAnsi="Arial" w:cs="Arial"/>
          <w:sz w:val="24"/>
          <w:szCs w:val="24"/>
        </w:rPr>
        <w:t xml:space="preserve"> Report</w:t>
      </w:r>
      <w:r w:rsidR="000D2057" w:rsidRPr="000D2057">
        <w:rPr>
          <w:rFonts w:ascii="Arial" w:hAnsi="Arial" w:cs="Arial"/>
          <w:sz w:val="24"/>
          <w:szCs w:val="24"/>
        </w:rPr>
        <w:t xml:space="preserve"> and Summary</w:t>
      </w:r>
      <w:r w:rsidR="000D2057">
        <w:rPr>
          <w:rFonts w:ascii="Arial" w:hAnsi="Arial" w:cs="Arial"/>
          <w:sz w:val="24"/>
          <w:szCs w:val="24"/>
        </w:rPr>
        <w:t xml:space="preserve"> of Major Issues</w:t>
      </w:r>
      <w:r w:rsidR="000D2057" w:rsidRPr="000D2057">
        <w:rPr>
          <w:rFonts w:ascii="Arial" w:hAnsi="Arial" w:cs="Arial"/>
          <w:sz w:val="24"/>
          <w:szCs w:val="24"/>
        </w:rPr>
        <w:t xml:space="preserve"> in the above</w:t>
      </w:r>
      <w:r w:rsidR="000D2057">
        <w:rPr>
          <w:rFonts w:ascii="Arial" w:hAnsi="Arial" w:cs="Arial"/>
          <w:sz w:val="24"/>
          <w:szCs w:val="24"/>
        </w:rPr>
        <w:t>-</w:t>
      </w:r>
      <w:r w:rsidR="000D2057" w:rsidRPr="000D2057">
        <w:rPr>
          <w:rFonts w:ascii="Arial" w:hAnsi="Arial" w:cs="Arial"/>
          <w:sz w:val="24"/>
          <w:szCs w:val="24"/>
        </w:rPr>
        <w:t>captioned</w:t>
      </w:r>
      <w:r w:rsidR="000D2057">
        <w:rPr>
          <w:rFonts w:ascii="Arial" w:hAnsi="Arial" w:cs="Arial"/>
          <w:sz w:val="24"/>
          <w:szCs w:val="24"/>
        </w:rPr>
        <w:t xml:space="preserve"> matters.  IGS reserves the right to contest</w:t>
      </w:r>
      <w:r w:rsidR="00785F0D">
        <w:rPr>
          <w:rFonts w:ascii="Arial" w:hAnsi="Arial" w:cs="Arial"/>
          <w:sz w:val="24"/>
          <w:szCs w:val="24"/>
        </w:rPr>
        <w:t xml:space="preserve"> through cross-examination, testimony, or exhibits any</w:t>
      </w:r>
      <w:r w:rsidR="000D2057">
        <w:rPr>
          <w:rFonts w:ascii="Arial" w:hAnsi="Arial" w:cs="Arial"/>
          <w:sz w:val="24"/>
          <w:szCs w:val="24"/>
        </w:rPr>
        <w:t xml:space="preserve"> newly raised issues, issues raised by any other party,</w:t>
      </w:r>
      <w:r w:rsidR="00785F0D">
        <w:rPr>
          <w:rFonts w:ascii="Arial" w:hAnsi="Arial" w:cs="Arial"/>
          <w:sz w:val="24"/>
          <w:szCs w:val="24"/>
        </w:rPr>
        <w:t xml:space="preserve"> or</w:t>
      </w:r>
      <w:r w:rsidR="000D2057">
        <w:rPr>
          <w:rFonts w:ascii="Arial" w:hAnsi="Arial" w:cs="Arial"/>
          <w:sz w:val="24"/>
          <w:szCs w:val="24"/>
        </w:rPr>
        <w:t xml:space="preserve"> </w:t>
      </w:r>
      <w:r w:rsidR="00785F0D">
        <w:rPr>
          <w:rFonts w:ascii="Arial" w:hAnsi="Arial" w:cs="Arial"/>
          <w:sz w:val="24"/>
          <w:szCs w:val="24"/>
        </w:rPr>
        <w:t>any position set forth in the Staff Report that changes prior to the close of the record.</w:t>
      </w:r>
    </w:p>
    <w:p w14:paraId="0690B10B" w14:textId="77777777" w:rsidR="00C02EFC" w:rsidRPr="000D2057" w:rsidRDefault="00C02EFC" w:rsidP="000D2057">
      <w:pPr>
        <w:autoSpaceDE w:val="0"/>
        <w:autoSpaceDN w:val="0"/>
        <w:adjustRightInd w:val="0"/>
        <w:spacing w:after="120" w:line="480" w:lineRule="auto"/>
        <w:ind w:firstLine="720"/>
        <w:jc w:val="both"/>
        <w:rPr>
          <w:rFonts w:ascii="Arial" w:hAnsi="Arial" w:cs="Arial"/>
          <w:sz w:val="24"/>
          <w:szCs w:val="24"/>
        </w:rPr>
      </w:pPr>
    </w:p>
    <w:p w14:paraId="10FCC2BA" w14:textId="1399CC05" w:rsidR="00785F0D" w:rsidRDefault="00785F0D" w:rsidP="00785F0D">
      <w:pPr>
        <w:pStyle w:val="ListParagraph"/>
        <w:numPr>
          <w:ilvl w:val="0"/>
          <w:numId w:val="8"/>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lastRenderedPageBreak/>
        <w:t>OBJECTIONS TO THE STAFF REPORT</w:t>
      </w:r>
    </w:p>
    <w:p w14:paraId="455CC90D" w14:textId="181FEAB7" w:rsidR="00785F0D" w:rsidRDefault="00785F0D" w:rsidP="00785F0D">
      <w:pPr>
        <w:autoSpaceDE w:val="0"/>
        <w:autoSpaceDN w:val="0"/>
        <w:adjustRightInd w:val="0"/>
        <w:spacing w:after="120" w:line="480" w:lineRule="auto"/>
        <w:ind w:left="720"/>
        <w:jc w:val="both"/>
        <w:rPr>
          <w:rFonts w:ascii="Arial" w:hAnsi="Arial" w:cs="Arial"/>
          <w:sz w:val="24"/>
          <w:szCs w:val="24"/>
        </w:rPr>
      </w:pPr>
      <w:r>
        <w:rPr>
          <w:rFonts w:ascii="Arial" w:hAnsi="Arial" w:cs="Arial"/>
          <w:sz w:val="24"/>
          <w:szCs w:val="24"/>
        </w:rPr>
        <w:t>IGS objects to the following specific recommendations in the Staff Report:</w:t>
      </w:r>
    </w:p>
    <w:p w14:paraId="5F67E2CE" w14:textId="1F1551C8" w:rsidR="00E93D1C" w:rsidRDefault="000B5141" w:rsidP="002E2896">
      <w:pPr>
        <w:pStyle w:val="ListParagraph"/>
        <w:numPr>
          <w:ilvl w:val="0"/>
          <w:numId w:val="9"/>
        </w:numPr>
        <w:autoSpaceDE w:val="0"/>
        <w:autoSpaceDN w:val="0"/>
        <w:adjustRightInd w:val="0"/>
        <w:spacing w:after="120" w:line="240" w:lineRule="auto"/>
        <w:jc w:val="both"/>
        <w:rPr>
          <w:rFonts w:ascii="Arial" w:hAnsi="Arial" w:cs="Arial"/>
          <w:b/>
          <w:sz w:val="24"/>
          <w:szCs w:val="24"/>
        </w:rPr>
      </w:pPr>
      <w:r>
        <w:rPr>
          <w:rFonts w:ascii="Arial" w:hAnsi="Arial" w:cs="Arial"/>
          <w:b/>
          <w:sz w:val="24"/>
          <w:szCs w:val="24"/>
        </w:rPr>
        <w:t>The Staff Report fails to recommend that Duke unbundle from distribution rates costs related to the provisio</w:t>
      </w:r>
      <w:r w:rsidR="002E2896">
        <w:rPr>
          <w:rFonts w:ascii="Arial" w:hAnsi="Arial" w:cs="Arial"/>
          <w:b/>
          <w:sz w:val="24"/>
          <w:szCs w:val="24"/>
        </w:rPr>
        <w:t>n of the standard service offer</w:t>
      </w:r>
      <w:r w:rsidR="00E93D1C">
        <w:rPr>
          <w:rFonts w:ascii="Arial" w:hAnsi="Arial" w:cs="Arial"/>
          <w:b/>
          <w:sz w:val="24"/>
          <w:szCs w:val="24"/>
        </w:rPr>
        <w:t xml:space="preserve">  </w:t>
      </w:r>
    </w:p>
    <w:p w14:paraId="49C48D54" w14:textId="113B6CD8" w:rsidR="00AE71A9" w:rsidRDefault="00C91B0D" w:rsidP="00AE71A9">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IGS </w:t>
      </w:r>
      <w:r w:rsidR="00AE71A9">
        <w:rPr>
          <w:rFonts w:ascii="Arial" w:hAnsi="Arial" w:cs="Arial"/>
          <w:sz w:val="24"/>
          <w:szCs w:val="24"/>
        </w:rPr>
        <w:t>objects to the Staff Reports</w:t>
      </w:r>
      <w:r w:rsidR="005A0BD9">
        <w:rPr>
          <w:rFonts w:ascii="Arial" w:hAnsi="Arial" w:cs="Arial"/>
          <w:sz w:val="24"/>
          <w:szCs w:val="24"/>
        </w:rPr>
        <w:t xml:space="preserve"> acceptance of Duke’s Cost of Service Study and its</w:t>
      </w:r>
      <w:r w:rsidR="00AE71A9">
        <w:rPr>
          <w:rFonts w:ascii="Arial" w:hAnsi="Arial" w:cs="Arial"/>
          <w:sz w:val="24"/>
          <w:szCs w:val="24"/>
        </w:rPr>
        <w:t xml:space="preserve"> failure to r</w:t>
      </w:r>
      <w:r w:rsidR="00551BAD">
        <w:rPr>
          <w:rFonts w:ascii="Arial" w:hAnsi="Arial" w:cs="Arial"/>
          <w:sz w:val="24"/>
          <w:szCs w:val="24"/>
        </w:rPr>
        <w:t>ecommend that Duke allocate to the</w:t>
      </w:r>
      <w:r w:rsidR="00AE71A9">
        <w:rPr>
          <w:rFonts w:ascii="Arial" w:hAnsi="Arial" w:cs="Arial"/>
          <w:sz w:val="24"/>
          <w:szCs w:val="24"/>
        </w:rPr>
        <w:t xml:space="preserve"> </w:t>
      </w:r>
      <w:r w:rsidR="00551BAD">
        <w:rPr>
          <w:rFonts w:ascii="Arial" w:hAnsi="Arial" w:cs="Arial"/>
          <w:sz w:val="24"/>
          <w:szCs w:val="24"/>
        </w:rPr>
        <w:t>default service/standard service offer (“</w:t>
      </w:r>
      <w:r w:rsidR="00AE71A9">
        <w:rPr>
          <w:rFonts w:ascii="Arial" w:hAnsi="Arial" w:cs="Arial"/>
          <w:sz w:val="24"/>
          <w:szCs w:val="24"/>
        </w:rPr>
        <w:t>SSO</w:t>
      </w:r>
      <w:r w:rsidR="00551BAD">
        <w:rPr>
          <w:rFonts w:ascii="Arial" w:hAnsi="Arial" w:cs="Arial"/>
          <w:sz w:val="24"/>
          <w:szCs w:val="24"/>
        </w:rPr>
        <w:t>”)</w:t>
      </w:r>
      <w:r w:rsidR="00551BAD">
        <w:rPr>
          <w:rStyle w:val="FootnoteReference"/>
          <w:rFonts w:ascii="Arial" w:hAnsi="Arial" w:cs="Arial"/>
          <w:sz w:val="24"/>
          <w:szCs w:val="24"/>
        </w:rPr>
        <w:footnoteReference w:id="1"/>
      </w:r>
      <w:r w:rsidR="00551BAD">
        <w:rPr>
          <w:rFonts w:ascii="Arial" w:hAnsi="Arial" w:cs="Arial"/>
          <w:sz w:val="24"/>
          <w:szCs w:val="24"/>
        </w:rPr>
        <w:t xml:space="preserve"> </w:t>
      </w:r>
      <w:r w:rsidR="00AE71A9">
        <w:rPr>
          <w:rFonts w:ascii="Arial" w:hAnsi="Arial" w:cs="Arial"/>
          <w:sz w:val="24"/>
          <w:szCs w:val="24"/>
        </w:rPr>
        <w:t>certain costs proposed for recovery in distribution rates.</w:t>
      </w:r>
      <w:r w:rsidR="009D1C4B">
        <w:rPr>
          <w:rStyle w:val="FootnoteReference"/>
          <w:rFonts w:ascii="Arial" w:hAnsi="Arial" w:cs="Arial"/>
          <w:sz w:val="24"/>
          <w:szCs w:val="24"/>
        </w:rPr>
        <w:footnoteReference w:id="2"/>
      </w:r>
      <w:r w:rsidR="009D1C4B">
        <w:rPr>
          <w:rFonts w:ascii="Arial" w:hAnsi="Arial" w:cs="Arial"/>
          <w:sz w:val="24"/>
          <w:szCs w:val="24"/>
        </w:rPr>
        <w:t xml:space="preserve">  </w:t>
      </w:r>
      <w:r w:rsidR="005A0BD9">
        <w:rPr>
          <w:rFonts w:ascii="Arial" w:hAnsi="Arial" w:cs="Arial"/>
          <w:sz w:val="24"/>
          <w:szCs w:val="24"/>
        </w:rPr>
        <w:t>The Staff Report</w:t>
      </w:r>
      <w:r w:rsidR="00544336">
        <w:rPr>
          <w:rFonts w:ascii="Arial" w:hAnsi="Arial" w:cs="Arial"/>
          <w:sz w:val="24"/>
          <w:szCs w:val="24"/>
        </w:rPr>
        <w:t xml:space="preserve"> failed</w:t>
      </w:r>
      <w:r w:rsidR="005A0BD9">
        <w:rPr>
          <w:rFonts w:ascii="Arial" w:hAnsi="Arial" w:cs="Arial"/>
          <w:sz w:val="24"/>
          <w:szCs w:val="24"/>
        </w:rPr>
        <w:t xml:space="preserve"> to properly functionalize, classify, or allocate costs associated with the provision o</w:t>
      </w:r>
      <w:r w:rsidR="00551BAD">
        <w:rPr>
          <w:rFonts w:ascii="Arial" w:hAnsi="Arial" w:cs="Arial"/>
          <w:sz w:val="24"/>
          <w:szCs w:val="24"/>
        </w:rPr>
        <w:t>f the SSO</w:t>
      </w:r>
      <w:r w:rsidR="005A0BD9" w:rsidRPr="00C91B0D">
        <w:rPr>
          <w:rFonts w:ascii="Arial" w:hAnsi="Arial" w:cs="Arial"/>
          <w:sz w:val="24"/>
          <w:szCs w:val="24"/>
        </w:rPr>
        <w:t>.</w:t>
      </w:r>
      <w:r w:rsidR="00AE71A9" w:rsidRPr="00C91B0D">
        <w:rPr>
          <w:rFonts w:ascii="Arial" w:hAnsi="Arial" w:cs="Arial"/>
          <w:sz w:val="24"/>
          <w:szCs w:val="24"/>
        </w:rPr>
        <w:t xml:space="preserve"> </w:t>
      </w:r>
      <w:r w:rsidRPr="00C91B0D">
        <w:rPr>
          <w:rFonts w:ascii="Arial" w:hAnsi="Arial" w:cs="Arial"/>
          <w:sz w:val="24"/>
          <w:szCs w:val="24"/>
        </w:rPr>
        <w:t>This objection also relates to the rate design recommended by the Staff Report,</w:t>
      </w:r>
      <w:r w:rsidR="004417DE">
        <w:rPr>
          <w:rStyle w:val="FootnoteReference"/>
          <w:rFonts w:ascii="Arial" w:hAnsi="Arial" w:cs="Arial"/>
          <w:sz w:val="24"/>
          <w:szCs w:val="24"/>
        </w:rPr>
        <w:footnoteReference w:id="3"/>
      </w:r>
      <w:r w:rsidRPr="00C91B0D">
        <w:rPr>
          <w:rFonts w:ascii="Arial" w:hAnsi="Arial" w:cs="Arial"/>
          <w:sz w:val="24"/>
          <w:szCs w:val="24"/>
        </w:rPr>
        <w:t xml:space="preserve"> which fails to account for SSO-related costs proposed for recovery in distribution rates.  </w:t>
      </w:r>
      <w:r w:rsidR="00AE71A9" w:rsidRPr="00C91B0D">
        <w:rPr>
          <w:rFonts w:ascii="Arial" w:hAnsi="Arial" w:cs="Arial"/>
          <w:sz w:val="24"/>
          <w:szCs w:val="24"/>
        </w:rPr>
        <w:t xml:space="preserve"> </w:t>
      </w:r>
      <w:r w:rsidR="00544336">
        <w:rPr>
          <w:rFonts w:ascii="Arial" w:hAnsi="Arial" w:cs="Arial"/>
          <w:sz w:val="24"/>
          <w:szCs w:val="24"/>
        </w:rPr>
        <w:t>The Staff Report</w:t>
      </w:r>
      <w:r>
        <w:rPr>
          <w:rFonts w:ascii="Arial" w:hAnsi="Arial" w:cs="Arial"/>
          <w:sz w:val="24"/>
          <w:szCs w:val="24"/>
        </w:rPr>
        <w:t xml:space="preserve"> failed to propose a</w:t>
      </w:r>
      <w:r w:rsidRPr="00C91B0D">
        <w:rPr>
          <w:rFonts w:ascii="Arial" w:hAnsi="Arial" w:cs="Arial"/>
          <w:sz w:val="24"/>
          <w:szCs w:val="24"/>
        </w:rPr>
        <w:t xml:space="preserve"> rate design</w:t>
      </w:r>
      <w:r>
        <w:rPr>
          <w:rFonts w:ascii="Arial" w:hAnsi="Arial" w:cs="Arial"/>
          <w:sz w:val="24"/>
          <w:szCs w:val="24"/>
        </w:rPr>
        <w:t>/structure</w:t>
      </w:r>
      <w:r w:rsidRPr="00C91B0D">
        <w:rPr>
          <w:rFonts w:ascii="Arial" w:hAnsi="Arial" w:cs="Arial"/>
          <w:sz w:val="24"/>
          <w:szCs w:val="24"/>
        </w:rPr>
        <w:t xml:space="preserve"> through which such</w:t>
      </w:r>
      <w:r>
        <w:rPr>
          <w:rFonts w:ascii="Arial" w:hAnsi="Arial" w:cs="Arial"/>
          <w:sz w:val="24"/>
          <w:szCs w:val="24"/>
        </w:rPr>
        <w:t xml:space="preserve"> unbundled</w:t>
      </w:r>
      <w:r w:rsidRPr="00C91B0D">
        <w:rPr>
          <w:rFonts w:ascii="Arial" w:hAnsi="Arial" w:cs="Arial"/>
          <w:sz w:val="24"/>
          <w:szCs w:val="24"/>
        </w:rPr>
        <w:t xml:space="preserve"> costs should be collected from SSO customers and credited to shopping customers.  </w:t>
      </w:r>
      <w:r w:rsidR="00AE71A9">
        <w:rPr>
          <w:rFonts w:ascii="Arial" w:hAnsi="Arial" w:cs="Arial"/>
          <w:sz w:val="24"/>
          <w:szCs w:val="24"/>
        </w:rPr>
        <w:t xml:space="preserve">Failure to allocate these costs </w:t>
      </w:r>
      <w:r w:rsidR="00551BAD">
        <w:rPr>
          <w:rFonts w:ascii="Arial" w:hAnsi="Arial" w:cs="Arial"/>
          <w:sz w:val="24"/>
          <w:szCs w:val="24"/>
        </w:rPr>
        <w:t>to SSO</w:t>
      </w:r>
      <w:r w:rsidR="005A0BD9">
        <w:rPr>
          <w:rFonts w:ascii="Arial" w:hAnsi="Arial" w:cs="Arial"/>
          <w:sz w:val="24"/>
          <w:szCs w:val="24"/>
        </w:rPr>
        <w:t xml:space="preserve"> rates </w:t>
      </w:r>
      <w:r w:rsidR="00AE71A9">
        <w:rPr>
          <w:rFonts w:ascii="Arial" w:hAnsi="Arial" w:cs="Arial"/>
          <w:sz w:val="24"/>
          <w:szCs w:val="24"/>
        </w:rPr>
        <w:t>violates good ratemaking principles, Ohio law, and State Policy against anticompetitive subsidies and in favor of unbundled and comparable rates.</w:t>
      </w:r>
      <w:r w:rsidR="004417DE">
        <w:rPr>
          <w:rFonts w:ascii="Arial" w:hAnsi="Arial" w:cs="Arial"/>
          <w:sz w:val="24"/>
          <w:szCs w:val="24"/>
        </w:rPr>
        <w:t xml:space="preserve">  The specific details supporting these </w:t>
      </w:r>
      <w:r w:rsidR="005A0BD9">
        <w:rPr>
          <w:rFonts w:ascii="Arial" w:hAnsi="Arial" w:cs="Arial"/>
          <w:sz w:val="24"/>
          <w:szCs w:val="24"/>
        </w:rPr>
        <w:t>objections are discussed in detail below.</w:t>
      </w:r>
      <w:r w:rsidR="00AE71A9">
        <w:rPr>
          <w:rFonts w:ascii="Arial" w:hAnsi="Arial" w:cs="Arial"/>
          <w:sz w:val="24"/>
          <w:szCs w:val="24"/>
        </w:rPr>
        <w:t xml:space="preserve"> </w:t>
      </w:r>
    </w:p>
    <w:p w14:paraId="7553B6B1" w14:textId="501419AA" w:rsidR="00824A9B" w:rsidRDefault="00AE71A9" w:rsidP="00824A9B">
      <w:pPr>
        <w:spacing w:line="480" w:lineRule="auto"/>
        <w:ind w:firstLine="720"/>
        <w:jc w:val="both"/>
        <w:rPr>
          <w:rFonts w:ascii="Arial" w:eastAsiaTheme="minorHAnsi" w:hAnsi="Arial" w:cs="Arial"/>
          <w:sz w:val="24"/>
          <w:szCs w:val="24"/>
        </w:rPr>
      </w:pPr>
      <w:r>
        <w:rPr>
          <w:rFonts w:ascii="Arial" w:hAnsi="Arial" w:cs="Arial"/>
          <w:sz w:val="24"/>
          <w:szCs w:val="24"/>
        </w:rPr>
        <w:t>Many of the costs necessary to support the SSO are proposed for recovery in</w:t>
      </w:r>
      <w:r w:rsidR="00314A32">
        <w:rPr>
          <w:rFonts w:ascii="Arial" w:hAnsi="Arial" w:cs="Arial"/>
          <w:sz w:val="24"/>
          <w:szCs w:val="24"/>
        </w:rPr>
        <w:t xml:space="preserve"> Duke’s allowance for operation</w:t>
      </w:r>
      <w:r>
        <w:rPr>
          <w:rFonts w:ascii="Arial" w:hAnsi="Arial" w:cs="Arial"/>
          <w:sz w:val="24"/>
          <w:szCs w:val="24"/>
        </w:rPr>
        <w:t xml:space="preserve"> expense</w:t>
      </w:r>
      <w:r w:rsidR="00314A32">
        <w:rPr>
          <w:rFonts w:ascii="Arial" w:hAnsi="Arial" w:cs="Arial"/>
          <w:sz w:val="24"/>
          <w:szCs w:val="24"/>
        </w:rPr>
        <w:t xml:space="preserve"> (operation and maintenance expense or “O&amp;M”)</w:t>
      </w:r>
      <w:r>
        <w:rPr>
          <w:rFonts w:ascii="Arial" w:hAnsi="Arial" w:cs="Arial"/>
          <w:sz w:val="24"/>
          <w:szCs w:val="24"/>
        </w:rPr>
        <w:t>.  These costs are identified and supported in the C-Schedules attached to the Application.  The Staff Report provides an analysis of the costs contained on these schedules.  But, absent from</w:t>
      </w:r>
      <w:r w:rsidR="00314A32">
        <w:rPr>
          <w:rFonts w:ascii="Arial" w:hAnsi="Arial" w:cs="Arial"/>
          <w:sz w:val="24"/>
          <w:szCs w:val="24"/>
        </w:rPr>
        <w:t xml:space="preserve"> the</w:t>
      </w:r>
      <w:r>
        <w:rPr>
          <w:rFonts w:ascii="Arial" w:hAnsi="Arial" w:cs="Arial"/>
          <w:sz w:val="24"/>
          <w:szCs w:val="24"/>
        </w:rPr>
        <w:t xml:space="preserve"> Staff Report is any recommendation to appropriately allocate to the SSO </w:t>
      </w:r>
      <w:r>
        <w:rPr>
          <w:rFonts w:ascii="Arial" w:hAnsi="Arial" w:cs="Arial"/>
          <w:sz w:val="24"/>
          <w:szCs w:val="24"/>
        </w:rPr>
        <w:lastRenderedPageBreak/>
        <w:t>costs that are necessary to</w:t>
      </w:r>
      <w:r w:rsidR="00824A9B">
        <w:rPr>
          <w:rFonts w:ascii="Arial" w:hAnsi="Arial" w:cs="Arial"/>
          <w:sz w:val="24"/>
          <w:szCs w:val="24"/>
        </w:rPr>
        <w:t xml:space="preserve"> support that service.  </w:t>
      </w:r>
      <w:r w:rsidR="00824A9B">
        <w:rPr>
          <w:rFonts w:ascii="Arial" w:eastAsiaTheme="minorHAnsi" w:hAnsi="Arial" w:cs="Arial"/>
          <w:sz w:val="24"/>
          <w:szCs w:val="24"/>
        </w:rPr>
        <w:t>The operation and maintenance expense categories that the Staff Report failed to analyze and allocate to the default service include</w:t>
      </w:r>
      <w:r w:rsidR="00824A9B" w:rsidRPr="00824A9B">
        <w:rPr>
          <w:rFonts w:ascii="Arial" w:eastAsiaTheme="minorHAnsi" w:hAnsi="Arial" w:cs="Arial"/>
          <w:sz w:val="24"/>
          <w:szCs w:val="24"/>
        </w:rPr>
        <w:t>:</w:t>
      </w:r>
    </w:p>
    <w:p w14:paraId="7C808274" w14:textId="680D469B" w:rsidR="008044DE" w:rsidRPr="008044DE" w:rsidRDefault="008044DE" w:rsidP="008044DE">
      <w:pPr>
        <w:spacing w:line="480" w:lineRule="auto"/>
        <w:ind w:left="1440" w:hanging="720"/>
        <w:jc w:val="both"/>
        <w:rPr>
          <w:rFonts w:ascii="Arial" w:eastAsiaTheme="minorHAnsi" w:hAnsi="Arial" w:cs="Arial"/>
          <w:sz w:val="24"/>
          <w:szCs w:val="24"/>
        </w:rPr>
      </w:pPr>
      <w:r w:rsidRPr="008044DE">
        <w:rPr>
          <w:rFonts w:ascii="Arial" w:eastAsiaTheme="minorHAnsi" w:hAnsi="Arial" w:cs="Arial"/>
          <w:sz w:val="24"/>
          <w:szCs w:val="24"/>
        </w:rPr>
        <w:t>(1)</w:t>
      </w:r>
      <w:r w:rsidRPr="008044DE">
        <w:rPr>
          <w:rFonts w:ascii="Arial" w:eastAsiaTheme="minorHAnsi" w:hAnsi="Arial" w:cs="Arial"/>
          <w:sz w:val="24"/>
          <w:szCs w:val="24"/>
        </w:rPr>
        <w:tab/>
        <w:t>Call center infrastructure and employees to maintain appropriate customer service for SSO customers</w:t>
      </w:r>
      <w:r w:rsidR="00307D81">
        <w:rPr>
          <w:rStyle w:val="FootnoteReference"/>
          <w:rFonts w:ascii="Arial" w:eastAsiaTheme="minorHAnsi" w:hAnsi="Arial" w:cs="Arial"/>
          <w:sz w:val="24"/>
          <w:szCs w:val="24"/>
        </w:rPr>
        <w:footnoteReference w:id="4"/>
      </w:r>
      <w:r w:rsidRPr="008044DE">
        <w:rPr>
          <w:rFonts w:ascii="Arial" w:eastAsiaTheme="minorHAnsi" w:hAnsi="Arial" w:cs="Arial"/>
          <w:sz w:val="24"/>
          <w:szCs w:val="24"/>
        </w:rPr>
        <w:t>;</w:t>
      </w:r>
    </w:p>
    <w:p w14:paraId="69199F57" w14:textId="77777777" w:rsidR="008044DE" w:rsidRPr="008044DE" w:rsidRDefault="008044DE" w:rsidP="008044DE">
      <w:pPr>
        <w:spacing w:line="480" w:lineRule="auto"/>
        <w:ind w:left="1440" w:hanging="720"/>
        <w:jc w:val="both"/>
        <w:rPr>
          <w:rFonts w:ascii="Arial" w:eastAsiaTheme="minorHAnsi" w:hAnsi="Arial" w:cs="Arial"/>
          <w:sz w:val="24"/>
          <w:szCs w:val="24"/>
        </w:rPr>
      </w:pPr>
      <w:r w:rsidRPr="008044DE">
        <w:rPr>
          <w:rFonts w:ascii="Arial" w:eastAsiaTheme="minorHAnsi" w:hAnsi="Arial" w:cs="Arial"/>
          <w:sz w:val="24"/>
          <w:szCs w:val="24"/>
        </w:rPr>
        <w:t>(2)</w:t>
      </w:r>
      <w:r w:rsidRPr="008044DE">
        <w:rPr>
          <w:rFonts w:ascii="Arial" w:eastAsiaTheme="minorHAnsi" w:hAnsi="Arial" w:cs="Arial"/>
          <w:sz w:val="24"/>
          <w:szCs w:val="24"/>
        </w:rPr>
        <w:tab/>
        <w:t xml:space="preserve">Outside and inside legal, regulatory, and compliance personnel to comply with the regulatory rule requirements for the SSO; </w:t>
      </w:r>
    </w:p>
    <w:p w14:paraId="1702B416" w14:textId="77777777" w:rsidR="008044DE" w:rsidRPr="008044DE" w:rsidRDefault="008044DE" w:rsidP="008044DE">
      <w:pPr>
        <w:spacing w:line="480" w:lineRule="auto"/>
        <w:ind w:firstLine="720"/>
        <w:jc w:val="both"/>
        <w:rPr>
          <w:rFonts w:ascii="Arial" w:eastAsiaTheme="minorHAnsi" w:hAnsi="Arial" w:cs="Arial"/>
          <w:sz w:val="24"/>
          <w:szCs w:val="24"/>
        </w:rPr>
      </w:pPr>
      <w:r w:rsidRPr="008044DE">
        <w:rPr>
          <w:rFonts w:ascii="Arial" w:eastAsiaTheme="minorHAnsi" w:hAnsi="Arial" w:cs="Arial"/>
          <w:sz w:val="24"/>
          <w:szCs w:val="24"/>
        </w:rPr>
        <w:t>(3)</w:t>
      </w:r>
      <w:r w:rsidRPr="008044DE">
        <w:rPr>
          <w:rFonts w:ascii="Arial" w:eastAsiaTheme="minorHAnsi" w:hAnsi="Arial" w:cs="Arial"/>
          <w:sz w:val="24"/>
          <w:szCs w:val="24"/>
        </w:rPr>
        <w:tab/>
        <w:t xml:space="preserve">IT employees, infrastructure, and software; </w:t>
      </w:r>
    </w:p>
    <w:p w14:paraId="5DC35D8C" w14:textId="77777777" w:rsidR="008044DE" w:rsidRPr="008044DE" w:rsidRDefault="008044DE" w:rsidP="008044DE">
      <w:pPr>
        <w:spacing w:line="480" w:lineRule="auto"/>
        <w:ind w:firstLine="720"/>
        <w:jc w:val="both"/>
        <w:rPr>
          <w:rFonts w:ascii="Arial" w:eastAsiaTheme="minorHAnsi" w:hAnsi="Arial" w:cs="Arial"/>
          <w:sz w:val="24"/>
          <w:szCs w:val="24"/>
        </w:rPr>
      </w:pPr>
      <w:r w:rsidRPr="008044DE">
        <w:rPr>
          <w:rFonts w:ascii="Arial" w:eastAsiaTheme="minorHAnsi" w:hAnsi="Arial" w:cs="Arial"/>
          <w:sz w:val="24"/>
          <w:szCs w:val="24"/>
        </w:rPr>
        <w:t>(4)</w:t>
      </w:r>
      <w:r w:rsidRPr="008044DE">
        <w:rPr>
          <w:rFonts w:ascii="Arial" w:eastAsiaTheme="minorHAnsi" w:hAnsi="Arial" w:cs="Arial"/>
          <w:sz w:val="24"/>
          <w:szCs w:val="24"/>
        </w:rPr>
        <w:tab/>
        <w:t xml:space="preserve">Office space for employees; </w:t>
      </w:r>
    </w:p>
    <w:p w14:paraId="2AE8AE7C" w14:textId="77777777" w:rsidR="008044DE" w:rsidRPr="008044DE" w:rsidRDefault="008044DE" w:rsidP="008044DE">
      <w:pPr>
        <w:spacing w:line="480" w:lineRule="auto"/>
        <w:ind w:firstLine="720"/>
        <w:jc w:val="both"/>
        <w:rPr>
          <w:rFonts w:ascii="Arial" w:eastAsiaTheme="minorHAnsi" w:hAnsi="Arial" w:cs="Arial"/>
          <w:sz w:val="24"/>
          <w:szCs w:val="24"/>
        </w:rPr>
      </w:pPr>
      <w:r w:rsidRPr="008044DE">
        <w:rPr>
          <w:rFonts w:ascii="Arial" w:eastAsiaTheme="minorHAnsi" w:hAnsi="Arial" w:cs="Arial"/>
          <w:sz w:val="24"/>
          <w:szCs w:val="24"/>
        </w:rPr>
        <w:t>(5)</w:t>
      </w:r>
      <w:r w:rsidRPr="008044DE">
        <w:rPr>
          <w:rFonts w:ascii="Arial" w:eastAsiaTheme="minorHAnsi" w:hAnsi="Arial" w:cs="Arial"/>
          <w:sz w:val="24"/>
          <w:szCs w:val="24"/>
        </w:rPr>
        <w:tab/>
        <w:t xml:space="preserve">Administrative and human resources staff to support the employees; </w:t>
      </w:r>
    </w:p>
    <w:p w14:paraId="3B7A90BB" w14:textId="77777777" w:rsidR="008044DE" w:rsidRPr="008044DE" w:rsidRDefault="008044DE" w:rsidP="008044DE">
      <w:pPr>
        <w:spacing w:line="480" w:lineRule="auto"/>
        <w:ind w:firstLine="720"/>
        <w:jc w:val="both"/>
        <w:rPr>
          <w:rFonts w:ascii="Arial" w:eastAsiaTheme="minorHAnsi" w:hAnsi="Arial" w:cs="Arial"/>
          <w:sz w:val="24"/>
          <w:szCs w:val="24"/>
        </w:rPr>
      </w:pPr>
      <w:r w:rsidRPr="008044DE">
        <w:rPr>
          <w:rFonts w:ascii="Arial" w:eastAsiaTheme="minorHAnsi" w:hAnsi="Arial" w:cs="Arial"/>
          <w:sz w:val="24"/>
          <w:szCs w:val="24"/>
        </w:rPr>
        <w:t>(6)</w:t>
      </w:r>
      <w:r w:rsidRPr="008044DE">
        <w:rPr>
          <w:rFonts w:ascii="Arial" w:eastAsiaTheme="minorHAnsi" w:hAnsi="Arial" w:cs="Arial"/>
          <w:sz w:val="24"/>
          <w:szCs w:val="24"/>
        </w:rPr>
        <w:tab/>
        <w:t xml:space="preserve">Office supplies; </w:t>
      </w:r>
    </w:p>
    <w:p w14:paraId="680F2CEC" w14:textId="77777777" w:rsidR="008044DE" w:rsidRPr="008044DE" w:rsidRDefault="008044DE" w:rsidP="008044DE">
      <w:pPr>
        <w:spacing w:line="480" w:lineRule="auto"/>
        <w:ind w:firstLine="720"/>
        <w:jc w:val="both"/>
        <w:rPr>
          <w:rFonts w:ascii="Arial" w:eastAsiaTheme="minorHAnsi" w:hAnsi="Arial" w:cs="Arial"/>
          <w:sz w:val="24"/>
          <w:szCs w:val="24"/>
        </w:rPr>
      </w:pPr>
      <w:r w:rsidRPr="008044DE">
        <w:rPr>
          <w:rFonts w:ascii="Arial" w:eastAsiaTheme="minorHAnsi" w:hAnsi="Arial" w:cs="Arial"/>
          <w:sz w:val="24"/>
          <w:szCs w:val="24"/>
        </w:rPr>
        <w:t>(7)</w:t>
      </w:r>
      <w:r w:rsidRPr="008044DE">
        <w:rPr>
          <w:rFonts w:ascii="Arial" w:eastAsiaTheme="minorHAnsi" w:hAnsi="Arial" w:cs="Arial"/>
          <w:sz w:val="24"/>
          <w:szCs w:val="24"/>
        </w:rPr>
        <w:tab/>
        <w:t xml:space="preserve">Accounting and auditing services; </w:t>
      </w:r>
    </w:p>
    <w:p w14:paraId="293B5585" w14:textId="77777777" w:rsidR="008044DE" w:rsidRPr="008044DE" w:rsidRDefault="008044DE" w:rsidP="008044DE">
      <w:pPr>
        <w:spacing w:line="480" w:lineRule="auto"/>
        <w:ind w:firstLine="720"/>
        <w:jc w:val="both"/>
        <w:rPr>
          <w:rFonts w:ascii="Arial" w:eastAsiaTheme="minorHAnsi" w:hAnsi="Arial" w:cs="Arial"/>
          <w:sz w:val="24"/>
          <w:szCs w:val="24"/>
        </w:rPr>
      </w:pPr>
      <w:r w:rsidRPr="008044DE">
        <w:rPr>
          <w:rFonts w:ascii="Arial" w:eastAsiaTheme="minorHAnsi" w:hAnsi="Arial" w:cs="Arial"/>
          <w:sz w:val="24"/>
          <w:szCs w:val="24"/>
        </w:rPr>
        <w:t>(8)</w:t>
      </w:r>
      <w:r w:rsidRPr="008044DE">
        <w:rPr>
          <w:rFonts w:ascii="Arial" w:eastAsiaTheme="minorHAnsi" w:hAnsi="Arial" w:cs="Arial"/>
          <w:sz w:val="24"/>
          <w:szCs w:val="24"/>
        </w:rPr>
        <w:tab/>
        <w:t xml:space="preserve">Printing and postage to communicate with customers; </w:t>
      </w:r>
    </w:p>
    <w:p w14:paraId="1957D03F" w14:textId="005C0903" w:rsidR="00832866" w:rsidRDefault="008044DE" w:rsidP="00832866">
      <w:pPr>
        <w:spacing w:line="480" w:lineRule="auto"/>
        <w:ind w:left="1440" w:hanging="720"/>
        <w:jc w:val="both"/>
        <w:rPr>
          <w:rFonts w:ascii="Arial" w:eastAsiaTheme="minorHAnsi" w:hAnsi="Arial" w:cs="Arial"/>
          <w:sz w:val="24"/>
          <w:szCs w:val="24"/>
        </w:rPr>
      </w:pPr>
      <w:r>
        <w:rPr>
          <w:rFonts w:ascii="Arial" w:eastAsiaTheme="minorHAnsi" w:hAnsi="Arial" w:cs="Arial"/>
          <w:sz w:val="24"/>
          <w:szCs w:val="24"/>
        </w:rPr>
        <w:t>(9)</w:t>
      </w:r>
      <w:r>
        <w:rPr>
          <w:rFonts w:ascii="Arial" w:eastAsiaTheme="minorHAnsi" w:hAnsi="Arial" w:cs="Arial"/>
          <w:sz w:val="24"/>
          <w:szCs w:val="24"/>
        </w:rPr>
        <w:tab/>
      </w:r>
      <w:r w:rsidR="00832866">
        <w:rPr>
          <w:rFonts w:ascii="Arial" w:eastAsiaTheme="minorHAnsi" w:hAnsi="Arial" w:cs="Arial"/>
          <w:sz w:val="24"/>
          <w:szCs w:val="24"/>
        </w:rPr>
        <w:t>Uncollectible expense, to the extent that a purchase of receivable program contains a discount rate</w:t>
      </w:r>
      <w:r w:rsidR="004417DE">
        <w:rPr>
          <w:rFonts w:ascii="Arial" w:eastAsiaTheme="minorHAnsi" w:hAnsi="Arial" w:cs="Arial"/>
          <w:sz w:val="24"/>
          <w:szCs w:val="24"/>
        </w:rPr>
        <w:t>;</w:t>
      </w:r>
    </w:p>
    <w:p w14:paraId="3714FD4B" w14:textId="51B52B08" w:rsidR="00832866" w:rsidRDefault="00832866" w:rsidP="00832866">
      <w:pPr>
        <w:spacing w:line="480" w:lineRule="auto"/>
        <w:ind w:left="1440" w:hanging="720"/>
        <w:jc w:val="both"/>
        <w:rPr>
          <w:rFonts w:ascii="Arial" w:eastAsiaTheme="minorHAnsi" w:hAnsi="Arial" w:cs="Arial"/>
          <w:sz w:val="24"/>
          <w:szCs w:val="24"/>
        </w:rPr>
      </w:pPr>
      <w:r>
        <w:rPr>
          <w:rFonts w:ascii="Arial" w:eastAsiaTheme="minorHAnsi" w:hAnsi="Arial" w:cs="Arial"/>
          <w:sz w:val="24"/>
          <w:szCs w:val="24"/>
        </w:rPr>
        <w:lastRenderedPageBreak/>
        <w:t xml:space="preserve">(10) </w:t>
      </w:r>
      <w:r>
        <w:rPr>
          <w:rFonts w:ascii="Arial" w:eastAsiaTheme="minorHAnsi" w:hAnsi="Arial" w:cs="Arial"/>
          <w:sz w:val="24"/>
          <w:szCs w:val="24"/>
        </w:rPr>
        <w:tab/>
      </w:r>
      <w:r w:rsidR="008044DE" w:rsidRPr="008044DE">
        <w:rPr>
          <w:rFonts w:ascii="Arial" w:eastAsiaTheme="minorHAnsi" w:hAnsi="Arial" w:cs="Arial"/>
          <w:sz w:val="24"/>
          <w:szCs w:val="24"/>
        </w:rPr>
        <w:t>The regulatory assessments for the PUCO and the Ohio Consumers’ Counsel (“OCC”) that are based on SSO generation revenue, but are recov</w:t>
      </w:r>
      <w:r w:rsidR="004417DE">
        <w:rPr>
          <w:rFonts w:ascii="Arial" w:eastAsiaTheme="minorHAnsi" w:hAnsi="Arial" w:cs="Arial"/>
          <w:sz w:val="24"/>
          <w:szCs w:val="24"/>
        </w:rPr>
        <w:t>ered through distribution rates;</w:t>
      </w:r>
    </w:p>
    <w:p w14:paraId="455A9A42" w14:textId="1B966F2E" w:rsidR="00832866" w:rsidRDefault="004417DE" w:rsidP="00832866">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 (11</w:t>
      </w:r>
      <w:r w:rsidR="00832866">
        <w:rPr>
          <w:rFonts w:ascii="Arial" w:hAnsi="Arial" w:cs="Arial"/>
          <w:sz w:val="24"/>
          <w:szCs w:val="24"/>
        </w:rPr>
        <w:t>)     Cash Working Capital</w:t>
      </w:r>
      <w:r>
        <w:rPr>
          <w:rFonts w:ascii="Arial" w:hAnsi="Arial" w:cs="Arial"/>
          <w:sz w:val="24"/>
          <w:szCs w:val="24"/>
        </w:rPr>
        <w:t>.</w:t>
      </w:r>
      <w:r w:rsidR="00832866">
        <w:rPr>
          <w:rStyle w:val="FootnoteReference"/>
          <w:rFonts w:ascii="Arial" w:hAnsi="Arial" w:cs="Arial"/>
          <w:sz w:val="24"/>
          <w:szCs w:val="24"/>
        </w:rPr>
        <w:footnoteReference w:id="5"/>
      </w:r>
    </w:p>
    <w:p w14:paraId="701C1D79" w14:textId="19E6C4AF" w:rsidR="00832866" w:rsidRPr="00832866" w:rsidRDefault="00832866" w:rsidP="00832866">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t>These categories of cost are mainly identified in the following FERC Accounts (903-905; 908-910; 912; 920-935; 408).</w:t>
      </w:r>
    </w:p>
    <w:p w14:paraId="3FBA8A21" w14:textId="07D1FE1A" w:rsidR="00824A9B" w:rsidRPr="00824A9B" w:rsidRDefault="00832866" w:rsidP="00832866">
      <w:pPr>
        <w:spacing w:line="480" w:lineRule="auto"/>
        <w:ind w:firstLine="720"/>
        <w:jc w:val="both"/>
        <w:rPr>
          <w:rFonts w:ascii="Arial" w:hAnsi="Arial" w:cs="Arial"/>
          <w:sz w:val="24"/>
          <w:szCs w:val="24"/>
        </w:rPr>
      </w:pPr>
      <w:r>
        <w:rPr>
          <w:rFonts w:ascii="Arial" w:hAnsi="Arial" w:cs="Arial"/>
          <w:sz w:val="24"/>
          <w:szCs w:val="24"/>
        </w:rPr>
        <w:t>Moreover, t</w:t>
      </w:r>
      <w:r w:rsidR="00824A9B" w:rsidRPr="00832866">
        <w:rPr>
          <w:rFonts w:ascii="Arial" w:hAnsi="Arial" w:cs="Arial"/>
          <w:sz w:val="24"/>
          <w:szCs w:val="24"/>
        </w:rPr>
        <w:t>he Staff Report further failed to analyze and allocate to the default service costs embedded in rate base that are necessary to support default service.</w:t>
      </w:r>
      <w:r w:rsidR="005A0BD9">
        <w:rPr>
          <w:rFonts w:ascii="Arial" w:hAnsi="Arial" w:cs="Arial"/>
          <w:sz w:val="24"/>
          <w:szCs w:val="24"/>
        </w:rPr>
        <w:t xml:space="preserve">  These costs are proposed in the B Schedules.  The Staff Report failed to analyze or identify costs on these schedules that relate to the provision of SSO service and should therefore be allocated to that service.</w:t>
      </w:r>
      <w:r>
        <w:rPr>
          <w:rFonts w:ascii="Arial" w:hAnsi="Arial" w:cs="Arial"/>
          <w:sz w:val="24"/>
          <w:szCs w:val="24"/>
        </w:rPr>
        <w:t xml:space="preserve">  Such costs include rate base related to categories of costs identified above, as well Duke’s headquarters in Cincinnati. </w:t>
      </w:r>
    </w:p>
    <w:p w14:paraId="4AE383B1" w14:textId="3CE280E1" w:rsidR="003A7774" w:rsidRDefault="00832866" w:rsidP="00A25C42">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tab/>
        <w:t xml:space="preserve">Each of the </w:t>
      </w:r>
      <w:r w:rsidR="005A0BD9">
        <w:rPr>
          <w:rFonts w:ascii="Arial" w:hAnsi="Arial" w:cs="Arial"/>
          <w:sz w:val="24"/>
          <w:szCs w:val="24"/>
        </w:rPr>
        <w:t xml:space="preserve">aforementioned </w:t>
      </w:r>
      <w:r>
        <w:rPr>
          <w:rFonts w:ascii="Arial" w:hAnsi="Arial" w:cs="Arial"/>
          <w:sz w:val="24"/>
          <w:szCs w:val="24"/>
        </w:rPr>
        <w:t>expenses and investments</w:t>
      </w:r>
      <w:r w:rsidR="00AE71A9">
        <w:rPr>
          <w:rFonts w:ascii="Arial" w:hAnsi="Arial" w:cs="Arial"/>
          <w:sz w:val="24"/>
          <w:szCs w:val="24"/>
        </w:rPr>
        <w:t xml:space="preserve"> are necessary to support the SSO.  Moreover, each of these services reflect costs that CRES suppliers must i</w:t>
      </w:r>
      <w:r w:rsidR="004417DE">
        <w:rPr>
          <w:rFonts w:ascii="Arial" w:hAnsi="Arial" w:cs="Arial"/>
          <w:sz w:val="24"/>
          <w:szCs w:val="24"/>
        </w:rPr>
        <w:t xml:space="preserve">ncur to support their own rates.  Indeed, in addition to these internal costs, </w:t>
      </w:r>
      <w:r w:rsidR="00AE71A9">
        <w:rPr>
          <w:rFonts w:ascii="Arial" w:hAnsi="Arial" w:cs="Arial"/>
          <w:sz w:val="24"/>
          <w:szCs w:val="24"/>
        </w:rPr>
        <w:t>CRES providers</w:t>
      </w:r>
      <w:r w:rsidR="004417DE">
        <w:rPr>
          <w:rFonts w:ascii="Arial" w:hAnsi="Arial" w:cs="Arial"/>
          <w:sz w:val="24"/>
          <w:szCs w:val="24"/>
        </w:rPr>
        <w:t xml:space="preserve"> often must pay </w:t>
      </w:r>
      <w:r w:rsidR="00AE71A9">
        <w:rPr>
          <w:rFonts w:ascii="Arial" w:hAnsi="Arial" w:cs="Arial"/>
          <w:sz w:val="24"/>
          <w:szCs w:val="24"/>
        </w:rPr>
        <w:t>Duke</w:t>
      </w:r>
      <w:r w:rsidR="004417DE">
        <w:rPr>
          <w:rFonts w:ascii="Arial" w:hAnsi="Arial" w:cs="Arial"/>
          <w:sz w:val="24"/>
          <w:szCs w:val="24"/>
        </w:rPr>
        <w:t xml:space="preserve"> additional fees</w:t>
      </w:r>
      <w:r w:rsidR="00AE71A9">
        <w:rPr>
          <w:rFonts w:ascii="Arial" w:hAnsi="Arial" w:cs="Arial"/>
          <w:sz w:val="24"/>
          <w:szCs w:val="24"/>
        </w:rPr>
        <w:t xml:space="preserve">, </w:t>
      </w:r>
      <w:r w:rsidR="002E2896">
        <w:rPr>
          <w:rFonts w:ascii="Arial" w:hAnsi="Arial" w:cs="Arial"/>
          <w:sz w:val="24"/>
          <w:szCs w:val="24"/>
        </w:rPr>
        <w:t xml:space="preserve">for example, switching fees, </w:t>
      </w:r>
      <w:r w:rsidR="00AE71A9">
        <w:rPr>
          <w:rFonts w:ascii="Arial" w:hAnsi="Arial" w:cs="Arial"/>
          <w:sz w:val="24"/>
          <w:szCs w:val="24"/>
        </w:rPr>
        <w:t>billing fees</w:t>
      </w:r>
      <w:r w:rsidR="002E2896">
        <w:rPr>
          <w:rFonts w:ascii="Arial" w:hAnsi="Arial" w:cs="Arial"/>
          <w:sz w:val="24"/>
          <w:szCs w:val="24"/>
        </w:rPr>
        <w:t>, and interval data fees</w:t>
      </w:r>
      <w:r w:rsidR="00AE71A9">
        <w:rPr>
          <w:rFonts w:ascii="Arial" w:hAnsi="Arial" w:cs="Arial"/>
          <w:sz w:val="24"/>
          <w:szCs w:val="24"/>
        </w:rPr>
        <w:t>.  In 2016 alone, CRES suppliers and th</w:t>
      </w:r>
      <w:r w:rsidR="00307D81">
        <w:rPr>
          <w:rFonts w:ascii="Arial" w:hAnsi="Arial" w:cs="Arial"/>
          <w:sz w:val="24"/>
          <w:szCs w:val="24"/>
        </w:rPr>
        <w:t>eir customers paid Duke $469,335</w:t>
      </w:r>
      <w:r w:rsidR="00AE71A9">
        <w:rPr>
          <w:rFonts w:ascii="Arial" w:hAnsi="Arial" w:cs="Arial"/>
          <w:sz w:val="24"/>
          <w:szCs w:val="24"/>
        </w:rPr>
        <w:t xml:space="preserve"> in switching fees.</w:t>
      </w:r>
      <w:r w:rsidR="00307D81">
        <w:rPr>
          <w:rStyle w:val="FootnoteReference"/>
          <w:rFonts w:ascii="Arial" w:hAnsi="Arial" w:cs="Arial"/>
          <w:sz w:val="24"/>
          <w:szCs w:val="24"/>
        </w:rPr>
        <w:footnoteReference w:id="6"/>
      </w:r>
      <w:r w:rsidR="00AE71A9">
        <w:rPr>
          <w:rFonts w:ascii="Arial" w:hAnsi="Arial" w:cs="Arial"/>
          <w:sz w:val="24"/>
          <w:szCs w:val="24"/>
        </w:rPr>
        <w:t xml:space="preserve"> </w:t>
      </w:r>
      <w:r w:rsidR="00347D69">
        <w:rPr>
          <w:rFonts w:ascii="Arial" w:hAnsi="Arial" w:cs="Arial"/>
          <w:sz w:val="24"/>
          <w:szCs w:val="24"/>
        </w:rPr>
        <w:t xml:space="preserve">Yet, customers are not required to pay switching fees to return to the </w:t>
      </w:r>
      <w:r w:rsidR="00347D69">
        <w:rPr>
          <w:rFonts w:ascii="Arial" w:hAnsi="Arial" w:cs="Arial"/>
          <w:sz w:val="24"/>
          <w:szCs w:val="24"/>
        </w:rPr>
        <w:lastRenderedPageBreak/>
        <w:t>SSO.</w:t>
      </w:r>
      <w:r w:rsidR="00347D69">
        <w:rPr>
          <w:rStyle w:val="FootnoteReference"/>
          <w:rFonts w:ascii="Arial" w:hAnsi="Arial" w:cs="Arial"/>
          <w:sz w:val="24"/>
          <w:szCs w:val="24"/>
        </w:rPr>
        <w:footnoteReference w:id="7"/>
      </w:r>
      <w:r w:rsidR="00347D69">
        <w:rPr>
          <w:rFonts w:ascii="Arial" w:hAnsi="Arial" w:cs="Arial"/>
          <w:sz w:val="24"/>
          <w:szCs w:val="24"/>
        </w:rPr>
        <w:t xml:space="preserve">  Similarly, Duke charges per bill fees to CRES providers to utilize the bill read function.  In 2016 alone, these fees </w:t>
      </w:r>
      <w:r w:rsidR="00A25C42">
        <w:rPr>
          <w:rFonts w:ascii="Arial" w:hAnsi="Arial" w:cs="Arial"/>
          <w:sz w:val="24"/>
          <w:szCs w:val="24"/>
        </w:rPr>
        <w:t>were $87,470, yet default service customers pay no billing fee other than distribution rates, which are al</w:t>
      </w:r>
      <w:r w:rsidR="002E2896">
        <w:rPr>
          <w:rFonts w:ascii="Arial" w:hAnsi="Arial" w:cs="Arial"/>
          <w:sz w:val="24"/>
          <w:szCs w:val="24"/>
        </w:rPr>
        <w:t>so paid by shopping customers.</w:t>
      </w:r>
      <w:r w:rsidR="00571CC0">
        <w:rPr>
          <w:rStyle w:val="FootnoteReference"/>
          <w:rFonts w:ascii="Arial" w:hAnsi="Arial" w:cs="Arial"/>
          <w:sz w:val="24"/>
          <w:szCs w:val="24"/>
        </w:rPr>
        <w:footnoteReference w:id="8"/>
      </w:r>
      <w:r w:rsidR="002E2896">
        <w:rPr>
          <w:rFonts w:ascii="Arial" w:hAnsi="Arial" w:cs="Arial"/>
          <w:sz w:val="24"/>
          <w:szCs w:val="24"/>
        </w:rPr>
        <w:t xml:space="preserve">  Finally, Duke charges CRES providers $32 for each interval data request.  In 2016 alone, CRES providers paid Duke $556,560 </w:t>
      </w:r>
      <w:r w:rsidR="00405979">
        <w:rPr>
          <w:rFonts w:ascii="Arial" w:hAnsi="Arial" w:cs="Arial"/>
          <w:sz w:val="24"/>
          <w:szCs w:val="24"/>
        </w:rPr>
        <w:t>in interval data fees.</w:t>
      </w:r>
      <w:r w:rsidR="00B727CC">
        <w:rPr>
          <w:rStyle w:val="FootnoteReference"/>
          <w:rFonts w:ascii="Arial" w:hAnsi="Arial" w:cs="Arial"/>
          <w:sz w:val="24"/>
          <w:szCs w:val="24"/>
        </w:rPr>
        <w:footnoteReference w:id="9"/>
      </w:r>
      <w:r w:rsidR="00405979">
        <w:rPr>
          <w:rFonts w:ascii="Arial" w:hAnsi="Arial" w:cs="Arial"/>
          <w:sz w:val="24"/>
          <w:szCs w:val="24"/>
        </w:rPr>
        <w:t xml:space="preserve">  </w:t>
      </w:r>
      <w:r w:rsidR="00A25C42">
        <w:rPr>
          <w:rFonts w:ascii="Arial" w:hAnsi="Arial" w:cs="Arial"/>
          <w:sz w:val="24"/>
          <w:szCs w:val="24"/>
        </w:rPr>
        <w:t>Each of the</w:t>
      </w:r>
      <w:r w:rsidR="00AE71A9">
        <w:rPr>
          <w:rFonts w:ascii="Arial" w:hAnsi="Arial" w:cs="Arial"/>
          <w:sz w:val="24"/>
          <w:szCs w:val="24"/>
        </w:rPr>
        <w:t xml:space="preserve"> fees </w:t>
      </w:r>
      <w:r w:rsidR="00A25C42">
        <w:rPr>
          <w:rFonts w:ascii="Arial" w:hAnsi="Arial" w:cs="Arial"/>
          <w:sz w:val="24"/>
          <w:szCs w:val="24"/>
        </w:rPr>
        <w:t xml:space="preserve">discussed above </w:t>
      </w:r>
      <w:r w:rsidR="00AE71A9">
        <w:rPr>
          <w:rFonts w:ascii="Arial" w:hAnsi="Arial" w:cs="Arial"/>
          <w:sz w:val="24"/>
          <w:szCs w:val="24"/>
        </w:rPr>
        <w:t>are separate and apart from internal costs that CRES providers must incur to make a</w:t>
      </w:r>
      <w:r w:rsidR="00B727CC">
        <w:rPr>
          <w:rFonts w:ascii="Arial" w:hAnsi="Arial" w:cs="Arial"/>
          <w:sz w:val="24"/>
          <w:szCs w:val="24"/>
        </w:rPr>
        <w:t xml:space="preserve"> competitive product available.  IGS further objects to the Staff Report’s failure to analyze whether any supplier fees or charges contained on Tariff Sheet 52.4 are excessive. </w:t>
      </w:r>
    </w:p>
    <w:p w14:paraId="5C28ECF2" w14:textId="256E332E" w:rsidR="00A25C42" w:rsidRPr="00347D69" w:rsidRDefault="00405979" w:rsidP="00A25C42">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Failure to unbundle and allocate SSO-related</w:t>
      </w:r>
      <w:r w:rsidR="00A25C42">
        <w:rPr>
          <w:rFonts w:ascii="Arial" w:hAnsi="Arial" w:cs="Arial"/>
          <w:sz w:val="24"/>
          <w:szCs w:val="24"/>
        </w:rPr>
        <w:t xml:space="preserve"> costs</w:t>
      </w:r>
      <w:r>
        <w:rPr>
          <w:rFonts w:ascii="Arial" w:hAnsi="Arial" w:cs="Arial"/>
          <w:sz w:val="24"/>
          <w:szCs w:val="24"/>
        </w:rPr>
        <w:t xml:space="preserve"> to that service would violate</w:t>
      </w:r>
      <w:r w:rsidR="00A25C42">
        <w:rPr>
          <w:rFonts w:ascii="Arial" w:hAnsi="Arial" w:cs="Arial"/>
          <w:sz w:val="24"/>
          <w:szCs w:val="24"/>
        </w:rPr>
        <w:t xml:space="preserve"> good ratemaking principles, Ohio law, and State Policy against anticompetitive subsidies and in favor of unbundled and comparable rates. </w:t>
      </w:r>
    </w:p>
    <w:p w14:paraId="4D72ACA4" w14:textId="77777777" w:rsidR="001E7587" w:rsidRDefault="00785F0D" w:rsidP="001E7587">
      <w:pPr>
        <w:pStyle w:val="ListParagraph"/>
        <w:numPr>
          <w:ilvl w:val="0"/>
          <w:numId w:val="9"/>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t>Purchase of Receivables Discount</w:t>
      </w:r>
    </w:p>
    <w:p w14:paraId="0E9719BF" w14:textId="3BBE13EB" w:rsidR="001E7587" w:rsidRPr="00861A12" w:rsidRDefault="00861A12" w:rsidP="00861A12">
      <w:pPr>
        <w:autoSpaceDE w:val="0"/>
        <w:autoSpaceDN w:val="0"/>
        <w:adjustRightInd w:val="0"/>
        <w:spacing w:after="120" w:line="480" w:lineRule="auto"/>
        <w:ind w:firstLine="720"/>
        <w:jc w:val="both"/>
        <w:rPr>
          <w:rFonts w:ascii="Arial" w:hAnsi="Arial" w:cs="Arial"/>
          <w:sz w:val="24"/>
          <w:szCs w:val="24"/>
        </w:rPr>
      </w:pPr>
      <w:r w:rsidRPr="001E7587">
        <w:rPr>
          <w:rFonts w:ascii="Arial" w:hAnsi="Arial" w:cs="Arial"/>
          <w:sz w:val="24"/>
          <w:szCs w:val="24"/>
        </w:rPr>
        <w:t>IGS Objects to the Staff Reports recommendation that Duke incorporate a discount rate into the purchase of accoun</w:t>
      </w:r>
      <w:r>
        <w:rPr>
          <w:rFonts w:ascii="Arial" w:hAnsi="Arial" w:cs="Arial"/>
          <w:sz w:val="24"/>
          <w:szCs w:val="24"/>
        </w:rPr>
        <w:t>ts receivable (“PAR”) program.</w:t>
      </w:r>
      <w:r w:rsidR="008C1FD0">
        <w:rPr>
          <w:rStyle w:val="FootnoteReference"/>
          <w:rFonts w:ascii="Arial" w:hAnsi="Arial" w:cs="Arial"/>
          <w:sz w:val="24"/>
          <w:szCs w:val="24"/>
        </w:rPr>
        <w:footnoteReference w:id="10"/>
      </w:r>
      <w:r>
        <w:rPr>
          <w:rFonts w:ascii="Arial" w:hAnsi="Arial" w:cs="Arial"/>
          <w:sz w:val="24"/>
          <w:szCs w:val="24"/>
        </w:rPr>
        <w:t xml:space="preserve"> </w:t>
      </w:r>
      <w:r w:rsidR="001E7587">
        <w:rPr>
          <w:rFonts w:ascii="Arial" w:hAnsi="Arial" w:cs="Arial"/>
          <w:sz w:val="24"/>
          <w:szCs w:val="24"/>
        </w:rPr>
        <w:t>The Staff Report is critical of Duke’s failure to audit receivables proposed for recover in the PAR program.  Without identifying whether any misconduct has occurred, the Staff Report summarily concludes that “[t]he Company needs to incorporate credit and business risk into the PAR Program.”</w:t>
      </w:r>
      <w:r w:rsidR="004417DE">
        <w:rPr>
          <w:rStyle w:val="FootnoteReference"/>
          <w:rFonts w:ascii="Arial" w:hAnsi="Arial" w:cs="Arial"/>
          <w:sz w:val="24"/>
          <w:szCs w:val="24"/>
        </w:rPr>
        <w:footnoteReference w:id="11"/>
      </w:r>
      <w:r w:rsidR="001E7587">
        <w:rPr>
          <w:rFonts w:ascii="Arial" w:hAnsi="Arial" w:cs="Arial"/>
          <w:sz w:val="24"/>
          <w:szCs w:val="24"/>
        </w:rPr>
        <w:t xml:space="preserve">  The Staff Report claims that “[t]he lack of a discount rate for CRES suppliers </w:t>
      </w:r>
      <w:r w:rsidR="001E7587">
        <w:rPr>
          <w:rFonts w:ascii="Arial" w:hAnsi="Arial" w:cs="Arial"/>
          <w:sz w:val="24"/>
          <w:szCs w:val="24"/>
        </w:rPr>
        <w:lastRenderedPageBreak/>
        <w:t>prevents CRES suppliers from performing their due diligence of their customers’ credit.”</w:t>
      </w:r>
      <w:r w:rsidR="004417DE">
        <w:rPr>
          <w:rStyle w:val="FootnoteReference"/>
          <w:rFonts w:ascii="Arial" w:hAnsi="Arial" w:cs="Arial"/>
          <w:sz w:val="24"/>
          <w:szCs w:val="24"/>
        </w:rPr>
        <w:footnoteReference w:id="12"/>
      </w:r>
      <w:r w:rsidR="004417DE">
        <w:rPr>
          <w:rFonts w:ascii="Arial" w:hAnsi="Arial" w:cs="Arial"/>
          <w:sz w:val="24"/>
          <w:szCs w:val="24"/>
        </w:rPr>
        <w:t xml:space="preserve"> </w:t>
      </w:r>
      <w:r w:rsidR="008C1FD0">
        <w:rPr>
          <w:rFonts w:ascii="Arial" w:hAnsi="Arial" w:cs="Arial"/>
          <w:i/>
          <w:sz w:val="24"/>
          <w:szCs w:val="24"/>
        </w:rPr>
        <w:t xml:space="preserve"> </w:t>
      </w:r>
      <w:r w:rsidR="001E7587">
        <w:rPr>
          <w:rFonts w:ascii="Arial" w:hAnsi="Arial" w:cs="Arial"/>
          <w:sz w:val="24"/>
          <w:szCs w:val="24"/>
        </w:rPr>
        <w:t>Finally, the Staff Report concludes “[t]he credit and business risk of CRES suppliers should not be the responsibilit</w:t>
      </w:r>
      <w:r>
        <w:rPr>
          <w:rFonts w:ascii="Arial" w:hAnsi="Arial" w:cs="Arial"/>
          <w:sz w:val="24"/>
          <w:szCs w:val="24"/>
        </w:rPr>
        <w:t>y of the Company’s ratepayers.”</w:t>
      </w:r>
      <w:r w:rsidR="004417DE">
        <w:rPr>
          <w:rStyle w:val="FootnoteReference"/>
          <w:rFonts w:ascii="Arial" w:hAnsi="Arial" w:cs="Arial"/>
          <w:sz w:val="24"/>
          <w:szCs w:val="24"/>
        </w:rPr>
        <w:footnoteReference w:id="13"/>
      </w:r>
      <w:r>
        <w:rPr>
          <w:rFonts w:ascii="Arial" w:hAnsi="Arial" w:cs="Arial"/>
          <w:sz w:val="24"/>
          <w:szCs w:val="24"/>
        </w:rPr>
        <w:t xml:space="preserve">  The Staff Report further indicate that Duke has a discount rate of 0.4729 percent, though it is unclear whether the Staff Report recommends that this rate apply to CRES provider receivables.</w:t>
      </w:r>
      <w:r w:rsidR="004417DE">
        <w:rPr>
          <w:rStyle w:val="FootnoteReference"/>
          <w:rFonts w:ascii="Arial" w:hAnsi="Arial" w:cs="Arial"/>
          <w:sz w:val="24"/>
          <w:szCs w:val="24"/>
        </w:rPr>
        <w:footnoteReference w:id="14"/>
      </w:r>
      <w:r>
        <w:rPr>
          <w:rFonts w:ascii="Arial" w:hAnsi="Arial" w:cs="Arial"/>
          <w:sz w:val="24"/>
          <w:szCs w:val="24"/>
        </w:rPr>
        <w:t xml:space="preserve"> The Staff Report’s</w:t>
      </w:r>
      <w:r w:rsidR="001E7587" w:rsidRPr="001E7587">
        <w:rPr>
          <w:rFonts w:ascii="Arial" w:hAnsi="Arial" w:cs="Arial"/>
          <w:sz w:val="24"/>
          <w:szCs w:val="24"/>
        </w:rPr>
        <w:t xml:space="preserve"> recommendation</w:t>
      </w:r>
      <w:r>
        <w:rPr>
          <w:rFonts w:ascii="Arial" w:hAnsi="Arial" w:cs="Arial"/>
          <w:sz w:val="24"/>
          <w:szCs w:val="24"/>
        </w:rPr>
        <w:t xml:space="preserve"> to impose a discount rate on CRES receivables</w:t>
      </w:r>
      <w:r w:rsidR="001E7587" w:rsidRPr="001E7587">
        <w:rPr>
          <w:rFonts w:ascii="Arial" w:hAnsi="Arial" w:cs="Arial"/>
          <w:sz w:val="24"/>
          <w:szCs w:val="24"/>
        </w:rPr>
        <w:t xml:space="preserve"> is unlawful, unsubstantiated, unjust, and unreasonable for several reasons. </w:t>
      </w:r>
    </w:p>
    <w:p w14:paraId="65EBCB46" w14:textId="00DAC8B7" w:rsidR="001E7587" w:rsidRDefault="0078764E" w:rsidP="0078764E">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T</w:t>
      </w:r>
      <w:r w:rsidR="001E7587">
        <w:rPr>
          <w:rFonts w:ascii="Arial" w:hAnsi="Arial" w:cs="Arial"/>
          <w:sz w:val="24"/>
          <w:szCs w:val="24"/>
        </w:rPr>
        <w:t>he Staff Report’s reasoning for a discount rate is unsubstantiated. There i</w:t>
      </w:r>
      <w:r w:rsidR="00544336">
        <w:rPr>
          <w:rFonts w:ascii="Arial" w:hAnsi="Arial" w:cs="Arial"/>
          <w:sz w:val="24"/>
          <w:szCs w:val="24"/>
        </w:rPr>
        <w:t xml:space="preserve">s simply no evidence to support the conclusion that </w:t>
      </w:r>
      <w:r w:rsidR="001E7587">
        <w:rPr>
          <w:rFonts w:ascii="Arial" w:hAnsi="Arial" w:cs="Arial"/>
          <w:sz w:val="24"/>
          <w:szCs w:val="24"/>
        </w:rPr>
        <w:t>CRES providers fail to undertake their own due diligence before enrolling a customer or that such failure increases the uncollectible cost</w:t>
      </w:r>
      <w:r w:rsidR="00CE654B">
        <w:rPr>
          <w:rFonts w:ascii="Arial" w:hAnsi="Arial" w:cs="Arial"/>
          <w:sz w:val="24"/>
          <w:szCs w:val="24"/>
        </w:rPr>
        <w:t>s collected through Rider UE-GEN</w:t>
      </w:r>
      <w:r w:rsidR="001E7587">
        <w:rPr>
          <w:rFonts w:ascii="Arial" w:hAnsi="Arial" w:cs="Arial"/>
          <w:sz w:val="24"/>
          <w:szCs w:val="24"/>
        </w:rPr>
        <w:t xml:space="preserve">.   </w:t>
      </w:r>
      <w:r w:rsidRPr="0078764E">
        <w:rPr>
          <w:rFonts w:ascii="Arial" w:hAnsi="Arial" w:cs="Arial"/>
          <w:sz w:val="24"/>
          <w:szCs w:val="24"/>
        </w:rPr>
        <w:t>While Duke may not have audited any</w:t>
      </w:r>
      <w:r w:rsidR="00CE654B">
        <w:rPr>
          <w:rFonts w:ascii="Arial" w:hAnsi="Arial" w:cs="Arial"/>
          <w:sz w:val="24"/>
          <w:szCs w:val="24"/>
        </w:rPr>
        <w:t xml:space="preserve"> CRES-related </w:t>
      </w:r>
      <w:r w:rsidRPr="0078764E">
        <w:rPr>
          <w:rFonts w:ascii="Arial" w:hAnsi="Arial" w:cs="Arial"/>
          <w:sz w:val="24"/>
          <w:szCs w:val="24"/>
        </w:rPr>
        <w:t>receivables as the Staff would have liked, there is no evidence of misconduct to justify taking acti</w:t>
      </w:r>
      <w:r w:rsidR="00CE654B">
        <w:rPr>
          <w:rFonts w:ascii="Arial" w:hAnsi="Arial" w:cs="Arial"/>
          <w:sz w:val="24"/>
          <w:szCs w:val="24"/>
        </w:rPr>
        <w:t>on to the detriment of CRES providers</w:t>
      </w:r>
      <w:r w:rsidRPr="0078764E">
        <w:rPr>
          <w:rFonts w:ascii="Arial" w:hAnsi="Arial" w:cs="Arial"/>
          <w:sz w:val="24"/>
          <w:szCs w:val="24"/>
        </w:rPr>
        <w:t>.  A more appropriate recommendation would be to actually perform audits rather than to assume that some form of misconduct has occurred.</w:t>
      </w:r>
    </w:p>
    <w:p w14:paraId="484E3598" w14:textId="41C53C3A" w:rsidR="00861A12" w:rsidRDefault="00861A12" w:rsidP="0078764E">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To the extent that the Staff Report recommends a 0.4729 percent discount rate on CRES</w:t>
      </w:r>
      <w:r w:rsidR="00CE654B">
        <w:rPr>
          <w:rFonts w:ascii="Arial" w:hAnsi="Arial" w:cs="Arial"/>
          <w:sz w:val="24"/>
          <w:szCs w:val="24"/>
        </w:rPr>
        <w:t xml:space="preserve"> provider</w:t>
      </w:r>
      <w:r>
        <w:rPr>
          <w:rFonts w:ascii="Arial" w:hAnsi="Arial" w:cs="Arial"/>
          <w:sz w:val="24"/>
          <w:szCs w:val="24"/>
        </w:rPr>
        <w:t xml:space="preserve"> receivables, that recommendation i</w:t>
      </w:r>
      <w:r w:rsidR="00CE654B">
        <w:rPr>
          <w:rFonts w:ascii="Arial" w:hAnsi="Arial" w:cs="Arial"/>
          <w:sz w:val="24"/>
          <w:szCs w:val="24"/>
        </w:rPr>
        <w:t>s unsubstantiated</w:t>
      </w:r>
      <w:r>
        <w:rPr>
          <w:rFonts w:ascii="Arial" w:hAnsi="Arial" w:cs="Arial"/>
          <w:sz w:val="24"/>
          <w:szCs w:val="24"/>
        </w:rPr>
        <w:t>.  There are simply no calculations to justify this rate</w:t>
      </w:r>
      <w:r w:rsidR="00544336">
        <w:rPr>
          <w:rFonts w:ascii="Arial" w:hAnsi="Arial" w:cs="Arial"/>
          <w:sz w:val="24"/>
          <w:szCs w:val="24"/>
        </w:rPr>
        <w:t>,</w:t>
      </w:r>
      <w:r>
        <w:rPr>
          <w:rFonts w:ascii="Arial" w:hAnsi="Arial" w:cs="Arial"/>
          <w:sz w:val="24"/>
          <w:szCs w:val="24"/>
        </w:rPr>
        <w:t xml:space="preserve"> and Duke’s actual uncollectible expense for CRES receivables contradicts the Staff’s proposed discount rate.</w:t>
      </w:r>
      <w:r w:rsidR="00544336">
        <w:rPr>
          <w:rStyle w:val="FootnoteReference"/>
          <w:rFonts w:ascii="Arial" w:hAnsi="Arial" w:cs="Arial"/>
          <w:sz w:val="24"/>
          <w:szCs w:val="24"/>
        </w:rPr>
        <w:footnoteReference w:id="15"/>
      </w:r>
    </w:p>
    <w:p w14:paraId="74615693" w14:textId="3EF80766" w:rsidR="00FE6593" w:rsidRDefault="00861A12" w:rsidP="001E7587">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lastRenderedPageBreak/>
        <w:t>Moreover, if the</w:t>
      </w:r>
      <w:r w:rsidR="00FE6593">
        <w:rPr>
          <w:rFonts w:ascii="Arial" w:hAnsi="Arial" w:cs="Arial"/>
          <w:sz w:val="24"/>
          <w:szCs w:val="24"/>
        </w:rPr>
        <w:t xml:space="preserve"> Commission requires a discount rate, it must be implemented in a thoughtful manner to avoid disruption of existing fixed-rate contracts, which were entered into</w:t>
      </w:r>
      <w:r w:rsidR="00CE654B">
        <w:rPr>
          <w:rFonts w:ascii="Arial" w:hAnsi="Arial" w:cs="Arial"/>
          <w:sz w:val="24"/>
          <w:szCs w:val="24"/>
        </w:rPr>
        <w:t xml:space="preserve"> based upon the assumption of a zero discount rate</w:t>
      </w:r>
      <w:r w:rsidR="0078764E">
        <w:rPr>
          <w:rFonts w:ascii="Arial" w:hAnsi="Arial" w:cs="Arial"/>
          <w:sz w:val="24"/>
          <w:szCs w:val="24"/>
        </w:rPr>
        <w:t>.</w:t>
      </w:r>
      <w:r>
        <w:rPr>
          <w:rFonts w:ascii="Arial" w:hAnsi="Arial" w:cs="Arial"/>
          <w:sz w:val="24"/>
          <w:szCs w:val="24"/>
        </w:rPr>
        <w:t xml:space="preserve">  </w:t>
      </w:r>
      <w:r w:rsidR="00544336">
        <w:rPr>
          <w:rFonts w:ascii="Arial" w:hAnsi="Arial" w:cs="Arial"/>
          <w:sz w:val="24"/>
          <w:szCs w:val="24"/>
        </w:rPr>
        <w:t>IGS objects to the</w:t>
      </w:r>
      <w:r>
        <w:rPr>
          <w:rFonts w:ascii="Arial" w:hAnsi="Arial" w:cs="Arial"/>
          <w:sz w:val="24"/>
          <w:szCs w:val="24"/>
        </w:rPr>
        <w:t xml:space="preserve"> Staff Report</w:t>
      </w:r>
      <w:r w:rsidR="00544336">
        <w:rPr>
          <w:rFonts w:ascii="Arial" w:hAnsi="Arial" w:cs="Arial"/>
          <w:sz w:val="24"/>
          <w:szCs w:val="24"/>
        </w:rPr>
        <w:t>’s failure</w:t>
      </w:r>
      <w:r>
        <w:rPr>
          <w:rFonts w:ascii="Arial" w:hAnsi="Arial" w:cs="Arial"/>
          <w:sz w:val="24"/>
          <w:szCs w:val="24"/>
        </w:rPr>
        <w:t xml:space="preserve"> to propose such a structured implementation process.</w:t>
      </w:r>
      <w:r w:rsidR="00544336">
        <w:rPr>
          <w:rFonts w:ascii="Arial" w:hAnsi="Arial" w:cs="Arial"/>
          <w:sz w:val="24"/>
          <w:szCs w:val="24"/>
        </w:rPr>
        <w:t xml:space="preserve">  CRES suppliers entered long-term</w:t>
      </w:r>
      <w:r w:rsidR="0078764E">
        <w:rPr>
          <w:rFonts w:ascii="Arial" w:hAnsi="Arial" w:cs="Arial"/>
          <w:sz w:val="24"/>
          <w:szCs w:val="24"/>
        </w:rPr>
        <w:t xml:space="preserve"> agreements</w:t>
      </w:r>
      <w:r w:rsidR="00FE6593">
        <w:rPr>
          <w:rFonts w:ascii="Arial" w:hAnsi="Arial" w:cs="Arial"/>
          <w:sz w:val="24"/>
          <w:szCs w:val="24"/>
        </w:rPr>
        <w:t xml:space="preserve"> with the belief that the Commission would provide regulatory certainty that is needed to support a functional competitive market.  Many customers take service through 3-year fixed rate contracts.  By requiring Duke to purchase receivables at a discount, the Commission would increase the costs that CRES providers bear and considered in their cost structure when the</w:t>
      </w:r>
      <w:r w:rsidR="00CE654B">
        <w:rPr>
          <w:rFonts w:ascii="Arial" w:hAnsi="Arial" w:cs="Arial"/>
          <w:sz w:val="24"/>
          <w:szCs w:val="24"/>
        </w:rPr>
        <w:t>y</w:t>
      </w:r>
      <w:r w:rsidR="00FE6593">
        <w:rPr>
          <w:rFonts w:ascii="Arial" w:hAnsi="Arial" w:cs="Arial"/>
          <w:sz w:val="24"/>
          <w:szCs w:val="24"/>
        </w:rPr>
        <w:t xml:space="preserve"> entered into long-term contracts.</w:t>
      </w:r>
    </w:p>
    <w:p w14:paraId="7873C90B" w14:textId="70F3C303" w:rsidR="0078764E" w:rsidRDefault="001E7587" w:rsidP="001E7587">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IGS Further </w:t>
      </w:r>
      <w:r w:rsidR="00FE6593">
        <w:rPr>
          <w:rFonts w:ascii="Arial" w:hAnsi="Arial" w:cs="Arial"/>
          <w:sz w:val="24"/>
          <w:szCs w:val="24"/>
        </w:rPr>
        <w:t xml:space="preserve">objects to the Staff Reports </w:t>
      </w:r>
      <w:r w:rsidR="0078764E">
        <w:rPr>
          <w:rFonts w:ascii="Arial" w:hAnsi="Arial" w:cs="Arial"/>
          <w:sz w:val="24"/>
          <w:szCs w:val="24"/>
        </w:rPr>
        <w:t>implicit proposal to subsidize the collection of standard service offer generation-related receivables.  Importantly, while the Staff Report proposes that Duke purchase CRES-related receivables at a</w:t>
      </w:r>
      <w:r w:rsidR="00861A12">
        <w:rPr>
          <w:rFonts w:ascii="Arial" w:hAnsi="Arial" w:cs="Arial"/>
          <w:sz w:val="24"/>
          <w:szCs w:val="24"/>
        </w:rPr>
        <w:t xml:space="preserve"> discount, there is no</w:t>
      </w:r>
      <w:r w:rsidR="0078764E">
        <w:rPr>
          <w:rFonts w:ascii="Arial" w:hAnsi="Arial" w:cs="Arial"/>
          <w:sz w:val="24"/>
          <w:szCs w:val="24"/>
        </w:rPr>
        <w:t xml:space="preserve"> corresponding recommendation that Duke allocate the cost of collecting SSO-rel</w:t>
      </w:r>
      <w:r w:rsidR="00861A12">
        <w:rPr>
          <w:rFonts w:ascii="Arial" w:hAnsi="Arial" w:cs="Arial"/>
          <w:sz w:val="24"/>
          <w:szCs w:val="24"/>
        </w:rPr>
        <w:t>ated receivables to the SSO</w:t>
      </w:r>
      <w:r w:rsidR="0078764E">
        <w:rPr>
          <w:rFonts w:ascii="Arial" w:hAnsi="Arial" w:cs="Arial"/>
          <w:sz w:val="24"/>
          <w:szCs w:val="24"/>
        </w:rPr>
        <w:t>.  Thus,</w:t>
      </w:r>
      <w:r w:rsidR="00CE654B">
        <w:rPr>
          <w:rFonts w:ascii="Arial" w:hAnsi="Arial" w:cs="Arial"/>
          <w:sz w:val="24"/>
          <w:szCs w:val="24"/>
        </w:rPr>
        <w:t xml:space="preserve"> under the Staff Report’s asymmetrical and discriminatory recommendation</w:t>
      </w:r>
      <w:r w:rsidR="00861A12">
        <w:rPr>
          <w:rFonts w:ascii="Arial" w:hAnsi="Arial" w:cs="Arial"/>
          <w:sz w:val="24"/>
          <w:szCs w:val="24"/>
        </w:rPr>
        <w:t>, SSO generation</w:t>
      </w:r>
      <w:r w:rsidR="0078764E">
        <w:rPr>
          <w:rFonts w:ascii="Arial" w:hAnsi="Arial" w:cs="Arial"/>
          <w:sz w:val="24"/>
          <w:szCs w:val="24"/>
        </w:rPr>
        <w:t>–related receivables would continue to be purchased at a zero-discount, with their collection costs recovered through distribution rates.  This is an explicit and unlawful subsidy, which would distort competitive market signals and provide preferential treatment of the SSO</w:t>
      </w:r>
      <w:r w:rsidR="00CE654B">
        <w:rPr>
          <w:rFonts w:ascii="Arial" w:hAnsi="Arial" w:cs="Arial"/>
          <w:sz w:val="24"/>
          <w:szCs w:val="24"/>
        </w:rPr>
        <w:t>.  Moreover, it would</w:t>
      </w:r>
      <w:r w:rsidR="0078764E">
        <w:rPr>
          <w:rFonts w:ascii="Arial" w:hAnsi="Arial" w:cs="Arial"/>
          <w:sz w:val="24"/>
          <w:szCs w:val="24"/>
        </w:rPr>
        <w:t xml:space="preserve"> simultaneously discrimina</w:t>
      </w:r>
      <w:r w:rsidR="00314A32">
        <w:rPr>
          <w:rFonts w:ascii="Arial" w:hAnsi="Arial" w:cs="Arial"/>
          <w:sz w:val="24"/>
          <w:szCs w:val="24"/>
        </w:rPr>
        <w:t>te</w:t>
      </w:r>
      <w:r w:rsidR="00CE654B">
        <w:rPr>
          <w:rFonts w:ascii="Arial" w:hAnsi="Arial" w:cs="Arial"/>
          <w:sz w:val="24"/>
          <w:szCs w:val="24"/>
        </w:rPr>
        <w:t xml:space="preserve"> against shopping customers,</w:t>
      </w:r>
      <w:r w:rsidR="0078764E">
        <w:rPr>
          <w:rFonts w:ascii="Arial" w:hAnsi="Arial" w:cs="Arial"/>
          <w:sz w:val="24"/>
          <w:szCs w:val="24"/>
        </w:rPr>
        <w:t xml:space="preserve"> which would be required to bear the cost of the collection of SSO-related receivables through distribution rates.  While the Staff Report claims </w:t>
      </w:r>
      <w:r w:rsidR="0078764E" w:rsidRPr="0078764E">
        <w:rPr>
          <w:rFonts w:ascii="Arial" w:hAnsi="Arial" w:cs="Arial"/>
          <w:sz w:val="24"/>
          <w:szCs w:val="24"/>
        </w:rPr>
        <w:t xml:space="preserve">“[t]he credit and business risk of CRES suppliers should not be the responsibility of </w:t>
      </w:r>
      <w:r w:rsidR="0078764E">
        <w:rPr>
          <w:rFonts w:ascii="Arial" w:hAnsi="Arial" w:cs="Arial"/>
          <w:sz w:val="24"/>
          <w:szCs w:val="24"/>
        </w:rPr>
        <w:t xml:space="preserve">the </w:t>
      </w:r>
      <w:r w:rsidR="0078764E">
        <w:rPr>
          <w:rFonts w:ascii="Arial" w:hAnsi="Arial" w:cs="Arial"/>
          <w:sz w:val="24"/>
          <w:szCs w:val="24"/>
        </w:rPr>
        <w:lastRenderedPageBreak/>
        <w:t>Company’s ratepayers”</w:t>
      </w:r>
      <w:r w:rsidR="00CE654B">
        <w:rPr>
          <w:rStyle w:val="FootnoteReference"/>
          <w:rFonts w:ascii="Arial" w:hAnsi="Arial" w:cs="Arial"/>
          <w:sz w:val="24"/>
          <w:szCs w:val="24"/>
        </w:rPr>
        <w:footnoteReference w:id="16"/>
      </w:r>
      <w:r w:rsidR="0078764E">
        <w:rPr>
          <w:rFonts w:ascii="Arial" w:hAnsi="Arial" w:cs="Arial"/>
          <w:sz w:val="24"/>
          <w:szCs w:val="24"/>
        </w:rPr>
        <w:t xml:space="preserve"> the reverse is true as well:  Shopping customers should not be responsible for the credit and business risk associated with collecting SSO bypasasble generation service.  </w:t>
      </w:r>
    </w:p>
    <w:p w14:paraId="2821EAB0" w14:textId="109BDA1A" w:rsidR="0078764E" w:rsidRDefault="0078764E" w:rsidP="001E7587">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In summary, the Staff Report fails to justify the imposition of a discount rate on CRES-related receivables. But, to the extent that</w:t>
      </w:r>
      <w:r w:rsidR="00314A32">
        <w:rPr>
          <w:rFonts w:ascii="Arial" w:hAnsi="Arial" w:cs="Arial"/>
          <w:sz w:val="24"/>
          <w:szCs w:val="24"/>
        </w:rPr>
        <w:t xml:space="preserve"> such a discount rate is implemented</w:t>
      </w:r>
      <w:r>
        <w:rPr>
          <w:rFonts w:ascii="Arial" w:hAnsi="Arial" w:cs="Arial"/>
          <w:sz w:val="24"/>
          <w:szCs w:val="24"/>
        </w:rPr>
        <w:t>, it must be phased in over time to promote regulatory certainty and to prevent the disruption of existing contracts.  Finally, the Commission should require Duke to implement any changes to its collection process in a symmetrical fashion to ensure that distribution rates do not subsidize the SSO and impart a competitive and discriminatory advantage to that service.</w:t>
      </w:r>
    </w:p>
    <w:p w14:paraId="321E7545" w14:textId="640D41B2" w:rsidR="001E7587" w:rsidRDefault="00CE654B" w:rsidP="0078764E">
      <w:pPr>
        <w:pStyle w:val="ListParagraph"/>
        <w:numPr>
          <w:ilvl w:val="0"/>
          <w:numId w:val="9"/>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t>Time-of-Use</w:t>
      </w:r>
      <w:r w:rsidR="0078764E">
        <w:rPr>
          <w:rFonts w:ascii="Arial" w:hAnsi="Arial" w:cs="Arial"/>
          <w:b/>
          <w:sz w:val="24"/>
          <w:szCs w:val="24"/>
        </w:rPr>
        <w:t xml:space="preserve"> Rates</w:t>
      </w:r>
    </w:p>
    <w:p w14:paraId="1B2D843D" w14:textId="41D98379" w:rsidR="0078764E" w:rsidRDefault="0078764E" w:rsidP="00AE71A9">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IGS obj</w:t>
      </w:r>
      <w:r w:rsidR="00CE654B">
        <w:rPr>
          <w:rFonts w:ascii="Arial" w:hAnsi="Arial" w:cs="Arial"/>
          <w:sz w:val="24"/>
          <w:szCs w:val="24"/>
        </w:rPr>
        <w:t xml:space="preserve">ects to </w:t>
      </w:r>
      <w:r w:rsidR="00314A32">
        <w:rPr>
          <w:rFonts w:ascii="Arial" w:hAnsi="Arial" w:cs="Arial"/>
          <w:sz w:val="24"/>
          <w:szCs w:val="24"/>
        </w:rPr>
        <w:t>the Staff Report’s recommendation that Duke continue</w:t>
      </w:r>
      <w:r w:rsidR="00CE654B">
        <w:rPr>
          <w:rFonts w:ascii="Arial" w:hAnsi="Arial" w:cs="Arial"/>
          <w:sz w:val="24"/>
          <w:szCs w:val="24"/>
        </w:rPr>
        <w:t xml:space="preserve"> Time-of-Day</w:t>
      </w:r>
      <w:r>
        <w:rPr>
          <w:rFonts w:ascii="Arial" w:hAnsi="Arial" w:cs="Arial"/>
          <w:sz w:val="24"/>
          <w:szCs w:val="24"/>
        </w:rPr>
        <w:t xml:space="preserve"> rates</w:t>
      </w:r>
      <w:r w:rsidR="00CE654B">
        <w:rPr>
          <w:rFonts w:ascii="Arial" w:hAnsi="Arial" w:cs="Arial"/>
          <w:sz w:val="24"/>
          <w:szCs w:val="24"/>
        </w:rPr>
        <w:t xml:space="preserve"> (otherwise referred to as time of use or “TOU” rates)</w:t>
      </w:r>
      <w:r w:rsidR="00831E75">
        <w:rPr>
          <w:rFonts w:ascii="Arial" w:hAnsi="Arial" w:cs="Arial"/>
          <w:sz w:val="24"/>
          <w:szCs w:val="24"/>
        </w:rPr>
        <w:t xml:space="preserve"> despite Duke’s proposal to discontinue these rates</w:t>
      </w:r>
      <w:r>
        <w:rPr>
          <w:rFonts w:ascii="Arial" w:hAnsi="Arial" w:cs="Arial"/>
          <w:sz w:val="24"/>
          <w:szCs w:val="24"/>
        </w:rPr>
        <w:t>.</w:t>
      </w:r>
      <w:r w:rsidR="00831E75">
        <w:rPr>
          <w:rStyle w:val="FootnoteReference"/>
          <w:rFonts w:ascii="Arial" w:hAnsi="Arial" w:cs="Arial"/>
          <w:sz w:val="24"/>
          <w:szCs w:val="24"/>
        </w:rPr>
        <w:footnoteReference w:id="17"/>
      </w:r>
      <w:r w:rsidR="00AE71A9">
        <w:rPr>
          <w:rFonts w:ascii="Arial" w:hAnsi="Arial" w:cs="Arial"/>
          <w:sz w:val="24"/>
          <w:szCs w:val="24"/>
        </w:rPr>
        <w:t xml:space="preserve">  Ohio law favors competitive markets and solutions.</w:t>
      </w:r>
      <w:r w:rsidR="00831E75">
        <w:rPr>
          <w:rStyle w:val="FootnoteReference"/>
          <w:rFonts w:ascii="Arial" w:hAnsi="Arial" w:cs="Arial"/>
          <w:sz w:val="24"/>
          <w:szCs w:val="24"/>
        </w:rPr>
        <w:footnoteReference w:id="18"/>
      </w:r>
      <w:r w:rsidR="00AE71A9">
        <w:rPr>
          <w:rFonts w:ascii="Arial" w:hAnsi="Arial" w:cs="Arial"/>
          <w:sz w:val="24"/>
          <w:szCs w:val="24"/>
        </w:rPr>
        <w:t xml:space="preserve">  Therefore, default service should not be in the role of providing time-differentiated pricing, which would be better provided by the competitive market.  Further, placing the utility in the role of providing time-differentiated pricing wil</w:t>
      </w:r>
      <w:r w:rsidR="00CE654B">
        <w:rPr>
          <w:rFonts w:ascii="Arial" w:hAnsi="Arial" w:cs="Arial"/>
          <w:sz w:val="24"/>
          <w:szCs w:val="24"/>
        </w:rPr>
        <w:t>l diminish customers’ incentive</w:t>
      </w:r>
      <w:r w:rsidR="00AE71A9">
        <w:rPr>
          <w:rFonts w:ascii="Arial" w:hAnsi="Arial" w:cs="Arial"/>
          <w:sz w:val="24"/>
          <w:szCs w:val="24"/>
        </w:rPr>
        <w:t xml:space="preserve"> to engage with the competitive marketplace.</w:t>
      </w:r>
      <w:r>
        <w:rPr>
          <w:rFonts w:ascii="Arial" w:hAnsi="Arial" w:cs="Arial"/>
          <w:sz w:val="24"/>
          <w:szCs w:val="24"/>
        </w:rPr>
        <w:t xml:space="preserve">  </w:t>
      </w:r>
    </w:p>
    <w:p w14:paraId="2E55A3E5" w14:textId="24005FCE" w:rsidR="00CE654B" w:rsidRDefault="00831E75" w:rsidP="0078764E">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lastRenderedPageBreak/>
        <w:t>In continuing TOU rates, the Staff Report recommends specific</w:t>
      </w:r>
      <w:r w:rsidR="005B34D0">
        <w:rPr>
          <w:rFonts w:ascii="Arial" w:hAnsi="Arial" w:cs="Arial"/>
          <w:sz w:val="24"/>
          <w:szCs w:val="24"/>
        </w:rPr>
        <w:t xml:space="preserve"> rates</w:t>
      </w:r>
      <w:r>
        <w:rPr>
          <w:rFonts w:ascii="Arial" w:hAnsi="Arial" w:cs="Arial"/>
          <w:sz w:val="24"/>
          <w:szCs w:val="24"/>
        </w:rPr>
        <w:t>.</w:t>
      </w:r>
      <w:r w:rsidR="005B34D0">
        <w:rPr>
          <w:rStyle w:val="FootnoteReference"/>
          <w:rFonts w:ascii="Arial" w:hAnsi="Arial" w:cs="Arial"/>
          <w:sz w:val="24"/>
          <w:szCs w:val="24"/>
        </w:rPr>
        <w:footnoteReference w:id="19"/>
      </w:r>
      <w:r>
        <w:rPr>
          <w:rFonts w:ascii="Arial" w:hAnsi="Arial" w:cs="Arial"/>
          <w:sz w:val="24"/>
          <w:szCs w:val="24"/>
        </w:rPr>
        <w:t xml:space="preserve">  The Staff Report contains no analysis regarding the manner in which these rates were </w:t>
      </w:r>
      <w:r w:rsidR="00645F8B">
        <w:rPr>
          <w:rFonts w:ascii="Arial" w:hAnsi="Arial" w:cs="Arial"/>
          <w:sz w:val="24"/>
          <w:szCs w:val="24"/>
        </w:rPr>
        <w:t>calculated other than identifying</w:t>
      </w:r>
      <w:r w:rsidR="00CE654B">
        <w:rPr>
          <w:rFonts w:ascii="Arial" w:hAnsi="Arial" w:cs="Arial"/>
          <w:sz w:val="24"/>
          <w:szCs w:val="24"/>
        </w:rPr>
        <w:t xml:space="preserve"> that the rates are based upon</w:t>
      </w:r>
      <w:r w:rsidR="00645F8B">
        <w:rPr>
          <w:rFonts w:ascii="Arial" w:hAnsi="Arial" w:cs="Arial"/>
          <w:sz w:val="24"/>
          <w:szCs w:val="24"/>
        </w:rPr>
        <w:t xml:space="preserve"> “staff’s proposed revenue</w:t>
      </w:r>
      <w:r w:rsidR="00CE654B">
        <w:rPr>
          <w:rFonts w:ascii="Arial" w:hAnsi="Arial" w:cs="Arial"/>
          <w:sz w:val="24"/>
          <w:szCs w:val="24"/>
        </w:rPr>
        <w:t>.</w:t>
      </w:r>
      <w:r w:rsidR="00645F8B">
        <w:rPr>
          <w:rFonts w:ascii="Arial" w:hAnsi="Arial" w:cs="Arial"/>
          <w:sz w:val="24"/>
          <w:szCs w:val="24"/>
        </w:rPr>
        <w:t>”</w:t>
      </w:r>
      <w:r w:rsidR="009D40E0">
        <w:rPr>
          <w:rStyle w:val="FootnoteReference"/>
          <w:rFonts w:ascii="Arial" w:hAnsi="Arial" w:cs="Arial"/>
          <w:sz w:val="24"/>
          <w:szCs w:val="24"/>
        </w:rPr>
        <w:footnoteReference w:id="20"/>
      </w:r>
      <w:r w:rsidR="00CE654B">
        <w:rPr>
          <w:rFonts w:ascii="Arial" w:hAnsi="Arial" w:cs="Arial"/>
          <w:sz w:val="24"/>
          <w:szCs w:val="24"/>
        </w:rPr>
        <w:t xml:space="preserve">  But the proposed revenue target</w:t>
      </w:r>
      <w:r w:rsidR="00645F8B">
        <w:rPr>
          <w:rFonts w:ascii="Arial" w:hAnsi="Arial" w:cs="Arial"/>
          <w:sz w:val="24"/>
          <w:szCs w:val="24"/>
        </w:rPr>
        <w:t xml:space="preserve"> is not disclosed or identified.</w:t>
      </w:r>
      <w:r w:rsidR="005B34D0">
        <w:rPr>
          <w:rStyle w:val="FootnoteReference"/>
          <w:rFonts w:ascii="Arial" w:hAnsi="Arial" w:cs="Arial"/>
          <w:sz w:val="24"/>
          <w:szCs w:val="24"/>
        </w:rPr>
        <w:footnoteReference w:id="21"/>
      </w:r>
      <w:r w:rsidR="00CE654B">
        <w:rPr>
          <w:rFonts w:ascii="Arial" w:hAnsi="Arial" w:cs="Arial"/>
          <w:sz w:val="24"/>
          <w:szCs w:val="24"/>
        </w:rPr>
        <w:t xml:space="preserve">  IGS objects to this unsubstantiated calculation.  </w:t>
      </w:r>
    </w:p>
    <w:p w14:paraId="33ED43DB" w14:textId="1126A69E" w:rsidR="0078764E" w:rsidRPr="0078764E" w:rsidRDefault="00831E75" w:rsidP="0078764E">
      <w:pPr>
        <w:autoSpaceDE w:val="0"/>
        <w:autoSpaceDN w:val="0"/>
        <w:adjustRightInd w:val="0"/>
        <w:spacing w:after="120" w:line="480" w:lineRule="auto"/>
        <w:ind w:firstLine="720"/>
        <w:jc w:val="both"/>
        <w:rPr>
          <w:rFonts w:ascii="Arial" w:hAnsi="Arial" w:cs="Arial"/>
          <w:sz w:val="24"/>
          <w:szCs w:val="24"/>
        </w:rPr>
      </w:pPr>
      <w:r w:rsidRPr="00831E75">
        <w:rPr>
          <w:rFonts w:ascii="Arial" w:hAnsi="Arial" w:cs="Arial"/>
          <w:sz w:val="24"/>
          <w:szCs w:val="24"/>
        </w:rPr>
        <w:t xml:space="preserve">IGS </w:t>
      </w:r>
      <w:r>
        <w:rPr>
          <w:rFonts w:ascii="Arial" w:hAnsi="Arial" w:cs="Arial"/>
          <w:sz w:val="24"/>
          <w:szCs w:val="24"/>
        </w:rPr>
        <w:t xml:space="preserve">further </w:t>
      </w:r>
      <w:r w:rsidRPr="00831E75">
        <w:rPr>
          <w:rFonts w:ascii="Arial" w:hAnsi="Arial" w:cs="Arial"/>
          <w:sz w:val="24"/>
          <w:szCs w:val="24"/>
        </w:rPr>
        <w:t>objects to the Staff Report’s failure to recommend that Duke calculate</w:t>
      </w:r>
      <w:r>
        <w:rPr>
          <w:rFonts w:ascii="Arial" w:hAnsi="Arial" w:cs="Arial"/>
          <w:sz w:val="24"/>
          <w:szCs w:val="24"/>
        </w:rPr>
        <w:t xml:space="preserve"> TOU rates—to the extent that they are extended—</w:t>
      </w:r>
      <w:r w:rsidR="00645F8B">
        <w:rPr>
          <w:rFonts w:ascii="Arial" w:hAnsi="Arial" w:cs="Arial"/>
          <w:sz w:val="24"/>
          <w:szCs w:val="24"/>
        </w:rPr>
        <w:t>based upon actual market prices</w:t>
      </w:r>
      <w:r w:rsidR="009D40E0">
        <w:rPr>
          <w:rFonts w:ascii="Arial" w:hAnsi="Arial" w:cs="Arial"/>
          <w:sz w:val="24"/>
          <w:szCs w:val="24"/>
        </w:rPr>
        <w:t xml:space="preserve"> without recovery through distribution rates</w:t>
      </w:r>
      <w:r w:rsidR="00645F8B">
        <w:rPr>
          <w:rFonts w:ascii="Arial" w:hAnsi="Arial" w:cs="Arial"/>
          <w:sz w:val="24"/>
          <w:szCs w:val="24"/>
        </w:rPr>
        <w:t>.</w:t>
      </w:r>
      <w:r w:rsidR="009D40E0">
        <w:rPr>
          <w:rStyle w:val="FootnoteReference"/>
          <w:rFonts w:ascii="Arial" w:hAnsi="Arial" w:cs="Arial"/>
          <w:sz w:val="24"/>
          <w:szCs w:val="24"/>
        </w:rPr>
        <w:footnoteReference w:id="22"/>
      </w:r>
      <w:r w:rsidR="00645F8B">
        <w:rPr>
          <w:rFonts w:ascii="Arial" w:hAnsi="Arial" w:cs="Arial"/>
          <w:sz w:val="24"/>
          <w:szCs w:val="24"/>
        </w:rPr>
        <w:t xml:space="preserve"> </w:t>
      </w:r>
      <w:r w:rsidR="009D40E0">
        <w:rPr>
          <w:rFonts w:ascii="Arial" w:hAnsi="Arial" w:cs="Arial"/>
          <w:sz w:val="24"/>
          <w:szCs w:val="24"/>
        </w:rPr>
        <w:t>Duke has specifically indicated that the cost to administer TOU rates are recovered through distribution rates.</w:t>
      </w:r>
      <w:r w:rsidR="009D40E0">
        <w:rPr>
          <w:rStyle w:val="FootnoteReference"/>
          <w:rFonts w:ascii="Arial" w:hAnsi="Arial" w:cs="Arial"/>
          <w:sz w:val="24"/>
          <w:szCs w:val="24"/>
        </w:rPr>
        <w:footnoteReference w:id="23"/>
      </w:r>
      <w:r w:rsidR="009D40E0">
        <w:rPr>
          <w:rFonts w:ascii="Arial" w:hAnsi="Arial" w:cs="Arial"/>
          <w:sz w:val="24"/>
          <w:szCs w:val="24"/>
        </w:rPr>
        <w:t xml:space="preserve"> </w:t>
      </w:r>
      <w:r w:rsidR="00645F8B">
        <w:rPr>
          <w:rFonts w:ascii="Arial" w:hAnsi="Arial" w:cs="Arial"/>
          <w:sz w:val="24"/>
          <w:szCs w:val="24"/>
        </w:rPr>
        <w:t xml:space="preserve"> </w:t>
      </w:r>
      <w:r w:rsidR="0078764E">
        <w:rPr>
          <w:rFonts w:ascii="Arial" w:hAnsi="Arial" w:cs="Arial"/>
          <w:sz w:val="24"/>
          <w:szCs w:val="24"/>
        </w:rPr>
        <w:t>Gener</w:t>
      </w:r>
      <w:r w:rsidR="009D40E0">
        <w:rPr>
          <w:rFonts w:ascii="Arial" w:hAnsi="Arial" w:cs="Arial"/>
          <w:sz w:val="24"/>
          <w:szCs w:val="24"/>
        </w:rPr>
        <w:t xml:space="preserve">ation service is competitive under Ohio </w:t>
      </w:r>
      <w:r w:rsidR="0078764E">
        <w:rPr>
          <w:rFonts w:ascii="Arial" w:hAnsi="Arial" w:cs="Arial"/>
          <w:sz w:val="24"/>
          <w:szCs w:val="24"/>
        </w:rPr>
        <w:t>law.</w:t>
      </w:r>
      <w:r w:rsidR="009D40E0">
        <w:rPr>
          <w:rStyle w:val="FootnoteReference"/>
          <w:rFonts w:ascii="Arial" w:hAnsi="Arial" w:cs="Arial"/>
          <w:sz w:val="24"/>
          <w:szCs w:val="24"/>
        </w:rPr>
        <w:footnoteReference w:id="24"/>
      </w:r>
      <w:r w:rsidR="0078764E">
        <w:rPr>
          <w:rFonts w:ascii="Arial" w:hAnsi="Arial" w:cs="Arial"/>
          <w:sz w:val="24"/>
          <w:szCs w:val="24"/>
        </w:rPr>
        <w:t xml:space="preserve">  Therefore, recovery of costs through distribution rates would provide TOU rates with an unlawful and unreasonable subsidy.  Such recovery would be particularly anticompetitive given that Duke has failed to comply with the stipulation in case No. 11-3549, which required it to make interval data available to CRES suppliers.</w:t>
      </w:r>
      <w:r w:rsidR="00CE654B">
        <w:rPr>
          <w:rStyle w:val="FootnoteReference"/>
          <w:rFonts w:ascii="Arial" w:hAnsi="Arial" w:cs="Arial"/>
          <w:sz w:val="24"/>
          <w:szCs w:val="24"/>
        </w:rPr>
        <w:footnoteReference w:id="25"/>
      </w:r>
      <w:r w:rsidR="0078764E">
        <w:rPr>
          <w:rFonts w:ascii="Arial" w:hAnsi="Arial" w:cs="Arial"/>
          <w:sz w:val="24"/>
          <w:szCs w:val="24"/>
        </w:rPr>
        <w:t xml:space="preserve">  Consequently, only Duke may offer TOU rates to customers on the SSO.  </w:t>
      </w:r>
    </w:p>
    <w:p w14:paraId="6FAAADE2" w14:textId="2DCE00A4" w:rsidR="00E93D1C" w:rsidRPr="00BF505A" w:rsidRDefault="001B1912" w:rsidP="00A25C42">
      <w:pPr>
        <w:pStyle w:val="ListParagraph"/>
        <w:numPr>
          <w:ilvl w:val="0"/>
          <w:numId w:val="9"/>
        </w:numPr>
        <w:autoSpaceDE w:val="0"/>
        <w:autoSpaceDN w:val="0"/>
        <w:adjustRightInd w:val="0"/>
        <w:spacing w:after="120" w:line="240" w:lineRule="auto"/>
        <w:jc w:val="both"/>
        <w:rPr>
          <w:rFonts w:ascii="Arial" w:hAnsi="Arial" w:cs="Arial"/>
          <w:b/>
          <w:sz w:val="24"/>
          <w:szCs w:val="24"/>
        </w:rPr>
      </w:pPr>
      <w:r w:rsidRPr="00BF505A">
        <w:rPr>
          <w:rFonts w:ascii="Arial" w:hAnsi="Arial" w:cs="Arial"/>
          <w:b/>
          <w:sz w:val="24"/>
          <w:szCs w:val="24"/>
        </w:rPr>
        <w:t>The Staff Report fails to evaluate whether the test year includes costs related to the provision of services on behalf of affiliated entities</w:t>
      </w:r>
    </w:p>
    <w:p w14:paraId="6E2EE166" w14:textId="5A6EB843" w:rsidR="00A25C42" w:rsidRPr="00C51B26" w:rsidRDefault="00A25C42" w:rsidP="00C51B26">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lastRenderedPageBreak/>
        <w:t xml:space="preserve">IGS objects to the Staff Report’s failure to analyze or identify whether Duke has proposed to collect O&amp;M expense related to services provided to its affiliates, </w:t>
      </w:r>
      <w:r w:rsidR="00446914">
        <w:rPr>
          <w:rFonts w:ascii="Arial" w:hAnsi="Arial" w:cs="Arial"/>
          <w:sz w:val="24"/>
          <w:szCs w:val="24"/>
        </w:rPr>
        <w:t xml:space="preserve">or non affiliated companies offering competitive services, </w:t>
      </w:r>
      <w:r>
        <w:rPr>
          <w:rFonts w:ascii="Arial" w:hAnsi="Arial" w:cs="Arial"/>
          <w:sz w:val="24"/>
          <w:szCs w:val="24"/>
        </w:rPr>
        <w:t xml:space="preserve">such as Duke Energy One, Inc.  It is </w:t>
      </w:r>
      <w:r w:rsidR="00F24087">
        <w:rPr>
          <w:rFonts w:ascii="Arial" w:hAnsi="Arial" w:cs="Arial"/>
          <w:sz w:val="24"/>
          <w:szCs w:val="24"/>
        </w:rPr>
        <w:t>undisputed</w:t>
      </w:r>
      <w:r>
        <w:rPr>
          <w:rFonts w:ascii="Arial" w:hAnsi="Arial" w:cs="Arial"/>
          <w:sz w:val="24"/>
          <w:szCs w:val="24"/>
        </w:rPr>
        <w:t xml:space="preserve"> that Duke permits its affiliate, Duke Energy One, Inc., to utilize the utility consolidated bill to charge and collect non-commodity services from customers in the Duke service territory.</w:t>
      </w:r>
      <w:r w:rsidR="009D40E0">
        <w:rPr>
          <w:rStyle w:val="FootnoteReference"/>
          <w:rFonts w:ascii="Arial" w:hAnsi="Arial" w:cs="Arial"/>
          <w:sz w:val="24"/>
          <w:szCs w:val="24"/>
        </w:rPr>
        <w:footnoteReference w:id="26"/>
      </w:r>
      <w:r>
        <w:rPr>
          <w:rFonts w:ascii="Arial" w:hAnsi="Arial" w:cs="Arial"/>
          <w:sz w:val="24"/>
          <w:szCs w:val="24"/>
        </w:rPr>
        <w:t xml:space="preserve">  Although Duke Energy One, Inc. is listed as an entity </w:t>
      </w:r>
      <w:r w:rsidR="00314A32">
        <w:rPr>
          <w:rFonts w:ascii="Arial" w:hAnsi="Arial" w:cs="Arial"/>
          <w:sz w:val="24"/>
          <w:szCs w:val="24"/>
        </w:rPr>
        <w:t xml:space="preserve">that </w:t>
      </w:r>
      <w:r>
        <w:rPr>
          <w:rFonts w:ascii="Arial" w:hAnsi="Arial" w:cs="Arial"/>
          <w:sz w:val="24"/>
          <w:szCs w:val="24"/>
        </w:rPr>
        <w:t>procure</w:t>
      </w:r>
      <w:r w:rsidR="00314A32">
        <w:rPr>
          <w:rFonts w:ascii="Arial" w:hAnsi="Arial" w:cs="Arial"/>
          <w:sz w:val="24"/>
          <w:szCs w:val="24"/>
        </w:rPr>
        <w:t>s</w:t>
      </w:r>
      <w:r>
        <w:rPr>
          <w:rFonts w:ascii="Arial" w:hAnsi="Arial" w:cs="Arial"/>
          <w:sz w:val="24"/>
          <w:szCs w:val="24"/>
        </w:rPr>
        <w:t xml:space="preserve"> and utilize</w:t>
      </w:r>
      <w:r w:rsidR="00314A32">
        <w:rPr>
          <w:rFonts w:ascii="Arial" w:hAnsi="Arial" w:cs="Arial"/>
          <w:sz w:val="24"/>
          <w:szCs w:val="24"/>
        </w:rPr>
        <w:t>s</w:t>
      </w:r>
      <w:r>
        <w:rPr>
          <w:rFonts w:ascii="Arial" w:hAnsi="Arial" w:cs="Arial"/>
          <w:sz w:val="24"/>
          <w:szCs w:val="24"/>
        </w:rPr>
        <w:t xml:space="preserve"> services from Duke,</w:t>
      </w:r>
      <w:r w:rsidR="00F24087">
        <w:rPr>
          <w:rStyle w:val="FootnoteReference"/>
          <w:rFonts w:ascii="Arial" w:hAnsi="Arial" w:cs="Arial"/>
          <w:sz w:val="24"/>
          <w:szCs w:val="24"/>
        </w:rPr>
        <w:footnoteReference w:id="27"/>
      </w:r>
      <w:r>
        <w:rPr>
          <w:rFonts w:ascii="Arial" w:hAnsi="Arial" w:cs="Arial"/>
          <w:sz w:val="24"/>
          <w:szCs w:val="24"/>
        </w:rPr>
        <w:t xml:space="preserve"> the Staff Report failed to identify whether Duke appropriately allocated costs to Duke Energy One, Inc. in the test year.  Failure to allocate appropriate costs to Duke Energy One, Inc. would result in an inappropriate subsidy of unregulated services through distribution rates. Such a subsidy would further aggravate Duke’s </w:t>
      </w:r>
      <w:r w:rsidR="00C51B26">
        <w:rPr>
          <w:rFonts w:ascii="Arial" w:hAnsi="Arial" w:cs="Arial"/>
          <w:sz w:val="24"/>
          <w:szCs w:val="24"/>
        </w:rPr>
        <w:t>prohibition and discrimination</w:t>
      </w:r>
      <w:r>
        <w:rPr>
          <w:rFonts w:ascii="Arial" w:hAnsi="Arial" w:cs="Arial"/>
          <w:sz w:val="24"/>
          <w:szCs w:val="24"/>
        </w:rPr>
        <w:t xml:space="preserve"> against </w:t>
      </w:r>
      <w:r w:rsidR="00314A32">
        <w:rPr>
          <w:rFonts w:ascii="Arial" w:hAnsi="Arial" w:cs="Arial"/>
          <w:sz w:val="24"/>
          <w:szCs w:val="24"/>
        </w:rPr>
        <w:t>CRES providers</w:t>
      </w:r>
      <w:r>
        <w:rPr>
          <w:rFonts w:ascii="Arial" w:hAnsi="Arial" w:cs="Arial"/>
          <w:sz w:val="24"/>
          <w:szCs w:val="24"/>
        </w:rPr>
        <w:t xml:space="preserve"> utilizing the utility consolidated bill to provide the same or like services.</w:t>
      </w:r>
    </w:p>
    <w:p w14:paraId="5879146D" w14:textId="3DB78FEA" w:rsidR="007B7D38" w:rsidRPr="00A25C42" w:rsidRDefault="007B7D38" w:rsidP="00A25C42">
      <w:pPr>
        <w:pStyle w:val="ListParagraph"/>
        <w:numPr>
          <w:ilvl w:val="0"/>
          <w:numId w:val="9"/>
        </w:numPr>
        <w:autoSpaceDE w:val="0"/>
        <w:autoSpaceDN w:val="0"/>
        <w:adjustRightInd w:val="0"/>
        <w:spacing w:after="120" w:line="480" w:lineRule="auto"/>
        <w:jc w:val="both"/>
        <w:rPr>
          <w:rFonts w:ascii="Arial" w:hAnsi="Arial" w:cs="Arial"/>
          <w:b/>
          <w:sz w:val="24"/>
          <w:szCs w:val="24"/>
        </w:rPr>
      </w:pPr>
      <w:r w:rsidRPr="00A25C42">
        <w:rPr>
          <w:rFonts w:ascii="Arial" w:hAnsi="Arial" w:cs="Arial"/>
          <w:b/>
          <w:sz w:val="24"/>
          <w:szCs w:val="24"/>
        </w:rPr>
        <w:t>Customer Information System</w:t>
      </w:r>
    </w:p>
    <w:p w14:paraId="1200FAD6" w14:textId="7AA2A9F4" w:rsidR="00946BC1" w:rsidRPr="00946BC1" w:rsidRDefault="00946BC1" w:rsidP="00946BC1">
      <w:pPr>
        <w:pStyle w:val="ListParagraph"/>
        <w:numPr>
          <w:ilvl w:val="0"/>
          <w:numId w:val="13"/>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t>Interval Data Transmission</w:t>
      </w:r>
    </w:p>
    <w:p w14:paraId="200BE1D2" w14:textId="462E5AF4" w:rsidR="007B7D38" w:rsidRDefault="00946BC1" w:rsidP="000176D8">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IGS objects to the Staff Reports failure to provide a comprehensive evaluation of all matters and issued related to Duke’s proposed customer information system (“CIS”), commonly referred to in the Staff Report as the customer billing system.</w:t>
      </w:r>
      <w:r w:rsidRPr="00946BC1">
        <w:rPr>
          <w:rFonts w:ascii="Arial" w:hAnsi="Arial" w:cs="Arial"/>
          <w:sz w:val="24"/>
          <w:szCs w:val="24"/>
        </w:rPr>
        <w:t xml:space="preserve"> </w:t>
      </w:r>
      <w:r>
        <w:rPr>
          <w:rFonts w:ascii="Arial" w:hAnsi="Arial" w:cs="Arial"/>
          <w:sz w:val="24"/>
          <w:szCs w:val="24"/>
        </w:rPr>
        <w:t xml:space="preserve"> According to the Application, </w:t>
      </w:r>
      <w:r w:rsidRPr="00946BC1">
        <w:rPr>
          <w:rFonts w:ascii="Arial" w:hAnsi="Arial" w:cs="Arial"/>
          <w:sz w:val="24"/>
          <w:szCs w:val="24"/>
        </w:rPr>
        <w:t>Duke proposes to dep</w:t>
      </w:r>
      <w:r>
        <w:rPr>
          <w:rFonts w:ascii="Arial" w:hAnsi="Arial" w:cs="Arial"/>
          <w:sz w:val="24"/>
          <w:szCs w:val="24"/>
        </w:rPr>
        <w:t>loy a new CIS</w:t>
      </w:r>
      <w:r w:rsidRPr="00946BC1">
        <w:rPr>
          <w:rFonts w:ascii="Arial" w:hAnsi="Arial" w:cs="Arial"/>
          <w:sz w:val="24"/>
          <w:szCs w:val="24"/>
        </w:rPr>
        <w:t>. “CIS manages the billing, accounts receivable, and rates for the Company and is the central repository</w:t>
      </w:r>
      <w:r w:rsidR="009D40E0">
        <w:rPr>
          <w:rFonts w:ascii="Arial" w:hAnsi="Arial" w:cs="Arial"/>
          <w:sz w:val="24"/>
          <w:szCs w:val="24"/>
        </w:rPr>
        <w:t xml:space="preserve"> for all customer information.”</w:t>
      </w:r>
      <w:r>
        <w:rPr>
          <w:rStyle w:val="FootnoteReference"/>
          <w:rFonts w:ascii="Arial" w:hAnsi="Arial" w:cs="Arial"/>
          <w:sz w:val="24"/>
          <w:szCs w:val="24"/>
        </w:rPr>
        <w:footnoteReference w:id="28"/>
      </w:r>
      <w:r w:rsidRPr="00946BC1">
        <w:rPr>
          <w:rFonts w:ascii="Arial" w:hAnsi="Arial" w:cs="Arial"/>
          <w:sz w:val="24"/>
          <w:szCs w:val="24"/>
        </w:rPr>
        <w:t xml:space="preserve">  </w:t>
      </w:r>
      <w:r w:rsidR="007B7D38">
        <w:rPr>
          <w:rFonts w:ascii="Arial" w:hAnsi="Arial" w:cs="Arial"/>
          <w:sz w:val="24"/>
          <w:szCs w:val="24"/>
        </w:rPr>
        <w:t>The Staff Report</w:t>
      </w:r>
      <w:r w:rsidR="000176D8">
        <w:rPr>
          <w:rFonts w:ascii="Arial" w:hAnsi="Arial" w:cs="Arial"/>
          <w:sz w:val="24"/>
          <w:szCs w:val="24"/>
        </w:rPr>
        <w:t xml:space="preserve"> contains one summary paragraph regarding Duke’s </w:t>
      </w:r>
      <w:r w:rsidR="000176D8">
        <w:rPr>
          <w:rFonts w:ascii="Arial" w:hAnsi="Arial" w:cs="Arial"/>
          <w:sz w:val="24"/>
          <w:szCs w:val="24"/>
        </w:rPr>
        <w:lastRenderedPageBreak/>
        <w:t>proposed CIS upgrade, recommending</w:t>
      </w:r>
      <w:r w:rsidR="007B7D38">
        <w:rPr>
          <w:rFonts w:ascii="Arial" w:hAnsi="Arial" w:cs="Arial"/>
          <w:sz w:val="24"/>
          <w:szCs w:val="24"/>
        </w:rPr>
        <w:t xml:space="preserve"> </w:t>
      </w:r>
      <w:r w:rsidR="000176D8">
        <w:rPr>
          <w:rFonts w:ascii="Arial" w:hAnsi="Arial" w:cs="Arial"/>
          <w:sz w:val="24"/>
          <w:szCs w:val="24"/>
        </w:rPr>
        <w:t>that the Commission “reduce test year expense by $3,694,000” on the basis that “no new system capabilities were deployed during the tes</w:t>
      </w:r>
      <w:r w:rsidR="00795C25">
        <w:rPr>
          <w:rFonts w:ascii="Arial" w:hAnsi="Arial" w:cs="Arial"/>
          <w:sz w:val="24"/>
          <w:szCs w:val="24"/>
        </w:rPr>
        <w:t>t year period.”</w:t>
      </w:r>
      <w:r w:rsidR="00887174">
        <w:rPr>
          <w:rStyle w:val="FootnoteReference"/>
          <w:rFonts w:ascii="Arial" w:hAnsi="Arial" w:cs="Arial"/>
          <w:sz w:val="24"/>
          <w:szCs w:val="24"/>
        </w:rPr>
        <w:footnoteReference w:id="29"/>
      </w:r>
      <w:r w:rsidR="000176D8">
        <w:rPr>
          <w:rFonts w:ascii="Arial" w:hAnsi="Arial" w:cs="Arial"/>
          <w:sz w:val="24"/>
          <w:szCs w:val="24"/>
        </w:rPr>
        <w:t xml:space="preserve">  </w:t>
      </w:r>
      <w:r w:rsidR="005B34D0">
        <w:rPr>
          <w:rFonts w:ascii="Arial" w:hAnsi="Arial" w:cs="Arial"/>
          <w:sz w:val="24"/>
          <w:szCs w:val="24"/>
        </w:rPr>
        <w:t xml:space="preserve">While this recommendation may be legally correct, this </w:t>
      </w:r>
      <w:r w:rsidR="000176D8">
        <w:rPr>
          <w:rFonts w:ascii="Arial" w:hAnsi="Arial" w:cs="Arial"/>
          <w:sz w:val="24"/>
          <w:szCs w:val="24"/>
        </w:rPr>
        <w:t>recommendation is incomplete inasmuch as it fails</w:t>
      </w:r>
      <w:r w:rsidR="0030156F">
        <w:rPr>
          <w:rFonts w:ascii="Arial" w:hAnsi="Arial" w:cs="Arial"/>
          <w:sz w:val="24"/>
          <w:szCs w:val="24"/>
        </w:rPr>
        <w:t xml:space="preserve"> to discuss a plethora of questions that</w:t>
      </w:r>
      <w:r w:rsidR="000176D8">
        <w:rPr>
          <w:rFonts w:ascii="Arial" w:hAnsi="Arial" w:cs="Arial"/>
          <w:sz w:val="24"/>
          <w:szCs w:val="24"/>
        </w:rPr>
        <w:t xml:space="preserve"> have been put at issue in this proceedin</w:t>
      </w:r>
      <w:r w:rsidR="0030156F">
        <w:rPr>
          <w:rFonts w:ascii="Arial" w:hAnsi="Arial" w:cs="Arial"/>
          <w:sz w:val="24"/>
          <w:szCs w:val="24"/>
        </w:rPr>
        <w:t xml:space="preserve">g by the Application itself, </w:t>
      </w:r>
      <w:r w:rsidR="00F96AFB">
        <w:rPr>
          <w:rFonts w:ascii="Arial" w:hAnsi="Arial" w:cs="Arial"/>
          <w:sz w:val="24"/>
          <w:szCs w:val="24"/>
        </w:rPr>
        <w:t>several other cases,</w:t>
      </w:r>
      <w:r w:rsidR="000176D8">
        <w:rPr>
          <w:rFonts w:ascii="Arial" w:hAnsi="Arial" w:cs="Arial"/>
          <w:sz w:val="24"/>
          <w:szCs w:val="24"/>
        </w:rPr>
        <w:t xml:space="preserve"> Commission entri</w:t>
      </w:r>
      <w:r w:rsidR="0030156F">
        <w:rPr>
          <w:rFonts w:ascii="Arial" w:hAnsi="Arial" w:cs="Arial"/>
          <w:sz w:val="24"/>
          <w:szCs w:val="24"/>
        </w:rPr>
        <w:t>es</w:t>
      </w:r>
      <w:r w:rsidR="00F96AFB">
        <w:rPr>
          <w:rFonts w:ascii="Arial" w:hAnsi="Arial" w:cs="Arial"/>
          <w:sz w:val="24"/>
          <w:szCs w:val="24"/>
        </w:rPr>
        <w:t>,</w:t>
      </w:r>
      <w:r w:rsidR="0030156F">
        <w:rPr>
          <w:rFonts w:ascii="Arial" w:hAnsi="Arial" w:cs="Arial"/>
          <w:sz w:val="24"/>
          <w:szCs w:val="24"/>
        </w:rPr>
        <w:t xml:space="preserve"> and prior stipulations that</w:t>
      </w:r>
      <w:r w:rsidR="000176D8">
        <w:rPr>
          <w:rFonts w:ascii="Arial" w:hAnsi="Arial" w:cs="Arial"/>
          <w:sz w:val="24"/>
          <w:szCs w:val="24"/>
        </w:rPr>
        <w:t xml:space="preserve"> limit Duke’s cost recovery opportunity. </w:t>
      </w:r>
    </w:p>
    <w:p w14:paraId="04BB3E76" w14:textId="2E150F52" w:rsidR="000176D8" w:rsidRDefault="000176D8" w:rsidP="000176D8">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For example, the Commission explicitly stayed the procedural schedule in Case No. 14-2209-EL-UNC on the basis that such issues would be addressed in</w:t>
      </w:r>
      <w:r w:rsidR="00FE5EB4">
        <w:rPr>
          <w:rFonts w:ascii="Arial" w:hAnsi="Arial" w:cs="Arial"/>
          <w:sz w:val="24"/>
          <w:szCs w:val="24"/>
        </w:rPr>
        <w:t xml:space="preserve"> more detail in this proceeding.  In that case, the Office of Ohio Consumers’ Counsel and Ohio Partners for Affordable Energy explicitly requested a stay of the schedule on the basis that matters related to Duke’s customer information and billing system—including the transmission of granular customer energy usage, ie. interval data—would be addressed in Duke’s distribution rate case:</w:t>
      </w:r>
    </w:p>
    <w:p w14:paraId="11134C05" w14:textId="1CFE1F6F" w:rsidR="000176D8" w:rsidRPr="00FE5EB4" w:rsidRDefault="000176D8" w:rsidP="00FE5EB4">
      <w:pPr>
        <w:autoSpaceDE w:val="0"/>
        <w:autoSpaceDN w:val="0"/>
        <w:adjustRightInd w:val="0"/>
        <w:spacing w:after="120" w:line="240" w:lineRule="auto"/>
        <w:ind w:left="720" w:right="720"/>
        <w:jc w:val="both"/>
        <w:rPr>
          <w:rFonts w:ascii="Arial" w:hAnsi="Arial" w:cs="Arial"/>
          <w:sz w:val="24"/>
          <w:szCs w:val="24"/>
        </w:rPr>
      </w:pPr>
      <w:r w:rsidRPr="00FE5EB4">
        <w:rPr>
          <w:rFonts w:ascii="Arial" w:hAnsi="Arial" w:cs="Arial"/>
          <w:sz w:val="24"/>
          <w:szCs w:val="24"/>
        </w:rPr>
        <w:t xml:space="preserve">OCC and OPAE contend that many of the issues being discussed in this case overlap with issues being handled in Duke’s distribution rate case, Case No. 17-32-EL-AIR, et al. According to OCC and OPAE, the rate case is a better forum to resolve many of the issues and it would be unnecessarily duplicative to deal with the issues in this case at this time. Thus, OCC and OPAE request the case be held in abeyance until the rate case is resolved. </w:t>
      </w:r>
      <w:r w:rsidRPr="00FE5EB4">
        <w:rPr>
          <w:rFonts w:ascii="Arial" w:hAnsi="Arial" w:cs="Arial"/>
          <w:i/>
          <w:sz w:val="24"/>
          <w:szCs w:val="24"/>
        </w:rPr>
        <w:t>OCC and OPAE assert that Staff and OEC do not oppose the motion</w:t>
      </w:r>
      <w:r w:rsidR="00FE5EB4">
        <w:rPr>
          <w:rFonts w:ascii="Arial" w:hAnsi="Arial" w:cs="Arial"/>
          <w:sz w:val="24"/>
          <w:szCs w:val="24"/>
        </w:rPr>
        <w:t>.</w:t>
      </w:r>
    </w:p>
    <w:p w14:paraId="192B9AA3" w14:textId="61B55424" w:rsidR="00FE5EB4" w:rsidRDefault="00FE5EB4" w:rsidP="00FE5EB4">
      <w:pPr>
        <w:autoSpaceDE w:val="0"/>
        <w:autoSpaceDN w:val="0"/>
        <w:adjustRightInd w:val="0"/>
        <w:spacing w:after="120" w:line="240" w:lineRule="auto"/>
        <w:ind w:left="720" w:right="720" w:firstLine="720"/>
        <w:jc w:val="both"/>
        <w:rPr>
          <w:rFonts w:ascii="Arial" w:hAnsi="Arial" w:cs="Arial"/>
          <w:sz w:val="24"/>
          <w:szCs w:val="24"/>
        </w:rPr>
      </w:pPr>
      <w:r w:rsidRPr="00FE5EB4">
        <w:rPr>
          <w:rFonts w:ascii="Arial" w:hAnsi="Arial" w:cs="Arial"/>
          <w:sz w:val="24"/>
          <w:szCs w:val="24"/>
        </w:rPr>
        <w:t>Upon review, the attorney examiner finds that the procedural schedule should be suspended.</w:t>
      </w:r>
      <w:r w:rsidRPr="00FE5EB4">
        <w:rPr>
          <w:rStyle w:val="FootnoteReference"/>
          <w:rFonts w:ascii="Arial" w:hAnsi="Arial" w:cs="Arial"/>
          <w:sz w:val="24"/>
          <w:szCs w:val="24"/>
        </w:rPr>
        <w:footnoteReference w:id="30"/>
      </w:r>
    </w:p>
    <w:p w14:paraId="3AFC490D" w14:textId="3791F809" w:rsidR="007171AA" w:rsidRDefault="00FE5EB4" w:rsidP="007171AA">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t>The Staff Report, however, does not provide a comprehensive analysis of the issues that have been delegated to this ca</w:t>
      </w:r>
      <w:r w:rsidR="0030156F">
        <w:rPr>
          <w:rFonts w:ascii="Arial" w:hAnsi="Arial" w:cs="Arial"/>
          <w:sz w:val="24"/>
          <w:szCs w:val="24"/>
        </w:rPr>
        <w:t xml:space="preserve">se.  For example, there is no </w:t>
      </w:r>
      <w:r>
        <w:rPr>
          <w:rFonts w:ascii="Arial" w:hAnsi="Arial" w:cs="Arial"/>
          <w:sz w:val="24"/>
          <w:szCs w:val="24"/>
        </w:rPr>
        <w:t xml:space="preserve">discussion of Duke’s proposal </w:t>
      </w:r>
      <w:r>
        <w:rPr>
          <w:rFonts w:ascii="Arial" w:hAnsi="Arial" w:cs="Arial"/>
          <w:sz w:val="24"/>
          <w:szCs w:val="24"/>
        </w:rPr>
        <w:lastRenderedPageBreak/>
        <w:t>to transmit interval data to CRES providers or the costs—if any—that Duke may collect from CRES providers.  As IGS previously set forth in Case 14-2209 and as further discussed in Duke’s prior</w:t>
      </w:r>
      <w:r w:rsidR="0030156F">
        <w:rPr>
          <w:rFonts w:ascii="Arial" w:hAnsi="Arial" w:cs="Arial"/>
          <w:sz w:val="24"/>
          <w:szCs w:val="24"/>
        </w:rPr>
        <w:t xml:space="preserve"> ESP Stipulation, Duke failed</w:t>
      </w:r>
      <w:r>
        <w:rPr>
          <w:rFonts w:ascii="Arial" w:hAnsi="Arial" w:cs="Arial"/>
          <w:sz w:val="24"/>
          <w:szCs w:val="24"/>
        </w:rPr>
        <w:t xml:space="preserve"> to </w:t>
      </w:r>
      <w:r w:rsidR="007171AA">
        <w:rPr>
          <w:rFonts w:ascii="Arial" w:hAnsi="Arial" w:cs="Arial"/>
          <w:sz w:val="24"/>
          <w:szCs w:val="24"/>
        </w:rPr>
        <w:t xml:space="preserve">make this capability available, </w:t>
      </w:r>
      <w:r w:rsidR="007171AA" w:rsidRPr="007171AA">
        <w:rPr>
          <w:rFonts w:ascii="Arial" w:hAnsi="Arial" w:cs="Arial"/>
          <w:sz w:val="24"/>
          <w:szCs w:val="24"/>
        </w:rPr>
        <w:t xml:space="preserve">despite its commitments to do so.  </w:t>
      </w:r>
    </w:p>
    <w:p w14:paraId="448BA985" w14:textId="0E5F4B1A" w:rsidR="007171AA" w:rsidRPr="007171AA" w:rsidRDefault="00F96AFB" w:rsidP="007171AA">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Indeed, i</w:t>
      </w:r>
      <w:r w:rsidR="007171AA" w:rsidRPr="007171AA">
        <w:rPr>
          <w:rFonts w:ascii="Arial" w:hAnsi="Arial" w:cs="Arial"/>
          <w:sz w:val="24"/>
          <w:szCs w:val="24"/>
        </w:rPr>
        <w:t>n a stipulation and recommendation that Duke entered into in its second ESP case</w:t>
      </w:r>
      <w:r w:rsidR="005B34D0">
        <w:rPr>
          <w:rFonts w:ascii="Arial" w:hAnsi="Arial" w:cs="Arial"/>
          <w:sz w:val="24"/>
          <w:szCs w:val="24"/>
        </w:rPr>
        <w:t>,</w:t>
      </w:r>
      <w:r w:rsidR="007171AA" w:rsidRPr="007171AA">
        <w:rPr>
          <w:rFonts w:ascii="Arial" w:hAnsi="Arial" w:cs="Arial"/>
          <w:sz w:val="24"/>
          <w:szCs w:val="24"/>
        </w:rPr>
        <w:t xml:space="preserve"> Duke agreed to develop a web portal to electronically submit interval data to CRES providers: </w:t>
      </w:r>
    </w:p>
    <w:p w14:paraId="3CF33147" w14:textId="77777777" w:rsidR="007171AA" w:rsidRPr="007171AA" w:rsidRDefault="007171AA" w:rsidP="007171AA">
      <w:pPr>
        <w:autoSpaceDE w:val="0"/>
        <w:autoSpaceDN w:val="0"/>
        <w:adjustRightInd w:val="0"/>
        <w:spacing w:after="120" w:line="240" w:lineRule="auto"/>
        <w:ind w:left="720" w:right="720"/>
        <w:jc w:val="both"/>
        <w:rPr>
          <w:rFonts w:ascii="Arial" w:hAnsi="Arial" w:cs="Arial"/>
          <w:sz w:val="24"/>
          <w:szCs w:val="24"/>
        </w:rPr>
      </w:pPr>
      <w:r w:rsidRPr="007171AA">
        <w:rPr>
          <w:rFonts w:ascii="Arial" w:hAnsi="Arial" w:cs="Arial"/>
          <w:sz w:val="24"/>
          <w:szCs w:val="24"/>
        </w:rPr>
        <w:t xml:space="preserve">Duke Energy Ohio agrees to work with interested CRES providers and Commission Staff to jointly develop a secure, </w:t>
      </w:r>
      <w:r w:rsidRPr="007171AA">
        <w:rPr>
          <w:rFonts w:ascii="Arial" w:hAnsi="Arial" w:cs="Arial"/>
          <w:b/>
          <w:i/>
          <w:sz w:val="24"/>
          <w:szCs w:val="24"/>
        </w:rPr>
        <w:t>web-based system that will provide electronic access to key customer usage and account data that can be accessed via a secure, supplier website that presents the following data and information in a format that can be automatically retrieved</w:t>
      </w:r>
      <w:r w:rsidRPr="007171AA">
        <w:rPr>
          <w:rFonts w:ascii="Arial" w:hAnsi="Arial" w:cs="Arial"/>
          <w:sz w:val="24"/>
          <w:szCs w:val="24"/>
        </w:rPr>
        <w:t xml:space="preserve"> . . . .</w:t>
      </w:r>
      <w:r w:rsidRPr="007171AA">
        <w:t xml:space="preserve"> </w:t>
      </w:r>
      <w:r w:rsidRPr="007171AA">
        <w:rPr>
          <w:rFonts w:ascii="Arial" w:hAnsi="Arial" w:cs="Arial"/>
          <w:sz w:val="24"/>
          <w:szCs w:val="24"/>
        </w:rPr>
        <w:t>The following data and information, in a format that can be automatically retrieved, will be the subject of the web-based system:</w:t>
      </w:r>
    </w:p>
    <w:p w14:paraId="58B64217" w14:textId="77777777" w:rsidR="007171AA" w:rsidRPr="007171AA" w:rsidRDefault="007171AA" w:rsidP="007171AA">
      <w:pPr>
        <w:numPr>
          <w:ilvl w:val="0"/>
          <w:numId w:val="11"/>
        </w:numPr>
        <w:tabs>
          <w:tab w:val="left" w:pos="1080"/>
        </w:tabs>
        <w:autoSpaceDE w:val="0"/>
        <w:autoSpaceDN w:val="0"/>
        <w:adjustRightInd w:val="0"/>
        <w:spacing w:after="120" w:line="240" w:lineRule="auto"/>
        <w:ind w:left="720" w:right="720" w:firstLine="360"/>
        <w:contextualSpacing/>
        <w:jc w:val="both"/>
        <w:rPr>
          <w:rFonts w:ascii="Arial" w:hAnsi="Arial" w:cs="Arial"/>
          <w:sz w:val="24"/>
          <w:szCs w:val="24"/>
        </w:rPr>
      </w:pPr>
      <w:r w:rsidRPr="007171AA">
        <w:rPr>
          <w:rFonts w:ascii="Arial" w:hAnsi="Arial" w:cs="Arial"/>
          <w:sz w:val="24"/>
          <w:szCs w:val="24"/>
        </w:rPr>
        <w:t>Account Numbers</w:t>
      </w:r>
    </w:p>
    <w:p w14:paraId="63124944" w14:textId="77777777" w:rsidR="007171AA" w:rsidRPr="007171AA" w:rsidRDefault="007171AA" w:rsidP="007171AA">
      <w:pPr>
        <w:numPr>
          <w:ilvl w:val="0"/>
          <w:numId w:val="11"/>
        </w:numPr>
        <w:autoSpaceDE w:val="0"/>
        <w:autoSpaceDN w:val="0"/>
        <w:adjustRightInd w:val="0"/>
        <w:spacing w:after="120" w:line="240" w:lineRule="auto"/>
        <w:ind w:left="720" w:right="720" w:firstLine="360"/>
        <w:contextualSpacing/>
        <w:jc w:val="both"/>
        <w:rPr>
          <w:rFonts w:ascii="Arial" w:hAnsi="Arial" w:cs="Arial"/>
          <w:sz w:val="24"/>
          <w:szCs w:val="24"/>
        </w:rPr>
      </w:pPr>
      <w:r w:rsidRPr="007171AA">
        <w:rPr>
          <w:rFonts w:ascii="Arial" w:hAnsi="Arial" w:cs="Arial"/>
          <w:sz w:val="24"/>
          <w:szCs w:val="24"/>
        </w:rPr>
        <w:t>Meter numbers</w:t>
      </w:r>
    </w:p>
    <w:p w14:paraId="4F919888" w14:textId="77777777" w:rsidR="007171AA" w:rsidRPr="007171AA" w:rsidRDefault="007171AA" w:rsidP="007171AA">
      <w:pPr>
        <w:numPr>
          <w:ilvl w:val="0"/>
          <w:numId w:val="11"/>
        </w:numPr>
        <w:autoSpaceDE w:val="0"/>
        <w:autoSpaceDN w:val="0"/>
        <w:adjustRightInd w:val="0"/>
        <w:spacing w:after="120" w:line="240" w:lineRule="auto"/>
        <w:ind w:left="720" w:right="720" w:firstLine="360"/>
        <w:contextualSpacing/>
        <w:jc w:val="both"/>
        <w:rPr>
          <w:rFonts w:ascii="Arial" w:hAnsi="Arial" w:cs="Arial"/>
          <w:sz w:val="24"/>
          <w:szCs w:val="24"/>
        </w:rPr>
      </w:pPr>
      <w:r w:rsidRPr="007171AA">
        <w:rPr>
          <w:rFonts w:ascii="Arial" w:hAnsi="Arial" w:cs="Arial"/>
          <w:sz w:val="24"/>
          <w:szCs w:val="24"/>
        </w:rPr>
        <w:t>Names</w:t>
      </w:r>
    </w:p>
    <w:p w14:paraId="1F9589A7" w14:textId="77777777" w:rsidR="007171AA" w:rsidRPr="007171AA" w:rsidRDefault="007171AA" w:rsidP="007171AA">
      <w:pPr>
        <w:numPr>
          <w:ilvl w:val="0"/>
          <w:numId w:val="11"/>
        </w:numPr>
        <w:autoSpaceDE w:val="0"/>
        <w:autoSpaceDN w:val="0"/>
        <w:adjustRightInd w:val="0"/>
        <w:spacing w:after="120" w:line="240" w:lineRule="auto"/>
        <w:ind w:left="720" w:right="720" w:firstLine="360"/>
        <w:contextualSpacing/>
        <w:jc w:val="both"/>
        <w:rPr>
          <w:rFonts w:ascii="Arial" w:hAnsi="Arial" w:cs="Arial"/>
          <w:sz w:val="24"/>
          <w:szCs w:val="24"/>
        </w:rPr>
      </w:pPr>
      <w:r w:rsidRPr="007171AA">
        <w:rPr>
          <w:rFonts w:ascii="Arial" w:hAnsi="Arial" w:cs="Arial"/>
          <w:sz w:val="24"/>
          <w:szCs w:val="24"/>
        </w:rPr>
        <w:t>Service Address, including zip codes</w:t>
      </w:r>
    </w:p>
    <w:p w14:paraId="46CE82E4" w14:textId="77777777" w:rsidR="007171AA" w:rsidRPr="007171AA" w:rsidRDefault="007171AA" w:rsidP="007171AA">
      <w:pPr>
        <w:numPr>
          <w:ilvl w:val="0"/>
          <w:numId w:val="11"/>
        </w:numPr>
        <w:autoSpaceDE w:val="0"/>
        <w:autoSpaceDN w:val="0"/>
        <w:adjustRightInd w:val="0"/>
        <w:spacing w:after="120" w:line="240" w:lineRule="auto"/>
        <w:ind w:left="720" w:right="720" w:firstLine="360"/>
        <w:contextualSpacing/>
        <w:jc w:val="both"/>
        <w:rPr>
          <w:rFonts w:ascii="Arial" w:hAnsi="Arial" w:cs="Arial"/>
          <w:sz w:val="24"/>
          <w:szCs w:val="24"/>
        </w:rPr>
      </w:pPr>
      <w:r w:rsidRPr="007171AA">
        <w:rPr>
          <w:rFonts w:ascii="Arial" w:hAnsi="Arial" w:cs="Arial"/>
          <w:sz w:val="24"/>
          <w:szCs w:val="24"/>
        </w:rPr>
        <w:t>Billing Address, including zip code</w:t>
      </w:r>
    </w:p>
    <w:p w14:paraId="7B8039A5" w14:textId="77777777" w:rsidR="007171AA" w:rsidRPr="007171AA" w:rsidRDefault="007171AA" w:rsidP="007171AA">
      <w:pPr>
        <w:numPr>
          <w:ilvl w:val="0"/>
          <w:numId w:val="11"/>
        </w:numPr>
        <w:autoSpaceDE w:val="0"/>
        <w:autoSpaceDN w:val="0"/>
        <w:adjustRightInd w:val="0"/>
        <w:spacing w:after="120" w:line="240" w:lineRule="auto"/>
        <w:ind w:left="720" w:right="720" w:firstLine="360"/>
        <w:contextualSpacing/>
        <w:jc w:val="both"/>
        <w:rPr>
          <w:rFonts w:ascii="Arial" w:hAnsi="Arial" w:cs="Arial"/>
          <w:sz w:val="24"/>
          <w:szCs w:val="24"/>
        </w:rPr>
      </w:pPr>
      <w:r w:rsidRPr="007171AA">
        <w:rPr>
          <w:rFonts w:ascii="Arial" w:hAnsi="Arial" w:cs="Arial"/>
          <w:sz w:val="24"/>
          <w:szCs w:val="24"/>
        </w:rPr>
        <w:t>Email address (if available)</w:t>
      </w:r>
    </w:p>
    <w:p w14:paraId="01306076" w14:textId="77777777" w:rsidR="007171AA" w:rsidRPr="007171AA" w:rsidRDefault="007171AA" w:rsidP="007171AA">
      <w:pPr>
        <w:numPr>
          <w:ilvl w:val="0"/>
          <w:numId w:val="11"/>
        </w:numPr>
        <w:autoSpaceDE w:val="0"/>
        <w:autoSpaceDN w:val="0"/>
        <w:adjustRightInd w:val="0"/>
        <w:spacing w:after="120" w:line="240" w:lineRule="auto"/>
        <w:ind w:left="720" w:right="720" w:firstLine="360"/>
        <w:contextualSpacing/>
        <w:jc w:val="both"/>
        <w:rPr>
          <w:rFonts w:ascii="Arial" w:hAnsi="Arial" w:cs="Arial"/>
          <w:sz w:val="24"/>
          <w:szCs w:val="24"/>
        </w:rPr>
      </w:pPr>
      <w:r w:rsidRPr="007171AA">
        <w:rPr>
          <w:rFonts w:ascii="Arial" w:hAnsi="Arial" w:cs="Arial"/>
          <w:sz w:val="24"/>
          <w:szCs w:val="24"/>
        </w:rPr>
        <w:t>Meter Reading Cycle Dates</w:t>
      </w:r>
    </w:p>
    <w:p w14:paraId="37F14989" w14:textId="77777777" w:rsidR="007171AA" w:rsidRPr="007171AA" w:rsidRDefault="007171AA" w:rsidP="007171AA">
      <w:pPr>
        <w:numPr>
          <w:ilvl w:val="0"/>
          <w:numId w:val="11"/>
        </w:numPr>
        <w:autoSpaceDE w:val="0"/>
        <w:autoSpaceDN w:val="0"/>
        <w:adjustRightInd w:val="0"/>
        <w:spacing w:after="120" w:line="240" w:lineRule="auto"/>
        <w:ind w:left="720" w:right="720" w:firstLine="360"/>
        <w:contextualSpacing/>
        <w:jc w:val="both"/>
        <w:rPr>
          <w:rFonts w:ascii="Arial" w:hAnsi="Arial" w:cs="Arial"/>
          <w:sz w:val="24"/>
          <w:szCs w:val="24"/>
        </w:rPr>
      </w:pPr>
      <w:r w:rsidRPr="007171AA">
        <w:rPr>
          <w:rFonts w:ascii="Arial" w:hAnsi="Arial" w:cs="Arial"/>
          <w:sz w:val="24"/>
          <w:szCs w:val="24"/>
        </w:rPr>
        <w:t>Meter Types</w:t>
      </w:r>
    </w:p>
    <w:p w14:paraId="3E9EEF3A" w14:textId="77777777" w:rsidR="007171AA" w:rsidRPr="007171AA" w:rsidRDefault="007171AA" w:rsidP="007171AA">
      <w:pPr>
        <w:numPr>
          <w:ilvl w:val="0"/>
          <w:numId w:val="11"/>
        </w:numPr>
        <w:autoSpaceDE w:val="0"/>
        <w:autoSpaceDN w:val="0"/>
        <w:adjustRightInd w:val="0"/>
        <w:spacing w:after="120" w:line="240" w:lineRule="auto"/>
        <w:ind w:left="720" w:right="720" w:firstLine="360"/>
        <w:contextualSpacing/>
        <w:jc w:val="both"/>
        <w:rPr>
          <w:rFonts w:ascii="Arial" w:hAnsi="Arial" w:cs="Arial"/>
          <w:sz w:val="24"/>
          <w:szCs w:val="24"/>
        </w:rPr>
      </w:pPr>
      <w:r w:rsidRPr="007171AA">
        <w:rPr>
          <w:rFonts w:ascii="Arial" w:hAnsi="Arial" w:cs="Arial"/>
          <w:sz w:val="24"/>
          <w:szCs w:val="24"/>
        </w:rPr>
        <w:t>Indicator if Customer has an Interval Meter</w:t>
      </w:r>
    </w:p>
    <w:p w14:paraId="724C5CEF" w14:textId="77777777" w:rsidR="007171AA" w:rsidRPr="007171AA" w:rsidRDefault="007171AA" w:rsidP="007171AA">
      <w:pPr>
        <w:numPr>
          <w:ilvl w:val="0"/>
          <w:numId w:val="11"/>
        </w:numPr>
        <w:autoSpaceDE w:val="0"/>
        <w:autoSpaceDN w:val="0"/>
        <w:adjustRightInd w:val="0"/>
        <w:spacing w:after="120" w:line="240" w:lineRule="auto"/>
        <w:ind w:left="720" w:right="720" w:firstLine="360"/>
        <w:contextualSpacing/>
        <w:jc w:val="both"/>
        <w:rPr>
          <w:rFonts w:ascii="Arial" w:hAnsi="Arial" w:cs="Arial"/>
          <w:sz w:val="24"/>
          <w:szCs w:val="24"/>
        </w:rPr>
      </w:pPr>
      <w:r w:rsidRPr="007171AA">
        <w:rPr>
          <w:rFonts w:ascii="Arial" w:hAnsi="Arial" w:cs="Arial"/>
          <w:sz w:val="24"/>
          <w:szCs w:val="24"/>
        </w:rPr>
        <w:t>Rate Code Indicator</w:t>
      </w:r>
    </w:p>
    <w:p w14:paraId="769626FF" w14:textId="77777777" w:rsidR="007171AA" w:rsidRPr="007171AA" w:rsidRDefault="007171AA" w:rsidP="007171AA">
      <w:pPr>
        <w:numPr>
          <w:ilvl w:val="0"/>
          <w:numId w:val="11"/>
        </w:numPr>
        <w:autoSpaceDE w:val="0"/>
        <w:autoSpaceDN w:val="0"/>
        <w:adjustRightInd w:val="0"/>
        <w:spacing w:after="120" w:line="240" w:lineRule="auto"/>
        <w:ind w:left="720" w:right="720" w:firstLine="360"/>
        <w:contextualSpacing/>
        <w:jc w:val="both"/>
        <w:rPr>
          <w:rFonts w:ascii="Arial" w:hAnsi="Arial" w:cs="Arial"/>
          <w:sz w:val="24"/>
          <w:szCs w:val="24"/>
        </w:rPr>
      </w:pPr>
      <w:r w:rsidRPr="007171AA">
        <w:rPr>
          <w:rFonts w:ascii="Arial" w:hAnsi="Arial" w:cs="Arial"/>
          <w:sz w:val="24"/>
          <w:szCs w:val="24"/>
        </w:rPr>
        <w:t>Load Profile Group Indicators</w:t>
      </w:r>
    </w:p>
    <w:p w14:paraId="7962ED4F" w14:textId="77777777" w:rsidR="007171AA" w:rsidRPr="007171AA" w:rsidRDefault="007171AA" w:rsidP="007171AA">
      <w:pPr>
        <w:numPr>
          <w:ilvl w:val="0"/>
          <w:numId w:val="11"/>
        </w:numPr>
        <w:autoSpaceDE w:val="0"/>
        <w:autoSpaceDN w:val="0"/>
        <w:adjustRightInd w:val="0"/>
        <w:spacing w:after="120" w:line="240" w:lineRule="auto"/>
        <w:ind w:left="720" w:right="720" w:firstLine="360"/>
        <w:contextualSpacing/>
        <w:jc w:val="both"/>
        <w:rPr>
          <w:rFonts w:ascii="Arial" w:hAnsi="Arial" w:cs="Arial"/>
          <w:sz w:val="24"/>
          <w:szCs w:val="24"/>
        </w:rPr>
      </w:pPr>
      <w:r w:rsidRPr="007171AA">
        <w:rPr>
          <w:rFonts w:ascii="Arial" w:hAnsi="Arial" w:cs="Arial"/>
          <w:sz w:val="24"/>
          <w:szCs w:val="24"/>
        </w:rPr>
        <w:t>PLC and NSPL values (capacity and transmission obligations)</w:t>
      </w:r>
    </w:p>
    <w:p w14:paraId="6336E675" w14:textId="77777777" w:rsidR="007171AA" w:rsidRPr="007171AA" w:rsidRDefault="007171AA" w:rsidP="007171AA">
      <w:pPr>
        <w:numPr>
          <w:ilvl w:val="0"/>
          <w:numId w:val="11"/>
        </w:numPr>
        <w:autoSpaceDE w:val="0"/>
        <w:autoSpaceDN w:val="0"/>
        <w:adjustRightInd w:val="0"/>
        <w:spacing w:after="120" w:line="240" w:lineRule="auto"/>
        <w:ind w:left="720" w:right="720" w:firstLine="360"/>
        <w:contextualSpacing/>
        <w:jc w:val="both"/>
        <w:rPr>
          <w:rFonts w:ascii="Arial" w:hAnsi="Arial" w:cs="Arial"/>
          <w:sz w:val="24"/>
          <w:szCs w:val="24"/>
        </w:rPr>
      </w:pPr>
      <w:r w:rsidRPr="007171AA">
        <w:rPr>
          <w:rFonts w:ascii="Arial" w:hAnsi="Arial" w:cs="Arial"/>
          <w:sz w:val="24"/>
          <w:szCs w:val="24"/>
        </w:rPr>
        <w:t>24 months of consumption data (in kWh) by billing period including</w:t>
      </w:r>
    </w:p>
    <w:p w14:paraId="4C3412F6" w14:textId="77777777" w:rsidR="007171AA" w:rsidRPr="007171AA" w:rsidRDefault="007171AA" w:rsidP="007171AA">
      <w:pPr>
        <w:numPr>
          <w:ilvl w:val="0"/>
          <w:numId w:val="11"/>
        </w:numPr>
        <w:autoSpaceDE w:val="0"/>
        <w:autoSpaceDN w:val="0"/>
        <w:adjustRightInd w:val="0"/>
        <w:spacing w:after="120" w:line="240" w:lineRule="auto"/>
        <w:ind w:left="720" w:right="720" w:firstLine="360"/>
        <w:contextualSpacing/>
        <w:jc w:val="both"/>
        <w:rPr>
          <w:rFonts w:ascii="Arial" w:hAnsi="Arial" w:cs="Arial"/>
          <w:sz w:val="24"/>
          <w:szCs w:val="24"/>
        </w:rPr>
      </w:pPr>
      <w:r w:rsidRPr="007171AA">
        <w:rPr>
          <w:rFonts w:ascii="Arial" w:hAnsi="Arial" w:cs="Arial"/>
          <w:sz w:val="24"/>
          <w:szCs w:val="24"/>
        </w:rPr>
        <w:t>24 months of demand data (in kW)</w:t>
      </w:r>
    </w:p>
    <w:p w14:paraId="04C835E5" w14:textId="77777777" w:rsidR="007171AA" w:rsidRPr="007171AA" w:rsidRDefault="007171AA" w:rsidP="007171AA">
      <w:pPr>
        <w:numPr>
          <w:ilvl w:val="0"/>
          <w:numId w:val="11"/>
        </w:numPr>
        <w:autoSpaceDE w:val="0"/>
        <w:autoSpaceDN w:val="0"/>
        <w:adjustRightInd w:val="0"/>
        <w:spacing w:after="120" w:line="240" w:lineRule="auto"/>
        <w:ind w:left="720" w:right="720" w:firstLine="360"/>
        <w:contextualSpacing/>
        <w:jc w:val="both"/>
        <w:rPr>
          <w:rFonts w:ascii="Arial" w:hAnsi="Arial" w:cs="Arial"/>
          <w:b/>
          <w:i/>
          <w:sz w:val="24"/>
          <w:szCs w:val="24"/>
        </w:rPr>
      </w:pPr>
      <w:r w:rsidRPr="007171AA">
        <w:rPr>
          <w:rFonts w:ascii="Arial" w:hAnsi="Arial" w:cs="Arial"/>
          <w:b/>
          <w:i/>
          <w:sz w:val="24"/>
          <w:szCs w:val="24"/>
        </w:rPr>
        <w:t>24 months of interval data</w:t>
      </w:r>
    </w:p>
    <w:p w14:paraId="0FC85375" w14:textId="77777777" w:rsidR="007171AA" w:rsidRDefault="007171AA" w:rsidP="007171AA">
      <w:pPr>
        <w:numPr>
          <w:ilvl w:val="0"/>
          <w:numId w:val="11"/>
        </w:numPr>
        <w:autoSpaceDE w:val="0"/>
        <w:autoSpaceDN w:val="0"/>
        <w:adjustRightInd w:val="0"/>
        <w:spacing w:after="120" w:line="240" w:lineRule="auto"/>
        <w:ind w:left="720" w:right="720" w:firstLine="360"/>
        <w:contextualSpacing/>
        <w:jc w:val="both"/>
        <w:rPr>
          <w:rFonts w:ascii="Arial" w:hAnsi="Arial" w:cs="Arial"/>
          <w:sz w:val="24"/>
          <w:szCs w:val="24"/>
        </w:rPr>
      </w:pPr>
      <w:r w:rsidRPr="007171AA">
        <w:rPr>
          <w:rFonts w:ascii="Arial" w:hAnsi="Arial" w:cs="Arial"/>
          <w:sz w:val="24"/>
          <w:szCs w:val="24"/>
        </w:rPr>
        <w:t>Indicator if SSO customer</w:t>
      </w:r>
    </w:p>
    <w:p w14:paraId="13366B00" w14:textId="77777777" w:rsidR="007171AA" w:rsidRDefault="007171AA" w:rsidP="00946BC1">
      <w:pPr>
        <w:numPr>
          <w:ilvl w:val="0"/>
          <w:numId w:val="11"/>
        </w:numPr>
        <w:autoSpaceDE w:val="0"/>
        <w:autoSpaceDN w:val="0"/>
        <w:adjustRightInd w:val="0"/>
        <w:spacing w:after="120" w:line="240" w:lineRule="auto"/>
        <w:ind w:left="1440" w:right="720"/>
        <w:contextualSpacing/>
        <w:jc w:val="both"/>
        <w:rPr>
          <w:rFonts w:ascii="Arial" w:hAnsi="Arial" w:cs="Arial"/>
          <w:sz w:val="24"/>
          <w:szCs w:val="24"/>
        </w:rPr>
      </w:pPr>
      <w:r w:rsidRPr="007171AA">
        <w:rPr>
          <w:rFonts w:ascii="Arial" w:hAnsi="Arial" w:cs="Arial"/>
          <w:sz w:val="24"/>
          <w:szCs w:val="24"/>
        </w:rPr>
        <w:t>Identifier as to whether customer is participating in the Budget Billing Plan.</w:t>
      </w:r>
      <w:r w:rsidRPr="007171AA">
        <w:rPr>
          <w:rFonts w:ascii="Arial" w:hAnsi="Arial" w:cs="Arial"/>
          <w:sz w:val="24"/>
          <w:szCs w:val="24"/>
          <w:vertAlign w:val="superscript"/>
        </w:rPr>
        <w:footnoteReference w:id="31"/>
      </w:r>
    </w:p>
    <w:p w14:paraId="46F960B6" w14:textId="77777777" w:rsidR="007171AA" w:rsidRPr="007171AA" w:rsidRDefault="007171AA" w:rsidP="007171AA">
      <w:pPr>
        <w:autoSpaceDE w:val="0"/>
        <w:autoSpaceDN w:val="0"/>
        <w:adjustRightInd w:val="0"/>
        <w:spacing w:after="120" w:line="240" w:lineRule="auto"/>
        <w:ind w:left="1080" w:right="720"/>
        <w:contextualSpacing/>
        <w:jc w:val="both"/>
        <w:rPr>
          <w:rFonts w:ascii="Arial" w:hAnsi="Arial" w:cs="Arial"/>
          <w:sz w:val="24"/>
          <w:szCs w:val="24"/>
        </w:rPr>
      </w:pPr>
    </w:p>
    <w:p w14:paraId="29B39B05" w14:textId="77777777" w:rsidR="007171AA" w:rsidRPr="007171AA" w:rsidRDefault="007171AA" w:rsidP="0030156F">
      <w:pPr>
        <w:autoSpaceDE w:val="0"/>
        <w:autoSpaceDN w:val="0"/>
        <w:adjustRightInd w:val="0"/>
        <w:spacing w:after="0" w:line="480" w:lineRule="auto"/>
        <w:ind w:firstLine="720"/>
        <w:jc w:val="both"/>
        <w:rPr>
          <w:rFonts w:ascii="Arial" w:hAnsi="Arial" w:cs="Arial"/>
          <w:sz w:val="24"/>
          <w:szCs w:val="24"/>
        </w:rPr>
      </w:pPr>
      <w:r w:rsidRPr="007171AA">
        <w:rPr>
          <w:rFonts w:ascii="Arial" w:hAnsi="Arial" w:cs="Arial"/>
          <w:sz w:val="24"/>
          <w:szCs w:val="24"/>
        </w:rPr>
        <w:t>Moreover, Duke committed to provide this data through a web portal by June 1, 2014:</w:t>
      </w:r>
    </w:p>
    <w:p w14:paraId="6A4ED53F" w14:textId="77777777" w:rsidR="007171AA" w:rsidRPr="007171AA" w:rsidRDefault="007171AA" w:rsidP="0030156F">
      <w:pPr>
        <w:autoSpaceDE w:val="0"/>
        <w:autoSpaceDN w:val="0"/>
        <w:adjustRightInd w:val="0"/>
        <w:spacing w:after="0" w:line="240" w:lineRule="auto"/>
        <w:ind w:left="720" w:right="720" w:firstLine="720"/>
        <w:jc w:val="both"/>
        <w:rPr>
          <w:rFonts w:ascii="Arial" w:hAnsi="Arial" w:cs="Arial"/>
          <w:sz w:val="24"/>
          <w:szCs w:val="24"/>
        </w:rPr>
      </w:pPr>
      <w:r w:rsidRPr="007171AA">
        <w:rPr>
          <w:rFonts w:ascii="Arial" w:hAnsi="Arial" w:cs="Arial"/>
          <w:sz w:val="24"/>
          <w:szCs w:val="24"/>
        </w:rPr>
        <w:t xml:space="preserve">Duke Energy Ohio shall use commercially reasonable efforts to add to the existing web system the Load Profile Group Indicators and the customer service addresses by March 1, 2012, but shall complete such additions no later than June 1, 2012. </w:t>
      </w:r>
      <w:r w:rsidRPr="007171AA">
        <w:rPr>
          <w:rFonts w:ascii="Arial" w:hAnsi="Arial" w:cs="Arial"/>
          <w:b/>
          <w:i/>
          <w:sz w:val="24"/>
          <w:szCs w:val="24"/>
        </w:rPr>
        <w:t>Duke Energy Ohio shall make a commercially reasonable effort to add the other items by June 1, 2013, but agrees to complete the additional data items no later than June 1, 2014</w:t>
      </w:r>
      <w:r w:rsidRPr="007171AA">
        <w:rPr>
          <w:rFonts w:ascii="Arial" w:hAnsi="Arial" w:cs="Arial"/>
          <w:sz w:val="24"/>
          <w:szCs w:val="24"/>
        </w:rPr>
        <w:t xml:space="preserve">, and will work with Commission Staff and interested CRES providers to stage the implementation of various portions of this website, as possible . . . . </w:t>
      </w:r>
    </w:p>
    <w:p w14:paraId="6D57C832" w14:textId="77777777" w:rsidR="007171AA" w:rsidRPr="007171AA" w:rsidRDefault="007171AA" w:rsidP="007171AA">
      <w:pPr>
        <w:autoSpaceDE w:val="0"/>
        <w:autoSpaceDN w:val="0"/>
        <w:adjustRightInd w:val="0"/>
        <w:spacing w:after="120" w:line="240" w:lineRule="auto"/>
        <w:ind w:left="720" w:right="720" w:firstLine="720"/>
        <w:jc w:val="both"/>
        <w:rPr>
          <w:rFonts w:ascii="Arial" w:hAnsi="Arial" w:cs="Arial"/>
          <w:sz w:val="24"/>
          <w:szCs w:val="24"/>
        </w:rPr>
      </w:pPr>
      <w:r w:rsidRPr="007171AA">
        <w:rPr>
          <w:rFonts w:ascii="Arial" w:hAnsi="Arial" w:cs="Arial"/>
          <w:sz w:val="24"/>
          <w:szCs w:val="24"/>
        </w:rPr>
        <w:t xml:space="preserve">Duke Energy Ohio shall recover the actual costs to develop said web-based system, </w:t>
      </w:r>
      <w:r w:rsidRPr="007171AA">
        <w:rPr>
          <w:rFonts w:ascii="Arial" w:hAnsi="Arial" w:cs="Arial"/>
          <w:b/>
          <w:i/>
          <w:sz w:val="24"/>
          <w:szCs w:val="24"/>
        </w:rPr>
        <w:t>recovery not to exceed $500,000</w:t>
      </w:r>
      <w:r w:rsidRPr="007171AA">
        <w:rPr>
          <w:rFonts w:ascii="Arial" w:hAnsi="Arial" w:cs="Arial"/>
          <w:sz w:val="24"/>
          <w:szCs w:val="24"/>
        </w:rPr>
        <w:t>, on a non-bypassable basis.  Duke Energy Ohio shall be permitted to create a regulatory asset for purposes of recording said costs for future recovery through electric distribution rates.</w:t>
      </w:r>
      <w:r w:rsidRPr="007171AA">
        <w:rPr>
          <w:rFonts w:ascii="Arial" w:hAnsi="Arial" w:cs="Arial"/>
          <w:sz w:val="24"/>
          <w:szCs w:val="24"/>
          <w:vertAlign w:val="superscript"/>
        </w:rPr>
        <w:t xml:space="preserve"> </w:t>
      </w:r>
      <w:r w:rsidRPr="007171AA">
        <w:rPr>
          <w:rFonts w:ascii="Arial" w:hAnsi="Arial" w:cs="Arial"/>
          <w:sz w:val="24"/>
          <w:szCs w:val="24"/>
          <w:vertAlign w:val="superscript"/>
        </w:rPr>
        <w:footnoteReference w:id="32"/>
      </w:r>
    </w:p>
    <w:p w14:paraId="40B90B64" w14:textId="77777777" w:rsidR="00FA2C78" w:rsidRPr="00FA2C78" w:rsidRDefault="00FA2C78" w:rsidP="00FA2C78">
      <w:pPr>
        <w:autoSpaceDE w:val="0"/>
        <w:autoSpaceDN w:val="0"/>
        <w:adjustRightInd w:val="0"/>
        <w:spacing w:after="120" w:line="480" w:lineRule="auto"/>
        <w:ind w:firstLine="720"/>
        <w:jc w:val="both"/>
        <w:rPr>
          <w:rFonts w:ascii="Arial" w:hAnsi="Arial" w:cs="Arial"/>
          <w:sz w:val="24"/>
          <w:szCs w:val="24"/>
        </w:rPr>
      </w:pPr>
      <w:r w:rsidRPr="00FA2C78">
        <w:rPr>
          <w:rFonts w:ascii="Arial" w:hAnsi="Arial" w:cs="Arial"/>
          <w:sz w:val="24"/>
          <w:szCs w:val="24"/>
        </w:rPr>
        <w:t>Finally, Duke agreed in the stipulation to make interval data available to all customers on a competitively neutral basis:</w:t>
      </w:r>
    </w:p>
    <w:p w14:paraId="15F6D206" w14:textId="77777777" w:rsidR="00FA2C78" w:rsidRPr="00FA2C78" w:rsidRDefault="00FA2C78" w:rsidP="00FA2C78">
      <w:pPr>
        <w:autoSpaceDE w:val="0"/>
        <w:autoSpaceDN w:val="0"/>
        <w:adjustRightInd w:val="0"/>
        <w:spacing w:after="120" w:line="240" w:lineRule="auto"/>
        <w:ind w:left="720" w:right="720"/>
        <w:jc w:val="both"/>
        <w:rPr>
          <w:rFonts w:ascii="Arial" w:hAnsi="Arial" w:cs="Arial"/>
          <w:sz w:val="24"/>
          <w:szCs w:val="24"/>
        </w:rPr>
      </w:pPr>
      <w:r w:rsidRPr="00FA2C78">
        <w:rPr>
          <w:rFonts w:ascii="Arial" w:hAnsi="Arial" w:cs="Arial"/>
          <w:sz w:val="24"/>
          <w:szCs w:val="24"/>
        </w:rPr>
        <w:t xml:space="preserve">All energy efficiency programs and rebates shall be made available at the same terms and conditions to customers, regardless of whether they purchase generation service from a CRES provider or Duke Energy Ohio. </w:t>
      </w:r>
      <w:r w:rsidRPr="00FA2C78">
        <w:rPr>
          <w:rFonts w:ascii="Arial" w:hAnsi="Arial" w:cs="Arial"/>
          <w:b/>
          <w:i/>
          <w:sz w:val="24"/>
          <w:szCs w:val="24"/>
        </w:rPr>
        <w:t>Duke Energy Ohio shall maintain its policy to make SmartGrid meters and data available to all customers on a competitively neutral basis and without regard to their status as a shopping or non-shopping customer</w:t>
      </w:r>
      <w:r w:rsidRPr="00FA2C78">
        <w:rPr>
          <w:rFonts w:ascii="Arial" w:hAnsi="Arial" w:cs="Arial"/>
          <w:sz w:val="24"/>
          <w:szCs w:val="24"/>
        </w:rPr>
        <w:t>.</w:t>
      </w:r>
      <w:r w:rsidRPr="00FA2C78">
        <w:rPr>
          <w:rFonts w:ascii="Arial" w:hAnsi="Arial" w:cs="Arial"/>
          <w:sz w:val="24"/>
          <w:szCs w:val="24"/>
          <w:vertAlign w:val="superscript"/>
        </w:rPr>
        <w:footnoteReference w:id="33"/>
      </w:r>
    </w:p>
    <w:p w14:paraId="60B79C91" w14:textId="77777777" w:rsidR="00FA2C78" w:rsidRDefault="00FA2C78" w:rsidP="00FA2C78">
      <w:pPr>
        <w:autoSpaceDE w:val="0"/>
        <w:autoSpaceDN w:val="0"/>
        <w:adjustRightInd w:val="0"/>
        <w:spacing w:after="120" w:line="480" w:lineRule="auto"/>
        <w:jc w:val="both"/>
        <w:rPr>
          <w:rFonts w:ascii="Arial" w:eastAsiaTheme="minorHAnsi" w:hAnsi="Arial" w:cs="Arial"/>
          <w:sz w:val="24"/>
          <w:szCs w:val="24"/>
        </w:rPr>
      </w:pPr>
      <w:r w:rsidRPr="00FA2C78">
        <w:rPr>
          <w:rFonts w:ascii="Arial" w:eastAsiaTheme="minorHAnsi" w:hAnsi="Arial" w:cs="Arial"/>
          <w:sz w:val="24"/>
          <w:szCs w:val="24"/>
        </w:rPr>
        <w:t>Further reinforcing its commitment, Duke entered into a stipulation in 2012, agreeing to “provide CRES providers the necessary billing system functionality to offer CRES customers time differentiated rates consistent with its existing supplier tariff beginning January 1, 2013.”</w:t>
      </w:r>
      <w:r w:rsidRPr="00FA2C78">
        <w:rPr>
          <w:rFonts w:ascii="Arial" w:eastAsiaTheme="minorHAnsi" w:hAnsi="Arial" w:cs="Arial"/>
          <w:sz w:val="24"/>
          <w:szCs w:val="24"/>
          <w:vertAlign w:val="superscript"/>
        </w:rPr>
        <w:footnoteReference w:id="34"/>
      </w:r>
      <w:r>
        <w:rPr>
          <w:rFonts w:ascii="Arial" w:eastAsiaTheme="minorHAnsi" w:hAnsi="Arial" w:cs="Arial"/>
          <w:sz w:val="24"/>
          <w:szCs w:val="24"/>
        </w:rPr>
        <w:t xml:space="preserve">  </w:t>
      </w:r>
    </w:p>
    <w:p w14:paraId="24C5EF96" w14:textId="7896A6A2" w:rsidR="00FA2C78" w:rsidRDefault="00FA2C78" w:rsidP="00946BC1">
      <w:pPr>
        <w:autoSpaceDE w:val="0"/>
        <w:autoSpaceDN w:val="0"/>
        <w:adjustRightInd w:val="0"/>
        <w:spacing w:after="120" w:line="480" w:lineRule="auto"/>
        <w:ind w:firstLine="720"/>
        <w:jc w:val="both"/>
        <w:rPr>
          <w:rFonts w:ascii="Arial" w:eastAsiaTheme="minorHAnsi" w:hAnsi="Arial" w:cs="Arial"/>
          <w:sz w:val="24"/>
          <w:szCs w:val="24"/>
        </w:rPr>
      </w:pPr>
      <w:r>
        <w:rPr>
          <w:rFonts w:ascii="Arial" w:eastAsiaTheme="minorHAnsi" w:hAnsi="Arial" w:cs="Arial"/>
          <w:sz w:val="24"/>
          <w:szCs w:val="24"/>
        </w:rPr>
        <w:lastRenderedPageBreak/>
        <w:t xml:space="preserve">Given the lengthy history relating to this issue, laundry list of </w:t>
      </w:r>
      <w:r w:rsidR="00785B62">
        <w:rPr>
          <w:rFonts w:ascii="Arial" w:eastAsiaTheme="minorHAnsi" w:hAnsi="Arial" w:cs="Arial"/>
          <w:sz w:val="24"/>
          <w:szCs w:val="24"/>
        </w:rPr>
        <w:t xml:space="preserve">Duke’s </w:t>
      </w:r>
      <w:r>
        <w:rPr>
          <w:rFonts w:ascii="Arial" w:eastAsiaTheme="minorHAnsi" w:hAnsi="Arial" w:cs="Arial"/>
          <w:sz w:val="24"/>
          <w:szCs w:val="24"/>
        </w:rPr>
        <w:t xml:space="preserve">commitments, and an Entry specifically delegating issues regarding interval data to this proceeding, IGS objects to the Staff Report’s failure to address this matter in detail.  </w:t>
      </w:r>
      <w:r w:rsidR="00785B62">
        <w:rPr>
          <w:rFonts w:ascii="Arial" w:eastAsiaTheme="minorHAnsi" w:hAnsi="Arial" w:cs="Arial"/>
          <w:sz w:val="24"/>
          <w:szCs w:val="24"/>
        </w:rPr>
        <w:t>Further</w:t>
      </w:r>
      <w:r>
        <w:rPr>
          <w:rFonts w:ascii="Arial" w:eastAsiaTheme="minorHAnsi" w:hAnsi="Arial" w:cs="Arial"/>
          <w:sz w:val="24"/>
          <w:szCs w:val="24"/>
        </w:rPr>
        <w:t>, IGS objects to the Staff Report’s failure to recommend that Duke calculate customer peak load contributions (“PLCs”), energy usage, and network service peak load contributions (“NITS”) based upon actual hourly energy usage, and to use that information to calculate CRES provider wholesale settlement statements.  Such changes are necessary to bring Duke’s calculation of energy usage, capacity responsibility, and transmission responsibility in line with principles of cost causation to promote innovative products and services.</w:t>
      </w:r>
    </w:p>
    <w:p w14:paraId="48FB1113" w14:textId="47188F2C" w:rsidR="00946BC1" w:rsidRDefault="00B552D9" w:rsidP="00946BC1">
      <w:pPr>
        <w:pStyle w:val="ListParagraph"/>
        <w:numPr>
          <w:ilvl w:val="0"/>
          <w:numId w:val="13"/>
        </w:numPr>
        <w:autoSpaceDE w:val="0"/>
        <w:autoSpaceDN w:val="0"/>
        <w:adjustRightInd w:val="0"/>
        <w:spacing w:after="120" w:line="480" w:lineRule="auto"/>
        <w:jc w:val="both"/>
        <w:rPr>
          <w:rFonts w:ascii="Arial" w:eastAsiaTheme="minorHAnsi" w:hAnsi="Arial" w:cs="Arial"/>
          <w:b/>
          <w:sz w:val="24"/>
          <w:szCs w:val="24"/>
        </w:rPr>
      </w:pPr>
      <w:r>
        <w:rPr>
          <w:rFonts w:ascii="Arial" w:eastAsiaTheme="minorHAnsi" w:hAnsi="Arial" w:cs="Arial"/>
          <w:b/>
          <w:sz w:val="24"/>
          <w:szCs w:val="24"/>
        </w:rPr>
        <w:t>Enhanced Billing Functionality</w:t>
      </w:r>
    </w:p>
    <w:p w14:paraId="3BF5FFBA" w14:textId="46839414" w:rsidR="00946BC1" w:rsidRDefault="00946BC1" w:rsidP="00946BC1">
      <w:pPr>
        <w:spacing w:line="480" w:lineRule="auto"/>
        <w:ind w:firstLine="720"/>
        <w:jc w:val="both"/>
        <w:rPr>
          <w:rFonts w:ascii="Arial" w:hAnsi="Arial" w:cs="Arial"/>
          <w:sz w:val="24"/>
          <w:szCs w:val="24"/>
        </w:rPr>
      </w:pPr>
      <w:r w:rsidRPr="00946BC1">
        <w:rPr>
          <w:rFonts w:ascii="Arial" w:hAnsi="Arial" w:cs="Arial"/>
          <w:sz w:val="24"/>
          <w:szCs w:val="24"/>
        </w:rPr>
        <w:t>According to the Application and testimony, “[t]he estimated cost for Duke Energy Ohio's electric customers is $45-50 million.”</w:t>
      </w:r>
      <w:r>
        <w:rPr>
          <w:rStyle w:val="FootnoteReference"/>
          <w:rFonts w:ascii="Arial" w:hAnsi="Arial" w:cs="Arial"/>
          <w:sz w:val="24"/>
          <w:szCs w:val="24"/>
        </w:rPr>
        <w:footnoteReference w:id="35"/>
      </w:r>
      <w:r w:rsidRPr="00946BC1">
        <w:rPr>
          <w:rFonts w:ascii="Arial" w:hAnsi="Arial" w:cs="Arial"/>
          <w:sz w:val="24"/>
          <w:szCs w:val="24"/>
        </w:rPr>
        <w:t xml:space="preserve">  This represents Duke Energy Ohio’s (electric) 6.05% share of the total upgrade cost.</w:t>
      </w:r>
      <w:r w:rsidR="0030156F">
        <w:rPr>
          <w:rStyle w:val="FootnoteReference"/>
          <w:rFonts w:ascii="Arial" w:hAnsi="Arial" w:cs="Arial"/>
          <w:sz w:val="24"/>
          <w:szCs w:val="24"/>
        </w:rPr>
        <w:footnoteReference w:id="36"/>
      </w:r>
      <w:r w:rsidRPr="00946BC1">
        <w:rPr>
          <w:rFonts w:ascii="Arial" w:hAnsi="Arial" w:cs="Arial"/>
          <w:sz w:val="24"/>
          <w:szCs w:val="24"/>
        </w:rPr>
        <w:t xml:space="preserve">  Duke Energy Ohio (gas) is allegedly responsible for an additional 3.6% of the share of the system upgrade, which would bring the entire cost allocated Duke Energy Ohio (gas/electric combined) to approximately $70-80 million.</w:t>
      </w:r>
      <w:r>
        <w:rPr>
          <w:rFonts w:ascii="Arial" w:hAnsi="Arial" w:cs="Arial"/>
          <w:sz w:val="24"/>
          <w:szCs w:val="24"/>
        </w:rPr>
        <w:t xml:space="preserve">  IGS objects to the Staff Report’s failure to provide parameters for the design and construction related to Duke’s proposed CIS to accommodate supplier consolidated billing and non-commodity billing.</w:t>
      </w:r>
      <w:r w:rsidR="00824A9B">
        <w:rPr>
          <w:rFonts w:ascii="Arial" w:hAnsi="Arial" w:cs="Arial"/>
          <w:sz w:val="24"/>
          <w:szCs w:val="24"/>
        </w:rPr>
        <w:t xml:space="preserve">  As stated above, the Staff Report contains one </w:t>
      </w:r>
      <w:r w:rsidR="00824A9B">
        <w:rPr>
          <w:rFonts w:ascii="Arial" w:hAnsi="Arial" w:cs="Arial"/>
          <w:sz w:val="24"/>
          <w:szCs w:val="24"/>
        </w:rPr>
        <w:lastRenderedPageBreak/>
        <w:t>paragraph of analysis regarding Duke’s proposed CIS, recommending outright objection without additional discussion of the matters involved.</w:t>
      </w:r>
    </w:p>
    <w:p w14:paraId="2C784B74" w14:textId="33A2E86D" w:rsidR="00B82DA1" w:rsidRDefault="00946BC1" w:rsidP="009631C9">
      <w:pPr>
        <w:spacing w:line="480" w:lineRule="auto"/>
        <w:ind w:firstLine="720"/>
        <w:jc w:val="both"/>
        <w:rPr>
          <w:rFonts w:ascii="Arial" w:hAnsi="Arial" w:cs="Arial"/>
          <w:sz w:val="24"/>
          <w:szCs w:val="24"/>
        </w:rPr>
      </w:pPr>
      <w:r>
        <w:rPr>
          <w:rFonts w:ascii="Arial" w:hAnsi="Arial" w:cs="Arial"/>
          <w:sz w:val="24"/>
          <w:szCs w:val="24"/>
        </w:rPr>
        <w:t>Given that roughly one half of the customers in Duke’s service territory are shopping, it would be unreasonable to spend roughly fifty (50) million dollars to develop a new billing</w:t>
      </w:r>
      <w:r w:rsidR="00EA0431">
        <w:rPr>
          <w:rFonts w:ascii="Arial" w:hAnsi="Arial" w:cs="Arial"/>
          <w:sz w:val="24"/>
          <w:szCs w:val="24"/>
        </w:rPr>
        <w:t xml:space="preserve"> system that does not enable supplier consolidated billing and non-commodity billing through the utility consolidated bill.  While Duke has requested authority to implement this new billing system, Duke has failed to determine whether it will enable CRES suppliers to offer supplier consolidated billing.</w:t>
      </w:r>
      <w:r w:rsidR="00B552D9">
        <w:rPr>
          <w:rStyle w:val="FootnoteReference"/>
          <w:rFonts w:ascii="Arial" w:hAnsi="Arial" w:cs="Arial"/>
          <w:sz w:val="24"/>
          <w:szCs w:val="24"/>
        </w:rPr>
        <w:footnoteReference w:id="37"/>
      </w:r>
      <w:r w:rsidR="00EA0431">
        <w:rPr>
          <w:rFonts w:ascii="Arial" w:hAnsi="Arial" w:cs="Arial"/>
          <w:sz w:val="24"/>
          <w:szCs w:val="24"/>
        </w:rPr>
        <w:t xml:space="preserve"> </w:t>
      </w:r>
      <w:r>
        <w:rPr>
          <w:rFonts w:ascii="Arial" w:hAnsi="Arial" w:cs="Arial"/>
          <w:sz w:val="24"/>
          <w:szCs w:val="24"/>
        </w:rPr>
        <w:t xml:space="preserve"> </w:t>
      </w:r>
      <w:r w:rsidR="00B552D9">
        <w:rPr>
          <w:rFonts w:ascii="Arial" w:hAnsi="Arial" w:cs="Arial"/>
          <w:sz w:val="24"/>
          <w:szCs w:val="24"/>
        </w:rPr>
        <w:t xml:space="preserve">Likewise, </w:t>
      </w:r>
      <w:r w:rsidR="00EA0431">
        <w:rPr>
          <w:rFonts w:ascii="Arial" w:hAnsi="Arial" w:cs="Arial"/>
          <w:sz w:val="24"/>
          <w:szCs w:val="24"/>
        </w:rPr>
        <w:t>Duke has indicated in discovery that it anticipates that the new CIS will have the potential to provide non-commodity billing, but Duke has not committed to make that functionality available.</w:t>
      </w:r>
      <w:r w:rsidR="00EA0431">
        <w:rPr>
          <w:rStyle w:val="FootnoteReference"/>
          <w:rFonts w:ascii="Arial" w:hAnsi="Arial" w:cs="Arial"/>
          <w:sz w:val="24"/>
          <w:szCs w:val="24"/>
        </w:rPr>
        <w:footnoteReference w:id="38"/>
      </w:r>
      <w:r w:rsidR="00EA0431">
        <w:rPr>
          <w:rFonts w:ascii="Arial" w:hAnsi="Arial" w:cs="Arial"/>
          <w:sz w:val="24"/>
          <w:szCs w:val="24"/>
        </w:rPr>
        <w:t xml:space="preserve"> Failing to make non-commodity billing available </w:t>
      </w:r>
      <w:r w:rsidR="00571CC0">
        <w:rPr>
          <w:rFonts w:ascii="Arial" w:hAnsi="Arial" w:cs="Arial"/>
          <w:sz w:val="24"/>
          <w:szCs w:val="24"/>
        </w:rPr>
        <w:t>to CRES providers</w:t>
      </w:r>
      <w:r w:rsidR="00571CC0">
        <w:rPr>
          <w:rStyle w:val="FootnoteReference"/>
          <w:rFonts w:ascii="Arial" w:hAnsi="Arial" w:cs="Arial"/>
          <w:sz w:val="24"/>
          <w:szCs w:val="24"/>
        </w:rPr>
        <w:footnoteReference w:id="39"/>
      </w:r>
      <w:r w:rsidR="00571CC0">
        <w:rPr>
          <w:rFonts w:ascii="Arial" w:hAnsi="Arial" w:cs="Arial"/>
          <w:sz w:val="24"/>
          <w:szCs w:val="24"/>
        </w:rPr>
        <w:t xml:space="preserve"> </w:t>
      </w:r>
      <w:r w:rsidR="00EA0431">
        <w:rPr>
          <w:rFonts w:ascii="Arial" w:hAnsi="Arial" w:cs="Arial"/>
          <w:sz w:val="24"/>
          <w:szCs w:val="24"/>
        </w:rPr>
        <w:t>would be unjust, unreasonable, and discriminatory given that Duke already provides that billing service exclusively for its affiliate, Duke Energy One, Inc.</w:t>
      </w:r>
      <w:r w:rsidR="00C02EFC">
        <w:rPr>
          <w:rStyle w:val="FootnoteReference"/>
          <w:rFonts w:ascii="Arial" w:hAnsi="Arial" w:cs="Arial"/>
          <w:sz w:val="24"/>
          <w:szCs w:val="24"/>
        </w:rPr>
        <w:footnoteReference w:id="40"/>
      </w:r>
      <w:r w:rsidR="00EA0431">
        <w:rPr>
          <w:rFonts w:ascii="Arial" w:hAnsi="Arial" w:cs="Arial"/>
          <w:sz w:val="24"/>
          <w:szCs w:val="24"/>
        </w:rPr>
        <w:t xml:space="preserve"> </w:t>
      </w:r>
    </w:p>
    <w:p w14:paraId="67145F9D" w14:textId="3D1C3C9E" w:rsidR="00C02EFC" w:rsidRDefault="00C02EFC" w:rsidP="00BA6835">
      <w:pPr>
        <w:pStyle w:val="ListParagraph"/>
        <w:numPr>
          <w:ilvl w:val="0"/>
          <w:numId w:val="9"/>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t>LED Lighting</w:t>
      </w:r>
    </w:p>
    <w:p w14:paraId="13A50778" w14:textId="57C250CD" w:rsidR="00C02EFC" w:rsidRPr="00C02EFC" w:rsidRDefault="00C02EFC" w:rsidP="00C02EFC">
      <w:pPr>
        <w:autoSpaceDE w:val="0"/>
        <w:autoSpaceDN w:val="0"/>
        <w:adjustRightInd w:val="0"/>
        <w:spacing w:after="120" w:line="480" w:lineRule="auto"/>
        <w:jc w:val="both"/>
        <w:rPr>
          <w:rFonts w:ascii="Arial" w:hAnsi="Arial" w:cs="Arial"/>
          <w:sz w:val="24"/>
          <w:szCs w:val="24"/>
        </w:rPr>
      </w:pPr>
      <w:r w:rsidRPr="00C02EFC">
        <w:rPr>
          <w:rFonts w:ascii="Arial" w:hAnsi="Arial" w:cs="Arial"/>
          <w:sz w:val="24"/>
          <w:szCs w:val="24"/>
        </w:rPr>
        <w:t>IGS objects to Staff’s recommendation for approval of Duke’s proposal to add a Rate LED tariff schedule</w:t>
      </w:r>
      <w:r>
        <w:rPr>
          <w:rFonts w:ascii="Arial" w:hAnsi="Arial" w:cs="Arial"/>
          <w:sz w:val="24"/>
          <w:szCs w:val="24"/>
        </w:rPr>
        <w:t>.</w:t>
      </w:r>
      <w:r>
        <w:rPr>
          <w:rStyle w:val="FootnoteReference"/>
          <w:rFonts w:ascii="Arial" w:hAnsi="Arial" w:cs="Arial"/>
          <w:sz w:val="24"/>
          <w:szCs w:val="24"/>
        </w:rPr>
        <w:footnoteReference w:id="41"/>
      </w:r>
      <w:r>
        <w:rPr>
          <w:rFonts w:ascii="Arial" w:hAnsi="Arial" w:cs="Arial"/>
          <w:sz w:val="24"/>
          <w:szCs w:val="24"/>
        </w:rPr>
        <w:t xml:space="preserve">  </w:t>
      </w:r>
      <w:r w:rsidRPr="00C02EFC">
        <w:rPr>
          <w:rFonts w:ascii="Arial" w:hAnsi="Arial" w:cs="Arial"/>
          <w:sz w:val="24"/>
          <w:szCs w:val="24"/>
        </w:rPr>
        <w:t xml:space="preserve">LED technology is </w:t>
      </w:r>
      <w:r>
        <w:rPr>
          <w:rFonts w:ascii="Arial" w:hAnsi="Arial" w:cs="Arial"/>
          <w:sz w:val="24"/>
          <w:szCs w:val="24"/>
        </w:rPr>
        <w:t>available from the competitive market.  Therefore, it</w:t>
      </w:r>
      <w:r w:rsidRPr="00C02EFC">
        <w:rPr>
          <w:rFonts w:ascii="Arial" w:hAnsi="Arial" w:cs="Arial"/>
          <w:sz w:val="24"/>
          <w:szCs w:val="24"/>
        </w:rPr>
        <w:t xml:space="preserve"> should not be s</w:t>
      </w:r>
      <w:r>
        <w:rPr>
          <w:rFonts w:ascii="Arial" w:hAnsi="Arial" w:cs="Arial"/>
          <w:sz w:val="24"/>
          <w:szCs w:val="24"/>
        </w:rPr>
        <w:t xml:space="preserve">ubsidized by distribution rates and provided through utility tariffs. </w:t>
      </w:r>
    </w:p>
    <w:p w14:paraId="62861581" w14:textId="56CCEB96" w:rsidR="00A75711" w:rsidRDefault="0030156F" w:rsidP="00A75711">
      <w:pPr>
        <w:pStyle w:val="ListParagraph"/>
        <w:numPr>
          <w:ilvl w:val="0"/>
          <w:numId w:val="8"/>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lastRenderedPageBreak/>
        <w:t>SUMMARY OF MAJOR ISSUES</w:t>
      </w:r>
    </w:p>
    <w:p w14:paraId="20AE7898" w14:textId="7A96A14B" w:rsidR="00A75711" w:rsidRDefault="00A75711" w:rsidP="00A75711">
      <w:pPr>
        <w:autoSpaceDE w:val="0"/>
        <w:autoSpaceDN w:val="0"/>
        <w:adjustRightInd w:val="0"/>
        <w:spacing w:after="120" w:line="480" w:lineRule="auto"/>
        <w:ind w:left="720"/>
        <w:jc w:val="both"/>
        <w:rPr>
          <w:rFonts w:ascii="Arial" w:hAnsi="Arial" w:cs="Arial"/>
          <w:sz w:val="24"/>
          <w:szCs w:val="24"/>
        </w:rPr>
      </w:pPr>
      <w:r>
        <w:rPr>
          <w:rFonts w:ascii="Arial" w:hAnsi="Arial" w:cs="Arial"/>
          <w:sz w:val="24"/>
          <w:szCs w:val="24"/>
        </w:rPr>
        <w:t>In summary, the major issues in this case will be:</w:t>
      </w:r>
    </w:p>
    <w:p w14:paraId="46A322BC" w14:textId="11E83544" w:rsidR="00A75711" w:rsidRDefault="00A75711" w:rsidP="00A75711">
      <w:pPr>
        <w:pStyle w:val="ListParagraph"/>
        <w:numPr>
          <w:ilvl w:val="0"/>
          <w:numId w:val="15"/>
        </w:numPr>
        <w:autoSpaceDE w:val="0"/>
        <w:autoSpaceDN w:val="0"/>
        <w:adjustRightInd w:val="0"/>
        <w:spacing w:after="120" w:line="480" w:lineRule="auto"/>
        <w:jc w:val="both"/>
        <w:rPr>
          <w:rFonts w:ascii="Arial" w:hAnsi="Arial" w:cs="Arial"/>
          <w:sz w:val="24"/>
          <w:szCs w:val="24"/>
        </w:rPr>
      </w:pPr>
      <w:r>
        <w:rPr>
          <w:rFonts w:ascii="Arial" w:hAnsi="Arial" w:cs="Arial"/>
          <w:sz w:val="24"/>
          <w:szCs w:val="24"/>
        </w:rPr>
        <w:t xml:space="preserve">The appropriate amount </w:t>
      </w:r>
      <w:r w:rsidR="00F96AFB">
        <w:rPr>
          <w:rFonts w:ascii="Arial" w:hAnsi="Arial" w:cs="Arial"/>
          <w:sz w:val="24"/>
          <w:szCs w:val="24"/>
        </w:rPr>
        <w:t xml:space="preserve">of </w:t>
      </w:r>
      <w:r>
        <w:rPr>
          <w:rFonts w:ascii="Arial" w:hAnsi="Arial" w:cs="Arial"/>
          <w:sz w:val="24"/>
          <w:szCs w:val="24"/>
        </w:rPr>
        <w:t>costs to unbundle from distribution rates and allocate to default service</w:t>
      </w:r>
      <w:r w:rsidR="00F96AFB">
        <w:rPr>
          <w:rFonts w:ascii="Arial" w:hAnsi="Arial" w:cs="Arial"/>
          <w:sz w:val="24"/>
          <w:szCs w:val="24"/>
        </w:rPr>
        <w:t>, as well as the appropriate credit to shopping customers</w:t>
      </w:r>
      <w:r>
        <w:rPr>
          <w:rFonts w:ascii="Arial" w:hAnsi="Arial" w:cs="Arial"/>
          <w:sz w:val="24"/>
          <w:szCs w:val="24"/>
        </w:rPr>
        <w:t>;</w:t>
      </w:r>
    </w:p>
    <w:p w14:paraId="441E599E" w14:textId="6C673DE6" w:rsidR="00A75711" w:rsidRDefault="00A75711" w:rsidP="00A75711">
      <w:pPr>
        <w:pStyle w:val="ListParagraph"/>
        <w:numPr>
          <w:ilvl w:val="0"/>
          <w:numId w:val="15"/>
        </w:numPr>
        <w:autoSpaceDE w:val="0"/>
        <w:autoSpaceDN w:val="0"/>
        <w:adjustRightInd w:val="0"/>
        <w:spacing w:after="120" w:line="480" w:lineRule="auto"/>
        <w:jc w:val="both"/>
        <w:rPr>
          <w:rFonts w:ascii="Arial" w:hAnsi="Arial" w:cs="Arial"/>
          <w:sz w:val="24"/>
          <w:szCs w:val="24"/>
        </w:rPr>
      </w:pPr>
      <w:r>
        <w:rPr>
          <w:rFonts w:ascii="Arial" w:hAnsi="Arial" w:cs="Arial"/>
          <w:sz w:val="24"/>
          <w:szCs w:val="24"/>
        </w:rPr>
        <w:t xml:space="preserve">The appropriate treatment of uncollectible expense and timing of any modifications to the current structure of </w:t>
      </w:r>
      <w:r w:rsidR="00F96AFB">
        <w:rPr>
          <w:rFonts w:ascii="Arial" w:hAnsi="Arial" w:cs="Arial"/>
          <w:sz w:val="24"/>
          <w:szCs w:val="24"/>
        </w:rPr>
        <w:t xml:space="preserve">the </w:t>
      </w:r>
      <w:r>
        <w:rPr>
          <w:rFonts w:ascii="Arial" w:hAnsi="Arial" w:cs="Arial"/>
          <w:sz w:val="24"/>
          <w:szCs w:val="24"/>
        </w:rPr>
        <w:t>purchase of accounts receivable</w:t>
      </w:r>
      <w:r w:rsidR="00F96AFB">
        <w:rPr>
          <w:rFonts w:ascii="Arial" w:hAnsi="Arial" w:cs="Arial"/>
          <w:sz w:val="24"/>
          <w:szCs w:val="24"/>
        </w:rPr>
        <w:t xml:space="preserve"> program</w:t>
      </w:r>
      <w:r>
        <w:rPr>
          <w:rFonts w:ascii="Arial" w:hAnsi="Arial" w:cs="Arial"/>
          <w:sz w:val="24"/>
          <w:szCs w:val="24"/>
        </w:rPr>
        <w:t xml:space="preserve">; </w:t>
      </w:r>
    </w:p>
    <w:p w14:paraId="0EF9974C" w14:textId="5B3ED16F" w:rsidR="00A75711" w:rsidRDefault="00A75711" w:rsidP="00A75711">
      <w:pPr>
        <w:pStyle w:val="ListParagraph"/>
        <w:numPr>
          <w:ilvl w:val="0"/>
          <w:numId w:val="15"/>
        </w:numPr>
        <w:autoSpaceDE w:val="0"/>
        <w:autoSpaceDN w:val="0"/>
        <w:adjustRightInd w:val="0"/>
        <w:spacing w:after="120" w:line="480" w:lineRule="auto"/>
        <w:jc w:val="both"/>
        <w:rPr>
          <w:rFonts w:ascii="Arial" w:hAnsi="Arial" w:cs="Arial"/>
          <w:sz w:val="24"/>
          <w:szCs w:val="24"/>
        </w:rPr>
      </w:pPr>
      <w:r>
        <w:rPr>
          <w:rFonts w:ascii="Arial" w:hAnsi="Arial" w:cs="Arial"/>
          <w:sz w:val="24"/>
          <w:szCs w:val="24"/>
        </w:rPr>
        <w:t>The appropriate cost recovery</w:t>
      </w:r>
      <w:r w:rsidR="00F96AFB">
        <w:rPr>
          <w:rFonts w:ascii="Arial" w:hAnsi="Arial" w:cs="Arial"/>
          <w:sz w:val="24"/>
          <w:szCs w:val="24"/>
        </w:rPr>
        <w:t xml:space="preserve"> and structure of any</w:t>
      </w:r>
      <w:r>
        <w:rPr>
          <w:rFonts w:ascii="Arial" w:hAnsi="Arial" w:cs="Arial"/>
          <w:sz w:val="24"/>
          <w:szCs w:val="24"/>
        </w:rPr>
        <w:t xml:space="preserve"> customer information system;</w:t>
      </w:r>
    </w:p>
    <w:p w14:paraId="0BB574C4" w14:textId="6773869F" w:rsidR="00983BD2" w:rsidRDefault="00983BD2" w:rsidP="00A75711">
      <w:pPr>
        <w:pStyle w:val="ListParagraph"/>
        <w:numPr>
          <w:ilvl w:val="0"/>
          <w:numId w:val="15"/>
        </w:numPr>
        <w:autoSpaceDE w:val="0"/>
        <w:autoSpaceDN w:val="0"/>
        <w:adjustRightInd w:val="0"/>
        <w:spacing w:after="120" w:line="480" w:lineRule="auto"/>
        <w:jc w:val="both"/>
        <w:rPr>
          <w:rFonts w:ascii="Arial" w:hAnsi="Arial" w:cs="Arial"/>
          <w:sz w:val="24"/>
          <w:szCs w:val="24"/>
        </w:rPr>
      </w:pPr>
      <w:r>
        <w:rPr>
          <w:rFonts w:ascii="Arial" w:hAnsi="Arial" w:cs="Arial"/>
          <w:sz w:val="24"/>
          <w:szCs w:val="24"/>
        </w:rPr>
        <w:t xml:space="preserve">The manner </w:t>
      </w:r>
      <w:r w:rsidR="0057737B">
        <w:rPr>
          <w:rFonts w:ascii="Arial" w:hAnsi="Arial" w:cs="Arial"/>
          <w:sz w:val="24"/>
          <w:szCs w:val="24"/>
        </w:rPr>
        <w:t>and cost related to the provision of</w:t>
      </w:r>
      <w:r>
        <w:rPr>
          <w:rFonts w:ascii="Arial" w:hAnsi="Arial" w:cs="Arial"/>
          <w:sz w:val="24"/>
          <w:szCs w:val="24"/>
        </w:rPr>
        <w:t xml:space="preserve"> interval data to CRES providers, including the manner in which Duke calculates wholesale settlement states;</w:t>
      </w:r>
    </w:p>
    <w:p w14:paraId="54A2BABD" w14:textId="7F2D84BB" w:rsidR="00C02EFC" w:rsidRDefault="00983BD2" w:rsidP="00A75711">
      <w:pPr>
        <w:pStyle w:val="ListParagraph"/>
        <w:numPr>
          <w:ilvl w:val="0"/>
          <w:numId w:val="15"/>
        </w:numPr>
        <w:autoSpaceDE w:val="0"/>
        <w:autoSpaceDN w:val="0"/>
        <w:adjustRightInd w:val="0"/>
        <w:spacing w:after="120" w:line="480" w:lineRule="auto"/>
        <w:jc w:val="both"/>
        <w:rPr>
          <w:rFonts w:ascii="Arial" w:hAnsi="Arial" w:cs="Arial"/>
          <w:sz w:val="24"/>
          <w:szCs w:val="24"/>
        </w:rPr>
      </w:pPr>
      <w:r>
        <w:rPr>
          <w:rFonts w:ascii="Arial" w:hAnsi="Arial" w:cs="Arial"/>
          <w:sz w:val="24"/>
          <w:szCs w:val="24"/>
        </w:rPr>
        <w:t>The continuation or termination of time-of-use rates</w:t>
      </w:r>
      <w:r w:rsidR="00C02EFC">
        <w:rPr>
          <w:rFonts w:ascii="Arial" w:hAnsi="Arial" w:cs="Arial"/>
          <w:sz w:val="24"/>
          <w:szCs w:val="24"/>
        </w:rPr>
        <w:t>;</w:t>
      </w:r>
    </w:p>
    <w:p w14:paraId="7176D2F6" w14:textId="39C766C0" w:rsidR="00545F29" w:rsidRPr="00B82DA1" w:rsidRDefault="00C02EFC" w:rsidP="00B82DA1">
      <w:pPr>
        <w:pStyle w:val="ListParagraph"/>
        <w:numPr>
          <w:ilvl w:val="0"/>
          <w:numId w:val="15"/>
        </w:numPr>
        <w:autoSpaceDE w:val="0"/>
        <w:autoSpaceDN w:val="0"/>
        <w:adjustRightInd w:val="0"/>
        <w:spacing w:after="120" w:line="480" w:lineRule="auto"/>
        <w:jc w:val="both"/>
        <w:rPr>
          <w:rFonts w:ascii="Arial" w:hAnsi="Arial" w:cs="Arial"/>
          <w:sz w:val="24"/>
          <w:szCs w:val="24"/>
        </w:rPr>
      </w:pPr>
      <w:r>
        <w:rPr>
          <w:rFonts w:ascii="Arial" w:hAnsi="Arial" w:cs="Arial"/>
          <w:sz w:val="24"/>
          <w:szCs w:val="24"/>
        </w:rPr>
        <w:t xml:space="preserve">The </w:t>
      </w:r>
      <w:r w:rsidR="0030156F">
        <w:rPr>
          <w:rFonts w:ascii="Arial" w:hAnsi="Arial" w:cs="Arial"/>
          <w:sz w:val="24"/>
          <w:szCs w:val="24"/>
        </w:rPr>
        <w:t>authorization of</w:t>
      </w:r>
      <w:r>
        <w:rPr>
          <w:rFonts w:ascii="Arial" w:hAnsi="Arial" w:cs="Arial"/>
          <w:sz w:val="24"/>
          <w:szCs w:val="24"/>
        </w:rPr>
        <w:t xml:space="preserve"> </w:t>
      </w:r>
      <w:r w:rsidR="0030156F">
        <w:rPr>
          <w:rFonts w:ascii="Arial" w:hAnsi="Arial" w:cs="Arial"/>
          <w:sz w:val="24"/>
          <w:szCs w:val="24"/>
        </w:rPr>
        <w:t>an LED lighting tariff.</w:t>
      </w:r>
    </w:p>
    <w:p w14:paraId="7176D2F7" w14:textId="77777777" w:rsidR="00545F29" w:rsidRDefault="0056270F">
      <w:pPr>
        <w:spacing w:after="0" w:line="240" w:lineRule="auto"/>
        <w:ind w:left="5040"/>
        <w:rPr>
          <w:rFonts w:ascii="Arial" w:eastAsia="Calibri" w:hAnsi="Arial" w:cs="Arial"/>
          <w:sz w:val="24"/>
          <w:szCs w:val="24"/>
        </w:rPr>
      </w:pPr>
      <w:r>
        <w:rPr>
          <w:rFonts w:ascii="Arial" w:eastAsia="Calibri" w:hAnsi="Arial" w:cs="Arial"/>
          <w:sz w:val="24"/>
          <w:szCs w:val="24"/>
        </w:rPr>
        <w:t>Respectfully submitted,</w:t>
      </w:r>
    </w:p>
    <w:p w14:paraId="7176D2F9" w14:textId="77777777" w:rsidR="00545F29" w:rsidRDefault="00545F29" w:rsidP="00D13280">
      <w:pPr>
        <w:spacing w:after="0" w:line="240" w:lineRule="auto"/>
        <w:rPr>
          <w:rFonts w:ascii="Arial" w:eastAsia="Calibri" w:hAnsi="Arial" w:cs="Arial"/>
          <w:sz w:val="24"/>
          <w:szCs w:val="24"/>
        </w:rPr>
      </w:pPr>
    </w:p>
    <w:p w14:paraId="7176D2FA" w14:textId="77777777" w:rsidR="00545F29" w:rsidRDefault="00545F29">
      <w:pPr>
        <w:spacing w:after="0" w:line="240" w:lineRule="auto"/>
        <w:ind w:left="5040"/>
        <w:rPr>
          <w:rFonts w:ascii="Arial" w:eastAsia="Calibri" w:hAnsi="Arial" w:cs="Arial"/>
          <w:sz w:val="24"/>
          <w:szCs w:val="24"/>
          <w:u w:val="single"/>
        </w:rPr>
      </w:pPr>
    </w:p>
    <w:p w14:paraId="79CA8D10" w14:textId="77777777" w:rsidR="009B3BB3" w:rsidRPr="00D65A08" w:rsidRDefault="009B3BB3" w:rsidP="009B3BB3">
      <w:pPr>
        <w:spacing w:after="0" w:line="240" w:lineRule="auto"/>
        <w:ind w:left="5040"/>
        <w:rPr>
          <w:rFonts w:ascii="Arial" w:eastAsia="Calibri" w:hAnsi="Arial" w:cs="Arial"/>
          <w:sz w:val="24"/>
          <w:szCs w:val="24"/>
          <w:u w:val="single"/>
        </w:rPr>
      </w:pPr>
      <w:r w:rsidRPr="00D51198">
        <w:rPr>
          <w:rFonts w:ascii="Arial" w:eastAsia="Arial" w:hAnsi="Arial" w:cs="Arial"/>
          <w:i/>
          <w:sz w:val="24"/>
          <w:szCs w:val="24"/>
          <w:u w:val="single"/>
        </w:rPr>
        <w:t xml:space="preserve">/s/ </w:t>
      </w:r>
      <w:r>
        <w:rPr>
          <w:rFonts w:ascii="Arial" w:eastAsia="Arial" w:hAnsi="Arial" w:cs="Arial"/>
          <w:i/>
          <w:sz w:val="24"/>
          <w:szCs w:val="24"/>
          <w:u w:val="single"/>
        </w:rPr>
        <w:t>Joseph Oliker_________</w:t>
      </w:r>
    </w:p>
    <w:p w14:paraId="6A929A71" w14:textId="77777777" w:rsidR="009B3BB3" w:rsidRPr="00526ADC" w:rsidRDefault="009B3BB3" w:rsidP="009B3BB3">
      <w:pPr>
        <w:spacing w:after="0" w:line="240" w:lineRule="auto"/>
        <w:ind w:left="5040"/>
        <w:rPr>
          <w:rFonts w:ascii="Arial" w:hAnsi="Arial" w:cs="Arial"/>
          <w:sz w:val="24"/>
          <w:szCs w:val="24"/>
        </w:rPr>
      </w:pPr>
      <w:r w:rsidRPr="00526ADC">
        <w:rPr>
          <w:rFonts w:ascii="Arial" w:hAnsi="Arial" w:cs="Arial"/>
          <w:sz w:val="24"/>
          <w:szCs w:val="24"/>
        </w:rPr>
        <w:t>Joseph Oliker (0086088)</w:t>
      </w:r>
    </w:p>
    <w:p w14:paraId="153BD62B" w14:textId="77777777" w:rsidR="009B3BB3" w:rsidRPr="00526ADC" w:rsidRDefault="009B3BB3" w:rsidP="009B3BB3">
      <w:pPr>
        <w:spacing w:after="0" w:line="240" w:lineRule="auto"/>
        <w:ind w:left="5040"/>
        <w:rPr>
          <w:rFonts w:ascii="Arial" w:hAnsi="Arial" w:cs="Arial"/>
          <w:sz w:val="24"/>
          <w:szCs w:val="24"/>
        </w:rPr>
      </w:pPr>
      <w:r w:rsidRPr="00526ADC">
        <w:rPr>
          <w:rFonts w:ascii="Arial" w:hAnsi="Arial" w:cs="Arial"/>
          <w:sz w:val="24"/>
          <w:szCs w:val="24"/>
        </w:rPr>
        <w:t xml:space="preserve">Email: </w:t>
      </w:r>
      <w:hyperlink r:id="rId9" w:history="1">
        <w:r w:rsidRPr="00526ADC">
          <w:rPr>
            <w:rStyle w:val="Hyperlink"/>
            <w:rFonts w:ascii="Arial" w:hAnsi="Arial" w:cs="Arial"/>
            <w:color w:val="auto"/>
            <w:sz w:val="24"/>
            <w:szCs w:val="24"/>
            <w:u w:val="none"/>
          </w:rPr>
          <w:t>joliker@igsenergy.com</w:t>
        </w:r>
      </w:hyperlink>
    </w:p>
    <w:p w14:paraId="3393DF6D" w14:textId="77777777" w:rsidR="009B3BB3" w:rsidRPr="00526ADC" w:rsidRDefault="009B3BB3" w:rsidP="009B3BB3">
      <w:pPr>
        <w:spacing w:after="0" w:line="240" w:lineRule="auto"/>
        <w:ind w:left="5040"/>
        <w:rPr>
          <w:rFonts w:ascii="Arial" w:hAnsi="Arial" w:cs="Arial"/>
          <w:sz w:val="24"/>
          <w:szCs w:val="24"/>
        </w:rPr>
      </w:pPr>
      <w:r w:rsidRPr="00526ADC">
        <w:rPr>
          <w:rFonts w:ascii="Arial" w:hAnsi="Arial" w:cs="Arial"/>
          <w:sz w:val="24"/>
          <w:szCs w:val="24"/>
        </w:rPr>
        <w:t>Counsel of Record</w:t>
      </w:r>
    </w:p>
    <w:p w14:paraId="796D46E9" w14:textId="52F12F6D" w:rsidR="00526ADC" w:rsidRPr="00526ADC" w:rsidRDefault="00526ADC" w:rsidP="009B3BB3">
      <w:pPr>
        <w:spacing w:after="0" w:line="240" w:lineRule="auto"/>
        <w:ind w:left="5040"/>
        <w:rPr>
          <w:rFonts w:ascii="Arial" w:hAnsi="Arial" w:cs="Arial"/>
          <w:sz w:val="24"/>
          <w:szCs w:val="24"/>
        </w:rPr>
      </w:pPr>
      <w:r w:rsidRPr="00526ADC">
        <w:rPr>
          <w:rFonts w:ascii="Arial" w:hAnsi="Arial" w:cs="Arial"/>
          <w:sz w:val="24"/>
          <w:szCs w:val="24"/>
        </w:rPr>
        <w:t>Michael Nugent</w:t>
      </w:r>
    </w:p>
    <w:p w14:paraId="704645D0" w14:textId="09B553F9" w:rsidR="00526ADC" w:rsidRPr="00526ADC" w:rsidRDefault="00526ADC" w:rsidP="009B3BB3">
      <w:pPr>
        <w:spacing w:after="0" w:line="240" w:lineRule="auto"/>
        <w:ind w:left="5040"/>
        <w:rPr>
          <w:rFonts w:ascii="Arial" w:hAnsi="Arial" w:cs="Arial"/>
          <w:sz w:val="24"/>
          <w:szCs w:val="24"/>
        </w:rPr>
      </w:pPr>
      <w:r w:rsidRPr="00526ADC">
        <w:rPr>
          <w:rFonts w:ascii="Arial" w:hAnsi="Arial" w:cs="Arial"/>
          <w:sz w:val="24"/>
          <w:szCs w:val="24"/>
        </w:rPr>
        <w:t>Mnugent@igsenergy.com</w:t>
      </w:r>
    </w:p>
    <w:p w14:paraId="4AEF2E17" w14:textId="77777777" w:rsidR="009B3BB3" w:rsidRPr="00526ADC" w:rsidRDefault="009B3BB3" w:rsidP="009B3BB3">
      <w:pPr>
        <w:spacing w:after="0" w:line="240" w:lineRule="auto"/>
        <w:ind w:left="5040"/>
        <w:rPr>
          <w:rFonts w:ascii="Arial" w:hAnsi="Arial" w:cs="Arial"/>
          <w:sz w:val="24"/>
          <w:szCs w:val="24"/>
        </w:rPr>
      </w:pPr>
      <w:r w:rsidRPr="00526ADC">
        <w:rPr>
          <w:rFonts w:ascii="Arial" w:hAnsi="Arial" w:cs="Arial"/>
          <w:sz w:val="24"/>
          <w:szCs w:val="24"/>
        </w:rPr>
        <w:t>IGS Energy</w:t>
      </w:r>
    </w:p>
    <w:p w14:paraId="54C80BDC" w14:textId="77777777" w:rsidR="009B3BB3" w:rsidRPr="00526ADC" w:rsidRDefault="009B3BB3" w:rsidP="009B3BB3">
      <w:pPr>
        <w:spacing w:after="0" w:line="240" w:lineRule="auto"/>
        <w:ind w:left="5040"/>
        <w:rPr>
          <w:rFonts w:ascii="Arial" w:hAnsi="Arial" w:cs="Arial"/>
          <w:sz w:val="24"/>
          <w:szCs w:val="24"/>
        </w:rPr>
      </w:pPr>
      <w:r w:rsidRPr="00526ADC">
        <w:rPr>
          <w:rFonts w:ascii="Arial" w:hAnsi="Arial" w:cs="Arial"/>
          <w:sz w:val="24"/>
          <w:szCs w:val="24"/>
        </w:rPr>
        <w:t>6100 Emerald Parkway</w:t>
      </w:r>
    </w:p>
    <w:p w14:paraId="197BD928" w14:textId="77777777" w:rsidR="009B3BB3" w:rsidRPr="00526ADC" w:rsidRDefault="009B3BB3" w:rsidP="009B3BB3">
      <w:pPr>
        <w:spacing w:after="0" w:line="240" w:lineRule="auto"/>
        <w:ind w:left="5040"/>
        <w:rPr>
          <w:rFonts w:ascii="Arial" w:hAnsi="Arial" w:cs="Arial"/>
          <w:sz w:val="24"/>
          <w:szCs w:val="24"/>
        </w:rPr>
      </w:pPr>
      <w:r w:rsidRPr="00526ADC">
        <w:rPr>
          <w:rFonts w:ascii="Arial" w:hAnsi="Arial" w:cs="Arial"/>
          <w:sz w:val="24"/>
          <w:szCs w:val="24"/>
        </w:rPr>
        <w:t>Dublin, Ohio 43016</w:t>
      </w:r>
    </w:p>
    <w:p w14:paraId="3F468C07" w14:textId="77777777" w:rsidR="009B3BB3" w:rsidRPr="00526ADC" w:rsidRDefault="009B3BB3" w:rsidP="009B3BB3">
      <w:pPr>
        <w:spacing w:after="0" w:line="240" w:lineRule="auto"/>
        <w:ind w:left="5040"/>
        <w:rPr>
          <w:rFonts w:ascii="Arial" w:hAnsi="Arial" w:cs="Arial"/>
          <w:sz w:val="24"/>
          <w:szCs w:val="24"/>
        </w:rPr>
      </w:pPr>
      <w:r w:rsidRPr="00526ADC">
        <w:rPr>
          <w:rFonts w:ascii="Arial" w:hAnsi="Arial" w:cs="Arial"/>
          <w:sz w:val="24"/>
          <w:szCs w:val="24"/>
        </w:rPr>
        <w:t>Telephone:</w:t>
      </w:r>
      <w:r w:rsidRPr="00526ADC">
        <w:rPr>
          <w:rFonts w:ascii="Arial" w:hAnsi="Arial" w:cs="Arial"/>
          <w:sz w:val="24"/>
          <w:szCs w:val="24"/>
        </w:rPr>
        <w:tab/>
        <w:t>(614) 659-5000</w:t>
      </w:r>
    </w:p>
    <w:p w14:paraId="1076C0BD" w14:textId="77777777" w:rsidR="009B3BB3" w:rsidRPr="00526ADC" w:rsidRDefault="009B3BB3" w:rsidP="009B3BB3">
      <w:pPr>
        <w:spacing w:after="0" w:line="240" w:lineRule="auto"/>
        <w:ind w:left="5040"/>
        <w:rPr>
          <w:rFonts w:ascii="Arial" w:hAnsi="Arial" w:cs="Arial"/>
          <w:sz w:val="24"/>
          <w:szCs w:val="24"/>
        </w:rPr>
      </w:pPr>
      <w:r w:rsidRPr="00526ADC">
        <w:rPr>
          <w:rFonts w:ascii="Arial" w:hAnsi="Arial" w:cs="Arial"/>
          <w:sz w:val="24"/>
          <w:szCs w:val="24"/>
        </w:rPr>
        <w:t>Facsimile:</w:t>
      </w:r>
      <w:r w:rsidRPr="00526ADC">
        <w:rPr>
          <w:rFonts w:ascii="Arial" w:hAnsi="Arial" w:cs="Arial"/>
          <w:sz w:val="24"/>
          <w:szCs w:val="24"/>
        </w:rPr>
        <w:tab/>
        <w:t>(614) 659-5073</w:t>
      </w:r>
    </w:p>
    <w:p w14:paraId="7176D306" w14:textId="77777777" w:rsidR="00545F29" w:rsidRDefault="00545F29">
      <w:pPr>
        <w:spacing w:after="0" w:line="240" w:lineRule="auto"/>
        <w:ind w:left="5040"/>
        <w:rPr>
          <w:rFonts w:ascii="Arial" w:hAnsi="Arial" w:cs="Arial"/>
          <w:sz w:val="24"/>
          <w:szCs w:val="24"/>
        </w:rPr>
      </w:pPr>
    </w:p>
    <w:p w14:paraId="7176D308" w14:textId="0C63361A" w:rsidR="00545F29" w:rsidRPr="00237730" w:rsidRDefault="00E9019F" w:rsidP="00237730">
      <w:pPr>
        <w:spacing w:after="0" w:line="240" w:lineRule="auto"/>
        <w:ind w:left="5040"/>
        <w:rPr>
          <w:rFonts w:ascii="Arial" w:hAnsi="Arial" w:cs="Arial"/>
          <w:b/>
          <w:i/>
          <w:sz w:val="24"/>
          <w:szCs w:val="24"/>
        </w:rPr>
      </w:pPr>
      <w:r>
        <w:rPr>
          <w:rFonts w:ascii="Arial" w:hAnsi="Arial" w:cs="Arial"/>
          <w:b/>
          <w:i/>
          <w:sz w:val="24"/>
          <w:szCs w:val="24"/>
        </w:rPr>
        <w:t>Attorney</w:t>
      </w:r>
      <w:r w:rsidR="00526ADC">
        <w:rPr>
          <w:rFonts w:ascii="Arial" w:hAnsi="Arial" w:cs="Arial"/>
          <w:b/>
          <w:i/>
          <w:sz w:val="24"/>
          <w:szCs w:val="24"/>
        </w:rPr>
        <w:t>s</w:t>
      </w:r>
      <w:r w:rsidR="0056270F">
        <w:rPr>
          <w:rFonts w:ascii="Arial" w:hAnsi="Arial" w:cs="Arial"/>
          <w:b/>
          <w:i/>
          <w:sz w:val="24"/>
          <w:szCs w:val="24"/>
        </w:rPr>
        <w:t xml:space="preserve"> for </w:t>
      </w:r>
      <w:r w:rsidR="00237730">
        <w:rPr>
          <w:rFonts w:ascii="Arial" w:hAnsi="Arial" w:cs="Arial"/>
          <w:b/>
          <w:i/>
          <w:sz w:val="24"/>
          <w:szCs w:val="24"/>
        </w:rPr>
        <w:t>IGS Energy</w:t>
      </w:r>
    </w:p>
    <w:p w14:paraId="7176D309" w14:textId="77777777" w:rsidR="00545F29" w:rsidRDefault="0056270F">
      <w:pPr>
        <w:spacing w:after="0" w:line="240" w:lineRule="auto"/>
        <w:ind w:left="4230"/>
        <w:rPr>
          <w:rFonts w:ascii="Arial" w:eastAsia="Calibri" w:hAnsi="Arial" w:cs="Arial"/>
          <w:b/>
          <w:sz w:val="24"/>
          <w:szCs w:val="24"/>
          <w:u w:val="single"/>
        </w:rPr>
      </w:pPr>
      <w:r>
        <w:rPr>
          <w:rFonts w:ascii="Arial" w:eastAsia="Calibri" w:hAnsi="Arial" w:cs="Arial"/>
          <w:b/>
          <w:sz w:val="24"/>
          <w:szCs w:val="24"/>
          <w:u w:val="single"/>
        </w:rPr>
        <w:br w:type="page"/>
      </w:r>
    </w:p>
    <w:p w14:paraId="7176D30A" w14:textId="77777777" w:rsidR="00545F29" w:rsidRPr="009D71F6" w:rsidRDefault="0056270F">
      <w:pPr>
        <w:spacing w:after="0" w:line="240" w:lineRule="auto"/>
        <w:jc w:val="center"/>
        <w:rPr>
          <w:rFonts w:ascii="Arial" w:eastAsia="Arial" w:hAnsi="Arial" w:cs="Arial"/>
          <w:b/>
          <w:sz w:val="24"/>
          <w:szCs w:val="24"/>
          <w:u w:val="single"/>
        </w:rPr>
      </w:pPr>
      <w:r w:rsidRPr="009D71F6">
        <w:rPr>
          <w:rFonts w:ascii="Arial" w:eastAsia="Arial" w:hAnsi="Arial" w:cs="Arial"/>
          <w:b/>
          <w:sz w:val="24"/>
          <w:szCs w:val="24"/>
          <w:u w:val="single"/>
        </w:rPr>
        <w:lastRenderedPageBreak/>
        <w:t>CE</w:t>
      </w:r>
      <w:bookmarkStart w:id="0" w:name="_GoBack"/>
      <w:bookmarkEnd w:id="0"/>
      <w:r w:rsidRPr="009D71F6">
        <w:rPr>
          <w:rFonts w:ascii="Arial" w:eastAsia="Arial" w:hAnsi="Arial" w:cs="Arial"/>
          <w:b/>
          <w:sz w:val="24"/>
          <w:szCs w:val="24"/>
          <w:u w:val="single"/>
        </w:rPr>
        <w:t>RTIFICATE OF SERVICE</w:t>
      </w:r>
    </w:p>
    <w:p w14:paraId="7176D30B" w14:textId="77777777" w:rsidR="00545F29" w:rsidRPr="009D71F6" w:rsidRDefault="00545F29">
      <w:pPr>
        <w:spacing w:after="0" w:line="240" w:lineRule="auto"/>
        <w:jc w:val="center"/>
        <w:rPr>
          <w:rFonts w:ascii="Arial" w:eastAsia="Arial" w:hAnsi="Arial" w:cs="Arial"/>
          <w:b/>
          <w:sz w:val="24"/>
          <w:szCs w:val="24"/>
          <w:u w:val="single"/>
        </w:rPr>
      </w:pPr>
    </w:p>
    <w:p w14:paraId="7176D30C" w14:textId="674D5532" w:rsidR="00545F29" w:rsidRPr="009D71F6" w:rsidRDefault="0056270F" w:rsidP="008A2C5B">
      <w:pPr>
        <w:spacing w:after="0" w:line="240" w:lineRule="auto"/>
        <w:jc w:val="both"/>
        <w:rPr>
          <w:rFonts w:ascii="Arial" w:eastAsia="Calibri" w:hAnsi="Arial" w:cs="Arial"/>
          <w:sz w:val="24"/>
          <w:szCs w:val="24"/>
        </w:rPr>
      </w:pPr>
      <w:r w:rsidRPr="009D71F6">
        <w:rPr>
          <w:rFonts w:ascii="Arial" w:eastAsia="Arial" w:hAnsi="Arial" w:cs="Arial"/>
          <w:sz w:val="24"/>
          <w:szCs w:val="24"/>
        </w:rPr>
        <w:tab/>
      </w:r>
      <w:r w:rsidR="008A2C5B" w:rsidRPr="008A2C5B">
        <w:rPr>
          <w:rFonts w:ascii="Arial" w:eastAsia="Calibri" w:hAnsi="Arial" w:cs="Arial"/>
          <w:sz w:val="24"/>
          <w:szCs w:val="24"/>
        </w:rPr>
        <w:t>I certify that this</w:t>
      </w:r>
      <w:r w:rsidR="004B7E09">
        <w:rPr>
          <w:rFonts w:ascii="Arial" w:eastAsia="Calibri" w:hAnsi="Arial" w:cs="Arial"/>
          <w:sz w:val="24"/>
          <w:szCs w:val="24"/>
        </w:rPr>
        <w:t xml:space="preserve"> </w:t>
      </w:r>
      <w:r w:rsidR="004B7E09">
        <w:rPr>
          <w:rFonts w:ascii="Arial" w:eastAsia="Calibri" w:hAnsi="Arial" w:cs="Arial"/>
          <w:i/>
          <w:sz w:val="24"/>
          <w:szCs w:val="24"/>
        </w:rPr>
        <w:t>Objections to Staff Report of Investigation and Summary of Major Issues of</w:t>
      </w:r>
      <w:r w:rsidR="008A2C5B">
        <w:rPr>
          <w:rFonts w:ascii="Arial" w:eastAsia="Calibri" w:hAnsi="Arial" w:cs="Arial"/>
          <w:sz w:val="24"/>
          <w:szCs w:val="24"/>
        </w:rPr>
        <w:t xml:space="preserve"> </w:t>
      </w:r>
      <w:r w:rsidR="006E5083">
        <w:rPr>
          <w:rFonts w:ascii="Arial" w:eastAsia="Calibri" w:hAnsi="Arial" w:cs="Arial"/>
          <w:i/>
          <w:sz w:val="24"/>
          <w:szCs w:val="24"/>
        </w:rPr>
        <w:t>Interstate Gas Supply, Inc.</w:t>
      </w:r>
      <w:r w:rsidR="006E5083">
        <w:rPr>
          <w:rFonts w:ascii="Arial" w:eastAsia="Calibri" w:hAnsi="Arial" w:cs="Arial"/>
          <w:sz w:val="24"/>
          <w:szCs w:val="24"/>
        </w:rPr>
        <w:t xml:space="preserve"> </w:t>
      </w:r>
      <w:r w:rsidR="008A2C5B" w:rsidRPr="008A2C5B">
        <w:rPr>
          <w:rFonts w:ascii="Arial" w:eastAsia="Calibri" w:hAnsi="Arial" w:cs="Arial"/>
          <w:sz w:val="24"/>
          <w:szCs w:val="24"/>
        </w:rPr>
        <w:t>was filed electronically through the Docketing Information System of the Public Utilities</w:t>
      </w:r>
      <w:r w:rsidR="006E5083">
        <w:rPr>
          <w:rFonts w:ascii="Arial" w:eastAsia="Calibri" w:hAnsi="Arial" w:cs="Arial"/>
          <w:sz w:val="24"/>
          <w:szCs w:val="24"/>
        </w:rPr>
        <w:t xml:space="preserve"> </w:t>
      </w:r>
      <w:r w:rsidR="008A2C5B" w:rsidRPr="008A2C5B">
        <w:rPr>
          <w:rFonts w:ascii="Arial" w:eastAsia="Calibri" w:hAnsi="Arial" w:cs="Arial"/>
          <w:sz w:val="24"/>
          <w:szCs w:val="24"/>
        </w:rPr>
        <w:t>Commiss</w:t>
      </w:r>
      <w:r w:rsidR="004B7E09">
        <w:rPr>
          <w:rFonts w:ascii="Arial" w:eastAsia="Calibri" w:hAnsi="Arial" w:cs="Arial"/>
          <w:sz w:val="24"/>
          <w:szCs w:val="24"/>
        </w:rPr>
        <w:t>ion of Ohio on this 26</w:t>
      </w:r>
      <w:r w:rsidR="00ED1193">
        <w:rPr>
          <w:rFonts w:ascii="Arial" w:eastAsia="Calibri" w:hAnsi="Arial" w:cs="Arial"/>
          <w:sz w:val="24"/>
          <w:szCs w:val="24"/>
          <w:vertAlign w:val="superscript"/>
        </w:rPr>
        <w:t>th</w:t>
      </w:r>
      <w:r w:rsidR="006E5083">
        <w:rPr>
          <w:rFonts w:ascii="Arial" w:eastAsia="Calibri" w:hAnsi="Arial" w:cs="Arial"/>
          <w:sz w:val="24"/>
          <w:szCs w:val="24"/>
        </w:rPr>
        <w:t xml:space="preserve"> day of </w:t>
      </w:r>
      <w:r w:rsidR="00ED1193">
        <w:rPr>
          <w:rFonts w:ascii="Arial" w:eastAsia="Calibri" w:hAnsi="Arial" w:cs="Arial"/>
          <w:sz w:val="24"/>
          <w:szCs w:val="24"/>
        </w:rPr>
        <w:t>March 2017</w:t>
      </w:r>
      <w:r w:rsidR="008A2C5B" w:rsidRPr="008A2C5B">
        <w:rPr>
          <w:rFonts w:ascii="Arial" w:eastAsia="Calibri" w:hAnsi="Arial" w:cs="Arial"/>
          <w:sz w:val="24"/>
          <w:szCs w:val="24"/>
        </w:rPr>
        <w:t>. The PUCO’s e-filing system will</w:t>
      </w:r>
      <w:r w:rsidR="006E5083">
        <w:rPr>
          <w:rFonts w:ascii="Arial" w:eastAsia="Calibri" w:hAnsi="Arial" w:cs="Arial"/>
          <w:sz w:val="24"/>
          <w:szCs w:val="24"/>
        </w:rPr>
        <w:t xml:space="preserve"> </w:t>
      </w:r>
      <w:r w:rsidR="008A2C5B" w:rsidRPr="008A2C5B">
        <w:rPr>
          <w:rFonts w:ascii="Arial" w:eastAsia="Calibri" w:hAnsi="Arial" w:cs="Arial"/>
          <w:sz w:val="24"/>
          <w:szCs w:val="24"/>
        </w:rPr>
        <w:t>electronically serve notice of the filing of this document on the following parties</w:t>
      </w:r>
      <w:r w:rsidR="008A2C5B">
        <w:rPr>
          <w:rFonts w:ascii="Arial" w:eastAsia="Calibri" w:hAnsi="Arial" w:cs="Arial"/>
          <w:sz w:val="24"/>
          <w:szCs w:val="24"/>
        </w:rPr>
        <w:t>:</w:t>
      </w:r>
    </w:p>
    <w:p w14:paraId="7176D30F" w14:textId="77777777" w:rsidR="00545F29" w:rsidRPr="00060C1F" w:rsidRDefault="00545F29">
      <w:pPr>
        <w:spacing w:after="0" w:line="240" w:lineRule="auto"/>
        <w:jc w:val="both"/>
        <w:rPr>
          <w:rFonts w:ascii="Arial" w:eastAsia="Arial" w:hAnsi="Arial" w:cs="Arial"/>
          <w:sz w:val="24"/>
          <w:szCs w:val="24"/>
        </w:rPr>
      </w:pPr>
    </w:p>
    <w:p w14:paraId="6FCF01CA" w14:textId="77777777" w:rsidR="00B270B3" w:rsidRPr="00060C1F" w:rsidRDefault="00B270B3" w:rsidP="00B270B3">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714"/>
        <w:gridCol w:w="4636"/>
      </w:tblGrid>
      <w:tr w:rsidR="00FB7409" w:rsidRPr="00060C1F" w14:paraId="498F860B" w14:textId="77777777" w:rsidTr="00FB7409">
        <w:tc>
          <w:tcPr>
            <w:tcW w:w="4775" w:type="dxa"/>
          </w:tcPr>
          <w:p w14:paraId="518CA8CB" w14:textId="77777777" w:rsidR="00FB7409" w:rsidRPr="00FB7409" w:rsidRDefault="00FB7409" w:rsidP="00FB7409">
            <w:pPr>
              <w:rPr>
                <w:rFonts w:ascii="Arial" w:hAnsi="Arial" w:cs="Arial"/>
                <w:sz w:val="24"/>
                <w:szCs w:val="24"/>
              </w:rPr>
            </w:pPr>
            <w:r w:rsidRPr="00FB7409">
              <w:rPr>
                <w:rFonts w:ascii="Arial" w:hAnsi="Arial" w:cs="Arial"/>
                <w:sz w:val="24"/>
                <w:szCs w:val="24"/>
              </w:rPr>
              <w:t xml:space="preserve">amy.spiller@duke-energy.com jeanne.kinger@duke-energy.com elizabeth.watts@duke-energy.com rocco.d’ascenzo@duke-energy.com mkurtz@bkllawfirm.com jkylercohn@bkllawfirm.com fdarr@mwncmh.com mpritchard@mwncmh.com cmooney@ohiopartners.org </w:t>
            </w:r>
          </w:p>
          <w:p w14:paraId="1C3443EC" w14:textId="77777777" w:rsidR="00FB7409" w:rsidRPr="00FB7409" w:rsidRDefault="001267D8" w:rsidP="00FB7409">
            <w:pPr>
              <w:rPr>
                <w:rFonts w:ascii="Arial" w:hAnsi="Arial" w:cs="Arial"/>
                <w:sz w:val="24"/>
                <w:szCs w:val="24"/>
              </w:rPr>
            </w:pPr>
            <w:hyperlink r:id="rId10" w:history="1">
              <w:r w:rsidR="00FB7409" w:rsidRPr="00FB7409">
                <w:rPr>
                  <w:rFonts w:ascii="Arial" w:hAnsi="Arial" w:cs="Arial"/>
                  <w:sz w:val="24"/>
                  <w:szCs w:val="24"/>
                </w:rPr>
                <w:t>mfleisher@elpc.org</w:t>
              </w:r>
            </w:hyperlink>
            <w:r w:rsidR="00FB7409" w:rsidRPr="00FB7409">
              <w:rPr>
                <w:rFonts w:ascii="Arial" w:hAnsi="Arial" w:cs="Arial"/>
                <w:sz w:val="24"/>
                <w:szCs w:val="24"/>
              </w:rPr>
              <w:t xml:space="preserve"> </w:t>
            </w:r>
          </w:p>
          <w:p w14:paraId="1C1E75D9" w14:textId="77777777" w:rsidR="00FB7409" w:rsidRPr="00FB7409" w:rsidRDefault="001267D8" w:rsidP="00FB7409">
            <w:pPr>
              <w:rPr>
                <w:rFonts w:ascii="Arial" w:hAnsi="Arial" w:cs="Arial"/>
                <w:sz w:val="24"/>
                <w:szCs w:val="24"/>
              </w:rPr>
            </w:pPr>
            <w:hyperlink r:id="rId11" w:history="1">
              <w:r w:rsidR="00FB7409" w:rsidRPr="00FB7409">
                <w:rPr>
                  <w:rFonts w:ascii="Arial" w:hAnsi="Arial" w:cs="Arial"/>
                  <w:sz w:val="24"/>
                  <w:szCs w:val="24"/>
                </w:rPr>
                <w:t>paul@carpenterlipps.com</w:t>
              </w:r>
            </w:hyperlink>
          </w:p>
          <w:p w14:paraId="579BD9C0" w14:textId="77777777" w:rsidR="00FB7409" w:rsidRPr="00FB7409" w:rsidRDefault="001267D8" w:rsidP="00FB7409">
            <w:pPr>
              <w:rPr>
                <w:rFonts w:ascii="Arial" w:hAnsi="Arial" w:cs="Arial"/>
                <w:sz w:val="24"/>
                <w:szCs w:val="24"/>
              </w:rPr>
            </w:pPr>
            <w:hyperlink r:id="rId12" w:history="1">
              <w:r w:rsidR="00FB7409" w:rsidRPr="00FB7409">
                <w:rPr>
                  <w:rStyle w:val="Hyperlink"/>
                  <w:rFonts w:ascii="Arial" w:hAnsi="Arial" w:cs="Arial"/>
                  <w:color w:val="auto"/>
                  <w:sz w:val="24"/>
                  <w:szCs w:val="24"/>
                  <w:u w:val="none"/>
                </w:rPr>
                <w:t>William.Michael@occ.ohio.gov</w:t>
              </w:r>
            </w:hyperlink>
          </w:p>
          <w:p w14:paraId="10FD8560" w14:textId="77777777" w:rsidR="00FB7409" w:rsidRPr="00FB7409" w:rsidRDefault="001267D8" w:rsidP="00FB7409">
            <w:pPr>
              <w:rPr>
                <w:rFonts w:ascii="Arial" w:hAnsi="Arial" w:cs="Arial"/>
                <w:sz w:val="24"/>
                <w:szCs w:val="24"/>
              </w:rPr>
            </w:pPr>
            <w:hyperlink r:id="rId13" w:history="1">
              <w:r w:rsidR="00FB7409" w:rsidRPr="00FB7409">
                <w:rPr>
                  <w:rStyle w:val="Hyperlink"/>
                  <w:rFonts w:ascii="Arial" w:hAnsi="Arial" w:cs="Arial"/>
                  <w:color w:val="auto"/>
                  <w:sz w:val="24"/>
                  <w:szCs w:val="24"/>
                  <w:u w:val="none"/>
                </w:rPr>
                <w:t>Christopher.Healey@occ.ohio.gov</w:t>
              </w:r>
            </w:hyperlink>
          </w:p>
          <w:p w14:paraId="68F2798E" w14:textId="77777777" w:rsidR="00FB7409" w:rsidRPr="00FB7409" w:rsidRDefault="001267D8" w:rsidP="00FB7409">
            <w:pPr>
              <w:rPr>
                <w:rFonts w:ascii="Arial" w:hAnsi="Arial" w:cs="Arial"/>
                <w:sz w:val="24"/>
                <w:szCs w:val="24"/>
              </w:rPr>
            </w:pPr>
            <w:hyperlink r:id="rId14" w:history="1">
              <w:r w:rsidR="00FB7409" w:rsidRPr="00FB7409">
                <w:rPr>
                  <w:rStyle w:val="Hyperlink"/>
                  <w:rFonts w:ascii="Arial" w:hAnsi="Arial" w:cs="Arial"/>
                  <w:color w:val="auto"/>
                  <w:sz w:val="24"/>
                  <w:szCs w:val="24"/>
                  <w:u w:val="none"/>
                </w:rPr>
                <w:t>daltman@environlaw.com</w:t>
              </w:r>
            </w:hyperlink>
          </w:p>
          <w:p w14:paraId="392E39F1" w14:textId="77777777" w:rsidR="00FB7409" w:rsidRPr="00FB7409" w:rsidRDefault="001267D8" w:rsidP="00FB7409">
            <w:pPr>
              <w:rPr>
                <w:rFonts w:ascii="Arial" w:hAnsi="Arial" w:cs="Arial"/>
                <w:sz w:val="24"/>
                <w:szCs w:val="24"/>
              </w:rPr>
            </w:pPr>
            <w:hyperlink r:id="rId15" w:history="1">
              <w:r w:rsidR="00FB7409" w:rsidRPr="00FB7409">
                <w:rPr>
                  <w:rStyle w:val="Hyperlink"/>
                  <w:rFonts w:ascii="Arial" w:hAnsi="Arial" w:cs="Arial"/>
                  <w:color w:val="auto"/>
                  <w:sz w:val="24"/>
                  <w:szCs w:val="24"/>
                  <w:u w:val="none"/>
                </w:rPr>
                <w:t>jnewman@environlaw.com</w:t>
              </w:r>
            </w:hyperlink>
          </w:p>
          <w:p w14:paraId="3D71A7F8" w14:textId="77777777" w:rsidR="00FB7409" w:rsidRPr="00FB7409" w:rsidRDefault="00FB7409" w:rsidP="00FB7409">
            <w:pPr>
              <w:rPr>
                <w:rFonts w:ascii="Arial" w:hAnsi="Arial" w:cs="Arial"/>
                <w:sz w:val="24"/>
                <w:szCs w:val="24"/>
              </w:rPr>
            </w:pPr>
            <w:r w:rsidRPr="00FB7409">
              <w:rPr>
                <w:rFonts w:ascii="Arial" w:hAnsi="Arial" w:cs="Arial"/>
                <w:sz w:val="24"/>
                <w:szCs w:val="24"/>
              </w:rPr>
              <w:t>jweber@environlaw.com</w:t>
            </w:r>
          </w:p>
          <w:p w14:paraId="0BA9736B" w14:textId="4C45B1A1" w:rsidR="00FB7409" w:rsidRPr="00FB7409" w:rsidRDefault="00FB7409" w:rsidP="00FB7409">
            <w:pPr>
              <w:rPr>
                <w:rFonts w:ascii="Arial" w:hAnsi="Arial" w:cs="Arial"/>
                <w:sz w:val="24"/>
                <w:szCs w:val="24"/>
              </w:rPr>
            </w:pPr>
            <w:r w:rsidRPr="00FB7409">
              <w:rPr>
                <w:rFonts w:ascii="Arial" w:hAnsi="Arial" w:cs="Arial"/>
                <w:sz w:val="24"/>
                <w:szCs w:val="24"/>
              </w:rPr>
              <w:t>swilliams@nrdc.org</w:t>
            </w:r>
          </w:p>
        </w:tc>
        <w:tc>
          <w:tcPr>
            <w:tcW w:w="4575" w:type="dxa"/>
          </w:tcPr>
          <w:p w14:paraId="5BE93D97" w14:textId="77777777" w:rsidR="00FB7409" w:rsidRPr="00FB7409" w:rsidRDefault="00FB7409" w:rsidP="00FB7409">
            <w:pPr>
              <w:rPr>
                <w:rFonts w:ascii="Arial" w:hAnsi="Arial" w:cs="Arial"/>
                <w:sz w:val="24"/>
                <w:szCs w:val="24"/>
              </w:rPr>
            </w:pPr>
            <w:r w:rsidRPr="00FB7409">
              <w:rPr>
                <w:rFonts w:ascii="Arial" w:hAnsi="Arial" w:cs="Arial"/>
                <w:sz w:val="24"/>
                <w:szCs w:val="24"/>
              </w:rPr>
              <w:t xml:space="preserve">whitt@whitt-sturtevant.com </w:t>
            </w:r>
          </w:p>
          <w:p w14:paraId="1DECA592" w14:textId="77777777" w:rsidR="00FB7409" w:rsidRPr="00FB7409" w:rsidRDefault="001267D8" w:rsidP="00FB7409">
            <w:pPr>
              <w:rPr>
                <w:rFonts w:ascii="Arial" w:hAnsi="Arial" w:cs="Arial"/>
                <w:sz w:val="24"/>
                <w:szCs w:val="24"/>
              </w:rPr>
            </w:pPr>
            <w:hyperlink r:id="rId16" w:history="1">
              <w:r w:rsidR="00FB7409" w:rsidRPr="00FB7409">
                <w:rPr>
                  <w:rFonts w:ascii="Arial" w:hAnsi="Arial" w:cs="Arial"/>
                  <w:sz w:val="24"/>
                  <w:szCs w:val="24"/>
                </w:rPr>
                <w:t>campbell@whitt-sturtevant.com</w:t>
              </w:r>
            </w:hyperlink>
            <w:r w:rsidR="00FB7409" w:rsidRPr="00FB7409">
              <w:rPr>
                <w:rFonts w:ascii="Arial" w:hAnsi="Arial" w:cs="Arial"/>
                <w:sz w:val="24"/>
                <w:szCs w:val="24"/>
              </w:rPr>
              <w:t xml:space="preserve"> </w:t>
            </w:r>
          </w:p>
          <w:p w14:paraId="1A98921B" w14:textId="77777777" w:rsidR="00FB7409" w:rsidRPr="00FB7409" w:rsidRDefault="001267D8" w:rsidP="00FB7409">
            <w:pPr>
              <w:rPr>
                <w:rFonts w:ascii="Arial" w:hAnsi="Arial" w:cs="Arial"/>
                <w:sz w:val="24"/>
                <w:szCs w:val="24"/>
              </w:rPr>
            </w:pPr>
            <w:hyperlink r:id="rId17" w:history="1">
              <w:r w:rsidR="00FB7409" w:rsidRPr="00FB7409">
                <w:rPr>
                  <w:rFonts w:ascii="Arial" w:hAnsi="Arial" w:cs="Arial"/>
                  <w:sz w:val="24"/>
                  <w:szCs w:val="24"/>
                </w:rPr>
                <w:t>glover@whitt-sturtevant.com</w:t>
              </w:r>
            </w:hyperlink>
          </w:p>
          <w:p w14:paraId="6A29D4E5" w14:textId="77777777" w:rsidR="00FB7409" w:rsidRPr="00FB7409" w:rsidRDefault="001267D8" w:rsidP="00FB7409">
            <w:pPr>
              <w:rPr>
                <w:rFonts w:ascii="Arial" w:hAnsi="Arial" w:cs="Arial"/>
                <w:sz w:val="24"/>
                <w:szCs w:val="24"/>
              </w:rPr>
            </w:pPr>
            <w:hyperlink r:id="rId18" w:history="1">
              <w:r w:rsidR="00FB7409" w:rsidRPr="00FB7409">
                <w:rPr>
                  <w:rFonts w:ascii="Arial" w:hAnsi="Arial" w:cs="Arial"/>
                  <w:sz w:val="24"/>
                  <w:szCs w:val="24"/>
                </w:rPr>
                <w:t>tdougherty@theoec.org</w:t>
              </w:r>
            </w:hyperlink>
            <w:r w:rsidR="00FB7409" w:rsidRPr="00FB7409">
              <w:rPr>
                <w:rFonts w:ascii="Arial" w:hAnsi="Arial" w:cs="Arial"/>
                <w:sz w:val="24"/>
                <w:szCs w:val="24"/>
              </w:rPr>
              <w:t xml:space="preserve"> </w:t>
            </w:r>
          </w:p>
          <w:p w14:paraId="61D95325" w14:textId="77777777" w:rsidR="00FB7409" w:rsidRPr="00FB7409" w:rsidRDefault="00FB7409" w:rsidP="00FB7409">
            <w:pPr>
              <w:rPr>
                <w:rFonts w:ascii="Arial" w:hAnsi="Arial" w:cs="Arial"/>
                <w:sz w:val="24"/>
                <w:szCs w:val="24"/>
              </w:rPr>
            </w:pPr>
            <w:r w:rsidRPr="00FB7409">
              <w:rPr>
                <w:rFonts w:ascii="Arial" w:hAnsi="Arial" w:cs="Arial"/>
                <w:sz w:val="24"/>
                <w:szCs w:val="24"/>
              </w:rPr>
              <w:t xml:space="preserve">eakhbari@bricker.com rick.sites@ohiohospitals.org </w:t>
            </w:r>
            <w:hyperlink r:id="rId19" w:history="1">
              <w:r w:rsidRPr="00FB7409">
                <w:rPr>
                  <w:rFonts w:ascii="Arial" w:hAnsi="Arial" w:cs="Arial"/>
                  <w:sz w:val="24"/>
                  <w:szCs w:val="24"/>
                </w:rPr>
                <w:t>dborchers@bricker.com</w:t>
              </w:r>
            </w:hyperlink>
            <w:r w:rsidRPr="00FB7409">
              <w:rPr>
                <w:rFonts w:ascii="Arial" w:hAnsi="Arial" w:cs="Arial"/>
                <w:sz w:val="24"/>
                <w:szCs w:val="24"/>
              </w:rPr>
              <w:t xml:space="preserve"> </w:t>
            </w:r>
          </w:p>
          <w:p w14:paraId="6957993E" w14:textId="77777777" w:rsidR="00FB7409" w:rsidRPr="00FB7409" w:rsidRDefault="001267D8" w:rsidP="00FB7409">
            <w:pPr>
              <w:rPr>
                <w:rFonts w:ascii="Arial" w:hAnsi="Arial" w:cs="Arial"/>
                <w:sz w:val="24"/>
                <w:szCs w:val="24"/>
              </w:rPr>
            </w:pPr>
            <w:hyperlink r:id="rId20" w:history="1">
              <w:r w:rsidR="00FB7409" w:rsidRPr="00FB7409">
                <w:rPr>
                  <w:rFonts w:ascii="Arial" w:hAnsi="Arial" w:cs="Arial"/>
                  <w:sz w:val="24"/>
                  <w:szCs w:val="24"/>
                </w:rPr>
                <w:t>dparram@bricker.com</w:t>
              </w:r>
            </w:hyperlink>
            <w:r w:rsidR="00FB7409" w:rsidRPr="00FB7409">
              <w:rPr>
                <w:rFonts w:ascii="Arial" w:hAnsi="Arial" w:cs="Arial"/>
                <w:sz w:val="24"/>
                <w:szCs w:val="24"/>
              </w:rPr>
              <w:t xml:space="preserve"> </w:t>
            </w:r>
          </w:p>
          <w:p w14:paraId="609EC174" w14:textId="77777777" w:rsidR="00FB7409" w:rsidRPr="00FB7409" w:rsidRDefault="00FB7409" w:rsidP="00FB7409">
            <w:pPr>
              <w:rPr>
                <w:rFonts w:ascii="Arial" w:hAnsi="Arial" w:cs="Arial"/>
                <w:sz w:val="24"/>
                <w:szCs w:val="24"/>
              </w:rPr>
            </w:pPr>
            <w:r w:rsidRPr="00FB7409">
              <w:rPr>
                <w:rFonts w:ascii="Arial" w:hAnsi="Arial" w:cs="Arial"/>
                <w:sz w:val="24"/>
                <w:szCs w:val="24"/>
              </w:rPr>
              <w:t xml:space="preserve">mdortch@kravitzllc.com </w:t>
            </w:r>
            <w:hyperlink r:id="rId21" w:history="1">
              <w:r w:rsidRPr="00FB7409">
                <w:rPr>
                  <w:rStyle w:val="Hyperlink"/>
                  <w:rFonts w:ascii="Arial" w:hAnsi="Arial" w:cs="Arial"/>
                  <w:color w:val="auto"/>
                  <w:sz w:val="24"/>
                  <w:szCs w:val="24"/>
                  <w:u w:val="none"/>
                </w:rPr>
                <w:t>dboehm@bkllawfirm.com</w:t>
              </w:r>
            </w:hyperlink>
          </w:p>
          <w:p w14:paraId="4570687D" w14:textId="77777777" w:rsidR="00FB7409" w:rsidRPr="00FB7409" w:rsidRDefault="00FB7409" w:rsidP="00FB7409">
            <w:pPr>
              <w:rPr>
                <w:rFonts w:ascii="Arial" w:hAnsi="Arial" w:cs="Arial"/>
                <w:sz w:val="24"/>
                <w:szCs w:val="24"/>
              </w:rPr>
            </w:pPr>
            <w:r w:rsidRPr="00FB7409">
              <w:rPr>
                <w:rFonts w:ascii="Arial" w:hAnsi="Arial" w:cs="Arial"/>
                <w:sz w:val="24"/>
                <w:szCs w:val="24"/>
              </w:rPr>
              <w:t xml:space="preserve">kboehm@bkllawfirm.com bojko@carpenterlipps.com perko@carpenterlipps.com </w:t>
            </w:r>
            <w:hyperlink r:id="rId22" w:history="1">
              <w:r w:rsidRPr="00FB7409">
                <w:rPr>
                  <w:rFonts w:ascii="Arial" w:hAnsi="Arial" w:cs="Arial"/>
                  <w:sz w:val="24"/>
                  <w:szCs w:val="24"/>
                </w:rPr>
                <w:t>mleppla@theoec.org</w:t>
              </w:r>
            </w:hyperlink>
          </w:p>
          <w:p w14:paraId="04656C17" w14:textId="77777777" w:rsidR="00FB7409" w:rsidRPr="00FB7409" w:rsidRDefault="00FB7409" w:rsidP="00FB7409">
            <w:pPr>
              <w:rPr>
                <w:rFonts w:ascii="Arial" w:hAnsi="Arial" w:cs="Arial"/>
                <w:sz w:val="24"/>
                <w:szCs w:val="24"/>
              </w:rPr>
            </w:pPr>
            <w:r w:rsidRPr="00FB7409">
              <w:rPr>
                <w:rFonts w:ascii="Arial" w:hAnsi="Arial" w:cs="Arial"/>
                <w:sz w:val="24"/>
                <w:szCs w:val="24"/>
              </w:rPr>
              <w:t>steven.beeler@ohioattorneygeneral.gov</w:t>
            </w:r>
          </w:p>
          <w:p w14:paraId="41F05851" w14:textId="77777777" w:rsidR="00FB7409" w:rsidRPr="00FB7409" w:rsidRDefault="00FB7409" w:rsidP="00FB7409">
            <w:pPr>
              <w:rPr>
                <w:rFonts w:ascii="Arial" w:hAnsi="Arial" w:cs="Arial"/>
                <w:sz w:val="24"/>
                <w:szCs w:val="24"/>
              </w:rPr>
            </w:pPr>
            <w:r w:rsidRPr="00FB7409">
              <w:rPr>
                <w:rFonts w:ascii="Arial" w:hAnsi="Arial" w:cs="Arial"/>
                <w:sz w:val="24"/>
                <w:szCs w:val="24"/>
              </w:rPr>
              <w:t>robert.eubanks@ohioattorneygeneral.gov</w:t>
            </w:r>
          </w:p>
          <w:p w14:paraId="7EBD91CE" w14:textId="72E23246" w:rsidR="00FB7409" w:rsidRPr="00FB7409" w:rsidRDefault="00FB7409" w:rsidP="00FB7409">
            <w:pPr>
              <w:rPr>
                <w:rFonts w:ascii="Arial" w:hAnsi="Arial" w:cs="Arial"/>
                <w:sz w:val="24"/>
                <w:szCs w:val="24"/>
              </w:rPr>
            </w:pPr>
            <w:r>
              <w:rPr>
                <w:rFonts w:ascii="Arial" w:hAnsi="Arial" w:cs="Arial"/>
                <w:sz w:val="24"/>
                <w:szCs w:val="24"/>
              </w:rPr>
              <w:t>mnugent@igsenergy.com</w:t>
            </w:r>
          </w:p>
        </w:tc>
      </w:tr>
    </w:tbl>
    <w:p w14:paraId="23337FA1" w14:textId="77777777" w:rsidR="008A2C5B" w:rsidRPr="00060C1F" w:rsidRDefault="008A2C5B" w:rsidP="008A2C5B">
      <w:pPr>
        <w:spacing w:after="0" w:line="240" w:lineRule="auto"/>
        <w:ind w:left="5040" w:firstLine="720"/>
        <w:rPr>
          <w:rFonts w:ascii="Arial" w:eastAsia="Arial" w:hAnsi="Arial" w:cs="Arial"/>
          <w:i/>
          <w:sz w:val="24"/>
          <w:szCs w:val="24"/>
        </w:rPr>
      </w:pPr>
    </w:p>
    <w:p w14:paraId="65B7DFCE" w14:textId="6C27526E" w:rsidR="006E5083" w:rsidRPr="00FB7409" w:rsidRDefault="00FB7409" w:rsidP="006E5083">
      <w:pPr>
        <w:spacing w:after="0" w:line="240" w:lineRule="auto"/>
        <w:ind w:left="5040"/>
        <w:rPr>
          <w:rFonts w:ascii="Arial" w:eastAsia="Calibri" w:hAnsi="Arial" w:cs="Arial"/>
          <w:sz w:val="24"/>
          <w:szCs w:val="24"/>
          <w:u w:val="single"/>
        </w:rPr>
      </w:pPr>
      <w:r w:rsidRPr="00FB7409">
        <w:rPr>
          <w:rFonts w:ascii="Arial" w:eastAsia="Arial" w:hAnsi="Arial" w:cs="Arial"/>
          <w:i/>
          <w:sz w:val="24"/>
          <w:szCs w:val="24"/>
          <w:u w:val="single"/>
        </w:rPr>
        <w:t>/s/ Joseph Oliker</w:t>
      </w:r>
    </w:p>
    <w:p w14:paraId="7176D312" w14:textId="5A11D0F4" w:rsidR="00545F29" w:rsidRPr="00060C1F" w:rsidRDefault="006E5083" w:rsidP="006E5083">
      <w:pPr>
        <w:spacing w:after="0" w:line="240" w:lineRule="auto"/>
        <w:ind w:left="4320" w:firstLine="720"/>
        <w:rPr>
          <w:rFonts w:ascii="Arial" w:hAnsi="Arial" w:cs="Arial"/>
          <w:sz w:val="24"/>
          <w:szCs w:val="24"/>
        </w:rPr>
      </w:pPr>
      <w:r w:rsidRPr="00060C1F">
        <w:rPr>
          <w:rFonts w:ascii="Arial" w:hAnsi="Arial" w:cs="Arial"/>
          <w:sz w:val="24"/>
          <w:szCs w:val="24"/>
        </w:rPr>
        <w:t>Joseph Oliker</w:t>
      </w:r>
    </w:p>
    <w:sectPr w:rsidR="00545F29" w:rsidRPr="00060C1F">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25B3D" w14:textId="77777777" w:rsidR="00CE654B" w:rsidRDefault="00CE654B">
      <w:pPr>
        <w:spacing w:after="0" w:line="240" w:lineRule="auto"/>
      </w:pPr>
      <w:r>
        <w:separator/>
      </w:r>
    </w:p>
  </w:endnote>
  <w:endnote w:type="continuationSeparator" w:id="0">
    <w:p w14:paraId="019DF137" w14:textId="77777777" w:rsidR="00CE654B" w:rsidRDefault="00CE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D29C4" w14:textId="77777777" w:rsidR="00360E99" w:rsidRDefault="00360E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5860"/>
      <w:docPartObj>
        <w:docPartGallery w:val="Page Numbers (Bottom of Page)"/>
        <w:docPartUnique/>
      </w:docPartObj>
    </w:sdtPr>
    <w:sdtEndPr/>
    <w:sdtContent>
      <w:p w14:paraId="7176D32E" w14:textId="5B1933DD" w:rsidR="00CE654B" w:rsidRDefault="00CE654B">
        <w:pPr>
          <w:pStyle w:val="Footer"/>
          <w:jc w:val="center"/>
        </w:pPr>
        <w:r>
          <w:fldChar w:fldCharType="begin"/>
        </w:r>
        <w:r>
          <w:instrText xml:space="preserve"> PAGE   \* MERGEFORMAT </w:instrText>
        </w:r>
        <w:r>
          <w:fldChar w:fldCharType="separate"/>
        </w:r>
        <w:r w:rsidR="001267D8">
          <w:rPr>
            <w:noProof/>
          </w:rPr>
          <w:t>19</w:t>
        </w:r>
        <w:r>
          <w:rPr>
            <w:noProof/>
          </w:rPr>
          <w:fldChar w:fldCharType="end"/>
        </w:r>
      </w:p>
    </w:sdtContent>
  </w:sdt>
  <w:p w14:paraId="7176D32F" w14:textId="77777777" w:rsidR="00CE654B" w:rsidRDefault="00CE65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F9DED" w14:textId="77777777" w:rsidR="00360E99" w:rsidRDefault="00360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CD4FE" w14:textId="77777777" w:rsidR="00CE654B" w:rsidRDefault="00CE654B">
      <w:pPr>
        <w:spacing w:after="0" w:line="240" w:lineRule="auto"/>
      </w:pPr>
      <w:r>
        <w:separator/>
      </w:r>
    </w:p>
  </w:footnote>
  <w:footnote w:type="continuationSeparator" w:id="0">
    <w:p w14:paraId="3EEA40E9" w14:textId="77777777" w:rsidR="00CE654B" w:rsidRDefault="00CE654B">
      <w:pPr>
        <w:spacing w:after="0" w:line="240" w:lineRule="auto"/>
      </w:pPr>
      <w:r>
        <w:continuationSeparator/>
      </w:r>
    </w:p>
  </w:footnote>
  <w:footnote w:id="1">
    <w:p w14:paraId="4D6FCA93" w14:textId="77777777" w:rsidR="00551BAD" w:rsidRPr="00526ADC" w:rsidRDefault="00551BAD" w:rsidP="00551BAD">
      <w:pPr>
        <w:pStyle w:val="FootnoteText"/>
        <w:jc w:val="both"/>
        <w:rPr>
          <w:rFonts w:ascii="Arial" w:hAnsi="Arial" w:cs="Arial"/>
        </w:rPr>
      </w:pPr>
      <w:r w:rsidRPr="00526ADC">
        <w:rPr>
          <w:rStyle w:val="FootnoteReference"/>
          <w:rFonts w:ascii="Arial" w:hAnsi="Arial" w:cs="Arial"/>
        </w:rPr>
        <w:footnoteRef/>
      </w:r>
      <w:r w:rsidRPr="00526ADC">
        <w:rPr>
          <w:rFonts w:ascii="Arial" w:hAnsi="Arial" w:cs="Arial"/>
        </w:rPr>
        <w:t xml:space="preserve"> For purposes of these objections, IGS refers to default service and SSO service interchangeably. </w:t>
      </w:r>
    </w:p>
    <w:p w14:paraId="54BB5273" w14:textId="77777777" w:rsidR="00551BAD" w:rsidRPr="00526ADC" w:rsidRDefault="00551BAD" w:rsidP="00551BAD">
      <w:pPr>
        <w:pStyle w:val="FootnoteText"/>
        <w:jc w:val="both"/>
        <w:rPr>
          <w:rFonts w:ascii="Arial" w:hAnsi="Arial" w:cs="Arial"/>
        </w:rPr>
      </w:pPr>
    </w:p>
  </w:footnote>
  <w:footnote w:id="2">
    <w:p w14:paraId="642AC0CF" w14:textId="1D5FAA01" w:rsidR="00CE654B" w:rsidRPr="00526ADC" w:rsidRDefault="00CE654B" w:rsidP="00526ADC">
      <w:pPr>
        <w:pStyle w:val="FootnoteText"/>
        <w:jc w:val="both"/>
        <w:rPr>
          <w:rFonts w:ascii="Arial" w:hAnsi="Arial" w:cs="Arial"/>
        </w:rPr>
      </w:pPr>
      <w:r w:rsidRPr="00C02EFC">
        <w:rPr>
          <w:rStyle w:val="FootnoteReference"/>
          <w:rFonts w:ascii="Arial" w:hAnsi="Arial" w:cs="Arial"/>
        </w:rPr>
        <w:footnoteRef/>
      </w:r>
      <w:r w:rsidRPr="00C02EFC">
        <w:rPr>
          <w:rFonts w:ascii="Arial" w:hAnsi="Arial" w:cs="Arial"/>
        </w:rPr>
        <w:t xml:space="preserve"> </w:t>
      </w:r>
      <w:r w:rsidRPr="00526ADC">
        <w:rPr>
          <w:rFonts w:ascii="Arial" w:hAnsi="Arial" w:cs="Arial"/>
        </w:rPr>
        <w:t xml:space="preserve">Staff Report, Rates and Tariffs at 24. </w:t>
      </w:r>
    </w:p>
    <w:p w14:paraId="21485D6C" w14:textId="77777777" w:rsidR="00CE654B" w:rsidRPr="00526ADC" w:rsidRDefault="00CE654B" w:rsidP="00526ADC">
      <w:pPr>
        <w:pStyle w:val="FootnoteText"/>
        <w:jc w:val="both"/>
        <w:rPr>
          <w:rFonts w:ascii="Arial" w:hAnsi="Arial" w:cs="Arial"/>
        </w:rPr>
      </w:pPr>
    </w:p>
  </w:footnote>
  <w:footnote w:id="3">
    <w:p w14:paraId="7B0FB028" w14:textId="6E9C9798" w:rsidR="00CE654B" w:rsidRPr="00526ADC" w:rsidRDefault="00CE654B" w:rsidP="00526ADC">
      <w:pPr>
        <w:pStyle w:val="FootnoteText"/>
        <w:jc w:val="both"/>
        <w:rPr>
          <w:rFonts w:ascii="Arial" w:hAnsi="Arial" w:cs="Arial"/>
        </w:rPr>
      </w:pPr>
      <w:r w:rsidRPr="00526ADC">
        <w:rPr>
          <w:rStyle w:val="FootnoteReference"/>
          <w:rFonts w:ascii="Arial" w:hAnsi="Arial" w:cs="Arial"/>
        </w:rPr>
        <w:footnoteRef/>
      </w:r>
      <w:r w:rsidRPr="00526ADC">
        <w:rPr>
          <w:rFonts w:ascii="Arial" w:hAnsi="Arial" w:cs="Arial"/>
        </w:rPr>
        <w:t xml:space="preserve"> Staff Report at 33 and 35-43.</w:t>
      </w:r>
    </w:p>
  </w:footnote>
  <w:footnote w:id="4">
    <w:p w14:paraId="605AA224" w14:textId="3B04FB6E" w:rsidR="00CE654B" w:rsidRPr="00526ADC" w:rsidRDefault="00CE654B" w:rsidP="00526ADC">
      <w:pPr>
        <w:pStyle w:val="FootnoteText"/>
        <w:jc w:val="both"/>
        <w:rPr>
          <w:rFonts w:ascii="Arial" w:hAnsi="Arial" w:cs="Arial"/>
        </w:rPr>
      </w:pPr>
      <w:r w:rsidRPr="00526ADC">
        <w:rPr>
          <w:rStyle w:val="FootnoteReference"/>
          <w:rFonts w:ascii="Arial" w:hAnsi="Arial" w:cs="Arial"/>
        </w:rPr>
        <w:footnoteRef/>
      </w:r>
      <w:r w:rsidRPr="00526ADC">
        <w:rPr>
          <w:rFonts w:ascii="Arial" w:hAnsi="Arial" w:cs="Arial"/>
        </w:rPr>
        <w:t xml:space="preserve"> For example, Duke proposed to recover $8.1 million in O&amp;M expense with respect to gas and electric service. Duke Response to IGS-INT-01-004(a) and IGS-INT-01-005(a) and (b), Case Nos. 17-32-EL-AIR, </w:t>
      </w:r>
      <w:r w:rsidRPr="00526ADC">
        <w:rPr>
          <w:rFonts w:ascii="Arial" w:hAnsi="Arial" w:cs="Arial"/>
          <w:i/>
        </w:rPr>
        <w:t>et al</w:t>
      </w:r>
      <w:r w:rsidRPr="00526ADC">
        <w:rPr>
          <w:rFonts w:ascii="Arial" w:hAnsi="Arial" w:cs="Arial"/>
        </w:rPr>
        <w:t xml:space="preserve">.  Duke proposed to collect $5,107,749 through electric distribution rates.  Duke Response to IGS-02-010, Case Nos. 17-32-EL-AIR, </w:t>
      </w:r>
      <w:r w:rsidRPr="00526ADC">
        <w:rPr>
          <w:rFonts w:ascii="Arial" w:hAnsi="Arial" w:cs="Arial"/>
          <w:i/>
        </w:rPr>
        <w:t>et al.</w:t>
      </w:r>
      <w:r w:rsidRPr="00526ADC">
        <w:rPr>
          <w:rFonts w:ascii="Arial" w:hAnsi="Arial" w:cs="Arial"/>
        </w:rPr>
        <w:t xml:space="preserve">, </w:t>
      </w:r>
    </w:p>
  </w:footnote>
  <w:footnote w:id="5">
    <w:p w14:paraId="1B5350A9" w14:textId="26DCCB16" w:rsidR="00CE654B" w:rsidRPr="00526ADC" w:rsidRDefault="00CE654B" w:rsidP="00526ADC">
      <w:pPr>
        <w:pStyle w:val="FootnoteText"/>
        <w:jc w:val="both"/>
        <w:rPr>
          <w:rFonts w:ascii="Arial" w:hAnsi="Arial" w:cs="Arial"/>
        </w:rPr>
      </w:pPr>
      <w:r w:rsidRPr="00526ADC">
        <w:rPr>
          <w:rStyle w:val="FootnoteReference"/>
          <w:rFonts w:ascii="Arial" w:hAnsi="Arial" w:cs="Arial"/>
        </w:rPr>
        <w:footnoteRef/>
      </w:r>
      <w:r w:rsidRPr="00526ADC">
        <w:rPr>
          <w:rFonts w:ascii="Arial" w:hAnsi="Arial" w:cs="Arial"/>
        </w:rPr>
        <w:t xml:space="preserve"> Although the Staff Report recommends that Duke not collect a Cash Working Capital expense, this recommendation does not change the fact that Duke does in fact incur a capital cost to pay auction suppliers.  By failing to allocate a cash working capital requirement to the SSO rate, Duke thereby subsidizes this cost through revenue collected through distribution rates.</w:t>
      </w:r>
    </w:p>
    <w:p w14:paraId="7B97CC55" w14:textId="77777777" w:rsidR="00CE654B" w:rsidRPr="00526ADC" w:rsidRDefault="00CE654B" w:rsidP="00526ADC">
      <w:pPr>
        <w:pStyle w:val="FootnoteText"/>
        <w:jc w:val="both"/>
        <w:rPr>
          <w:rFonts w:ascii="Arial" w:hAnsi="Arial" w:cs="Arial"/>
        </w:rPr>
      </w:pPr>
    </w:p>
  </w:footnote>
  <w:footnote w:id="6">
    <w:p w14:paraId="2AA3DAE1" w14:textId="3C8DDECD" w:rsidR="00CE654B" w:rsidRPr="00526ADC" w:rsidRDefault="00CE654B" w:rsidP="00526ADC">
      <w:pPr>
        <w:pStyle w:val="FootnoteText"/>
        <w:jc w:val="both"/>
        <w:rPr>
          <w:rFonts w:ascii="Arial" w:hAnsi="Arial" w:cs="Arial"/>
        </w:rPr>
      </w:pPr>
      <w:r w:rsidRPr="00526ADC">
        <w:rPr>
          <w:rStyle w:val="FootnoteReference"/>
          <w:rFonts w:ascii="Arial" w:hAnsi="Arial" w:cs="Arial"/>
        </w:rPr>
        <w:footnoteRef/>
      </w:r>
      <w:r w:rsidRPr="00526ADC">
        <w:rPr>
          <w:rFonts w:ascii="Arial" w:hAnsi="Arial" w:cs="Arial"/>
        </w:rPr>
        <w:t xml:space="preserve"> Response to IGS-INT-01-016(b), Case Nos. 17-1263-EL-SSO, </w:t>
      </w:r>
      <w:r w:rsidRPr="00526ADC">
        <w:rPr>
          <w:rFonts w:ascii="Arial" w:hAnsi="Arial" w:cs="Arial"/>
          <w:i/>
        </w:rPr>
        <w:t>et al.</w:t>
      </w:r>
      <w:r w:rsidRPr="00526ADC">
        <w:rPr>
          <w:rFonts w:ascii="Arial" w:hAnsi="Arial" w:cs="Arial"/>
        </w:rPr>
        <w:t xml:space="preserve"> </w:t>
      </w:r>
      <w:r w:rsidR="00526ADC" w:rsidRPr="00526ADC">
        <w:rPr>
          <w:rFonts w:ascii="Arial" w:hAnsi="Arial" w:cs="Arial"/>
        </w:rPr>
        <w:t xml:space="preserve"> </w:t>
      </w:r>
      <w:r w:rsidRPr="00526ADC">
        <w:rPr>
          <w:rFonts w:ascii="Arial" w:hAnsi="Arial" w:cs="Arial"/>
        </w:rPr>
        <w:t>The terms of this charge are set forth on Tariff Sheet 52.4.</w:t>
      </w:r>
    </w:p>
    <w:p w14:paraId="62404E6A" w14:textId="77777777" w:rsidR="00CE654B" w:rsidRPr="00526ADC" w:rsidRDefault="00CE654B" w:rsidP="00526ADC">
      <w:pPr>
        <w:pStyle w:val="FootnoteText"/>
        <w:jc w:val="both"/>
        <w:rPr>
          <w:rFonts w:ascii="Arial" w:hAnsi="Arial" w:cs="Arial"/>
        </w:rPr>
      </w:pPr>
    </w:p>
  </w:footnote>
  <w:footnote w:id="7">
    <w:p w14:paraId="75BF1D03" w14:textId="4435EB26" w:rsidR="00CE654B" w:rsidRPr="00526ADC" w:rsidRDefault="00CE654B" w:rsidP="00526ADC">
      <w:pPr>
        <w:pStyle w:val="FootnoteText"/>
        <w:jc w:val="both"/>
        <w:rPr>
          <w:rFonts w:ascii="Arial" w:hAnsi="Arial" w:cs="Arial"/>
        </w:rPr>
      </w:pPr>
      <w:r w:rsidRPr="00526ADC">
        <w:rPr>
          <w:rStyle w:val="FootnoteReference"/>
          <w:rFonts w:ascii="Arial" w:hAnsi="Arial" w:cs="Arial"/>
        </w:rPr>
        <w:footnoteRef/>
      </w:r>
      <w:r w:rsidRPr="00526ADC">
        <w:rPr>
          <w:rFonts w:ascii="Arial" w:hAnsi="Arial" w:cs="Arial"/>
        </w:rPr>
        <w:t xml:space="preserve"> </w:t>
      </w:r>
      <w:r w:rsidRPr="00526ADC">
        <w:rPr>
          <w:rFonts w:ascii="Arial" w:hAnsi="Arial" w:cs="Arial"/>
          <w:i/>
        </w:rPr>
        <w:t>Id</w:t>
      </w:r>
      <w:r w:rsidRPr="00526ADC">
        <w:rPr>
          <w:rFonts w:ascii="Arial" w:hAnsi="Arial" w:cs="Arial"/>
        </w:rPr>
        <w:t>. at (a). The terms of this charge are set forth on Tariff Sheet 52.4.</w:t>
      </w:r>
    </w:p>
    <w:p w14:paraId="26F8AB78" w14:textId="77777777" w:rsidR="00CE654B" w:rsidRPr="00526ADC" w:rsidRDefault="00CE654B" w:rsidP="00526ADC">
      <w:pPr>
        <w:pStyle w:val="FootnoteText"/>
        <w:jc w:val="both"/>
        <w:rPr>
          <w:rFonts w:ascii="Arial" w:hAnsi="Arial" w:cs="Arial"/>
        </w:rPr>
      </w:pPr>
    </w:p>
  </w:footnote>
  <w:footnote w:id="8">
    <w:p w14:paraId="375D3F0F" w14:textId="007CA627" w:rsidR="00CE654B" w:rsidRPr="00526ADC" w:rsidRDefault="00CE654B" w:rsidP="00526ADC">
      <w:pPr>
        <w:pStyle w:val="FootnoteText"/>
        <w:jc w:val="both"/>
        <w:rPr>
          <w:rFonts w:ascii="Arial" w:hAnsi="Arial" w:cs="Arial"/>
        </w:rPr>
      </w:pPr>
      <w:r w:rsidRPr="00526ADC">
        <w:rPr>
          <w:rStyle w:val="FootnoteReference"/>
          <w:rFonts w:ascii="Arial" w:hAnsi="Arial" w:cs="Arial"/>
        </w:rPr>
        <w:footnoteRef/>
      </w:r>
      <w:r w:rsidRPr="00526ADC">
        <w:rPr>
          <w:rFonts w:ascii="Arial" w:hAnsi="Arial" w:cs="Arial"/>
        </w:rPr>
        <w:t xml:space="preserve"> </w:t>
      </w:r>
      <w:r w:rsidRPr="00526ADC">
        <w:rPr>
          <w:rFonts w:ascii="Arial" w:hAnsi="Arial" w:cs="Arial"/>
          <w:i/>
        </w:rPr>
        <w:t xml:space="preserve">Id. </w:t>
      </w:r>
      <w:r w:rsidRPr="00526ADC">
        <w:rPr>
          <w:rFonts w:ascii="Arial" w:hAnsi="Arial" w:cs="Arial"/>
        </w:rPr>
        <w:t>at IGS-INT-01-17</w:t>
      </w:r>
      <w:r w:rsidR="00314A32">
        <w:rPr>
          <w:rFonts w:ascii="Arial" w:hAnsi="Arial" w:cs="Arial"/>
        </w:rPr>
        <w:t xml:space="preserve">, Case Nos. 17-1263-EL-SSO, </w:t>
      </w:r>
      <w:r w:rsidR="00314A32">
        <w:rPr>
          <w:rFonts w:ascii="Arial" w:hAnsi="Arial" w:cs="Arial"/>
          <w:i/>
        </w:rPr>
        <w:t>et al</w:t>
      </w:r>
      <w:r w:rsidRPr="00526ADC">
        <w:rPr>
          <w:rFonts w:ascii="Arial" w:hAnsi="Arial" w:cs="Arial"/>
        </w:rPr>
        <w:t>.</w:t>
      </w:r>
    </w:p>
    <w:p w14:paraId="5E84FC7D" w14:textId="77777777" w:rsidR="00CE654B" w:rsidRPr="00526ADC" w:rsidRDefault="00CE654B" w:rsidP="00526ADC">
      <w:pPr>
        <w:pStyle w:val="FootnoteText"/>
        <w:jc w:val="both"/>
        <w:rPr>
          <w:rFonts w:ascii="Arial" w:hAnsi="Arial" w:cs="Arial"/>
        </w:rPr>
      </w:pPr>
    </w:p>
  </w:footnote>
  <w:footnote w:id="9">
    <w:p w14:paraId="60956D6D" w14:textId="6ED9F2DB" w:rsidR="00CE654B" w:rsidRPr="00526ADC" w:rsidRDefault="00CE654B" w:rsidP="00526ADC">
      <w:pPr>
        <w:pStyle w:val="FootnoteText"/>
        <w:jc w:val="both"/>
        <w:rPr>
          <w:rFonts w:ascii="Arial" w:hAnsi="Arial" w:cs="Arial"/>
        </w:rPr>
      </w:pPr>
      <w:r w:rsidRPr="00526ADC">
        <w:rPr>
          <w:rStyle w:val="FootnoteReference"/>
          <w:rFonts w:ascii="Arial" w:hAnsi="Arial" w:cs="Arial"/>
        </w:rPr>
        <w:footnoteRef/>
      </w:r>
      <w:r w:rsidRPr="00526ADC">
        <w:rPr>
          <w:rFonts w:ascii="Arial" w:hAnsi="Arial" w:cs="Arial"/>
        </w:rPr>
        <w:t xml:space="preserve"> Response to IGS-INT-02-01(h), Case Nos. 17-32-EL-AIR, </w:t>
      </w:r>
      <w:r w:rsidRPr="00526ADC">
        <w:rPr>
          <w:rFonts w:ascii="Arial" w:hAnsi="Arial" w:cs="Arial"/>
          <w:i/>
        </w:rPr>
        <w:t>et al.</w:t>
      </w:r>
      <w:r w:rsidRPr="00526ADC">
        <w:rPr>
          <w:rFonts w:ascii="Arial" w:hAnsi="Arial" w:cs="Arial"/>
        </w:rPr>
        <w:t>. The terms of this charge are set forth on Tariff Sheet 52.4.</w:t>
      </w:r>
    </w:p>
    <w:p w14:paraId="066569C8" w14:textId="77777777" w:rsidR="00CE654B" w:rsidRPr="00526ADC" w:rsidRDefault="00CE654B" w:rsidP="00526ADC">
      <w:pPr>
        <w:pStyle w:val="FootnoteText"/>
        <w:jc w:val="both"/>
        <w:rPr>
          <w:rFonts w:ascii="Arial" w:hAnsi="Arial" w:cs="Arial"/>
        </w:rPr>
      </w:pPr>
    </w:p>
  </w:footnote>
  <w:footnote w:id="10">
    <w:p w14:paraId="6EEE319D" w14:textId="338558DC" w:rsidR="00CE654B" w:rsidRPr="00526ADC" w:rsidRDefault="00CE654B" w:rsidP="00526ADC">
      <w:pPr>
        <w:pStyle w:val="FootnoteText"/>
        <w:jc w:val="both"/>
        <w:rPr>
          <w:rFonts w:ascii="Arial" w:hAnsi="Arial" w:cs="Arial"/>
        </w:rPr>
      </w:pPr>
      <w:r w:rsidRPr="00526ADC">
        <w:rPr>
          <w:rStyle w:val="FootnoteReference"/>
          <w:rFonts w:ascii="Arial" w:hAnsi="Arial" w:cs="Arial"/>
        </w:rPr>
        <w:footnoteRef/>
      </w:r>
      <w:r w:rsidRPr="00526ADC">
        <w:rPr>
          <w:rFonts w:ascii="Arial" w:hAnsi="Arial" w:cs="Arial"/>
        </w:rPr>
        <w:t xml:space="preserve"> Staff Report, Management and Operations Review at 53-54.</w:t>
      </w:r>
    </w:p>
    <w:p w14:paraId="2BBBB572" w14:textId="77777777" w:rsidR="00CE654B" w:rsidRPr="00526ADC" w:rsidRDefault="00CE654B" w:rsidP="00526ADC">
      <w:pPr>
        <w:pStyle w:val="FootnoteText"/>
        <w:jc w:val="both"/>
        <w:rPr>
          <w:rFonts w:ascii="Arial" w:hAnsi="Arial" w:cs="Arial"/>
        </w:rPr>
      </w:pPr>
    </w:p>
  </w:footnote>
  <w:footnote w:id="11">
    <w:p w14:paraId="20DF039C" w14:textId="74275974" w:rsidR="00CE654B" w:rsidRPr="00526ADC" w:rsidRDefault="00CE654B" w:rsidP="00526ADC">
      <w:pPr>
        <w:pStyle w:val="FootnoteText"/>
        <w:jc w:val="both"/>
        <w:rPr>
          <w:rFonts w:ascii="Arial" w:hAnsi="Arial" w:cs="Arial"/>
        </w:rPr>
      </w:pPr>
      <w:r w:rsidRPr="00526ADC">
        <w:rPr>
          <w:rStyle w:val="FootnoteReference"/>
          <w:rFonts w:ascii="Arial" w:hAnsi="Arial" w:cs="Arial"/>
        </w:rPr>
        <w:footnoteRef/>
      </w:r>
      <w:r w:rsidRPr="00526ADC">
        <w:rPr>
          <w:rFonts w:ascii="Arial" w:hAnsi="Arial" w:cs="Arial"/>
        </w:rPr>
        <w:t xml:space="preserve"> </w:t>
      </w:r>
      <w:r w:rsidRPr="00526ADC">
        <w:rPr>
          <w:rFonts w:ascii="Arial" w:hAnsi="Arial" w:cs="Arial"/>
          <w:i/>
        </w:rPr>
        <w:t xml:space="preserve">Id. </w:t>
      </w:r>
      <w:r w:rsidRPr="00526ADC">
        <w:rPr>
          <w:rFonts w:ascii="Arial" w:hAnsi="Arial" w:cs="Arial"/>
        </w:rPr>
        <w:t>at 53.</w:t>
      </w:r>
    </w:p>
  </w:footnote>
  <w:footnote w:id="12">
    <w:p w14:paraId="59E03CE6" w14:textId="5D79B343" w:rsidR="00CE654B" w:rsidRDefault="00CE654B" w:rsidP="00526ADC">
      <w:pPr>
        <w:pStyle w:val="FootnoteText"/>
        <w:jc w:val="both"/>
        <w:rPr>
          <w:rFonts w:ascii="Arial" w:hAnsi="Arial" w:cs="Arial"/>
          <w:i/>
        </w:rPr>
      </w:pPr>
      <w:r w:rsidRPr="00526ADC">
        <w:rPr>
          <w:rStyle w:val="FootnoteReference"/>
          <w:rFonts w:ascii="Arial" w:hAnsi="Arial" w:cs="Arial"/>
        </w:rPr>
        <w:footnoteRef/>
      </w:r>
      <w:r w:rsidRPr="00526ADC">
        <w:rPr>
          <w:rFonts w:ascii="Arial" w:hAnsi="Arial" w:cs="Arial"/>
        </w:rPr>
        <w:t xml:space="preserve"> </w:t>
      </w:r>
      <w:r w:rsidRPr="00526ADC">
        <w:rPr>
          <w:rFonts w:ascii="Arial" w:hAnsi="Arial" w:cs="Arial"/>
          <w:i/>
        </w:rPr>
        <w:t xml:space="preserve">Id. </w:t>
      </w:r>
    </w:p>
    <w:p w14:paraId="44A79FC7" w14:textId="77777777" w:rsidR="00B82DA1" w:rsidRPr="00526ADC" w:rsidRDefault="00B82DA1" w:rsidP="00526ADC">
      <w:pPr>
        <w:pStyle w:val="FootnoteText"/>
        <w:jc w:val="both"/>
        <w:rPr>
          <w:rFonts w:ascii="Arial" w:hAnsi="Arial" w:cs="Arial"/>
          <w:i/>
        </w:rPr>
      </w:pPr>
    </w:p>
  </w:footnote>
  <w:footnote w:id="13">
    <w:p w14:paraId="39EEAA17" w14:textId="7BFADD1E" w:rsidR="00CE654B" w:rsidRPr="00526ADC" w:rsidRDefault="00CE654B" w:rsidP="00526ADC">
      <w:pPr>
        <w:pStyle w:val="FootnoteText"/>
        <w:jc w:val="both"/>
        <w:rPr>
          <w:rFonts w:ascii="Arial" w:hAnsi="Arial" w:cs="Arial"/>
          <w:i/>
        </w:rPr>
      </w:pPr>
      <w:r w:rsidRPr="00526ADC">
        <w:rPr>
          <w:rStyle w:val="FootnoteReference"/>
          <w:rFonts w:ascii="Arial" w:hAnsi="Arial" w:cs="Arial"/>
        </w:rPr>
        <w:footnoteRef/>
      </w:r>
      <w:r w:rsidRPr="00526ADC">
        <w:rPr>
          <w:rFonts w:ascii="Arial" w:hAnsi="Arial" w:cs="Arial"/>
        </w:rPr>
        <w:t xml:space="preserve"> </w:t>
      </w:r>
      <w:r w:rsidRPr="00526ADC">
        <w:rPr>
          <w:rFonts w:ascii="Arial" w:hAnsi="Arial" w:cs="Arial"/>
          <w:i/>
        </w:rPr>
        <w:t xml:space="preserve">Id. </w:t>
      </w:r>
    </w:p>
    <w:p w14:paraId="0BF61E73" w14:textId="77777777" w:rsidR="00CE654B" w:rsidRPr="00526ADC" w:rsidRDefault="00CE654B" w:rsidP="00526ADC">
      <w:pPr>
        <w:pStyle w:val="FootnoteText"/>
        <w:jc w:val="both"/>
        <w:rPr>
          <w:rFonts w:ascii="Arial" w:hAnsi="Arial" w:cs="Arial"/>
          <w:i/>
        </w:rPr>
      </w:pPr>
    </w:p>
  </w:footnote>
  <w:footnote w:id="14">
    <w:p w14:paraId="6390F307" w14:textId="0F3F8AFB" w:rsidR="00CE654B" w:rsidRPr="00526ADC" w:rsidRDefault="00CE654B" w:rsidP="00526ADC">
      <w:pPr>
        <w:pStyle w:val="FootnoteText"/>
        <w:jc w:val="both"/>
        <w:rPr>
          <w:rFonts w:ascii="Arial" w:hAnsi="Arial" w:cs="Arial"/>
          <w:i/>
        </w:rPr>
      </w:pPr>
      <w:r w:rsidRPr="00526ADC">
        <w:rPr>
          <w:rStyle w:val="FootnoteReference"/>
          <w:rFonts w:ascii="Arial" w:hAnsi="Arial" w:cs="Arial"/>
        </w:rPr>
        <w:footnoteRef/>
      </w:r>
      <w:r w:rsidRPr="00526ADC">
        <w:rPr>
          <w:rFonts w:ascii="Arial" w:hAnsi="Arial" w:cs="Arial"/>
        </w:rPr>
        <w:t xml:space="preserve"> </w:t>
      </w:r>
      <w:r w:rsidRPr="00526ADC">
        <w:rPr>
          <w:rFonts w:ascii="Arial" w:hAnsi="Arial" w:cs="Arial"/>
          <w:i/>
        </w:rPr>
        <w:t xml:space="preserve">Id. </w:t>
      </w:r>
    </w:p>
    <w:p w14:paraId="0A0C26F7" w14:textId="77777777" w:rsidR="00CE654B" w:rsidRPr="00526ADC" w:rsidRDefault="00CE654B" w:rsidP="00526ADC">
      <w:pPr>
        <w:pStyle w:val="FootnoteText"/>
        <w:jc w:val="both"/>
        <w:rPr>
          <w:rFonts w:ascii="Arial" w:hAnsi="Arial" w:cs="Arial"/>
          <w:i/>
        </w:rPr>
      </w:pPr>
    </w:p>
  </w:footnote>
  <w:footnote w:id="15">
    <w:p w14:paraId="1E50994B" w14:textId="3E6295AA" w:rsidR="00CE654B" w:rsidRPr="00526ADC" w:rsidRDefault="00CE654B" w:rsidP="00526ADC">
      <w:pPr>
        <w:pStyle w:val="FootnoteText"/>
        <w:jc w:val="both"/>
        <w:rPr>
          <w:rFonts w:ascii="Arial" w:hAnsi="Arial" w:cs="Arial"/>
        </w:rPr>
      </w:pPr>
      <w:r w:rsidRPr="00526ADC">
        <w:rPr>
          <w:rStyle w:val="FootnoteReference"/>
          <w:rFonts w:ascii="Arial" w:hAnsi="Arial" w:cs="Arial"/>
        </w:rPr>
        <w:footnoteRef/>
      </w:r>
      <w:r w:rsidRPr="00526ADC">
        <w:rPr>
          <w:rFonts w:ascii="Arial" w:hAnsi="Arial" w:cs="Arial"/>
        </w:rPr>
        <w:t xml:space="preserve"> Although approximately 48% of Duke residential customers have switched, less than 10% of Duke’s uncollected receivables relate to shopping customers. </w:t>
      </w:r>
      <w:hyperlink r:id="rId1" w:history="1">
        <w:r w:rsidRPr="00526ADC">
          <w:rPr>
            <w:rStyle w:val="Hyperlink"/>
            <w:rFonts w:ascii="Arial" w:hAnsi="Arial" w:cs="Arial"/>
          </w:rPr>
          <w:t>http://www.puco.ohio.gov/industry-information/statistical-reports/electric-customer-choice-switch-rates-and-aggregation-activity/electric-switch-rates-by-customer/customers-1q2017/</w:t>
        </w:r>
      </w:hyperlink>
      <w:r w:rsidRPr="00526ADC">
        <w:rPr>
          <w:rFonts w:ascii="Arial" w:hAnsi="Arial" w:cs="Arial"/>
        </w:rPr>
        <w:t xml:space="preserve">; Duke Response to IGS-02-002(a) and (b), Case Nos. 17-32-EL-AIR, </w:t>
      </w:r>
      <w:r w:rsidRPr="00526ADC">
        <w:rPr>
          <w:rFonts w:ascii="Arial" w:hAnsi="Arial" w:cs="Arial"/>
          <w:i/>
        </w:rPr>
        <w:t>et al.</w:t>
      </w:r>
    </w:p>
  </w:footnote>
  <w:footnote w:id="16">
    <w:p w14:paraId="2F7D980C" w14:textId="785F9A51" w:rsidR="00CE654B" w:rsidRDefault="00CE654B" w:rsidP="00526ADC">
      <w:pPr>
        <w:pStyle w:val="FootnoteText"/>
        <w:jc w:val="both"/>
        <w:rPr>
          <w:rFonts w:ascii="Arial" w:hAnsi="Arial" w:cs="Arial"/>
        </w:rPr>
      </w:pPr>
      <w:r w:rsidRPr="00526ADC">
        <w:rPr>
          <w:rStyle w:val="FootnoteReference"/>
          <w:rFonts w:ascii="Arial" w:hAnsi="Arial" w:cs="Arial"/>
        </w:rPr>
        <w:footnoteRef/>
      </w:r>
      <w:r w:rsidRPr="00526ADC">
        <w:rPr>
          <w:rFonts w:ascii="Arial" w:hAnsi="Arial" w:cs="Arial"/>
        </w:rPr>
        <w:t xml:space="preserve"> Staff Report, Management and Operations Review at 53.</w:t>
      </w:r>
    </w:p>
    <w:p w14:paraId="6DA96623" w14:textId="77777777" w:rsidR="00B82DA1" w:rsidRPr="00526ADC" w:rsidRDefault="00B82DA1" w:rsidP="00526ADC">
      <w:pPr>
        <w:pStyle w:val="FootnoteText"/>
        <w:jc w:val="both"/>
        <w:rPr>
          <w:rFonts w:ascii="Arial" w:hAnsi="Arial" w:cs="Arial"/>
        </w:rPr>
      </w:pPr>
    </w:p>
  </w:footnote>
  <w:footnote w:id="17">
    <w:p w14:paraId="0B9100BA" w14:textId="399B3762" w:rsidR="00CE654B" w:rsidRPr="00526ADC" w:rsidRDefault="00CE654B" w:rsidP="00526ADC">
      <w:pPr>
        <w:pStyle w:val="FootnoteText"/>
        <w:jc w:val="both"/>
        <w:rPr>
          <w:rFonts w:ascii="Arial" w:hAnsi="Arial" w:cs="Arial"/>
        </w:rPr>
      </w:pPr>
      <w:r w:rsidRPr="00526ADC">
        <w:rPr>
          <w:rStyle w:val="FootnoteReference"/>
          <w:rFonts w:ascii="Arial" w:hAnsi="Arial" w:cs="Arial"/>
        </w:rPr>
        <w:footnoteRef/>
      </w:r>
      <w:r w:rsidRPr="00526ADC">
        <w:rPr>
          <w:rFonts w:ascii="Arial" w:hAnsi="Arial" w:cs="Arial"/>
        </w:rPr>
        <w:t xml:space="preserve"> Staff Report, Rate and Tariffs at 21.  </w:t>
      </w:r>
    </w:p>
    <w:p w14:paraId="14D29789" w14:textId="77777777" w:rsidR="00CE654B" w:rsidRPr="00526ADC" w:rsidRDefault="00CE654B" w:rsidP="00526ADC">
      <w:pPr>
        <w:pStyle w:val="FootnoteText"/>
        <w:jc w:val="both"/>
        <w:rPr>
          <w:rFonts w:ascii="Arial" w:hAnsi="Arial" w:cs="Arial"/>
        </w:rPr>
      </w:pPr>
    </w:p>
  </w:footnote>
  <w:footnote w:id="18">
    <w:p w14:paraId="56AA9297" w14:textId="7CAC0B47" w:rsidR="00CE654B" w:rsidRPr="00526ADC" w:rsidRDefault="00CE654B" w:rsidP="00B82DA1">
      <w:pPr>
        <w:pStyle w:val="FootnoteText"/>
        <w:rPr>
          <w:rFonts w:ascii="Arial" w:hAnsi="Arial" w:cs="Arial"/>
        </w:rPr>
      </w:pPr>
      <w:r w:rsidRPr="00526ADC">
        <w:rPr>
          <w:rStyle w:val="FootnoteReference"/>
          <w:rFonts w:ascii="Arial" w:hAnsi="Arial" w:cs="Arial"/>
        </w:rPr>
        <w:footnoteRef/>
      </w:r>
      <w:r w:rsidRPr="00526ADC">
        <w:rPr>
          <w:rFonts w:ascii="Arial" w:hAnsi="Arial" w:cs="Arial"/>
        </w:rPr>
        <w:t xml:space="preserve"> R.C 4928.02. </w:t>
      </w:r>
      <w:r w:rsidRPr="00526ADC">
        <w:rPr>
          <w:rFonts w:ascii="Arial" w:hAnsi="Arial" w:cs="Arial"/>
        </w:rPr>
        <w:br/>
      </w:r>
    </w:p>
  </w:footnote>
  <w:footnote w:id="19">
    <w:p w14:paraId="4D92E4A7" w14:textId="2C05FC47" w:rsidR="00CE654B" w:rsidRPr="00526ADC" w:rsidRDefault="00CE654B" w:rsidP="00526ADC">
      <w:pPr>
        <w:pStyle w:val="FootnoteText"/>
        <w:jc w:val="both"/>
        <w:rPr>
          <w:rFonts w:ascii="Arial" w:hAnsi="Arial" w:cs="Arial"/>
        </w:rPr>
      </w:pPr>
      <w:r w:rsidRPr="00526ADC">
        <w:rPr>
          <w:rStyle w:val="FootnoteReference"/>
          <w:rFonts w:ascii="Arial" w:hAnsi="Arial" w:cs="Arial"/>
        </w:rPr>
        <w:footnoteRef/>
      </w:r>
      <w:r w:rsidRPr="00526ADC">
        <w:rPr>
          <w:rFonts w:ascii="Arial" w:hAnsi="Arial" w:cs="Arial"/>
        </w:rPr>
        <w:t xml:space="preserve"> Staff Report, Rate Design at 37.</w:t>
      </w:r>
    </w:p>
    <w:p w14:paraId="117C1165" w14:textId="77777777" w:rsidR="00CE654B" w:rsidRPr="00526ADC" w:rsidRDefault="00CE654B" w:rsidP="00526ADC">
      <w:pPr>
        <w:pStyle w:val="FootnoteText"/>
        <w:jc w:val="both"/>
        <w:rPr>
          <w:rFonts w:ascii="Arial" w:hAnsi="Arial" w:cs="Arial"/>
        </w:rPr>
      </w:pPr>
    </w:p>
  </w:footnote>
  <w:footnote w:id="20">
    <w:p w14:paraId="3D681B4E" w14:textId="32A53663" w:rsidR="009D40E0" w:rsidRDefault="009D40E0" w:rsidP="00526ADC">
      <w:pPr>
        <w:pStyle w:val="FootnoteText"/>
        <w:jc w:val="both"/>
        <w:rPr>
          <w:rFonts w:ascii="Arial" w:hAnsi="Arial" w:cs="Arial"/>
          <w:i/>
        </w:rPr>
      </w:pPr>
      <w:r w:rsidRPr="00526ADC">
        <w:rPr>
          <w:rStyle w:val="FootnoteReference"/>
          <w:rFonts w:ascii="Arial" w:hAnsi="Arial" w:cs="Arial"/>
        </w:rPr>
        <w:footnoteRef/>
      </w:r>
      <w:r w:rsidRPr="00526ADC">
        <w:rPr>
          <w:rFonts w:ascii="Arial" w:hAnsi="Arial" w:cs="Arial"/>
        </w:rPr>
        <w:t xml:space="preserve"> </w:t>
      </w:r>
      <w:r w:rsidRPr="00526ADC">
        <w:rPr>
          <w:rFonts w:ascii="Arial" w:hAnsi="Arial" w:cs="Arial"/>
          <w:i/>
        </w:rPr>
        <w:t>Id.</w:t>
      </w:r>
    </w:p>
    <w:p w14:paraId="16C04C8C" w14:textId="77777777" w:rsidR="00B82DA1" w:rsidRPr="00526ADC" w:rsidRDefault="00B82DA1" w:rsidP="00526ADC">
      <w:pPr>
        <w:pStyle w:val="FootnoteText"/>
        <w:jc w:val="both"/>
        <w:rPr>
          <w:rFonts w:ascii="Arial" w:hAnsi="Arial" w:cs="Arial"/>
          <w:i/>
        </w:rPr>
      </w:pPr>
    </w:p>
  </w:footnote>
  <w:footnote w:id="21">
    <w:p w14:paraId="50B82C68" w14:textId="63140DE9" w:rsidR="00CE654B" w:rsidRPr="00526ADC" w:rsidRDefault="00CE654B" w:rsidP="00526ADC">
      <w:pPr>
        <w:pStyle w:val="FootnoteText"/>
        <w:jc w:val="both"/>
        <w:rPr>
          <w:rFonts w:ascii="Arial" w:hAnsi="Arial" w:cs="Arial"/>
          <w:i/>
        </w:rPr>
      </w:pPr>
      <w:r w:rsidRPr="00526ADC">
        <w:rPr>
          <w:rStyle w:val="FootnoteReference"/>
          <w:rFonts w:ascii="Arial" w:hAnsi="Arial" w:cs="Arial"/>
        </w:rPr>
        <w:footnoteRef/>
      </w:r>
      <w:r w:rsidRPr="00526ADC">
        <w:rPr>
          <w:rFonts w:ascii="Arial" w:hAnsi="Arial" w:cs="Arial"/>
        </w:rPr>
        <w:t xml:space="preserve"> </w:t>
      </w:r>
      <w:r w:rsidRPr="00526ADC">
        <w:rPr>
          <w:rFonts w:ascii="Arial" w:hAnsi="Arial" w:cs="Arial"/>
          <w:i/>
        </w:rPr>
        <w:t>Id.</w:t>
      </w:r>
    </w:p>
    <w:p w14:paraId="56C95641" w14:textId="77777777" w:rsidR="00CE654B" w:rsidRPr="00526ADC" w:rsidRDefault="00CE654B" w:rsidP="00526ADC">
      <w:pPr>
        <w:pStyle w:val="FootnoteText"/>
        <w:jc w:val="both"/>
        <w:rPr>
          <w:rFonts w:ascii="Arial" w:hAnsi="Arial" w:cs="Arial"/>
          <w:i/>
        </w:rPr>
      </w:pPr>
    </w:p>
  </w:footnote>
  <w:footnote w:id="22">
    <w:p w14:paraId="055A296B" w14:textId="3CE9AB30" w:rsidR="009D40E0" w:rsidRPr="00526ADC" w:rsidRDefault="009D40E0" w:rsidP="00526ADC">
      <w:pPr>
        <w:pStyle w:val="FootnoteText"/>
        <w:jc w:val="both"/>
        <w:rPr>
          <w:rFonts w:ascii="Arial" w:hAnsi="Arial" w:cs="Arial"/>
        </w:rPr>
      </w:pPr>
      <w:r w:rsidRPr="00526ADC">
        <w:rPr>
          <w:rStyle w:val="FootnoteReference"/>
          <w:rFonts w:ascii="Arial" w:hAnsi="Arial" w:cs="Arial"/>
        </w:rPr>
        <w:footnoteRef/>
      </w:r>
      <w:r w:rsidRPr="00526ADC">
        <w:rPr>
          <w:rFonts w:ascii="Arial" w:hAnsi="Arial" w:cs="Arial"/>
        </w:rPr>
        <w:t xml:space="preserve"> Duke Response to IGS-INT-01-009, Case Nos. 17-32-EL-AIR, </w:t>
      </w:r>
      <w:r w:rsidRPr="00526ADC">
        <w:rPr>
          <w:rFonts w:ascii="Arial" w:hAnsi="Arial" w:cs="Arial"/>
          <w:i/>
        </w:rPr>
        <w:t>et al.</w:t>
      </w:r>
    </w:p>
    <w:p w14:paraId="6B5914D8" w14:textId="77777777" w:rsidR="009D40E0" w:rsidRPr="00526ADC" w:rsidRDefault="009D40E0" w:rsidP="00526ADC">
      <w:pPr>
        <w:pStyle w:val="FootnoteText"/>
        <w:jc w:val="both"/>
        <w:rPr>
          <w:rFonts w:ascii="Arial" w:hAnsi="Arial" w:cs="Arial"/>
        </w:rPr>
      </w:pPr>
    </w:p>
  </w:footnote>
  <w:footnote w:id="23">
    <w:p w14:paraId="4B55F2B5" w14:textId="16B76302" w:rsidR="009D40E0" w:rsidRPr="00526ADC" w:rsidRDefault="009D40E0" w:rsidP="00526ADC">
      <w:pPr>
        <w:pStyle w:val="FootnoteText"/>
        <w:jc w:val="both"/>
        <w:rPr>
          <w:rFonts w:ascii="Arial" w:hAnsi="Arial" w:cs="Arial"/>
          <w:i/>
        </w:rPr>
      </w:pPr>
      <w:r w:rsidRPr="00526ADC">
        <w:rPr>
          <w:rStyle w:val="FootnoteReference"/>
          <w:rFonts w:ascii="Arial" w:hAnsi="Arial" w:cs="Arial"/>
        </w:rPr>
        <w:footnoteRef/>
      </w:r>
      <w:r w:rsidRPr="00526ADC">
        <w:rPr>
          <w:rFonts w:ascii="Arial" w:hAnsi="Arial" w:cs="Arial"/>
        </w:rPr>
        <w:t xml:space="preserve"> </w:t>
      </w:r>
      <w:r w:rsidRPr="00526ADC">
        <w:rPr>
          <w:rFonts w:ascii="Arial" w:hAnsi="Arial" w:cs="Arial"/>
          <w:i/>
        </w:rPr>
        <w:t xml:space="preserve">Id. </w:t>
      </w:r>
    </w:p>
    <w:p w14:paraId="019A478B" w14:textId="77777777" w:rsidR="009D40E0" w:rsidRPr="00526ADC" w:rsidRDefault="009D40E0" w:rsidP="00526ADC">
      <w:pPr>
        <w:pStyle w:val="FootnoteText"/>
        <w:jc w:val="both"/>
        <w:rPr>
          <w:rFonts w:ascii="Arial" w:hAnsi="Arial" w:cs="Arial"/>
          <w:i/>
        </w:rPr>
      </w:pPr>
    </w:p>
  </w:footnote>
  <w:footnote w:id="24">
    <w:p w14:paraId="12D2C727" w14:textId="6B3A227D" w:rsidR="009D40E0" w:rsidRPr="00526ADC" w:rsidRDefault="009D40E0" w:rsidP="00526ADC">
      <w:pPr>
        <w:pStyle w:val="FootnoteText"/>
        <w:jc w:val="both"/>
        <w:rPr>
          <w:rFonts w:ascii="Arial" w:hAnsi="Arial" w:cs="Arial"/>
        </w:rPr>
      </w:pPr>
      <w:r w:rsidRPr="00526ADC">
        <w:rPr>
          <w:rStyle w:val="FootnoteReference"/>
          <w:rFonts w:ascii="Arial" w:hAnsi="Arial" w:cs="Arial"/>
        </w:rPr>
        <w:footnoteRef/>
      </w:r>
      <w:r w:rsidRPr="00526ADC">
        <w:rPr>
          <w:rFonts w:ascii="Arial" w:hAnsi="Arial" w:cs="Arial"/>
        </w:rPr>
        <w:t xml:space="preserve"> R.C. 4928.03.</w:t>
      </w:r>
    </w:p>
    <w:p w14:paraId="26176994" w14:textId="77777777" w:rsidR="009D40E0" w:rsidRPr="00526ADC" w:rsidRDefault="009D40E0" w:rsidP="00526ADC">
      <w:pPr>
        <w:pStyle w:val="FootnoteText"/>
        <w:jc w:val="both"/>
        <w:rPr>
          <w:rFonts w:ascii="Arial" w:hAnsi="Arial" w:cs="Arial"/>
        </w:rPr>
      </w:pPr>
    </w:p>
  </w:footnote>
  <w:footnote w:id="25">
    <w:p w14:paraId="66F348F4" w14:textId="3F413576" w:rsidR="00CE654B" w:rsidRPr="00526ADC" w:rsidRDefault="00CE654B" w:rsidP="00526ADC">
      <w:pPr>
        <w:pStyle w:val="FootnoteText"/>
        <w:jc w:val="both"/>
        <w:rPr>
          <w:rFonts w:ascii="Arial" w:hAnsi="Arial" w:cs="Arial"/>
        </w:rPr>
      </w:pPr>
      <w:r w:rsidRPr="00526ADC">
        <w:rPr>
          <w:rStyle w:val="FootnoteReference"/>
          <w:rFonts w:ascii="Arial" w:hAnsi="Arial" w:cs="Arial"/>
        </w:rPr>
        <w:footnoteRef/>
      </w:r>
      <w:r w:rsidRPr="00526ADC">
        <w:rPr>
          <w:rFonts w:ascii="Arial" w:hAnsi="Arial" w:cs="Arial"/>
        </w:rPr>
        <w:t xml:space="preserve"> </w:t>
      </w:r>
      <w:r w:rsidRPr="00526ADC">
        <w:rPr>
          <w:rFonts w:ascii="Arial" w:hAnsi="Arial" w:cs="Arial"/>
          <w:i/>
        </w:rPr>
        <w:t>See also</w:t>
      </w:r>
      <w:r w:rsidRPr="00526ADC">
        <w:rPr>
          <w:rFonts w:ascii="Arial" w:hAnsi="Arial" w:cs="Arial"/>
        </w:rPr>
        <w:t xml:space="preserve"> Objection E1. </w:t>
      </w:r>
    </w:p>
    <w:p w14:paraId="04FED515" w14:textId="77777777" w:rsidR="00CE654B" w:rsidRPr="00526ADC" w:rsidRDefault="00CE654B" w:rsidP="00526ADC">
      <w:pPr>
        <w:pStyle w:val="FootnoteText"/>
        <w:jc w:val="both"/>
        <w:rPr>
          <w:rFonts w:ascii="Arial" w:hAnsi="Arial" w:cs="Arial"/>
        </w:rPr>
      </w:pPr>
    </w:p>
  </w:footnote>
  <w:footnote w:id="26">
    <w:p w14:paraId="20F32A69" w14:textId="452A8D40" w:rsidR="009D40E0" w:rsidRPr="00526ADC" w:rsidRDefault="009D40E0" w:rsidP="00526ADC">
      <w:pPr>
        <w:pStyle w:val="FootnoteText"/>
        <w:jc w:val="both"/>
        <w:rPr>
          <w:rFonts w:ascii="Arial" w:hAnsi="Arial" w:cs="Arial"/>
        </w:rPr>
      </w:pPr>
      <w:r w:rsidRPr="00526ADC">
        <w:rPr>
          <w:rStyle w:val="FootnoteReference"/>
          <w:rFonts w:ascii="Arial" w:hAnsi="Arial" w:cs="Arial"/>
        </w:rPr>
        <w:footnoteRef/>
      </w:r>
      <w:r w:rsidRPr="00526ADC">
        <w:rPr>
          <w:rFonts w:ascii="Arial" w:hAnsi="Arial" w:cs="Arial"/>
        </w:rPr>
        <w:t xml:space="preserve"> Duke Response to IGS-INT-01-020(b), Case Nos. 17-1263-EL-SSO, </w:t>
      </w:r>
      <w:r w:rsidRPr="00526ADC">
        <w:rPr>
          <w:rFonts w:ascii="Arial" w:hAnsi="Arial" w:cs="Arial"/>
          <w:i/>
        </w:rPr>
        <w:t>et al.</w:t>
      </w:r>
    </w:p>
    <w:p w14:paraId="37F5D5E6" w14:textId="77777777" w:rsidR="009D40E0" w:rsidRPr="00526ADC" w:rsidRDefault="009D40E0" w:rsidP="00526ADC">
      <w:pPr>
        <w:pStyle w:val="FootnoteText"/>
        <w:jc w:val="both"/>
        <w:rPr>
          <w:rFonts w:ascii="Arial" w:hAnsi="Arial" w:cs="Arial"/>
        </w:rPr>
      </w:pPr>
    </w:p>
  </w:footnote>
  <w:footnote w:id="27">
    <w:p w14:paraId="78B141E9" w14:textId="092B7875" w:rsidR="00CE654B" w:rsidRPr="00526ADC" w:rsidRDefault="00CE654B" w:rsidP="00526ADC">
      <w:pPr>
        <w:pStyle w:val="FootnoteText"/>
        <w:jc w:val="both"/>
        <w:rPr>
          <w:rFonts w:ascii="Arial" w:hAnsi="Arial" w:cs="Arial"/>
        </w:rPr>
      </w:pPr>
      <w:r w:rsidRPr="00526ADC">
        <w:rPr>
          <w:rStyle w:val="FootnoteReference"/>
          <w:rFonts w:ascii="Arial" w:hAnsi="Arial" w:cs="Arial"/>
        </w:rPr>
        <w:footnoteRef/>
      </w:r>
      <w:r w:rsidRPr="00526ADC">
        <w:rPr>
          <w:rFonts w:ascii="Arial" w:hAnsi="Arial" w:cs="Arial"/>
        </w:rPr>
        <w:t xml:space="preserve"> </w:t>
      </w:r>
      <w:r w:rsidRPr="00526ADC">
        <w:rPr>
          <w:rFonts w:ascii="Arial" w:hAnsi="Arial" w:cs="Arial"/>
          <w:i/>
        </w:rPr>
        <w:t xml:space="preserve">See </w:t>
      </w:r>
      <w:r w:rsidRPr="00526ADC">
        <w:rPr>
          <w:rFonts w:ascii="Arial" w:hAnsi="Arial" w:cs="Arial"/>
        </w:rPr>
        <w:t>Direct Testimony of David Doss,</w:t>
      </w:r>
      <w:r w:rsidRPr="00526ADC">
        <w:rPr>
          <w:rFonts w:ascii="Arial" w:hAnsi="Arial" w:cs="Arial"/>
          <w:i/>
        </w:rPr>
        <w:t xml:space="preserve"> </w:t>
      </w:r>
      <w:r w:rsidRPr="00526ADC">
        <w:rPr>
          <w:rFonts w:ascii="Arial" w:hAnsi="Arial" w:cs="Arial"/>
        </w:rPr>
        <w:t>attachment DLD-3 at 8.</w:t>
      </w:r>
    </w:p>
    <w:p w14:paraId="2384E262" w14:textId="77777777" w:rsidR="009D40E0" w:rsidRPr="00526ADC" w:rsidRDefault="009D40E0" w:rsidP="00526ADC">
      <w:pPr>
        <w:pStyle w:val="FootnoteText"/>
        <w:jc w:val="both"/>
        <w:rPr>
          <w:rFonts w:ascii="Arial" w:hAnsi="Arial" w:cs="Arial"/>
        </w:rPr>
      </w:pPr>
    </w:p>
  </w:footnote>
  <w:footnote w:id="28">
    <w:p w14:paraId="710CA97C" w14:textId="77777777" w:rsidR="00CE654B" w:rsidRPr="00526ADC" w:rsidRDefault="00CE654B" w:rsidP="00526ADC">
      <w:pPr>
        <w:pStyle w:val="FootnoteText"/>
        <w:jc w:val="both"/>
        <w:rPr>
          <w:rFonts w:ascii="Arial" w:hAnsi="Arial" w:cs="Arial"/>
        </w:rPr>
      </w:pPr>
      <w:r w:rsidRPr="00526ADC">
        <w:rPr>
          <w:rStyle w:val="FootnoteReference"/>
          <w:rFonts w:ascii="Arial" w:hAnsi="Arial" w:cs="Arial"/>
        </w:rPr>
        <w:footnoteRef/>
      </w:r>
      <w:r w:rsidRPr="00526ADC">
        <w:rPr>
          <w:rFonts w:ascii="Arial" w:hAnsi="Arial" w:cs="Arial"/>
        </w:rPr>
        <w:t xml:space="preserve"> Direct Testimony of Retha Hunsicker at 2.</w:t>
      </w:r>
    </w:p>
    <w:p w14:paraId="3F975CDF" w14:textId="77777777" w:rsidR="00CE654B" w:rsidRPr="00526ADC" w:rsidRDefault="00CE654B" w:rsidP="00526ADC">
      <w:pPr>
        <w:pStyle w:val="FootnoteText"/>
        <w:jc w:val="both"/>
        <w:rPr>
          <w:rFonts w:ascii="Arial" w:hAnsi="Arial" w:cs="Arial"/>
        </w:rPr>
      </w:pPr>
    </w:p>
  </w:footnote>
  <w:footnote w:id="29">
    <w:p w14:paraId="3BF41722" w14:textId="353F92DC" w:rsidR="00CE654B" w:rsidRPr="00526ADC" w:rsidRDefault="00CE654B" w:rsidP="00526ADC">
      <w:pPr>
        <w:pStyle w:val="FootnoteText"/>
        <w:jc w:val="both"/>
        <w:rPr>
          <w:rFonts w:ascii="Arial" w:hAnsi="Arial" w:cs="Arial"/>
        </w:rPr>
      </w:pPr>
      <w:r w:rsidRPr="00526ADC">
        <w:rPr>
          <w:rStyle w:val="FootnoteReference"/>
          <w:rFonts w:ascii="Arial" w:hAnsi="Arial" w:cs="Arial"/>
        </w:rPr>
        <w:footnoteRef/>
      </w:r>
      <w:r w:rsidRPr="00526ADC">
        <w:rPr>
          <w:rFonts w:ascii="Arial" w:hAnsi="Arial" w:cs="Arial"/>
        </w:rPr>
        <w:t xml:space="preserve"> Staff Report, Operating Income and Rate Base at 16-17.  </w:t>
      </w:r>
    </w:p>
    <w:p w14:paraId="17CDF888" w14:textId="77777777" w:rsidR="00CE654B" w:rsidRPr="00526ADC" w:rsidRDefault="00CE654B" w:rsidP="00526ADC">
      <w:pPr>
        <w:pStyle w:val="FootnoteText"/>
        <w:jc w:val="both"/>
        <w:rPr>
          <w:rFonts w:ascii="Arial" w:hAnsi="Arial" w:cs="Arial"/>
        </w:rPr>
      </w:pPr>
    </w:p>
  </w:footnote>
  <w:footnote w:id="30">
    <w:p w14:paraId="0A904D17" w14:textId="77777777" w:rsidR="00CE654B" w:rsidRPr="00526ADC" w:rsidRDefault="00CE654B" w:rsidP="00526ADC">
      <w:pPr>
        <w:pStyle w:val="FootnoteText"/>
        <w:jc w:val="both"/>
        <w:rPr>
          <w:rFonts w:ascii="Arial" w:hAnsi="Arial" w:cs="Arial"/>
        </w:rPr>
      </w:pPr>
      <w:r w:rsidRPr="00526ADC">
        <w:rPr>
          <w:rStyle w:val="FootnoteReference"/>
          <w:rFonts w:ascii="Arial" w:hAnsi="Arial" w:cs="Arial"/>
        </w:rPr>
        <w:footnoteRef/>
      </w:r>
      <w:r w:rsidRPr="00526ADC">
        <w:rPr>
          <w:rFonts w:ascii="Arial" w:hAnsi="Arial" w:cs="Arial"/>
        </w:rPr>
        <w:t xml:space="preserve"> </w:t>
      </w:r>
      <w:r w:rsidRPr="00526ADC">
        <w:rPr>
          <w:rFonts w:ascii="Arial" w:hAnsi="Arial" w:cs="Arial"/>
          <w:i/>
        </w:rPr>
        <w:t>In the Matter of the Application of Duke Energy Ohio, Inc. for Tariff Approval Regarding Customer Energy Usage Data</w:t>
      </w:r>
      <w:r w:rsidRPr="00526ADC">
        <w:rPr>
          <w:rFonts w:ascii="Arial" w:hAnsi="Arial" w:cs="Arial"/>
        </w:rPr>
        <w:t>, Case No. 14-2209-EL-ATA, Entry (May 5, 2017) (emphasis added).</w:t>
      </w:r>
    </w:p>
  </w:footnote>
  <w:footnote w:id="31">
    <w:p w14:paraId="5BA81F19" w14:textId="58E59D66" w:rsidR="00CE654B" w:rsidRPr="00526ADC" w:rsidRDefault="00CE654B" w:rsidP="00526ADC">
      <w:pPr>
        <w:pStyle w:val="FootnoteText"/>
        <w:jc w:val="both"/>
        <w:rPr>
          <w:rFonts w:ascii="Arial" w:hAnsi="Arial" w:cs="Arial"/>
        </w:rPr>
      </w:pPr>
      <w:r w:rsidRPr="00526ADC">
        <w:rPr>
          <w:rStyle w:val="FootnoteReference"/>
          <w:rFonts w:ascii="Arial" w:hAnsi="Arial" w:cs="Arial"/>
        </w:rPr>
        <w:footnoteRef/>
      </w:r>
      <w:r w:rsidRPr="00526ADC">
        <w:rPr>
          <w:rFonts w:ascii="Arial" w:hAnsi="Arial" w:cs="Arial"/>
        </w:rPr>
        <w:t xml:space="preserve"> </w:t>
      </w:r>
      <w:r w:rsidRPr="00526ADC">
        <w:rPr>
          <w:rFonts w:ascii="Arial" w:hAnsi="Arial" w:cs="Arial"/>
          <w:i/>
        </w:rPr>
        <w:t>In the Matter of the Application of Duke Energy Ohio Inc. for Authority to Establish a Standard Service Offer Pursuant to Section 4928.143, Revised Code, in the Form of an Electric Security Plan, Accounting Modifications and Tariffs for Generation Service</w:t>
      </w:r>
      <w:r w:rsidRPr="00526ADC">
        <w:rPr>
          <w:rFonts w:ascii="Arial" w:hAnsi="Arial" w:cs="Arial"/>
        </w:rPr>
        <w:t>, Case Nos. 11-3549-EL-SSO, Stipulation at 33-34 (Oct. 24, 2011) (emphasis added) (hereinafter “ESP II Stipulation”).</w:t>
      </w:r>
    </w:p>
    <w:p w14:paraId="5BBDE283" w14:textId="77777777" w:rsidR="00CE654B" w:rsidRPr="00526ADC" w:rsidRDefault="00CE654B" w:rsidP="00526ADC">
      <w:pPr>
        <w:pStyle w:val="FootnoteText"/>
        <w:jc w:val="both"/>
        <w:rPr>
          <w:rFonts w:ascii="Arial" w:hAnsi="Arial" w:cs="Arial"/>
        </w:rPr>
      </w:pPr>
    </w:p>
  </w:footnote>
  <w:footnote w:id="32">
    <w:p w14:paraId="1EA7B307" w14:textId="7BD42CA4" w:rsidR="00CE654B" w:rsidRPr="00526ADC" w:rsidRDefault="00CE654B" w:rsidP="00526ADC">
      <w:pPr>
        <w:pStyle w:val="FootnoteText"/>
        <w:jc w:val="both"/>
        <w:rPr>
          <w:rFonts w:ascii="Arial" w:hAnsi="Arial" w:cs="Arial"/>
        </w:rPr>
      </w:pPr>
      <w:r w:rsidRPr="00526ADC">
        <w:rPr>
          <w:rStyle w:val="FootnoteReference"/>
          <w:rFonts w:ascii="Arial" w:hAnsi="Arial" w:cs="Arial"/>
        </w:rPr>
        <w:footnoteRef/>
      </w:r>
      <w:r w:rsidRPr="00526ADC">
        <w:rPr>
          <w:rFonts w:ascii="Arial" w:hAnsi="Arial" w:cs="Arial"/>
        </w:rPr>
        <w:t xml:space="preserve"> ESP II Stipulation at 34-35 (emphasis added).</w:t>
      </w:r>
    </w:p>
    <w:p w14:paraId="228BDB8D" w14:textId="77777777" w:rsidR="00CE654B" w:rsidRPr="00526ADC" w:rsidRDefault="00CE654B" w:rsidP="00526ADC">
      <w:pPr>
        <w:pStyle w:val="FootnoteText"/>
        <w:jc w:val="both"/>
        <w:rPr>
          <w:rFonts w:ascii="Arial" w:hAnsi="Arial" w:cs="Arial"/>
        </w:rPr>
      </w:pPr>
    </w:p>
  </w:footnote>
  <w:footnote w:id="33">
    <w:p w14:paraId="38E3E9BA" w14:textId="77777777" w:rsidR="00CE654B" w:rsidRPr="00526ADC" w:rsidRDefault="00CE654B" w:rsidP="00526ADC">
      <w:pPr>
        <w:pStyle w:val="FootnoteText"/>
        <w:jc w:val="both"/>
        <w:rPr>
          <w:rFonts w:ascii="Arial" w:hAnsi="Arial" w:cs="Arial"/>
        </w:rPr>
      </w:pPr>
      <w:r w:rsidRPr="00526ADC">
        <w:rPr>
          <w:rStyle w:val="FootnoteReference"/>
          <w:rFonts w:ascii="Arial" w:hAnsi="Arial" w:cs="Arial"/>
        </w:rPr>
        <w:footnoteRef/>
      </w:r>
      <w:r w:rsidRPr="00526ADC">
        <w:rPr>
          <w:rFonts w:ascii="Arial" w:hAnsi="Arial" w:cs="Arial"/>
        </w:rPr>
        <w:t xml:space="preserve"> </w:t>
      </w:r>
      <w:r w:rsidRPr="00526ADC">
        <w:rPr>
          <w:rFonts w:ascii="Arial" w:hAnsi="Arial" w:cs="Arial"/>
          <w:i/>
        </w:rPr>
        <w:t xml:space="preserve">Id. </w:t>
      </w:r>
      <w:r w:rsidRPr="00526ADC">
        <w:rPr>
          <w:rFonts w:ascii="Arial" w:hAnsi="Arial" w:cs="Arial"/>
        </w:rPr>
        <w:t>at 37 (emphasis added).</w:t>
      </w:r>
    </w:p>
    <w:p w14:paraId="1A8A4B3B" w14:textId="77777777" w:rsidR="00CE654B" w:rsidRPr="00526ADC" w:rsidRDefault="00CE654B" w:rsidP="00526ADC">
      <w:pPr>
        <w:pStyle w:val="FootnoteText"/>
        <w:jc w:val="both"/>
        <w:rPr>
          <w:rFonts w:ascii="Arial" w:hAnsi="Arial" w:cs="Arial"/>
        </w:rPr>
      </w:pPr>
    </w:p>
  </w:footnote>
  <w:footnote w:id="34">
    <w:p w14:paraId="6FA29014" w14:textId="1FF6AB4E" w:rsidR="00CE654B" w:rsidRPr="00526ADC" w:rsidRDefault="00CE654B" w:rsidP="00526ADC">
      <w:pPr>
        <w:pStyle w:val="FootnoteText"/>
        <w:jc w:val="both"/>
        <w:rPr>
          <w:rFonts w:ascii="Arial" w:hAnsi="Arial" w:cs="Arial"/>
        </w:rPr>
      </w:pPr>
      <w:r w:rsidRPr="00526ADC">
        <w:rPr>
          <w:rStyle w:val="FootnoteReference"/>
          <w:rFonts w:ascii="Arial" w:hAnsi="Arial" w:cs="Arial"/>
        </w:rPr>
        <w:footnoteRef/>
      </w:r>
      <w:r w:rsidRPr="00526ADC">
        <w:rPr>
          <w:rFonts w:ascii="Arial" w:hAnsi="Arial" w:cs="Arial"/>
        </w:rPr>
        <w:t xml:space="preserve"> </w:t>
      </w:r>
      <w:r w:rsidRPr="00526ADC">
        <w:rPr>
          <w:rFonts w:ascii="Arial" w:hAnsi="Arial" w:cs="Arial"/>
          <w:i/>
        </w:rPr>
        <w:t>In the Matter of the Application of Duke Energy Ohio, Inc. to Adjust and Set Its Gas and Electric Recovery Rate for 2010 SmartGrid Costs Under Riders AU and Rider DR-IM and Mid-deployment Review of AMI/SmartGrid Program</w:t>
      </w:r>
      <w:r w:rsidRPr="00526ADC">
        <w:rPr>
          <w:rFonts w:ascii="Arial" w:hAnsi="Arial" w:cs="Arial"/>
        </w:rPr>
        <w:t>, Case No. 10-2326-GE-RDR, Stipulation at 11.</w:t>
      </w:r>
    </w:p>
  </w:footnote>
  <w:footnote w:id="35">
    <w:p w14:paraId="676056B6" w14:textId="77777777" w:rsidR="00CE654B" w:rsidRPr="00526ADC" w:rsidRDefault="00CE654B" w:rsidP="00526ADC">
      <w:pPr>
        <w:pStyle w:val="FootnoteText"/>
        <w:jc w:val="both"/>
        <w:rPr>
          <w:rFonts w:ascii="Arial" w:hAnsi="Arial" w:cs="Arial"/>
        </w:rPr>
      </w:pPr>
      <w:r w:rsidRPr="00526ADC">
        <w:rPr>
          <w:rStyle w:val="FootnoteReference"/>
          <w:rFonts w:ascii="Arial" w:hAnsi="Arial" w:cs="Arial"/>
        </w:rPr>
        <w:footnoteRef/>
      </w:r>
      <w:r w:rsidRPr="00526ADC">
        <w:rPr>
          <w:rFonts w:ascii="Arial" w:hAnsi="Arial" w:cs="Arial"/>
        </w:rPr>
        <w:t xml:space="preserve"> Direct Testimony of Retha Hunsicker at 8. </w:t>
      </w:r>
    </w:p>
    <w:p w14:paraId="043783EC" w14:textId="77777777" w:rsidR="0030156F" w:rsidRPr="00526ADC" w:rsidRDefault="0030156F" w:rsidP="00526ADC">
      <w:pPr>
        <w:pStyle w:val="FootnoteText"/>
        <w:jc w:val="both"/>
        <w:rPr>
          <w:rFonts w:ascii="Arial" w:hAnsi="Arial" w:cs="Arial"/>
        </w:rPr>
      </w:pPr>
    </w:p>
  </w:footnote>
  <w:footnote w:id="36">
    <w:p w14:paraId="40D4AD97" w14:textId="28B0573D" w:rsidR="0030156F" w:rsidRPr="00526ADC" w:rsidRDefault="0030156F" w:rsidP="00526ADC">
      <w:pPr>
        <w:pStyle w:val="FootnoteText"/>
        <w:jc w:val="both"/>
        <w:rPr>
          <w:rFonts w:ascii="Arial" w:hAnsi="Arial" w:cs="Arial"/>
        </w:rPr>
      </w:pPr>
      <w:r w:rsidRPr="00526ADC">
        <w:rPr>
          <w:rStyle w:val="FootnoteReference"/>
          <w:rFonts w:ascii="Arial" w:hAnsi="Arial" w:cs="Arial"/>
        </w:rPr>
        <w:footnoteRef/>
      </w:r>
      <w:r w:rsidRPr="00526ADC">
        <w:rPr>
          <w:rFonts w:ascii="Arial" w:hAnsi="Arial" w:cs="Arial"/>
        </w:rPr>
        <w:t xml:space="preserve"> Duke Response to IGS-INT-01-007, Case Nos. 17-32-EL-AIR</w:t>
      </w:r>
      <w:r w:rsidR="00526ADC" w:rsidRPr="00526ADC">
        <w:rPr>
          <w:rFonts w:ascii="Arial" w:hAnsi="Arial" w:cs="Arial"/>
        </w:rPr>
        <w:t xml:space="preserve">, </w:t>
      </w:r>
      <w:r w:rsidR="00526ADC" w:rsidRPr="00526ADC">
        <w:rPr>
          <w:rFonts w:ascii="Arial" w:hAnsi="Arial" w:cs="Arial"/>
          <w:i/>
        </w:rPr>
        <w:t>et al</w:t>
      </w:r>
      <w:r w:rsidRPr="00526ADC">
        <w:rPr>
          <w:rFonts w:ascii="Arial" w:hAnsi="Arial" w:cs="Arial"/>
        </w:rPr>
        <w:t xml:space="preserve">. </w:t>
      </w:r>
    </w:p>
  </w:footnote>
  <w:footnote w:id="37">
    <w:p w14:paraId="764F0368" w14:textId="59A758A6" w:rsidR="00CE654B" w:rsidRPr="00526ADC" w:rsidRDefault="00CE654B" w:rsidP="00526ADC">
      <w:pPr>
        <w:pStyle w:val="FootnoteText"/>
        <w:jc w:val="both"/>
        <w:rPr>
          <w:rFonts w:ascii="Arial" w:hAnsi="Arial" w:cs="Arial"/>
          <w:i/>
        </w:rPr>
      </w:pPr>
      <w:r w:rsidRPr="00526ADC">
        <w:rPr>
          <w:rStyle w:val="FootnoteReference"/>
          <w:rFonts w:ascii="Arial" w:hAnsi="Arial" w:cs="Arial"/>
        </w:rPr>
        <w:footnoteRef/>
      </w:r>
      <w:r w:rsidRPr="00526ADC">
        <w:rPr>
          <w:rFonts w:ascii="Arial" w:hAnsi="Arial" w:cs="Arial"/>
        </w:rPr>
        <w:t xml:space="preserve"> Duke Response to IGS-INT-01-022(d), Case Nos. 17-1263-EL-SSO, </w:t>
      </w:r>
      <w:r w:rsidRPr="00526ADC">
        <w:rPr>
          <w:rFonts w:ascii="Arial" w:hAnsi="Arial" w:cs="Arial"/>
          <w:i/>
        </w:rPr>
        <w:t>et al.</w:t>
      </w:r>
    </w:p>
    <w:p w14:paraId="6828806A" w14:textId="77777777" w:rsidR="00CE654B" w:rsidRPr="00526ADC" w:rsidRDefault="00CE654B" w:rsidP="00526ADC">
      <w:pPr>
        <w:pStyle w:val="FootnoteText"/>
        <w:jc w:val="both"/>
        <w:rPr>
          <w:rFonts w:ascii="Arial" w:hAnsi="Arial" w:cs="Arial"/>
        </w:rPr>
      </w:pPr>
    </w:p>
  </w:footnote>
  <w:footnote w:id="38">
    <w:p w14:paraId="513CEC9F" w14:textId="7789EDE3" w:rsidR="00CE654B" w:rsidRPr="00526ADC" w:rsidRDefault="00CE654B" w:rsidP="00526ADC">
      <w:pPr>
        <w:pStyle w:val="FootnoteText"/>
        <w:jc w:val="both"/>
        <w:rPr>
          <w:rFonts w:ascii="Arial" w:hAnsi="Arial" w:cs="Arial"/>
        </w:rPr>
      </w:pPr>
      <w:r w:rsidRPr="00526ADC">
        <w:rPr>
          <w:rStyle w:val="FootnoteReference"/>
          <w:rFonts w:ascii="Arial" w:hAnsi="Arial" w:cs="Arial"/>
        </w:rPr>
        <w:footnoteRef/>
      </w:r>
      <w:r w:rsidRPr="00526ADC">
        <w:rPr>
          <w:rFonts w:ascii="Arial" w:hAnsi="Arial" w:cs="Arial"/>
        </w:rPr>
        <w:t xml:space="preserve"> </w:t>
      </w:r>
      <w:r w:rsidRPr="00526ADC">
        <w:rPr>
          <w:rFonts w:ascii="Arial" w:hAnsi="Arial" w:cs="Arial"/>
          <w:i/>
        </w:rPr>
        <w:t xml:space="preserve">Id. </w:t>
      </w:r>
      <w:r w:rsidRPr="00526ADC">
        <w:rPr>
          <w:rFonts w:ascii="Arial" w:hAnsi="Arial" w:cs="Arial"/>
        </w:rPr>
        <w:t>at IGS-INT-01-020(d).</w:t>
      </w:r>
    </w:p>
    <w:p w14:paraId="74C700F1" w14:textId="77777777" w:rsidR="00CE654B" w:rsidRPr="00526ADC" w:rsidRDefault="00CE654B" w:rsidP="00526ADC">
      <w:pPr>
        <w:pStyle w:val="FootnoteText"/>
        <w:jc w:val="both"/>
        <w:rPr>
          <w:rFonts w:ascii="Arial" w:hAnsi="Arial" w:cs="Arial"/>
        </w:rPr>
      </w:pPr>
    </w:p>
  </w:footnote>
  <w:footnote w:id="39">
    <w:p w14:paraId="7D6F1BC3" w14:textId="2CF28FCD" w:rsidR="00CE654B" w:rsidRPr="00526ADC" w:rsidRDefault="00CE654B" w:rsidP="00526ADC">
      <w:pPr>
        <w:pStyle w:val="FootnoteText"/>
        <w:jc w:val="both"/>
        <w:rPr>
          <w:rFonts w:ascii="Arial" w:hAnsi="Arial" w:cs="Arial"/>
        </w:rPr>
      </w:pPr>
      <w:r w:rsidRPr="00526ADC">
        <w:rPr>
          <w:rStyle w:val="FootnoteReference"/>
          <w:rFonts w:ascii="Arial" w:hAnsi="Arial" w:cs="Arial"/>
        </w:rPr>
        <w:footnoteRef/>
      </w:r>
      <w:r w:rsidRPr="00526ADC">
        <w:rPr>
          <w:rFonts w:ascii="Arial" w:hAnsi="Arial" w:cs="Arial"/>
        </w:rPr>
        <w:t xml:space="preserve"> Duke currently does not make this functionality available. Duke Response to IGS-INT-02-07.</w:t>
      </w:r>
    </w:p>
    <w:p w14:paraId="4744941A" w14:textId="77777777" w:rsidR="00CE654B" w:rsidRPr="00526ADC" w:rsidRDefault="00CE654B" w:rsidP="00526ADC">
      <w:pPr>
        <w:pStyle w:val="FootnoteText"/>
        <w:jc w:val="both"/>
        <w:rPr>
          <w:rFonts w:ascii="Arial" w:hAnsi="Arial" w:cs="Arial"/>
        </w:rPr>
      </w:pPr>
    </w:p>
  </w:footnote>
  <w:footnote w:id="40">
    <w:p w14:paraId="3F91B75D" w14:textId="4673092B" w:rsidR="00CE654B" w:rsidRPr="00526ADC" w:rsidRDefault="00CE654B" w:rsidP="00526ADC">
      <w:pPr>
        <w:pStyle w:val="FootnoteText"/>
        <w:jc w:val="both"/>
        <w:rPr>
          <w:rFonts w:ascii="Arial" w:hAnsi="Arial" w:cs="Arial"/>
        </w:rPr>
      </w:pPr>
      <w:r w:rsidRPr="00526ADC">
        <w:rPr>
          <w:rStyle w:val="FootnoteReference"/>
          <w:rFonts w:ascii="Arial" w:hAnsi="Arial" w:cs="Arial"/>
        </w:rPr>
        <w:footnoteRef/>
      </w:r>
      <w:r w:rsidRPr="00526ADC">
        <w:rPr>
          <w:rFonts w:ascii="Arial" w:hAnsi="Arial" w:cs="Arial"/>
        </w:rPr>
        <w:t xml:space="preserve"> </w:t>
      </w:r>
      <w:r w:rsidRPr="00526ADC">
        <w:rPr>
          <w:rFonts w:ascii="Arial" w:hAnsi="Arial" w:cs="Arial"/>
          <w:i/>
        </w:rPr>
        <w:t xml:space="preserve">Id. </w:t>
      </w:r>
      <w:r w:rsidRPr="00526ADC">
        <w:rPr>
          <w:rFonts w:ascii="Arial" w:hAnsi="Arial" w:cs="Arial"/>
        </w:rPr>
        <w:t>at IGS-INT--01-020(b).</w:t>
      </w:r>
    </w:p>
    <w:p w14:paraId="1CBDA684" w14:textId="77777777" w:rsidR="00CE654B" w:rsidRPr="00526ADC" w:rsidRDefault="00CE654B" w:rsidP="00526ADC">
      <w:pPr>
        <w:pStyle w:val="FootnoteText"/>
        <w:jc w:val="both"/>
        <w:rPr>
          <w:rFonts w:ascii="Arial" w:hAnsi="Arial" w:cs="Arial"/>
        </w:rPr>
      </w:pPr>
    </w:p>
  </w:footnote>
  <w:footnote w:id="41">
    <w:p w14:paraId="35328FB7" w14:textId="3BAAA661" w:rsidR="00CE654B" w:rsidRPr="00526ADC" w:rsidRDefault="00CE654B" w:rsidP="00526ADC">
      <w:pPr>
        <w:pStyle w:val="FootnoteText"/>
        <w:jc w:val="both"/>
        <w:rPr>
          <w:rFonts w:ascii="Arial" w:hAnsi="Arial" w:cs="Arial"/>
        </w:rPr>
      </w:pPr>
      <w:r w:rsidRPr="00526ADC">
        <w:rPr>
          <w:rStyle w:val="FootnoteReference"/>
          <w:rFonts w:ascii="Arial" w:hAnsi="Arial" w:cs="Arial"/>
        </w:rPr>
        <w:footnoteRef/>
      </w:r>
      <w:r w:rsidRPr="00526ADC">
        <w:rPr>
          <w:rFonts w:ascii="Arial" w:hAnsi="Arial" w:cs="Arial"/>
        </w:rPr>
        <w:t xml:space="preserve"> Staff Report, Rates and Tariffs at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1FEC6" w14:textId="77777777" w:rsidR="00360E99" w:rsidRDefault="00360E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BE36E" w14:textId="77777777" w:rsidR="00360E99" w:rsidRDefault="00360E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6D330" w14:textId="77777777" w:rsidR="00CE654B" w:rsidRDefault="00CE654B">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C62E7"/>
    <w:multiLevelType w:val="hybridMultilevel"/>
    <w:tmpl w:val="FB24402E"/>
    <w:lvl w:ilvl="0" w:tplc="02364310">
      <w:start w:val="1"/>
      <w:numFmt w:val="decimal"/>
      <w:lvlText w:val="(%1)"/>
      <w:lvlJc w:val="left"/>
      <w:pPr>
        <w:ind w:left="1170" w:hanging="360"/>
      </w:pPr>
      <w:rPr>
        <w:rFonts w:hint="default"/>
        <w:w w:val="1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9A667C"/>
    <w:multiLevelType w:val="hybridMultilevel"/>
    <w:tmpl w:val="40B6E02E"/>
    <w:lvl w:ilvl="0" w:tplc="79AE7D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9601D"/>
    <w:multiLevelType w:val="hybridMultilevel"/>
    <w:tmpl w:val="725CD0FA"/>
    <w:lvl w:ilvl="0" w:tplc="894247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02FE9"/>
    <w:multiLevelType w:val="hybridMultilevel"/>
    <w:tmpl w:val="546AD14C"/>
    <w:lvl w:ilvl="0" w:tplc="2708E3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AA67BD"/>
    <w:multiLevelType w:val="hybridMultilevel"/>
    <w:tmpl w:val="0F5458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7F7371B"/>
    <w:multiLevelType w:val="hybridMultilevel"/>
    <w:tmpl w:val="CC02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34FD3"/>
    <w:multiLevelType w:val="hybridMultilevel"/>
    <w:tmpl w:val="9162E3BA"/>
    <w:lvl w:ilvl="0" w:tplc="D1B46C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75776"/>
    <w:multiLevelType w:val="hybridMultilevel"/>
    <w:tmpl w:val="D3062A22"/>
    <w:lvl w:ilvl="0" w:tplc="1D14F1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855EA9"/>
    <w:multiLevelType w:val="hybridMultilevel"/>
    <w:tmpl w:val="9B0E09D6"/>
    <w:lvl w:ilvl="0" w:tplc="D5A471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3"/>
  </w:num>
  <w:num w:numId="4">
    <w:abstractNumId w:val="9"/>
  </w:num>
  <w:num w:numId="5">
    <w:abstractNumId w:val="5"/>
  </w:num>
  <w:num w:numId="6">
    <w:abstractNumId w:val="10"/>
  </w:num>
  <w:num w:numId="7">
    <w:abstractNumId w:val="3"/>
  </w:num>
  <w:num w:numId="8">
    <w:abstractNumId w:val="14"/>
  </w:num>
  <w:num w:numId="9">
    <w:abstractNumId w:val="15"/>
  </w:num>
  <w:num w:numId="10">
    <w:abstractNumId w:val="2"/>
  </w:num>
  <w:num w:numId="11">
    <w:abstractNumId w:val="7"/>
  </w:num>
  <w:num w:numId="12">
    <w:abstractNumId w:val="6"/>
  </w:num>
  <w:num w:numId="13">
    <w:abstractNumId w:val="11"/>
  </w:num>
  <w:num w:numId="14">
    <w:abstractNumId w:val="1"/>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29"/>
    <w:rsid w:val="00004E6B"/>
    <w:rsid w:val="000176D8"/>
    <w:rsid w:val="00054ADC"/>
    <w:rsid w:val="00060C1F"/>
    <w:rsid w:val="00091A13"/>
    <w:rsid w:val="000A045F"/>
    <w:rsid w:val="000B223F"/>
    <w:rsid w:val="000B5141"/>
    <w:rsid w:val="000D2057"/>
    <w:rsid w:val="001144C4"/>
    <w:rsid w:val="00121836"/>
    <w:rsid w:val="001267D8"/>
    <w:rsid w:val="001704AC"/>
    <w:rsid w:val="001A61A9"/>
    <w:rsid w:val="001B1912"/>
    <w:rsid w:val="001E7587"/>
    <w:rsid w:val="00227C04"/>
    <w:rsid w:val="00231B62"/>
    <w:rsid w:val="00237730"/>
    <w:rsid w:val="002410B3"/>
    <w:rsid w:val="0025719F"/>
    <w:rsid w:val="0026046D"/>
    <w:rsid w:val="00280A2E"/>
    <w:rsid w:val="002E2896"/>
    <w:rsid w:val="002F05DC"/>
    <w:rsid w:val="003005D8"/>
    <w:rsid w:val="0030156F"/>
    <w:rsid w:val="00307D81"/>
    <w:rsid w:val="00314A32"/>
    <w:rsid w:val="00347D69"/>
    <w:rsid w:val="00355B90"/>
    <w:rsid w:val="00360E99"/>
    <w:rsid w:val="003963BC"/>
    <w:rsid w:val="003A08BA"/>
    <w:rsid w:val="003A51CC"/>
    <w:rsid w:val="003A7774"/>
    <w:rsid w:val="003D01DA"/>
    <w:rsid w:val="003D1EB6"/>
    <w:rsid w:val="0040267C"/>
    <w:rsid w:val="00405979"/>
    <w:rsid w:val="00413918"/>
    <w:rsid w:val="00413EE0"/>
    <w:rsid w:val="004417DE"/>
    <w:rsid w:val="00446914"/>
    <w:rsid w:val="00474257"/>
    <w:rsid w:val="00483963"/>
    <w:rsid w:val="00486FF1"/>
    <w:rsid w:val="00492AD6"/>
    <w:rsid w:val="004B061E"/>
    <w:rsid w:val="004B7E09"/>
    <w:rsid w:val="004D5FAA"/>
    <w:rsid w:val="004D65EC"/>
    <w:rsid w:val="004F0D2F"/>
    <w:rsid w:val="004F2E86"/>
    <w:rsid w:val="005139B4"/>
    <w:rsid w:val="00526ADC"/>
    <w:rsid w:val="00542A3B"/>
    <w:rsid w:val="00544336"/>
    <w:rsid w:val="00545F29"/>
    <w:rsid w:val="00551BAD"/>
    <w:rsid w:val="0055339D"/>
    <w:rsid w:val="0056270F"/>
    <w:rsid w:val="00571CC0"/>
    <w:rsid w:val="00577375"/>
    <w:rsid w:val="0057737B"/>
    <w:rsid w:val="005809B7"/>
    <w:rsid w:val="005948BC"/>
    <w:rsid w:val="005A0BD9"/>
    <w:rsid w:val="005B34D0"/>
    <w:rsid w:val="005B37CC"/>
    <w:rsid w:val="005B63F0"/>
    <w:rsid w:val="005E5012"/>
    <w:rsid w:val="005F25EB"/>
    <w:rsid w:val="005F3574"/>
    <w:rsid w:val="00613140"/>
    <w:rsid w:val="0061450C"/>
    <w:rsid w:val="00623213"/>
    <w:rsid w:val="00630DDE"/>
    <w:rsid w:val="00645F8B"/>
    <w:rsid w:val="006860E6"/>
    <w:rsid w:val="006C4EEB"/>
    <w:rsid w:val="006E5083"/>
    <w:rsid w:val="007171AA"/>
    <w:rsid w:val="007233DD"/>
    <w:rsid w:val="00785B62"/>
    <w:rsid w:val="00785F0D"/>
    <w:rsid w:val="0078764E"/>
    <w:rsid w:val="00795C25"/>
    <w:rsid w:val="007A0222"/>
    <w:rsid w:val="007A5C5A"/>
    <w:rsid w:val="007B3399"/>
    <w:rsid w:val="007B7D38"/>
    <w:rsid w:val="007D11D2"/>
    <w:rsid w:val="007D2210"/>
    <w:rsid w:val="008044DE"/>
    <w:rsid w:val="00813BFB"/>
    <w:rsid w:val="0082422E"/>
    <w:rsid w:val="00824A9B"/>
    <w:rsid w:val="0082522C"/>
    <w:rsid w:val="00831E75"/>
    <w:rsid w:val="00832866"/>
    <w:rsid w:val="008361FD"/>
    <w:rsid w:val="00861A12"/>
    <w:rsid w:val="00887174"/>
    <w:rsid w:val="008A1275"/>
    <w:rsid w:val="008A2C5B"/>
    <w:rsid w:val="008B2E8D"/>
    <w:rsid w:val="008C1FD0"/>
    <w:rsid w:val="00946BC1"/>
    <w:rsid w:val="00953619"/>
    <w:rsid w:val="00955F86"/>
    <w:rsid w:val="009631C9"/>
    <w:rsid w:val="00972956"/>
    <w:rsid w:val="00976CF5"/>
    <w:rsid w:val="0098338B"/>
    <w:rsid w:val="00983BD2"/>
    <w:rsid w:val="0098755F"/>
    <w:rsid w:val="009B3BB3"/>
    <w:rsid w:val="009B4EBD"/>
    <w:rsid w:val="009B71AA"/>
    <w:rsid w:val="009D1C4B"/>
    <w:rsid w:val="009D40E0"/>
    <w:rsid w:val="009D5434"/>
    <w:rsid w:val="009D71F6"/>
    <w:rsid w:val="009F4632"/>
    <w:rsid w:val="009F6674"/>
    <w:rsid w:val="00A067A6"/>
    <w:rsid w:val="00A25C42"/>
    <w:rsid w:val="00A71E20"/>
    <w:rsid w:val="00A75711"/>
    <w:rsid w:val="00A75F7D"/>
    <w:rsid w:val="00A940AD"/>
    <w:rsid w:val="00AA75B4"/>
    <w:rsid w:val="00AD5E1E"/>
    <w:rsid w:val="00AE1FDC"/>
    <w:rsid w:val="00AE71A9"/>
    <w:rsid w:val="00B270B3"/>
    <w:rsid w:val="00B368F6"/>
    <w:rsid w:val="00B552D9"/>
    <w:rsid w:val="00B727CC"/>
    <w:rsid w:val="00B82DA1"/>
    <w:rsid w:val="00B92A76"/>
    <w:rsid w:val="00BA6835"/>
    <w:rsid w:val="00BE3B88"/>
    <w:rsid w:val="00BF505A"/>
    <w:rsid w:val="00C02EFC"/>
    <w:rsid w:val="00C20F96"/>
    <w:rsid w:val="00C37789"/>
    <w:rsid w:val="00C51B26"/>
    <w:rsid w:val="00C81C96"/>
    <w:rsid w:val="00C84BD1"/>
    <w:rsid w:val="00C91B0D"/>
    <w:rsid w:val="00CD1784"/>
    <w:rsid w:val="00CE654B"/>
    <w:rsid w:val="00D13280"/>
    <w:rsid w:val="00D32605"/>
    <w:rsid w:val="00D357A3"/>
    <w:rsid w:val="00D51948"/>
    <w:rsid w:val="00D57E21"/>
    <w:rsid w:val="00D86DE5"/>
    <w:rsid w:val="00D926B6"/>
    <w:rsid w:val="00DA7931"/>
    <w:rsid w:val="00DD2A51"/>
    <w:rsid w:val="00DE4973"/>
    <w:rsid w:val="00E04E5F"/>
    <w:rsid w:val="00E214E9"/>
    <w:rsid w:val="00E508F1"/>
    <w:rsid w:val="00E55133"/>
    <w:rsid w:val="00E866C3"/>
    <w:rsid w:val="00E86999"/>
    <w:rsid w:val="00E9019F"/>
    <w:rsid w:val="00E9359B"/>
    <w:rsid w:val="00E93D1C"/>
    <w:rsid w:val="00EA0431"/>
    <w:rsid w:val="00EA0C60"/>
    <w:rsid w:val="00EC019F"/>
    <w:rsid w:val="00ED1193"/>
    <w:rsid w:val="00EE0C04"/>
    <w:rsid w:val="00F10F9B"/>
    <w:rsid w:val="00F111C7"/>
    <w:rsid w:val="00F24087"/>
    <w:rsid w:val="00F5720A"/>
    <w:rsid w:val="00F96AFB"/>
    <w:rsid w:val="00FA2C78"/>
    <w:rsid w:val="00FA4A29"/>
    <w:rsid w:val="00FB7409"/>
    <w:rsid w:val="00FE2DE0"/>
    <w:rsid w:val="00FE5EB4"/>
    <w:rsid w:val="00FE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76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
    <w:name w:val="Body Text"/>
    <w:basedOn w:val="Normal"/>
    <w:link w:val="BodyTextChar"/>
    <w:uiPriority w:val="99"/>
    <w:semiHidden/>
    <w:unhideWhenUsed/>
    <w:rsid w:val="00824A9B"/>
    <w:pPr>
      <w:spacing w:after="120"/>
    </w:pPr>
  </w:style>
  <w:style w:type="character" w:customStyle="1" w:styleId="BodyTextChar">
    <w:name w:val="Body Text Char"/>
    <w:basedOn w:val="DefaultParagraphFont"/>
    <w:link w:val="BodyText"/>
    <w:uiPriority w:val="99"/>
    <w:semiHidden/>
    <w:rsid w:val="00824A9B"/>
  </w:style>
  <w:style w:type="paragraph" w:customStyle="1" w:styleId="Level1">
    <w:name w:val="Level 1"/>
    <w:basedOn w:val="TOC1"/>
    <w:link w:val="Level1Char"/>
    <w:qFormat/>
    <w:rsid w:val="005948BC"/>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5948BC"/>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5948B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482551368">
      <w:bodyDiv w:val="1"/>
      <w:marLeft w:val="0"/>
      <w:marRight w:val="0"/>
      <w:marTop w:val="0"/>
      <w:marBottom w:val="0"/>
      <w:divBdr>
        <w:top w:val="none" w:sz="0" w:space="0" w:color="auto"/>
        <w:left w:val="none" w:sz="0" w:space="0" w:color="auto"/>
        <w:bottom w:val="none" w:sz="0" w:space="0" w:color="auto"/>
        <w:right w:val="none" w:sz="0" w:space="0" w:color="auto"/>
      </w:divBdr>
      <w:divsChild>
        <w:div w:id="356734965">
          <w:marLeft w:val="0"/>
          <w:marRight w:val="0"/>
          <w:marTop w:val="0"/>
          <w:marBottom w:val="0"/>
          <w:divBdr>
            <w:top w:val="none" w:sz="0" w:space="0" w:color="auto"/>
            <w:left w:val="none" w:sz="0" w:space="0" w:color="auto"/>
            <w:bottom w:val="none" w:sz="0" w:space="0" w:color="auto"/>
            <w:right w:val="none" w:sz="0" w:space="0" w:color="auto"/>
          </w:divBdr>
        </w:div>
        <w:div w:id="392047661">
          <w:marLeft w:val="0"/>
          <w:marRight w:val="0"/>
          <w:marTop w:val="0"/>
          <w:marBottom w:val="0"/>
          <w:divBdr>
            <w:top w:val="none" w:sz="0" w:space="0" w:color="auto"/>
            <w:left w:val="none" w:sz="0" w:space="0" w:color="auto"/>
            <w:bottom w:val="none" w:sz="0" w:space="0" w:color="auto"/>
            <w:right w:val="none" w:sz="0" w:space="0" w:color="auto"/>
          </w:divBdr>
        </w:div>
        <w:div w:id="667636263">
          <w:marLeft w:val="0"/>
          <w:marRight w:val="0"/>
          <w:marTop w:val="0"/>
          <w:marBottom w:val="0"/>
          <w:divBdr>
            <w:top w:val="none" w:sz="0" w:space="0" w:color="auto"/>
            <w:left w:val="none" w:sz="0" w:space="0" w:color="auto"/>
            <w:bottom w:val="none" w:sz="0" w:space="0" w:color="auto"/>
            <w:right w:val="none" w:sz="0" w:space="0" w:color="auto"/>
          </w:divBdr>
        </w:div>
        <w:div w:id="794908096">
          <w:marLeft w:val="0"/>
          <w:marRight w:val="0"/>
          <w:marTop w:val="0"/>
          <w:marBottom w:val="0"/>
          <w:divBdr>
            <w:top w:val="none" w:sz="0" w:space="0" w:color="auto"/>
            <w:left w:val="none" w:sz="0" w:space="0" w:color="auto"/>
            <w:bottom w:val="none" w:sz="0" w:space="0" w:color="auto"/>
            <w:right w:val="none" w:sz="0" w:space="0" w:color="auto"/>
          </w:divBdr>
        </w:div>
        <w:div w:id="893542688">
          <w:marLeft w:val="0"/>
          <w:marRight w:val="0"/>
          <w:marTop w:val="0"/>
          <w:marBottom w:val="0"/>
          <w:divBdr>
            <w:top w:val="none" w:sz="0" w:space="0" w:color="auto"/>
            <w:left w:val="none" w:sz="0" w:space="0" w:color="auto"/>
            <w:bottom w:val="none" w:sz="0" w:space="0" w:color="auto"/>
            <w:right w:val="none" w:sz="0" w:space="0" w:color="auto"/>
          </w:divBdr>
        </w:div>
        <w:div w:id="941912553">
          <w:marLeft w:val="0"/>
          <w:marRight w:val="0"/>
          <w:marTop w:val="0"/>
          <w:marBottom w:val="0"/>
          <w:divBdr>
            <w:top w:val="none" w:sz="0" w:space="0" w:color="auto"/>
            <w:left w:val="none" w:sz="0" w:space="0" w:color="auto"/>
            <w:bottom w:val="none" w:sz="0" w:space="0" w:color="auto"/>
            <w:right w:val="none" w:sz="0" w:space="0" w:color="auto"/>
          </w:divBdr>
        </w:div>
        <w:div w:id="963850134">
          <w:marLeft w:val="0"/>
          <w:marRight w:val="0"/>
          <w:marTop w:val="0"/>
          <w:marBottom w:val="0"/>
          <w:divBdr>
            <w:top w:val="none" w:sz="0" w:space="0" w:color="auto"/>
            <w:left w:val="none" w:sz="0" w:space="0" w:color="auto"/>
            <w:bottom w:val="none" w:sz="0" w:space="0" w:color="auto"/>
            <w:right w:val="none" w:sz="0" w:space="0" w:color="auto"/>
          </w:divBdr>
        </w:div>
        <w:div w:id="1013337914">
          <w:marLeft w:val="0"/>
          <w:marRight w:val="0"/>
          <w:marTop w:val="0"/>
          <w:marBottom w:val="0"/>
          <w:divBdr>
            <w:top w:val="none" w:sz="0" w:space="0" w:color="auto"/>
            <w:left w:val="none" w:sz="0" w:space="0" w:color="auto"/>
            <w:bottom w:val="none" w:sz="0" w:space="0" w:color="auto"/>
            <w:right w:val="none" w:sz="0" w:space="0" w:color="auto"/>
          </w:divBdr>
        </w:div>
        <w:div w:id="1047953127">
          <w:marLeft w:val="0"/>
          <w:marRight w:val="0"/>
          <w:marTop w:val="0"/>
          <w:marBottom w:val="0"/>
          <w:divBdr>
            <w:top w:val="none" w:sz="0" w:space="0" w:color="auto"/>
            <w:left w:val="none" w:sz="0" w:space="0" w:color="auto"/>
            <w:bottom w:val="none" w:sz="0" w:space="0" w:color="auto"/>
            <w:right w:val="none" w:sz="0" w:space="0" w:color="auto"/>
          </w:divBdr>
        </w:div>
        <w:div w:id="1063024580">
          <w:marLeft w:val="0"/>
          <w:marRight w:val="0"/>
          <w:marTop w:val="0"/>
          <w:marBottom w:val="0"/>
          <w:divBdr>
            <w:top w:val="none" w:sz="0" w:space="0" w:color="auto"/>
            <w:left w:val="none" w:sz="0" w:space="0" w:color="auto"/>
            <w:bottom w:val="none" w:sz="0" w:space="0" w:color="auto"/>
            <w:right w:val="none" w:sz="0" w:space="0" w:color="auto"/>
          </w:divBdr>
        </w:div>
        <w:div w:id="1117022135">
          <w:marLeft w:val="0"/>
          <w:marRight w:val="0"/>
          <w:marTop w:val="0"/>
          <w:marBottom w:val="0"/>
          <w:divBdr>
            <w:top w:val="none" w:sz="0" w:space="0" w:color="auto"/>
            <w:left w:val="none" w:sz="0" w:space="0" w:color="auto"/>
            <w:bottom w:val="none" w:sz="0" w:space="0" w:color="auto"/>
            <w:right w:val="none" w:sz="0" w:space="0" w:color="auto"/>
          </w:divBdr>
        </w:div>
        <w:div w:id="1467044011">
          <w:marLeft w:val="0"/>
          <w:marRight w:val="0"/>
          <w:marTop w:val="0"/>
          <w:marBottom w:val="0"/>
          <w:divBdr>
            <w:top w:val="none" w:sz="0" w:space="0" w:color="auto"/>
            <w:left w:val="none" w:sz="0" w:space="0" w:color="auto"/>
            <w:bottom w:val="none" w:sz="0" w:space="0" w:color="auto"/>
            <w:right w:val="none" w:sz="0" w:space="0" w:color="auto"/>
          </w:divBdr>
        </w:div>
        <w:div w:id="1505853408">
          <w:marLeft w:val="0"/>
          <w:marRight w:val="0"/>
          <w:marTop w:val="0"/>
          <w:marBottom w:val="0"/>
          <w:divBdr>
            <w:top w:val="none" w:sz="0" w:space="0" w:color="auto"/>
            <w:left w:val="none" w:sz="0" w:space="0" w:color="auto"/>
            <w:bottom w:val="none" w:sz="0" w:space="0" w:color="auto"/>
            <w:right w:val="none" w:sz="0" w:space="0" w:color="auto"/>
          </w:divBdr>
        </w:div>
        <w:div w:id="1506478763">
          <w:marLeft w:val="0"/>
          <w:marRight w:val="0"/>
          <w:marTop w:val="0"/>
          <w:marBottom w:val="0"/>
          <w:divBdr>
            <w:top w:val="none" w:sz="0" w:space="0" w:color="auto"/>
            <w:left w:val="none" w:sz="0" w:space="0" w:color="auto"/>
            <w:bottom w:val="none" w:sz="0" w:space="0" w:color="auto"/>
            <w:right w:val="none" w:sz="0" w:space="0" w:color="auto"/>
          </w:divBdr>
        </w:div>
        <w:div w:id="1523937029">
          <w:marLeft w:val="0"/>
          <w:marRight w:val="0"/>
          <w:marTop w:val="0"/>
          <w:marBottom w:val="0"/>
          <w:divBdr>
            <w:top w:val="none" w:sz="0" w:space="0" w:color="auto"/>
            <w:left w:val="none" w:sz="0" w:space="0" w:color="auto"/>
            <w:bottom w:val="none" w:sz="0" w:space="0" w:color="auto"/>
            <w:right w:val="none" w:sz="0" w:space="0" w:color="auto"/>
          </w:divBdr>
        </w:div>
        <w:div w:id="1605530184">
          <w:marLeft w:val="0"/>
          <w:marRight w:val="0"/>
          <w:marTop w:val="0"/>
          <w:marBottom w:val="0"/>
          <w:divBdr>
            <w:top w:val="none" w:sz="0" w:space="0" w:color="auto"/>
            <w:left w:val="none" w:sz="0" w:space="0" w:color="auto"/>
            <w:bottom w:val="none" w:sz="0" w:space="0" w:color="auto"/>
            <w:right w:val="none" w:sz="0" w:space="0" w:color="auto"/>
          </w:divBdr>
        </w:div>
        <w:div w:id="1648244697">
          <w:marLeft w:val="0"/>
          <w:marRight w:val="0"/>
          <w:marTop w:val="0"/>
          <w:marBottom w:val="0"/>
          <w:divBdr>
            <w:top w:val="none" w:sz="0" w:space="0" w:color="auto"/>
            <w:left w:val="none" w:sz="0" w:space="0" w:color="auto"/>
            <w:bottom w:val="none" w:sz="0" w:space="0" w:color="auto"/>
            <w:right w:val="none" w:sz="0" w:space="0" w:color="auto"/>
          </w:divBdr>
        </w:div>
        <w:div w:id="1678461065">
          <w:marLeft w:val="0"/>
          <w:marRight w:val="0"/>
          <w:marTop w:val="0"/>
          <w:marBottom w:val="0"/>
          <w:divBdr>
            <w:top w:val="none" w:sz="0" w:space="0" w:color="auto"/>
            <w:left w:val="none" w:sz="0" w:space="0" w:color="auto"/>
            <w:bottom w:val="none" w:sz="0" w:space="0" w:color="auto"/>
            <w:right w:val="none" w:sz="0" w:space="0" w:color="auto"/>
          </w:divBdr>
        </w:div>
        <w:div w:id="1872064995">
          <w:marLeft w:val="0"/>
          <w:marRight w:val="0"/>
          <w:marTop w:val="0"/>
          <w:marBottom w:val="0"/>
          <w:divBdr>
            <w:top w:val="none" w:sz="0" w:space="0" w:color="auto"/>
            <w:left w:val="none" w:sz="0" w:space="0" w:color="auto"/>
            <w:bottom w:val="none" w:sz="0" w:space="0" w:color="auto"/>
            <w:right w:val="none" w:sz="0" w:space="0" w:color="auto"/>
          </w:divBdr>
        </w:div>
        <w:div w:id="2128112257">
          <w:marLeft w:val="0"/>
          <w:marRight w:val="0"/>
          <w:marTop w:val="0"/>
          <w:marBottom w:val="0"/>
          <w:divBdr>
            <w:top w:val="none" w:sz="0" w:space="0" w:color="auto"/>
            <w:left w:val="none" w:sz="0" w:space="0" w:color="auto"/>
            <w:bottom w:val="none" w:sz="0" w:space="0" w:color="auto"/>
            <w:right w:val="none" w:sz="0" w:space="0" w:color="auto"/>
          </w:divBdr>
        </w:div>
        <w:div w:id="2136096212">
          <w:marLeft w:val="0"/>
          <w:marRight w:val="0"/>
          <w:marTop w:val="0"/>
          <w:marBottom w:val="0"/>
          <w:divBdr>
            <w:top w:val="none" w:sz="0" w:space="0" w:color="auto"/>
            <w:left w:val="none" w:sz="0" w:space="0" w:color="auto"/>
            <w:bottom w:val="none" w:sz="0" w:space="0" w:color="auto"/>
            <w:right w:val="none" w:sz="0" w:space="0" w:color="auto"/>
          </w:divBdr>
        </w:div>
      </w:divsChild>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735126895">
      <w:bodyDiv w:val="1"/>
      <w:marLeft w:val="0"/>
      <w:marRight w:val="0"/>
      <w:marTop w:val="0"/>
      <w:marBottom w:val="0"/>
      <w:divBdr>
        <w:top w:val="none" w:sz="0" w:space="0" w:color="auto"/>
        <w:left w:val="none" w:sz="0" w:space="0" w:color="auto"/>
        <w:bottom w:val="none" w:sz="0" w:space="0" w:color="auto"/>
        <w:right w:val="none" w:sz="0" w:space="0" w:color="auto"/>
      </w:divBdr>
      <w:divsChild>
        <w:div w:id="133842048">
          <w:marLeft w:val="0"/>
          <w:marRight w:val="0"/>
          <w:marTop w:val="0"/>
          <w:marBottom w:val="0"/>
          <w:divBdr>
            <w:top w:val="none" w:sz="0" w:space="0" w:color="auto"/>
            <w:left w:val="none" w:sz="0" w:space="0" w:color="auto"/>
            <w:bottom w:val="none" w:sz="0" w:space="0" w:color="auto"/>
            <w:right w:val="none" w:sz="0" w:space="0" w:color="auto"/>
          </w:divBdr>
        </w:div>
        <w:div w:id="172840572">
          <w:marLeft w:val="0"/>
          <w:marRight w:val="0"/>
          <w:marTop w:val="0"/>
          <w:marBottom w:val="0"/>
          <w:divBdr>
            <w:top w:val="none" w:sz="0" w:space="0" w:color="auto"/>
            <w:left w:val="none" w:sz="0" w:space="0" w:color="auto"/>
            <w:bottom w:val="none" w:sz="0" w:space="0" w:color="auto"/>
            <w:right w:val="none" w:sz="0" w:space="0" w:color="auto"/>
          </w:divBdr>
        </w:div>
        <w:div w:id="250048605">
          <w:marLeft w:val="0"/>
          <w:marRight w:val="0"/>
          <w:marTop w:val="0"/>
          <w:marBottom w:val="0"/>
          <w:divBdr>
            <w:top w:val="none" w:sz="0" w:space="0" w:color="auto"/>
            <w:left w:val="none" w:sz="0" w:space="0" w:color="auto"/>
            <w:bottom w:val="none" w:sz="0" w:space="0" w:color="auto"/>
            <w:right w:val="none" w:sz="0" w:space="0" w:color="auto"/>
          </w:divBdr>
        </w:div>
        <w:div w:id="505632320">
          <w:marLeft w:val="0"/>
          <w:marRight w:val="0"/>
          <w:marTop w:val="0"/>
          <w:marBottom w:val="0"/>
          <w:divBdr>
            <w:top w:val="none" w:sz="0" w:space="0" w:color="auto"/>
            <w:left w:val="none" w:sz="0" w:space="0" w:color="auto"/>
            <w:bottom w:val="none" w:sz="0" w:space="0" w:color="auto"/>
            <w:right w:val="none" w:sz="0" w:space="0" w:color="auto"/>
          </w:divBdr>
        </w:div>
        <w:div w:id="976880053">
          <w:marLeft w:val="0"/>
          <w:marRight w:val="0"/>
          <w:marTop w:val="0"/>
          <w:marBottom w:val="0"/>
          <w:divBdr>
            <w:top w:val="none" w:sz="0" w:space="0" w:color="auto"/>
            <w:left w:val="none" w:sz="0" w:space="0" w:color="auto"/>
            <w:bottom w:val="none" w:sz="0" w:space="0" w:color="auto"/>
            <w:right w:val="none" w:sz="0" w:space="0" w:color="auto"/>
          </w:divBdr>
        </w:div>
        <w:div w:id="1123887199">
          <w:marLeft w:val="0"/>
          <w:marRight w:val="0"/>
          <w:marTop w:val="0"/>
          <w:marBottom w:val="0"/>
          <w:divBdr>
            <w:top w:val="none" w:sz="0" w:space="0" w:color="auto"/>
            <w:left w:val="none" w:sz="0" w:space="0" w:color="auto"/>
            <w:bottom w:val="none" w:sz="0" w:space="0" w:color="auto"/>
            <w:right w:val="none" w:sz="0" w:space="0" w:color="auto"/>
          </w:divBdr>
        </w:div>
        <w:div w:id="1331762422">
          <w:marLeft w:val="0"/>
          <w:marRight w:val="0"/>
          <w:marTop w:val="0"/>
          <w:marBottom w:val="0"/>
          <w:divBdr>
            <w:top w:val="none" w:sz="0" w:space="0" w:color="auto"/>
            <w:left w:val="none" w:sz="0" w:space="0" w:color="auto"/>
            <w:bottom w:val="none" w:sz="0" w:space="0" w:color="auto"/>
            <w:right w:val="none" w:sz="0" w:space="0" w:color="auto"/>
          </w:divBdr>
        </w:div>
        <w:div w:id="1353725056">
          <w:marLeft w:val="0"/>
          <w:marRight w:val="0"/>
          <w:marTop w:val="0"/>
          <w:marBottom w:val="0"/>
          <w:divBdr>
            <w:top w:val="none" w:sz="0" w:space="0" w:color="auto"/>
            <w:left w:val="none" w:sz="0" w:space="0" w:color="auto"/>
            <w:bottom w:val="none" w:sz="0" w:space="0" w:color="auto"/>
            <w:right w:val="none" w:sz="0" w:space="0" w:color="auto"/>
          </w:divBdr>
        </w:div>
        <w:div w:id="1399091745">
          <w:marLeft w:val="0"/>
          <w:marRight w:val="0"/>
          <w:marTop w:val="0"/>
          <w:marBottom w:val="0"/>
          <w:divBdr>
            <w:top w:val="none" w:sz="0" w:space="0" w:color="auto"/>
            <w:left w:val="none" w:sz="0" w:space="0" w:color="auto"/>
            <w:bottom w:val="none" w:sz="0" w:space="0" w:color="auto"/>
            <w:right w:val="none" w:sz="0" w:space="0" w:color="auto"/>
          </w:divBdr>
        </w:div>
        <w:div w:id="1545024154">
          <w:marLeft w:val="0"/>
          <w:marRight w:val="0"/>
          <w:marTop w:val="0"/>
          <w:marBottom w:val="0"/>
          <w:divBdr>
            <w:top w:val="none" w:sz="0" w:space="0" w:color="auto"/>
            <w:left w:val="none" w:sz="0" w:space="0" w:color="auto"/>
            <w:bottom w:val="none" w:sz="0" w:space="0" w:color="auto"/>
            <w:right w:val="none" w:sz="0" w:space="0" w:color="auto"/>
          </w:divBdr>
        </w:div>
        <w:div w:id="1572883364">
          <w:marLeft w:val="0"/>
          <w:marRight w:val="0"/>
          <w:marTop w:val="0"/>
          <w:marBottom w:val="0"/>
          <w:divBdr>
            <w:top w:val="none" w:sz="0" w:space="0" w:color="auto"/>
            <w:left w:val="none" w:sz="0" w:space="0" w:color="auto"/>
            <w:bottom w:val="none" w:sz="0" w:space="0" w:color="auto"/>
            <w:right w:val="none" w:sz="0" w:space="0" w:color="auto"/>
          </w:divBdr>
        </w:div>
        <w:div w:id="1654676657">
          <w:marLeft w:val="0"/>
          <w:marRight w:val="0"/>
          <w:marTop w:val="0"/>
          <w:marBottom w:val="0"/>
          <w:divBdr>
            <w:top w:val="none" w:sz="0" w:space="0" w:color="auto"/>
            <w:left w:val="none" w:sz="0" w:space="0" w:color="auto"/>
            <w:bottom w:val="none" w:sz="0" w:space="0" w:color="auto"/>
            <w:right w:val="none" w:sz="0" w:space="0" w:color="auto"/>
          </w:divBdr>
        </w:div>
        <w:div w:id="1688408157">
          <w:marLeft w:val="0"/>
          <w:marRight w:val="0"/>
          <w:marTop w:val="0"/>
          <w:marBottom w:val="0"/>
          <w:divBdr>
            <w:top w:val="none" w:sz="0" w:space="0" w:color="auto"/>
            <w:left w:val="none" w:sz="0" w:space="0" w:color="auto"/>
            <w:bottom w:val="none" w:sz="0" w:space="0" w:color="auto"/>
            <w:right w:val="none" w:sz="0" w:space="0" w:color="auto"/>
          </w:divBdr>
        </w:div>
        <w:div w:id="1918250853">
          <w:marLeft w:val="0"/>
          <w:marRight w:val="0"/>
          <w:marTop w:val="0"/>
          <w:marBottom w:val="0"/>
          <w:divBdr>
            <w:top w:val="none" w:sz="0" w:space="0" w:color="auto"/>
            <w:left w:val="none" w:sz="0" w:space="0" w:color="auto"/>
            <w:bottom w:val="none" w:sz="0" w:space="0" w:color="auto"/>
            <w:right w:val="none" w:sz="0" w:space="0" w:color="auto"/>
          </w:divBdr>
        </w:div>
        <w:div w:id="1986350858">
          <w:marLeft w:val="0"/>
          <w:marRight w:val="0"/>
          <w:marTop w:val="0"/>
          <w:marBottom w:val="0"/>
          <w:divBdr>
            <w:top w:val="none" w:sz="0" w:space="0" w:color="auto"/>
            <w:left w:val="none" w:sz="0" w:space="0" w:color="auto"/>
            <w:bottom w:val="none" w:sz="0" w:space="0" w:color="auto"/>
            <w:right w:val="none" w:sz="0" w:space="0" w:color="auto"/>
          </w:divBdr>
        </w:div>
        <w:div w:id="2045325725">
          <w:marLeft w:val="0"/>
          <w:marRight w:val="0"/>
          <w:marTop w:val="0"/>
          <w:marBottom w:val="0"/>
          <w:divBdr>
            <w:top w:val="none" w:sz="0" w:space="0" w:color="auto"/>
            <w:left w:val="none" w:sz="0" w:space="0" w:color="auto"/>
            <w:bottom w:val="none" w:sz="0" w:space="0" w:color="auto"/>
            <w:right w:val="none" w:sz="0" w:space="0" w:color="auto"/>
          </w:divBdr>
        </w:div>
        <w:div w:id="2055812599">
          <w:marLeft w:val="0"/>
          <w:marRight w:val="0"/>
          <w:marTop w:val="0"/>
          <w:marBottom w:val="0"/>
          <w:divBdr>
            <w:top w:val="none" w:sz="0" w:space="0" w:color="auto"/>
            <w:left w:val="none" w:sz="0" w:space="0" w:color="auto"/>
            <w:bottom w:val="none" w:sz="0" w:space="0" w:color="auto"/>
            <w:right w:val="none" w:sz="0" w:space="0" w:color="auto"/>
          </w:divBdr>
        </w:div>
        <w:div w:id="2079550988">
          <w:marLeft w:val="0"/>
          <w:marRight w:val="0"/>
          <w:marTop w:val="0"/>
          <w:marBottom w:val="0"/>
          <w:divBdr>
            <w:top w:val="none" w:sz="0" w:space="0" w:color="auto"/>
            <w:left w:val="none" w:sz="0" w:space="0" w:color="auto"/>
            <w:bottom w:val="none" w:sz="0" w:space="0" w:color="auto"/>
            <w:right w:val="none" w:sz="0" w:space="0" w:color="auto"/>
          </w:divBdr>
        </w:div>
        <w:div w:id="2103525427">
          <w:marLeft w:val="0"/>
          <w:marRight w:val="0"/>
          <w:marTop w:val="0"/>
          <w:marBottom w:val="0"/>
          <w:divBdr>
            <w:top w:val="none" w:sz="0" w:space="0" w:color="auto"/>
            <w:left w:val="none" w:sz="0" w:space="0" w:color="auto"/>
            <w:bottom w:val="none" w:sz="0" w:space="0" w:color="auto"/>
            <w:right w:val="none" w:sz="0" w:space="0" w:color="auto"/>
          </w:divBdr>
        </w:div>
        <w:div w:id="2111850504">
          <w:marLeft w:val="0"/>
          <w:marRight w:val="0"/>
          <w:marTop w:val="0"/>
          <w:marBottom w:val="0"/>
          <w:divBdr>
            <w:top w:val="none" w:sz="0" w:space="0" w:color="auto"/>
            <w:left w:val="none" w:sz="0" w:space="0" w:color="auto"/>
            <w:bottom w:val="none" w:sz="0" w:space="0" w:color="auto"/>
            <w:right w:val="none" w:sz="0" w:space="0" w:color="auto"/>
          </w:divBdr>
        </w:div>
      </w:divsChild>
    </w:div>
    <w:div w:id="885988532">
      <w:bodyDiv w:val="1"/>
      <w:marLeft w:val="0"/>
      <w:marRight w:val="0"/>
      <w:marTop w:val="0"/>
      <w:marBottom w:val="0"/>
      <w:divBdr>
        <w:top w:val="none" w:sz="0" w:space="0" w:color="auto"/>
        <w:left w:val="none" w:sz="0" w:space="0" w:color="auto"/>
        <w:bottom w:val="none" w:sz="0" w:space="0" w:color="auto"/>
        <w:right w:val="none" w:sz="0" w:space="0" w:color="auto"/>
      </w:divBdr>
      <w:divsChild>
        <w:div w:id="2081977874">
          <w:marLeft w:val="0"/>
          <w:marRight w:val="0"/>
          <w:marTop w:val="0"/>
          <w:marBottom w:val="0"/>
          <w:divBdr>
            <w:top w:val="none" w:sz="0" w:space="0" w:color="auto"/>
            <w:left w:val="none" w:sz="0" w:space="0" w:color="auto"/>
            <w:bottom w:val="none" w:sz="0" w:space="0" w:color="auto"/>
            <w:right w:val="none" w:sz="0" w:space="0" w:color="auto"/>
          </w:divBdr>
        </w:div>
      </w:divsChild>
    </w:div>
    <w:div w:id="1250693972">
      <w:bodyDiv w:val="1"/>
      <w:marLeft w:val="0"/>
      <w:marRight w:val="0"/>
      <w:marTop w:val="0"/>
      <w:marBottom w:val="0"/>
      <w:divBdr>
        <w:top w:val="none" w:sz="0" w:space="0" w:color="auto"/>
        <w:left w:val="none" w:sz="0" w:space="0" w:color="auto"/>
        <w:bottom w:val="none" w:sz="0" w:space="0" w:color="auto"/>
        <w:right w:val="none" w:sz="0" w:space="0" w:color="auto"/>
      </w:divBdr>
      <w:divsChild>
        <w:div w:id="146240840">
          <w:marLeft w:val="0"/>
          <w:marRight w:val="0"/>
          <w:marTop w:val="0"/>
          <w:marBottom w:val="0"/>
          <w:divBdr>
            <w:top w:val="none" w:sz="0" w:space="0" w:color="auto"/>
            <w:left w:val="none" w:sz="0" w:space="0" w:color="auto"/>
            <w:bottom w:val="none" w:sz="0" w:space="0" w:color="auto"/>
            <w:right w:val="none" w:sz="0" w:space="0" w:color="auto"/>
          </w:divBdr>
        </w:div>
        <w:div w:id="196821476">
          <w:marLeft w:val="0"/>
          <w:marRight w:val="0"/>
          <w:marTop w:val="0"/>
          <w:marBottom w:val="0"/>
          <w:divBdr>
            <w:top w:val="none" w:sz="0" w:space="0" w:color="auto"/>
            <w:left w:val="none" w:sz="0" w:space="0" w:color="auto"/>
            <w:bottom w:val="none" w:sz="0" w:space="0" w:color="auto"/>
            <w:right w:val="none" w:sz="0" w:space="0" w:color="auto"/>
          </w:divBdr>
        </w:div>
        <w:div w:id="233971418">
          <w:marLeft w:val="0"/>
          <w:marRight w:val="0"/>
          <w:marTop w:val="0"/>
          <w:marBottom w:val="0"/>
          <w:divBdr>
            <w:top w:val="none" w:sz="0" w:space="0" w:color="auto"/>
            <w:left w:val="none" w:sz="0" w:space="0" w:color="auto"/>
            <w:bottom w:val="none" w:sz="0" w:space="0" w:color="auto"/>
            <w:right w:val="none" w:sz="0" w:space="0" w:color="auto"/>
          </w:divBdr>
        </w:div>
        <w:div w:id="572203489">
          <w:marLeft w:val="0"/>
          <w:marRight w:val="0"/>
          <w:marTop w:val="0"/>
          <w:marBottom w:val="0"/>
          <w:divBdr>
            <w:top w:val="none" w:sz="0" w:space="0" w:color="auto"/>
            <w:left w:val="none" w:sz="0" w:space="0" w:color="auto"/>
            <w:bottom w:val="none" w:sz="0" w:space="0" w:color="auto"/>
            <w:right w:val="none" w:sz="0" w:space="0" w:color="auto"/>
          </w:divBdr>
        </w:div>
        <w:div w:id="787243762">
          <w:marLeft w:val="0"/>
          <w:marRight w:val="0"/>
          <w:marTop w:val="0"/>
          <w:marBottom w:val="0"/>
          <w:divBdr>
            <w:top w:val="none" w:sz="0" w:space="0" w:color="auto"/>
            <w:left w:val="none" w:sz="0" w:space="0" w:color="auto"/>
            <w:bottom w:val="none" w:sz="0" w:space="0" w:color="auto"/>
            <w:right w:val="none" w:sz="0" w:space="0" w:color="auto"/>
          </w:divBdr>
        </w:div>
        <w:div w:id="790170626">
          <w:marLeft w:val="0"/>
          <w:marRight w:val="0"/>
          <w:marTop w:val="0"/>
          <w:marBottom w:val="0"/>
          <w:divBdr>
            <w:top w:val="none" w:sz="0" w:space="0" w:color="auto"/>
            <w:left w:val="none" w:sz="0" w:space="0" w:color="auto"/>
            <w:bottom w:val="none" w:sz="0" w:space="0" w:color="auto"/>
            <w:right w:val="none" w:sz="0" w:space="0" w:color="auto"/>
          </w:divBdr>
        </w:div>
        <w:div w:id="836654477">
          <w:marLeft w:val="0"/>
          <w:marRight w:val="0"/>
          <w:marTop w:val="0"/>
          <w:marBottom w:val="0"/>
          <w:divBdr>
            <w:top w:val="none" w:sz="0" w:space="0" w:color="auto"/>
            <w:left w:val="none" w:sz="0" w:space="0" w:color="auto"/>
            <w:bottom w:val="none" w:sz="0" w:space="0" w:color="auto"/>
            <w:right w:val="none" w:sz="0" w:space="0" w:color="auto"/>
          </w:divBdr>
        </w:div>
        <w:div w:id="1119031839">
          <w:marLeft w:val="0"/>
          <w:marRight w:val="0"/>
          <w:marTop w:val="0"/>
          <w:marBottom w:val="0"/>
          <w:divBdr>
            <w:top w:val="none" w:sz="0" w:space="0" w:color="auto"/>
            <w:left w:val="none" w:sz="0" w:space="0" w:color="auto"/>
            <w:bottom w:val="none" w:sz="0" w:space="0" w:color="auto"/>
            <w:right w:val="none" w:sz="0" w:space="0" w:color="auto"/>
          </w:divBdr>
        </w:div>
        <w:div w:id="1230457063">
          <w:marLeft w:val="0"/>
          <w:marRight w:val="0"/>
          <w:marTop w:val="0"/>
          <w:marBottom w:val="0"/>
          <w:divBdr>
            <w:top w:val="none" w:sz="0" w:space="0" w:color="auto"/>
            <w:left w:val="none" w:sz="0" w:space="0" w:color="auto"/>
            <w:bottom w:val="none" w:sz="0" w:space="0" w:color="auto"/>
            <w:right w:val="none" w:sz="0" w:space="0" w:color="auto"/>
          </w:divBdr>
        </w:div>
        <w:div w:id="1329476904">
          <w:marLeft w:val="0"/>
          <w:marRight w:val="0"/>
          <w:marTop w:val="0"/>
          <w:marBottom w:val="0"/>
          <w:divBdr>
            <w:top w:val="none" w:sz="0" w:space="0" w:color="auto"/>
            <w:left w:val="none" w:sz="0" w:space="0" w:color="auto"/>
            <w:bottom w:val="none" w:sz="0" w:space="0" w:color="auto"/>
            <w:right w:val="none" w:sz="0" w:space="0" w:color="auto"/>
          </w:divBdr>
        </w:div>
        <w:div w:id="1355767990">
          <w:marLeft w:val="0"/>
          <w:marRight w:val="0"/>
          <w:marTop w:val="0"/>
          <w:marBottom w:val="0"/>
          <w:divBdr>
            <w:top w:val="none" w:sz="0" w:space="0" w:color="auto"/>
            <w:left w:val="none" w:sz="0" w:space="0" w:color="auto"/>
            <w:bottom w:val="none" w:sz="0" w:space="0" w:color="auto"/>
            <w:right w:val="none" w:sz="0" w:space="0" w:color="auto"/>
          </w:divBdr>
        </w:div>
        <w:div w:id="1554849910">
          <w:marLeft w:val="0"/>
          <w:marRight w:val="0"/>
          <w:marTop w:val="0"/>
          <w:marBottom w:val="0"/>
          <w:divBdr>
            <w:top w:val="none" w:sz="0" w:space="0" w:color="auto"/>
            <w:left w:val="none" w:sz="0" w:space="0" w:color="auto"/>
            <w:bottom w:val="none" w:sz="0" w:space="0" w:color="auto"/>
            <w:right w:val="none" w:sz="0" w:space="0" w:color="auto"/>
          </w:divBdr>
        </w:div>
        <w:div w:id="1728534177">
          <w:marLeft w:val="0"/>
          <w:marRight w:val="0"/>
          <w:marTop w:val="0"/>
          <w:marBottom w:val="0"/>
          <w:divBdr>
            <w:top w:val="none" w:sz="0" w:space="0" w:color="auto"/>
            <w:left w:val="none" w:sz="0" w:space="0" w:color="auto"/>
            <w:bottom w:val="none" w:sz="0" w:space="0" w:color="auto"/>
            <w:right w:val="none" w:sz="0" w:space="0" w:color="auto"/>
          </w:divBdr>
        </w:div>
        <w:div w:id="1755741714">
          <w:marLeft w:val="0"/>
          <w:marRight w:val="0"/>
          <w:marTop w:val="0"/>
          <w:marBottom w:val="0"/>
          <w:divBdr>
            <w:top w:val="none" w:sz="0" w:space="0" w:color="auto"/>
            <w:left w:val="none" w:sz="0" w:space="0" w:color="auto"/>
            <w:bottom w:val="none" w:sz="0" w:space="0" w:color="auto"/>
            <w:right w:val="none" w:sz="0" w:space="0" w:color="auto"/>
          </w:divBdr>
        </w:div>
        <w:div w:id="1763601915">
          <w:marLeft w:val="0"/>
          <w:marRight w:val="0"/>
          <w:marTop w:val="0"/>
          <w:marBottom w:val="0"/>
          <w:divBdr>
            <w:top w:val="none" w:sz="0" w:space="0" w:color="auto"/>
            <w:left w:val="none" w:sz="0" w:space="0" w:color="auto"/>
            <w:bottom w:val="none" w:sz="0" w:space="0" w:color="auto"/>
            <w:right w:val="none" w:sz="0" w:space="0" w:color="auto"/>
          </w:divBdr>
        </w:div>
        <w:div w:id="1764106632">
          <w:marLeft w:val="0"/>
          <w:marRight w:val="0"/>
          <w:marTop w:val="0"/>
          <w:marBottom w:val="0"/>
          <w:divBdr>
            <w:top w:val="none" w:sz="0" w:space="0" w:color="auto"/>
            <w:left w:val="none" w:sz="0" w:space="0" w:color="auto"/>
            <w:bottom w:val="none" w:sz="0" w:space="0" w:color="auto"/>
            <w:right w:val="none" w:sz="0" w:space="0" w:color="auto"/>
          </w:divBdr>
        </w:div>
        <w:div w:id="1865747482">
          <w:marLeft w:val="0"/>
          <w:marRight w:val="0"/>
          <w:marTop w:val="0"/>
          <w:marBottom w:val="0"/>
          <w:divBdr>
            <w:top w:val="none" w:sz="0" w:space="0" w:color="auto"/>
            <w:left w:val="none" w:sz="0" w:space="0" w:color="auto"/>
            <w:bottom w:val="none" w:sz="0" w:space="0" w:color="auto"/>
            <w:right w:val="none" w:sz="0" w:space="0" w:color="auto"/>
          </w:divBdr>
        </w:div>
        <w:div w:id="1929192778">
          <w:marLeft w:val="0"/>
          <w:marRight w:val="0"/>
          <w:marTop w:val="0"/>
          <w:marBottom w:val="0"/>
          <w:divBdr>
            <w:top w:val="none" w:sz="0" w:space="0" w:color="auto"/>
            <w:left w:val="none" w:sz="0" w:space="0" w:color="auto"/>
            <w:bottom w:val="none" w:sz="0" w:space="0" w:color="auto"/>
            <w:right w:val="none" w:sz="0" w:space="0" w:color="auto"/>
          </w:divBdr>
        </w:div>
        <w:div w:id="1950120258">
          <w:marLeft w:val="0"/>
          <w:marRight w:val="0"/>
          <w:marTop w:val="0"/>
          <w:marBottom w:val="0"/>
          <w:divBdr>
            <w:top w:val="none" w:sz="0" w:space="0" w:color="auto"/>
            <w:left w:val="none" w:sz="0" w:space="0" w:color="auto"/>
            <w:bottom w:val="none" w:sz="0" w:space="0" w:color="auto"/>
            <w:right w:val="none" w:sz="0" w:space="0" w:color="auto"/>
          </w:divBdr>
        </w:div>
        <w:div w:id="1982035304">
          <w:marLeft w:val="0"/>
          <w:marRight w:val="0"/>
          <w:marTop w:val="0"/>
          <w:marBottom w:val="0"/>
          <w:divBdr>
            <w:top w:val="none" w:sz="0" w:space="0" w:color="auto"/>
            <w:left w:val="none" w:sz="0" w:space="0" w:color="auto"/>
            <w:bottom w:val="none" w:sz="0" w:space="0" w:color="auto"/>
            <w:right w:val="none" w:sz="0" w:space="0" w:color="auto"/>
          </w:divBdr>
        </w:div>
      </w:divsChild>
    </w:div>
    <w:div w:id="13625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liker@igsenergy.com" TargetMode="External"/><Relationship Id="rId13" Type="http://schemas.openxmlformats.org/officeDocument/2006/relationships/hyperlink" Target="mailto:Christopher.Healey@occ.ohio.gov" TargetMode="External"/><Relationship Id="rId18" Type="http://schemas.openxmlformats.org/officeDocument/2006/relationships/hyperlink" Target="mailto:tdougherty@theoec.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dboehm@bkllawfirm.com" TargetMode="External"/><Relationship Id="rId7" Type="http://schemas.openxmlformats.org/officeDocument/2006/relationships/endnotes" Target="endnotes.xml"/><Relationship Id="rId12" Type="http://schemas.openxmlformats.org/officeDocument/2006/relationships/hyperlink" Target="mailto:William.Michael@occ.ohio.gov" TargetMode="External"/><Relationship Id="rId17" Type="http://schemas.openxmlformats.org/officeDocument/2006/relationships/hyperlink" Target="mailto:glover@whitt-sturtevant.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ampbell@whitt-sturtevant.com" TargetMode="External"/><Relationship Id="rId20" Type="http://schemas.openxmlformats.org/officeDocument/2006/relationships/hyperlink" Target="mailto:dparram@bricker.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carpenterlipps.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jnewman@environlaw.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mfleisher@elpc.org" TargetMode="External"/><Relationship Id="rId19" Type="http://schemas.openxmlformats.org/officeDocument/2006/relationships/hyperlink" Target="mailto:dborchers@bricker.com" TargetMode="External"/><Relationship Id="rId4" Type="http://schemas.openxmlformats.org/officeDocument/2006/relationships/settings" Target="settings.xml"/><Relationship Id="rId9" Type="http://schemas.openxmlformats.org/officeDocument/2006/relationships/hyperlink" Target="mailto:joliker@igsenergy.com" TargetMode="External"/><Relationship Id="rId14" Type="http://schemas.openxmlformats.org/officeDocument/2006/relationships/hyperlink" Target="mailto:daltman@environlaw.com" TargetMode="External"/><Relationship Id="rId22" Type="http://schemas.openxmlformats.org/officeDocument/2006/relationships/hyperlink" Target="mailto:mleppla@theoec.org"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uco.ohio.gov/industry-information/statistical-reports/electric-customer-choice-switch-rates-and-aggregation-activity/electric-switch-rates-by-customer/customers-1q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792E9-95A1-4883-851A-5B380469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3953</Words>
  <Characters>22773</Characters>
  <Application>Microsoft Office Word</Application>
  <DocSecurity>0</DocSecurity>
  <Lines>517</Lines>
  <Paragraphs>213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2017-10-26T16:38:00Z</dcterms:created>
  <dcterms:modified xsi:type="dcterms:W3CDTF">2017-10-26T21:03:00Z</dcterms:modified>
</cp:coreProperties>
</file>