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F03E4" w14:textId="77777777" w:rsidR="00AD41F9" w:rsidRPr="0097712F" w:rsidRDefault="00AD41F9" w:rsidP="00AD41F9">
      <w:pPr>
        <w:pStyle w:val="Title"/>
        <w:outlineLvl w:val="0"/>
        <w:rPr>
          <w:rFonts w:asciiTheme="minorHAnsi" w:hAnsiTheme="minorHAnsi" w:cstheme="minorHAnsi"/>
          <w:szCs w:val="24"/>
        </w:rPr>
      </w:pPr>
      <w:r w:rsidRPr="0097712F">
        <w:rPr>
          <w:rFonts w:asciiTheme="minorHAnsi" w:hAnsiTheme="minorHAnsi" w:cstheme="minorHAnsi"/>
          <w:szCs w:val="24"/>
        </w:rPr>
        <w:t>BEFORE</w:t>
      </w:r>
    </w:p>
    <w:p w14:paraId="1395050B" w14:textId="77777777" w:rsidR="00AD41F9" w:rsidRPr="0097712F" w:rsidRDefault="00AD41F9" w:rsidP="00AD41F9">
      <w:pPr>
        <w:jc w:val="center"/>
        <w:outlineLvl w:val="0"/>
        <w:rPr>
          <w:rFonts w:cstheme="minorHAnsi"/>
          <w:b/>
          <w:sz w:val="24"/>
          <w:szCs w:val="24"/>
        </w:rPr>
      </w:pPr>
      <w:r w:rsidRPr="0097712F">
        <w:rPr>
          <w:rFonts w:cstheme="minorHAnsi"/>
          <w:b/>
          <w:sz w:val="24"/>
          <w:szCs w:val="24"/>
        </w:rPr>
        <w:t>THE PUBLIC UTILITIES COMMISSION OF OHIO</w:t>
      </w:r>
    </w:p>
    <w:p w14:paraId="56EF27D9" w14:textId="77777777" w:rsidR="00AD41F9" w:rsidRDefault="00AD41F9" w:rsidP="00AD41F9">
      <w:pPr>
        <w:tabs>
          <w:tab w:val="left" w:pos="5040"/>
          <w:tab w:val="left" w:pos="5797"/>
          <w:tab w:val="left" w:pos="6919"/>
        </w:tabs>
        <w:spacing w:after="0" w:line="240" w:lineRule="auto"/>
        <w:rPr>
          <w:rFonts w:ascii="Calibri" w:hAnsi="Calibri"/>
          <w:sz w:val="24"/>
          <w:szCs w:val="24"/>
        </w:rPr>
      </w:pPr>
    </w:p>
    <w:p w14:paraId="2FD89A28" w14:textId="77777777" w:rsidR="00AD41F9" w:rsidRPr="0097712F" w:rsidRDefault="00AD41F9" w:rsidP="00AD41F9">
      <w:pPr>
        <w:tabs>
          <w:tab w:val="left" w:pos="5040"/>
          <w:tab w:val="left" w:pos="5797"/>
          <w:tab w:val="left" w:pos="6919"/>
        </w:tabs>
        <w:spacing w:after="0" w:line="240" w:lineRule="auto"/>
        <w:rPr>
          <w:rFonts w:ascii="Calibri" w:hAnsi="Calibri"/>
          <w:sz w:val="24"/>
          <w:szCs w:val="24"/>
        </w:rPr>
      </w:pPr>
      <w:r w:rsidRPr="0097712F">
        <w:rPr>
          <w:rFonts w:ascii="Calibri" w:hAnsi="Calibri"/>
          <w:sz w:val="24"/>
          <w:szCs w:val="24"/>
        </w:rPr>
        <w:t>In the Matter of the Application of</w:t>
      </w:r>
      <w:r>
        <w:rPr>
          <w:rFonts w:ascii="Calibri" w:hAnsi="Calibri"/>
          <w:sz w:val="24"/>
          <w:szCs w:val="24"/>
        </w:rPr>
        <w:t xml:space="preserve"> The Ohio</w:t>
      </w:r>
      <w:r w:rsidRPr="0097712F">
        <w:rPr>
          <w:rFonts w:ascii="Calibri" w:hAnsi="Calibri"/>
          <w:sz w:val="24"/>
          <w:szCs w:val="24"/>
        </w:rPr>
        <w:tab/>
        <w:t>)</w:t>
      </w:r>
    </w:p>
    <w:p w14:paraId="239EC0B5" w14:textId="77777777" w:rsidR="00AD41F9" w:rsidRPr="0097712F" w:rsidRDefault="00AD41F9" w:rsidP="00AD41F9">
      <w:pPr>
        <w:tabs>
          <w:tab w:val="left" w:pos="5040"/>
          <w:tab w:val="left" w:pos="5797"/>
          <w:tab w:val="left" w:pos="6919"/>
        </w:tabs>
        <w:spacing w:after="0" w:line="240" w:lineRule="auto"/>
        <w:rPr>
          <w:rFonts w:ascii="Calibri" w:hAnsi="Calibri"/>
          <w:sz w:val="24"/>
          <w:szCs w:val="24"/>
        </w:rPr>
      </w:pPr>
      <w:r>
        <w:rPr>
          <w:rFonts w:ascii="Calibri" w:hAnsi="Calibri"/>
          <w:sz w:val="24"/>
          <w:szCs w:val="24"/>
        </w:rPr>
        <w:t>Edison Company, The Cleveland Electric</w:t>
      </w:r>
      <w:r w:rsidRPr="0097712F">
        <w:rPr>
          <w:rFonts w:ascii="Calibri" w:hAnsi="Calibri"/>
          <w:sz w:val="24"/>
          <w:szCs w:val="24"/>
        </w:rPr>
        <w:t xml:space="preserve"> </w:t>
      </w:r>
      <w:r w:rsidRPr="0097712F">
        <w:rPr>
          <w:rFonts w:ascii="Calibri" w:hAnsi="Calibri"/>
          <w:sz w:val="24"/>
          <w:szCs w:val="24"/>
        </w:rPr>
        <w:tab/>
        <w:t>)</w:t>
      </w:r>
    </w:p>
    <w:p w14:paraId="1C53A0DE" w14:textId="77777777" w:rsidR="00AD41F9" w:rsidRPr="0097712F" w:rsidRDefault="00AD41F9" w:rsidP="00AD41F9">
      <w:pPr>
        <w:tabs>
          <w:tab w:val="left" w:pos="5040"/>
          <w:tab w:val="left" w:pos="5797"/>
          <w:tab w:val="left" w:pos="6919"/>
        </w:tabs>
        <w:spacing w:after="0" w:line="240" w:lineRule="auto"/>
        <w:rPr>
          <w:rFonts w:ascii="Calibri" w:hAnsi="Calibri"/>
          <w:sz w:val="24"/>
          <w:szCs w:val="24"/>
        </w:rPr>
      </w:pPr>
      <w:r>
        <w:rPr>
          <w:rFonts w:ascii="Calibri" w:hAnsi="Calibri"/>
          <w:sz w:val="24"/>
          <w:szCs w:val="24"/>
        </w:rPr>
        <w:t>Illuminating Company, and The Toledo Edison</w:t>
      </w:r>
      <w:r w:rsidRPr="0097712F">
        <w:rPr>
          <w:rFonts w:ascii="Calibri" w:hAnsi="Calibri"/>
          <w:sz w:val="24"/>
          <w:szCs w:val="24"/>
        </w:rPr>
        <w:tab/>
        <w:t>)</w:t>
      </w:r>
      <w:r w:rsidRPr="0097712F">
        <w:rPr>
          <w:rFonts w:ascii="Calibri" w:hAnsi="Calibri"/>
          <w:sz w:val="24"/>
          <w:szCs w:val="24"/>
        </w:rPr>
        <w:tab/>
        <w:t xml:space="preserve">Case No.  </w:t>
      </w:r>
      <w:r>
        <w:rPr>
          <w:rFonts w:ascii="Calibri" w:hAnsi="Calibri"/>
          <w:sz w:val="24"/>
          <w:szCs w:val="24"/>
        </w:rPr>
        <w:t>16-743</w:t>
      </w:r>
      <w:r w:rsidRPr="0097712F">
        <w:rPr>
          <w:rFonts w:ascii="Calibri" w:hAnsi="Calibri"/>
          <w:sz w:val="24"/>
          <w:szCs w:val="24"/>
        </w:rPr>
        <w:t>-EL-</w:t>
      </w:r>
      <w:r>
        <w:rPr>
          <w:rFonts w:ascii="Calibri" w:hAnsi="Calibri"/>
          <w:sz w:val="24"/>
          <w:szCs w:val="24"/>
        </w:rPr>
        <w:t>POR</w:t>
      </w:r>
    </w:p>
    <w:p w14:paraId="4F4F3891" w14:textId="77777777" w:rsidR="00AD41F9" w:rsidRPr="0097712F" w:rsidRDefault="00AD41F9" w:rsidP="00AD41F9">
      <w:pPr>
        <w:tabs>
          <w:tab w:val="left" w:pos="5040"/>
          <w:tab w:val="left" w:pos="5797"/>
          <w:tab w:val="left" w:pos="6919"/>
        </w:tabs>
        <w:spacing w:after="0" w:line="240" w:lineRule="auto"/>
        <w:rPr>
          <w:rFonts w:ascii="Calibri" w:hAnsi="Calibri"/>
          <w:sz w:val="24"/>
          <w:szCs w:val="24"/>
        </w:rPr>
      </w:pPr>
      <w:r>
        <w:rPr>
          <w:rFonts w:ascii="Calibri" w:hAnsi="Calibri"/>
          <w:sz w:val="24"/>
          <w:szCs w:val="24"/>
        </w:rPr>
        <w:t>Company for Approval of Their Energy Efficiency</w:t>
      </w:r>
      <w:r w:rsidRPr="0097712F">
        <w:rPr>
          <w:rFonts w:ascii="Calibri" w:hAnsi="Calibri"/>
          <w:sz w:val="24"/>
          <w:szCs w:val="24"/>
        </w:rPr>
        <w:tab/>
        <w:t>)</w:t>
      </w:r>
      <w:r w:rsidRPr="0097712F">
        <w:rPr>
          <w:rFonts w:ascii="Calibri" w:hAnsi="Calibri"/>
          <w:sz w:val="24"/>
          <w:szCs w:val="24"/>
        </w:rPr>
        <w:tab/>
      </w:r>
      <w:r w:rsidRPr="0097712F">
        <w:rPr>
          <w:rFonts w:ascii="Calibri" w:hAnsi="Calibri"/>
          <w:sz w:val="24"/>
          <w:szCs w:val="24"/>
        </w:rPr>
        <w:tab/>
      </w:r>
    </w:p>
    <w:p w14:paraId="2D39FD4D" w14:textId="77777777" w:rsidR="00AD41F9" w:rsidRPr="0097712F" w:rsidRDefault="00AD41F9" w:rsidP="00AD41F9">
      <w:pPr>
        <w:tabs>
          <w:tab w:val="left" w:pos="5040"/>
          <w:tab w:val="left" w:pos="5797"/>
          <w:tab w:val="left" w:pos="6919"/>
        </w:tabs>
        <w:spacing w:after="0" w:line="240" w:lineRule="auto"/>
        <w:rPr>
          <w:rFonts w:ascii="Calibri" w:hAnsi="Calibri"/>
          <w:sz w:val="24"/>
          <w:szCs w:val="24"/>
        </w:rPr>
      </w:pPr>
      <w:r>
        <w:rPr>
          <w:rFonts w:ascii="Calibri" w:hAnsi="Calibri"/>
          <w:sz w:val="24"/>
          <w:szCs w:val="24"/>
        </w:rPr>
        <w:t>and Peak Demand Reduction Program Portfolio</w:t>
      </w:r>
      <w:r w:rsidRPr="0097712F">
        <w:rPr>
          <w:rFonts w:ascii="Calibri" w:hAnsi="Calibri"/>
          <w:sz w:val="24"/>
          <w:szCs w:val="24"/>
        </w:rPr>
        <w:tab/>
        <w:t>)</w:t>
      </w:r>
      <w:r w:rsidRPr="0097712F">
        <w:rPr>
          <w:rFonts w:ascii="Calibri" w:hAnsi="Calibri"/>
          <w:sz w:val="24"/>
          <w:szCs w:val="24"/>
        </w:rPr>
        <w:tab/>
      </w:r>
      <w:r w:rsidRPr="0097712F">
        <w:rPr>
          <w:rFonts w:ascii="Calibri" w:hAnsi="Calibri"/>
          <w:sz w:val="24"/>
          <w:szCs w:val="24"/>
        </w:rPr>
        <w:tab/>
      </w:r>
    </w:p>
    <w:p w14:paraId="24B738A8" w14:textId="77777777" w:rsidR="00AD41F9" w:rsidRPr="0097712F" w:rsidRDefault="00AD41F9" w:rsidP="00AD41F9">
      <w:pPr>
        <w:tabs>
          <w:tab w:val="left" w:pos="5040"/>
          <w:tab w:val="left" w:pos="5797"/>
          <w:tab w:val="left" w:pos="6919"/>
        </w:tabs>
        <w:spacing w:after="0" w:line="240" w:lineRule="auto"/>
        <w:rPr>
          <w:rFonts w:cstheme="minorHAnsi"/>
          <w:sz w:val="24"/>
          <w:szCs w:val="24"/>
        </w:rPr>
      </w:pPr>
      <w:r>
        <w:rPr>
          <w:rFonts w:ascii="Calibri" w:hAnsi="Calibri"/>
          <w:sz w:val="24"/>
          <w:szCs w:val="24"/>
        </w:rPr>
        <w:t>Plans for 2017 through 2019</w:t>
      </w:r>
      <w:r w:rsidRPr="0097712F">
        <w:rPr>
          <w:rFonts w:ascii="Calibri" w:hAnsi="Calibri"/>
          <w:sz w:val="24"/>
          <w:szCs w:val="24"/>
        </w:rPr>
        <w:tab/>
        <w:t>)</w:t>
      </w:r>
    </w:p>
    <w:p w14:paraId="24055C06" w14:textId="77777777" w:rsidR="00AD41F9" w:rsidRPr="0097712F" w:rsidRDefault="00AD41F9" w:rsidP="00AD41F9">
      <w:pPr>
        <w:pBdr>
          <w:bottom w:val="single" w:sz="12" w:space="1" w:color="auto"/>
        </w:pBdr>
        <w:jc w:val="center"/>
        <w:rPr>
          <w:rFonts w:cstheme="minorHAnsi"/>
          <w:sz w:val="24"/>
          <w:szCs w:val="24"/>
        </w:rPr>
      </w:pPr>
    </w:p>
    <w:p w14:paraId="7CA82798" w14:textId="77777777" w:rsidR="00AD41F9" w:rsidRPr="0097712F" w:rsidRDefault="00AD41F9" w:rsidP="00AD41F9">
      <w:pPr>
        <w:spacing w:after="0" w:line="240" w:lineRule="auto"/>
        <w:jc w:val="center"/>
        <w:outlineLvl w:val="0"/>
        <w:rPr>
          <w:rFonts w:cstheme="minorHAnsi"/>
          <w:b/>
          <w:bCs/>
          <w:sz w:val="24"/>
          <w:szCs w:val="24"/>
        </w:rPr>
      </w:pPr>
      <w:r>
        <w:rPr>
          <w:rFonts w:cstheme="minorHAnsi"/>
          <w:b/>
          <w:bCs/>
          <w:sz w:val="24"/>
          <w:szCs w:val="24"/>
        </w:rPr>
        <w:t>COMMENTS</w:t>
      </w:r>
      <w:r w:rsidRPr="0097712F">
        <w:rPr>
          <w:rFonts w:cstheme="minorHAnsi"/>
          <w:b/>
          <w:bCs/>
          <w:sz w:val="24"/>
          <w:szCs w:val="24"/>
        </w:rPr>
        <w:t xml:space="preserve"> OF NUCOR STEEL MARION, INC.</w:t>
      </w:r>
      <w:r>
        <w:rPr>
          <w:rFonts w:cstheme="minorHAnsi"/>
          <w:b/>
          <w:bCs/>
          <w:sz w:val="24"/>
          <w:szCs w:val="24"/>
        </w:rPr>
        <w:t xml:space="preserve"> ON RIDER ELR</w:t>
      </w:r>
      <w:r w:rsidRPr="0097712F">
        <w:rPr>
          <w:rFonts w:cstheme="minorHAnsi"/>
          <w:b/>
          <w:bCs/>
          <w:sz w:val="24"/>
          <w:szCs w:val="24"/>
        </w:rPr>
        <w:t xml:space="preserve"> </w:t>
      </w:r>
      <w:r>
        <w:rPr>
          <w:rFonts w:cstheme="minorHAnsi"/>
          <w:b/>
          <w:bCs/>
          <w:sz w:val="24"/>
          <w:szCs w:val="24"/>
        </w:rPr>
        <w:t xml:space="preserve"> </w:t>
      </w:r>
    </w:p>
    <w:p w14:paraId="5A03F51E" w14:textId="77777777" w:rsidR="00AD41F9" w:rsidRPr="0097712F" w:rsidRDefault="00AD41F9" w:rsidP="00AD41F9">
      <w:pPr>
        <w:pBdr>
          <w:bottom w:val="single" w:sz="12" w:space="1" w:color="auto"/>
        </w:pBdr>
        <w:tabs>
          <w:tab w:val="left" w:pos="6461"/>
        </w:tabs>
        <w:rPr>
          <w:rFonts w:cstheme="minorHAnsi"/>
          <w:sz w:val="24"/>
          <w:szCs w:val="24"/>
        </w:rPr>
      </w:pPr>
      <w:r w:rsidRPr="0097712F">
        <w:rPr>
          <w:rFonts w:cstheme="minorHAnsi"/>
          <w:sz w:val="24"/>
          <w:szCs w:val="24"/>
        </w:rPr>
        <w:tab/>
      </w:r>
    </w:p>
    <w:p w14:paraId="15E19586" w14:textId="77777777" w:rsidR="00AD41F9" w:rsidRDefault="00AD41F9" w:rsidP="00AD41F9">
      <w:pPr>
        <w:spacing w:after="0" w:line="240" w:lineRule="auto"/>
        <w:ind w:left="4500"/>
        <w:rPr>
          <w:b/>
          <w:bCs/>
          <w:sz w:val="24"/>
          <w:szCs w:val="24"/>
        </w:rPr>
      </w:pPr>
    </w:p>
    <w:p w14:paraId="3BAD0875" w14:textId="782A4372" w:rsidR="00AD41F9" w:rsidRDefault="00AD41F9" w:rsidP="00AD41F9">
      <w:pPr>
        <w:spacing w:after="0" w:line="240" w:lineRule="auto"/>
        <w:ind w:left="4500"/>
        <w:rPr>
          <w:b/>
          <w:bCs/>
          <w:sz w:val="24"/>
          <w:szCs w:val="24"/>
        </w:rPr>
      </w:pPr>
    </w:p>
    <w:p w14:paraId="086A6F8B" w14:textId="7645D62C" w:rsidR="00AD41F9" w:rsidRDefault="00AD41F9" w:rsidP="00AD41F9">
      <w:pPr>
        <w:spacing w:after="0" w:line="240" w:lineRule="auto"/>
        <w:ind w:left="4500"/>
        <w:rPr>
          <w:b/>
          <w:bCs/>
          <w:sz w:val="24"/>
          <w:szCs w:val="24"/>
        </w:rPr>
      </w:pPr>
    </w:p>
    <w:p w14:paraId="70365C67" w14:textId="77777777" w:rsidR="00AD41F9" w:rsidRDefault="00AD41F9" w:rsidP="00AD41F9">
      <w:pPr>
        <w:spacing w:after="0" w:line="240" w:lineRule="auto"/>
        <w:ind w:left="4500"/>
        <w:rPr>
          <w:b/>
          <w:bCs/>
          <w:sz w:val="24"/>
          <w:szCs w:val="24"/>
        </w:rPr>
      </w:pPr>
    </w:p>
    <w:p w14:paraId="0FE1B6F0" w14:textId="0A320316" w:rsidR="00AD41F9" w:rsidRPr="00AD41F9" w:rsidRDefault="00AD41F9" w:rsidP="008929B8">
      <w:pPr>
        <w:spacing w:after="0" w:line="240" w:lineRule="auto"/>
        <w:ind w:left="4500"/>
        <w:rPr>
          <w:b/>
          <w:bCs/>
          <w:sz w:val="24"/>
          <w:szCs w:val="24"/>
        </w:rPr>
      </w:pPr>
      <w:r w:rsidRPr="00AD41F9">
        <w:rPr>
          <w:b/>
          <w:bCs/>
          <w:sz w:val="24"/>
          <w:szCs w:val="24"/>
        </w:rPr>
        <w:t>Michael K. Lavanga</w:t>
      </w:r>
    </w:p>
    <w:p w14:paraId="6133D733" w14:textId="77777777" w:rsidR="00AD41F9" w:rsidRPr="00AD41F9" w:rsidRDefault="00AD41F9" w:rsidP="008929B8">
      <w:pPr>
        <w:spacing w:after="0" w:line="240" w:lineRule="auto"/>
        <w:ind w:left="4500"/>
        <w:rPr>
          <w:b/>
          <w:bCs/>
          <w:sz w:val="24"/>
          <w:szCs w:val="24"/>
        </w:rPr>
      </w:pPr>
      <w:r w:rsidRPr="00AD41F9">
        <w:rPr>
          <w:b/>
          <w:bCs/>
          <w:sz w:val="24"/>
          <w:szCs w:val="24"/>
        </w:rPr>
        <w:t>PHV #1014-2021</w:t>
      </w:r>
    </w:p>
    <w:p w14:paraId="1CD39A58" w14:textId="77777777" w:rsidR="00AD41F9" w:rsidRPr="00AD41F9" w:rsidRDefault="00AD41F9" w:rsidP="008929B8">
      <w:pPr>
        <w:spacing w:after="0" w:line="240" w:lineRule="auto"/>
        <w:ind w:left="4500"/>
        <w:rPr>
          <w:b/>
          <w:bCs/>
          <w:sz w:val="24"/>
          <w:szCs w:val="24"/>
        </w:rPr>
      </w:pPr>
      <w:r w:rsidRPr="00AD41F9">
        <w:rPr>
          <w:b/>
          <w:bCs/>
          <w:sz w:val="24"/>
          <w:szCs w:val="24"/>
        </w:rPr>
        <w:t>E-Mail: mkl@smxblaw.com</w:t>
      </w:r>
    </w:p>
    <w:p w14:paraId="7CD4DB23" w14:textId="77777777" w:rsidR="00AD41F9" w:rsidRPr="00AD41F9" w:rsidRDefault="00AD41F9" w:rsidP="008929B8">
      <w:pPr>
        <w:spacing w:after="0" w:line="240" w:lineRule="auto"/>
        <w:ind w:left="4500"/>
        <w:rPr>
          <w:b/>
          <w:bCs/>
          <w:sz w:val="24"/>
          <w:szCs w:val="24"/>
        </w:rPr>
      </w:pPr>
      <w:r w:rsidRPr="00AD41F9">
        <w:rPr>
          <w:b/>
          <w:bCs/>
          <w:sz w:val="24"/>
          <w:szCs w:val="24"/>
        </w:rPr>
        <w:t>Counsel of Record</w:t>
      </w:r>
    </w:p>
    <w:p w14:paraId="0CE7BE43" w14:textId="3780BFE4" w:rsidR="00AD41F9" w:rsidRPr="00AD41F9" w:rsidRDefault="00AD41F9" w:rsidP="008929B8">
      <w:pPr>
        <w:spacing w:after="0" w:line="240" w:lineRule="auto"/>
        <w:ind w:left="4500"/>
        <w:rPr>
          <w:b/>
          <w:bCs/>
          <w:sz w:val="24"/>
          <w:szCs w:val="24"/>
        </w:rPr>
      </w:pPr>
      <w:r w:rsidRPr="00AD41F9">
        <w:rPr>
          <w:b/>
          <w:bCs/>
          <w:sz w:val="24"/>
          <w:szCs w:val="24"/>
        </w:rPr>
        <w:t>Stone Mattheis Xenopoulos &amp; Brew, PC</w:t>
      </w:r>
    </w:p>
    <w:p w14:paraId="317ABD39" w14:textId="77777777" w:rsidR="00AD41F9" w:rsidRPr="00AD41F9" w:rsidRDefault="00AD41F9" w:rsidP="008929B8">
      <w:pPr>
        <w:spacing w:after="0" w:line="240" w:lineRule="auto"/>
        <w:ind w:left="4500"/>
        <w:rPr>
          <w:b/>
          <w:bCs/>
          <w:sz w:val="24"/>
          <w:szCs w:val="24"/>
        </w:rPr>
      </w:pPr>
      <w:r w:rsidRPr="00AD41F9">
        <w:rPr>
          <w:b/>
          <w:bCs/>
          <w:sz w:val="24"/>
          <w:szCs w:val="24"/>
        </w:rPr>
        <w:t>1025 Thomas Jefferson Street, NW</w:t>
      </w:r>
    </w:p>
    <w:p w14:paraId="4CBA05FA" w14:textId="77777777" w:rsidR="00AD41F9" w:rsidRPr="00AD41F9" w:rsidRDefault="00AD41F9" w:rsidP="008929B8">
      <w:pPr>
        <w:spacing w:after="0" w:line="240" w:lineRule="auto"/>
        <w:ind w:left="4500"/>
        <w:rPr>
          <w:b/>
          <w:bCs/>
          <w:sz w:val="24"/>
          <w:szCs w:val="24"/>
        </w:rPr>
      </w:pPr>
      <w:r w:rsidRPr="00AD41F9">
        <w:rPr>
          <w:b/>
          <w:bCs/>
          <w:sz w:val="24"/>
          <w:szCs w:val="24"/>
        </w:rPr>
        <w:t xml:space="preserve">Suite 800 West </w:t>
      </w:r>
    </w:p>
    <w:p w14:paraId="17843299" w14:textId="77777777" w:rsidR="00AD41F9" w:rsidRPr="00AD41F9" w:rsidRDefault="00AD41F9" w:rsidP="008929B8">
      <w:pPr>
        <w:spacing w:after="0" w:line="240" w:lineRule="auto"/>
        <w:ind w:left="4500"/>
        <w:rPr>
          <w:b/>
          <w:bCs/>
          <w:sz w:val="24"/>
          <w:szCs w:val="24"/>
        </w:rPr>
      </w:pPr>
      <w:r w:rsidRPr="00AD41F9">
        <w:rPr>
          <w:b/>
          <w:bCs/>
          <w:sz w:val="24"/>
          <w:szCs w:val="24"/>
        </w:rPr>
        <w:t>Washington, DC 20007</w:t>
      </w:r>
    </w:p>
    <w:p w14:paraId="4595C4D7" w14:textId="77777777" w:rsidR="00AD41F9" w:rsidRPr="00AD41F9" w:rsidRDefault="00AD41F9" w:rsidP="008929B8">
      <w:pPr>
        <w:spacing w:after="0" w:line="240" w:lineRule="auto"/>
        <w:ind w:left="4500"/>
        <w:rPr>
          <w:b/>
          <w:bCs/>
          <w:sz w:val="24"/>
          <w:szCs w:val="24"/>
        </w:rPr>
      </w:pPr>
      <w:r w:rsidRPr="00AD41F9">
        <w:rPr>
          <w:b/>
          <w:bCs/>
          <w:sz w:val="24"/>
          <w:szCs w:val="24"/>
        </w:rPr>
        <w:t>(202) 342-0800 (Main Number)</w:t>
      </w:r>
    </w:p>
    <w:p w14:paraId="1DAD3ADC" w14:textId="77777777" w:rsidR="00AD41F9" w:rsidRPr="00AD41F9" w:rsidRDefault="00AD41F9" w:rsidP="008929B8">
      <w:pPr>
        <w:spacing w:after="0" w:line="240" w:lineRule="auto"/>
        <w:ind w:left="4500"/>
        <w:rPr>
          <w:b/>
          <w:bCs/>
          <w:sz w:val="24"/>
          <w:szCs w:val="24"/>
        </w:rPr>
      </w:pPr>
      <w:r w:rsidRPr="00AD41F9">
        <w:rPr>
          <w:b/>
          <w:bCs/>
          <w:sz w:val="24"/>
          <w:szCs w:val="24"/>
        </w:rPr>
        <w:t>(202) 342-0807 (Facsimile)</w:t>
      </w:r>
    </w:p>
    <w:p w14:paraId="19B7B9BB" w14:textId="77777777" w:rsidR="00AD41F9" w:rsidRPr="00AD41F9" w:rsidRDefault="00AD41F9" w:rsidP="008929B8">
      <w:pPr>
        <w:spacing w:after="0" w:line="240" w:lineRule="auto"/>
        <w:ind w:left="4500"/>
        <w:rPr>
          <w:b/>
          <w:bCs/>
          <w:sz w:val="24"/>
          <w:szCs w:val="24"/>
        </w:rPr>
      </w:pPr>
      <w:r w:rsidRPr="00AD41F9">
        <w:rPr>
          <w:b/>
          <w:bCs/>
          <w:sz w:val="24"/>
          <w:szCs w:val="24"/>
        </w:rPr>
        <w:t>(willing to accept service by e-mail)</w:t>
      </w:r>
    </w:p>
    <w:p w14:paraId="5F8C4B51" w14:textId="77777777" w:rsidR="00AD41F9" w:rsidRPr="00AD41F9" w:rsidRDefault="00AD41F9" w:rsidP="008929B8">
      <w:pPr>
        <w:spacing w:after="0" w:line="240" w:lineRule="auto"/>
        <w:ind w:left="4500"/>
        <w:rPr>
          <w:b/>
          <w:bCs/>
          <w:sz w:val="24"/>
          <w:szCs w:val="24"/>
        </w:rPr>
      </w:pPr>
    </w:p>
    <w:p w14:paraId="64DF6653" w14:textId="243244A9" w:rsidR="00AD41F9" w:rsidRDefault="00AD41F9" w:rsidP="008929B8">
      <w:pPr>
        <w:spacing w:after="0" w:line="240" w:lineRule="auto"/>
        <w:ind w:left="4500"/>
        <w:rPr>
          <w:b/>
          <w:bCs/>
          <w:sz w:val="24"/>
          <w:szCs w:val="24"/>
        </w:rPr>
      </w:pPr>
      <w:r w:rsidRPr="00AD41F9">
        <w:rPr>
          <w:b/>
          <w:bCs/>
          <w:sz w:val="24"/>
          <w:szCs w:val="24"/>
        </w:rPr>
        <w:t>Attorney for Nucor Steel Marion, Inc</w:t>
      </w:r>
    </w:p>
    <w:p w14:paraId="3ED2C87D" w14:textId="77777777" w:rsidR="00AD41F9" w:rsidRDefault="00AD41F9" w:rsidP="0097712F">
      <w:pPr>
        <w:pStyle w:val="Title"/>
        <w:outlineLvl w:val="0"/>
        <w:rPr>
          <w:rFonts w:asciiTheme="minorHAnsi" w:hAnsiTheme="minorHAnsi" w:cstheme="minorHAnsi"/>
          <w:szCs w:val="24"/>
        </w:rPr>
        <w:sectPr w:rsidR="00AD41F9">
          <w:headerReference w:type="default" r:id="rId8"/>
          <w:footerReference w:type="default" r:id="rId9"/>
          <w:pgSz w:w="12240" w:h="15840"/>
          <w:pgMar w:top="1440" w:right="1440" w:bottom="1440" w:left="1440" w:header="720" w:footer="720" w:gutter="0"/>
          <w:cols w:space="720"/>
          <w:docGrid w:linePitch="360"/>
        </w:sectPr>
      </w:pPr>
    </w:p>
    <w:p w14:paraId="2611F882" w14:textId="3C9F1AC5" w:rsidR="0097712F" w:rsidRPr="0097712F" w:rsidRDefault="0097712F" w:rsidP="0097712F">
      <w:pPr>
        <w:pStyle w:val="Title"/>
        <w:outlineLvl w:val="0"/>
        <w:rPr>
          <w:rFonts w:asciiTheme="minorHAnsi" w:hAnsiTheme="minorHAnsi" w:cstheme="minorHAnsi"/>
          <w:szCs w:val="24"/>
        </w:rPr>
      </w:pPr>
      <w:r w:rsidRPr="0097712F">
        <w:rPr>
          <w:rFonts w:asciiTheme="minorHAnsi" w:hAnsiTheme="minorHAnsi" w:cstheme="minorHAnsi"/>
          <w:szCs w:val="24"/>
        </w:rPr>
        <w:lastRenderedPageBreak/>
        <w:t>BEFORE</w:t>
      </w:r>
    </w:p>
    <w:p w14:paraId="1A7752FE" w14:textId="77777777" w:rsidR="0097712F" w:rsidRPr="0097712F" w:rsidRDefault="0097712F" w:rsidP="0097712F">
      <w:pPr>
        <w:jc w:val="center"/>
        <w:outlineLvl w:val="0"/>
        <w:rPr>
          <w:rFonts w:cstheme="minorHAnsi"/>
          <w:b/>
          <w:sz w:val="24"/>
          <w:szCs w:val="24"/>
        </w:rPr>
      </w:pPr>
      <w:r w:rsidRPr="0097712F">
        <w:rPr>
          <w:rFonts w:cstheme="minorHAnsi"/>
          <w:b/>
          <w:sz w:val="24"/>
          <w:szCs w:val="24"/>
        </w:rPr>
        <w:t>THE PUBLIC UTILITIES COMMISSION OF OHIO</w:t>
      </w:r>
    </w:p>
    <w:p w14:paraId="070182AE" w14:textId="77777777" w:rsidR="0097712F" w:rsidRDefault="0097712F" w:rsidP="0097712F">
      <w:pPr>
        <w:tabs>
          <w:tab w:val="left" w:pos="5040"/>
          <w:tab w:val="left" w:pos="5797"/>
          <w:tab w:val="left" w:pos="6919"/>
        </w:tabs>
        <w:spacing w:after="0" w:line="240" w:lineRule="auto"/>
        <w:rPr>
          <w:rFonts w:ascii="Calibri" w:hAnsi="Calibri"/>
          <w:sz w:val="24"/>
          <w:szCs w:val="24"/>
        </w:rPr>
      </w:pPr>
    </w:p>
    <w:p w14:paraId="5CFD9E71" w14:textId="76426CBF" w:rsidR="0097712F" w:rsidRPr="0097712F" w:rsidRDefault="0097712F" w:rsidP="0097712F">
      <w:pPr>
        <w:tabs>
          <w:tab w:val="left" w:pos="5040"/>
          <w:tab w:val="left" w:pos="5797"/>
          <w:tab w:val="left" w:pos="6919"/>
        </w:tabs>
        <w:spacing w:after="0" w:line="240" w:lineRule="auto"/>
        <w:rPr>
          <w:rFonts w:ascii="Calibri" w:hAnsi="Calibri"/>
          <w:sz w:val="24"/>
          <w:szCs w:val="24"/>
        </w:rPr>
      </w:pPr>
      <w:r w:rsidRPr="0097712F">
        <w:rPr>
          <w:rFonts w:ascii="Calibri" w:hAnsi="Calibri"/>
          <w:sz w:val="24"/>
          <w:szCs w:val="24"/>
        </w:rPr>
        <w:t>In the Matter of the Application of</w:t>
      </w:r>
      <w:r>
        <w:rPr>
          <w:rFonts w:ascii="Calibri" w:hAnsi="Calibri"/>
          <w:sz w:val="24"/>
          <w:szCs w:val="24"/>
        </w:rPr>
        <w:t xml:space="preserve"> The Ohio</w:t>
      </w:r>
      <w:r w:rsidRPr="0097712F">
        <w:rPr>
          <w:rFonts w:ascii="Calibri" w:hAnsi="Calibri"/>
          <w:sz w:val="24"/>
          <w:szCs w:val="24"/>
        </w:rPr>
        <w:tab/>
        <w:t>)</w:t>
      </w:r>
    </w:p>
    <w:p w14:paraId="08B44C0A" w14:textId="6DFEC1DC" w:rsidR="0097712F" w:rsidRPr="0097712F" w:rsidRDefault="0097712F" w:rsidP="0097712F">
      <w:pPr>
        <w:tabs>
          <w:tab w:val="left" w:pos="5040"/>
          <w:tab w:val="left" w:pos="5797"/>
          <w:tab w:val="left" w:pos="6919"/>
        </w:tabs>
        <w:spacing w:after="0" w:line="240" w:lineRule="auto"/>
        <w:rPr>
          <w:rFonts w:ascii="Calibri" w:hAnsi="Calibri"/>
          <w:sz w:val="24"/>
          <w:szCs w:val="24"/>
        </w:rPr>
      </w:pPr>
      <w:r>
        <w:rPr>
          <w:rFonts w:ascii="Calibri" w:hAnsi="Calibri"/>
          <w:sz w:val="24"/>
          <w:szCs w:val="24"/>
        </w:rPr>
        <w:t>Edison Company, The Cleveland Electric</w:t>
      </w:r>
      <w:r w:rsidRPr="0097712F">
        <w:rPr>
          <w:rFonts w:ascii="Calibri" w:hAnsi="Calibri"/>
          <w:sz w:val="24"/>
          <w:szCs w:val="24"/>
        </w:rPr>
        <w:t xml:space="preserve"> </w:t>
      </w:r>
      <w:r w:rsidRPr="0097712F">
        <w:rPr>
          <w:rFonts w:ascii="Calibri" w:hAnsi="Calibri"/>
          <w:sz w:val="24"/>
          <w:szCs w:val="24"/>
        </w:rPr>
        <w:tab/>
        <w:t>)</w:t>
      </w:r>
    </w:p>
    <w:p w14:paraId="07D5E032" w14:textId="58F084F9" w:rsidR="0097712F" w:rsidRPr="0097712F" w:rsidRDefault="0097712F" w:rsidP="0097712F">
      <w:pPr>
        <w:tabs>
          <w:tab w:val="left" w:pos="5040"/>
          <w:tab w:val="left" w:pos="5797"/>
          <w:tab w:val="left" w:pos="6919"/>
        </w:tabs>
        <w:spacing w:after="0" w:line="240" w:lineRule="auto"/>
        <w:rPr>
          <w:rFonts w:ascii="Calibri" w:hAnsi="Calibri"/>
          <w:sz w:val="24"/>
          <w:szCs w:val="24"/>
        </w:rPr>
      </w:pPr>
      <w:r>
        <w:rPr>
          <w:rFonts w:ascii="Calibri" w:hAnsi="Calibri"/>
          <w:sz w:val="24"/>
          <w:szCs w:val="24"/>
        </w:rPr>
        <w:t>Illuminating Company, and The Toledo Edison</w:t>
      </w:r>
      <w:r w:rsidRPr="0097712F">
        <w:rPr>
          <w:rFonts w:ascii="Calibri" w:hAnsi="Calibri"/>
          <w:sz w:val="24"/>
          <w:szCs w:val="24"/>
        </w:rPr>
        <w:tab/>
        <w:t>)</w:t>
      </w:r>
      <w:r w:rsidRPr="0097712F">
        <w:rPr>
          <w:rFonts w:ascii="Calibri" w:hAnsi="Calibri"/>
          <w:sz w:val="24"/>
          <w:szCs w:val="24"/>
        </w:rPr>
        <w:tab/>
        <w:t xml:space="preserve">Case No.  </w:t>
      </w:r>
      <w:r>
        <w:rPr>
          <w:rFonts w:ascii="Calibri" w:hAnsi="Calibri"/>
          <w:sz w:val="24"/>
          <w:szCs w:val="24"/>
        </w:rPr>
        <w:t>16-743</w:t>
      </w:r>
      <w:r w:rsidRPr="0097712F">
        <w:rPr>
          <w:rFonts w:ascii="Calibri" w:hAnsi="Calibri"/>
          <w:sz w:val="24"/>
          <w:szCs w:val="24"/>
        </w:rPr>
        <w:t>-EL-</w:t>
      </w:r>
      <w:r>
        <w:rPr>
          <w:rFonts w:ascii="Calibri" w:hAnsi="Calibri"/>
          <w:sz w:val="24"/>
          <w:szCs w:val="24"/>
        </w:rPr>
        <w:t>POR</w:t>
      </w:r>
    </w:p>
    <w:p w14:paraId="3306995C" w14:textId="6C5EE0DF" w:rsidR="0097712F" w:rsidRPr="0097712F" w:rsidRDefault="0097712F" w:rsidP="0097712F">
      <w:pPr>
        <w:tabs>
          <w:tab w:val="left" w:pos="5040"/>
          <w:tab w:val="left" w:pos="5797"/>
          <w:tab w:val="left" w:pos="6919"/>
        </w:tabs>
        <w:spacing w:after="0" w:line="240" w:lineRule="auto"/>
        <w:rPr>
          <w:rFonts w:ascii="Calibri" w:hAnsi="Calibri"/>
          <w:sz w:val="24"/>
          <w:szCs w:val="24"/>
        </w:rPr>
      </w:pPr>
      <w:r>
        <w:rPr>
          <w:rFonts w:ascii="Calibri" w:hAnsi="Calibri"/>
          <w:sz w:val="24"/>
          <w:szCs w:val="24"/>
        </w:rPr>
        <w:t>Company for Approval of Their Energy Efficiency</w:t>
      </w:r>
      <w:r w:rsidRPr="0097712F">
        <w:rPr>
          <w:rFonts w:ascii="Calibri" w:hAnsi="Calibri"/>
          <w:sz w:val="24"/>
          <w:szCs w:val="24"/>
        </w:rPr>
        <w:tab/>
        <w:t>)</w:t>
      </w:r>
      <w:r w:rsidRPr="0097712F">
        <w:rPr>
          <w:rFonts w:ascii="Calibri" w:hAnsi="Calibri"/>
          <w:sz w:val="24"/>
          <w:szCs w:val="24"/>
        </w:rPr>
        <w:tab/>
      </w:r>
      <w:r w:rsidRPr="0097712F">
        <w:rPr>
          <w:rFonts w:ascii="Calibri" w:hAnsi="Calibri"/>
          <w:sz w:val="24"/>
          <w:szCs w:val="24"/>
        </w:rPr>
        <w:tab/>
      </w:r>
    </w:p>
    <w:p w14:paraId="1F3624EF" w14:textId="27D343FE" w:rsidR="0097712F" w:rsidRPr="0097712F" w:rsidRDefault="0097712F" w:rsidP="0097712F">
      <w:pPr>
        <w:tabs>
          <w:tab w:val="left" w:pos="5040"/>
          <w:tab w:val="left" w:pos="5797"/>
          <w:tab w:val="left" w:pos="6919"/>
        </w:tabs>
        <w:spacing w:after="0" w:line="240" w:lineRule="auto"/>
        <w:rPr>
          <w:rFonts w:ascii="Calibri" w:hAnsi="Calibri"/>
          <w:sz w:val="24"/>
          <w:szCs w:val="24"/>
        </w:rPr>
      </w:pPr>
      <w:r>
        <w:rPr>
          <w:rFonts w:ascii="Calibri" w:hAnsi="Calibri"/>
          <w:sz w:val="24"/>
          <w:szCs w:val="24"/>
        </w:rPr>
        <w:t>and Peak Demand Reduction Program Portfolio</w:t>
      </w:r>
      <w:r w:rsidRPr="0097712F">
        <w:rPr>
          <w:rFonts w:ascii="Calibri" w:hAnsi="Calibri"/>
          <w:sz w:val="24"/>
          <w:szCs w:val="24"/>
        </w:rPr>
        <w:tab/>
        <w:t>)</w:t>
      </w:r>
      <w:r w:rsidRPr="0097712F">
        <w:rPr>
          <w:rFonts w:ascii="Calibri" w:hAnsi="Calibri"/>
          <w:sz w:val="24"/>
          <w:szCs w:val="24"/>
        </w:rPr>
        <w:tab/>
      </w:r>
      <w:r w:rsidRPr="0097712F">
        <w:rPr>
          <w:rFonts w:ascii="Calibri" w:hAnsi="Calibri"/>
          <w:sz w:val="24"/>
          <w:szCs w:val="24"/>
        </w:rPr>
        <w:tab/>
      </w:r>
    </w:p>
    <w:p w14:paraId="04F678B1" w14:textId="6748EAD1" w:rsidR="0097712F" w:rsidRPr="0097712F" w:rsidRDefault="0097712F" w:rsidP="0097712F">
      <w:pPr>
        <w:tabs>
          <w:tab w:val="left" w:pos="5040"/>
          <w:tab w:val="left" w:pos="5797"/>
          <w:tab w:val="left" w:pos="6919"/>
        </w:tabs>
        <w:spacing w:after="0" w:line="240" w:lineRule="auto"/>
        <w:rPr>
          <w:rFonts w:cstheme="minorHAnsi"/>
          <w:sz w:val="24"/>
          <w:szCs w:val="24"/>
        </w:rPr>
      </w:pPr>
      <w:r>
        <w:rPr>
          <w:rFonts w:ascii="Calibri" w:hAnsi="Calibri"/>
          <w:sz w:val="24"/>
          <w:szCs w:val="24"/>
        </w:rPr>
        <w:t>Plans for 2017 through 2019</w:t>
      </w:r>
      <w:r w:rsidRPr="0097712F">
        <w:rPr>
          <w:rFonts w:ascii="Calibri" w:hAnsi="Calibri"/>
          <w:sz w:val="24"/>
          <w:szCs w:val="24"/>
        </w:rPr>
        <w:tab/>
        <w:t>)</w:t>
      </w:r>
    </w:p>
    <w:p w14:paraId="7E80D8AB" w14:textId="77777777" w:rsidR="0097712F" w:rsidRPr="0097712F" w:rsidRDefault="0097712F" w:rsidP="0097712F">
      <w:pPr>
        <w:pBdr>
          <w:bottom w:val="single" w:sz="12" w:space="1" w:color="auto"/>
        </w:pBdr>
        <w:jc w:val="center"/>
        <w:rPr>
          <w:rFonts w:cstheme="minorHAnsi"/>
          <w:sz w:val="24"/>
          <w:szCs w:val="24"/>
        </w:rPr>
      </w:pPr>
    </w:p>
    <w:p w14:paraId="4BA03B36" w14:textId="02DA5026" w:rsidR="0097712F" w:rsidRPr="0097712F" w:rsidRDefault="0097712F" w:rsidP="00337290">
      <w:pPr>
        <w:spacing w:after="0" w:line="240" w:lineRule="auto"/>
        <w:jc w:val="center"/>
        <w:outlineLvl w:val="0"/>
        <w:rPr>
          <w:rFonts w:cstheme="minorHAnsi"/>
          <w:b/>
          <w:bCs/>
          <w:sz w:val="24"/>
          <w:szCs w:val="24"/>
        </w:rPr>
      </w:pPr>
      <w:r>
        <w:rPr>
          <w:rFonts w:cstheme="minorHAnsi"/>
          <w:b/>
          <w:bCs/>
          <w:sz w:val="24"/>
          <w:szCs w:val="24"/>
        </w:rPr>
        <w:t>COMMENTS</w:t>
      </w:r>
      <w:r w:rsidRPr="0097712F">
        <w:rPr>
          <w:rFonts w:cstheme="minorHAnsi"/>
          <w:b/>
          <w:bCs/>
          <w:sz w:val="24"/>
          <w:szCs w:val="24"/>
        </w:rPr>
        <w:t xml:space="preserve"> OF NUCOR STEEL MARION, INC.</w:t>
      </w:r>
      <w:r>
        <w:rPr>
          <w:rFonts w:cstheme="minorHAnsi"/>
          <w:b/>
          <w:bCs/>
          <w:sz w:val="24"/>
          <w:szCs w:val="24"/>
        </w:rPr>
        <w:t xml:space="preserve"> ON RIDER ELR</w:t>
      </w:r>
      <w:r w:rsidRPr="0097712F">
        <w:rPr>
          <w:rFonts w:cstheme="minorHAnsi"/>
          <w:b/>
          <w:bCs/>
          <w:sz w:val="24"/>
          <w:szCs w:val="24"/>
        </w:rPr>
        <w:t xml:space="preserve"> </w:t>
      </w:r>
      <w:r w:rsidR="00F6484D">
        <w:rPr>
          <w:rFonts w:cstheme="minorHAnsi"/>
          <w:b/>
          <w:bCs/>
          <w:sz w:val="24"/>
          <w:szCs w:val="24"/>
        </w:rPr>
        <w:t xml:space="preserve"> </w:t>
      </w:r>
    </w:p>
    <w:p w14:paraId="3EA0DCE4" w14:textId="6CB78C8A" w:rsidR="0097712F" w:rsidRPr="0097712F" w:rsidRDefault="0097712F" w:rsidP="0097712F">
      <w:pPr>
        <w:pBdr>
          <w:bottom w:val="single" w:sz="12" w:space="1" w:color="auto"/>
        </w:pBdr>
        <w:tabs>
          <w:tab w:val="left" w:pos="6461"/>
        </w:tabs>
        <w:rPr>
          <w:rFonts w:cstheme="minorHAnsi"/>
          <w:sz w:val="24"/>
          <w:szCs w:val="24"/>
        </w:rPr>
      </w:pPr>
      <w:r w:rsidRPr="0097712F">
        <w:rPr>
          <w:rFonts w:cstheme="minorHAnsi"/>
          <w:sz w:val="24"/>
          <w:szCs w:val="24"/>
        </w:rPr>
        <w:tab/>
      </w:r>
    </w:p>
    <w:p w14:paraId="6D1D0188" w14:textId="77777777" w:rsidR="00337290" w:rsidRDefault="00337290" w:rsidP="00337290">
      <w:pPr>
        <w:spacing w:after="0" w:line="240" w:lineRule="auto"/>
        <w:rPr>
          <w:b/>
          <w:bCs/>
          <w:sz w:val="24"/>
          <w:szCs w:val="24"/>
        </w:rPr>
      </w:pPr>
      <w:r>
        <w:rPr>
          <w:b/>
          <w:bCs/>
          <w:sz w:val="24"/>
          <w:szCs w:val="24"/>
        </w:rPr>
        <w:tab/>
      </w:r>
    </w:p>
    <w:p w14:paraId="6D923C63" w14:textId="619DCDD5" w:rsidR="0097712F" w:rsidRPr="0097712F" w:rsidRDefault="00337290" w:rsidP="005A6E6B">
      <w:pPr>
        <w:spacing w:after="0" w:line="480" w:lineRule="auto"/>
        <w:rPr>
          <w:sz w:val="24"/>
          <w:szCs w:val="24"/>
        </w:rPr>
      </w:pPr>
      <w:r>
        <w:rPr>
          <w:b/>
          <w:bCs/>
          <w:sz w:val="24"/>
          <w:szCs w:val="24"/>
        </w:rPr>
        <w:tab/>
      </w:r>
      <w:r>
        <w:rPr>
          <w:sz w:val="24"/>
          <w:szCs w:val="24"/>
        </w:rPr>
        <w:t xml:space="preserve">Pursuant to the Fifth Entry on Rehearing in the above-captioned case issued on February 24, 2021, Nucor Steel Marion, Inc. (“Nucor”) respectfully submits these comments on whether Rider ELR is an energy efficiency program established pursuant to the mandates contained in R.C. </w:t>
      </w:r>
      <w:r w:rsidR="00A00459">
        <w:rPr>
          <w:sz w:val="24"/>
          <w:szCs w:val="24"/>
        </w:rPr>
        <w:t xml:space="preserve">§ </w:t>
      </w:r>
      <w:r>
        <w:rPr>
          <w:sz w:val="24"/>
          <w:szCs w:val="24"/>
        </w:rPr>
        <w:t>4928.66.</w:t>
      </w:r>
      <w:r w:rsidR="005A6E6B">
        <w:rPr>
          <w:sz w:val="24"/>
          <w:szCs w:val="24"/>
        </w:rPr>
        <w:t xml:space="preserve">  As discussed further below, Rider ELR is</w:t>
      </w:r>
      <w:r w:rsidR="004E6D87">
        <w:rPr>
          <w:sz w:val="24"/>
          <w:szCs w:val="24"/>
        </w:rPr>
        <w:t xml:space="preserve"> an interruptible rate approved as part of FirstEnergy’s standard service offer </w:t>
      </w:r>
      <w:r w:rsidR="002F351C">
        <w:rPr>
          <w:sz w:val="24"/>
          <w:szCs w:val="24"/>
        </w:rPr>
        <w:t xml:space="preserve">(“SSO”) </w:t>
      </w:r>
      <w:r w:rsidR="00765122">
        <w:rPr>
          <w:sz w:val="24"/>
          <w:szCs w:val="24"/>
        </w:rPr>
        <w:t>rate plans</w:t>
      </w:r>
      <w:r w:rsidR="00B461E0">
        <w:rPr>
          <w:sz w:val="24"/>
          <w:szCs w:val="24"/>
        </w:rPr>
        <w:t xml:space="preserve"> primarily intended to support economic development and industry retention and to enhance grid reliability</w:t>
      </w:r>
      <w:r w:rsidR="004E6D87">
        <w:rPr>
          <w:sz w:val="24"/>
          <w:szCs w:val="24"/>
        </w:rPr>
        <w:t xml:space="preserve"> and is</w:t>
      </w:r>
      <w:r w:rsidR="005A6E6B">
        <w:rPr>
          <w:sz w:val="24"/>
          <w:szCs w:val="24"/>
        </w:rPr>
        <w:t xml:space="preserve"> not an energy efficiency program established pursuant to the statutory energy efficiency mandates</w:t>
      </w:r>
      <w:r w:rsidR="004E6D87">
        <w:rPr>
          <w:sz w:val="24"/>
          <w:szCs w:val="24"/>
        </w:rPr>
        <w:t>.</w:t>
      </w:r>
      <w:r w:rsidR="00B461E0">
        <w:rPr>
          <w:sz w:val="24"/>
          <w:szCs w:val="24"/>
        </w:rPr>
        <w:t xml:space="preserve">  The history of the rider and the Commission proceedings addressing it, as well as the applicable statute, do not require or support termination of the rider.</w:t>
      </w:r>
      <w:r w:rsidR="004E6D87">
        <w:rPr>
          <w:sz w:val="24"/>
          <w:szCs w:val="24"/>
        </w:rPr>
        <w:t xml:space="preserve">  A</w:t>
      </w:r>
      <w:r w:rsidR="005A6E6B">
        <w:rPr>
          <w:sz w:val="24"/>
          <w:szCs w:val="24"/>
        </w:rPr>
        <w:t>ccordingly</w:t>
      </w:r>
      <w:r w:rsidR="00063AC1">
        <w:rPr>
          <w:sz w:val="24"/>
          <w:szCs w:val="24"/>
        </w:rPr>
        <w:t>,</w:t>
      </w:r>
      <w:r w:rsidR="005A6E6B">
        <w:rPr>
          <w:sz w:val="24"/>
          <w:szCs w:val="24"/>
        </w:rPr>
        <w:t xml:space="preserve"> </w:t>
      </w:r>
      <w:r w:rsidR="004E6D87">
        <w:rPr>
          <w:sz w:val="24"/>
          <w:szCs w:val="24"/>
        </w:rPr>
        <w:t xml:space="preserve">Rider ELR </w:t>
      </w:r>
      <w:r w:rsidR="005A6E6B">
        <w:rPr>
          <w:sz w:val="24"/>
          <w:szCs w:val="24"/>
        </w:rPr>
        <w:t xml:space="preserve">should not be terminated pursuant to R.C. </w:t>
      </w:r>
      <w:r w:rsidR="00A00459">
        <w:rPr>
          <w:sz w:val="24"/>
          <w:szCs w:val="24"/>
        </w:rPr>
        <w:t xml:space="preserve">§ </w:t>
      </w:r>
      <w:r w:rsidR="005A6E6B">
        <w:rPr>
          <w:sz w:val="24"/>
          <w:szCs w:val="24"/>
        </w:rPr>
        <w:t>4928.66(G).</w:t>
      </w:r>
      <w:r>
        <w:rPr>
          <w:sz w:val="24"/>
          <w:szCs w:val="24"/>
        </w:rPr>
        <w:t xml:space="preserve">  </w:t>
      </w:r>
    </w:p>
    <w:p w14:paraId="4BD96939" w14:textId="2F72EE49" w:rsidR="002D5A7A" w:rsidRDefault="00995896" w:rsidP="00E12B98">
      <w:pPr>
        <w:spacing w:after="0" w:line="480" w:lineRule="auto"/>
        <w:rPr>
          <w:b/>
          <w:bCs/>
          <w:sz w:val="24"/>
          <w:szCs w:val="24"/>
        </w:rPr>
      </w:pPr>
      <w:r w:rsidRPr="00633056">
        <w:rPr>
          <w:b/>
          <w:bCs/>
          <w:sz w:val="24"/>
          <w:szCs w:val="24"/>
        </w:rPr>
        <w:t>I.</w:t>
      </w:r>
      <w:r w:rsidRPr="00633056">
        <w:rPr>
          <w:b/>
          <w:bCs/>
          <w:sz w:val="24"/>
          <w:szCs w:val="24"/>
        </w:rPr>
        <w:tab/>
      </w:r>
      <w:r w:rsidR="002D5A7A">
        <w:rPr>
          <w:b/>
          <w:bCs/>
          <w:sz w:val="24"/>
          <w:szCs w:val="24"/>
        </w:rPr>
        <w:t>COMMENTS</w:t>
      </w:r>
    </w:p>
    <w:p w14:paraId="7430C43A" w14:textId="69803402" w:rsidR="005379A9" w:rsidRDefault="002D5A7A" w:rsidP="00E12B98">
      <w:pPr>
        <w:spacing w:after="0" w:line="480" w:lineRule="auto"/>
        <w:rPr>
          <w:b/>
          <w:bCs/>
          <w:sz w:val="24"/>
          <w:szCs w:val="24"/>
        </w:rPr>
      </w:pPr>
      <w:r>
        <w:rPr>
          <w:b/>
          <w:bCs/>
          <w:sz w:val="24"/>
          <w:szCs w:val="24"/>
        </w:rPr>
        <w:tab/>
        <w:t>A.</w:t>
      </w:r>
      <w:r>
        <w:rPr>
          <w:b/>
          <w:bCs/>
          <w:sz w:val="24"/>
          <w:szCs w:val="24"/>
        </w:rPr>
        <w:tab/>
        <w:t>Introduction</w:t>
      </w:r>
      <w:r w:rsidR="00B461E0">
        <w:rPr>
          <w:b/>
          <w:bCs/>
          <w:sz w:val="24"/>
          <w:szCs w:val="24"/>
        </w:rPr>
        <w:t xml:space="preserve"> and Summary</w:t>
      </w:r>
      <w:r w:rsidR="00F6484D">
        <w:rPr>
          <w:b/>
          <w:bCs/>
          <w:sz w:val="24"/>
          <w:szCs w:val="24"/>
        </w:rPr>
        <w:t xml:space="preserve"> </w:t>
      </w:r>
    </w:p>
    <w:p w14:paraId="086E0039" w14:textId="5F2E4B66" w:rsidR="001E0470" w:rsidRDefault="005A6E6B" w:rsidP="001E0470">
      <w:pPr>
        <w:spacing w:after="0" w:line="480" w:lineRule="auto"/>
        <w:rPr>
          <w:sz w:val="24"/>
          <w:szCs w:val="24"/>
        </w:rPr>
      </w:pPr>
      <w:r>
        <w:rPr>
          <w:b/>
          <w:bCs/>
          <w:sz w:val="24"/>
          <w:szCs w:val="24"/>
        </w:rPr>
        <w:tab/>
      </w:r>
      <w:r w:rsidR="00952DD1">
        <w:rPr>
          <w:sz w:val="24"/>
          <w:szCs w:val="24"/>
        </w:rPr>
        <w:t>Nucor is a large industrial customer of Ohio Edison</w:t>
      </w:r>
      <w:r w:rsidR="0069074E">
        <w:rPr>
          <w:sz w:val="24"/>
          <w:szCs w:val="24"/>
        </w:rPr>
        <w:t xml:space="preserve"> that has taken service under Rider ELR since its inception in FirstEnergy’s first </w:t>
      </w:r>
      <w:r w:rsidR="00936BCE">
        <w:rPr>
          <w:sz w:val="24"/>
          <w:szCs w:val="24"/>
        </w:rPr>
        <w:t>electric security plan (“</w:t>
      </w:r>
      <w:r w:rsidR="0069074E">
        <w:rPr>
          <w:sz w:val="24"/>
          <w:szCs w:val="24"/>
        </w:rPr>
        <w:t>ESP</w:t>
      </w:r>
      <w:r w:rsidR="00936BCE">
        <w:rPr>
          <w:sz w:val="24"/>
          <w:szCs w:val="24"/>
        </w:rPr>
        <w:t>”)</w:t>
      </w:r>
      <w:r w:rsidR="0069074E">
        <w:rPr>
          <w:sz w:val="24"/>
          <w:szCs w:val="24"/>
        </w:rPr>
        <w:t xml:space="preserve"> case.  Nucor has </w:t>
      </w:r>
      <w:r w:rsidR="0069074E">
        <w:rPr>
          <w:sz w:val="24"/>
          <w:szCs w:val="24"/>
        </w:rPr>
        <w:lastRenderedPageBreak/>
        <w:t xml:space="preserve">advocated for the availability of robust retail interruptible rates, and </w:t>
      </w:r>
      <w:r w:rsidR="00B461E0">
        <w:rPr>
          <w:sz w:val="24"/>
          <w:szCs w:val="24"/>
        </w:rPr>
        <w:t xml:space="preserve">in support of </w:t>
      </w:r>
      <w:r w:rsidR="0069074E">
        <w:rPr>
          <w:sz w:val="24"/>
          <w:szCs w:val="24"/>
        </w:rPr>
        <w:t xml:space="preserve">Rider </w:t>
      </w:r>
      <w:proofErr w:type="gramStart"/>
      <w:r w:rsidR="0069074E">
        <w:rPr>
          <w:sz w:val="24"/>
          <w:szCs w:val="24"/>
        </w:rPr>
        <w:t>ELR in particular, in</w:t>
      </w:r>
      <w:proofErr w:type="gramEnd"/>
      <w:r w:rsidR="0069074E">
        <w:rPr>
          <w:sz w:val="24"/>
          <w:szCs w:val="24"/>
        </w:rPr>
        <w:t xml:space="preserve"> all of FirstEnergy’s ESP proceedings.  Rider ELR is a non-firm service, and as such is a lower-quality</w:t>
      </w:r>
      <w:r w:rsidR="00B461E0">
        <w:rPr>
          <w:sz w:val="24"/>
          <w:szCs w:val="24"/>
        </w:rPr>
        <w:t>, less reliable</w:t>
      </w:r>
      <w:r w:rsidR="0069074E">
        <w:rPr>
          <w:sz w:val="24"/>
          <w:szCs w:val="24"/>
        </w:rPr>
        <w:t xml:space="preserve"> electric service than that provided to firm customers.  Nucor’s steel-making process uses massive amounts of electric energy, and Nucor </w:t>
      </w:r>
      <w:r w:rsidR="00B461E0">
        <w:rPr>
          <w:sz w:val="24"/>
          <w:szCs w:val="24"/>
        </w:rPr>
        <w:t>chooses this</w:t>
      </w:r>
      <w:r w:rsidR="0069074E">
        <w:rPr>
          <w:sz w:val="24"/>
          <w:szCs w:val="24"/>
        </w:rPr>
        <w:t xml:space="preserve"> lower-quality electric service in return for a </w:t>
      </w:r>
      <w:r w:rsidR="00D91E2D">
        <w:rPr>
          <w:sz w:val="24"/>
          <w:szCs w:val="24"/>
        </w:rPr>
        <w:t>lower rate</w:t>
      </w:r>
      <w:r w:rsidR="0069074E">
        <w:rPr>
          <w:sz w:val="24"/>
          <w:szCs w:val="24"/>
        </w:rPr>
        <w:t xml:space="preserve"> so that </w:t>
      </w:r>
      <w:r w:rsidR="002545FE">
        <w:rPr>
          <w:sz w:val="24"/>
          <w:szCs w:val="24"/>
        </w:rPr>
        <w:t xml:space="preserve">it can </w:t>
      </w:r>
      <w:r w:rsidR="00B461E0">
        <w:rPr>
          <w:sz w:val="24"/>
          <w:szCs w:val="24"/>
        </w:rPr>
        <w:t xml:space="preserve">be more </w:t>
      </w:r>
      <w:r w:rsidR="0069074E">
        <w:rPr>
          <w:sz w:val="24"/>
          <w:szCs w:val="24"/>
        </w:rPr>
        <w:t>competitive in extremely competitive national and world-wide steel markets.</w:t>
      </w:r>
      <w:r w:rsidR="001E0470">
        <w:rPr>
          <w:sz w:val="24"/>
          <w:szCs w:val="24"/>
        </w:rPr>
        <w:t xml:space="preserve">  </w:t>
      </w:r>
    </w:p>
    <w:p w14:paraId="38C19687" w14:textId="02AE9830" w:rsidR="001E0470" w:rsidRDefault="001E0470" w:rsidP="001E0470">
      <w:pPr>
        <w:spacing w:after="0" w:line="480" w:lineRule="auto"/>
        <w:ind w:firstLine="720"/>
        <w:rPr>
          <w:sz w:val="24"/>
          <w:szCs w:val="24"/>
        </w:rPr>
      </w:pPr>
      <w:r>
        <w:rPr>
          <w:sz w:val="24"/>
          <w:szCs w:val="24"/>
        </w:rPr>
        <w:t xml:space="preserve">Nucor strongly supports </w:t>
      </w:r>
      <w:r w:rsidR="00FF3ECC">
        <w:rPr>
          <w:sz w:val="24"/>
          <w:szCs w:val="24"/>
        </w:rPr>
        <w:t xml:space="preserve">retaining and continuing </w:t>
      </w:r>
      <w:r>
        <w:rPr>
          <w:sz w:val="24"/>
          <w:szCs w:val="24"/>
        </w:rPr>
        <w:t>Rider ELR</w:t>
      </w:r>
      <w:r w:rsidR="00FF3ECC">
        <w:rPr>
          <w:sz w:val="24"/>
          <w:szCs w:val="24"/>
        </w:rPr>
        <w:t xml:space="preserve">.  The rider was most recently approved as part of </w:t>
      </w:r>
      <w:r w:rsidR="00CA3F09">
        <w:rPr>
          <w:sz w:val="24"/>
          <w:szCs w:val="24"/>
        </w:rPr>
        <w:t xml:space="preserve">the </w:t>
      </w:r>
      <w:r>
        <w:rPr>
          <w:sz w:val="24"/>
          <w:szCs w:val="24"/>
        </w:rPr>
        <w:t>ESP IV stipulation that was negotiated in good faith</w:t>
      </w:r>
      <w:r w:rsidR="007E7846">
        <w:rPr>
          <w:sz w:val="24"/>
          <w:szCs w:val="24"/>
        </w:rPr>
        <w:t>, vetted fully through extensive litigation,</w:t>
      </w:r>
      <w:r>
        <w:rPr>
          <w:sz w:val="24"/>
          <w:szCs w:val="24"/>
        </w:rPr>
        <w:t xml:space="preserve"> and found </w:t>
      </w:r>
      <w:r w:rsidR="009D2E3D">
        <w:rPr>
          <w:sz w:val="24"/>
          <w:szCs w:val="24"/>
        </w:rPr>
        <w:t xml:space="preserve">by the Commission </w:t>
      </w:r>
      <w:r>
        <w:rPr>
          <w:sz w:val="24"/>
          <w:szCs w:val="24"/>
        </w:rPr>
        <w:t>to be just and reasonable.</w:t>
      </w:r>
      <w:r w:rsidR="005364BD">
        <w:rPr>
          <w:rStyle w:val="FootnoteReference"/>
          <w:sz w:val="24"/>
          <w:szCs w:val="24"/>
        </w:rPr>
        <w:footnoteReference w:id="1"/>
      </w:r>
      <w:r>
        <w:rPr>
          <w:sz w:val="24"/>
          <w:szCs w:val="24"/>
        </w:rPr>
        <w:t xml:space="preserve">  </w:t>
      </w:r>
      <w:r w:rsidR="0088518E">
        <w:rPr>
          <w:sz w:val="24"/>
          <w:szCs w:val="24"/>
        </w:rPr>
        <w:t>The availability of a strong</w:t>
      </w:r>
      <w:r w:rsidR="00CA03AC">
        <w:rPr>
          <w:sz w:val="24"/>
          <w:szCs w:val="24"/>
        </w:rPr>
        <w:t xml:space="preserve"> and stable</w:t>
      </w:r>
      <w:r w:rsidR="0088518E">
        <w:rPr>
          <w:sz w:val="24"/>
          <w:szCs w:val="24"/>
        </w:rPr>
        <w:t xml:space="preserve"> interruptible rate such as Rider ELR is vital to the ability of Nucor and other large, energy-intensive manufacturers to remain competitive.  </w:t>
      </w:r>
      <w:r w:rsidR="009D2E3D">
        <w:rPr>
          <w:sz w:val="24"/>
          <w:szCs w:val="24"/>
        </w:rPr>
        <w:t xml:space="preserve">Based on the outcome of the Commission proceedings on ESP IV, as well as earlier ESP proceedings, </w:t>
      </w:r>
      <w:r>
        <w:rPr>
          <w:sz w:val="24"/>
          <w:szCs w:val="24"/>
        </w:rPr>
        <w:t xml:space="preserve">Nucor (and presumably the other customers on Rider ELR) </w:t>
      </w:r>
      <w:r w:rsidR="009D2E3D">
        <w:rPr>
          <w:sz w:val="24"/>
          <w:szCs w:val="24"/>
        </w:rPr>
        <w:t>have relied upon the availability of continued service under the rider and have</w:t>
      </w:r>
      <w:r>
        <w:rPr>
          <w:sz w:val="24"/>
          <w:szCs w:val="24"/>
        </w:rPr>
        <w:t xml:space="preserve"> planned their </w:t>
      </w:r>
      <w:r w:rsidR="009D2E3D">
        <w:rPr>
          <w:sz w:val="24"/>
          <w:szCs w:val="24"/>
        </w:rPr>
        <w:t xml:space="preserve">investments, </w:t>
      </w:r>
      <w:proofErr w:type="gramStart"/>
      <w:r>
        <w:rPr>
          <w:sz w:val="24"/>
          <w:szCs w:val="24"/>
        </w:rPr>
        <w:t>operations</w:t>
      </w:r>
      <w:proofErr w:type="gramEnd"/>
      <w:r w:rsidR="0015629D">
        <w:rPr>
          <w:sz w:val="24"/>
          <w:szCs w:val="24"/>
        </w:rPr>
        <w:t xml:space="preserve"> and budgets</w:t>
      </w:r>
      <w:r>
        <w:rPr>
          <w:sz w:val="24"/>
          <w:szCs w:val="24"/>
        </w:rPr>
        <w:t xml:space="preserve"> accordingly.  </w:t>
      </w:r>
      <w:r w:rsidR="009D2E3D">
        <w:rPr>
          <w:sz w:val="24"/>
          <w:szCs w:val="24"/>
        </w:rPr>
        <w:t>C</w:t>
      </w:r>
      <w:r>
        <w:rPr>
          <w:sz w:val="24"/>
          <w:szCs w:val="24"/>
        </w:rPr>
        <w:t>ancel</w:t>
      </w:r>
      <w:r w:rsidR="009D2E3D">
        <w:rPr>
          <w:sz w:val="24"/>
          <w:szCs w:val="24"/>
        </w:rPr>
        <w:t>l</w:t>
      </w:r>
      <w:r>
        <w:rPr>
          <w:sz w:val="24"/>
          <w:szCs w:val="24"/>
        </w:rPr>
        <w:t>ation of Rider ELR</w:t>
      </w:r>
      <w:r w:rsidR="009D2E3D">
        <w:rPr>
          <w:sz w:val="24"/>
          <w:szCs w:val="24"/>
        </w:rPr>
        <w:t>, particularly in the middle of an ESP,</w:t>
      </w:r>
      <w:r>
        <w:rPr>
          <w:sz w:val="24"/>
          <w:szCs w:val="24"/>
        </w:rPr>
        <w:t xml:space="preserve"> would cause </w:t>
      </w:r>
      <w:r w:rsidR="00D77116">
        <w:rPr>
          <w:sz w:val="24"/>
          <w:szCs w:val="24"/>
        </w:rPr>
        <w:t xml:space="preserve">major </w:t>
      </w:r>
      <w:r w:rsidR="00054077">
        <w:rPr>
          <w:sz w:val="24"/>
          <w:szCs w:val="24"/>
        </w:rPr>
        <w:t xml:space="preserve">disruption and </w:t>
      </w:r>
      <w:r>
        <w:rPr>
          <w:sz w:val="24"/>
          <w:szCs w:val="24"/>
        </w:rPr>
        <w:t>rate shock for these customers.</w:t>
      </w:r>
    </w:p>
    <w:p w14:paraId="21C99C22" w14:textId="237B7D7D" w:rsidR="00893E6D" w:rsidRDefault="00893E6D" w:rsidP="001E0470">
      <w:pPr>
        <w:spacing w:after="0" w:line="480" w:lineRule="auto"/>
        <w:ind w:firstLine="720"/>
        <w:rPr>
          <w:sz w:val="24"/>
          <w:szCs w:val="24"/>
        </w:rPr>
      </w:pPr>
      <w:r>
        <w:rPr>
          <w:sz w:val="24"/>
          <w:szCs w:val="24"/>
        </w:rPr>
        <w:t xml:space="preserve">In the Fifth Entry on Rehearing, the Commission granted the rehearing request of the Office of </w:t>
      </w:r>
      <w:r w:rsidR="00204B6D">
        <w:rPr>
          <w:sz w:val="24"/>
          <w:szCs w:val="24"/>
        </w:rPr>
        <w:t xml:space="preserve">the Ohio </w:t>
      </w:r>
      <w:r>
        <w:rPr>
          <w:sz w:val="24"/>
          <w:szCs w:val="24"/>
        </w:rPr>
        <w:t xml:space="preserve">Consumers’ Counsel (“OCC”) and invited parties to provide comments on “whether, in consideration of the history, purpose and nature of Rider ELR, Rider ELR is an </w:t>
      </w:r>
      <w:r>
        <w:rPr>
          <w:sz w:val="24"/>
          <w:szCs w:val="24"/>
        </w:rPr>
        <w:lastRenderedPageBreak/>
        <w:t>energy efficiency program</w:t>
      </w:r>
      <w:r w:rsidR="007C7F06">
        <w:rPr>
          <w:sz w:val="24"/>
          <w:szCs w:val="24"/>
        </w:rPr>
        <w:t xml:space="preserve"> established pursuant to the mandates contained in R.C. </w:t>
      </w:r>
      <w:r w:rsidR="00A00459">
        <w:rPr>
          <w:sz w:val="24"/>
          <w:szCs w:val="24"/>
        </w:rPr>
        <w:t xml:space="preserve">§ </w:t>
      </w:r>
      <w:r w:rsidR="007C7F06">
        <w:rPr>
          <w:sz w:val="24"/>
          <w:szCs w:val="24"/>
        </w:rPr>
        <w:t xml:space="preserve">4928.66 which should be terminated pursuant to R.C. </w:t>
      </w:r>
      <w:r w:rsidR="00A00459">
        <w:rPr>
          <w:sz w:val="24"/>
          <w:szCs w:val="24"/>
        </w:rPr>
        <w:t xml:space="preserve">§ </w:t>
      </w:r>
      <w:r w:rsidR="007C7F06">
        <w:rPr>
          <w:sz w:val="24"/>
          <w:szCs w:val="24"/>
        </w:rPr>
        <w:t>4928.66(G).”</w:t>
      </w:r>
      <w:r w:rsidR="007C7F06">
        <w:rPr>
          <w:rStyle w:val="FootnoteReference"/>
          <w:sz w:val="24"/>
          <w:szCs w:val="24"/>
        </w:rPr>
        <w:footnoteReference w:id="2"/>
      </w:r>
      <w:r w:rsidR="00C11931">
        <w:rPr>
          <w:sz w:val="24"/>
          <w:szCs w:val="24"/>
        </w:rPr>
        <w:t xml:space="preserve">  </w:t>
      </w:r>
      <w:r w:rsidR="00AC7434">
        <w:rPr>
          <w:sz w:val="24"/>
          <w:szCs w:val="24"/>
        </w:rPr>
        <w:t>As explained further in th</w:t>
      </w:r>
      <w:r w:rsidR="00DC63A5">
        <w:rPr>
          <w:sz w:val="24"/>
          <w:szCs w:val="24"/>
        </w:rPr>
        <w:t>ese</w:t>
      </w:r>
      <w:r w:rsidR="00AC7434">
        <w:rPr>
          <w:sz w:val="24"/>
          <w:szCs w:val="24"/>
        </w:rPr>
        <w:t xml:space="preserve"> comments, u</w:t>
      </w:r>
      <w:r w:rsidR="00C11931">
        <w:rPr>
          <w:sz w:val="24"/>
          <w:szCs w:val="24"/>
        </w:rPr>
        <w:t>pon consideration of the history, purpose and nature of Rider ELR, it is clear that the rider is not an energy efficiency program that should be terminated pursuant to R.C</w:t>
      </w:r>
      <w:r w:rsidR="00A00459">
        <w:rPr>
          <w:sz w:val="24"/>
          <w:szCs w:val="24"/>
        </w:rPr>
        <w:t>. § </w:t>
      </w:r>
      <w:r w:rsidR="00C11931">
        <w:rPr>
          <w:sz w:val="24"/>
          <w:szCs w:val="24"/>
        </w:rPr>
        <w:t xml:space="preserve">4928.66(G).  Rider ELR is a rate established as part of FirstEnergy’s initial electric security plan, which has been reapproved in every subsequent ESP.  It is not an </w:t>
      </w:r>
      <w:r w:rsidR="00DA2839">
        <w:rPr>
          <w:sz w:val="24"/>
          <w:szCs w:val="24"/>
        </w:rPr>
        <w:t>energy efficiency</w:t>
      </w:r>
      <w:r w:rsidR="00C11931">
        <w:rPr>
          <w:sz w:val="24"/>
          <w:szCs w:val="24"/>
        </w:rPr>
        <w:t xml:space="preserve"> program</w:t>
      </w:r>
      <w:r w:rsidR="000E6666">
        <w:rPr>
          <w:sz w:val="24"/>
          <w:szCs w:val="24"/>
        </w:rPr>
        <w:t xml:space="preserve">, </w:t>
      </w:r>
      <w:r w:rsidR="00252C5F">
        <w:rPr>
          <w:sz w:val="24"/>
          <w:szCs w:val="24"/>
        </w:rPr>
        <w:t xml:space="preserve">its purpose is not to meet energy efficiency requirements under the statute, </w:t>
      </w:r>
      <w:r w:rsidR="000E6666">
        <w:rPr>
          <w:sz w:val="24"/>
          <w:szCs w:val="24"/>
        </w:rPr>
        <w:t>nor was it</w:t>
      </w:r>
      <w:r w:rsidR="00C11931">
        <w:rPr>
          <w:sz w:val="24"/>
          <w:szCs w:val="24"/>
        </w:rPr>
        <w:t xml:space="preserve"> established under or approved as part of FirstEnergy’s portfolio plan.</w:t>
      </w:r>
    </w:p>
    <w:p w14:paraId="28C100CF" w14:textId="25F60B78" w:rsidR="00C076CC" w:rsidRDefault="00C11931" w:rsidP="00C11931">
      <w:pPr>
        <w:spacing w:after="0" w:line="480" w:lineRule="auto"/>
        <w:rPr>
          <w:sz w:val="24"/>
          <w:szCs w:val="24"/>
        </w:rPr>
      </w:pPr>
      <w:r>
        <w:rPr>
          <w:sz w:val="24"/>
          <w:szCs w:val="24"/>
        </w:rPr>
        <w:tab/>
      </w:r>
      <w:r w:rsidR="00252C5F">
        <w:rPr>
          <w:sz w:val="24"/>
          <w:szCs w:val="24"/>
        </w:rPr>
        <w:t xml:space="preserve">Instead, </w:t>
      </w:r>
      <w:r w:rsidR="00A0698D">
        <w:rPr>
          <w:sz w:val="24"/>
          <w:szCs w:val="24"/>
        </w:rPr>
        <w:t xml:space="preserve">Rider ELR has two primary purposes – (1) economic development and (2) system reliability.  </w:t>
      </w:r>
      <w:r w:rsidR="00252C5F">
        <w:rPr>
          <w:sz w:val="24"/>
          <w:szCs w:val="24"/>
        </w:rPr>
        <w:t xml:space="preserve">First, </w:t>
      </w:r>
      <w:r>
        <w:rPr>
          <w:sz w:val="24"/>
          <w:szCs w:val="24"/>
        </w:rPr>
        <w:t xml:space="preserve">Rider ELR is an economic development/job retention rate intended to </w:t>
      </w:r>
      <w:r w:rsidR="00BA622B">
        <w:rPr>
          <w:sz w:val="24"/>
          <w:szCs w:val="24"/>
        </w:rPr>
        <w:t xml:space="preserve">help retain the industrial customers that took service under FirstEnergy’s </w:t>
      </w:r>
      <w:r w:rsidR="004F7E52">
        <w:rPr>
          <w:sz w:val="24"/>
          <w:szCs w:val="24"/>
        </w:rPr>
        <w:t>legacy</w:t>
      </w:r>
      <w:r w:rsidR="00BA622B">
        <w:rPr>
          <w:sz w:val="24"/>
          <w:szCs w:val="24"/>
        </w:rPr>
        <w:t xml:space="preserve"> interruptible rates</w:t>
      </w:r>
      <w:r w:rsidR="00AB6DBF">
        <w:rPr>
          <w:sz w:val="24"/>
          <w:szCs w:val="24"/>
        </w:rPr>
        <w:t xml:space="preserve">, thereby helping to advance Ohio’s policy of facilitating </w:t>
      </w:r>
      <w:r w:rsidR="00A14604">
        <w:rPr>
          <w:sz w:val="24"/>
          <w:szCs w:val="24"/>
        </w:rPr>
        <w:t>“</w:t>
      </w:r>
      <w:r w:rsidR="00AB6DBF">
        <w:rPr>
          <w:sz w:val="24"/>
          <w:szCs w:val="24"/>
        </w:rPr>
        <w:t>the state’s effectiveness in the global economy</w:t>
      </w:r>
      <w:r w:rsidR="00BA622B">
        <w:rPr>
          <w:sz w:val="24"/>
          <w:szCs w:val="24"/>
        </w:rPr>
        <w:t>.</w:t>
      </w:r>
      <w:r w:rsidR="00A14604">
        <w:rPr>
          <w:sz w:val="24"/>
          <w:szCs w:val="24"/>
        </w:rPr>
        <w:t>”</w:t>
      </w:r>
      <w:r w:rsidR="00AB6DBF">
        <w:rPr>
          <w:rStyle w:val="FootnoteReference"/>
          <w:sz w:val="24"/>
          <w:szCs w:val="24"/>
        </w:rPr>
        <w:footnoteReference w:id="3"/>
      </w:r>
      <w:r w:rsidR="00C076CC">
        <w:rPr>
          <w:sz w:val="24"/>
          <w:szCs w:val="24"/>
        </w:rPr>
        <w:t xml:space="preserve">  </w:t>
      </w:r>
      <w:r w:rsidR="00252C5F">
        <w:rPr>
          <w:sz w:val="24"/>
          <w:szCs w:val="24"/>
        </w:rPr>
        <w:t>Second, t</w:t>
      </w:r>
      <w:r w:rsidR="00C076CC">
        <w:rPr>
          <w:sz w:val="24"/>
          <w:szCs w:val="24"/>
        </w:rPr>
        <w:t>he rate also provides reliability benefits</w:t>
      </w:r>
      <w:r w:rsidR="00A0698D">
        <w:rPr>
          <w:sz w:val="24"/>
          <w:szCs w:val="24"/>
        </w:rPr>
        <w:t xml:space="preserve"> by providing a long-term and stable supply of interruptible load that may be </w:t>
      </w:r>
      <w:r w:rsidR="00B47580">
        <w:rPr>
          <w:sz w:val="24"/>
          <w:szCs w:val="24"/>
        </w:rPr>
        <w:t xml:space="preserve">called upon to address system emergencies.  The rate has </w:t>
      </w:r>
      <w:r w:rsidR="00C076CC">
        <w:rPr>
          <w:sz w:val="24"/>
          <w:szCs w:val="24"/>
        </w:rPr>
        <w:t>allowed FirstEnergy to avoid costs associated with capacity, transmission, and reserves.</w:t>
      </w:r>
      <w:r w:rsidR="00A0698D">
        <w:rPr>
          <w:sz w:val="24"/>
          <w:szCs w:val="24"/>
        </w:rPr>
        <w:t xml:space="preserve">  While the peak demand reduction provided by Rider ELR was appropriately counted toward meeting FirstEnergy’s statutory peak demand reduction benchmarks, this was a side benefit, and </w:t>
      </w:r>
      <w:r w:rsidR="00252C5F">
        <w:rPr>
          <w:sz w:val="24"/>
          <w:szCs w:val="24"/>
        </w:rPr>
        <w:t>does not justify eliminating Rider ELR and forgoing the primary benefits it provides</w:t>
      </w:r>
      <w:r w:rsidR="00A0698D">
        <w:rPr>
          <w:sz w:val="24"/>
          <w:szCs w:val="24"/>
        </w:rPr>
        <w:t xml:space="preserve">.    </w:t>
      </w:r>
    </w:p>
    <w:p w14:paraId="3BB58157" w14:textId="5A3E45B4" w:rsidR="00F64761" w:rsidRDefault="00C076CC" w:rsidP="00C11931">
      <w:pPr>
        <w:spacing w:after="0" w:line="480" w:lineRule="auto"/>
        <w:rPr>
          <w:sz w:val="24"/>
          <w:szCs w:val="24"/>
        </w:rPr>
      </w:pPr>
      <w:r>
        <w:rPr>
          <w:sz w:val="24"/>
          <w:szCs w:val="24"/>
        </w:rPr>
        <w:lastRenderedPageBreak/>
        <w:tab/>
        <w:t xml:space="preserve">OCC’s reasoning in </w:t>
      </w:r>
      <w:r w:rsidR="00F64761">
        <w:rPr>
          <w:sz w:val="24"/>
          <w:szCs w:val="24"/>
        </w:rPr>
        <w:t>arguing for the termination of</w:t>
      </w:r>
      <w:r w:rsidR="00217073">
        <w:rPr>
          <w:sz w:val="24"/>
          <w:szCs w:val="24"/>
        </w:rPr>
        <w:t xml:space="preserve"> funding for</w:t>
      </w:r>
      <w:r w:rsidR="00F64761">
        <w:rPr>
          <w:sz w:val="24"/>
          <w:szCs w:val="24"/>
        </w:rPr>
        <w:t xml:space="preserve"> Rider ELR under Section 4928.66(G) has already been rejected by the Commission.</w:t>
      </w:r>
      <w:r w:rsidR="00D039FB">
        <w:rPr>
          <w:sz w:val="24"/>
          <w:szCs w:val="24"/>
        </w:rPr>
        <w:t xml:space="preserve">  In FirstEnergy’s initial EE/PDR portfolio plan proceeding, the Commission made clear that Rider ELR was </w:t>
      </w:r>
      <w:r w:rsidR="006E4C93">
        <w:rPr>
          <w:sz w:val="24"/>
          <w:szCs w:val="24"/>
        </w:rPr>
        <w:t xml:space="preserve">already </w:t>
      </w:r>
      <w:r w:rsidR="00D039FB">
        <w:rPr>
          <w:sz w:val="24"/>
          <w:szCs w:val="24"/>
        </w:rPr>
        <w:t xml:space="preserve">a rate approved as part of </w:t>
      </w:r>
      <w:r w:rsidR="00765A7E">
        <w:rPr>
          <w:sz w:val="24"/>
          <w:szCs w:val="24"/>
        </w:rPr>
        <w:t xml:space="preserve">the </w:t>
      </w:r>
      <w:r w:rsidR="00D039FB">
        <w:rPr>
          <w:sz w:val="24"/>
          <w:szCs w:val="24"/>
        </w:rPr>
        <w:t xml:space="preserve">ESP </w:t>
      </w:r>
      <w:r w:rsidR="006E4C93">
        <w:rPr>
          <w:sz w:val="24"/>
          <w:szCs w:val="24"/>
        </w:rPr>
        <w:t xml:space="preserve">and </w:t>
      </w:r>
      <w:r w:rsidR="00D039FB">
        <w:rPr>
          <w:sz w:val="24"/>
          <w:szCs w:val="24"/>
        </w:rPr>
        <w:t>not as part of FirstEnergy’s portfolio.  Nevertheless, i</w:t>
      </w:r>
      <w:r w:rsidR="00F64761">
        <w:rPr>
          <w:sz w:val="24"/>
          <w:szCs w:val="24"/>
        </w:rPr>
        <w:t xml:space="preserve">n past ESP cases, OCC and other parties have </w:t>
      </w:r>
      <w:r w:rsidR="00927492">
        <w:rPr>
          <w:sz w:val="24"/>
          <w:szCs w:val="24"/>
        </w:rPr>
        <w:t>attempted to characterize</w:t>
      </w:r>
      <w:r w:rsidR="00F64761">
        <w:rPr>
          <w:sz w:val="24"/>
          <w:szCs w:val="24"/>
        </w:rPr>
        <w:t xml:space="preserve"> Rider ELR </w:t>
      </w:r>
      <w:r w:rsidR="004B6379">
        <w:rPr>
          <w:sz w:val="24"/>
          <w:szCs w:val="24"/>
        </w:rPr>
        <w:t xml:space="preserve">as </w:t>
      </w:r>
      <w:r w:rsidR="00F64761">
        <w:rPr>
          <w:sz w:val="24"/>
          <w:szCs w:val="24"/>
        </w:rPr>
        <w:t>an EE/PDR program that should be treated the same as the programs included in FirstEnergy’s EE/PDR portfolio.  Whenever the Commission has considered these arguments it has rejected them, recognizing that Rider ELR is a not a portfolio program, but instead is a rate that has a life</w:t>
      </w:r>
      <w:r w:rsidR="000631B0">
        <w:rPr>
          <w:sz w:val="24"/>
          <w:szCs w:val="24"/>
        </w:rPr>
        <w:t xml:space="preserve"> of its own outside the EE/PDR framework</w:t>
      </w:r>
      <w:r w:rsidR="00F64761">
        <w:rPr>
          <w:sz w:val="24"/>
          <w:szCs w:val="24"/>
        </w:rPr>
        <w:t xml:space="preserve"> and a purpose separate and apart from meeting the statutory benchmarks.</w:t>
      </w:r>
    </w:p>
    <w:p w14:paraId="05F58197" w14:textId="273BEB3B" w:rsidR="00995896" w:rsidRPr="00633056" w:rsidRDefault="00C272A0" w:rsidP="00E12B98">
      <w:pPr>
        <w:spacing w:after="0" w:line="480" w:lineRule="auto"/>
        <w:rPr>
          <w:b/>
          <w:bCs/>
          <w:sz w:val="24"/>
          <w:szCs w:val="24"/>
        </w:rPr>
      </w:pPr>
      <w:r>
        <w:rPr>
          <w:sz w:val="24"/>
          <w:szCs w:val="24"/>
        </w:rPr>
        <w:tab/>
        <w:t xml:space="preserve">Finally, Section 4928.66, as amended by House Bill 6 through the addition of Sections 4928.66(F) and </w:t>
      </w:r>
      <w:r w:rsidR="002F351C">
        <w:t>4928.66</w:t>
      </w:r>
      <w:r>
        <w:rPr>
          <w:sz w:val="24"/>
          <w:szCs w:val="24"/>
        </w:rPr>
        <w:t xml:space="preserve">(G), clearly does not require the termination of interruptible rates like Rider ELR.  Sections 4928.66(F) and </w:t>
      </w:r>
      <w:r w:rsidR="002F351C">
        <w:t>4928.66</w:t>
      </w:r>
      <w:r>
        <w:rPr>
          <w:sz w:val="24"/>
          <w:szCs w:val="24"/>
        </w:rPr>
        <w:t xml:space="preserve">(G) require the termination of </w:t>
      </w:r>
      <w:r w:rsidR="00765A7E">
        <w:rPr>
          <w:sz w:val="24"/>
          <w:szCs w:val="24"/>
        </w:rPr>
        <w:t xml:space="preserve">utility </w:t>
      </w:r>
      <w:r>
        <w:rPr>
          <w:sz w:val="24"/>
          <w:szCs w:val="24"/>
        </w:rPr>
        <w:t xml:space="preserve">portfolio </w:t>
      </w:r>
      <w:r w:rsidR="002F351C">
        <w:rPr>
          <w:sz w:val="24"/>
          <w:szCs w:val="24"/>
        </w:rPr>
        <w:t xml:space="preserve">plans </w:t>
      </w:r>
      <w:r>
        <w:rPr>
          <w:sz w:val="24"/>
          <w:szCs w:val="24"/>
        </w:rPr>
        <w:t xml:space="preserve">and the funding mechanisms associated with </w:t>
      </w:r>
      <w:r w:rsidR="00765A7E">
        <w:rPr>
          <w:sz w:val="24"/>
          <w:szCs w:val="24"/>
        </w:rPr>
        <w:t xml:space="preserve">those </w:t>
      </w:r>
      <w:r>
        <w:rPr>
          <w:sz w:val="24"/>
          <w:szCs w:val="24"/>
        </w:rPr>
        <w:t>plan</w:t>
      </w:r>
      <w:r w:rsidR="00765A7E">
        <w:rPr>
          <w:sz w:val="24"/>
          <w:szCs w:val="24"/>
        </w:rPr>
        <w:t>s</w:t>
      </w:r>
      <w:r>
        <w:rPr>
          <w:sz w:val="24"/>
          <w:szCs w:val="24"/>
        </w:rPr>
        <w:t xml:space="preserve">.  Since Rider ELR was not established through FirstEnergy’s portfolio and was not funded through the portfolio cost recovery mechanism, Rider ELR need not and should not be terminated </w:t>
      </w:r>
      <w:r w:rsidR="00F64761">
        <w:rPr>
          <w:sz w:val="24"/>
          <w:szCs w:val="24"/>
        </w:rPr>
        <w:t xml:space="preserve">pursuant to R.C. </w:t>
      </w:r>
      <w:r w:rsidR="00A00459">
        <w:rPr>
          <w:sz w:val="24"/>
          <w:szCs w:val="24"/>
        </w:rPr>
        <w:t xml:space="preserve">§ </w:t>
      </w:r>
      <w:r w:rsidR="00F64761">
        <w:rPr>
          <w:sz w:val="24"/>
          <w:szCs w:val="24"/>
        </w:rPr>
        <w:t>4928.66(G).</w:t>
      </w:r>
    </w:p>
    <w:p w14:paraId="6A604135" w14:textId="1E84E6D5" w:rsidR="006A7E91" w:rsidRDefault="002D5A7A" w:rsidP="00654579">
      <w:pPr>
        <w:spacing w:after="0" w:line="240" w:lineRule="auto"/>
        <w:ind w:left="1440" w:hanging="720"/>
        <w:rPr>
          <w:b/>
          <w:bCs/>
          <w:sz w:val="24"/>
          <w:szCs w:val="24"/>
        </w:rPr>
      </w:pPr>
      <w:r>
        <w:rPr>
          <w:b/>
          <w:bCs/>
          <w:sz w:val="24"/>
          <w:szCs w:val="24"/>
        </w:rPr>
        <w:t>B</w:t>
      </w:r>
      <w:r w:rsidR="006A7E91">
        <w:rPr>
          <w:b/>
          <w:bCs/>
          <w:sz w:val="24"/>
          <w:szCs w:val="24"/>
        </w:rPr>
        <w:t>.</w:t>
      </w:r>
      <w:r w:rsidR="006A7E91">
        <w:rPr>
          <w:b/>
          <w:bCs/>
          <w:sz w:val="24"/>
          <w:szCs w:val="24"/>
        </w:rPr>
        <w:tab/>
        <w:t>Rider ELR</w:t>
      </w:r>
      <w:r w:rsidR="00654579">
        <w:rPr>
          <w:b/>
          <w:bCs/>
          <w:sz w:val="24"/>
          <w:szCs w:val="24"/>
        </w:rPr>
        <w:t xml:space="preserve"> is a Long-Standing Interruptible Rate That Has Multiple Purposes and Provides Several Benefits</w:t>
      </w:r>
    </w:p>
    <w:p w14:paraId="3E517F48" w14:textId="77777777" w:rsidR="00654579" w:rsidRDefault="00654579" w:rsidP="00654579">
      <w:pPr>
        <w:spacing w:after="0" w:line="240" w:lineRule="auto"/>
        <w:ind w:left="1440" w:hanging="720"/>
        <w:rPr>
          <w:b/>
          <w:bCs/>
          <w:sz w:val="24"/>
          <w:szCs w:val="24"/>
        </w:rPr>
      </w:pPr>
    </w:p>
    <w:p w14:paraId="751299D6" w14:textId="5BD9F2E5" w:rsidR="00654579" w:rsidRDefault="00654579" w:rsidP="006A7E91">
      <w:pPr>
        <w:spacing w:after="0" w:line="480" w:lineRule="auto"/>
        <w:rPr>
          <w:b/>
          <w:bCs/>
          <w:sz w:val="24"/>
          <w:szCs w:val="24"/>
        </w:rPr>
      </w:pPr>
      <w:r>
        <w:rPr>
          <w:b/>
          <w:bCs/>
          <w:sz w:val="24"/>
          <w:szCs w:val="24"/>
        </w:rPr>
        <w:tab/>
      </w:r>
      <w:r>
        <w:rPr>
          <w:b/>
          <w:bCs/>
          <w:sz w:val="24"/>
          <w:szCs w:val="24"/>
        </w:rPr>
        <w:tab/>
        <w:t>1.</w:t>
      </w:r>
      <w:r>
        <w:rPr>
          <w:b/>
          <w:bCs/>
          <w:sz w:val="24"/>
          <w:szCs w:val="24"/>
        </w:rPr>
        <w:tab/>
        <w:t>Overview of Rider ELR</w:t>
      </w:r>
      <w:r w:rsidR="00E552B9">
        <w:rPr>
          <w:b/>
          <w:bCs/>
          <w:sz w:val="24"/>
          <w:szCs w:val="24"/>
        </w:rPr>
        <w:t xml:space="preserve"> and Associated Cost Recovery Riders</w:t>
      </w:r>
    </w:p>
    <w:p w14:paraId="5BFC3114" w14:textId="055C920F" w:rsidR="003F61DF" w:rsidRDefault="00515165" w:rsidP="006A7E91">
      <w:pPr>
        <w:spacing w:after="0" w:line="480" w:lineRule="auto"/>
        <w:rPr>
          <w:sz w:val="24"/>
          <w:szCs w:val="24"/>
        </w:rPr>
      </w:pPr>
      <w:r>
        <w:rPr>
          <w:b/>
          <w:bCs/>
          <w:sz w:val="24"/>
          <w:szCs w:val="24"/>
        </w:rPr>
        <w:tab/>
      </w:r>
      <w:r>
        <w:rPr>
          <w:sz w:val="24"/>
          <w:szCs w:val="24"/>
        </w:rPr>
        <w:t xml:space="preserve">Rider ELR is an interruptible rate </w:t>
      </w:r>
      <w:r w:rsidR="00F107A7">
        <w:rPr>
          <w:sz w:val="24"/>
          <w:szCs w:val="24"/>
        </w:rPr>
        <w:t xml:space="preserve">primarily </w:t>
      </w:r>
      <w:r>
        <w:rPr>
          <w:sz w:val="24"/>
          <w:szCs w:val="24"/>
        </w:rPr>
        <w:t>available to industrial customers who were long standing interruptible customers</w:t>
      </w:r>
      <w:r w:rsidR="006764D1">
        <w:rPr>
          <w:sz w:val="24"/>
          <w:szCs w:val="24"/>
        </w:rPr>
        <w:t xml:space="preserve"> prior to the establishment of the current SSO framework </w:t>
      </w:r>
      <w:r w:rsidR="00F107A7">
        <w:rPr>
          <w:sz w:val="24"/>
          <w:szCs w:val="24"/>
        </w:rPr>
        <w:t xml:space="preserve">under </w:t>
      </w:r>
      <w:r w:rsidR="006764D1" w:rsidRPr="00633056">
        <w:rPr>
          <w:sz w:val="24"/>
          <w:szCs w:val="24"/>
        </w:rPr>
        <w:t>Amended Substitute Senate Bill No. 221 (“SB 221”)</w:t>
      </w:r>
      <w:r>
        <w:rPr>
          <w:sz w:val="24"/>
          <w:szCs w:val="24"/>
        </w:rPr>
        <w:t>.</w:t>
      </w:r>
      <w:r w:rsidR="006764D1">
        <w:rPr>
          <w:sz w:val="24"/>
          <w:szCs w:val="24"/>
        </w:rPr>
        <w:t xml:space="preserve">  Under Rider ELR, </w:t>
      </w:r>
      <w:proofErr w:type="gramStart"/>
      <w:r w:rsidR="006764D1">
        <w:rPr>
          <w:sz w:val="24"/>
          <w:szCs w:val="24"/>
        </w:rPr>
        <w:t>all of</w:t>
      </w:r>
      <w:proofErr w:type="gramEnd"/>
      <w:r w:rsidR="006764D1">
        <w:rPr>
          <w:sz w:val="24"/>
          <w:szCs w:val="24"/>
        </w:rPr>
        <w:t xml:space="preserve"> a customer’s </w:t>
      </w:r>
      <w:r w:rsidR="006764D1">
        <w:rPr>
          <w:sz w:val="24"/>
          <w:szCs w:val="24"/>
        </w:rPr>
        <w:lastRenderedPageBreak/>
        <w:t xml:space="preserve">load in excess of the customer’s designated Firm Load is subject to interruption when </w:t>
      </w:r>
      <w:r w:rsidR="00F107A7">
        <w:rPr>
          <w:sz w:val="24"/>
          <w:szCs w:val="24"/>
        </w:rPr>
        <w:t>an Emergency Curtailment Event is called</w:t>
      </w:r>
      <w:r w:rsidR="006764D1">
        <w:rPr>
          <w:sz w:val="24"/>
          <w:szCs w:val="24"/>
        </w:rPr>
        <w:t>.</w:t>
      </w:r>
      <w:r w:rsidR="00F107A7">
        <w:rPr>
          <w:rStyle w:val="FootnoteReference"/>
          <w:sz w:val="24"/>
          <w:szCs w:val="24"/>
        </w:rPr>
        <w:footnoteReference w:id="4"/>
      </w:r>
      <w:r w:rsidR="003F61DF">
        <w:rPr>
          <w:sz w:val="24"/>
          <w:szCs w:val="24"/>
        </w:rPr>
        <w:t xml:space="preserve">  The key terms and conditions governing Emergency Curtailment Events in Rider ELR include the following:</w:t>
      </w:r>
    </w:p>
    <w:p w14:paraId="00FC860E" w14:textId="09D297DC" w:rsidR="00F107A7" w:rsidRDefault="003F61DF" w:rsidP="003F61DF">
      <w:pPr>
        <w:pStyle w:val="ListParagraph"/>
        <w:numPr>
          <w:ilvl w:val="0"/>
          <w:numId w:val="2"/>
        </w:numPr>
        <w:spacing w:after="0" w:line="240" w:lineRule="auto"/>
        <w:rPr>
          <w:sz w:val="24"/>
          <w:szCs w:val="24"/>
        </w:rPr>
      </w:pPr>
      <w:r>
        <w:rPr>
          <w:sz w:val="24"/>
          <w:szCs w:val="24"/>
        </w:rPr>
        <w:t>A</w:t>
      </w:r>
      <w:r w:rsidR="00F107A7" w:rsidRPr="00171C8F">
        <w:rPr>
          <w:sz w:val="24"/>
          <w:szCs w:val="24"/>
        </w:rPr>
        <w:t xml:space="preserve">n Emergency Curtailment Event </w:t>
      </w:r>
      <w:r>
        <w:rPr>
          <w:sz w:val="24"/>
          <w:szCs w:val="24"/>
        </w:rPr>
        <w:t xml:space="preserve">is defined </w:t>
      </w:r>
      <w:r w:rsidR="00F107A7" w:rsidRPr="00171C8F">
        <w:rPr>
          <w:sz w:val="24"/>
          <w:szCs w:val="24"/>
        </w:rPr>
        <w:t>as “one in which the Company, a regional transmission organization and/or a transmission operator determines, in its respective sole discretion, that an emergency situation exists that may jeopardize the integrity of either the distribution or transmission system in the area.”</w:t>
      </w:r>
      <w:r w:rsidR="00F107A7">
        <w:rPr>
          <w:rStyle w:val="FootnoteReference"/>
          <w:sz w:val="24"/>
          <w:szCs w:val="24"/>
        </w:rPr>
        <w:footnoteReference w:id="5"/>
      </w:r>
      <w:r w:rsidR="00F107A7" w:rsidRPr="00171C8F">
        <w:rPr>
          <w:sz w:val="24"/>
          <w:szCs w:val="24"/>
        </w:rPr>
        <w:t xml:space="preserve">  The rider further provides that “PJM, which is the regional transmission organization of which the Company is a member, may also initiate an Emergency Curtailment Event upon their sole determination that a pre-emergency situation exists.”</w:t>
      </w:r>
      <w:r w:rsidR="00F107A7">
        <w:rPr>
          <w:rStyle w:val="FootnoteReference"/>
          <w:sz w:val="24"/>
          <w:szCs w:val="24"/>
        </w:rPr>
        <w:footnoteReference w:id="6"/>
      </w:r>
    </w:p>
    <w:p w14:paraId="12CA4B77" w14:textId="77777777" w:rsidR="003F61DF" w:rsidRPr="00171C8F" w:rsidRDefault="003F61DF" w:rsidP="00171C8F">
      <w:pPr>
        <w:pStyle w:val="ListParagraph"/>
        <w:spacing w:after="0" w:line="240" w:lineRule="auto"/>
        <w:rPr>
          <w:sz w:val="24"/>
          <w:szCs w:val="24"/>
        </w:rPr>
      </w:pPr>
    </w:p>
    <w:p w14:paraId="6B8A341A" w14:textId="4B5C08EA" w:rsidR="003F61DF" w:rsidRPr="00171C8F" w:rsidRDefault="00173BA4">
      <w:pPr>
        <w:pStyle w:val="ListParagraph"/>
        <w:numPr>
          <w:ilvl w:val="0"/>
          <w:numId w:val="2"/>
        </w:numPr>
        <w:spacing w:after="0" w:line="240" w:lineRule="auto"/>
        <w:rPr>
          <w:sz w:val="24"/>
          <w:szCs w:val="24"/>
        </w:rPr>
      </w:pPr>
      <w:r w:rsidRPr="00171C8F">
        <w:rPr>
          <w:sz w:val="24"/>
          <w:szCs w:val="24"/>
        </w:rPr>
        <w:t xml:space="preserve">If an Emergency Curtailment Event is requested by PJM, the Rider ELR customer must curtail its load down to </w:t>
      </w:r>
      <w:r w:rsidR="002F351C">
        <w:rPr>
          <w:sz w:val="24"/>
          <w:szCs w:val="24"/>
        </w:rPr>
        <w:t>its</w:t>
      </w:r>
      <w:r w:rsidR="002F351C" w:rsidRPr="00171C8F">
        <w:rPr>
          <w:sz w:val="24"/>
          <w:szCs w:val="24"/>
        </w:rPr>
        <w:t xml:space="preserve"> </w:t>
      </w:r>
      <w:r w:rsidRPr="00171C8F">
        <w:rPr>
          <w:sz w:val="24"/>
          <w:szCs w:val="24"/>
        </w:rPr>
        <w:t>Firm Load level within approximately 30 minutes, unless the customer has received an exception that allows it to receive longer notice.</w:t>
      </w:r>
      <w:r>
        <w:rPr>
          <w:rStyle w:val="FootnoteReference"/>
          <w:sz w:val="24"/>
          <w:szCs w:val="24"/>
        </w:rPr>
        <w:footnoteReference w:id="7"/>
      </w:r>
      <w:r w:rsidRPr="00171C8F">
        <w:rPr>
          <w:sz w:val="24"/>
          <w:szCs w:val="24"/>
        </w:rPr>
        <w:t xml:space="preserve">  </w:t>
      </w:r>
      <w:r w:rsidR="00122644" w:rsidRPr="00171C8F">
        <w:rPr>
          <w:sz w:val="24"/>
          <w:szCs w:val="24"/>
        </w:rPr>
        <w:t>A</w:t>
      </w:r>
      <w:r w:rsidRPr="00171C8F">
        <w:rPr>
          <w:sz w:val="24"/>
          <w:szCs w:val="24"/>
        </w:rPr>
        <w:t xml:space="preserve">n Emergency Curtailment Event </w:t>
      </w:r>
      <w:r w:rsidR="00122644" w:rsidRPr="00171C8F">
        <w:rPr>
          <w:sz w:val="24"/>
          <w:szCs w:val="24"/>
        </w:rPr>
        <w:t>“</w:t>
      </w:r>
      <w:r w:rsidRPr="00171C8F">
        <w:rPr>
          <w:sz w:val="24"/>
          <w:szCs w:val="24"/>
        </w:rPr>
        <w:t>requested solely by PJM may occur any day during the year with no restrictions on the number of events that could occur.”</w:t>
      </w:r>
      <w:r>
        <w:rPr>
          <w:rStyle w:val="FootnoteReference"/>
          <w:sz w:val="24"/>
          <w:szCs w:val="24"/>
        </w:rPr>
        <w:footnoteReference w:id="8"/>
      </w:r>
      <w:r w:rsidRPr="00171C8F">
        <w:rPr>
          <w:sz w:val="24"/>
          <w:szCs w:val="24"/>
        </w:rPr>
        <w:t xml:space="preserve">  The maximum duration for an Emergency Curtailment Event called by PJM during the months of May through October is 12 hours between 10:00 AM and 10:00 PM</w:t>
      </w:r>
      <w:r w:rsidR="00494090" w:rsidRPr="00171C8F">
        <w:rPr>
          <w:sz w:val="24"/>
          <w:szCs w:val="24"/>
        </w:rPr>
        <w:t>, and for the months of November through April, the maximum duration of a curtailment is 15 hours between the hours of 6:00 AM and 9:00 PM.</w:t>
      </w:r>
      <w:r w:rsidR="00494090">
        <w:rPr>
          <w:rStyle w:val="FootnoteReference"/>
          <w:sz w:val="24"/>
          <w:szCs w:val="24"/>
        </w:rPr>
        <w:footnoteReference w:id="9"/>
      </w:r>
    </w:p>
    <w:p w14:paraId="0B80E97E" w14:textId="77777777" w:rsidR="003F61DF" w:rsidRPr="00171C8F" w:rsidRDefault="003F61DF" w:rsidP="00171C8F">
      <w:pPr>
        <w:pStyle w:val="ListParagraph"/>
        <w:spacing w:after="0" w:line="240" w:lineRule="auto"/>
        <w:rPr>
          <w:sz w:val="24"/>
          <w:szCs w:val="24"/>
        </w:rPr>
      </w:pPr>
    </w:p>
    <w:p w14:paraId="288FACF1" w14:textId="24CECD14" w:rsidR="00494090" w:rsidRDefault="00494090" w:rsidP="003F61DF">
      <w:pPr>
        <w:pStyle w:val="ListParagraph"/>
        <w:numPr>
          <w:ilvl w:val="0"/>
          <w:numId w:val="2"/>
        </w:numPr>
        <w:spacing w:after="0" w:line="240" w:lineRule="auto"/>
        <w:rPr>
          <w:sz w:val="24"/>
          <w:szCs w:val="24"/>
        </w:rPr>
      </w:pPr>
      <w:r w:rsidRPr="00171C8F">
        <w:rPr>
          <w:sz w:val="24"/>
          <w:szCs w:val="24"/>
        </w:rPr>
        <w:t>In addition to PJM, interruptions under Rider ELR may be called by the customer’s distribution utility or a transmission operator (</w:t>
      </w:r>
      <w:r w:rsidRPr="00171C8F">
        <w:rPr>
          <w:i/>
          <w:iCs/>
          <w:sz w:val="24"/>
          <w:szCs w:val="24"/>
        </w:rPr>
        <w:t>i.e.</w:t>
      </w:r>
      <w:r w:rsidRPr="00171C8F">
        <w:rPr>
          <w:sz w:val="24"/>
          <w:szCs w:val="24"/>
        </w:rPr>
        <w:t>, ATSI).</w:t>
      </w:r>
      <w:r>
        <w:rPr>
          <w:rStyle w:val="FootnoteReference"/>
          <w:sz w:val="24"/>
          <w:szCs w:val="24"/>
        </w:rPr>
        <w:footnoteReference w:id="10"/>
      </w:r>
      <w:r w:rsidRPr="00171C8F">
        <w:rPr>
          <w:sz w:val="24"/>
          <w:szCs w:val="24"/>
        </w:rPr>
        <w:t xml:space="preserve">  An Emergency Curtailment </w:t>
      </w:r>
      <w:r w:rsidR="002F351C">
        <w:rPr>
          <w:sz w:val="24"/>
          <w:szCs w:val="24"/>
        </w:rPr>
        <w:t>E</w:t>
      </w:r>
      <w:r w:rsidR="002F351C" w:rsidRPr="00171C8F">
        <w:rPr>
          <w:sz w:val="24"/>
          <w:szCs w:val="24"/>
        </w:rPr>
        <w:t xml:space="preserve">vent </w:t>
      </w:r>
      <w:r w:rsidRPr="00171C8F">
        <w:rPr>
          <w:sz w:val="24"/>
          <w:szCs w:val="24"/>
        </w:rPr>
        <w:t xml:space="preserve">requested solely by the distribution utility and/or transmission operator “may occur anytime during the year with no restrictions on the number of events or the duration of </w:t>
      </w:r>
      <w:r w:rsidR="00A00459">
        <w:rPr>
          <w:sz w:val="24"/>
          <w:szCs w:val="24"/>
        </w:rPr>
        <w:t>an</w:t>
      </w:r>
      <w:r w:rsidR="00A00459" w:rsidRPr="00171C8F">
        <w:rPr>
          <w:sz w:val="24"/>
          <w:szCs w:val="24"/>
        </w:rPr>
        <w:t xml:space="preserve"> </w:t>
      </w:r>
      <w:r w:rsidRPr="00171C8F">
        <w:rPr>
          <w:sz w:val="24"/>
          <w:szCs w:val="24"/>
        </w:rPr>
        <w:t>event.”</w:t>
      </w:r>
      <w:r>
        <w:rPr>
          <w:rStyle w:val="FootnoteReference"/>
          <w:sz w:val="24"/>
          <w:szCs w:val="24"/>
        </w:rPr>
        <w:footnoteReference w:id="11"/>
      </w:r>
    </w:p>
    <w:p w14:paraId="48D2D2B6" w14:textId="77777777" w:rsidR="003F61DF" w:rsidRPr="00171C8F" w:rsidRDefault="003F61DF" w:rsidP="00171C8F">
      <w:pPr>
        <w:pStyle w:val="ListParagraph"/>
        <w:spacing w:after="0" w:line="240" w:lineRule="auto"/>
        <w:rPr>
          <w:sz w:val="24"/>
          <w:szCs w:val="24"/>
        </w:rPr>
      </w:pPr>
    </w:p>
    <w:p w14:paraId="60E6466C" w14:textId="77777777" w:rsidR="007C4124" w:rsidRDefault="00CC29BF" w:rsidP="006A7E91">
      <w:pPr>
        <w:spacing w:after="0" w:line="480" w:lineRule="auto"/>
        <w:rPr>
          <w:sz w:val="24"/>
          <w:szCs w:val="24"/>
        </w:rPr>
      </w:pPr>
      <w:r>
        <w:rPr>
          <w:sz w:val="24"/>
          <w:szCs w:val="24"/>
        </w:rPr>
        <w:tab/>
        <w:t xml:space="preserve">In short, customers on Rider ELR are subject to possible interruptions by three different entities at any time during the year and must plan their operations accordingly.  Rider ELR </w:t>
      </w:r>
      <w:r>
        <w:rPr>
          <w:sz w:val="24"/>
          <w:szCs w:val="24"/>
        </w:rPr>
        <w:lastRenderedPageBreak/>
        <w:t>customers that fail to curtail their load down to their Firm Load as prescribed by the tariff are subject to significa</w:t>
      </w:r>
      <w:r w:rsidR="00E135E8">
        <w:rPr>
          <w:sz w:val="24"/>
          <w:szCs w:val="24"/>
        </w:rPr>
        <w:t>nt</w:t>
      </w:r>
      <w:r>
        <w:rPr>
          <w:sz w:val="24"/>
          <w:szCs w:val="24"/>
        </w:rPr>
        <w:t xml:space="preserve"> penalties.</w:t>
      </w:r>
    </w:p>
    <w:p w14:paraId="26B6EA9E" w14:textId="014B98A5" w:rsidR="00BC162C" w:rsidRDefault="007C4124" w:rsidP="006A7E91">
      <w:pPr>
        <w:spacing w:after="0" w:line="480" w:lineRule="auto"/>
        <w:rPr>
          <w:sz w:val="24"/>
          <w:szCs w:val="24"/>
        </w:rPr>
      </w:pPr>
      <w:r>
        <w:rPr>
          <w:sz w:val="24"/>
          <w:szCs w:val="24"/>
        </w:rPr>
        <w:tab/>
        <w:t xml:space="preserve">Rider ELR customers </w:t>
      </w:r>
      <w:r w:rsidR="00216665">
        <w:rPr>
          <w:sz w:val="24"/>
          <w:szCs w:val="24"/>
        </w:rPr>
        <w:t>receive</w:t>
      </w:r>
      <w:r w:rsidR="006F1059">
        <w:rPr>
          <w:sz w:val="24"/>
          <w:szCs w:val="24"/>
        </w:rPr>
        <w:t xml:space="preserve"> credits applied to the </w:t>
      </w:r>
      <w:r>
        <w:rPr>
          <w:sz w:val="24"/>
          <w:szCs w:val="24"/>
        </w:rPr>
        <w:t>customer’s Curtailable Load for the month.</w:t>
      </w:r>
      <w:r>
        <w:rPr>
          <w:rStyle w:val="FootnoteReference"/>
          <w:sz w:val="24"/>
          <w:szCs w:val="24"/>
        </w:rPr>
        <w:footnoteReference w:id="12"/>
      </w:r>
      <w:r w:rsidR="00671511">
        <w:rPr>
          <w:sz w:val="24"/>
          <w:szCs w:val="24"/>
        </w:rPr>
        <w:t xml:space="preserve">  </w:t>
      </w:r>
      <w:r w:rsidR="0086354E">
        <w:rPr>
          <w:sz w:val="24"/>
          <w:szCs w:val="24"/>
        </w:rPr>
        <w:t xml:space="preserve">Currently, half of the </w:t>
      </w:r>
      <w:r w:rsidR="00671511">
        <w:rPr>
          <w:sz w:val="24"/>
          <w:szCs w:val="24"/>
        </w:rPr>
        <w:t xml:space="preserve">cost of </w:t>
      </w:r>
      <w:r w:rsidR="001B0466">
        <w:rPr>
          <w:sz w:val="24"/>
          <w:szCs w:val="24"/>
        </w:rPr>
        <w:t xml:space="preserve">the </w:t>
      </w:r>
      <w:r w:rsidR="00671511">
        <w:rPr>
          <w:sz w:val="24"/>
          <w:szCs w:val="24"/>
        </w:rPr>
        <w:t xml:space="preserve">credit is recovered </w:t>
      </w:r>
      <w:r w:rsidR="001B0466">
        <w:rPr>
          <w:sz w:val="24"/>
          <w:szCs w:val="24"/>
        </w:rPr>
        <w:t xml:space="preserve">through the Standard Charge Provision of </w:t>
      </w:r>
      <w:r w:rsidR="00630324">
        <w:rPr>
          <w:sz w:val="24"/>
          <w:szCs w:val="24"/>
        </w:rPr>
        <w:t xml:space="preserve">the </w:t>
      </w:r>
      <w:r w:rsidR="001B0466">
        <w:rPr>
          <w:sz w:val="24"/>
          <w:szCs w:val="24"/>
        </w:rPr>
        <w:t>Economic Development Rider, Rider EDR.</w:t>
      </w:r>
      <w:r w:rsidR="001B0466">
        <w:rPr>
          <w:rStyle w:val="FootnoteReference"/>
          <w:sz w:val="24"/>
          <w:szCs w:val="24"/>
        </w:rPr>
        <w:footnoteReference w:id="13"/>
      </w:r>
      <w:r w:rsidR="001B0466">
        <w:rPr>
          <w:sz w:val="24"/>
          <w:szCs w:val="24"/>
        </w:rPr>
        <w:t xml:space="preserve">  The other half of the cost of the credit is recovered from customers through the DSE1 charge under </w:t>
      </w:r>
      <w:r w:rsidR="00671511">
        <w:rPr>
          <w:sz w:val="24"/>
          <w:szCs w:val="24"/>
        </w:rPr>
        <w:t>Rider DSE.</w:t>
      </w:r>
      <w:r w:rsidR="00BC162C">
        <w:rPr>
          <w:sz w:val="24"/>
          <w:szCs w:val="24"/>
        </w:rPr>
        <w:t xml:space="preserve">  </w:t>
      </w:r>
      <w:r w:rsidR="0086354E">
        <w:rPr>
          <w:sz w:val="24"/>
          <w:szCs w:val="24"/>
        </w:rPr>
        <w:t>T</w:t>
      </w:r>
      <w:r w:rsidR="00BC162C">
        <w:rPr>
          <w:sz w:val="24"/>
          <w:szCs w:val="24"/>
        </w:rPr>
        <w:t xml:space="preserve">he DSE1 charge is a separate mechanism from DSE2, the charge </w:t>
      </w:r>
      <w:r w:rsidR="001B0466">
        <w:rPr>
          <w:sz w:val="24"/>
          <w:szCs w:val="24"/>
        </w:rPr>
        <w:t>established to recover</w:t>
      </w:r>
      <w:r w:rsidR="00BC162C">
        <w:rPr>
          <w:sz w:val="24"/>
          <w:szCs w:val="24"/>
        </w:rPr>
        <w:t xml:space="preserve"> the cost of the FirstEnergy’s portfolio program.  Rider DSE defines </w:t>
      </w:r>
      <w:r w:rsidR="001B0466">
        <w:rPr>
          <w:sz w:val="24"/>
          <w:szCs w:val="24"/>
        </w:rPr>
        <w:t>DSE1 charges as follows</w:t>
      </w:r>
      <w:r w:rsidR="00BC162C">
        <w:rPr>
          <w:sz w:val="24"/>
          <w:szCs w:val="24"/>
        </w:rPr>
        <w:t>:</w:t>
      </w:r>
    </w:p>
    <w:p w14:paraId="4DCC53F9" w14:textId="6C5C77EA" w:rsidR="00CC29BF" w:rsidRDefault="00BC162C" w:rsidP="001B0466">
      <w:pPr>
        <w:pStyle w:val="ListParagraph"/>
        <w:spacing w:after="0" w:line="240" w:lineRule="auto"/>
        <w:ind w:left="778"/>
        <w:rPr>
          <w:sz w:val="24"/>
          <w:szCs w:val="24"/>
        </w:rPr>
      </w:pPr>
      <w:r>
        <w:rPr>
          <w:sz w:val="24"/>
          <w:szCs w:val="24"/>
        </w:rPr>
        <w:t xml:space="preserve">The DSE1 charges set forth in this Rider recover costs incurred by the Company associated with customers taking service under the Economic Load </w:t>
      </w:r>
      <w:r w:rsidR="00A00459">
        <w:rPr>
          <w:sz w:val="24"/>
          <w:szCs w:val="24"/>
        </w:rPr>
        <w:t xml:space="preserve">Response </w:t>
      </w:r>
      <w:r>
        <w:rPr>
          <w:sz w:val="24"/>
          <w:szCs w:val="24"/>
        </w:rPr>
        <w:t>Rider (ELR).</w:t>
      </w:r>
    </w:p>
    <w:p w14:paraId="496441E0" w14:textId="20A36A06" w:rsidR="001B0466" w:rsidRDefault="001B0466" w:rsidP="001B0466">
      <w:pPr>
        <w:pStyle w:val="ListParagraph"/>
        <w:spacing w:after="0" w:line="240" w:lineRule="auto"/>
        <w:rPr>
          <w:sz w:val="24"/>
          <w:szCs w:val="24"/>
        </w:rPr>
      </w:pPr>
    </w:p>
    <w:p w14:paraId="38271FB4" w14:textId="290901E8" w:rsidR="001B0466" w:rsidRDefault="001B0466" w:rsidP="00171C8F">
      <w:pPr>
        <w:pStyle w:val="ListParagraph"/>
        <w:spacing w:after="0" w:line="240" w:lineRule="auto"/>
        <w:ind w:left="0"/>
        <w:rPr>
          <w:sz w:val="24"/>
          <w:szCs w:val="24"/>
        </w:rPr>
      </w:pPr>
      <w:r>
        <w:rPr>
          <w:sz w:val="24"/>
          <w:szCs w:val="24"/>
        </w:rPr>
        <w:t>By contrast, Rider DSE defines DSE2 charges as follows:</w:t>
      </w:r>
    </w:p>
    <w:p w14:paraId="1658B64E" w14:textId="77777777" w:rsidR="00E552B9" w:rsidRDefault="00E552B9" w:rsidP="00E552B9">
      <w:pPr>
        <w:pStyle w:val="ListParagraph"/>
        <w:spacing w:after="0" w:line="240" w:lineRule="auto"/>
        <w:ind w:left="778"/>
        <w:rPr>
          <w:sz w:val="24"/>
          <w:szCs w:val="24"/>
        </w:rPr>
      </w:pPr>
    </w:p>
    <w:p w14:paraId="4E576E2F" w14:textId="62C6FE16" w:rsidR="00BC162C" w:rsidRDefault="00BC162C" w:rsidP="00171C8F">
      <w:pPr>
        <w:pStyle w:val="ListParagraph"/>
        <w:spacing w:after="0" w:line="240" w:lineRule="auto"/>
        <w:ind w:left="778"/>
        <w:rPr>
          <w:sz w:val="24"/>
          <w:szCs w:val="24"/>
        </w:rPr>
      </w:pPr>
      <w:r>
        <w:rPr>
          <w:sz w:val="24"/>
          <w:szCs w:val="24"/>
        </w:rPr>
        <w:t xml:space="preserve">The DSE2 charges set forth in this Rider recover costs incurred by the Company associated with the programs that may be implemented by the Company to secure compliance with </w:t>
      </w:r>
      <w:proofErr w:type="gramStart"/>
      <w:r>
        <w:rPr>
          <w:sz w:val="24"/>
          <w:szCs w:val="24"/>
        </w:rPr>
        <w:t>the,</w:t>
      </w:r>
      <w:proofErr w:type="gramEnd"/>
      <w:r>
        <w:rPr>
          <w:sz w:val="24"/>
          <w:szCs w:val="24"/>
        </w:rPr>
        <w:t xml:space="preserve"> energy efficiency and peak demand reduction requirements in Section 4928.66, Revised Code through demand-response programs, energy efficiency programs, peak demand reduction programs, and self-directed demand-response, energy efficiency or other customer-sited programs.</w:t>
      </w:r>
      <w:r w:rsidR="008D7945">
        <w:rPr>
          <w:rStyle w:val="FootnoteReference"/>
          <w:sz w:val="24"/>
          <w:szCs w:val="24"/>
        </w:rPr>
        <w:footnoteReference w:id="14"/>
      </w:r>
    </w:p>
    <w:p w14:paraId="53E906E6" w14:textId="77777777" w:rsidR="0086354E" w:rsidRPr="0086354E" w:rsidRDefault="0086354E" w:rsidP="0086354E">
      <w:pPr>
        <w:pStyle w:val="ListParagraph"/>
        <w:spacing w:after="0" w:line="240" w:lineRule="auto"/>
        <w:rPr>
          <w:sz w:val="24"/>
          <w:szCs w:val="24"/>
        </w:rPr>
      </w:pPr>
    </w:p>
    <w:p w14:paraId="6A3AE8E0" w14:textId="7FDB5F03" w:rsidR="00654579" w:rsidRPr="00654579" w:rsidRDefault="00654579" w:rsidP="006A7E91">
      <w:pPr>
        <w:spacing w:after="0" w:line="480" w:lineRule="auto"/>
        <w:rPr>
          <w:b/>
          <w:bCs/>
          <w:sz w:val="24"/>
          <w:szCs w:val="24"/>
        </w:rPr>
      </w:pPr>
      <w:r>
        <w:rPr>
          <w:sz w:val="24"/>
          <w:szCs w:val="24"/>
        </w:rPr>
        <w:tab/>
      </w:r>
      <w:r>
        <w:rPr>
          <w:sz w:val="24"/>
          <w:szCs w:val="24"/>
        </w:rPr>
        <w:tab/>
      </w:r>
      <w:r w:rsidRPr="00654579">
        <w:rPr>
          <w:b/>
          <w:bCs/>
          <w:sz w:val="24"/>
          <w:szCs w:val="24"/>
        </w:rPr>
        <w:t>2.</w:t>
      </w:r>
      <w:r w:rsidRPr="00654579">
        <w:rPr>
          <w:b/>
          <w:bCs/>
          <w:sz w:val="24"/>
          <w:szCs w:val="24"/>
        </w:rPr>
        <w:tab/>
        <w:t>Purposes and Benefits of Rider ELR</w:t>
      </w:r>
      <w:r w:rsidR="00E552B9">
        <w:rPr>
          <w:b/>
          <w:bCs/>
          <w:sz w:val="24"/>
          <w:szCs w:val="24"/>
        </w:rPr>
        <w:t xml:space="preserve"> </w:t>
      </w:r>
    </w:p>
    <w:p w14:paraId="6DB7E4F8" w14:textId="73B27CE9" w:rsidR="00375FE8" w:rsidRDefault="006764D1" w:rsidP="006A7E91">
      <w:pPr>
        <w:spacing w:after="0" w:line="480" w:lineRule="auto"/>
        <w:rPr>
          <w:sz w:val="24"/>
          <w:szCs w:val="24"/>
        </w:rPr>
      </w:pPr>
      <w:r>
        <w:rPr>
          <w:sz w:val="24"/>
          <w:szCs w:val="24"/>
        </w:rPr>
        <w:tab/>
      </w:r>
      <w:r w:rsidR="001A4A58">
        <w:rPr>
          <w:sz w:val="24"/>
          <w:szCs w:val="24"/>
        </w:rPr>
        <w:t xml:space="preserve">Rider ELR </w:t>
      </w:r>
      <w:r w:rsidR="00336A15">
        <w:rPr>
          <w:sz w:val="24"/>
          <w:szCs w:val="24"/>
        </w:rPr>
        <w:t xml:space="preserve">is an interruptible rate </w:t>
      </w:r>
      <w:r w:rsidR="00C72D75">
        <w:rPr>
          <w:sz w:val="24"/>
          <w:szCs w:val="24"/>
        </w:rPr>
        <w:t>established to provide reliability and economic development benefits to the system</w:t>
      </w:r>
      <w:r w:rsidR="001A4A58">
        <w:rPr>
          <w:sz w:val="24"/>
          <w:szCs w:val="24"/>
        </w:rPr>
        <w:t>.</w:t>
      </w:r>
      <w:r w:rsidR="00336A15">
        <w:rPr>
          <w:sz w:val="24"/>
          <w:szCs w:val="24"/>
        </w:rPr>
        <w:t xml:space="preserve">  Since its inception, the rider has been available to large industrial </w:t>
      </w:r>
      <w:r w:rsidR="00EC694E">
        <w:rPr>
          <w:sz w:val="24"/>
          <w:szCs w:val="24"/>
        </w:rPr>
        <w:t>customer</w:t>
      </w:r>
      <w:r w:rsidR="00721332">
        <w:rPr>
          <w:sz w:val="24"/>
          <w:szCs w:val="24"/>
        </w:rPr>
        <w:t>s</w:t>
      </w:r>
      <w:r w:rsidR="00EC694E">
        <w:rPr>
          <w:sz w:val="24"/>
          <w:szCs w:val="24"/>
        </w:rPr>
        <w:t xml:space="preserve"> who had been on FirstEnergy’s pre-SB 221 legacy interruptible rates.</w:t>
      </w:r>
      <w:r w:rsidR="00336A15">
        <w:rPr>
          <w:sz w:val="24"/>
          <w:szCs w:val="24"/>
        </w:rPr>
        <w:t xml:space="preserve">  In </w:t>
      </w:r>
      <w:r w:rsidR="00336A15">
        <w:rPr>
          <w:sz w:val="24"/>
          <w:szCs w:val="24"/>
        </w:rPr>
        <w:lastRenderedPageBreak/>
        <w:t>fact, m</w:t>
      </w:r>
      <w:r w:rsidR="00394517">
        <w:rPr>
          <w:sz w:val="24"/>
          <w:szCs w:val="24"/>
        </w:rPr>
        <w:t xml:space="preserve">ost of the cost of the Rider ELR credit was initially recovered through the Economic Development </w:t>
      </w:r>
      <w:r w:rsidR="00A00459">
        <w:rPr>
          <w:sz w:val="24"/>
          <w:szCs w:val="24"/>
        </w:rPr>
        <w:t>R</w:t>
      </w:r>
      <w:r w:rsidR="00394517">
        <w:rPr>
          <w:sz w:val="24"/>
          <w:szCs w:val="24"/>
        </w:rPr>
        <w:t>ider, with only a small portion of the credit recovered through the DSE</w:t>
      </w:r>
      <w:r w:rsidR="007467DF">
        <w:rPr>
          <w:sz w:val="24"/>
          <w:szCs w:val="24"/>
        </w:rPr>
        <w:t>1</w:t>
      </w:r>
      <w:r w:rsidR="00394517">
        <w:rPr>
          <w:sz w:val="24"/>
          <w:szCs w:val="24"/>
        </w:rPr>
        <w:t xml:space="preserve"> charge.</w:t>
      </w:r>
      <w:r w:rsidR="00CC292A">
        <w:rPr>
          <w:rStyle w:val="FootnoteReference"/>
          <w:sz w:val="24"/>
          <w:szCs w:val="24"/>
        </w:rPr>
        <w:footnoteReference w:id="15"/>
      </w:r>
      <w:r w:rsidR="00394517">
        <w:rPr>
          <w:sz w:val="24"/>
          <w:szCs w:val="24"/>
        </w:rPr>
        <w:t xml:space="preserve">  </w:t>
      </w:r>
      <w:r w:rsidR="001014B5">
        <w:rPr>
          <w:sz w:val="24"/>
          <w:szCs w:val="24"/>
        </w:rPr>
        <w:t>While</w:t>
      </w:r>
      <w:r w:rsidR="00394517">
        <w:rPr>
          <w:sz w:val="24"/>
          <w:szCs w:val="24"/>
        </w:rPr>
        <w:t xml:space="preserve"> cost recovery was spread evenly between Rider EDR and DSE1</w:t>
      </w:r>
      <w:r w:rsidR="001014B5">
        <w:rPr>
          <w:sz w:val="24"/>
          <w:szCs w:val="24"/>
        </w:rPr>
        <w:t xml:space="preserve"> in subsequent ESPs, the </w:t>
      </w:r>
      <w:r w:rsidR="0011730E">
        <w:rPr>
          <w:sz w:val="24"/>
          <w:szCs w:val="24"/>
        </w:rPr>
        <w:t xml:space="preserve">fact that </w:t>
      </w:r>
      <w:r w:rsidR="00504612">
        <w:rPr>
          <w:sz w:val="24"/>
          <w:szCs w:val="24"/>
        </w:rPr>
        <w:t>at least half</w:t>
      </w:r>
      <w:r w:rsidR="0011730E">
        <w:rPr>
          <w:sz w:val="24"/>
          <w:szCs w:val="24"/>
        </w:rPr>
        <w:t xml:space="preserve"> of the cost of the rider </w:t>
      </w:r>
      <w:r w:rsidR="004144E2">
        <w:rPr>
          <w:sz w:val="24"/>
          <w:szCs w:val="24"/>
        </w:rPr>
        <w:t>has always been</w:t>
      </w:r>
      <w:r w:rsidR="0011730E">
        <w:rPr>
          <w:sz w:val="24"/>
          <w:szCs w:val="24"/>
        </w:rPr>
        <w:t xml:space="preserve"> recovered through the </w:t>
      </w:r>
      <w:r w:rsidR="00A00459">
        <w:rPr>
          <w:sz w:val="24"/>
          <w:szCs w:val="24"/>
        </w:rPr>
        <w:t>E</w:t>
      </w:r>
      <w:r w:rsidR="0011730E">
        <w:rPr>
          <w:sz w:val="24"/>
          <w:szCs w:val="24"/>
        </w:rPr>
        <w:t xml:space="preserve">conomic </w:t>
      </w:r>
      <w:r w:rsidR="00A00459">
        <w:rPr>
          <w:sz w:val="24"/>
          <w:szCs w:val="24"/>
        </w:rPr>
        <w:t>D</w:t>
      </w:r>
      <w:r w:rsidR="0011730E">
        <w:rPr>
          <w:sz w:val="24"/>
          <w:szCs w:val="24"/>
        </w:rPr>
        <w:t xml:space="preserve">evelopment </w:t>
      </w:r>
      <w:r w:rsidR="00A00459">
        <w:rPr>
          <w:sz w:val="24"/>
          <w:szCs w:val="24"/>
        </w:rPr>
        <w:t>R</w:t>
      </w:r>
      <w:r w:rsidR="0011730E">
        <w:rPr>
          <w:sz w:val="24"/>
          <w:szCs w:val="24"/>
        </w:rPr>
        <w:t>ider demonstrates that</w:t>
      </w:r>
      <w:r w:rsidR="007467DF">
        <w:rPr>
          <w:sz w:val="24"/>
          <w:szCs w:val="24"/>
        </w:rPr>
        <w:t xml:space="preserve"> economic development/job retention was and remains a primary purpose of</w:t>
      </w:r>
      <w:r w:rsidR="0011730E">
        <w:rPr>
          <w:sz w:val="24"/>
          <w:szCs w:val="24"/>
        </w:rPr>
        <w:t xml:space="preserve"> Rider ELR</w:t>
      </w:r>
      <w:r w:rsidR="00394517">
        <w:rPr>
          <w:sz w:val="24"/>
          <w:szCs w:val="24"/>
        </w:rPr>
        <w:t>.</w:t>
      </w:r>
      <w:r w:rsidR="00EC694E">
        <w:rPr>
          <w:sz w:val="24"/>
          <w:szCs w:val="24"/>
        </w:rPr>
        <w:t xml:space="preserve">  </w:t>
      </w:r>
    </w:p>
    <w:p w14:paraId="5F503B54" w14:textId="4C2BA1E5" w:rsidR="00E45E87" w:rsidRDefault="00E9273B" w:rsidP="006A7E91">
      <w:pPr>
        <w:spacing w:after="0" w:line="480" w:lineRule="auto"/>
        <w:rPr>
          <w:sz w:val="24"/>
          <w:szCs w:val="24"/>
        </w:rPr>
      </w:pPr>
      <w:r>
        <w:rPr>
          <w:sz w:val="24"/>
          <w:szCs w:val="24"/>
        </w:rPr>
        <w:tab/>
      </w:r>
      <w:r w:rsidR="002515E7">
        <w:rPr>
          <w:sz w:val="24"/>
          <w:szCs w:val="24"/>
        </w:rPr>
        <w:t>Rider ELR</w:t>
      </w:r>
      <w:r w:rsidR="00A66759">
        <w:rPr>
          <w:sz w:val="24"/>
          <w:szCs w:val="24"/>
        </w:rPr>
        <w:t xml:space="preserve"> provides reliability benefits</w:t>
      </w:r>
      <w:r w:rsidR="007E7599">
        <w:rPr>
          <w:sz w:val="24"/>
          <w:szCs w:val="24"/>
        </w:rPr>
        <w:t xml:space="preserve"> </w:t>
      </w:r>
      <w:r w:rsidR="00A66759">
        <w:rPr>
          <w:sz w:val="24"/>
          <w:szCs w:val="24"/>
        </w:rPr>
        <w:t>by providing a stable, long-term supply of interruptible load that can be called upon in the case of a system emergency.</w:t>
      </w:r>
      <w:r w:rsidR="002515E7">
        <w:rPr>
          <w:sz w:val="24"/>
          <w:szCs w:val="24"/>
        </w:rPr>
        <w:t xml:space="preserve">  Interruptible load can be a vital resource for helping to mitigate the impact of extreme weather events such as those recently seen in Texas and other parts of the country.</w:t>
      </w:r>
      <w:r w:rsidR="00FC4151">
        <w:rPr>
          <w:sz w:val="24"/>
          <w:szCs w:val="24"/>
        </w:rPr>
        <w:t xml:space="preserve">  Rider ELR</w:t>
      </w:r>
      <w:r w:rsidR="00602647">
        <w:rPr>
          <w:sz w:val="24"/>
          <w:szCs w:val="24"/>
        </w:rPr>
        <w:t xml:space="preserve"> has been characterized</w:t>
      </w:r>
      <w:r w:rsidR="00FC4151">
        <w:rPr>
          <w:sz w:val="24"/>
          <w:szCs w:val="24"/>
        </w:rPr>
        <w:t xml:space="preserve"> as “a significant tool in the reliability toolbox and </w:t>
      </w:r>
      <w:r w:rsidR="00A00459">
        <w:rPr>
          <w:sz w:val="24"/>
          <w:szCs w:val="24"/>
        </w:rPr>
        <w:t>assures that</w:t>
      </w:r>
      <w:r w:rsidR="00FC4151">
        <w:rPr>
          <w:sz w:val="24"/>
          <w:szCs w:val="24"/>
        </w:rPr>
        <w:t xml:space="preserve"> Rider ELR customers will be interrupted in advance of firm service customers.”</w:t>
      </w:r>
      <w:r w:rsidR="00FC4151">
        <w:rPr>
          <w:rStyle w:val="FootnoteReference"/>
          <w:sz w:val="24"/>
          <w:szCs w:val="24"/>
        </w:rPr>
        <w:footnoteReference w:id="16"/>
      </w:r>
      <w:r w:rsidR="002515E7">
        <w:rPr>
          <w:sz w:val="24"/>
          <w:szCs w:val="24"/>
        </w:rPr>
        <w:t xml:space="preserve">  During </w:t>
      </w:r>
      <w:r w:rsidR="00E45E87">
        <w:rPr>
          <w:sz w:val="24"/>
          <w:szCs w:val="24"/>
        </w:rPr>
        <w:t xml:space="preserve">the </w:t>
      </w:r>
      <w:r w:rsidR="002515E7">
        <w:rPr>
          <w:sz w:val="24"/>
          <w:szCs w:val="24"/>
        </w:rPr>
        <w:t>PJM</w:t>
      </w:r>
      <w:r w:rsidR="00E45E87">
        <w:rPr>
          <w:sz w:val="24"/>
          <w:szCs w:val="24"/>
        </w:rPr>
        <w:t xml:space="preserve"> region</w:t>
      </w:r>
      <w:r w:rsidR="002515E7">
        <w:rPr>
          <w:sz w:val="24"/>
          <w:szCs w:val="24"/>
        </w:rPr>
        <w:t xml:space="preserve">’s own </w:t>
      </w:r>
      <w:r w:rsidR="00E45E87">
        <w:rPr>
          <w:sz w:val="24"/>
          <w:szCs w:val="24"/>
        </w:rPr>
        <w:t>encounter</w:t>
      </w:r>
      <w:r w:rsidR="002515E7">
        <w:rPr>
          <w:sz w:val="24"/>
          <w:szCs w:val="24"/>
        </w:rPr>
        <w:t xml:space="preserve"> with extreme winter weather</w:t>
      </w:r>
      <w:r w:rsidR="00F4751A">
        <w:rPr>
          <w:sz w:val="24"/>
          <w:szCs w:val="24"/>
        </w:rPr>
        <w:t xml:space="preserve"> during</w:t>
      </w:r>
      <w:r w:rsidR="002515E7">
        <w:rPr>
          <w:sz w:val="24"/>
          <w:szCs w:val="24"/>
        </w:rPr>
        <w:t xml:space="preserve"> the 2014 Polar Vortex, Rider ELR customers were asked to curtail load in order to help preserve system reliability.</w:t>
      </w:r>
      <w:r w:rsidR="002515E7">
        <w:rPr>
          <w:rStyle w:val="FootnoteReference"/>
          <w:sz w:val="24"/>
          <w:szCs w:val="24"/>
        </w:rPr>
        <w:footnoteReference w:id="17"/>
      </w:r>
      <w:r w:rsidR="002515E7">
        <w:rPr>
          <w:sz w:val="24"/>
          <w:szCs w:val="24"/>
        </w:rPr>
        <w:t xml:space="preserve">  </w:t>
      </w:r>
      <w:r w:rsidR="00434568">
        <w:rPr>
          <w:sz w:val="24"/>
          <w:szCs w:val="24"/>
        </w:rPr>
        <w:t>Also, t</w:t>
      </w:r>
      <w:r w:rsidR="002515E7">
        <w:rPr>
          <w:sz w:val="24"/>
          <w:szCs w:val="24"/>
        </w:rPr>
        <w:t>he fact that a FirstEnergy distribution utility and/or ATSI</w:t>
      </w:r>
      <w:r w:rsidR="00434568">
        <w:rPr>
          <w:sz w:val="24"/>
          <w:szCs w:val="24"/>
        </w:rPr>
        <w:t>, and not just PJM,</w:t>
      </w:r>
      <w:r w:rsidR="002515E7">
        <w:rPr>
          <w:sz w:val="24"/>
          <w:szCs w:val="24"/>
        </w:rPr>
        <w:t xml:space="preserve"> may call an interruption </w:t>
      </w:r>
      <w:r w:rsidR="00434568">
        <w:rPr>
          <w:sz w:val="24"/>
          <w:szCs w:val="24"/>
        </w:rPr>
        <w:t>under Rider ELR makes the rider a resource for addressing more localized reliability issues.</w:t>
      </w:r>
      <w:r w:rsidR="00E45E87">
        <w:rPr>
          <w:sz w:val="24"/>
          <w:szCs w:val="24"/>
        </w:rPr>
        <w:t xml:space="preserve"> </w:t>
      </w:r>
    </w:p>
    <w:p w14:paraId="636B671A" w14:textId="2E292160" w:rsidR="00336A15" w:rsidRDefault="00E45E87" w:rsidP="006A7E91">
      <w:pPr>
        <w:spacing w:after="0" w:line="480" w:lineRule="auto"/>
        <w:rPr>
          <w:sz w:val="24"/>
          <w:szCs w:val="24"/>
        </w:rPr>
      </w:pPr>
      <w:r>
        <w:rPr>
          <w:sz w:val="24"/>
          <w:szCs w:val="24"/>
        </w:rPr>
        <w:lastRenderedPageBreak/>
        <w:tab/>
      </w:r>
      <w:r w:rsidR="007467DF">
        <w:rPr>
          <w:sz w:val="24"/>
          <w:szCs w:val="24"/>
        </w:rPr>
        <w:t xml:space="preserve">In addition to the primary economic development and reliability benefits Rider ELR provides, </w:t>
      </w:r>
      <w:r w:rsidR="00A26B68">
        <w:rPr>
          <w:sz w:val="24"/>
          <w:szCs w:val="24"/>
        </w:rPr>
        <w:t xml:space="preserve">additional benefits that Rider ELR provides have been addressed in </w:t>
      </w:r>
      <w:r w:rsidR="007467DF">
        <w:rPr>
          <w:sz w:val="24"/>
          <w:szCs w:val="24"/>
        </w:rPr>
        <w:t>FirstEnergy’s ESP cases.  For example</w:t>
      </w:r>
      <w:r w:rsidR="00434568">
        <w:rPr>
          <w:sz w:val="24"/>
          <w:szCs w:val="24"/>
        </w:rPr>
        <w:t>,</w:t>
      </w:r>
      <w:r w:rsidR="00A66759">
        <w:rPr>
          <w:sz w:val="24"/>
          <w:szCs w:val="24"/>
        </w:rPr>
        <w:t xml:space="preserve"> </w:t>
      </w:r>
      <w:r w:rsidR="005522F4">
        <w:rPr>
          <w:sz w:val="24"/>
          <w:szCs w:val="24"/>
        </w:rPr>
        <w:t>FirstEnergy has bid Rider ELR interruptible load into the PJM capacity markets, thereby displacing higher priced capacity resources in the auctions.</w:t>
      </w:r>
      <w:r w:rsidR="005522F4">
        <w:rPr>
          <w:rStyle w:val="FootnoteReference"/>
          <w:sz w:val="24"/>
          <w:szCs w:val="24"/>
        </w:rPr>
        <w:footnoteReference w:id="18"/>
      </w:r>
      <w:r w:rsidR="00704988">
        <w:rPr>
          <w:sz w:val="24"/>
          <w:szCs w:val="24"/>
        </w:rPr>
        <w:t xml:space="preserve">  Revenue </w:t>
      </w:r>
      <w:r w:rsidR="00226D72">
        <w:rPr>
          <w:sz w:val="24"/>
          <w:szCs w:val="24"/>
        </w:rPr>
        <w:t>received</w:t>
      </w:r>
      <w:r w:rsidR="00704988">
        <w:rPr>
          <w:sz w:val="24"/>
          <w:szCs w:val="24"/>
        </w:rPr>
        <w:t xml:space="preserve"> from the capacity market is flowed back to customers through Rider DSE to offset some of the cost of the credit.</w:t>
      </w:r>
      <w:r w:rsidR="00704988">
        <w:rPr>
          <w:rStyle w:val="FootnoteReference"/>
          <w:sz w:val="24"/>
          <w:szCs w:val="24"/>
        </w:rPr>
        <w:footnoteReference w:id="19"/>
      </w:r>
      <w:r w:rsidR="00AE4BC2">
        <w:rPr>
          <w:sz w:val="24"/>
          <w:szCs w:val="24"/>
        </w:rPr>
        <w:t xml:space="preserve">  In addition to reducing capacity costs, stable, long-term interruptible rates such as</w:t>
      </w:r>
      <w:r w:rsidR="005522F4">
        <w:rPr>
          <w:sz w:val="24"/>
          <w:szCs w:val="24"/>
        </w:rPr>
        <w:t xml:space="preserve"> </w:t>
      </w:r>
      <w:r w:rsidR="00A66759">
        <w:rPr>
          <w:sz w:val="24"/>
          <w:szCs w:val="24"/>
        </w:rPr>
        <w:t xml:space="preserve">Rider ELR </w:t>
      </w:r>
      <w:r w:rsidR="00AE4BC2">
        <w:rPr>
          <w:sz w:val="24"/>
          <w:szCs w:val="24"/>
        </w:rPr>
        <w:t xml:space="preserve">can also </w:t>
      </w:r>
      <w:r w:rsidR="00A66759">
        <w:rPr>
          <w:sz w:val="24"/>
          <w:szCs w:val="24"/>
        </w:rPr>
        <w:t xml:space="preserve">avoid </w:t>
      </w:r>
      <w:r w:rsidR="00AE4BC2">
        <w:rPr>
          <w:sz w:val="24"/>
          <w:szCs w:val="24"/>
        </w:rPr>
        <w:t xml:space="preserve">or reduce </w:t>
      </w:r>
      <w:r w:rsidR="00A66759">
        <w:rPr>
          <w:sz w:val="24"/>
          <w:szCs w:val="24"/>
        </w:rPr>
        <w:t xml:space="preserve">costs associated with </w:t>
      </w:r>
      <w:r w:rsidR="00AF0CDE">
        <w:rPr>
          <w:sz w:val="24"/>
          <w:szCs w:val="24"/>
        </w:rPr>
        <w:t>generation reserves and transmission losses</w:t>
      </w:r>
      <w:r w:rsidR="00A66759">
        <w:rPr>
          <w:sz w:val="24"/>
          <w:szCs w:val="24"/>
        </w:rPr>
        <w:t>.</w:t>
      </w:r>
      <w:r w:rsidR="002B1804">
        <w:rPr>
          <w:rStyle w:val="FootnoteReference"/>
          <w:sz w:val="24"/>
          <w:szCs w:val="24"/>
        </w:rPr>
        <w:footnoteReference w:id="20"/>
      </w:r>
      <w:r w:rsidR="007467DF">
        <w:rPr>
          <w:sz w:val="24"/>
          <w:szCs w:val="24"/>
        </w:rPr>
        <w:t xml:space="preserve">  Also, </w:t>
      </w:r>
      <w:r w:rsidR="00336A15">
        <w:rPr>
          <w:sz w:val="24"/>
          <w:szCs w:val="24"/>
        </w:rPr>
        <w:t>as an interruptible rate, Rider ELR produced peak demand reduction</w:t>
      </w:r>
      <w:r w:rsidR="00DE1B41">
        <w:rPr>
          <w:sz w:val="24"/>
          <w:szCs w:val="24"/>
        </w:rPr>
        <w:t>,</w:t>
      </w:r>
      <w:r w:rsidR="00336A15">
        <w:rPr>
          <w:sz w:val="24"/>
          <w:szCs w:val="24"/>
        </w:rPr>
        <w:t xml:space="preserve"> </w:t>
      </w:r>
      <w:r w:rsidR="00DE1B41">
        <w:rPr>
          <w:sz w:val="24"/>
          <w:szCs w:val="24"/>
        </w:rPr>
        <w:t>which</w:t>
      </w:r>
      <w:r w:rsidR="00336A15">
        <w:rPr>
          <w:sz w:val="24"/>
          <w:szCs w:val="24"/>
        </w:rPr>
        <w:t xml:space="preserve"> </w:t>
      </w:r>
      <w:r w:rsidR="00226D72">
        <w:rPr>
          <w:sz w:val="24"/>
          <w:szCs w:val="24"/>
        </w:rPr>
        <w:t xml:space="preserve">has been </w:t>
      </w:r>
      <w:r w:rsidR="00336A15">
        <w:rPr>
          <w:sz w:val="24"/>
          <w:szCs w:val="24"/>
        </w:rPr>
        <w:t>counted toward meeting the peak demand benchmarks under Section 4928.66.</w:t>
      </w:r>
      <w:r w:rsidR="00336A15">
        <w:rPr>
          <w:rStyle w:val="FootnoteReference"/>
          <w:sz w:val="24"/>
          <w:szCs w:val="24"/>
        </w:rPr>
        <w:footnoteReference w:id="21"/>
      </w:r>
    </w:p>
    <w:p w14:paraId="663B4AF1" w14:textId="2C9E4A77" w:rsidR="00995896" w:rsidRPr="00633056" w:rsidRDefault="002D5A7A" w:rsidP="00CE5DF2">
      <w:pPr>
        <w:spacing w:after="0" w:line="240" w:lineRule="auto"/>
        <w:ind w:left="1440" w:hanging="720"/>
        <w:rPr>
          <w:sz w:val="24"/>
          <w:szCs w:val="24"/>
        </w:rPr>
      </w:pPr>
      <w:r>
        <w:rPr>
          <w:b/>
          <w:bCs/>
          <w:sz w:val="24"/>
          <w:szCs w:val="24"/>
        </w:rPr>
        <w:t>C</w:t>
      </w:r>
      <w:r w:rsidR="00995896" w:rsidRPr="00633056">
        <w:rPr>
          <w:b/>
          <w:bCs/>
          <w:sz w:val="24"/>
          <w:szCs w:val="24"/>
        </w:rPr>
        <w:t>.</w:t>
      </w:r>
      <w:r w:rsidR="00995896" w:rsidRPr="00633056">
        <w:rPr>
          <w:b/>
          <w:bCs/>
          <w:sz w:val="24"/>
          <w:szCs w:val="24"/>
        </w:rPr>
        <w:tab/>
        <w:t xml:space="preserve">Rider ELR is an Interruptible Rate Approved as Part of </w:t>
      </w:r>
      <w:r w:rsidR="007053F1">
        <w:rPr>
          <w:b/>
          <w:bCs/>
          <w:sz w:val="24"/>
          <w:szCs w:val="24"/>
        </w:rPr>
        <w:t>the</w:t>
      </w:r>
      <w:r w:rsidR="007053F1" w:rsidRPr="00633056">
        <w:rPr>
          <w:b/>
          <w:bCs/>
          <w:sz w:val="24"/>
          <w:szCs w:val="24"/>
        </w:rPr>
        <w:t xml:space="preserve"> </w:t>
      </w:r>
      <w:r w:rsidR="00995896" w:rsidRPr="00633056">
        <w:rPr>
          <w:b/>
          <w:bCs/>
          <w:sz w:val="24"/>
          <w:szCs w:val="24"/>
        </w:rPr>
        <w:t>ESP Rate</w:t>
      </w:r>
      <w:r w:rsidR="002F351C">
        <w:rPr>
          <w:b/>
          <w:bCs/>
          <w:sz w:val="24"/>
          <w:szCs w:val="24"/>
        </w:rPr>
        <w:t xml:space="preserve"> </w:t>
      </w:r>
      <w:r w:rsidR="00995896" w:rsidRPr="00633056">
        <w:rPr>
          <w:b/>
          <w:bCs/>
          <w:sz w:val="24"/>
          <w:szCs w:val="24"/>
        </w:rPr>
        <w:t>Plans</w:t>
      </w:r>
    </w:p>
    <w:p w14:paraId="41DA66A5" w14:textId="77777777" w:rsidR="00995896" w:rsidRPr="00633056" w:rsidRDefault="00995896" w:rsidP="00995896">
      <w:pPr>
        <w:spacing w:after="0" w:line="240" w:lineRule="auto"/>
        <w:rPr>
          <w:sz w:val="24"/>
          <w:szCs w:val="24"/>
        </w:rPr>
      </w:pPr>
    </w:p>
    <w:p w14:paraId="3DC0CDE4" w14:textId="0F8270D1" w:rsidR="00995896" w:rsidRPr="00633056" w:rsidRDefault="00995896" w:rsidP="00E12B98">
      <w:pPr>
        <w:spacing w:after="0" w:line="480" w:lineRule="auto"/>
        <w:rPr>
          <w:sz w:val="24"/>
          <w:szCs w:val="24"/>
        </w:rPr>
      </w:pPr>
      <w:r w:rsidRPr="00633056">
        <w:rPr>
          <w:sz w:val="24"/>
          <w:szCs w:val="24"/>
        </w:rPr>
        <w:tab/>
      </w:r>
      <w:r w:rsidR="003E355F">
        <w:rPr>
          <w:sz w:val="24"/>
          <w:szCs w:val="24"/>
        </w:rPr>
        <w:t xml:space="preserve">As demonstrated by the history of Commission consideration and approvals of Rider ELR, </w:t>
      </w:r>
      <w:r w:rsidRPr="00633056">
        <w:rPr>
          <w:sz w:val="24"/>
          <w:szCs w:val="24"/>
        </w:rPr>
        <w:t xml:space="preserve">Rider ELR is not, and never has been, an energy efficiency program approved as part of FirstEnergy’s EE/PDR portfolio plans.  Instead, Rider ELR is an interruptible rate approved as part of every FirstEnergy </w:t>
      </w:r>
      <w:r w:rsidR="00E03990">
        <w:rPr>
          <w:sz w:val="24"/>
          <w:szCs w:val="24"/>
        </w:rPr>
        <w:t>electric security plan</w:t>
      </w:r>
      <w:r w:rsidRPr="00633056">
        <w:rPr>
          <w:sz w:val="24"/>
          <w:szCs w:val="24"/>
        </w:rPr>
        <w:t xml:space="preserve"> dating back to the first ESP in 2009.  While peak demand reduction resulting from Rider ELR </w:t>
      </w:r>
      <w:r w:rsidR="00F1102C">
        <w:rPr>
          <w:sz w:val="24"/>
          <w:szCs w:val="24"/>
        </w:rPr>
        <w:t xml:space="preserve">has been counted </w:t>
      </w:r>
      <w:r w:rsidRPr="00633056">
        <w:rPr>
          <w:sz w:val="24"/>
          <w:szCs w:val="24"/>
        </w:rPr>
        <w:t xml:space="preserve">toward meeting </w:t>
      </w:r>
      <w:r w:rsidR="00F1102C">
        <w:rPr>
          <w:sz w:val="24"/>
          <w:szCs w:val="24"/>
        </w:rPr>
        <w:t>the</w:t>
      </w:r>
      <w:r w:rsidR="00F1102C" w:rsidRPr="00633056">
        <w:rPr>
          <w:sz w:val="24"/>
          <w:szCs w:val="24"/>
        </w:rPr>
        <w:t xml:space="preserve"> </w:t>
      </w:r>
      <w:r w:rsidRPr="00633056">
        <w:rPr>
          <w:sz w:val="24"/>
          <w:szCs w:val="24"/>
        </w:rPr>
        <w:t xml:space="preserve">peak </w:t>
      </w:r>
      <w:r w:rsidRPr="00633056">
        <w:rPr>
          <w:sz w:val="24"/>
          <w:szCs w:val="24"/>
        </w:rPr>
        <w:lastRenderedPageBreak/>
        <w:t>demand reduction benchmarks under Section 4928.66</w:t>
      </w:r>
      <w:r w:rsidR="00875DF3" w:rsidRPr="00633056">
        <w:rPr>
          <w:sz w:val="24"/>
          <w:szCs w:val="24"/>
        </w:rPr>
        <w:t xml:space="preserve">, </w:t>
      </w:r>
      <w:r w:rsidR="005317E7">
        <w:rPr>
          <w:sz w:val="24"/>
          <w:szCs w:val="24"/>
        </w:rPr>
        <w:t>meeting the benchmarks has never been the sole or even the primary purpose of the rider</w:t>
      </w:r>
      <w:r w:rsidR="00875DF3" w:rsidRPr="00633056">
        <w:rPr>
          <w:sz w:val="24"/>
          <w:szCs w:val="24"/>
        </w:rPr>
        <w:t>.</w:t>
      </w:r>
    </w:p>
    <w:p w14:paraId="365DFB70" w14:textId="15A56F7A" w:rsidR="009E1B73" w:rsidRPr="00633056" w:rsidRDefault="00875DF3" w:rsidP="00E12B98">
      <w:pPr>
        <w:spacing w:after="0" w:line="480" w:lineRule="auto"/>
        <w:rPr>
          <w:sz w:val="24"/>
          <w:szCs w:val="24"/>
        </w:rPr>
      </w:pPr>
      <w:r w:rsidRPr="00633056">
        <w:rPr>
          <w:sz w:val="24"/>
          <w:szCs w:val="24"/>
        </w:rPr>
        <w:tab/>
      </w:r>
      <w:r w:rsidR="00EE0136" w:rsidRPr="00633056">
        <w:rPr>
          <w:sz w:val="24"/>
          <w:szCs w:val="24"/>
        </w:rPr>
        <w:t xml:space="preserve">Throughout the history of FirstEnergy’s standard service offer proposals, the Commission has recognized that interruptible rates like Rider ELR </w:t>
      </w:r>
      <w:r w:rsidR="004F7E52">
        <w:rPr>
          <w:sz w:val="24"/>
          <w:szCs w:val="24"/>
        </w:rPr>
        <w:t xml:space="preserve">are valuable and </w:t>
      </w:r>
      <w:r w:rsidR="00EE0136" w:rsidRPr="00633056">
        <w:rPr>
          <w:sz w:val="24"/>
          <w:szCs w:val="24"/>
        </w:rPr>
        <w:t xml:space="preserve">provide several benefits.  </w:t>
      </w:r>
      <w:r w:rsidR="00EA7191" w:rsidRPr="00633056">
        <w:rPr>
          <w:sz w:val="24"/>
          <w:szCs w:val="24"/>
        </w:rPr>
        <w:t>Following the passage of SB 221</w:t>
      </w:r>
      <w:r w:rsidR="00A66759">
        <w:rPr>
          <w:sz w:val="24"/>
          <w:szCs w:val="24"/>
        </w:rPr>
        <w:t>,</w:t>
      </w:r>
      <w:r w:rsidR="00EA7191" w:rsidRPr="00633056">
        <w:rPr>
          <w:sz w:val="24"/>
          <w:szCs w:val="24"/>
        </w:rPr>
        <w:t xml:space="preserve"> FirstEnergy simultaneously submitted </w:t>
      </w:r>
      <w:r w:rsidR="00947EE3">
        <w:rPr>
          <w:sz w:val="24"/>
          <w:szCs w:val="24"/>
        </w:rPr>
        <w:t xml:space="preserve">separate </w:t>
      </w:r>
      <w:r w:rsidR="004F7E52">
        <w:rPr>
          <w:sz w:val="24"/>
          <w:szCs w:val="24"/>
        </w:rPr>
        <w:t>market rate option (“</w:t>
      </w:r>
      <w:r w:rsidR="00EA7191" w:rsidRPr="00633056">
        <w:rPr>
          <w:sz w:val="24"/>
          <w:szCs w:val="24"/>
        </w:rPr>
        <w:t>MRO</w:t>
      </w:r>
      <w:r w:rsidR="004F7E52">
        <w:rPr>
          <w:sz w:val="24"/>
          <w:szCs w:val="24"/>
        </w:rPr>
        <w:t>”)</w:t>
      </w:r>
      <w:r w:rsidR="00EA7191" w:rsidRPr="00633056">
        <w:rPr>
          <w:sz w:val="24"/>
          <w:szCs w:val="24"/>
        </w:rPr>
        <w:t xml:space="preserve"> and ESP proposals.</w:t>
      </w:r>
      <w:r w:rsidR="00EE0136" w:rsidRPr="00633056">
        <w:rPr>
          <w:sz w:val="24"/>
          <w:szCs w:val="24"/>
        </w:rPr>
        <w:t xml:space="preserve">  FirstEnergy did not propose an interruptible rate as part of its MRO proposal considered by the Commission in Case No. 08-936-EL-SSO.  </w:t>
      </w:r>
      <w:r w:rsidR="00F91FBA">
        <w:rPr>
          <w:sz w:val="24"/>
          <w:szCs w:val="24"/>
        </w:rPr>
        <w:t>T</w:t>
      </w:r>
      <w:r w:rsidR="00EE0136" w:rsidRPr="00633056">
        <w:rPr>
          <w:sz w:val="24"/>
          <w:szCs w:val="24"/>
        </w:rPr>
        <w:t>he Commission</w:t>
      </w:r>
      <w:r w:rsidR="00F91FBA">
        <w:rPr>
          <w:sz w:val="24"/>
          <w:szCs w:val="24"/>
        </w:rPr>
        <w:t xml:space="preserve"> rejected the MR</w:t>
      </w:r>
      <w:r w:rsidR="00114C70">
        <w:rPr>
          <w:sz w:val="24"/>
          <w:szCs w:val="24"/>
        </w:rPr>
        <w:t>O</w:t>
      </w:r>
      <w:r w:rsidR="00F91FBA">
        <w:rPr>
          <w:sz w:val="24"/>
          <w:szCs w:val="24"/>
        </w:rPr>
        <w:t>, and in so doing</w:t>
      </w:r>
      <w:r w:rsidR="00EE0136" w:rsidRPr="00633056">
        <w:rPr>
          <w:sz w:val="24"/>
          <w:szCs w:val="24"/>
        </w:rPr>
        <w:t xml:space="preserve"> </w:t>
      </w:r>
      <w:r w:rsidR="00B20D9A" w:rsidRPr="00633056">
        <w:rPr>
          <w:sz w:val="24"/>
          <w:szCs w:val="24"/>
        </w:rPr>
        <w:t>cited shortcomings in FirstEnergy’s proposed rate design, including the omission of interruptible rates.</w:t>
      </w:r>
      <w:r w:rsidR="00B20D9A" w:rsidRPr="00633056">
        <w:rPr>
          <w:rStyle w:val="FootnoteReference"/>
          <w:sz w:val="24"/>
          <w:szCs w:val="24"/>
        </w:rPr>
        <w:footnoteReference w:id="22"/>
      </w:r>
      <w:r w:rsidR="00B20D9A" w:rsidRPr="00633056">
        <w:rPr>
          <w:sz w:val="24"/>
          <w:szCs w:val="24"/>
        </w:rPr>
        <w:t xml:space="preserve">  The Commission stated that “the record demonstrates that interruptible rates can be used to reduce generation and transmission capacity needs” and that FirstEnergy failed to demonstrate that interruptible rates are impractical or cannot be implemented as part of a competitive bidding process.</w:t>
      </w:r>
      <w:r w:rsidR="00B20D9A" w:rsidRPr="00633056">
        <w:rPr>
          <w:rStyle w:val="FootnoteReference"/>
          <w:sz w:val="24"/>
          <w:szCs w:val="24"/>
        </w:rPr>
        <w:footnoteReference w:id="23"/>
      </w:r>
    </w:p>
    <w:p w14:paraId="6B5978E2" w14:textId="0FFA0F0F" w:rsidR="000662EC" w:rsidRPr="00633056" w:rsidRDefault="009E1B73" w:rsidP="00E12B98">
      <w:pPr>
        <w:spacing w:after="0" w:line="480" w:lineRule="auto"/>
        <w:rPr>
          <w:sz w:val="24"/>
          <w:szCs w:val="24"/>
        </w:rPr>
      </w:pPr>
      <w:r w:rsidRPr="00633056">
        <w:rPr>
          <w:sz w:val="24"/>
          <w:szCs w:val="24"/>
        </w:rPr>
        <w:tab/>
        <w:t>Rider ELR was</w:t>
      </w:r>
      <w:r w:rsidR="00F41BB9" w:rsidRPr="00633056">
        <w:rPr>
          <w:sz w:val="24"/>
          <w:szCs w:val="24"/>
        </w:rPr>
        <w:t xml:space="preserve"> first proposed as a p</w:t>
      </w:r>
      <w:r w:rsidRPr="00633056">
        <w:rPr>
          <w:sz w:val="24"/>
          <w:szCs w:val="24"/>
        </w:rPr>
        <w:t xml:space="preserve">art of </w:t>
      </w:r>
      <w:r w:rsidR="00F1102C">
        <w:rPr>
          <w:sz w:val="24"/>
          <w:szCs w:val="24"/>
        </w:rPr>
        <w:t>the</w:t>
      </w:r>
      <w:r w:rsidR="00F1102C" w:rsidRPr="00633056">
        <w:rPr>
          <w:sz w:val="24"/>
          <w:szCs w:val="24"/>
        </w:rPr>
        <w:t xml:space="preserve"> </w:t>
      </w:r>
      <w:r w:rsidRPr="00633056">
        <w:rPr>
          <w:sz w:val="24"/>
          <w:szCs w:val="24"/>
        </w:rPr>
        <w:t>initial ESP in Case No. 08-935-EL-SSO.</w:t>
      </w:r>
      <w:r w:rsidR="00176187" w:rsidRPr="00633056">
        <w:rPr>
          <w:sz w:val="24"/>
          <w:szCs w:val="24"/>
        </w:rPr>
        <w:t xml:space="preserve">  As initially proposed, Rider ELR was made available to customers on FirstEnergy’s existing interruptible tariffs or a special contract containing interruptible provisions which was approved before July 31, 2008, and the terms and conditions of the rider were modeled on </w:t>
      </w:r>
      <w:r w:rsidR="00176187" w:rsidRPr="00633056">
        <w:rPr>
          <w:sz w:val="24"/>
          <w:szCs w:val="24"/>
        </w:rPr>
        <w:lastRenderedPageBreak/>
        <w:t>Ohio Edison’s existing interruptible tariffs.</w:t>
      </w:r>
      <w:r w:rsidR="00176187" w:rsidRPr="00633056">
        <w:rPr>
          <w:rStyle w:val="FootnoteReference"/>
          <w:sz w:val="24"/>
          <w:szCs w:val="24"/>
        </w:rPr>
        <w:footnoteReference w:id="24"/>
      </w:r>
      <w:r w:rsidR="00176187" w:rsidRPr="00633056">
        <w:rPr>
          <w:sz w:val="24"/>
          <w:szCs w:val="24"/>
        </w:rPr>
        <w:t xml:space="preserve">  This demonstrates that, from its inception, Rider ELR was an extension of </w:t>
      </w:r>
      <w:r w:rsidR="00B76163">
        <w:rPr>
          <w:sz w:val="24"/>
          <w:szCs w:val="24"/>
        </w:rPr>
        <w:t>historical</w:t>
      </w:r>
      <w:r w:rsidR="00176187" w:rsidRPr="00633056">
        <w:rPr>
          <w:sz w:val="24"/>
          <w:szCs w:val="24"/>
        </w:rPr>
        <w:t xml:space="preserve"> interruptible rates that existed long before SB 221’s EE/PDR benchmarks and portfolio requirements.</w:t>
      </w:r>
      <w:r w:rsidR="00F41BB9" w:rsidRPr="00633056">
        <w:rPr>
          <w:sz w:val="24"/>
          <w:szCs w:val="24"/>
        </w:rPr>
        <w:t xml:space="preserve">  The Commission initially approved and modified </w:t>
      </w:r>
      <w:r w:rsidR="00947717">
        <w:rPr>
          <w:sz w:val="24"/>
          <w:szCs w:val="24"/>
        </w:rPr>
        <w:t>the</w:t>
      </w:r>
      <w:r w:rsidR="00947717" w:rsidRPr="00633056">
        <w:rPr>
          <w:sz w:val="24"/>
          <w:szCs w:val="24"/>
        </w:rPr>
        <w:t xml:space="preserve"> </w:t>
      </w:r>
      <w:r w:rsidR="00F41BB9" w:rsidRPr="00633056">
        <w:rPr>
          <w:sz w:val="24"/>
          <w:szCs w:val="24"/>
        </w:rPr>
        <w:t xml:space="preserve">proposed ESP, and </w:t>
      </w:r>
      <w:r w:rsidR="00C853A4">
        <w:rPr>
          <w:sz w:val="24"/>
          <w:szCs w:val="24"/>
        </w:rPr>
        <w:t xml:space="preserve">while </w:t>
      </w:r>
      <w:r w:rsidR="00F41BB9" w:rsidRPr="00633056">
        <w:rPr>
          <w:sz w:val="24"/>
          <w:szCs w:val="24"/>
        </w:rPr>
        <w:t>FirstEnergy then withdrew its ESP, the Commission subsequently approved a stipulation implementing the ESP.</w:t>
      </w:r>
      <w:r w:rsidR="00F41BB9" w:rsidRPr="00633056">
        <w:rPr>
          <w:rStyle w:val="FootnoteReference"/>
          <w:sz w:val="24"/>
          <w:szCs w:val="24"/>
        </w:rPr>
        <w:footnoteReference w:id="25"/>
      </w:r>
      <w:r w:rsidR="006908B6" w:rsidRPr="00633056">
        <w:rPr>
          <w:sz w:val="24"/>
          <w:szCs w:val="24"/>
        </w:rPr>
        <w:t xml:space="preserve">  Rider ELR was included as part of the stipulation.  Most parties in the case (including OCC) signed the stipulation.</w:t>
      </w:r>
      <w:r w:rsidR="006908B6" w:rsidRPr="00633056">
        <w:rPr>
          <w:rStyle w:val="FootnoteReference"/>
          <w:sz w:val="24"/>
          <w:szCs w:val="24"/>
        </w:rPr>
        <w:footnoteReference w:id="26"/>
      </w:r>
    </w:p>
    <w:p w14:paraId="62A09F24" w14:textId="6EA7A6B8" w:rsidR="003E0A08" w:rsidRDefault="000662EC" w:rsidP="00E12B98">
      <w:pPr>
        <w:spacing w:after="0" w:line="480" w:lineRule="auto"/>
        <w:rPr>
          <w:sz w:val="24"/>
          <w:szCs w:val="24"/>
        </w:rPr>
      </w:pPr>
      <w:r w:rsidRPr="00633056">
        <w:rPr>
          <w:sz w:val="24"/>
          <w:szCs w:val="24"/>
        </w:rPr>
        <w:tab/>
        <w:t>While Rider ELR was characterized in the stipulation as a “demand response program under Section 4928.66, Revised Code,”</w:t>
      </w:r>
      <w:r w:rsidRPr="00633056">
        <w:rPr>
          <w:rStyle w:val="FootnoteReference"/>
          <w:sz w:val="24"/>
          <w:szCs w:val="24"/>
        </w:rPr>
        <w:footnoteReference w:id="27"/>
      </w:r>
      <w:r w:rsidRPr="00633056">
        <w:rPr>
          <w:sz w:val="24"/>
          <w:szCs w:val="24"/>
        </w:rPr>
        <w:t xml:space="preserve"> </w:t>
      </w:r>
      <w:proofErr w:type="gramStart"/>
      <w:r w:rsidRPr="00633056">
        <w:rPr>
          <w:sz w:val="24"/>
          <w:szCs w:val="24"/>
        </w:rPr>
        <w:t>it is clear that Rider</w:t>
      </w:r>
      <w:proofErr w:type="gramEnd"/>
      <w:r w:rsidRPr="00633056">
        <w:rPr>
          <w:sz w:val="24"/>
          <w:szCs w:val="24"/>
        </w:rPr>
        <w:t xml:space="preserve"> ELR </w:t>
      </w:r>
      <w:r w:rsidR="00797CCD">
        <w:rPr>
          <w:sz w:val="24"/>
          <w:szCs w:val="24"/>
        </w:rPr>
        <w:t>was not developed through or approved under FirstEnergy’s portfolio plan</w:t>
      </w:r>
      <w:r w:rsidRPr="00633056">
        <w:rPr>
          <w:sz w:val="24"/>
          <w:szCs w:val="24"/>
        </w:rPr>
        <w:t>.</w:t>
      </w:r>
      <w:r w:rsidR="002708E9" w:rsidRPr="00633056">
        <w:rPr>
          <w:sz w:val="24"/>
          <w:szCs w:val="24"/>
        </w:rPr>
        <w:t xml:space="preserve">  The EE/PDR portfolio did not </w:t>
      </w:r>
      <w:r w:rsidR="003743B8">
        <w:rPr>
          <w:sz w:val="24"/>
          <w:szCs w:val="24"/>
        </w:rPr>
        <w:t>even</w:t>
      </w:r>
      <w:r w:rsidR="003743B8" w:rsidRPr="00633056">
        <w:rPr>
          <w:sz w:val="24"/>
          <w:szCs w:val="24"/>
        </w:rPr>
        <w:t xml:space="preserve"> </w:t>
      </w:r>
      <w:r w:rsidR="002708E9" w:rsidRPr="00633056">
        <w:rPr>
          <w:sz w:val="24"/>
          <w:szCs w:val="24"/>
        </w:rPr>
        <w:t>exist when the first ESP was approved</w:t>
      </w:r>
      <w:r w:rsidR="003A2E7F" w:rsidRPr="00633056">
        <w:rPr>
          <w:sz w:val="24"/>
          <w:szCs w:val="24"/>
        </w:rPr>
        <w:t xml:space="preserve"> – in </w:t>
      </w:r>
      <w:r w:rsidRPr="00633056">
        <w:rPr>
          <w:sz w:val="24"/>
          <w:szCs w:val="24"/>
        </w:rPr>
        <w:t xml:space="preserve">fact, the process for </w:t>
      </w:r>
      <w:r w:rsidR="002708E9" w:rsidRPr="00633056">
        <w:rPr>
          <w:sz w:val="24"/>
          <w:szCs w:val="24"/>
        </w:rPr>
        <w:t xml:space="preserve">developing the EE/PDR </w:t>
      </w:r>
      <w:r w:rsidR="00EE2DA3">
        <w:rPr>
          <w:sz w:val="24"/>
          <w:szCs w:val="24"/>
        </w:rPr>
        <w:t xml:space="preserve">program </w:t>
      </w:r>
      <w:r w:rsidR="002708E9" w:rsidRPr="00633056">
        <w:rPr>
          <w:sz w:val="24"/>
          <w:szCs w:val="24"/>
        </w:rPr>
        <w:t xml:space="preserve">portfolio </w:t>
      </w:r>
      <w:r w:rsidR="00EE2DA3">
        <w:rPr>
          <w:sz w:val="24"/>
          <w:szCs w:val="24"/>
        </w:rPr>
        <w:t>w</w:t>
      </w:r>
      <w:r w:rsidR="002708E9" w:rsidRPr="00633056">
        <w:rPr>
          <w:sz w:val="24"/>
          <w:szCs w:val="24"/>
        </w:rPr>
        <w:t>as established as part of the same stipulation.</w:t>
      </w:r>
      <w:r w:rsidR="002708E9" w:rsidRPr="00633056">
        <w:rPr>
          <w:rStyle w:val="FootnoteReference"/>
          <w:sz w:val="24"/>
          <w:szCs w:val="24"/>
        </w:rPr>
        <w:footnoteReference w:id="28"/>
      </w:r>
    </w:p>
    <w:p w14:paraId="69477844" w14:textId="07207C2F" w:rsidR="00CD19DB" w:rsidRDefault="00CD19DB" w:rsidP="00E12B98">
      <w:pPr>
        <w:spacing w:after="0" w:line="480" w:lineRule="auto"/>
        <w:rPr>
          <w:sz w:val="24"/>
          <w:szCs w:val="24"/>
        </w:rPr>
      </w:pPr>
      <w:r>
        <w:rPr>
          <w:sz w:val="24"/>
          <w:szCs w:val="24"/>
        </w:rPr>
        <w:tab/>
        <w:t xml:space="preserve">Rider ELR was included as part of the stipulation and approved again in </w:t>
      </w:r>
      <w:r w:rsidR="00C23EC2">
        <w:rPr>
          <w:sz w:val="24"/>
          <w:szCs w:val="24"/>
        </w:rPr>
        <w:t xml:space="preserve">the </w:t>
      </w:r>
      <w:r>
        <w:rPr>
          <w:sz w:val="24"/>
          <w:szCs w:val="24"/>
        </w:rPr>
        <w:t xml:space="preserve">second ESP case, Case No. 10-388-EL-SSO.  The Commission rejected arguments that Rider ELR should be terminated since other demand response </w:t>
      </w:r>
      <w:r w:rsidR="00204FF3">
        <w:rPr>
          <w:sz w:val="24"/>
          <w:szCs w:val="24"/>
        </w:rPr>
        <w:t>opportunities</w:t>
      </w:r>
      <w:r>
        <w:rPr>
          <w:sz w:val="24"/>
          <w:szCs w:val="24"/>
        </w:rPr>
        <w:t xml:space="preserve"> are available through RTO programs.</w:t>
      </w:r>
      <w:r>
        <w:rPr>
          <w:rStyle w:val="FootnoteReference"/>
          <w:sz w:val="24"/>
          <w:szCs w:val="24"/>
        </w:rPr>
        <w:footnoteReference w:id="29"/>
      </w:r>
      <w:r>
        <w:rPr>
          <w:sz w:val="24"/>
          <w:szCs w:val="24"/>
        </w:rPr>
        <w:t xml:space="preserve">  The Commission also observed that the recommendation to continue Rider ELR was the result </w:t>
      </w:r>
      <w:r>
        <w:rPr>
          <w:sz w:val="24"/>
          <w:szCs w:val="24"/>
        </w:rPr>
        <w:lastRenderedPageBreak/>
        <w:t>of good faith negotiations between the signatories to the ESP stipulation and that termination of the rate would harm large industrial customers in the state.</w:t>
      </w:r>
      <w:r w:rsidR="00204FF3">
        <w:rPr>
          <w:rStyle w:val="FootnoteReference"/>
          <w:sz w:val="24"/>
          <w:szCs w:val="24"/>
        </w:rPr>
        <w:footnoteReference w:id="30"/>
      </w:r>
    </w:p>
    <w:p w14:paraId="15948182" w14:textId="0448C05D" w:rsidR="003743B8" w:rsidRDefault="006D7457" w:rsidP="00E12B98">
      <w:pPr>
        <w:spacing w:after="0" w:line="480" w:lineRule="auto"/>
        <w:rPr>
          <w:sz w:val="24"/>
          <w:szCs w:val="24"/>
        </w:rPr>
      </w:pPr>
      <w:r>
        <w:rPr>
          <w:sz w:val="24"/>
          <w:szCs w:val="24"/>
        </w:rPr>
        <w:tab/>
        <w:t xml:space="preserve">Rider ELR was included </w:t>
      </w:r>
      <w:r w:rsidR="00260C42">
        <w:rPr>
          <w:sz w:val="24"/>
          <w:szCs w:val="24"/>
        </w:rPr>
        <w:t>as part of the ESP approved in</w:t>
      </w:r>
      <w:r>
        <w:rPr>
          <w:sz w:val="24"/>
          <w:szCs w:val="24"/>
        </w:rPr>
        <w:t xml:space="preserve"> </w:t>
      </w:r>
      <w:r w:rsidR="00C23EC2">
        <w:rPr>
          <w:sz w:val="24"/>
          <w:szCs w:val="24"/>
        </w:rPr>
        <w:t xml:space="preserve">the </w:t>
      </w:r>
      <w:r>
        <w:rPr>
          <w:sz w:val="24"/>
          <w:szCs w:val="24"/>
        </w:rPr>
        <w:t>third ESP case, Case No. 12-1230-EL-SSO.</w:t>
      </w:r>
      <w:r w:rsidR="00260C42">
        <w:rPr>
          <w:rStyle w:val="FootnoteReference"/>
          <w:sz w:val="24"/>
          <w:szCs w:val="24"/>
        </w:rPr>
        <w:footnoteReference w:id="31"/>
      </w:r>
      <w:r w:rsidR="00C348A1">
        <w:rPr>
          <w:sz w:val="24"/>
          <w:szCs w:val="24"/>
        </w:rPr>
        <w:t xml:space="preserve">  In that case, the Commission found that Rider ELR tends to “lower SSO generation prices as well as promote both economic development and compliance with the peak demand reduction provisions of Section 4928.66, Revised Code.”</w:t>
      </w:r>
      <w:r w:rsidR="00C348A1">
        <w:rPr>
          <w:rStyle w:val="FootnoteReference"/>
          <w:sz w:val="24"/>
          <w:szCs w:val="24"/>
        </w:rPr>
        <w:footnoteReference w:id="32"/>
      </w:r>
    </w:p>
    <w:p w14:paraId="035E3E98" w14:textId="3B506D74" w:rsidR="000767A9" w:rsidRPr="00633056" w:rsidRDefault="003743B8" w:rsidP="00E12B98">
      <w:pPr>
        <w:spacing w:after="0" w:line="480" w:lineRule="auto"/>
        <w:rPr>
          <w:b/>
          <w:bCs/>
          <w:sz w:val="24"/>
          <w:szCs w:val="24"/>
        </w:rPr>
      </w:pPr>
      <w:r>
        <w:rPr>
          <w:sz w:val="24"/>
          <w:szCs w:val="24"/>
        </w:rPr>
        <w:tab/>
      </w:r>
      <w:r w:rsidR="00260C42">
        <w:rPr>
          <w:sz w:val="24"/>
          <w:szCs w:val="24"/>
        </w:rPr>
        <w:t xml:space="preserve">Finally, Rider ELR was approved as part of </w:t>
      </w:r>
      <w:r w:rsidR="00C23EC2">
        <w:rPr>
          <w:sz w:val="24"/>
          <w:szCs w:val="24"/>
        </w:rPr>
        <w:t xml:space="preserve">the </w:t>
      </w:r>
      <w:r w:rsidR="00260C42">
        <w:rPr>
          <w:sz w:val="24"/>
          <w:szCs w:val="24"/>
        </w:rPr>
        <w:t>fourth and current ESP in Case No. 14-1297-EL-SSO, where the Commission recognized that Rider ELR provides</w:t>
      </w:r>
      <w:r w:rsidR="00963ECC">
        <w:rPr>
          <w:sz w:val="24"/>
          <w:szCs w:val="24"/>
        </w:rPr>
        <w:t xml:space="preserve"> reliability and economic development benefits to customers.</w:t>
      </w:r>
      <w:r w:rsidR="00260C42">
        <w:rPr>
          <w:rStyle w:val="FootnoteReference"/>
          <w:sz w:val="24"/>
          <w:szCs w:val="24"/>
        </w:rPr>
        <w:footnoteReference w:id="33"/>
      </w:r>
      <w:r w:rsidR="00963ECC">
        <w:rPr>
          <w:sz w:val="24"/>
          <w:szCs w:val="24"/>
        </w:rPr>
        <w:t xml:space="preserve">  The Commission counted Rider ELR as among a number of the provisions in the stipulation “intended to promote the state’s effectiveness in the global economy,” and recognized that the rider was approved by the Commission as part of </w:t>
      </w:r>
      <w:r w:rsidR="00C23EC2">
        <w:rPr>
          <w:sz w:val="24"/>
          <w:szCs w:val="24"/>
        </w:rPr>
        <w:t xml:space="preserve">the </w:t>
      </w:r>
      <w:r w:rsidR="00963ECC">
        <w:rPr>
          <w:sz w:val="24"/>
          <w:szCs w:val="24"/>
        </w:rPr>
        <w:t>first ESP and has continued in place since then.</w:t>
      </w:r>
      <w:r w:rsidR="00963ECC">
        <w:rPr>
          <w:rStyle w:val="FootnoteReference"/>
          <w:sz w:val="24"/>
          <w:szCs w:val="24"/>
        </w:rPr>
        <w:footnoteReference w:id="34"/>
      </w:r>
    </w:p>
    <w:p w14:paraId="01FB847A" w14:textId="11878E6E" w:rsidR="003E0A08" w:rsidRPr="00633056" w:rsidRDefault="002D5A7A" w:rsidP="00242DF8">
      <w:pPr>
        <w:spacing w:after="0" w:line="240" w:lineRule="auto"/>
        <w:ind w:left="1440" w:hanging="720"/>
        <w:rPr>
          <w:b/>
          <w:bCs/>
          <w:sz w:val="24"/>
          <w:szCs w:val="24"/>
        </w:rPr>
      </w:pPr>
      <w:r>
        <w:rPr>
          <w:b/>
          <w:bCs/>
          <w:sz w:val="24"/>
          <w:szCs w:val="24"/>
        </w:rPr>
        <w:t>D</w:t>
      </w:r>
      <w:r w:rsidR="003E0A08" w:rsidRPr="00633056">
        <w:rPr>
          <w:b/>
          <w:bCs/>
          <w:sz w:val="24"/>
          <w:szCs w:val="24"/>
        </w:rPr>
        <w:t>.</w:t>
      </w:r>
      <w:r w:rsidR="003E0A08" w:rsidRPr="00633056">
        <w:rPr>
          <w:b/>
          <w:bCs/>
          <w:sz w:val="24"/>
          <w:szCs w:val="24"/>
        </w:rPr>
        <w:tab/>
        <w:t xml:space="preserve">The Commission Has Recognized that Rider ELR is Not </w:t>
      </w:r>
      <w:r w:rsidR="00963ECC">
        <w:rPr>
          <w:b/>
          <w:bCs/>
          <w:sz w:val="24"/>
          <w:szCs w:val="24"/>
        </w:rPr>
        <w:t xml:space="preserve">Established Under or Funded Through FirstEnergy’s EE/PDR Portfolio </w:t>
      </w:r>
    </w:p>
    <w:p w14:paraId="76D24340" w14:textId="77777777" w:rsidR="003E0A08" w:rsidRPr="00633056" w:rsidRDefault="003E0A08" w:rsidP="003E0A08">
      <w:pPr>
        <w:spacing w:after="0" w:line="240" w:lineRule="auto"/>
        <w:rPr>
          <w:sz w:val="24"/>
          <w:szCs w:val="24"/>
        </w:rPr>
      </w:pPr>
    </w:p>
    <w:p w14:paraId="049B4CFE" w14:textId="4A9412BB" w:rsidR="00A974A7" w:rsidRDefault="003E0A08" w:rsidP="00E12B98">
      <w:pPr>
        <w:spacing w:after="0" w:line="480" w:lineRule="auto"/>
        <w:rPr>
          <w:sz w:val="24"/>
          <w:szCs w:val="24"/>
        </w:rPr>
      </w:pPr>
      <w:r w:rsidRPr="00633056">
        <w:rPr>
          <w:sz w:val="24"/>
          <w:szCs w:val="24"/>
        </w:rPr>
        <w:tab/>
      </w:r>
      <w:r w:rsidR="00A974A7">
        <w:rPr>
          <w:sz w:val="24"/>
          <w:szCs w:val="24"/>
        </w:rPr>
        <w:t xml:space="preserve">FirstEnergy submitted its initial EE/PDR portfolio plan in December of 2009, well after the first ESP plan including Rider ELR </w:t>
      </w:r>
      <w:r w:rsidR="00B87A9A">
        <w:rPr>
          <w:sz w:val="24"/>
          <w:szCs w:val="24"/>
        </w:rPr>
        <w:t>w</w:t>
      </w:r>
      <w:r w:rsidR="00A974A7">
        <w:rPr>
          <w:sz w:val="24"/>
          <w:szCs w:val="24"/>
        </w:rPr>
        <w:t>as approved and in place.</w:t>
      </w:r>
      <w:r w:rsidR="00A974A7">
        <w:rPr>
          <w:rStyle w:val="FootnoteReference"/>
          <w:sz w:val="24"/>
          <w:szCs w:val="24"/>
        </w:rPr>
        <w:footnoteReference w:id="35"/>
      </w:r>
      <w:r w:rsidR="00602E7A">
        <w:rPr>
          <w:sz w:val="24"/>
          <w:szCs w:val="24"/>
        </w:rPr>
        <w:t xml:space="preserve">  In that case, FirstEnergy did not seek review or approval of Rider ELR, nor did it seek review of whether the rider should be </w:t>
      </w:r>
      <w:r w:rsidR="00602E7A">
        <w:rPr>
          <w:sz w:val="24"/>
          <w:szCs w:val="24"/>
        </w:rPr>
        <w:lastRenderedPageBreak/>
        <w:t xml:space="preserve">continued.  </w:t>
      </w:r>
      <w:proofErr w:type="gramStart"/>
      <w:r w:rsidR="00602E7A">
        <w:rPr>
          <w:sz w:val="24"/>
          <w:szCs w:val="24"/>
        </w:rPr>
        <w:t>With regard to</w:t>
      </w:r>
      <w:proofErr w:type="gramEnd"/>
      <w:r w:rsidR="00602E7A">
        <w:rPr>
          <w:sz w:val="24"/>
          <w:szCs w:val="24"/>
        </w:rPr>
        <w:t xml:space="preserve"> Rider ELR, FirstEnergy clarified that it was only seeking approval in the portfolio proceeding to include the results of Rider ELR for purposes of compliance with the Section 4928.66(A) benchmarks.</w:t>
      </w:r>
      <w:r w:rsidR="00E2667F">
        <w:rPr>
          <w:rStyle w:val="FootnoteReference"/>
          <w:sz w:val="24"/>
          <w:szCs w:val="24"/>
        </w:rPr>
        <w:footnoteReference w:id="36"/>
      </w:r>
      <w:r w:rsidR="00602E7A">
        <w:rPr>
          <w:sz w:val="24"/>
          <w:szCs w:val="24"/>
        </w:rPr>
        <w:t xml:space="preserve">  </w:t>
      </w:r>
      <w:r w:rsidR="00602E7A" w:rsidRPr="00602E7A">
        <w:rPr>
          <w:sz w:val="24"/>
          <w:szCs w:val="24"/>
        </w:rPr>
        <w:t>The Commission</w:t>
      </w:r>
      <w:r w:rsidR="00602E7A">
        <w:rPr>
          <w:sz w:val="24"/>
          <w:szCs w:val="24"/>
        </w:rPr>
        <w:t xml:space="preserve"> agreed that approval of Rider ELR occurred outside the portfolio case, finding that </w:t>
      </w:r>
      <w:r w:rsidR="00602E7A" w:rsidRPr="00602E7A">
        <w:rPr>
          <w:sz w:val="24"/>
          <w:szCs w:val="24"/>
        </w:rPr>
        <w:t>“pursuant to our approval of the combined stipulation, as modified, in the 2010 ESP Case, FirstEnergy will continue Riders ELR and OLR through May 31, 2014.”</w:t>
      </w:r>
      <w:r w:rsidR="00602E7A">
        <w:rPr>
          <w:rStyle w:val="FootnoteReference"/>
          <w:sz w:val="24"/>
          <w:szCs w:val="24"/>
        </w:rPr>
        <w:footnoteReference w:id="37"/>
      </w:r>
    </w:p>
    <w:p w14:paraId="063DFA2A" w14:textId="186FDA6B" w:rsidR="000C79EE" w:rsidRDefault="008E53E6" w:rsidP="00A974A7">
      <w:pPr>
        <w:spacing w:after="0" w:line="480" w:lineRule="auto"/>
        <w:ind w:firstLine="720"/>
        <w:rPr>
          <w:sz w:val="24"/>
          <w:szCs w:val="24"/>
        </w:rPr>
      </w:pPr>
      <w:r>
        <w:rPr>
          <w:sz w:val="24"/>
          <w:szCs w:val="24"/>
        </w:rPr>
        <w:t xml:space="preserve">Despite this finding, in subsequent ESP cases </w:t>
      </w:r>
      <w:r w:rsidR="00F36035">
        <w:rPr>
          <w:sz w:val="24"/>
          <w:szCs w:val="24"/>
        </w:rPr>
        <w:t>some</w:t>
      </w:r>
      <w:r>
        <w:rPr>
          <w:sz w:val="24"/>
          <w:szCs w:val="24"/>
        </w:rPr>
        <w:t xml:space="preserve"> parties put forth</w:t>
      </w:r>
      <w:r w:rsidR="003E0A08" w:rsidRPr="00633056">
        <w:rPr>
          <w:sz w:val="24"/>
          <w:szCs w:val="24"/>
        </w:rPr>
        <w:t xml:space="preserve"> arguments </w:t>
      </w:r>
      <w:r w:rsidR="00F36035">
        <w:rPr>
          <w:sz w:val="24"/>
          <w:szCs w:val="24"/>
        </w:rPr>
        <w:t xml:space="preserve">effectively </w:t>
      </w:r>
      <w:r>
        <w:rPr>
          <w:sz w:val="24"/>
          <w:szCs w:val="24"/>
        </w:rPr>
        <w:t>seeking</w:t>
      </w:r>
      <w:r w:rsidR="003E0A08" w:rsidRPr="00633056">
        <w:rPr>
          <w:sz w:val="24"/>
          <w:szCs w:val="24"/>
        </w:rPr>
        <w:t xml:space="preserve"> to treat Rider ELR as a portfolio program.  The Commission</w:t>
      </w:r>
      <w:r w:rsidR="00B87A9A">
        <w:rPr>
          <w:sz w:val="24"/>
          <w:szCs w:val="24"/>
        </w:rPr>
        <w:t xml:space="preserve"> has</w:t>
      </w:r>
      <w:r w:rsidR="003E0A08" w:rsidRPr="00633056">
        <w:rPr>
          <w:sz w:val="24"/>
          <w:szCs w:val="24"/>
        </w:rPr>
        <w:t xml:space="preserve"> consistently rejected these arguments.  In so doing, the Commission has recognized that while </w:t>
      </w:r>
      <w:r w:rsidR="004E67E8" w:rsidRPr="00633056">
        <w:rPr>
          <w:sz w:val="24"/>
          <w:szCs w:val="24"/>
        </w:rPr>
        <w:t xml:space="preserve">Rider ELR </w:t>
      </w:r>
      <w:r w:rsidR="003E0A08" w:rsidRPr="00633056">
        <w:rPr>
          <w:sz w:val="24"/>
          <w:szCs w:val="24"/>
        </w:rPr>
        <w:t>provided peak demand reduction benefits that may be counted toward meeting the statutory benchmarks, Rider ELR is unique</w:t>
      </w:r>
      <w:r w:rsidR="004E67E8" w:rsidRPr="00633056">
        <w:rPr>
          <w:sz w:val="24"/>
          <w:szCs w:val="24"/>
        </w:rPr>
        <w:t xml:space="preserve">, provides </w:t>
      </w:r>
      <w:proofErr w:type="gramStart"/>
      <w:r w:rsidR="00B87A9A">
        <w:rPr>
          <w:sz w:val="24"/>
          <w:szCs w:val="24"/>
        </w:rPr>
        <w:t>a number of</w:t>
      </w:r>
      <w:proofErr w:type="gramEnd"/>
      <w:r w:rsidR="00B87A9A">
        <w:rPr>
          <w:sz w:val="24"/>
          <w:szCs w:val="24"/>
        </w:rPr>
        <w:t xml:space="preserve"> </w:t>
      </w:r>
      <w:r w:rsidR="004E67E8" w:rsidRPr="00633056">
        <w:rPr>
          <w:sz w:val="24"/>
          <w:szCs w:val="24"/>
        </w:rPr>
        <w:t>other benefits,</w:t>
      </w:r>
      <w:r w:rsidR="003E0A08" w:rsidRPr="00633056">
        <w:rPr>
          <w:sz w:val="24"/>
          <w:szCs w:val="24"/>
        </w:rPr>
        <w:t xml:space="preserve"> and </w:t>
      </w:r>
      <w:r w:rsidR="00E9530A">
        <w:rPr>
          <w:sz w:val="24"/>
          <w:szCs w:val="24"/>
        </w:rPr>
        <w:t xml:space="preserve">therefore </w:t>
      </w:r>
      <w:r w:rsidR="003E0A08" w:rsidRPr="00633056">
        <w:rPr>
          <w:sz w:val="24"/>
          <w:szCs w:val="24"/>
        </w:rPr>
        <w:t>falls outside the</w:t>
      </w:r>
      <w:r w:rsidR="0044525D">
        <w:rPr>
          <w:sz w:val="24"/>
          <w:szCs w:val="24"/>
        </w:rPr>
        <w:t xml:space="preserve"> </w:t>
      </w:r>
      <w:r w:rsidR="0044525D" w:rsidRPr="00633056">
        <w:rPr>
          <w:sz w:val="24"/>
          <w:szCs w:val="24"/>
        </w:rPr>
        <w:t>Section 4928.66</w:t>
      </w:r>
      <w:r w:rsidR="003E0A08" w:rsidRPr="00633056">
        <w:rPr>
          <w:sz w:val="24"/>
          <w:szCs w:val="24"/>
        </w:rPr>
        <w:t xml:space="preserve"> portfolio plan </w:t>
      </w:r>
      <w:r w:rsidR="00633056" w:rsidRPr="00633056">
        <w:rPr>
          <w:sz w:val="24"/>
          <w:szCs w:val="24"/>
        </w:rPr>
        <w:t>framework</w:t>
      </w:r>
      <w:r w:rsidR="003E0A08" w:rsidRPr="00633056">
        <w:rPr>
          <w:sz w:val="24"/>
          <w:szCs w:val="24"/>
        </w:rPr>
        <w:t>.</w:t>
      </w:r>
    </w:p>
    <w:p w14:paraId="70A9BAF3" w14:textId="73089B35" w:rsidR="003E0A08" w:rsidRDefault="000C79EE" w:rsidP="00E12B98">
      <w:pPr>
        <w:spacing w:after="0" w:line="480" w:lineRule="auto"/>
        <w:rPr>
          <w:sz w:val="24"/>
          <w:szCs w:val="24"/>
        </w:rPr>
      </w:pPr>
      <w:r>
        <w:rPr>
          <w:sz w:val="24"/>
          <w:szCs w:val="24"/>
        </w:rPr>
        <w:tab/>
        <w:t xml:space="preserve">For example, in Case No. 12-1230-EL-SSO, OCC argued that since Rider ELR was used to help meet </w:t>
      </w:r>
      <w:r w:rsidR="00F359AF">
        <w:rPr>
          <w:sz w:val="24"/>
          <w:szCs w:val="24"/>
        </w:rPr>
        <w:t xml:space="preserve">the </w:t>
      </w:r>
      <w:r>
        <w:rPr>
          <w:sz w:val="24"/>
          <w:szCs w:val="24"/>
        </w:rPr>
        <w:t>peak demand reduction requirements, FirstEnergy’s EE/PDR portfolio proceeding – not the ESP proceeding – was the appropriate venue to address Rider ELR.</w:t>
      </w:r>
      <w:r>
        <w:rPr>
          <w:rStyle w:val="FootnoteReference"/>
          <w:sz w:val="24"/>
          <w:szCs w:val="24"/>
        </w:rPr>
        <w:footnoteReference w:id="38"/>
      </w:r>
      <w:r w:rsidR="001655B6">
        <w:rPr>
          <w:sz w:val="24"/>
          <w:szCs w:val="24"/>
        </w:rPr>
        <w:t xml:space="preserve">  Nucor objected to this argument, explaining that unlike energy efficiency programs included in </w:t>
      </w:r>
      <w:r w:rsidR="000A38F8">
        <w:rPr>
          <w:sz w:val="24"/>
          <w:szCs w:val="24"/>
        </w:rPr>
        <w:t xml:space="preserve">the </w:t>
      </w:r>
      <w:r w:rsidR="001655B6">
        <w:rPr>
          <w:sz w:val="24"/>
          <w:szCs w:val="24"/>
        </w:rPr>
        <w:t xml:space="preserve">EE/PDR portfolio, Rider ELR is a rate approved under the standards for rates as part of </w:t>
      </w:r>
      <w:r w:rsidR="000A38F8">
        <w:rPr>
          <w:sz w:val="24"/>
          <w:szCs w:val="24"/>
        </w:rPr>
        <w:t xml:space="preserve">the </w:t>
      </w:r>
      <w:r w:rsidR="001655B6">
        <w:rPr>
          <w:sz w:val="24"/>
          <w:szCs w:val="24"/>
        </w:rPr>
        <w:t xml:space="preserve">first two ESP plans, and noting that OCC pointed to no statute or regulation that required interruptible rates </w:t>
      </w:r>
      <w:r w:rsidR="001655B6">
        <w:rPr>
          <w:sz w:val="24"/>
          <w:szCs w:val="24"/>
        </w:rPr>
        <w:lastRenderedPageBreak/>
        <w:t>to be considered in EE/PDR portfolio proceedings.</w:t>
      </w:r>
      <w:r w:rsidR="001655B6">
        <w:rPr>
          <w:rStyle w:val="FootnoteReference"/>
          <w:sz w:val="24"/>
          <w:szCs w:val="24"/>
        </w:rPr>
        <w:footnoteReference w:id="39"/>
      </w:r>
      <w:r w:rsidR="001655B6">
        <w:rPr>
          <w:sz w:val="24"/>
          <w:szCs w:val="24"/>
        </w:rPr>
        <w:t xml:space="preserve">  The Commission agreed</w:t>
      </w:r>
      <w:r w:rsidR="007A2722">
        <w:rPr>
          <w:sz w:val="24"/>
          <w:szCs w:val="24"/>
        </w:rPr>
        <w:t xml:space="preserve"> with Nucor</w:t>
      </w:r>
      <w:r w:rsidR="001655B6">
        <w:rPr>
          <w:sz w:val="24"/>
          <w:szCs w:val="24"/>
        </w:rPr>
        <w:t xml:space="preserve"> in approving the ESP III plan, noting that OCC set forth no persuasive reason for why Rider ELR would be more appropriately address</w:t>
      </w:r>
      <w:r w:rsidR="00ED4699">
        <w:rPr>
          <w:sz w:val="24"/>
          <w:szCs w:val="24"/>
        </w:rPr>
        <w:t>ed</w:t>
      </w:r>
      <w:r w:rsidR="001655B6">
        <w:rPr>
          <w:sz w:val="24"/>
          <w:szCs w:val="24"/>
        </w:rPr>
        <w:t xml:space="preserve"> in </w:t>
      </w:r>
      <w:r w:rsidR="004D5A3D">
        <w:rPr>
          <w:sz w:val="24"/>
          <w:szCs w:val="24"/>
        </w:rPr>
        <w:t xml:space="preserve">the portfolio </w:t>
      </w:r>
      <w:r w:rsidR="001655B6">
        <w:rPr>
          <w:sz w:val="24"/>
          <w:szCs w:val="24"/>
        </w:rPr>
        <w:t>proceeding.</w:t>
      </w:r>
      <w:r w:rsidR="001655B6">
        <w:rPr>
          <w:rStyle w:val="FootnoteReference"/>
          <w:sz w:val="24"/>
          <w:szCs w:val="24"/>
        </w:rPr>
        <w:footnoteReference w:id="40"/>
      </w:r>
    </w:p>
    <w:p w14:paraId="7D2730A6" w14:textId="2C3747CD" w:rsidR="001C32A3" w:rsidRDefault="001655B6" w:rsidP="00E12B98">
      <w:pPr>
        <w:spacing w:after="0" w:line="480" w:lineRule="auto"/>
        <w:rPr>
          <w:sz w:val="24"/>
          <w:szCs w:val="24"/>
        </w:rPr>
      </w:pPr>
      <w:r>
        <w:rPr>
          <w:sz w:val="24"/>
          <w:szCs w:val="24"/>
        </w:rPr>
        <w:tab/>
        <w:t>OCC also argued that the costs o</w:t>
      </w:r>
      <w:r w:rsidR="00134B1B">
        <w:rPr>
          <w:sz w:val="24"/>
          <w:szCs w:val="24"/>
        </w:rPr>
        <w:t xml:space="preserve">f </w:t>
      </w:r>
      <w:r>
        <w:rPr>
          <w:sz w:val="24"/>
          <w:szCs w:val="24"/>
        </w:rPr>
        <w:t xml:space="preserve">Rider ELR should be recovered from the </w:t>
      </w:r>
      <w:r w:rsidR="001F0F2C">
        <w:rPr>
          <w:sz w:val="24"/>
          <w:szCs w:val="24"/>
        </w:rPr>
        <w:t>non-residential customer classes only</w:t>
      </w:r>
      <w:r>
        <w:rPr>
          <w:sz w:val="24"/>
          <w:szCs w:val="24"/>
        </w:rPr>
        <w:t xml:space="preserve">, in the same manner that </w:t>
      </w:r>
      <w:r w:rsidR="001F0F2C">
        <w:rPr>
          <w:sz w:val="24"/>
          <w:szCs w:val="24"/>
        </w:rPr>
        <w:t xml:space="preserve">the cost of </w:t>
      </w:r>
      <w:r>
        <w:rPr>
          <w:sz w:val="24"/>
          <w:szCs w:val="24"/>
        </w:rPr>
        <w:t xml:space="preserve">energy efficiency programs under </w:t>
      </w:r>
      <w:r w:rsidR="000A38F8">
        <w:rPr>
          <w:sz w:val="24"/>
          <w:szCs w:val="24"/>
        </w:rPr>
        <w:t xml:space="preserve">the </w:t>
      </w:r>
      <w:r>
        <w:rPr>
          <w:sz w:val="24"/>
          <w:szCs w:val="24"/>
        </w:rPr>
        <w:t>EE/PDR portfolio were</w:t>
      </w:r>
      <w:r w:rsidR="001F0F2C">
        <w:rPr>
          <w:sz w:val="24"/>
          <w:szCs w:val="24"/>
        </w:rPr>
        <w:t xml:space="preserve"> assigned only to the customer classes targeted by the programs.</w:t>
      </w:r>
      <w:r w:rsidR="001F0F2C">
        <w:rPr>
          <w:rStyle w:val="FootnoteReference"/>
          <w:sz w:val="24"/>
          <w:szCs w:val="24"/>
        </w:rPr>
        <w:footnoteReference w:id="41"/>
      </w:r>
      <w:r w:rsidR="001F0F2C">
        <w:rPr>
          <w:sz w:val="24"/>
          <w:szCs w:val="24"/>
        </w:rPr>
        <w:t xml:space="preserve">  The Commission rejected this argument as well, ruling that recovering the cost of Rider ELR from all customers was appropriate because Rider ELR provides benefits shared by all customers.</w:t>
      </w:r>
      <w:r w:rsidR="001F0F2C">
        <w:rPr>
          <w:rStyle w:val="FootnoteReference"/>
          <w:sz w:val="24"/>
          <w:szCs w:val="24"/>
        </w:rPr>
        <w:footnoteReference w:id="42"/>
      </w:r>
    </w:p>
    <w:p w14:paraId="42FD1AF2" w14:textId="6F0EF2E4" w:rsidR="0041070A" w:rsidRDefault="001C32A3" w:rsidP="00E12B98">
      <w:pPr>
        <w:spacing w:after="0" w:line="480" w:lineRule="auto"/>
        <w:rPr>
          <w:sz w:val="24"/>
          <w:szCs w:val="24"/>
        </w:rPr>
      </w:pPr>
      <w:r>
        <w:rPr>
          <w:sz w:val="24"/>
          <w:szCs w:val="24"/>
        </w:rPr>
        <w:tab/>
        <w:t xml:space="preserve">Similarly, in Case No. 14-1297-EL-SSO, </w:t>
      </w:r>
      <w:r w:rsidR="002B1C89">
        <w:rPr>
          <w:sz w:val="24"/>
          <w:szCs w:val="24"/>
        </w:rPr>
        <w:t>the Commission rejected an argument that effectively would have treated Rider ELR as any other portfolio program.  The ESP IV stipulation provide</w:t>
      </w:r>
      <w:r w:rsidR="0041070A">
        <w:rPr>
          <w:sz w:val="24"/>
          <w:szCs w:val="24"/>
        </w:rPr>
        <w:t>s</w:t>
      </w:r>
      <w:r w:rsidR="002B1C89">
        <w:rPr>
          <w:sz w:val="24"/>
          <w:szCs w:val="24"/>
        </w:rPr>
        <w:t xml:space="preserve"> that not</w:t>
      </w:r>
      <w:r w:rsidR="00947EE3">
        <w:rPr>
          <w:sz w:val="24"/>
          <w:szCs w:val="24"/>
        </w:rPr>
        <w:t>h</w:t>
      </w:r>
      <w:r w:rsidR="002B1C89">
        <w:rPr>
          <w:sz w:val="24"/>
          <w:szCs w:val="24"/>
        </w:rPr>
        <w:t>ing precludes Rider ELR customers from opting out of FirstEnergy’s EE/PDR portfolio plan as permitted under</w:t>
      </w:r>
      <w:r w:rsidR="00F6484D">
        <w:rPr>
          <w:sz w:val="24"/>
          <w:szCs w:val="24"/>
        </w:rPr>
        <w:t xml:space="preserve"> Section 4928.6611, Revised Code</w:t>
      </w:r>
      <w:r w:rsidR="002B1C89">
        <w:rPr>
          <w:sz w:val="24"/>
          <w:szCs w:val="24"/>
        </w:rPr>
        <w:t>.</w:t>
      </w:r>
      <w:r w:rsidR="002B1C89">
        <w:rPr>
          <w:rStyle w:val="FootnoteReference"/>
          <w:sz w:val="24"/>
          <w:szCs w:val="24"/>
        </w:rPr>
        <w:footnoteReference w:id="43"/>
      </w:r>
      <w:r w:rsidR="002B1C89">
        <w:rPr>
          <w:sz w:val="24"/>
          <w:szCs w:val="24"/>
        </w:rPr>
        <w:t xml:space="preserve">  </w:t>
      </w:r>
      <w:r w:rsidR="000A38F8">
        <w:rPr>
          <w:sz w:val="24"/>
          <w:szCs w:val="24"/>
        </w:rPr>
        <w:t>Some parties</w:t>
      </w:r>
      <w:r w:rsidR="002B1C89">
        <w:rPr>
          <w:sz w:val="24"/>
          <w:szCs w:val="24"/>
        </w:rPr>
        <w:t xml:space="preserve"> argued that this provision violated Section 4928.6613, Revised Code, which </w:t>
      </w:r>
      <w:r w:rsidR="0041070A">
        <w:rPr>
          <w:sz w:val="24"/>
          <w:szCs w:val="24"/>
        </w:rPr>
        <w:t>states</w:t>
      </w:r>
      <w:r w:rsidR="002B1C89">
        <w:rPr>
          <w:sz w:val="24"/>
          <w:szCs w:val="24"/>
        </w:rPr>
        <w:t xml:space="preserve"> that if a customer opts out of paying for a utility’s energy efficiency and peak demand reduction programs as permitted by Section 4928.6611, Revised Code, the customer is no longer “eligible to participate in, or directly benefit from, programs arising from” the utility’s EE/PDR portfolio </w:t>
      </w:r>
      <w:r w:rsidR="002B1C89">
        <w:rPr>
          <w:sz w:val="24"/>
          <w:szCs w:val="24"/>
        </w:rPr>
        <w:lastRenderedPageBreak/>
        <w:t>plan.</w:t>
      </w:r>
      <w:r w:rsidR="002B1C89">
        <w:rPr>
          <w:rStyle w:val="FootnoteReference"/>
          <w:sz w:val="24"/>
          <w:szCs w:val="24"/>
        </w:rPr>
        <w:footnoteReference w:id="44"/>
      </w:r>
      <w:r w:rsidR="00437829">
        <w:rPr>
          <w:sz w:val="24"/>
          <w:szCs w:val="24"/>
        </w:rPr>
        <w:t xml:space="preserve">  </w:t>
      </w:r>
      <w:r w:rsidR="00690B3A">
        <w:rPr>
          <w:sz w:val="24"/>
          <w:szCs w:val="24"/>
        </w:rPr>
        <w:t>According to this argument</w:t>
      </w:r>
      <w:r w:rsidR="00437829">
        <w:rPr>
          <w:sz w:val="24"/>
          <w:szCs w:val="24"/>
        </w:rPr>
        <w:t>, since Rider ELR customers are receiving a credit, a portion of the cost of which is recovered through Rider DSE1, such customers may not exercise their right to opt out without violating Section 4928.6613.</w:t>
      </w:r>
      <w:r w:rsidR="00437829">
        <w:rPr>
          <w:rStyle w:val="FootnoteReference"/>
          <w:sz w:val="24"/>
          <w:szCs w:val="24"/>
        </w:rPr>
        <w:footnoteReference w:id="45"/>
      </w:r>
    </w:p>
    <w:p w14:paraId="44F461EA" w14:textId="2B8903A6" w:rsidR="006A7E91" w:rsidRDefault="00BA1024" w:rsidP="0041070A">
      <w:pPr>
        <w:spacing w:after="0" w:line="480" w:lineRule="auto"/>
        <w:ind w:firstLine="720"/>
        <w:rPr>
          <w:sz w:val="24"/>
          <w:szCs w:val="24"/>
        </w:rPr>
      </w:pPr>
      <w:r>
        <w:rPr>
          <w:sz w:val="24"/>
          <w:szCs w:val="24"/>
        </w:rPr>
        <w:t xml:space="preserve">Nucor opposed </w:t>
      </w:r>
      <w:r w:rsidR="00D858E1">
        <w:rPr>
          <w:sz w:val="24"/>
          <w:szCs w:val="24"/>
        </w:rPr>
        <w:t>this</w:t>
      </w:r>
      <w:r>
        <w:rPr>
          <w:sz w:val="24"/>
          <w:szCs w:val="24"/>
        </w:rPr>
        <w:t xml:space="preserve"> argument, explaining</w:t>
      </w:r>
      <w:r w:rsidR="0041070A">
        <w:rPr>
          <w:sz w:val="24"/>
          <w:szCs w:val="24"/>
        </w:rPr>
        <w:t xml:space="preserve"> that</w:t>
      </w:r>
      <w:r>
        <w:rPr>
          <w:sz w:val="24"/>
          <w:szCs w:val="24"/>
        </w:rPr>
        <w:t>:</w:t>
      </w:r>
    </w:p>
    <w:p w14:paraId="2D6E8B5D" w14:textId="374EA808" w:rsidR="0041070A" w:rsidRDefault="0041070A" w:rsidP="0041070A">
      <w:pPr>
        <w:spacing w:after="0" w:line="240" w:lineRule="auto"/>
        <w:ind w:left="720" w:right="720"/>
        <w:rPr>
          <w:sz w:val="24"/>
          <w:szCs w:val="24"/>
        </w:rPr>
      </w:pPr>
      <w:r>
        <w:rPr>
          <w:sz w:val="24"/>
          <w:szCs w:val="24"/>
        </w:rPr>
        <w:t xml:space="preserve">Rider ELR is not derived from FirstEnergy’s energy efficiency and peak demand reduction portfolio plan.  Rider ELR has always led a separate existence as an approved rate under FirstEnergy’s ESP plans.  In fact, Rider ELR was in place before FirstEnergy’s first energy efficiency and peak demand reduction portfolio was even filed, much less approved and implemented.  Moreover, Rider ELR is an outgrowth of previous interruptible programs that have existed for many years.  Although FirstEnergy properly </w:t>
      </w:r>
      <w:r w:rsidR="005B0232">
        <w:rPr>
          <w:sz w:val="24"/>
          <w:szCs w:val="24"/>
        </w:rPr>
        <w:t xml:space="preserve">counts </w:t>
      </w:r>
      <w:r>
        <w:rPr>
          <w:sz w:val="24"/>
          <w:szCs w:val="24"/>
        </w:rPr>
        <w:t xml:space="preserve">the peak demand reduction provided by Rider ELR toward meeting its benchmarks, Rider ELR is not, and never has been, a program developed, </w:t>
      </w:r>
      <w:proofErr w:type="gramStart"/>
      <w:r>
        <w:rPr>
          <w:sz w:val="24"/>
          <w:szCs w:val="24"/>
        </w:rPr>
        <w:t>funded</w:t>
      </w:r>
      <w:proofErr w:type="gramEnd"/>
      <w:r>
        <w:rPr>
          <w:sz w:val="24"/>
          <w:szCs w:val="24"/>
        </w:rPr>
        <w:t xml:space="preserve"> or approved under FirstEnergy’s portfolio plan.</w:t>
      </w:r>
      <w:r>
        <w:rPr>
          <w:rStyle w:val="FootnoteReference"/>
          <w:sz w:val="24"/>
          <w:szCs w:val="24"/>
        </w:rPr>
        <w:footnoteReference w:id="46"/>
      </w:r>
    </w:p>
    <w:p w14:paraId="5A767A08" w14:textId="77777777" w:rsidR="0041070A" w:rsidRDefault="0041070A" w:rsidP="0041070A">
      <w:pPr>
        <w:spacing w:after="0" w:line="240" w:lineRule="auto"/>
        <w:ind w:left="720" w:right="720"/>
        <w:rPr>
          <w:sz w:val="24"/>
          <w:szCs w:val="24"/>
        </w:rPr>
      </w:pPr>
    </w:p>
    <w:p w14:paraId="4BDC4FDB" w14:textId="425DC3A8" w:rsidR="00947EE3" w:rsidRDefault="00947EE3" w:rsidP="00E12B98">
      <w:pPr>
        <w:spacing w:after="0" w:line="480" w:lineRule="auto"/>
        <w:rPr>
          <w:sz w:val="24"/>
          <w:szCs w:val="24"/>
        </w:rPr>
      </w:pPr>
      <w:r>
        <w:rPr>
          <w:sz w:val="24"/>
          <w:szCs w:val="24"/>
        </w:rPr>
        <w:t xml:space="preserve">The Commission </w:t>
      </w:r>
      <w:r w:rsidR="00D858E1">
        <w:rPr>
          <w:sz w:val="24"/>
          <w:szCs w:val="24"/>
        </w:rPr>
        <w:t>ruled that Rider ELR customers could opt out of the portfolio programs without violating Section 4928.6613</w:t>
      </w:r>
      <w:r>
        <w:rPr>
          <w:sz w:val="24"/>
          <w:szCs w:val="24"/>
        </w:rPr>
        <w:t xml:space="preserve">, </w:t>
      </w:r>
      <w:r w:rsidR="00D77A8D">
        <w:rPr>
          <w:sz w:val="24"/>
          <w:szCs w:val="24"/>
        </w:rPr>
        <w:t xml:space="preserve">recognizing that “[t]he ELR programs existed long before the statutory energy efficiency and peak </w:t>
      </w:r>
      <w:r w:rsidR="00617CF6">
        <w:rPr>
          <w:sz w:val="24"/>
          <w:szCs w:val="24"/>
        </w:rPr>
        <w:t xml:space="preserve">demand </w:t>
      </w:r>
      <w:r w:rsidR="00D77A8D">
        <w:rPr>
          <w:sz w:val="24"/>
          <w:szCs w:val="24"/>
        </w:rPr>
        <w:t>reduction mandates” and confirming that Rider ELR was not an EE/PDR program under the portfolio plan.</w:t>
      </w:r>
      <w:r w:rsidR="00D77A8D">
        <w:rPr>
          <w:rStyle w:val="FootnoteReference"/>
          <w:sz w:val="24"/>
          <w:szCs w:val="24"/>
        </w:rPr>
        <w:footnoteReference w:id="47"/>
      </w:r>
      <w:r>
        <w:rPr>
          <w:sz w:val="24"/>
          <w:szCs w:val="24"/>
        </w:rPr>
        <w:t xml:space="preserve"> </w:t>
      </w:r>
    </w:p>
    <w:p w14:paraId="0932321D" w14:textId="31F01E75" w:rsidR="00C56ABB" w:rsidRDefault="005553AE" w:rsidP="00E12B98">
      <w:pPr>
        <w:spacing w:after="0" w:line="480" w:lineRule="auto"/>
        <w:rPr>
          <w:sz w:val="24"/>
          <w:szCs w:val="24"/>
        </w:rPr>
      </w:pPr>
      <w:r>
        <w:rPr>
          <w:sz w:val="24"/>
          <w:szCs w:val="24"/>
        </w:rPr>
        <w:tab/>
        <w:t xml:space="preserve">OCC’s request for rehearing in the instant proceeding, which prompted the Commission’s invitation for </w:t>
      </w:r>
      <w:r w:rsidR="00B75B04">
        <w:rPr>
          <w:sz w:val="24"/>
          <w:szCs w:val="24"/>
        </w:rPr>
        <w:t xml:space="preserve">interested </w:t>
      </w:r>
      <w:r>
        <w:rPr>
          <w:sz w:val="24"/>
          <w:szCs w:val="24"/>
        </w:rPr>
        <w:t>parties to file comments, makes an argument basically identical to arguments the Commission has already considered and rejected concerning the relationship between Rider ELR and the EE/PDR portfolio.</w:t>
      </w:r>
      <w:r w:rsidR="00D05CE5">
        <w:rPr>
          <w:sz w:val="24"/>
          <w:szCs w:val="24"/>
        </w:rPr>
        <w:t xml:space="preserve">  Specifically, OCC argues that since peak demand reduction from Rider ELR had been counted toward the benchmarks and part of </w:t>
      </w:r>
      <w:r w:rsidR="00D05CE5">
        <w:rPr>
          <w:sz w:val="24"/>
          <w:szCs w:val="24"/>
        </w:rPr>
        <w:lastRenderedPageBreak/>
        <w:t xml:space="preserve">the cost of the Rider ELR credit was recovered through Rider DSE, </w:t>
      </w:r>
      <w:r w:rsidR="0034614A">
        <w:rPr>
          <w:sz w:val="24"/>
          <w:szCs w:val="24"/>
        </w:rPr>
        <w:t>FirstEnergy should be prohibited from recovering the cost of Rider ELR from customers</w:t>
      </w:r>
      <w:r w:rsidR="00D05CE5">
        <w:rPr>
          <w:sz w:val="24"/>
          <w:szCs w:val="24"/>
        </w:rPr>
        <w:t xml:space="preserve"> pursuant to Section 4928.66(G).</w:t>
      </w:r>
      <w:r w:rsidR="00DA1E22">
        <w:rPr>
          <w:rStyle w:val="FootnoteReference"/>
          <w:sz w:val="24"/>
          <w:szCs w:val="24"/>
        </w:rPr>
        <w:footnoteReference w:id="48"/>
      </w:r>
    </w:p>
    <w:p w14:paraId="503400BA" w14:textId="2227E165" w:rsidR="002D5A7A" w:rsidRDefault="00C56ABB" w:rsidP="00E12B98">
      <w:pPr>
        <w:spacing w:after="0" w:line="480" w:lineRule="auto"/>
        <w:rPr>
          <w:sz w:val="24"/>
          <w:szCs w:val="24"/>
        </w:rPr>
      </w:pPr>
      <w:r>
        <w:rPr>
          <w:sz w:val="24"/>
          <w:szCs w:val="24"/>
        </w:rPr>
        <w:tab/>
      </w:r>
      <w:r w:rsidR="00D05CE5">
        <w:rPr>
          <w:sz w:val="24"/>
          <w:szCs w:val="24"/>
        </w:rPr>
        <w:t>As these comments</w:t>
      </w:r>
      <w:r>
        <w:rPr>
          <w:sz w:val="24"/>
          <w:szCs w:val="24"/>
        </w:rPr>
        <w:t xml:space="preserve"> have discussed</w:t>
      </w:r>
      <w:r w:rsidR="00D05CE5">
        <w:rPr>
          <w:sz w:val="24"/>
          <w:szCs w:val="24"/>
        </w:rPr>
        <w:t xml:space="preserve">, a review of the history, purpose, and nature of Rider ELR demonstrates that Rider ELR is not a portfolio program and that </w:t>
      </w:r>
      <w:r w:rsidR="00A13CD0">
        <w:rPr>
          <w:sz w:val="24"/>
          <w:szCs w:val="24"/>
        </w:rPr>
        <w:t>helping to meet statutory peak demand reduction benchmarks</w:t>
      </w:r>
      <w:r w:rsidR="00D05CE5">
        <w:rPr>
          <w:sz w:val="24"/>
          <w:szCs w:val="24"/>
        </w:rPr>
        <w:t xml:space="preserve"> </w:t>
      </w:r>
      <w:r>
        <w:rPr>
          <w:sz w:val="24"/>
          <w:szCs w:val="24"/>
        </w:rPr>
        <w:t xml:space="preserve">has never been the primary purpose of the rider, but instead is one of several </w:t>
      </w:r>
      <w:r w:rsidR="00832543">
        <w:rPr>
          <w:sz w:val="24"/>
          <w:szCs w:val="24"/>
        </w:rPr>
        <w:t>secondary</w:t>
      </w:r>
      <w:r>
        <w:rPr>
          <w:sz w:val="24"/>
          <w:szCs w:val="24"/>
        </w:rPr>
        <w:t xml:space="preserve"> </w:t>
      </w:r>
      <w:r w:rsidR="00D05CE5">
        <w:rPr>
          <w:sz w:val="24"/>
          <w:szCs w:val="24"/>
        </w:rPr>
        <w:t xml:space="preserve">purposes and benefits of the </w:t>
      </w:r>
      <w:r w:rsidR="00A13CD0">
        <w:rPr>
          <w:sz w:val="24"/>
          <w:szCs w:val="24"/>
        </w:rPr>
        <w:t>interruptible rate</w:t>
      </w:r>
      <w:r w:rsidR="00D05CE5">
        <w:rPr>
          <w:sz w:val="24"/>
          <w:szCs w:val="24"/>
        </w:rPr>
        <w:t xml:space="preserve">. </w:t>
      </w:r>
      <w:r w:rsidR="005553AE">
        <w:rPr>
          <w:sz w:val="24"/>
          <w:szCs w:val="24"/>
        </w:rPr>
        <w:t xml:space="preserve"> Since the Commission has recognized that Rider ELR is not a program arising from </w:t>
      </w:r>
      <w:r w:rsidR="00CA551F">
        <w:rPr>
          <w:sz w:val="24"/>
          <w:szCs w:val="24"/>
        </w:rPr>
        <w:t xml:space="preserve">the </w:t>
      </w:r>
      <w:r w:rsidR="005553AE">
        <w:rPr>
          <w:sz w:val="24"/>
          <w:szCs w:val="24"/>
        </w:rPr>
        <w:t>portfolio plan, Rider ELR need not</w:t>
      </w:r>
      <w:r w:rsidR="00EC694E">
        <w:rPr>
          <w:sz w:val="24"/>
          <w:szCs w:val="24"/>
        </w:rPr>
        <w:t xml:space="preserve"> (and should not)</w:t>
      </w:r>
      <w:r w:rsidR="005553AE">
        <w:rPr>
          <w:sz w:val="24"/>
          <w:szCs w:val="24"/>
        </w:rPr>
        <w:t xml:space="preserve"> be terminated pursuant to Section 4928.66(G).</w:t>
      </w:r>
    </w:p>
    <w:p w14:paraId="5F81958F" w14:textId="6EFE9F9A" w:rsidR="005C3D29" w:rsidRPr="002F049B" w:rsidRDefault="002D5A7A" w:rsidP="002F049B">
      <w:pPr>
        <w:spacing w:after="0" w:line="240" w:lineRule="auto"/>
        <w:ind w:left="1440" w:hanging="720"/>
        <w:rPr>
          <w:b/>
          <w:bCs/>
          <w:sz w:val="24"/>
          <w:szCs w:val="24"/>
        </w:rPr>
      </w:pPr>
      <w:r w:rsidRPr="002F049B">
        <w:rPr>
          <w:b/>
          <w:bCs/>
          <w:sz w:val="24"/>
          <w:szCs w:val="24"/>
        </w:rPr>
        <w:t>E.</w:t>
      </w:r>
      <w:r w:rsidRPr="002F049B">
        <w:rPr>
          <w:b/>
          <w:bCs/>
          <w:sz w:val="24"/>
          <w:szCs w:val="24"/>
        </w:rPr>
        <w:tab/>
        <w:t xml:space="preserve">Section 4928.66(G) Does Not </w:t>
      </w:r>
      <w:r w:rsidR="00005B64">
        <w:rPr>
          <w:b/>
          <w:bCs/>
          <w:sz w:val="24"/>
          <w:szCs w:val="24"/>
        </w:rPr>
        <w:t>Apply</w:t>
      </w:r>
      <w:r w:rsidR="00005B64" w:rsidRPr="002F049B">
        <w:rPr>
          <w:b/>
          <w:bCs/>
          <w:sz w:val="24"/>
          <w:szCs w:val="24"/>
        </w:rPr>
        <w:t xml:space="preserve"> </w:t>
      </w:r>
      <w:r w:rsidR="005C3D29" w:rsidRPr="002F049B">
        <w:rPr>
          <w:b/>
          <w:bCs/>
          <w:sz w:val="24"/>
          <w:szCs w:val="24"/>
        </w:rPr>
        <w:t>to</w:t>
      </w:r>
      <w:r w:rsidRPr="002F049B">
        <w:rPr>
          <w:b/>
          <w:bCs/>
          <w:sz w:val="24"/>
          <w:szCs w:val="24"/>
        </w:rPr>
        <w:t xml:space="preserve"> Rates or </w:t>
      </w:r>
      <w:r w:rsidR="00005B64">
        <w:rPr>
          <w:b/>
          <w:bCs/>
          <w:sz w:val="24"/>
          <w:szCs w:val="24"/>
        </w:rPr>
        <w:t>Measures</w:t>
      </w:r>
      <w:r w:rsidR="00005B64" w:rsidRPr="002F049B">
        <w:rPr>
          <w:b/>
          <w:bCs/>
          <w:sz w:val="24"/>
          <w:szCs w:val="24"/>
        </w:rPr>
        <w:t xml:space="preserve"> </w:t>
      </w:r>
      <w:r w:rsidRPr="002F049B">
        <w:rPr>
          <w:b/>
          <w:bCs/>
          <w:sz w:val="24"/>
          <w:szCs w:val="24"/>
        </w:rPr>
        <w:t xml:space="preserve">that Provide EE/PDR Benefits But are Funded Outside of </w:t>
      </w:r>
      <w:r w:rsidR="00CA551F">
        <w:rPr>
          <w:b/>
          <w:bCs/>
          <w:sz w:val="24"/>
          <w:szCs w:val="24"/>
        </w:rPr>
        <w:t>a</w:t>
      </w:r>
      <w:r w:rsidR="00CA551F" w:rsidRPr="002F049B">
        <w:rPr>
          <w:b/>
          <w:bCs/>
          <w:sz w:val="24"/>
          <w:szCs w:val="24"/>
        </w:rPr>
        <w:t xml:space="preserve"> </w:t>
      </w:r>
      <w:r w:rsidRPr="002F049B">
        <w:rPr>
          <w:b/>
          <w:bCs/>
          <w:sz w:val="24"/>
          <w:szCs w:val="24"/>
        </w:rPr>
        <w:t>Portfolio Plan</w:t>
      </w:r>
      <w:r w:rsidR="00005B64">
        <w:rPr>
          <w:b/>
          <w:bCs/>
          <w:sz w:val="24"/>
          <w:szCs w:val="24"/>
        </w:rPr>
        <w:t xml:space="preserve"> and Does </w:t>
      </w:r>
      <w:r w:rsidR="009F0B68">
        <w:rPr>
          <w:b/>
          <w:bCs/>
          <w:sz w:val="24"/>
          <w:szCs w:val="24"/>
        </w:rPr>
        <w:t>N</w:t>
      </w:r>
      <w:r w:rsidR="00005B64">
        <w:rPr>
          <w:b/>
          <w:bCs/>
          <w:sz w:val="24"/>
          <w:szCs w:val="24"/>
        </w:rPr>
        <w:t>ot Support Elimination of Rider ELR</w:t>
      </w:r>
    </w:p>
    <w:p w14:paraId="0E66C0BF" w14:textId="77777777" w:rsidR="002F049B" w:rsidRDefault="002F049B" w:rsidP="002F049B">
      <w:pPr>
        <w:spacing w:after="0" w:line="240" w:lineRule="auto"/>
        <w:rPr>
          <w:sz w:val="24"/>
          <w:szCs w:val="24"/>
        </w:rPr>
      </w:pPr>
    </w:p>
    <w:p w14:paraId="4252FAAE" w14:textId="393DD4D3" w:rsidR="00E03990" w:rsidRDefault="005C3D29" w:rsidP="00E12B98">
      <w:pPr>
        <w:spacing w:after="0" w:line="480" w:lineRule="auto"/>
        <w:rPr>
          <w:sz w:val="24"/>
          <w:szCs w:val="24"/>
        </w:rPr>
      </w:pPr>
      <w:r>
        <w:rPr>
          <w:sz w:val="24"/>
          <w:szCs w:val="24"/>
        </w:rPr>
        <w:tab/>
      </w:r>
      <w:r w:rsidR="005543F5">
        <w:rPr>
          <w:sz w:val="24"/>
          <w:szCs w:val="24"/>
        </w:rPr>
        <w:t>Section 4928.66(G) terminates cost recovery mechanisms</w:t>
      </w:r>
      <w:r w:rsidR="00005B64">
        <w:rPr>
          <w:sz w:val="24"/>
          <w:szCs w:val="24"/>
        </w:rPr>
        <w:t xml:space="preserve"> associated with certain programs</w:t>
      </w:r>
      <w:r w:rsidR="005543F5">
        <w:rPr>
          <w:sz w:val="24"/>
          <w:szCs w:val="24"/>
        </w:rPr>
        <w:t xml:space="preserve"> but does not terminate any programs.  The programs themselves are terminated under Section 4928.66(F).  </w:t>
      </w:r>
      <w:r w:rsidR="00005B64">
        <w:rPr>
          <w:sz w:val="24"/>
          <w:szCs w:val="24"/>
        </w:rPr>
        <w:t>Consideration</w:t>
      </w:r>
      <w:r>
        <w:rPr>
          <w:sz w:val="24"/>
          <w:szCs w:val="24"/>
        </w:rPr>
        <w:t xml:space="preserve"> of Section </w:t>
      </w:r>
      <w:proofErr w:type="gramStart"/>
      <w:r>
        <w:rPr>
          <w:sz w:val="24"/>
          <w:szCs w:val="24"/>
        </w:rPr>
        <w:t>4928.66</w:t>
      </w:r>
      <w:r w:rsidR="00005B64">
        <w:rPr>
          <w:sz w:val="24"/>
          <w:szCs w:val="24"/>
        </w:rPr>
        <w:t xml:space="preserve"> as a whole</w:t>
      </w:r>
      <w:r w:rsidR="005543F5">
        <w:rPr>
          <w:sz w:val="24"/>
          <w:szCs w:val="24"/>
        </w:rPr>
        <w:t>, including</w:t>
      </w:r>
      <w:proofErr w:type="gramEnd"/>
      <w:r w:rsidR="005543F5">
        <w:rPr>
          <w:sz w:val="24"/>
          <w:szCs w:val="24"/>
        </w:rPr>
        <w:t xml:space="preserve"> Sections 4928.66(</w:t>
      </w:r>
      <w:r w:rsidR="00A70C81">
        <w:rPr>
          <w:sz w:val="24"/>
          <w:szCs w:val="24"/>
        </w:rPr>
        <w:t>F</w:t>
      </w:r>
      <w:r w:rsidR="005543F5">
        <w:rPr>
          <w:sz w:val="24"/>
          <w:szCs w:val="24"/>
        </w:rPr>
        <w:t>) and 4928.66(G)</w:t>
      </w:r>
      <w:r w:rsidR="00A70C81">
        <w:rPr>
          <w:sz w:val="24"/>
          <w:szCs w:val="24"/>
        </w:rPr>
        <w:t xml:space="preserve"> which were added </w:t>
      </w:r>
      <w:r w:rsidR="007644FD">
        <w:rPr>
          <w:sz w:val="24"/>
          <w:szCs w:val="24"/>
        </w:rPr>
        <w:t>by House Bill 6</w:t>
      </w:r>
      <w:r w:rsidR="00A70C81">
        <w:rPr>
          <w:sz w:val="24"/>
          <w:szCs w:val="24"/>
        </w:rPr>
        <w:t>,</w:t>
      </w:r>
      <w:r w:rsidR="005543F5">
        <w:rPr>
          <w:sz w:val="24"/>
          <w:szCs w:val="24"/>
        </w:rPr>
        <w:t xml:space="preserve"> </w:t>
      </w:r>
      <w:r>
        <w:rPr>
          <w:sz w:val="24"/>
          <w:szCs w:val="24"/>
        </w:rPr>
        <w:t>demonstrates</w:t>
      </w:r>
      <w:r w:rsidR="005543F5">
        <w:rPr>
          <w:sz w:val="24"/>
          <w:szCs w:val="24"/>
        </w:rPr>
        <w:t xml:space="preserve"> </w:t>
      </w:r>
      <w:r w:rsidR="00A70C81">
        <w:rPr>
          <w:sz w:val="24"/>
          <w:szCs w:val="24"/>
        </w:rPr>
        <w:t xml:space="preserve">that </w:t>
      </w:r>
      <w:r w:rsidR="005543F5">
        <w:rPr>
          <w:sz w:val="24"/>
          <w:szCs w:val="24"/>
        </w:rPr>
        <w:t>Section 4928.66(G)</w:t>
      </w:r>
      <w:r w:rsidR="00A70C81">
        <w:rPr>
          <w:sz w:val="24"/>
          <w:szCs w:val="24"/>
        </w:rPr>
        <w:t xml:space="preserve"> </w:t>
      </w:r>
      <w:r w:rsidR="005543F5">
        <w:rPr>
          <w:sz w:val="24"/>
          <w:szCs w:val="24"/>
        </w:rPr>
        <w:t>does not apply to</w:t>
      </w:r>
      <w:r>
        <w:rPr>
          <w:sz w:val="24"/>
          <w:szCs w:val="24"/>
        </w:rPr>
        <w:t xml:space="preserve"> an interruptible rate like Rider ELR, which provides peak demand reduction benefits</w:t>
      </w:r>
      <w:r w:rsidR="0073387B">
        <w:rPr>
          <w:sz w:val="24"/>
          <w:szCs w:val="24"/>
        </w:rPr>
        <w:t xml:space="preserve"> that are counted toward meeting </w:t>
      </w:r>
      <w:r w:rsidR="00CE59AD">
        <w:rPr>
          <w:sz w:val="24"/>
          <w:szCs w:val="24"/>
        </w:rPr>
        <w:t xml:space="preserve">the </w:t>
      </w:r>
      <w:r w:rsidR="0073387B">
        <w:rPr>
          <w:sz w:val="24"/>
          <w:szCs w:val="24"/>
        </w:rPr>
        <w:t>peak demand reduction benchmarks</w:t>
      </w:r>
      <w:r w:rsidR="005A6A63">
        <w:rPr>
          <w:sz w:val="24"/>
          <w:szCs w:val="24"/>
        </w:rPr>
        <w:t>,</w:t>
      </w:r>
      <w:r>
        <w:rPr>
          <w:sz w:val="24"/>
          <w:szCs w:val="24"/>
        </w:rPr>
        <w:t xml:space="preserve"> but is not approved as part of the portfolio plan</w:t>
      </w:r>
      <w:r w:rsidR="001C48A2">
        <w:rPr>
          <w:sz w:val="24"/>
          <w:szCs w:val="24"/>
        </w:rPr>
        <w:t xml:space="preserve"> or funded through the portfolio</w:t>
      </w:r>
      <w:r>
        <w:rPr>
          <w:sz w:val="24"/>
          <w:szCs w:val="24"/>
        </w:rPr>
        <w:t>.</w:t>
      </w:r>
      <w:r w:rsidR="00A43274">
        <w:rPr>
          <w:sz w:val="24"/>
          <w:szCs w:val="24"/>
        </w:rPr>
        <w:t xml:space="preserve">  </w:t>
      </w:r>
      <w:r w:rsidR="005553AE">
        <w:rPr>
          <w:sz w:val="24"/>
          <w:szCs w:val="24"/>
        </w:rPr>
        <w:t xml:space="preserve"> </w:t>
      </w:r>
    </w:p>
    <w:p w14:paraId="6762FE5E" w14:textId="47FE1C24" w:rsidR="00A54E13" w:rsidRDefault="003B24C5" w:rsidP="003368D3">
      <w:pPr>
        <w:spacing w:after="0" w:line="480" w:lineRule="auto"/>
        <w:rPr>
          <w:sz w:val="24"/>
          <w:szCs w:val="24"/>
        </w:rPr>
      </w:pPr>
      <w:r>
        <w:rPr>
          <w:sz w:val="24"/>
          <w:szCs w:val="24"/>
        </w:rPr>
        <w:lastRenderedPageBreak/>
        <w:tab/>
        <w:t>Section</w:t>
      </w:r>
      <w:r w:rsidR="001E5250">
        <w:rPr>
          <w:sz w:val="24"/>
          <w:szCs w:val="24"/>
        </w:rPr>
        <w:t xml:space="preserve"> 4928.66(A)(1)(a)</w:t>
      </w:r>
      <w:r>
        <w:rPr>
          <w:sz w:val="24"/>
          <w:szCs w:val="24"/>
        </w:rPr>
        <w:t xml:space="preserve"> establishes the energy efficiency benchmarks, and Section</w:t>
      </w:r>
      <w:r w:rsidR="001E5250">
        <w:rPr>
          <w:sz w:val="24"/>
          <w:szCs w:val="24"/>
        </w:rPr>
        <w:t xml:space="preserve"> 4928.66(A)(1)(b)</w:t>
      </w:r>
      <w:r>
        <w:rPr>
          <w:sz w:val="24"/>
          <w:szCs w:val="24"/>
        </w:rPr>
        <w:t xml:space="preserve"> establishes the peak demand reduction benchmarks.</w:t>
      </w:r>
      <w:r w:rsidR="005558DF">
        <w:rPr>
          <w:sz w:val="24"/>
          <w:szCs w:val="24"/>
        </w:rPr>
        <w:t xml:space="preserve">  Th</w:t>
      </w:r>
      <w:r w:rsidR="00561382">
        <w:rPr>
          <w:sz w:val="24"/>
          <w:szCs w:val="24"/>
        </w:rPr>
        <w:t>e primary means of meeting these benchmarks was the utility’s portfolio plan.  Nevertheless, the statute indicates that the effects of programs</w:t>
      </w:r>
      <w:r w:rsidR="00970469">
        <w:rPr>
          <w:sz w:val="24"/>
          <w:szCs w:val="24"/>
        </w:rPr>
        <w:t xml:space="preserve"> and init</w:t>
      </w:r>
      <w:r w:rsidR="00665976">
        <w:rPr>
          <w:sz w:val="24"/>
          <w:szCs w:val="24"/>
        </w:rPr>
        <w:t>i</w:t>
      </w:r>
      <w:r w:rsidR="00970469">
        <w:rPr>
          <w:sz w:val="24"/>
          <w:szCs w:val="24"/>
        </w:rPr>
        <w:t>atives</w:t>
      </w:r>
      <w:r w:rsidR="00561382">
        <w:rPr>
          <w:sz w:val="24"/>
          <w:szCs w:val="24"/>
        </w:rPr>
        <w:t xml:space="preserve"> that are not created by or funded through the portfolio plan may also be counted toward meeting the benchmarks.</w:t>
      </w:r>
      <w:r w:rsidR="000B29C3">
        <w:rPr>
          <w:sz w:val="24"/>
          <w:szCs w:val="24"/>
        </w:rPr>
        <w:t xml:space="preserve">  </w:t>
      </w:r>
      <w:bookmarkStart w:id="0" w:name="_Hlk67464931"/>
      <w:r w:rsidR="003368D3">
        <w:rPr>
          <w:sz w:val="24"/>
          <w:szCs w:val="24"/>
        </w:rPr>
        <w:t>Section 4928.66</w:t>
      </w:r>
      <w:bookmarkEnd w:id="0"/>
      <w:r w:rsidR="003368D3">
        <w:rPr>
          <w:sz w:val="24"/>
          <w:szCs w:val="24"/>
        </w:rPr>
        <w:t xml:space="preserve">(A)(2)(d) lists </w:t>
      </w:r>
      <w:proofErr w:type="gramStart"/>
      <w:r w:rsidR="003368D3">
        <w:rPr>
          <w:sz w:val="24"/>
          <w:szCs w:val="24"/>
        </w:rPr>
        <w:t>a number of</w:t>
      </w:r>
      <w:proofErr w:type="gramEnd"/>
      <w:r w:rsidR="003368D3">
        <w:rPr>
          <w:sz w:val="24"/>
          <w:szCs w:val="24"/>
        </w:rPr>
        <w:t xml:space="preserve"> programs</w:t>
      </w:r>
      <w:r w:rsidR="00C1090E">
        <w:rPr>
          <w:sz w:val="24"/>
          <w:szCs w:val="24"/>
        </w:rPr>
        <w:t xml:space="preserve"> and measures</w:t>
      </w:r>
      <w:r w:rsidR="003368D3">
        <w:rPr>
          <w:sz w:val="24"/>
          <w:szCs w:val="24"/>
        </w:rPr>
        <w:t xml:space="preserve"> that </w:t>
      </w:r>
      <w:r w:rsidR="005C01DE">
        <w:rPr>
          <w:sz w:val="24"/>
          <w:szCs w:val="24"/>
        </w:rPr>
        <w:t xml:space="preserve">may </w:t>
      </w:r>
      <w:r w:rsidR="003368D3">
        <w:rPr>
          <w:sz w:val="24"/>
          <w:szCs w:val="24"/>
        </w:rPr>
        <w:t>be counted toward meeting the benchmarks that clearly are not created by or funded through the portfolio plan</w:t>
      </w:r>
      <w:r w:rsidR="000B0719">
        <w:rPr>
          <w:sz w:val="24"/>
          <w:szCs w:val="24"/>
        </w:rPr>
        <w:t xml:space="preserve">.  These </w:t>
      </w:r>
      <w:r w:rsidR="003368D3">
        <w:rPr>
          <w:sz w:val="24"/>
          <w:szCs w:val="24"/>
        </w:rPr>
        <w:t>includ</w:t>
      </w:r>
      <w:r w:rsidR="000B0719">
        <w:rPr>
          <w:sz w:val="24"/>
          <w:szCs w:val="24"/>
        </w:rPr>
        <w:t>e</w:t>
      </w:r>
      <w:r w:rsidR="003368D3">
        <w:rPr>
          <w:sz w:val="24"/>
          <w:szCs w:val="24"/>
        </w:rPr>
        <w:t xml:space="preserve"> smart grid investments, transmission and distribution infrastructure improvements that reduce line losses, and </w:t>
      </w:r>
      <w:r w:rsidR="00C1090E">
        <w:rPr>
          <w:sz w:val="24"/>
          <w:szCs w:val="24"/>
        </w:rPr>
        <w:t>EE/PDR savings</w:t>
      </w:r>
      <w:r w:rsidR="003368D3">
        <w:rPr>
          <w:sz w:val="24"/>
          <w:szCs w:val="24"/>
        </w:rPr>
        <w:t xml:space="preserve"> achieved, in whole or in part, </w:t>
      </w:r>
      <w:proofErr w:type="gramStart"/>
      <w:r w:rsidR="003368D3">
        <w:rPr>
          <w:sz w:val="24"/>
          <w:szCs w:val="24"/>
        </w:rPr>
        <w:t>as a result of</w:t>
      </w:r>
      <w:proofErr w:type="gramEnd"/>
      <w:r w:rsidR="003368D3">
        <w:rPr>
          <w:sz w:val="24"/>
          <w:szCs w:val="24"/>
        </w:rPr>
        <w:t xml:space="preserve"> funding provided from the universal service funded established by </w:t>
      </w:r>
      <w:r w:rsidR="009F0B68">
        <w:rPr>
          <w:sz w:val="24"/>
          <w:szCs w:val="24"/>
        </w:rPr>
        <w:t>S</w:t>
      </w:r>
      <w:r w:rsidR="003368D3">
        <w:rPr>
          <w:sz w:val="24"/>
          <w:szCs w:val="24"/>
        </w:rPr>
        <w:t>ection 4928.51 of the Revised Code to benefit low-income customers</w:t>
      </w:r>
      <w:r w:rsidR="00C1090E">
        <w:rPr>
          <w:sz w:val="24"/>
          <w:szCs w:val="24"/>
        </w:rPr>
        <w:t xml:space="preserve">.  </w:t>
      </w:r>
      <w:r w:rsidR="00A42D47">
        <w:rPr>
          <w:sz w:val="24"/>
          <w:szCs w:val="24"/>
        </w:rPr>
        <w:t>In fact</w:t>
      </w:r>
      <w:r w:rsidR="003B3139">
        <w:rPr>
          <w:sz w:val="24"/>
          <w:szCs w:val="24"/>
        </w:rPr>
        <w:t>,</w:t>
      </w:r>
      <w:r w:rsidR="001F342A">
        <w:rPr>
          <w:sz w:val="24"/>
          <w:szCs w:val="24"/>
        </w:rPr>
        <w:t xml:space="preserve"> for example,</w:t>
      </w:r>
      <w:r w:rsidR="003B3139">
        <w:rPr>
          <w:sz w:val="24"/>
          <w:szCs w:val="24"/>
        </w:rPr>
        <w:t xml:space="preserve"> FirstEnergy has counted the effects of transmission and distribution investments toward meeting the Section 4928.66 benchmarks, even though </w:t>
      </w:r>
      <w:r w:rsidR="004870A6">
        <w:rPr>
          <w:sz w:val="24"/>
          <w:szCs w:val="24"/>
        </w:rPr>
        <w:t>those investments</w:t>
      </w:r>
      <w:r w:rsidR="001F342A">
        <w:rPr>
          <w:sz w:val="24"/>
          <w:szCs w:val="24"/>
        </w:rPr>
        <w:t xml:space="preserve"> did not arise from the portfolio plan,</w:t>
      </w:r>
      <w:r w:rsidR="004870A6">
        <w:rPr>
          <w:sz w:val="24"/>
          <w:szCs w:val="24"/>
        </w:rPr>
        <w:t xml:space="preserve"> were not funded through the portfolio plan</w:t>
      </w:r>
      <w:r w:rsidR="001F342A">
        <w:rPr>
          <w:sz w:val="24"/>
          <w:szCs w:val="24"/>
        </w:rPr>
        <w:t>,</w:t>
      </w:r>
      <w:r w:rsidR="004870A6">
        <w:rPr>
          <w:sz w:val="24"/>
          <w:szCs w:val="24"/>
        </w:rPr>
        <w:t xml:space="preserve"> and </w:t>
      </w:r>
      <w:r w:rsidR="003B3139">
        <w:rPr>
          <w:sz w:val="24"/>
          <w:szCs w:val="24"/>
        </w:rPr>
        <w:t>it is obvious EE/PDR savings are simply a side benefit and not the primary purpose of those projects.</w:t>
      </w:r>
      <w:r w:rsidR="001D3BF6">
        <w:rPr>
          <w:rStyle w:val="FootnoteReference"/>
          <w:sz w:val="24"/>
          <w:szCs w:val="24"/>
        </w:rPr>
        <w:footnoteReference w:id="49"/>
      </w:r>
      <w:r w:rsidR="00A54E13">
        <w:rPr>
          <w:sz w:val="24"/>
          <w:szCs w:val="24"/>
        </w:rPr>
        <w:tab/>
      </w:r>
    </w:p>
    <w:p w14:paraId="68485582" w14:textId="4F9B74AC" w:rsidR="00BB5E98" w:rsidRDefault="00AD49FB" w:rsidP="00561382">
      <w:pPr>
        <w:spacing w:after="0" w:line="480" w:lineRule="auto"/>
        <w:ind w:firstLine="720"/>
        <w:rPr>
          <w:sz w:val="24"/>
          <w:szCs w:val="24"/>
        </w:rPr>
      </w:pPr>
      <w:r>
        <w:rPr>
          <w:sz w:val="24"/>
          <w:szCs w:val="24"/>
        </w:rPr>
        <w:t>HB 6</w:t>
      </w:r>
      <w:r w:rsidR="00561382">
        <w:rPr>
          <w:sz w:val="24"/>
          <w:szCs w:val="24"/>
        </w:rPr>
        <w:t xml:space="preserve"> amended Section 4928.66 to add parts (F) and (G).  Section </w:t>
      </w:r>
      <w:r w:rsidR="002F351C">
        <w:t>4928.66</w:t>
      </w:r>
      <w:r w:rsidR="00561382">
        <w:rPr>
          <w:sz w:val="24"/>
          <w:szCs w:val="24"/>
        </w:rPr>
        <w:t xml:space="preserve">(F) </w:t>
      </w:r>
      <w:r w:rsidR="005558DF">
        <w:rPr>
          <w:sz w:val="24"/>
          <w:szCs w:val="24"/>
        </w:rPr>
        <w:t xml:space="preserve">requires that all “portfolio plans” shall terminate </w:t>
      </w:r>
      <w:r w:rsidR="00F34417">
        <w:rPr>
          <w:sz w:val="24"/>
          <w:szCs w:val="24"/>
        </w:rPr>
        <w:t>on December 31, 2020</w:t>
      </w:r>
      <w:r w:rsidR="00561382">
        <w:rPr>
          <w:sz w:val="24"/>
          <w:szCs w:val="24"/>
        </w:rPr>
        <w:t>.</w:t>
      </w:r>
      <w:r w:rsidR="00F34417">
        <w:rPr>
          <w:rStyle w:val="FootnoteReference"/>
          <w:sz w:val="24"/>
          <w:szCs w:val="24"/>
        </w:rPr>
        <w:footnoteReference w:id="50"/>
      </w:r>
      <w:r w:rsidR="00561382">
        <w:rPr>
          <w:sz w:val="24"/>
          <w:szCs w:val="24"/>
        </w:rPr>
        <w:t xml:space="preserve">  Section </w:t>
      </w:r>
      <w:r w:rsidR="002F351C">
        <w:t>4928.66</w:t>
      </w:r>
      <w:r w:rsidR="00561382">
        <w:rPr>
          <w:sz w:val="24"/>
          <w:szCs w:val="24"/>
        </w:rPr>
        <w:t>(G) says nothing about terminating programs</w:t>
      </w:r>
      <w:r w:rsidR="00BC61C6">
        <w:rPr>
          <w:sz w:val="24"/>
          <w:szCs w:val="24"/>
        </w:rPr>
        <w:t xml:space="preserve"> or measures themselves</w:t>
      </w:r>
      <w:r w:rsidR="00561382">
        <w:rPr>
          <w:sz w:val="24"/>
          <w:szCs w:val="24"/>
        </w:rPr>
        <w:t>, but only ending</w:t>
      </w:r>
      <w:r w:rsidR="009068A7">
        <w:rPr>
          <w:sz w:val="24"/>
          <w:szCs w:val="24"/>
        </w:rPr>
        <w:t xml:space="preserve"> “</w:t>
      </w:r>
      <w:r w:rsidR="009068A7" w:rsidRPr="001E11B5">
        <w:rPr>
          <w:sz w:val="24"/>
          <w:szCs w:val="24"/>
        </w:rPr>
        <w:t xml:space="preserve">electric distribution </w:t>
      </w:r>
      <w:r w:rsidR="009068A7" w:rsidRPr="001E11B5">
        <w:rPr>
          <w:sz w:val="24"/>
          <w:szCs w:val="24"/>
        </w:rPr>
        <w:lastRenderedPageBreak/>
        <w:t>utility</w:t>
      </w:r>
      <w:r w:rsidR="009068A7" w:rsidRPr="001E11B5">
        <w:rPr>
          <w:i/>
          <w:iCs/>
          <w:sz w:val="24"/>
          <w:szCs w:val="24"/>
        </w:rPr>
        <w:t xml:space="preserve"> cost recovery mechanisms </w:t>
      </w:r>
      <w:r w:rsidR="009068A7" w:rsidRPr="001E11B5">
        <w:rPr>
          <w:sz w:val="24"/>
          <w:szCs w:val="24"/>
        </w:rPr>
        <w:t>autho</w:t>
      </w:r>
      <w:r w:rsidR="001E11B5" w:rsidRPr="001E11B5">
        <w:rPr>
          <w:sz w:val="24"/>
          <w:szCs w:val="24"/>
        </w:rPr>
        <w:t xml:space="preserve">rized </w:t>
      </w:r>
      <w:r w:rsidR="009068A7" w:rsidRPr="001E11B5">
        <w:rPr>
          <w:sz w:val="24"/>
          <w:szCs w:val="24"/>
        </w:rPr>
        <w:t>by the commission for compliance with this section</w:t>
      </w:r>
      <w:r w:rsidR="009068A7">
        <w:rPr>
          <w:sz w:val="24"/>
          <w:szCs w:val="24"/>
        </w:rPr>
        <w:t>.”</w:t>
      </w:r>
      <w:r w:rsidR="009068A7">
        <w:rPr>
          <w:rStyle w:val="FootnoteReference"/>
          <w:sz w:val="24"/>
          <w:szCs w:val="24"/>
        </w:rPr>
        <w:footnoteReference w:id="51"/>
      </w:r>
      <w:r w:rsidR="00561382">
        <w:rPr>
          <w:sz w:val="24"/>
          <w:szCs w:val="24"/>
        </w:rPr>
        <w:t xml:space="preserve"> </w:t>
      </w:r>
      <w:r w:rsidR="00BC61C6">
        <w:rPr>
          <w:sz w:val="24"/>
          <w:szCs w:val="24"/>
        </w:rPr>
        <w:t xml:space="preserve"> The most reasonable interpretation of the statute is that Section </w:t>
      </w:r>
      <w:r w:rsidR="002F351C">
        <w:t>4928.66</w:t>
      </w:r>
      <w:r w:rsidR="00BC61C6">
        <w:rPr>
          <w:sz w:val="24"/>
          <w:szCs w:val="24"/>
        </w:rPr>
        <w:t>(G) ends the funding mechanism</w:t>
      </w:r>
      <w:r w:rsidR="001D798E">
        <w:rPr>
          <w:sz w:val="24"/>
          <w:szCs w:val="24"/>
        </w:rPr>
        <w:t>s</w:t>
      </w:r>
      <w:r w:rsidR="00063AC1">
        <w:rPr>
          <w:sz w:val="24"/>
          <w:szCs w:val="24"/>
        </w:rPr>
        <w:t xml:space="preserve"> for programs approved as part of and funded through the portfolio, </w:t>
      </w:r>
      <w:r w:rsidR="00BC61C6">
        <w:rPr>
          <w:sz w:val="24"/>
          <w:szCs w:val="24"/>
        </w:rPr>
        <w:t xml:space="preserve">and not the funding associated with </w:t>
      </w:r>
      <w:r w:rsidR="002E4482">
        <w:rPr>
          <w:sz w:val="24"/>
          <w:szCs w:val="24"/>
        </w:rPr>
        <w:t>programs, measures, or rates that</w:t>
      </w:r>
      <w:r w:rsidR="00BC61C6">
        <w:rPr>
          <w:sz w:val="24"/>
          <w:szCs w:val="24"/>
        </w:rPr>
        <w:t xml:space="preserve"> </w:t>
      </w:r>
      <w:r w:rsidR="00063AC1">
        <w:rPr>
          <w:sz w:val="24"/>
          <w:szCs w:val="24"/>
        </w:rPr>
        <w:t xml:space="preserve">count toward meeting the benchmarks but </w:t>
      </w:r>
      <w:r w:rsidR="00BC61C6">
        <w:rPr>
          <w:sz w:val="24"/>
          <w:szCs w:val="24"/>
        </w:rPr>
        <w:t xml:space="preserve">are not created by or funded </w:t>
      </w:r>
      <w:r w:rsidR="00063AC1">
        <w:rPr>
          <w:sz w:val="24"/>
          <w:szCs w:val="24"/>
        </w:rPr>
        <w:t>through the portfolio plan, like the transmission and distribution projects referenced above</w:t>
      </w:r>
      <w:r w:rsidR="00BB5E98">
        <w:rPr>
          <w:sz w:val="24"/>
          <w:szCs w:val="24"/>
        </w:rPr>
        <w:t xml:space="preserve"> and Rider ELR</w:t>
      </w:r>
      <w:r w:rsidR="00BC61C6">
        <w:rPr>
          <w:sz w:val="24"/>
          <w:szCs w:val="24"/>
        </w:rPr>
        <w:t>.</w:t>
      </w:r>
    </w:p>
    <w:p w14:paraId="118C015B" w14:textId="491C1AFE" w:rsidR="003B24C5" w:rsidRDefault="00BB5E98" w:rsidP="00561382">
      <w:pPr>
        <w:spacing w:after="0" w:line="480" w:lineRule="auto"/>
        <w:ind w:firstLine="720"/>
        <w:rPr>
          <w:sz w:val="24"/>
          <w:szCs w:val="24"/>
        </w:rPr>
      </w:pPr>
      <w:r>
        <w:rPr>
          <w:sz w:val="24"/>
          <w:szCs w:val="24"/>
        </w:rPr>
        <w:t>The DSE2 charge was the funding mechanism that recovered the cost of FirstEnergy’s portfolio program</w:t>
      </w:r>
      <w:r w:rsidR="00526029">
        <w:rPr>
          <w:sz w:val="24"/>
          <w:szCs w:val="24"/>
        </w:rPr>
        <w:t>s</w:t>
      </w:r>
      <w:r>
        <w:rPr>
          <w:sz w:val="24"/>
          <w:szCs w:val="24"/>
        </w:rPr>
        <w:t xml:space="preserve"> and, as such, it was appropriately terminated pursuant to Section 4928.66(G).  </w:t>
      </w:r>
      <w:r w:rsidR="00BC61C6">
        <w:rPr>
          <w:sz w:val="24"/>
          <w:szCs w:val="24"/>
        </w:rPr>
        <w:t>As discussed above, Rider ELR was never funded through the DSE2 charge,</w:t>
      </w:r>
      <w:r w:rsidR="00EB0974">
        <w:rPr>
          <w:rStyle w:val="FootnoteReference"/>
          <w:sz w:val="24"/>
          <w:szCs w:val="24"/>
        </w:rPr>
        <w:footnoteReference w:id="52"/>
      </w:r>
      <w:r w:rsidR="00BC61C6">
        <w:rPr>
          <w:sz w:val="24"/>
          <w:szCs w:val="24"/>
        </w:rPr>
        <w:t xml:space="preserve"> </w:t>
      </w:r>
      <w:r>
        <w:rPr>
          <w:sz w:val="24"/>
          <w:szCs w:val="24"/>
        </w:rPr>
        <w:t>but i</w:t>
      </w:r>
      <w:r w:rsidR="00BC61C6">
        <w:rPr>
          <w:sz w:val="24"/>
          <w:szCs w:val="24"/>
        </w:rPr>
        <w:t xml:space="preserve">nstead, the Rider ELR credits </w:t>
      </w:r>
      <w:r>
        <w:rPr>
          <w:sz w:val="24"/>
          <w:szCs w:val="24"/>
        </w:rPr>
        <w:t xml:space="preserve">have always been </w:t>
      </w:r>
      <w:r w:rsidR="00BC61C6">
        <w:rPr>
          <w:sz w:val="24"/>
          <w:szCs w:val="24"/>
        </w:rPr>
        <w:t>and continue to be funded through the DSE1 charge and the EDR(d) charge.</w:t>
      </w:r>
      <w:r>
        <w:rPr>
          <w:sz w:val="24"/>
          <w:szCs w:val="24"/>
        </w:rPr>
        <w:t xml:space="preserve">  Accordingly, Section 4928.66(G) does not apply to Rider ELR.  This interpretation is consistent with the intent of the statute and </w:t>
      </w:r>
      <w:r w:rsidR="00AE2640">
        <w:rPr>
          <w:sz w:val="24"/>
          <w:szCs w:val="24"/>
        </w:rPr>
        <w:t xml:space="preserve">with </w:t>
      </w:r>
      <w:r>
        <w:rPr>
          <w:sz w:val="24"/>
          <w:szCs w:val="24"/>
        </w:rPr>
        <w:t>the long</w:t>
      </w:r>
      <w:r w:rsidR="00C7594F">
        <w:rPr>
          <w:sz w:val="24"/>
          <w:szCs w:val="24"/>
        </w:rPr>
        <w:t xml:space="preserve"> </w:t>
      </w:r>
      <w:r>
        <w:rPr>
          <w:sz w:val="24"/>
          <w:szCs w:val="24"/>
        </w:rPr>
        <w:t>line of Commission precedent establishing that Rider ELR</w:t>
      </w:r>
      <w:r w:rsidR="0064222D">
        <w:rPr>
          <w:sz w:val="24"/>
          <w:szCs w:val="24"/>
        </w:rPr>
        <w:t xml:space="preserve"> is primarily an economic development and reliability rate and</w:t>
      </w:r>
      <w:r>
        <w:rPr>
          <w:sz w:val="24"/>
          <w:szCs w:val="24"/>
        </w:rPr>
        <w:t xml:space="preserve"> is not a program created</w:t>
      </w:r>
      <w:r w:rsidR="00AE2640">
        <w:rPr>
          <w:sz w:val="24"/>
          <w:szCs w:val="24"/>
        </w:rPr>
        <w:t xml:space="preserve"> under</w:t>
      </w:r>
      <w:r>
        <w:rPr>
          <w:sz w:val="24"/>
          <w:szCs w:val="24"/>
        </w:rPr>
        <w:t xml:space="preserve"> or funded </w:t>
      </w:r>
      <w:r w:rsidR="00AE2640">
        <w:rPr>
          <w:sz w:val="24"/>
          <w:szCs w:val="24"/>
        </w:rPr>
        <w:t>through the portfolio plan.</w:t>
      </w:r>
      <w:r>
        <w:rPr>
          <w:sz w:val="24"/>
          <w:szCs w:val="24"/>
        </w:rPr>
        <w:t xml:space="preserve">  </w:t>
      </w:r>
      <w:r w:rsidR="00BC61C6">
        <w:rPr>
          <w:sz w:val="24"/>
          <w:szCs w:val="24"/>
        </w:rPr>
        <w:t xml:space="preserve">  </w:t>
      </w:r>
      <w:r w:rsidR="00561382">
        <w:rPr>
          <w:sz w:val="24"/>
          <w:szCs w:val="24"/>
        </w:rPr>
        <w:t xml:space="preserve">  </w:t>
      </w:r>
    </w:p>
    <w:p w14:paraId="77379FF6" w14:textId="77777777" w:rsidR="008929B8" w:rsidRDefault="008929B8">
      <w:pPr>
        <w:rPr>
          <w:rFonts w:ascii="Calibri" w:hAnsi="Calibri"/>
          <w:b/>
          <w:sz w:val="24"/>
          <w:szCs w:val="24"/>
        </w:rPr>
      </w:pPr>
      <w:r>
        <w:rPr>
          <w:rFonts w:ascii="Calibri" w:hAnsi="Calibri"/>
          <w:b/>
          <w:sz w:val="24"/>
          <w:szCs w:val="24"/>
        </w:rPr>
        <w:br w:type="page"/>
      </w:r>
    </w:p>
    <w:p w14:paraId="6F0A3967" w14:textId="3BC7B355" w:rsidR="00E23868" w:rsidRDefault="00E23868" w:rsidP="00E23868">
      <w:pPr>
        <w:keepNext/>
        <w:keepLines/>
        <w:spacing w:after="0" w:line="480" w:lineRule="auto"/>
        <w:jc w:val="both"/>
        <w:rPr>
          <w:rFonts w:ascii="Calibri" w:hAnsi="Calibri"/>
          <w:b/>
          <w:sz w:val="24"/>
          <w:szCs w:val="24"/>
        </w:rPr>
      </w:pPr>
      <w:r w:rsidRPr="00E23868">
        <w:rPr>
          <w:rFonts w:ascii="Calibri" w:hAnsi="Calibri"/>
          <w:b/>
          <w:sz w:val="24"/>
          <w:szCs w:val="24"/>
        </w:rPr>
        <w:lastRenderedPageBreak/>
        <w:t>II.</w:t>
      </w:r>
      <w:r w:rsidRPr="00E23868">
        <w:rPr>
          <w:rFonts w:ascii="Calibri" w:hAnsi="Calibri"/>
          <w:b/>
          <w:sz w:val="24"/>
          <w:szCs w:val="24"/>
        </w:rPr>
        <w:tab/>
        <w:t>CONCLUSION</w:t>
      </w:r>
    </w:p>
    <w:p w14:paraId="137AFA53" w14:textId="435269FF" w:rsidR="00E23868" w:rsidRPr="00E23868" w:rsidRDefault="00E23868" w:rsidP="00B5299B">
      <w:pPr>
        <w:keepNext/>
        <w:keepLines/>
        <w:spacing w:line="480" w:lineRule="auto"/>
        <w:jc w:val="both"/>
        <w:rPr>
          <w:rFonts w:ascii="Calibri" w:hAnsi="Calibri"/>
          <w:sz w:val="24"/>
          <w:szCs w:val="24"/>
        </w:rPr>
      </w:pPr>
      <w:r>
        <w:rPr>
          <w:rFonts w:ascii="Calibri" w:hAnsi="Calibri"/>
          <w:b/>
          <w:sz w:val="24"/>
          <w:szCs w:val="24"/>
        </w:rPr>
        <w:tab/>
      </w:r>
      <w:r w:rsidRPr="00E23868">
        <w:rPr>
          <w:rFonts w:ascii="Calibri" w:hAnsi="Calibri"/>
          <w:sz w:val="24"/>
          <w:szCs w:val="24"/>
        </w:rPr>
        <w:t xml:space="preserve">For the reasons set forth above, </w:t>
      </w:r>
      <w:r w:rsidR="00B5299B">
        <w:rPr>
          <w:rFonts w:ascii="Calibri" w:hAnsi="Calibri"/>
          <w:sz w:val="24"/>
          <w:szCs w:val="24"/>
        </w:rPr>
        <w:t>Rider ELR should not be terminated pursuant to Section 4928.66(G).</w:t>
      </w:r>
    </w:p>
    <w:p w14:paraId="6FE1EF08" w14:textId="77777777" w:rsidR="00E23868" w:rsidRPr="00E23868" w:rsidRDefault="00E23868" w:rsidP="00E23868">
      <w:pPr>
        <w:widowControl w:val="0"/>
        <w:spacing w:line="480" w:lineRule="auto"/>
        <w:ind w:left="4320"/>
        <w:jc w:val="both"/>
        <w:rPr>
          <w:rFonts w:cstheme="minorHAnsi"/>
          <w:sz w:val="24"/>
          <w:szCs w:val="24"/>
        </w:rPr>
      </w:pPr>
      <w:r w:rsidRPr="00E23868">
        <w:rPr>
          <w:rFonts w:cstheme="minorHAnsi"/>
          <w:sz w:val="24"/>
          <w:szCs w:val="24"/>
        </w:rPr>
        <w:t>Respectfully submitted,</w:t>
      </w:r>
    </w:p>
    <w:p w14:paraId="499BFE8A" w14:textId="77777777" w:rsidR="00E23868" w:rsidRPr="00E23868" w:rsidRDefault="00E23868" w:rsidP="00E23868">
      <w:pPr>
        <w:widowControl w:val="0"/>
        <w:tabs>
          <w:tab w:val="left" w:pos="8190"/>
        </w:tabs>
        <w:spacing w:after="0" w:line="240" w:lineRule="auto"/>
        <w:ind w:left="4320"/>
        <w:jc w:val="both"/>
        <w:rPr>
          <w:rFonts w:cstheme="minorHAnsi"/>
          <w:sz w:val="24"/>
          <w:szCs w:val="24"/>
          <w:u w:val="single"/>
        </w:rPr>
      </w:pPr>
      <w:r w:rsidRPr="00E23868">
        <w:rPr>
          <w:i/>
          <w:sz w:val="24"/>
          <w:szCs w:val="24"/>
          <w:u w:val="single"/>
        </w:rPr>
        <w:t>/s/ Michael K. Lavanga</w:t>
      </w:r>
      <w:r w:rsidRPr="00E23868">
        <w:rPr>
          <w:rFonts w:cstheme="minorHAnsi"/>
          <w:sz w:val="24"/>
          <w:szCs w:val="24"/>
          <w:u w:val="single"/>
        </w:rPr>
        <w:tab/>
      </w:r>
    </w:p>
    <w:p w14:paraId="0080DF0F" w14:textId="77777777" w:rsidR="00E23868" w:rsidRPr="00E23868" w:rsidRDefault="00E23868" w:rsidP="00E23868">
      <w:pPr>
        <w:widowControl w:val="0"/>
        <w:tabs>
          <w:tab w:val="left" w:pos="9270"/>
        </w:tabs>
        <w:spacing w:after="0" w:line="240" w:lineRule="auto"/>
        <w:ind w:left="4320"/>
        <w:jc w:val="both"/>
        <w:rPr>
          <w:rFonts w:cstheme="minorHAnsi"/>
          <w:sz w:val="24"/>
          <w:szCs w:val="24"/>
        </w:rPr>
      </w:pPr>
      <w:r w:rsidRPr="00E23868">
        <w:rPr>
          <w:rFonts w:ascii="Calibri" w:hAnsi="Calibri"/>
          <w:sz w:val="24"/>
          <w:szCs w:val="24"/>
        </w:rPr>
        <w:t>Michael K. Lavanga</w:t>
      </w:r>
    </w:p>
    <w:p w14:paraId="6AF9FDA4" w14:textId="77777777" w:rsidR="00E23868" w:rsidRPr="00E23868" w:rsidRDefault="00E23868" w:rsidP="00E23868">
      <w:pPr>
        <w:widowControl w:val="0"/>
        <w:tabs>
          <w:tab w:val="left" w:pos="9270"/>
        </w:tabs>
        <w:spacing w:after="0" w:line="240" w:lineRule="auto"/>
        <w:ind w:left="4320"/>
        <w:jc w:val="both"/>
        <w:rPr>
          <w:rFonts w:cstheme="minorHAnsi"/>
          <w:sz w:val="24"/>
          <w:szCs w:val="24"/>
        </w:rPr>
      </w:pPr>
      <w:r w:rsidRPr="00E23868">
        <w:rPr>
          <w:rFonts w:cstheme="minorHAnsi"/>
          <w:sz w:val="24"/>
          <w:szCs w:val="24"/>
        </w:rPr>
        <w:t>PHV #1014-2021</w:t>
      </w:r>
    </w:p>
    <w:p w14:paraId="13846974" w14:textId="77777777" w:rsidR="00E23868" w:rsidRPr="00E23868" w:rsidRDefault="00E23868" w:rsidP="00E23868">
      <w:pPr>
        <w:widowControl w:val="0"/>
        <w:tabs>
          <w:tab w:val="left" w:pos="9270"/>
        </w:tabs>
        <w:spacing w:after="0" w:line="240" w:lineRule="auto"/>
        <w:ind w:left="4590"/>
        <w:jc w:val="both"/>
        <w:rPr>
          <w:rFonts w:cstheme="minorHAnsi"/>
          <w:i/>
          <w:sz w:val="24"/>
          <w:szCs w:val="24"/>
        </w:rPr>
      </w:pPr>
      <w:r w:rsidRPr="00E23868">
        <w:rPr>
          <w:rFonts w:cstheme="minorHAnsi"/>
          <w:i/>
          <w:sz w:val="24"/>
          <w:szCs w:val="24"/>
        </w:rPr>
        <w:t>Counsel of Record</w:t>
      </w:r>
    </w:p>
    <w:p w14:paraId="59CE434F" w14:textId="77777777" w:rsidR="00E23868" w:rsidRPr="00E23868" w:rsidRDefault="00E23868" w:rsidP="00E23868">
      <w:pPr>
        <w:widowControl w:val="0"/>
        <w:tabs>
          <w:tab w:val="left" w:pos="9270"/>
        </w:tabs>
        <w:spacing w:after="0" w:line="240" w:lineRule="auto"/>
        <w:ind w:left="4320"/>
        <w:jc w:val="both"/>
        <w:rPr>
          <w:rFonts w:ascii="Calibri" w:hAnsi="Calibri"/>
          <w:sz w:val="24"/>
          <w:szCs w:val="24"/>
        </w:rPr>
      </w:pPr>
      <w:r w:rsidRPr="00E23868">
        <w:rPr>
          <w:rFonts w:ascii="Calibri" w:hAnsi="Calibri"/>
          <w:sz w:val="24"/>
          <w:szCs w:val="24"/>
        </w:rPr>
        <w:t>Stone Mattheis Xenopoulos &amp; Brew, PC</w:t>
      </w:r>
    </w:p>
    <w:p w14:paraId="58F90211" w14:textId="77777777" w:rsidR="00E23868" w:rsidRPr="00E23868" w:rsidRDefault="00E23868" w:rsidP="00E23868">
      <w:pPr>
        <w:widowControl w:val="0"/>
        <w:tabs>
          <w:tab w:val="left" w:pos="9270"/>
        </w:tabs>
        <w:spacing w:after="0" w:line="240" w:lineRule="auto"/>
        <w:ind w:left="4320"/>
        <w:jc w:val="both"/>
        <w:rPr>
          <w:rFonts w:ascii="Calibri" w:hAnsi="Calibri"/>
          <w:sz w:val="24"/>
          <w:szCs w:val="24"/>
        </w:rPr>
      </w:pPr>
      <w:r w:rsidRPr="00E23868">
        <w:rPr>
          <w:rFonts w:ascii="Calibri" w:hAnsi="Calibri"/>
          <w:sz w:val="24"/>
          <w:szCs w:val="24"/>
        </w:rPr>
        <w:t>1025 Thomas Jefferson Street, NW</w:t>
      </w:r>
    </w:p>
    <w:p w14:paraId="63D1343E" w14:textId="77777777" w:rsidR="00E23868" w:rsidRPr="00E23868" w:rsidRDefault="00E23868" w:rsidP="00E23868">
      <w:pPr>
        <w:widowControl w:val="0"/>
        <w:tabs>
          <w:tab w:val="left" w:pos="9270"/>
        </w:tabs>
        <w:spacing w:after="0" w:line="240" w:lineRule="auto"/>
        <w:ind w:left="4320"/>
        <w:jc w:val="both"/>
        <w:rPr>
          <w:rFonts w:ascii="Calibri" w:hAnsi="Calibri"/>
          <w:sz w:val="24"/>
          <w:szCs w:val="24"/>
        </w:rPr>
      </w:pPr>
      <w:r w:rsidRPr="00E23868">
        <w:rPr>
          <w:rFonts w:ascii="Calibri" w:hAnsi="Calibri"/>
          <w:sz w:val="24"/>
          <w:szCs w:val="24"/>
        </w:rPr>
        <w:t xml:space="preserve">Suite 800 West </w:t>
      </w:r>
    </w:p>
    <w:p w14:paraId="6BCE2834" w14:textId="77777777" w:rsidR="00E23868" w:rsidRPr="00E23868" w:rsidRDefault="00E23868" w:rsidP="00E23868">
      <w:pPr>
        <w:widowControl w:val="0"/>
        <w:tabs>
          <w:tab w:val="left" w:pos="9270"/>
        </w:tabs>
        <w:spacing w:after="0" w:line="240" w:lineRule="auto"/>
        <w:ind w:left="4320"/>
        <w:jc w:val="both"/>
        <w:rPr>
          <w:rFonts w:ascii="Calibri" w:hAnsi="Calibri"/>
          <w:sz w:val="24"/>
          <w:szCs w:val="24"/>
        </w:rPr>
      </w:pPr>
      <w:r w:rsidRPr="00E23868">
        <w:rPr>
          <w:rFonts w:ascii="Calibri" w:hAnsi="Calibri"/>
          <w:sz w:val="24"/>
          <w:szCs w:val="24"/>
        </w:rPr>
        <w:t>Washington, DC 20007</w:t>
      </w:r>
    </w:p>
    <w:p w14:paraId="5EE9527E" w14:textId="77777777" w:rsidR="00E23868" w:rsidRPr="00E23868" w:rsidRDefault="00E23868" w:rsidP="00E23868">
      <w:pPr>
        <w:widowControl w:val="0"/>
        <w:tabs>
          <w:tab w:val="left" w:pos="9270"/>
        </w:tabs>
        <w:spacing w:after="0" w:line="240" w:lineRule="auto"/>
        <w:ind w:left="4320"/>
        <w:jc w:val="both"/>
        <w:rPr>
          <w:rFonts w:ascii="Calibri" w:hAnsi="Calibri"/>
          <w:sz w:val="24"/>
          <w:szCs w:val="24"/>
        </w:rPr>
      </w:pPr>
      <w:r w:rsidRPr="00E23868">
        <w:rPr>
          <w:rFonts w:ascii="Calibri" w:hAnsi="Calibri"/>
          <w:sz w:val="24"/>
          <w:szCs w:val="24"/>
        </w:rPr>
        <w:t>(202) 342-0800 (</w:t>
      </w:r>
      <w:r w:rsidRPr="00E23868">
        <w:rPr>
          <w:rFonts w:cstheme="minorHAnsi"/>
          <w:sz w:val="24"/>
          <w:szCs w:val="24"/>
        </w:rPr>
        <w:t>Main</w:t>
      </w:r>
      <w:r w:rsidRPr="00E23868">
        <w:rPr>
          <w:rFonts w:ascii="Calibri" w:hAnsi="Calibri"/>
          <w:sz w:val="24"/>
          <w:szCs w:val="24"/>
        </w:rPr>
        <w:t xml:space="preserve"> Number)</w:t>
      </w:r>
    </w:p>
    <w:p w14:paraId="380E9280" w14:textId="77777777" w:rsidR="00E23868" w:rsidRPr="00E23868" w:rsidRDefault="00E23868" w:rsidP="00E23868">
      <w:pPr>
        <w:widowControl w:val="0"/>
        <w:tabs>
          <w:tab w:val="left" w:pos="9270"/>
        </w:tabs>
        <w:spacing w:after="0" w:line="240" w:lineRule="auto"/>
        <w:ind w:left="4320"/>
        <w:jc w:val="both"/>
        <w:rPr>
          <w:rFonts w:ascii="Calibri" w:hAnsi="Calibri"/>
          <w:sz w:val="24"/>
          <w:szCs w:val="24"/>
        </w:rPr>
      </w:pPr>
      <w:r w:rsidRPr="00E23868">
        <w:rPr>
          <w:rFonts w:ascii="Calibri" w:hAnsi="Calibri"/>
          <w:sz w:val="24"/>
          <w:szCs w:val="24"/>
        </w:rPr>
        <w:t>(202) 342-0807 (Facsimile)</w:t>
      </w:r>
    </w:p>
    <w:p w14:paraId="22171377" w14:textId="77777777" w:rsidR="00E23868" w:rsidRPr="00E23868" w:rsidRDefault="00E23868" w:rsidP="00E23868">
      <w:pPr>
        <w:widowControl w:val="0"/>
        <w:rPr>
          <w:rFonts w:ascii="Calibri" w:hAnsi="Calibri"/>
          <w:sz w:val="24"/>
          <w:szCs w:val="24"/>
        </w:rPr>
      </w:pPr>
    </w:p>
    <w:p w14:paraId="4DC9EDFB" w14:textId="77777777" w:rsidR="00736FC4" w:rsidRDefault="00283FEA" w:rsidP="00E23868">
      <w:pPr>
        <w:spacing w:after="0" w:line="480" w:lineRule="auto"/>
        <w:rPr>
          <w:rFonts w:ascii="Calibri" w:hAnsi="Calibri"/>
          <w:b/>
          <w:bCs/>
          <w:sz w:val="24"/>
          <w:szCs w:val="24"/>
        </w:rPr>
      </w:pPr>
      <w:r>
        <w:rPr>
          <w:rFonts w:ascii="Calibri" w:hAnsi="Calibri"/>
          <w:b/>
          <w:bCs/>
          <w:sz w:val="24"/>
          <w:szCs w:val="24"/>
        </w:rPr>
        <w:tab/>
      </w:r>
      <w:r>
        <w:rPr>
          <w:rFonts w:ascii="Calibri" w:hAnsi="Calibri"/>
          <w:b/>
          <w:bCs/>
          <w:sz w:val="24"/>
          <w:szCs w:val="24"/>
        </w:rPr>
        <w:tab/>
      </w:r>
      <w:r>
        <w:rPr>
          <w:rFonts w:ascii="Calibri" w:hAnsi="Calibri"/>
          <w:b/>
          <w:bCs/>
          <w:sz w:val="24"/>
          <w:szCs w:val="24"/>
        </w:rPr>
        <w:tab/>
      </w:r>
      <w:r>
        <w:rPr>
          <w:rFonts w:ascii="Calibri" w:hAnsi="Calibri"/>
          <w:b/>
          <w:bCs/>
          <w:sz w:val="24"/>
          <w:szCs w:val="24"/>
        </w:rPr>
        <w:tab/>
      </w:r>
      <w:r>
        <w:rPr>
          <w:rFonts w:ascii="Calibri" w:hAnsi="Calibri"/>
          <w:b/>
          <w:bCs/>
          <w:sz w:val="24"/>
          <w:szCs w:val="24"/>
        </w:rPr>
        <w:tab/>
      </w:r>
      <w:r>
        <w:rPr>
          <w:rFonts w:ascii="Calibri" w:hAnsi="Calibri"/>
          <w:b/>
          <w:bCs/>
          <w:sz w:val="24"/>
          <w:szCs w:val="24"/>
        </w:rPr>
        <w:tab/>
      </w:r>
      <w:r w:rsidR="00E23868" w:rsidRPr="00E23868">
        <w:rPr>
          <w:rFonts w:ascii="Calibri" w:hAnsi="Calibri"/>
          <w:b/>
          <w:bCs/>
          <w:sz w:val="24"/>
          <w:szCs w:val="24"/>
        </w:rPr>
        <w:t>Attorney for Nucor Steel Marion, Inc.</w:t>
      </w:r>
    </w:p>
    <w:p w14:paraId="72971E9C" w14:textId="77777777" w:rsidR="00736FC4" w:rsidRDefault="00736FC4">
      <w:pPr>
        <w:rPr>
          <w:rFonts w:ascii="Calibri" w:hAnsi="Calibri"/>
          <w:b/>
          <w:bCs/>
          <w:sz w:val="24"/>
          <w:szCs w:val="24"/>
        </w:rPr>
      </w:pPr>
      <w:r>
        <w:rPr>
          <w:rFonts w:ascii="Calibri" w:hAnsi="Calibri"/>
          <w:b/>
          <w:bCs/>
          <w:sz w:val="24"/>
          <w:szCs w:val="24"/>
        </w:rPr>
        <w:br w:type="page"/>
      </w:r>
    </w:p>
    <w:p w14:paraId="0D507F84" w14:textId="77777777" w:rsidR="00736FC4" w:rsidRPr="00736FC4" w:rsidRDefault="00736FC4" w:rsidP="00736FC4">
      <w:pPr>
        <w:spacing w:after="0" w:line="240" w:lineRule="auto"/>
        <w:jc w:val="center"/>
        <w:rPr>
          <w:b/>
          <w:bCs/>
          <w:sz w:val="24"/>
          <w:szCs w:val="24"/>
        </w:rPr>
      </w:pPr>
      <w:r w:rsidRPr="00736FC4">
        <w:rPr>
          <w:b/>
          <w:bCs/>
          <w:sz w:val="24"/>
          <w:szCs w:val="24"/>
        </w:rPr>
        <w:lastRenderedPageBreak/>
        <w:t>CERTIFICATE OF SERVICE</w:t>
      </w:r>
    </w:p>
    <w:p w14:paraId="6438A5EB" w14:textId="77777777" w:rsidR="00736FC4" w:rsidRPr="00736FC4" w:rsidRDefault="00736FC4" w:rsidP="00736FC4">
      <w:pPr>
        <w:spacing w:after="0" w:line="240" w:lineRule="auto"/>
        <w:rPr>
          <w:sz w:val="24"/>
          <w:szCs w:val="24"/>
        </w:rPr>
      </w:pPr>
    </w:p>
    <w:p w14:paraId="40D3844F" w14:textId="6BE04189" w:rsidR="00736FC4" w:rsidRPr="00736FC4" w:rsidRDefault="00736FC4" w:rsidP="00736FC4">
      <w:pPr>
        <w:spacing w:after="0" w:line="240" w:lineRule="auto"/>
        <w:rPr>
          <w:sz w:val="24"/>
          <w:szCs w:val="24"/>
        </w:rPr>
      </w:pPr>
      <w:r w:rsidRPr="00736FC4">
        <w:rPr>
          <w:sz w:val="24"/>
          <w:szCs w:val="24"/>
        </w:rPr>
        <w:tab/>
        <w:t>In accordance with Rule 4901-1-05, Ohio Administrative Code, the PUCO’s e-filing system</w:t>
      </w:r>
      <w:r>
        <w:rPr>
          <w:sz w:val="24"/>
          <w:szCs w:val="24"/>
        </w:rPr>
        <w:t xml:space="preserve"> </w:t>
      </w:r>
      <w:r w:rsidRPr="00736FC4">
        <w:rPr>
          <w:sz w:val="24"/>
          <w:szCs w:val="24"/>
        </w:rPr>
        <w:t xml:space="preserve">will electronically serve notice of the filing of this document on the parties referenced on the service list of the docket card who have electronically subscribed to this case. </w:t>
      </w:r>
      <w:r w:rsidR="00F454DF">
        <w:rPr>
          <w:sz w:val="24"/>
          <w:szCs w:val="24"/>
        </w:rPr>
        <w:t xml:space="preserve"> </w:t>
      </w:r>
      <w:r w:rsidRPr="00736FC4">
        <w:rPr>
          <w:sz w:val="24"/>
          <w:szCs w:val="24"/>
        </w:rPr>
        <w:t xml:space="preserve">In addition, the undersigned certifies that a courtesy copy of the foregoing document is also being served (via electronic mail) on the </w:t>
      </w:r>
      <w:r>
        <w:rPr>
          <w:sz w:val="24"/>
          <w:szCs w:val="24"/>
        </w:rPr>
        <w:t>26</w:t>
      </w:r>
      <w:r w:rsidRPr="00736FC4">
        <w:rPr>
          <w:sz w:val="24"/>
          <w:szCs w:val="24"/>
          <w:vertAlign w:val="superscript"/>
        </w:rPr>
        <w:t>th</w:t>
      </w:r>
      <w:r>
        <w:rPr>
          <w:sz w:val="24"/>
          <w:szCs w:val="24"/>
        </w:rPr>
        <w:t xml:space="preserve"> </w:t>
      </w:r>
      <w:r w:rsidRPr="00736FC4">
        <w:rPr>
          <w:sz w:val="24"/>
          <w:szCs w:val="24"/>
        </w:rPr>
        <w:t xml:space="preserve">day of </w:t>
      </w:r>
      <w:proofErr w:type="gramStart"/>
      <w:r w:rsidRPr="00736FC4">
        <w:rPr>
          <w:sz w:val="24"/>
          <w:szCs w:val="24"/>
        </w:rPr>
        <w:t>March,</w:t>
      </w:r>
      <w:proofErr w:type="gramEnd"/>
      <w:r w:rsidRPr="00736FC4">
        <w:rPr>
          <w:sz w:val="24"/>
          <w:szCs w:val="24"/>
        </w:rPr>
        <w:t xml:space="preserve"> 2021 to the following:</w:t>
      </w:r>
    </w:p>
    <w:p w14:paraId="0D87981B" w14:textId="77777777" w:rsidR="00736FC4" w:rsidRPr="00736FC4" w:rsidRDefault="00736FC4" w:rsidP="00736FC4">
      <w:pPr>
        <w:spacing w:after="0" w:line="240" w:lineRule="auto"/>
        <w:rPr>
          <w:sz w:val="24"/>
          <w:szCs w:val="24"/>
        </w:rPr>
      </w:pPr>
    </w:p>
    <w:p w14:paraId="25E2E946" w14:textId="16E1284C" w:rsidR="00736FC4" w:rsidRDefault="00CE5DF2" w:rsidP="00F454DF">
      <w:pPr>
        <w:spacing w:after="0" w:line="240" w:lineRule="auto"/>
        <w:ind w:left="1440"/>
        <w:rPr>
          <w:sz w:val="24"/>
          <w:szCs w:val="24"/>
        </w:rPr>
      </w:pPr>
      <w:hyperlink r:id="rId10" w:history="1">
        <w:r w:rsidR="00F454DF" w:rsidRPr="00245430">
          <w:rPr>
            <w:rStyle w:val="Hyperlink"/>
            <w:sz w:val="24"/>
            <w:szCs w:val="24"/>
          </w:rPr>
          <w:t>edanford@firstenergycorp.com</w:t>
        </w:r>
      </w:hyperlink>
    </w:p>
    <w:p w14:paraId="0D1BF561" w14:textId="0327F495" w:rsidR="00736FC4" w:rsidRDefault="00CE5DF2" w:rsidP="00F454DF">
      <w:pPr>
        <w:spacing w:after="0" w:line="240" w:lineRule="auto"/>
        <w:ind w:left="1440"/>
        <w:rPr>
          <w:sz w:val="24"/>
          <w:szCs w:val="24"/>
        </w:rPr>
      </w:pPr>
      <w:hyperlink r:id="rId11" w:history="1">
        <w:r w:rsidR="00F454DF" w:rsidRPr="00245430">
          <w:rPr>
            <w:rStyle w:val="Hyperlink"/>
            <w:sz w:val="24"/>
            <w:szCs w:val="24"/>
          </w:rPr>
          <w:t>bknipe@firstenergycorp.com</w:t>
        </w:r>
      </w:hyperlink>
    </w:p>
    <w:p w14:paraId="04A140A4" w14:textId="460833B0" w:rsidR="00736FC4" w:rsidRDefault="00CE5DF2" w:rsidP="00F454DF">
      <w:pPr>
        <w:spacing w:after="0" w:line="240" w:lineRule="auto"/>
        <w:ind w:left="1440"/>
        <w:rPr>
          <w:sz w:val="24"/>
          <w:szCs w:val="24"/>
        </w:rPr>
      </w:pPr>
      <w:hyperlink r:id="rId12" w:history="1">
        <w:r w:rsidR="00F454DF" w:rsidRPr="00245430">
          <w:rPr>
            <w:rStyle w:val="Hyperlink"/>
            <w:sz w:val="24"/>
            <w:szCs w:val="24"/>
          </w:rPr>
          <w:t>KJKLaw@yahoo.com</w:t>
        </w:r>
      </w:hyperlink>
    </w:p>
    <w:p w14:paraId="3939821C" w14:textId="50EB7DAD" w:rsidR="00736FC4" w:rsidRDefault="00CE5DF2" w:rsidP="00F454DF">
      <w:pPr>
        <w:spacing w:after="0" w:line="240" w:lineRule="auto"/>
        <w:ind w:left="1440"/>
        <w:rPr>
          <w:sz w:val="24"/>
          <w:szCs w:val="24"/>
        </w:rPr>
      </w:pPr>
      <w:hyperlink r:id="rId13" w:history="1">
        <w:r w:rsidR="00F454DF" w:rsidRPr="00245430">
          <w:rPr>
            <w:rStyle w:val="Hyperlink"/>
            <w:sz w:val="24"/>
            <w:szCs w:val="24"/>
          </w:rPr>
          <w:t>mrgladman@jonesday.com</w:t>
        </w:r>
      </w:hyperlink>
    </w:p>
    <w:p w14:paraId="6E413E4A" w14:textId="40F0F7CA" w:rsidR="00736FC4" w:rsidRDefault="00CE5DF2" w:rsidP="00F454DF">
      <w:pPr>
        <w:spacing w:after="0" w:line="240" w:lineRule="auto"/>
        <w:ind w:left="1440"/>
        <w:rPr>
          <w:sz w:val="24"/>
          <w:szCs w:val="24"/>
        </w:rPr>
      </w:pPr>
      <w:hyperlink r:id="rId14" w:history="1">
        <w:r w:rsidR="00F454DF" w:rsidRPr="00245430">
          <w:rPr>
            <w:rStyle w:val="Hyperlink"/>
            <w:sz w:val="24"/>
            <w:szCs w:val="24"/>
          </w:rPr>
          <w:t>stostado@jonesday.com</w:t>
        </w:r>
      </w:hyperlink>
    </w:p>
    <w:p w14:paraId="57FFA015" w14:textId="305EDEAF" w:rsidR="00736FC4" w:rsidRDefault="00CE5DF2" w:rsidP="00F454DF">
      <w:pPr>
        <w:spacing w:after="0" w:line="240" w:lineRule="auto"/>
        <w:ind w:left="1440"/>
        <w:rPr>
          <w:sz w:val="24"/>
          <w:szCs w:val="24"/>
        </w:rPr>
      </w:pPr>
      <w:hyperlink r:id="rId15" w:history="1">
        <w:r w:rsidR="00F454DF" w:rsidRPr="00245430">
          <w:rPr>
            <w:rStyle w:val="Hyperlink"/>
            <w:sz w:val="24"/>
            <w:szCs w:val="24"/>
          </w:rPr>
          <w:t>tdougherty@theoec.org</w:t>
        </w:r>
      </w:hyperlink>
    </w:p>
    <w:p w14:paraId="04AD2192" w14:textId="653751B2" w:rsidR="00736FC4" w:rsidRDefault="00CE5DF2" w:rsidP="00F454DF">
      <w:pPr>
        <w:spacing w:after="0" w:line="240" w:lineRule="auto"/>
        <w:ind w:left="1440"/>
        <w:rPr>
          <w:sz w:val="24"/>
          <w:szCs w:val="24"/>
        </w:rPr>
      </w:pPr>
      <w:hyperlink r:id="rId16" w:history="1">
        <w:r w:rsidR="00F454DF" w:rsidRPr="00245430">
          <w:rPr>
            <w:rStyle w:val="Hyperlink"/>
            <w:sz w:val="24"/>
            <w:szCs w:val="24"/>
          </w:rPr>
          <w:t>mleppla@theoec.org</w:t>
        </w:r>
      </w:hyperlink>
    </w:p>
    <w:p w14:paraId="00ED8CA6" w14:textId="0570807A" w:rsidR="00736FC4" w:rsidRDefault="00CE5DF2" w:rsidP="00F454DF">
      <w:pPr>
        <w:spacing w:after="0" w:line="240" w:lineRule="auto"/>
        <w:ind w:left="1440"/>
        <w:rPr>
          <w:sz w:val="24"/>
          <w:szCs w:val="24"/>
        </w:rPr>
      </w:pPr>
      <w:hyperlink r:id="rId17" w:history="1">
        <w:r w:rsidR="00F454DF" w:rsidRPr="00245430">
          <w:rPr>
            <w:rStyle w:val="Hyperlink"/>
            <w:sz w:val="24"/>
            <w:szCs w:val="24"/>
          </w:rPr>
          <w:t>jfinnigan@edf.org</w:t>
        </w:r>
      </w:hyperlink>
    </w:p>
    <w:p w14:paraId="34396F08" w14:textId="00E84AA9" w:rsidR="00736FC4" w:rsidRDefault="00CE5DF2" w:rsidP="00F454DF">
      <w:pPr>
        <w:spacing w:after="0" w:line="240" w:lineRule="auto"/>
        <w:ind w:left="1440"/>
        <w:rPr>
          <w:sz w:val="24"/>
          <w:szCs w:val="24"/>
        </w:rPr>
      </w:pPr>
      <w:hyperlink r:id="rId18" w:history="1">
        <w:r w:rsidR="00F454DF" w:rsidRPr="00245430">
          <w:rPr>
            <w:rStyle w:val="Hyperlink"/>
            <w:sz w:val="24"/>
            <w:szCs w:val="24"/>
          </w:rPr>
          <w:t>rkelter@elpc.org</w:t>
        </w:r>
      </w:hyperlink>
    </w:p>
    <w:p w14:paraId="1A655EA0" w14:textId="5676DC42" w:rsidR="00736FC4" w:rsidRDefault="00CE5DF2" w:rsidP="00F454DF">
      <w:pPr>
        <w:spacing w:after="0" w:line="240" w:lineRule="auto"/>
        <w:ind w:left="1440"/>
        <w:rPr>
          <w:sz w:val="24"/>
          <w:szCs w:val="24"/>
        </w:rPr>
      </w:pPr>
      <w:hyperlink r:id="rId19" w:history="1">
        <w:r w:rsidR="00F454DF" w:rsidRPr="00245430">
          <w:rPr>
            <w:rStyle w:val="Hyperlink"/>
            <w:sz w:val="24"/>
            <w:szCs w:val="24"/>
          </w:rPr>
          <w:t>swilliams@nrdc.org</w:t>
        </w:r>
      </w:hyperlink>
    </w:p>
    <w:p w14:paraId="3DEBE180" w14:textId="56E138A0" w:rsidR="00736FC4" w:rsidRDefault="00CE5DF2" w:rsidP="00F454DF">
      <w:pPr>
        <w:spacing w:after="0" w:line="240" w:lineRule="auto"/>
        <w:ind w:left="1440"/>
        <w:rPr>
          <w:sz w:val="24"/>
          <w:szCs w:val="24"/>
        </w:rPr>
      </w:pPr>
      <w:hyperlink r:id="rId20" w:history="1">
        <w:r w:rsidR="00F454DF" w:rsidRPr="00245430">
          <w:rPr>
            <w:rStyle w:val="Hyperlink"/>
            <w:sz w:val="24"/>
            <w:szCs w:val="24"/>
          </w:rPr>
          <w:t>christopher.healey@occ.ohio.gov</w:t>
        </w:r>
      </w:hyperlink>
    </w:p>
    <w:p w14:paraId="1D36C4A1" w14:textId="711A5FD8" w:rsidR="00736FC4" w:rsidRDefault="00CE5DF2" w:rsidP="00F454DF">
      <w:pPr>
        <w:spacing w:after="0" w:line="240" w:lineRule="auto"/>
        <w:ind w:left="1440"/>
        <w:rPr>
          <w:sz w:val="24"/>
          <w:szCs w:val="24"/>
        </w:rPr>
      </w:pPr>
      <w:hyperlink r:id="rId21" w:history="1">
        <w:r w:rsidR="00F454DF" w:rsidRPr="00245430">
          <w:rPr>
            <w:rStyle w:val="Hyperlink"/>
            <w:sz w:val="24"/>
            <w:szCs w:val="24"/>
          </w:rPr>
          <w:t>John.Jones@ohioattorneygeneral.gov</w:t>
        </w:r>
      </w:hyperlink>
    </w:p>
    <w:p w14:paraId="59221D78" w14:textId="05865B26" w:rsidR="00736FC4" w:rsidRDefault="00CE5DF2" w:rsidP="00F454DF">
      <w:pPr>
        <w:spacing w:after="0" w:line="240" w:lineRule="auto"/>
        <w:ind w:left="1440"/>
        <w:rPr>
          <w:sz w:val="24"/>
          <w:szCs w:val="24"/>
        </w:rPr>
      </w:pPr>
      <w:hyperlink r:id="rId22" w:history="1">
        <w:r w:rsidR="00F454DF" w:rsidRPr="00245430">
          <w:rPr>
            <w:rStyle w:val="Hyperlink"/>
            <w:sz w:val="24"/>
            <w:szCs w:val="24"/>
          </w:rPr>
          <w:t>mwarnock@bricker.com</w:t>
        </w:r>
      </w:hyperlink>
    </w:p>
    <w:p w14:paraId="0CD15B4A" w14:textId="7624F74B" w:rsidR="00736FC4" w:rsidRDefault="00CE5DF2" w:rsidP="00F454DF">
      <w:pPr>
        <w:spacing w:after="0" w:line="240" w:lineRule="auto"/>
        <w:ind w:left="1440"/>
        <w:rPr>
          <w:sz w:val="24"/>
          <w:szCs w:val="24"/>
        </w:rPr>
      </w:pPr>
      <w:hyperlink r:id="rId23" w:history="1">
        <w:r w:rsidR="00F454DF" w:rsidRPr="00245430">
          <w:rPr>
            <w:rStyle w:val="Hyperlink"/>
            <w:sz w:val="24"/>
            <w:szCs w:val="24"/>
          </w:rPr>
          <w:t>dborchers@bricker.com</w:t>
        </w:r>
      </w:hyperlink>
    </w:p>
    <w:p w14:paraId="56A7DF6D" w14:textId="2F18DEA4" w:rsidR="00736FC4" w:rsidRDefault="00CE5DF2" w:rsidP="00F454DF">
      <w:pPr>
        <w:spacing w:after="0" w:line="240" w:lineRule="auto"/>
        <w:ind w:left="1440"/>
        <w:rPr>
          <w:sz w:val="24"/>
          <w:szCs w:val="24"/>
        </w:rPr>
      </w:pPr>
      <w:hyperlink r:id="rId24" w:history="1">
        <w:r w:rsidR="00F454DF" w:rsidRPr="00245430">
          <w:rPr>
            <w:rStyle w:val="Hyperlink"/>
            <w:sz w:val="24"/>
            <w:szCs w:val="24"/>
          </w:rPr>
          <w:t>dparram@bricker.com</w:t>
        </w:r>
      </w:hyperlink>
    </w:p>
    <w:p w14:paraId="0133459F" w14:textId="35789120" w:rsidR="00736FC4" w:rsidRDefault="00CE5DF2" w:rsidP="00F454DF">
      <w:pPr>
        <w:spacing w:after="0" w:line="240" w:lineRule="auto"/>
        <w:ind w:left="1440"/>
        <w:rPr>
          <w:sz w:val="24"/>
          <w:szCs w:val="24"/>
        </w:rPr>
      </w:pPr>
      <w:hyperlink r:id="rId25" w:history="1">
        <w:r w:rsidR="00F454DF" w:rsidRPr="00245430">
          <w:rPr>
            <w:rStyle w:val="Hyperlink"/>
            <w:sz w:val="24"/>
            <w:szCs w:val="24"/>
          </w:rPr>
          <w:t>sechler@carpenterlipps.com</w:t>
        </w:r>
      </w:hyperlink>
    </w:p>
    <w:p w14:paraId="2702A341" w14:textId="0E0B8447" w:rsidR="00736FC4" w:rsidRDefault="00CE5DF2" w:rsidP="00F454DF">
      <w:pPr>
        <w:spacing w:after="0" w:line="240" w:lineRule="auto"/>
        <w:ind w:left="1440"/>
        <w:rPr>
          <w:sz w:val="24"/>
          <w:szCs w:val="24"/>
        </w:rPr>
      </w:pPr>
      <w:hyperlink r:id="rId26" w:history="1">
        <w:r w:rsidR="00F454DF" w:rsidRPr="00245430">
          <w:rPr>
            <w:rStyle w:val="Hyperlink"/>
            <w:sz w:val="24"/>
            <w:szCs w:val="24"/>
          </w:rPr>
          <w:t>rdove@keglerbrown.com</w:t>
        </w:r>
      </w:hyperlink>
    </w:p>
    <w:p w14:paraId="2B3DBAD3" w14:textId="0BEB6084" w:rsidR="00736FC4" w:rsidRDefault="00CE5DF2" w:rsidP="00F454DF">
      <w:pPr>
        <w:spacing w:after="0" w:line="240" w:lineRule="auto"/>
        <w:ind w:left="1440"/>
        <w:rPr>
          <w:sz w:val="24"/>
          <w:szCs w:val="24"/>
        </w:rPr>
      </w:pPr>
      <w:hyperlink r:id="rId27" w:history="1">
        <w:r w:rsidR="00F454DF" w:rsidRPr="00245430">
          <w:rPr>
            <w:rStyle w:val="Hyperlink"/>
            <w:sz w:val="24"/>
            <w:szCs w:val="24"/>
          </w:rPr>
          <w:t>joliker@igsenergy.com</w:t>
        </w:r>
      </w:hyperlink>
    </w:p>
    <w:p w14:paraId="7A34F732" w14:textId="1BBCBADC" w:rsidR="00736FC4" w:rsidRDefault="00CE5DF2" w:rsidP="00F454DF">
      <w:pPr>
        <w:spacing w:after="0" w:line="240" w:lineRule="auto"/>
        <w:ind w:left="1440"/>
        <w:rPr>
          <w:sz w:val="24"/>
          <w:szCs w:val="24"/>
        </w:rPr>
      </w:pPr>
      <w:hyperlink r:id="rId28" w:history="1">
        <w:r w:rsidR="00F454DF" w:rsidRPr="00245430">
          <w:rPr>
            <w:rStyle w:val="Hyperlink"/>
            <w:sz w:val="24"/>
            <w:szCs w:val="24"/>
          </w:rPr>
          <w:t>callwein@keglerbrown.com</w:t>
        </w:r>
      </w:hyperlink>
    </w:p>
    <w:p w14:paraId="5CFC26BF" w14:textId="24541EA7" w:rsidR="00736FC4" w:rsidRDefault="00CE5DF2" w:rsidP="00F454DF">
      <w:pPr>
        <w:spacing w:after="0" w:line="240" w:lineRule="auto"/>
        <w:ind w:left="1440"/>
        <w:rPr>
          <w:sz w:val="24"/>
          <w:szCs w:val="24"/>
        </w:rPr>
      </w:pPr>
      <w:hyperlink r:id="rId29" w:history="1">
        <w:r w:rsidR="00F454DF" w:rsidRPr="00245430">
          <w:rPr>
            <w:rStyle w:val="Hyperlink"/>
            <w:sz w:val="24"/>
            <w:szCs w:val="24"/>
          </w:rPr>
          <w:t>Bojko@carpenterlipps.com</w:t>
        </w:r>
      </w:hyperlink>
    </w:p>
    <w:p w14:paraId="50674D12" w14:textId="57DBEE5C" w:rsidR="00736FC4" w:rsidRDefault="00CE5DF2" w:rsidP="00F454DF">
      <w:pPr>
        <w:spacing w:after="0" w:line="240" w:lineRule="auto"/>
        <w:ind w:left="1440"/>
        <w:rPr>
          <w:sz w:val="24"/>
          <w:szCs w:val="24"/>
        </w:rPr>
      </w:pPr>
      <w:hyperlink r:id="rId30" w:history="1">
        <w:r w:rsidR="00F454DF" w:rsidRPr="00245430">
          <w:rPr>
            <w:rStyle w:val="Hyperlink"/>
            <w:sz w:val="24"/>
            <w:szCs w:val="24"/>
          </w:rPr>
          <w:t>Wygonski@carpenterlipps.com</w:t>
        </w:r>
      </w:hyperlink>
    </w:p>
    <w:p w14:paraId="260483A8" w14:textId="38230D79" w:rsidR="00736FC4" w:rsidRDefault="00CE5DF2" w:rsidP="00F454DF">
      <w:pPr>
        <w:spacing w:after="0" w:line="240" w:lineRule="auto"/>
        <w:ind w:left="1440"/>
        <w:rPr>
          <w:sz w:val="24"/>
          <w:szCs w:val="24"/>
        </w:rPr>
      </w:pPr>
      <w:hyperlink r:id="rId31" w:history="1">
        <w:r w:rsidR="00F454DF" w:rsidRPr="00245430">
          <w:rPr>
            <w:rStyle w:val="Hyperlink"/>
            <w:sz w:val="24"/>
            <w:szCs w:val="24"/>
          </w:rPr>
          <w:t>paul@carpenterlipps.com</w:t>
        </w:r>
      </w:hyperlink>
    </w:p>
    <w:p w14:paraId="163B8EE3" w14:textId="7B4C8911" w:rsidR="00736FC4" w:rsidRDefault="00CE5DF2" w:rsidP="00F454DF">
      <w:pPr>
        <w:spacing w:after="0" w:line="240" w:lineRule="auto"/>
        <w:ind w:left="1440"/>
        <w:rPr>
          <w:sz w:val="24"/>
          <w:szCs w:val="24"/>
        </w:rPr>
      </w:pPr>
      <w:hyperlink r:id="rId32" w:history="1">
        <w:r w:rsidR="00F454DF" w:rsidRPr="00245430">
          <w:rPr>
            <w:rStyle w:val="Hyperlink"/>
            <w:sz w:val="24"/>
            <w:szCs w:val="24"/>
          </w:rPr>
          <w:t>Lauren.augostini@puco.ohio.gov</w:t>
        </w:r>
      </w:hyperlink>
    </w:p>
    <w:p w14:paraId="05E55F8D" w14:textId="4AD44068" w:rsidR="00736FC4" w:rsidRDefault="00CE5DF2" w:rsidP="00F454DF">
      <w:pPr>
        <w:spacing w:after="0" w:line="240" w:lineRule="auto"/>
        <w:ind w:left="1440"/>
        <w:rPr>
          <w:sz w:val="24"/>
          <w:szCs w:val="24"/>
        </w:rPr>
      </w:pPr>
      <w:hyperlink r:id="rId33" w:history="1">
        <w:r w:rsidR="00F454DF" w:rsidRPr="00245430">
          <w:rPr>
            <w:rStyle w:val="Hyperlink"/>
            <w:sz w:val="24"/>
            <w:szCs w:val="24"/>
          </w:rPr>
          <w:t>mkurtz@BKLlawfirm.com</w:t>
        </w:r>
      </w:hyperlink>
    </w:p>
    <w:p w14:paraId="4B8F69D5" w14:textId="077C9CBE" w:rsidR="00736FC4" w:rsidRDefault="00CE5DF2" w:rsidP="00F454DF">
      <w:pPr>
        <w:spacing w:after="0" w:line="240" w:lineRule="auto"/>
        <w:ind w:left="1440"/>
        <w:rPr>
          <w:sz w:val="24"/>
          <w:szCs w:val="24"/>
        </w:rPr>
      </w:pPr>
      <w:hyperlink r:id="rId34" w:history="1">
        <w:r w:rsidR="00F454DF" w:rsidRPr="00245430">
          <w:rPr>
            <w:rStyle w:val="Hyperlink"/>
            <w:sz w:val="24"/>
            <w:szCs w:val="24"/>
          </w:rPr>
          <w:t>kboehm@BKLlawfirm.com</w:t>
        </w:r>
      </w:hyperlink>
    </w:p>
    <w:p w14:paraId="57DBE067" w14:textId="51635C7E" w:rsidR="00736FC4" w:rsidRDefault="00CE5DF2" w:rsidP="00F454DF">
      <w:pPr>
        <w:spacing w:after="0" w:line="240" w:lineRule="auto"/>
        <w:ind w:left="1440"/>
        <w:rPr>
          <w:sz w:val="24"/>
          <w:szCs w:val="24"/>
        </w:rPr>
      </w:pPr>
      <w:hyperlink r:id="rId35" w:history="1">
        <w:r w:rsidR="00F454DF" w:rsidRPr="00245430">
          <w:rPr>
            <w:rStyle w:val="Hyperlink"/>
            <w:sz w:val="24"/>
            <w:szCs w:val="24"/>
          </w:rPr>
          <w:t>jkylercohn@BKLlawfirm.com</w:t>
        </w:r>
      </w:hyperlink>
    </w:p>
    <w:p w14:paraId="60854F06" w14:textId="77777777" w:rsidR="00F454DF" w:rsidRDefault="00F454DF" w:rsidP="00F454DF">
      <w:pPr>
        <w:spacing w:after="0" w:line="240" w:lineRule="auto"/>
        <w:ind w:left="1440"/>
        <w:rPr>
          <w:sz w:val="24"/>
          <w:szCs w:val="24"/>
        </w:rPr>
      </w:pPr>
    </w:p>
    <w:p w14:paraId="293CA8F6" w14:textId="77777777" w:rsidR="00736FC4" w:rsidRPr="00736FC4" w:rsidRDefault="00736FC4" w:rsidP="008929B8">
      <w:pPr>
        <w:spacing w:after="0" w:line="240" w:lineRule="auto"/>
        <w:ind w:left="5040"/>
        <w:rPr>
          <w:sz w:val="24"/>
          <w:szCs w:val="24"/>
        </w:rPr>
      </w:pPr>
    </w:p>
    <w:p w14:paraId="172A9B2B" w14:textId="77777777" w:rsidR="00736FC4" w:rsidRPr="00736FC4" w:rsidRDefault="00736FC4" w:rsidP="008929B8">
      <w:pPr>
        <w:spacing w:after="0" w:line="240" w:lineRule="auto"/>
        <w:ind w:left="5040"/>
        <w:rPr>
          <w:sz w:val="24"/>
          <w:szCs w:val="24"/>
        </w:rPr>
      </w:pPr>
    </w:p>
    <w:p w14:paraId="588F8421" w14:textId="77777777" w:rsidR="00736FC4" w:rsidRPr="00736FC4" w:rsidRDefault="00736FC4" w:rsidP="008929B8">
      <w:pPr>
        <w:spacing w:after="0" w:line="240" w:lineRule="auto"/>
        <w:ind w:left="5040"/>
        <w:rPr>
          <w:sz w:val="24"/>
          <w:szCs w:val="24"/>
        </w:rPr>
      </w:pPr>
    </w:p>
    <w:p w14:paraId="14CCD915" w14:textId="77777777" w:rsidR="00736FC4" w:rsidRPr="008929B8" w:rsidRDefault="00736FC4" w:rsidP="008929B8">
      <w:pPr>
        <w:spacing w:after="0" w:line="240" w:lineRule="auto"/>
        <w:ind w:left="5040"/>
        <w:rPr>
          <w:sz w:val="24"/>
          <w:szCs w:val="24"/>
          <w:u w:val="single"/>
        </w:rPr>
      </w:pPr>
      <w:r w:rsidRPr="008929B8">
        <w:rPr>
          <w:sz w:val="24"/>
          <w:szCs w:val="24"/>
          <w:u w:val="single"/>
        </w:rPr>
        <w:t>/s/ Michael K. Lavanga</w:t>
      </w:r>
      <w:r w:rsidRPr="008929B8">
        <w:rPr>
          <w:sz w:val="24"/>
          <w:szCs w:val="24"/>
          <w:u w:val="single"/>
        </w:rPr>
        <w:tab/>
      </w:r>
    </w:p>
    <w:p w14:paraId="5492259C" w14:textId="11B0AE1C" w:rsidR="00875DF3" w:rsidRPr="00E12B98" w:rsidRDefault="00736FC4" w:rsidP="008929B8">
      <w:pPr>
        <w:spacing w:after="0" w:line="240" w:lineRule="auto"/>
        <w:ind w:left="5040"/>
        <w:rPr>
          <w:sz w:val="24"/>
          <w:szCs w:val="24"/>
        </w:rPr>
      </w:pPr>
      <w:r w:rsidRPr="00736FC4">
        <w:rPr>
          <w:sz w:val="24"/>
          <w:szCs w:val="24"/>
        </w:rPr>
        <w:t xml:space="preserve"> Michael K. Lavanga, Esq.</w:t>
      </w:r>
    </w:p>
    <w:sectPr w:rsidR="00875DF3" w:rsidRPr="00E12B98" w:rsidSect="00736FC4">
      <w:footerReference w:type="default" r:id="rId3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5569D" w14:textId="77777777" w:rsidR="003248B7" w:rsidRDefault="003248B7" w:rsidP="00B20D9A">
      <w:pPr>
        <w:spacing w:after="0" w:line="240" w:lineRule="auto"/>
      </w:pPr>
      <w:r>
        <w:separator/>
      </w:r>
    </w:p>
  </w:endnote>
  <w:endnote w:type="continuationSeparator" w:id="0">
    <w:p w14:paraId="7843DFC0" w14:textId="77777777" w:rsidR="003248B7" w:rsidRDefault="003248B7" w:rsidP="00B20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4D148" w14:textId="3A17BD58" w:rsidR="001014B5" w:rsidRDefault="001014B5" w:rsidP="008929B8">
    <w:pPr>
      <w:pStyle w:val="Footer"/>
      <w:spacing w:before="240"/>
      <w:jc w:val="center"/>
    </w:pPr>
  </w:p>
  <w:p w14:paraId="1B4CEFA6" w14:textId="77777777" w:rsidR="001014B5" w:rsidRDefault="001014B5">
    <w:pPr>
      <w:pStyle w:val="Footer"/>
    </w:pPr>
  </w:p>
  <w:p w14:paraId="0AF32C07" w14:textId="77777777" w:rsidR="00B67524" w:rsidRDefault="00B6752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3835066"/>
      <w:docPartObj>
        <w:docPartGallery w:val="Page Numbers (Bottom of Page)"/>
        <w:docPartUnique/>
      </w:docPartObj>
    </w:sdtPr>
    <w:sdtEndPr>
      <w:rPr>
        <w:noProof/>
      </w:rPr>
    </w:sdtEndPr>
    <w:sdtContent>
      <w:p w14:paraId="1A4896E0" w14:textId="77777777" w:rsidR="00AD41F9" w:rsidRDefault="00AD41F9" w:rsidP="008929B8">
        <w:pPr>
          <w:pStyle w:val="Footer"/>
          <w:spacing w:before="240"/>
          <w:jc w:val="center"/>
        </w:pPr>
        <w:r>
          <w:fldChar w:fldCharType="begin"/>
        </w:r>
        <w:r>
          <w:instrText xml:space="preserve"> PAGE   \* MERGEFORMAT </w:instrText>
        </w:r>
        <w:r>
          <w:fldChar w:fldCharType="separate"/>
        </w:r>
        <w:r>
          <w:rPr>
            <w:noProof/>
          </w:rPr>
          <w:t>2</w:t>
        </w:r>
        <w:r>
          <w:rPr>
            <w:noProof/>
          </w:rPr>
          <w:fldChar w:fldCharType="end"/>
        </w:r>
      </w:p>
    </w:sdtContent>
  </w:sdt>
  <w:p w14:paraId="6DD0CA1E" w14:textId="77777777" w:rsidR="00AD41F9" w:rsidRDefault="00AD41F9">
    <w:pPr>
      <w:pStyle w:val="Footer"/>
    </w:pPr>
  </w:p>
  <w:p w14:paraId="7DE6CA52" w14:textId="77777777" w:rsidR="00AD41F9" w:rsidRDefault="00AD41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AE229" w14:textId="77777777" w:rsidR="003248B7" w:rsidRDefault="003248B7" w:rsidP="00B20D9A">
      <w:pPr>
        <w:spacing w:after="0" w:line="240" w:lineRule="auto"/>
      </w:pPr>
      <w:r>
        <w:separator/>
      </w:r>
    </w:p>
  </w:footnote>
  <w:footnote w:type="continuationSeparator" w:id="0">
    <w:p w14:paraId="79898D9E" w14:textId="77777777" w:rsidR="003248B7" w:rsidRDefault="003248B7" w:rsidP="00B20D9A">
      <w:pPr>
        <w:spacing w:after="0" w:line="240" w:lineRule="auto"/>
      </w:pPr>
      <w:r>
        <w:continuationSeparator/>
      </w:r>
    </w:p>
  </w:footnote>
  <w:footnote w:id="1">
    <w:p w14:paraId="421CB604" w14:textId="1D0E39C1" w:rsidR="005364BD" w:rsidRDefault="005364BD">
      <w:pPr>
        <w:pStyle w:val="FootnoteText"/>
      </w:pPr>
      <w:r>
        <w:rPr>
          <w:rStyle w:val="FootnoteReference"/>
        </w:rPr>
        <w:footnoteRef/>
      </w:r>
      <w:r>
        <w:t xml:space="preserve"> While certain issues in Case No. 14-1297-EL-SSO were appealed and the Rider DMR provisions were overturned on appeal, none of the issues related to Rider ELR were appealed.</w:t>
      </w:r>
    </w:p>
  </w:footnote>
  <w:footnote w:id="2">
    <w:p w14:paraId="19AB0EDF" w14:textId="156936DE" w:rsidR="007C7F06" w:rsidRDefault="007C7F06">
      <w:pPr>
        <w:pStyle w:val="FootnoteText"/>
      </w:pPr>
      <w:r>
        <w:rPr>
          <w:rStyle w:val="FootnoteReference"/>
        </w:rPr>
        <w:footnoteRef/>
      </w:r>
      <w:r>
        <w:t xml:space="preserve"> Case No. 16-743-EL-POR, Fifth Entry on Rehearing at</w:t>
      </w:r>
      <w:r w:rsidR="00A00459">
        <w:t xml:space="preserve"> 3-4 (February 21, 2021)</w:t>
      </w:r>
      <w:r>
        <w:t>.</w:t>
      </w:r>
    </w:p>
  </w:footnote>
  <w:footnote w:id="3">
    <w:p w14:paraId="48B1F69B" w14:textId="174CD5ED" w:rsidR="00AB6DBF" w:rsidRDefault="00AB6DBF">
      <w:pPr>
        <w:pStyle w:val="FootnoteText"/>
      </w:pPr>
      <w:r>
        <w:rPr>
          <w:rStyle w:val="FootnoteReference"/>
        </w:rPr>
        <w:footnoteRef/>
      </w:r>
      <w:r>
        <w:t xml:space="preserve"> </w:t>
      </w:r>
      <w:r w:rsidR="00A00459">
        <w:t xml:space="preserve">R.C. § </w:t>
      </w:r>
      <w:r>
        <w:t>4928.02(N).</w:t>
      </w:r>
    </w:p>
  </w:footnote>
  <w:footnote w:id="4">
    <w:p w14:paraId="59F2A989" w14:textId="79B79666" w:rsidR="00F107A7" w:rsidRDefault="00F107A7">
      <w:pPr>
        <w:pStyle w:val="FootnoteText"/>
      </w:pPr>
      <w:r>
        <w:rPr>
          <w:rStyle w:val="FootnoteReference"/>
        </w:rPr>
        <w:footnoteRef/>
      </w:r>
      <w:r>
        <w:t xml:space="preserve"> Rider ELR, Sheet 101 at </w:t>
      </w:r>
      <w:r w:rsidR="00A00459">
        <w:t>4</w:t>
      </w:r>
      <w:r>
        <w:t>.</w:t>
      </w:r>
    </w:p>
  </w:footnote>
  <w:footnote w:id="5">
    <w:p w14:paraId="49843EF8" w14:textId="1311C054" w:rsidR="00F107A7" w:rsidRDefault="00F107A7">
      <w:pPr>
        <w:pStyle w:val="FootnoteText"/>
      </w:pPr>
      <w:r>
        <w:rPr>
          <w:rStyle w:val="FootnoteReference"/>
        </w:rPr>
        <w:footnoteRef/>
      </w:r>
      <w:r>
        <w:t xml:space="preserve"> </w:t>
      </w:r>
      <w:r w:rsidR="00A00459" w:rsidRPr="00F107A7">
        <w:rPr>
          <w:i/>
          <w:iCs/>
        </w:rPr>
        <w:t>Id</w:t>
      </w:r>
      <w:r w:rsidR="00A00459">
        <w:t>.</w:t>
      </w:r>
    </w:p>
  </w:footnote>
  <w:footnote w:id="6">
    <w:p w14:paraId="15EE8E5D" w14:textId="178A5E13" w:rsidR="00F107A7" w:rsidRDefault="00F107A7">
      <w:pPr>
        <w:pStyle w:val="FootnoteText"/>
      </w:pPr>
      <w:r>
        <w:rPr>
          <w:rStyle w:val="FootnoteReference"/>
        </w:rPr>
        <w:footnoteRef/>
      </w:r>
      <w:r>
        <w:t xml:space="preserve"> </w:t>
      </w:r>
      <w:r w:rsidRPr="00F107A7">
        <w:rPr>
          <w:i/>
          <w:iCs/>
        </w:rPr>
        <w:t>Id</w:t>
      </w:r>
      <w:r>
        <w:t>.</w:t>
      </w:r>
    </w:p>
  </w:footnote>
  <w:footnote w:id="7">
    <w:p w14:paraId="33DE9131" w14:textId="23BC3EF4" w:rsidR="00173BA4" w:rsidRDefault="00173BA4">
      <w:pPr>
        <w:pStyle w:val="FootnoteText"/>
      </w:pPr>
      <w:r>
        <w:rPr>
          <w:rStyle w:val="FootnoteReference"/>
        </w:rPr>
        <w:footnoteRef/>
      </w:r>
      <w:r>
        <w:t xml:space="preserve"> </w:t>
      </w:r>
      <w:r w:rsidRPr="00173BA4">
        <w:rPr>
          <w:i/>
          <w:iCs/>
        </w:rPr>
        <w:t>Id</w:t>
      </w:r>
      <w:r>
        <w:t>.</w:t>
      </w:r>
    </w:p>
  </w:footnote>
  <w:footnote w:id="8">
    <w:p w14:paraId="76298A01" w14:textId="716FDB09" w:rsidR="00173BA4" w:rsidRDefault="00173BA4">
      <w:pPr>
        <w:pStyle w:val="FootnoteText"/>
      </w:pPr>
      <w:r>
        <w:rPr>
          <w:rStyle w:val="FootnoteReference"/>
        </w:rPr>
        <w:footnoteRef/>
      </w:r>
      <w:r>
        <w:t xml:space="preserve"> </w:t>
      </w:r>
      <w:r w:rsidRPr="00173BA4">
        <w:rPr>
          <w:i/>
          <w:iCs/>
        </w:rPr>
        <w:t>Id</w:t>
      </w:r>
      <w:r>
        <w:t>.</w:t>
      </w:r>
    </w:p>
  </w:footnote>
  <w:footnote w:id="9">
    <w:p w14:paraId="52DF2FC4" w14:textId="18E61639" w:rsidR="00494090" w:rsidRDefault="00494090">
      <w:pPr>
        <w:pStyle w:val="FootnoteText"/>
      </w:pPr>
      <w:r>
        <w:rPr>
          <w:rStyle w:val="FootnoteReference"/>
        </w:rPr>
        <w:footnoteRef/>
      </w:r>
      <w:r>
        <w:t xml:space="preserve"> </w:t>
      </w:r>
      <w:r w:rsidRPr="00494090">
        <w:rPr>
          <w:i/>
          <w:iCs/>
        </w:rPr>
        <w:t>Id</w:t>
      </w:r>
      <w:r>
        <w:t>.</w:t>
      </w:r>
    </w:p>
  </w:footnote>
  <w:footnote w:id="10">
    <w:p w14:paraId="602B6902" w14:textId="204F4B50" w:rsidR="00494090" w:rsidRDefault="00494090">
      <w:pPr>
        <w:pStyle w:val="FootnoteText"/>
      </w:pPr>
      <w:r>
        <w:rPr>
          <w:rStyle w:val="FootnoteReference"/>
        </w:rPr>
        <w:footnoteRef/>
      </w:r>
      <w:r>
        <w:t xml:space="preserve"> </w:t>
      </w:r>
      <w:r w:rsidRPr="00494090">
        <w:rPr>
          <w:i/>
          <w:iCs/>
        </w:rPr>
        <w:t>Id</w:t>
      </w:r>
      <w:r>
        <w:t>.</w:t>
      </w:r>
    </w:p>
  </w:footnote>
  <w:footnote w:id="11">
    <w:p w14:paraId="5DE7562C" w14:textId="7CBBE815" w:rsidR="00494090" w:rsidRDefault="00494090">
      <w:pPr>
        <w:pStyle w:val="FootnoteText"/>
      </w:pPr>
      <w:r>
        <w:rPr>
          <w:rStyle w:val="FootnoteReference"/>
        </w:rPr>
        <w:footnoteRef/>
      </w:r>
      <w:r>
        <w:t xml:space="preserve"> </w:t>
      </w:r>
      <w:r w:rsidRPr="00494090">
        <w:rPr>
          <w:i/>
          <w:iCs/>
        </w:rPr>
        <w:t>Id</w:t>
      </w:r>
      <w:r>
        <w:t>.</w:t>
      </w:r>
    </w:p>
  </w:footnote>
  <w:footnote w:id="12">
    <w:p w14:paraId="29742D0B" w14:textId="72EA8177" w:rsidR="007C4124" w:rsidRDefault="007C4124">
      <w:pPr>
        <w:pStyle w:val="FootnoteText"/>
      </w:pPr>
      <w:r>
        <w:rPr>
          <w:rStyle w:val="FootnoteReference"/>
        </w:rPr>
        <w:footnoteRef/>
      </w:r>
      <w:r>
        <w:t xml:space="preserve"> </w:t>
      </w:r>
      <w:r w:rsidRPr="007C4124">
        <w:rPr>
          <w:i/>
          <w:iCs/>
        </w:rPr>
        <w:t>Id</w:t>
      </w:r>
      <w:r>
        <w:t xml:space="preserve">. at 2.  Curtailable Load is calculated for each customer by subtracting the customer’s contract Firm Load from its monthly highest 30 minute integrated kW load occurring during the non-holiday weekday hours of 11:00 AM to 5:00 PM Eastern Standard Time (equivalent to noon to 6:00 PM Eastern Daylight Time).  </w:t>
      </w:r>
      <w:r w:rsidRPr="007C4124">
        <w:rPr>
          <w:i/>
          <w:iCs/>
        </w:rPr>
        <w:t>Id</w:t>
      </w:r>
      <w:r>
        <w:t>.</w:t>
      </w:r>
    </w:p>
  </w:footnote>
  <w:footnote w:id="13">
    <w:p w14:paraId="7FD47D55" w14:textId="4BF15272" w:rsidR="001B0466" w:rsidRDefault="001B0466">
      <w:pPr>
        <w:pStyle w:val="FootnoteText"/>
      </w:pPr>
      <w:r>
        <w:rPr>
          <w:rStyle w:val="FootnoteReference"/>
        </w:rPr>
        <w:footnoteRef/>
      </w:r>
      <w:r>
        <w:t xml:space="preserve"> Rider EDR</w:t>
      </w:r>
      <w:r w:rsidR="00A00459">
        <w:t>, Sheet 116</w:t>
      </w:r>
      <w:r>
        <w:t xml:space="preserve"> at 3.</w:t>
      </w:r>
    </w:p>
  </w:footnote>
  <w:footnote w:id="14">
    <w:p w14:paraId="0F662686" w14:textId="4ECB58CA" w:rsidR="008D7945" w:rsidRDefault="008D7945">
      <w:pPr>
        <w:pStyle w:val="FootnoteText"/>
      </w:pPr>
      <w:r>
        <w:rPr>
          <w:rStyle w:val="FootnoteReference"/>
        </w:rPr>
        <w:footnoteRef/>
      </w:r>
      <w:r>
        <w:t xml:space="preserve"> Rider DSE</w:t>
      </w:r>
      <w:r w:rsidR="00A00459">
        <w:t>, Sheet 115</w:t>
      </w:r>
      <w:r>
        <w:t xml:space="preserve"> at 1.</w:t>
      </w:r>
    </w:p>
  </w:footnote>
  <w:footnote w:id="15">
    <w:p w14:paraId="00EDC126" w14:textId="48CAFB60" w:rsidR="00CC292A" w:rsidRDefault="00CC292A">
      <w:pPr>
        <w:pStyle w:val="FootnoteText"/>
      </w:pPr>
      <w:r>
        <w:rPr>
          <w:rStyle w:val="FootnoteReference"/>
        </w:rPr>
        <w:footnoteRef/>
      </w:r>
      <w:r>
        <w:t xml:space="preserve"> </w:t>
      </w:r>
      <w:r w:rsidR="00A00459" w:rsidRPr="008929B8">
        <w:rPr>
          <w:i/>
          <w:iCs/>
        </w:rPr>
        <w:t>See</w:t>
      </w:r>
      <w:r w:rsidR="00A00459">
        <w:t xml:space="preserve"> </w:t>
      </w:r>
      <w:r>
        <w:t xml:space="preserve">Case No. 08-935-EL-SSO, </w:t>
      </w:r>
      <w:r w:rsidR="00A00459" w:rsidRPr="008929B8">
        <w:rPr>
          <w:i/>
          <w:iCs/>
        </w:rPr>
        <w:t xml:space="preserve">In the Matter of the Application of Ohio Edison Company, The Cleveland Electric Illuminating Company, and the Toledo Edison Company for Authority to Establish a Standard Service Offer Pursuant </w:t>
      </w:r>
      <w:r w:rsidR="00A00459">
        <w:rPr>
          <w:i/>
          <w:iCs/>
        </w:rPr>
        <w:t xml:space="preserve">to </w:t>
      </w:r>
      <w:r w:rsidR="00A00459" w:rsidRPr="008929B8">
        <w:rPr>
          <w:i/>
          <w:iCs/>
        </w:rPr>
        <w:t>Section 4928.143, Revised Code</w:t>
      </w:r>
      <w:r w:rsidR="00A00459">
        <w:rPr>
          <w:i/>
          <w:iCs/>
        </w:rPr>
        <w:t>,</w:t>
      </w:r>
      <w:r w:rsidR="00A00459" w:rsidRPr="008929B8">
        <w:rPr>
          <w:i/>
          <w:iCs/>
        </w:rPr>
        <w:t xml:space="preserve"> in the Form of an Electric Security Plan</w:t>
      </w:r>
      <w:r w:rsidR="00A00459">
        <w:t xml:space="preserve">, </w:t>
      </w:r>
      <w:r>
        <w:t xml:space="preserve">Second Opinion and Order </w:t>
      </w:r>
      <w:r w:rsidR="00D57C5A">
        <w:t xml:space="preserve">(March 25, 2009) </w:t>
      </w:r>
      <w:r>
        <w:t>(approving stipulation and recommendation that recovered $8.05 of the credit through Rider EDR and $1.95 of the credit through Rider DSE).</w:t>
      </w:r>
    </w:p>
  </w:footnote>
  <w:footnote w:id="16">
    <w:p w14:paraId="01B894F2" w14:textId="765E40C6" w:rsidR="00FC4151" w:rsidRDefault="00FC4151">
      <w:pPr>
        <w:pStyle w:val="FootnoteText"/>
      </w:pPr>
      <w:r>
        <w:rPr>
          <w:rStyle w:val="FootnoteReference"/>
        </w:rPr>
        <w:footnoteRef/>
      </w:r>
      <w:r>
        <w:t xml:space="preserve"> </w:t>
      </w:r>
      <w:r w:rsidR="003E1D51">
        <w:t xml:space="preserve">Case No. 14-1297-EL-SSO, </w:t>
      </w:r>
      <w:r w:rsidR="003E1D51" w:rsidRPr="00B20D9A">
        <w:rPr>
          <w:i/>
          <w:iCs/>
        </w:rPr>
        <w:t xml:space="preserve">In the Matter of the Application of Ohio Edison Company, The Cleveland Electric Illuminating Company, and the Toledo Edison Company for </w:t>
      </w:r>
      <w:r w:rsidR="003E1D51">
        <w:rPr>
          <w:i/>
          <w:iCs/>
        </w:rPr>
        <w:t xml:space="preserve">Authority to Provide for a Standard Service Offer Pursuant to R.C. § 4928.143 in the Form of an Electric Security Plan, </w:t>
      </w:r>
      <w:r w:rsidR="003E1D51">
        <w:t>Rebuttal Testimony of Eileen M. Mikkelsen, Company Ex. 146</w:t>
      </w:r>
      <w:r w:rsidR="00AF0CDE">
        <w:t xml:space="preserve"> (“Mikkelsen Rebuttal Testimony”)</w:t>
      </w:r>
      <w:r w:rsidR="003E1D51">
        <w:t xml:space="preserve"> at 18.</w:t>
      </w:r>
    </w:p>
  </w:footnote>
  <w:footnote w:id="17">
    <w:p w14:paraId="75744844" w14:textId="43F8F7C2" w:rsidR="002515E7" w:rsidRDefault="002515E7">
      <w:pPr>
        <w:pStyle w:val="FootnoteText"/>
      </w:pPr>
      <w:r>
        <w:rPr>
          <w:rStyle w:val="FootnoteReference"/>
        </w:rPr>
        <w:footnoteRef/>
      </w:r>
      <w:r>
        <w:t xml:space="preserve"> </w:t>
      </w:r>
      <w:r w:rsidR="003E1D51">
        <w:t>Case No. 14-1297-EL-SSO, Direct Testimony of Steven E. Strah, Company Ex. 13 at 9-10.</w:t>
      </w:r>
    </w:p>
  </w:footnote>
  <w:footnote w:id="18">
    <w:p w14:paraId="52EF2056" w14:textId="2B0C1CBA" w:rsidR="005522F4" w:rsidRDefault="005522F4">
      <w:pPr>
        <w:pStyle w:val="FootnoteText"/>
      </w:pPr>
      <w:r>
        <w:rPr>
          <w:rStyle w:val="FootnoteReference"/>
        </w:rPr>
        <w:footnoteRef/>
      </w:r>
      <w:r>
        <w:t xml:space="preserve"> </w:t>
      </w:r>
      <w:r w:rsidR="00AF0CDE">
        <w:t>Case No. 14-1297-EL-SSO, Tr. Vol. XXX at 6133-34, 6170.</w:t>
      </w:r>
    </w:p>
  </w:footnote>
  <w:footnote w:id="19">
    <w:p w14:paraId="7466E344" w14:textId="0AB6C69E" w:rsidR="00704988" w:rsidRDefault="00704988">
      <w:pPr>
        <w:pStyle w:val="FootnoteText"/>
      </w:pPr>
      <w:r>
        <w:rPr>
          <w:rStyle w:val="FootnoteReference"/>
        </w:rPr>
        <w:footnoteRef/>
      </w:r>
      <w:r>
        <w:t xml:space="preserve"> </w:t>
      </w:r>
      <w:r w:rsidR="00AF0CDE">
        <w:t xml:space="preserve">Case No. 14-1297-EL-SSO, Mikkelsen Rebuttal Testimony at 18. </w:t>
      </w:r>
    </w:p>
  </w:footnote>
  <w:footnote w:id="20">
    <w:p w14:paraId="7B440E4E" w14:textId="20EE53F9" w:rsidR="002B1804" w:rsidRDefault="002B1804">
      <w:pPr>
        <w:pStyle w:val="FootnoteText"/>
      </w:pPr>
      <w:r>
        <w:rPr>
          <w:rStyle w:val="FootnoteReference"/>
        </w:rPr>
        <w:footnoteRef/>
      </w:r>
      <w:r>
        <w:t xml:space="preserve"> </w:t>
      </w:r>
      <w:r w:rsidR="00AF0CDE">
        <w:t>Case No. 14-1297-EL-SSO, Direct Testimony of Dennis W. Goins, Nucor Ex. 1 at 6, 11; Supplemental Testimony of Stephen J. Baron, OEG Ex. 1 at 9.</w:t>
      </w:r>
    </w:p>
  </w:footnote>
  <w:footnote w:id="21">
    <w:p w14:paraId="22D6A9D2" w14:textId="310757B8" w:rsidR="00336A15" w:rsidRDefault="00336A15" w:rsidP="00336A15">
      <w:pPr>
        <w:pStyle w:val="FootnoteText"/>
      </w:pPr>
      <w:r>
        <w:rPr>
          <w:rStyle w:val="FootnoteReference"/>
        </w:rPr>
        <w:footnoteRef/>
      </w:r>
      <w:r>
        <w:t xml:space="preserve"> See, </w:t>
      </w:r>
      <w:r w:rsidRPr="00242DF8">
        <w:rPr>
          <w:i/>
          <w:iCs/>
        </w:rPr>
        <w:t>e.g.</w:t>
      </w:r>
      <w:r>
        <w:t>,</w:t>
      </w:r>
      <w:r w:rsidR="00D73D06">
        <w:t xml:space="preserve"> Case No. 12-1230-EL-SSO, </w:t>
      </w:r>
      <w:r w:rsidR="00D73D06" w:rsidRPr="00B20D9A">
        <w:rPr>
          <w:i/>
          <w:iCs/>
        </w:rPr>
        <w:t xml:space="preserve">In the Matter of the Application of Ohio Edison Company, The Cleveland Electric Illuminating Company, and the Toledo Edison Company for </w:t>
      </w:r>
      <w:r w:rsidR="00D73D06">
        <w:rPr>
          <w:i/>
          <w:iCs/>
        </w:rPr>
        <w:t>Authority to Provide for a Standard Service Offer Pursuant to Section 4928.143, Revised Code, in the Form of an Electric Security Plan</w:t>
      </w:r>
      <w:r w:rsidR="00D73D06">
        <w:t>, Second Entry on Rehearing at 14 (January 30, 2013).</w:t>
      </w:r>
      <w:r>
        <w:t xml:space="preserve"> </w:t>
      </w:r>
    </w:p>
  </w:footnote>
  <w:footnote w:id="22">
    <w:p w14:paraId="314EA110" w14:textId="595DFCEA" w:rsidR="00B20D9A" w:rsidRDefault="00B20D9A">
      <w:pPr>
        <w:pStyle w:val="FootnoteText"/>
      </w:pPr>
      <w:r>
        <w:rPr>
          <w:rStyle w:val="FootnoteReference"/>
        </w:rPr>
        <w:footnoteRef/>
      </w:r>
      <w:r>
        <w:t xml:space="preserve"> Case No. 08-936-EL-SSO, </w:t>
      </w:r>
      <w:r w:rsidRPr="00B20D9A">
        <w:rPr>
          <w:i/>
          <w:iCs/>
        </w:rPr>
        <w:t>In the Matter of the Application of Ohio Edison Company, The Cleveland Electric Illuminating Company, and the Toledo Edison Company for Approval of a Market Rate Offer to Conduct a Competitive Bidding Process for Standard Service Offer Electric Generation Supply, Accounting Modifications Associated with Reconciliation Mechanism, and Tariffs for Generation Service</w:t>
      </w:r>
      <w:r>
        <w:t>, Opinion and Order at 24 (November 25, 2008).</w:t>
      </w:r>
    </w:p>
  </w:footnote>
  <w:footnote w:id="23">
    <w:p w14:paraId="7601E9B7" w14:textId="27A4D182" w:rsidR="00B20D9A" w:rsidRDefault="00B20D9A">
      <w:pPr>
        <w:pStyle w:val="FootnoteText"/>
      </w:pPr>
      <w:r>
        <w:rPr>
          <w:rStyle w:val="FootnoteReference"/>
        </w:rPr>
        <w:footnoteRef/>
      </w:r>
      <w:r>
        <w:t xml:space="preserve"> </w:t>
      </w:r>
      <w:r w:rsidRPr="00B20D9A">
        <w:rPr>
          <w:i/>
          <w:iCs/>
        </w:rPr>
        <w:t>Id</w:t>
      </w:r>
      <w:r>
        <w:t>.</w:t>
      </w:r>
    </w:p>
  </w:footnote>
  <w:footnote w:id="24">
    <w:p w14:paraId="1B661EED" w14:textId="735AE888" w:rsidR="00176187" w:rsidRDefault="00176187">
      <w:pPr>
        <w:pStyle w:val="FootnoteText"/>
      </w:pPr>
      <w:r>
        <w:rPr>
          <w:rStyle w:val="FootnoteReference"/>
        </w:rPr>
        <w:footnoteRef/>
      </w:r>
      <w:r>
        <w:t xml:space="preserve"> Case No. 08-935-EL-SSO, Opinion and Order at 51-52 (December 19, 2008).</w:t>
      </w:r>
    </w:p>
  </w:footnote>
  <w:footnote w:id="25">
    <w:p w14:paraId="05F60AD4" w14:textId="57DD05E0" w:rsidR="00F41BB9" w:rsidRDefault="00F41BB9">
      <w:pPr>
        <w:pStyle w:val="FootnoteText"/>
      </w:pPr>
      <w:r>
        <w:rPr>
          <w:rStyle w:val="FootnoteReference"/>
        </w:rPr>
        <w:footnoteRef/>
      </w:r>
      <w:r>
        <w:t xml:space="preserve"> </w:t>
      </w:r>
      <w:r w:rsidRPr="00F41BB9">
        <w:rPr>
          <w:i/>
          <w:iCs/>
        </w:rPr>
        <w:t>See</w:t>
      </w:r>
      <w:r>
        <w:t xml:space="preserve"> Case No. 08-935-EL-SSO, Second Opinion and Order (March 25, 2009). </w:t>
      </w:r>
    </w:p>
  </w:footnote>
  <w:footnote w:id="26">
    <w:p w14:paraId="7C9E4DB8" w14:textId="424502DE" w:rsidR="006908B6" w:rsidRDefault="006908B6">
      <w:pPr>
        <w:pStyle w:val="FootnoteText"/>
      </w:pPr>
      <w:r>
        <w:rPr>
          <w:rStyle w:val="FootnoteReference"/>
        </w:rPr>
        <w:footnoteRef/>
      </w:r>
      <w:r>
        <w:t xml:space="preserve"> </w:t>
      </w:r>
      <w:r w:rsidRPr="006908B6">
        <w:rPr>
          <w:i/>
          <w:iCs/>
        </w:rPr>
        <w:t>Id</w:t>
      </w:r>
      <w:r>
        <w:t>. at 7.</w:t>
      </w:r>
    </w:p>
  </w:footnote>
  <w:footnote w:id="27">
    <w:p w14:paraId="22D1373B" w14:textId="797CD154" w:rsidR="000662EC" w:rsidRDefault="000662EC">
      <w:pPr>
        <w:pStyle w:val="FootnoteText"/>
      </w:pPr>
      <w:r>
        <w:rPr>
          <w:rStyle w:val="FootnoteReference"/>
        </w:rPr>
        <w:footnoteRef/>
      </w:r>
      <w:r>
        <w:t xml:space="preserve"> </w:t>
      </w:r>
      <w:r w:rsidRPr="000662EC">
        <w:rPr>
          <w:i/>
          <w:iCs/>
        </w:rPr>
        <w:t>Id</w:t>
      </w:r>
      <w:r>
        <w:t>. at 10.</w:t>
      </w:r>
    </w:p>
  </w:footnote>
  <w:footnote w:id="28">
    <w:p w14:paraId="3DABCD9D" w14:textId="6524CDA3" w:rsidR="002708E9" w:rsidRDefault="002708E9">
      <w:pPr>
        <w:pStyle w:val="FootnoteText"/>
      </w:pPr>
      <w:r>
        <w:rPr>
          <w:rStyle w:val="FootnoteReference"/>
        </w:rPr>
        <w:footnoteRef/>
      </w:r>
      <w:r>
        <w:t xml:space="preserve"> </w:t>
      </w:r>
      <w:r w:rsidRPr="002708E9">
        <w:rPr>
          <w:i/>
          <w:iCs/>
        </w:rPr>
        <w:t>Id</w:t>
      </w:r>
      <w:r>
        <w:t>. at 13.</w:t>
      </w:r>
    </w:p>
  </w:footnote>
  <w:footnote w:id="29">
    <w:p w14:paraId="7BC4DCE1" w14:textId="2B77A475" w:rsidR="00CD19DB" w:rsidRDefault="00CD19DB">
      <w:pPr>
        <w:pStyle w:val="FootnoteText"/>
      </w:pPr>
      <w:r>
        <w:rPr>
          <w:rStyle w:val="FootnoteReference"/>
        </w:rPr>
        <w:footnoteRef/>
      </w:r>
      <w:r>
        <w:t xml:space="preserve"> Case No. 10-388-EL-SSO, </w:t>
      </w:r>
      <w:r w:rsidRPr="00B20D9A">
        <w:rPr>
          <w:i/>
          <w:iCs/>
        </w:rPr>
        <w:t xml:space="preserve">In the Matter of the Application of Ohio Edison Company, The Cleveland Electric Illuminating Company, and the Toledo Edison Company for </w:t>
      </w:r>
      <w:r>
        <w:rPr>
          <w:i/>
          <w:iCs/>
        </w:rPr>
        <w:t xml:space="preserve">Authority to Establish a Standard Service Offer Pursuant </w:t>
      </w:r>
      <w:r w:rsidR="00883368">
        <w:rPr>
          <w:i/>
          <w:iCs/>
        </w:rPr>
        <w:t xml:space="preserve">to </w:t>
      </w:r>
      <w:r>
        <w:rPr>
          <w:i/>
          <w:iCs/>
        </w:rPr>
        <w:t>Section 4928.143, Revised Code</w:t>
      </w:r>
      <w:r w:rsidR="00883368">
        <w:rPr>
          <w:i/>
          <w:iCs/>
        </w:rPr>
        <w:t>,</w:t>
      </w:r>
      <w:r>
        <w:rPr>
          <w:i/>
          <w:iCs/>
        </w:rPr>
        <w:t xml:space="preserve"> in the Form of an Electric Security Plan</w:t>
      </w:r>
      <w:r>
        <w:t>, Opinion and Order at 30 (August 25, 2010).</w:t>
      </w:r>
    </w:p>
  </w:footnote>
  <w:footnote w:id="30">
    <w:p w14:paraId="774ECE96" w14:textId="3906675C" w:rsidR="00204FF3" w:rsidRDefault="00204FF3">
      <w:pPr>
        <w:pStyle w:val="FootnoteText"/>
      </w:pPr>
      <w:r>
        <w:rPr>
          <w:rStyle w:val="FootnoteReference"/>
        </w:rPr>
        <w:footnoteRef/>
      </w:r>
      <w:r>
        <w:t xml:space="preserve"> </w:t>
      </w:r>
      <w:r w:rsidRPr="00204FF3">
        <w:rPr>
          <w:i/>
          <w:iCs/>
        </w:rPr>
        <w:t>Id</w:t>
      </w:r>
      <w:r>
        <w:t>. at 45-46.</w:t>
      </w:r>
    </w:p>
  </w:footnote>
  <w:footnote w:id="31">
    <w:p w14:paraId="795D1B5D" w14:textId="052FB8FF" w:rsidR="00260C42" w:rsidRDefault="00260C42">
      <w:pPr>
        <w:pStyle w:val="FootnoteText"/>
      </w:pPr>
      <w:r>
        <w:rPr>
          <w:rStyle w:val="FootnoteReference"/>
        </w:rPr>
        <w:footnoteRef/>
      </w:r>
      <w:r>
        <w:t xml:space="preserve"> </w:t>
      </w:r>
      <w:r w:rsidR="00883368" w:rsidRPr="008929B8">
        <w:rPr>
          <w:i/>
          <w:iCs/>
        </w:rPr>
        <w:t>See</w:t>
      </w:r>
      <w:r w:rsidR="00883368">
        <w:t xml:space="preserve"> </w:t>
      </w:r>
      <w:r>
        <w:t>Case No. 12-1230-EL-SSO, Opinion and Order (July 18, 2012).</w:t>
      </w:r>
    </w:p>
  </w:footnote>
  <w:footnote w:id="32">
    <w:p w14:paraId="27DF5363" w14:textId="2ADDF6AB" w:rsidR="00C348A1" w:rsidRDefault="00C348A1">
      <w:pPr>
        <w:pStyle w:val="FootnoteText"/>
      </w:pPr>
      <w:r>
        <w:rPr>
          <w:rStyle w:val="FootnoteReference"/>
        </w:rPr>
        <w:footnoteRef/>
      </w:r>
      <w:r>
        <w:t xml:space="preserve"> Case No. 12-1230-EL-SSO, Second Entry on Rehearing at 14.</w:t>
      </w:r>
    </w:p>
  </w:footnote>
  <w:footnote w:id="33">
    <w:p w14:paraId="3A11882C" w14:textId="34C4A992" w:rsidR="00260C42" w:rsidRDefault="00260C42">
      <w:pPr>
        <w:pStyle w:val="FootnoteText"/>
      </w:pPr>
      <w:r>
        <w:rPr>
          <w:rStyle w:val="FootnoteReference"/>
        </w:rPr>
        <w:footnoteRef/>
      </w:r>
      <w:r>
        <w:t xml:space="preserve"> Case No. 14-1297-EL-SSO, Opinion and Order at 94 (March 31, 20</w:t>
      </w:r>
      <w:r w:rsidR="009E6BFC">
        <w:t>16).</w:t>
      </w:r>
      <w:r>
        <w:t xml:space="preserve"> </w:t>
      </w:r>
    </w:p>
  </w:footnote>
  <w:footnote w:id="34">
    <w:p w14:paraId="4853ADE7" w14:textId="7AD68FA2" w:rsidR="00963ECC" w:rsidRDefault="00963ECC">
      <w:pPr>
        <w:pStyle w:val="FootnoteText"/>
      </w:pPr>
      <w:r>
        <w:rPr>
          <w:rStyle w:val="FootnoteReference"/>
        </w:rPr>
        <w:footnoteRef/>
      </w:r>
      <w:r>
        <w:t xml:space="preserve"> </w:t>
      </w:r>
      <w:r w:rsidRPr="00242DF8">
        <w:rPr>
          <w:i/>
          <w:iCs/>
        </w:rPr>
        <w:t>Id</w:t>
      </w:r>
      <w:r>
        <w:t>.</w:t>
      </w:r>
    </w:p>
  </w:footnote>
  <w:footnote w:id="35">
    <w:p w14:paraId="4167B3AF" w14:textId="6E2CAE62" w:rsidR="00A974A7" w:rsidRDefault="00A974A7">
      <w:pPr>
        <w:pStyle w:val="FootnoteText"/>
      </w:pPr>
      <w:r>
        <w:rPr>
          <w:rStyle w:val="FootnoteReference"/>
        </w:rPr>
        <w:footnoteRef/>
      </w:r>
      <w:r>
        <w:t xml:space="preserve"> Case No. 09-1947-EL-POR et al, </w:t>
      </w:r>
      <w:r w:rsidRPr="00A974A7">
        <w:rPr>
          <w:i/>
          <w:iCs/>
        </w:rPr>
        <w:t xml:space="preserve">In the Matter of the Application of Ohio Edison Company, The Cleveland Electric Illuminating Company and the Toledo Edison Company for Approval of Their Energy Efficiency and Peak Demand Reduction </w:t>
      </w:r>
      <w:r w:rsidR="00883368">
        <w:rPr>
          <w:i/>
          <w:iCs/>
        </w:rPr>
        <w:t xml:space="preserve">Program </w:t>
      </w:r>
      <w:r w:rsidRPr="00A974A7">
        <w:rPr>
          <w:i/>
          <w:iCs/>
        </w:rPr>
        <w:t>Portfolio Plans for 2010 through 2012 and Associated Cost Recovery Mechanisms</w:t>
      </w:r>
      <w:r>
        <w:t>.</w:t>
      </w:r>
    </w:p>
  </w:footnote>
  <w:footnote w:id="36">
    <w:p w14:paraId="0985B708" w14:textId="71B121D9" w:rsidR="00E2667F" w:rsidRDefault="00E2667F">
      <w:pPr>
        <w:pStyle w:val="FootnoteText"/>
      </w:pPr>
      <w:r>
        <w:rPr>
          <w:rStyle w:val="FootnoteReference"/>
        </w:rPr>
        <w:footnoteRef/>
      </w:r>
      <w:r>
        <w:t xml:space="preserve"> Case No. 09-1947-EL-POR, Direct Testimony of Dennis W. Goins</w:t>
      </w:r>
      <w:r w:rsidR="00883368">
        <w:t>,</w:t>
      </w:r>
      <w:r>
        <w:t xml:space="preserve"> Nucor Ex. 1 </w:t>
      </w:r>
      <w:r w:rsidR="00883368">
        <w:t xml:space="preserve">at </w:t>
      </w:r>
      <w:r>
        <w:t xml:space="preserve">Exhibit </w:t>
      </w:r>
      <w:r w:rsidR="00883368">
        <w:t>DWG</w:t>
      </w:r>
      <w:r>
        <w:t xml:space="preserve">-1 </w:t>
      </w:r>
      <w:r w:rsidR="00883368">
        <w:t>(</w:t>
      </w:r>
      <w:r>
        <w:t>FirstEnergy Response to Nucor Set 1 DR-16</w:t>
      </w:r>
      <w:r w:rsidR="00883368">
        <w:t>)</w:t>
      </w:r>
      <w:r>
        <w:t>.</w:t>
      </w:r>
    </w:p>
  </w:footnote>
  <w:footnote w:id="37">
    <w:p w14:paraId="7DA6159D" w14:textId="1642FEA1" w:rsidR="00602E7A" w:rsidRDefault="00602E7A">
      <w:pPr>
        <w:pStyle w:val="FootnoteText"/>
      </w:pPr>
      <w:r>
        <w:rPr>
          <w:rStyle w:val="FootnoteReference"/>
        </w:rPr>
        <w:footnoteRef/>
      </w:r>
      <w:r w:rsidR="00883368">
        <w:t xml:space="preserve"> </w:t>
      </w:r>
      <w:r>
        <w:t>Case No. 09-1947-EL-POR et al, Opinion and Order at 12</w:t>
      </w:r>
      <w:r w:rsidR="005B0232">
        <w:t xml:space="preserve"> (March 23, 2011)</w:t>
      </w:r>
      <w:r>
        <w:t xml:space="preserve">. </w:t>
      </w:r>
    </w:p>
  </w:footnote>
  <w:footnote w:id="38">
    <w:p w14:paraId="09116330" w14:textId="1435DFA1" w:rsidR="000C79EE" w:rsidRDefault="000C79EE">
      <w:pPr>
        <w:pStyle w:val="FootnoteText"/>
      </w:pPr>
      <w:r>
        <w:rPr>
          <w:rStyle w:val="FootnoteReference"/>
        </w:rPr>
        <w:footnoteRef/>
      </w:r>
      <w:r>
        <w:t xml:space="preserve"> </w:t>
      </w:r>
      <w:r w:rsidR="007B2FE7">
        <w:t>Case No. 12-1230-EL-SSO, Corrected Joint Initial Brief by the Office of the Ohio Consumers’ Counsel and Citizen Power (“OCC Brief”) at 38</w:t>
      </w:r>
      <w:r w:rsidR="005B0232">
        <w:t xml:space="preserve"> (June 27, 2012)</w:t>
      </w:r>
      <w:r w:rsidR="007B2FE7">
        <w:t>.</w:t>
      </w:r>
    </w:p>
  </w:footnote>
  <w:footnote w:id="39">
    <w:p w14:paraId="44E76E9F" w14:textId="343C22B0" w:rsidR="001655B6" w:rsidRDefault="001655B6">
      <w:pPr>
        <w:pStyle w:val="FootnoteText"/>
      </w:pPr>
      <w:r>
        <w:rPr>
          <w:rStyle w:val="FootnoteReference"/>
        </w:rPr>
        <w:footnoteRef/>
      </w:r>
      <w:r>
        <w:t xml:space="preserve"> Case No. 12-1230-EL-SSO, Reply Brief of Nucor Steel Marion, Inc. at 17-18 (June 29, 2012).</w:t>
      </w:r>
    </w:p>
  </w:footnote>
  <w:footnote w:id="40">
    <w:p w14:paraId="0D73CA44" w14:textId="2A86A828" w:rsidR="001655B6" w:rsidRDefault="001655B6">
      <w:pPr>
        <w:pStyle w:val="FootnoteText"/>
      </w:pPr>
      <w:r>
        <w:rPr>
          <w:rStyle w:val="FootnoteReference"/>
        </w:rPr>
        <w:footnoteRef/>
      </w:r>
      <w:r>
        <w:t xml:space="preserve"> Case No. 12-1230-EL-SSO, Opinion and Order at 37.</w:t>
      </w:r>
    </w:p>
  </w:footnote>
  <w:footnote w:id="41">
    <w:p w14:paraId="1F9329B1" w14:textId="529063B0" w:rsidR="001F0F2C" w:rsidRDefault="001F0F2C">
      <w:pPr>
        <w:pStyle w:val="FootnoteText"/>
      </w:pPr>
      <w:r>
        <w:rPr>
          <w:rStyle w:val="FootnoteReference"/>
        </w:rPr>
        <w:footnoteRef/>
      </w:r>
      <w:r>
        <w:t xml:space="preserve"> </w:t>
      </w:r>
      <w:r w:rsidR="00EE2B17">
        <w:t>Case No. 12-1230-EL-SSO, OCC Brief at 38-39.</w:t>
      </w:r>
    </w:p>
  </w:footnote>
  <w:footnote w:id="42">
    <w:p w14:paraId="69D02D3F" w14:textId="2D457DCD" w:rsidR="001F0F2C" w:rsidRDefault="001F0F2C">
      <w:pPr>
        <w:pStyle w:val="FootnoteText"/>
      </w:pPr>
      <w:r>
        <w:rPr>
          <w:rStyle w:val="FootnoteReference"/>
        </w:rPr>
        <w:footnoteRef/>
      </w:r>
      <w:r>
        <w:t xml:space="preserve"> Case No. 12-1230-EL-SSO, Opinion and Order at 37; Second Entry on Rehearing at 14.</w:t>
      </w:r>
    </w:p>
  </w:footnote>
  <w:footnote w:id="43">
    <w:p w14:paraId="1E7993CE" w14:textId="084D3D5E" w:rsidR="002B1C89" w:rsidRDefault="002B1C89">
      <w:pPr>
        <w:pStyle w:val="FootnoteText"/>
      </w:pPr>
      <w:r>
        <w:rPr>
          <w:rStyle w:val="FootnoteReference"/>
        </w:rPr>
        <w:footnoteRef/>
      </w:r>
      <w:r>
        <w:t xml:space="preserve"> </w:t>
      </w:r>
      <w:r w:rsidR="00EE2B17">
        <w:t>Case No. 14-1297-EL-SSO, Stipulation at 8 (December 22, 2014).</w:t>
      </w:r>
    </w:p>
  </w:footnote>
  <w:footnote w:id="44">
    <w:p w14:paraId="5964C7AC" w14:textId="141A827D" w:rsidR="002B1C89" w:rsidRDefault="002B1C89">
      <w:pPr>
        <w:pStyle w:val="FootnoteText"/>
      </w:pPr>
      <w:r>
        <w:rPr>
          <w:rStyle w:val="FootnoteReference"/>
        </w:rPr>
        <w:footnoteRef/>
      </w:r>
      <w:r>
        <w:t xml:space="preserve"> </w:t>
      </w:r>
      <w:r w:rsidR="00437829">
        <w:t xml:space="preserve">Case No. 14-1297-EL-SSO, </w:t>
      </w:r>
      <w:r w:rsidR="00EE2B17">
        <w:t xml:space="preserve">Application for Rehearing by the Environmental Law and Policy Center, Ohio Environmental </w:t>
      </w:r>
      <w:r w:rsidR="005B0232">
        <w:t>Council</w:t>
      </w:r>
      <w:r w:rsidR="00EE2B17">
        <w:t>, and Environmental Defense Fund at 23-24 (May 2, 2016)</w:t>
      </w:r>
      <w:r w:rsidR="00437829">
        <w:t xml:space="preserve">. </w:t>
      </w:r>
    </w:p>
  </w:footnote>
  <w:footnote w:id="45">
    <w:p w14:paraId="015C0665" w14:textId="19D7C23A" w:rsidR="00437829" w:rsidRDefault="00437829">
      <w:pPr>
        <w:pStyle w:val="FootnoteText"/>
      </w:pPr>
      <w:r>
        <w:rPr>
          <w:rStyle w:val="FootnoteReference"/>
        </w:rPr>
        <w:footnoteRef/>
      </w:r>
      <w:r>
        <w:t xml:space="preserve"> </w:t>
      </w:r>
      <w:r w:rsidRPr="00242DF8">
        <w:rPr>
          <w:i/>
          <w:iCs/>
        </w:rPr>
        <w:t>Id</w:t>
      </w:r>
      <w:r>
        <w:t>.</w:t>
      </w:r>
    </w:p>
  </w:footnote>
  <w:footnote w:id="46">
    <w:p w14:paraId="3C655008" w14:textId="4CB8DF55" w:rsidR="0041070A" w:rsidRDefault="0041070A">
      <w:pPr>
        <w:pStyle w:val="FootnoteText"/>
      </w:pPr>
      <w:r>
        <w:rPr>
          <w:rStyle w:val="FootnoteReference"/>
        </w:rPr>
        <w:footnoteRef/>
      </w:r>
      <w:r>
        <w:t xml:space="preserve"> Case No. 14-1297-EL-SSO, Memorandum Contra of Nucor Steel Marion, Inc. to Applications for Rehearing of March 31 Opinion and Order at 6-7 (May 12, 2016) (internal citations omitted).</w:t>
      </w:r>
    </w:p>
  </w:footnote>
  <w:footnote w:id="47">
    <w:p w14:paraId="1C8DF800" w14:textId="73E68827" w:rsidR="00D77A8D" w:rsidRDefault="00D77A8D">
      <w:pPr>
        <w:pStyle w:val="FootnoteText"/>
      </w:pPr>
      <w:r>
        <w:rPr>
          <w:rStyle w:val="FootnoteReference"/>
        </w:rPr>
        <w:footnoteRef/>
      </w:r>
      <w:r>
        <w:t xml:space="preserve"> Case No. 14-1297-EL-SSO, Fifth Entry on Rehearing at 146 (</w:t>
      </w:r>
      <w:r w:rsidR="005002C0">
        <w:t>October 12, 2016</w:t>
      </w:r>
      <w:r>
        <w:t>).</w:t>
      </w:r>
    </w:p>
  </w:footnote>
  <w:footnote w:id="48">
    <w:p w14:paraId="4C133E5A" w14:textId="7522FA4A" w:rsidR="00DA1E22" w:rsidRDefault="00DA1E22">
      <w:pPr>
        <w:pStyle w:val="FootnoteText"/>
      </w:pPr>
      <w:r>
        <w:rPr>
          <w:rStyle w:val="FootnoteReference"/>
        </w:rPr>
        <w:footnoteRef/>
      </w:r>
      <w:r>
        <w:t xml:space="preserve"> Case No. 16-743-EL-POR, </w:t>
      </w:r>
      <w:r w:rsidR="009F0B68">
        <w:t>Application for Rehearing by Office of the Ohio Consumers’ Counsel, Memorandum in Support</w:t>
      </w:r>
      <w:r>
        <w:t xml:space="preserve"> at</w:t>
      </w:r>
      <w:r w:rsidR="005002C0">
        <w:t xml:space="preserve"> 3-4</w:t>
      </w:r>
      <w:r w:rsidR="009F0B68">
        <w:t xml:space="preserve"> (January 29, 2021)</w:t>
      </w:r>
      <w:r>
        <w:t>.</w:t>
      </w:r>
    </w:p>
  </w:footnote>
  <w:footnote w:id="49">
    <w:p w14:paraId="5C0DBF0D" w14:textId="59E8DD78" w:rsidR="001D3BF6" w:rsidRDefault="001D3BF6">
      <w:pPr>
        <w:pStyle w:val="FootnoteText"/>
      </w:pPr>
      <w:r>
        <w:rPr>
          <w:rStyle w:val="FootnoteReference"/>
        </w:rPr>
        <w:footnoteRef/>
      </w:r>
      <w:r>
        <w:t xml:space="preserve"> </w:t>
      </w:r>
      <w:r w:rsidRPr="00242DF8">
        <w:rPr>
          <w:i/>
          <w:iCs/>
        </w:rPr>
        <w:t>See, e.g.</w:t>
      </w:r>
      <w:r>
        <w:t>,</w:t>
      </w:r>
      <w:r w:rsidR="00723324">
        <w:t xml:space="preserve"> Case No. 15-372-EL-EEC et al, </w:t>
      </w:r>
      <w:r w:rsidR="00723324" w:rsidRPr="00242DF8">
        <w:rPr>
          <w:i/>
          <w:iCs/>
        </w:rPr>
        <w:t>In the Matter of the Application of Ohio Edison Company, The Cleveland Electric Illuminating Company, and The Toledo Edison Company to Include Transmission and Distribution Projects in Their Energy Efficiency and Peak</w:t>
      </w:r>
      <w:r w:rsidR="00243568">
        <w:rPr>
          <w:i/>
          <w:iCs/>
        </w:rPr>
        <w:t>-</w:t>
      </w:r>
      <w:r w:rsidR="00723324" w:rsidRPr="00242DF8">
        <w:rPr>
          <w:i/>
          <w:iCs/>
        </w:rPr>
        <w:t xml:space="preserve">Demand Reduction </w:t>
      </w:r>
      <w:r w:rsidR="00243568">
        <w:rPr>
          <w:i/>
          <w:iCs/>
        </w:rPr>
        <w:t xml:space="preserve">Program </w:t>
      </w:r>
      <w:r w:rsidR="00723324" w:rsidRPr="00242DF8">
        <w:rPr>
          <w:i/>
          <w:iCs/>
        </w:rPr>
        <w:t>Portfolio</w:t>
      </w:r>
      <w:r w:rsidR="00723324">
        <w:t>, Finding and Order (August 9, 2017) (approving FirstEnergy</w:t>
      </w:r>
      <w:r w:rsidR="00243568">
        <w:t>’s</w:t>
      </w:r>
      <w:r w:rsidR="00723324">
        <w:t xml:space="preserve"> request to include certain transmission and distribution projects toward meeting the EE/PDR benchmarks).</w:t>
      </w:r>
      <w:r>
        <w:t xml:space="preserve"> </w:t>
      </w:r>
    </w:p>
  </w:footnote>
  <w:footnote w:id="50">
    <w:p w14:paraId="6624506B" w14:textId="0542F973" w:rsidR="00F34417" w:rsidRDefault="00F34417">
      <w:pPr>
        <w:pStyle w:val="FootnoteText"/>
      </w:pPr>
      <w:r>
        <w:rPr>
          <w:rStyle w:val="FootnoteReference"/>
        </w:rPr>
        <w:footnoteRef/>
      </w:r>
      <w:r>
        <w:t xml:space="preserve"> </w:t>
      </w:r>
      <w:r w:rsidR="002F351C">
        <w:t xml:space="preserve">R.C. § </w:t>
      </w:r>
      <w:r>
        <w:t>4928.66(F)(2).</w:t>
      </w:r>
    </w:p>
  </w:footnote>
  <w:footnote w:id="51">
    <w:p w14:paraId="055FFDA6" w14:textId="7568641A" w:rsidR="009068A7" w:rsidRDefault="009068A7">
      <w:pPr>
        <w:pStyle w:val="FootnoteText"/>
      </w:pPr>
      <w:r>
        <w:rPr>
          <w:rStyle w:val="FootnoteReference"/>
        </w:rPr>
        <w:footnoteRef/>
      </w:r>
      <w:r>
        <w:t xml:space="preserve"> </w:t>
      </w:r>
      <w:r w:rsidR="002F351C">
        <w:t xml:space="preserve">R.C. § </w:t>
      </w:r>
      <w:r>
        <w:t>4928.66(G)(3)</w:t>
      </w:r>
      <w:r w:rsidR="001E11B5">
        <w:t>(emphasis added)</w:t>
      </w:r>
      <w:r>
        <w:t>.</w:t>
      </w:r>
    </w:p>
  </w:footnote>
  <w:footnote w:id="52">
    <w:p w14:paraId="4223A6C6" w14:textId="1FA120BB" w:rsidR="00EB0974" w:rsidRDefault="00EB0974">
      <w:pPr>
        <w:pStyle w:val="FootnoteText"/>
      </w:pPr>
      <w:r>
        <w:rPr>
          <w:rStyle w:val="FootnoteReference"/>
        </w:rPr>
        <w:footnoteRef/>
      </w:r>
      <w:r>
        <w:t xml:space="preserve"> </w:t>
      </w:r>
      <w:r w:rsidRPr="00EB0974">
        <w:rPr>
          <w:i/>
          <w:iCs/>
        </w:rPr>
        <w:t>See</w:t>
      </w:r>
      <w:r>
        <w:t xml:space="preserve"> supra fn.</w:t>
      </w:r>
      <w:r w:rsidR="00243568">
        <w:t>14</w:t>
      </w:r>
      <w:r w:rsidR="00697D1E">
        <w:t xml:space="preserve"> and accompanying text</w:t>
      </w:r>
      <w:r w:rsidR="00243568">
        <w:t xml:space="preserve"> </w:t>
      </w:r>
      <w:r>
        <w:t>(providing definitions of DSE1 and DSE2 charges).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90B0D" w14:textId="77777777" w:rsidR="00CF0DB6" w:rsidRDefault="00CF0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1F2F75"/>
    <w:multiLevelType w:val="hybridMultilevel"/>
    <w:tmpl w:val="977E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526909"/>
    <w:multiLevelType w:val="hybridMultilevel"/>
    <w:tmpl w:val="76BCAFD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B98"/>
    <w:rsid w:val="00005B64"/>
    <w:rsid w:val="00033E2B"/>
    <w:rsid w:val="00045511"/>
    <w:rsid w:val="00054077"/>
    <w:rsid w:val="000631B0"/>
    <w:rsid w:val="00063AC1"/>
    <w:rsid w:val="000662EC"/>
    <w:rsid w:val="000767A9"/>
    <w:rsid w:val="000A38F8"/>
    <w:rsid w:val="000A3965"/>
    <w:rsid w:val="000A6164"/>
    <w:rsid w:val="000B0719"/>
    <w:rsid w:val="000B29C3"/>
    <w:rsid w:val="000B7DBF"/>
    <w:rsid w:val="000C79EE"/>
    <w:rsid w:val="000E40B7"/>
    <w:rsid w:val="000E6666"/>
    <w:rsid w:val="000F4307"/>
    <w:rsid w:val="001014B5"/>
    <w:rsid w:val="00114C70"/>
    <w:rsid w:val="0011730E"/>
    <w:rsid w:val="00122644"/>
    <w:rsid w:val="00125226"/>
    <w:rsid w:val="001335A3"/>
    <w:rsid w:val="00134B1B"/>
    <w:rsid w:val="0015629D"/>
    <w:rsid w:val="001655B6"/>
    <w:rsid w:val="00171C8F"/>
    <w:rsid w:val="00172B40"/>
    <w:rsid w:val="00173BA4"/>
    <w:rsid w:val="00176187"/>
    <w:rsid w:val="001833F3"/>
    <w:rsid w:val="00187DA9"/>
    <w:rsid w:val="00195618"/>
    <w:rsid w:val="001A4A58"/>
    <w:rsid w:val="001B0466"/>
    <w:rsid w:val="001C32A3"/>
    <w:rsid w:val="001C48A2"/>
    <w:rsid w:val="001D3BF6"/>
    <w:rsid w:val="001D798E"/>
    <w:rsid w:val="001E0470"/>
    <w:rsid w:val="001E11B5"/>
    <w:rsid w:val="001E5250"/>
    <w:rsid w:val="001F0F2C"/>
    <w:rsid w:val="001F342A"/>
    <w:rsid w:val="00204B6D"/>
    <w:rsid w:val="00204FF3"/>
    <w:rsid w:val="00216665"/>
    <w:rsid w:val="00217073"/>
    <w:rsid w:val="00226D72"/>
    <w:rsid w:val="00242DF8"/>
    <w:rsid w:val="00243568"/>
    <w:rsid w:val="002515E7"/>
    <w:rsid w:val="00252C5F"/>
    <w:rsid w:val="002545FE"/>
    <w:rsid w:val="00260C42"/>
    <w:rsid w:val="00266DDD"/>
    <w:rsid w:val="002708E9"/>
    <w:rsid w:val="00283FEA"/>
    <w:rsid w:val="00296CF2"/>
    <w:rsid w:val="002B1804"/>
    <w:rsid w:val="002B1C89"/>
    <w:rsid w:val="002C1831"/>
    <w:rsid w:val="002D527D"/>
    <w:rsid w:val="002D5A7A"/>
    <w:rsid w:val="002E4482"/>
    <w:rsid w:val="002F049B"/>
    <w:rsid w:val="002F19E4"/>
    <w:rsid w:val="002F314D"/>
    <w:rsid w:val="002F351C"/>
    <w:rsid w:val="00305873"/>
    <w:rsid w:val="003248B7"/>
    <w:rsid w:val="003261BE"/>
    <w:rsid w:val="003368D3"/>
    <w:rsid w:val="00336A15"/>
    <w:rsid w:val="00337290"/>
    <w:rsid w:val="0034614A"/>
    <w:rsid w:val="0035128F"/>
    <w:rsid w:val="003743B8"/>
    <w:rsid w:val="00375FE8"/>
    <w:rsid w:val="0038448A"/>
    <w:rsid w:val="00394517"/>
    <w:rsid w:val="003A2E7F"/>
    <w:rsid w:val="003B09C9"/>
    <w:rsid w:val="003B24C5"/>
    <w:rsid w:val="003B3139"/>
    <w:rsid w:val="003B6488"/>
    <w:rsid w:val="003E0A08"/>
    <w:rsid w:val="003E1D51"/>
    <w:rsid w:val="003E355F"/>
    <w:rsid w:val="003F61DF"/>
    <w:rsid w:val="00402BA4"/>
    <w:rsid w:val="00404F9D"/>
    <w:rsid w:val="0041070A"/>
    <w:rsid w:val="004144E2"/>
    <w:rsid w:val="00434568"/>
    <w:rsid w:val="00437829"/>
    <w:rsid w:val="0044525D"/>
    <w:rsid w:val="00477055"/>
    <w:rsid w:val="004870A6"/>
    <w:rsid w:val="00494090"/>
    <w:rsid w:val="004B6379"/>
    <w:rsid w:val="004D47E4"/>
    <w:rsid w:val="004D5A3D"/>
    <w:rsid w:val="004E67E8"/>
    <w:rsid w:val="004E6D87"/>
    <w:rsid w:val="004F7E52"/>
    <w:rsid w:val="005002C0"/>
    <w:rsid w:val="00504612"/>
    <w:rsid w:val="00515165"/>
    <w:rsid w:val="00526029"/>
    <w:rsid w:val="005317E7"/>
    <w:rsid w:val="00535DBC"/>
    <w:rsid w:val="005364BD"/>
    <w:rsid w:val="005522F4"/>
    <w:rsid w:val="005543F5"/>
    <w:rsid w:val="005553AE"/>
    <w:rsid w:val="005558DF"/>
    <w:rsid w:val="00555C38"/>
    <w:rsid w:val="00555EFE"/>
    <w:rsid w:val="00561382"/>
    <w:rsid w:val="005771B8"/>
    <w:rsid w:val="005A6A63"/>
    <w:rsid w:val="005A6E6B"/>
    <w:rsid w:val="005B0232"/>
    <w:rsid w:val="005C01DE"/>
    <w:rsid w:val="005C3D29"/>
    <w:rsid w:val="005D42B9"/>
    <w:rsid w:val="00602647"/>
    <w:rsid w:val="00602E7A"/>
    <w:rsid w:val="00603E41"/>
    <w:rsid w:val="00617CF6"/>
    <w:rsid w:val="00620FBC"/>
    <w:rsid w:val="00630324"/>
    <w:rsid w:val="00631322"/>
    <w:rsid w:val="00633056"/>
    <w:rsid w:val="0064222D"/>
    <w:rsid w:val="00654579"/>
    <w:rsid w:val="00665976"/>
    <w:rsid w:val="00671511"/>
    <w:rsid w:val="006764D1"/>
    <w:rsid w:val="00676787"/>
    <w:rsid w:val="00677730"/>
    <w:rsid w:val="0069074E"/>
    <w:rsid w:val="006908B6"/>
    <w:rsid w:val="00690B3A"/>
    <w:rsid w:val="006959F9"/>
    <w:rsid w:val="00697D1E"/>
    <w:rsid w:val="006A7E91"/>
    <w:rsid w:val="006D7457"/>
    <w:rsid w:val="006E4C93"/>
    <w:rsid w:val="006F1059"/>
    <w:rsid w:val="006F53EC"/>
    <w:rsid w:val="007033A5"/>
    <w:rsid w:val="00704988"/>
    <w:rsid w:val="007053F1"/>
    <w:rsid w:val="00721332"/>
    <w:rsid w:val="00723324"/>
    <w:rsid w:val="00725AE7"/>
    <w:rsid w:val="0073387B"/>
    <w:rsid w:val="00734272"/>
    <w:rsid w:val="00736FC4"/>
    <w:rsid w:val="007467DF"/>
    <w:rsid w:val="00755E98"/>
    <w:rsid w:val="007644FD"/>
    <w:rsid w:val="00765122"/>
    <w:rsid w:val="00765A7E"/>
    <w:rsid w:val="007722B6"/>
    <w:rsid w:val="007726C5"/>
    <w:rsid w:val="00776571"/>
    <w:rsid w:val="007800E9"/>
    <w:rsid w:val="00786A71"/>
    <w:rsid w:val="00797CCD"/>
    <w:rsid w:val="007A2722"/>
    <w:rsid w:val="007B2FE7"/>
    <w:rsid w:val="007C4124"/>
    <w:rsid w:val="007C7F06"/>
    <w:rsid w:val="007E7599"/>
    <w:rsid w:val="007E7846"/>
    <w:rsid w:val="00832543"/>
    <w:rsid w:val="008462DB"/>
    <w:rsid w:val="0086354E"/>
    <w:rsid w:val="00875DF3"/>
    <w:rsid w:val="00883368"/>
    <w:rsid w:val="0088518E"/>
    <w:rsid w:val="008929B8"/>
    <w:rsid w:val="00893E6D"/>
    <w:rsid w:val="008D7945"/>
    <w:rsid w:val="008E53E6"/>
    <w:rsid w:val="009068A7"/>
    <w:rsid w:val="00914305"/>
    <w:rsid w:val="00927492"/>
    <w:rsid w:val="00936BCE"/>
    <w:rsid w:val="00947717"/>
    <w:rsid w:val="00947EE3"/>
    <w:rsid w:val="00952DD1"/>
    <w:rsid w:val="00963ECC"/>
    <w:rsid w:val="009674F2"/>
    <w:rsid w:val="00970469"/>
    <w:rsid w:val="00973874"/>
    <w:rsid w:val="0097712F"/>
    <w:rsid w:val="00995896"/>
    <w:rsid w:val="009A7A9B"/>
    <w:rsid w:val="009D2E3D"/>
    <w:rsid w:val="009E1B73"/>
    <w:rsid w:val="009E4926"/>
    <w:rsid w:val="009E6BFC"/>
    <w:rsid w:val="009F0B68"/>
    <w:rsid w:val="009F5302"/>
    <w:rsid w:val="00A00459"/>
    <w:rsid w:val="00A0698D"/>
    <w:rsid w:val="00A13CD0"/>
    <w:rsid w:val="00A14579"/>
    <w:rsid w:val="00A14604"/>
    <w:rsid w:val="00A26B68"/>
    <w:rsid w:val="00A3318E"/>
    <w:rsid w:val="00A42D47"/>
    <w:rsid w:val="00A43274"/>
    <w:rsid w:val="00A54E13"/>
    <w:rsid w:val="00A66759"/>
    <w:rsid w:val="00A70C81"/>
    <w:rsid w:val="00A974A7"/>
    <w:rsid w:val="00AB6012"/>
    <w:rsid w:val="00AB6DBF"/>
    <w:rsid w:val="00AC35E1"/>
    <w:rsid w:val="00AC7434"/>
    <w:rsid w:val="00AD41F9"/>
    <w:rsid w:val="00AD49FB"/>
    <w:rsid w:val="00AE2640"/>
    <w:rsid w:val="00AE4BC2"/>
    <w:rsid w:val="00AF0CDE"/>
    <w:rsid w:val="00AF3227"/>
    <w:rsid w:val="00B20D9A"/>
    <w:rsid w:val="00B24770"/>
    <w:rsid w:val="00B34D30"/>
    <w:rsid w:val="00B461E0"/>
    <w:rsid w:val="00B47580"/>
    <w:rsid w:val="00B5299B"/>
    <w:rsid w:val="00B67524"/>
    <w:rsid w:val="00B75B04"/>
    <w:rsid w:val="00B76163"/>
    <w:rsid w:val="00B87A9A"/>
    <w:rsid w:val="00BA1024"/>
    <w:rsid w:val="00BA622B"/>
    <w:rsid w:val="00BB5E98"/>
    <w:rsid w:val="00BC162C"/>
    <w:rsid w:val="00BC3E22"/>
    <w:rsid w:val="00BC61C6"/>
    <w:rsid w:val="00BD658B"/>
    <w:rsid w:val="00BF2528"/>
    <w:rsid w:val="00C076CC"/>
    <w:rsid w:val="00C1090E"/>
    <w:rsid w:val="00C11931"/>
    <w:rsid w:val="00C23EC2"/>
    <w:rsid w:val="00C272A0"/>
    <w:rsid w:val="00C348A1"/>
    <w:rsid w:val="00C43F3A"/>
    <w:rsid w:val="00C44629"/>
    <w:rsid w:val="00C567C2"/>
    <w:rsid w:val="00C56ABB"/>
    <w:rsid w:val="00C72D75"/>
    <w:rsid w:val="00C7594F"/>
    <w:rsid w:val="00C853A4"/>
    <w:rsid w:val="00CA03AC"/>
    <w:rsid w:val="00CA0689"/>
    <w:rsid w:val="00CA3F09"/>
    <w:rsid w:val="00CA551F"/>
    <w:rsid w:val="00CA63BD"/>
    <w:rsid w:val="00CB2496"/>
    <w:rsid w:val="00CB2A4B"/>
    <w:rsid w:val="00CC292A"/>
    <w:rsid w:val="00CC29BF"/>
    <w:rsid w:val="00CD02C4"/>
    <w:rsid w:val="00CD19DB"/>
    <w:rsid w:val="00CE59AD"/>
    <w:rsid w:val="00CE5DF2"/>
    <w:rsid w:val="00CF0DB6"/>
    <w:rsid w:val="00D039FB"/>
    <w:rsid w:val="00D05CE5"/>
    <w:rsid w:val="00D072B2"/>
    <w:rsid w:val="00D16680"/>
    <w:rsid w:val="00D5374E"/>
    <w:rsid w:val="00D57C5A"/>
    <w:rsid w:val="00D6291E"/>
    <w:rsid w:val="00D66774"/>
    <w:rsid w:val="00D73D06"/>
    <w:rsid w:val="00D77116"/>
    <w:rsid w:val="00D77A8D"/>
    <w:rsid w:val="00D84B95"/>
    <w:rsid w:val="00D858E1"/>
    <w:rsid w:val="00D91E2D"/>
    <w:rsid w:val="00DA1E22"/>
    <w:rsid w:val="00DA2839"/>
    <w:rsid w:val="00DC63A5"/>
    <w:rsid w:val="00DD199A"/>
    <w:rsid w:val="00DE1B41"/>
    <w:rsid w:val="00E03990"/>
    <w:rsid w:val="00E12B98"/>
    <w:rsid w:val="00E135E8"/>
    <w:rsid w:val="00E23868"/>
    <w:rsid w:val="00E2667F"/>
    <w:rsid w:val="00E31C8A"/>
    <w:rsid w:val="00E45E87"/>
    <w:rsid w:val="00E552B9"/>
    <w:rsid w:val="00E76607"/>
    <w:rsid w:val="00E9273B"/>
    <w:rsid w:val="00E9530A"/>
    <w:rsid w:val="00E977A4"/>
    <w:rsid w:val="00EA7191"/>
    <w:rsid w:val="00EB0974"/>
    <w:rsid w:val="00EB34C4"/>
    <w:rsid w:val="00EB3EA0"/>
    <w:rsid w:val="00EC365D"/>
    <w:rsid w:val="00EC694E"/>
    <w:rsid w:val="00ED4699"/>
    <w:rsid w:val="00EE0136"/>
    <w:rsid w:val="00EE2B17"/>
    <w:rsid w:val="00EE2DA3"/>
    <w:rsid w:val="00F107A7"/>
    <w:rsid w:val="00F1102C"/>
    <w:rsid w:val="00F31234"/>
    <w:rsid w:val="00F34417"/>
    <w:rsid w:val="00F359AF"/>
    <w:rsid w:val="00F36035"/>
    <w:rsid w:val="00F41BB9"/>
    <w:rsid w:val="00F454DF"/>
    <w:rsid w:val="00F4751A"/>
    <w:rsid w:val="00F56C0E"/>
    <w:rsid w:val="00F64761"/>
    <w:rsid w:val="00F6484D"/>
    <w:rsid w:val="00F727D8"/>
    <w:rsid w:val="00F91FBA"/>
    <w:rsid w:val="00F92E59"/>
    <w:rsid w:val="00FB0045"/>
    <w:rsid w:val="00FC4151"/>
    <w:rsid w:val="00FE7C6A"/>
    <w:rsid w:val="00FF3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9BDE71"/>
  <w15:chartTrackingRefBased/>
  <w15:docId w15:val="{3E67C550-3EB7-4177-BCE2-FF91C83A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896"/>
    <w:pPr>
      <w:ind w:left="720"/>
      <w:contextualSpacing/>
    </w:pPr>
  </w:style>
  <w:style w:type="paragraph" w:styleId="FootnoteText">
    <w:name w:val="footnote text"/>
    <w:basedOn w:val="Normal"/>
    <w:link w:val="FootnoteTextChar"/>
    <w:uiPriority w:val="99"/>
    <w:semiHidden/>
    <w:unhideWhenUsed/>
    <w:rsid w:val="00B20D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0D9A"/>
    <w:rPr>
      <w:sz w:val="20"/>
      <w:szCs w:val="20"/>
    </w:rPr>
  </w:style>
  <w:style w:type="character" w:styleId="FootnoteReference">
    <w:name w:val="footnote reference"/>
    <w:basedOn w:val="DefaultParagraphFont"/>
    <w:uiPriority w:val="99"/>
    <w:semiHidden/>
    <w:unhideWhenUsed/>
    <w:rsid w:val="00B20D9A"/>
    <w:rPr>
      <w:vertAlign w:val="superscript"/>
    </w:rPr>
  </w:style>
  <w:style w:type="character" w:styleId="CommentReference">
    <w:name w:val="annotation reference"/>
    <w:basedOn w:val="DefaultParagraphFont"/>
    <w:uiPriority w:val="99"/>
    <w:semiHidden/>
    <w:unhideWhenUsed/>
    <w:rsid w:val="00F41BB9"/>
    <w:rPr>
      <w:sz w:val="16"/>
      <w:szCs w:val="16"/>
    </w:rPr>
  </w:style>
  <w:style w:type="paragraph" w:styleId="CommentText">
    <w:name w:val="annotation text"/>
    <w:basedOn w:val="Normal"/>
    <w:link w:val="CommentTextChar"/>
    <w:uiPriority w:val="99"/>
    <w:semiHidden/>
    <w:unhideWhenUsed/>
    <w:rsid w:val="00F41BB9"/>
    <w:pPr>
      <w:spacing w:line="240" w:lineRule="auto"/>
    </w:pPr>
    <w:rPr>
      <w:sz w:val="20"/>
      <w:szCs w:val="20"/>
    </w:rPr>
  </w:style>
  <w:style w:type="character" w:customStyle="1" w:styleId="CommentTextChar">
    <w:name w:val="Comment Text Char"/>
    <w:basedOn w:val="DefaultParagraphFont"/>
    <w:link w:val="CommentText"/>
    <w:uiPriority w:val="99"/>
    <w:semiHidden/>
    <w:rsid w:val="00F41BB9"/>
    <w:rPr>
      <w:sz w:val="20"/>
      <w:szCs w:val="20"/>
    </w:rPr>
  </w:style>
  <w:style w:type="paragraph" w:styleId="CommentSubject">
    <w:name w:val="annotation subject"/>
    <w:basedOn w:val="CommentText"/>
    <w:next w:val="CommentText"/>
    <w:link w:val="CommentSubjectChar"/>
    <w:uiPriority w:val="99"/>
    <w:semiHidden/>
    <w:unhideWhenUsed/>
    <w:rsid w:val="00F41BB9"/>
    <w:rPr>
      <w:b/>
      <w:bCs/>
    </w:rPr>
  </w:style>
  <w:style w:type="character" w:customStyle="1" w:styleId="CommentSubjectChar">
    <w:name w:val="Comment Subject Char"/>
    <w:basedOn w:val="CommentTextChar"/>
    <w:link w:val="CommentSubject"/>
    <w:uiPriority w:val="99"/>
    <w:semiHidden/>
    <w:rsid w:val="00F41BB9"/>
    <w:rPr>
      <w:b/>
      <w:bCs/>
      <w:sz w:val="20"/>
      <w:szCs w:val="20"/>
    </w:rPr>
  </w:style>
  <w:style w:type="paragraph" w:styleId="Header">
    <w:name w:val="header"/>
    <w:basedOn w:val="Normal"/>
    <w:link w:val="HeaderChar"/>
    <w:uiPriority w:val="99"/>
    <w:unhideWhenUsed/>
    <w:rsid w:val="00101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4B5"/>
  </w:style>
  <w:style w:type="paragraph" w:styleId="Footer">
    <w:name w:val="footer"/>
    <w:basedOn w:val="Normal"/>
    <w:link w:val="FooterChar"/>
    <w:uiPriority w:val="99"/>
    <w:unhideWhenUsed/>
    <w:rsid w:val="00101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4B5"/>
  </w:style>
  <w:style w:type="paragraph" w:styleId="Title">
    <w:name w:val="Title"/>
    <w:basedOn w:val="Normal"/>
    <w:link w:val="TitleChar"/>
    <w:uiPriority w:val="99"/>
    <w:qFormat/>
    <w:rsid w:val="0097712F"/>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97712F"/>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602E7A"/>
    <w:rPr>
      <w:color w:val="0563C1"/>
      <w:u w:val="single"/>
    </w:rPr>
  </w:style>
  <w:style w:type="character" w:styleId="UnresolvedMention">
    <w:name w:val="Unresolved Mention"/>
    <w:basedOn w:val="DefaultParagraphFont"/>
    <w:uiPriority w:val="99"/>
    <w:semiHidden/>
    <w:unhideWhenUsed/>
    <w:rsid w:val="00F454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rgladman@jonesday.com" TargetMode="External"/><Relationship Id="rId18" Type="http://schemas.openxmlformats.org/officeDocument/2006/relationships/hyperlink" Target="mailto:rkelter@elpc.org" TargetMode="External"/><Relationship Id="rId26" Type="http://schemas.openxmlformats.org/officeDocument/2006/relationships/hyperlink" Target="mailto:rdove@keglerbrown.com" TargetMode="External"/><Relationship Id="rId21" Type="http://schemas.openxmlformats.org/officeDocument/2006/relationships/hyperlink" Target="mailto:John.Jones@ohioattorneygeneral.gov" TargetMode="External"/><Relationship Id="rId34" Type="http://schemas.openxmlformats.org/officeDocument/2006/relationships/hyperlink" Target="mailto:kboehm@BKLlawfirm.com" TargetMode="External"/><Relationship Id="rId7" Type="http://schemas.openxmlformats.org/officeDocument/2006/relationships/endnotes" Target="endnotes.xml"/><Relationship Id="rId12" Type="http://schemas.openxmlformats.org/officeDocument/2006/relationships/hyperlink" Target="mailto:KJKLaw@yahoo.com" TargetMode="External"/><Relationship Id="rId17" Type="http://schemas.openxmlformats.org/officeDocument/2006/relationships/hyperlink" Target="mailto:jfinnigan@edf.org" TargetMode="External"/><Relationship Id="rId25" Type="http://schemas.openxmlformats.org/officeDocument/2006/relationships/hyperlink" Target="mailto:sechler@carpenterlipps.com" TargetMode="External"/><Relationship Id="rId33" Type="http://schemas.openxmlformats.org/officeDocument/2006/relationships/hyperlink" Target="mailto:mkurtz@BKLlawfirm.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leppla@theoec.org" TargetMode="External"/><Relationship Id="rId20" Type="http://schemas.openxmlformats.org/officeDocument/2006/relationships/hyperlink" Target="mailto:christopher.healey@occ.ohio.gov" TargetMode="External"/><Relationship Id="rId29" Type="http://schemas.openxmlformats.org/officeDocument/2006/relationships/hyperlink" Target="mailto:Bojko@carpenterlipp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knipe@firstenergycorp.com" TargetMode="External"/><Relationship Id="rId24" Type="http://schemas.openxmlformats.org/officeDocument/2006/relationships/hyperlink" Target="mailto:dparram@bricker.com" TargetMode="External"/><Relationship Id="rId32" Type="http://schemas.openxmlformats.org/officeDocument/2006/relationships/hyperlink" Target="mailto:Lauren.augostini@puco.ohio.gov"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dougherty@theoec.org" TargetMode="External"/><Relationship Id="rId23" Type="http://schemas.openxmlformats.org/officeDocument/2006/relationships/hyperlink" Target="mailto:dborchers@bricker.com" TargetMode="External"/><Relationship Id="rId28" Type="http://schemas.openxmlformats.org/officeDocument/2006/relationships/hyperlink" Target="mailto:callwein@keglerbrown.com" TargetMode="External"/><Relationship Id="rId36" Type="http://schemas.openxmlformats.org/officeDocument/2006/relationships/footer" Target="footer2.xml"/><Relationship Id="rId10" Type="http://schemas.openxmlformats.org/officeDocument/2006/relationships/hyperlink" Target="mailto:edanford@firstenergycorp.com" TargetMode="External"/><Relationship Id="rId19" Type="http://schemas.openxmlformats.org/officeDocument/2006/relationships/hyperlink" Target="mailto:swilliams@nrdc.org" TargetMode="External"/><Relationship Id="rId31" Type="http://schemas.openxmlformats.org/officeDocument/2006/relationships/hyperlink" Target="mailto:paul@carpenterlipp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tostado@jonesday.com" TargetMode="External"/><Relationship Id="rId22" Type="http://schemas.openxmlformats.org/officeDocument/2006/relationships/hyperlink" Target="mailto:mwarnock@bricker.com" TargetMode="External"/><Relationship Id="rId27" Type="http://schemas.openxmlformats.org/officeDocument/2006/relationships/hyperlink" Target="mailto:joliker@igsenergy.com" TargetMode="External"/><Relationship Id="rId30" Type="http://schemas.openxmlformats.org/officeDocument/2006/relationships/hyperlink" Target="mailto:Wygonski@carpenterlipps.com" TargetMode="External"/><Relationship Id="rId35" Type="http://schemas.openxmlformats.org/officeDocument/2006/relationships/hyperlink" Target="mailto:jkylercohn@BKLlawfirm.com" TargetMode="Externa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D69DF-AEE2-45C6-A9E2-C515A26D8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4450</Words>
  <Characters>25365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Stone Mattheis Xenopoulos &amp; Brew, PC</Company>
  <LinksUpToDate>false</LinksUpToDate>
  <CharactersWithSpaces>29756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Lavanga</dc:creator>
  <cp:keywords/>
  <dc:description/>
  <cp:lastModifiedBy>Chris Andersen</cp:lastModifiedBy>
  <cp:revision>2</cp:revision>
  <cp:lastPrinted>2021-03-25T15:28:00Z</cp:lastPrinted>
  <dcterms:created xsi:type="dcterms:W3CDTF">2021-03-26T17:42:00Z</dcterms:created>
  <dcterms:modified xsi:type="dcterms:W3CDTF">2021-03-26T17:42:00Z</dcterms:modified>
</cp:coreProperties>
</file>