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A739C" w:rsidRPr="002A4C23" w:rsidP="000A739C" w14:paraId="689F07C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2A4C23">
        <w:rPr>
          <w:rFonts w:ascii="Times New Roman" w:hAnsi="Times New Roman" w:cs="Times New Roman"/>
          <w:b/>
          <w:bCs/>
          <w:sz w:val="24"/>
          <w:szCs w:val="24"/>
        </w:rPr>
        <w:t>BEFORE</w:t>
      </w:r>
    </w:p>
    <w:p w:rsidR="000A739C" w:rsidRPr="002A4C23" w:rsidP="000A739C" w14:paraId="37F94D0F" w14:textId="77777777">
      <w:pPr>
        <w:pStyle w:val="HTMLPreformatted"/>
        <w:jc w:val="center"/>
        <w:rPr>
          <w:rFonts w:ascii="Times New Roman" w:hAnsi="Times New Roman" w:cs="Times New Roman"/>
          <w:b/>
          <w:bCs/>
          <w:sz w:val="24"/>
          <w:szCs w:val="24"/>
        </w:rPr>
      </w:pPr>
      <w:r w:rsidRPr="002A4C23">
        <w:rPr>
          <w:rFonts w:ascii="Times New Roman" w:hAnsi="Times New Roman" w:cs="Times New Roman"/>
          <w:b/>
          <w:bCs/>
          <w:sz w:val="24"/>
          <w:szCs w:val="24"/>
        </w:rPr>
        <w:t>THE PUBLIC UTILITIES COMMISSION OF OHIO</w:t>
      </w:r>
    </w:p>
    <w:p w:rsidR="000A739C" w:rsidRPr="002A4C23" w:rsidP="000A739C" w14:paraId="720DF909" w14:textId="77777777">
      <w:pPr>
        <w:pStyle w:val="HTMLPreformatted"/>
        <w:jc w:val="center"/>
        <w:rPr>
          <w:rFonts w:ascii="Times New Roman" w:hAnsi="Times New Roman" w:cs="Times New Roman"/>
          <w:b/>
          <w:bCs/>
          <w:sz w:val="24"/>
          <w:szCs w:val="24"/>
        </w:rPr>
      </w:pPr>
    </w:p>
    <w:tbl>
      <w:tblPr>
        <w:tblW w:w="9360" w:type="dxa"/>
        <w:tblLook w:val="01E0"/>
      </w:tblPr>
      <w:tblGrid>
        <w:gridCol w:w="4230"/>
        <w:gridCol w:w="720"/>
        <w:gridCol w:w="4410"/>
      </w:tblGrid>
      <w:tr w14:paraId="63DCAC06" w14:textId="77777777" w:rsidTr="00900124">
        <w:tblPrEx>
          <w:tblW w:w="9360" w:type="dxa"/>
          <w:tblLook w:val="01E0"/>
        </w:tblPrEx>
        <w:trPr>
          <w:trHeight w:val="807"/>
        </w:trPr>
        <w:tc>
          <w:tcPr>
            <w:tcW w:w="4230" w:type="dxa"/>
            <w:shd w:val="clear" w:color="auto" w:fill="auto"/>
          </w:tcPr>
          <w:p w:rsidR="000A739C" w:rsidRPr="002A4C23" w:rsidP="00900124" w14:paraId="1D17BE24"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In the Matter of the Review of the Power Purchase Agreement Rider of Ohio Power Company for 2018.</w:t>
            </w:r>
          </w:p>
          <w:p w:rsidR="000A739C" w:rsidRPr="002A4C23" w:rsidP="00900124" w14:paraId="32E625E6" w14:textId="77777777">
            <w:pPr>
              <w:pStyle w:val="HTMLPreformatted"/>
              <w:rPr>
                <w:rFonts w:ascii="Times New Roman" w:hAnsi="Times New Roman" w:cs="Times New Roman"/>
                <w:sz w:val="24"/>
                <w:szCs w:val="24"/>
              </w:rPr>
            </w:pPr>
          </w:p>
          <w:p w:rsidR="000A739C" w:rsidRPr="002A4C23" w:rsidP="00900124" w14:paraId="4248B296"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In the Matter of the Review of the Power Purchase Agreement Rider of Ohio Power Company for 2019.</w:t>
            </w:r>
          </w:p>
        </w:tc>
        <w:tc>
          <w:tcPr>
            <w:tcW w:w="720" w:type="dxa"/>
            <w:shd w:val="clear" w:color="auto" w:fill="auto"/>
          </w:tcPr>
          <w:p w:rsidR="000A739C" w:rsidRPr="002A4C23" w:rsidP="00900124" w14:paraId="79F7E9A6"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0A739C" w:rsidRPr="002A4C23" w:rsidP="00900124" w14:paraId="36CB783F"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0A739C" w:rsidRPr="002A4C23" w:rsidP="00900124" w14:paraId="36D0D4F1"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0A739C" w:rsidRPr="002A4C23" w:rsidP="00900124" w14:paraId="0485E30B" w14:textId="77777777">
            <w:pPr>
              <w:pStyle w:val="HTMLPreformatted"/>
              <w:rPr>
                <w:rFonts w:ascii="Times New Roman" w:hAnsi="Times New Roman" w:cs="Times New Roman"/>
                <w:sz w:val="24"/>
                <w:szCs w:val="24"/>
              </w:rPr>
            </w:pPr>
          </w:p>
          <w:p w:rsidR="000A739C" w:rsidRPr="002A4C23" w:rsidP="00900124" w14:paraId="1F63C708"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0A739C" w:rsidRPr="002A4C23" w:rsidP="00900124" w14:paraId="51D753EC"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0A739C" w:rsidRPr="002A4C23" w:rsidP="00900124" w14:paraId="4CBB72A7"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tc>
        <w:tc>
          <w:tcPr>
            <w:tcW w:w="4410" w:type="dxa"/>
            <w:shd w:val="clear" w:color="auto" w:fill="auto"/>
          </w:tcPr>
          <w:p w:rsidR="000A739C" w:rsidRPr="002A4C23" w:rsidP="00900124" w14:paraId="4E2A5C6A" w14:textId="77777777">
            <w:pPr>
              <w:pStyle w:val="HTMLPreformatted"/>
              <w:rPr>
                <w:rFonts w:ascii="Times New Roman" w:hAnsi="Times New Roman" w:cs="Times New Roman"/>
                <w:sz w:val="24"/>
                <w:szCs w:val="24"/>
              </w:rPr>
            </w:pPr>
          </w:p>
          <w:p w:rsidR="000A739C" w:rsidRPr="002A4C23" w:rsidP="00900124" w14:paraId="4A282FFD"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Case No. 18-1004-EL-RDR</w:t>
            </w:r>
          </w:p>
          <w:p w:rsidR="000A739C" w:rsidRPr="002A4C23" w:rsidP="00900124" w14:paraId="02C5E2D1" w14:textId="77777777">
            <w:pPr>
              <w:pStyle w:val="HTMLPreformatted"/>
              <w:rPr>
                <w:rFonts w:ascii="Times New Roman" w:hAnsi="Times New Roman" w:cs="Times New Roman"/>
                <w:sz w:val="24"/>
                <w:szCs w:val="24"/>
              </w:rPr>
            </w:pPr>
          </w:p>
          <w:p w:rsidR="000A739C" w:rsidRPr="002A4C23" w:rsidP="00900124" w14:paraId="7C9B2099" w14:textId="77777777">
            <w:pPr>
              <w:pStyle w:val="HTMLPreformatted"/>
              <w:rPr>
                <w:rFonts w:ascii="Times New Roman" w:hAnsi="Times New Roman" w:cs="Times New Roman"/>
                <w:sz w:val="24"/>
                <w:szCs w:val="24"/>
              </w:rPr>
            </w:pPr>
          </w:p>
          <w:p w:rsidR="000A739C" w:rsidRPr="002A4C23" w:rsidP="00900124" w14:paraId="663E8205" w14:textId="77777777">
            <w:pPr>
              <w:pStyle w:val="HTMLPreformatted"/>
              <w:rPr>
                <w:rFonts w:ascii="Times New Roman" w:hAnsi="Times New Roman" w:cs="Times New Roman"/>
                <w:sz w:val="24"/>
                <w:szCs w:val="24"/>
              </w:rPr>
            </w:pPr>
          </w:p>
          <w:p w:rsidR="000A739C" w:rsidRPr="002A4C23" w:rsidP="00900124" w14:paraId="070EF514"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Case No. 18-1759-EL-RDR</w:t>
            </w:r>
          </w:p>
        </w:tc>
      </w:tr>
    </w:tbl>
    <w:p w:rsidR="000A739C" w:rsidRPr="002A4C23" w:rsidP="000A739C" w14:paraId="23C03F05" w14:textId="77777777">
      <w:pPr>
        <w:pStyle w:val="HTMLPreformatted"/>
        <w:rPr>
          <w:rFonts w:ascii="Times New Roman" w:hAnsi="Times New Roman" w:cs="Times New Roman"/>
          <w:sz w:val="24"/>
          <w:szCs w:val="24"/>
        </w:rPr>
      </w:pPr>
    </w:p>
    <w:p w:rsidR="000A739C" w:rsidRPr="002A4C23" w:rsidP="000A739C" w14:paraId="213E5851" w14:textId="77777777">
      <w:pPr>
        <w:pStyle w:val="HTMLPreformatted"/>
        <w:pBdr>
          <w:top w:val="single" w:sz="12" w:space="1" w:color="auto"/>
        </w:pBdr>
        <w:rPr>
          <w:rFonts w:ascii="Times New Roman" w:hAnsi="Times New Roman" w:cs="Times New Roman"/>
          <w:sz w:val="24"/>
          <w:szCs w:val="24"/>
        </w:rPr>
      </w:pPr>
    </w:p>
    <w:p w:rsidR="00174DEE" w:rsidRPr="002A4C23" w:rsidP="00174DEE" w14:paraId="226A8917" w14:textId="77777777">
      <w:pPr>
        <w:kinsoku w:val="0"/>
        <w:overflowPunct w:val="0"/>
        <w:autoSpaceDE w:val="0"/>
        <w:autoSpaceDN w:val="0"/>
        <w:adjustRightInd w:val="0"/>
        <w:spacing w:before="1" w:after="0" w:line="240" w:lineRule="auto"/>
        <w:jc w:val="center"/>
        <w:rPr>
          <w:rFonts w:ascii="Times New Roman" w:hAnsi="Times New Roman" w:cs="Times New Roman"/>
          <w:b/>
          <w:bCs/>
          <w:sz w:val="24"/>
          <w:szCs w:val="24"/>
        </w:rPr>
      </w:pPr>
      <w:r w:rsidRPr="002A4C23">
        <w:rPr>
          <w:rFonts w:ascii="Times New Roman" w:hAnsi="Times New Roman" w:cs="Times New Roman"/>
          <w:b/>
          <w:bCs/>
          <w:sz w:val="24"/>
          <w:szCs w:val="24"/>
        </w:rPr>
        <w:t>REPLY BRIEF</w:t>
      </w:r>
    </w:p>
    <w:p w:rsidR="000A739C" w:rsidRPr="002A4C23" w:rsidP="000A739C" w14:paraId="6FDDD7CE" w14:textId="77777777">
      <w:pPr>
        <w:spacing w:after="0" w:line="240" w:lineRule="auto"/>
        <w:jc w:val="center"/>
        <w:rPr>
          <w:rFonts w:ascii="Times New Roman" w:eastAsia="Times New Roman" w:hAnsi="Times New Roman" w:cs="Times New Roman"/>
          <w:b/>
          <w:bCs/>
          <w:sz w:val="24"/>
          <w:szCs w:val="24"/>
        </w:rPr>
      </w:pPr>
      <w:r w:rsidRPr="002A4C23">
        <w:rPr>
          <w:rFonts w:ascii="Times New Roman" w:eastAsia="Times New Roman" w:hAnsi="Times New Roman" w:cs="Times New Roman"/>
          <w:b/>
          <w:bCs/>
          <w:w w:val="90"/>
          <w:sz w:val="24"/>
          <w:szCs w:val="24"/>
        </w:rPr>
        <w:t>BY</w:t>
      </w:r>
    </w:p>
    <w:p w:rsidR="000A739C" w:rsidRPr="002A4C23" w:rsidP="000A739C" w14:paraId="2CACF88B" w14:textId="4E58800B">
      <w:pPr>
        <w:spacing w:after="0" w:line="240" w:lineRule="auto"/>
        <w:jc w:val="center"/>
        <w:rPr>
          <w:rFonts w:ascii="Times New Roman" w:hAnsi="Times New Roman" w:cs="Times New Roman"/>
          <w:b/>
          <w:bCs/>
          <w:w w:val="105"/>
          <w:sz w:val="24"/>
          <w:szCs w:val="24"/>
        </w:rPr>
      </w:pPr>
      <w:r w:rsidRPr="002A4C23">
        <w:rPr>
          <w:rFonts w:ascii="Times New Roman" w:hAnsi="Times New Roman" w:cs="Times New Roman"/>
          <w:b/>
          <w:bCs/>
          <w:w w:val="105"/>
          <w:sz w:val="24"/>
          <w:szCs w:val="24"/>
        </w:rPr>
        <w:t>OFFICE</w:t>
      </w:r>
      <w:r w:rsidRPr="002A4C23">
        <w:rPr>
          <w:rFonts w:ascii="Times New Roman" w:hAnsi="Times New Roman" w:cs="Times New Roman"/>
          <w:b/>
          <w:bCs/>
          <w:spacing w:val="1"/>
          <w:w w:val="105"/>
          <w:sz w:val="24"/>
          <w:szCs w:val="24"/>
        </w:rPr>
        <w:t xml:space="preserve"> </w:t>
      </w:r>
      <w:r w:rsidRPr="002A4C23">
        <w:rPr>
          <w:rFonts w:ascii="Times New Roman" w:hAnsi="Times New Roman" w:cs="Times New Roman"/>
          <w:b/>
          <w:bCs/>
          <w:w w:val="105"/>
          <w:sz w:val="24"/>
          <w:szCs w:val="24"/>
        </w:rPr>
        <w:t>OF</w:t>
      </w:r>
      <w:r w:rsidRPr="002A4C23">
        <w:rPr>
          <w:rFonts w:ascii="Times New Roman" w:hAnsi="Times New Roman" w:cs="Times New Roman"/>
          <w:b/>
          <w:bCs/>
          <w:spacing w:val="-23"/>
          <w:w w:val="105"/>
          <w:sz w:val="24"/>
          <w:szCs w:val="24"/>
        </w:rPr>
        <w:t xml:space="preserve"> </w:t>
      </w:r>
      <w:r w:rsidRPr="002A4C23">
        <w:rPr>
          <w:rFonts w:ascii="Times New Roman" w:hAnsi="Times New Roman" w:cs="Times New Roman"/>
          <w:b/>
          <w:bCs/>
          <w:w w:val="105"/>
          <w:sz w:val="24"/>
          <w:szCs w:val="24"/>
        </w:rPr>
        <w:t>THE</w:t>
      </w:r>
      <w:r w:rsidRPr="002A4C23">
        <w:rPr>
          <w:rFonts w:ascii="Times New Roman" w:hAnsi="Times New Roman" w:cs="Times New Roman"/>
          <w:b/>
          <w:bCs/>
          <w:spacing w:val="-9"/>
          <w:w w:val="105"/>
          <w:sz w:val="24"/>
          <w:szCs w:val="24"/>
        </w:rPr>
        <w:t xml:space="preserve"> </w:t>
      </w:r>
      <w:r w:rsidRPr="002A4C23">
        <w:rPr>
          <w:rFonts w:ascii="Times New Roman" w:hAnsi="Times New Roman" w:cs="Times New Roman"/>
          <w:b/>
          <w:bCs/>
          <w:w w:val="105"/>
          <w:sz w:val="24"/>
          <w:szCs w:val="24"/>
        </w:rPr>
        <w:t>OHIO</w:t>
      </w:r>
      <w:r w:rsidRPr="002A4C23">
        <w:rPr>
          <w:rFonts w:ascii="Times New Roman" w:hAnsi="Times New Roman" w:cs="Times New Roman"/>
          <w:b/>
          <w:bCs/>
          <w:spacing w:val="1"/>
          <w:w w:val="105"/>
          <w:sz w:val="24"/>
          <w:szCs w:val="24"/>
        </w:rPr>
        <w:t xml:space="preserve"> </w:t>
      </w:r>
      <w:r w:rsidRPr="002A4C23">
        <w:rPr>
          <w:rFonts w:ascii="Times New Roman" w:hAnsi="Times New Roman" w:cs="Times New Roman"/>
          <w:b/>
          <w:bCs/>
          <w:w w:val="105"/>
          <w:sz w:val="24"/>
          <w:szCs w:val="24"/>
        </w:rPr>
        <w:t>CONSUMERS'</w:t>
      </w:r>
      <w:r w:rsidRPr="002A4C23">
        <w:rPr>
          <w:rFonts w:ascii="Times New Roman" w:hAnsi="Times New Roman" w:cs="Times New Roman"/>
          <w:b/>
          <w:bCs/>
          <w:spacing w:val="21"/>
          <w:w w:val="105"/>
          <w:sz w:val="24"/>
          <w:szCs w:val="24"/>
        </w:rPr>
        <w:t xml:space="preserve"> </w:t>
      </w:r>
      <w:r w:rsidRPr="002A4C23">
        <w:rPr>
          <w:rFonts w:ascii="Times New Roman" w:hAnsi="Times New Roman" w:cs="Times New Roman"/>
          <w:b/>
          <w:bCs/>
          <w:w w:val="105"/>
          <w:sz w:val="24"/>
          <w:szCs w:val="24"/>
        </w:rPr>
        <w:t>COUNSEL</w:t>
      </w:r>
    </w:p>
    <w:p w:rsidR="000A739C" w:rsidRPr="002A4C23" w:rsidP="000A739C" w14:paraId="71C5D536" w14:textId="77777777">
      <w:pPr>
        <w:pBdr>
          <w:bottom w:val="single" w:sz="12" w:space="1" w:color="auto"/>
        </w:pBdr>
        <w:tabs>
          <w:tab w:val="left" w:pos="4320"/>
        </w:tabs>
        <w:spacing w:after="0" w:line="240" w:lineRule="auto"/>
        <w:rPr>
          <w:rFonts w:ascii="Times New Roman" w:hAnsi="Times New Roman" w:cs="Times New Roman"/>
          <w:sz w:val="24"/>
          <w:szCs w:val="24"/>
        </w:rPr>
      </w:pPr>
    </w:p>
    <w:p w:rsidR="003D5048" w:rsidRPr="002A4C23" w:rsidP="00B23CBA" w14:paraId="43633EFE" w14:textId="775A18FF">
      <w:pPr>
        <w:kinsoku w:val="0"/>
        <w:overflowPunct w:val="0"/>
        <w:autoSpaceDE w:val="0"/>
        <w:autoSpaceDN w:val="0"/>
        <w:adjustRightInd w:val="0"/>
        <w:spacing w:before="1" w:after="0" w:line="240" w:lineRule="auto"/>
        <w:rPr>
          <w:rFonts w:ascii="Times New Roman" w:hAnsi="Times New Roman" w:cs="Times New Roman"/>
          <w:b/>
          <w:bCs/>
          <w:sz w:val="24"/>
          <w:szCs w:val="24"/>
        </w:rPr>
      </w:pPr>
    </w:p>
    <w:p w:rsidR="000A739C" w:rsidRPr="002A4C23" w:rsidP="000A739C" w14:paraId="0F3E9E57" w14:textId="77777777">
      <w:pPr>
        <w:kinsoku w:val="0"/>
        <w:overflowPunct w:val="0"/>
        <w:autoSpaceDE w:val="0"/>
        <w:autoSpaceDN w:val="0"/>
        <w:adjustRightInd w:val="0"/>
        <w:spacing w:before="1" w:after="0" w:line="240" w:lineRule="auto"/>
        <w:ind w:left="4439"/>
        <w:rPr>
          <w:rFonts w:ascii="Times New Roman" w:hAnsi="Times New Roman" w:cs="Times New Roman"/>
          <w:color w:val="221F1F"/>
          <w:sz w:val="24"/>
          <w:szCs w:val="24"/>
        </w:rPr>
      </w:pPr>
      <w:bookmarkStart w:id="0" w:name="_Hlk99961384"/>
    </w:p>
    <w:bookmarkEnd w:id="0"/>
    <w:p w:rsidR="000A739C" w:rsidRPr="002A4C23" w:rsidP="000A739C" w14:paraId="31382AAA" w14:textId="77777777">
      <w:pPr>
        <w:widowControl w:val="0"/>
        <w:tabs>
          <w:tab w:val="left" w:pos="4320"/>
          <w:tab w:val="center" w:pos="4680"/>
          <w:tab w:val="right" w:pos="936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Bruce Weston (0016973)</w:t>
      </w:r>
    </w:p>
    <w:p w:rsidR="000A739C" w:rsidRPr="002A4C23" w:rsidP="000A739C" w14:paraId="52C981D1"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Ohio Consumers’ Counsel</w:t>
      </w:r>
    </w:p>
    <w:p w:rsidR="000A739C" w:rsidRPr="002A4C23" w:rsidP="000A739C" w14:paraId="0B16C3DF" w14:textId="5C497651">
      <w:pPr>
        <w:widowControl w:val="0"/>
        <w:tabs>
          <w:tab w:val="left" w:pos="4320"/>
        </w:tabs>
        <w:spacing w:after="0" w:line="240" w:lineRule="auto"/>
        <w:rPr>
          <w:rFonts w:ascii="Times New Roman" w:eastAsia="Calibri" w:hAnsi="Times New Roman" w:cs="Times New Roman"/>
          <w:i/>
          <w:iCs/>
          <w:sz w:val="24"/>
          <w:szCs w:val="24"/>
          <w:u w:val="single"/>
        </w:rPr>
      </w:pPr>
    </w:p>
    <w:p w:rsidR="000A739C" w:rsidRPr="002A4C23" w:rsidP="000A739C" w14:paraId="0364FA10"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John Finnigan (0018689)</w:t>
      </w:r>
    </w:p>
    <w:p w:rsidR="000A739C" w:rsidRPr="002A4C23" w:rsidP="000A739C" w14:paraId="53D9E631"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Counsel of Record</w:t>
      </w:r>
    </w:p>
    <w:p w:rsidR="000A739C" w:rsidRPr="002A4C23" w:rsidP="000A739C" w14:paraId="6960D059"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William Michael (0070921)</w:t>
      </w:r>
    </w:p>
    <w:p w:rsidR="000A739C" w:rsidRPr="002A4C23" w:rsidP="000A739C" w14:paraId="4225CB69"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Assistant Consumers’ Counsel</w:t>
      </w:r>
    </w:p>
    <w:p w:rsidR="000A739C" w:rsidRPr="002A4C23" w:rsidP="000A739C" w14:paraId="3EF95642" w14:textId="77777777">
      <w:pPr>
        <w:widowControl w:val="0"/>
        <w:tabs>
          <w:tab w:val="left" w:pos="4320"/>
        </w:tabs>
        <w:spacing w:after="0" w:line="240" w:lineRule="auto"/>
        <w:ind w:left="4320"/>
        <w:rPr>
          <w:rFonts w:ascii="Times New Roman" w:eastAsia="Calibri" w:hAnsi="Times New Roman" w:cs="Times New Roman"/>
          <w:sz w:val="24"/>
          <w:szCs w:val="24"/>
        </w:rPr>
      </w:pPr>
    </w:p>
    <w:p w:rsidR="000A739C" w:rsidRPr="002A4C23" w:rsidP="000A739C" w14:paraId="7E6EF704" w14:textId="77777777">
      <w:pPr>
        <w:widowControl w:val="0"/>
        <w:tabs>
          <w:tab w:val="left" w:pos="4320"/>
        </w:tabs>
        <w:spacing w:after="0" w:line="240" w:lineRule="auto"/>
        <w:ind w:left="4320"/>
        <w:rPr>
          <w:rFonts w:ascii="Times New Roman" w:eastAsia="Calibri" w:hAnsi="Times New Roman" w:cs="Times New Roman"/>
          <w:b/>
          <w:bCs/>
          <w:sz w:val="24"/>
          <w:szCs w:val="24"/>
        </w:rPr>
      </w:pPr>
      <w:r w:rsidRPr="002A4C23">
        <w:rPr>
          <w:rFonts w:ascii="Times New Roman" w:eastAsia="Calibri" w:hAnsi="Times New Roman" w:cs="Times New Roman"/>
          <w:b/>
          <w:sz w:val="24"/>
          <w:szCs w:val="24"/>
        </w:rPr>
        <w:t>Office of the Ohio Consumers’ Counsel</w:t>
      </w:r>
    </w:p>
    <w:p w:rsidR="000A739C" w:rsidRPr="002A4C23" w:rsidP="000A739C" w14:paraId="02075AE1" w14:textId="77777777">
      <w:pPr>
        <w:widowControl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65 East State Street, Suite 700</w:t>
      </w:r>
    </w:p>
    <w:p w:rsidR="000A739C" w:rsidRPr="002A4C23" w:rsidP="000A739C" w14:paraId="6F36181E" w14:textId="77777777">
      <w:pPr>
        <w:widowControl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Columbus, Ohio 43215</w:t>
      </w:r>
    </w:p>
    <w:p w:rsidR="000A739C" w:rsidRPr="002A4C23" w:rsidP="000A739C" w14:paraId="09482174" w14:textId="77777777">
      <w:pPr>
        <w:widowControl w:val="0"/>
        <w:autoSpaceDE w:val="0"/>
        <w:autoSpaceDN w:val="0"/>
        <w:adjustRightInd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Telephone [Finnigan]: (614) 466-9585</w:t>
      </w:r>
    </w:p>
    <w:p w:rsidR="000A739C" w:rsidRPr="002A4C23" w:rsidP="000A739C" w14:paraId="2F380E92" w14:textId="77777777">
      <w:pPr>
        <w:widowControl w:val="0"/>
        <w:autoSpaceDE w:val="0"/>
        <w:autoSpaceDN w:val="0"/>
        <w:adjustRightInd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Telephone [Michael]: (614) 466-1291</w:t>
      </w:r>
    </w:p>
    <w:p w:rsidR="000A739C" w:rsidRPr="002A4C23" w:rsidP="000A739C" w14:paraId="1493D00F" w14:textId="77777777">
      <w:pPr>
        <w:widowControl w:val="0"/>
        <w:autoSpaceDE w:val="0"/>
        <w:autoSpaceDN w:val="0"/>
        <w:adjustRightInd w:val="0"/>
        <w:spacing w:after="0" w:line="240" w:lineRule="auto"/>
        <w:ind w:left="4320"/>
        <w:rPr>
          <w:rFonts w:ascii="Times New Roman" w:eastAsia="Calibri" w:hAnsi="Times New Roman" w:cs="Times New Roman"/>
          <w:color w:val="0000FF"/>
          <w:sz w:val="24"/>
          <w:szCs w:val="24"/>
          <w:u w:val="single"/>
        </w:rPr>
      </w:pPr>
      <w:r w:rsidRPr="002A4C23">
        <w:rPr>
          <w:rFonts w:ascii="Times New Roman" w:eastAsia="Calibri" w:hAnsi="Times New Roman" w:cs="Times New Roman"/>
          <w:color w:val="0000FF"/>
          <w:sz w:val="24"/>
          <w:szCs w:val="24"/>
          <w:u w:val="single"/>
        </w:rPr>
        <w:t>john.finnigan@occ.ohio.gov</w:t>
      </w:r>
    </w:p>
    <w:p w:rsidR="000A739C" w:rsidRPr="002A4C23" w:rsidP="000A739C" w14:paraId="05A17AD6" w14:textId="77777777">
      <w:pPr>
        <w:widowControl w:val="0"/>
        <w:autoSpaceDE w:val="0"/>
        <w:autoSpaceDN w:val="0"/>
        <w:adjustRightInd w:val="0"/>
        <w:spacing w:after="0" w:line="240" w:lineRule="auto"/>
        <w:ind w:left="4320"/>
        <w:rPr>
          <w:rFonts w:ascii="Times New Roman" w:eastAsia="Calibri" w:hAnsi="Times New Roman" w:cs="Times New Roman"/>
          <w:color w:val="0000FF"/>
          <w:sz w:val="24"/>
          <w:szCs w:val="24"/>
          <w:u w:val="single"/>
        </w:rPr>
      </w:pPr>
      <w:r w:rsidRPr="002A4C23">
        <w:rPr>
          <w:rFonts w:ascii="Times New Roman" w:eastAsia="Calibri" w:hAnsi="Times New Roman" w:cs="Times New Roman"/>
          <w:color w:val="0000FF"/>
          <w:sz w:val="24"/>
          <w:szCs w:val="24"/>
          <w:u w:val="single"/>
        </w:rPr>
        <w:t>william.michael@occ.ohio.gov</w:t>
      </w:r>
    </w:p>
    <w:p w:rsidR="00094DFD" w:rsidRPr="002A4C23" w:rsidP="000A739C" w14:paraId="5B26AD0A" w14:textId="77777777">
      <w:pPr>
        <w:widowControl w:val="0"/>
        <w:autoSpaceDE w:val="0"/>
        <w:autoSpaceDN w:val="0"/>
        <w:adjustRightInd w:val="0"/>
        <w:spacing w:after="0" w:line="240" w:lineRule="auto"/>
        <w:ind w:left="4320" w:hanging="4320"/>
        <w:rPr>
          <w:rFonts w:ascii="Times New Roman" w:eastAsia="Calibri" w:hAnsi="Times New Roman" w:cs="Times New Roman"/>
          <w:sz w:val="24"/>
          <w:szCs w:val="24"/>
        </w:rPr>
        <w:sectPr w:rsidSect="000A739C">
          <w:footerReference w:type="default" r:id="rId6"/>
          <w:pgSz w:w="12240" w:h="15840"/>
          <w:pgMar w:top="1440" w:right="1800" w:bottom="1440" w:left="1800" w:header="720" w:footer="720" w:gutter="0"/>
          <w:pgNumType w:start="1"/>
          <w:cols w:space="720"/>
          <w:docGrid w:linePitch="360"/>
        </w:sectPr>
      </w:pPr>
      <w:r w:rsidRPr="002A4C23">
        <w:rPr>
          <w:rFonts w:ascii="Times New Roman" w:eastAsia="Calibri" w:hAnsi="Times New Roman" w:cs="Times New Roman"/>
          <w:sz w:val="24"/>
          <w:szCs w:val="24"/>
        </w:rPr>
        <w:t>April 8, 2022</w:t>
      </w:r>
      <w:r w:rsidRPr="002A4C23">
        <w:rPr>
          <w:rFonts w:ascii="Times New Roman" w:eastAsia="Calibri" w:hAnsi="Times New Roman" w:cs="Times New Roman"/>
          <w:sz w:val="24"/>
          <w:szCs w:val="24"/>
        </w:rPr>
        <w:tab/>
        <w:t>(willing to accept service by e-mail)</w:t>
      </w:r>
    </w:p>
    <w:p w:rsidR="00EE3A1C" w:rsidRPr="002A4C23" w:rsidP="00EE3A1C" w14:paraId="42E1C8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u w:val="single"/>
        </w:rPr>
      </w:pPr>
      <w:r w:rsidRPr="002A4C23">
        <w:rPr>
          <w:rFonts w:ascii="Times New Roman" w:eastAsia="Calibri" w:hAnsi="Times New Roman" w:cs="Times New Roman"/>
          <w:b/>
          <w:bCs/>
          <w:sz w:val="24"/>
          <w:szCs w:val="24"/>
          <w:u w:val="single"/>
        </w:rPr>
        <w:t>TABLE OF CONTENTS</w:t>
      </w:r>
    </w:p>
    <w:p w:rsidR="00EE3A1C" w:rsidRPr="002A4C23" w:rsidP="00EE3A1C" w14:paraId="6ADBE08C" w14:textId="72F98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r w:rsidRPr="002A4C23">
        <w:rPr>
          <w:rFonts w:ascii="Times New Roman" w:eastAsia="Calibri" w:hAnsi="Times New Roman" w:cs="Times New Roman"/>
          <w:b/>
          <w:bCs/>
          <w:sz w:val="24"/>
          <w:szCs w:val="24"/>
        </w:rPr>
        <w:t>PAGE</w:t>
      </w:r>
    </w:p>
    <w:p w:rsidR="00756FE5" w:rsidRPr="002A4C23" w:rsidP="00EE3A1C" w14:paraId="6948B5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p>
    <w:p w:rsidR="0023457E" w14:paraId="0BF3A3B4" w14:textId="470BDDBE">
      <w:pPr>
        <w:pStyle w:val="TOC1"/>
        <w:rPr>
          <w:rFonts w:asciiTheme="minorHAnsi" w:eastAsiaTheme="minorEastAsia" w:hAnsiTheme="minorHAnsi"/>
          <w:noProof/>
          <w:sz w:val="22"/>
        </w:rPr>
      </w:pPr>
      <w:r w:rsidRPr="002A4C23">
        <w:rPr>
          <w:rFonts w:eastAsia="Calibri" w:cs="Times New Roman"/>
          <w:szCs w:val="24"/>
        </w:rPr>
        <w:fldChar w:fldCharType="begin"/>
      </w:r>
      <w:r w:rsidRPr="002A4C23">
        <w:rPr>
          <w:rFonts w:eastAsia="Calibri" w:cs="Times New Roman"/>
          <w:szCs w:val="24"/>
        </w:rPr>
        <w:instrText xml:space="preserve"> TOC \o "1-3" \h \z \u </w:instrText>
      </w:r>
      <w:r w:rsidRPr="002A4C23">
        <w:rPr>
          <w:rFonts w:eastAsia="Calibri" w:cs="Times New Roman"/>
          <w:szCs w:val="24"/>
        </w:rPr>
        <w:fldChar w:fldCharType="separate"/>
      </w:r>
      <w:hyperlink w:anchor="_Toc100315453" w:history="1">
        <w:r w:rsidRPr="00EE223D">
          <w:rPr>
            <w:rStyle w:val="Hyperlink"/>
            <w:rFonts w:cs="Times New Roman"/>
            <w:noProof/>
          </w:rPr>
          <w:t>I.</w:t>
        </w:r>
        <w:r>
          <w:rPr>
            <w:rFonts w:asciiTheme="minorHAnsi" w:eastAsiaTheme="minorEastAsia" w:hAnsiTheme="minorHAnsi"/>
            <w:noProof/>
            <w:sz w:val="22"/>
          </w:rPr>
          <w:tab/>
        </w:r>
        <w:r w:rsidRPr="00EE223D">
          <w:rPr>
            <w:rStyle w:val="Hyperlink"/>
            <w:rFonts w:cs="Times New Roman"/>
            <w:noProof/>
          </w:rPr>
          <w:t>INTRODUCTION</w:t>
        </w:r>
        <w:r>
          <w:rPr>
            <w:noProof/>
            <w:webHidden/>
          </w:rPr>
          <w:tab/>
        </w:r>
        <w:r>
          <w:rPr>
            <w:noProof/>
            <w:webHidden/>
          </w:rPr>
          <w:fldChar w:fldCharType="begin"/>
        </w:r>
        <w:r>
          <w:rPr>
            <w:noProof/>
            <w:webHidden/>
          </w:rPr>
          <w:instrText xml:space="preserve"> PAGEREF _Toc100315453 \h </w:instrText>
        </w:r>
        <w:r>
          <w:rPr>
            <w:noProof/>
            <w:webHidden/>
          </w:rPr>
          <w:fldChar w:fldCharType="separate"/>
        </w:r>
        <w:r>
          <w:rPr>
            <w:noProof/>
            <w:webHidden/>
          </w:rPr>
          <w:t>1</w:t>
        </w:r>
        <w:r>
          <w:rPr>
            <w:noProof/>
            <w:webHidden/>
          </w:rPr>
          <w:fldChar w:fldCharType="end"/>
        </w:r>
      </w:hyperlink>
    </w:p>
    <w:p w:rsidR="0023457E" w14:paraId="1CDBEA2A" w14:textId="4E96241E">
      <w:pPr>
        <w:pStyle w:val="TOC1"/>
        <w:rPr>
          <w:rFonts w:asciiTheme="minorHAnsi" w:eastAsiaTheme="minorEastAsia" w:hAnsiTheme="minorHAnsi"/>
          <w:noProof/>
          <w:sz w:val="22"/>
        </w:rPr>
      </w:pPr>
      <w:hyperlink w:anchor="_Toc100315454" w:history="1">
        <w:r w:rsidRPr="00EE223D">
          <w:rPr>
            <w:rStyle w:val="Hyperlink"/>
            <w:rFonts w:cs="Times New Roman"/>
            <w:noProof/>
          </w:rPr>
          <w:t>II.</w:t>
        </w:r>
        <w:r>
          <w:rPr>
            <w:rFonts w:asciiTheme="minorHAnsi" w:eastAsiaTheme="minorEastAsia" w:hAnsiTheme="minorHAnsi"/>
            <w:noProof/>
            <w:sz w:val="22"/>
          </w:rPr>
          <w:tab/>
        </w:r>
        <w:r w:rsidRPr="00EE223D">
          <w:rPr>
            <w:rStyle w:val="Hyperlink"/>
            <w:rFonts w:cs="Times New Roman"/>
            <w:noProof/>
          </w:rPr>
          <w:t>LAW AND ARGUMENT</w:t>
        </w:r>
        <w:r>
          <w:rPr>
            <w:noProof/>
            <w:webHidden/>
          </w:rPr>
          <w:tab/>
        </w:r>
        <w:r>
          <w:rPr>
            <w:noProof/>
            <w:webHidden/>
          </w:rPr>
          <w:fldChar w:fldCharType="begin"/>
        </w:r>
        <w:r>
          <w:rPr>
            <w:noProof/>
            <w:webHidden/>
          </w:rPr>
          <w:instrText xml:space="preserve"> PAGEREF _Toc100315454 \h </w:instrText>
        </w:r>
        <w:r>
          <w:rPr>
            <w:noProof/>
            <w:webHidden/>
          </w:rPr>
          <w:fldChar w:fldCharType="separate"/>
        </w:r>
        <w:r>
          <w:rPr>
            <w:noProof/>
            <w:webHidden/>
          </w:rPr>
          <w:t>2</w:t>
        </w:r>
        <w:r>
          <w:rPr>
            <w:noProof/>
            <w:webHidden/>
          </w:rPr>
          <w:fldChar w:fldCharType="end"/>
        </w:r>
      </w:hyperlink>
    </w:p>
    <w:p w:rsidR="0023457E" w14:paraId="3BB30275" w14:textId="7FD579A7">
      <w:pPr>
        <w:pStyle w:val="TOC2"/>
        <w:tabs>
          <w:tab w:val="left" w:pos="1440"/>
        </w:tabs>
        <w:rPr>
          <w:rFonts w:asciiTheme="minorHAnsi" w:eastAsiaTheme="minorEastAsia" w:hAnsiTheme="minorHAnsi"/>
          <w:noProof/>
          <w:sz w:val="22"/>
        </w:rPr>
      </w:pPr>
      <w:hyperlink w:anchor="_Toc100315455" w:history="1">
        <w:r w:rsidRPr="00EE223D">
          <w:rPr>
            <w:rStyle w:val="Hyperlink"/>
            <w:rFonts w:cs="Times New Roman"/>
            <w:noProof/>
          </w:rPr>
          <w:t>A.</w:t>
        </w:r>
        <w:r>
          <w:rPr>
            <w:rFonts w:asciiTheme="minorHAnsi" w:eastAsiaTheme="minorEastAsia" w:hAnsiTheme="minorHAnsi"/>
            <w:noProof/>
            <w:sz w:val="22"/>
          </w:rPr>
          <w:tab/>
        </w:r>
        <w:r w:rsidRPr="00EE223D">
          <w:rPr>
            <w:rStyle w:val="Hyperlink"/>
            <w:rFonts w:cs="Times New Roman"/>
            <w:noProof/>
          </w:rPr>
          <w:t xml:space="preserve">The PUCO should disallow AEP’s $74.5 million in charges to </w:t>
        </w:r>
        <w:r>
          <w:rPr>
            <w:rStyle w:val="Hyperlink"/>
            <w:rFonts w:cs="Times New Roman"/>
            <w:noProof/>
          </w:rPr>
          <w:br/>
        </w:r>
        <w:r w:rsidRPr="00EE223D">
          <w:rPr>
            <w:rStyle w:val="Hyperlink"/>
            <w:rFonts w:cs="Times New Roman"/>
            <w:noProof/>
          </w:rPr>
          <w:t>consumers during the audit period (2018 and 2019).</w:t>
        </w:r>
        <w:r>
          <w:rPr>
            <w:noProof/>
            <w:webHidden/>
          </w:rPr>
          <w:tab/>
        </w:r>
        <w:r>
          <w:rPr>
            <w:noProof/>
            <w:webHidden/>
          </w:rPr>
          <w:fldChar w:fldCharType="begin"/>
        </w:r>
        <w:r>
          <w:rPr>
            <w:noProof/>
            <w:webHidden/>
          </w:rPr>
          <w:instrText xml:space="preserve"> PAGEREF _Toc100315455 \h </w:instrText>
        </w:r>
        <w:r>
          <w:rPr>
            <w:noProof/>
            <w:webHidden/>
          </w:rPr>
          <w:fldChar w:fldCharType="separate"/>
        </w:r>
        <w:r>
          <w:rPr>
            <w:noProof/>
            <w:webHidden/>
          </w:rPr>
          <w:t>2</w:t>
        </w:r>
        <w:r>
          <w:rPr>
            <w:noProof/>
            <w:webHidden/>
          </w:rPr>
          <w:fldChar w:fldCharType="end"/>
        </w:r>
      </w:hyperlink>
    </w:p>
    <w:p w:rsidR="0023457E" w14:paraId="5D721AFE" w14:textId="5A834666">
      <w:pPr>
        <w:pStyle w:val="TOC3"/>
        <w:tabs>
          <w:tab w:val="left" w:pos="2160"/>
        </w:tabs>
        <w:rPr>
          <w:rFonts w:asciiTheme="minorHAnsi" w:eastAsiaTheme="minorEastAsia" w:hAnsiTheme="minorHAnsi"/>
          <w:noProof/>
          <w:sz w:val="22"/>
        </w:rPr>
      </w:pPr>
      <w:hyperlink w:anchor="_Toc100315456" w:history="1">
        <w:r w:rsidRPr="00EE223D">
          <w:rPr>
            <w:rStyle w:val="Hyperlink"/>
            <w:noProof/>
          </w:rPr>
          <w:t>1.</w:t>
        </w:r>
        <w:r>
          <w:rPr>
            <w:rFonts w:asciiTheme="minorHAnsi" w:eastAsiaTheme="minorEastAsia" w:hAnsiTheme="minorHAnsi"/>
            <w:noProof/>
            <w:sz w:val="22"/>
          </w:rPr>
          <w:tab/>
        </w:r>
        <w:r w:rsidRPr="00EE223D">
          <w:rPr>
            <w:rStyle w:val="Hyperlink"/>
            <w:noProof/>
          </w:rPr>
          <w:t xml:space="preserve">In spite of undue interference from Staff, LEI’s Audit </w:t>
        </w:r>
        <w:r>
          <w:rPr>
            <w:rStyle w:val="Hyperlink"/>
            <w:noProof/>
          </w:rPr>
          <w:br/>
        </w:r>
        <w:r w:rsidRPr="00EE223D">
          <w:rPr>
            <w:rStyle w:val="Hyperlink"/>
            <w:noProof/>
          </w:rPr>
          <w:t xml:space="preserve">Report did demonstrate running the OVEC plants was not </w:t>
        </w:r>
        <w:r>
          <w:rPr>
            <w:rStyle w:val="Hyperlink"/>
            <w:noProof/>
          </w:rPr>
          <w:br/>
        </w:r>
        <w:r w:rsidRPr="00EE223D">
          <w:rPr>
            <w:rStyle w:val="Hyperlink"/>
            <w:noProof/>
          </w:rPr>
          <w:t>in the best interest of consumers.</w:t>
        </w:r>
        <w:r>
          <w:rPr>
            <w:noProof/>
            <w:webHidden/>
          </w:rPr>
          <w:tab/>
        </w:r>
        <w:r>
          <w:rPr>
            <w:noProof/>
            <w:webHidden/>
          </w:rPr>
          <w:fldChar w:fldCharType="begin"/>
        </w:r>
        <w:r>
          <w:rPr>
            <w:noProof/>
            <w:webHidden/>
          </w:rPr>
          <w:instrText xml:space="preserve"> PAGEREF _Toc100315456 \h </w:instrText>
        </w:r>
        <w:r>
          <w:rPr>
            <w:noProof/>
            <w:webHidden/>
          </w:rPr>
          <w:fldChar w:fldCharType="separate"/>
        </w:r>
        <w:r>
          <w:rPr>
            <w:noProof/>
            <w:webHidden/>
          </w:rPr>
          <w:t>2</w:t>
        </w:r>
        <w:r>
          <w:rPr>
            <w:noProof/>
            <w:webHidden/>
          </w:rPr>
          <w:fldChar w:fldCharType="end"/>
        </w:r>
      </w:hyperlink>
    </w:p>
    <w:p w:rsidR="0023457E" w14:paraId="7D826FF7" w14:textId="79309C5B">
      <w:pPr>
        <w:pStyle w:val="TOC3"/>
        <w:tabs>
          <w:tab w:val="left" w:pos="2160"/>
        </w:tabs>
        <w:rPr>
          <w:rFonts w:asciiTheme="minorHAnsi" w:eastAsiaTheme="minorEastAsia" w:hAnsiTheme="minorHAnsi"/>
          <w:noProof/>
          <w:sz w:val="22"/>
        </w:rPr>
      </w:pPr>
      <w:hyperlink w:anchor="_Toc100315457" w:history="1">
        <w:r w:rsidRPr="00EE223D">
          <w:rPr>
            <w:rStyle w:val="Hyperlink"/>
            <w:noProof/>
          </w:rPr>
          <w:t>2.</w:t>
        </w:r>
        <w:r>
          <w:rPr>
            <w:rFonts w:asciiTheme="minorHAnsi" w:eastAsiaTheme="minorEastAsia" w:hAnsiTheme="minorHAnsi"/>
            <w:noProof/>
            <w:sz w:val="22"/>
          </w:rPr>
          <w:tab/>
        </w:r>
        <w:r w:rsidRPr="00EE223D">
          <w:rPr>
            <w:rStyle w:val="Hyperlink"/>
            <w:noProof/>
          </w:rPr>
          <w:t xml:space="preserve">AEP’s operation of the OVEC units and management of its </w:t>
        </w:r>
        <w:r>
          <w:rPr>
            <w:rStyle w:val="Hyperlink"/>
            <w:noProof/>
          </w:rPr>
          <w:br/>
        </w:r>
        <w:r w:rsidRPr="00EE223D">
          <w:rPr>
            <w:rStyle w:val="Hyperlink"/>
            <w:noProof/>
          </w:rPr>
          <w:t>output during the 2018-2019 audit period was imprudent.</w:t>
        </w:r>
        <w:r>
          <w:rPr>
            <w:noProof/>
            <w:webHidden/>
          </w:rPr>
          <w:tab/>
        </w:r>
        <w:r>
          <w:rPr>
            <w:noProof/>
            <w:webHidden/>
          </w:rPr>
          <w:fldChar w:fldCharType="begin"/>
        </w:r>
        <w:r>
          <w:rPr>
            <w:noProof/>
            <w:webHidden/>
          </w:rPr>
          <w:instrText xml:space="preserve"> PAGEREF _Toc100315457 \h </w:instrText>
        </w:r>
        <w:r>
          <w:rPr>
            <w:noProof/>
            <w:webHidden/>
          </w:rPr>
          <w:fldChar w:fldCharType="separate"/>
        </w:r>
        <w:r>
          <w:rPr>
            <w:noProof/>
            <w:webHidden/>
          </w:rPr>
          <w:t>4</w:t>
        </w:r>
        <w:r>
          <w:rPr>
            <w:noProof/>
            <w:webHidden/>
          </w:rPr>
          <w:fldChar w:fldCharType="end"/>
        </w:r>
      </w:hyperlink>
    </w:p>
    <w:p w:rsidR="0023457E" w14:paraId="100E53F0" w14:textId="0CC51579">
      <w:pPr>
        <w:pStyle w:val="TOC1"/>
        <w:rPr>
          <w:rFonts w:asciiTheme="minorHAnsi" w:eastAsiaTheme="minorEastAsia" w:hAnsiTheme="minorHAnsi"/>
          <w:noProof/>
          <w:sz w:val="22"/>
        </w:rPr>
      </w:pPr>
      <w:hyperlink w:anchor="_Toc100315458" w:history="1">
        <w:r w:rsidRPr="00EE223D">
          <w:rPr>
            <w:rStyle w:val="Hyperlink"/>
            <w:rFonts w:cs="Times New Roman"/>
            <w:noProof/>
          </w:rPr>
          <w:t>III.</w:t>
        </w:r>
        <w:r>
          <w:rPr>
            <w:rFonts w:asciiTheme="minorHAnsi" w:eastAsiaTheme="minorEastAsia" w:hAnsiTheme="minorHAnsi"/>
            <w:noProof/>
            <w:sz w:val="22"/>
          </w:rPr>
          <w:tab/>
        </w:r>
        <w:r w:rsidRPr="00EE223D">
          <w:rPr>
            <w:rStyle w:val="Hyperlink"/>
            <w:rFonts w:cs="Times New Roman"/>
            <w:noProof/>
          </w:rPr>
          <w:t>CONCLUSION</w:t>
        </w:r>
        <w:r>
          <w:rPr>
            <w:noProof/>
            <w:webHidden/>
          </w:rPr>
          <w:tab/>
        </w:r>
        <w:r>
          <w:rPr>
            <w:noProof/>
            <w:webHidden/>
          </w:rPr>
          <w:fldChar w:fldCharType="begin"/>
        </w:r>
        <w:r>
          <w:rPr>
            <w:noProof/>
            <w:webHidden/>
          </w:rPr>
          <w:instrText xml:space="preserve"> PAGEREF _Toc100315458 \h </w:instrText>
        </w:r>
        <w:r>
          <w:rPr>
            <w:noProof/>
            <w:webHidden/>
          </w:rPr>
          <w:fldChar w:fldCharType="separate"/>
        </w:r>
        <w:r>
          <w:rPr>
            <w:noProof/>
            <w:webHidden/>
          </w:rPr>
          <w:t>11</w:t>
        </w:r>
        <w:r>
          <w:rPr>
            <w:noProof/>
            <w:webHidden/>
          </w:rPr>
          <w:fldChar w:fldCharType="end"/>
        </w:r>
      </w:hyperlink>
    </w:p>
    <w:p w:rsidR="00094DFD" w:rsidRPr="002A4C23" w:rsidP="000A739C" w14:paraId="0D3DFB4B" w14:textId="10B6E5BF">
      <w:pPr>
        <w:widowControl w:val="0"/>
        <w:autoSpaceDE w:val="0"/>
        <w:autoSpaceDN w:val="0"/>
        <w:adjustRightInd w:val="0"/>
        <w:spacing w:after="0" w:line="240" w:lineRule="auto"/>
        <w:ind w:left="4320" w:hanging="4320"/>
        <w:rPr>
          <w:rFonts w:ascii="Times New Roman" w:eastAsia="Calibri" w:hAnsi="Times New Roman" w:cs="Times New Roman"/>
          <w:sz w:val="24"/>
          <w:szCs w:val="24"/>
        </w:rPr>
      </w:pPr>
      <w:r w:rsidRPr="002A4C23">
        <w:rPr>
          <w:rFonts w:ascii="Times New Roman" w:eastAsia="Calibri" w:hAnsi="Times New Roman" w:cs="Times New Roman"/>
          <w:sz w:val="24"/>
          <w:szCs w:val="24"/>
        </w:rPr>
        <w:fldChar w:fldCharType="end"/>
      </w:r>
    </w:p>
    <w:p w:rsidR="00EE3A1C" w:rsidRPr="002A4C23" w:rsidP="000A739C" w14:paraId="76219D06" w14:textId="77777777">
      <w:pPr>
        <w:widowControl w:val="0"/>
        <w:autoSpaceDE w:val="0"/>
        <w:autoSpaceDN w:val="0"/>
        <w:adjustRightInd w:val="0"/>
        <w:spacing w:after="0" w:line="240" w:lineRule="auto"/>
        <w:ind w:left="4320" w:hanging="4320"/>
        <w:rPr>
          <w:rFonts w:ascii="Times New Roman" w:eastAsia="Calibri" w:hAnsi="Times New Roman" w:cs="Times New Roman"/>
          <w:sz w:val="24"/>
          <w:szCs w:val="24"/>
        </w:rPr>
      </w:pPr>
    </w:p>
    <w:p w:rsidR="00881D10" w:rsidRPr="002A4C23" w:rsidP="000A739C" w14:paraId="362B714C" w14:textId="77777777">
      <w:pPr>
        <w:widowControl w:val="0"/>
        <w:autoSpaceDE w:val="0"/>
        <w:autoSpaceDN w:val="0"/>
        <w:adjustRightInd w:val="0"/>
        <w:spacing w:after="0" w:line="240" w:lineRule="auto"/>
        <w:ind w:left="4320" w:hanging="4320"/>
        <w:rPr>
          <w:rFonts w:ascii="Times New Roman" w:eastAsia="Calibri" w:hAnsi="Times New Roman" w:cs="Times New Roman"/>
          <w:sz w:val="24"/>
          <w:szCs w:val="24"/>
        </w:rPr>
      </w:pPr>
    </w:p>
    <w:p w:rsidR="00881D10" w:rsidRPr="002A4C23" w:rsidP="000A739C" w14:paraId="75C946D9" w14:textId="61452F10">
      <w:pPr>
        <w:widowControl w:val="0"/>
        <w:autoSpaceDE w:val="0"/>
        <w:autoSpaceDN w:val="0"/>
        <w:adjustRightInd w:val="0"/>
        <w:spacing w:after="0" w:line="240" w:lineRule="auto"/>
        <w:ind w:left="4320" w:hanging="4320"/>
        <w:rPr>
          <w:rFonts w:ascii="Times New Roman" w:eastAsia="Calibri" w:hAnsi="Times New Roman" w:cs="Times New Roman"/>
          <w:sz w:val="24"/>
          <w:szCs w:val="24"/>
        </w:rPr>
        <w:sectPr w:rsidSect="00881D10">
          <w:footerReference w:type="default" r:id="rId7"/>
          <w:pgSz w:w="12240" w:h="15840"/>
          <w:pgMar w:top="1440" w:right="1800" w:bottom="1440" w:left="1800" w:header="720" w:footer="720" w:gutter="0"/>
          <w:pgNumType w:fmt="lowerRoman" w:start="1"/>
          <w:cols w:space="720"/>
          <w:docGrid w:linePitch="360"/>
        </w:sectPr>
      </w:pPr>
    </w:p>
    <w:p w:rsidR="00304BFE" w:rsidRPr="002A4C23" w:rsidP="00304BFE" w14:paraId="2CEADC5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2A4C23">
        <w:rPr>
          <w:rFonts w:ascii="Times New Roman" w:hAnsi="Times New Roman" w:cs="Times New Roman"/>
          <w:b/>
          <w:bCs/>
          <w:sz w:val="24"/>
          <w:szCs w:val="24"/>
        </w:rPr>
        <w:t>BEFORE</w:t>
      </w:r>
    </w:p>
    <w:p w:rsidR="00304BFE" w:rsidRPr="002A4C23" w:rsidP="00304BFE" w14:paraId="4914DDDC" w14:textId="77777777">
      <w:pPr>
        <w:pStyle w:val="HTMLPreformatted"/>
        <w:jc w:val="center"/>
        <w:rPr>
          <w:rFonts w:ascii="Times New Roman" w:hAnsi="Times New Roman" w:cs="Times New Roman"/>
          <w:b/>
          <w:bCs/>
          <w:sz w:val="24"/>
          <w:szCs w:val="24"/>
        </w:rPr>
      </w:pPr>
      <w:r w:rsidRPr="002A4C23">
        <w:rPr>
          <w:rFonts w:ascii="Times New Roman" w:hAnsi="Times New Roman" w:cs="Times New Roman"/>
          <w:b/>
          <w:bCs/>
          <w:sz w:val="24"/>
          <w:szCs w:val="24"/>
        </w:rPr>
        <w:t>THE PUBLIC UTILITIES COMMISSION OF OHIO</w:t>
      </w:r>
    </w:p>
    <w:p w:rsidR="00304BFE" w:rsidRPr="002A4C23" w:rsidP="00304BFE" w14:paraId="40902759" w14:textId="77777777">
      <w:pPr>
        <w:pStyle w:val="HTMLPreformatted"/>
        <w:jc w:val="center"/>
        <w:rPr>
          <w:rFonts w:ascii="Times New Roman" w:hAnsi="Times New Roman" w:cs="Times New Roman"/>
          <w:b/>
          <w:bCs/>
          <w:sz w:val="24"/>
          <w:szCs w:val="24"/>
        </w:rPr>
      </w:pPr>
    </w:p>
    <w:tbl>
      <w:tblPr>
        <w:tblW w:w="9360" w:type="dxa"/>
        <w:tblLook w:val="01E0"/>
      </w:tblPr>
      <w:tblGrid>
        <w:gridCol w:w="4230"/>
        <w:gridCol w:w="720"/>
        <w:gridCol w:w="4410"/>
      </w:tblGrid>
      <w:tr w14:paraId="3414BB80" w14:textId="77777777" w:rsidTr="00900124">
        <w:tblPrEx>
          <w:tblW w:w="9360" w:type="dxa"/>
          <w:tblLook w:val="01E0"/>
        </w:tblPrEx>
        <w:trPr>
          <w:trHeight w:val="807"/>
        </w:trPr>
        <w:tc>
          <w:tcPr>
            <w:tcW w:w="4230" w:type="dxa"/>
            <w:shd w:val="clear" w:color="auto" w:fill="auto"/>
          </w:tcPr>
          <w:p w:rsidR="00304BFE" w:rsidRPr="002A4C23" w:rsidP="00900124" w14:paraId="754266C8"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In the Matter of the Review of the Power Purchase Agreement Rider of Ohio Power Company for 2018.</w:t>
            </w:r>
          </w:p>
          <w:p w:rsidR="00304BFE" w:rsidRPr="002A4C23" w:rsidP="00900124" w14:paraId="0F6E049D" w14:textId="77777777">
            <w:pPr>
              <w:pStyle w:val="HTMLPreformatted"/>
              <w:rPr>
                <w:rFonts w:ascii="Times New Roman" w:hAnsi="Times New Roman" w:cs="Times New Roman"/>
                <w:sz w:val="24"/>
                <w:szCs w:val="24"/>
              </w:rPr>
            </w:pPr>
          </w:p>
          <w:p w:rsidR="00304BFE" w:rsidRPr="002A4C23" w:rsidP="00900124" w14:paraId="0AB3BB8D"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In the Matter of the Review of the Power Purchase Agreement Rider of Ohio Power Company for 2019.</w:t>
            </w:r>
          </w:p>
        </w:tc>
        <w:tc>
          <w:tcPr>
            <w:tcW w:w="720" w:type="dxa"/>
            <w:shd w:val="clear" w:color="auto" w:fill="auto"/>
          </w:tcPr>
          <w:p w:rsidR="00304BFE" w:rsidRPr="002A4C23" w:rsidP="00900124" w14:paraId="2C2ED2C3"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304BFE" w:rsidRPr="002A4C23" w:rsidP="00900124" w14:paraId="1B5841B5"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304BFE" w:rsidRPr="002A4C23" w:rsidP="00900124" w14:paraId="23DD7F71"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304BFE" w:rsidRPr="002A4C23" w:rsidP="00900124" w14:paraId="036EDEDB" w14:textId="77777777">
            <w:pPr>
              <w:pStyle w:val="HTMLPreformatted"/>
              <w:rPr>
                <w:rFonts w:ascii="Times New Roman" w:hAnsi="Times New Roman" w:cs="Times New Roman"/>
                <w:sz w:val="24"/>
                <w:szCs w:val="24"/>
              </w:rPr>
            </w:pPr>
          </w:p>
          <w:p w:rsidR="00304BFE" w:rsidRPr="002A4C23" w:rsidP="00900124" w14:paraId="4F683201"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304BFE" w:rsidRPr="002A4C23" w:rsidP="00900124" w14:paraId="6B531DE9"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p w:rsidR="00304BFE" w:rsidRPr="002A4C23" w:rsidP="00900124" w14:paraId="6EAF73C5"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w:t>
            </w:r>
          </w:p>
        </w:tc>
        <w:tc>
          <w:tcPr>
            <w:tcW w:w="4410" w:type="dxa"/>
            <w:shd w:val="clear" w:color="auto" w:fill="auto"/>
          </w:tcPr>
          <w:p w:rsidR="00304BFE" w:rsidRPr="002A4C23" w:rsidP="00900124" w14:paraId="5BF93DC8" w14:textId="77777777">
            <w:pPr>
              <w:pStyle w:val="HTMLPreformatted"/>
              <w:rPr>
                <w:rFonts w:ascii="Times New Roman" w:hAnsi="Times New Roman" w:cs="Times New Roman"/>
                <w:sz w:val="24"/>
                <w:szCs w:val="24"/>
              </w:rPr>
            </w:pPr>
          </w:p>
          <w:p w:rsidR="00304BFE" w:rsidRPr="002A4C23" w:rsidP="00900124" w14:paraId="03C40D2F"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Case No. 18-1004-EL-RDR</w:t>
            </w:r>
          </w:p>
          <w:p w:rsidR="00304BFE" w:rsidRPr="002A4C23" w:rsidP="00900124" w14:paraId="133A6A4A" w14:textId="77777777">
            <w:pPr>
              <w:pStyle w:val="HTMLPreformatted"/>
              <w:rPr>
                <w:rFonts w:ascii="Times New Roman" w:hAnsi="Times New Roman" w:cs="Times New Roman"/>
                <w:sz w:val="24"/>
                <w:szCs w:val="24"/>
              </w:rPr>
            </w:pPr>
          </w:p>
          <w:p w:rsidR="00304BFE" w:rsidRPr="002A4C23" w:rsidP="00900124" w14:paraId="430C64C9" w14:textId="77777777">
            <w:pPr>
              <w:pStyle w:val="HTMLPreformatted"/>
              <w:rPr>
                <w:rFonts w:ascii="Times New Roman" w:hAnsi="Times New Roman" w:cs="Times New Roman"/>
                <w:sz w:val="24"/>
                <w:szCs w:val="24"/>
              </w:rPr>
            </w:pPr>
          </w:p>
          <w:p w:rsidR="00304BFE" w:rsidRPr="002A4C23" w:rsidP="00900124" w14:paraId="4D834CEF" w14:textId="77777777">
            <w:pPr>
              <w:pStyle w:val="HTMLPreformatted"/>
              <w:rPr>
                <w:rFonts w:ascii="Times New Roman" w:hAnsi="Times New Roman" w:cs="Times New Roman"/>
                <w:sz w:val="24"/>
                <w:szCs w:val="24"/>
              </w:rPr>
            </w:pPr>
          </w:p>
          <w:p w:rsidR="00304BFE" w:rsidRPr="002A4C23" w:rsidP="00900124" w14:paraId="412B4577" w14:textId="77777777">
            <w:pPr>
              <w:pStyle w:val="HTMLPreformatted"/>
              <w:rPr>
                <w:rFonts w:ascii="Times New Roman" w:hAnsi="Times New Roman" w:cs="Times New Roman"/>
                <w:sz w:val="24"/>
                <w:szCs w:val="24"/>
              </w:rPr>
            </w:pPr>
            <w:r w:rsidRPr="002A4C23">
              <w:rPr>
                <w:rFonts w:ascii="Times New Roman" w:hAnsi="Times New Roman" w:cs="Times New Roman"/>
                <w:sz w:val="24"/>
                <w:szCs w:val="24"/>
              </w:rPr>
              <w:t>Case No. 18-1759-EL-RDR</w:t>
            </w:r>
          </w:p>
        </w:tc>
      </w:tr>
    </w:tbl>
    <w:p w:rsidR="00304BFE" w:rsidRPr="002A4C23" w:rsidP="00304BFE" w14:paraId="1A69EC1A" w14:textId="77777777">
      <w:pPr>
        <w:pStyle w:val="HTMLPreformatted"/>
        <w:rPr>
          <w:rFonts w:ascii="Times New Roman" w:hAnsi="Times New Roman" w:cs="Times New Roman"/>
          <w:sz w:val="24"/>
          <w:szCs w:val="24"/>
        </w:rPr>
      </w:pPr>
    </w:p>
    <w:p w:rsidR="00304BFE" w:rsidRPr="002A4C23" w:rsidP="00304BFE" w14:paraId="6C9369AC" w14:textId="77777777">
      <w:pPr>
        <w:pStyle w:val="HTMLPreformatted"/>
        <w:pBdr>
          <w:top w:val="single" w:sz="12" w:space="1" w:color="auto"/>
        </w:pBdr>
        <w:rPr>
          <w:rFonts w:ascii="Times New Roman" w:hAnsi="Times New Roman" w:cs="Times New Roman"/>
          <w:sz w:val="24"/>
          <w:szCs w:val="24"/>
        </w:rPr>
      </w:pPr>
    </w:p>
    <w:p w:rsidR="00304BFE" w:rsidRPr="002A4C23" w:rsidP="00304BFE" w14:paraId="6E49EF95" w14:textId="77777777">
      <w:pPr>
        <w:kinsoku w:val="0"/>
        <w:overflowPunct w:val="0"/>
        <w:autoSpaceDE w:val="0"/>
        <w:autoSpaceDN w:val="0"/>
        <w:adjustRightInd w:val="0"/>
        <w:spacing w:before="1" w:after="0" w:line="240" w:lineRule="auto"/>
        <w:jc w:val="center"/>
        <w:rPr>
          <w:rFonts w:ascii="Times New Roman" w:hAnsi="Times New Roman" w:cs="Times New Roman"/>
          <w:b/>
          <w:bCs/>
          <w:sz w:val="24"/>
          <w:szCs w:val="24"/>
        </w:rPr>
      </w:pPr>
      <w:r w:rsidRPr="002A4C23">
        <w:rPr>
          <w:rFonts w:ascii="Times New Roman" w:hAnsi="Times New Roman" w:cs="Times New Roman"/>
          <w:b/>
          <w:bCs/>
          <w:sz w:val="24"/>
          <w:szCs w:val="24"/>
        </w:rPr>
        <w:t>REPLY BRIEF</w:t>
      </w:r>
    </w:p>
    <w:p w:rsidR="00304BFE" w:rsidRPr="002A4C23" w:rsidP="00304BFE" w14:paraId="257909F6" w14:textId="77777777">
      <w:pPr>
        <w:spacing w:after="0" w:line="240" w:lineRule="auto"/>
        <w:jc w:val="center"/>
        <w:rPr>
          <w:rFonts w:ascii="Times New Roman" w:eastAsia="Times New Roman" w:hAnsi="Times New Roman" w:cs="Times New Roman"/>
          <w:b/>
          <w:bCs/>
          <w:sz w:val="24"/>
          <w:szCs w:val="24"/>
        </w:rPr>
      </w:pPr>
      <w:r w:rsidRPr="002A4C23">
        <w:rPr>
          <w:rFonts w:ascii="Times New Roman" w:eastAsia="Times New Roman" w:hAnsi="Times New Roman" w:cs="Times New Roman"/>
          <w:b/>
          <w:bCs/>
          <w:w w:val="90"/>
          <w:sz w:val="24"/>
          <w:szCs w:val="24"/>
        </w:rPr>
        <w:t>BY</w:t>
      </w:r>
    </w:p>
    <w:p w:rsidR="00304BFE" w:rsidRPr="002A4C23" w:rsidP="00304BFE" w14:paraId="2F7FEC53" w14:textId="77777777">
      <w:pPr>
        <w:spacing w:after="0" w:line="240" w:lineRule="auto"/>
        <w:jc w:val="center"/>
        <w:rPr>
          <w:rFonts w:ascii="Times New Roman" w:hAnsi="Times New Roman" w:cs="Times New Roman"/>
          <w:b/>
          <w:bCs/>
          <w:w w:val="105"/>
          <w:sz w:val="24"/>
          <w:szCs w:val="24"/>
        </w:rPr>
      </w:pPr>
      <w:r w:rsidRPr="002A4C23">
        <w:rPr>
          <w:rFonts w:ascii="Times New Roman" w:hAnsi="Times New Roman" w:cs="Times New Roman"/>
          <w:b/>
          <w:bCs/>
          <w:w w:val="105"/>
          <w:sz w:val="24"/>
          <w:szCs w:val="24"/>
        </w:rPr>
        <w:t>OFFICE</w:t>
      </w:r>
      <w:r w:rsidRPr="002A4C23">
        <w:rPr>
          <w:rFonts w:ascii="Times New Roman" w:hAnsi="Times New Roman" w:cs="Times New Roman"/>
          <w:b/>
          <w:bCs/>
          <w:spacing w:val="1"/>
          <w:w w:val="105"/>
          <w:sz w:val="24"/>
          <w:szCs w:val="24"/>
        </w:rPr>
        <w:t xml:space="preserve"> </w:t>
      </w:r>
      <w:r w:rsidRPr="002A4C23">
        <w:rPr>
          <w:rFonts w:ascii="Times New Roman" w:hAnsi="Times New Roman" w:cs="Times New Roman"/>
          <w:b/>
          <w:bCs/>
          <w:w w:val="105"/>
          <w:sz w:val="24"/>
          <w:szCs w:val="24"/>
        </w:rPr>
        <w:t>OF</w:t>
      </w:r>
      <w:r w:rsidRPr="002A4C23">
        <w:rPr>
          <w:rFonts w:ascii="Times New Roman" w:hAnsi="Times New Roman" w:cs="Times New Roman"/>
          <w:b/>
          <w:bCs/>
          <w:spacing w:val="-23"/>
          <w:w w:val="105"/>
          <w:sz w:val="24"/>
          <w:szCs w:val="24"/>
        </w:rPr>
        <w:t xml:space="preserve"> </w:t>
      </w:r>
      <w:r w:rsidRPr="002A4C23">
        <w:rPr>
          <w:rFonts w:ascii="Times New Roman" w:hAnsi="Times New Roman" w:cs="Times New Roman"/>
          <w:b/>
          <w:bCs/>
          <w:w w:val="105"/>
          <w:sz w:val="24"/>
          <w:szCs w:val="24"/>
        </w:rPr>
        <w:t>THE</w:t>
      </w:r>
      <w:r w:rsidRPr="002A4C23">
        <w:rPr>
          <w:rFonts w:ascii="Times New Roman" w:hAnsi="Times New Roman" w:cs="Times New Roman"/>
          <w:b/>
          <w:bCs/>
          <w:spacing w:val="-9"/>
          <w:w w:val="105"/>
          <w:sz w:val="24"/>
          <w:szCs w:val="24"/>
        </w:rPr>
        <w:t xml:space="preserve"> </w:t>
      </w:r>
      <w:r w:rsidRPr="002A4C23">
        <w:rPr>
          <w:rFonts w:ascii="Times New Roman" w:hAnsi="Times New Roman" w:cs="Times New Roman"/>
          <w:b/>
          <w:bCs/>
          <w:w w:val="105"/>
          <w:sz w:val="24"/>
          <w:szCs w:val="24"/>
        </w:rPr>
        <w:t>OHIO</w:t>
      </w:r>
      <w:r w:rsidRPr="002A4C23">
        <w:rPr>
          <w:rFonts w:ascii="Times New Roman" w:hAnsi="Times New Roman" w:cs="Times New Roman"/>
          <w:b/>
          <w:bCs/>
          <w:spacing w:val="1"/>
          <w:w w:val="105"/>
          <w:sz w:val="24"/>
          <w:szCs w:val="24"/>
        </w:rPr>
        <w:t xml:space="preserve"> </w:t>
      </w:r>
      <w:r w:rsidRPr="002A4C23">
        <w:rPr>
          <w:rFonts w:ascii="Times New Roman" w:hAnsi="Times New Roman" w:cs="Times New Roman"/>
          <w:b/>
          <w:bCs/>
          <w:w w:val="105"/>
          <w:sz w:val="24"/>
          <w:szCs w:val="24"/>
        </w:rPr>
        <w:t>CONSUMERS'</w:t>
      </w:r>
      <w:r w:rsidRPr="002A4C23">
        <w:rPr>
          <w:rFonts w:ascii="Times New Roman" w:hAnsi="Times New Roman" w:cs="Times New Roman"/>
          <w:b/>
          <w:bCs/>
          <w:spacing w:val="21"/>
          <w:w w:val="105"/>
          <w:sz w:val="24"/>
          <w:szCs w:val="24"/>
        </w:rPr>
        <w:t xml:space="preserve"> </w:t>
      </w:r>
      <w:r w:rsidRPr="002A4C23">
        <w:rPr>
          <w:rFonts w:ascii="Times New Roman" w:hAnsi="Times New Roman" w:cs="Times New Roman"/>
          <w:b/>
          <w:bCs/>
          <w:w w:val="105"/>
          <w:sz w:val="24"/>
          <w:szCs w:val="24"/>
        </w:rPr>
        <w:t>COUNSEL</w:t>
      </w:r>
    </w:p>
    <w:p w:rsidR="00304BFE" w:rsidRPr="002A4C23" w:rsidP="00304BFE" w14:paraId="5999EA57" w14:textId="77777777">
      <w:pPr>
        <w:pBdr>
          <w:bottom w:val="single" w:sz="12" w:space="1" w:color="auto"/>
        </w:pBdr>
        <w:tabs>
          <w:tab w:val="left" w:pos="4320"/>
        </w:tabs>
        <w:spacing w:after="0" w:line="240" w:lineRule="auto"/>
        <w:rPr>
          <w:rFonts w:ascii="Times New Roman" w:hAnsi="Times New Roman" w:cs="Times New Roman"/>
          <w:sz w:val="24"/>
          <w:szCs w:val="24"/>
        </w:rPr>
      </w:pPr>
    </w:p>
    <w:p w:rsidR="00B23CBA" w:rsidRPr="002A4C23" w:rsidP="00EC140D" w14:paraId="3C546491" w14:textId="0CA2F542">
      <w:pPr>
        <w:spacing w:after="0"/>
        <w:rPr>
          <w:rFonts w:ascii="Times New Roman" w:hAnsi="Times New Roman" w:cs="Times New Roman"/>
          <w:b/>
          <w:bCs/>
          <w:sz w:val="24"/>
          <w:szCs w:val="24"/>
        </w:rPr>
      </w:pPr>
    </w:p>
    <w:p w:rsidR="00EC140D" w:rsidRPr="002A4C23" w:rsidP="006D2CF6" w14:paraId="231798AA" w14:textId="4F882542">
      <w:pPr>
        <w:pStyle w:val="Heading1"/>
        <w:rPr>
          <w:rFonts w:cs="Times New Roman"/>
          <w:b w:val="0"/>
          <w:szCs w:val="24"/>
        </w:rPr>
      </w:pPr>
      <w:bookmarkStart w:id="1" w:name="_Toc100315453"/>
      <w:r w:rsidRPr="002A4C23">
        <w:rPr>
          <w:rFonts w:cs="Times New Roman"/>
          <w:szCs w:val="24"/>
        </w:rPr>
        <w:t>I.</w:t>
      </w:r>
      <w:r w:rsidRPr="002A4C23">
        <w:rPr>
          <w:rFonts w:cs="Times New Roman"/>
          <w:szCs w:val="24"/>
        </w:rPr>
        <w:tab/>
        <w:t>INTRODUCTION</w:t>
      </w:r>
      <w:bookmarkEnd w:id="1"/>
    </w:p>
    <w:p w:rsidR="00B15313" w:rsidRPr="002A4C23" w:rsidP="00E148C5" w14:paraId="5DB60B08" w14:textId="4337A6A0">
      <w:pPr>
        <w:spacing w:after="0" w:line="480" w:lineRule="auto"/>
        <w:ind w:firstLine="720"/>
        <w:rPr>
          <w:rFonts w:ascii="Times New Roman" w:hAnsi="Times New Roman" w:cs="Times New Roman"/>
          <w:sz w:val="24"/>
          <w:szCs w:val="24"/>
        </w:rPr>
      </w:pPr>
      <w:r w:rsidRPr="002A4C23">
        <w:rPr>
          <w:rFonts w:ascii="Times New Roman" w:hAnsi="Times New Roman" w:cs="Times New Roman"/>
          <w:sz w:val="24"/>
          <w:szCs w:val="24"/>
        </w:rPr>
        <w:t>Staff and AEP argue that the Audit Report filed by London Economics International (“LEI”) was independent, responsive to the PUCO’s Request for Proposals, and demonstrated that AEP’s actions were</w:t>
      </w:r>
      <w:r w:rsidRPr="002A4C23" w:rsidR="00AA58DC">
        <w:rPr>
          <w:rFonts w:ascii="Times New Roman" w:hAnsi="Times New Roman" w:cs="Times New Roman"/>
          <w:sz w:val="24"/>
          <w:szCs w:val="24"/>
        </w:rPr>
        <w:t xml:space="preserve"> prudent and</w:t>
      </w:r>
      <w:r w:rsidRPr="002A4C23">
        <w:rPr>
          <w:rFonts w:ascii="Times New Roman" w:hAnsi="Times New Roman" w:cs="Times New Roman"/>
          <w:sz w:val="24"/>
          <w:szCs w:val="24"/>
        </w:rPr>
        <w:t xml:space="preserve"> in the best interest of </w:t>
      </w:r>
      <w:r w:rsidRPr="002A4C23" w:rsidR="000D7F5D">
        <w:rPr>
          <w:rFonts w:ascii="Times New Roman" w:hAnsi="Times New Roman" w:cs="Times New Roman"/>
          <w:sz w:val="24"/>
          <w:szCs w:val="24"/>
        </w:rPr>
        <w:t>consumers</w:t>
      </w:r>
      <w:r w:rsidRPr="002A4C23">
        <w:rPr>
          <w:rFonts w:ascii="Times New Roman" w:hAnsi="Times New Roman" w:cs="Times New Roman"/>
          <w:sz w:val="24"/>
          <w:szCs w:val="24"/>
        </w:rPr>
        <w:t>.</w:t>
      </w:r>
      <w:r w:rsidRPr="002A4C23" w:rsidR="0066409E">
        <w:rPr>
          <w:rFonts w:ascii="Times New Roman" w:hAnsi="Times New Roman" w:cs="Times New Roman"/>
          <w:sz w:val="24"/>
          <w:szCs w:val="24"/>
        </w:rPr>
        <w:t xml:space="preserve"> </w:t>
      </w:r>
      <w:r w:rsidRPr="002A4C23">
        <w:rPr>
          <w:rFonts w:ascii="Times New Roman" w:hAnsi="Times New Roman" w:cs="Times New Roman"/>
          <w:sz w:val="24"/>
          <w:szCs w:val="24"/>
        </w:rPr>
        <w:t>The Audit Report was none of these things.</w:t>
      </w:r>
    </w:p>
    <w:p w:rsidR="0054570D" w:rsidRPr="002A4C23" w:rsidP="00E148C5" w14:paraId="4A4CF303" w14:textId="19714284">
      <w:pPr>
        <w:spacing w:after="0" w:line="480" w:lineRule="auto"/>
        <w:ind w:firstLine="720"/>
        <w:rPr>
          <w:rFonts w:ascii="Times New Roman" w:hAnsi="Times New Roman" w:cs="Times New Roman"/>
          <w:sz w:val="24"/>
          <w:szCs w:val="24"/>
        </w:rPr>
      </w:pPr>
      <w:r w:rsidRPr="002A4C23">
        <w:rPr>
          <w:rFonts w:ascii="Times New Roman" w:hAnsi="Times New Roman" w:cs="Times New Roman"/>
          <w:sz w:val="24"/>
          <w:szCs w:val="24"/>
        </w:rPr>
        <w:t xml:space="preserve">Staff and AEP cannot escape the fact that </w:t>
      </w:r>
      <w:r w:rsidRPr="002A4C23" w:rsidR="00756E79">
        <w:rPr>
          <w:rFonts w:ascii="Times New Roman" w:hAnsi="Times New Roman" w:cs="Times New Roman"/>
          <w:sz w:val="24"/>
          <w:szCs w:val="24"/>
        </w:rPr>
        <w:t xml:space="preserve">in 2018 and 2019 </w:t>
      </w:r>
      <w:r w:rsidRPr="002A4C23" w:rsidR="00EC140D">
        <w:rPr>
          <w:rFonts w:ascii="Times New Roman" w:hAnsi="Times New Roman" w:cs="Times New Roman"/>
          <w:sz w:val="24"/>
          <w:szCs w:val="24"/>
        </w:rPr>
        <w:t xml:space="preserve">consumers </w:t>
      </w:r>
      <w:r w:rsidRPr="002A4C23">
        <w:rPr>
          <w:rFonts w:ascii="Times New Roman" w:hAnsi="Times New Roman" w:cs="Times New Roman"/>
          <w:sz w:val="24"/>
          <w:szCs w:val="24"/>
        </w:rPr>
        <w:t xml:space="preserve">paid $74.5 million in above-market costs for </w:t>
      </w:r>
      <w:r w:rsidRPr="002A4C23" w:rsidR="00756E79">
        <w:rPr>
          <w:rFonts w:ascii="Times New Roman" w:hAnsi="Times New Roman" w:cs="Times New Roman"/>
          <w:sz w:val="24"/>
          <w:szCs w:val="24"/>
        </w:rPr>
        <w:t>electricity produced by two aging coal plants (OVEC plants), one located outside Ohio.</w:t>
      </w:r>
      <w:r w:rsidR="002A4C23">
        <w:rPr>
          <w:rFonts w:ascii="Times New Roman" w:hAnsi="Times New Roman" w:cs="Times New Roman"/>
          <w:sz w:val="24"/>
          <w:szCs w:val="24"/>
        </w:rPr>
        <w:t xml:space="preserve"> </w:t>
      </w:r>
      <w:r w:rsidRPr="002A4C23" w:rsidR="00EC140D">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2A4C23" w:rsidR="0066409E">
        <w:rPr>
          <w:rFonts w:ascii="Times New Roman" w:hAnsi="Times New Roman" w:cs="Times New Roman"/>
          <w:sz w:val="24"/>
          <w:szCs w:val="24"/>
        </w:rPr>
        <w:t xml:space="preserve"> </w:t>
      </w:r>
      <w:r w:rsidRPr="002A4C23" w:rsidR="00AA58DC">
        <w:rPr>
          <w:rFonts w:ascii="Times New Roman" w:hAnsi="Times New Roman" w:cs="Times New Roman"/>
          <w:sz w:val="24"/>
          <w:szCs w:val="24"/>
        </w:rPr>
        <w:t xml:space="preserve">This </w:t>
      </w:r>
      <w:r w:rsidRPr="002A4C23" w:rsidR="00420141">
        <w:rPr>
          <w:rFonts w:ascii="Times New Roman" w:hAnsi="Times New Roman" w:cs="Times New Roman"/>
          <w:sz w:val="24"/>
          <w:szCs w:val="24"/>
        </w:rPr>
        <w:t xml:space="preserve">came on the heels </w:t>
      </w:r>
      <w:r w:rsidRPr="002A4C23" w:rsidR="00756E79">
        <w:rPr>
          <w:rFonts w:ascii="Times New Roman" w:hAnsi="Times New Roman" w:cs="Times New Roman"/>
          <w:sz w:val="24"/>
          <w:szCs w:val="24"/>
        </w:rPr>
        <w:t xml:space="preserve">of consumers paying </w:t>
      </w:r>
      <w:r w:rsidRPr="002A4C23" w:rsidR="00420141">
        <w:rPr>
          <w:rFonts w:ascii="Times New Roman" w:hAnsi="Times New Roman" w:cs="Times New Roman"/>
          <w:sz w:val="24"/>
          <w:szCs w:val="24"/>
        </w:rPr>
        <w:t>$21.7 million and $39.2 million in above-market charges in 2016 and 2017, respectively.</w:t>
      </w:r>
      <w:r>
        <w:rPr>
          <w:rStyle w:val="FootnoteReference"/>
          <w:rFonts w:ascii="Times New Roman" w:hAnsi="Times New Roman" w:cs="Times New Roman"/>
          <w:sz w:val="24"/>
          <w:szCs w:val="24"/>
        </w:rPr>
        <w:footnoteReference w:id="3"/>
      </w:r>
      <w:r w:rsidRPr="002A4C23" w:rsidR="0066409E">
        <w:rPr>
          <w:rFonts w:ascii="Times New Roman" w:hAnsi="Times New Roman" w:cs="Times New Roman"/>
          <w:sz w:val="24"/>
          <w:szCs w:val="24"/>
        </w:rPr>
        <w:t xml:space="preserve"> </w:t>
      </w:r>
      <w:r w:rsidRPr="002A4C23" w:rsidR="00420141">
        <w:rPr>
          <w:rFonts w:ascii="Times New Roman" w:hAnsi="Times New Roman" w:cs="Times New Roman"/>
          <w:sz w:val="24"/>
          <w:szCs w:val="24"/>
        </w:rPr>
        <w:t xml:space="preserve">A key </w:t>
      </w:r>
      <w:r w:rsidRPr="002A4C23" w:rsidR="00627FBD">
        <w:rPr>
          <w:rFonts w:ascii="Times New Roman" w:hAnsi="Times New Roman" w:cs="Times New Roman"/>
          <w:sz w:val="24"/>
          <w:szCs w:val="24"/>
        </w:rPr>
        <w:t>point</w:t>
      </w:r>
      <w:r w:rsidRPr="002A4C23" w:rsidR="00420141">
        <w:rPr>
          <w:rFonts w:ascii="Times New Roman" w:hAnsi="Times New Roman" w:cs="Times New Roman"/>
          <w:sz w:val="24"/>
          <w:szCs w:val="24"/>
        </w:rPr>
        <w:t xml:space="preserve"> is that after </w:t>
      </w:r>
      <w:r w:rsidRPr="002A4C23" w:rsidR="00756E79">
        <w:rPr>
          <w:rFonts w:ascii="Times New Roman" w:hAnsi="Times New Roman" w:cs="Times New Roman"/>
          <w:sz w:val="24"/>
          <w:szCs w:val="24"/>
        </w:rPr>
        <w:t xml:space="preserve">incurring </w:t>
      </w:r>
      <w:r w:rsidRPr="002A4C23" w:rsidR="00420141">
        <w:rPr>
          <w:rFonts w:ascii="Times New Roman" w:hAnsi="Times New Roman" w:cs="Times New Roman"/>
          <w:sz w:val="24"/>
          <w:szCs w:val="24"/>
        </w:rPr>
        <w:t>s</w:t>
      </w:r>
      <w:r w:rsidR="00033EC5">
        <w:rPr>
          <w:rFonts w:ascii="Times New Roman" w:hAnsi="Times New Roman" w:cs="Times New Roman"/>
          <w:sz w:val="24"/>
          <w:szCs w:val="24"/>
        </w:rPr>
        <w:t>uch</w:t>
      </w:r>
      <w:r w:rsidRPr="002A4C23" w:rsidR="00420141">
        <w:rPr>
          <w:rFonts w:ascii="Times New Roman" w:hAnsi="Times New Roman" w:cs="Times New Roman"/>
          <w:sz w:val="24"/>
          <w:szCs w:val="24"/>
        </w:rPr>
        <w:t xml:space="preserve"> high above-market costs in 2016 and 2017, AEP did absolutely nothing to change how the plants were operated or to find an alternative resource to </w:t>
      </w:r>
      <w:r w:rsidRPr="002A4C23" w:rsidR="00756E79">
        <w:rPr>
          <w:rFonts w:ascii="Times New Roman" w:hAnsi="Times New Roman" w:cs="Times New Roman"/>
          <w:sz w:val="24"/>
          <w:szCs w:val="24"/>
        </w:rPr>
        <w:t xml:space="preserve">serve as a so-called </w:t>
      </w:r>
      <w:r w:rsidRPr="002A4C23" w:rsidR="00420141">
        <w:rPr>
          <w:rFonts w:ascii="Times New Roman" w:hAnsi="Times New Roman" w:cs="Times New Roman"/>
          <w:sz w:val="24"/>
          <w:szCs w:val="24"/>
        </w:rPr>
        <w:t>financial hedge.</w:t>
      </w:r>
      <w:r w:rsidRPr="002A4C23" w:rsidR="0066409E">
        <w:rPr>
          <w:rFonts w:ascii="Times New Roman" w:hAnsi="Times New Roman" w:cs="Times New Roman"/>
          <w:sz w:val="24"/>
          <w:szCs w:val="24"/>
        </w:rPr>
        <w:t xml:space="preserve"> </w:t>
      </w:r>
      <w:r w:rsidRPr="002A4C23" w:rsidR="00783E75">
        <w:rPr>
          <w:rFonts w:ascii="Times New Roman" w:hAnsi="Times New Roman" w:cs="Times New Roman"/>
          <w:sz w:val="24"/>
          <w:szCs w:val="24"/>
        </w:rPr>
        <w:t xml:space="preserve">AEP knew it had consumers as their backstop for any losses resulted from running the OVEC plants. </w:t>
      </w:r>
      <w:r w:rsidRPr="002A4C23" w:rsidR="00627FBD">
        <w:rPr>
          <w:rFonts w:ascii="Times New Roman" w:hAnsi="Times New Roman" w:cs="Times New Roman"/>
          <w:sz w:val="24"/>
          <w:szCs w:val="24"/>
        </w:rPr>
        <w:t>Under these circumstances, d</w:t>
      </w:r>
      <w:r w:rsidRPr="002A4C23" w:rsidR="00420141">
        <w:rPr>
          <w:rFonts w:ascii="Times New Roman" w:hAnsi="Times New Roman" w:cs="Times New Roman"/>
          <w:sz w:val="24"/>
          <w:szCs w:val="24"/>
        </w:rPr>
        <w:t xml:space="preserve">oing nothing was not </w:t>
      </w:r>
      <w:r w:rsidRPr="002A4C23" w:rsidR="00B23CBA">
        <w:rPr>
          <w:rFonts w:ascii="Times New Roman" w:hAnsi="Times New Roman" w:cs="Times New Roman"/>
          <w:sz w:val="24"/>
          <w:szCs w:val="24"/>
        </w:rPr>
        <w:t>prudent</w:t>
      </w:r>
      <w:r w:rsidRPr="002A4C23">
        <w:rPr>
          <w:rFonts w:ascii="Times New Roman" w:hAnsi="Times New Roman" w:cs="Times New Roman"/>
          <w:sz w:val="24"/>
          <w:szCs w:val="24"/>
        </w:rPr>
        <w:t xml:space="preserve"> </w:t>
      </w:r>
      <w:r w:rsidRPr="002A4C23" w:rsidR="000806ED">
        <w:rPr>
          <w:rFonts w:ascii="Times New Roman" w:hAnsi="Times New Roman" w:cs="Times New Roman"/>
          <w:sz w:val="24"/>
          <w:szCs w:val="24"/>
        </w:rPr>
        <w:t xml:space="preserve">or </w:t>
      </w:r>
      <w:r w:rsidRPr="002A4C23" w:rsidR="00B23CBA">
        <w:rPr>
          <w:rFonts w:ascii="Times New Roman" w:hAnsi="Times New Roman" w:cs="Times New Roman"/>
          <w:sz w:val="24"/>
          <w:szCs w:val="24"/>
        </w:rPr>
        <w:t xml:space="preserve">in the best interest of </w:t>
      </w:r>
      <w:r w:rsidRPr="002A4C23" w:rsidR="000D7F5D">
        <w:rPr>
          <w:rFonts w:ascii="Times New Roman" w:hAnsi="Times New Roman" w:cs="Times New Roman"/>
          <w:sz w:val="24"/>
          <w:szCs w:val="24"/>
        </w:rPr>
        <w:t>consumers</w:t>
      </w:r>
      <w:r w:rsidRPr="002A4C23" w:rsidR="00B23CBA">
        <w:rPr>
          <w:rFonts w:ascii="Times New Roman" w:hAnsi="Times New Roman" w:cs="Times New Roman"/>
          <w:sz w:val="24"/>
          <w:szCs w:val="24"/>
        </w:rPr>
        <w:t>.</w:t>
      </w:r>
      <w:r w:rsidRPr="002A4C23" w:rsidR="0066409E">
        <w:rPr>
          <w:rFonts w:ascii="Times New Roman" w:hAnsi="Times New Roman" w:cs="Times New Roman"/>
          <w:sz w:val="24"/>
          <w:szCs w:val="24"/>
        </w:rPr>
        <w:t xml:space="preserve"> </w:t>
      </w:r>
    </w:p>
    <w:p w:rsidR="000806ED" w:rsidRPr="002A4C23" w:rsidP="00E148C5" w14:paraId="318EFE02" w14:textId="4E9A7971">
      <w:pPr>
        <w:spacing w:after="0" w:line="480" w:lineRule="auto"/>
        <w:rPr>
          <w:rFonts w:ascii="Times New Roman" w:hAnsi="Times New Roman" w:cs="Times New Roman"/>
          <w:sz w:val="24"/>
          <w:szCs w:val="24"/>
        </w:rPr>
      </w:pPr>
      <w:r w:rsidRPr="002A4C23">
        <w:rPr>
          <w:rFonts w:ascii="Times New Roman" w:hAnsi="Times New Roman" w:cs="Times New Roman"/>
          <w:sz w:val="24"/>
          <w:szCs w:val="24"/>
        </w:rPr>
        <w:tab/>
      </w:r>
      <w:r w:rsidRPr="002A4C23" w:rsidR="003E29E7">
        <w:rPr>
          <w:rFonts w:ascii="Times New Roman" w:hAnsi="Times New Roman" w:cs="Times New Roman"/>
          <w:sz w:val="24"/>
          <w:szCs w:val="24"/>
        </w:rPr>
        <w:t xml:space="preserve">A key fact </w:t>
      </w:r>
      <w:r w:rsidRPr="002A4C23" w:rsidR="00756E79">
        <w:rPr>
          <w:rFonts w:ascii="Times New Roman" w:hAnsi="Times New Roman" w:cs="Times New Roman"/>
          <w:sz w:val="24"/>
          <w:szCs w:val="24"/>
        </w:rPr>
        <w:t xml:space="preserve">revealed at </w:t>
      </w:r>
      <w:r w:rsidRPr="002A4C23">
        <w:rPr>
          <w:rFonts w:ascii="Times New Roman" w:hAnsi="Times New Roman" w:cs="Times New Roman"/>
          <w:sz w:val="24"/>
          <w:szCs w:val="24"/>
        </w:rPr>
        <w:t xml:space="preserve">the hearing </w:t>
      </w:r>
      <w:r w:rsidRPr="002A4C23" w:rsidR="003E29E7">
        <w:rPr>
          <w:rFonts w:ascii="Times New Roman" w:hAnsi="Times New Roman" w:cs="Times New Roman"/>
          <w:sz w:val="24"/>
          <w:szCs w:val="24"/>
        </w:rPr>
        <w:t>is</w:t>
      </w:r>
      <w:r w:rsidR="002A4C23">
        <w:rPr>
          <w:rFonts w:ascii="Times New Roman" w:hAnsi="Times New Roman" w:cs="Times New Roman"/>
          <w:sz w:val="24"/>
          <w:szCs w:val="24"/>
        </w:rPr>
        <w:t xml:space="preserve"> </w:t>
      </w:r>
      <w:r w:rsidRPr="002A4C23" w:rsidR="00756E79">
        <w:rPr>
          <w:rFonts w:ascii="Times New Roman" w:hAnsi="Times New Roman" w:cs="Times New Roman"/>
          <w:sz w:val="24"/>
          <w:szCs w:val="24"/>
        </w:rPr>
        <w:t xml:space="preserve">that </w:t>
      </w:r>
      <w:r w:rsidRPr="002A4C23">
        <w:rPr>
          <w:rFonts w:ascii="Times New Roman" w:hAnsi="Times New Roman" w:cs="Times New Roman"/>
          <w:sz w:val="24"/>
          <w:szCs w:val="24"/>
        </w:rPr>
        <w:t xml:space="preserve">the Auditor </w:t>
      </w:r>
      <w:r w:rsidRPr="002A4C23">
        <w:rPr>
          <w:rFonts w:ascii="Times New Roman" w:hAnsi="Times New Roman" w:cs="Times New Roman"/>
          <w:i/>
          <w:iCs/>
          <w:sz w:val="24"/>
          <w:szCs w:val="24"/>
        </w:rPr>
        <w:t>chang</w:t>
      </w:r>
      <w:r w:rsidRPr="002A4C23" w:rsidR="00AE5FB5">
        <w:rPr>
          <w:rFonts w:ascii="Times New Roman" w:hAnsi="Times New Roman" w:cs="Times New Roman"/>
          <w:i/>
          <w:iCs/>
          <w:sz w:val="24"/>
          <w:szCs w:val="24"/>
        </w:rPr>
        <w:t>ed</w:t>
      </w:r>
      <w:r w:rsidR="002A4C23">
        <w:rPr>
          <w:rFonts w:ascii="Times New Roman" w:hAnsi="Times New Roman" w:cs="Times New Roman"/>
          <w:i/>
          <w:iCs/>
          <w:sz w:val="24"/>
          <w:szCs w:val="24"/>
        </w:rPr>
        <w:t xml:space="preserve"> </w:t>
      </w:r>
      <w:r w:rsidRPr="002A4C23">
        <w:rPr>
          <w:rFonts w:ascii="Times New Roman" w:hAnsi="Times New Roman" w:cs="Times New Roman"/>
          <w:i/>
          <w:iCs/>
          <w:sz w:val="24"/>
          <w:szCs w:val="24"/>
        </w:rPr>
        <w:t>her draft report to remove the sentence</w:t>
      </w:r>
      <w:r w:rsidRPr="002A4C23">
        <w:rPr>
          <w:rFonts w:ascii="Times New Roman" w:hAnsi="Times New Roman" w:cs="Times New Roman"/>
          <w:sz w:val="24"/>
          <w:szCs w:val="24"/>
        </w:rPr>
        <w:t>:</w:t>
      </w:r>
      <w:r w:rsidRPr="002A4C23" w:rsidR="0066409E">
        <w:rPr>
          <w:rFonts w:ascii="Times New Roman" w:hAnsi="Times New Roman" w:cs="Times New Roman"/>
          <w:sz w:val="24"/>
          <w:szCs w:val="24"/>
        </w:rPr>
        <w:t xml:space="preserve"> </w:t>
      </w:r>
      <w:r w:rsidRPr="002A4C23">
        <w:rPr>
          <w:rFonts w:ascii="Times New Roman" w:hAnsi="Times New Roman" w:cs="Times New Roman"/>
          <w:sz w:val="24"/>
          <w:szCs w:val="24"/>
        </w:rPr>
        <w:t xml:space="preserve">“Therefore, keeping the plants running </w:t>
      </w:r>
      <w:r w:rsidRPr="002A4C23">
        <w:rPr>
          <w:rFonts w:ascii="Times New Roman" w:hAnsi="Times New Roman" w:cs="Times New Roman"/>
          <w:i/>
          <w:iCs/>
          <w:sz w:val="24"/>
          <w:szCs w:val="24"/>
        </w:rPr>
        <w:t>does not seem to be in the best interests</w:t>
      </w:r>
      <w:r w:rsidRPr="002A4C23">
        <w:rPr>
          <w:rFonts w:ascii="Times New Roman" w:hAnsi="Times New Roman" w:cs="Times New Roman"/>
          <w:sz w:val="24"/>
          <w:szCs w:val="24"/>
        </w:rPr>
        <w:t xml:space="preserve"> of the ratepayers.”</w:t>
      </w:r>
      <w:r>
        <w:rPr>
          <w:rStyle w:val="FootnoteReference"/>
          <w:rFonts w:ascii="Times New Roman" w:hAnsi="Times New Roman" w:cs="Times New Roman"/>
          <w:sz w:val="24"/>
          <w:szCs w:val="24"/>
        </w:rPr>
        <w:footnoteReference w:id="4"/>
      </w:r>
      <w:r w:rsidRPr="002A4C23" w:rsidR="0066409E">
        <w:rPr>
          <w:rFonts w:ascii="Times New Roman" w:hAnsi="Times New Roman" w:cs="Times New Roman"/>
          <w:sz w:val="24"/>
          <w:szCs w:val="24"/>
        </w:rPr>
        <w:t xml:space="preserve"> </w:t>
      </w:r>
      <w:r w:rsidRPr="002A4C23">
        <w:rPr>
          <w:rFonts w:ascii="Times New Roman" w:hAnsi="Times New Roman" w:cs="Times New Roman"/>
          <w:sz w:val="24"/>
          <w:szCs w:val="24"/>
        </w:rPr>
        <w:t>The Auditor claimed she exercised her own judgment to remove this sentence because it was “too broad.”</w:t>
      </w:r>
      <w:r>
        <w:rPr>
          <w:rStyle w:val="FootnoteReference"/>
          <w:rFonts w:ascii="Times New Roman" w:hAnsi="Times New Roman" w:cs="Times New Roman"/>
          <w:sz w:val="24"/>
          <w:szCs w:val="24"/>
        </w:rPr>
        <w:footnoteReference w:id="5"/>
      </w:r>
      <w:r w:rsidRPr="002A4C23" w:rsidR="0066409E">
        <w:rPr>
          <w:rFonts w:ascii="Times New Roman" w:hAnsi="Times New Roman" w:cs="Times New Roman"/>
          <w:sz w:val="24"/>
          <w:szCs w:val="24"/>
        </w:rPr>
        <w:t xml:space="preserve"> </w:t>
      </w:r>
      <w:r w:rsidRPr="002A4C23" w:rsidR="00B15313">
        <w:rPr>
          <w:rFonts w:ascii="Times New Roman" w:hAnsi="Times New Roman" w:cs="Times New Roman"/>
          <w:sz w:val="24"/>
          <w:szCs w:val="24"/>
        </w:rPr>
        <w:t>She admitted, however,</w:t>
      </w:r>
      <w:r w:rsidRPr="002A4C23">
        <w:rPr>
          <w:rFonts w:ascii="Times New Roman" w:hAnsi="Times New Roman" w:cs="Times New Roman"/>
          <w:sz w:val="24"/>
          <w:szCs w:val="24"/>
        </w:rPr>
        <w:t xml:space="preserve"> that this edit was in the </w:t>
      </w:r>
      <w:r w:rsidRPr="002A4C23" w:rsidR="00B15313">
        <w:rPr>
          <w:rFonts w:ascii="Times New Roman" w:hAnsi="Times New Roman" w:cs="Times New Roman"/>
          <w:sz w:val="24"/>
          <w:szCs w:val="24"/>
        </w:rPr>
        <w:t>“</w:t>
      </w:r>
      <w:r w:rsidRPr="002A4C23" w:rsidR="00D729CC">
        <w:rPr>
          <w:rFonts w:ascii="Times New Roman" w:hAnsi="Times New Roman" w:cs="Times New Roman"/>
          <w:sz w:val="24"/>
          <w:szCs w:val="24"/>
        </w:rPr>
        <w:t>c</w:t>
      </w:r>
      <w:r w:rsidRPr="002A4C23" w:rsidR="00B15313">
        <w:rPr>
          <w:rFonts w:ascii="Times New Roman" w:hAnsi="Times New Roman" w:cs="Times New Roman"/>
          <w:sz w:val="24"/>
          <w:szCs w:val="24"/>
        </w:rPr>
        <w:t xml:space="preserve">onclusion” section and did not affect her overall opinion contained in the body of the </w:t>
      </w:r>
      <w:r w:rsidRPr="002A4C23" w:rsidR="00D729CC">
        <w:rPr>
          <w:rFonts w:ascii="Times New Roman" w:hAnsi="Times New Roman" w:cs="Times New Roman"/>
          <w:sz w:val="24"/>
          <w:szCs w:val="24"/>
        </w:rPr>
        <w:t>A</w:t>
      </w:r>
      <w:r w:rsidRPr="002A4C23" w:rsidR="00B15313">
        <w:rPr>
          <w:rFonts w:ascii="Times New Roman" w:hAnsi="Times New Roman" w:cs="Times New Roman"/>
          <w:sz w:val="24"/>
          <w:szCs w:val="24"/>
        </w:rPr>
        <w:t xml:space="preserve">udit </w:t>
      </w:r>
      <w:r w:rsidRPr="002A4C23" w:rsidR="00D729CC">
        <w:rPr>
          <w:rFonts w:ascii="Times New Roman" w:hAnsi="Times New Roman" w:cs="Times New Roman"/>
          <w:sz w:val="24"/>
          <w:szCs w:val="24"/>
        </w:rPr>
        <w:t>R</w:t>
      </w:r>
      <w:r w:rsidRPr="002A4C23" w:rsidR="00B15313">
        <w:rPr>
          <w:rFonts w:ascii="Times New Roman" w:hAnsi="Times New Roman" w:cs="Times New Roman"/>
          <w:sz w:val="24"/>
          <w:szCs w:val="24"/>
        </w:rPr>
        <w:t>eport.</w:t>
      </w:r>
      <w:r>
        <w:rPr>
          <w:rStyle w:val="FootnoteReference"/>
          <w:rFonts w:ascii="Times New Roman" w:hAnsi="Times New Roman" w:cs="Times New Roman"/>
          <w:sz w:val="24"/>
          <w:szCs w:val="24"/>
        </w:rPr>
        <w:footnoteReference w:id="6"/>
      </w:r>
      <w:r w:rsidRPr="002A4C23" w:rsidR="0066409E">
        <w:rPr>
          <w:rFonts w:ascii="Times New Roman" w:hAnsi="Times New Roman" w:cs="Times New Roman"/>
          <w:sz w:val="24"/>
          <w:szCs w:val="24"/>
        </w:rPr>
        <w:t xml:space="preserve"> </w:t>
      </w:r>
      <w:r w:rsidRPr="002A4C23" w:rsidR="00B15313">
        <w:rPr>
          <w:rFonts w:ascii="Times New Roman" w:hAnsi="Times New Roman" w:cs="Times New Roman"/>
          <w:sz w:val="24"/>
          <w:szCs w:val="24"/>
        </w:rPr>
        <w:t xml:space="preserve">Based on this explanation by the Auditor, the </w:t>
      </w:r>
      <w:r w:rsidRPr="002A4C23" w:rsidR="00D729CC">
        <w:rPr>
          <w:rFonts w:ascii="Times New Roman" w:hAnsi="Times New Roman" w:cs="Times New Roman"/>
          <w:sz w:val="24"/>
          <w:szCs w:val="24"/>
        </w:rPr>
        <w:t>A</w:t>
      </w:r>
      <w:r w:rsidRPr="002A4C23" w:rsidR="00B15313">
        <w:rPr>
          <w:rFonts w:ascii="Times New Roman" w:hAnsi="Times New Roman" w:cs="Times New Roman"/>
          <w:sz w:val="24"/>
          <w:szCs w:val="24"/>
        </w:rPr>
        <w:t xml:space="preserve">udit </w:t>
      </w:r>
      <w:r w:rsidRPr="002A4C23" w:rsidR="00D729CC">
        <w:rPr>
          <w:rFonts w:ascii="Times New Roman" w:hAnsi="Times New Roman" w:cs="Times New Roman"/>
          <w:sz w:val="24"/>
          <w:szCs w:val="24"/>
        </w:rPr>
        <w:t>R</w:t>
      </w:r>
      <w:r w:rsidRPr="002A4C23" w:rsidR="00B15313">
        <w:rPr>
          <w:rFonts w:ascii="Times New Roman" w:hAnsi="Times New Roman" w:cs="Times New Roman"/>
          <w:sz w:val="24"/>
          <w:szCs w:val="24"/>
        </w:rPr>
        <w:t xml:space="preserve">eport establishes that running the plants is not in the </w:t>
      </w:r>
      <w:r w:rsidRPr="002A4C23" w:rsidR="00D729CC">
        <w:rPr>
          <w:rFonts w:ascii="Times New Roman" w:hAnsi="Times New Roman" w:cs="Times New Roman"/>
          <w:sz w:val="24"/>
          <w:szCs w:val="24"/>
        </w:rPr>
        <w:t>consumers’</w:t>
      </w:r>
      <w:r w:rsidRPr="002A4C23" w:rsidR="00B15313">
        <w:rPr>
          <w:rFonts w:ascii="Times New Roman" w:hAnsi="Times New Roman" w:cs="Times New Roman"/>
          <w:sz w:val="24"/>
          <w:szCs w:val="24"/>
        </w:rPr>
        <w:t xml:space="preserve"> best interests</w:t>
      </w:r>
      <w:r w:rsidRPr="002A4C23" w:rsidR="003E29E7">
        <w:rPr>
          <w:rFonts w:ascii="Times New Roman" w:hAnsi="Times New Roman" w:cs="Times New Roman"/>
          <w:sz w:val="24"/>
          <w:szCs w:val="24"/>
        </w:rPr>
        <w:t xml:space="preserve"> irrespective </w:t>
      </w:r>
      <w:r w:rsidRPr="002A4C23" w:rsidR="00AE5FB5">
        <w:rPr>
          <w:rFonts w:ascii="Times New Roman" w:hAnsi="Times New Roman" w:cs="Times New Roman"/>
          <w:sz w:val="24"/>
          <w:szCs w:val="24"/>
        </w:rPr>
        <w:t xml:space="preserve">of </w:t>
      </w:r>
      <w:r w:rsidRPr="002A4C23" w:rsidR="003E29E7">
        <w:rPr>
          <w:rFonts w:ascii="Times New Roman" w:hAnsi="Times New Roman" w:cs="Times New Roman"/>
          <w:sz w:val="24"/>
          <w:szCs w:val="24"/>
        </w:rPr>
        <w:t>the exact words</w:t>
      </w:r>
      <w:r w:rsidR="002A4C23">
        <w:rPr>
          <w:rFonts w:ascii="Times New Roman" w:hAnsi="Times New Roman" w:cs="Times New Roman"/>
          <w:sz w:val="24"/>
          <w:szCs w:val="24"/>
        </w:rPr>
        <w:t xml:space="preserve"> </w:t>
      </w:r>
      <w:r w:rsidRPr="002A4C23" w:rsidR="003E29E7">
        <w:rPr>
          <w:rFonts w:ascii="Times New Roman" w:hAnsi="Times New Roman" w:cs="Times New Roman"/>
          <w:sz w:val="24"/>
          <w:szCs w:val="24"/>
        </w:rPr>
        <w:t>in the conclusion section</w:t>
      </w:r>
      <w:r w:rsidRPr="002A4C23" w:rsidR="00B15313">
        <w:rPr>
          <w:rFonts w:ascii="Times New Roman" w:hAnsi="Times New Roman" w:cs="Times New Roman"/>
          <w:sz w:val="24"/>
          <w:szCs w:val="24"/>
        </w:rPr>
        <w:t>.</w:t>
      </w:r>
      <w:r w:rsidRPr="002A4C23" w:rsidR="0066409E">
        <w:rPr>
          <w:rFonts w:ascii="Times New Roman" w:hAnsi="Times New Roman" w:cs="Times New Roman"/>
          <w:sz w:val="24"/>
          <w:szCs w:val="24"/>
        </w:rPr>
        <w:t xml:space="preserve"> </w:t>
      </w:r>
      <w:r w:rsidRPr="002A4C23" w:rsidR="00B15313">
        <w:rPr>
          <w:rFonts w:ascii="Times New Roman" w:hAnsi="Times New Roman" w:cs="Times New Roman"/>
          <w:sz w:val="24"/>
          <w:szCs w:val="24"/>
        </w:rPr>
        <w:t>The PUCO should so find</w:t>
      </w:r>
      <w:r w:rsidRPr="002A4C23" w:rsidR="00420141">
        <w:rPr>
          <w:rFonts w:ascii="Times New Roman" w:hAnsi="Times New Roman" w:cs="Times New Roman"/>
          <w:sz w:val="24"/>
          <w:szCs w:val="24"/>
        </w:rPr>
        <w:t xml:space="preserve"> </w:t>
      </w:r>
      <w:r w:rsidRPr="002A4C23" w:rsidR="00B15313">
        <w:rPr>
          <w:rFonts w:ascii="Times New Roman" w:hAnsi="Times New Roman" w:cs="Times New Roman"/>
          <w:sz w:val="24"/>
          <w:szCs w:val="24"/>
        </w:rPr>
        <w:t>and should disallow the entire $74.5 million in above-market costs that AEP collected under the PPA Rider.</w:t>
      </w:r>
    </w:p>
    <w:p w:rsidR="006A4DB2" w:rsidRPr="002A4C23" w:rsidP="00E148C5" w14:paraId="0525B9C9" w14:textId="77777777">
      <w:pPr>
        <w:spacing w:after="0" w:line="240" w:lineRule="auto"/>
        <w:rPr>
          <w:rFonts w:ascii="Times New Roman" w:hAnsi="Times New Roman" w:cs="Times New Roman"/>
          <w:sz w:val="24"/>
          <w:szCs w:val="24"/>
        </w:rPr>
      </w:pPr>
    </w:p>
    <w:p w:rsidR="0041694E" w:rsidRPr="002A4C23" w:rsidP="006A4DB2" w14:paraId="6EF117B9" w14:textId="1354FEBB">
      <w:pPr>
        <w:pStyle w:val="Heading1"/>
        <w:rPr>
          <w:rFonts w:cs="Times New Roman"/>
          <w:szCs w:val="24"/>
        </w:rPr>
      </w:pPr>
      <w:bookmarkStart w:id="2" w:name="_Toc100315454"/>
      <w:r w:rsidRPr="002A4C23">
        <w:rPr>
          <w:rFonts w:cs="Times New Roman"/>
          <w:szCs w:val="24"/>
        </w:rPr>
        <w:t>II.</w:t>
      </w:r>
      <w:r w:rsidRPr="002A4C23">
        <w:rPr>
          <w:rFonts w:cs="Times New Roman"/>
          <w:szCs w:val="24"/>
        </w:rPr>
        <w:tab/>
        <w:t>LAW AND ARGUMENT</w:t>
      </w:r>
      <w:bookmarkEnd w:id="2"/>
    </w:p>
    <w:p w:rsidR="003D5048" w:rsidRPr="002A4C23" w:rsidP="006A4DB2" w14:paraId="34ED684F" w14:textId="52208219">
      <w:pPr>
        <w:pStyle w:val="Heading2"/>
        <w:rPr>
          <w:rFonts w:ascii="Times New Roman" w:hAnsi="Times New Roman" w:cs="Times New Roman"/>
          <w:b w:val="0"/>
          <w:szCs w:val="24"/>
        </w:rPr>
      </w:pPr>
      <w:bookmarkStart w:id="3" w:name="_Toc100315455"/>
      <w:r w:rsidRPr="002A4C23">
        <w:rPr>
          <w:rFonts w:ascii="Times New Roman" w:hAnsi="Times New Roman" w:cs="Times New Roman"/>
          <w:szCs w:val="24"/>
        </w:rPr>
        <w:t>A.</w:t>
      </w:r>
      <w:r w:rsidRPr="002A4C23">
        <w:rPr>
          <w:rFonts w:ascii="Times New Roman" w:hAnsi="Times New Roman" w:cs="Times New Roman"/>
          <w:szCs w:val="24"/>
        </w:rPr>
        <w:tab/>
      </w:r>
      <w:r w:rsidRPr="002A4C23" w:rsidR="0041694E">
        <w:rPr>
          <w:rFonts w:ascii="Times New Roman" w:hAnsi="Times New Roman" w:cs="Times New Roman"/>
          <w:szCs w:val="24"/>
        </w:rPr>
        <w:t>The PUCO should disallow AEP’s $74.5 million in charges to consumers during the audit period (2018 and 2019).</w:t>
      </w:r>
      <w:bookmarkEnd w:id="3"/>
    </w:p>
    <w:p w:rsidR="003D5048" w:rsidRPr="00857B6E" w:rsidP="00857B6E" w14:paraId="3060E39C" w14:textId="2C91F6DF">
      <w:pPr>
        <w:pStyle w:val="Heading3"/>
      </w:pPr>
      <w:bookmarkStart w:id="4" w:name="_Toc100315456"/>
      <w:r>
        <w:t>1.</w:t>
      </w:r>
      <w:r>
        <w:tab/>
      </w:r>
      <w:r w:rsidRPr="00857B6E" w:rsidR="000A3C7E">
        <w:t xml:space="preserve">In spite of undue interference from Staff, </w:t>
      </w:r>
      <w:r w:rsidRPr="00857B6E" w:rsidR="0041694E">
        <w:t xml:space="preserve">LEI’s Audit </w:t>
      </w:r>
      <w:r w:rsidRPr="00857B6E" w:rsidR="00D729CC">
        <w:t xml:space="preserve">Report </w:t>
      </w:r>
      <w:r w:rsidRPr="00857B6E" w:rsidR="000A3C7E">
        <w:t xml:space="preserve">did demonstrate running the OVEC plants was not in the best interest of </w:t>
      </w:r>
      <w:r w:rsidRPr="00857B6E" w:rsidR="000D7F5D">
        <w:t>consumers</w:t>
      </w:r>
      <w:r w:rsidRPr="00857B6E" w:rsidR="000A3C7E">
        <w:t>.</w:t>
      </w:r>
      <w:bookmarkEnd w:id="4"/>
      <w:r w:rsidRPr="00857B6E" w:rsidR="000A3C7E">
        <w:t xml:space="preserve"> </w:t>
      </w:r>
    </w:p>
    <w:p w:rsidR="0041694E" w:rsidRPr="002A4C23" w:rsidP="002A4C23" w14:paraId="5E3010E0" w14:textId="5028217A">
      <w:pPr>
        <w:spacing w:after="0" w:line="480" w:lineRule="auto"/>
        <w:rPr>
          <w:rFonts w:ascii="Times New Roman" w:hAnsi="Times New Roman" w:cs="Times New Roman"/>
          <w:sz w:val="24"/>
          <w:szCs w:val="24"/>
        </w:rPr>
      </w:pPr>
      <w:r w:rsidRPr="002A4C23">
        <w:rPr>
          <w:rFonts w:ascii="Times New Roman" w:hAnsi="Times New Roman" w:cs="Times New Roman"/>
          <w:b/>
          <w:bCs/>
          <w:sz w:val="24"/>
          <w:szCs w:val="24"/>
        </w:rPr>
        <w:tab/>
      </w:r>
      <w:r w:rsidRPr="002A4C23" w:rsidR="00B15313">
        <w:rPr>
          <w:rFonts w:ascii="Times New Roman" w:hAnsi="Times New Roman" w:cs="Times New Roman"/>
          <w:sz w:val="24"/>
          <w:szCs w:val="24"/>
        </w:rPr>
        <w:t>Staff’s Initial Brief</w:t>
      </w:r>
      <w:r w:rsidRPr="002A4C23">
        <w:rPr>
          <w:rFonts w:ascii="Times New Roman" w:hAnsi="Times New Roman" w:cs="Times New Roman"/>
          <w:sz w:val="24"/>
          <w:szCs w:val="24"/>
        </w:rPr>
        <w:t xml:space="preserve"> uses the word “independent” seven times</w:t>
      </w:r>
      <w:r w:rsidRPr="002A4C23" w:rsidR="00B15313">
        <w:rPr>
          <w:rFonts w:ascii="Times New Roman" w:hAnsi="Times New Roman" w:cs="Times New Roman"/>
          <w:sz w:val="24"/>
          <w:szCs w:val="24"/>
        </w:rPr>
        <w:t>.</w:t>
      </w:r>
      <w:r w:rsidRPr="002A4C23" w:rsidR="0066409E">
        <w:rPr>
          <w:rFonts w:ascii="Times New Roman" w:hAnsi="Times New Roman" w:cs="Times New Roman"/>
          <w:sz w:val="24"/>
          <w:szCs w:val="24"/>
        </w:rPr>
        <w:t xml:space="preserve"> </w:t>
      </w:r>
      <w:r w:rsidRPr="002A4C23">
        <w:rPr>
          <w:rFonts w:ascii="Times New Roman" w:hAnsi="Times New Roman" w:cs="Times New Roman"/>
          <w:sz w:val="24"/>
          <w:szCs w:val="24"/>
        </w:rPr>
        <w:t xml:space="preserve">Apparently, </w:t>
      </w:r>
      <w:r w:rsidRPr="002A4C23" w:rsidR="00B15313">
        <w:rPr>
          <w:rFonts w:ascii="Times New Roman" w:hAnsi="Times New Roman" w:cs="Times New Roman"/>
          <w:sz w:val="24"/>
          <w:szCs w:val="24"/>
        </w:rPr>
        <w:t xml:space="preserve">Staff believes </w:t>
      </w:r>
      <w:r w:rsidRPr="002A4C23">
        <w:rPr>
          <w:rFonts w:ascii="Times New Roman" w:hAnsi="Times New Roman" w:cs="Times New Roman"/>
          <w:sz w:val="24"/>
          <w:szCs w:val="24"/>
        </w:rPr>
        <w:t xml:space="preserve">the more </w:t>
      </w:r>
      <w:r w:rsidRPr="002A4C23" w:rsidR="00B15313">
        <w:rPr>
          <w:rFonts w:ascii="Times New Roman" w:hAnsi="Times New Roman" w:cs="Times New Roman"/>
          <w:sz w:val="24"/>
          <w:szCs w:val="24"/>
        </w:rPr>
        <w:t xml:space="preserve">often </w:t>
      </w:r>
      <w:r w:rsidRPr="002A4C23">
        <w:rPr>
          <w:rFonts w:ascii="Times New Roman" w:hAnsi="Times New Roman" w:cs="Times New Roman"/>
          <w:sz w:val="24"/>
          <w:szCs w:val="24"/>
        </w:rPr>
        <w:t xml:space="preserve">you say something, the more </w:t>
      </w:r>
      <w:r w:rsidRPr="002A4C23" w:rsidR="00251D1B">
        <w:rPr>
          <w:rFonts w:ascii="Times New Roman" w:hAnsi="Times New Roman" w:cs="Times New Roman"/>
          <w:sz w:val="24"/>
          <w:szCs w:val="24"/>
        </w:rPr>
        <w:t>convincing it becomes</w:t>
      </w:r>
      <w:r w:rsidRPr="002A4C23">
        <w:rPr>
          <w:rFonts w:ascii="Times New Roman" w:hAnsi="Times New Roman" w:cs="Times New Roman"/>
          <w:sz w:val="24"/>
          <w:szCs w:val="24"/>
        </w:rPr>
        <w:t>.</w:t>
      </w:r>
      <w:r w:rsidRPr="002A4C23" w:rsidR="0066409E">
        <w:rPr>
          <w:rFonts w:ascii="Times New Roman" w:hAnsi="Times New Roman" w:cs="Times New Roman"/>
          <w:sz w:val="24"/>
          <w:szCs w:val="24"/>
        </w:rPr>
        <w:t xml:space="preserve"> </w:t>
      </w:r>
      <w:r w:rsidRPr="002A4C23">
        <w:rPr>
          <w:rFonts w:ascii="Times New Roman" w:hAnsi="Times New Roman" w:cs="Times New Roman"/>
          <w:sz w:val="24"/>
          <w:szCs w:val="24"/>
        </w:rPr>
        <w:t xml:space="preserve">Staff “vehemently rejects any arguments (or even suggestions) made by any party that Staff specifically directed or forced the removal of any </w:t>
      </w:r>
      <w:r w:rsidRPr="002A4C23" w:rsidR="003079F7">
        <w:rPr>
          <w:rFonts w:ascii="Times New Roman" w:hAnsi="Times New Roman" w:cs="Times New Roman"/>
          <w:sz w:val="24"/>
          <w:szCs w:val="24"/>
        </w:rPr>
        <w:t>statements or</w:t>
      </w:r>
      <w:r w:rsidRPr="002A4C23">
        <w:rPr>
          <w:rFonts w:ascii="Times New Roman" w:hAnsi="Times New Roman" w:cs="Times New Roman"/>
          <w:sz w:val="24"/>
          <w:szCs w:val="24"/>
        </w:rPr>
        <w:t xml:space="preserve"> overstepped its role in this proceeding by making </w:t>
      </w:r>
      <w:r w:rsidRPr="002A4C23" w:rsidR="00AE5FB5">
        <w:rPr>
          <w:rFonts w:ascii="Times New Roman" w:hAnsi="Times New Roman" w:cs="Times New Roman"/>
          <w:sz w:val="24"/>
          <w:szCs w:val="24"/>
        </w:rPr>
        <w:t>“</w:t>
      </w:r>
      <w:r w:rsidRPr="002A4C23">
        <w:rPr>
          <w:rFonts w:ascii="Times New Roman" w:hAnsi="Times New Roman" w:cs="Times New Roman"/>
          <w:sz w:val="24"/>
          <w:szCs w:val="24"/>
        </w:rPr>
        <w:t>suggestions</w:t>
      </w:r>
      <w:r w:rsidRPr="002A4C23" w:rsidR="00AE5FB5">
        <w:rPr>
          <w:rFonts w:ascii="Times New Roman" w:hAnsi="Times New Roman" w:cs="Times New Roman"/>
          <w:sz w:val="24"/>
          <w:szCs w:val="24"/>
        </w:rPr>
        <w:t>”</w:t>
      </w:r>
      <w:r w:rsidRPr="002A4C23">
        <w:rPr>
          <w:rFonts w:ascii="Times New Roman" w:hAnsi="Times New Roman" w:cs="Times New Roman"/>
          <w:sz w:val="24"/>
          <w:szCs w:val="24"/>
        </w:rPr>
        <w:t xml:space="preserve"> regarding the content of the draft Audit Report.</w:t>
      </w:r>
      <w:r>
        <w:rPr>
          <w:rStyle w:val="FootnoteReference"/>
          <w:rFonts w:ascii="Times New Roman" w:hAnsi="Times New Roman" w:cs="Times New Roman"/>
          <w:sz w:val="24"/>
          <w:szCs w:val="24"/>
        </w:rPr>
        <w:footnoteReference w:id="7"/>
      </w:r>
      <w:r w:rsidR="002A4C23">
        <w:rPr>
          <w:rFonts w:ascii="Times New Roman" w:hAnsi="Times New Roman" w:cs="Times New Roman"/>
          <w:sz w:val="24"/>
          <w:szCs w:val="24"/>
        </w:rPr>
        <w:t xml:space="preserve"> </w:t>
      </w:r>
      <w:r w:rsidRPr="002A4C23" w:rsidR="00251D1B">
        <w:rPr>
          <w:rFonts w:ascii="Times New Roman" w:hAnsi="Times New Roman" w:cs="Times New Roman"/>
          <w:sz w:val="24"/>
          <w:szCs w:val="24"/>
        </w:rPr>
        <w:t xml:space="preserve">Staff’s explanation </w:t>
      </w:r>
      <w:r w:rsidRPr="002A4C23" w:rsidR="000A3C7E">
        <w:rPr>
          <w:rFonts w:ascii="Times New Roman" w:hAnsi="Times New Roman" w:cs="Times New Roman"/>
          <w:sz w:val="24"/>
          <w:szCs w:val="24"/>
        </w:rPr>
        <w:t xml:space="preserve">in the Initial Brief </w:t>
      </w:r>
      <w:r w:rsidRPr="002A4C23">
        <w:rPr>
          <w:rFonts w:ascii="Times New Roman" w:hAnsi="Times New Roman" w:cs="Times New Roman"/>
          <w:sz w:val="24"/>
          <w:szCs w:val="24"/>
        </w:rPr>
        <w:t xml:space="preserve">ignores what really happened. </w:t>
      </w:r>
    </w:p>
    <w:p w:rsidR="0041694E" w:rsidRPr="002A4C23" w:rsidP="00E148C5" w14:paraId="1013C865" w14:textId="76F3FB69">
      <w:pPr>
        <w:spacing w:after="0" w:line="480" w:lineRule="auto"/>
        <w:rPr>
          <w:rStyle w:val="fontstyle01"/>
          <w:rFonts w:ascii="Times New Roman" w:hAnsi="Times New Roman" w:cs="Times New Roman"/>
        </w:rPr>
      </w:pPr>
      <w:r w:rsidRPr="002A4C23">
        <w:rPr>
          <w:rFonts w:ascii="Times New Roman" w:hAnsi="Times New Roman" w:cs="Times New Roman"/>
          <w:sz w:val="24"/>
          <w:szCs w:val="24"/>
        </w:rPr>
        <w:tab/>
      </w:r>
      <w:r w:rsidRPr="002A4C23" w:rsidR="000A3C7E">
        <w:rPr>
          <w:rFonts w:ascii="Times New Roman" w:hAnsi="Times New Roman" w:cs="Times New Roman"/>
          <w:sz w:val="24"/>
          <w:szCs w:val="24"/>
        </w:rPr>
        <w:t>Specifically, a</w:t>
      </w:r>
      <w:r w:rsidRPr="002A4C23">
        <w:rPr>
          <w:rFonts w:ascii="Times New Roman" w:hAnsi="Times New Roman" w:cs="Times New Roman"/>
          <w:sz w:val="24"/>
          <w:szCs w:val="24"/>
        </w:rPr>
        <w:t>fter reviewing the initial draft Audit Report, Staff told the Auditor to use a “milder tone and intensity of language.”</w:t>
      </w:r>
      <w:r>
        <w:rPr>
          <w:rStyle w:val="FootnoteReference"/>
          <w:rFonts w:ascii="Times New Roman" w:hAnsi="Times New Roman" w:cs="Times New Roman"/>
          <w:sz w:val="24"/>
          <w:szCs w:val="24"/>
        </w:rPr>
        <w:footnoteReference w:id="8"/>
      </w:r>
      <w:r w:rsidRPr="002A4C23" w:rsidR="0066409E">
        <w:rPr>
          <w:rFonts w:ascii="Times New Roman" w:hAnsi="Times New Roman" w:cs="Times New Roman"/>
          <w:sz w:val="24"/>
          <w:szCs w:val="24"/>
        </w:rPr>
        <w:t xml:space="preserve"> </w:t>
      </w:r>
      <w:r w:rsidRPr="002A4C23" w:rsidR="00783E75">
        <w:rPr>
          <w:rFonts w:ascii="Times New Roman" w:hAnsi="Times New Roman" w:cs="Times New Roman"/>
          <w:sz w:val="24"/>
          <w:szCs w:val="24"/>
        </w:rPr>
        <w:t>Staff Witness Rodney</w:t>
      </w:r>
      <w:r w:rsidRPr="002A4C23">
        <w:rPr>
          <w:rStyle w:val="fontstyle01"/>
          <w:rFonts w:ascii="Times New Roman" w:hAnsi="Times New Roman" w:cs="Times New Roman"/>
        </w:rPr>
        <w:t xml:space="preserve"> Windle also asked the Auditor to “balance” her conclusion by listing the</w:t>
      </w:r>
      <w:r w:rsidRPr="002A4C23">
        <w:rPr>
          <w:rFonts w:ascii="Times New Roman" w:hAnsi="Times New Roman" w:cs="Times New Roman"/>
          <w:color w:val="231F20"/>
          <w:sz w:val="24"/>
          <w:szCs w:val="24"/>
        </w:rPr>
        <w:t xml:space="preserve"> </w:t>
      </w:r>
      <w:r w:rsidRPr="002A4C23">
        <w:rPr>
          <w:rStyle w:val="fontstyle01"/>
          <w:rFonts w:ascii="Times New Roman" w:hAnsi="Times New Roman" w:cs="Times New Roman"/>
        </w:rPr>
        <w:t>other benefits that also led the PUCO to approve the Coal Plant Charge, namely, jobs and</w:t>
      </w:r>
      <w:r w:rsidRPr="002A4C23">
        <w:rPr>
          <w:rFonts w:ascii="Times New Roman" w:hAnsi="Times New Roman" w:cs="Times New Roman"/>
          <w:color w:val="231F20"/>
          <w:sz w:val="24"/>
          <w:szCs w:val="24"/>
        </w:rPr>
        <w:t xml:space="preserve"> </w:t>
      </w:r>
      <w:r w:rsidRPr="002A4C23">
        <w:rPr>
          <w:rStyle w:val="fontstyle01"/>
          <w:rFonts w:ascii="Times New Roman" w:hAnsi="Times New Roman" w:cs="Times New Roman"/>
        </w:rPr>
        <w:t>fuel diversity.”</w:t>
      </w:r>
      <w:r>
        <w:rPr>
          <w:rStyle w:val="FootnoteReference"/>
          <w:rFonts w:ascii="Times New Roman" w:hAnsi="Times New Roman" w:cs="Times New Roman"/>
          <w:color w:val="231F20"/>
          <w:sz w:val="24"/>
          <w:szCs w:val="24"/>
        </w:rPr>
        <w:footnoteReference w:id="9"/>
      </w:r>
      <w:r w:rsidRPr="002A4C23" w:rsidR="0066409E">
        <w:rPr>
          <w:rStyle w:val="fontstyle01"/>
          <w:rFonts w:ascii="Times New Roman" w:hAnsi="Times New Roman" w:cs="Times New Roman"/>
        </w:rPr>
        <w:t xml:space="preserve"> </w:t>
      </w:r>
      <w:r w:rsidRPr="002A4C23">
        <w:rPr>
          <w:rStyle w:val="fontstyle01"/>
          <w:rFonts w:ascii="Times New Roman" w:hAnsi="Times New Roman" w:cs="Times New Roman"/>
        </w:rPr>
        <w:t>The next draft, dated September 9, 2020, incorporated the changes suggested by Mr. Windle including “jobs and fuel diversity” language.</w:t>
      </w:r>
      <w:r w:rsidRPr="002A4C23" w:rsidR="0066409E">
        <w:rPr>
          <w:rStyle w:val="fontstyle01"/>
          <w:rFonts w:ascii="Times New Roman" w:hAnsi="Times New Roman" w:cs="Times New Roman"/>
        </w:rPr>
        <w:t xml:space="preserve"> </w:t>
      </w:r>
      <w:r w:rsidRPr="002A4C23">
        <w:rPr>
          <w:rStyle w:val="fontstyle01"/>
          <w:rFonts w:ascii="Times New Roman" w:hAnsi="Times New Roman" w:cs="Times New Roman"/>
        </w:rPr>
        <w:t>Th</w:t>
      </w:r>
      <w:r w:rsidRPr="002A4C23" w:rsidR="00251D1B">
        <w:rPr>
          <w:rStyle w:val="fontstyle01"/>
          <w:rFonts w:ascii="Times New Roman" w:hAnsi="Times New Roman" w:cs="Times New Roman"/>
        </w:rPr>
        <w:t>e</w:t>
      </w:r>
      <w:r w:rsidRPr="002A4C23">
        <w:rPr>
          <w:rStyle w:val="fontstyle01"/>
          <w:rFonts w:ascii="Times New Roman" w:hAnsi="Times New Roman" w:cs="Times New Roman"/>
        </w:rPr>
        <w:t xml:space="preserve"> conclusion </w:t>
      </w:r>
      <w:r w:rsidRPr="002A4C23" w:rsidR="00251D1B">
        <w:rPr>
          <w:rStyle w:val="fontstyle01"/>
          <w:rFonts w:ascii="Times New Roman" w:hAnsi="Times New Roman" w:cs="Times New Roman"/>
        </w:rPr>
        <w:t>states</w:t>
      </w:r>
      <w:r w:rsidRPr="002A4C23">
        <w:rPr>
          <w:rStyle w:val="fontstyle01"/>
          <w:rFonts w:ascii="Times New Roman" w:hAnsi="Times New Roman" w:cs="Times New Roman"/>
        </w:rPr>
        <w:t>: “</w:t>
      </w:r>
      <w:bookmarkStart w:id="5" w:name="_Hlk99632104"/>
      <w:r w:rsidRPr="002A4C23">
        <w:rPr>
          <w:rStyle w:val="fontstyle01"/>
          <w:rFonts w:ascii="Times New Roman" w:hAnsi="Times New Roman" w:cs="Times New Roman"/>
        </w:rPr>
        <w:t>However, LEI’s analysis shows that the OVEC contract overall is not in the best interest of AEP Ohio ratepayers</w:t>
      </w:r>
      <w:bookmarkEnd w:id="5"/>
      <w:r w:rsidRPr="002A4C23">
        <w:rPr>
          <w:rStyle w:val="fontstyle01"/>
          <w:rFonts w:ascii="Times New Roman" w:hAnsi="Times New Roman" w:cs="Times New Roman"/>
        </w:rPr>
        <w:t>.”</w:t>
      </w:r>
      <w:r>
        <w:rPr>
          <w:rStyle w:val="FootnoteReference"/>
          <w:rFonts w:ascii="Times New Roman" w:hAnsi="Times New Roman" w:cs="Times New Roman"/>
          <w:color w:val="231F20"/>
          <w:sz w:val="24"/>
          <w:szCs w:val="24"/>
        </w:rPr>
        <w:footnoteReference w:id="10"/>
      </w:r>
      <w:r w:rsidRPr="002A4C23" w:rsidR="0066409E">
        <w:rPr>
          <w:rStyle w:val="fontstyle01"/>
          <w:rFonts w:ascii="Times New Roman" w:hAnsi="Times New Roman" w:cs="Times New Roman"/>
        </w:rPr>
        <w:t xml:space="preserve"> </w:t>
      </w:r>
      <w:r w:rsidRPr="002A4C23">
        <w:rPr>
          <w:rStyle w:val="fontstyle01"/>
          <w:rFonts w:ascii="Times New Roman" w:hAnsi="Times New Roman" w:cs="Times New Roman"/>
        </w:rPr>
        <w:t xml:space="preserve">For reasons never </w:t>
      </w:r>
      <w:r w:rsidRPr="002A4C23" w:rsidR="003D5048">
        <w:rPr>
          <w:rStyle w:val="fontstyle01"/>
          <w:rFonts w:ascii="Times New Roman" w:hAnsi="Times New Roman" w:cs="Times New Roman"/>
        </w:rPr>
        <w:t xml:space="preserve">really </w:t>
      </w:r>
      <w:r w:rsidRPr="002A4C23">
        <w:rPr>
          <w:rStyle w:val="fontstyle01"/>
          <w:rFonts w:ascii="Times New Roman" w:hAnsi="Times New Roman" w:cs="Times New Roman"/>
        </w:rPr>
        <w:t>explained at the hearing, the Auditor sent this draft first to AEP, but not Staff.</w:t>
      </w:r>
      <w:r>
        <w:rPr>
          <w:rStyle w:val="FootnoteReference"/>
          <w:rFonts w:ascii="Times New Roman" w:hAnsi="Times New Roman" w:cs="Times New Roman"/>
          <w:color w:val="231F20"/>
          <w:sz w:val="24"/>
          <w:szCs w:val="24"/>
        </w:rPr>
        <w:footnoteReference w:id="11"/>
      </w:r>
      <w:r w:rsidRPr="002A4C23" w:rsidR="0066409E">
        <w:rPr>
          <w:rStyle w:val="fontstyle01"/>
          <w:rFonts w:ascii="Times New Roman" w:hAnsi="Times New Roman" w:cs="Times New Roman"/>
        </w:rPr>
        <w:t xml:space="preserve"> </w:t>
      </w:r>
      <w:r w:rsidRPr="002A4C23" w:rsidR="000A3C7E">
        <w:rPr>
          <w:rStyle w:val="fontstyle01"/>
          <w:rFonts w:ascii="Times New Roman" w:hAnsi="Times New Roman" w:cs="Times New Roman"/>
        </w:rPr>
        <w:t>These are just a few examples of the clear undue interference by the Staff</w:t>
      </w:r>
      <w:r w:rsidRPr="002A4C23" w:rsidR="00AE5FB5">
        <w:rPr>
          <w:rStyle w:val="fontstyle01"/>
          <w:rFonts w:ascii="Times New Roman" w:hAnsi="Times New Roman" w:cs="Times New Roman"/>
        </w:rPr>
        <w:t xml:space="preserve">, that aided the utility, </w:t>
      </w:r>
      <w:r w:rsidRPr="002A4C23" w:rsidR="000A3C7E">
        <w:rPr>
          <w:rStyle w:val="fontstyle01"/>
          <w:rFonts w:ascii="Times New Roman" w:hAnsi="Times New Roman" w:cs="Times New Roman"/>
        </w:rPr>
        <w:t>on the supposedly independent audit by LEI.</w:t>
      </w:r>
    </w:p>
    <w:p w:rsidR="007A49EA" w:rsidRPr="002A4C23" w:rsidP="00E148C5" w14:paraId="34E94821" w14:textId="0900DB9E">
      <w:pPr>
        <w:spacing w:after="0" w:line="480" w:lineRule="auto"/>
        <w:rPr>
          <w:rFonts w:ascii="Times New Roman" w:hAnsi="Times New Roman" w:cs="Times New Roman"/>
          <w:sz w:val="24"/>
          <w:szCs w:val="24"/>
        </w:rPr>
      </w:pPr>
      <w:r w:rsidRPr="002A4C23">
        <w:rPr>
          <w:rStyle w:val="fontstyle01"/>
          <w:rFonts w:ascii="Times New Roman" w:hAnsi="Times New Roman" w:cs="Times New Roman"/>
        </w:rPr>
        <w:tab/>
      </w:r>
      <w:r w:rsidRPr="002A4C23" w:rsidR="000A3C7E">
        <w:rPr>
          <w:rStyle w:val="fontstyle01"/>
          <w:rFonts w:ascii="Times New Roman" w:hAnsi="Times New Roman" w:cs="Times New Roman"/>
        </w:rPr>
        <w:t xml:space="preserve">Additionally, </w:t>
      </w:r>
      <w:r w:rsidRPr="002A4C23" w:rsidR="008D0194">
        <w:rPr>
          <w:rFonts w:ascii="Times New Roman" w:hAnsi="Times New Roman" w:cs="Times New Roman"/>
          <w:sz w:val="24"/>
          <w:szCs w:val="24"/>
        </w:rPr>
        <w:t>Staff gave</w:t>
      </w:r>
      <w:r w:rsidRPr="002A4C23" w:rsidR="00563E25">
        <w:rPr>
          <w:rFonts w:ascii="Times New Roman" w:hAnsi="Times New Roman" w:cs="Times New Roman"/>
          <w:sz w:val="24"/>
          <w:szCs w:val="24"/>
        </w:rPr>
        <w:t xml:space="preserve"> the Auditor “editorial suggestions” that “milder tone and intensity of language would be recommended.”</w:t>
      </w:r>
      <w:r>
        <w:rPr>
          <w:rStyle w:val="FootnoteReference"/>
          <w:rFonts w:ascii="Times New Roman" w:hAnsi="Times New Roman" w:cs="Times New Roman"/>
          <w:sz w:val="24"/>
          <w:szCs w:val="24"/>
        </w:rPr>
        <w:footnoteReference w:id="12"/>
      </w:r>
      <w:r w:rsidRPr="002A4C23" w:rsidR="00563E25">
        <w:rPr>
          <w:rFonts w:ascii="Times New Roman" w:hAnsi="Times New Roman" w:cs="Times New Roman"/>
          <w:sz w:val="24"/>
          <w:szCs w:val="24"/>
        </w:rPr>
        <w:t xml:space="preserve"> The Staff’s “suggestions” favored AEP to the detriment of consumers.</w:t>
      </w:r>
      <w:r w:rsidRPr="002A4C23" w:rsidR="0066409E">
        <w:rPr>
          <w:rFonts w:ascii="Times New Roman" w:hAnsi="Times New Roman" w:cs="Times New Roman"/>
          <w:sz w:val="24"/>
          <w:szCs w:val="24"/>
        </w:rPr>
        <w:t xml:space="preserve"> </w:t>
      </w:r>
      <w:r w:rsidRPr="002A4C23" w:rsidR="00563E25">
        <w:rPr>
          <w:rFonts w:ascii="Times New Roman" w:hAnsi="Times New Roman" w:cs="Times New Roman"/>
          <w:sz w:val="24"/>
          <w:szCs w:val="24"/>
        </w:rPr>
        <w:t>The Staff directed the Auditor to “please take a look and incorporate Staff’s comments as far as possible.”</w:t>
      </w:r>
      <w:r>
        <w:rPr>
          <w:rStyle w:val="FootnoteReference"/>
          <w:rFonts w:ascii="Times New Roman" w:hAnsi="Times New Roman" w:cs="Times New Roman"/>
          <w:sz w:val="24"/>
          <w:szCs w:val="24"/>
        </w:rPr>
        <w:footnoteReference w:id="13"/>
      </w:r>
      <w:r w:rsidRPr="002A4C23" w:rsidR="0066409E">
        <w:rPr>
          <w:rFonts w:ascii="Times New Roman" w:hAnsi="Times New Roman" w:cs="Times New Roman"/>
          <w:sz w:val="24"/>
          <w:szCs w:val="24"/>
        </w:rPr>
        <w:t xml:space="preserve"> </w:t>
      </w:r>
      <w:r w:rsidRPr="002A4C23">
        <w:rPr>
          <w:rFonts w:ascii="Times New Roman" w:hAnsi="Times New Roman" w:cs="Times New Roman"/>
          <w:sz w:val="24"/>
          <w:szCs w:val="24"/>
        </w:rPr>
        <w:t>The Auditor testified that Staff asked her to remove this statement: “And the -- our client, Staff, asked us to edit, take it out, whatever, and all the rest of the audit stands without it.”</w:t>
      </w:r>
      <w:r>
        <w:rPr>
          <w:rStyle w:val="FootnoteReference"/>
          <w:rFonts w:ascii="Times New Roman" w:hAnsi="Times New Roman" w:cs="Times New Roman"/>
          <w:sz w:val="24"/>
          <w:szCs w:val="24"/>
        </w:rPr>
        <w:footnoteReference w:id="14"/>
      </w:r>
      <w:r w:rsidRPr="002A4C23" w:rsidR="0066409E">
        <w:rPr>
          <w:rFonts w:ascii="Times New Roman" w:hAnsi="Times New Roman" w:cs="Times New Roman"/>
          <w:sz w:val="24"/>
          <w:szCs w:val="24"/>
        </w:rPr>
        <w:t xml:space="preserve"> </w:t>
      </w:r>
    </w:p>
    <w:p w:rsidR="004F76E7" w:rsidRPr="002A4C23" w:rsidP="00E148C5" w14:paraId="38C46CCE" w14:textId="44F265D7">
      <w:pPr>
        <w:spacing w:after="0" w:line="480" w:lineRule="auto"/>
        <w:rPr>
          <w:rFonts w:ascii="Times New Roman" w:hAnsi="Times New Roman" w:cs="Times New Roman"/>
          <w:sz w:val="24"/>
          <w:szCs w:val="24"/>
        </w:rPr>
      </w:pPr>
      <w:r w:rsidRPr="002A4C23">
        <w:rPr>
          <w:rFonts w:ascii="Times New Roman" w:hAnsi="Times New Roman" w:cs="Times New Roman"/>
          <w:sz w:val="24"/>
          <w:szCs w:val="24"/>
        </w:rPr>
        <w:tab/>
      </w:r>
      <w:r w:rsidRPr="002A4C23" w:rsidR="000A3C7E">
        <w:rPr>
          <w:rFonts w:ascii="Times New Roman" w:hAnsi="Times New Roman" w:cs="Times New Roman"/>
          <w:sz w:val="24"/>
          <w:szCs w:val="24"/>
        </w:rPr>
        <w:t>In spite of all th</w:t>
      </w:r>
      <w:r w:rsidRPr="002A4C23" w:rsidR="00AE5FB5">
        <w:rPr>
          <w:rFonts w:ascii="Times New Roman" w:hAnsi="Times New Roman" w:cs="Times New Roman"/>
          <w:sz w:val="24"/>
          <w:szCs w:val="24"/>
        </w:rPr>
        <w:t>is</w:t>
      </w:r>
      <w:r w:rsidRPr="002A4C23" w:rsidR="000A3C7E">
        <w:rPr>
          <w:rFonts w:ascii="Times New Roman" w:hAnsi="Times New Roman" w:cs="Times New Roman"/>
          <w:sz w:val="24"/>
          <w:szCs w:val="24"/>
        </w:rPr>
        <w:t xml:space="preserve"> undue interference, the LEI </w:t>
      </w:r>
      <w:r w:rsidR="00F315DE">
        <w:rPr>
          <w:rFonts w:ascii="Times New Roman" w:hAnsi="Times New Roman" w:cs="Times New Roman"/>
          <w:sz w:val="24"/>
          <w:szCs w:val="24"/>
        </w:rPr>
        <w:t>A</w:t>
      </w:r>
      <w:r w:rsidRPr="002A4C23" w:rsidR="000A3C7E">
        <w:rPr>
          <w:rFonts w:ascii="Times New Roman" w:hAnsi="Times New Roman" w:cs="Times New Roman"/>
          <w:sz w:val="24"/>
          <w:szCs w:val="24"/>
        </w:rPr>
        <w:t xml:space="preserve">uditor nevertheless concluded that </w:t>
      </w:r>
      <w:r w:rsidRPr="002A4C23" w:rsidR="000A3C7E">
        <w:rPr>
          <w:rFonts w:ascii="Times New Roman" w:hAnsi="Times New Roman" w:cs="Times New Roman"/>
          <w:i/>
          <w:iCs/>
          <w:sz w:val="24"/>
          <w:szCs w:val="24"/>
        </w:rPr>
        <w:t>it was</w:t>
      </w:r>
      <w:r w:rsidRPr="002A4C23">
        <w:rPr>
          <w:rFonts w:ascii="Times New Roman" w:hAnsi="Times New Roman" w:cs="Times New Roman"/>
          <w:i/>
          <w:iCs/>
          <w:sz w:val="24"/>
          <w:szCs w:val="24"/>
        </w:rPr>
        <w:t xml:space="preserve"> not</w:t>
      </w:r>
      <w:r w:rsidRPr="002A4C23" w:rsidR="000A3C7E">
        <w:rPr>
          <w:rFonts w:ascii="Times New Roman" w:hAnsi="Times New Roman" w:cs="Times New Roman"/>
          <w:i/>
          <w:iCs/>
          <w:sz w:val="24"/>
          <w:szCs w:val="24"/>
        </w:rPr>
        <w:t xml:space="preserve"> in the best interest of ratepayers to keep the OVEC plants running </w:t>
      </w:r>
      <w:r w:rsidRPr="002A4C23" w:rsidR="002C4205">
        <w:rPr>
          <w:rFonts w:ascii="Times New Roman" w:hAnsi="Times New Roman" w:cs="Times New Roman"/>
          <w:sz w:val="24"/>
          <w:szCs w:val="24"/>
        </w:rPr>
        <w:t xml:space="preserve">in 2018 and 2019. The exact language may be edited out the final </w:t>
      </w:r>
      <w:r w:rsidRPr="002A4C23">
        <w:rPr>
          <w:rFonts w:ascii="Times New Roman" w:hAnsi="Times New Roman" w:cs="Times New Roman"/>
          <w:sz w:val="24"/>
          <w:szCs w:val="24"/>
        </w:rPr>
        <w:t>A</w:t>
      </w:r>
      <w:r w:rsidRPr="002A4C23" w:rsidR="002C4205">
        <w:rPr>
          <w:rFonts w:ascii="Times New Roman" w:hAnsi="Times New Roman" w:cs="Times New Roman"/>
          <w:sz w:val="24"/>
          <w:szCs w:val="24"/>
        </w:rPr>
        <w:t xml:space="preserve">udit </w:t>
      </w:r>
      <w:r w:rsidRPr="002A4C23">
        <w:rPr>
          <w:rFonts w:ascii="Times New Roman" w:hAnsi="Times New Roman" w:cs="Times New Roman"/>
          <w:sz w:val="24"/>
          <w:szCs w:val="24"/>
        </w:rPr>
        <w:t>R</w:t>
      </w:r>
      <w:r w:rsidRPr="002A4C23" w:rsidR="002C4205">
        <w:rPr>
          <w:rFonts w:ascii="Times New Roman" w:hAnsi="Times New Roman" w:cs="Times New Roman"/>
          <w:sz w:val="24"/>
          <w:szCs w:val="24"/>
        </w:rPr>
        <w:t xml:space="preserve">eport, but the findings by the Auditor </w:t>
      </w:r>
      <w:r w:rsidRPr="002A4C23" w:rsidR="000D7F5D">
        <w:rPr>
          <w:rFonts w:ascii="Times New Roman" w:hAnsi="Times New Roman" w:cs="Times New Roman"/>
          <w:sz w:val="24"/>
          <w:szCs w:val="24"/>
        </w:rPr>
        <w:t>are</w:t>
      </w:r>
      <w:r w:rsidRPr="002A4C23" w:rsidR="002C4205">
        <w:rPr>
          <w:rFonts w:ascii="Times New Roman" w:hAnsi="Times New Roman" w:cs="Times New Roman"/>
          <w:sz w:val="24"/>
          <w:szCs w:val="24"/>
        </w:rPr>
        <w:t xml:space="preserve"> quite clear.</w:t>
      </w:r>
      <w:r w:rsidR="002A4C23">
        <w:rPr>
          <w:rFonts w:ascii="Times New Roman" w:hAnsi="Times New Roman" w:cs="Times New Roman"/>
          <w:sz w:val="24"/>
          <w:szCs w:val="24"/>
        </w:rPr>
        <w:t xml:space="preserve"> </w:t>
      </w:r>
      <w:r w:rsidRPr="002A4C23">
        <w:rPr>
          <w:rFonts w:ascii="Times New Roman" w:hAnsi="Times New Roman" w:cs="Times New Roman"/>
          <w:sz w:val="24"/>
          <w:szCs w:val="24"/>
        </w:rPr>
        <w:t>These findings include:</w:t>
      </w:r>
    </w:p>
    <w:p w:rsidR="004F76E7" w:rsidRPr="002A4C23" w:rsidP="004F76E7" w14:paraId="1EB295A5" w14:textId="74C2B313">
      <w:pPr>
        <w:pStyle w:val="ListParagraph"/>
        <w:numPr>
          <w:ilvl w:val="0"/>
          <w:numId w:val="1"/>
        </w:numPr>
        <w:spacing w:after="0" w:line="480" w:lineRule="auto"/>
        <w:rPr>
          <w:rFonts w:ascii="Times New Roman" w:hAnsi="Times New Roman" w:cs="Times New Roman"/>
          <w:color w:val="231F20"/>
          <w:sz w:val="24"/>
          <w:szCs w:val="24"/>
        </w:rPr>
      </w:pPr>
      <w:r w:rsidRPr="002A4C23">
        <w:rPr>
          <w:rFonts w:ascii="Times New Roman" w:hAnsi="Times New Roman" w:cs="Times New Roman"/>
          <w:sz w:val="24"/>
          <w:szCs w:val="24"/>
        </w:rPr>
        <w:t>“However, LEI’s analysis shows at this time that the OVEC plants cost customers more than the cost of energy and capacity that could be bought on the PJM wholesale market;</w:t>
      </w:r>
      <w:r>
        <w:rPr>
          <w:rStyle w:val="FootnoteReference"/>
          <w:rFonts w:ascii="Times New Roman" w:hAnsi="Times New Roman" w:cs="Times New Roman"/>
          <w:sz w:val="24"/>
          <w:szCs w:val="24"/>
        </w:rPr>
        <w:footnoteReference w:id="15"/>
      </w:r>
    </w:p>
    <w:p w:rsidR="00061AFA" w:rsidRPr="002A4C23" w:rsidP="004F76E7" w14:paraId="346A223E" w14:textId="4A08FE15">
      <w:pPr>
        <w:pStyle w:val="ListParagraph"/>
        <w:numPr>
          <w:ilvl w:val="0"/>
          <w:numId w:val="1"/>
        </w:numPr>
        <w:spacing w:after="0" w:line="480" w:lineRule="auto"/>
        <w:rPr>
          <w:rFonts w:ascii="Times New Roman" w:hAnsi="Times New Roman" w:cs="Times New Roman"/>
          <w:color w:val="231F20"/>
          <w:sz w:val="24"/>
          <w:szCs w:val="24"/>
        </w:rPr>
      </w:pPr>
      <w:r w:rsidRPr="002A4C23">
        <w:rPr>
          <w:rFonts w:ascii="Times New Roman" w:hAnsi="Times New Roman" w:cs="Times New Roman"/>
          <w:sz w:val="24"/>
          <w:szCs w:val="24"/>
        </w:rPr>
        <w:t>“However, LEI’s analysis sho</w:t>
      </w:r>
      <w:r w:rsidRPr="002A4C23">
        <w:rPr>
          <w:rFonts w:ascii="Times New Roman" w:hAnsi="Times New Roman" w:cs="Times New Roman"/>
          <w:sz w:val="24"/>
          <w:szCs w:val="24"/>
        </w:rPr>
        <w:t>wed that some of the time, the PJM energy price did not cover fuel and variable cost”;</w:t>
      </w:r>
      <w:r>
        <w:rPr>
          <w:rStyle w:val="FootnoteReference"/>
          <w:rFonts w:ascii="Times New Roman" w:hAnsi="Times New Roman" w:cs="Times New Roman"/>
          <w:sz w:val="24"/>
          <w:szCs w:val="24"/>
        </w:rPr>
        <w:footnoteReference w:id="16"/>
      </w:r>
      <w:r w:rsidRPr="002A4C23">
        <w:rPr>
          <w:rFonts w:ascii="Times New Roman" w:hAnsi="Times New Roman" w:cs="Times New Roman"/>
          <w:sz w:val="24"/>
          <w:szCs w:val="24"/>
        </w:rPr>
        <w:t xml:space="preserve"> and</w:t>
      </w:r>
    </w:p>
    <w:p w:rsidR="007A49EA" w:rsidRPr="002A4C23" w:rsidP="002A4C23" w14:paraId="17C8D759" w14:textId="5530B9AC">
      <w:pPr>
        <w:pStyle w:val="ListParagraph"/>
        <w:numPr>
          <w:ilvl w:val="0"/>
          <w:numId w:val="1"/>
        </w:numPr>
        <w:spacing w:after="0" w:line="480" w:lineRule="auto"/>
        <w:rPr>
          <w:rStyle w:val="fontstyle01"/>
          <w:rFonts w:ascii="Times New Roman" w:hAnsi="Times New Roman" w:cs="Times New Roman"/>
        </w:rPr>
      </w:pPr>
      <w:r w:rsidRPr="002A4C23">
        <w:rPr>
          <w:rFonts w:ascii="Times New Roman" w:hAnsi="Times New Roman" w:cs="Times New Roman"/>
          <w:sz w:val="24"/>
          <w:szCs w:val="24"/>
        </w:rPr>
        <w:t>“LEI recommends that OVEC re-consider its ‘must-run’ offer strategy.”</w:t>
      </w:r>
      <w:r>
        <w:rPr>
          <w:rStyle w:val="FootnoteReference"/>
          <w:rFonts w:ascii="Times New Roman" w:hAnsi="Times New Roman" w:cs="Times New Roman"/>
          <w:sz w:val="24"/>
          <w:szCs w:val="24"/>
        </w:rPr>
        <w:footnoteReference w:id="17"/>
      </w:r>
    </w:p>
    <w:p w:rsidR="00A35778" w:rsidRPr="00E35082" w:rsidP="00E35082" w14:paraId="16DA9A2E" w14:textId="5B598265">
      <w:pPr>
        <w:pStyle w:val="Heading3"/>
      </w:pPr>
      <w:bookmarkStart w:id="6" w:name="_Toc100315457"/>
      <w:r w:rsidRPr="00E35082">
        <w:rPr>
          <w:rStyle w:val="fontstyle01"/>
          <w:rFonts w:ascii="Times New Roman Bold" w:hAnsi="Times New Roman Bold"/>
          <w:color w:val="auto"/>
        </w:rPr>
        <w:t>2.</w:t>
      </w:r>
      <w:r w:rsidRPr="00E35082">
        <w:rPr>
          <w:rStyle w:val="fontstyle01"/>
          <w:rFonts w:ascii="Times New Roman Bold" w:hAnsi="Times New Roman Bold"/>
          <w:color w:val="auto"/>
        </w:rPr>
        <w:tab/>
        <w:t xml:space="preserve">AEP’s operation of the OVEC units and management of </w:t>
      </w:r>
      <w:r w:rsidRPr="00E35082" w:rsidR="00481D3D">
        <w:rPr>
          <w:rStyle w:val="fontstyle01"/>
          <w:rFonts w:ascii="Times New Roman Bold" w:hAnsi="Times New Roman Bold"/>
          <w:color w:val="auto"/>
        </w:rPr>
        <w:t>its</w:t>
      </w:r>
      <w:r w:rsidRPr="00E35082">
        <w:rPr>
          <w:rStyle w:val="fontstyle01"/>
          <w:rFonts w:ascii="Times New Roman Bold" w:hAnsi="Times New Roman Bold"/>
          <w:color w:val="auto"/>
        </w:rPr>
        <w:t xml:space="preserve"> output during the 2018-2019 audit period was imprudent.</w:t>
      </w:r>
      <w:bookmarkEnd w:id="6"/>
    </w:p>
    <w:p w:rsidR="00337F87" w:rsidRPr="002A4C23" w:rsidP="00E148C5" w14:paraId="529B7A37" w14:textId="1F00D82E">
      <w:pPr>
        <w:spacing w:after="0" w:line="480" w:lineRule="auto"/>
        <w:rPr>
          <w:rFonts w:ascii="Times New Roman" w:hAnsi="Times New Roman" w:cs="Times New Roman"/>
          <w:color w:val="231F20"/>
          <w:sz w:val="24"/>
          <w:szCs w:val="24"/>
        </w:rPr>
      </w:pPr>
      <w:r w:rsidRPr="002A4C23">
        <w:rPr>
          <w:rFonts w:ascii="Times New Roman" w:hAnsi="Times New Roman" w:cs="Times New Roman"/>
          <w:color w:val="231F20"/>
          <w:sz w:val="24"/>
          <w:szCs w:val="24"/>
        </w:rPr>
        <w:tab/>
        <w:t xml:space="preserve">By using legal terms like </w:t>
      </w:r>
      <w:r w:rsidRPr="002A4C23">
        <w:rPr>
          <w:rFonts w:ascii="Times New Roman" w:hAnsi="Times New Roman" w:cs="Times New Roman"/>
          <w:i/>
          <w:iCs/>
          <w:color w:val="231F20"/>
          <w:sz w:val="24"/>
          <w:szCs w:val="24"/>
        </w:rPr>
        <w:t>res judicata</w:t>
      </w:r>
      <w:r w:rsidRPr="002A4C23">
        <w:rPr>
          <w:rFonts w:ascii="Times New Roman" w:hAnsi="Times New Roman" w:cs="Times New Roman"/>
          <w:color w:val="231F20"/>
          <w:sz w:val="24"/>
          <w:szCs w:val="24"/>
        </w:rPr>
        <w:t xml:space="preserve"> and </w:t>
      </w:r>
      <w:r w:rsidRPr="002A4C23">
        <w:rPr>
          <w:rFonts w:ascii="Times New Roman" w:hAnsi="Times New Roman" w:cs="Times New Roman"/>
          <w:i/>
          <w:iCs/>
          <w:color w:val="231F20"/>
          <w:sz w:val="24"/>
          <w:szCs w:val="24"/>
        </w:rPr>
        <w:t>collateral estoppel</w:t>
      </w:r>
      <w:r w:rsidRPr="002A4C23">
        <w:rPr>
          <w:rFonts w:ascii="Times New Roman" w:hAnsi="Times New Roman" w:cs="Times New Roman"/>
          <w:color w:val="231F20"/>
          <w:sz w:val="24"/>
          <w:szCs w:val="24"/>
        </w:rPr>
        <w:t xml:space="preserve">, AEP wants the </w:t>
      </w:r>
      <w:r w:rsidRPr="002A4C23" w:rsidR="007A49EA">
        <w:rPr>
          <w:rFonts w:ascii="Times New Roman" w:hAnsi="Times New Roman" w:cs="Times New Roman"/>
          <w:color w:val="231F20"/>
          <w:sz w:val="24"/>
          <w:szCs w:val="24"/>
        </w:rPr>
        <w:t>PUCO</w:t>
      </w:r>
      <w:r w:rsidRPr="002A4C23" w:rsidR="00A94BF1">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to believe OCC (and the other Intervenors) are trying to relitigate the PPA Rider.</w:t>
      </w:r>
      <w:r>
        <w:rPr>
          <w:rStyle w:val="FootnoteReference"/>
          <w:rFonts w:ascii="Times New Roman" w:hAnsi="Times New Roman" w:cs="Times New Roman"/>
          <w:color w:val="231F20"/>
          <w:sz w:val="24"/>
          <w:szCs w:val="24"/>
        </w:rPr>
        <w:footnoteReference w:id="18"/>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AEP also claims OCC (and the other Intervenors) use “after-the-fact data and second guess the original decision to approve the ICPA for inclusion on the PPA Rider during the audit period</w:t>
      </w:r>
      <w:r w:rsidR="00F315DE">
        <w:rPr>
          <w:rFonts w:ascii="Times New Roman" w:hAnsi="Times New Roman" w:cs="Times New Roman"/>
          <w:color w:val="231F20"/>
          <w:sz w:val="24"/>
          <w:szCs w:val="24"/>
        </w:rPr>
        <w:t>.</w:t>
      </w:r>
      <w:r w:rsidRPr="002A4C23">
        <w:rPr>
          <w:rFonts w:ascii="Times New Roman" w:hAnsi="Times New Roman" w:cs="Times New Roman"/>
          <w:color w:val="231F20"/>
          <w:sz w:val="24"/>
          <w:szCs w:val="24"/>
        </w:rPr>
        <w:t>”</w:t>
      </w:r>
      <w:r>
        <w:rPr>
          <w:rStyle w:val="FootnoteReference"/>
          <w:rFonts w:ascii="Times New Roman" w:hAnsi="Times New Roman" w:cs="Times New Roman"/>
          <w:color w:val="231F20"/>
          <w:sz w:val="24"/>
          <w:szCs w:val="24"/>
        </w:rPr>
        <w:footnoteReference w:id="19"/>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AEP even recommends the </w:t>
      </w:r>
      <w:r w:rsidRPr="002A4C23" w:rsidR="007A49EA">
        <w:rPr>
          <w:rFonts w:ascii="Times New Roman" w:hAnsi="Times New Roman" w:cs="Times New Roman"/>
          <w:color w:val="231F20"/>
          <w:sz w:val="24"/>
          <w:szCs w:val="24"/>
        </w:rPr>
        <w:t>PUCO</w:t>
      </w:r>
      <w:r w:rsidRPr="002A4C23" w:rsidR="00A94BF1">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“reject OCC’s categorical position based purely on hindsight that all above-market costs should be disallowed at imprudent</w:t>
      </w:r>
      <w:r w:rsidRPr="002A4C23" w:rsidR="00A94BF1">
        <w:rPr>
          <w:rFonts w:ascii="Times New Roman" w:hAnsi="Times New Roman" w:cs="Times New Roman"/>
          <w:color w:val="231F20"/>
          <w:sz w:val="24"/>
          <w:szCs w:val="24"/>
        </w:rPr>
        <w:t>.</w:t>
      </w:r>
      <w:r w:rsidRPr="002A4C23">
        <w:rPr>
          <w:rFonts w:ascii="Times New Roman" w:hAnsi="Times New Roman" w:cs="Times New Roman"/>
          <w:color w:val="231F20"/>
          <w:sz w:val="24"/>
          <w:szCs w:val="24"/>
        </w:rPr>
        <w:t>”</w:t>
      </w:r>
      <w:r>
        <w:rPr>
          <w:rStyle w:val="FootnoteReference"/>
          <w:rFonts w:ascii="Times New Roman" w:hAnsi="Times New Roman" w:cs="Times New Roman"/>
          <w:color w:val="231F20"/>
          <w:sz w:val="24"/>
          <w:szCs w:val="24"/>
        </w:rPr>
        <w:footnoteReference w:id="20"/>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According to AEP, OCC (and the other Intervenors) have engaged in “Monday Morning Quarterback[ing]</w:t>
      </w:r>
      <w:r w:rsidRPr="002A4C23" w:rsidR="00A94BF1">
        <w:rPr>
          <w:rFonts w:ascii="Times New Roman" w:hAnsi="Times New Roman" w:cs="Times New Roman"/>
          <w:color w:val="231F20"/>
          <w:sz w:val="24"/>
          <w:szCs w:val="24"/>
        </w:rPr>
        <w:t>.</w:t>
      </w:r>
      <w:r w:rsidRPr="002A4C23">
        <w:rPr>
          <w:rFonts w:ascii="Times New Roman" w:hAnsi="Times New Roman" w:cs="Times New Roman"/>
          <w:color w:val="231F20"/>
          <w:sz w:val="24"/>
          <w:szCs w:val="24"/>
        </w:rPr>
        <w:t>”</w:t>
      </w:r>
      <w:r>
        <w:rPr>
          <w:rStyle w:val="FootnoteReference"/>
          <w:rFonts w:ascii="Times New Roman" w:hAnsi="Times New Roman" w:cs="Times New Roman"/>
          <w:color w:val="231F20"/>
          <w:sz w:val="24"/>
          <w:szCs w:val="24"/>
        </w:rPr>
        <w:footnoteReference w:id="21"/>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AEP is mistaken.</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OCC is not exploiting hindsight criticism, but instead </w:t>
      </w:r>
      <w:r w:rsidRPr="002A4C23" w:rsidR="00950780">
        <w:rPr>
          <w:rFonts w:ascii="Times New Roman" w:hAnsi="Times New Roman" w:cs="Times New Roman"/>
          <w:color w:val="231F20"/>
          <w:sz w:val="24"/>
          <w:szCs w:val="24"/>
        </w:rPr>
        <w:t xml:space="preserve">is </w:t>
      </w:r>
      <w:r w:rsidRPr="002A4C23">
        <w:rPr>
          <w:rFonts w:ascii="Times New Roman" w:hAnsi="Times New Roman" w:cs="Times New Roman"/>
          <w:color w:val="231F20"/>
          <w:sz w:val="24"/>
          <w:szCs w:val="24"/>
        </w:rPr>
        <w:t xml:space="preserve">focusing on the audit, the purpose of the audit, and what the audit uncovered. </w:t>
      </w:r>
    </w:p>
    <w:p w:rsidR="00337F87" w:rsidRPr="002A4C23" w:rsidP="00E148C5" w14:paraId="37B376AF" w14:textId="6F35D44D">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 xml:space="preserve">On January 15, 2020, the </w:t>
      </w:r>
      <w:r w:rsidRPr="002A4C23" w:rsidR="007A49EA">
        <w:rPr>
          <w:rFonts w:ascii="Times New Roman" w:hAnsi="Times New Roman" w:cs="Times New Roman"/>
          <w:color w:val="231F20"/>
          <w:sz w:val="24"/>
          <w:szCs w:val="24"/>
        </w:rPr>
        <w:t>PUCO</w:t>
      </w:r>
      <w:r w:rsidRPr="002A4C23" w:rsidR="00A94BF1">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directed its Staff to submit a request for proposal for an auditor to conduct a prudency and performance audit of AEP’s Coal Plant Charge for the period January 1, 2018 through December 31, 2019.</w:t>
      </w:r>
      <w:r>
        <w:rPr>
          <w:rStyle w:val="FootnoteReference"/>
          <w:rFonts w:ascii="Times New Roman" w:hAnsi="Times New Roman" w:cs="Times New Roman"/>
          <w:color w:val="231F20"/>
          <w:sz w:val="24"/>
          <w:szCs w:val="24"/>
        </w:rPr>
        <w:footnoteReference w:id="22"/>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The RFP defined the audit’s purpose as being “to establish the prudency of </w:t>
      </w:r>
      <w:bookmarkStart w:id="7" w:name="_Hlk99956269"/>
      <w:r w:rsidRPr="002A4C23">
        <w:rPr>
          <w:rFonts w:ascii="Times New Roman" w:hAnsi="Times New Roman" w:cs="Times New Roman"/>
          <w:color w:val="231F20"/>
          <w:sz w:val="24"/>
          <w:szCs w:val="24"/>
        </w:rPr>
        <w:t>all costs and sales flowing through the PPA Rider and to demonstrate that the Company’s actions were in the best interest of ratepayers</w:t>
      </w:r>
      <w:bookmarkEnd w:id="7"/>
      <w:r w:rsidRPr="002A4C23">
        <w:rPr>
          <w:rFonts w:ascii="Times New Roman" w:hAnsi="Times New Roman" w:cs="Times New Roman"/>
          <w:color w:val="231F20"/>
          <w:sz w:val="24"/>
          <w:szCs w:val="24"/>
        </w:rPr>
        <w:t>.”</w:t>
      </w:r>
      <w:r>
        <w:rPr>
          <w:rStyle w:val="FootnoteReference"/>
          <w:rFonts w:ascii="Times New Roman" w:hAnsi="Times New Roman" w:cs="Times New Roman"/>
          <w:color w:val="231F20"/>
          <w:sz w:val="24"/>
          <w:szCs w:val="24"/>
        </w:rPr>
        <w:footnoteReference w:id="23"/>
      </w:r>
      <w:r w:rsidRPr="002A4C23" w:rsidR="0066409E">
        <w:rPr>
          <w:rFonts w:ascii="Times New Roman" w:hAnsi="Times New Roman" w:cs="Times New Roman"/>
          <w:color w:val="231F20"/>
          <w:sz w:val="24"/>
          <w:szCs w:val="24"/>
        </w:rPr>
        <w:t xml:space="preserve"> </w:t>
      </w:r>
    </w:p>
    <w:p w:rsidR="00337F87" w:rsidRPr="002A4C23" w:rsidP="00E148C5" w14:paraId="723D2B73" w14:textId="07AC120A">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Merriam</w:t>
      </w:r>
      <w:r w:rsidRPr="002A4C23">
        <w:rPr>
          <w:rFonts w:ascii="Times New Roman" w:hAnsi="Times New Roman" w:cs="Times New Roman"/>
          <w:color w:val="231F20"/>
          <w:sz w:val="24"/>
          <w:szCs w:val="24"/>
        </w:rPr>
        <w:t xml:space="preserve">-Webster defines the term </w:t>
      </w:r>
      <w:r w:rsidRPr="002A4C23" w:rsidR="00DD3776">
        <w:rPr>
          <w:rFonts w:ascii="Times New Roman" w:hAnsi="Times New Roman" w:cs="Times New Roman"/>
          <w:color w:val="231F20"/>
          <w:sz w:val="24"/>
          <w:szCs w:val="24"/>
        </w:rPr>
        <w:t>“</w:t>
      </w:r>
      <w:r w:rsidRPr="002A4C23">
        <w:rPr>
          <w:rFonts w:ascii="Times New Roman" w:hAnsi="Times New Roman" w:cs="Times New Roman"/>
          <w:color w:val="231F20"/>
          <w:sz w:val="24"/>
          <w:szCs w:val="24"/>
        </w:rPr>
        <w:t>audit</w:t>
      </w:r>
      <w:r w:rsidRPr="002A4C23" w:rsidR="00DD3776">
        <w:rPr>
          <w:rFonts w:ascii="Times New Roman" w:hAnsi="Times New Roman" w:cs="Times New Roman"/>
          <w:color w:val="231F20"/>
          <w:sz w:val="24"/>
          <w:szCs w:val="24"/>
        </w:rPr>
        <w:t>”</w:t>
      </w:r>
      <w:r w:rsidRPr="002A4C23">
        <w:rPr>
          <w:rFonts w:ascii="Times New Roman" w:hAnsi="Times New Roman" w:cs="Times New Roman"/>
          <w:color w:val="231F20"/>
          <w:sz w:val="24"/>
          <w:szCs w:val="24"/>
        </w:rPr>
        <w:t xml:space="preserve"> as a “methodical examination and review</w:t>
      </w:r>
      <w:r w:rsidR="00E41ACB">
        <w:rPr>
          <w:rFonts w:ascii="Times New Roman" w:hAnsi="Times New Roman" w:cs="Times New Roman"/>
          <w:color w:val="231F20"/>
          <w:sz w:val="24"/>
          <w:szCs w:val="24"/>
        </w:rPr>
        <w:t>.</w:t>
      </w:r>
      <w:r w:rsidRPr="002A4C23">
        <w:rPr>
          <w:rFonts w:ascii="Times New Roman" w:hAnsi="Times New Roman" w:cs="Times New Roman"/>
          <w:color w:val="231F20"/>
          <w:sz w:val="24"/>
          <w:szCs w:val="24"/>
        </w:rPr>
        <w:t>”</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As a verb, “audit” is synonymous with check (out), examine, inspect, review, and scrutinize.</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Prudence is defined as</w:t>
      </w:r>
      <w:r w:rsidR="00D8062C">
        <w:rPr>
          <w:rFonts w:ascii="Times New Roman" w:hAnsi="Times New Roman" w:cs="Times New Roman"/>
          <w:color w:val="231F20"/>
          <w:sz w:val="24"/>
          <w:szCs w:val="24"/>
        </w:rPr>
        <w:t>:</w:t>
      </w:r>
    </w:p>
    <w:p w:rsidR="00337F87" w:rsidRPr="002A4C23" w:rsidP="00E148C5" w14:paraId="5D2E27FC" w14:textId="08266CB2">
      <w:pPr>
        <w:spacing w:line="240" w:lineRule="auto"/>
        <w:ind w:left="1440" w:right="1440"/>
        <w:rPr>
          <w:rFonts w:ascii="Times New Roman" w:hAnsi="Times New Roman" w:cs="Times New Roman"/>
          <w:color w:val="231F20"/>
          <w:sz w:val="24"/>
          <w:szCs w:val="24"/>
        </w:rPr>
      </w:pPr>
      <w:r w:rsidRPr="002A4C23">
        <w:rPr>
          <w:rFonts w:ascii="Times New Roman" w:hAnsi="Times New Roman" w:cs="Times New Roman"/>
          <w:color w:val="231F20"/>
          <w:sz w:val="24"/>
          <w:szCs w:val="24"/>
        </w:rPr>
        <w:t>Carefulness, precaution, attentiveness, and good judgment as applied to action or conduct That degree of care required by the exigencies or circumstances under which it is to be exercised. This term, in the language of the law, is commonly associated with ‘care’ and ‘diligence’ and contrasted with ‘negligence.’</w:t>
      </w:r>
      <w:r>
        <w:rPr>
          <w:rStyle w:val="FootnoteReference"/>
          <w:rFonts w:ascii="Times New Roman" w:hAnsi="Times New Roman" w:cs="Times New Roman"/>
          <w:color w:val="231F20"/>
          <w:sz w:val="24"/>
          <w:szCs w:val="24"/>
        </w:rPr>
        <w:footnoteReference w:id="24"/>
      </w:r>
    </w:p>
    <w:p w:rsidR="00337F87" w:rsidRPr="002A4C23" w:rsidP="00E148C5" w14:paraId="45248AE8" w14:textId="1B118A65">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 xml:space="preserve">In other words, LEI was asked to review and scrutinize whether AEP was careful and used good judgment when it charged </w:t>
      </w:r>
      <w:r w:rsidRPr="002A4C23" w:rsidR="000D7F5D">
        <w:rPr>
          <w:rFonts w:ascii="Times New Roman" w:hAnsi="Times New Roman" w:cs="Times New Roman"/>
          <w:color w:val="231F20"/>
          <w:sz w:val="24"/>
          <w:szCs w:val="24"/>
        </w:rPr>
        <w:t>consumers</w:t>
      </w:r>
      <w:r w:rsidRPr="002A4C23">
        <w:rPr>
          <w:rFonts w:ascii="Times New Roman" w:hAnsi="Times New Roman" w:cs="Times New Roman"/>
          <w:color w:val="231F20"/>
          <w:sz w:val="24"/>
          <w:szCs w:val="24"/>
        </w:rPr>
        <w:t>, in 2018 and 2019, $74</w:t>
      </w:r>
      <w:r w:rsidR="000930ED">
        <w:rPr>
          <w:rFonts w:ascii="Times New Roman" w:hAnsi="Times New Roman" w:cs="Times New Roman"/>
          <w:color w:val="231F20"/>
          <w:sz w:val="24"/>
          <w:szCs w:val="24"/>
        </w:rPr>
        <w:t xml:space="preserve">.5 million </w:t>
      </w:r>
      <w:r w:rsidRPr="002A4C23">
        <w:rPr>
          <w:rFonts w:ascii="Times New Roman" w:hAnsi="Times New Roman" w:cs="Times New Roman"/>
          <w:color w:val="231F20"/>
          <w:sz w:val="24"/>
          <w:szCs w:val="24"/>
        </w:rPr>
        <w:t>more than the market price for the same energy</w:t>
      </w:r>
      <w:r>
        <w:rPr>
          <w:rStyle w:val="FootnoteReference"/>
          <w:rFonts w:ascii="Times New Roman" w:hAnsi="Times New Roman" w:cs="Times New Roman"/>
          <w:color w:val="231F20"/>
          <w:sz w:val="24"/>
          <w:szCs w:val="24"/>
        </w:rPr>
        <w:footnoteReference w:id="25"/>
      </w:r>
      <w:r w:rsidRPr="002A4C23" w:rsidR="00FA1912">
        <w:rPr>
          <w:rFonts w:ascii="Times New Roman" w:hAnsi="Times New Roman" w:cs="Times New Roman"/>
          <w:color w:val="231F20"/>
          <w:sz w:val="24"/>
          <w:szCs w:val="24"/>
        </w:rPr>
        <w:t xml:space="preserve"> or whether these charges and the system used to produce them was in the best interest of </w:t>
      </w:r>
      <w:r w:rsidRPr="002A4C23" w:rsidR="00E35082">
        <w:rPr>
          <w:rFonts w:ascii="Times New Roman" w:hAnsi="Times New Roman" w:cs="Times New Roman"/>
          <w:color w:val="231F20"/>
          <w:sz w:val="24"/>
          <w:szCs w:val="24"/>
        </w:rPr>
        <w:t>consumers</w:t>
      </w:r>
      <w:r w:rsidRPr="002A4C23" w:rsidR="00FA1912">
        <w:rPr>
          <w:rFonts w:ascii="Times New Roman" w:hAnsi="Times New Roman" w:cs="Times New Roman"/>
          <w:color w:val="231F20"/>
          <w:sz w:val="24"/>
          <w:szCs w:val="24"/>
        </w:rPr>
        <w:t>.</w:t>
      </w:r>
      <w:r w:rsidRPr="002A4C23" w:rsidR="0066409E">
        <w:rPr>
          <w:rFonts w:ascii="Times New Roman" w:hAnsi="Times New Roman" w:cs="Times New Roman"/>
          <w:color w:val="231F20"/>
          <w:sz w:val="24"/>
          <w:szCs w:val="24"/>
        </w:rPr>
        <w:t xml:space="preserve"> </w:t>
      </w:r>
      <w:r w:rsidRPr="002A4C23" w:rsidR="00690F80">
        <w:rPr>
          <w:rFonts w:ascii="Times New Roman" w:hAnsi="Times New Roman" w:cs="Times New Roman"/>
          <w:color w:val="231F20"/>
          <w:sz w:val="24"/>
          <w:szCs w:val="24"/>
        </w:rPr>
        <w:t xml:space="preserve">With the instant hearing, OCC (and the other </w:t>
      </w:r>
      <w:r w:rsidRPr="002A4C23" w:rsidR="009C656B">
        <w:rPr>
          <w:rFonts w:ascii="Times New Roman" w:hAnsi="Times New Roman" w:cs="Times New Roman"/>
          <w:color w:val="231F20"/>
          <w:sz w:val="24"/>
          <w:szCs w:val="24"/>
        </w:rPr>
        <w:t>Intervenors</w:t>
      </w:r>
      <w:r w:rsidRPr="002A4C23" w:rsidR="00690F80">
        <w:rPr>
          <w:rFonts w:ascii="Times New Roman" w:hAnsi="Times New Roman" w:cs="Times New Roman"/>
          <w:color w:val="231F20"/>
          <w:sz w:val="24"/>
          <w:szCs w:val="24"/>
        </w:rPr>
        <w:t xml:space="preserve">) </w:t>
      </w:r>
      <w:r w:rsidRPr="002A4C23" w:rsidR="00DD3776">
        <w:rPr>
          <w:rFonts w:ascii="Times New Roman" w:hAnsi="Times New Roman" w:cs="Times New Roman"/>
          <w:color w:val="231F20"/>
          <w:sz w:val="24"/>
          <w:szCs w:val="24"/>
        </w:rPr>
        <w:t>were</w:t>
      </w:r>
      <w:r w:rsidRPr="002A4C23" w:rsidR="00690F80">
        <w:rPr>
          <w:rFonts w:ascii="Times New Roman" w:hAnsi="Times New Roman" w:cs="Times New Roman"/>
          <w:color w:val="231F20"/>
          <w:sz w:val="24"/>
          <w:szCs w:val="24"/>
        </w:rPr>
        <w:t xml:space="preserve"> allowed to challenge LEI’s conclusions and AEP’s practices</w:t>
      </w:r>
      <w:r w:rsidRPr="002A4C23" w:rsidR="00FA1912">
        <w:rPr>
          <w:rFonts w:ascii="Times New Roman" w:hAnsi="Times New Roman" w:cs="Times New Roman"/>
          <w:color w:val="231F20"/>
          <w:sz w:val="24"/>
          <w:szCs w:val="24"/>
        </w:rPr>
        <w:t xml:space="preserve"> in 2018 and 2019</w:t>
      </w:r>
      <w:r w:rsidRPr="002A4C23" w:rsidR="00690F80">
        <w:rPr>
          <w:rFonts w:ascii="Times New Roman" w:hAnsi="Times New Roman" w:cs="Times New Roman"/>
          <w:color w:val="231F20"/>
          <w:sz w:val="24"/>
          <w:szCs w:val="24"/>
        </w:rPr>
        <w:t>.</w:t>
      </w:r>
      <w:r w:rsidRPr="002A4C23" w:rsidR="0066409E">
        <w:rPr>
          <w:rFonts w:ascii="Times New Roman" w:hAnsi="Times New Roman" w:cs="Times New Roman"/>
          <w:color w:val="231F20"/>
          <w:sz w:val="24"/>
          <w:szCs w:val="24"/>
        </w:rPr>
        <w:t xml:space="preserve"> </w:t>
      </w:r>
      <w:r w:rsidRPr="002A4C23" w:rsidR="009C656B">
        <w:rPr>
          <w:rFonts w:ascii="Times New Roman" w:hAnsi="Times New Roman" w:cs="Times New Roman"/>
          <w:color w:val="231F20"/>
          <w:sz w:val="24"/>
          <w:szCs w:val="24"/>
        </w:rPr>
        <w:t>It is not a challenge to the decision to approve the PPA Rider.</w:t>
      </w:r>
    </w:p>
    <w:p w:rsidR="00690F80" w:rsidRPr="002A4C23" w:rsidP="00E148C5" w14:paraId="26FC9B53" w14:textId="056E4019">
      <w:pPr>
        <w:spacing w:after="0" w:line="480" w:lineRule="auto"/>
        <w:rPr>
          <w:rFonts w:ascii="Times New Roman" w:hAnsi="Times New Roman" w:cs="Times New Roman"/>
          <w:color w:val="231F20"/>
          <w:sz w:val="24"/>
          <w:szCs w:val="24"/>
        </w:rPr>
      </w:pPr>
      <w:r w:rsidRPr="002A4C23">
        <w:rPr>
          <w:rFonts w:ascii="Times New Roman" w:hAnsi="Times New Roman" w:cs="Times New Roman"/>
          <w:color w:val="231F20"/>
          <w:sz w:val="24"/>
          <w:szCs w:val="24"/>
        </w:rPr>
        <w:tab/>
      </w:r>
      <w:r w:rsidRPr="002A4C23" w:rsidR="00FA1912">
        <w:rPr>
          <w:rFonts w:ascii="Times New Roman" w:hAnsi="Times New Roman" w:cs="Times New Roman"/>
          <w:color w:val="231F20"/>
          <w:sz w:val="24"/>
          <w:szCs w:val="24"/>
        </w:rPr>
        <w:t>AEP tries to shift the Commission’s focus by quoting the Supreme Court of Ohio and (former) Commissioner Haque.</w:t>
      </w:r>
      <w:r w:rsidRPr="002A4C23" w:rsidR="0066409E">
        <w:rPr>
          <w:rFonts w:ascii="Times New Roman" w:hAnsi="Times New Roman" w:cs="Times New Roman"/>
          <w:color w:val="231F20"/>
          <w:sz w:val="24"/>
          <w:szCs w:val="24"/>
        </w:rPr>
        <w:t xml:space="preserve"> </w:t>
      </w:r>
      <w:r w:rsidRPr="002A4C23" w:rsidR="00FA1912">
        <w:rPr>
          <w:rFonts w:ascii="Times New Roman" w:hAnsi="Times New Roman" w:cs="Times New Roman"/>
          <w:color w:val="231F20"/>
          <w:sz w:val="24"/>
          <w:szCs w:val="24"/>
        </w:rPr>
        <w:t xml:space="preserve">AEP is correct when it says, “the intended purpose of the rider [is] to provide a financial hedge against fluctuating prices in the wholesale power market in order to stabilize retail-customer rates.” </w:t>
      </w:r>
      <w:r>
        <w:rPr>
          <w:rStyle w:val="FootnoteReference"/>
          <w:rFonts w:ascii="Times New Roman" w:hAnsi="Times New Roman" w:cs="Times New Roman"/>
          <w:color w:val="231F20"/>
          <w:sz w:val="24"/>
          <w:szCs w:val="24"/>
        </w:rPr>
        <w:footnoteReference w:id="26"/>
      </w:r>
      <w:r w:rsidRPr="002A4C23" w:rsidR="0066409E">
        <w:rPr>
          <w:rFonts w:ascii="Times New Roman" w:hAnsi="Times New Roman" w:cs="Times New Roman"/>
          <w:color w:val="231F20"/>
          <w:sz w:val="24"/>
          <w:szCs w:val="24"/>
        </w:rPr>
        <w:t xml:space="preserve"> </w:t>
      </w:r>
      <w:r w:rsidRPr="002A4C23" w:rsidR="00FA1912">
        <w:rPr>
          <w:rFonts w:ascii="Times New Roman" w:hAnsi="Times New Roman" w:cs="Times New Roman"/>
          <w:color w:val="231F20"/>
          <w:sz w:val="24"/>
          <w:szCs w:val="24"/>
        </w:rPr>
        <w:t>AEP also is correct when it reminds every</w:t>
      </w:r>
      <w:r w:rsidRPr="002A4C23" w:rsidR="00950780">
        <w:rPr>
          <w:rFonts w:ascii="Times New Roman" w:hAnsi="Times New Roman" w:cs="Times New Roman"/>
          <w:color w:val="231F20"/>
          <w:sz w:val="24"/>
          <w:szCs w:val="24"/>
        </w:rPr>
        <w:t>one</w:t>
      </w:r>
      <w:r w:rsidRPr="002A4C23" w:rsidR="00FA1912">
        <w:rPr>
          <w:rFonts w:ascii="Times New Roman" w:hAnsi="Times New Roman" w:cs="Times New Roman"/>
          <w:color w:val="231F20"/>
          <w:sz w:val="24"/>
          <w:szCs w:val="24"/>
        </w:rPr>
        <w:t xml:space="preserve"> that (former) Commissioner Haque said the “general consensus that the PPA Riders will result in a charge to customers for at least the first two to three years of the riders.”</w:t>
      </w:r>
      <w:r>
        <w:rPr>
          <w:rStyle w:val="FootnoteReference"/>
          <w:rFonts w:ascii="Times New Roman" w:hAnsi="Times New Roman" w:cs="Times New Roman"/>
          <w:color w:val="231F20"/>
          <w:sz w:val="24"/>
          <w:szCs w:val="24"/>
        </w:rPr>
        <w:footnoteReference w:id="27"/>
      </w:r>
      <w:r w:rsidRPr="002A4C23" w:rsidR="0066409E">
        <w:rPr>
          <w:rFonts w:ascii="Times New Roman" w:hAnsi="Times New Roman" w:cs="Times New Roman"/>
          <w:color w:val="231F20"/>
          <w:sz w:val="24"/>
          <w:szCs w:val="24"/>
        </w:rPr>
        <w:t xml:space="preserve"> </w:t>
      </w:r>
      <w:r w:rsidRPr="002A4C23" w:rsidR="00FA1912">
        <w:rPr>
          <w:rFonts w:ascii="Times New Roman" w:hAnsi="Times New Roman" w:cs="Times New Roman"/>
          <w:color w:val="231F20"/>
          <w:sz w:val="24"/>
          <w:szCs w:val="24"/>
        </w:rPr>
        <w:t xml:space="preserve">These statements, however, do not allow the </w:t>
      </w:r>
      <w:r w:rsidRPr="002A4C23" w:rsidR="007A49EA">
        <w:rPr>
          <w:rFonts w:ascii="Times New Roman" w:hAnsi="Times New Roman" w:cs="Times New Roman"/>
          <w:color w:val="231F20"/>
          <w:sz w:val="24"/>
          <w:szCs w:val="24"/>
        </w:rPr>
        <w:t>PUCO</w:t>
      </w:r>
      <w:r w:rsidRPr="002A4C23" w:rsidR="00A94BF1">
        <w:rPr>
          <w:rFonts w:ascii="Times New Roman" w:hAnsi="Times New Roman" w:cs="Times New Roman"/>
          <w:color w:val="231F20"/>
          <w:sz w:val="24"/>
          <w:szCs w:val="24"/>
        </w:rPr>
        <w:t xml:space="preserve"> </w:t>
      </w:r>
      <w:r w:rsidRPr="002A4C23" w:rsidR="00FA1912">
        <w:rPr>
          <w:rFonts w:ascii="Times New Roman" w:hAnsi="Times New Roman" w:cs="Times New Roman"/>
          <w:color w:val="231F20"/>
          <w:sz w:val="24"/>
          <w:szCs w:val="24"/>
        </w:rPr>
        <w:t>to ignore what actually happened in 2018 and 2019</w:t>
      </w:r>
      <w:r w:rsidRPr="002A4C23" w:rsidR="00A94BF1">
        <w:rPr>
          <w:rFonts w:ascii="Times New Roman" w:hAnsi="Times New Roman" w:cs="Times New Roman"/>
          <w:color w:val="231F20"/>
          <w:sz w:val="24"/>
          <w:szCs w:val="24"/>
        </w:rPr>
        <w:t>, and that these followed two years of s</w:t>
      </w:r>
      <w:r w:rsidRPr="002A4C23" w:rsidR="009F5F5A">
        <w:rPr>
          <w:rFonts w:ascii="Times New Roman" w:hAnsi="Times New Roman" w:cs="Times New Roman"/>
          <w:color w:val="231F20"/>
          <w:sz w:val="24"/>
          <w:szCs w:val="24"/>
        </w:rPr>
        <w:t>ubstantial above-market costs in 2016 and 2017.</w:t>
      </w:r>
    </w:p>
    <w:p w:rsidR="00A94BF1" w:rsidRPr="002A4C23" w:rsidP="00E148C5" w14:paraId="0C87EB0C" w14:textId="25126C89">
      <w:pPr>
        <w:spacing w:after="0" w:line="480" w:lineRule="auto"/>
        <w:rPr>
          <w:rFonts w:ascii="Times New Roman" w:hAnsi="Times New Roman" w:cs="Times New Roman"/>
          <w:color w:val="231F20"/>
          <w:sz w:val="24"/>
          <w:szCs w:val="24"/>
        </w:rPr>
      </w:pPr>
      <w:r w:rsidRPr="002A4C23">
        <w:rPr>
          <w:rFonts w:ascii="Times New Roman" w:hAnsi="Times New Roman" w:cs="Times New Roman"/>
          <w:color w:val="231F20"/>
          <w:sz w:val="24"/>
          <w:szCs w:val="24"/>
        </w:rPr>
        <w:tab/>
        <w:t>As OCC witness Ms. Glick explained, the costs to operate the OVEC plants were substantially higher than the PJM market prices for the same energy, capacity, and ancillary service during the 2018</w:t>
      </w:r>
      <w:r w:rsidR="000930ED">
        <w:rPr>
          <w:rFonts w:ascii="Times New Roman" w:hAnsi="Times New Roman" w:cs="Times New Roman"/>
          <w:color w:val="231F20"/>
          <w:sz w:val="24"/>
          <w:szCs w:val="24"/>
        </w:rPr>
        <w:t>-</w:t>
      </w:r>
      <w:r w:rsidRPr="002A4C23">
        <w:rPr>
          <w:rFonts w:ascii="Times New Roman" w:hAnsi="Times New Roman" w:cs="Times New Roman"/>
          <w:color w:val="231F20"/>
          <w:sz w:val="24"/>
          <w:szCs w:val="24"/>
        </w:rPr>
        <w:t>2019 audit period.</w:t>
      </w:r>
      <w:r>
        <w:rPr>
          <w:rStyle w:val="FootnoteReference"/>
          <w:rFonts w:ascii="Times New Roman" w:hAnsi="Times New Roman" w:cs="Times New Roman"/>
          <w:color w:val="231F20"/>
          <w:sz w:val="24"/>
          <w:szCs w:val="24"/>
        </w:rPr>
        <w:footnoteReference w:id="28"/>
      </w:r>
      <w:r w:rsidRPr="002A4C23" w:rsidR="0066409E">
        <w:rPr>
          <w:rFonts w:ascii="Times New Roman" w:hAnsi="Times New Roman" w:cs="Times New Roman"/>
          <w:color w:val="231F20"/>
          <w:sz w:val="24"/>
          <w:szCs w:val="24"/>
        </w:rPr>
        <w:t xml:space="preserve"> </w:t>
      </w:r>
      <w:r w:rsidRPr="002A4C23" w:rsidR="00DD3776">
        <w:rPr>
          <w:rFonts w:ascii="Times New Roman" w:hAnsi="Times New Roman" w:cs="Times New Roman"/>
          <w:color w:val="231F20"/>
          <w:sz w:val="24"/>
          <w:szCs w:val="24"/>
        </w:rPr>
        <w:t xml:space="preserve">No matter how hard it tries, </w:t>
      </w:r>
      <w:r w:rsidRPr="002A4C23">
        <w:rPr>
          <w:rFonts w:ascii="Times New Roman" w:hAnsi="Times New Roman" w:cs="Times New Roman"/>
          <w:color w:val="231F20"/>
          <w:sz w:val="24"/>
          <w:szCs w:val="24"/>
        </w:rPr>
        <w:t xml:space="preserve">AEP </w:t>
      </w:r>
      <w:r w:rsidRPr="002A4C23" w:rsidR="00DD3776">
        <w:rPr>
          <w:rFonts w:ascii="Times New Roman" w:hAnsi="Times New Roman" w:cs="Times New Roman"/>
          <w:color w:val="231F20"/>
          <w:sz w:val="24"/>
          <w:szCs w:val="24"/>
        </w:rPr>
        <w:t xml:space="preserve">must concede it </w:t>
      </w:r>
      <w:r w:rsidRPr="002A4C23">
        <w:rPr>
          <w:rFonts w:ascii="Times New Roman" w:hAnsi="Times New Roman" w:cs="Times New Roman"/>
          <w:color w:val="231F20"/>
          <w:sz w:val="24"/>
          <w:szCs w:val="24"/>
        </w:rPr>
        <w:t>charged customers $7</w:t>
      </w:r>
      <w:r w:rsidRPr="002A4C23">
        <w:rPr>
          <w:rFonts w:ascii="Times New Roman" w:hAnsi="Times New Roman" w:cs="Times New Roman"/>
          <w:color w:val="231F20"/>
          <w:sz w:val="24"/>
          <w:szCs w:val="24"/>
        </w:rPr>
        <w:t>4.5 million</w:t>
      </w:r>
      <w:r w:rsidRPr="002A4C23">
        <w:rPr>
          <w:rFonts w:ascii="Times New Roman" w:hAnsi="Times New Roman" w:cs="Times New Roman"/>
          <w:color w:val="231F20"/>
          <w:sz w:val="24"/>
          <w:szCs w:val="24"/>
        </w:rPr>
        <w:t xml:space="preserve"> for power from the OVEC plants, rather than purchase </w:t>
      </w:r>
      <w:r w:rsidRPr="002A4C23" w:rsidR="00DD3776">
        <w:rPr>
          <w:rFonts w:ascii="Times New Roman" w:hAnsi="Times New Roman" w:cs="Times New Roman"/>
          <w:color w:val="231F20"/>
          <w:sz w:val="24"/>
          <w:szCs w:val="24"/>
        </w:rPr>
        <w:t xml:space="preserve">cheaper </w:t>
      </w:r>
      <w:r w:rsidRPr="002A4C23">
        <w:rPr>
          <w:rFonts w:ascii="Times New Roman" w:hAnsi="Times New Roman" w:cs="Times New Roman"/>
          <w:color w:val="231F20"/>
          <w:sz w:val="24"/>
          <w:szCs w:val="24"/>
        </w:rPr>
        <w:t>power from the PJM market.</w:t>
      </w:r>
      <w:r w:rsidRPr="002A4C23" w:rsidR="0066409E">
        <w:rPr>
          <w:rFonts w:ascii="Times New Roman" w:hAnsi="Times New Roman" w:cs="Times New Roman"/>
          <w:color w:val="231F20"/>
          <w:sz w:val="24"/>
          <w:szCs w:val="24"/>
        </w:rPr>
        <w:t xml:space="preserve"> </w:t>
      </w:r>
      <w:r w:rsidRPr="002A4C23" w:rsidR="00DD3776">
        <w:rPr>
          <w:rFonts w:ascii="Times New Roman" w:hAnsi="Times New Roman" w:cs="Times New Roman"/>
          <w:color w:val="231F20"/>
          <w:sz w:val="24"/>
          <w:szCs w:val="24"/>
        </w:rPr>
        <w:t>While</w:t>
      </w:r>
      <w:r w:rsidRPr="002A4C23">
        <w:rPr>
          <w:rFonts w:ascii="Times New Roman" w:hAnsi="Times New Roman" w:cs="Times New Roman"/>
          <w:color w:val="231F20"/>
          <w:sz w:val="24"/>
          <w:szCs w:val="24"/>
        </w:rPr>
        <w:t xml:space="preserve"> some customer charges may have been expected in these early years of the rider, </w:t>
      </w:r>
      <w:bookmarkStart w:id="8" w:name="_Hlk99960465"/>
      <w:r w:rsidRPr="002A4C23" w:rsidR="00DD3776">
        <w:rPr>
          <w:rFonts w:ascii="Times New Roman" w:hAnsi="Times New Roman" w:cs="Times New Roman"/>
          <w:color w:val="231F20"/>
          <w:sz w:val="24"/>
          <w:szCs w:val="24"/>
        </w:rPr>
        <w:t xml:space="preserve">customers were paying substantially more under AEP’s Coal Plant Charge in twenty-three of the twenty-four months </w:t>
      </w:r>
      <w:bookmarkEnd w:id="8"/>
      <w:r w:rsidRPr="002A4C23" w:rsidR="00DD3776">
        <w:rPr>
          <w:rFonts w:ascii="Times New Roman" w:hAnsi="Times New Roman" w:cs="Times New Roman"/>
          <w:color w:val="231F20"/>
          <w:sz w:val="24"/>
          <w:szCs w:val="24"/>
        </w:rPr>
        <w:t>of the audit period.</w:t>
      </w:r>
      <w:r>
        <w:rPr>
          <w:rStyle w:val="FootnoteReference"/>
          <w:rFonts w:ascii="Times New Roman" w:hAnsi="Times New Roman" w:cs="Times New Roman"/>
          <w:color w:val="231F20"/>
          <w:sz w:val="24"/>
          <w:szCs w:val="24"/>
        </w:rPr>
        <w:footnoteReference w:id="29"/>
      </w:r>
      <w:r w:rsidRPr="002A4C23" w:rsidR="0066409E">
        <w:rPr>
          <w:rFonts w:ascii="Times New Roman" w:hAnsi="Times New Roman" w:cs="Times New Roman"/>
          <w:color w:val="231F20"/>
          <w:sz w:val="24"/>
          <w:szCs w:val="24"/>
        </w:rPr>
        <w:t xml:space="preserve"> </w:t>
      </w:r>
    </w:p>
    <w:p w:rsidR="00FA1912" w:rsidRPr="002A4C23" w:rsidP="00E148C5" w14:paraId="1C70C23E" w14:textId="430BA3BA">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Looking at these alarming numbers is not Monday-Morning Quarterbacking.</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Instead, it is a review of </w:t>
      </w:r>
      <w:r w:rsidRPr="002A4C23" w:rsidR="00950780">
        <w:rPr>
          <w:rFonts w:ascii="Times New Roman" w:hAnsi="Times New Roman" w:cs="Times New Roman"/>
          <w:color w:val="231F20"/>
          <w:sz w:val="24"/>
          <w:szCs w:val="24"/>
        </w:rPr>
        <w:t>the actual</w:t>
      </w:r>
      <w:r w:rsidRPr="002A4C23">
        <w:rPr>
          <w:rFonts w:ascii="Times New Roman" w:hAnsi="Times New Roman" w:cs="Times New Roman"/>
          <w:color w:val="231F20"/>
          <w:sz w:val="24"/>
          <w:szCs w:val="24"/>
        </w:rPr>
        <w:t xml:space="preserve"> cost and sales flowing through the PPA Rider.</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AEP wants the </w:t>
      </w:r>
      <w:r w:rsidRPr="002A4C23" w:rsidR="007A49EA">
        <w:rPr>
          <w:rFonts w:ascii="Times New Roman" w:hAnsi="Times New Roman" w:cs="Times New Roman"/>
          <w:color w:val="231F20"/>
          <w:sz w:val="24"/>
          <w:szCs w:val="24"/>
        </w:rPr>
        <w:t>PUCO</w:t>
      </w:r>
      <w:r w:rsidRPr="002A4C23" w:rsidR="00A94BF1">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to overlook the undeniable data for this audit period (2018 and 2019) and look to the promise of the 2020 audit period.</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N</w:t>
      </w:r>
      <w:r w:rsidRPr="002A4C23">
        <w:rPr>
          <w:rFonts w:ascii="Times New Roman" w:hAnsi="Times New Roman" w:cs="Times New Roman"/>
          <w:color w:val="231F20"/>
          <w:sz w:val="24"/>
          <w:szCs w:val="24"/>
        </w:rPr>
        <w:t xml:space="preserve">o reasonable person can conclude </w:t>
      </w:r>
      <w:r w:rsidRPr="002A4C23">
        <w:rPr>
          <w:rFonts w:ascii="Times New Roman" w:hAnsi="Times New Roman" w:cs="Times New Roman"/>
          <w:color w:val="231F20"/>
          <w:sz w:val="24"/>
          <w:szCs w:val="24"/>
        </w:rPr>
        <w:t xml:space="preserve">AEP’s practice in 2018 and 2019 was </w:t>
      </w:r>
      <w:r w:rsidRPr="002A4C23">
        <w:rPr>
          <w:rFonts w:ascii="Times New Roman" w:hAnsi="Times New Roman" w:cs="Times New Roman"/>
          <w:color w:val="231F20"/>
          <w:sz w:val="24"/>
          <w:szCs w:val="24"/>
        </w:rPr>
        <w:t xml:space="preserve">in the </w:t>
      </w:r>
      <w:r w:rsidRPr="002A4C23" w:rsidR="000D7F5D">
        <w:rPr>
          <w:rFonts w:ascii="Times New Roman" w:hAnsi="Times New Roman" w:cs="Times New Roman"/>
          <w:color w:val="231F20"/>
          <w:sz w:val="24"/>
          <w:szCs w:val="24"/>
        </w:rPr>
        <w:t>consumer</w:t>
      </w:r>
      <w:r w:rsidRPr="002A4C23">
        <w:rPr>
          <w:rFonts w:ascii="Times New Roman" w:hAnsi="Times New Roman" w:cs="Times New Roman"/>
          <w:color w:val="231F20"/>
          <w:sz w:val="24"/>
          <w:szCs w:val="24"/>
        </w:rPr>
        <w:t>’s best interest</w:t>
      </w:r>
      <w:r w:rsidRPr="002A4C23">
        <w:rPr>
          <w:rFonts w:ascii="Times New Roman" w:hAnsi="Times New Roman" w:cs="Times New Roman"/>
          <w:color w:val="231F20"/>
          <w:sz w:val="24"/>
          <w:szCs w:val="24"/>
        </w:rPr>
        <w:t>.</w:t>
      </w:r>
      <w:r w:rsidRPr="002A4C23" w:rsidR="0066409E">
        <w:rPr>
          <w:rFonts w:ascii="Times New Roman" w:hAnsi="Times New Roman" w:cs="Times New Roman"/>
          <w:color w:val="231F20"/>
          <w:sz w:val="24"/>
          <w:szCs w:val="24"/>
        </w:rPr>
        <w:t xml:space="preserve"> </w:t>
      </w:r>
      <w:bookmarkStart w:id="9" w:name="_Hlk99956702"/>
      <w:r w:rsidRPr="002A4C23" w:rsidR="00EF26C9">
        <w:rPr>
          <w:rFonts w:ascii="Times New Roman" w:hAnsi="Times New Roman" w:cs="Times New Roman"/>
          <w:color w:val="231F20"/>
          <w:sz w:val="24"/>
          <w:szCs w:val="24"/>
        </w:rPr>
        <w:t xml:space="preserve">AEP only had to look at the poor performance of the OVEC plants in 2016 and 2017 to see that 2018 and 2019 would also cost customers millions of dollars. AEP knew these plants would continue to lose money but didn’t care because consumers, not shareholders, were footing the bill. </w:t>
      </w:r>
      <w:r w:rsidRPr="002A4C23">
        <w:rPr>
          <w:rFonts w:ascii="Times New Roman" w:hAnsi="Times New Roman" w:cs="Times New Roman"/>
          <w:color w:val="231F20"/>
          <w:sz w:val="24"/>
          <w:szCs w:val="24"/>
        </w:rPr>
        <w:t>The</w:t>
      </w:r>
      <w:r w:rsidRPr="002A4C23" w:rsidR="00A30FA3">
        <w:rPr>
          <w:rFonts w:ascii="Times New Roman" w:hAnsi="Times New Roman" w:cs="Times New Roman"/>
          <w:color w:val="231F20"/>
          <w:sz w:val="24"/>
          <w:szCs w:val="24"/>
        </w:rPr>
        <w:t>refore, the</w:t>
      </w:r>
      <w:r w:rsidRPr="002A4C23">
        <w:rPr>
          <w:rFonts w:ascii="Times New Roman" w:hAnsi="Times New Roman" w:cs="Times New Roman"/>
          <w:color w:val="231F20"/>
          <w:sz w:val="24"/>
          <w:szCs w:val="24"/>
        </w:rPr>
        <w:t xml:space="preserve"> </w:t>
      </w:r>
      <w:r w:rsidRPr="002A4C23" w:rsidR="007A49EA">
        <w:rPr>
          <w:rFonts w:ascii="Times New Roman" w:hAnsi="Times New Roman" w:cs="Times New Roman"/>
          <w:color w:val="231F20"/>
          <w:sz w:val="24"/>
          <w:szCs w:val="24"/>
        </w:rPr>
        <w:t>PUCO</w:t>
      </w:r>
      <w:r w:rsidRPr="002A4C23" w:rsidR="00A94BF1">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should disallow the</w:t>
      </w:r>
      <w:r w:rsidRPr="002A4C23" w:rsidR="00A94BF1">
        <w:rPr>
          <w:rFonts w:ascii="Times New Roman" w:hAnsi="Times New Roman" w:cs="Times New Roman"/>
          <w:color w:val="231F20"/>
          <w:sz w:val="24"/>
          <w:szCs w:val="24"/>
        </w:rPr>
        <w:t xml:space="preserve"> $74.5 million</w:t>
      </w:r>
      <w:r w:rsidRPr="002A4C23">
        <w:rPr>
          <w:rFonts w:ascii="Times New Roman" w:hAnsi="Times New Roman" w:cs="Times New Roman"/>
          <w:color w:val="231F20"/>
          <w:sz w:val="24"/>
          <w:szCs w:val="24"/>
        </w:rPr>
        <w:t xml:space="preserve"> in above-market charges to consumers in 2018 and 2019.</w:t>
      </w:r>
    </w:p>
    <w:bookmarkEnd w:id="9"/>
    <w:p w:rsidR="00627FBD" w:rsidRPr="002A4C23" w:rsidP="00E148C5" w14:paraId="60E71D21" w14:textId="7A61EA57">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Then, there is AEP’s must-run commitment strategy.</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OCC witness Mr. Haug</w:t>
      </w:r>
      <w:r w:rsidRPr="002A4C23" w:rsidR="00DD3776">
        <w:rPr>
          <w:rFonts w:ascii="Times New Roman" w:hAnsi="Times New Roman" w:cs="Times New Roman"/>
          <w:color w:val="231F20"/>
          <w:sz w:val="24"/>
          <w:szCs w:val="24"/>
        </w:rPr>
        <w:t xml:space="preserve">h </w:t>
      </w:r>
      <w:r w:rsidRPr="002A4C23">
        <w:rPr>
          <w:rFonts w:ascii="Times New Roman" w:hAnsi="Times New Roman" w:cs="Times New Roman"/>
          <w:color w:val="231F20"/>
          <w:sz w:val="24"/>
          <w:szCs w:val="24"/>
        </w:rPr>
        <w:t xml:space="preserve">testified </w:t>
      </w:r>
      <w:r w:rsidRPr="002A4C23" w:rsidR="00DD3776">
        <w:rPr>
          <w:rFonts w:ascii="Times New Roman" w:hAnsi="Times New Roman" w:cs="Times New Roman"/>
          <w:color w:val="231F20"/>
          <w:sz w:val="24"/>
          <w:szCs w:val="24"/>
        </w:rPr>
        <w:t>what we all know.</w:t>
      </w:r>
      <w:r w:rsidRPr="002A4C23" w:rsidR="0066409E">
        <w:rPr>
          <w:rFonts w:ascii="Times New Roman" w:hAnsi="Times New Roman" w:cs="Times New Roman"/>
          <w:color w:val="231F20"/>
          <w:sz w:val="24"/>
          <w:szCs w:val="24"/>
        </w:rPr>
        <w:t xml:space="preserve"> </w:t>
      </w:r>
      <w:r w:rsidRPr="002A4C23" w:rsidR="00DD3776">
        <w:rPr>
          <w:rFonts w:ascii="Times New Roman" w:hAnsi="Times New Roman" w:cs="Times New Roman"/>
          <w:color w:val="231F20"/>
          <w:sz w:val="24"/>
          <w:szCs w:val="24"/>
        </w:rPr>
        <w:t xml:space="preserve">That is, </w:t>
      </w:r>
      <w:r w:rsidRPr="002A4C23">
        <w:rPr>
          <w:rFonts w:ascii="Times New Roman" w:hAnsi="Times New Roman" w:cs="Times New Roman"/>
          <w:color w:val="231F20"/>
          <w:sz w:val="24"/>
          <w:szCs w:val="24"/>
        </w:rPr>
        <w:t>AEP and OVEC committed the plants on a “must run” basis.</w:t>
      </w:r>
      <w:r>
        <w:rPr>
          <w:rStyle w:val="FootnoteReference"/>
          <w:rFonts w:ascii="Times New Roman" w:hAnsi="Times New Roman" w:cs="Times New Roman"/>
          <w:color w:val="231F20"/>
          <w:sz w:val="24"/>
          <w:szCs w:val="24"/>
        </w:rPr>
        <w:footnoteReference w:id="30"/>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He</w:t>
      </w:r>
      <w:r w:rsidRPr="002A4C23" w:rsidR="00DD3776">
        <w:rPr>
          <w:rFonts w:ascii="Times New Roman" w:hAnsi="Times New Roman" w:cs="Times New Roman"/>
          <w:color w:val="231F20"/>
          <w:sz w:val="24"/>
          <w:szCs w:val="24"/>
        </w:rPr>
        <w:t xml:space="preserve"> also</w:t>
      </w:r>
      <w:r w:rsidRPr="002A4C23">
        <w:rPr>
          <w:rFonts w:ascii="Times New Roman" w:hAnsi="Times New Roman" w:cs="Times New Roman"/>
          <w:color w:val="231F20"/>
          <w:sz w:val="24"/>
          <w:szCs w:val="24"/>
        </w:rPr>
        <w:t xml:space="preserve"> explained good utility practice, where operators perform a daily financial analysis of the</w:t>
      </w:r>
      <w:r w:rsidRPr="002A4C23" w:rsidR="00DD3776">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projected costs and projected revenues for operating plants before deciding whether</w:t>
      </w:r>
      <w:r w:rsidRPr="002A4C23" w:rsidR="008519C8">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to commit the plant as must-run or economic, is the best practice.</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Why? Because it can avoid a situation like the one created by AEP’s imprudence – a plant being operated during months when the plant’s revenue did not cover variable operating costs. AEP</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supports, actually blames, its must-run decision on “OVEC’s design and operating characteristics.”</w:t>
      </w:r>
      <w:r>
        <w:rPr>
          <w:rStyle w:val="FootnoteReference"/>
          <w:rFonts w:ascii="Times New Roman" w:hAnsi="Times New Roman" w:cs="Times New Roman"/>
          <w:color w:val="231F20"/>
          <w:sz w:val="24"/>
          <w:szCs w:val="24"/>
        </w:rPr>
        <w:footnoteReference w:id="31"/>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AEP contends that if “OVEC units were to cycle on-and-</w:t>
      </w:r>
      <w:r w:rsidRPr="002A4C23" w:rsidR="00DD3776">
        <w:rPr>
          <w:rFonts w:ascii="Times New Roman" w:hAnsi="Times New Roman" w:cs="Times New Roman"/>
          <w:color w:val="231F20"/>
          <w:sz w:val="24"/>
          <w:szCs w:val="24"/>
        </w:rPr>
        <w:t>o</w:t>
      </w:r>
      <w:r w:rsidRPr="002A4C23">
        <w:rPr>
          <w:rFonts w:ascii="Times New Roman" w:hAnsi="Times New Roman" w:cs="Times New Roman"/>
          <w:color w:val="231F20"/>
          <w:sz w:val="24"/>
          <w:szCs w:val="24"/>
        </w:rPr>
        <w:t>ff instead of operating as baseload generators, coal deliveries could pile up, causing an unsafe overabundance of coal.”</w:t>
      </w:r>
      <w:r>
        <w:rPr>
          <w:rStyle w:val="FootnoteReference"/>
          <w:rFonts w:ascii="Times New Roman" w:hAnsi="Times New Roman" w:cs="Times New Roman"/>
          <w:color w:val="231F20"/>
          <w:sz w:val="24"/>
          <w:szCs w:val="24"/>
        </w:rPr>
        <w:footnoteReference w:id="32"/>
      </w:r>
      <w:r w:rsidRPr="002A4C23" w:rsidR="0066409E">
        <w:rPr>
          <w:rFonts w:ascii="Times New Roman" w:hAnsi="Times New Roman" w:cs="Times New Roman"/>
          <w:color w:val="231F20"/>
          <w:sz w:val="24"/>
          <w:szCs w:val="24"/>
        </w:rPr>
        <w:t xml:space="preserve"> </w:t>
      </w:r>
    </w:p>
    <w:p w:rsidR="003543C3" w:rsidP="00E148C5" w14:paraId="25B2CC5E" w14:textId="35A0443B">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AEP even tries to dodge its responsibilities by arguing it could not unilaterally change the must-run commitment.</w:t>
      </w:r>
      <w:r>
        <w:rPr>
          <w:rStyle w:val="FootnoteReference"/>
          <w:rFonts w:ascii="Times New Roman" w:hAnsi="Times New Roman" w:cs="Times New Roman"/>
          <w:color w:val="231F20"/>
          <w:sz w:val="24"/>
          <w:szCs w:val="24"/>
        </w:rPr>
        <w:footnoteReference w:id="33"/>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These are, and should be viewed by the </w:t>
      </w:r>
      <w:r w:rsidRPr="002A4C23" w:rsidR="007A49EA">
        <w:rPr>
          <w:rFonts w:ascii="Times New Roman" w:hAnsi="Times New Roman" w:cs="Times New Roman"/>
          <w:color w:val="231F20"/>
          <w:sz w:val="24"/>
          <w:szCs w:val="24"/>
        </w:rPr>
        <w:t>PUCO</w:t>
      </w:r>
      <w:r w:rsidRPr="002A4C23" w:rsidR="00627FBD">
        <w:rPr>
          <w:rFonts w:ascii="Times New Roman" w:hAnsi="Times New Roman" w:cs="Times New Roman"/>
          <w:color w:val="231F20"/>
          <w:sz w:val="24"/>
          <w:szCs w:val="24"/>
        </w:rPr>
        <w:t xml:space="preserve"> a</w:t>
      </w:r>
      <w:r w:rsidRPr="002A4C23">
        <w:rPr>
          <w:rFonts w:ascii="Times New Roman" w:hAnsi="Times New Roman" w:cs="Times New Roman"/>
          <w:color w:val="231F20"/>
          <w:sz w:val="24"/>
          <w:szCs w:val="24"/>
        </w:rPr>
        <w:t xml:space="preserve">s, </w:t>
      </w:r>
      <w:r w:rsidRPr="002A4C23" w:rsidR="00DD3776">
        <w:rPr>
          <w:rFonts w:ascii="Times New Roman" w:hAnsi="Times New Roman" w:cs="Times New Roman"/>
          <w:color w:val="231F20"/>
          <w:sz w:val="24"/>
          <w:szCs w:val="24"/>
        </w:rPr>
        <w:t xml:space="preserve">nothing more than </w:t>
      </w:r>
      <w:r w:rsidRPr="002A4C23">
        <w:rPr>
          <w:rFonts w:ascii="Times New Roman" w:hAnsi="Times New Roman" w:cs="Times New Roman"/>
          <w:color w:val="231F20"/>
          <w:sz w:val="24"/>
          <w:szCs w:val="24"/>
        </w:rPr>
        <w:t>h</w:t>
      </w:r>
      <w:r w:rsidRPr="002A4C23" w:rsidR="00627FBD">
        <w:rPr>
          <w:rFonts w:ascii="Times New Roman" w:hAnsi="Times New Roman" w:cs="Times New Roman"/>
          <w:color w:val="231F20"/>
          <w:sz w:val="24"/>
          <w:szCs w:val="24"/>
        </w:rPr>
        <w:t>o</w:t>
      </w:r>
      <w:r w:rsidRPr="002A4C23">
        <w:rPr>
          <w:rFonts w:ascii="Times New Roman" w:hAnsi="Times New Roman" w:cs="Times New Roman"/>
          <w:color w:val="231F20"/>
          <w:sz w:val="24"/>
          <w:szCs w:val="24"/>
        </w:rPr>
        <w:t>llow excuses</w:t>
      </w:r>
      <w:r w:rsidRPr="002A4C23" w:rsidR="00DD3776">
        <w:rPr>
          <w:rFonts w:ascii="Times New Roman" w:hAnsi="Times New Roman" w:cs="Times New Roman"/>
          <w:color w:val="231F20"/>
          <w:sz w:val="24"/>
          <w:szCs w:val="24"/>
        </w:rPr>
        <w:t xml:space="preserve"> that harmed </w:t>
      </w:r>
      <w:r w:rsidRPr="002A4C23" w:rsidR="00627FBD">
        <w:rPr>
          <w:rFonts w:ascii="Times New Roman" w:hAnsi="Times New Roman" w:cs="Times New Roman"/>
          <w:color w:val="231F20"/>
          <w:sz w:val="24"/>
          <w:szCs w:val="24"/>
        </w:rPr>
        <w:t>consumers</w:t>
      </w:r>
      <w:r w:rsidRPr="002A4C23">
        <w:rPr>
          <w:rFonts w:ascii="Times New Roman" w:hAnsi="Times New Roman" w:cs="Times New Roman"/>
          <w:color w:val="231F20"/>
          <w:sz w:val="24"/>
          <w:szCs w:val="24"/>
        </w:rPr>
        <w:t>.</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AEP witness Mr. Stegall acknowledged AEP performs this daily financial analysis when making commitment decisions for plants that it directly owns.”</w:t>
      </w:r>
      <w:r>
        <w:rPr>
          <w:rStyle w:val="FootnoteReference"/>
          <w:rFonts w:ascii="Times New Roman" w:hAnsi="Times New Roman" w:cs="Times New Roman"/>
          <w:color w:val="231F20"/>
          <w:sz w:val="24"/>
          <w:szCs w:val="24"/>
        </w:rPr>
        <w:footnoteReference w:id="34"/>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According to Mr. Stegall, this is good utility practice.</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However, AEP did not employ this good utility practice here.</w:t>
      </w:r>
      <w:r w:rsidRPr="002A4C23" w:rsidR="0066409E">
        <w:rPr>
          <w:rFonts w:ascii="Times New Roman" w:hAnsi="Times New Roman" w:cs="Times New Roman"/>
          <w:color w:val="231F20"/>
          <w:sz w:val="24"/>
          <w:szCs w:val="24"/>
        </w:rPr>
        <w:t xml:space="preserve"> </w:t>
      </w:r>
      <w:r w:rsidRPr="003543C3">
        <w:rPr>
          <w:rFonts w:ascii="Times New Roman" w:hAnsi="Times New Roman" w:cs="Times New Roman"/>
          <w:color w:val="231F20"/>
          <w:sz w:val="24"/>
          <w:szCs w:val="24"/>
        </w:rPr>
        <w:t>AEP doesn’t refrain from this practice due to some worry that an overabundance of coal deliveries could occur.</w:t>
      </w:r>
      <w:r>
        <w:rPr>
          <w:rFonts w:ascii="Times New Roman" w:hAnsi="Times New Roman" w:cs="Times New Roman"/>
          <w:color w:val="231F20"/>
          <w:sz w:val="24"/>
          <w:szCs w:val="24"/>
        </w:rPr>
        <w:t xml:space="preserve">  </w:t>
      </w:r>
    </w:p>
    <w:p w:rsidR="00FA1912" w:rsidRPr="002A4C23" w:rsidP="00E148C5" w14:paraId="2BCC8322" w14:textId="4EAB88FA">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Consequently</w:t>
      </w:r>
      <w:r w:rsidRPr="002A4C23">
        <w:rPr>
          <w:rFonts w:ascii="Times New Roman" w:hAnsi="Times New Roman" w:cs="Times New Roman"/>
          <w:color w:val="231F20"/>
          <w:sz w:val="24"/>
          <w:szCs w:val="24"/>
        </w:rPr>
        <w:t>,</w:t>
      </w:r>
      <w:r w:rsidRPr="002A4C23">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the undisputed facts show AEP did not act carefully, diligently, and with good judgment when it committed the OVEC plants as “must run” during the audit period.</w:t>
      </w:r>
      <w:r w:rsidRPr="002A4C23" w:rsidR="0066409E">
        <w:rPr>
          <w:rFonts w:ascii="Times New Roman" w:hAnsi="Times New Roman" w:cs="Times New Roman"/>
          <w:color w:val="231F20"/>
          <w:sz w:val="24"/>
          <w:szCs w:val="24"/>
        </w:rPr>
        <w:t xml:space="preserve"> </w:t>
      </w:r>
      <w:bookmarkStart w:id="10" w:name="_Hlk99960653"/>
      <w:r w:rsidRPr="002A4C23" w:rsidR="00950780">
        <w:rPr>
          <w:rFonts w:ascii="Times New Roman" w:hAnsi="Times New Roman" w:cs="Times New Roman"/>
          <w:color w:val="231F20"/>
          <w:sz w:val="24"/>
          <w:szCs w:val="24"/>
        </w:rPr>
        <w:t xml:space="preserve">The </w:t>
      </w:r>
      <w:r w:rsidRPr="002A4C23" w:rsidR="007A49EA">
        <w:rPr>
          <w:rFonts w:ascii="Times New Roman" w:hAnsi="Times New Roman" w:cs="Times New Roman"/>
          <w:color w:val="231F20"/>
          <w:sz w:val="24"/>
          <w:szCs w:val="24"/>
        </w:rPr>
        <w:t>PUCO</w:t>
      </w:r>
      <w:r w:rsidRPr="002A4C23" w:rsidR="00627FBD">
        <w:rPr>
          <w:rFonts w:ascii="Times New Roman" w:hAnsi="Times New Roman" w:cs="Times New Roman"/>
          <w:color w:val="231F20"/>
          <w:sz w:val="24"/>
          <w:szCs w:val="24"/>
        </w:rPr>
        <w:t xml:space="preserve"> </w:t>
      </w:r>
      <w:r w:rsidRPr="002A4C23" w:rsidR="00950780">
        <w:rPr>
          <w:rFonts w:ascii="Times New Roman" w:hAnsi="Times New Roman" w:cs="Times New Roman"/>
          <w:color w:val="231F20"/>
          <w:sz w:val="24"/>
          <w:szCs w:val="24"/>
        </w:rPr>
        <w:t>should not support AEP’s “it has to be this way because our plants are old” attitude.</w:t>
      </w:r>
      <w:r w:rsidRPr="002A4C23" w:rsidR="0066409E">
        <w:rPr>
          <w:rFonts w:ascii="Times New Roman" w:hAnsi="Times New Roman" w:cs="Times New Roman"/>
          <w:color w:val="231F20"/>
          <w:sz w:val="24"/>
          <w:szCs w:val="24"/>
        </w:rPr>
        <w:t xml:space="preserve"> </w:t>
      </w:r>
      <w:r w:rsidRPr="002A4C23" w:rsidR="00AD0D90">
        <w:rPr>
          <w:rFonts w:ascii="Times New Roman" w:hAnsi="Times New Roman" w:cs="Times New Roman"/>
          <w:color w:val="231F20"/>
          <w:sz w:val="24"/>
          <w:szCs w:val="24"/>
        </w:rPr>
        <w:t xml:space="preserve">This is another example of poor management of the plants because the losses would be passed on to consumers. </w:t>
      </w:r>
      <w:r w:rsidRPr="002A4C23" w:rsidR="00A30FA3">
        <w:rPr>
          <w:rFonts w:ascii="Times New Roman" w:hAnsi="Times New Roman" w:cs="Times New Roman"/>
          <w:color w:val="231F20"/>
          <w:sz w:val="24"/>
          <w:szCs w:val="24"/>
        </w:rPr>
        <w:t xml:space="preserve">Therefore, the </w:t>
      </w:r>
      <w:r w:rsidRPr="002A4C23" w:rsidR="007A49EA">
        <w:rPr>
          <w:rFonts w:ascii="Times New Roman" w:hAnsi="Times New Roman" w:cs="Times New Roman"/>
          <w:color w:val="231F20"/>
          <w:sz w:val="24"/>
          <w:szCs w:val="24"/>
        </w:rPr>
        <w:t>PUCO</w:t>
      </w:r>
      <w:r w:rsidRPr="002A4C23" w:rsidR="00627FBD">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should disallow the $</w:t>
      </w:r>
      <w:r w:rsidRPr="002A4C23" w:rsidR="00A94BF1">
        <w:rPr>
          <w:rFonts w:ascii="Times New Roman" w:hAnsi="Times New Roman" w:cs="Times New Roman"/>
          <w:color w:val="231F20"/>
          <w:sz w:val="24"/>
          <w:szCs w:val="24"/>
        </w:rPr>
        <w:t>74.5 million</w:t>
      </w:r>
      <w:r w:rsidRPr="002A4C23">
        <w:rPr>
          <w:rFonts w:ascii="Times New Roman" w:hAnsi="Times New Roman" w:cs="Times New Roman"/>
          <w:color w:val="231F20"/>
          <w:sz w:val="24"/>
          <w:szCs w:val="24"/>
        </w:rPr>
        <w:t xml:space="preserve"> in above-market charges to consumers in 2018 and 2019.</w:t>
      </w:r>
      <w:bookmarkEnd w:id="10"/>
    </w:p>
    <w:p w:rsidR="009210C2" w:rsidRPr="002A4C23" w:rsidP="00E148C5" w14:paraId="30924A58" w14:textId="28AB6CBD">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 xml:space="preserve">The difference between the </w:t>
      </w:r>
      <w:r w:rsidRPr="002A4C23" w:rsidR="00520CB4">
        <w:rPr>
          <w:rFonts w:ascii="Times New Roman" w:hAnsi="Times New Roman" w:cs="Times New Roman"/>
          <w:color w:val="231F20"/>
          <w:sz w:val="24"/>
          <w:szCs w:val="24"/>
        </w:rPr>
        <w:t>plants AEP owns (that Mr. Stegall was discussing) and the OVEC plants is competition.</w:t>
      </w:r>
      <w:r w:rsidR="002A4C23">
        <w:rPr>
          <w:rFonts w:ascii="Times New Roman" w:hAnsi="Times New Roman" w:cs="Times New Roman"/>
          <w:color w:val="231F20"/>
          <w:sz w:val="24"/>
          <w:szCs w:val="24"/>
        </w:rPr>
        <w:t xml:space="preserve"> </w:t>
      </w:r>
      <w:r w:rsidRPr="002A4C23" w:rsidR="00520CB4">
        <w:rPr>
          <w:rFonts w:ascii="Times New Roman" w:hAnsi="Times New Roman" w:cs="Times New Roman"/>
          <w:color w:val="231F20"/>
          <w:sz w:val="24"/>
          <w:szCs w:val="24"/>
        </w:rPr>
        <w:t xml:space="preserve">The </w:t>
      </w:r>
      <w:r w:rsidRPr="002A4C23" w:rsidR="00061AFA">
        <w:rPr>
          <w:rFonts w:ascii="Times New Roman" w:hAnsi="Times New Roman" w:cs="Times New Roman"/>
          <w:color w:val="231F20"/>
          <w:sz w:val="24"/>
          <w:szCs w:val="24"/>
        </w:rPr>
        <w:t>p</w:t>
      </w:r>
      <w:r w:rsidRPr="002A4C23" w:rsidR="00520CB4">
        <w:rPr>
          <w:rFonts w:ascii="Times New Roman" w:hAnsi="Times New Roman" w:cs="Times New Roman"/>
          <w:color w:val="231F20"/>
          <w:sz w:val="24"/>
          <w:szCs w:val="24"/>
        </w:rPr>
        <w:t>lants AEP own</w:t>
      </w:r>
      <w:r w:rsidRPr="002A4C23" w:rsidR="00061AFA">
        <w:rPr>
          <w:rFonts w:ascii="Times New Roman" w:hAnsi="Times New Roman" w:cs="Times New Roman"/>
          <w:color w:val="231F20"/>
          <w:sz w:val="24"/>
          <w:szCs w:val="24"/>
        </w:rPr>
        <w:t>s</w:t>
      </w:r>
      <w:r w:rsidRPr="002A4C23" w:rsidR="00520CB4">
        <w:rPr>
          <w:rFonts w:ascii="Times New Roman" w:hAnsi="Times New Roman" w:cs="Times New Roman"/>
          <w:color w:val="231F20"/>
          <w:sz w:val="24"/>
          <w:szCs w:val="24"/>
        </w:rPr>
        <w:t xml:space="preserve"> are operated in the competitive market and AEP’s shareholders bear the risk of operating losses.</w:t>
      </w:r>
      <w:r w:rsidR="002A4C23">
        <w:rPr>
          <w:rFonts w:ascii="Times New Roman" w:hAnsi="Times New Roman" w:cs="Times New Roman"/>
          <w:color w:val="231F20"/>
          <w:sz w:val="24"/>
          <w:szCs w:val="24"/>
        </w:rPr>
        <w:t xml:space="preserve"> </w:t>
      </w:r>
      <w:r w:rsidRPr="002A4C23" w:rsidR="00520CB4">
        <w:rPr>
          <w:rFonts w:ascii="Times New Roman" w:hAnsi="Times New Roman" w:cs="Times New Roman"/>
          <w:color w:val="231F20"/>
          <w:sz w:val="24"/>
          <w:szCs w:val="24"/>
        </w:rPr>
        <w:t xml:space="preserve">The OVEC are not operating as competitive generating plants, which unfortunately puts consumers at risk for the operating losses. </w:t>
      </w:r>
      <w:r w:rsidRPr="002A4C23" w:rsidR="00F6729D">
        <w:rPr>
          <w:rFonts w:ascii="Times New Roman" w:hAnsi="Times New Roman" w:cs="Times New Roman"/>
          <w:color w:val="231F20"/>
          <w:sz w:val="24"/>
          <w:szCs w:val="24"/>
        </w:rPr>
        <w:t>To allow AEP to charge its consumers the $74</w:t>
      </w:r>
      <w:r w:rsidRPr="002A4C23" w:rsidR="00061AFA">
        <w:rPr>
          <w:rFonts w:ascii="Times New Roman" w:hAnsi="Times New Roman" w:cs="Times New Roman"/>
          <w:color w:val="231F20"/>
          <w:sz w:val="24"/>
          <w:szCs w:val="24"/>
        </w:rPr>
        <w:t>.</w:t>
      </w:r>
      <w:r w:rsidRPr="002A4C23" w:rsidR="00F6729D">
        <w:rPr>
          <w:rFonts w:ascii="Times New Roman" w:hAnsi="Times New Roman" w:cs="Times New Roman"/>
          <w:color w:val="231F20"/>
          <w:sz w:val="24"/>
          <w:szCs w:val="24"/>
        </w:rPr>
        <w:t>5 million goes against the PUCO’s consumer protection intention when this rider was approved.</w:t>
      </w:r>
      <w:r w:rsidR="002A4C23">
        <w:rPr>
          <w:rFonts w:ascii="Times New Roman" w:hAnsi="Times New Roman" w:cs="Times New Roman"/>
          <w:color w:val="231F20"/>
          <w:sz w:val="24"/>
          <w:szCs w:val="24"/>
        </w:rPr>
        <w:t xml:space="preserve"> </w:t>
      </w:r>
      <w:r w:rsidRPr="002A4C23" w:rsidR="00061AFA">
        <w:rPr>
          <w:rFonts w:ascii="Times New Roman" w:hAnsi="Times New Roman" w:cs="Times New Roman"/>
          <w:sz w:val="24"/>
          <w:szCs w:val="24"/>
        </w:rPr>
        <w:t>Notably, then-PUCO Chair Haque wrote in a concurring opinion when the PPA Rider was approved: “This should not be perceived as a blank check, and consumers should not be treated like a trust account</w:t>
      </w:r>
      <w:r w:rsidR="003543C3">
        <w:rPr>
          <w:rFonts w:ascii="Times New Roman" w:hAnsi="Times New Roman" w:cs="Times New Roman"/>
          <w:sz w:val="24"/>
          <w:szCs w:val="24"/>
        </w:rPr>
        <w:t>.</w:t>
      </w:r>
      <w:r w:rsidRPr="002A4C23" w:rsidR="00061AFA">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002A4C23">
        <w:rPr>
          <w:rFonts w:ascii="Times New Roman" w:hAnsi="Times New Roman" w:cs="Times New Roman"/>
          <w:sz w:val="24"/>
          <w:szCs w:val="24"/>
        </w:rPr>
        <w:t xml:space="preserve"> </w:t>
      </w:r>
    </w:p>
    <w:p w:rsidR="00DD3776" w:rsidRPr="002A4C23" w:rsidP="00E148C5" w14:paraId="7B2834D6" w14:textId="68A16B3C">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AEP also believes the rider “does not require or contemplate (or authorize) active management of the [financial] hedge.”</w:t>
      </w:r>
      <w:r>
        <w:rPr>
          <w:rStyle w:val="FootnoteReference"/>
          <w:rFonts w:ascii="Times New Roman" w:hAnsi="Times New Roman" w:cs="Times New Roman"/>
          <w:color w:val="231F20"/>
          <w:sz w:val="24"/>
          <w:szCs w:val="24"/>
        </w:rPr>
        <w:footnoteReference w:id="36"/>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To support </w:t>
      </w:r>
      <w:r w:rsidR="003543C3">
        <w:rPr>
          <w:rFonts w:ascii="Times New Roman" w:hAnsi="Times New Roman" w:cs="Times New Roman"/>
          <w:color w:val="231F20"/>
          <w:sz w:val="24"/>
          <w:szCs w:val="24"/>
        </w:rPr>
        <w:t xml:space="preserve">this </w:t>
      </w:r>
      <w:r w:rsidRPr="002A4C23">
        <w:rPr>
          <w:rFonts w:ascii="Times New Roman" w:hAnsi="Times New Roman" w:cs="Times New Roman"/>
          <w:color w:val="231F20"/>
          <w:sz w:val="24"/>
          <w:szCs w:val="24"/>
        </w:rPr>
        <w:t>careless attitude and justify passing along $7</w:t>
      </w:r>
      <w:r w:rsidRPr="002A4C23" w:rsidR="00627FBD">
        <w:rPr>
          <w:rFonts w:ascii="Times New Roman" w:hAnsi="Times New Roman" w:cs="Times New Roman"/>
          <w:color w:val="231F20"/>
          <w:sz w:val="24"/>
          <w:szCs w:val="24"/>
        </w:rPr>
        <w:t>4.5 million</w:t>
      </w:r>
      <w:r w:rsidRPr="002A4C23">
        <w:rPr>
          <w:rFonts w:ascii="Times New Roman" w:hAnsi="Times New Roman" w:cs="Times New Roman"/>
          <w:color w:val="231F20"/>
          <w:sz w:val="24"/>
          <w:szCs w:val="24"/>
        </w:rPr>
        <w:t xml:space="preserve"> to </w:t>
      </w:r>
      <w:r w:rsidRPr="002A4C23" w:rsidR="00520CB4">
        <w:rPr>
          <w:rFonts w:ascii="Times New Roman" w:hAnsi="Times New Roman" w:cs="Times New Roman"/>
          <w:color w:val="231F20"/>
          <w:sz w:val="24"/>
          <w:szCs w:val="24"/>
        </w:rPr>
        <w:t>consumers</w:t>
      </w:r>
      <w:r w:rsidRPr="002A4C23">
        <w:rPr>
          <w:rFonts w:ascii="Times New Roman" w:hAnsi="Times New Roman" w:cs="Times New Roman"/>
          <w:color w:val="231F20"/>
          <w:sz w:val="24"/>
          <w:szCs w:val="24"/>
        </w:rPr>
        <w:t xml:space="preserve"> in 2018 and 2019, AEP actually states “[n]one of the findings of the </w:t>
      </w:r>
      <w:r w:rsidRPr="002A4C23" w:rsidR="007A49EA">
        <w:rPr>
          <w:rFonts w:ascii="Times New Roman" w:hAnsi="Times New Roman" w:cs="Times New Roman"/>
          <w:color w:val="231F20"/>
          <w:sz w:val="24"/>
          <w:szCs w:val="24"/>
        </w:rPr>
        <w:t>PUCO</w:t>
      </w:r>
      <w:r w:rsidRPr="002A4C23" w:rsidR="00627FBD">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or the Court are contingent upon OVEC costs creating a below-market credit . . . Rather it was always envisioned as a passive hedge that was set up and operated automatically in response to market conditions.”</w:t>
      </w:r>
      <w:r>
        <w:rPr>
          <w:rStyle w:val="FootnoteReference"/>
          <w:rFonts w:ascii="Times New Roman" w:hAnsi="Times New Roman" w:cs="Times New Roman"/>
          <w:color w:val="231F20"/>
          <w:sz w:val="24"/>
          <w:szCs w:val="24"/>
        </w:rPr>
        <w:footnoteReference w:id="37"/>
      </w:r>
      <w:r w:rsidRPr="002A4C23" w:rsidR="0066409E">
        <w:rPr>
          <w:rFonts w:ascii="Times New Roman" w:hAnsi="Times New Roman" w:cs="Times New Roman"/>
          <w:color w:val="231F20"/>
          <w:sz w:val="24"/>
          <w:szCs w:val="24"/>
        </w:rPr>
        <w:t xml:space="preserve"> </w:t>
      </w:r>
      <w:r w:rsidRPr="002A4C23" w:rsidR="00DB4CAF">
        <w:rPr>
          <w:rFonts w:ascii="Times New Roman" w:hAnsi="Times New Roman" w:cs="Times New Roman"/>
          <w:color w:val="231F20"/>
          <w:sz w:val="24"/>
          <w:szCs w:val="24"/>
        </w:rPr>
        <w:t>AEP ignores the fact that the Rider’s purpose was to offer consumer protection against price volatility.</w:t>
      </w:r>
      <w:r w:rsidR="002A4C23">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The Rider was meant to </w:t>
      </w:r>
    </w:p>
    <w:p w:rsidR="00DD3776" w:rsidRPr="002A4C23" w:rsidP="00E148C5" w14:paraId="7B7A1DDA" w14:textId="1200CD48">
      <w:pPr>
        <w:spacing w:line="240" w:lineRule="auto"/>
        <w:ind w:left="1440" w:right="1440"/>
        <w:rPr>
          <w:rFonts w:ascii="Times New Roman" w:hAnsi="Times New Roman" w:cs="Times New Roman"/>
          <w:color w:val="231F20"/>
          <w:sz w:val="24"/>
          <w:szCs w:val="24"/>
        </w:rPr>
      </w:pPr>
      <w:r w:rsidRPr="002A4C23">
        <w:rPr>
          <w:rFonts w:ascii="Times New Roman" w:hAnsi="Times New Roman" w:cs="Times New Roman"/>
          <w:color w:val="231F20"/>
          <w:sz w:val="24"/>
          <w:szCs w:val="24"/>
        </w:rPr>
        <w:t xml:space="preserve">supplement the benefits derived from the staggering and laddering of the SSO auctions and </w:t>
      </w:r>
      <w:r w:rsidRPr="002A4C23">
        <w:rPr>
          <w:rFonts w:ascii="Times New Roman" w:hAnsi="Times New Roman" w:cs="Times New Roman"/>
          <w:i/>
          <w:iCs/>
          <w:color w:val="231F20"/>
          <w:sz w:val="24"/>
          <w:szCs w:val="24"/>
        </w:rPr>
        <w:t>protect retail customers from price volatility in the market</w:t>
      </w:r>
      <w:r w:rsidRPr="002A4C23">
        <w:rPr>
          <w:rFonts w:ascii="Times New Roman" w:hAnsi="Times New Roman" w:cs="Times New Roman"/>
          <w:color w:val="231F20"/>
          <w:sz w:val="24"/>
          <w:szCs w:val="24"/>
        </w:rPr>
        <w:t xml:space="preserve">. The record reflects that the PPA rider will provide added rate stability during periods of extreme weather, when the rider can be expected to offset severe price spikes. </w:t>
      </w:r>
      <w:r w:rsidRPr="002A4C23">
        <w:rPr>
          <w:rFonts w:ascii="Times New Roman" w:hAnsi="Times New Roman" w:cs="Times New Roman"/>
          <w:i/>
          <w:iCs/>
          <w:color w:val="231F20"/>
          <w:sz w:val="24"/>
          <w:szCs w:val="24"/>
        </w:rPr>
        <w:t>The different scenarios reflected in AEP Ohio's projection of the PPA rider's impact demonstrate the effect of variation in load due to severe weather or economic factors</w:t>
      </w:r>
      <w:r w:rsidRPr="002A4C23">
        <w:rPr>
          <w:rFonts w:ascii="Times New Roman" w:hAnsi="Times New Roman" w:cs="Times New Roman"/>
          <w:color w:val="231F20"/>
          <w:sz w:val="24"/>
          <w:szCs w:val="24"/>
        </w:rPr>
        <w:t xml:space="preserve">, including the asymmetric impact that such factors have on electric prices, where increases in load tend to increase prices more so than load reductions decrease prices. </w:t>
      </w:r>
      <w:r w:rsidRPr="002A4C23">
        <w:rPr>
          <w:rFonts w:ascii="Times New Roman" w:hAnsi="Times New Roman" w:cs="Times New Roman"/>
          <w:i/>
          <w:iCs/>
          <w:color w:val="231F20"/>
          <w:sz w:val="24"/>
          <w:szCs w:val="24"/>
        </w:rPr>
        <w:t>If load increases due to weather or economic conditions, shopping and SSO customers will be exposed to the resulting higher wholesale prices, which the PPA rider will partially offset</w:t>
      </w:r>
      <w:r w:rsidRPr="002A4C23">
        <w:rPr>
          <w:rFonts w:ascii="Times New Roman" w:hAnsi="Times New Roman" w:cs="Times New Roman"/>
          <w:color w:val="231F20"/>
          <w:sz w:val="24"/>
          <w:szCs w:val="24"/>
        </w:rPr>
        <w:t>.</w:t>
      </w:r>
      <w:r>
        <w:rPr>
          <w:rStyle w:val="FootnoteReference"/>
          <w:rFonts w:ascii="Times New Roman" w:hAnsi="Times New Roman" w:cs="Times New Roman"/>
          <w:color w:val="231F20"/>
          <w:sz w:val="24"/>
          <w:szCs w:val="24"/>
        </w:rPr>
        <w:footnoteReference w:id="38"/>
      </w:r>
    </w:p>
    <w:p w:rsidR="00A94BF1" w:rsidRPr="002A4C23" w:rsidP="00E148C5" w14:paraId="7FBE1AF3" w14:textId="1DC872A3">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The volatility</w:t>
      </w:r>
      <w:r w:rsidRPr="002A4C23" w:rsidR="00950780">
        <w:rPr>
          <w:rFonts w:ascii="Times New Roman" w:hAnsi="Times New Roman" w:cs="Times New Roman"/>
          <w:color w:val="231F20"/>
          <w:sz w:val="24"/>
          <w:szCs w:val="24"/>
        </w:rPr>
        <w:t xml:space="preserve"> that</w:t>
      </w:r>
      <w:r w:rsidRPr="002A4C23">
        <w:rPr>
          <w:rFonts w:ascii="Times New Roman" w:hAnsi="Times New Roman" w:cs="Times New Roman"/>
          <w:color w:val="231F20"/>
          <w:sz w:val="24"/>
          <w:szCs w:val="24"/>
        </w:rPr>
        <w:t xml:space="preserve"> the rider was supposed to protect never happened, and the rider simply cost </w:t>
      </w:r>
      <w:r w:rsidRPr="002A4C23" w:rsidR="00520CB4">
        <w:rPr>
          <w:rFonts w:ascii="Times New Roman" w:hAnsi="Times New Roman" w:cs="Times New Roman"/>
          <w:color w:val="231F20"/>
          <w:sz w:val="24"/>
          <w:szCs w:val="24"/>
        </w:rPr>
        <w:t>consumers</w:t>
      </w:r>
      <w:r w:rsidRPr="002A4C23">
        <w:rPr>
          <w:rFonts w:ascii="Times New Roman" w:hAnsi="Times New Roman" w:cs="Times New Roman"/>
          <w:color w:val="231F20"/>
          <w:sz w:val="24"/>
          <w:szCs w:val="24"/>
        </w:rPr>
        <w:t xml:space="preserve"> substantially.</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As Ms. Glick testified, actual market prices have been much lower tha</w:t>
      </w:r>
      <w:r w:rsidRPr="002A4C23" w:rsidR="00950780">
        <w:rPr>
          <w:rFonts w:ascii="Times New Roman" w:hAnsi="Times New Roman" w:cs="Times New Roman"/>
          <w:color w:val="231F20"/>
          <w:sz w:val="24"/>
          <w:szCs w:val="24"/>
        </w:rPr>
        <w:t>n</w:t>
      </w:r>
      <w:r w:rsidRPr="002A4C23">
        <w:rPr>
          <w:rFonts w:ascii="Times New Roman" w:hAnsi="Times New Roman" w:cs="Times New Roman"/>
          <w:color w:val="231F20"/>
          <w:sz w:val="24"/>
          <w:szCs w:val="24"/>
        </w:rPr>
        <w:t xml:space="preserve"> originally projected.</w:t>
      </w:r>
      <w:r>
        <w:rPr>
          <w:rStyle w:val="FootnoteReference"/>
          <w:rFonts w:ascii="Times New Roman" w:hAnsi="Times New Roman" w:cs="Times New Roman"/>
          <w:color w:val="231F20"/>
          <w:sz w:val="24"/>
          <w:szCs w:val="24"/>
        </w:rPr>
        <w:footnoteReference w:id="39"/>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AEP ’s</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Coal Plant Charge, therefore, has not provided anything close to its projected value, and there is no indication that this trend is likely to change.</w:t>
      </w:r>
      <w:r>
        <w:rPr>
          <w:rStyle w:val="FootnoteReference"/>
          <w:rFonts w:ascii="Times New Roman" w:hAnsi="Times New Roman" w:cs="Times New Roman"/>
          <w:color w:val="231F20"/>
          <w:sz w:val="24"/>
          <w:szCs w:val="24"/>
        </w:rPr>
        <w:footnoteReference w:id="40"/>
      </w:r>
      <w:r w:rsidRPr="002A4C23" w:rsidR="0066409E">
        <w:rPr>
          <w:rFonts w:ascii="Times New Roman" w:hAnsi="Times New Roman" w:cs="Times New Roman"/>
          <w:color w:val="231F20"/>
          <w:sz w:val="24"/>
          <w:szCs w:val="24"/>
        </w:rPr>
        <w:t xml:space="preserve"> </w:t>
      </w:r>
      <w:r w:rsidRPr="002A4C23" w:rsidR="00A30FA3">
        <w:rPr>
          <w:rFonts w:ascii="Times New Roman" w:hAnsi="Times New Roman" w:cs="Times New Roman"/>
          <w:color w:val="231F20"/>
          <w:sz w:val="24"/>
          <w:szCs w:val="24"/>
        </w:rPr>
        <w:t>Moreover, there is no indication that AEP’s</w:t>
      </w:r>
      <w:r w:rsidRPr="002A4C23" w:rsidR="00A30FA3">
        <w:rPr>
          <w:rFonts w:ascii="Times New Roman" w:hAnsi="Times New Roman" w:cs="Times New Roman"/>
          <w:sz w:val="24"/>
          <w:szCs w:val="24"/>
        </w:rPr>
        <w:t xml:space="preserve"> </w:t>
      </w:r>
      <w:r w:rsidRPr="002A4C23" w:rsidR="00A30FA3">
        <w:rPr>
          <w:rFonts w:ascii="Times New Roman" w:hAnsi="Times New Roman" w:cs="Times New Roman"/>
          <w:color w:val="231F20"/>
          <w:sz w:val="24"/>
          <w:szCs w:val="24"/>
        </w:rPr>
        <w:t>Coal Plant</w:t>
      </w:r>
      <w:r w:rsidR="003543C3">
        <w:rPr>
          <w:rFonts w:ascii="Times New Roman" w:hAnsi="Times New Roman" w:cs="Times New Roman"/>
          <w:color w:val="231F20"/>
          <w:sz w:val="24"/>
          <w:szCs w:val="24"/>
        </w:rPr>
        <w:t xml:space="preserve"> </w:t>
      </w:r>
      <w:r w:rsidRPr="002A4C23" w:rsidR="00A30FA3">
        <w:rPr>
          <w:rFonts w:ascii="Times New Roman" w:hAnsi="Times New Roman" w:cs="Times New Roman"/>
          <w:color w:val="231F20"/>
          <w:sz w:val="24"/>
          <w:szCs w:val="24"/>
        </w:rPr>
        <w:t>Charge, which cost customers significantly in twenty-three of the twenty-four months, had anything to do with severe weather or economic factors.</w:t>
      </w:r>
      <w:r w:rsidR="002A4C23">
        <w:rPr>
          <w:rFonts w:ascii="Times New Roman" w:hAnsi="Times New Roman" w:cs="Times New Roman"/>
          <w:color w:val="231F20"/>
          <w:sz w:val="24"/>
          <w:szCs w:val="24"/>
        </w:rPr>
        <w:t xml:space="preserve"> </w:t>
      </w:r>
    </w:p>
    <w:p w:rsidR="00DB4CAF" w:rsidRPr="002A4C23" w:rsidP="00E148C5" w14:paraId="5AEEBDA6" w14:textId="555D1321">
      <w:pPr>
        <w:spacing w:after="0" w:line="480" w:lineRule="auto"/>
        <w:ind w:firstLine="720"/>
        <w:rPr>
          <w:rFonts w:ascii="Times New Roman" w:hAnsi="Times New Roman" w:cs="Times New Roman"/>
          <w:sz w:val="24"/>
          <w:szCs w:val="24"/>
        </w:rPr>
      </w:pPr>
      <w:r w:rsidRPr="002A4C23">
        <w:rPr>
          <w:rFonts w:ascii="Times New Roman" w:hAnsi="Times New Roman" w:cs="Times New Roman"/>
          <w:color w:val="231F20"/>
          <w:sz w:val="24"/>
          <w:szCs w:val="24"/>
        </w:rPr>
        <w:t>When AEP sought approval for the Coal Plant</w:t>
      </w:r>
      <w:r w:rsidRPr="002A4C23" w:rsidR="00520CB4">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Charge, it projected the Charge would produce a net credit to consumers of about $110 million over eight years, </w:t>
      </w:r>
      <w:r w:rsidRPr="002A4C23" w:rsidR="00A30FA3">
        <w:rPr>
          <w:rFonts w:ascii="Times New Roman" w:hAnsi="Times New Roman" w:cs="Times New Roman"/>
          <w:color w:val="231F20"/>
          <w:sz w:val="24"/>
          <w:szCs w:val="24"/>
        </w:rPr>
        <w:t xml:space="preserve">or </w:t>
      </w:r>
      <w:r w:rsidRPr="002A4C23">
        <w:rPr>
          <w:rFonts w:ascii="Times New Roman" w:hAnsi="Times New Roman" w:cs="Times New Roman"/>
          <w:color w:val="231F20"/>
          <w:sz w:val="24"/>
          <w:szCs w:val="24"/>
        </w:rPr>
        <w:t>an average credit of $13.75 million per year.</w:t>
      </w:r>
      <w:r>
        <w:rPr>
          <w:rStyle w:val="FootnoteReference"/>
          <w:rFonts w:ascii="Times New Roman" w:hAnsi="Times New Roman" w:cs="Times New Roman"/>
          <w:color w:val="231F20"/>
          <w:sz w:val="24"/>
          <w:szCs w:val="24"/>
        </w:rPr>
        <w:footnoteReference w:id="41"/>
      </w:r>
      <w:r w:rsidR="002A4C23">
        <w:rPr>
          <w:rFonts w:ascii="Times New Roman" w:hAnsi="Times New Roman" w:cs="Times New Roman"/>
          <w:color w:val="231F20"/>
          <w:sz w:val="24"/>
          <w:szCs w:val="24"/>
        </w:rPr>
        <w:t xml:space="preserve"> </w:t>
      </w:r>
      <w:r w:rsidRPr="002A4C23">
        <w:rPr>
          <w:rFonts w:ascii="Times New Roman" w:hAnsi="Times New Roman" w:cs="Times New Roman"/>
          <w:sz w:val="24"/>
          <w:szCs w:val="24"/>
        </w:rPr>
        <w:t>In the words of Commissioner Beth Trombold: “Based on the forecasts submitted by the Company and evidence in the record, it is my clear expectation, just as it is Commissioner Haque’s, that the PPA rider approved today will result in a credit (i.e. benefit) to ratepayers over the next eight years.”</w:t>
      </w:r>
      <w:r>
        <w:rPr>
          <w:rStyle w:val="FootnoteReference"/>
          <w:rFonts w:ascii="Times New Roman" w:hAnsi="Times New Roman" w:cs="Times New Roman"/>
          <w:sz w:val="24"/>
          <w:szCs w:val="24"/>
        </w:rPr>
        <w:footnoteReference w:id="42"/>
      </w:r>
    </w:p>
    <w:p w:rsidR="00DB4CAF" w:rsidRPr="002A4C23" w:rsidP="00E148C5" w14:paraId="6EF93B47" w14:textId="123383C4">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 xml:space="preserve">AEP </w:t>
      </w:r>
      <w:r w:rsidRPr="002A4C23" w:rsidR="00A94BF1">
        <w:rPr>
          <w:rFonts w:ascii="Times New Roman" w:hAnsi="Times New Roman" w:cs="Times New Roman"/>
          <w:color w:val="231F20"/>
          <w:sz w:val="24"/>
          <w:szCs w:val="24"/>
        </w:rPr>
        <w:t xml:space="preserve">has a duty to act </w:t>
      </w:r>
      <w:r w:rsidRPr="002A4C23">
        <w:rPr>
          <w:rFonts w:ascii="Times New Roman" w:hAnsi="Times New Roman" w:cs="Times New Roman"/>
          <w:color w:val="231F20"/>
          <w:sz w:val="24"/>
          <w:szCs w:val="24"/>
        </w:rPr>
        <w:t>in the consumers’ best interest</w:t>
      </w:r>
      <w:r w:rsidRPr="002A4C23" w:rsidR="00A94BF1">
        <w:rPr>
          <w:rFonts w:ascii="Times New Roman" w:hAnsi="Times New Roman" w:cs="Times New Roman"/>
          <w:color w:val="231F20"/>
          <w:sz w:val="24"/>
          <w:szCs w:val="24"/>
        </w:rPr>
        <w:t>.</w:t>
      </w:r>
      <w:r w:rsidRPr="002A4C23" w:rsidR="0066409E">
        <w:rPr>
          <w:rFonts w:ascii="Times New Roman" w:hAnsi="Times New Roman" w:cs="Times New Roman"/>
          <w:color w:val="231F20"/>
          <w:sz w:val="24"/>
          <w:szCs w:val="24"/>
        </w:rPr>
        <w:t xml:space="preserve"> </w:t>
      </w:r>
      <w:r w:rsidRPr="002A4C23" w:rsidR="00A30FA3">
        <w:rPr>
          <w:rFonts w:ascii="Times New Roman" w:hAnsi="Times New Roman" w:cs="Times New Roman"/>
          <w:color w:val="231F20"/>
          <w:sz w:val="24"/>
          <w:szCs w:val="24"/>
        </w:rPr>
        <w:t xml:space="preserve">It </w:t>
      </w:r>
      <w:r w:rsidRPr="002A4C23" w:rsidR="00F67CC2">
        <w:rPr>
          <w:rFonts w:ascii="Times New Roman" w:hAnsi="Times New Roman" w:cs="Times New Roman"/>
          <w:color w:val="231F20"/>
          <w:sz w:val="24"/>
          <w:szCs w:val="24"/>
        </w:rPr>
        <w:t>did</w:t>
      </w:r>
      <w:r w:rsidRPr="002A4C23" w:rsidR="00A30FA3">
        <w:rPr>
          <w:rFonts w:ascii="Times New Roman" w:hAnsi="Times New Roman" w:cs="Times New Roman"/>
          <w:color w:val="231F20"/>
          <w:sz w:val="24"/>
          <w:szCs w:val="24"/>
        </w:rPr>
        <w:t xml:space="preserve"> not.</w:t>
      </w:r>
      <w:r w:rsidRPr="002A4C23" w:rsidR="0066409E">
        <w:rPr>
          <w:rFonts w:ascii="Times New Roman" w:hAnsi="Times New Roman" w:cs="Times New Roman"/>
          <w:color w:val="231F20"/>
          <w:sz w:val="24"/>
          <w:szCs w:val="24"/>
        </w:rPr>
        <w:t xml:space="preserve"> </w:t>
      </w:r>
      <w:r w:rsidRPr="002A4C23" w:rsidR="003B538E">
        <w:rPr>
          <w:rFonts w:ascii="Times New Roman" w:hAnsi="Times New Roman" w:cs="Times New Roman"/>
          <w:color w:val="231F20"/>
          <w:sz w:val="24"/>
          <w:szCs w:val="24"/>
        </w:rPr>
        <w:t>This is not a hindsight analysis, as AEP claims.</w:t>
      </w:r>
      <w:r w:rsidR="002A4C23">
        <w:rPr>
          <w:rFonts w:ascii="Times New Roman" w:hAnsi="Times New Roman" w:cs="Times New Roman"/>
          <w:color w:val="231F20"/>
          <w:sz w:val="24"/>
          <w:szCs w:val="24"/>
        </w:rPr>
        <w:t xml:space="preserve"> </w:t>
      </w:r>
      <w:r w:rsidRPr="002A4C23" w:rsidR="003B538E">
        <w:rPr>
          <w:rFonts w:ascii="Times New Roman" w:hAnsi="Times New Roman" w:cs="Times New Roman"/>
          <w:color w:val="231F20"/>
          <w:sz w:val="24"/>
          <w:szCs w:val="24"/>
        </w:rPr>
        <w:t xml:space="preserve">To the contrary, </w:t>
      </w:r>
      <w:r w:rsidRPr="002A4C23" w:rsidR="00AD0D90">
        <w:rPr>
          <w:rFonts w:ascii="Times New Roman" w:hAnsi="Times New Roman" w:cs="Times New Roman"/>
          <w:color w:val="231F20"/>
          <w:sz w:val="24"/>
          <w:szCs w:val="24"/>
        </w:rPr>
        <w:t>AEP knew the plants lost</w:t>
      </w:r>
      <w:r w:rsidRPr="002A4C23" w:rsidR="003B538E">
        <w:rPr>
          <w:rFonts w:ascii="Times New Roman" w:hAnsi="Times New Roman" w:cs="Times New Roman"/>
          <w:color w:val="231F20"/>
          <w:sz w:val="24"/>
          <w:szCs w:val="24"/>
        </w:rPr>
        <w:t xml:space="preserve"> $21.7 million</w:t>
      </w:r>
      <w:r w:rsidRPr="002A4C23" w:rsidR="00AD0D90">
        <w:rPr>
          <w:rFonts w:ascii="Times New Roman" w:hAnsi="Times New Roman" w:cs="Times New Roman"/>
          <w:color w:val="231F20"/>
          <w:sz w:val="24"/>
          <w:szCs w:val="24"/>
        </w:rPr>
        <w:t xml:space="preserve"> in 2016 and </w:t>
      </w:r>
      <w:r w:rsidRPr="002A4C23" w:rsidR="003B538E">
        <w:rPr>
          <w:rFonts w:ascii="Times New Roman" w:hAnsi="Times New Roman" w:cs="Times New Roman"/>
          <w:color w:val="231F20"/>
          <w:sz w:val="24"/>
          <w:szCs w:val="24"/>
        </w:rPr>
        <w:t xml:space="preserve">$39.2 million in </w:t>
      </w:r>
      <w:r w:rsidRPr="002A4C23" w:rsidR="00AD0D90">
        <w:rPr>
          <w:rFonts w:ascii="Times New Roman" w:hAnsi="Times New Roman" w:cs="Times New Roman"/>
          <w:color w:val="231F20"/>
          <w:sz w:val="24"/>
          <w:szCs w:val="24"/>
        </w:rPr>
        <w:t>2017 and should have done something in 2018 and 2019 to limit losses.</w:t>
      </w:r>
      <w:r w:rsidR="002A4C23">
        <w:rPr>
          <w:rFonts w:ascii="Times New Roman" w:hAnsi="Times New Roman" w:cs="Times New Roman"/>
          <w:color w:val="231F20"/>
          <w:sz w:val="24"/>
          <w:szCs w:val="24"/>
        </w:rPr>
        <w:t xml:space="preserve"> </w:t>
      </w:r>
    </w:p>
    <w:p w:rsidR="00A30FA3" w:rsidRPr="002A4C23" w:rsidP="00E148C5" w14:paraId="4E518CAA" w14:textId="084DFCFC">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Doing nothing to mitigate above-market costs, when consumers sustain</w:t>
      </w:r>
      <w:r w:rsidRPr="002A4C23" w:rsidR="00F67CC2">
        <w:rPr>
          <w:rFonts w:ascii="Times New Roman" w:hAnsi="Times New Roman" w:cs="Times New Roman"/>
          <w:color w:val="231F20"/>
          <w:sz w:val="24"/>
          <w:szCs w:val="24"/>
        </w:rPr>
        <w:t xml:space="preserve">ed four straight years of above-market costs </w:t>
      </w:r>
      <w:r w:rsidRPr="002A4C23" w:rsidR="008C3A72">
        <w:rPr>
          <w:rFonts w:ascii="Times New Roman" w:hAnsi="Times New Roman" w:cs="Times New Roman"/>
          <w:color w:val="231F20"/>
          <w:sz w:val="24"/>
          <w:szCs w:val="24"/>
        </w:rPr>
        <w:t>totaling</w:t>
      </w:r>
      <w:r w:rsidRPr="002A4C23" w:rsidR="00F67CC2">
        <w:rPr>
          <w:rFonts w:ascii="Times New Roman" w:hAnsi="Times New Roman" w:cs="Times New Roman"/>
          <w:color w:val="231F20"/>
          <w:sz w:val="24"/>
          <w:szCs w:val="24"/>
        </w:rPr>
        <w:t xml:space="preserve"> $135 million, was not prudent.</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Therefore, the </w:t>
      </w:r>
      <w:r w:rsidRPr="002A4C23" w:rsidR="007A49EA">
        <w:rPr>
          <w:rFonts w:ascii="Times New Roman" w:hAnsi="Times New Roman" w:cs="Times New Roman"/>
          <w:color w:val="231F20"/>
          <w:sz w:val="24"/>
          <w:szCs w:val="24"/>
        </w:rPr>
        <w:t>PUCO</w:t>
      </w:r>
      <w:r w:rsidRPr="002A4C23" w:rsidR="00627FBD">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should </w:t>
      </w:r>
      <w:r w:rsidRPr="002A4C23" w:rsidR="00520CB4">
        <w:rPr>
          <w:rFonts w:ascii="Times New Roman" w:hAnsi="Times New Roman" w:cs="Times New Roman"/>
          <w:color w:val="231F20"/>
          <w:sz w:val="24"/>
          <w:szCs w:val="24"/>
        </w:rPr>
        <w:t xml:space="preserve">act to protect consumers and </w:t>
      </w:r>
      <w:r w:rsidRPr="002A4C23">
        <w:rPr>
          <w:rFonts w:ascii="Times New Roman" w:hAnsi="Times New Roman" w:cs="Times New Roman"/>
          <w:color w:val="231F20"/>
          <w:sz w:val="24"/>
          <w:szCs w:val="24"/>
        </w:rPr>
        <w:t>disallow the</w:t>
      </w:r>
      <w:r w:rsidRPr="002A4C23" w:rsidR="00627FBD">
        <w:rPr>
          <w:rFonts w:ascii="Times New Roman" w:hAnsi="Times New Roman" w:cs="Times New Roman"/>
          <w:color w:val="231F20"/>
          <w:sz w:val="24"/>
          <w:szCs w:val="24"/>
        </w:rPr>
        <w:t xml:space="preserve"> entire</w:t>
      </w:r>
      <w:r w:rsidRPr="002A4C23">
        <w:rPr>
          <w:rFonts w:ascii="Times New Roman" w:hAnsi="Times New Roman" w:cs="Times New Roman"/>
          <w:color w:val="231F20"/>
          <w:sz w:val="24"/>
          <w:szCs w:val="24"/>
        </w:rPr>
        <w:t xml:space="preserve"> $74</w:t>
      </w:r>
      <w:r w:rsidRPr="002A4C23" w:rsidR="00627FBD">
        <w:rPr>
          <w:rFonts w:ascii="Times New Roman" w:hAnsi="Times New Roman" w:cs="Times New Roman"/>
          <w:color w:val="231F20"/>
          <w:sz w:val="24"/>
          <w:szCs w:val="24"/>
        </w:rPr>
        <w:t>.5 million</w:t>
      </w:r>
      <w:r w:rsidRPr="002A4C23">
        <w:rPr>
          <w:rFonts w:ascii="Times New Roman" w:hAnsi="Times New Roman" w:cs="Times New Roman"/>
          <w:color w:val="231F20"/>
          <w:sz w:val="24"/>
          <w:szCs w:val="24"/>
        </w:rPr>
        <w:t xml:space="preserve"> in above-market charges to consumers in 2018 and 2019.</w:t>
      </w:r>
    </w:p>
    <w:p w:rsidR="00A35778" w:rsidRPr="002A4C23" w:rsidP="00E148C5" w14:paraId="35C27C35" w14:textId="77777777">
      <w:pPr>
        <w:spacing w:after="0" w:line="240" w:lineRule="auto"/>
        <w:ind w:firstLine="720"/>
        <w:rPr>
          <w:rFonts w:ascii="Times New Roman" w:hAnsi="Times New Roman" w:cs="Times New Roman"/>
          <w:color w:val="231F20"/>
          <w:sz w:val="24"/>
          <w:szCs w:val="24"/>
        </w:rPr>
      </w:pPr>
    </w:p>
    <w:p w:rsidR="00A30FA3" w:rsidRPr="002A4C23" w:rsidP="00A35778" w14:paraId="1B8EEB69" w14:textId="5B7976B0">
      <w:pPr>
        <w:pStyle w:val="Heading1"/>
        <w:rPr>
          <w:rFonts w:cs="Times New Roman"/>
          <w:szCs w:val="24"/>
        </w:rPr>
      </w:pPr>
      <w:bookmarkStart w:id="11" w:name="_Toc100315458"/>
      <w:r w:rsidRPr="002A4C23">
        <w:rPr>
          <w:rFonts w:cs="Times New Roman"/>
          <w:szCs w:val="24"/>
        </w:rPr>
        <w:t>III.</w:t>
      </w:r>
      <w:r w:rsidRPr="002A4C23">
        <w:rPr>
          <w:rFonts w:cs="Times New Roman"/>
          <w:szCs w:val="24"/>
        </w:rPr>
        <w:tab/>
        <w:t>CONCLUSION</w:t>
      </w:r>
      <w:bookmarkEnd w:id="11"/>
    </w:p>
    <w:p w:rsidR="00A30FA3" w:rsidRPr="002A4C23" w:rsidP="00E148C5" w14:paraId="5DCB16E0" w14:textId="32EF138C">
      <w:pPr>
        <w:spacing w:after="0" w:line="480" w:lineRule="auto"/>
        <w:ind w:firstLine="720"/>
        <w:rPr>
          <w:rFonts w:ascii="Times New Roman" w:hAnsi="Times New Roman" w:cs="Times New Roman"/>
          <w:color w:val="231F20"/>
          <w:sz w:val="24"/>
          <w:szCs w:val="24"/>
        </w:rPr>
      </w:pPr>
      <w:r w:rsidRPr="002A4C23">
        <w:rPr>
          <w:rFonts w:ascii="Times New Roman" w:hAnsi="Times New Roman" w:cs="Times New Roman"/>
          <w:color w:val="231F20"/>
          <w:sz w:val="24"/>
          <w:szCs w:val="24"/>
        </w:rPr>
        <w:t>The evidence demonstrates AE</w:t>
      </w:r>
      <w:r w:rsidRPr="002A4C23" w:rsidR="00F67CC2">
        <w:rPr>
          <w:rFonts w:ascii="Times New Roman" w:hAnsi="Times New Roman" w:cs="Times New Roman"/>
          <w:color w:val="231F20"/>
          <w:sz w:val="24"/>
          <w:szCs w:val="24"/>
        </w:rPr>
        <w:t>P</w:t>
      </w:r>
      <w:r w:rsidRPr="002A4C23">
        <w:rPr>
          <w:rFonts w:ascii="Times New Roman" w:hAnsi="Times New Roman" w:cs="Times New Roman"/>
          <w:color w:val="231F20"/>
          <w:sz w:val="24"/>
          <w:szCs w:val="24"/>
        </w:rPr>
        <w:t>’s $74</w:t>
      </w:r>
      <w:r w:rsidRPr="002A4C23" w:rsidR="00F67CC2">
        <w:rPr>
          <w:rFonts w:ascii="Times New Roman" w:hAnsi="Times New Roman" w:cs="Times New Roman"/>
          <w:color w:val="231F20"/>
          <w:sz w:val="24"/>
          <w:szCs w:val="24"/>
        </w:rPr>
        <w:t>.5 million</w:t>
      </w:r>
      <w:r w:rsidRPr="002A4C23">
        <w:rPr>
          <w:rFonts w:ascii="Times New Roman" w:hAnsi="Times New Roman" w:cs="Times New Roman"/>
          <w:color w:val="231F20"/>
          <w:sz w:val="24"/>
          <w:szCs w:val="24"/>
        </w:rPr>
        <w:t xml:space="preserve"> in above-market energy</w:t>
      </w:r>
      <w:r w:rsidRPr="002A4C23">
        <w:rPr>
          <w:rFonts w:ascii="Times New Roman" w:hAnsi="Times New Roman" w:cs="Times New Roman"/>
          <w:color w:val="231F20"/>
          <w:sz w:val="24"/>
          <w:szCs w:val="24"/>
        </w:rPr>
        <w:br/>
        <w:t>charges to consumers through the Coal Plant Charge in 2018 and 2019 were imprudent.</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The evidence also demonstrates AEP operated the OVEC plants not in the best interest of consumers.</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And, the </w:t>
      </w:r>
      <w:r w:rsidRPr="002A4C23" w:rsidR="007A49EA">
        <w:rPr>
          <w:rFonts w:ascii="Times New Roman" w:hAnsi="Times New Roman" w:cs="Times New Roman"/>
          <w:color w:val="231F20"/>
          <w:sz w:val="24"/>
          <w:szCs w:val="24"/>
        </w:rPr>
        <w:t>PUCO</w:t>
      </w:r>
      <w:r w:rsidRPr="002A4C23" w:rsidR="00F67CC2">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 xml:space="preserve">does not have to take </w:t>
      </w:r>
      <w:r w:rsidRPr="002A4C23" w:rsidR="00F67CC2">
        <w:rPr>
          <w:rFonts w:ascii="Times New Roman" w:hAnsi="Times New Roman" w:cs="Times New Roman"/>
          <w:color w:val="231F20"/>
          <w:sz w:val="24"/>
          <w:szCs w:val="24"/>
        </w:rPr>
        <w:t>OCC’s</w:t>
      </w:r>
      <w:r w:rsidRPr="002A4C23">
        <w:rPr>
          <w:rFonts w:ascii="Times New Roman" w:hAnsi="Times New Roman" w:cs="Times New Roman"/>
          <w:color w:val="231F20"/>
          <w:sz w:val="24"/>
          <w:szCs w:val="24"/>
        </w:rPr>
        <w:t xml:space="preserve"> word on that.</w:t>
      </w:r>
      <w:r w:rsidRPr="002A4C23" w:rsidR="0066409E">
        <w:rPr>
          <w:rFonts w:ascii="Times New Roman" w:hAnsi="Times New Roman" w:cs="Times New Roman"/>
          <w:color w:val="231F20"/>
          <w:sz w:val="24"/>
          <w:szCs w:val="24"/>
        </w:rPr>
        <w:t xml:space="preserve"> </w:t>
      </w:r>
      <w:r w:rsidRPr="002A4C23">
        <w:rPr>
          <w:rFonts w:ascii="Times New Roman" w:hAnsi="Times New Roman" w:cs="Times New Roman"/>
          <w:color w:val="231F20"/>
          <w:sz w:val="24"/>
          <w:szCs w:val="24"/>
        </w:rPr>
        <w:t>It can use LEI’s initial conclusion – “keeping the [OVEC] plants running does not seem to be in the best interests of the ratepayers.”</w:t>
      </w:r>
    </w:p>
    <w:p w:rsidR="00A35778" w:rsidRPr="002A4C23" w:rsidP="00A35778" w14:paraId="0BAFA4A2" w14:textId="334DF9AE">
      <w:pPr>
        <w:pStyle w:val="Footer"/>
        <w:tabs>
          <w:tab w:val="left" w:pos="4320"/>
        </w:tabs>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Respectfully submitted,</w:t>
      </w:r>
    </w:p>
    <w:p w:rsidR="00A35778" w:rsidRPr="002A4C23" w:rsidP="00A35778" w14:paraId="6C4B97EA" w14:textId="77777777">
      <w:pPr>
        <w:widowControl w:val="0"/>
        <w:tabs>
          <w:tab w:val="left" w:pos="4320"/>
          <w:tab w:val="center" w:pos="4680"/>
          <w:tab w:val="right" w:pos="9360"/>
        </w:tabs>
        <w:spacing w:after="0" w:line="240" w:lineRule="auto"/>
        <w:ind w:left="4320"/>
        <w:rPr>
          <w:rFonts w:ascii="Times New Roman" w:eastAsia="Calibri" w:hAnsi="Times New Roman" w:cs="Times New Roman"/>
          <w:sz w:val="24"/>
          <w:szCs w:val="24"/>
        </w:rPr>
      </w:pPr>
    </w:p>
    <w:p w:rsidR="00A35778" w:rsidRPr="002A4C23" w:rsidP="00A35778" w14:paraId="2B0FEDA3" w14:textId="77777777">
      <w:pPr>
        <w:widowControl w:val="0"/>
        <w:tabs>
          <w:tab w:val="left" w:pos="4320"/>
          <w:tab w:val="center" w:pos="4680"/>
          <w:tab w:val="right" w:pos="936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Bruce Weston (0016973)</w:t>
      </w:r>
    </w:p>
    <w:p w:rsidR="00A35778" w:rsidRPr="002A4C23" w:rsidP="00A35778" w14:paraId="1D1C42FC"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Ohio Consumers’ Counsel</w:t>
      </w:r>
    </w:p>
    <w:p w:rsidR="00A35778" w:rsidRPr="002A4C23" w:rsidP="00A35778" w14:paraId="60427CEF" w14:textId="77777777">
      <w:pPr>
        <w:widowControl w:val="0"/>
        <w:tabs>
          <w:tab w:val="left" w:pos="4320"/>
        </w:tabs>
        <w:spacing w:after="0" w:line="240" w:lineRule="auto"/>
        <w:ind w:left="4320"/>
        <w:rPr>
          <w:rFonts w:ascii="Times New Roman" w:eastAsia="Calibri" w:hAnsi="Times New Roman" w:cs="Times New Roman"/>
          <w:sz w:val="24"/>
          <w:szCs w:val="24"/>
        </w:rPr>
      </w:pPr>
    </w:p>
    <w:p w:rsidR="00A35778" w:rsidRPr="002A4C23" w:rsidP="00A35778" w14:paraId="71BFD049" w14:textId="30AA8FB8">
      <w:pPr>
        <w:widowControl w:val="0"/>
        <w:tabs>
          <w:tab w:val="left" w:pos="4320"/>
        </w:tabs>
        <w:spacing w:after="0" w:line="240" w:lineRule="auto"/>
        <w:ind w:left="4320"/>
        <w:rPr>
          <w:rFonts w:ascii="Times New Roman" w:eastAsia="Calibri" w:hAnsi="Times New Roman" w:cs="Times New Roman"/>
          <w:i/>
          <w:iCs/>
          <w:sz w:val="24"/>
          <w:szCs w:val="24"/>
          <w:u w:val="single"/>
        </w:rPr>
      </w:pPr>
      <w:r w:rsidRPr="002A4C23">
        <w:rPr>
          <w:rFonts w:ascii="Times New Roman" w:eastAsia="Calibri" w:hAnsi="Times New Roman" w:cs="Times New Roman"/>
          <w:i/>
          <w:iCs/>
          <w:sz w:val="24"/>
          <w:szCs w:val="24"/>
          <w:u w:val="single"/>
        </w:rPr>
        <w:t>/s/ John Finnigan</w:t>
      </w:r>
      <w:r w:rsidRPr="002A4C23">
        <w:rPr>
          <w:rFonts w:ascii="Times New Roman" w:eastAsia="Calibri" w:hAnsi="Times New Roman" w:cs="Times New Roman"/>
          <w:i/>
          <w:iCs/>
          <w:sz w:val="24"/>
          <w:szCs w:val="24"/>
          <w:u w:val="single"/>
        </w:rPr>
        <w:tab/>
      </w:r>
      <w:r w:rsidR="00B527DB">
        <w:rPr>
          <w:rFonts w:ascii="Times New Roman" w:eastAsia="Calibri" w:hAnsi="Times New Roman" w:cs="Times New Roman"/>
          <w:i/>
          <w:iCs/>
          <w:sz w:val="24"/>
          <w:szCs w:val="24"/>
          <w:u w:val="single"/>
        </w:rPr>
        <w:tab/>
      </w:r>
    </w:p>
    <w:p w:rsidR="00A35778" w:rsidRPr="002A4C23" w:rsidP="00A35778" w14:paraId="66A67D33"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John Finnigan (0018689)</w:t>
      </w:r>
    </w:p>
    <w:p w:rsidR="00A35778" w:rsidRPr="002A4C23" w:rsidP="00A35778" w14:paraId="1C1DF0F6"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Counsel of Record</w:t>
      </w:r>
    </w:p>
    <w:p w:rsidR="00A35778" w:rsidRPr="002A4C23" w:rsidP="00A35778" w14:paraId="43B1C244"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William Michael (0070921)</w:t>
      </w:r>
    </w:p>
    <w:p w:rsidR="00A35778" w:rsidRPr="002A4C23" w:rsidP="00A35778" w14:paraId="15768DB0" w14:textId="77777777">
      <w:pPr>
        <w:widowControl w:val="0"/>
        <w:tabs>
          <w:tab w:val="left" w:pos="4320"/>
        </w:tabs>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Assistant Consumers’ Counsel</w:t>
      </w:r>
    </w:p>
    <w:p w:rsidR="00A35778" w:rsidRPr="002A4C23" w:rsidP="00A35778" w14:paraId="00264A65" w14:textId="77777777">
      <w:pPr>
        <w:widowControl w:val="0"/>
        <w:tabs>
          <w:tab w:val="left" w:pos="4320"/>
        </w:tabs>
        <w:spacing w:after="0" w:line="240" w:lineRule="auto"/>
        <w:ind w:left="4320"/>
        <w:rPr>
          <w:rFonts w:ascii="Times New Roman" w:eastAsia="Calibri" w:hAnsi="Times New Roman" w:cs="Times New Roman"/>
          <w:sz w:val="24"/>
          <w:szCs w:val="24"/>
        </w:rPr>
      </w:pPr>
    </w:p>
    <w:p w:rsidR="00A35778" w:rsidRPr="002A4C23" w:rsidP="00A35778" w14:paraId="5800B3AC" w14:textId="77777777">
      <w:pPr>
        <w:widowControl w:val="0"/>
        <w:tabs>
          <w:tab w:val="left" w:pos="4320"/>
        </w:tabs>
        <w:spacing w:after="0" w:line="240" w:lineRule="auto"/>
        <w:ind w:left="4320"/>
        <w:rPr>
          <w:rFonts w:ascii="Times New Roman" w:eastAsia="Calibri" w:hAnsi="Times New Roman" w:cs="Times New Roman"/>
          <w:b/>
          <w:bCs/>
          <w:sz w:val="24"/>
          <w:szCs w:val="24"/>
        </w:rPr>
      </w:pPr>
      <w:r w:rsidRPr="002A4C23">
        <w:rPr>
          <w:rFonts w:ascii="Times New Roman" w:eastAsia="Calibri" w:hAnsi="Times New Roman" w:cs="Times New Roman"/>
          <w:b/>
          <w:sz w:val="24"/>
          <w:szCs w:val="24"/>
        </w:rPr>
        <w:t>Office of the Ohio Consumers’ Counsel</w:t>
      </w:r>
    </w:p>
    <w:p w:rsidR="00A35778" w:rsidRPr="002A4C23" w:rsidP="00A35778" w14:paraId="2DF9A30E" w14:textId="77777777">
      <w:pPr>
        <w:widowControl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65 East State Street, Suite 700</w:t>
      </w:r>
    </w:p>
    <w:p w:rsidR="00A35778" w:rsidRPr="002A4C23" w:rsidP="00A35778" w14:paraId="5CF12295" w14:textId="77777777">
      <w:pPr>
        <w:widowControl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Columbus, Ohio 43215</w:t>
      </w:r>
    </w:p>
    <w:p w:rsidR="00A35778" w:rsidRPr="002A4C23" w:rsidP="00A35778" w14:paraId="29C88772" w14:textId="77777777">
      <w:pPr>
        <w:widowControl w:val="0"/>
        <w:autoSpaceDE w:val="0"/>
        <w:autoSpaceDN w:val="0"/>
        <w:adjustRightInd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Telephone [Finnigan]: (614) 466-9585</w:t>
      </w:r>
    </w:p>
    <w:p w:rsidR="00A35778" w:rsidRPr="002A4C23" w:rsidP="00A35778" w14:paraId="0D00E7AD" w14:textId="77777777">
      <w:pPr>
        <w:widowControl w:val="0"/>
        <w:autoSpaceDE w:val="0"/>
        <w:autoSpaceDN w:val="0"/>
        <w:adjustRightInd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Telephone [Michael]: (614) 466-1291</w:t>
      </w:r>
    </w:p>
    <w:p w:rsidR="00A35778" w:rsidRPr="002A4C23" w:rsidP="00A35778" w14:paraId="76C4815B" w14:textId="77777777">
      <w:pPr>
        <w:widowControl w:val="0"/>
        <w:autoSpaceDE w:val="0"/>
        <w:autoSpaceDN w:val="0"/>
        <w:adjustRightInd w:val="0"/>
        <w:spacing w:after="0" w:line="240" w:lineRule="auto"/>
        <w:ind w:left="4320"/>
        <w:rPr>
          <w:rFonts w:ascii="Times New Roman" w:eastAsia="Calibri" w:hAnsi="Times New Roman" w:cs="Times New Roman"/>
          <w:color w:val="0000FF"/>
          <w:sz w:val="24"/>
          <w:szCs w:val="24"/>
          <w:u w:val="single"/>
        </w:rPr>
      </w:pPr>
      <w:r w:rsidRPr="002A4C23">
        <w:rPr>
          <w:rFonts w:ascii="Times New Roman" w:eastAsia="Calibri" w:hAnsi="Times New Roman" w:cs="Times New Roman"/>
          <w:color w:val="0000FF"/>
          <w:sz w:val="24"/>
          <w:szCs w:val="24"/>
          <w:u w:val="single"/>
        </w:rPr>
        <w:t>john.finnigan@occ.ohio.gov</w:t>
      </w:r>
    </w:p>
    <w:p w:rsidR="00A35778" w:rsidRPr="002A4C23" w:rsidP="00A35778" w14:paraId="6BA37206" w14:textId="77777777">
      <w:pPr>
        <w:widowControl w:val="0"/>
        <w:autoSpaceDE w:val="0"/>
        <w:autoSpaceDN w:val="0"/>
        <w:adjustRightInd w:val="0"/>
        <w:spacing w:after="0" w:line="240" w:lineRule="auto"/>
        <w:ind w:left="4320"/>
        <w:rPr>
          <w:rFonts w:ascii="Times New Roman" w:eastAsia="Calibri" w:hAnsi="Times New Roman" w:cs="Times New Roman"/>
          <w:color w:val="0000FF"/>
          <w:sz w:val="24"/>
          <w:szCs w:val="24"/>
          <w:u w:val="single"/>
        </w:rPr>
      </w:pPr>
      <w:r w:rsidRPr="002A4C23">
        <w:rPr>
          <w:rFonts w:ascii="Times New Roman" w:eastAsia="Calibri" w:hAnsi="Times New Roman" w:cs="Times New Roman"/>
          <w:color w:val="0000FF"/>
          <w:sz w:val="24"/>
          <w:szCs w:val="24"/>
          <w:u w:val="single"/>
        </w:rPr>
        <w:t>william.michael@occ.ohio.gov</w:t>
      </w:r>
    </w:p>
    <w:p w:rsidR="00733896" w:rsidRPr="002A4C23" w:rsidP="00A35778" w14:paraId="785A34A8" w14:textId="0E2E3452">
      <w:pPr>
        <w:widowControl w:val="0"/>
        <w:autoSpaceDE w:val="0"/>
        <w:autoSpaceDN w:val="0"/>
        <w:adjustRightInd w:val="0"/>
        <w:spacing w:after="0" w:line="240" w:lineRule="auto"/>
        <w:ind w:left="4320"/>
        <w:rPr>
          <w:rFonts w:ascii="Times New Roman" w:eastAsia="Calibri" w:hAnsi="Times New Roman" w:cs="Times New Roman"/>
          <w:sz w:val="24"/>
          <w:szCs w:val="24"/>
        </w:rPr>
      </w:pPr>
      <w:r w:rsidRPr="002A4C23">
        <w:rPr>
          <w:rFonts w:ascii="Times New Roman" w:eastAsia="Calibri" w:hAnsi="Times New Roman" w:cs="Times New Roman"/>
          <w:sz w:val="24"/>
          <w:szCs w:val="24"/>
        </w:rPr>
        <w:t>(willing to accept service by e-mail)</w:t>
      </w:r>
    </w:p>
    <w:p w:rsidR="00733896" w:rsidRPr="002A4C23" w14:paraId="1D99F44D" w14:textId="77777777">
      <w:pPr>
        <w:rPr>
          <w:rFonts w:ascii="Times New Roman" w:eastAsia="Calibri" w:hAnsi="Times New Roman" w:cs="Times New Roman"/>
          <w:sz w:val="24"/>
          <w:szCs w:val="24"/>
        </w:rPr>
      </w:pPr>
      <w:r w:rsidRPr="002A4C23">
        <w:rPr>
          <w:rFonts w:ascii="Times New Roman" w:eastAsia="Calibri" w:hAnsi="Times New Roman" w:cs="Times New Roman"/>
          <w:sz w:val="24"/>
          <w:szCs w:val="24"/>
        </w:rPr>
        <w:br w:type="page"/>
      </w:r>
    </w:p>
    <w:p w:rsidR="00733896" w:rsidRPr="002A4C23" w:rsidP="00733896" w14:paraId="3CECB279" w14:textId="77777777">
      <w:pPr>
        <w:widowControl w:val="0"/>
        <w:spacing w:after="0" w:line="240" w:lineRule="auto"/>
        <w:jc w:val="center"/>
        <w:rPr>
          <w:rFonts w:ascii="Times New Roman" w:eastAsia="Calibri" w:hAnsi="Times New Roman" w:cs="Times New Roman"/>
          <w:sz w:val="24"/>
          <w:szCs w:val="24"/>
        </w:rPr>
      </w:pPr>
      <w:r w:rsidRPr="002A4C23">
        <w:rPr>
          <w:rFonts w:ascii="Times New Roman" w:eastAsia="Calibri" w:hAnsi="Times New Roman" w:cs="Times New Roman"/>
          <w:b/>
          <w:sz w:val="24"/>
          <w:szCs w:val="24"/>
          <w:u w:val="single"/>
        </w:rPr>
        <w:t>CERTIFICATE OF SERVICE</w:t>
      </w:r>
    </w:p>
    <w:p w:rsidR="00733896" w:rsidRPr="002A4C23" w:rsidP="00733896" w14:paraId="5F87A0C6" w14:textId="77777777">
      <w:pPr>
        <w:widowControl w:val="0"/>
        <w:spacing w:after="0" w:line="240" w:lineRule="auto"/>
        <w:jc w:val="center"/>
        <w:rPr>
          <w:rFonts w:ascii="Times New Roman" w:eastAsia="Calibri" w:hAnsi="Times New Roman" w:cs="Times New Roman"/>
          <w:bCs/>
          <w:sz w:val="24"/>
          <w:szCs w:val="24"/>
        </w:rPr>
      </w:pPr>
    </w:p>
    <w:p w:rsidR="00733896" w:rsidRPr="002A4C23" w:rsidP="00733896" w14:paraId="712FBD72" w14:textId="0A6C4D9A">
      <w:pPr>
        <w:widowControl w:val="0"/>
        <w:suppressAutoHyphens/>
        <w:spacing w:after="0" w:line="480" w:lineRule="auto"/>
        <w:ind w:firstLine="720"/>
        <w:rPr>
          <w:rFonts w:ascii="Times New Roman" w:eastAsia="Calibri" w:hAnsi="Times New Roman" w:cs="Times New Roman"/>
          <w:spacing w:val="-3"/>
          <w:sz w:val="24"/>
          <w:szCs w:val="24"/>
        </w:rPr>
      </w:pPr>
      <w:r w:rsidRPr="002A4C23">
        <w:rPr>
          <w:rFonts w:ascii="Times New Roman" w:eastAsia="Calibri" w:hAnsi="Times New Roman" w:cs="Times New Roman"/>
          <w:spacing w:val="-3"/>
          <w:sz w:val="24"/>
          <w:szCs w:val="24"/>
        </w:rPr>
        <w:t>It is hereby certified that a true copy of the foregoing Reply Brief was served upon the persons listed below by electronic transmission this 8</w:t>
      </w:r>
      <w:r w:rsidRPr="002A4C23">
        <w:rPr>
          <w:rFonts w:ascii="Times New Roman" w:eastAsia="Calibri" w:hAnsi="Times New Roman" w:cs="Times New Roman"/>
          <w:spacing w:val="-3"/>
          <w:sz w:val="24"/>
          <w:szCs w:val="24"/>
          <w:vertAlign w:val="superscript"/>
        </w:rPr>
        <w:t>th</w:t>
      </w:r>
      <w:r w:rsidRPr="002A4C23">
        <w:rPr>
          <w:rFonts w:ascii="Times New Roman" w:eastAsia="Calibri" w:hAnsi="Times New Roman" w:cs="Times New Roman"/>
          <w:spacing w:val="-3"/>
          <w:sz w:val="24"/>
          <w:szCs w:val="24"/>
        </w:rPr>
        <w:t xml:space="preserve"> day of April 2022.</w:t>
      </w:r>
    </w:p>
    <w:p w:rsidR="00733896" w:rsidRPr="002A4C23" w:rsidP="00733896" w14:paraId="4F839F5F" w14:textId="77777777">
      <w:pPr>
        <w:spacing w:after="0" w:line="240" w:lineRule="auto"/>
        <w:ind w:left="4320"/>
        <w:rPr>
          <w:rFonts w:ascii="Times New Roman" w:eastAsia="Times New Roman" w:hAnsi="Times New Roman" w:cs="Times New Roman"/>
          <w:sz w:val="24"/>
          <w:szCs w:val="24"/>
        </w:rPr>
      </w:pPr>
      <w:r w:rsidRPr="002A4C23">
        <w:rPr>
          <w:rFonts w:ascii="Times New Roman" w:eastAsia="Times New Roman" w:hAnsi="Times New Roman" w:cs="Times New Roman"/>
          <w:i/>
          <w:iCs/>
          <w:sz w:val="24"/>
          <w:szCs w:val="24"/>
          <w:u w:val="single"/>
        </w:rPr>
        <w:t>/s/ John Finnigan</w:t>
      </w:r>
      <w:r w:rsidRPr="002A4C23">
        <w:rPr>
          <w:rFonts w:ascii="Times New Roman" w:eastAsia="Times New Roman" w:hAnsi="Times New Roman" w:cs="Times New Roman"/>
          <w:i/>
          <w:iCs/>
          <w:sz w:val="24"/>
          <w:szCs w:val="24"/>
          <w:u w:val="single"/>
        </w:rPr>
        <w:tab/>
      </w:r>
      <w:r w:rsidRPr="002A4C23">
        <w:rPr>
          <w:rFonts w:ascii="Times New Roman" w:eastAsia="Times New Roman" w:hAnsi="Times New Roman" w:cs="Times New Roman"/>
          <w:i/>
          <w:iCs/>
          <w:sz w:val="24"/>
          <w:szCs w:val="24"/>
          <w:u w:val="single"/>
        </w:rPr>
        <w:tab/>
      </w:r>
      <w:r w:rsidRPr="002A4C23">
        <w:rPr>
          <w:rFonts w:ascii="Times New Roman" w:eastAsia="Times New Roman" w:hAnsi="Times New Roman" w:cs="Times New Roman"/>
          <w:sz w:val="24"/>
          <w:szCs w:val="24"/>
        </w:rPr>
        <w:tab/>
      </w:r>
      <w:r w:rsidRPr="002A4C23">
        <w:rPr>
          <w:rFonts w:ascii="Times New Roman" w:eastAsia="Times New Roman" w:hAnsi="Times New Roman" w:cs="Times New Roman"/>
          <w:sz w:val="24"/>
          <w:szCs w:val="24"/>
        </w:rPr>
        <w:tab/>
      </w:r>
    </w:p>
    <w:p w:rsidR="00733896" w:rsidRPr="002A4C23" w:rsidP="00733896" w14:paraId="0785DB27" w14:textId="77777777">
      <w:pPr>
        <w:spacing w:after="0" w:line="240" w:lineRule="auto"/>
        <w:ind w:left="4320"/>
        <w:rPr>
          <w:rFonts w:ascii="Times New Roman" w:eastAsia="Times New Roman" w:hAnsi="Times New Roman" w:cs="Times New Roman"/>
          <w:sz w:val="24"/>
          <w:szCs w:val="24"/>
        </w:rPr>
      </w:pPr>
      <w:r w:rsidRPr="002A4C23">
        <w:rPr>
          <w:rFonts w:ascii="Times New Roman" w:eastAsia="Times New Roman" w:hAnsi="Times New Roman" w:cs="Times New Roman"/>
          <w:sz w:val="24"/>
          <w:szCs w:val="24"/>
        </w:rPr>
        <w:t>John Finnigan</w:t>
      </w:r>
    </w:p>
    <w:p w:rsidR="00733896" w:rsidRPr="002A4C23" w:rsidP="00733896" w14:paraId="35352044" w14:textId="77777777">
      <w:pPr>
        <w:spacing w:after="0" w:line="240" w:lineRule="auto"/>
        <w:ind w:left="4320"/>
        <w:rPr>
          <w:rFonts w:ascii="Times New Roman" w:eastAsia="Times New Roman" w:hAnsi="Times New Roman" w:cs="Times New Roman"/>
          <w:sz w:val="24"/>
          <w:szCs w:val="24"/>
        </w:rPr>
      </w:pPr>
      <w:r w:rsidRPr="002A4C23">
        <w:rPr>
          <w:rFonts w:ascii="Times New Roman" w:eastAsia="Times New Roman" w:hAnsi="Times New Roman" w:cs="Times New Roman"/>
          <w:sz w:val="24"/>
          <w:szCs w:val="24"/>
        </w:rPr>
        <w:t>Assistant Consumers’ Counsel</w:t>
      </w:r>
    </w:p>
    <w:p w:rsidR="00733896" w:rsidRPr="002A4C23" w:rsidP="00733896" w14:paraId="522393EA" w14:textId="77777777">
      <w:pPr>
        <w:widowControl w:val="0"/>
        <w:suppressLineNumbers/>
        <w:spacing w:after="0" w:line="240" w:lineRule="auto"/>
        <w:rPr>
          <w:rFonts w:ascii="Times New Roman" w:eastAsia="Calibri" w:hAnsi="Times New Roman" w:cs="Times New Roman"/>
          <w:sz w:val="24"/>
          <w:szCs w:val="24"/>
          <w:u w:val="single"/>
        </w:rPr>
      </w:pPr>
    </w:p>
    <w:p w:rsidR="00733896" w:rsidRPr="002A4C23" w:rsidP="00733896" w14:paraId="39EE4F3A" w14:textId="77777777">
      <w:pPr>
        <w:widowControl w:val="0"/>
        <w:suppressLineNumbers/>
        <w:spacing w:after="0" w:line="240" w:lineRule="auto"/>
        <w:rPr>
          <w:rFonts w:ascii="Times New Roman" w:eastAsia="Calibri" w:hAnsi="Times New Roman" w:cs="Times New Roman"/>
          <w:sz w:val="24"/>
          <w:szCs w:val="24"/>
        </w:rPr>
      </w:pPr>
      <w:r w:rsidRPr="002A4C23">
        <w:rPr>
          <w:rFonts w:ascii="Times New Roman" w:eastAsia="Calibri" w:hAnsi="Times New Roman" w:cs="Times New Roman"/>
          <w:sz w:val="24"/>
          <w:szCs w:val="24"/>
        </w:rPr>
        <w:t>The PUCO’s e-filing system will electronically serve notice of the filing of this document on the following parties:</w:t>
      </w:r>
    </w:p>
    <w:p w:rsidR="00733896" w:rsidRPr="002A4C23" w:rsidP="00733896" w14:paraId="06622809" w14:textId="77777777">
      <w:pPr>
        <w:widowControl w:val="0"/>
        <w:spacing w:after="0" w:line="240" w:lineRule="auto"/>
        <w:jc w:val="center"/>
        <w:rPr>
          <w:rFonts w:ascii="Times New Roman" w:eastAsia="Calibri" w:hAnsi="Times New Roman" w:cs="Times New Roman"/>
          <w:b/>
          <w:bCs/>
          <w:sz w:val="24"/>
          <w:szCs w:val="24"/>
          <w:u w:val="single"/>
        </w:rPr>
      </w:pPr>
    </w:p>
    <w:p w:rsidR="00733896" w:rsidRPr="002A4C23" w:rsidP="00733896" w14:paraId="7EA68B13" w14:textId="77777777">
      <w:pPr>
        <w:widowControl w:val="0"/>
        <w:spacing w:after="0" w:line="240" w:lineRule="auto"/>
        <w:rPr>
          <w:rFonts w:ascii="Times New Roman" w:eastAsia="Calibri" w:hAnsi="Times New Roman" w:cs="Times New Roman"/>
          <w:sz w:val="24"/>
          <w:szCs w:val="24"/>
        </w:rPr>
      </w:pPr>
    </w:p>
    <w:p w:rsidR="00733896" w:rsidRPr="002A4C23" w:rsidP="00733896" w14:paraId="563265BE" w14:textId="77777777">
      <w:pPr>
        <w:widowControl w:val="0"/>
        <w:spacing w:after="0" w:line="240" w:lineRule="auto"/>
        <w:jc w:val="center"/>
        <w:rPr>
          <w:rFonts w:ascii="Times New Roman" w:eastAsia="Calibri" w:hAnsi="Times New Roman" w:cs="Times New Roman"/>
          <w:b/>
          <w:sz w:val="24"/>
          <w:szCs w:val="24"/>
          <w:u w:val="single"/>
        </w:rPr>
      </w:pPr>
      <w:r w:rsidRPr="002A4C23">
        <w:rPr>
          <w:rFonts w:ascii="Times New Roman" w:eastAsia="Calibri" w:hAnsi="Times New Roman" w:cs="Times New Roman"/>
          <w:b/>
          <w:sz w:val="24"/>
          <w:szCs w:val="24"/>
          <w:u w:val="single"/>
        </w:rPr>
        <w:t>SERVICE LIST</w:t>
      </w:r>
    </w:p>
    <w:p w:rsidR="00733896" w:rsidRPr="002A4C23" w:rsidP="00733896" w14:paraId="6675FE04" w14:textId="77777777">
      <w:pPr>
        <w:widowControl w:val="0"/>
        <w:spacing w:after="0" w:line="240" w:lineRule="auto"/>
        <w:jc w:val="center"/>
        <w:rPr>
          <w:rFonts w:ascii="Times New Roman" w:eastAsia="Calibri" w:hAnsi="Times New Roman" w:cs="Times New Roman"/>
          <w:b/>
          <w:sz w:val="24"/>
          <w:szCs w:val="24"/>
          <w:u w:val="single"/>
        </w:rPr>
      </w:pPr>
    </w:p>
    <w:tbl>
      <w:tblPr>
        <w:tblW w:w="0" w:type="auto"/>
        <w:tblLook w:val="04A0"/>
      </w:tblPr>
      <w:tblGrid>
        <w:gridCol w:w="4305"/>
        <w:gridCol w:w="4335"/>
      </w:tblGrid>
      <w:tr w14:paraId="26FF84AA" w14:textId="77777777" w:rsidTr="00900124">
        <w:tblPrEx>
          <w:tblW w:w="0" w:type="auto"/>
          <w:tblLook w:val="04A0"/>
        </w:tblPrEx>
        <w:tc>
          <w:tcPr>
            <w:tcW w:w="4675" w:type="dxa"/>
            <w:shd w:val="clear" w:color="auto" w:fill="auto"/>
          </w:tcPr>
          <w:p w:rsidR="00733896" w:rsidRPr="002A4C23" w:rsidP="00733896" w14:paraId="579ED10B" w14:textId="77777777">
            <w:pPr>
              <w:widowControl w:val="0"/>
              <w:spacing w:after="0" w:line="240" w:lineRule="auto"/>
              <w:rPr>
                <w:rFonts w:ascii="Times New Roman" w:eastAsia="Times New Roman" w:hAnsi="Times New Roman" w:cs="Times New Roman"/>
                <w:bCs/>
                <w:color w:val="0000FF"/>
                <w:sz w:val="24"/>
                <w:szCs w:val="24"/>
              </w:rPr>
            </w:pPr>
            <w:hyperlink r:id="rId8" w:history="1">
              <w:r w:rsidRPr="002A4C23">
                <w:rPr>
                  <w:rFonts w:ascii="Times New Roman" w:eastAsia="Times New Roman" w:hAnsi="Times New Roman" w:cs="Times New Roman"/>
                  <w:bCs/>
                  <w:color w:val="0000FF"/>
                  <w:sz w:val="24"/>
                  <w:szCs w:val="24"/>
                  <w:u w:val="single"/>
                </w:rPr>
                <w:t>thomas.lindgren@ohioAGO.gov</w:t>
              </w:r>
            </w:hyperlink>
          </w:p>
          <w:p w:rsidR="00733896" w:rsidRPr="002A4C23" w:rsidP="00733896" w14:paraId="02C67AED" w14:textId="77777777">
            <w:pPr>
              <w:widowControl w:val="0"/>
              <w:spacing w:after="0" w:line="240" w:lineRule="auto"/>
              <w:rPr>
                <w:rFonts w:ascii="Times New Roman" w:eastAsia="Times New Roman" w:hAnsi="Times New Roman" w:cs="Times New Roman"/>
                <w:bCs/>
                <w:color w:val="0000FF"/>
                <w:sz w:val="24"/>
                <w:szCs w:val="24"/>
              </w:rPr>
            </w:pPr>
            <w:hyperlink r:id="rId9" w:history="1">
              <w:r w:rsidRPr="002A4C23">
                <w:rPr>
                  <w:rFonts w:ascii="Times New Roman" w:eastAsia="Times New Roman" w:hAnsi="Times New Roman" w:cs="Times New Roman"/>
                  <w:color w:val="0000FF"/>
                  <w:sz w:val="24"/>
                  <w:szCs w:val="24"/>
                  <w:u w:val="single"/>
                </w:rPr>
                <w:t>kyle</w:t>
              </w:r>
              <w:r w:rsidRPr="002A4C23">
                <w:rPr>
                  <w:rFonts w:ascii="Times New Roman" w:eastAsia="Times New Roman" w:hAnsi="Times New Roman" w:cs="Times New Roman"/>
                  <w:bCs/>
                  <w:color w:val="0000FF"/>
                  <w:sz w:val="24"/>
                  <w:szCs w:val="24"/>
                  <w:u w:val="single"/>
                </w:rPr>
                <w:t>.kern@ohioAGO.gov</w:t>
              </w:r>
            </w:hyperlink>
          </w:p>
          <w:p w:rsidR="00733896" w:rsidRPr="002A4C23" w:rsidP="00733896" w14:paraId="1366871B"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10" w:history="1">
              <w:r w:rsidRPr="002A4C23">
                <w:rPr>
                  <w:rFonts w:ascii="Times New Roman" w:eastAsia="Times New Roman" w:hAnsi="Times New Roman" w:cs="Times New Roman"/>
                  <w:color w:val="0000FF"/>
                  <w:sz w:val="24"/>
                  <w:szCs w:val="24"/>
                  <w:u w:val="single"/>
                </w:rPr>
                <w:t>mkurtz@BKLlawfirm.com</w:t>
              </w:r>
            </w:hyperlink>
          </w:p>
          <w:p w:rsidR="00733896" w:rsidRPr="002A4C23" w:rsidP="00733896" w14:paraId="5F59C258"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11" w:history="1">
              <w:r w:rsidRPr="002A4C23">
                <w:rPr>
                  <w:rFonts w:ascii="Times New Roman" w:eastAsia="Times New Roman" w:hAnsi="Times New Roman" w:cs="Times New Roman"/>
                  <w:color w:val="0000FF"/>
                  <w:sz w:val="24"/>
                  <w:szCs w:val="24"/>
                  <w:u w:val="single"/>
                </w:rPr>
                <w:t>kboehm@BKLlawfirm.com</w:t>
              </w:r>
            </w:hyperlink>
          </w:p>
          <w:p w:rsidR="00733896" w:rsidRPr="002A4C23" w:rsidP="00733896" w14:paraId="118188E8" w14:textId="77777777">
            <w:pPr>
              <w:widowControl w:val="0"/>
              <w:spacing w:after="0" w:line="240" w:lineRule="auto"/>
              <w:rPr>
                <w:rFonts w:ascii="Times New Roman" w:eastAsia="Calibri" w:hAnsi="Times New Roman" w:cs="Times New Roman"/>
                <w:color w:val="0000FF"/>
                <w:sz w:val="24"/>
                <w:szCs w:val="24"/>
              </w:rPr>
            </w:pPr>
            <w:hyperlink r:id="rId12" w:history="1">
              <w:r w:rsidRPr="002A4C23">
                <w:rPr>
                  <w:rFonts w:ascii="Times New Roman" w:eastAsia="Calibri" w:hAnsi="Times New Roman" w:cs="Times New Roman"/>
                  <w:color w:val="0000FF"/>
                  <w:sz w:val="24"/>
                  <w:szCs w:val="24"/>
                  <w:u w:val="single"/>
                </w:rPr>
                <w:t>jkylercohn@BKLlawfirm.com</w:t>
              </w:r>
            </w:hyperlink>
          </w:p>
          <w:p w:rsidR="00733896" w:rsidRPr="002A4C23" w:rsidP="00733896" w14:paraId="316DE514"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13" w:history="1">
              <w:r w:rsidRPr="002A4C23">
                <w:rPr>
                  <w:rFonts w:ascii="Times New Roman" w:eastAsia="Times New Roman" w:hAnsi="Times New Roman" w:cs="Times New Roman"/>
                  <w:color w:val="0000FF"/>
                  <w:sz w:val="24"/>
                  <w:szCs w:val="24"/>
                  <w:u w:val="single"/>
                </w:rPr>
                <w:t>rdove@keglerbrown.com</w:t>
              </w:r>
            </w:hyperlink>
          </w:p>
          <w:p w:rsidR="00733896" w:rsidRPr="002A4C23" w:rsidP="00733896" w14:paraId="5FF9FDF7" w14:textId="77777777">
            <w:pPr>
              <w:widowControl w:val="0"/>
              <w:spacing w:after="120" w:line="240" w:lineRule="auto"/>
              <w:rPr>
                <w:rFonts w:ascii="Times New Roman" w:eastAsia="Calibri" w:hAnsi="Times New Roman" w:cs="Times New Roman"/>
                <w:sz w:val="24"/>
                <w:szCs w:val="24"/>
              </w:rPr>
            </w:pPr>
          </w:p>
          <w:p w:rsidR="00733896" w:rsidRPr="002A4C23" w:rsidP="00733896" w14:paraId="1490D46F" w14:textId="77777777">
            <w:pPr>
              <w:widowControl w:val="0"/>
              <w:spacing w:after="0" w:line="240" w:lineRule="auto"/>
              <w:rPr>
                <w:rFonts w:ascii="Times New Roman" w:eastAsia="Times New Roman" w:hAnsi="Times New Roman" w:cs="Times New Roman"/>
                <w:bCs/>
                <w:sz w:val="24"/>
                <w:szCs w:val="24"/>
              </w:rPr>
            </w:pPr>
            <w:r w:rsidRPr="002A4C23">
              <w:rPr>
                <w:rFonts w:ascii="Times New Roman" w:eastAsia="Times New Roman" w:hAnsi="Times New Roman" w:cs="Times New Roman"/>
                <w:bCs/>
                <w:sz w:val="24"/>
                <w:szCs w:val="24"/>
              </w:rPr>
              <w:t>Attorney Examiners:</w:t>
            </w:r>
          </w:p>
          <w:p w:rsidR="00733896" w:rsidRPr="002A4C23" w:rsidP="00733896" w14:paraId="133268CA" w14:textId="77777777">
            <w:pPr>
              <w:widowControl w:val="0"/>
              <w:spacing w:after="0" w:line="240" w:lineRule="auto"/>
              <w:rPr>
                <w:rFonts w:ascii="Times New Roman" w:eastAsia="Times New Roman" w:hAnsi="Times New Roman" w:cs="Times New Roman"/>
                <w:bCs/>
                <w:color w:val="0000FF"/>
                <w:sz w:val="24"/>
                <w:szCs w:val="24"/>
              </w:rPr>
            </w:pPr>
            <w:hyperlink r:id="rId14" w:history="1">
              <w:r w:rsidRPr="002A4C23">
                <w:rPr>
                  <w:rFonts w:ascii="Times New Roman" w:eastAsia="Times New Roman" w:hAnsi="Times New Roman" w:cs="Times New Roman"/>
                  <w:color w:val="0000FF"/>
                  <w:sz w:val="24"/>
                  <w:szCs w:val="24"/>
                  <w:u w:val="single"/>
                </w:rPr>
                <w:t>s</w:t>
              </w:r>
              <w:r w:rsidRPr="002A4C23">
                <w:rPr>
                  <w:rFonts w:ascii="Times New Roman" w:eastAsia="Times New Roman" w:hAnsi="Times New Roman" w:cs="Times New Roman"/>
                  <w:bCs/>
                  <w:color w:val="0000FF"/>
                  <w:sz w:val="24"/>
                  <w:szCs w:val="24"/>
                  <w:u w:val="single"/>
                </w:rPr>
                <w:t>arah.parrot@puco.ohio.gov</w:t>
              </w:r>
            </w:hyperlink>
          </w:p>
          <w:p w:rsidR="00733896" w:rsidRPr="002A4C23" w:rsidP="00733896" w14:paraId="0FEAC548" w14:textId="77777777">
            <w:pPr>
              <w:widowControl w:val="0"/>
              <w:spacing w:after="0" w:line="240" w:lineRule="auto"/>
              <w:rPr>
                <w:rFonts w:ascii="Times New Roman" w:eastAsia="Times New Roman" w:hAnsi="Times New Roman" w:cs="Times New Roman"/>
                <w:bCs/>
                <w:color w:val="0000FF"/>
                <w:sz w:val="24"/>
                <w:szCs w:val="24"/>
              </w:rPr>
            </w:pPr>
            <w:hyperlink r:id="rId15" w:history="1">
              <w:r w:rsidRPr="002A4C23">
                <w:rPr>
                  <w:rFonts w:ascii="Times New Roman" w:eastAsia="Times New Roman" w:hAnsi="Times New Roman" w:cs="Times New Roman"/>
                  <w:color w:val="0000FF"/>
                  <w:sz w:val="24"/>
                  <w:szCs w:val="24"/>
                  <w:u w:val="single"/>
                </w:rPr>
                <w:t>g</w:t>
              </w:r>
              <w:r w:rsidRPr="002A4C23">
                <w:rPr>
                  <w:rFonts w:ascii="Times New Roman" w:eastAsia="Times New Roman" w:hAnsi="Times New Roman" w:cs="Times New Roman"/>
                  <w:bCs/>
                  <w:color w:val="0000FF"/>
                  <w:sz w:val="24"/>
                  <w:szCs w:val="24"/>
                  <w:u w:val="single"/>
                </w:rPr>
                <w:t>reta.see@puco.ohio.gov</w:t>
              </w:r>
            </w:hyperlink>
          </w:p>
        </w:tc>
        <w:tc>
          <w:tcPr>
            <w:tcW w:w="4675" w:type="dxa"/>
            <w:shd w:val="clear" w:color="auto" w:fill="auto"/>
          </w:tcPr>
          <w:p w:rsidR="00733896" w:rsidRPr="002A4C23" w:rsidP="00733896" w14:paraId="3C9F21F7"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16" w:history="1">
              <w:r w:rsidRPr="002A4C23">
                <w:rPr>
                  <w:rFonts w:ascii="Times New Roman" w:eastAsia="Times New Roman" w:hAnsi="Times New Roman" w:cs="Times New Roman"/>
                  <w:color w:val="0000FF"/>
                  <w:sz w:val="24"/>
                  <w:szCs w:val="24"/>
                  <w:u w:val="single"/>
                </w:rPr>
                <w:t>stnourse@aep.com</w:t>
              </w:r>
            </w:hyperlink>
          </w:p>
          <w:p w:rsidR="00733896" w:rsidRPr="002A4C23" w:rsidP="00733896" w14:paraId="3FE6CD28" w14:textId="77777777">
            <w:pPr>
              <w:widowControl w:val="0"/>
              <w:spacing w:after="0" w:line="240" w:lineRule="auto"/>
              <w:rPr>
                <w:rFonts w:ascii="Times New Roman" w:eastAsia="Times New Roman" w:hAnsi="Times New Roman" w:cs="Times New Roman"/>
                <w:color w:val="0000FF"/>
                <w:sz w:val="24"/>
                <w:szCs w:val="24"/>
              </w:rPr>
            </w:pPr>
            <w:hyperlink r:id="rId17" w:history="1">
              <w:r w:rsidRPr="002A4C23">
                <w:rPr>
                  <w:rFonts w:ascii="Times New Roman" w:eastAsia="Times New Roman" w:hAnsi="Times New Roman" w:cs="Times New Roman"/>
                  <w:color w:val="0000FF"/>
                  <w:sz w:val="24"/>
                  <w:szCs w:val="24"/>
                  <w:u w:val="single"/>
                </w:rPr>
                <w:t>EGallon@porterwright.com</w:t>
              </w:r>
            </w:hyperlink>
          </w:p>
          <w:p w:rsidR="00733896" w:rsidRPr="002A4C23" w:rsidP="00733896" w14:paraId="14595BDD" w14:textId="77777777">
            <w:pPr>
              <w:widowControl w:val="0"/>
              <w:spacing w:after="0" w:line="240" w:lineRule="auto"/>
              <w:rPr>
                <w:rFonts w:ascii="Times New Roman" w:eastAsia="Times New Roman" w:hAnsi="Times New Roman" w:cs="Times New Roman"/>
                <w:color w:val="0000FF"/>
                <w:sz w:val="24"/>
                <w:szCs w:val="24"/>
              </w:rPr>
            </w:pPr>
            <w:hyperlink r:id="rId18" w:history="1">
              <w:r w:rsidRPr="002A4C23">
                <w:rPr>
                  <w:rFonts w:ascii="Times New Roman" w:eastAsia="Times New Roman" w:hAnsi="Times New Roman" w:cs="Times New Roman"/>
                  <w:color w:val="0000FF"/>
                  <w:sz w:val="24"/>
                  <w:szCs w:val="24"/>
                  <w:u w:val="single"/>
                </w:rPr>
                <w:t>mjschuler@aep.com</w:t>
              </w:r>
            </w:hyperlink>
          </w:p>
          <w:p w:rsidR="00733896" w:rsidRPr="002A4C23" w:rsidP="00733896" w14:paraId="4325E914"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19" w:history="1">
              <w:r w:rsidRPr="002A4C23">
                <w:rPr>
                  <w:rFonts w:ascii="Times New Roman" w:eastAsia="Times New Roman" w:hAnsi="Times New Roman" w:cs="Times New Roman"/>
                  <w:color w:val="0000FF"/>
                  <w:sz w:val="24"/>
                  <w:szCs w:val="24"/>
                  <w:u w:val="single"/>
                </w:rPr>
                <w:t>matthew@msmckenzieltd.com</w:t>
              </w:r>
            </w:hyperlink>
          </w:p>
          <w:p w:rsidR="00733896" w:rsidRPr="002A4C23" w:rsidP="00733896" w14:paraId="206B7C29"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20" w:history="1">
              <w:r w:rsidRPr="002A4C23">
                <w:rPr>
                  <w:rFonts w:ascii="Times New Roman" w:eastAsia="Times New Roman" w:hAnsi="Times New Roman" w:cs="Times New Roman"/>
                  <w:color w:val="0000FF"/>
                  <w:sz w:val="24"/>
                  <w:szCs w:val="24"/>
                  <w:u w:val="single"/>
                </w:rPr>
                <w:t>mpritchard@mcneeslaw.com</w:t>
              </w:r>
            </w:hyperlink>
          </w:p>
          <w:p w:rsidR="00733896" w:rsidRPr="002A4C23" w:rsidP="00733896" w14:paraId="5686E6D8"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21" w:history="1">
              <w:r w:rsidRPr="002A4C23">
                <w:rPr>
                  <w:rFonts w:ascii="Times New Roman" w:eastAsia="Times New Roman" w:hAnsi="Times New Roman" w:cs="Times New Roman"/>
                  <w:color w:val="0000FF"/>
                  <w:sz w:val="24"/>
                  <w:szCs w:val="24"/>
                  <w:u w:val="single"/>
                </w:rPr>
                <w:t>bmckenney@mcneeslaw.com</w:t>
              </w:r>
            </w:hyperlink>
          </w:p>
          <w:p w:rsidR="00733896" w:rsidRPr="002A4C23" w:rsidP="00733896" w14:paraId="1052BDEB"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22" w:history="1">
              <w:r w:rsidRPr="002A4C23">
                <w:rPr>
                  <w:rFonts w:ascii="Times New Roman" w:eastAsia="Times New Roman" w:hAnsi="Times New Roman" w:cs="Times New Roman"/>
                  <w:color w:val="0000FF"/>
                  <w:sz w:val="24"/>
                  <w:szCs w:val="24"/>
                  <w:u w:val="single"/>
                </w:rPr>
                <w:t>megan.wachpress@sierraclub.org</w:t>
              </w:r>
            </w:hyperlink>
          </w:p>
          <w:p w:rsidR="00733896" w:rsidRPr="002A4C23" w:rsidP="00733896" w14:paraId="514CA4DB"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23" w:history="1">
              <w:r w:rsidRPr="002A4C23">
                <w:rPr>
                  <w:rFonts w:ascii="Times New Roman" w:eastAsia="Times New Roman" w:hAnsi="Times New Roman" w:cs="Times New Roman"/>
                  <w:color w:val="0000FF"/>
                  <w:sz w:val="24"/>
                  <w:szCs w:val="24"/>
                  <w:u w:val="single"/>
                </w:rPr>
                <w:t>kristin.henry@sierraclub.org</w:t>
              </w:r>
            </w:hyperlink>
          </w:p>
          <w:p w:rsidR="00733896" w:rsidRPr="002A4C23" w:rsidP="00733896" w14:paraId="045D4027"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24" w:history="1">
              <w:r w:rsidRPr="002A4C23">
                <w:rPr>
                  <w:rFonts w:ascii="Times New Roman" w:eastAsia="Times New Roman" w:hAnsi="Times New Roman" w:cs="Times New Roman"/>
                  <w:color w:val="0000FF"/>
                  <w:sz w:val="24"/>
                  <w:szCs w:val="24"/>
                  <w:u w:val="single"/>
                </w:rPr>
                <w:t>tony.mendoza@sierraclub.org</w:t>
              </w:r>
            </w:hyperlink>
          </w:p>
          <w:p w:rsidR="00733896" w:rsidRPr="002A4C23" w:rsidP="00733896" w14:paraId="0872BC70" w14:textId="77777777">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hyperlink r:id="rId25" w:history="1">
              <w:r w:rsidRPr="002A4C23">
                <w:rPr>
                  <w:rFonts w:ascii="Times New Roman" w:eastAsia="Times New Roman" w:hAnsi="Times New Roman" w:cs="Times New Roman"/>
                  <w:color w:val="0000FF"/>
                  <w:sz w:val="24"/>
                  <w:szCs w:val="24"/>
                  <w:u w:val="single"/>
                </w:rPr>
                <w:t>bojko@carpenterlipps.com</w:t>
              </w:r>
            </w:hyperlink>
          </w:p>
          <w:p w:rsidR="00733896" w:rsidRPr="002A4C23" w:rsidP="00E148C5" w14:paraId="6F944A9E" w14:textId="77F5088C">
            <w:pPr>
              <w:widowControl w:val="0"/>
              <w:autoSpaceDE w:val="0"/>
              <w:autoSpaceDN w:val="0"/>
              <w:adjustRightInd w:val="0"/>
              <w:spacing w:after="0" w:line="240" w:lineRule="auto"/>
              <w:rPr>
                <w:rFonts w:ascii="Times New Roman" w:eastAsia="Times New Roman" w:hAnsi="Times New Roman" w:cs="Times New Roman"/>
                <w:b/>
                <w:sz w:val="24"/>
                <w:szCs w:val="24"/>
              </w:rPr>
            </w:pPr>
            <w:hyperlink r:id="rId26" w:history="1">
              <w:r w:rsidRPr="002A4C23">
                <w:rPr>
                  <w:rFonts w:ascii="Times New Roman" w:eastAsia="Calibri" w:hAnsi="Times New Roman" w:cs="Times New Roman"/>
                  <w:color w:val="0000FF"/>
                  <w:sz w:val="24"/>
                  <w:szCs w:val="24"/>
                  <w:u w:val="single"/>
                </w:rPr>
                <w:t>paul@carpenterlipps.com</w:t>
              </w:r>
            </w:hyperlink>
          </w:p>
        </w:tc>
      </w:tr>
    </w:tbl>
    <w:p w:rsidR="00A30FA3" w:rsidRPr="002A4C23" w:rsidP="00E148C5" w14:paraId="0B6B2990" w14:textId="37A30133">
      <w:pPr>
        <w:spacing w:line="240" w:lineRule="auto"/>
        <w:rPr>
          <w:rFonts w:ascii="Times New Roman" w:hAnsi="Times New Roman" w:cs="Times New Roman"/>
          <w:color w:val="231F20"/>
          <w:sz w:val="24"/>
          <w:szCs w:val="24"/>
        </w:rPr>
      </w:pPr>
    </w:p>
    <w:sectPr w:rsidSect="000A739C">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FA3" w:rsidP="00881D10" w14:paraId="424D3E6B" w14:textId="67170DA2">
    <w:pPr>
      <w:pStyle w:val="Footer"/>
    </w:pPr>
  </w:p>
  <w:p w:rsidR="00A30FA3" w14:paraId="286054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4115818"/>
      <w:docPartObj>
        <w:docPartGallery w:val="Page Numbers (Bottom of Page)"/>
        <w:docPartUnique/>
      </w:docPartObj>
    </w:sdtPr>
    <w:sdtEndPr>
      <w:rPr>
        <w:rFonts w:ascii="Times New Roman" w:hAnsi="Times New Roman" w:cs="Times New Roman"/>
        <w:noProof/>
        <w:sz w:val="24"/>
        <w:szCs w:val="24"/>
      </w:rPr>
    </w:sdtEndPr>
    <w:sdtContent>
      <w:p w:rsidR="00881D10" w:rsidRPr="00881D10" w14:paraId="1E5B42F0" w14:textId="2C36B3FA">
        <w:pPr>
          <w:pStyle w:val="Footer"/>
          <w:jc w:val="center"/>
          <w:rPr>
            <w:rFonts w:ascii="Times New Roman" w:hAnsi="Times New Roman" w:cs="Times New Roman"/>
            <w:sz w:val="24"/>
            <w:szCs w:val="24"/>
          </w:rPr>
        </w:pPr>
        <w:r w:rsidRPr="00881D10">
          <w:rPr>
            <w:rFonts w:ascii="Times New Roman" w:hAnsi="Times New Roman" w:cs="Times New Roman"/>
            <w:sz w:val="24"/>
            <w:szCs w:val="24"/>
          </w:rPr>
          <w:fldChar w:fldCharType="begin"/>
        </w:r>
        <w:r w:rsidRPr="00881D10">
          <w:rPr>
            <w:rFonts w:ascii="Times New Roman" w:hAnsi="Times New Roman" w:cs="Times New Roman"/>
            <w:sz w:val="24"/>
            <w:szCs w:val="24"/>
          </w:rPr>
          <w:instrText xml:space="preserve"> PAGE   \* MERGEFORMAT </w:instrText>
        </w:r>
        <w:r w:rsidRPr="00881D10">
          <w:rPr>
            <w:rFonts w:ascii="Times New Roman" w:hAnsi="Times New Roman" w:cs="Times New Roman"/>
            <w:sz w:val="24"/>
            <w:szCs w:val="24"/>
          </w:rPr>
          <w:fldChar w:fldCharType="separate"/>
        </w:r>
        <w:r w:rsidRPr="00881D10">
          <w:rPr>
            <w:rFonts w:ascii="Times New Roman" w:hAnsi="Times New Roman" w:cs="Times New Roman"/>
            <w:noProof/>
            <w:sz w:val="24"/>
            <w:szCs w:val="24"/>
          </w:rPr>
          <w:t>2</w:t>
        </w:r>
        <w:r w:rsidRPr="00881D1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57FA" w:rsidP="00EC140D" w14:paraId="63671904" w14:textId="77777777">
      <w:pPr>
        <w:spacing w:after="0" w:line="240" w:lineRule="auto"/>
      </w:pPr>
      <w:r>
        <w:separator/>
      </w:r>
    </w:p>
  </w:footnote>
  <w:footnote w:type="continuationSeparator" w:id="1">
    <w:p w:rsidR="002A57FA" w:rsidP="00EC140D" w14:paraId="3F1E0F4A" w14:textId="77777777">
      <w:pPr>
        <w:spacing w:after="0" w:line="240" w:lineRule="auto"/>
      </w:pPr>
      <w:r>
        <w:continuationSeparator/>
      </w:r>
    </w:p>
  </w:footnote>
  <w:footnote w:id="2">
    <w:p w:rsidR="00EC140D" w:rsidRPr="002A4C23" w:rsidP="002A4C23" w14:paraId="30302217" w14:textId="168BB33F">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Hearing Trans</w:t>
      </w:r>
      <w:r w:rsidRPr="002A4C23" w:rsidR="000806ED">
        <w:rPr>
          <w:rFonts w:ascii="Times New Roman" w:hAnsi="Times New Roman" w:cs="Times New Roman"/>
        </w:rPr>
        <w:t xml:space="preserve">cript at </w:t>
      </w:r>
      <w:r w:rsidRPr="002A4C23">
        <w:rPr>
          <w:rFonts w:ascii="Times New Roman" w:hAnsi="Times New Roman" w:cs="Times New Roman"/>
        </w:rPr>
        <w:t>Vol. I, p</w:t>
      </w:r>
      <w:r w:rsidRPr="002A4C23" w:rsidR="008D0194">
        <w:rPr>
          <w:rFonts w:ascii="Times New Roman" w:hAnsi="Times New Roman" w:cs="Times New Roman"/>
        </w:rPr>
        <w:t>. 9 (Jan. 26, 2022).</w:t>
      </w:r>
    </w:p>
  </w:footnote>
  <w:footnote w:id="3">
    <w:p w:rsidR="00420141" w:rsidRPr="002A4C23" w:rsidP="002A4C23" w14:paraId="4CEAA497" w14:textId="3048DC61">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Staff Ex. 1 at 32, Figure 13 and </w:t>
      </w:r>
      <w:r w:rsidRPr="002A4C23">
        <w:rPr>
          <w:rFonts w:ascii="Times New Roman" w:hAnsi="Times New Roman" w:cs="Times New Roman"/>
          <w:i/>
          <w:iCs/>
        </w:rPr>
        <w:t>In the Matter of the Review of the Power Purchase Agreement Rider of Ohio Power Company</w:t>
      </w:r>
      <w:r w:rsidRPr="002A4C23">
        <w:rPr>
          <w:rFonts w:ascii="Times New Roman" w:hAnsi="Times New Roman" w:cs="Times New Roman"/>
        </w:rPr>
        <w:t>, Case No. 18-1003-EL-RDR, Audit Report at 37 (Aug. 8, 2019)</w:t>
      </w:r>
      <w:r w:rsidRPr="002A4C23" w:rsidR="00502280">
        <w:rPr>
          <w:rFonts w:ascii="Times New Roman" w:hAnsi="Times New Roman" w:cs="Times New Roman"/>
        </w:rPr>
        <w:t>.</w:t>
      </w:r>
    </w:p>
  </w:footnote>
  <w:footnote w:id="4">
    <w:p w:rsidR="000806ED" w:rsidRPr="002A4C23" w:rsidP="002A4C23" w14:paraId="2F96A2FF" w14:textId="3488A806">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Direct Testimony of Michael P. Haugh (OCC Ex. 21), filed Dec. 29, 2021, Attachment MPH-3 at 1</w:t>
      </w:r>
      <w:r w:rsidR="001611CD">
        <w:rPr>
          <w:rFonts w:ascii="Times New Roman" w:hAnsi="Times New Roman" w:cs="Times New Roman"/>
        </w:rPr>
        <w:t xml:space="preserve"> (Emphasis added).</w:t>
      </w:r>
    </w:p>
  </w:footnote>
  <w:footnote w:id="5">
    <w:p w:rsidR="000806ED" w:rsidRPr="002A4C23" w:rsidP="002A4C23" w14:paraId="27462CFE" w14:textId="763B3BBE">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B37DB7">
        <w:rPr>
          <w:rFonts w:ascii="Times New Roman" w:hAnsi="Times New Roman" w:cs="Times New Roman"/>
        </w:rPr>
        <w:t>Hearing Transcript at Vol. I, p</w:t>
      </w:r>
      <w:r w:rsidRPr="002A4C23" w:rsidR="00502280">
        <w:rPr>
          <w:rFonts w:ascii="Times New Roman" w:hAnsi="Times New Roman" w:cs="Times New Roman"/>
        </w:rPr>
        <w:t>.</w:t>
      </w:r>
      <w:r w:rsidRPr="002A4C23" w:rsidR="00B37DB7">
        <w:rPr>
          <w:rFonts w:ascii="Times New Roman" w:hAnsi="Times New Roman" w:cs="Times New Roman"/>
        </w:rPr>
        <w:t xml:space="preserve"> 177</w:t>
      </w:r>
      <w:r w:rsidRPr="002A4C23" w:rsidR="008D0194">
        <w:rPr>
          <w:rFonts w:ascii="Times New Roman" w:hAnsi="Times New Roman" w:cs="Times New Roman"/>
        </w:rPr>
        <w:t xml:space="preserve"> (Jan. 26, 2022).</w:t>
      </w:r>
    </w:p>
  </w:footnote>
  <w:footnote w:id="6">
    <w:p w:rsidR="00B15313" w:rsidRPr="002A4C23" w:rsidP="002A4C23" w14:paraId="076632DA" w14:textId="3727E65F">
      <w:pPr>
        <w:pStyle w:val="FootnoteText"/>
        <w:spacing w:after="120"/>
        <w:rPr>
          <w:rFonts w:ascii="Times New Roman" w:hAnsi="Times New Roman" w:cs="Times New Roman"/>
          <w:i/>
          <w:iCs/>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8D0194">
        <w:rPr>
          <w:rFonts w:ascii="Times New Roman" w:hAnsi="Times New Roman" w:cs="Times New Roman"/>
          <w:i/>
          <w:iCs/>
        </w:rPr>
        <w:t>Id.</w:t>
      </w:r>
    </w:p>
  </w:footnote>
  <w:footnote w:id="7">
    <w:p w:rsidR="0041694E" w:rsidRPr="002A4C23" w:rsidP="002A4C23" w14:paraId="3387DBC0" w14:textId="0D5B6027">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251D1B">
        <w:rPr>
          <w:rFonts w:ascii="Times New Roman" w:hAnsi="Times New Roman" w:cs="Times New Roman"/>
        </w:rPr>
        <w:t xml:space="preserve">Staff </w:t>
      </w:r>
      <w:r w:rsidRPr="002A4C23">
        <w:rPr>
          <w:rFonts w:ascii="Times New Roman" w:hAnsi="Times New Roman" w:cs="Times New Roman"/>
        </w:rPr>
        <w:t>Post-Hearing Brief</w:t>
      </w:r>
      <w:r w:rsidRPr="002A4C23" w:rsidR="00251D1B">
        <w:rPr>
          <w:rFonts w:ascii="Times New Roman" w:hAnsi="Times New Roman" w:cs="Times New Roman"/>
        </w:rPr>
        <w:t xml:space="preserve"> at</w:t>
      </w:r>
      <w:r w:rsidRPr="002A4C23">
        <w:rPr>
          <w:rFonts w:ascii="Times New Roman" w:hAnsi="Times New Roman" w:cs="Times New Roman"/>
        </w:rPr>
        <w:t xml:space="preserve"> 10</w:t>
      </w:r>
      <w:r w:rsidRPr="002A4C23" w:rsidR="00251D1B">
        <w:rPr>
          <w:rFonts w:ascii="Times New Roman" w:hAnsi="Times New Roman" w:cs="Times New Roman"/>
        </w:rPr>
        <w:t xml:space="preserve"> (Mar. 18, 2022)</w:t>
      </w:r>
      <w:r w:rsidRPr="002A4C23">
        <w:rPr>
          <w:rFonts w:ascii="Times New Roman" w:hAnsi="Times New Roman" w:cs="Times New Roman"/>
        </w:rPr>
        <w:t>.</w:t>
      </w:r>
    </w:p>
  </w:footnote>
  <w:footnote w:id="8">
    <w:p w:rsidR="0041694E" w:rsidRPr="002A4C23" w:rsidP="002A4C23" w14:paraId="3882B1D3" w14:textId="03AF7013">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251D1B">
        <w:rPr>
          <w:rFonts w:ascii="Times New Roman" w:hAnsi="Times New Roman" w:cs="Times New Roman"/>
        </w:rPr>
        <w:t>Direct Testimony of Michael P. Haugh (OCC Ex. 21), filed Dec. 29, 2021, Attachment MPH-3 at 1.</w:t>
      </w:r>
    </w:p>
  </w:footnote>
  <w:footnote w:id="9">
    <w:p w:rsidR="0041694E" w:rsidRPr="002A4C23" w:rsidP="002A4C23" w14:paraId="00DE2788" w14:textId="3064C82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Style w:val="fontstyle01"/>
          <w:rFonts w:ascii="Times New Roman" w:hAnsi="Times New Roman" w:cs="Times New Roman"/>
          <w:sz w:val="20"/>
          <w:szCs w:val="20"/>
        </w:rPr>
        <w:t>Hearing Transcript at Vol. VI, p. 1699:4</w:t>
      </w:r>
      <w:r w:rsidRPr="002A4C23" w:rsidR="00502280">
        <w:rPr>
          <w:rStyle w:val="fontstyle01"/>
          <w:rFonts w:ascii="Times New Roman" w:hAnsi="Times New Roman" w:cs="Times New Roman"/>
          <w:sz w:val="20"/>
          <w:szCs w:val="20"/>
        </w:rPr>
        <w:t>-</w:t>
      </w:r>
      <w:r w:rsidRPr="002A4C23">
        <w:rPr>
          <w:rStyle w:val="fontstyle01"/>
          <w:rFonts w:ascii="Times New Roman" w:hAnsi="Times New Roman" w:cs="Times New Roman"/>
          <w:sz w:val="20"/>
          <w:szCs w:val="20"/>
        </w:rPr>
        <w:t>14</w:t>
      </w:r>
      <w:r w:rsidRPr="002A4C23" w:rsidR="00251D1B">
        <w:rPr>
          <w:rStyle w:val="fontstyle01"/>
          <w:rFonts w:ascii="Times New Roman" w:hAnsi="Times New Roman" w:cs="Times New Roman"/>
          <w:sz w:val="20"/>
          <w:szCs w:val="20"/>
        </w:rPr>
        <w:t xml:space="preserve"> (Feb. 17, 2022).</w:t>
      </w:r>
    </w:p>
  </w:footnote>
  <w:footnote w:id="10">
    <w:p w:rsidR="0041694E" w:rsidRPr="002A4C23" w:rsidP="002A4C23" w14:paraId="01002E53" w14:textId="09AD0DC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Vol. I, p. 175:6</w:t>
      </w:r>
      <w:r w:rsidRPr="002A4C23" w:rsidR="00502280">
        <w:rPr>
          <w:rFonts w:ascii="Times New Roman" w:hAnsi="Times New Roman" w:cs="Times New Roman"/>
        </w:rPr>
        <w:t xml:space="preserve"> – </w:t>
      </w:r>
      <w:r w:rsidRPr="002A4C23">
        <w:rPr>
          <w:rFonts w:ascii="Times New Roman" w:hAnsi="Times New Roman" w:cs="Times New Roman"/>
        </w:rPr>
        <w:t>177:2</w:t>
      </w:r>
      <w:r w:rsidRPr="002A4C23" w:rsidR="009F5F5A">
        <w:rPr>
          <w:rFonts w:ascii="Times New Roman" w:hAnsi="Times New Roman" w:cs="Times New Roman"/>
        </w:rPr>
        <w:t xml:space="preserve"> (Jan. 26, 2022).</w:t>
      </w:r>
    </w:p>
  </w:footnote>
  <w:footnote w:id="11">
    <w:p w:rsidR="0041694E" w:rsidRPr="002A4C23" w:rsidP="002A4C23" w14:paraId="739341CD" w14:textId="2D45FFD0">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OCC Ex. 27 at 3 and 16; Hearing Transcript at Vol. VI, p. 177:10</w:t>
      </w:r>
      <w:r w:rsidRPr="002A4C23" w:rsidR="00502280">
        <w:rPr>
          <w:rFonts w:ascii="Times New Roman" w:hAnsi="Times New Roman" w:cs="Times New Roman"/>
        </w:rPr>
        <w:t>-</w:t>
      </w:r>
      <w:r w:rsidRPr="002A4C23">
        <w:rPr>
          <w:rFonts w:ascii="Times New Roman" w:hAnsi="Times New Roman" w:cs="Times New Roman"/>
        </w:rPr>
        <w:t>11; Hearing</w:t>
      </w:r>
      <w:r w:rsidRPr="002A4C23" w:rsidR="0066409E">
        <w:rPr>
          <w:rFonts w:ascii="Times New Roman" w:hAnsi="Times New Roman" w:cs="Times New Roman"/>
        </w:rPr>
        <w:t xml:space="preserve"> </w:t>
      </w:r>
      <w:r w:rsidRPr="002A4C23">
        <w:rPr>
          <w:rFonts w:ascii="Times New Roman" w:hAnsi="Times New Roman" w:cs="Times New Roman"/>
        </w:rPr>
        <w:t>Transcript at Vol. VI, p. 1578:3 – 1579:19</w:t>
      </w:r>
      <w:r w:rsidRPr="002A4C23" w:rsidR="009F5F5A">
        <w:rPr>
          <w:rFonts w:ascii="Times New Roman" w:hAnsi="Times New Roman" w:cs="Times New Roman"/>
        </w:rPr>
        <w:t xml:space="preserve"> (Feb. 17, 2022).</w:t>
      </w:r>
    </w:p>
  </w:footnote>
  <w:footnote w:id="12">
    <w:p w:rsidR="008D0194" w:rsidRPr="002A4C23" w:rsidP="002A4C23" w14:paraId="05F4C27E" w14:textId="456E2CF5">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Direct Testimony of Michael P. Haugh (OCC Ex. 21), filed Dec. 29, 2021, Attachment MPH-3 at 1.</w:t>
      </w:r>
    </w:p>
  </w:footnote>
  <w:footnote w:id="13">
    <w:p w:rsidR="00563E25" w:rsidRPr="002A4C23" w:rsidP="002A4C23" w14:paraId="086547DA" w14:textId="4E6CF7E0">
      <w:pPr>
        <w:pStyle w:val="FootnoteText"/>
        <w:spacing w:after="120"/>
        <w:rPr>
          <w:rFonts w:ascii="Times New Roman" w:hAnsi="Times New Roman" w:cs="Times New Roman"/>
          <w:i/>
          <w:iCs/>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8D0194">
        <w:rPr>
          <w:rFonts w:ascii="Times New Roman" w:hAnsi="Times New Roman" w:cs="Times New Roman"/>
          <w:i/>
          <w:iCs/>
        </w:rPr>
        <w:t>Id.</w:t>
      </w:r>
    </w:p>
  </w:footnote>
  <w:footnote w:id="14">
    <w:p w:rsidR="007A49EA" w:rsidRPr="002A4C23" w:rsidP="002A4C23" w14:paraId="107050B4" w14:textId="20B72845">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Style w:val="fontstyle01"/>
          <w:rFonts w:ascii="Times New Roman" w:hAnsi="Times New Roman" w:cs="Times New Roman"/>
          <w:sz w:val="20"/>
          <w:szCs w:val="20"/>
        </w:rPr>
        <w:t xml:space="preserve">Hearing Transcript at Vol. I at </w:t>
      </w:r>
      <w:r w:rsidRPr="002A4C23" w:rsidR="00502280">
        <w:rPr>
          <w:rStyle w:val="fontstyle01"/>
          <w:rFonts w:ascii="Times New Roman" w:hAnsi="Times New Roman" w:cs="Times New Roman"/>
          <w:sz w:val="20"/>
          <w:szCs w:val="20"/>
        </w:rPr>
        <w:t xml:space="preserve">p. </w:t>
      </w:r>
      <w:r w:rsidRPr="002A4C23">
        <w:rPr>
          <w:rStyle w:val="fontstyle01"/>
          <w:rFonts w:ascii="Times New Roman" w:hAnsi="Times New Roman" w:cs="Times New Roman"/>
          <w:sz w:val="20"/>
          <w:szCs w:val="20"/>
        </w:rPr>
        <w:t>177:10-12 (Jan. 26, 2022).</w:t>
      </w:r>
    </w:p>
  </w:footnote>
  <w:footnote w:id="15">
    <w:p w:rsidR="00061AFA" w:rsidRPr="002A4C23" w:rsidP="002A4C23" w14:paraId="6C5CC6DA" w14:textId="719936BE">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Staff Ex. 1 (Audit Report) at 8.</w:t>
      </w:r>
    </w:p>
  </w:footnote>
  <w:footnote w:id="16">
    <w:p w:rsidR="00061AFA" w:rsidRPr="002A4C23" w:rsidP="002A4C23" w14:paraId="56083A14" w14:textId="58C4FBAE">
      <w:pPr>
        <w:pStyle w:val="FootnoteText"/>
        <w:spacing w:after="120"/>
        <w:rPr>
          <w:rFonts w:ascii="Times New Roman" w:hAnsi="Times New Roman" w:cs="Times New Roman"/>
          <w:i/>
          <w:iCs/>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p>
  </w:footnote>
  <w:footnote w:id="17">
    <w:p w:rsidR="00061AFA" w:rsidRPr="002A4C23" w:rsidP="002A4C23" w14:paraId="23AC7828" w14:textId="76B646F2">
      <w:pPr>
        <w:pStyle w:val="FootnoteText"/>
        <w:spacing w:after="120"/>
        <w:rPr>
          <w:rFonts w:ascii="Times New Roman" w:hAnsi="Times New Roman" w:cs="Times New Roman"/>
          <w:i/>
          <w:iCs/>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p>
  </w:footnote>
  <w:footnote w:id="18">
    <w:p w:rsidR="00337F87" w:rsidRPr="002A4C23" w:rsidP="002A4C23" w14:paraId="0A171708" w14:textId="719936BE">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32 and 33</w:t>
      </w:r>
      <w:r w:rsidRPr="002A4C23" w:rsidR="00A94BF1">
        <w:rPr>
          <w:rFonts w:ascii="Times New Roman" w:hAnsi="Times New Roman" w:cs="Times New Roman"/>
        </w:rPr>
        <w:t>.</w:t>
      </w:r>
    </w:p>
  </w:footnote>
  <w:footnote w:id="19">
    <w:p w:rsidR="00337F87" w:rsidRPr="002A4C23" w:rsidP="002A4C23" w14:paraId="7BB6AE06" w14:textId="219EBC64">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34</w:t>
      </w:r>
      <w:r w:rsidRPr="002A4C23" w:rsidR="00A94BF1">
        <w:rPr>
          <w:rFonts w:ascii="Times New Roman" w:hAnsi="Times New Roman" w:cs="Times New Roman"/>
        </w:rPr>
        <w:t>.</w:t>
      </w:r>
    </w:p>
  </w:footnote>
  <w:footnote w:id="20">
    <w:p w:rsidR="00337F87" w:rsidRPr="002A4C23" w:rsidP="002A4C23" w14:paraId="2C6FEA71" w14:textId="61AE1820">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35</w:t>
      </w:r>
      <w:r w:rsidRPr="002A4C23" w:rsidR="00A94BF1">
        <w:rPr>
          <w:rFonts w:ascii="Times New Roman" w:hAnsi="Times New Roman" w:cs="Times New Roman"/>
        </w:rPr>
        <w:t>.</w:t>
      </w:r>
    </w:p>
  </w:footnote>
  <w:footnote w:id="21">
    <w:p w:rsidR="00337F87" w:rsidRPr="002A4C23" w:rsidP="002A4C23" w14:paraId="7E118436" w14:textId="6EE06E9F">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7</w:t>
      </w:r>
      <w:r w:rsidRPr="002A4C23" w:rsidR="00A94BF1">
        <w:rPr>
          <w:rFonts w:ascii="Times New Roman" w:hAnsi="Times New Roman" w:cs="Times New Roman"/>
        </w:rPr>
        <w:t>.</w:t>
      </w:r>
    </w:p>
  </w:footnote>
  <w:footnote w:id="22">
    <w:p w:rsidR="00337F87" w:rsidRPr="002A4C23" w:rsidP="002A4C23" w14:paraId="0D33DA68" w14:textId="6D5D080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color w:val="231F20"/>
        </w:rPr>
        <w:t>Entry (Jan. 15, 2020)</w:t>
      </w:r>
      <w:r w:rsidRPr="002A4C23" w:rsidR="009F5F5A">
        <w:rPr>
          <w:rFonts w:ascii="Times New Roman" w:hAnsi="Times New Roman" w:cs="Times New Roman"/>
          <w:color w:val="231F20"/>
        </w:rPr>
        <w:t>.</w:t>
      </w:r>
    </w:p>
  </w:footnote>
  <w:footnote w:id="23">
    <w:p w:rsidR="00337F87" w:rsidRPr="002A4C23" w:rsidP="002A4C23" w14:paraId="6180DB6E" w14:textId="0A4DFFD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RFP at 4</w:t>
      </w:r>
      <w:r w:rsidRPr="002A4C23" w:rsidR="009F5F5A">
        <w:rPr>
          <w:rFonts w:ascii="Times New Roman" w:hAnsi="Times New Roman" w:cs="Times New Roman"/>
        </w:rPr>
        <w:t>.</w:t>
      </w:r>
    </w:p>
  </w:footnote>
  <w:footnote w:id="24">
    <w:p w:rsidR="00337F87" w:rsidRPr="002A4C23" w:rsidP="002A4C23" w14:paraId="34809E60" w14:textId="250A4A2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color w:val="231F20"/>
        </w:rPr>
        <w:t>Black’s Law Dictionary Online</w:t>
      </w:r>
      <w:r w:rsidRPr="002A4C23" w:rsidR="009F5F5A">
        <w:rPr>
          <w:rFonts w:ascii="Times New Roman" w:hAnsi="Times New Roman" w:cs="Times New Roman"/>
          <w:color w:val="231F20"/>
        </w:rPr>
        <w:t>.</w:t>
      </w:r>
    </w:p>
  </w:footnote>
  <w:footnote w:id="25">
    <w:p w:rsidR="00337F87" w:rsidRPr="002A4C23" w:rsidP="002A4C23" w14:paraId="2F97818A" w14:textId="46A1D33C">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9F5F5A">
        <w:rPr>
          <w:rFonts w:ascii="Times New Roman" w:hAnsi="Times New Roman" w:cs="Times New Roman"/>
        </w:rPr>
        <w:t>OCC Ex. 14, Direct Testimony of Devi Glick at 26 (Dec. 29, 2021).</w:t>
      </w:r>
    </w:p>
  </w:footnote>
  <w:footnote w:id="26">
    <w:p w:rsidR="00FA1912" w:rsidRPr="002A4C23" w:rsidP="002A4C23" w14:paraId="14DE3516" w14:textId="5B64A626">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9F5F5A">
        <w:rPr>
          <w:rFonts w:ascii="Times New Roman" w:hAnsi="Times New Roman" w:cs="Times New Roman"/>
        </w:rPr>
        <w:t>OCC Initial</w:t>
      </w:r>
      <w:r w:rsidRPr="002A4C23">
        <w:rPr>
          <w:rFonts w:ascii="Times New Roman" w:hAnsi="Times New Roman" w:cs="Times New Roman"/>
        </w:rPr>
        <w:t xml:space="preserve"> Brief at p. 40</w:t>
      </w:r>
      <w:r w:rsidRPr="002A4C23" w:rsidR="009F5F5A">
        <w:rPr>
          <w:rFonts w:ascii="Times New Roman" w:hAnsi="Times New Roman" w:cs="Times New Roman"/>
        </w:rPr>
        <w:t xml:space="preserve"> (Mar. 18, 2022).</w:t>
      </w:r>
    </w:p>
  </w:footnote>
  <w:footnote w:id="27">
    <w:p w:rsidR="00FA1912" w:rsidRPr="002A4C23" w:rsidP="002A4C23" w14:paraId="3E4288A1" w14:textId="4C96FEA5">
      <w:pPr>
        <w:pStyle w:val="FootnoteText"/>
        <w:spacing w:after="120"/>
        <w:rPr>
          <w:rFonts w:ascii="Times New Roman" w:hAnsi="Times New Roman" w:cs="Times New Roman"/>
          <w:sz w:val="22"/>
          <w:szCs w:val="22"/>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41</w:t>
      </w:r>
      <w:r w:rsidRPr="002A4C23" w:rsidR="009F5F5A">
        <w:rPr>
          <w:rFonts w:ascii="Times New Roman" w:hAnsi="Times New Roman" w:cs="Times New Roman"/>
        </w:rPr>
        <w:t>.</w:t>
      </w:r>
    </w:p>
  </w:footnote>
  <w:footnote w:id="28">
    <w:p w:rsidR="00FA1912" w:rsidRPr="002A4C23" w:rsidP="002A4C23" w14:paraId="076260D7" w14:textId="70C2C5B7">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sidR="009F5F5A">
        <w:rPr>
          <w:rFonts w:ascii="Times New Roman" w:hAnsi="Times New Roman" w:cs="Times New Roman"/>
        </w:rPr>
        <w:t xml:space="preserve"> Direct Testimony of Devi Glick (OCC Ex. 14) at 18 (Dec. 29, 2021).</w:t>
      </w:r>
    </w:p>
  </w:footnote>
  <w:footnote w:id="29">
    <w:p w:rsidR="00DD3776" w:rsidRPr="002A4C23" w:rsidP="002A4C23" w14:paraId="222F831D" w14:textId="1FED7A1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w:t>
      </w:r>
    </w:p>
  </w:footnote>
  <w:footnote w:id="30">
    <w:p w:rsidR="00FA1912" w:rsidRPr="002A4C23" w:rsidP="002A4C23" w14:paraId="6B969DE9" w14:textId="11579FF3">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9F5F5A">
        <w:rPr>
          <w:rFonts w:ascii="Times New Roman" w:hAnsi="Times New Roman" w:cs="Times New Roman"/>
        </w:rPr>
        <w:t>Direct Testimony of Michael P. Haugh (OCC Ex. 21), at 27-32 (Dec. 29, 2021</w:t>
      </w:r>
      <w:r w:rsidRPr="002A4C23" w:rsidR="006B5EF0">
        <w:rPr>
          <w:rFonts w:ascii="Times New Roman" w:hAnsi="Times New Roman" w:cs="Times New Roman"/>
          <w:color w:val="231F20"/>
        </w:rPr>
        <w:t>).</w:t>
      </w:r>
    </w:p>
  </w:footnote>
  <w:footnote w:id="31">
    <w:p w:rsidR="00FA1912" w:rsidRPr="002A4C23" w:rsidP="002A4C23" w14:paraId="243A9D95" w14:textId="1E34282C">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6B5EF0">
        <w:rPr>
          <w:rFonts w:ascii="Times New Roman" w:hAnsi="Times New Roman" w:cs="Times New Roman"/>
        </w:rPr>
        <w:t>OCC Initial</w:t>
      </w:r>
      <w:r w:rsidRPr="002A4C23">
        <w:rPr>
          <w:rFonts w:ascii="Times New Roman" w:hAnsi="Times New Roman" w:cs="Times New Roman"/>
        </w:rPr>
        <w:t xml:space="preserve"> Brief at 47</w:t>
      </w:r>
      <w:r w:rsidRPr="002A4C23" w:rsidR="006B5EF0">
        <w:rPr>
          <w:rFonts w:ascii="Times New Roman" w:hAnsi="Times New Roman" w:cs="Times New Roman"/>
        </w:rPr>
        <w:t xml:space="preserve"> (Mar. 18, 2022).</w:t>
      </w:r>
    </w:p>
  </w:footnote>
  <w:footnote w:id="32">
    <w:p w:rsidR="00FA1912" w:rsidRPr="002A4C23" w:rsidP="002A4C23" w14:paraId="163452BD" w14:textId="2D909877">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p. 48</w:t>
      </w:r>
      <w:r w:rsidRPr="002A4C23" w:rsidR="00502280">
        <w:rPr>
          <w:rFonts w:ascii="Times New Roman" w:hAnsi="Times New Roman" w:cs="Times New Roman"/>
        </w:rPr>
        <w:t>.</w:t>
      </w:r>
    </w:p>
  </w:footnote>
  <w:footnote w:id="33">
    <w:p w:rsidR="00FA1912" w:rsidRPr="002A4C23" w:rsidP="002A4C23" w14:paraId="50D6B5C2" w14:textId="1F35C5F4">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 at p. 49</w:t>
      </w:r>
      <w:r w:rsidRPr="002A4C23" w:rsidR="00502280">
        <w:rPr>
          <w:rFonts w:ascii="Times New Roman" w:hAnsi="Times New Roman" w:cs="Times New Roman"/>
        </w:rPr>
        <w:t>.</w:t>
      </w:r>
    </w:p>
  </w:footnote>
  <w:footnote w:id="34">
    <w:p w:rsidR="00FA1912" w:rsidRPr="002A4C23" w:rsidP="002A4C23" w14:paraId="5E15613B" w14:textId="6C085A4B">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color w:val="231F20"/>
        </w:rPr>
        <w:t>Hearing Transcript at Vol. III, p. 782:9 – 783:23</w:t>
      </w:r>
      <w:r w:rsidRPr="002A4C23" w:rsidR="006B5EF0">
        <w:rPr>
          <w:rFonts w:ascii="Times New Roman" w:hAnsi="Times New Roman" w:cs="Times New Roman"/>
          <w:color w:val="231F20"/>
        </w:rPr>
        <w:t xml:space="preserve"> (Jan. 28, 2022)</w:t>
      </w:r>
      <w:r w:rsidRPr="002A4C23">
        <w:rPr>
          <w:rFonts w:ascii="Times New Roman" w:hAnsi="Times New Roman" w:cs="Times New Roman"/>
          <w:color w:val="231F20"/>
        </w:rPr>
        <w:t xml:space="preserve">. </w:t>
      </w:r>
      <w:r w:rsidRPr="002A4C23">
        <w:rPr>
          <w:rFonts w:ascii="Times New Roman" w:hAnsi="Times New Roman" w:cs="Times New Roman"/>
          <w:i/>
          <w:iCs/>
          <w:color w:val="231F20"/>
        </w:rPr>
        <w:t xml:space="preserve">See also </w:t>
      </w:r>
      <w:r w:rsidRPr="002A4C23">
        <w:rPr>
          <w:rFonts w:ascii="Times New Roman" w:hAnsi="Times New Roman" w:cs="Times New Roman"/>
          <w:color w:val="231F20"/>
        </w:rPr>
        <w:t>Direct Testimony of Dr.</w:t>
      </w:r>
      <w:r w:rsidRPr="002A4C23">
        <w:rPr>
          <w:rFonts w:ascii="Times New Roman" w:hAnsi="Times New Roman" w:cs="Times New Roman"/>
          <w:color w:val="231F20"/>
        </w:rPr>
        <w:br/>
        <w:t>Jeremy I. Fisher, PhD at 18:3</w:t>
      </w:r>
      <w:r w:rsidRPr="002A4C23" w:rsidR="00502280">
        <w:rPr>
          <w:rFonts w:ascii="Times New Roman" w:hAnsi="Times New Roman" w:cs="Times New Roman"/>
          <w:color w:val="231F20"/>
        </w:rPr>
        <w:t>-</w:t>
      </w:r>
      <w:r w:rsidRPr="002A4C23">
        <w:rPr>
          <w:rFonts w:ascii="Times New Roman" w:hAnsi="Times New Roman" w:cs="Times New Roman"/>
          <w:color w:val="231F20"/>
        </w:rPr>
        <w:t>20 (Dec. 29, 2021)</w:t>
      </w:r>
      <w:r w:rsidRPr="002A4C23" w:rsidR="00502280">
        <w:rPr>
          <w:rFonts w:ascii="Times New Roman" w:hAnsi="Times New Roman" w:cs="Times New Roman"/>
          <w:color w:val="231F20"/>
        </w:rPr>
        <w:t>.</w:t>
      </w:r>
    </w:p>
  </w:footnote>
  <w:footnote w:id="35">
    <w:p w:rsidR="00061AFA" w:rsidRPr="002A4C23" w:rsidP="002A4C23" w14:paraId="59A28A37" w14:textId="3F294471">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C547E3">
        <w:rPr>
          <w:rFonts w:ascii="Times New Roman" w:hAnsi="Times New Roman" w:cs="Times New Roman"/>
          <w:i/>
          <w:iCs/>
        </w:rPr>
        <w:t>In the Matter of the Application Seeking Approval of Ohio Power Company’s Proposal to Enter into an Affiliate Purchase Power Agreement</w:t>
      </w:r>
      <w:r w:rsidRPr="002A4C23" w:rsidR="00C547E3">
        <w:rPr>
          <w:rFonts w:ascii="Times New Roman" w:hAnsi="Times New Roman" w:cs="Times New Roman"/>
        </w:rPr>
        <w:t>, Case No. 14-1693-EL-RDR, Opinion and Order, Concurring Opinion of Chairman Haque at 5 (Mar. 31, 2016).</w:t>
      </w:r>
    </w:p>
  </w:footnote>
  <w:footnote w:id="36">
    <w:p w:rsidR="00DD3776" w:rsidRPr="002A4C23" w:rsidP="002A4C23" w14:paraId="2479C62A" w14:textId="5238151E">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6B5EF0">
        <w:rPr>
          <w:rFonts w:ascii="Times New Roman" w:hAnsi="Times New Roman" w:cs="Times New Roman"/>
        </w:rPr>
        <w:t>OCC Initial</w:t>
      </w:r>
      <w:r w:rsidRPr="002A4C23">
        <w:rPr>
          <w:rFonts w:ascii="Times New Roman" w:hAnsi="Times New Roman" w:cs="Times New Roman"/>
        </w:rPr>
        <w:t xml:space="preserve"> Brief at 39</w:t>
      </w:r>
      <w:r w:rsidRPr="002A4C23" w:rsidR="006B5EF0">
        <w:rPr>
          <w:rFonts w:ascii="Times New Roman" w:hAnsi="Times New Roman" w:cs="Times New Roman"/>
        </w:rPr>
        <w:t xml:space="preserve"> (Mar. 18, 2022).</w:t>
      </w:r>
    </w:p>
  </w:footnote>
  <w:footnote w:id="37">
    <w:p w:rsidR="00DD3776" w:rsidRPr="002A4C23" w:rsidP="002A4C23" w14:paraId="4CBAD452" w14:textId="439923AF">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6B5EF0">
        <w:rPr>
          <w:rFonts w:ascii="Times New Roman" w:hAnsi="Times New Roman" w:cs="Times New Roman"/>
          <w:i/>
          <w:iCs/>
        </w:rPr>
        <w:t>Id.</w:t>
      </w:r>
      <w:r w:rsidRPr="002A4C23">
        <w:rPr>
          <w:rFonts w:ascii="Times New Roman" w:hAnsi="Times New Roman" w:cs="Times New Roman"/>
        </w:rPr>
        <w:t xml:space="preserve"> at 40</w:t>
      </w:r>
      <w:r w:rsidRPr="002A4C23" w:rsidR="006B5EF0">
        <w:rPr>
          <w:rFonts w:ascii="Times New Roman" w:hAnsi="Times New Roman" w:cs="Times New Roman"/>
        </w:rPr>
        <w:t>.</w:t>
      </w:r>
    </w:p>
  </w:footnote>
  <w:footnote w:id="38">
    <w:p w:rsidR="00DD3776" w:rsidRPr="002A4C23" w:rsidP="002A4C23" w14:paraId="06819A07" w14:textId="51CEA093">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6B5EF0">
        <w:rPr>
          <w:rFonts w:ascii="Times New Roman" w:hAnsi="Times New Roman" w:cs="Times New Roman"/>
          <w:i/>
          <w:iCs/>
          <w:color w:val="231F20"/>
        </w:rPr>
        <w:t>In the Matter of the Application Seeking Approval of Ohio Power Company’s Proposal</w:t>
      </w:r>
      <w:r w:rsidRPr="002A4C23" w:rsidR="0066409E">
        <w:rPr>
          <w:rFonts w:ascii="Times New Roman" w:hAnsi="Times New Roman" w:cs="Times New Roman"/>
          <w:i/>
          <w:iCs/>
          <w:color w:val="231F20"/>
        </w:rPr>
        <w:t xml:space="preserve"> </w:t>
      </w:r>
      <w:r w:rsidRPr="002A4C23" w:rsidR="006B5EF0">
        <w:rPr>
          <w:rFonts w:ascii="Times New Roman" w:hAnsi="Times New Roman" w:cs="Times New Roman"/>
          <w:i/>
          <w:iCs/>
          <w:color w:val="231F20"/>
        </w:rPr>
        <w:t>to Enter into an Affiliate Power Purchase Agreement for Inclusion in the Power</w:t>
      </w:r>
      <w:r w:rsidRPr="002A4C23" w:rsidR="0066409E">
        <w:rPr>
          <w:rFonts w:ascii="Times New Roman" w:hAnsi="Times New Roman" w:cs="Times New Roman"/>
          <w:i/>
          <w:iCs/>
          <w:color w:val="231F20"/>
        </w:rPr>
        <w:t xml:space="preserve"> </w:t>
      </w:r>
      <w:r w:rsidRPr="002A4C23" w:rsidR="006B5EF0">
        <w:rPr>
          <w:rFonts w:ascii="Times New Roman" w:hAnsi="Times New Roman" w:cs="Times New Roman"/>
          <w:i/>
          <w:iCs/>
          <w:color w:val="231F20"/>
        </w:rPr>
        <w:t xml:space="preserve">Purchase Agreement Rider, </w:t>
      </w:r>
      <w:r w:rsidRPr="002A4C23" w:rsidR="006B5EF0">
        <w:rPr>
          <w:rFonts w:ascii="Times New Roman" w:hAnsi="Times New Roman" w:cs="Times New Roman"/>
          <w:color w:val="231F20"/>
        </w:rPr>
        <w:t>Case No. 14-1693-EL-RDR, Opinion and Order at 83 (Mar. 31, 2016) (emphasis added).</w:t>
      </w:r>
    </w:p>
  </w:footnote>
  <w:footnote w:id="39">
    <w:p w:rsidR="00DD3776" w:rsidRPr="002A4C23" w:rsidP="002A4C23" w14:paraId="7337F9C4" w14:textId="7017AA8F">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sidR="006B5EF0">
        <w:rPr>
          <w:rFonts w:ascii="Times New Roman" w:hAnsi="Times New Roman" w:cs="Times New Roman"/>
        </w:rPr>
        <w:t>Direct Testimony of Devi Glick (OCC Ex. 14) at 37 (Dec. 29, 2021).</w:t>
      </w:r>
    </w:p>
  </w:footnote>
  <w:footnote w:id="40">
    <w:p w:rsidR="00DD3776" w:rsidRPr="002A4C23" w:rsidP="002A4C23" w14:paraId="17F4B63E" w14:textId="2E660811">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rPr>
        <w:t>Id</w:t>
      </w:r>
      <w:r w:rsidRPr="002A4C23">
        <w:rPr>
          <w:rFonts w:ascii="Times New Roman" w:hAnsi="Times New Roman" w:cs="Times New Roman"/>
        </w:rPr>
        <w:t>.</w:t>
      </w:r>
    </w:p>
  </w:footnote>
  <w:footnote w:id="41">
    <w:p w:rsidR="00DD3776" w:rsidRPr="002A4C23" w:rsidP="002A4C23" w14:paraId="29B7408F" w14:textId="7DA5D54A">
      <w:pPr>
        <w:pStyle w:val="FootnoteText"/>
        <w:spacing w:after="120"/>
        <w:rPr>
          <w:rFonts w:ascii="Times New Roman" w:hAnsi="Times New Roman" w:cs="Times New Roman"/>
        </w:rPr>
      </w:pPr>
      <w:r w:rsidRPr="002A4C23">
        <w:rPr>
          <w:rStyle w:val="FootnoteReference"/>
          <w:rFonts w:ascii="Times New Roman" w:hAnsi="Times New Roman" w:cs="Times New Roman"/>
        </w:rPr>
        <w:footnoteRef/>
      </w:r>
      <w:r w:rsidRPr="002A4C23">
        <w:rPr>
          <w:rFonts w:ascii="Times New Roman" w:hAnsi="Times New Roman" w:cs="Times New Roman"/>
        </w:rPr>
        <w:t xml:space="preserve"> </w:t>
      </w:r>
      <w:r w:rsidRPr="002A4C23">
        <w:rPr>
          <w:rFonts w:ascii="Times New Roman" w:hAnsi="Times New Roman" w:cs="Times New Roman"/>
          <w:i/>
          <w:iCs/>
          <w:color w:val="231F20"/>
        </w:rPr>
        <w:t>In the Matter of the Application Seeking Approval of Ohio Power Company’s Proposal</w:t>
      </w:r>
      <w:r w:rsidRPr="002A4C23" w:rsidR="0066409E">
        <w:rPr>
          <w:rFonts w:ascii="Times New Roman" w:hAnsi="Times New Roman" w:cs="Times New Roman"/>
          <w:i/>
          <w:iCs/>
          <w:color w:val="231F20"/>
        </w:rPr>
        <w:t xml:space="preserve"> </w:t>
      </w:r>
      <w:r w:rsidRPr="002A4C23">
        <w:rPr>
          <w:rFonts w:ascii="Times New Roman" w:hAnsi="Times New Roman" w:cs="Times New Roman"/>
          <w:i/>
          <w:iCs/>
          <w:color w:val="231F20"/>
        </w:rPr>
        <w:t>to Enter into an Affiliate Power Purchase Agreement for Inclusion in the Power</w:t>
      </w:r>
      <w:r w:rsidRPr="002A4C23" w:rsidR="0066409E">
        <w:rPr>
          <w:rFonts w:ascii="Times New Roman" w:hAnsi="Times New Roman" w:cs="Times New Roman"/>
          <w:i/>
          <w:iCs/>
          <w:color w:val="231F20"/>
        </w:rPr>
        <w:t xml:space="preserve"> </w:t>
      </w:r>
      <w:r w:rsidRPr="002A4C23">
        <w:rPr>
          <w:rFonts w:ascii="Times New Roman" w:hAnsi="Times New Roman" w:cs="Times New Roman"/>
          <w:i/>
          <w:iCs/>
          <w:color w:val="231F20"/>
        </w:rPr>
        <w:t xml:space="preserve">Purchase Agreement Rider, </w:t>
      </w:r>
      <w:r w:rsidRPr="002A4C23">
        <w:rPr>
          <w:rFonts w:ascii="Times New Roman" w:hAnsi="Times New Roman" w:cs="Times New Roman"/>
          <w:color w:val="231F20"/>
        </w:rPr>
        <w:t>Case No. 14-1693-EL-RDR, Fifth Entry on Rehearing at 31</w:t>
      </w:r>
      <w:r w:rsidRPr="002A4C23" w:rsidR="005F507C">
        <w:rPr>
          <w:rFonts w:ascii="Times New Roman" w:hAnsi="Times New Roman" w:cs="Times New Roman"/>
          <w:color w:val="231F20"/>
        </w:rPr>
        <w:t xml:space="preserve"> </w:t>
      </w:r>
      <w:r w:rsidRPr="002A4C23">
        <w:rPr>
          <w:rFonts w:ascii="Times New Roman" w:hAnsi="Times New Roman" w:cs="Times New Roman"/>
          <w:color w:val="231F20"/>
        </w:rPr>
        <w:t>(Apr. 5, 2017)</w:t>
      </w:r>
      <w:r w:rsidRPr="002A4C23" w:rsidR="006B5EF0">
        <w:rPr>
          <w:rFonts w:ascii="Times New Roman" w:hAnsi="Times New Roman" w:cs="Times New Roman"/>
          <w:color w:val="231F20"/>
        </w:rPr>
        <w:t>.</w:t>
      </w:r>
    </w:p>
  </w:footnote>
  <w:footnote w:id="42">
    <w:p w:rsidR="00DB4CAF" w:rsidRPr="002A4C23" w:rsidP="002A4C23" w14:paraId="05AE370C" w14:textId="34EE8D17">
      <w:pPr>
        <w:pStyle w:val="FootnoteText"/>
        <w:spacing w:after="120"/>
        <w:rPr>
          <w:rFonts w:ascii="Times New Roman" w:hAnsi="Times New Roman" w:cs="Times New Roman"/>
        </w:rPr>
      </w:pPr>
      <w:r w:rsidRPr="002A4C23">
        <w:rPr>
          <w:rStyle w:val="FootnoteReference"/>
          <w:rFonts w:ascii="Times New Roman" w:hAnsi="Times New Roman" w:cs="Times New Roman"/>
          <w:i/>
          <w:iCs/>
        </w:rPr>
        <w:footnoteRef/>
      </w:r>
      <w:r w:rsidRPr="002A4C23">
        <w:rPr>
          <w:rFonts w:ascii="Times New Roman" w:hAnsi="Times New Roman" w:cs="Times New Roman"/>
          <w:i/>
          <w:iCs/>
        </w:rPr>
        <w:t xml:space="preserve"> In the Matter of the Application Seeking Approval of Ohio Power Company’s Proposal to Enter into an Affiliate Purchase Power Agreement</w:t>
      </w:r>
      <w:r w:rsidRPr="002A4C23">
        <w:rPr>
          <w:rFonts w:ascii="Times New Roman" w:hAnsi="Times New Roman" w:cs="Times New Roman"/>
        </w:rPr>
        <w:t>, Case</w:t>
      </w:r>
      <w:r w:rsidRPr="002A4C23" w:rsidR="003B538E">
        <w:rPr>
          <w:rFonts w:ascii="Times New Roman" w:hAnsi="Times New Roman" w:cs="Times New Roman"/>
        </w:rPr>
        <w:t xml:space="preserve"> No.</w:t>
      </w:r>
      <w:r w:rsidRPr="002A4C23">
        <w:rPr>
          <w:rFonts w:ascii="Times New Roman" w:hAnsi="Times New Roman" w:cs="Times New Roman"/>
        </w:rPr>
        <w:t xml:space="preserve"> 14-1693-EL-RDR, Opinion and Order, Concurring Opinion of</w:t>
      </w:r>
      <w:r w:rsidR="004B3AF9">
        <w:rPr>
          <w:rFonts w:ascii="Times New Roman" w:hAnsi="Times New Roman" w:cs="Times New Roman"/>
        </w:rPr>
        <w:t xml:space="preserve"> </w:t>
      </w:r>
      <w:r w:rsidRPr="002A4C23" w:rsidR="003B538E">
        <w:rPr>
          <w:rFonts w:ascii="Times New Roman" w:hAnsi="Times New Roman" w:cs="Times New Roman"/>
        </w:rPr>
        <w:t>Commissioner M. Beth Trombold at 2 (Mar. 31,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E0D303C"/>
    <w:multiLevelType w:val="hybridMultilevel"/>
    <w:tmpl w:val="55AE54E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0D"/>
    <w:rsid w:val="00033EC5"/>
    <w:rsid w:val="00061AFA"/>
    <w:rsid w:val="00063BAA"/>
    <w:rsid w:val="00063E17"/>
    <w:rsid w:val="000806ED"/>
    <w:rsid w:val="000930ED"/>
    <w:rsid w:val="00094DFD"/>
    <w:rsid w:val="000A3C7E"/>
    <w:rsid w:val="000A739C"/>
    <w:rsid w:val="000D7F5D"/>
    <w:rsid w:val="001611CD"/>
    <w:rsid w:val="00174DEE"/>
    <w:rsid w:val="001D5E75"/>
    <w:rsid w:val="0023457E"/>
    <w:rsid w:val="00251D1B"/>
    <w:rsid w:val="002A4C23"/>
    <w:rsid w:val="002A57FA"/>
    <w:rsid w:val="002C4205"/>
    <w:rsid w:val="002E2470"/>
    <w:rsid w:val="00304BFE"/>
    <w:rsid w:val="003079F7"/>
    <w:rsid w:val="00326AA5"/>
    <w:rsid w:val="00337F87"/>
    <w:rsid w:val="003543C3"/>
    <w:rsid w:val="003B538E"/>
    <w:rsid w:val="003D5048"/>
    <w:rsid w:val="003E29E7"/>
    <w:rsid w:val="004148E4"/>
    <w:rsid w:val="0041694E"/>
    <w:rsid w:val="00420141"/>
    <w:rsid w:val="00432123"/>
    <w:rsid w:val="00481D3D"/>
    <w:rsid w:val="00495EDB"/>
    <w:rsid w:val="004B3AF9"/>
    <w:rsid w:val="004F76E7"/>
    <w:rsid w:val="00502280"/>
    <w:rsid w:val="00520CB4"/>
    <w:rsid w:val="0054570D"/>
    <w:rsid w:val="00563895"/>
    <w:rsid w:val="00563E25"/>
    <w:rsid w:val="005D1D83"/>
    <w:rsid w:val="005D36FB"/>
    <w:rsid w:val="005F507C"/>
    <w:rsid w:val="00627FBD"/>
    <w:rsid w:val="00660C88"/>
    <w:rsid w:val="0066409E"/>
    <w:rsid w:val="00690F80"/>
    <w:rsid w:val="006A4DB2"/>
    <w:rsid w:val="006B5EF0"/>
    <w:rsid w:val="006D2CF6"/>
    <w:rsid w:val="00720FC6"/>
    <w:rsid w:val="00733896"/>
    <w:rsid w:val="00756E79"/>
    <w:rsid w:val="00756FE5"/>
    <w:rsid w:val="00774732"/>
    <w:rsid w:val="00783E75"/>
    <w:rsid w:val="007A49EA"/>
    <w:rsid w:val="007E5AE1"/>
    <w:rsid w:val="0080446B"/>
    <w:rsid w:val="008519C8"/>
    <w:rsid w:val="00857B6E"/>
    <w:rsid w:val="00881D10"/>
    <w:rsid w:val="008C3A72"/>
    <w:rsid w:val="008D0194"/>
    <w:rsid w:val="008D5F57"/>
    <w:rsid w:val="008E64BB"/>
    <w:rsid w:val="008F1412"/>
    <w:rsid w:val="00900124"/>
    <w:rsid w:val="009020FA"/>
    <w:rsid w:val="0091255E"/>
    <w:rsid w:val="0092054E"/>
    <w:rsid w:val="009210C2"/>
    <w:rsid w:val="00950780"/>
    <w:rsid w:val="00982F07"/>
    <w:rsid w:val="009C656B"/>
    <w:rsid w:val="009E4F76"/>
    <w:rsid w:val="009F5F5A"/>
    <w:rsid w:val="00A15425"/>
    <w:rsid w:val="00A30FA3"/>
    <w:rsid w:val="00A35778"/>
    <w:rsid w:val="00A36619"/>
    <w:rsid w:val="00A82ED4"/>
    <w:rsid w:val="00A94BF1"/>
    <w:rsid w:val="00AA58DC"/>
    <w:rsid w:val="00AB3C03"/>
    <w:rsid w:val="00AC6213"/>
    <w:rsid w:val="00AD0D90"/>
    <w:rsid w:val="00AE5FB5"/>
    <w:rsid w:val="00B15313"/>
    <w:rsid w:val="00B23CBA"/>
    <w:rsid w:val="00B270B7"/>
    <w:rsid w:val="00B37DB7"/>
    <w:rsid w:val="00B527DB"/>
    <w:rsid w:val="00B533E1"/>
    <w:rsid w:val="00B9338E"/>
    <w:rsid w:val="00BA71DD"/>
    <w:rsid w:val="00BC6CEE"/>
    <w:rsid w:val="00C13DAE"/>
    <w:rsid w:val="00C547E3"/>
    <w:rsid w:val="00CC1901"/>
    <w:rsid w:val="00CD72E4"/>
    <w:rsid w:val="00D1549C"/>
    <w:rsid w:val="00D34ED7"/>
    <w:rsid w:val="00D44D29"/>
    <w:rsid w:val="00D53D96"/>
    <w:rsid w:val="00D671AF"/>
    <w:rsid w:val="00D729CC"/>
    <w:rsid w:val="00D8062C"/>
    <w:rsid w:val="00DA78DF"/>
    <w:rsid w:val="00DB4CAF"/>
    <w:rsid w:val="00DD3776"/>
    <w:rsid w:val="00E148C5"/>
    <w:rsid w:val="00E30548"/>
    <w:rsid w:val="00E35082"/>
    <w:rsid w:val="00E41ACB"/>
    <w:rsid w:val="00E676DD"/>
    <w:rsid w:val="00EC140D"/>
    <w:rsid w:val="00EE223D"/>
    <w:rsid w:val="00EE3A1C"/>
    <w:rsid w:val="00EF26C9"/>
    <w:rsid w:val="00F315DE"/>
    <w:rsid w:val="00F53D1B"/>
    <w:rsid w:val="00F6729D"/>
    <w:rsid w:val="00F67CC2"/>
    <w:rsid w:val="00FA1912"/>
    <w:rsid w:val="00FB0635"/>
    <w:rsid w:val="00FD302F"/>
    <w:rsid w:val="00FF01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BFE"/>
  </w:style>
  <w:style w:type="paragraph" w:styleId="Heading1">
    <w:name w:val="heading 1"/>
    <w:basedOn w:val="Normal"/>
    <w:next w:val="Normal"/>
    <w:link w:val="Heading1Char"/>
    <w:uiPriority w:val="9"/>
    <w:qFormat/>
    <w:rsid w:val="006D2CF6"/>
    <w:pPr>
      <w:keepNext/>
      <w:keepLines/>
      <w:spacing w:after="240" w:line="240" w:lineRule="auto"/>
      <w:ind w:left="720" w:hanging="720"/>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6A4DB2"/>
    <w:pPr>
      <w:keepNext/>
      <w:keepLines/>
      <w:spacing w:after="240" w:line="240" w:lineRule="auto"/>
      <w:ind w:left="1440" w:hanging="720"/>
      <w:outlineLvl w:val="1"/>
    </w:pPr>
    <w:rPr>
      <w:rFonts w:ascii="Times New Roman Bold" w:hAnsi="Times New Roman Bold" w:eastAsiaTheme="majorEastAsia" w:cstheme="majorBidi"/>
      <w:b/>
      <w:sz w:val="24"/>
      <w:szCs w:val="26"/>
    </w:rPr>
  </w:style>
  <w:style w:type="paragraph" w:styleId="Heading3">
    <w:name w:val="heading 3"/>
    <w:basedOn w:val="Normal"/>
    <w:next w:val="Normal"/>
    <w:link w:val="Heading3Char"/>
    <w:uiPriority w:val="9"/>
    <w:unhideWhenUsed/>
    <w:qFormat/>
    <w:rsid w:val="00857B6E"/>
    <w:pPr>
      <w:keepNext/>
      <w:keepLines/>
      <w:spacing w:after="240" w:line="240" w:lineRule="auto"/>
      <w:ind w:left="2160" w:hanging="72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1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40D"/>
    <w:rPr>
      <w:sz w:val="20"/>
      <w:szCs w:val="20"/>
    </w:rPr>
  </w:style>
  <w:style w:type="character" w:styleId="FootnoteReference">
    <w:name w:val="footnote reference"/>
    <w:basedOn w:val="DefaultParagraphFont"/>
    <w:uiPriority w:val="99"/>
    <w:semiHidden/>
    <w:unhideWhenUsed/>
    <w:rsid w:val="00EC140D"/>
    <w:rPr>
      <w:vertAlign w:val="superscript"/>
    </w:rPr>
  </w:style>
  <w:style w:type="paragraph" w:styleId="Header">
    <w:name w:val="header"/>
    <w:basedOn w:val="Normal"/>
    <w:link w:val="HeaderChar"/>
    <w:uiPriority w:val="99"/>
    <w:unhideWhenUsed/>
    <w:rsid w:val="00AC6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213"/>
  </w:style>
  <w:style w:type="paragraph" w:styleId="Footer">
    <w:name w:val="footer"/>
    <w:basedOn w:val="Normal"/>
    <w:link w:val="FooterChar"/>
    <w:uiPriority w:val="99"/>
    <w:unhideWhenUsed/>
    <w:rsid w:val="00AC6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213"/>
  </w:style>
  <w:style w:type="character" w:customStyle="1" w:styleId="fontstyle01">
    <w:name w:val="fontstyle01"/>
    <w:basedOn w:val="DefaultParagraphFont"/>
    <w:rsid w:val="0041694E"/>
    <w:rPr>
      <w:rFonts w:ascii="Times-Roman" w:hAnsi="Times-Roman" w:hint="default"/>
      <w:b w:val="0"/>
      <w:bCs w:val="0"/>
      <w:i w:val="0"/>
      <w:iCs w:val="0"/>
      <w:color w:val="231F20"/>
      <w:sz w:val="24"/>
      <w:szCs w:val="24"/>
    </w:rPr>
  </w:style>
  <w:style w:type="paragraph" w:styleId="HTMLPreformatted">
    <w:name w:val="HTML Preformatted"/>
    <w:aliases w:val=" Char,Char"/>
    <w:basedOn w:val="Normal"/>
    <w:link w:val="HTMLPreformattedChar"/>
    <w:rsid w:val="000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0A739C"/>
    <w:rPr>
      <w:rFonts w:ascii="Courier New" w:eastAsia="Courier New" w:hAnsi="Courier New" w:cs="Courier New"/>
      <w:sz w:val="20"/>
      <w:szCs w:val="20"/>
    </w:rPr>
  </w:style>
  <w:style w:type="character" w:customStyle="1" w:styleId="Heading1Char">
    <w:name w:val="Heading 1 Char"/>
    <w:basedOn w:val="DefaultParagraphFont"/>
    <w:link w:val="Heading1"/>
    <w:uiPriority w:val="9"/>
    <w:rsid w:val="006D2CF6"/>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6A4DB2"/>
    <w:rPr>
      <w:rFonts w:ascii="Times New Roman Bold" w:hAnsi="Times New Roman Bold" w:eastAsiaTheme="majorEastAsia" w:cstheme="majorBidi"/>
      <w:b/>
      <w:sz w:val="24"/>
      <w:szCs w:val="26"/>
    </w:rPr>
  </w:style>
  <w:style w:type="character" w:customStyle="1" w:styleId="Heading3Char">
    <w:name w:val="Heading 3 Char"/>
    <w:basedOn w:val="DefaultParagraphFont"/>
    <w:link w:val="Heading3"/>
    <w:uiPriority w:val="9"/>
    <w:rsid w:val="00857B6E"/>
    <w:rPr>
      <w:rFonts w:ascii="Times New Roman Bold" w:hAnsi="Times New Roman Bold" w:eastAsiaTheme="majorEastAsia" w:cstheme="majorBidi"/>
      <w:b/>
      <w:sz w:val="24"/>
      <w:szCs w:val="24"/>
    </w:rPr>
  </w:style>
  <w:style w:type="character" w:styleId="Hyperlink">
    <w:name w:val="Hyperlink"/>
    <w:basedOn w:val="DefaultParagraphFont"/>
    <w:uiPriority w:val="99"/>
    <w:unhideWhenUsed/>
    <w:rsid w:val="00756FE5"/>
    <w:rPr>
      <w:color w:val="0563C1" w:themeColor="hyperlink"/>
      <w:u w:val="single"/>
    </w:rPr>
  </w:style>
  <w:style w:type="paragraph" w:styleId="TOC1">
    <w:name w:val="toc 1"/>
    <w:basedOn w:val="Normal"/>
    <w:next w:val="Normal"/>
    <w:autoRedefine/>
    <w:uiPriority w:val="39"/>
    <w:unhideWhenUsed/>
    <w:rsid w:val="00756FE5"/>
    <w:pPr>
      <w:tabs>
        <w:tab w:val="decimal" w:leader="dot" w:pos="936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756FE5"/>
    <w:pPr>
      <w:tabs>
        <w:tab w:val="decimal" w:leader="dot" w:pos="936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756FE5"/>
    <w:pPr>
      <w:tabs>
        <w:tab w:val="decimal" w:leader="dot" w:pos="9360"/>
      </w:tabs>
      <w:spacing w:after="240" w:line="240" w:lineRule="auto"/>
      <w:ind w:left="2160" w:hanging="720"/>
    </w:pPr>
    <w:rPr>
      <w:rFonts w:ascii="Times New Roman" w:hAnsi="Times New Roman"/>
      <w:sz w:val="24"/>
    </w:rPr>
  </w:style>
  <w:style w:type="character" w:styleId="CommentReference">
    <w:name w:val="annotation reference"/>
    <w:basedOn w:val="DefaultParagraphFont"/>
    <w:uiPriority w:val="99"/>
    <w:semiHidden/>
    <w:unhideWhenUsed/>
    <w:rsid w:val="003E29E7"/>
    <w:rPr>
      <w:sz w:val="16"/>
      <w:szCs w:val="16"/>
    </w:rPr>
  </w:style>
  <w:style w:type="paragraph" w:styleId="CommentText">
    <w:name w:val="annotation text"/>
    <w:basedOn w:val="Normal"/>
    <w:link w:val="CommentTextChar"/>
    <w:uiPriority w:val="99"/>
    <w:unhideWhenUsed/>
    <w:rsid w:val="003E29E7"/>
    <w:pPr>
      <w:spacing w:line="240" w:lineRule="auto"/>
    </w:pPr>
    <w:rPr>
      <w:sz w:val="20"/>
      <w:szCs w:val="20"/>
    </w:rPr>
  </w:style>
  <w:style w:type="character" w:customStyle="1" w:styleId="CommentTextChar">
    <w:name w:val="Comment Text Char"/>
    <w:basedOn w:val="DefaultParagraphFont"/>
    <w:link w:val="CommentText"/>
    <w:uiPriority w:val="99"/>
    <w:rsid w:val="003E29E7"/>
    <w:rPr>
      <w:sz w:val="20"/>
      <w:szCs w:val="20"/>
    </w:rPr>
  </w:style>
  <w:style w:type="paragraph" w:styleId="CommentSubject">
    <w:name w:val="annotation subject"/>
    <w:basedOn w:val="CommentText"/>
    <w:next w:val="CommentText"/>
    <w:link w:val="CommentSubjectChar"/>
    <w:uiPriority w:val="99"/>
    <w:semiHidden/>
    <w:unhideWhenUsed/>
    <w:rsid w:val="003E29E7"/>
    <w:rPr>
      <w:b/>
      <w:bCs/>
    </w:rPr>
  </w:style>
  <w:style w:type="character" w:customStyle="1" w:styleId="CommentSubjectChar">
    <w:name w:val="Comment Subject Char"/>
    <w:basedOn w:val="CommentTextChar"/>
    <w:link w:val="CommentSubject"/>
    <w:uiPriority w:val="99"/>
    <w:semiHidden/>
    <w:rsid w:val="003E29E7"/>
    <w:rPr>
      <w:b/>
      <w:bCs/>
      <w:sz w:val="20"/>
      <w:szCs w:val="20"/>
    </w:rPr>
  </w:style>
  <w:style w:type="paragraph" w:styleId="ListParagraph">
    <w:name w:val="List Paragraph"/>
    <w:basedOn w:val="Normal"/>
    <w:uiPriority w:val="34"/>
    <w:qFormat/>
    <w:rsid w:val="004F7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kurtz@BKLlawfirm.com" TargetMode="External" /><Relationship Id="rId11" Type="http://schemas.openxmlformats.org/officeDocument/2006/relationships/hyperlink" Target="mailto:kboehm@BKLlawfirm.com" TargetMode="External" /><Relationship Id="rId12" Type="http://schemas.openxmlformats.org/officeDocument/2006/relationships/hyperlink" Target="mailto:jkylercohn@BKLlawfirm.com" TargetMode="External" /><Relationship Id="rId13" Type="http://schemas.openxmlformats.org/officeDocument/2006/relationships/hyperlink" Target="mailto:rdove@keglerbrown.com" TargetMode="External" /><Relationship Id="rId14" Type="http://schemas.openxmlformats.org/officeDocument/2006/relationships/hyperlink" Target="mailto:sarah.parrot@puco.ohio.gov" TargetMode="External" /><Relationship Id="rId15" Type="http://schemas.openxmlformats.org/officeDocument/2006/relationships/hyperlink" Target="mailto:greta.see@puco.ohio.gov" TargetMode="External" /><Relationship Id="rId16" Type="http://schemas.openxmlformats.org/officeDocument/2006/relationships/hyperlink" Target="mailto:stnourse@aep.com" TargetMode="External" /><Relationship Id="rId17" Type="http://schemas.openxmlformats.org/officeDocument/2006/relationships/hyperlink" Target="mailto:EGallon@porterwright.com" TargetMode="External" /><Relationship Id="rId18" Type="http://schemas.openxmlformats.org/officeDocument/2006/relationships/hyperlink" Target="mailto:mjschuler@aep.com" TargetMode="External" /><Relationship Id="rId19" Type="http://schemas.openxmlformats.org/officeDocument/2006/relationships/hyperlink" Target="mailto:matthew@msmckenzieltd.com" TargetMode="External" /><Relationship Id="rId2" Type="http://schemas.openxmlformats.org/officeDocument/2006/relationships/settings" Target="settings.xml" /><Relationship Id="rId20" Type="http://schemas.openxmlformats.org/officeDocument/2006/relationships/hyperlink" Target="mailto:mpritchard@mcneeslaw.com" TargetMode="External" /><Relationship Id="rId21" Type="http://schemas.openxmlformats.org/officeDocument/2006/relationships/hyperlink" Target="mailto:bmckenney@mcneeslaw.com" TargetMode="External" /><Relationship Id="rId22" Type="http://schemas.openxmlformats.org/officeDocument/2006/relationships/hyperlink" Target="mailto:megan.wachpress@sierraclub.org" TargetMode="External" /><Relationship Id="rId23" Type="http://schemas.openxmlformats.org/officeDocument/2006/relationships/hyperlink" Target="mailto:kristin.henry@sierraclub.org" TargetMode="External" /><Relationship Id="rId24" Type="http://schemas.openxmlformats.org/officeDocument/2006/relationships/hyperlink" Target="mailto:tony.mendoza@sierraclub.org" TargetMode="External" /><Relationship Id="rId25" Type="http://schemas.openxmlformats.org/officeDocument/2006/relationships/hyperlink" Target="mailto:bojko@carpenterlipps.com" TargetMode="External" /><Relationship Id="rId26" Type="http://schemas.openxmlformats.org/officeDocument/2006/relationships/hyperlink" Target="mailto:paul@carpenterlipps.com"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thomas.lindgren@ohioAGO.gov" TargetMode="External" /><Relationship Id="rId9" Type="http://schemas.openxmlformats.org/officeDocument/2006/relationships/hyperlink" Target="mailto:kyle.kern@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7C26-B6F8-462A-B561-168E0294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2022-04-08T18:59:19Z</dcterms:created>
  <dcterms:modified xsi:type="dcterms:W3CDTF">2022-04-08T18:59:19Z</dcterms:modified>
</cp:coreProperties>
</file>