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DD" w:rsidRDefault="001447EE">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3E71DD" w:rsidRDefault="001447EE">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DB36D8" w:rsidRDefault="00DB36D8" w:rsidP="00DB36D8">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DB36D8" w:rsidTr="008E2FD9">
        <w:trPr>
          <w:trHeight w:val="807"/>
        </w:trPr>
        <w:tc>
          <w:tcPr>
            <w:tcW w:w="4332" w:type="dxa"/>
            <w:shd w:val="clear" w:color="auto" w:fill="auto"/>
          </w:tcPr>
          <w:p w:rsidR="00DB36D8" w:rsidRPr="00A044B5" w:rsidRDefault="00DB36D8" w:rsidP="008E2FD9">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Amendment of Chapters 4901:1-10 and 4901:1-21, Ohio Administrative Code, Regarding Electric Companies and Competitive Retail Electric Providers.</w:t>
            </w:r>
          </w:p>
        </w:tc>
        <w:tc>
          <w:tcPr>
            <w:tcW w:w="360" w:type="dxa"/>
            <w:shd w:val="clear" w:color="auto" w:fill="auto"/>
          </w:tcPr>
          <w:p w:rsidR="00DB36D8" w:rsidRPr="00A044B5" w:rsidRDefault="00DB36D8" w:rsidP="008E2FD9">
            <w:pPr>
              <w:pStyle w:val="HTMLPreformatted"/>
              <w:rPr>
                <w:rFonts w:ascii="Times New Roman" w:hAnsi="Times New Roman"/>
                <w:sz w:val="24"/>
              </w:rPr>
            </w:pPr>
            <w:r w:rsidRPr="00A044B5">
              <w:rPr>
                <w:rFonts w:ascii="Times New Roman" w:hAnsi="Times New Roman"/>
                <w:sz w:val="24"/>
              </w:rPr>
              <w:t>)</w:t>
            </w:r>
          </w:p>
          <w:p w:rsidR="00DB36D8" w:rsidRPr="00A044B5" w:rsidRDefault="00DB36D8" w:rsidP="008E2FD9">
            <w:pPr>
              <w:pStyle w:val="HTMLPreformatted"/>
              <w:rPr>
                <w:rFonts w:ascii="Times New Roman" w:hAnsi="Times New Roman"/>
                <w:sz w:val="24"/>
              </w:rPr>
            </w:pPr>
            <w:r w:rsidRPr="00A044B5">
              <w:rPr>
                <w:rFonts w:ascii="Times New Roman" w:hAnsi="Times New Roman"/>
                <w:sz w:val="24"/>
              </w:rPr>
              <w:t>)</w:t>
            </w:r>
          </w:p>
          <w:p w:rsidR="00DB36D8" w:rsidRPr="00A044B5" w:rsidRDefault="00DB36D8" w:rsidP="008E2FD9">
            <w:pPr>
              <w:pStyle w:val="HTMLPreformatted"/>
              <w:rPr>
                <w:rFonts w:ascii="Times New Roman" w:hAnsi="Times New Roman"/>
                <w:sz w:val="24"/>
              </w:rPr>
            </w:pPr>
            <w:r w:rsidRPr="00A044B5">
              <w:rPr>
                <w:rFonts w:ascii="Times New Roman" w:hAnsi="Times New Roman"/>
                <w:sz w:val="24"/>
              </w:rPr>
              <w:t>)</w:t>
            </w:r>
          </w:p>
          <w:p w:rsidR="00DB36D8" w:rsidRDefault="00DB36D8" w:rsidP="008E2FD9">
            <w:pPr>
              <w:pStyle w:val="HTMLPreformatted"/>
              <w:rPr>
                <w:rFonts w:ascii="Times New Roman" w:hAnsi="Times New Roman"/>
                <w:sz w:val="24"/>
              </w:rPr>
            </w:pPr>
            <w:r w:rsidRPr="00A044B5">
              <w:rPr>
                <w:rFonts w:ascii="Times New Roman" w:hAnsi="Times New Roman"/>
                <w:sz w:val="24"/>
              </w:rPr>
              <w:t>)</w:t>
            </w:r>
          </w:p>
          <w:p w:rsidR="00DB36D8" w:rsidRPr="00A044B5" w:rsidRDefault="00DB36D8" w:rsidP="008E2FD9">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DB36D8" w:rsidRPr="00A044B5" w:rsidRDefault="00DB36D8" w:rsidP="008E2FD9">
            <w:pPr>
              <w:pStyle w:val="HTMLPreformatted"/>
              <w:rPr>
                <w:rFonts w:ascii="Times New Roman" w:hAnsi="Times New Roman"/>
                <w:sz w:val="24"/>
              </w:rPr>
            </w:pPr>
          </w:p>
          <w:p w:rsidR="00DB36D8" w:rsidRPr="00A044B5" w:rsidRDefault="00DB36D8" w:rsidP="008E2FD9">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14-1411-EL-ORD</w:t>
            </w:r>
          </w:p>
          <w:p w:rsidR="00DB36D8" w:rsidRPr="00A044B5" w:rsidRDefault="00DB36D8" w:rsidP="008E2FD9">
            <w:pPr>
              <w:pStyle w:val="HTMLPreformatted"/>
              <w:rPr>
                <w:rFonts w:ascii="Times New Roman" w:hAnsi="Times New Roman"/>
                <w:sz w:val="24"/>
              </w:rPr>
            </w:pPr>
          </w:p>
          <w:p w:rsidR="00DB36D8" w:rsidRPr="00A044B5" w:rsidRDefault="00DB36D8" w:rsidP="008E2FD9">
            <w:pPr>
              <w:pStyle w:val="HTMLPreformatted"/>
              <w:rPr>
                <w:rFonts w:ascii="Times New Roman" w:hAnsi="Times New Roman"/>
                <w:sz w:val="24"/>
              </w:rPr>
            </w:pPr>
          </w:p>
        </w:tc>
      </w:tr>
    </w:tbl>
    <w:p w:rsidR="003E71DD" w:rsidRDefault="003E71DD">
      <w:pPr>
        <w:pStyle w:val="HTMLPreformatted"/>
        <w:pBdr>
          <w:bottom w:val="single" w:sz="12" w:space="1" w:color="auto"/>
        </w:pBdr>
        <w:rPr>
          <w:rFonts w:ascii="Times New Roman" w:hAnsi="Times New Roman"/>
          <w:sz w:val="24"/>
        </w:rPr>
      </w:pPr>
    </w:p>
    <w:p w:rsidR="003E71DD" w:rsidRDefault="003E71DD"/>
    <w:p w:rsidR="00BB15A2" w:rsidRDefault="001447EE">
      <w:pPr>
        <w:jc w:val="center"/>
        <w:rPr>
          <w:b/>
        </w:rPr>
      </w:pPr>
      <w:r>
        <w:rPr>
          <w:b/>
        </w:rPr>
        <w:t xml:space="preserve">REPLY COMMENTS </w:t>
      </w:r>
    </w:p>
    <w:p w:rsidR="003E71DD" w:rsidRDefault="001447EE">
      <w:pPr>
        <w:jc w:val="center"/>
        <w:rPr>
          <w:b/>
        </w:rPr>
      </w:pPr>
      <w:r>
        <w:rPr>
          <w:b/>
        </w:rPr>
        <w:t>BY</w:t>
      </w:r>
    </w:p>
    <w:p w:rsidR="003E71DD" w:rsidRDefault="001447EE">
      <w:pPr>
        <w:pBdr>
          <w:bottom w:val="single" w:sz="12" w:space="1" w:color="auto"/>
        </w:pBdr>
        <w:jc w:val="center"/>
        <w:rPr>
          <w:b/>
        </w:rPr>
      </w:pPr>
      <w:r>
        <w:rPr>
          <w:b/>
        </w:rPr>
        <w:t>THE OFFICE OF THE OHIO CONSUMERS’ COUNSEL</w:t>
      </w:r>
    </w:p>
    <w:p w:rsidR="003E71DD" w:rsidRDefault="003E71DD">
      <w:pPr>
        <w:pBdr>
          <w:bottom w:val="single" w:sz="12" w:space="1" w:color="auto"/>
        </w:pBdr>
        <w:jc w:val="center"/>
        <w:rPr>
          <w:b/>
        </w:rPr>
      </w:pPr>
    </w:p>
    <w:p w:rsidR="003E71DD" w:rsidRDefault="003E71DD"/>
    <w:p w:rsidR="003E71DD" w:rsidRDefault="001447EE" w:rsidP="00C96164">
      <w:pPr>
        <w:pStyle w:val="Heading1"/>
      </w:pPr>
      <w:bookmarkStart w:id="1" w:name="_Toc393206739"/>
      <w:r>
        <w:t>I.</w:t>
      </w:r>
      <w:r>
        <w:tab/>
        <w:t>INTRODUCTION</w:t>
      </w:r>
      <w:bookmarkEnd w:id="1"/>
    </w:p>
    <w:p w:rsidR="00AE4370" w:rsidRDefault="00AE4370" w:rsidP="00903B37">
      <w:pPr>
        <w:spacing w:line="480" w:lineRule="auto"/>
        <w:ind w:firstLine="720"/>
        <w:rPr>
          <w:szCs w:val="24"/>
        </w:rPr>
      </w:pPr>
      <w:r w:rsidRPr="00B84034">
        <w:rPr>
          <w:szCs w:val="24"/>
        </w:rPr>
        <w:t xml:space="preserve">The Office of the Ohio Consumers’ Counsel </w:t>
      </w:r>
      <w:r w:rsidR="000B2248">
        <w:rPr>
          <w:szCs w:val="24"/>
        </w:rPr>
        <w:t xml:space="preserve">(“OCC”) </w:t>
      </w:r>
      <w:r w:rsidRPr="00B84034">
        <w:rPr>
          <w:szCs w:val="24"/>
        </w:rPr>
        <w:t>appreciates the opportunity to submi</w:t>
      </w:r>
      <w:r>
        <w:rPr>
          <w:szCs w:val="24"/>
        </w:rPr>
        <w:t>t these reply comments on behalf</w:t>
      </w:r>
      <w:r w:rsidRPr="00B84034">
        <w:rPr>
          <w:szCs w:val="24"/>
        </w:rPr>
        <w:t xml:space="preserve"> of Ohio’s 4.2 million residential electricity consumers. This case</w:t>
      </w:r>
      <w:r w:rsidR="00C80982">
        <w:rPr>
          <w:szCs w:val="24"/>
        </w:rPr>
        <w:t xml:space="preserve"> is a rulemaking </w:t>
      </w:r>
      <w:r w:rsidR="005D7CD7">
        <w:rPr>
          <w:szCs w:val="24"/>
        </w:rPr>
        <w:t>for</w:t>
      </w:r>
      <w:r w:rsidR="00C80982">
        <w:rPr>
          <w:szCs w:val="24"/>
        </w:rPr>
        <w:t xml:space="preserve"> the requirement in Senate Bill 310</w:t>
      </w:r>
      <w:r w:rsidRPr="00B84034">
        <w:rPr>
          <w:szCs w:val="24"/>
        </w:rPr>
        <w:t xml:space="preserve"> </w:t>
      </w:r>
      <w:r w:rsidR="005D7CD7">
        <w:rPr>
          <w:szCs w:val="24"/>
        </w:rPr>
        <w:t xml:space="preserve">that electric utilities </w:t>
      </w:r>
      <w:r>
        <w:rPr>
          <w:szCs w:val="24"/>
        </w:rPr>
        <w:t>disclose</w:t>
      </w:r>
      <w:r w:rsidR="000415BA">
        <w:rPr>
          <w:szCs w:val="24"/>
        </w:rPr>
        <w:t xml:space="preserve"> to customers</w:t>
      </w:r>
      <w:r w:rsidR="00B84DA3">
        <w:rPr>
          <w:szCs w:val="24"/>
        </w:rPr>
        <w:t>,</w:t>
      </w:r>
      <w:r w:rsidR="005D7CD7">
        <w:rPr>
          <w:szCs w:val="24"/>
        </w:rPr>
        <w:t xml:space="preserve"> on their </w:t>
      </w:r>
      <w:r w:rsidR="00B84DA3">
        <w:rPr>
          <w:szCs w:val="24"/>
        </w:rPr>
        <w:t xml:space="preserve">monthly </w:t>
      </w:r>
      <w:r w:rsidR="005D7CD7">
        <w:rPr>
          <w:szCs w:val="24"/>
        </w:rPr>
        <w:t>bills</w:t>
      </w:r>
      <w:r w:rsidR="00B84DA3">
        <w:rPr>
          <w:szCs w:val="24"/>
        </w:rPr>
        <w:t>,</w:t>
      </w:r>
      <w:r>
        <w:rPr>
          <w:szCs w:val="24"/>
        </w:rPr>
        <w:t xml:space="preserve"> the “costs” of the renewable energy, energy efficiency, and peak demand reduction </w:t>
      </w:r>
      <w:r w:rsidR="00B84DA3">
        <w:rPr>
          <w:szCs w:val="24"/>
        </w:rPr>
        <w:t>programs arising from Ohio</w:t>
      </w:r>
      <w:r w:rsidR="007B05FE">
        <w:rPr>
          <w:szCs w:val="24"/>
        </w:rPr>
        <w:t>’s 2008 energy law</w:t>
      </w:r>
      <w:r>
        <w:rPr>
          <w:szCs w:val="24"/>
        </w:rPr>
        <w:t xml:space="preserve">.  </w:t>
      </w:r>
    </w:p>
    <w:p w:rsidR="00AE4370" w:rsidRPr="00B84034" w:rsidRDefault="000415BA" w:rsidP="00903B37">
      <w:pPr>
        <w:spacing w:line="480" w:lineRule="auto"/>
        <w:ind w:firstLine="720"/>
        <w:rPr>
          <w:szCs w:val="24"/>
        </w:rPr>
      </w:pPr>
      <w:r>
        <w:rPr>
          <w:szCs w:val="24"/>
        </w:rPr>
        <w:t xml:space="preserve">The </w:t>
      </w:r>
      <w:r w:rsidRPr="00B84034">
        <w:rPr>
          <w:szCs w:val="24"/>
        </w:rPr>
        <w:t>Public Utilities Commission of Ohio’s (“PUCO”)</w:t>
      </w:r>
      <w:r>
        <w:rPr>
          <w:szCs w:val="24"/>
        </w:rPr>
        <w:t xml:space="preserve"> received comments from a</w:t>
      </w:r>
      <w:r w:rsidR="00B37422">
        <w:rPr>
          <w:szCs w:val="24"/>
        </w:rPr>
        <w:t xml:space="preserve"> number of stakeholders</w:t>
      </w:r>
      <w:r w:rsidR="00AE4370">
        <w:rPr>
          <w:szCs w:val="24"/>
        </w:rPr>
        <w:t xml:space="preserve"> on November 5, 2014. </w:t>
      </w:r>
      <w:r w:rsidR="00B84EFE">
        <w:rPr>
          <w:szCs w:val="24"/>
        </w:rPr>
        <w:t xml:space="preserve">OCC </w:t>
      </w:r>
      <w:r>
        <w:rPr>
          <w:szCs w:val="24"/>
        </w:rPr>
        <w:t xml:space="preserve">filed </w:t>
      </w:r>
      <w:r w:rsidR="00AB7F7B">
        <w:rPr>
          <w:szCs w:val="24"/>
        </w:rPr>
        <w:t>several recom</w:t>
      </w:r>
      <w:r w:rsidR="005B703A">
        <w:rPr>
          <w:szCs w:val="24"/>
        </w:rPr>
        <w:t>mendations.</w:t>
      </w:r>
      <w:r w:rsidR="00CD7714">
        <w:rPr>
          <w:rStyle w:val="FootnoteReference"/>
          <w:szCs w:val="24"/>
        </w:rPr>
        <w:footnoteReference w:id="1"/>
      </w:r>
      <w:r w:rsidR="005B703A">
        <w:rPr>
          <w:szCs w:val="24"/>
        </w:rPr>
        <w:t xml:space="preserve"> OCC’s primary </w:t>
      </w:r>
      <w:r>
        <w:rPr>
          <w:szCs w:val="24"/>
        </w:rPr>
        <w:t xml:space="preserve">recommendation </w:t>
      </w:r>
      <w:r w:rsidR="005B703A">
        <w:rPr>
          <w:szCs w:val="24"/>
        </w:rPr>
        <w:t xml:space="preserve">is that </w:t>
      </w:r>
      <w:r w:rsidR="00B84EFE">
        <w:rPr>
          <w:szCs w:val="24"/>
        </w:rPr>
        <w:t>the</w:t>
      </w:r>
      <w:r>
        <w:rPr>
          <w:szCs w:val="24"/>
        </w:rPr>
        <w:t xml:space="preserve"> PUCO should, in implementing the new disclosure, fulfill its </w:t>
      </w:r>
      <w:r w:rsidR="00B84EFE">
        <w:rPr>
          <w:szCs w:val="24"/>
        </w:rPr>
        <w:t xml:space="preserve">time-honored </w:t>
      </w:r>
      <w:r w:rsidR="007F0554">
        <w:rPr>
          <w:szCs w:val="24"/>
        </w:rPr>
        <w:t>g</w:t>
      </w:r>
      <w:r w:rsidR="00B84EFE">
        <w:rPr>
          <w:szCs w:val="24"/>
        </w:rPr>
        <w:t xml:space="preserve">oal of </w:t>
      </w:r>
      <w:r>
        <w:rPr>
          <w:szCs w:val="24"/>
        </w:rPr>
        <w:t xml:space="preserve">providing information to consumers that is </w:t>
      </w:r>
      <w:r w:rsidR="00B84EFE">
        <w:rPr>
          <w:szCs w:val="24"/>
        </w:rPr>
        <w:lastRenderedPageBreak/>
        <w:t>accura</w:t>
      </w:r>
      <w:r w:rsidR="007B05FE">
        <w:rPr>
          <w:szCs w:val="24"/>
        </w:rPr>
        <w:t>te</w:t>
      </w:r>
      <w:r w:rsidR="00B84EFE">
        <w:rPr>
          <w:szCs w:val="24"/>
        </w:rPr>
        <w:t xml:space="preserve"> and understandab</w:t>
      </w:r>
      <w:r>
        <w:rPr>
          <w:szCs w:val="24"/>
        </w:rPr>
        <w:t>le</w:t>
      </w:r>
      <w:r w:rsidR="00B84EFE">
        <w:rPr>
          <w:szCs w:val="24"/>
        </w:rPr>
        <w:t>.</w:t>
      </w:r>
      <w:r w:rsidR="00B84EFE">
        <w:rPr>
          <w:rStyle w:val="FootnoteReference"/>
          <w:szCs w:val="24"/>
        </w:rPr>
        <w:footnoteReference w:id="2"/>
      </w:r>
      <w:r w:rsidR="000F0CC4">
        <w:rPr>
          <w:szCs w:val="24"/>
        </w:rPr>
        <w:t xml:space="preserve">  That goal is codified in in Ohio Adm. Code 4901:1-10-22(B).</w:t>
      </w:r>
    </w:p>
    <w:p w:rsidR="00C775A4" w:rsidRPr="008A5DC1" w:rsidRDefault="00C775A4" w:rsidP="00C775A4">
      <w:pPr>
        <w:pStyle w:val="BodyTextIndent3"/>
        <w:widowControl w:val="0"/>
        <w:spacing w:line="240" w:lineRule="auto"/>
        <w:ind w:right="-29"/>
        <w:rPr>
          <w:szCs w:val="24"/>
        </w:rPr>
      </w:pPr>
    </w:p>
    <w:p w:rsidR="003E71DD" w:rsidRDefault="001447EE" w:rsidP="00C96164">
      <w:pPr>
        <w:pStyle w:val="Heading1"/>
      </w:pPr>
      <w:bookmarkStart w:id="2" w:name="_Toc393206740"/>
      <w:r>
        <w:t>II.</w:t>
      </w:r>
      <w:r>
        <w:tab/>
        <w:t>REPLY COMMENTS</w:t>
      </w:r>
      <w:bookmarkEnd w:id="2"/>
    </w:p>
    <w:p w:rsidR="00B84EFE" w:rsidRPr="00B84EFE" w:rsidRDefault="00362450" w:rsidP="00362450">
      <w:pPr>
        <w:pStyle w:val="Heading2"/>
      </w:pPr>
      <w:r>
        <w:t>A.</w:t>
      </w:r>
      <w:r>
        <w:tab/>
      </w:r>
      <w:r w:rsidR="007B05FE">
        <w:t xml:space="preserve">The PUCO Should Reject </w:t>
      </w:r>
      <w:r w:rsidR="00B84EFE" w:rsidRPr="00B84EFE">
        <w:t xml:space="preserve">AEP Ohio’s </w:t>
      </w:r>
      <w:r w:rsidR="00CA41AE">
        <w:t xml:space="preserve">Request In This Case </w:t>
      </w:r>
      <w:r w:rsidR="007B05FE">
        <w:t xml:space="preserve">To Allow Electric Utilities </w:t>
      </w:r>
      <w:r w:rsidR="009D24A7">
        <w:t>T</w:t>
      </w:r>
      <w:r w:rsidR="007B05FE">
        <w:t>o</w:t>
      </w:r>
      <w:r w:rsidR="007B05FE" w:rsidRPr="00B84EFE">
        <w:t xml:space="preserve"> </w:t>
      </w:r>
      <w:r>
        <w:t>Charge Customers</w:t>
      </w:r>
      <w:r w:rsidR="007B05FE">
        <w:t xml:space="preserve"> Now</w:t>
      </w:r>
      <w:r w:rsidRPr="00B84EFE">
        <w:t xml:space="preserve"> For</w:t>
      </w:r>
      <w:r w:rsidR="007B05FE">
        <w:t xml:space="preserve"> The Utilities’ Costs Of Implementing The Disclosure Requirement </w:t>
      </w:r>
      <w:r w:rsidR="009D24A7">
        <w:t>I</w:t>
      </w:r>
      <w:r w:rsidR="007B05FE">
        <w:t xml:space="preserve">n Senate Bill 310. </w:t>
      </w:r>
      <w:r w:rsidRPr="00B84EFE">
        <w:t xml:space="preserve"> </w:t>
      </w:r>
    </w:p>
    <w:p w:rsidR="00D26BA4" w:rsidRDefault="00B84EFE" w:rsidP="00964E91">
      <w:pPr>
        <w:autoSpaceDE w:val="0"/>
        <w:autoSpaceDN w:val="0"/>
        <w:adjustRightInd w:val="0"/>
        <w:spacing w:line="480" w:lineRule="auto"/>
        <w:ind w:firstLine="720"/>
      </w:pPr>
      <w:r>
        <w:t xml:space="preserve">AEP Ohio proposes that </w:t>
      </w:r>
      <w:r w:rsidR="00964E91">
        <w:t>electric utilities</w:t>
      </w:r>
      <w:r>
        <w:t xml:space="preserve"> be permitted to “</w:t>
      </w:r>
      <w:r>
        <w:rPr>
          <w:szCs w:val="24"/>
        </w:rPr>
        <w:t>recover all costs for the work performed under these new rules through the existing Alternative Energy Rider and the Energy Efficiency and Peak Demand Reduction Rider.</w:t>
      </w:r>
      <w:r w:rsidR="00B37422">
        <w:rPr>
          <w:szCs w:val="24"/>
        </w:rPr>
        <w:t>”</w:t>
      </w:r>
      <w:r>
        <w:t xml:space="preserve"> </w:t>
      </w:r>
      <w:r>
        <w:rPr>
          <w:rStyle w:val="FootnoteReference"/>
        </w:rPr>
        <w:footnoteReference w:id="3"/>
      </w:r>
      <w:r w:rsidR="00B37422">
        <w:t xml:space="preserve">  Th</w:t>
      </w:r>
      <w:r w:rsidR="0040332E">
        <w:t>e PUCO should reject AEP’s p</w:t>
      </w:r>
      <w:r w:rsidR="00B37422">
        <w:t>roposal.  The</w:t>
      </w:r>
      <w:r w:rsidR="000A0608">
        <w:t>se</w:t>
      </w:r>
      <w:r>
        <w:t xml:space="preserve"> alleged “costs” do not relate to alternative energy or energy efficiency/peak demand reduction programs.  I</w:t>
      </w:r>
      <w:r w:rsidR="009F4094">
        <w:t>ncluding these costs in the alternative energy and energy efficiency/ peak demand reduction riders</w:t>
      </w:r>
      <w:r>
        <w:t xml:space="preserve"> will </w:t>
      </w:r>
      <w:r w:rsidR="00B61906">
        <w:t xml:space="preserve">artificially </w:t>
      </w:r>
      <w:r>
        <w:t xml:space="preserve">increase the </w:t>
      </w:r>
      <w:r w:rsidR="009F4094">
        <w:t xml:space="preserve">costs of these </w:t>
      </w:r>
      <w:r>
        <w:t>riders</w:t>
      </w:r>
      <w:r w:rsidR="009F4094">
        <w:t xml:space="preserve"> on consumers’ bills</w:t>
      </w:r>
      <w:r>
        <w:t>.</w:t>
      </w:r>
      <w:r w:rsidR="00964E91">
        <w:t xml:space="preserve">  </w:t>
      </w:r>
      <w:r w:rsidR="00CA41AE">
        <w:t>The costs are thus not includable in those riders for charging customers.</w:t>
      </w:r>
    </w:p>
    <w:p w:rsidR="00B84EFE" w:rsidRDefault="00A830CB" w:rsidP="00964E91">
      <w:pPr>
        <w:autoSpaceDE w:val="0"/>
        <w:autoSpaceDN w:val="0"/>
        <w:adjustRightInd w:val="0"/>
        <w:spacing w:line="480" w:lineRule="auto"/>
        <w:ind w:firstLine="720"/>
      </w:pPr>
      <w:r>
        <w:t>I</w:t>
      </w:r>
      <w:r w:rsidR="00D26BA4">
        <w:t xml:space="preserve">t is </w:t>
      </w:r>
      <w:r w:rsidR="000D1DAA">
        <w:t>unlawful for</w:t>
      </w:r>
      <w:r w:rsidR="00B40D71">
        <w:t xml:space="preserve"> the PUCO </w:t>
      </w:r>
      <w:r w:rsidR="00D26BA4">
        <w:t xml:space="preserve">to </w:t>
      </w:r>
      <w:r w:rsidR="00B40D71">
        <w:t xml:space="preserve">approve new charges to customers </w:t>
      </w:r>
      <w:r w:rsidR="00D26BA4">
        <w:t>in a rulemaking docket.</w:t>
      </w:r>
      <w:r>
        <w:t xml:space="preserve">  There is no ratemaking authority in this rulemaking.</w:t>
      </w:r>
      <w:r w:rsidR="00D26BA4">
        <w:t xml:space="preserve">  Th</w:t>
      </w:r>
      <w:r w:rsidR="00B40D71">
        <w:t xml:space="preserve">ere has been no </w:t>
      </w:r>
      <w:r w:rsidR="00CA41AE">
        <w:t xml:space="preserve">properly filed </w:t>
      </w:r>
      <w:r w:rsidR="00B40D71">
        <w:t xml:space="preserve">utility </w:t>
      </w:r>
      <w:r w:rsidR="00D26BA4">
        <w:t xml:space="preserve">application </w:t>
      </w:r>
      <w:r w:rsidR="00B40D71">
        <w:t xml:space="preserve">that </w:t>
      </w:r>
      <w:r w:rsidR="00D26BA4">
        <w:t>seek</w:t>
      </w:r>
      <w:r w:rsidR="00B40D71">
        <w:t>s</w:t>
      </w:r>
      <w:r w:rsidR="00D26BA4">
        <w:t xml:space="preserve"> authority to </w:t>
      </w:r>
      <w:r w:rsidR="00B40D71">
        <w:t xml:space="preserve">increase rates or implement new charges to </w:t>
      </w:r>
      <w:r w:rsidR="00D26BA4">
        <w:t xml:space="preserve">customers.  Nor </w:t>
      </w:r>
      <w:r w:rsidR="00B40D71">
        <w:t xml:space="preserve">has </w:t>
      </w:r>
      <w:r w:rsidR="00D26BA4">
        <w:t xml:space="preserve">AEP Ohio </w:t>
      </w:r>
      <w:r w:rsidR="006C46F3">
        <w:t xml:space="preserve">shown that </w:t>
      </w:r>
      <w:r w:rsidR="00D26BA4">
        <w:t xml:space="preserve">that </w:t>
      </w:r>
      <w:r w:rsidR="006C46F3">
        <w:t xml:space="preserve">the </w:t>
      </w:r>
      <w:r w:rsidR="00D26BA4">
        <w:t>costs are just and reasonable.</w:t>
      </w:r>
      <w:r w:rsidR="000A0608">
        <w:t xml:space="preserve">  </w:t>
      </w:r>
      <w:r w:rsidR="00CA41AE">
        <w:t>Moreover, t</w:t>
      </w:r>
      <w:r w:rsidR="00D26BA4">
        <w:t>his rulemaking did not provide parties with an opportunity to conduct discovery</w:t>
      </w:r>
      <w:r w:rsidR="00CA41AE">
        <w:t xml:space="preserve"> under R.C. 4903.082</w:t>
      </w:r>
      <w:r w:rsidR="00D26BA4">
        <w:t>, cross-examine witnesses</w:t>
      </w:r>
      <w:r w:rsidR="00C254A7">
        <w:t>,</w:t>
      </w:r>
      <w:r w:rsidR="00D26BA4">
        <w:t xml:space="preserve"> o</w:t>
      </w:r>
      <w:r w:rsidR="003C6BA9">
        <w:t>r</w:t>
      </w:r>
      <w:r w:rsidR="00AD7ACF">
        <w:t xml:space="preserve"> </w:t>
      </w:r>
      <w:r w:rsidR="00D26BA4">
        <w:t>review the costs</w:t>
      </w:r>
      <w:r w:rsidR="009342AA">
        <w:t xml:space="preserve"> allegedly</w:t>
      </w:r>
      <w:r w:rsidR="00D26BA4">
        <w:t xml:space="preserve"> </w:t>
      </w:r>
      <w:r w:rsidR="009342AA">
        <w:t xml:space="preserve">incurred </w:t>
      </w:r>
      <w:r w:rsidR="003C6BA9">
        <w:t xml:space="preserve">to </w:t>
      </w:r>
      <w:r w:rsidR="00D26BA4">
        <w:t>comply</w:t>
      </w:r>
      <w:r w:rsidR="00AD7ACF">
        <w:t xml:space="preserve"> </w:t>
      </w:r>
      <w:r w:rsidR="00D26BA4">
        <w:t>with R.C. 4928.65</w:t>
      </w:r>
      <w:r w:rsidR="00AD7ACF">
        <w:t xml:space="preserve"> (Senate Bill 310)</w:t>
      </w:r>
      <w:r w:rsidR="00D26BA4">
        <w:t>.</w:t>
      </w:r>
    </w:p>
    <w:p w:rsidR="0046129B" w:rsidRDefault="00362450" w:rsidP="00362450">
      <w:pPr>
        <w:pStyle w:val="Heading2"/>
      </w:pPr>
      <w:r>
        <w:lastRenderedPageBreak/>
        <w:t>B.</w:t>
      </w:r>
      <w:r>
        <w:tab/>
      </w:r>
      <w:r w:rsidR="0046129B">
        <w:t xml:space="preserve">AEP Ohio’s </w:t>
      </w:r>
      <w:r>
        <w:t>Proposal</w:t>
      </w:r>
      <w:r w:rsidR="00C3030D">
        <w:t xml:space="preserve"> Is Reasonable</w:t>
      </w:r>
      <w:r>
        <w:t xml:space="preserve"> </w:t>
      </w:r>
      <w:r w:rsidR="00A15F5E">
        <w:t xml:space="preserve">For Utilities </w:t>
      </w:r>
      <w:r w:rsidR="009D24A7">
        <w:t>T</w:t>
      </w:r>
      <w:r w:rsidR="00A15F5E">
        <w:t>o Present Bill Information</w:t>
      </w:r>
      <w:r w:rsidR="00AA440E">
        <w:t xml:space="preserve"> To Residential Customers </w:t>
      </w:r>
      <w:r w:rsidR="009D24A7">
        <w:t>I</w:t>
      </w:r>
      <w:r w:rsidR="00AA440E">
        <w:t xml:space="preserve">n kWh </w:t>
      </w:r>
      <w:r w:rsidR="009D24A7">
        <w:t>A</w:t>
      </w:r>
      <w:r w:rsidR="00AA440E">
        <w:t xml:space="preserve">nd </w:t>
      </w:r>
      <w:r w:rsidR="009D24A7">
        <w:t>N</w:t>
      </w:r>
      <w:r w:rsidR="00AA440E">
        <w:t>ot mWh</w:t>
      </w:r>
      <w:r>
        <w:t>.</w:t>
      </w:r>
    </w:p>
    <w:p w:rsidR="0046129B" w:rsidRPr="0046129B" w:rsidRDefault="0046129B" w:rsidP="0046129B">
      <w:pPr>
        <w:autoSpaceDE w:val="0"/>
        <w:autoSpaceDN w:val="0"/>
        <w:adjustRightInd w:val="0"/>
        <w:spacing w:line="480" w:lineRule="auto"/>
        <w:ind w:firstLine="720"/>
        <w:rPr>
          <w:szCs w:val="24"/>
        </w:rPr>
      </w:pPr>
      <w:r w:rsidRPr="0046129B">
        <w:rPr>
          <w:szCs w:val="24"/>
        </w:rPr>
        <w:t>AEP Ohio recommends that the calculation contained in Ohio Adm. Code 4901:1-10-35(B)(1) should not be displayed in megawatt hours, but should be displayed in a kilowatt-hour format.</w:t>
      </w:r>
      <w:r w:rsidRPr="0046129B">
        <w:rPr>
          <w:rStyle w:val="FootnoteReference"/>
          <w:szCs w:val="24"/>
        </w:rPr>
        <w:footnoteReference w:id="4"/>
      </w:r>
      <w:r w:rsidRPr="0046129B">
        <w:rPr>
          <w:szCs w:val="24"/>
        </w:rPr>
        <w:t xml:space="preserve">  AEP Ohio reasons that “displaying a megawatt-hour cost on a residential customer’s bill would not display </w:t>
      </w:r>
      <w:r w:rsidR="00C62E69" w:rsidRPr="0046129B">
        <w:rPr>
          <w:szCs w:val="24"/>
        </w:rPr>
        <w:t>apples</w:t>
      </w:r>
      <w:r w:rsidRPr="0046129B">
        <w:rPr>
          <w:szCs w:val="24"/>
        </w:rPr>
        <w:t xml:space="preserve"> to apples cost comparison on the bill.</w:t>
      </w:r>
      <w:r w:rsidR="006171DA">
        <w:rPr>
          <w:szCs w:val="24"/>
        </w:rPr>
        <w:t>”</w:t>
      </w:r>
      <w:r w:rsidRPr="0046129B">
        <w:rPr>
          <w:rStyle w:val="FootnoteReference"/>
          <w:szCs w:val="24"/>
        </w:rPr>
        <w:footnoteReference w:id="5"/>
      </w:r>
      <w:r w:rsidRPr="0046129B">
        <w:rPr>
          <w:szCs w:val="24"/>
        </w:rPr>
        <w:t xml:space="preserve">  </w:t>
      </w:r>
      <w:r>
        <w:rPr>
          <w:szCs w:val="24"/>
        </w:rPr>
        <w:t>OCC agrees that using a kilowatt-hour basis</w:t>
      </w:r>
      <w:r w:rsidR="000A0608">
        <w:rPr>
          <w:szCs w:val="24"/>
        </w:rPr>
        <w:t xml:space="preserve"> is reasonable</w:t>
      </w:r>
      <w:r w:rsidR="00C62E69">
        <w:rPr>
          <w:szCs w:val="24"/>
        </w:rPr>
        <w:t>.  Thus, this recommendation coincides with OCC’s primary recommendation in this case that the PUCO should, in implementing the new disclosure, fulfill its time-honored goal of providing information to consumers that is accurate and understandable.</w:t>
      </w:r>
      <w:r w:rsidR="00C62E69">
        <w:rPr>
          <w:rStyle w:val="FootnoteReference"/>
          <w:szCs w:val="24"/>
        </w:rPr>
        <w:footnoteReference w:id="6"/>
      </w:r>
      <w:r w:rsidR="00C62E69">
        <w:rPr>
          <w:szCs w:val="24"/>
        </w:rPr>
        <w:t xml:space="preserve">  That goal is codified in in Ohio Adm. Code 4901:1-10-22(B).</w:t>
      </w:r>
    </w:p>
    <w:p w:rsidR="00B84EFE" w:rsidRDefault="00362450" w:rsidP="00362450">
      <w:pPr>
        <w:pStyle w:val="Heading2"/>
      </w:pPr>
      <w:r>
        <w:t>C.</w:t>
      </w:r>
      <w:r>
        <w:tab/>
      </w:r>
      <w:r w:rsidR="00B84EFE" w:rsidRPr="00B84EFE">
        <w:t xml:space="preserve">It </w:t>
      </w:r>
      <w:r w:rsidRPr="00B84EFE">
        <w:t xml:space="preserve">Is Reasonable For The </w:t>
      </w:r>
      <w:r w:rsidR="00B84EFE" w:rsidRPr="00B84EFE">
        <w:t xml:space="preserve">PUCO </w:t>
      </w:r>
      <w:r w:rsidRPr="00B84EFE">
        <w:t>And Stakeholders To Have The Opportunity To Review Bill Formats</w:t>
      </w:r>
      <w:r>
        <w:t xml:space="preserve"> Implementing The New Rules</w:t>
      </w:r>
      <w:r w:rsidRPr="00B84EFE">
        <w:t xml:space="preserve"> Prior To </w:t>
      </w:r>
      <w:r w:rsidR="005727AE">
        <w:t xml:space="preserve">Electric </w:t>
      </w:r>
      <w:r>
        <w:t>Utilit</w:t>
      </w:r>
      <w:r w:rsidR="005727AE">
        <w:t xml:space="preserve">ies Sending </w:t>
      </w:r>
      <w:r w:rsidR="00C745DF">
        <w:t>T</w:t>
      </w:r>
      <w:r w:rsidR="005727AE">
        <w:t>he</w:t>
      </w:r>
      <w:r>
        <w:t xml:space="preserve"> </w:t>
      </w:r>
      <w:r w:rsidRPr="00B84EFE">
        <w:t xml:space="preserve">Bills </w:t>
      </w:r>
      <w:r w:rsidR="00C745DF">
        <w:t>T</w:t>
      </w:r>
      <w:r w:rsidR="005727AE">
        <w:t>o Consumers</w:t>
      </w:r>
      <w:r w:rsidRPr="00B84EFE">
        <w:t>.</w:t>
      </w:r>
    </w:p>
    <w:p w:rsidR="003F71A4" w:rsidRPr="003F71A4" w:rsidRDefault="003F71A4" w:rsidP="003F71A4">
      <w:pPr>
        <w:pStyle w:val="ListParagraph"/>
        <w:spacing w:after="0" w:line="480" w:lineRule="auto"/>
        <w:ind w:left="0" w:firstLine="720"/>
        <w:rPr>
          <w:rFonts w:ascii="Times New Roman" w:hAnsi="Times New Roman" w:cs="Times New Roman"/>
          <w:sz w:val="24"/>
          <w:szCs w:val="24"/>
        </w:rPr>
      </w:pPr>
      <w:r w:rsidRPr="003F71A4">
        <w:rPr>
          <w:rFonts w:ascii="Times New Roman" w:hAnsi="Times New Roman" w:cs="Times New Roman"/>
          <w:sz w:val="24"/>
          <w:szCs w:val="24"/>
        </w:rPr>
        <w:t>The Environmental Advocates</w:t>
      </w:r>
      <w:r w:rsidR="00C254A7">
        <w:rPr>
          <w:rStyle w:val="FootnoteReference"/>
          <w:rFonts w:ascii="Times New Roman" w:hAnsi="Times New Roman" w:cs="Times New Roman"/>
          <w:sz w:val="24"/>
          <w:szCs w:val="24"/>
        </w:rPr>
        <w:footnoteReference w:id="7"/>
      </w:r>
      <w:r w:rsidRPr="003F71A4">
        <w:rPr>
          <w:rFonts w:ascii="Times New Roman" w:hAnsi="Times New Roman" w:cs="Times New Roman"/>
          <w:sz w:val="24"/>
          <w:szCs w:val="24"/>
        </w:rPr>
        <w:t xml:space="preserve"> suggest that </w:t>
      </w:r>
      <w:r>
        <w:rPr>
          <w:rFonts w:ascii="Times New Roman" w:hAnsi="Times New Roman" w:cs="Times New Roman"/>
          <w:sz w:val="24"/>
          <w:szCs w:val="24"/>
        </w:rPr>
        <w:t xml:space="preserve">the calculation of </w:t>
      </w:r>
      <w:r w:rsidR="000A0608">
        <w:rPr>
          <w:rFonts w:ascii="Times New Roman" w:hAnsi="Times New Roman" w:cs="Times New Roman"/>
          <w:sz w:val="24"/>
          <w:szCs w:val="24"/>
        </w:rPr>
        <w:t>r</w:t>
      </w:r>
      <w:r>
        <w:rPr>
          <w:rFonts w:ascii="Times New Roman" w:hAnsi="Times New Roman" w:cs="Times New Roman"/>
          <w:sz w:val="24"/>
          <w:szCs w:val="24"/>
        </w:rPr>
        <w:t xml:space="preserve">enewable </w:t>
      </w:r>
      <w:r w:rsidR="000A0608">
        <w:rPr>
          <w:rFonts w:ascii="Times New Roman" w:hAnsi="Times New Roman" w:cs="Times New Roman"/>
          <w:sz w:val="24"/>
          <w:szCs w:val="24"/>
        </w:rPr>
        <w:t>e</w:t>
      </w:r>
      <w:r>
        <w:rPr>
          <w:rFonts w:ascii="Times New Roman" w:hAnsi="Times New Roman" w:cs="Times New Roman"/>
          <w:sz w:val="24"/>
          <w:szCs w:val="24"/>
        </w:rPr>
        <w:t xml:space="preserve">nergy, </w:t>
      </w:r>
      <w:r w:rsidR="000A0608">
        <w:rPr>
          <w:rFonts w:ascii="Times New Roman" w:hAnsi="Times New Roman" w:cs="Times New Roman"/>
          <w:sz w:val="24"/>
          <w:szCs w:val="24"/>
        </w:rPr>
        <w:t>e</w:t>
      </w:r>
      <w:r>
        <w:rPr>
          <w:rFonts w:ascii="Times New Roman" w:hAnsi="Times New Roman" w:cs="Times New Roman"/>
          <w:sz w:val="24"/>
          <w:szCs w:val="24"/>
        </w:rPr>
        <w:t xml:space="preserve">nergy </w:t>
      </w:r>
      <w:r w:rsidR="000A0608">
        <w:rPr>
          <w:rFonts w:ascii="Times New Roman" w:hAnsi="Times New Roman" w:cs="Times New Roman"/>
          <w:sz w:val="24"/>
          <w:szCs w:val="24"/>
        </w:rPr>
        <w:t>e</w:t>
      </w:r>
      <w:r>
        <w:rPr>
          <w:rFonts w:ascii="Times New Roman" w:hAnsi="Times New Roman" w:cs="Times New Roman"/>
          <w:sz w:val="24"/>
          <w:szCs w:val="24"/>
        </w:rPr>
        <w:t xml:space="preserve">fficiency, and </w:t>
      </w:r>
      <w:r w:rsidR="000A0608">
        <w:rPr>
          <w:rFonts w:ascii="Times New Roman" w:hAnsi="Times New Roman" w:cs="Times New Roman"/>
          <w:sz w:val="24"/>
          <w:szCs w:val="24"/>
        </w:rPr>
        <w:t>p</w:t>
      </w:r>
      <w:r>
        <w:rPr>
          <w:rFonts w:ascii="Times New Roman" w:hAnsi="Times New Roman" w:cs="Times New Roman"/>
          <w:sz w:val="24"/>
          <w:szCs w:val="24"/>
        </w:rPr>
        <w:t xml:space="preserve">eak </w:t>
      </w:r>
      <w:r w:rsidR="000A0608">
        <w:rPr>
          <w:rFonts w:ascii="Times New Roman" w:hAnsi="Times New Roman" w:cs="Times New Roman"/>
          <w:sz w:val="24"/>
          <w:szCs w:val="24"/>
        </w:rPr>
        <w:t>demand r</w:t>
      </w:r>
      <w:r>
        <w:rPr>
          <w:rFonts w:ascii="Times New Roman" w:hAnsi="Times New Roman" w:cs="Times New Roman"/>
          <w:sz w:val="24"/>
          <w:szCs w:val="24"/>
        </w:rPr>
        <w:t>eduction</w:t>
      </w:r>
      <w:r w:rsidRPr="003F71A4">
        <w:rPr>
          <w:rFonts w:ascii="Times New Roman" w:hAnsi="Times New Roman" w:cs="Times New Roman"/>
          <w:sz w:val="24"/>
          <w:szCs w:val="24"/>
        </w:rPr>
        <w:t xml:space="preserve"> compliance</w:t>
      </w:r>
      <w:r>
        <w:rPr>
          <w:rFonts w:ascii="Times New Roman" w:hAnsi="Times New Roman" w:cs="Times New Roman"/>
          <w:sz w:val="24"/>
          <w:szCs w:val="24"/>
        </w:rPr>
        <w:t xml:space="preserve"> </w:t>
      </w:r>
      <w:r w:rsidRPr="003F71A4">
        <w:rPr>
          <w:rFonts w:ascii="Times New Roman" w:hAnsi="Times New Roman" w:cs="Times New Roman"/>
          <w:sz w:val="24"/>
          <w:szCs w:val="24"/>
        </w:rPr>
        <w:t xml:space="preserve">costs is a complicated task, and </w:t>
      </w:r>
      <w:r>
        <w:rPr>
          <w:rFonts w:ascii="Times New Roman" w:hAnsi="Times New Roman" w:cs="Times New Roman"/>
          <w:sz w:val="24"/>
          <w:szCs w:val="24"/>
        </w:rPr>
        <w:t>that the PUCO</w:t>
      </w:r>
      <w:r w:rsidRPr="003F71A4">
        <w:rPr>
          <w:rFonts w:ascii="Times New Roman" w:hAnsi="Times New Roman" w:cs="Times New Roman"/>
          <w:sz w:val="24"/>
          <w:szCs w:val="24"/>
        </w:rPr>
        <w:t>’s final rules will still leave</w:t>
      </w:r>
      <w:r>
        <w:rPr>
          <w:rFonts w:ascii="Times New Roman" w:hAnsi="Times New Roman" w:cs="Times New Roman"/>
          <w:sz w:val="24"/>
          <w:szCs w:val="24"/>
        </w:rPr>
        <w:t xml:space="preserve"> </w:t>
      </w:r>
      <w:r w:rsidRPr="003F71A4">
        <w:rPr>
          <w:rFonts w:ascii="Times New Roman" w:hAnsi="Times New Roman" w:cs="Times New Roman"/>
          <w:sz w:val="24"/>
          <w:szCs w:val="24"/>
        </w:rPr>
        <w:t xml:space="preserve">some leeway as to exactly how a particular </w:t>
      </w:r>
      <w:r w:rsidR="0044512C">
        <w:rPr>
          <w:rFonts w:ascii="Times New Roman" w:hAnsi="Times New Roman" w:cs="Times New Roman"/>
          <w:sz w:val="24"/>
          <w:szCs w:val="24"/>
        </w:rPr>
        <w:t>utility</w:t>
      </w:r>
      <w:r w:rsidR="0044512C" w:rsidRPr="003F71A4">
        <w:rPr>
          <w:rFonts w:ascii="Times New Roman" w:hAnsi="Times New Roman" w:cs="Times New Roman"/>
          <w:sz w:val="24"/>
          <w:szCs w:val="24"/>
        </w:rPr>
        <w:t xml:space="preserve"> </w:t>
      </w:r>
      <w:r w:rsidRPr="003F71A4">
        <w:rPr>
          <w:rFonts w:ascii="Times New Roman" w:hAnsi="Times New Roman" w:cs="Times New Roman"/>
          <w:sz w:val="24"/>
          <w:szCs w:val="24"/>
        </w:rPr>
        <w:t>calculates the relevant costs and formats its bills.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For this reason, t</w:t>
      </w:r>
      <w:r w:rsidRPr="003F71A4">
        <w:rPr>
          <w:rFonts w:ascii="Times New Roman" w:hAnsi="Times New Roman" w:cs="Times New Roman"/>
          <w:sz w:val="24"/>
          <w:szCs w:val="24"/>
        </w:rPr>
        <w:t xml:space="preserve">he Environmental Advocates recommended that the PUCO require each electric utility </w:t>
      </w:r>
      <w:r w:rsidRPr="003F71A4">
        <w:rPr>
          <w:rFonts w:ascii="Times New Roman" w:hAnsi="Times New Roman" w:cs="Times New Roman"/>
          <w:sz w:val="24"/>
          <w:szCs w:val="24"/>
        </w:rPr>
        <w:lastRenderedPageBreak/>
        <w:t>company to file a sample bill, and an accompanying sample calculation, for review and approval by the PUCO each year prior to the actual bills being issued to customers.</w:t>
      </w:r>
      <w:r w:rsidRPr="003F71A4">
        <w:rPr>
          <w:rStyle w:val="FootnoteReference"/>
          <w:rFonts w:ascii="Times New Roman" w:hAnsi="Times New Roman" w:cs="Times New Roman"/>
          <w:sz w:val="24"/>
          <w:szCs w:val="24"/>
        </w:rPr>
        <w:footnoteReference w:id="9"/>
      </w:r>
      <w:r w:rsidRPr="003F71A4">
        <w:rPr>
          <w:rFonts w:ascii="Times New Roman" w:hAnsi="Times New Roman" w:cs="Times New Roman"/>
          <w:sz w:val="24"/>
          <w:szCs w:val="24"/>
        </w:rPr>
        <w:t xml:space="preserve">  This recommendation is reasonable and is consistent with the PUCO’s rule that utility bills must be accurate and understandable for consumers.</w:t>
      </w:r>
      <w:r w:rsidRPr="003F71A4">
        <w:rPr>
          <w:rStyle w:val="FootnoteReference"/>
          <w:rFonts w:ascii="Times New Roman" w:hAnsi="Times New Roman" w:cs="Times New Roman"/>
          <w:sz w:val="24"/>
          <w:szCs w:val="24"/>
        </w:rPr>
        <w:footnoteReference w:id="10"/>
      </w:r>
      <w:r w:rsidRPr="003F71A4">
        <w:rPr>
          <w:rFonts w:ascii="Times New Roman" w:hAnsi="Times New Roman" w:cs="Times New Roman"/>
          <w:sz w:val="24"/>
          <w:szCs w:val="24"/>
        </w:rPr>
        <w:t xml:space="preserve">  </w:t>
      </w:r>
    </w:p>
    <w:p w:rsidR="00B84EFE" w:rsidRDefault="00964E91" w:rsidP="0077509C">
      <w:pPr>
        <w:pStyle w:val="ListParagraph"/>
        <w:autoSpaceDE w:val="0"/>
        <w:autoSpaceDN w:val="0"/>
        <w:adjustRightInd w:val="0"/>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Ohio Adm. Code 4901:1-10-33(F) </w:t>
      </w:r>
      <w:r w:rsidR="003F71A4">
        <w:rPr>
          <w:rFonts w:ascii="Times New Roman" w:hAnsi="Times New Roman" w:cs="Times New Roman"/>
          <w:sz w:val="24"/>
          <w:szCs w:val="24"/>
        </w:rPr>
        <w:t xml:space="preserve">currently </w:t>
      </w:r>
      <w:r>
        <w:rPr>
          <w:rFonts w:ascii="Times New Roman" w:hAnsi="Times New Roman" w:cs="Times New Roman"/>
          <w:sz w:val="24"/>
          <w:szCs w:val="24"/>
        </w:rPr>
        <w:t>requires that “a</w:t>
      </w:r>
      <w:r w:rsidRPr="00964E91">
        <w:rPr>
          <w:rFonts w:ascii="Times New Roman" w:hAnsi="Times New Roman" w:cs="Times New Roman"/>
          <w:sz w:val="24"/>
          <w:szCs w:val="24"/>
        </w:rPr>
        <w:t>ny new consolidated bill format proposed by an electric utility shall be filed with the commission for approval. If an application for a consolidated bill format is not acted upon by the commission within forty-five calendar days after it is filed, the consolidated bill format shall be deemed approved on the forty-sixth day after filing.</w:t>
      </w:r>
      <w:r>
        <w:rPr>
          <w:rFonts w:ascii="Times New Roman" w:hAnsi="Times New Roman" w:cs="Times New Roman"/>
          <w:sz w:val="24"/>
          <w:szCs w:val="24"/>
        </w:rPr>
        <w:t xml:space="preserve">”  Thus, </w:t>
      </w:r>
      <w:r w:rsidR="009F4094">
        <w:rPr>
          <w:rFonts w:ascii="Times New Roman" w:hAnsi="Times New Roman" w:cs="Times New Roman"/>
          <w:sz w:val="24"/>
          <w:szCs w:val="24"/>
        </w:rPr>
        <w:t>an electric utility is required</w:t>
      </w:r>
      <w:r>
        <w:rPr>
          <w:rFonts w:ascii="Times New Roman" w:hAnsi="Times New Roman" w:cs="Times New Roman"/>
          <w:sz w:val="24"/>
          <w:szCs w:val="24"/>
        </w:rPr>
        <w:t xml:space="preserve"> to file </w:t>
      </w:r>
      <w:r w:rsidR="009F4094">
        <w:rPr>
          <w:rFonts w:ascii="Times New Roman" w:hAnsi="Times New Roman" w:cs="Times New Roman"/>
          <w:sz w:val="24"/>
          <w:szCs w:val="24"/>
        </w:rPr>
        <w:t xml:space="preserve">its </w:t>
      </w:r>
      <w:r w:rsidR="003F71A4">
        <w:rPr>
          <w:rFonts w:ascii="Times New Roman" w:hAnsi="Times New Roman" w:cs="Times New Roman"/>
          <w:sz w:val="24"/>
          <w:szCs w:val="24"/>
        </w:rPr>
        <w:t xml:space="preserve">proposed bill format implementing the PUCO’s new rules </w:t>
      </w:r>
      <w:r w:rsidR="003F71A4" w:rsidRPr="009F4094">
        <w:rPr>
          <w:rFonts w:ascii="Times New Roman" w:hAnsi="Times New Roman" w:cs="Times New Roman"/>
          <w:i/>
          <w:sz w:val="24"/>
          <w:szCs w:val="24"/>
        </w:rPr>
        <w:t>prior</w:t>
      </w:r>
      <w:r w:rsidR="003F71A4">
        <w:rPr>
          <w:rFonts w:ascii="Times New Roman" w:hAnsi="Times New Roman" w:cs="Times New Roman"/>
          <w:sz w:val="24"/>
          <w:szCs w:val="24"/>
        </w:rPr>
        <w:t xml:space="preserve"> to the bill format going into effect.  When the electric utilities file their respective bill formats</w:t>
      </w:r>
      <w:r w:rsidR="00072A10">
        <w:rPr>
          <w:rFonts w:ascii="Times New Roman" w:hAnsi="Times New Roman" w:cs="Times New Roman"/>
          <w:sz w:val="24"/>
          <w:szCs w:val="24"/>
        </w:rPr>
        <w:t xml:space="preserve"> related to the rule changes resulting from this proceeding</w:t>
      </w:r>
      <w:r w:rsidR="003F71A4">
        <w:rPr>
          <w:rFonts w:ascii="Times New Roman" w:hAnsi="Times New Roman" w:cs="Times New Roman"/>
          <w:sz w:val="24"/>
          <w:szCs w:val="24"/>
        </w:rPr>
        <w:t xml:space="preserve">, the PUCO should afford stakeholders with the opportunity to comment </w:t>
      </w:r>
      <w:r w:rsidR="003C6BA9">
        <w:rPr>
          <w:rFonts w:ascii="Times New Roman" w:hAnsi="Times New Roman" w:cs="Times New Roman"/>
          <w:sz w:val="24"/>
          <w:szCs w:val="24"/>
        </w:rPr>
        <w:t xml:space="preserve">within the context of the PUCO review and approval process </w:t>
      </w:r>
      <w:r w:rsidR="003F71A4">
        <w:rPr>
          <w:rFonts w:ascii="Times New Roman" w:hAnsi="Times New Roman" w:cs="Times New Roman"/>
          <w:sz w:val="24"/>
          <w:szCs w:val="24"/>
        </w:rPr>
        <w:t>prior to the bills being issued to consumers</w:t>
      </w:r>
      <w:r w:rsidR="009F4094">
        <w:rPr>
          <w:rFonts w:ascii="Times New Roman" w:hAnsi="Times New Roman" w:cs="Times New Roman"/>
          <w:sz w:val="24"/>
          <w:szCs w:val="24"/>
        </w:rPr>
        <w:t>.  This will help to</w:t>
      </w:r>
      <w:r w:rsidR="003F71A4">
        <w:rPr>
          <w:rFonts w:ascii="Times New Roman" w:hAnsi="Times New Roman" w:cs="Times New Roman"/>
          <w:sz w:val="24"/>
          <w:szCs w:val="24"/>
        </w:rPr>
        <w:t xml:space="preserve"> ensure that the information on </w:t>
      </w:r>
      <w:r w:rsidR="009F4094">
        <w:rPr>
          <w:rFonts w:ascii="Times New Roman" w:hAnsi="Times New Roman" w:cs="Times New Roman"/>
          <w:sz w:val="24"/>
          <w:szCs w:val="24"/>
        </w:rPr>
        <w:t xml:space="preserve">consumers’ </w:t>
      </w:r>
      <w:r w:rsidR="003F71A4">
        <w:rPr>
          <w:rFonts w:ascii="Times New Roman" w:hAnsi="Times New Roman" w:cs="Times New Roman"/>
          <w:sz w:val="24"/>
          <w:szCs w:val="24"/>
        </w:rPr>
        <w:t xml:space="preserve">bills is accurate and does not lead to customer confusion. </w:t>
      </w:r>
    </w:p>
    <w:p w:rsidR="00AB7F7B" w:rsidRDefault="00DF4D3C" w:rsidP="00362450">
      <w:pPr>
        <w:pStyle w:val="Heading2"/>
      </w:pPr>
      <w:r>
        <w:t>D</w:t>
      </w:r>
      <w:r w:rsidR="00362450">
        <w:t>.</w:t>
      </w:r>
      <w:r w:rsidR="00362450">
        <w:tab/>
      </w:r>
      <w:r w:rsidR="004408A5">
        <w:t>The</w:t>
      </w:r>
      <w:r w:rsidR="0071489D">
        <w:t xml:space="preserve"> Charges </w:t>
      </w:r>
      <w:r w:rsidR="00C745DF">
        <w:t>T</w:t>
      </w:r>
      <w:r w:rsidR="0071489D">
        <w:t xml:space="preserve">hat </w:t>
      </w:r>
      <w:r w:rsidR="004408A5">
        <w:t xml:space="preserve">Consumers </w:t>
      </w:r>
      <w:r w:rsidR="00C745DF">
        <w:t>P</w:t>
      </w:r>
      <w:r w:rsidR="004408A5">
        <w:t xml:space="preserve">ay </w:t>
      </w:r>
      <w:r w:rsidR="00C745DF">
        <w:t>T</w:t>
      </w:r>
      <w:r w:rsidR="0071489D">
        <w:t xml:space="preserve">o </w:t>
      </w:r>
      <w:r w:rsidR="00C745DF">
        <w:t>F</w:t>
      </w:r>
      <w:r w:rsidR="0071489D">
        <w:t>und</w:t>
      </w:r>
      <w:r w:rsidR="004408A5">
        <w:t xml:space="preserve"> </w:t>
      </w:r>
      <w:r w:rsidR="00C745DF">
        <w:t>T</w:t>
      </w:r>
      <w:r w:rsidR="004408A5">
        <w:t>he</w:t>
      </w:r>
      <w:r w:rsidR="0071489D">
        <w:t xml:space="preserve"> </w:t>
      </w:r>
      <w:r w:rsidR="00C745DF">
        <w:t>U</w:t>
      </w:r>
      <w:r w:rsidR="0071489D">
        <w:t>tilities’</w:t>
      </w:r>
      <w:r w:rsidR="004408A5">
        <w:t xml:space="preserve"> </w:t>
      </w:r>
      <w:r w:rsidR="00C745DF">
        <w:t>D</w:t>
      </w:r>
      <w:r w:rsidR="004408A5">
        <w:t xml:space="preserve">iscounts </w:t>
      </w:r>
      <w:r w:rsidR="00C745DF">
        <w:t>T</w:t>
      </w:r>
      <w:r w:rsidR="004408A5">
        <w:t xml:space="preserve">o </w:t>
      </w:r>
      <w:r w:rsidR="00C745DF">
        <w:t>L</w:t>
      </w:r>
      <w:r w:rsidR="004408A5">
        <w:t xml:space="preserve">arge </w:t>
      </w:r>
      <w:r w:rsidR="00C745DF">
        <w:t>I</w:t>
      </w:r>
      <w:r w:rsidR="004408A5">
        <w:t xml:space="preserve">ndustrial </w:t>
      </w:r>
      <w:r w:rsidR="00C745DF">
        <w:t>C</w:t>
      </w:r>
      <w:r w:rsidR="004408A5">
        <w:t>ustomers</w:t>
      </w:r>
      <w:r w:rsidR="0071489D">
        <w:t xml:space="preserve"> </w:t>
      </w:r>
      <w:r w:rsidR="00C745DF">
        <w:t>Who T</w:t>
      </w:r>
      <w:r w:rsidR="0071489D">
        <w:t xml:space="preserve">ake </w:t>
      </w:r>
      <w:r w:rsidR="00C745DF">
        <w:t>E</w:t>
      </w:r>
      <w:r w:rsidR="00841DD7">
        <w:t xml:space="preserve">lectric </w:t>
      </w:r>
      <w:r w:rsidR="00C745DF">
        <w:t>S</w:t>
      </w:r>
      <w:r w:rsidR="0071489D">
        <w:t xml:space="preserve">ervice </w:t>
      </w:r>
      <w:r w:rsidR="00C745DF">
        <w:t>O</w:t>
      </w:r>
      <w:r w:rsidR="0071489D">
        <w:t xml:space="preserve">n </w:t>
      </w:r>
      <w:r w:rsidR="00C745DF">
        <w:t>A</w:t>
      </w:r>
      <w:r w:rsidR="0071489D">
        <w:t>n</w:t>
      </w:r>
      <w:r w:rsidR="004408A5">
        <w:t xml:space="preserve"> </w:t>
      </w:r>
      <w:r w:rsidR="00AB7F7B" w:rsidRPr="00AB7F7B">
        <w:t xml:space="preserve">Interruptible </w:t>
      </w:r>
      <w:r w:rsidR="00362450">
        <w:t>R</w:t>
      </w:r>
      <w:r w:rsidR="00362450" w:rsidRPr="00AB7F7B">
        <w:t>ate</w:t>
      </w:r>
      <w:r w:rsidR="00362450">
        <w:t xml:space="preserve"> Should Not Be Included In </w:t>
      </w:r>
      <w:r w:rsidR="00C745DF">
        <w:t>T</w:t>
      </w:r>
      <w:r w:rsidR="00841DD7">
        <w:t xml:space="preserve">he </w:t>
      </w:r>
      <w:r w:rsidR="0071489D">
        <w:t xml:space="preserve">Cost information </w:t>
      </w:r>
      <w:r w:rsidR="00C745DF">
        <w:t>T</w:t>
      </w:r>
      <w:r w:rsidR="0071489D">
        <w:t xml:space="preserve">hat </w:t>
      </w:r>
      <w:r w:rsidR="00C745DF">
        <w:t>I</w:t>
      </w:r>
      <w:r w:rsidR="0071489D">
        <w:t xml:space="preserve">s </w:t>
      </w:r>
      <w:r w:rsidR="00C745DF">
        <w:t>P</w:t>
      </w:r>
      <w:r w:rsidR="0071489D">
        <w:t xml:space="preserve">resented </w:t>
      </w:r>
      <w:r w:rsidR="00C745DF">
        <w:t>O</w:t>
      </w:r>
      <w:r w:rsidR="0071489D">
        <w:t>n</w:t>
      </w:r>
      <w:r w:rsidR="00841DD7">
        <w:t xml:space="preserve"> </w:t>
      </w:r>
      <w:r w:rsidR="00C745DF">
        <w:t>M</w:t>
      </w:r>
      <w:r w:rsidR="00841DD7">
        <w:t xml:space="preserve">onthly </w:t>
      </w:r>
      <w:r w:rsidR="00C745DF">
        <w:t>U</w:t>
      </w:r>
      <w:r w:rsidR="00841DD7">
        <w:t xml:space="preserve">tility </w:t>
      </w:r>
      <w:r w:rsidR="00C745DF">
        <w:t>B</w:t>
      </w:r>
      <w:r w:rsidR="00841DD7">
        <w:t>ills</w:t>
      </w:r>
      <w:r w:rsidR="00362450">
        <w:t>.</w:t>
      </w:r>
    </w:p>
    <w:p w:rsidR="000C149B" w:rsidRDefault="000C149B" w:rsidP="00E53784">
      <w:pPr>
        <w:autoSpaceDE w:val="0"/>
        <w:autoSpaceDN w:val="0"/>
        <w:adjustRightInd w:val="0"/>
        <w:spacing w:line="480" w:lineRule="auto"/>
        <w:ind w:firstLine="720"/>
        <w:rPr>
          <w:szCs w:val="24"/>
        </w:rPr>
      </w:pPr>
      <w:r w:rsidRPr="00C254A7">
        <w:rPr>
          <w:szCs w:val="24"/>
        </w:rPr>
        <w:t xml:space="preserve">OMAEG points out that for the last </w:t>
      </w:r>
      <w:r w:rsidR="006171DA" w:rsidRPr="00C254A7">
        <w:rPr>
          <w:szCs w:val="24"/>
        </w:rPr>
        <w:t>three</w:t>
      </w:r>
      <w:r w:rsidRPr="00C254A7">
        <w:rPr>
          <w:szCs w:val="24"/>
        </w:rPr>
        <w:t xml:space="preserve"> years, </w:t>
      </w:r>
      <w:r w:rsidR="007F0554">
        <w:rPr>
          <w:szCs w:val="24"/>
        </w:rPr>
        <w:t>12</w:t>
      </w:r>
      <w:r w:rsidR="007F0554" w:rsidRPr="00C254A7">
        <w:rPr>
          <w:szCs w:val="24"/>
        </w:rPr>
        <w:t xml:space="preserve"> </w:t>
      </w:r>
      <w:r w:rsidRPr="00C254A7">
        <w:rPr>
          <w:szCs w:val="24"/>
        </w:rPr>
        <w:t xml:space="preserve">percent of AEP Ohio’s </w:t>
      </w:r>
      <w:r w:rsidR="006171DA" w:rsidRPr="00C254A7">
        <w:rPr>
          <w:szCs w:val="24"/>
        </w:rPr>
        <w:t>energy efficiency</w:t>
      </w:r>
      <w:r w:rsidRPr="00C254A7">
        <w:rPr>
          <w:szCs w:val="24"/>
        </w:rPr>
        <w:t>/</w:t>
      </w:r>
      <w:r w:rsidR="006171DA" w:rsidRPr="00C254A7">
        <w:rPr>
          <w:szCs w:val="24"/>
        </w:rPr>
        <w:t>peak demand reduction</w:t>
      </w:r>
      <w:r w:rsidRPr="00C254A7">
        <w:rPr>
          <w:szCs w:val="24"/>
        </w:rPr>
        <w:t xml:space="preserve"> rider costs </w:t>
      </w:r>
      <w:r w:rsidR="00032252">
        <w:rPr>
          <w:szCs w:val="24"/>
        </w:rPr>
        <w:t xml:space="preserve">consist of </w:t>
      </w:r>
      <w:r w:rsidRPr="00C254A7">
        <w:rPr>
          <w:szCs w:val="24"/>
        </w:rPr>
        <w:t xml:space="preserve">interruptible rate </w:t>
      </w:r>
      <w:r w:rsidR="000D1DAA">
        <w:rPr>
          <w:szCs w:val="24"/>
        </w:rPr>
        <w:t xml:space="preserve">credits </w:t>
      </w:r>
      <w:r w:rsidR="000D1DAA" w:rsidRPr="00C254A7">
        <w:rPr>
          <w:szCs w:val="24"/>
        </w:rPr>
        <w:t>to</w:t>
      </w:r>
      <w:r w:rsidRPr="00C254A7">
        <w:rPr>
          <w:szCs w:val="24"/>
        </w:rPr>
        <w:t xml:space="preserve"> large industrial customers</w:t>
      </w:r>
      <w:r w:rsidR="00032252">
        <w:rPr>
          <w:szCs w:val="24"/>
        </w:rPr>
        <w:t xml:space="preserve"> that are paid for by all customers</w:t>
      </w:r>
      <w:r w:rsidRPr="00C254A7">
        <w:rPr>
          <w:szCs w:val="24"/>
        </w:rPr>
        <w:t>.</w:t>
      </w:r>
      <w:r>
        <w:rPr>
          <w:rStyle w:val="FootnoteReference"/>
          <w:szCs w:val="24"/>
        </w:rPr>
        <w:footnoteReference w:id="11"/>
      </w:r>
      <w:r w:rsidRPr="00C254A7">
        <w:rPr>
          <w:szCs w:val="24"/>
        </w:rPr>
        <w:t xml:space="preserve">  These </w:t>
      </w:r>
      <w:r w:rsidR="00032252">
        <w:rPr>
          <w:szCs w:val="24"/>
        </w:rPr>
        <w:t xml:space="preserve">credits (which reduce the bills of large industrial customers) </w:t>
      </w:r>
      <w:r w:rsidRPr="00C254A7">
        <w:rPr>
          <w:szCs w:val="24"/>
        </w:rPr>
        <w:t xml:space="preserve">are not part of utility </w:t>
      </w:r>
      <w:r w:rsidR="006171DA" w:rsidRPr="00C254A7">
        <w:rPr>
          <w:szCs w:val="24"/>
        </w:rPr>
        <w:t xml:space="preserve">energy efficiency/peak demand reduction </w:t>
      </w:r>
      <w:r w:rsidRPr="00C254A7">
        <w:rPr>
          <w:szCs w:val="24"/>
        </w:rPr>
        <w:t>program plans</w:t>
      </w:r>
      <w:r w:rsidR="006171DA" w:rsidRPr="00C254A7">
        <w:rPr>
          <w:szCs w:val="24"/>
        </w:rPr>
        <w:t xml:space="preserve">.  Instead, these </w:t>
      </w:r>
      <w:r w:rsidR="00032252">
        <w:rPr>
          <w:szCs w:val="24"/>
        </w:rPr>
        <w:t xml:space="preserve">interruptible credits are subsidized by all customers under </w:t>
      </w:r>
      <w:r w:rsidRPr="00C254A7">
        <w:rPr>
          <w:szCs w:val="24"/>
        </w:rPr>
        <w:t>several legacy interruptible rate design offerings</w:t>
      </w:r>
      <w:r w:rsidR="00032252">
        <w:rPr>
          <w:szCs w:val="24"/>
        </w:rPr>
        <w:t xml:space="preserve"> by electric utilities</w:t>
      </w:r>
      <w:r w:rsidRPr="00C254A7">
        <w:rPr>
          <w:szCs w:val="24"/>
        </w:rPr>
        <w:t xml:space="preserve">. </w:t>
      </w:r>
      <w:r w:rsidR="00032252">
        <w:rPr>
          <w:szCs w:val="24"/>
        </w:rPr>
        <w:t xml:space="preserve">Thus, </w:t>
      </w:r>
      <w:r w:rsidR="00A2559C">
        <w:rPr>
          <w:szCs w:val="24"/>
        </w:rPr>
        <w:t xml:space="preserve">it would be inaccurate to include </w:t>
      </w:r>
      <w:r w:rsidR="00032252">
        <w:rPr>
          <w:szCs w:val="24"/>
        </w:rPr>
        <w:t xml:space="preserve">the cost of interruptible credits </w:t>
      </w:r>
      <w:r w:rsidR="00A2559C">
        <w:rPr>
          <w:szCs w:val="24"/>
        </w:rPr>
        <w:t>as part of</w:t>
      </w:r>
      <w:r w:rsidRPr="00C254A7">
        <w:rPr>
          <w:szCs w:val="24"/>
        </w:rPr>
        <w:t xml:space="preserve"> the</w:t>
      </w:r>
      <w:r w:rsidR="00A2559C">
        <w:rPr>
          <w:szCs w:val="24"/>
        </w:rPr>
        <w:t xml:space="preserve"> disclosure of</w:t>
      </w:r>
      <w:r w:rsidRPr="00C254A7">
        <w:rPr>
          <w:szCs w:val="24"/>
        </w:rPr>
        <w:t xml:space="preserve"> charges ascribed to </w:t>
      </w:r>
      <w:r w:rsidR="006171DA" w:rsidRPr="00C254A7">
        <w:rPr>
          <w:szCs w:val="24"/>
        </w:rPr>
        <w:t xml:space="preserve">energy efficiency/peak demand reduction </w:t>
      </w:r>
      <w:r w:rsidRPr="00C254A7">
        <w:rPr>
          <w:szCs w:val="24"/>
        </w:rPr>
        <w:t>programs on customers</w:t>
      </w:r>
      <w:r w:rsidR="0046129B" w:rsidRPr="00C254A7">
        <w:rPr>
          <w:szCs w:val="24"/>
        </w:rPr>
        <w:t>’</w:t>
      </w:r>
      <w:r w:rsidRPr="00C254A7">
        <w:rPr>
          <w:szCs w:val="24"/>
        </w:rPr>
        <w:t xml:space="preserve"> bills.</w:t>
      </w:r>
      <w:r w:rsidR="00903B37">
        <w:rPr>
          <w:szCs w:val="24"/>
        </w:rPr>
        <w:t xml:space="preserve"> </w:t>
      </w:r>
      <w:r w:rsidRPr="00C254A7">
        <w:rPr>
          <w:szCs w:val="24"/>
        </w:rPr>
        <w:t xml:space="preserve"> If the PUCO wants information </w:t>
      </w:r>
      <w:r w:rsidR="00032252">
        <w:rPr>
          <w:szCs w:val="24"/>
        </w:rPr>
        <w:t xml:space="preserve">conveyed to customers on the cost of the interruptible credits they are </w:t>
      </w:r>
      <w:r w:rsidR="00A2559C">
        <w:rPr>
          <w:szCs w:val="24"/>
        </w:rPr>
        <w:t>funding</w:t>
      </w:r>
      <w:r w:rsidR="00032252">
        <w:rPr>
          <w:szCs w:val="24"/>
        </w:rPr>
        <w:t xml:space="preserve">, </w:t>
      </w:r>
      <w:r w:rsidRPr="00C254A7">
        <w:rPr>
          <w:szCs w:val="24"/>
        </w:rPr>
        <w:t>th</w:t>
      </w:r>
      <w:r w:rsidR="0046129B" w:rsidRPr="00C254A7">
        <w:rPr>
          <w:szCs w:val="24"/>
        </w:rPr>
        <w:t>e</w:t>
      </w:r>
      <w:r w:rsidRPr="00C254A7">
        <w:rPr>
          <w:szCs w:val="24"/>
        </w:rPr>
        <w:t xml:space="preserve">n it should be </w:t>
      </w:r>
      <w:r w:rsidR="00E53784">
        <w:rPr>
          <w:szCs w:val="24"/>
        </w:rPr>
        <w:t xml:space="preserve">identified as </w:t>
      </w:r>
      <w:r w:rsidRPr="00C254A7">
        <w:rPr>
          <w:szCs w:val="24"/>
        </w:rPr>
        <w:t xml:space="preserve">a separate item, apart from the </w:t>
      </w:r>
      <w:r w:rsidR="006171DA" w:rsidRPr="00C254A7">
        <w:rPr>
          <w:szCs w:val="24"/>
        </w:rPr>
        <w:t xml:space="preserve">energy efficiency/peak demand reduction </w:t>
      </w:r>
      <w:r w:rsidR="0046129B" w:rsidRPr="00C254A7">
        <w:rPr>
          <w:szCs w:val="24"/>
        </w:rPr>
        <w:t xml:space="preserve">program </w:t>
      </w:r>
      <w:r w:rsidRPr="00C254A7">
        <w:rPr>
          <w:szCs w:val="24"/>
        </w:rPr>
        <w:t xml:space="preserve">charges. </w:t>
      </w:r>
    </w:p>
    <w:p w:rsidR="00903B37" w:rsidRPr="00C254A7" w:rsidRDefault="00903B37" w:rsidP="00903B37">
      <w:pPr>
        <w:autoSpaceDE w:val="0"/>
        <w:autoSpaceDN w:val="0"/>
        <w:adjustRightInd w:val="0"/>
        <w:ind w:firstLine="720"/>
        <w:rPr>
          <w:b/>
          <w:szCs w:val="24"/>
        </w:rPr>
      </w:pPr>
    </w:p>
    <w:p w:rsidR="003E71DD" w:rsidRPr="00C96164" w:rsidRDefault="001447EE" w:rsidP="00C96164">
      <w:pPr>
        <w:pStyle w:val="Heading1"/>
      </w:pPr>
      <w:bookmarkStart w:id="3" w:name="_Toc393206748"/>
      <w:r w:rsidRPr="00C96164">
        <w:t>III.</w:t>
      </w:r>
      <w:r w:rsidRPr="00C96164">
        <w:tab/>
        <w:t>CONCLUSION</w:t>
      </w:r>
      <w:bookmarkEnd w:id="3"/>
    </w:p>
    <w:p w:rsidR="003640BD" w:rsidRDefault="001447EE" w:rsidP="00CD7714">
      <w:pPr>
        <w:spacing w:line="480" w:lineRule="auto"/>
      </w:pPr>
      <w:r>
        <w:tab/>
      </w:r>
      <w:r w:rsidR="00CD7714" w:rsidRPr="00CD7714">
        <w:t>Under Substitute Senate Bill 310, the “costs” of renewable energy, energy</w:t>
      </w:r>
      <w:r w:rsidR="00CD7714">
        <w:t xml:space="preserve"> </w:t>
      </w:r>
      <w:r w:rsidR="00CD7714" w:rsidRPr="00CD7714">
        <w:t>efficiency, and peak demand resource programs are to be listed on each customer’s</w:t>
      </w:r>
      <w:r w:rsidR="00CD7714">
        <w:t xml:space="preserve"> </w:t>
      </w:r>
      <w:r w:rsidR="00CD7714" w:rsidRPr="00CD7714">
        <w:t xml:space="preserve">monthly bill as a distinct line item. </w:t>
      </w:r>
      <w:r w:rsidR="00903B37">
        <w:t xml:space="preserve"> </w:t>
      </w:r>
      <w:r w:rsidR="00CD7714">
        <w:t xml:space="preserve">OCC and others have made recommendations to the PUCO to ensure that </w:t>
      </w:r>
      <w:r w:rsidR="00AA4E8E">
        <w:t xml:space="preserve">this new information is presented on Ohioans’ electric bills in a format that </w:t>
      </w:r>
      <w:r w:rsidR="00CD7714">
        <w:t xml:space="preserve">will </w:t>
      </w:r>
      <w:r w:rsidR="00AA4E8E">
        <w:t xml:space="preserve">be </w:t>
      </w:r>
      <w:r w:rsidR="003640BD">
        <w:t>understand</w:t>
      </w:r>
      <w:r w:rsidR="00AA4E8E">
        <w:t>able and accurate for them.</w:t>
      </w:r>
      <w:r w:rsidR="003640BD">
        <w:t xml:space="preserve"> </w:t>
      </w:r>
      <w:r w:rsidR="00903B37">
        <w:t xml:space="preserve"> </w:t>
      </w:r>
      <w:r w:rsidR="003640BD">
        <w:t xml:space="preserve">These proposals should be adopted by the PUCO.  </w:t>
      </w:r>
    </w:p>
    <w:p w:rsidR="00903B37" w:rsidRDefault="00903B37">
      <w:pPr>
        <w:rPr>
          <w:szCs w:val="24"/>
        </w:rPr>
      </w:pPr>
      <w:r>
        <w:rPr>
          <w:szCs w:val="24"/>
        </w:rPr>
        <w:br w:type="page"/>
      </w:r>
    </w:p>
    <w:p w:rsidR="00DB36D8" w:rsidRDefault="00DB36D8" w:rsidP="00362450">
      <w:pPr>
        <w:ind w:left="3600" w:firstLine="720"/>
        <w:rPr>
          <w:szCs w:val="24"/>
        </w:rPr>
      </w:pPr>
      <w:r>
        <w:rPr>
          <w:szCs w:val="24"/>
        </w:rPr>
        <w:t>Respectfully submitted,</w:t>
      </w:r>
    </w:p>
    <w:p w:rsidR="00DB36D8" w:rsidRDefault="00DB36D8" w:rsidP="00DB36D8">
      <w:pPr>
        <w:pStyle w:val="Footer"/>
        <w:tabs>
          <w:tab w:val="clear" w:pos="8640"/>
          <w:tab w:val="left" w:pos="4320"/>
        </w:tabs>
        <w:spacing w:before="240"/>
        <w:rPr>
          <w:sz w:val="24"/>
          <w:szCs w:val="24"/>
        </w:rPr>
      </w:pPr>
      <w:r>
        <w:rPr>
          <w:sz w:val="24"/>
          <w:szCs w:val="24"/>
        </w:rPr>
        <w:tab/>
        <w:t>BRUCE J. WESTON</w:t>
      </w:r>
    </w:p>
    <w:p w:rsidR="00DB36D8" w:rsidRDefault="00DB36D8" w:rsidP="00DB36D8">
      <w:pPr>
        <w:tabs>
          <w:tab w:val="left" w:pos="4320"/>
        </w:tabs>
        <w:rPr>
          <w:szCs w:val="24"/>
        </w:rPr>
      </w:pPr>
      <w:r>
        <w:rPr>
          <w:szCs w:val="24"/>
        </w:rPr>
        <w:tab/>
        <w:t>OHIO CONSUMERS’ COUNSEL</w:t>
      </w:r>
    </w:p>
    <w:p w:rsidR="00DB36D8" w:rsidRDefault="00DB36D8" w:rsidP="00DB36D8">
      <w:pPr>
        <w:tabs>
          <w:tab w:val="left" w:pos="4320"/>
        </w:tabs>
        <w:rPr>
          <w:szCs w:val="24"/>
        </w:rPr>
      </w:pPr>
      <w:r>
        <w:rPr>
          <w:szCs w:val="24"/>
        </w:rPr>
        <w:tab/>
      </w:r>
    </w:p>
    <w:p w:rsidR="00DB36D8" w:rsidRDefault="00DB36D8" w:rsidP="00DB36D8">
      <w:pPr>
        <w:tabs>
          <w:tab w:val="left" w:pos="4320"/>
        </w:tabs>
        <w:rPr>
          <w:szCs w:val="24"/>
        </w:rPr>
      </w:pPr>
      <w:r>
        <w:rPr>
          <w:szCs w:val="24"/>
        </w:rPr>
        <w:tab/>
      </w:r>
      <w:r>
        <w:rPr>
          <w:i/>
          <w:szCs w:val="24"/>
          <w:u w:val="single"/>
        </w:rPr>
        <w:t>/s/ Kyle L. Kern</w:t>
      </w:r>
      <w:r>
        <w:rPr>
          <w:szCs w:val="24"/>
        </w:rPr>
        <w:t>_________________</w:t>
      </w:r>
    </w:p>
    <w:p w:rsidR="00903B37" w:rsidRDefault="00DB36D8" w:rsidP="00DB36D8">
      <w:pPr>
        <w:tabs>
          <w:tab w:val="left" w:pos="4320"/>
        </w:tabs>
        <w:rPr>
          <w:szCs w:val="24"/>
        </w:rPr>
      </w:pPr>
      <w:r>
        <w:rPr>
          <w:szCs w:val="24"/>
        </w:rPr>
        <w:tab/>
        <w:t>Kyle L. Kern</w:t>
      </w:r>
      <w:r w:rsidR="00903B37">
        <w:rPr>
          <w:szCs w:val="24"/>
        </w:rPr>
        <w:t xml:space="preserve"> (Reg. No. 0084199)</w:t>
      </w:r>
    </w:p>
    <w:p w:rsidR="00DB36D8" w:rsidRDefault="00903B37" w:rsidP="00DB36D8">
      <w:pPr>
        <w:tabs>
          <w:tab w:val="left" w:pos="4320"/>
        </w:tabs>
        <w:rPr>
          <w:szCs w:val="24"/>
        </w:rPr>
      </w:pPr>
      <w:r>
        <w:rPr>
          <w:szCs w:val="24"/>
        </w:rPr>
        <w:tab/>
      </w:r>
      <w:r w:rsidR="00DB36D8">
        <w:rPr>
          <w:szCs w:val="24"/>
        </w:rPr>
        <w:t>Counsel of Record</w:t>
      </w:r>
    </w:p>
    <w:p w:rsidR="00DB36D8" w:rsidRDefault="00DB36D8" w:rsidP="00DB36D8">
      <w:pPr>
        <w:tabs>
          <w:tab w:val="left" w:pos="4320"/>
        </w:tabs>
        <w:rPr>
          <w:szCs w:val="24"/>
        </w:rPr>
      </w:pPr>
      <w:r>
        <w:rPr>
          <w:szCs w:val="24"/>
        </w:rPr>
        <w:tab/>
        <w:t>Michael J. Schuler (</w:t>
      </w:r>
      <w:r w:rsidR="00903B37">
        <w:rPr>
          <w:szCs w:val="24"/>
        </w:rPr>
        <w:t xml:space="preserve">Reg. No. </w:t>
      </w:r>
      <w:r>
        <w:rPr>
          <w:szCs w:val="24"/>
        </w:rPr>
        <w:t>0082390)</w:t>
      </w:r>
    </w:p>
    <w:p w:rsidR="00DB36D8" w:rsidRDefault="00DB36D8" w:rsidP="00DB36D8">
      <w:pPr>
        <w:tabs>
          <w:tab w:val="left" w:pos="4320"/>
        </w:tabs>
        <w:rPr>
          <w:szCs w:val="24"/>
        </w:rPr>
      </w:pPr>
      <w:r>
        <w:rPr>
          <w:szCs w:val="24"/>
        </w:rPr>
        <w:tab/>
        <w:t>Assistant Consumers’ Counsel</w:t>
      </w:r>
    </w:p>
    <w:p w:rsidR="005E674D" w:rsidRDefault="005E674D" w:rsidP="00DB36D8">
      <w:pPr>
        <w:tabs>
          <w:tab w:val="left" w:pos="4320"/>
        </w:tabs>
        <w:rPr>
          <w:szCs w:val="24"/>
        </w:rPr>
      </w:pPr>
    </w:p>
    <w:p w:rsidR="00DB36D8" w:rsidRPr="005E674D" w:rsidRDefault="00DB36D8" w:rsidP="005E674D">
      <w:pPr>
        <w:rPr>
          <w:b/>
        </w:rPr>
      </w:pPr>
      <w:r>
        <w:tab/>
      </w:r>
      <w:r w:rsidR="005E674D">
        <w:tab/>
      </w:r>
      <w:r w:rsidR="005E674D">
        <w:tab/>
      </w:r>
      <w:r w:rsidR="005E674D">
        <w:tab/>
      </w:r>
      <w:r w:rsidR="005E674D">
        <w:tab/>
      </w:r>
      <w:r w:rsidR="005E674D">
        <w:tab/>
      </w:r>
      <w:r w:rsidRPr="005E674D">
        <w:rPr>
          <w:b/>
        </w:rPr>
        <w:t>Office of the Ohio Consumers’ Counsel</w:t>
      </w:r>
    </w:p>
    <w:p w:rsidR="00DB36D8" w:rsidRDefault="00DB36D8" w:rsidP="005E674D">
      <w:pPr>
        <w:ind w:left="4320"/>
      </w:pPr>
      <w:r>
        <w:t>10 West Broad Street, Suite 1800</w:t>
      </w:r>
    </w:p>
    <w:p w:rsidR="00DB36D8" w:rsidRDefault="00DB36D8" w:rsidP="005E674D">
      <w:pPr>
        <w:ind w:left="4320"/>
      </w:pPr>
      <w:r>
        <w:t>Columbus, Ohio 43215-3485</w:t>
      </w:r>
    </w:p>
    <w:p w:rsidR="00DB36D8" w:rsidRDefault="00DB36D8" w:rsidP="00DB36D8">
      <w:pPr>
        <w:autoSpaceDE w:val="0"/>
        <w:autoSpaceDN w:val="0"/>
        <w:adjustRightInd w:val="0"/>
        <w:ind w:left="3600" w:firstLine="720"/>
        <w:rPr>
          <w:szCs w:val="24"/>
        </w:rPr>
      </w:pPr>
      <w:r>
        <w:rPr>
          <w:szCs w:val="24"/>
        </w:rPr>
        <w:t xml:space="preserve">Telephone:  Kern Direct </w:t>
      </w:r>
      <w:r w:rsidR="00903B37">
        <w:rPr>
          <w:szCs w:val="24"/>
        </w:rPr>
        <w:t>(</w:t>
      </w:r>
      <w:r>
        <w:rPr>
          <w:szCs w:val="24"/>
        </w:rPr>
        <w:t>614</w:t>
      </w:r>
      <w:r w:rsidR="00903B37">
        <w:rPr>
          <w:szCs w:val="24"/>
        </w:rPr>
        <w:t xml:space="preserve">) </w:t>
      </w:r>
      <w:r>
        <w:rPr>
          <w:szCs w:val="24"/>
        </w:rPr>
        <w:t>466-9585</w:t>
      </w:r>
    </w:p>
    <w:p w:rsidR="00DB36D8" w:rsidRDefault="00DB36D8" w:rsidP="00DB36D8">
      <w:pPr>
        <w:autoSpaceDE w:val="0"/>
        <w:autoSpaceDN w:val="0"/>
        <w:adjustRightInd w:val="0"/>
        <w:ind w:left="3600" w:firstLine="720"/>
        <w:rPr>
          <w:szCs w:val="24"/>
        </w:rPr>
      </w:pPr>
      <w:r>
        <w:rPr>
          <w:szCs w:val="24"/>
        </w:rPr>
        <w:t xml:space="preserve">Telephone:  Schuler Direct </w:t>
      </w:r>
      <w:r w:rsidR="00903B37">
        <w:rPr>
          <w:szCs w:val="24"/>
        </w:rPr>
        <w:t>(</w:t>
      </w:r>
      <w:r>
        <w:rPr>
          <w:szCs w:val="24"/>
        </w:rPr>
        <w:t>614</w:t>
      </w:r>
      <w:r w:rsidR="00903B37">
        <w:rPr>
          <w:szCs w:val="24"/>
        </w:rPr>
        <w:t xml:space="preserve">) </w:t>
      </w:r>
      <w:r>
        <w:rPr>
          <w:szCs w:val="24"/>
        </w:rPr>
        <w:t>466-9547</w:t>
      </w:r>
    </w:p>
    <w:p w:rsidR="00DB36D8" w:rsidRDefault="00DB36D8" w:rsidP="00DB36D8">
      <w:pPr>
        <w:autoSpaceDE w:val="0"/>
        <w:autoSpaceDN w:val="0"/>
        <w:adjustRightInd w:val="0"/>
        <w:ind w:left="3600" w:firstLine="720"/>
        <w:rPr>
          <w:szCs w:val="24"/>
        </w:rPr>
      </w:pPr>
      <w:r w:rsidRPr="008803EF">
        <w:rPr>
          <w:szCs w:val="24"/>
        </w:rPr>
        <w:t>Kyle.kern@occ.ohio.gov</w:t>
      </w:r>
    </w:p>
    <w:p w:rsidR="00DB36D8" w:rsidRDefault="00DB36D8" w:rsidP="00DB36D8">
      <w:pPr>
        <w:autoSpaceDE w:val="0"/>
        <w:autoSpaceDN w:val="0"/>
        <w:adjustRightInd w:val="0"/>
        <w:ind w:left="3600" w:firstLine="720"/>
        <w:rPr>
          <w:szCs w:val="24"/>
        </w:rPr>
      </w:pPr>
      <w:r w:rsidRPr="008803EF">
        <w:rPr>
          <w:szCs w:val="24"/>
        </w:rPr>
        <w:t>Michael.schuler@occ.ohio.gov</w:t>
      </w:r>
    </w:p>
    <w:p w:rsidR="00BB15A2" w:rsidRDefault="00BB15A2" w:rsidP="00DB36D8">
      <w:pPr>
        <w:spacing w:line="480" w:lineRule="auto"/>
      </w:pPr>
    </w:p>
    <w:p w:rsidR="00BB15A2" w:rsidRDefault="00BB15A2" w:rsidP="00BB15A2">
      <w:pPr>
        <w:jc w:val="center"/>
        <w:rPr>
          <w:b/>
          <w:bCs/>
          <w:u w:val="single"/>
        </w:rPr>
      </w:pPr>
      <w:r>
        <w:br w:type="page"/>
      </w:r>
      <w:r>
        <w:rPr>
          <w:b/>
          <w:bCs/>
          <w:u w:val="single"/>
        </w:rPr>
        <w:t>CERTIFICATE OF SERVICE</w:t>
      </w:r>
    </w:p>
    <w:p w:rsidR="00BB15A2" w:rsidRDefault="00BB15A2" w:rsidP="00BB15A2">
      <w:pPr>
        <w:spacing w:line="480" w:lineRule="atLeast"/>
      </w:pPr>
      <w:r>
        <w:tab/>
        <w:t>I hereby certify that a copy of th</w:t>
      </w:r>
      <w:r w:rsidR="00AA4E8E">
        <w:t>ese</w:t>
      </w:r>
      <w:r>
        <w:t xml:space="preserve"> Reply Comments were served on the persons stated below via electronic service this </w:t>
      </w:r>
      <w:r w:rsidR="00DB36D8">
        <w:t>1</w:t>
      </w:r>
      <w:r>
        <w:t xml:space="preserve">7th day of </w:t>
      </w:r>
      <w:r w:rsidR="00DB36D8">
        <w:t>November</w:t>
      </w:r>
      <w:r>
        <w:t xml:space="preserve"> 2014.</w:t>
      </w:r>
    </w:p>
    <w:p w:rsidR="00BB15A2" w:rsidRDefault="00BB15A2" w:rsidP="00BB15A2">
      <w:pPr>
        <w:spacing w:line="480" w:lineRule="atLeast"/>
      </w:pPr>
    </w:p>
    <w:p w:rsidR="00BB15A2" w:rsidRDefault="00BB15A2" w:rsidP="00BB15A2">
      <w:pPr>
        <w:tabs>
          <w:tab w:val="left" w:pos="4320"/>
        </w:tabs>
      </w:pPr>
      <w:r>
        <w:tab/>
      </w:r>
      <w:r>
        <w:rPr>
          <w:i/>
          <w:u w:val="single"/>
        </w:rPr>
        <w:t>/s/ Kyle L. Kern</w:t>
      </w:r>
      <w:r>
        <w:t>____________________</w:t>
      </w:r>
    </w:p>
    <w:p w:rsidR="00BB15A2" w:rsidRDefault="00BB15A2" w:rsidP="00BB15A2">
      <w:pPr>
        <w:tabs>
          <w:tab w:val="left" w:pos="4320"/>
        </w:tabs>
      </w:pPr>
      <w:r>
        <w:tab/>
        <w:t>Kyle L. Kern</w:t>
      </w:r>
    </w:p>
    <w:p w:rsidR="00BB15A2" w:rsidRDefault="00BB15A2" w:rsidP="00BB15A2">
      <w:pPr>
        <w:tabs>
          <w:tab w:val="left" w:pos="4320"/>
        </w:tabs>
      </w:pPr>
      <w:r>
        <w:tab/>
        <w:t>Assistant Consumers’ Counsel</w:t>
      </w:r>
    </w:p>
    <w:p w:rsidR="00BB15A2" w:rsidRDefault="00BB15A2" w:rsidP="00BB15A2">
      <w:pPr>
        <w:rPr>
          <w:lang w:val="x-none" w:eastAsia="x-none"/>
        </w:rPr>
      </w:pPr>
    </w:p>
    <w:p w:rsidR="00BB15A2" w:rsidRDefault="00BB15A2" w:rsidP="00BB15A2">
      <w:pPr>
        <w:jc w:val="center"/>
        <w:rPr>
          <w:b/>
          <w:u w:val="single"/>
          <w:lang w:val="x-none" w:eastAsia="x-none"/>
        </w:rPr>
      </w:pPr>
      <w:r>
        <w:rPr>
          <w:b/>
          <w:u w:val="single"/>
          <w:lang w:val="x-none" w:eastAsia="x-none"/>
        </w:rPr>
        <w:t>SERVICE LIST</w:t>
      </w:r>
    </w:p>
    <w:p w:rsidR="00DB36D8" w:rsidRDefault="00DB36D8" w:rsidP="00DB36D8">
      <w:pPr>
        <w:pStyle w:val="BodyText"/>
        <w:rPr>
          <w:b/>
          <w:bCs/>
        </w:rPr>
      </w:pPr>
    </w:p>
    <w:p w:rsidR="00DB36D8" w:rsidRDefault="00DB36D8" w:rsidP="00DB36D8">
      <w:pPr>
        <w:pStyle w:val="BodyText"/>
        <w:rPr>
          <w:b/>
          <w:bCs/>
        </w:rPr>
      </w:pPr>
    </w:p>
    <w:tbl>
      <w:tblPr>
        <w:tblW w:w="0" w:type="auto"/>
        <w:tblLook w:val="01E0" w:firstRow="1" w:lastRow="1" w:firstColumn="1" w:lastColumn="1" w:noHBand="0" w:noVBand="0"/>
      </w:tblPr>
      <w:tblGrid>
        <w:gridCol w:w="4428"/>
        <w:gridCol w:w="4428"/>
      </w:tblGrid>
      <w:tr w:rsidR="00DB36D8" w:rsidRPr="00A044B5" w:rsidTr="008E2FD9">
        <w:tc>
          <w:tcPr>
            <w:tcW w:w="4428" w:type="dxa"/>
            <w:shd w:val="clear" w:color="auto" w:fill="auto"/>
          </w:tcPr>
          <w:p w:rsidR="00DB36D8" w:rsidRDefault="00DB36D8" w:rsidP="008E2FD9">
            <w:pPr>
              <w:autoSpaceDE w:val="0"/>
              <w:autoSpaceDN w:val="0"/>
              <w:adjustRightInd w:val="0"/>
              <w:rPr>
                <w:bCs/>
              </w:rPr>
            </w:pPr>
            <w:r w:rsidRPr="008803EF">
              <w:rPr>
                <w:bCs/>
              </w:rPr>
              <w:t>William.wright@puc.state.oh.us</w:t>
            </w:r>
          </w:p>
          <w:p w:rsidR="00DB36D8" w:rsidRDefault="00DB36D8" w:rsidP="008E2FD9">
            <w:pPr>
              <w:autoSpaceDE w:val="0"/>
              <w:autoSpaceDN w:val="0"/>
              <w:adjustRightInd w:val="0"/>
              <w:rPr>
                <w:color w:val="0000FF"/>
                <w:szCs w:val="24"/>
              </w:rPr>
            </w:pPr>
            <w:r w:rsidRPr="008803EF">
              <w:rPr>
                <w:szCs w:val="24"/>
              </w:rPr>
              <w:t>joseph.clark@directenergy.com</w:t>
            </w:r>
          </w:p>
          <w:p w:rsidR="00DB36D8" w:rsidRDefault="00DB36D8" w:rsidP="00DB36D8">
            <w:pPr>
              <w:autoSpaceDE w:val="0"/>
              <w:autoSpaceDN w:val="0"/>
              <w:adjustRightInd w:val="0"/>
              <w:rPr>
                <w:szCs w:val="24"/>
              </w:rPr>
            </w:pPr>
            <w:r w:rsidRPr="008803EF">
              <w:rPr>
                <w:szCs w:val="24"/>
              </w:rPr>
              <w:t>cdunn@firstenergycorp.com</w:t>
            </w:r>
          </w:p>
          <w:p w:rsidR="00DB36D8" w:rsidRDefault="00DB36D8" w:rsidP="00DB36D8">
            <w:pPr>
              <w:autoSpaceDE w:val="0"/>
              <w:autoSpaceDN w:val="0"/>
              <w:adjustRightInd w:val="0"/>
              <w:rPr>
                <w:color w:val="0000FF"/>
                <w:szCs w:val="24"/>
              </w:rPr>
            </w:pPr>
            <w:r w:rsidRPr="008803EF">
              <w:rPr>
                <w:szCs w:val="24"/>
              </w:rPr>
              <w:t>mfleisher@elpc.org</w:t>
            </w:r>
          </w:p>
          <w:p w:rsidR="00DB36D8" w:rsidRDefault="00DB36D8" w:rsidP="00DB36D8">
            <w:pPr>
              <w:autoSpaceDE w:val="0"/>
              <w:autoSpaceDN w:val="0"/>
              <w:adjustRightInd w:val="0"/>
              <w:rPr>
                <w:color w:val="0000FF"/>
                <w:szCs w:val="24"/>
              </w:rPr>
            </w:pPr>
            <w:r w:rsidRPr="008803EF">
              <w:rPr>
                <w:szCs w:val="24"/>
              </w:rPr>
              <w:t>swilliams@nrdc.org</w:t>
            </w:r>
          </w:p>
          <w:p w:rsidR="00DB36D8" w:rsidRDefault="00DB36D8" w:rsidP="00DB36D8">
            <w:pPr>
              <w:autoSpaceDE w:val="0"/>
              <w:autoSpaceDN w:val="0"/>
              <w:adjustRightInd w:val="0"/>
              <w:rPr>
                <w:color w:val="0000FF"/>
                <w:szCs w:val="24"/>
              </w:rPr>
            </w:pPr>
            <w:r w:rsidRPr="008803EF">
              <w:rPr>
                <w:szCs w:val="24"/>
              </w:rPr>
              <w:t>trent@theoec.org</w:t>
            </w:r>
          </w:p>
          <w:p w:rsidR="00DB36D8" w:rsidRDefault="00DB36D8" w:rsidP="00DB36D8">
            <w:pPr>
              <w:autoSpaceDE w:val="0"/>
              <w:autoSpaceDN w:val="0"/>
              <w:adjustRightInd w:val="0"/>
              <w:rPr>
                <w:color w:val="0000FF"/>
                <w:szCs w:val="24"/>
              </w:rPr>
            </w:pPr>
            <w:r w:rsidRPr="008803EF">
              <w:rPr>
                <w:szCs w:val="24"/>
              </w:rPr>
              <w:t>daniel.sawmiller@sierraclub.org</w:t>
            </w:r>
          </w:p>
          <w:p w:rsidR="00DB36D8" w:rsidRDefault="00DB36D8" w:rsidP="00DB36D8">
            <w:pPr>
              <w:autoSpaceDE w:val="0"/>
              <w:autoSpaceDN w:val="0"/>
              <w:adjustRightInd w:val="0"/>
              <w:rPr>
                <w:rFonts w:ascii="Arial" w:hAnsi="Arial" w:cs="Arial"/>
                <w:szCs w:val="24"/>
              </w:rPr>
            </w:pPr>
          </w:p>
          <w:p w:rsidR="00DB36D8" w:rsidRDefault="00DB36D8" w:rsidP="00DB36D8">
            <w:pPr>
              <w:autoSpaceDE w:val="0"/>
              <w:autoSpaceDN w:val="0"/>
              <w:adjustRightInd w:val="0"/>
              <w:rPr>
                <w:rFonts w:ascii="Arial" w:hAnsi="Arial" w:cs="Arial"/>
                <w:szCs w:val="24"/>
              </w:rPr>
            </w:pPr>
          </w:p>
          <w:p w:rsidR="00DB36D8" w:rsidRDefault="00DB36D8" w:rsidP="008E2FD9">
            <w:pPr>
              <w:autoSpaceDE w:val="0"/>
              <w:autoSpaceDN w:val="0"/>
              <w:adjustRightInd w:val="0"/>
              <w:rPr>
                <w:bCs/>
              </w:rPr>
            </w:pPr>
          </w:p>
          <w:p w:rsidR="00DB36D8" w:rsidRDefault="00DB36D8" w:rsidP="008E2FD9">
            <w:pPr>
              <w:autoSpaceDE w:val="0"/>
              <w:autoSpaceDN w:val="0"/>
              <w:adjustRightInd w:val="0"/>
              <w:rPr>
                <w:bCs/>
              </w:rPr>
            </w:pPr>
          </w:p>
          <w:p w:rsidR="00DB36D8" w:rsidRDefault="00DB36D8" w:rsidP="008E2FD9">
            <w:pPr>
              <w:rPr>
                <w:szCs w:val="24"/>
              </w:rPr>
            </w:pPr>
            <w:r>
              <w:rPr>
                <w:szCs w:val="24"/>
              </w:rPr>
              <w:t>Attorney Examiner:</w:t>
            </w:r>
          </w:p>
          <w:p w:rsidR="00DB36D8" w:rsidRDefault="00DB36D8" w:rsidP="008E2FD9">
            <w:pPr>
              <w:rPr>
                <w:szCs w:val="24"/>
              </w:rPr>
            </w:pPr>
          </w:p>
          <w:p w:rsidR="00DB36D8" w:rsidRDefault="00DB36D8" w:rsidP="008E2FD9">
            <w:pPr>
              <w:rPr>
                <w:szCs w:val="24"/>
              </w:rPr>
            </w:pPr>
            <w:r w:rsidRPr="008803EF">
              <w:rPr>
                <w:szCs w:val="24"/>
              </w:rPr>
              <w:t>Mandy.willey@puc.state.oh.us</w:t>
            </w:r>
          </w:p>
          <w:p w:rsidR="00DB36D8" w:rsidRPr="00A044B5" w:rsidRDefault="00DB36D8" w:rsidP="008E2FD9">
            <w:pPr>
              <w:autoSpaceDE w:val="0"/>
              <w:autoSpaceDN w:val="0"/>
              <w:adjustRightInd w:val="0"/>
              <w:rPr>
                <w:bCs/>
              </w:rPr>
            </w:pPr>
          </w:p>
        </w:tc>
        <w:tc>
          <w:tcPr>
            <w:tcW w:w="4428" w:type="dxa"/>
            <w:shd w:val="clear" w:color="auto" w:fill="auto"/>
          </w:tcPr>
          <w:p w:rsidR="00DB36D8" w:rsidRDefault="00DB36D8" w:rsidP="008E2FD9">
            <w:pPr>
              <w:autoSpaceDE w:val="0"/>
              <w:autoSpaceDN w:val="0"/>
              <w:adjustRightInd w:val="0"/>
              <w:rPr>
                <w:color w:val="0000FF"/>
                <w:szCs w:val="24"/>
              </w:rPr>
            </w:pPr>
            <w:r w:rsidRPr="008803EF">
              <w:rPr>
                <w:szCs w:val="24"/>
              </w:rPr>
              <w:t>stnourse@aep.com</w:t>
            </w:r>
          </w:p>
          <w:p w:rsidR="00DB36D8" w:rsidRDefault="00DB36D8" w:rsidP="008E2FD9">
            <w:pPr>
              <w:autoSpaceDE w:val="0"/>
              <w:autoSpaceDN w:val="0"/>
              <w:adjustRightInd w:val="0"/>
              <w:rPr>
                <w:szCs w:val="24"/>
              </w:rPr>
            </w:pPr>
            <w:r w:rsidRPr="008803EF">
              <w:rPr>
                <w:szCs w:val="24"/>
              </w:rPr>
              <w:t>sam@mwncmh.com</w:t>
            </w:r>
          </w:p>
          <w:p w:rsidR="00DB36D8" w:rsidRDefault="00DB36D8" w:rsidP="008E2FD9">
            <w:pPr>
              <w:autoSpaceDE w:val="0"/>
              <w:autoSpaceDN w:val="0"/>
              <w:adjustRightInd w:val="0"/>
              <w:rPr>
                <w:szCs w:val="24"/>
              </w:rPr>
            </w:pPr>
            <w:r w:rsidRPr="008803EF">
              <w:rPr>
                <w:szCs w:val="24"/>
              </w:rPr>
              <w:t>fdarr@mwncmh.com</w:t>
            </w:r>
          </w:p>
          <w:p w:rsidR="00DB36D8" w:rsidRDefault="00DB36D8" w:rsidP="008E2FD9">
            <w:pPr>
              <w:autoSpaceDE w:val="0"/>
              <w:autoSpaceDN w:val="0"/>
              <w:adjustRightInd w:val="0"/>
              <w:rPr>
                <w:szCs w:val="24"/>
              </w:rPr>
            </w:pPr>
            <w:r w:rsidRPr="008803EF">
              <w:rPr>
                <w:szCs w:val="24"/>
              </w:rPr>
              <w:t>mpritchard@mwncmh.com</w:t>
            </w:r>
          </w:p>
          <w:p w:rsidR="00DB36D8" w:rsidRDefault="00DB36D8" w:rsidP="008E2FD9">
            <w:pPr>
              <w:rPr>
                <w:color w:val="0000FF"/>
                <w:szCs w:val="24"/>
              </w:rPr>
            </w:pPr>
            <w:r w:rsidRPr="008803EF">
              <w:rPr>
                <w:szCs w:val="24"/>
              </w:rPr>
              <w:t>judi.sobecki@aes.com</w:t>
            </w:r>
          </w:p>
          <w:p w:rsidR="00DB36D8" w:rsidRDefault="00DB36D8" w:rsidP="008E2FD9">
            <w:pPr>
              <w:rPr>
                <w:color w:val="0000FF"/>
                <w:szCs w:val="24"/>
              </w:rPr>
            </w:pPr>
            <w:r w:rsidRPr="008803EF">
              <w:rPr>
                <w:szCs w:val="24"/>
              </w:rPr>
              <w:t>Bojko@carpenterlipps.com</w:t>
            </w:r>
          </w:p>
          <w:p w:rsidR="00DB36D8" w:rsidRDefault="00DB36D8" w:rsidP="008E2FD9">
            <w:pPr>
              <w:rPr>
                <w:color w:val="0000FF"/>
                <w:szCs w:val="24"/>
              </w:rPr>
            </w:pPr>
            <w:r w:rsidRPr="008803EF">
              <w:rPr>
                <w:szCs w:val="24"/>
              </w:rPr>
              <w:t>hussey@carpenterlipps.com</w:t>
            </w:r>
          </w:p>
          <w:p w:rsidR="00DB36D8" w:rsidRPr="00925313" w:rsidRDefault="00DB36D8" w:rsidP="008E2FD9">
            <w:pPr>
              <w:rPr>
                <w:b/>
                <w:bCs/>
                <w:szCs w:val="24"/>
              </w:rPr>
            </w:pPr>
          </w:p>
          <w:p w:rsidR="00DB36D8" w:rsidRDefault="00DB36D8" w:rsidP="008E2FD9">
            <w:pPr>
              <w:rPr>
                <w:szCs w:val="24"/>
              </w:rPr>
            </w:pPr>
          </w:p>
          <w:p w:rsidR="00DB36D8" w:rsidRDefault="00DB36D8" w:rsidP="008E2FD9">
            <w:pPr>
              <w:rPr>
                <w:szCs w:val="24"/>
              </w:rPr>
            </w:pPr>
          </w:p>
          <w:p w:rsidR="00DB36D8" w:rsidRDefault="00DB36D8" w:rsidP="008E2FD9">
            <w:pPr>
              <w:rPr>
                <w:szCs w:val="24"/>
              </w:rPr>
            </w:pPr>
          </w:p>
          <w:p w:rsidR="00DB36D8" w:rsidRPr="00A044B5" w:rsidRDefault="00DB36D8" w:rsidP="008E2FD9">
            <w:pPr>
              <w:pStyle w:val="BodyText"/>
              <w:rPr>
                <w:bCs/>
              </w:rPr>
            </w:pPr>
          </w:p>
        </w:tc>
      </w:tr>
    </w:tbl>
    <w:p w:rsidR="00BB15A2" w:rsidRDefault="00BB15A2" w:rsidP="00DB36D8">
      <w:pPr>
        <w:jc w:val="center"/>
        <w:rPr>
          <w:b/>
          <w:bCs/>
          <w:u w:val="single"/>
        </w:rPr>
      </w:pPr>
    </w:p>
    <w:sectPr w:rsidR="00BB15A2" w:rsidSect="00663E9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D1" w:rsidRDefault="00EA54D1">
      <w:r>
        <w:separator/>
      </w:r>
    </w:p>
    <w:p w:rsidR="00EA54D1" w:rsidRDefault="00EA54D1"/>
    <w:p w:rsidR="00EA54D1" w:rsidRDefault="00EA54D1"/>
  </w:endnote>
  <w:endnote w:type="continuationSeparator" w:id="0">
    <w:p w:rsidR="00EA54D1" w:rsidRDefault="00EA54D1">
      <w:r>
        <w:continuationSeparator/>
      </w:r>
    </w:p>
    <w:p w:rsidR="00EA54D1" w:rsidRDefault="00EA54D1"/>
    <w:p w:rsidR="00EA54D1" w:rsidRDefault="00EA5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EF" w:rsidRDefault="00880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11188"/>
      <w:docPartObj>
        <w:docPartGallery w:val="Page Numbers (Bottom of Page)"/>
        <w:docPartUnique/>
      </w:docPartObj>
    </w:sdtPr>
    <w:sdtEndPr>
      <w:rPr>
        <w:noProof/>
      </w:rPr>
    </w:sdtEndPr>
    <w:sdtContent>
      <w:p w:rsidR="0071489D" w:rsidRDefault="0071489D">
        <w:pPr>
          <w:pStyle w:val="Footer"/>
          <w:jc w:val="center"/>
        </w:pPr>
        <w:r>
          <w:fldChar w:fldCharType="begin"/>
        </w:r>
        <w:r>
          <w:instrText xml:space="preserve"> PAGE   \* MERGEFORMAT </w:instrText>
        </w:r>
        <w:r>
          <w:fldChar w:fldCharType="separate"/>
        </w:r>
        <w:r w:rsidR="001F2AEA">
          <w:rPr>
            <w:noProof/>
          </w:rPr>
          <w:t>2</w:t>
        </w:r>
        <w:r>
          <w:rPr>
            <w:noProof/>
          </w:rPr>
          <w:fldChar w:fldCharType="end"/>
        </w:r>
      </w:p>
    </w:sdtContent>
  </w:sdt>
  <w:p w:rsidR="0071489D" w:rsidRDefault="007148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9D" w:rsidRDefault="0071489D">
    <w:pPr>
      <w:pStyle w:val="Footer"/>
      <w:jc w:val="center"/>
    </w:pPr>
  </w:p>
  <w:p w:rsidR="0071489D" w:rsidRDefault="00714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D1" w:rsidRDefault="00EA54D1">
      <w:r>
        <w:separator/>
      </w:r>
    </w:p>
  </w:footnote>
  <w:footnote w:type="continuationSeparator" w:id="0">
    <w:p w:rsidR="00EA54D1" w:rsidRDefault="00EA54D1">
      <w:r>
        <w:continuationSeparator/>
      </w:r>
    </w:p>
    <w:p w:rsidR="00EA54D1" w:rsidRDefault="00EA54D1"/>
    <w:p w:rsidR="00EA54D1" w:rsidRDefault="00EA54D1"/>
  </w:footnote>
  <w:footnote w:id="1">
    <w:p w:rsidR="0071489D" w:rsidRDefault="0071489D" w:rsidP="00EA3677">
      <w:pPr>
        <w:pStyle w:val="FootnoteText"/>
        <w:spacing w:after="120"/>
      </w:pPr>
      <w:r w:rsidRPr="00CD7714">
        <w:rPr>
          <w:rStyle w:val="FootnoteReference"/>
        </w:rPr>
        <w:footnoteRef/>
      </w:r>
      <w:r w:rsidRPr="00CD7714">
        <w:t xml:space="preserve"> For example, OCC recommended that </w:t>
      </w:r>
      <w:r w:rsidRPr="00CD7714">
        <w:rPr>
          <w:bCs/>
        </w:rPr>
        <w:t>the PUCO should require Ohio electric utilities to inform customers on their bills that energy efficiency and peak demand reduction programs can yield</w:t>
      </w:r>
      <w:r>
        <w:rPr>
          <w:bCs/>
        </w:rPr>
        <w:t xml:space="preserve"> </w:t>
      </w:r>
      <w:r w:rsidRPr="00CD7714">
        <w:rPr>
          <w:bCs/>
        </w:rPr>
        <w:t>savings.</w:t>
      </w:r>
    </w:p>
  </w:footnote>
  <w:footnote w:id="2">
    <w:p w:rsidR="0071489D" w:rsidRDefault="0071489D" w:rsidP="00EA3677">
      <w:pPr>
        <w:pStyle w:val="FootnoteText"/>
        <w:spacing w:after="120"/>
      </w:pPr>
      <w:r>
        <w:rPr>
          <w:rStyle w:val="FootnoteReference"/>
        </w:rPr>
        <w:footnoteRef/>
      </w:r>
      <w:r>
        <w:t xml:space="preserve"> </w:t>
      </w:r>
      <w:r w:rsidRPr="00BE4242">
        <w:rPr>
          <w:i/>
        </w:rPr>
        <w:t>In the Matter of the Amendment of Chapters 4901:1-10 and 4901:1-21, Ohio Administrative Code, Regarding Electric Companies and Competitive Retail Electric Providers</w:t>
      </w:r>
      <w:r>
        <w:t>, Case No. 14-1411-EL-ORD,  OCC Initial Comments at 1 (October 5, 2014).</w:t>
      </w:r>
    </w:p>
  </w:footnote>
  <w:footnote w:id="3">
    <w:p w:rsidR="0071489D" w:rsidRDefault="0071489D" w:rsidP="00743AAE">
      <w:pPr>
        <w:pStyle w:val="FootnoteText"/>
        <w:spacing w:after="120"/>
      </w:pPr>
      <w:r>
        <w:rPr>
          <w:rStyle w:val="FootnoteReference"/>
        </w:rPr>
        <w:footnoteRef/>
      </w:r>
      <w:r>
        <w:t xml:space="preserve"> AEP Ohio Comments at 1.</w:t>
      </w:r>
    </w:p>
  </w:footnote>
  <w:footnote w:id="4">
    <w:p w:rsidR="0071489D" w:rsidRDefault="0071489D" w:rsidP="0046129B">
      <w:pPr>
        <w:pStyle w:val="FootnoteText"/>
        <w:spacing w:after="120"/>
      </w:pPr>
      <w:r>
        <w:rPr>
          <w:rStyle w:val="FootnoteReference"/>
        </w:rPr>
        <w:footnoteRef/>
      </w:r>
      <w:r>
        <w:t xml:space="preserve"> AEP Ohio Comments at 3.</w:t>
      </w:r>
    </w:p>
  </w:footnote>
  <w:footnote w:id="5">
    <w:p w:rsidR="0071489D" w:rsidRDefault="0071489D" w:rsidP="0046129B">
      <w:pPr>
        <w:pStyle w:val="FootnoteText"/>
        <w:spacing w:after="120"/>
      </w:pPr>
      <w:r>
        <w:rPr>
          <w:rStyle w:val="FootnoteReference"/>
        </w:rPr>
        <w:footnoteRef/>
      </w:r>
      <w:r>
        <w:t xml:space="preserve"> Id.</w:t>
      </w:r>
    </w:p>
  </w:footnote>
  <w:footnote w:id="6">
    <w:p w:rsidR="00C62E69" w:rsidRDefault="00C62E69" w:rsidP="00C62E69">
      <w:pPr>
        <w:pStyle w:val="FootnoteText"/>
        <w:spacing w:after="120"/>
      </w:pPr>
      <w:r>
        <w:rPr>
          <w:rStyle w:val="FootnoteReference"/>
        </w:rPr>
        <w:footnoteRef/>
      </w:r>
      <w:r>
        <w:t xml:space="preserve"> </w:t>
      </w:r>
      <w:r w:rsidRPr="00BE4242">
        <w:rPr>
          <w:i/>
        </w:rPr>
        <w:t>In the Matter of the Amendment of Chapters 4901:1-10 and 4901:1-21, Ohio Administrative Code, Regarding Electric Companies and Competitive Retail Electric Providers</w:t>
      </w:r>
      <w:r>
        <w:t xml:space="preserve">, Case No. 14-1411-EL-ORD,  OCC Initial Comments at 1 (October 5, 2014).  </w:t>
      </w:r>
      <w:r>
        <w:rPr>
          <w:szCs w:val="24"/>
        </w:rPr>
        <w:t>Ohio Adm. Code 4901:1-10-22(B).</w:t>
      </w:r>
    </w:p>
  </w:footnote>
  <w:footnote w:id="7">
    <w:p w:rsidR="0071489D" w:rsidRDefault="0071489D" w:rsidP="006A02E8">
      <w:pPr>
        <w:pStyle w:val="FootnoteText"/>
        <w:spacing w:after="120"/>
      </w:pPr>
      <w:r>
        <w:rPr>
          <w:rStyle w:val="FootnoteReference"/>
        </w:rPr>
        <w:footnoteRef/>
      </w:r>
      <w:r>
        <w:t xml:space="preserve"> The “Environmental Advocates” include Sierra Club, Environmental Law and Policy Center, Ohio Environmental Council and Natural Resources Defense Council.</w:t>
      </w:r>
    </w:p>
  </w:footnote>
  <w:footnote w:id="8">
    <w:p w:rsidR="0071489D" w:rsidRDefault="0071489D" w:rsidP="006A02E8">
      <w:pPr>
        <w:pStyle w:val="FootnoteText"/>
        <w:spacing w:after="120"/>
      </w:pPr>
      <w:r>
        <w:rPr>
          <w:rStyle w:val="FootnoteReference"/>
        </w:rPr>
        <w:footnoteRef/>
      </w:r>
      <w:r>
        <w:t xml:space="preserve"> Environmental Advocates Comments at 10.</w:t>
      </w:r>
    </w:p>
  </w:footnote>
  <w:footnote w:id="9">
    <w:p w:rsidR="0071489D" w:rsidRDefault="0071489D" w:rsidP="006A02E8">
      <w:pPr>
        <w:pStyle w:val="FootnoteText"/>
        <w:spacing w:after="120"/>
      </w:pPr>
      <w:r>
        <w:rPr>
          <w:rStyle w:val="FootnoteReference"/>
        </w:rPr>
        <w:footnoteRef/>
      </w:r>
      <w:r>
        <w:t xml:space="preserve"> </w:t>
      </w:r>
      <w:r w:rsidR="00C745DF">
        <w:t>Id.</w:t>
      </w:r>
    </w:p>
  </w:footnote>
  <w:footnote w:id="10">
    <w:p w:rsidR="0071489D" w:rsidRDefault="0071489D" w:rsidP="00AB7F7B">
      <w:pPr>
        <w:pStyle w:val="FootnoteText"/>
        <w:spacing w:after="120"/>
      </w:pPr>
      <w:r>
        <w:rPr>
          <w:rStyle w:val="FootnoteReference"/>
        </w:rPr>
        <w:footnoteRef/>
      </w:r>
      <w:r>
        <w:t xml:space="preserve"> Ohio Adm. Code 4901:1-10-22</w:t>
      </w:r>
      <w:r w:rsidR="00034921">
        <w:t>(B)</w:t>
      </w:r>
      <w:r>
        <w:t>.</w:t>
      </w:r>
    </w:p>
  </w:footnote>
  <w:footnote w:id="11">
    <w:p w:rsidR="0071489D" w:rsidRDefault="0071489D" w:rsidP="00C62E69">
      <w:pPr>
        <w:pStyle w:val="FootnoteText"/>
        <w:spacing w:after="120"/>
      </w:pPr>
      <w:r>
        <w:rPr>
          <w:rStyle w:val="FootnoteReference"/>
        </w:rPr>
        <w:footnoteRef/>
      </w:r>
      <w:r>
        <w:t xml:space="preserve"> OMAEG Comments at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EF" w:rsidRDefault="00880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EF" w:rsidRDefault="00880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EF" w:rsidRDefault="00880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F65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CC4568"/>
    <w:lvl w:ilvl="0">
      <w:start w:val="1"/>
      <w:numFmt w:val="decimal"/>
      <w:lvlText w:val="%1."/>
      <w:lvlJc w:val="left"/>
      <w:pPr>
        <w:tabs>
          <w:tab w:val="num" w:pos="1800"/>
        </w:tabs>
        <w:ind w:left="1800" w:hanging="360"/>
      </w:pPr>
    </w:lvl>
  </w:abstractNum>
  <w:abstractNum w:abstractNumId="2">
    <w:nsid w:val="FFFFFF7D"/>
    <w:multiLevelType w:val="singleLevel"/>
    <w:tmpl w:val="4F98F790"/>
    <w:lvl w:ilvl="0">
      <w:start w:val="1"/>
      <w:numFmt w:val="decimal"/>
      <w:lvlText w:val="%1."/>
      <w:lvlJc w:val="left"/>
      <w:pPr>
        <w:tabs>
          <w:tab w:val="num" w:pos="1440"/>
        </w:tabs>
        <w:ind w:left="1440" w:hanging="360"/>
      </w:pPr>
    </w:lvl>
  </w:abstractNum>
  <w:abstractNum w:abstractNumId="3">
    <w:nsid w:val="FFFFFF7E"/>
    <w:multiLevelType w:val="singleLevel"/>
    <w:tmpl w:val="CFD0140C"/>
    <w:lvl w:ilvl="0">
      <w:start w:val="1"/>
      <w:numFmt w:val="decimal"/>
      <w:lvlText w:val="%1."/>
      <w:lvlJc w:val="left"/>
      <w:pPr>
        <w:tabs>
          <w:tab w:val="num" w:pos="1080"/>
        </w:tabs>
        <w:ind w:left="1080" w:hanging="360"/>
      </w:pPr>
    </w:lvl>
  </w:abstractNum>
  <w:abstractNum w:abstractNumId="4">
    <w:nsid w:val="FFFFFF7F"/>
    <w:multiLevelType w:val="singleLevel"/>
    <w:tmpl w:val="C474122E"/>
    <w:lvl w:ilvl="0">
      <w:start w:val="1"/>
      <w:numFmt w:val="decimal"/>
      <w:lvlText w:val="%1."/>
      <w:lvlJc w:val="left"/>
      <w:pPr>
        <w:tabs>
          <w:tab w:val="num" w:pos="720"/>
        </w:tabs>
        <w:ind w:left="720" w:hanging="360"/>
      </w:pPr>
    </w:lvl>
  </w:abstractNum>
  <w:abstractNum w:abstractNumId="5">
    <w:nsid w:val="FFFFFF80"/>
    <w:multiLevelType w:val="singleLevel"/>
    <w:tmpl w:val="67267BB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30E952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B104FD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3FABFB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0A87E10"/>
    <w:lvl w:ilvl="0">
      <w:start w:val="1"/>
      <w:numFmt w:val="decimal"/>
      <w:lvlText w:val="%1."/>
      <w:lvlJc w:val="left"/>
      <w:pPr>
        <w:tabs>
          <w:tab w:val="num" w:pos="360"/>
        </w:tabs>
        <w:ind w:left="360" w:hanging="360"/>
      </w:pPr>
    </w:lvl>
  </w:abstractNum>
  <w:abstractNum w:abstractNumId="10">
    <w:nsid w:val="FFFFFF89"/>
    <w:multiLevelType w:val="singleLevel"/>
    <w:tmpl w:val="019C2280"/>
    <w:lvl w:ilvl="0">
      <w:start w:val="1"/>
      <w:numFmt w:val="bullet"/>
      <w:lvlText w:val=""/>
      <w:lvlJc w:val="left"/>
      <w:pPr>
        <w:tabs>
          <w:tab w:val="num" w:pos="360"/>
        </w:tabs>
        <w:ind w:left="360" w:hanging="360"/>
      </w:pPr>
      <w:rPr>
        <w:rFonts w:ascii="Symbol" w:hAnsi="Symbol" w:hint="default"/>
      </w:rPr>
    </w:lvl>
  </w:abstractNum>
  <w:abstractNum w:abstractNumId="11">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78257C"/>
    <w:multiLevelType w:val="hybridMultilevel"/>
    <w:tmpl w:val="9E30339E"/>
    <w:lvl w:ilvl="0" w:tplc="A6D258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005FA3"/>
    <w:multiLevelType w:val="hybridMultilevel"/>
    <w:tmpl w:val="792298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CA76C5"/>
    <w:multiLevelType w:val="hybridMultilevel"/>
    <w:tmpl w:val="EAAC47B0"/>
    <w:lvl w:ilvl="0" w:tplc="8AD46C82">
      <w:start w:val="1"/>
      <w:numFmt w:val="upperLetter"/>
      <w:lvlText w:val="%1."/>
      <w:lvlJc w:val="left"/>
      <w:pPr>
        <w:ind w:left="1080" w:hanging="360"/>
      </w:pPr>
      <w:rPr>
        <w:rFonts w:ascii="Times New Roman" w:hAnsi="Times New Roman" w:cs="Times New Roman"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EB0D92"/>
    <w:multiLevelType w:val="hybridMultilevel"/>
    <w:tmpl w:val="1438309C"/>
    <w:lvl w:ilvl="0" w:tplc="1F020A94">
      <w:start w:val="1"/>
      <w:numFmt w:val="upperRoman"/>
      <w:lvlText w:val="%1."/>
      <w:lvlJc w:val="left"/>
      <w:pPr>
        <w:ind w:left="1080" w:hanging="720"/>
      </w:pPr>
      <w:rPr>
        <w:rFonts w:hint="default"/>
      </w:rPr>
    </w:lvl>
    <w:lvl w:ilvl="1" w:tplc="43FA36D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BC975EE"/>
    <w:multiLevelType w:val="hybridMultilevel"/>
    <w:tmpl w:val="1D687EAC"/>
    <w:lvl w:ilvl="0" w:tplc="43FA36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963211B"/>
    <w:multiLevelType w:val="hybridMultilevel"/>
    <w:tmpl w:val="9606E4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F357778"/>
    <w:multiLevelType w:val="hybridMultilevel"/>
    <w:tmpl w:val="C2BA0800"/>
    <w:lvl w:ilvl="0" w:tplc="41B87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20"/>
  </w:num>
  <w:num w:numId="4">
    <w:abstractNumId w:val="19"/>
  </w:num>
  <w:num w:numId="5">
    <w:abstractNumId w:val="11"/>
  </w:num>
  <w:num w:numId="6">
    <w:abstractNumId w:val="21"/>
  </w:num>
  <w:num w:numId="7">
    <w:abstractNumId w:val="0"/>
  </w:num>
  <w:num w:numId="8">
    <w:abstractNumId w:val="16"/>
  </w:num>
  <w:num w:numId="9">
    <w:abstractNumId w:val="13"/>
  </w:num>
  <w:num w:numId="10">
    <w:abstractNumId w:val="18"/>
  </w:num>
  <w:num w:numId="11">
    <w:abstractNumId w:val="22"/>
  </w:num>
  <w:num w:numId="12">
    <w:abstractNumId w:val="23"/>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embedSystemFonts/>
  <w:activeWritingStyle w:appName="MSWord" w:lang="en-US" w:vendorID="6" w:dllVersion="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DD"/>
    <w:rsid w:val="0000324B"/>
    <w:rsid w:val="000261A3"/>
    <w:rsid w:val="00032252"/>
    <w:rsid w:val="00034921"/>
    <w:rsid w:val="00036C76"/>
    <w:rsid w:val="000415BA"/>
    <w:rsid w:val="00041F53"/>
    <w:rsid w:val="00043138"/>
    <w:rsid w:val="00050F08"/>
    <w:rsid w:val="00062084"/>
    <w:rsid w:val="00072A10"/>
    <w:rsid w:val="00077C7E"/>
    <w:rsid w:val="000A0608"/>
    <w:rsid w:val="000A0FDF"/>
    <w:rsid w:val="000A2F3D"/>
    <w:rsid w:val="000B2248"/>
    <w:rsid w:val="000C149B"/>
    <w:rsid w:val="000D1DAA"/>
    <w:rsid w:val="000E03B1"/>
    <w:rsid w:val="000F0CC4"/>
    <w:rsid w:val="000F110C"/>
    <w:rsid w:val="000F5174"/>
    <w:rsid w:val="00100432"/>
    <w:rsid w:val="00114473"/>
    <w:rsid w:val="00114E93"/>
    <w:rsid w:val="001357DA"/>
    <w:rsid w:val="001447EE"/>
    <w:rsid w:val="00150554"/>
    <w:rsid w:val="001517F2"/>
    <w:rsid w:val="001623B9"/>
    <w:rsid w:val="0016414C"/>
    <w:rsid w:val="001779A0"/>
    <w:rsid w:val="0018365D"/>
    <w:rsid w:val="001B2E45"/>
    <w:rsid w:val="001C1E24"/>
    <w:rsid w:val="001E521D"/>
    <w:rsid w:val="001F2930"/>
    <w:rsid w:val="001F2AEA"/>
    <w:rsid w:val="001F6C4A"/>
    <w:rsid w:val="00225DC7"/>
    <w:rsid w:val="00231B51"/>
    <w:rsid w:val="002571EE"/>
    <w:rsid w:val="002642BE"/>
    <w:rsid w:val="00273E60"/>
    <w:rsid w:val="0028233A"/>
    <w:rsid w:val="00292869"/>
    <w:rsid w:val="002A2B5E"/>
    <w:rsid w:val="002E0D71"/>
    <w:rsid w:val="002F19FB"/>
    <w:rsid w:val="002F6412"/>
    <w:rsid w:val="00306887"/>
    <w:rsid w:val="00320245"/>
    <w:rsid w:val="00345348"/>
    <w:rsid w:val="00353180"/>
    <w:rsid w:val="003531E1"/>
    <w:rsid w:val="003538BE"/>
    <w:rsid w:val="0035670D"/>
    <w:rsid w:val="00362450"/>
    <w:rsid w:val="003635AC"/>
    <w:rsid w:val="003640BD"/>
    <w:rsid w:val="00366CDE"/>
    <w:rsid w:val="00381EFA"/>
    <w:rsid w:val="00384E85"/>
    <w:rsid w:val="00386623"/>
    <w:rsid w:val="003906B6"/>
    <w:rsid w:val="00394E4C"/>
    <w:rsid w:val="003A3027"/>
    <w:rsid w:val="003A4CA6"/>
    <w:rsid w:val="003A6C3E"/>
    <w:rsid w:val="003B0CA0"/>
    <w:rsid w:val="003C6BA9"/>
    <w:rsid w:val="003E71DD"/>
    <w:rsid w:val="003F65A0"/>
    <w:rsid w:val="003F71A4"/>
    <w:rsid w:val="00400660"/>
    <w:rsid w:val="0040332E"/>
    <w:rsid w:val="004046D5"/>
    <w:rsid w:val="00412238"/>
    <w:rsid w:val="00415B3B"/>
    <w:rsid w:val="00427429"/>
    <w:rsid w:val="00432B91"/>
    <w:rsid w:val="00436395"/>
    <w:rsid w:val="004408A5"/>
    <w:rsid w:val="0044249E"/>
    <w:rsid w:val="004433A4"/>
    <w:rsid w:val="00443807"/>
    <w:rsid w:val="0044512C"/>
    <w:rsid w:val="0046129B"/>
    <w:rsid w:val="00470F92"/>
    <w:rsid w:val="00473B46"/>
    <w:rsid w:val="00476BEA"/>
    <w:rsid w:val="004A008D"/>
    <w:rsid w:val="004A0F63"/>
    <w:rsid w:val="004A2DFD"/>
    <w:rsid w:val="004A4503"/>
    <w:rsid w:val="004B1F46"/>
    <w:rsid w:val="004E4D01"/>
    <w:rsid w:val="004E5AF8"/>
    <w:rsid w:val="004E6C80"/>
    <w:rsid w:val="004F7E2D"/>
    <w:rsid w:val="00504151"/>
    <w:rsid w:val="00505C03"/>
    <w:rsid w:val="00522396"/>
    <w:rsid w:val="00531E7E"/>
    <w:rsid w:val="005403BE"/>
    <w:rsid w:val="00556A68"/>
    <w:rsid w:val="00561EB9"/>
    <w:rsid w:val="00561EF7"/>
    <w:rsid w:val="00562808"/>
    <w:rsid w:val="005727AE"/>
    <w:rsid w:val="00591944"/>
    <w:rsid w:val="005A0680"/>
    <w:rsid w:val="005A37DC"/>
    <w:rsid w:val="005B703A"/>
    <w:rsid w:val="005C5CA0"/>
    <w:rsid w:val="005D7CD7"/>
    <w:rsid w:val="005E4352"/>
    <w:rsid w:val="005E674D"/>
    <w:rsid w:val="005F1069"/>
    <w:rsid w:val="005F58C7"/>
    <w:rsid w:val="006048B2"/>
    <w:rsid w:val="00610DDC"/>
    <w:rsid w:val="00610F73"/>
    <w:rsid w:val="00613E11"/>
    <w:rsid w:val="006171DA"/>
    <w:rsid w:val="00617851"/>
    <w:rsid w:val="0062545D"/>
    <w:rsid w:val="006309B1"/>
    <w:rsid w:val="006435FD"/>
    <w:rsid w:val="00660A21"/>
    <w:rsid w:val="00663E9D"/>
    <w:rsid w:val="00671685"/>
    <w:rsid w:val="006856A2"/>
    <w:rsid w:val="00686481"/>
    <w:rsid w:val="0069361D"/>
    <w:rsid w:val="00693FCA"/>
    <w:rsid w:val="006A02E8"/>
    <w:rsid w:val="006A0F90"/>
    <w:rsid w:val="006A4775"/>
    <w:rsid w:val="006A77B0"/>
    <w:rsid w:val="006B4499"/>
    <w:rsid w:val="006B5C49"/>
    <w:rsid w:val="006B7036"/>
    <w:rsid w:val="006C46F3"/>
    <w:rsid w:val="006C47CE"/>
    <w:rsid w:val="006C5B42"/>
    <w:rsid w:val="006D6EC6"/>
    <w:rsid w:val="006E36D5"/>
    <w:rsid w:val="006F04D6"/>
    <w:rsid w:val="00703D43"/>
    <w:rsid w:val="007147CC"/>
    <w:rsid w:val="0071489D"/>
    <w:rsid w:val="007160CC"/>
    <w:rsid w:val="0073400F"/>
    <w:rsid w:val="00743AAE"/>
    <w:rsid w:val="0074435D"/>
    <w:rsid w:val="007469BE"/>
    <w:rsid w:val="00761032"/>
    <w:rsid w:val="0077509C"/>
    <w:rsid w:val="007A0661"/>
    <w:rsid w:val="007A245B"/>
    <w:rsid w:val="007A66F3"/>
    <w:rsid w:val="007B05FE"/>
    <w:rsid w:val="007B7820"/>
    <w:rsid w:val="007F0554"/>
    <w:rsid w:val="007F0BD5"/>
    <w:rsid w:val="007F100E"/>
    <w:rsid w:val="007F2C9C"/>
    <w:rsid w:val="00802A10"/>
    <w:rsid w:val="00806D56"/>
    <w:rsid w:val="00810B86"/>
    <w:rsid w:val="00816FEC"/>
    <w:rsid w:val="00816FF6"/>
    <w:rsid w:val="00841DD7"/>
    <w:rsid w:val="00843630"/>
    <w:rsid w:val="0084652F"/>
    <w:rsid w:val="00852723"/>
    <w:rsid w:val="0086152D"/>
    <w:rsid w:val="008615E5"/>
    <w:rsid w:val="00864E04"/>
    <w:rsid w:val="00873B24"/>
    <w:rsid w:val="008803EF"/>
    <w:rsid w:val="00885630"/>
    <w:rsid w:val="00885D27"/>
    <w:rsid w:val="008A5DC1"/>
    <w:rsid w:val="008B2860"/>
    <w:rsid w:val="008B5007"/>
    <w:rsid w:val="008E2FD9"/>
    <w:rsid w:val="00903B37"/>
    <w:rsid w:val="00905C12"/>
    <w:rsid w:val="00916FA2"/>
    <w:rsid w:val="00917246"/>
    <w:rsid w:val="009342AA"/>
    <w:rsid w:val="0094199B"/>
    <w:rsid w:val="009631D1"/>
    <w:rsid w:val="009643AB"/>
    <w:rsid w:val="00964E91"/>
    <w:rsid w:val="009811A4"/>
    <w:rsid w:val="009946D4"/>
    <w:rsid w:val="009953B3"/>
    <w:rsid w:val="00997FF2"/>
    <w:rsid w:val="009A3AE6"/>
    <w:rsid w:val="009B766B"/>
    <w:rsid w:val="009D24A7"/>
    <w:rsid w:val="009E070C"/>
    <w:rsid w:val="009E0B41"/>
    <w:rsid w:val="009F3B25"/>
    <w:rsid w:val="009F4094"/>
    <w:rsid w:val="00A04BE5"/>
    <w:rsid w:val="00A15F5E"/>
    <w:rsid w:val="00A206E0"/>
    <w:rsid w:val="00A23164"/>
    <w:rsid w:val="00A2559C"/>
    <w:rsid w:val="00A46373"/>
    <w:rsid w:val="00A62B19"/>
    <w:rsid w:val="00A73236"/>
    <w:rsid w:val="00A830CB"/>
    <w:rsid w:val="00A85209"/>
    <w:rsid w:val="00AA087D"/>
    <w:rsid w:val="00AA440E"/>
    <w:rsid w:val="00AA4E8E"/>
    <w:rsid w:val="00AB010E"/>
    <w:rsid w:val="00AB7F7B"/>
    <w:rsid w:val="00AD486D"/>
    <w:rsid w:val="00AD7ACF"/>
    <w:rsid w:val="00AE4370"/>
    <w:rsid w:val="00AF3F5E"/>
    <w:rsid w:val="00B05F6C"/>
    <w:rsid w:val="00B27F18"/>
    <w:rsid w:val="00B316A0"/>
    <w:rsid w:val="00B37422"/>
    <w:rsid w:val="00B40D71"/>
    <w:rsid w:val="00B5620B"/>
    <w:rsid w:val="00B57023"/>
    <w:rsid w:val="00B57840"/>
    <w:rsid w:val="00B61906"/>
    <w:rsid w:val="00B64BF5"/>
    <w:rsid w:val="00B66332"/>
    <w:rsid w:val="00B82F04"/>
    <w:rsid w:val="00B84DA3"/>
    <w:rsid w:val="00B84EFE"/>
    <w:rsid w:val="00B96629"/>
    <w:rsid w:val="00BB15A2"/>
    <w:rsid w:val="00BC2015"/>
    <w:rsid w:val="00BC63AE"/>
    <w:rsid w:val="00BD03BA"/>
    <w:rsid w:val="00BE4242"/>
    <w:rsid w:val="00BE6537"/>
    <w:rsid w:val="00C0150F"/>
    <w:rsid w:val="00C02843"/>
    <w:rsid w:val="00C04A42"/>
    <w:rsid w:val="00C0658F"/>
    <w:rsid w:val="00C16A8A"/>
    <w:rsid w:val="00C205F1"/>
    <w:rsid w:val="00C22F47"/>
    <w:rsid w:val="00C25092"/>
    <w:rsid w:val="00C254A7"/>
    <w:rsid w:val="00C3030D"/>
    <w:rsid w:val="00C4545A"/>
    <w:rsid w:val="00C4715A"/>
    <w:rsid w:val="00C62E69"/>
    <w:rsid w:val="00C741A0"/>
    <w:rsid w:val="00C745DF"/>
    <w:rsid w:val="00C759D3"/>
    <w:rsid w:val="00C775A4"/>
    <w:rsid w:val="00C80982"/>
    <w:rsid w:val="00C845B9"/>
    <w:rsid w:val="00C8599E"/>
    <w:rsid w:val="00C860FB"/>
    <w:rsid w:val="00C876CD"/>
    <w:rsid w:val="00C92952"/>
    <w:rsid w:val="00C946B1"/>
    <w:rsid w:val="00C96164"/>
    <w:rsid w:val="00CA41AE"/>
    <w:rsid w:val="00CB01BE"/>
    <w:rsid w:val="00CB7F95"/>
    <w:rsid w:val="00CC353E"/>
    <w:rsid w:val="00CC5418"/>
    <w:rsid w:val="00CD0E18"/>
    <w:rsid w:val="00CD2BAC"/>
    <w:rsid w:val="00CD7714"/>
    <w:rsid w:val="00CE4787"/>
    <w:rsid w:val="00D26BA4"/>
    <w:rsid w:val="00D51BAF"/>
    <w:rsid w:val="00D60AEB"/>
    <w:rsid w:val="00D656A6"/>
    <w:rsid w:val="00D973BD"/>
    <w:rsid w:val="00DA74FD"/>
    <w:rsid w:val="00DB36D8"/>
    <w:rsid w:val="00DB4D4A"/>
    <w:rsid w:val="00DE0BCF"/>
    <w:rsid w:val="00DE3E5A"/>
    <w:rsid w:val="00DF4D3C"/>
    <w:rsid w:val="00E0094D"/>
    <w:rsid w:val="00E13104"/>
    <w:rsid w:val="00E14672"/>
    <w:rsid w:val="00E27416"/>
    <w:rsid w:val="00E334EE"/>
    <w:rsid w:val="00E3755C"/>
    <w:rsid w:val="00E53784"/>
    <w:rsid w:val="00E671FF"/>
    <w:rsid w:val="00E842FF"/>
    <w:rsid w:val="00E90309"/>
    <w:rsid w:val="00E92A72"/>
    <w:rsid w:val="00E949DA"/>
    <w:rsid w:val="00E9595A"/>
    <w:rsid w:val="00EA265C"/>
    <w:rsid w:val="00EA3677"/>
    <w:rsid w:val="00EA54D1"/>
    <w:rsid w:val="00EB6346"/>
    <w:rsid w:val="00ED0C2F"/>
    <w:rsid w:val="00ED1B82"/>
    <w:rsid w:val="00ED6E2D"/>
    <w:rsid w:val="00ED76D3"/>
    <w:rsid w:val="00EF0D3A"/>
    <w:rsid w:val="00EF5EB5"/>
    <w:rsid w:val="00F12487"/>
    <w:rsid w:val="00F31985"/>
    <w:rsid w:val="00F419E8"/>
    <w:rsid w:val="00F43529"/>
    <w:rsid w:val="00F50805"/>
    <w:rsid w:val="00F63942"/>
    <w:rsid w:val="00F75E83"/>
    <w:rsid w:val="00F852A4"/>
    <w:rsid w:val="00FA6C50"/>
    <w:rsid w:val="00FB7F4A"/>
    <w:rsid w:val="00FC7AB4"/>
    <w:rsid w:val="00FC7B89"/>
    <w:rsid w:val="00FD046B"/>
    <w:rsid w:val="00FD2737"/>
    <w:rsid w:val="00FD5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autoRedefine/>
    <w:qFormat/>
    <w:rsid w:val="00C96164"/>
    <w:pPr>
      <w:keepNext/>
      <w:spacing w:line="480" w:lineRule="auto"/>
      <w:outlineLvl w:val="0"/>
    </w:pPr>
    <w:rPr>
      <w:b/>
      <w:szCs w:val="24"/>
    </w:rPr>
  </w:style>
  <w:style w:type="paragraph" w:styleId="Heading2">
    <w:name w:val="heading 2"/>
    <w:basedOn w:val="Normal"/>
    <w:next w:val="Normal"/>
    <w:autoRedefine/>
    <w:qFormat/>
    <w:rsid w:val="00C775A4"/>
    <w:pPr>
      <w:keepNext/>
      <w:spacing w:after="240"/>
      <w:ind w:left="1440" w:right="720" w:hanging="720"/>
      <w:outlineLvl w:val="1"/>
    </w:pPr>
    <w:rPr>
      <w:b/>
    </w:rPr>
  </w:style>
  <w:style w:type="paragraph" w:styleId="Heading3">
    <w:name w:val="heading 3"/>
    <w:basedOn w:val="Normal"/>
    <w:next w:val="Normal"/>
    <w:autoRedefine/>
    <w:qFormat/>
    <w:pPr>
      <w:keepNext/>
      <w:spacing w:after="240"/>
      <w:ind w:left="216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uiPriority w:val="99"/>
    <w:rPr>
      <w:sz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customStyle="1" w:styleId="MediumList2-Accent21">
    <w:name w:val="Medium List 2 - Accent 21"/>
    <w:hidden/>
    <w:uiPriority w:val="99"/>
    <w:semiHidden/>
    <w:rPr>
      <w:sz w:val="24"/>
    </w:rPr>
  </w:style>
  <w:style w:type="character" w:customStyle="1" w:styleId="HTMLPreformattedChar">
    <w:name w:val="HTML Preformatted Char"/>
    <w:link w:val="HTMLPreformatted"/>
    <w:rPr>
      <w:rFonts w:ascii="Courier New" w:eastAsia="Courier New" w:hAnsi="Courier New" w:cs="Courier New"/>
    </w:rPr>
  </w:style>
  <w:style w:type="character" w:customStyle="1" w:styleId="BodyTextChar">
    <w:name w:val="Body Text Char"/>
    <w:link w:val="BodyText"/>
    <w:rPr>
      <w:sz w:val="24"/>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link w:val="FootnoteText"/>
    <w:uiPriority w:val="99"/>
    <w:semiHidden/>
    <w:locked/>
  </w:style>
  <w:style w:type="character" w:customStyle="1" w:styleId="FooterChar">
    <w:name w:val="Footer Char"/>
    <w:link w:val="Footer"/>
  </w:style>
  <w:style w:type="character" w:customStyle="1" w:styleId="BodyTextIndentChar">
    <w:name w:val="Body Text Indent Char"/>
    <w:link w:val="BodyTextIndent"/>
    <w:rPr>
      <w:sz w:val="24"/>
    </w:rPr>
  </w:style>
  <w:style w:type="paragraph" w:styleId="TOC1">
    <w:name w:val="toc 1"/>
    <w:basedOn w:val="Normal"/>
    <w:next w:val="Normal"/>
    <w:autoRedefine/>
    <w:uiPriority w:val="39"/>
    <w:pPr>
      <w:tabs>
        <w:tab w:val="left" w:pos="720"/>
        <w:tab w:val="decimal" w:leader="dot" w:pos="8640"/>
      </w:tabs>
      <w:spacing w:after="240"/>
      <w:ind w:left="720" w:hanging="720"/>
    </w:pPr>
    <w:rPr>
      <w:caps/>
    </w:rPr>
  </w:style>
  <w:style w:type="paragraph" w:styleId="TOC2">
    <w:name w:val="toc 2"/>
    <w:basedOn w:val="Normal"/>
    <w:next w:val="Normal"/>
    <w:autoRedefine/>
    <w:uiPriority w:val="39"/>
    <w:pPr>
      <w:tabs>
        <w:tab w:val="left" w:pos="720"/>
        <w:tab w:val="decimal" w:leader="dot" w:pos="8640"/>
      </w:tabs>
      <w:spacing w:after="240"/>
      <w:ind w:left="1440" w:hanging="720"/>
    </w:pPr>
  </w:style>
  <w:style w:type="character" w:customStyle="1" w:styleId="FootnoteTextChar1Char">
    <w:name w:val="Footnote Text Char1 Char"/>
    <w:aliases w:val="Footnote Text Char Char Char,Footnote Text Char1 Char Char1 Char,Footnote Text Char Char Char Char Char,Footnote Text Char2 Char Char Char Char1 Char,Footnote Text Char1 Char Char1 Char Char Char Char,fn Char"/>
    <w:uiPriority w:val="99"/>
    <w:locked/>
    <w:rPr>
      <w:rFonts w:eastAsia="Times New Roman" w:cs="Times New Roman"/>
      <w:sz w:val="20"/>
      <w:szCs w:val="20"/>
    </w:rPr>
  </w:style>
  <w:style w:type="paragraph" w:styleId="ListParagraph">
    <w:name w:val="List Paragraph"/>
    <w:basedOn w:val="Normal"/>
    <w:uiPriority w:val="34"/>
    <w:qFormat/>
    <w:rsid w:val="009811A4"/>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D486D"/>
    <w:rPr>
      <w:sz w:val="24"/>
    </w:rPr>
  </w:style>
  <w:style w:type="character" w:customStyle="1" w:styleId="BodyTextIndent3Char">
    <w:name w:val="Body Text Indent 3 Char"/>
    <w:link w:val="BodyTextIndent3"/>
    <w:rsid w:val="00DB36D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autoRedefine/>
    <w:qFormat/>
    <w:rsid w:val="00C96164"/>
    <w:pPr>
      <w:keepNext/>
      <w:spacing w:line="480" w:lineRule="auto"/>
      <w:outlineLvl w:val="0"/>
    </w:pPr>
    <w:rPr>
      <w:b/>
      <w:szCs w:val="24"/>
    </w:rPr>
  </w:style>
  <w:style w:type="paragraph" w:styleId="Heading2">
    <w:name w:val="heading 2"/>
    <w:basedOn w:val="Normal"/>
    <w:next w:val="Normal"/>
    <w:autoRedefine/>
    <w:qFormat/>
    <w:rsid w:val="00C775A4"/>
    <w:pPr>
      <w:keepNext/>
      <w:spacing w:after="240"/>
      <w:ind w:left="1440" w:right="720" w:hanging="720"/>
      <w:outlineLvl w:val="1"/>
    </w:pPr>
    <w:rPr>
      <w:b/>
    </w:rPr>
  </w:style>
  <w:style w:type="paragraph" w:styleId="Heading3">
    <w:name w:val="heading 3"/>
    <w:basedOn w:val="Normal"/>
    <w:next w:val="Normal"/>
    <w:autoRedefine/>
    <w:qFormat/>
    <w:pPr>
      <w:keepNext/>
      <w:spacing w:after="240"/>
      <w:ind w:left="216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uiPriority w:val="99"/>
    <w:rPr>
      <w:sz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customStyle="1" w:styleId="MediumList2-Accent21">
    <w:name w:val="Medium List 2 - Accent 21"/>
    <w:hidden/>
    <w:uiPriority w:val="99"/>
    <w:semiHidden/>
    <w:rPr>
      <w:sz w:val="24"/>
    </w:rPr>
  </w:style>
  <w:style w:type="character" w:customStyle="1" w:styleId="HTMLPreformattedChar">
    <w:name w:val="HTML Preformatted Char"/>
    <w:link w:val="HTMLPreformatted"/>
    <w:rPr>
      <w:rFonts w:ascii="Courier New" w:eastAsia="Courier New" w:hAnsi="Courier New" w:cs="Courier New"/>
    </w:rPr>
  </w:style>
  <w:style w:type="character" w:customStyle="1" w:styleId="BodyTextChar">
    <w:name w:val="Body Text Char"/>
    <w:link w:val="BodyText"/>
    <w:rPr>
      <w:sz w:val="24"/>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link w:val="FootnoteText"/>
    <w:uiPriority w:val="99"/>
    <w:semiHidden/>
    <w:locked/>
  </w:style>
  <w:style w:type="character" w:customStyle="1" w:styleId="FooterChar">
    <w:name w:val="Footer Char"/>
    <w:link w:val="Footer"/>
  </w:style>
  <w:style w:type="character" w:customStyle="1" w:styleId="BodyTextIndentChar">
    <w:name w:val="Body Text Indent Char"/>
    <w:link w:val="BodyTextIndent"/>
    <w:rPr>
      <w:sz w:val="24"/>
    </w:rPr>
  </w:style>
  <w:style w:type="paragraph" w:styleId="TOC1">
    <w:name w:val="toc 1"/>
    <w:basedOn w:val="Normal"/>
    <w:next w:val="Normal"/>
    <w:autoRedefine/>
    <w:uiPriority w:val="39"/>
    <w:pPr>
      <w:tabs>
        <w:tab w:val="left" w:pos="720"/>
        <w:tab w:val="decimal" w:leader="dot" w:pos="8640"/>
      </w:tabs>
      <w:spacing w:after="240"/>
      <w:ind w:left="720" w:hanging="720"/>
    </w:pPr>
    <w:rPr>
      <w:caps/>
    </w:rPr>
  </w:style>
  <w:style w:type="paragraph" w:styleId="TOC2">
    <w:name w:val="toc 2"/>
    <w:basedOn w:val="Normal"/>
    <w:next w:val="Normal"/>
    <w:autoRedefine/>
    <w:uiPriority w:val="39"/>
    <w:pPr>
      <w:tabs>
        <w:tab w:val="left" w:pos="720"/>
        <w:tab w:val="decimal" w:leader="dot" w:pos="8640"/>
      </w:tabs>
      <w:spacing w:after="240"/>
      <w:ind w:left="1440" w:hanging="720"/>
    </w:pPr>
  </w:style>
  <w:style w:type="character" w:customStyle="1" w:styleId="FootnoteTextChar1Char">
    <w:name w:val="Footnote Text Char1 Char"/>
    <w:aliases w:val="Footnote Text Char Char Char,Footnote Text Char1 Char Char1 Char,Footnote Text Char Char Char Char Char,Footnote Text Char2 Char Char Char Char1 Char,Footnote Text Char1 Char Char1 Char Char Char Char,fn Char"/>
    <w:uiPriority w:val="99"/>
    <w:locked/>
    <w:rPr>
      <w:rFonts w:eastAsia="Times New Roman" w:cs="Times New Roman"/>
      <w:sz w:val="20"/>
      <w:szCs w:val="20"/>
    </w:rPr>
  </w:style>
  <w:style w:type="paragraph" w:styleId="ListParagraph">
    <w:name w:val="List Paragraph"/>
    <w:basedOn w:val="Normal"/>
    <w:uiPriority w:val="34"/>
    <w:qFormat/>
    <w:rsid w:val="009811A4"/>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D486D"/>
    <w:rPr>
      <w:sz w:val="24"/>
    </w:rPr>
  </w:style>
  <w:style w:type="character" w:customStyle="1" w:styleId="BodyTextIndent3Char">
    <w:name w:val="Body Text Indent 3 Char"/>
    <w:link w:val="BodyTextIndent3"/>
    <w:rsid w:val="00DB36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9320">
      <w:bodyDiv w:val="1"/>
      <w:marLeft w:val="0"/>
      <w:marRight w:val="0"/>
      <w:marTop w:val="0"/>
      <w:marBottom w:val="0"/>
      <w:divBdr>
        <w:top w:val="none" w:sz="0" w:space="0" w:color="auto"/>
        <w:left w:val="none" w:sz="0" w:space="0" w:color="auto"/>
        <w:bottom w:val="none" w:sz="0" w:space="0" w:color="auto"/>
        <w:right w:val="none" w:sz="0" w:space="0" w:color="auto"/>
      </w:divBdr>
    </w:div>
    <w:div w:id="833450972">
      <w:bodyDiv w:val="1"/>
      <w:marLeft w:val="0"/>
      <w:marRight w:val="0"/>
      <w:marTop w:val="0"/>
      <w:marBottom w:val="0"/>
      <w:divBdr>
        <w:top w:val="none" w:sz="0" w:space="0" w:color="auto"/>
        <w:left w:val="none" w:sz="0" w:space="0" w:color="auto"/>
        <w:bottom w:val="none" w:sz="0" w:space="0" w:color="auto"/>
        <w:right w:val="none" w:sz="0" w:space="0" w:color="auto"/>
      </w:divBdr>
    </w:div>
    <w:div w:id="1627080105">
      <w:bodyDiv w:val="1"/>
      <w:marLeft w:val="0"/>
      <w:marRight w:val="0"/>
      <w:marTop w:val="0"/>
      <w:marBottom w:val="0"/>
      <w:divBdr>
        <w:top w:val="none" w:sz="0" w:space="0" w:color="auto"/>
        <w:left w:val="none" w:sz="0" w:space="0" w:color="auto"/>
        <w:bottom w:val="none" w:sz="0" w:space="0" w:color="auto"/>
        <w:right w:val="none" w:sz="0" w:space="0" w:color="auto"/>
      </w:divBdr>
      <w:divsChild>
        <w:div w:id="195000387">
          <w:marLeft w:val="0"/>
          <w:marRight w:val="0"/>
          <w:marTop w:val="0"/>
          <w:marBottom w:val="0"/>
          <w:divBdr>
            <w:top w:val="none" w:sz="0" w:space="0" w:color="auto"/>
            <w:left w:val="none" w:sz="0" w:space="0" w:color="auto"/>
            <w:bottom w:val="none" w:sz="0" w:space="0" w:color="auto"/>
            <w:right w:val="none" w:sz="0" w:space="0" w:color="auto"/>
          </w:divBdr>
        </w:div>
        <w:div w:id="378743096">
          <w:marLeft w:val="0"/>
          <w:marRight w:val="0"/>
          <w:marTop w:val="0"/>
          <w:marBottom w:val="0"/>
          <w:divBdr>
            <w:top w:val="none" w:sz="0" w:space="0" w:color="auto"/>
            <w:left w:val="none" w:sz="0" w:space="0" w:color="auto"/>
            <w:bottom w:val="none" w:sz="0" w:space="0" w:color="auto"/>
            <w:right w:val="none" w:sz="0" w:space="0" w:color="auto"/>
          </w:divBdr>
        </w:div>
        <w:div w:id="718211892">
          <w:marLeft w:val="0"/>
          <w:marRight w:val="0"/>
          <w:marTop w:val="0"/>
          <w:marBottom w:val="0"/>
          <w:divBdr>
            <w:top w:val="none" w:sz="0" w:space="0" w:color="auto"/>
            <w:left w:val="none" w:sz="0" w:space="0" w:color="auto"/>
            <w:bottom w:val="none" w:sz="0" w:space="0" w:color="auto"/>
            <w:right w:val="none" w:sz="0" w:space="0" w:color="auto"/>
          </w:divBdr>
        </w:div>
        <w:div w:id="835419299">
          <w:marLeft w:val="0"/>
          <w:marRight w:val="0"/>
          <w:marTop w:val="0"/>
          <w:marBottom w:val="0"/>
          <w:divBdr>
            <w:top w:val="none" w:sz="0" w:space="0" w:color="auto"/>
            <w:left w:val="none" w:sz="0" w:space="0" w:color="auto"/>
            <w:bottom w:val="none" w:sz="0" w:space="0" w:color="auto"/>
            <w:right w:val="none" w:sz="0" w:space="0" w:color="auto"/>
          </w:divBdr>
        </w:div>
        <w:div w:id="1011418832">
          <w:marLeft w:val="0"/>
          <w:marRight w:val="0"/>
          <w:marTop w:val="0"/>
          <w:marBottom w:val="0"/>
          <w:divBdr>
            <w:top w:val="none" w:sz="0" w:space="0" w:color="auto"/>
            <w:left w:val="none" w:sz="0" w:space="0" w:color="auto"/>
            <w:bottom w:val="none" w:sz="0" w:space="0" w:color="auto"/>
            <w:right w:val="none" w:sz="0" w:space="0" w:color="auto"/>
          </w:divBdr>
        </w:div>
        <w:div w:id="1324352946">
          <w:marLeft w:val="0"/>
          <w:marRight w:val="0"/>
          <w:marTop w:val="0"/>
          <w:marBottom w:val="0"/>
          <w:divBdr>
            <w:top w:val="none" w:sz="0" w:space="0" w:color="auto"/>
            <w:left w:val="none" w:sz="0" w:space="0" w:color="auto"/>
            <w:bottom w:val="none" w:sz="0" w:space="0" w:color="auto"/>
            <w:right w:val="none" w:sz="0" w:space="0" w:color="auto"/>
          </w:divBdr>
        </w:div>
        <w:div w:id="1477643651">
          <w:marLeft w:val="0"/>
          <w:marRight w:val="0"/>
          <w:marTop w:val="0"/>
          <w:marBottom w:val="0"/>
          <w:divBdr>
            <w:top w:val="none" w:sz="0" w:space="0" w:color="auto"/>
            <w:left w:val="none" w:sz="0" w:space="0" w:color="auto"/>
            <w:bottom w:val="none" w:sz="0" w:space="0" w:color="auto"/>
            <w:right w:val="none" w:sz="0" w:space="0" w:color="auto"/>
          </w:divBdr>
        </w:div>
        <w:div w:id="1644969525">
          <w:marLeft w:val="0"/>
          <w:marRight w:val="0"/>
          <w:marTop w:val="0"/>
          <w:marBottom w:val="0"/>
          <w:divBdr>
            <w:top w:val="none" w:sz="0" w:space="0" w:color="auto"/>
            <w:left w:val="none" w:sz="0" w:space="0" w:color="auto"/>
            <w:bottom w:val="none" w:sz="0" w:space="0" w:color="auto"/>
            <w:right w:val="none" w:sz="0" w:space="0" w:color="auto"/>
          </w:divBdr>
        </w:div>
        <w:div w:id="1664776969">
          <w:marLeft w:val="0"/>
          <w:marRight w:val="0"/>
          <w:marTop w:val="0"/>
          <w:marBottom w:val="0"/>
          <w:divBdr>
            <w:top w:val="none" w:sz="0" w:space="0" w:color="auto"/>
            <w:left w:val="none" w:sz="0" w:space="0" w:color="auto"/>
            <w:bottom w:val="none" w:sz="0" w:space="0" w:color="auto"/>
            <w:right w:val="none" w:sz="0" w:space="0" w:color="auto"/>
          </w:divBdr>
        </w:div>
        <w:div w:id="1867717119">
          <w:marLeft w:val="0"/>
          <w:marRight w:val="0"/>
          <w:marTop w:val="0"/>
          <w:marBottom w:val="0"/>
          <w:divBdr>
            <w:top w:val="none" w:sz="0" w:space="0" w:color="auto"/>
            <w:left w:val="none" w:sz="0" w:space="0" w:color="auto"/>
            <w:bottom w:val="none" w:sz="0" w:space="0" w:color="auto"/>
            <w:right w:val="none" w:sz="0" w:space="0" w:color="auto"/>
          </w:divBdr>
        </w:div>
        <w:div w:id="1944065685">
          <w:marLeft w:val="0"/>
          <w:marRight w:val="0"/>
          <w:marTop w:val="0"/>
          <w:marBottom w:val="0"/>
          <w:divBdr>
            <w:top w:val="none" w:sz="0" w:space="0" w:color="auto"/>
            <w:left w:val="none" w:sz="0" w:space="0" w:color="auto"/>
            <w:bottom w:val="none" w:sz="0" w:space="0" w:color="auto"/>
            <w:right w:val="none" w:sz="0" w:space="0" w:color="auto"/>
          </w:divBdr>
        </w:div>
      </w:divsChild>
    </w:div>
    <w:div w:id="1819108376">
      <w:bodyDiv w:val="1"/>
      <w:marLeft w:val="0"/>
      <w:marRight w:val="0"/>
      <w:marTop w:val="0"/>
      <w:marBottom w:val="0"/>
      <w:divBdr>
        <w:top w:val="none" w:sz="0" w:space="0" w:color="auto"/>
        <w:left w:val="none" w:sz="0" w:space="0" w:color="auto"/>
        <w:bottom w:val="none" w:sz="0" w:space="0" w:color="auto"/>
        <w:right w:val="none" w:sz="0" w:space="0" w:color="auto"/>
      </w:divBdr>
    </w:div>
    <w:div w:id="205476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6823</Characters>
  <Application>Microsoft Office Word</Application>
  <DocSecurity>0</DocSecurity>
  <Lines>177</Lines>
  <Paragraphs>65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7991</CharactersWithSpaces>
  <SharedDoc>false</SharedDoc>
  <HyperlinkBase> </HyperlinkBase>
  <HLinks>
    <vt:vector size="54" baseType="variant">
      <vt:variant>
        <vt:i4>1245244</vt:i4>
      </vt:variant>
      <vt:variant>
        <vt:i4>50</vt:i4>
      </vt:variant>
      <vt:variant>
        <vt:i4>0</vt:i4>
      </vt:variant>
      <vt:variant>
        <vt:i4>5</vt:i4>
      </vt:variant>
      <vt:variant>
        <vt:lpwstr/>
      </vt:variant>
      <vt:variant>
        <vt:lpwstr>_Toc384297293</vt:lpwstr>
      </vt:variant>
      <vt:variant>
        <vt:i4>1245244</vt:i4>
      </vt:variant>
      <vt:variant>
        <vt:i4>44</vt:i4>
      </vt:variant>
      <vt:variant>
        <vt:i4>0</vt:i4>
      </vt:variant>
      <vt:variant>
        <vt:i4>5</vt:i4>
      </vt:variant>
      <vt:variant>
        <vt:lpwstr/>
      </vt:variant>
      <vt:variant>
        <vt:lpwstr>_Toc384297292</vt:lpwstr>
      </vt:variant>
      <vt:variant>
        <vt:i4>1245244</vt:i4>
      </vt:variant>
      <vt:variant>
        <vt:i4>38</vt:i4>
      </vt:variant>
      <vt:variant>
        <vt:i4>0</vt:i4>
      </vt:variant>
      <vt:variant>
        <vt:i4>5</vt:i4>
      </vt:variant>
      <vt:variant>
        <vt:lpwstr/>
      </vt:variant>
      <vt:variant>
        <vt:lpwstr>_Toc384297291</vt:lpwstr>
      </vt:variant>
      <vt:variant>
        <vt:i4>1245244</vt:i4>
      </vt:variant>
      <vt:variant>
        <vt:i4>32</vt:i4>
      </vt:variant>
      <vt:variant>
        <vt:i4>0</vt:i4>
      </vt:variant>
      <vt:variant>
        <vt:i4>5</vt:i4>
      </vt:variant>
      <vt:variant>
        <vt:lpwstr/>
      </vt:variant>
      <vt:variant>
        <vt:lpwstr>_Toc384297290</vt:lpwstr>
      </vt:variant>
      <vt:variant>
        <vt:i4>1179708</vt:i4>
      </vt:variant>
      <vt:variant>
        <vt:i4>26</vt:i4>
      </vt:variant>
      <vt:variant>
        <vt:i4>0</vt:i4>
      </vt:variant>
      <vt:variant>
        <vt:i4>5</vt:i4>
      </vt:variant>
      <vt:variant>
        <vt:lpwstr/>
      </vt:variant>
      <vt:variant>
        <vt:lpwstr>_Toc384297289</vt:lpwstr>
      </vt:variant>
      <vt:variant>
        <vt:i4>1179708</vt:i4>
      </vt:variant>
      <vt:variant>
        <vt:i4>20</vt:i4>
      </vt:variant>
      <vt:variant>
        <vt:i4>0</vt:i4>
      </vt:variant>
      <vt:variant>
        <vt:i4>5</vt:i4>
      </vt:variant>
      <vt:variant>
        <vt:lpwstr/>
      </vt:variant>
      <vt:variant>
        <vt:lpwstr>_Toc384297288</vt:lpwstr>
      </vt:variant>
      <vt:variant>
        <vt:i4>1179708</vt:i4>
      </vt:variant>
      <vt:variant>
        <vt:i4>14</vt:i4>
      </vt:variant>
      <vt:variant>
        <vt:i4>0</vt:i4>
      </vt:variant>
      <vt:variant>
        <vt:i4>5</vt:i4>
      </vt:variant>
      <vt:variant>
        <vt:lpwstr/>
      </vt:variant>
      <vt:variant>
        <vt:lpwstr>_Toc384297287</vt:lpwstr>
      </vt:variant>
      <vt:variant>
        <vt:i4>1179708</vt:i4>
      </vt:variant>
      <vt:variant>
        <vt:i4>8</vt:i4>
      </vt:variant>
      <vt:variant>
        <vt:i4>0</vt:i4>
      </vt:variant>
      <vt:variant>
        <vt:i4>5</vt:i4>
      </vt:variant>
      <vt:variant>
        <vt:lpwstr/>
      </vt:variant>
      <vt:variant>
        <vt:lpwstr>_Toc384297286</vt:lpwstr>
      </vt:variant>
      <vt:variant>
        <vt:i4>1179708</vt:i4>
      </vt:variant>
      <vt:variant>
        <vt:i4>2</vt:i4>
      </vt:variant>
      <vt:variant>
        <vt:i4>0</vt:i4>
      </vt:variant>
      <vt:variant>
        <vt:i4>5</vt:i4>
      </vt:variant>
      <vt:variant>
        <vt:lpwstr/>
      </vt:variant>
      <vt:variant>
        <vt:lpwstr>_Toc384297285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2014-11-17T19:32:00Z</cp:lastPrinted>
  <dcterms:created xsi:type="dcterms:W3CDTF">2014-11-17T20:28:00Z</dcterms:created>
  <dcterms:modified xsi:type="dcterms:W3CDTF">2014-11-17T20:28:00Z</dcterms:modified>
  <cp:category> </cp:category>
  <cp:contentStatus> </cp:contentStatus>
</cp:coreProperties>
</file>