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1D" w:rsidRDefault="004F481D">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4F481D" w:rsidRDefault="004F481D">
      <w:pPr>
        <w:pStyle w:val="HTMLPreformatted"/>
        <w:jc w:val="center"/>
        <w:rPr>
          <w:rFonts w:ascii="Times New Roman" w:hAnsi="Times New Roman"/>
          <w:sz w:val="24"/>
        </w:rPr>
      </w:pPr>
      <w:r>
        <w:rPr>
          <w:rFonts w:ascii="Times New Roman" w:hAnsi="Times New Roman"/>
          <w:b/>
          <w:bCs/>
          <w:sz w:val="24"/>
        </w:rPr>
        <w:t xml:space="preserve">THE PUBLIC UTILITIES COMMISSION OF </w:t>
      </w:r>
      <w:smartTag w:uri="urn:schemas-microsoft-com:office:smarttags" w:element="place">
        <w:smartTag w:uri="urn:schemas-microsoft-com:office:smarttags" w:element="State">
          <w:r>
            <w:rPr>
              <w:rFonts w:ascii="Times New Roman" w:hAnsi="Times New Roman"/>
              <w:b/>
              <w:bCs/>
              <w:sz w:val="24"/>
            </w:rPr>
            <w:t>OHIO</w:t>
          </w:r>
        </w:smartTag>
      </w:smartTag>
    </w:p>
    <w:p w:rsidR="004F481D" w:rsidRDefault="004F481D">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4F481D">
        <w:trPr>
          <w:trHeight w:val="807"/>
        </w:trPr>
        <w:tc>
          <w:tcPr>
            <w:tcW w:w="4332" w:type="dxa"/>
          </w:tcPr>
          <w:p w:rsidR="004F481D" w:rsidRDefault="004F481D">
            <w:pPr>
              <w:pStyle w:val="HTMLPreformatted"/>
              <w:rPr>
                <w:rFonts w:ascii="Times New Roman" w:hAnsi="Times New Roman" w:cs="Courier New"/>
                <w:sz w:val="24"/>
                <w:szCs w:val="24"/>
              </w:rPr>
            </w:pPr>
            <w:r>
              <w:rPr>
                <w:rFonts w:ascii="Times New Roman" w:hAnsi="Times New Roman"/>
                <w:sz w:val="24"/>
                <w:szCs w:val="24"/>
              </w:rPr>
              <w:t xml:space="preserve">In the Matter of the Application of Ohio Power Company to Establish a Competitive Bidding Process for Procurement of Energy to Support its Standard Service Offer. </w:t>
            </w:r>
          </w:p>
        </w:tc>
        <w:tc>
          <w:tcPr>
            <w:tcW w:w="360" w:type="dxa"/>
          </w:tcPr>
          <w:p w:rsidR="004F481D" w:rsidRDefault="004F481D">
            <w:pPr>
              <w:pStyle w:val="HTMLPreformatted"/>
              <w:rPr>
                <w:rFonts w:ascii="Times New Roman" w:hAnsi="Times New Roman" w:cs="Courier New"/>
                <w:sz w:val="24"/>
              </w:rPr>
            </w:pPr>
            <w:r>
              <w:rPr>
                <w:rFonts w:ascii="Times New Roman" w:hAnsi="Times New Roman" w:cs="Courier New"/>
                <w:sz w:val="24"/>
              </w:rPr>
              <w:t>)</w:t>
            </w:r>
          </w:p>
          <w:p w:rsidR="004F481D" w:rsidRDefault="004F481D">
            <w:pPr>
              <w:pStyle w:val="HTMLPreformatted"/>
              <w:rPr>
                <w:rFonts w:ascii="Times New Roman" w:hAnsi="Times New Roman" w:cs="Courier New"/>
                <w:sz w:val="24"/>
              </w:rPr>
            </w:pPr>
            <w:r>
              <w:rPr>
                <w:rFonts w:ascii="Times New Roman" w:hAnsi="Times New Roman" w:cs="Courier New"/>
                <w:sz w:val="24"/>
              </w:rPr>
              <w:t>)</w:t>
            </w:r>
          </w:p>
          <w:p w:rsidR="004F481D" w:rsidRDefault="004F481D">
            <w:pPr>
              <w:pStyle w:val="HTMLPreformatted"/>
              <w:rPr>
                <w:rFonts w:ascii="Times New Roman" w:hAnsi="Times New Roman" w:cs="Courier New"/>
                <w:sz w:val="24"/>
              </w:rPr>
            </w:pPr>
            <w:r>
              <w:rPr>
                <w:rFonts w:ascii="Times New Roman" w:hAnsi="Times New Roman" w:cs="Courier New"/>
                <w:sz w:val="24"/>
              </w:rPr>
              <w:t>)</w:t>
            </w:r>
          </w:p>
          <w:p w:rsidR="004F481D" w:rsidRDefault="004F481D">
            <w:pPr>
              <w:pStyle w:val="HTMLPreformatted"/>
              <w:rPr>
                <w:rFonts w:ascii="Times New Roman" w:hAnsi="Times New Roman" w:cs="Courier New"/>
                <w:sz w:val="24"/>
              </w:rPr>
            </w:pPr>
            <w:r>
              <w:rPr>
                <w:rFonts w:ascii="Times New Roman" w:hAnsi="Times New Roman" w:cs="Courier New"/>
                <w:sz w:val="24"/>
              </w:rPr>
              <w:t>)</w:t>
            </w:r>
          </w:p>
          <w:p w:rsidR="004F481D" w:rsidRDefault="004F481D">
            <w:pPr>
              <w:pStyle w:val="HTMLPreformatted"/>
              <w:rPr>
                <w:rFonts w:ascii="Times New Roman" w:hAnsi="Times New Roman" w:cs="Courier New"/>
                <w:sz w:val="24"/>
              </w:rPr>
            </w:pPr>
            <w:r>
              <w:rPr>
                <w:rFonts w:ascii="Times New Roman" w:hAnsi="Times New Roman" w:cs="Courier New"/>
                <w:sz w:val="24"/>
              </w:rPr>
              <w:t>)</w:t>
            </w:r>
          </w:p>
        </w:tc>
        <w:tc>
          <w:tcPr>
            <w:tcW w:w="4400" w:type="dxa"/>
          </w:tcPr>
          <w:p w:rsidR="004F481D" w:rsidRDefault="004F481D">
            <w:pPr>
              <w:pStyle w:val="HTMLPreformatted"/>
              <w:rPr>
                <w:rFonts w:ascii="Times New Roman" w:hAnsi="Times New Roman" w:cs="Courier New"/>
                <w:sz w:val="24"/>
              </w:rPr>
            </w:pPr>
          </w:p>
          <w:p w:rsidR="004F481D" w:rsidRDefault="004F481D">
            <w:pPr>
              <w:pStyle w:val="HTMLPreformatted"/>
              <w:rPr>
                <w:rFonts w:ascii="Times New Roman" w:hAnsi="Times New Roman" w:cs="Courier New"/>
                <w:sz w:val="24"/>
              </w:rPr>
            </w:pPr>
            <w:r>
              <w:rPr>
                <w:rFonts w:ascii="Times New Roman" w:hAnsi="Times New Roman" w:cs="Courier New"/>
                <w:sz w:val="24"/>
              </w:rPr>
              <w:t>Case No. 12-3254-EL-UNC</w:t>
            </w:r>
          </w:p>
          <w:p w:rsidR="004F481D" w:rsidRDefault="004F481D">
            <w:pPr>
              <w:pStyle w:val="HTMLPreformatted"/>
              <w:rPr>
                <w:rFonts w:ascii="Times New Roman" w:hAnsi="Times New Roman" w:cs="Courier New"/>
                <w:sz w:val="24"/>
              </w:rPr>
            </w:pPr>
          </w:p>
          <w:p w:rsidR="004F481D" w:rsidRDefault="004F481D">
            <w:pPr>
              <w:pStyle w:val="HTMLPreformatted"/>
              <w:rPr>
                <w:rFonts w:ascii="Times New Roman" w:hAnsi="Times New Roman" w:cs="Courier New"/>
                <w:sz w:val="24"/>
              </w:rPr>
            </w:pPr>
          </w:p>
        </w:tc>
      </w:tr>
    </w:tbl>
    <w:p w:rsidR="004F481D" w:rsidRDefault="004F481D">
      <w:pPr>
        <w:pStyle w:val="HTMLPreformatted"/>
        <w:rPr>
          <w:rFonts w:ascii="Times New Roman" w:hAnsi="Times New Roman"/>
          <w:sz w:val="24"/>
        </w:rPr>
      </w:pPr>
    </w:p>
    <w:p w:rsidR="004F481D" w:rsidRDefault="004F481D">
      <w:pPr>
        <w:pStyle w:val="HTMLPreformatted"/>
        <w:pBdr>
          <w:top w:val="single" w:sz="12" w:space="1" w:color="auto"/>
        </w:pBdr>
        <w:rPr>
          <w:rFonts w:ascii="Times New Roman" w:hAnsi="Times New Roman"/>
          <w:sz w:val="24"/>
        </w:rPr>
      </w:pPr>
    </w:p>
    <w:p w:rsidR="00EF496A" w:rsidRDefault="00BD49D2">
      <w:pPr>
        <w:jc w:val="center"/>
        <w:rPr>
          <w:b/>
          <w:bCs/>
        </w:rPr>
      </w:pPr>
      <w:r>
        <w:rPr>
          <w:b/>
          <w:bCs/>
        </w:rPr>
        <w:t xml:space="preserve">MEMORANDUM CONTRA </w:t>
      </w:r>
    </w:p>
    <w:p w:rsidR="00EF496A" w:rsidRDefault="00EF496A">
      <w:pPr>
        <w:jc w:val="center"/>
        <w:rPr>
          <w:b/>
          <w:bCs/>
        </w:rPr>
      </w:pPr>
      <w:r>
        <w:rPr>
          <w:b/>
          <w:bCs/>
        </w:rPr>
        <w:t>OHIO POWER COMPANY’S</w:t>
      </w:r>
    </w:p>
    <w:p w:rsidR="004F481D" w:rsidRDefault="00BD49D2">
      <w:pPr>
        <w:jc w:val="center"/>
        <w:rPr>
          <w:b/>
          <w:bCs/>
        </w:rPr>
      </w:pPr>
      <w:r>
        <w:rPr>
          <w:b/>
          <w:bCs/>
        </w:rPr>
        <w:t>APPLICATION FOR REHEARING</w:t>
      </w:r>
    </w:p>
    <w:p w:rsidR="004F481D" w:rsidRDefault="004F481D">
      <w:pPr>
        <w:jc w:val="center"/>
        <w:rPr>
          <w:b/>
          <w:bCs/>
        </w:rPr>
      </w:pPr>
      <w:r>
        <w:rPr>
          <w:b/>
          <w:bCs/>
        </w:rPr>
        <w:t>BY</w:t>
      </w:r>
    </w:p>
    <w:p w:rsidR="004F481D" w:rsidRDefault="004F481D">
      <w:pPr>
        <w:jc w:val="center"/>
        <w:rPr>
          <w:b/>
          <w:bCs/>
        </w:rPr>
      </w:pPr>
      <w:r>
        <w:rPr>
          <w:b/>
          <w:bCs/>
        </w:rPr>
        <w:t xml:space="preserve">THE OFFICE OF THE </w:t>
      </w:r>
      <w:smartTag w:uri="urn:schemas-microsoft-com:office:smarttags" w:element="place">
        <w:smartTag w:uri="urn:schemas-microsoft-com:office:smarttags" w:element="State">
          <w:r>
            <w:rPr>
              <w:b/>
              <w:bCs/>
            </w:rPr>
            <w:t>OHIO</w:t>
          </w:r>
        </w:smartTag>
      </w:smartTag>
      <w:r>
        <w:rPr>
          <w:b/>
          <w:bCs/>
        </w:rPr>
        <w:t xml:space="preserve"> CONSUMERS’ COUNSEL</w:t>
      </w:r>
    </w:p>
    <w:p w:rsidR="004F481D" w:rsidRDefault="004F481D">
      <w:pPr>
        <w:pBdr>
          <w:bottom w:val="single" w:sz="12" w:space="1" w:color="auto"/>
        </w:pBdr>
        <w:tabs>
          <w:tab w:val="left" w:pos="4320"/>
        </w:tabs>
      </w:pPr>
    </w:p>
    <w:p w:rsidR="004F481D" w:rsidRDefault="004F481D">
      <w:pPr>
        <w:tabs>
          <w:tab w:val="left" w:pos="4320"/>
        </w:tabs>
      </w:pPr>
    </w:p>
    <w:p w:rsidR="003116FD" w:rsidRDefault="004F481D" w:rsidP="00630F30">
      <w:pPr>
        <w:spacing w:line="480" w:lineRule="auto"/>
      </w:pPr>
      <w:r>
        <w:tab/>
      </w:r>
      <w:r w:rsidR="005840D6">
        <w:t>On November 13, 2013, the Public Utilities Commission of Ohio (“PUCO”</w:t>
      </w:r>
      <w:r w:rsidR="00EF496A">
        <w:t>)</w:t>
      </w:r>
      <w:r w:rsidR="00280DD2">
        <w:t xml:space="preserve"> </w:t>
      </w:r>
      <w:r w:rsidR="005840D6">
        <w:t>issued an Opinion and Order</w:t>
      </w:r>
      <w:r w:rsidR="00460D78">
        <w:t xml:space="preserve"> that</w:t>
      </w:r>
      <w:r w:rsidR="00280DD2">
        <w:t xml:space="preserve"> </w:t>
      </w:r>
      <w:r w:rsidR="00B67A7D">
        <w:t>should</w:t>
      </w:r>
      <w:r w:rsidR="00280DD2">
        <w:t xml:space="preserve"> reduce </w:t>
      </w:r>
      <w:r w:rsidR="005A14FB">
        <w:t xml:space="preserve">base generation </w:t>
      </w:r>
      <w:r w:rsidR="00280DD2">
        <w:t>rates for standard service offer</w:t>
      </w:r>
      <w:r w:rsidR="00A647D8">
        <w:t xml:space="preserve"> (“SSO”)</w:t>
      </w:r>
      <w:r w:rsidR="00280DD2">
        <w:t xml:space="preserve"> customers of Ohio Power</w:t>
      </w:r>
      <w:r w:rsidR="00EF496A">
        <w:t xml:space="preserve"> Company</w:t>
      </w:r>
      <w:r w:rsidR="00280DD2">
        <w:t>.  The PUCO</w:t>
      </w:r>
      <w:r w:rsidR="00460D78">
        <w:t xml:space="preserve"> </w:t>
      </w:r>
      <w:r w:rsidR="00280DD2">
        <w:t>require</w:t>
      </w:r>
      <w:r w:rsidR="005A14FB">
        <w:t>d</w:t>
      </w:r>
      <w:r w:rsidR="00280DD2">
        <w:t xml:space="preserve"> Ohio Power </w:t>
      </w:r>
      <w:r w:rsidR="00EF496A">
        <w:t xml:space="preserve">Company </w:t>
      </w:r>
      <w:r w:rsidR="005D6D9F">
        <w:t>(</w:t>
      </w:r>
      <w:r w:rsidR="00EF496A">
        <w:t xml:space="preserve">“AEP Ohio” or the </w:t>
      </w:r>
      <w:r w:rsidR="005D6D9F">
        <w:t xml:space="preserve">“Utility”) </w:t>
      </w:r>
      <w:r w:rsidR="00280DD2">
        <w:t xml:space="preserve">to </w:t>
      </w:r>
      <w:r w:rsidR="0023623B">
        <w:t xml:space="preserve">proportionately </w:t>
      </w:r>
      <w:r w:rsidR="00280DD2">
        <w:t xml:space="preserve">blend </w:t>
      </w:r>
      <w:r w:rsidR="00B67A7D">
        <w:t xml:space="preserve">a </w:t>
      </w:r>
      <w:r w:rsidR="00280DD2">
        <w:t xml:space="preserve">$188.88/MW-day capacity rate </w:t>
      </w:r>
      <w:r w:rsidR="00B67A7D">
        <w:t>with the base generation rate</w:t>
      </w:r>
      <w:r w:rsidR="00074EEF">
        <w:t>s</w:t>
      </w:r>
      <w:r w:rsidR="0023623B">
        <w:t xml:space="preserve"> for </w:t>
      </w:r>
      <w:r w:rsidR="00B67A7D">
        <w:t>eac</w:t>
      </w:r>
      <w:r w:rsidR="00F22336">
        <w:t>h of the energy-only auctions</w:t>
      </w:r>
      <w:r w:rsidR="00D25579">
        <w:t xml:space="preserve"> scheduled to occur over the term of the electric security plan</w:t>
      </w:r>
      <w:r w:rsidR="00F22336">
        <w:t>.</w:t>
      </w:r>
      <w:r w:rsidR="00F84A81">
        <w:rPr>
          <w:rStyle w:val="FootnoteReference"/>
        </w:rPr>
        <w:footnoteReference w:id="1"/>
      </w:r>
      <w:r w:rsidR="00F22336">
        <w:t xml:space="preserve">  The PUCO also </w:t>
      </w:r>
      <w:r w:rsidR="00074EEF">
        <w:t xml:space="preserve">found </w:t>
      </w:r>
      <w:r w:rsidR="00F22336">
        <w:t xml:space="preserve">that </w:t>
      </w:r>
      <w:r w:rsidR="00074EEF">
        <w:t xml:space="preserve">issues of </w:t>
      </w:r>
      <w:r w:rsidR="00F22336">
        <w:t xml:space="preserve">double recovering capacity costs would be best handled in </w:t>
      </w:r>
      <w:r w:rsidR="00074EEF">
        <w:t>another forum.</w:t>
      </w:r>
      <w:r w:rsidR="005840D6">
        <w:rPr>
          <w:rStyle w:val="FootnoteReference"/>
        </w:rPr>
        <w:footnoteReference w:id="2"/>
      </w:r>
      <w:r w:rsidR="005840D6">
        <w:t xml:space="preserve"> </w:t>
      </w:r>
      <w:r w:rsidR="00074EEF">
        <w:t xml:space="preserve"> </w:t>
      </w:r>
      <w:r w:rsidR="003116FD">
        <w:t xml:space="preserve">The PUCO’s Order affords SSO customers some relief in rates and offers the opportunity for parties to address double recovery issues, with the assistance of an independent audit.  </w:t>
      </w:r>
    </w:p>
    <w:p w:rsidR="00662D52" w:rsidRDefault="003116FD" w:rsidP="00630F30">
      <w:pPr>
        <w:spacing w:line="480" w:lineRule="auto"/>
        <w:sectPr w:rsidR="00662D52" w:rsidSect="00E9570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tab/>
      </w:r>
      <w:r w:rsidR="00074EEF">
        <w:t>Applications for rehearing were filed by O</w:t>
      </w:r>
      <w:r w:rsidR="00EF496A">
        <w:t xml:space="preserve">hio </w:t>
      </w:r>
      <w:r w:rsidR="00074EEF">
        <w:t>E</w:t>
      </w:r>
      <w:r w:rsidR="00EF496A">
        <w:t xml:space="preserve">nergy </w:t>
      </w:r>
      <w:r w:rsidR="00074EEF">
        <w:t>G</w:t>
      </w:r>
      <w:r w:rsidR="00EF496A">
        <w:t>roup (“OEG”)</w:t>
      </w:r>
      <w:r w:rsidR="00074EEF">
        <w:t xml:space="preserve">, </w:t>
      </w:r>
      <w:r w:rsidR="00EF496A">
        <w:t xml:space="preserve">AEP </w:t>
      </w:r>
      <w:r w:rsidR="00074EEF">
        <w:t>Ohio</w:t>
      </w:r>
      <w:r w:rsidR="000329F1">
        <w:t>,</w:t>
      </w:r>
      <w:r w:rsidR="00074EEF">
        <w:t xml:space="preserve"> and FirstEnergy Solutions.  This memorandum responds to the application filed by </w:t>
      </w:r>
      <w:r w:rsidR="00EF496A">
        <w:t xml:space="preserve">AEP </w:t>
      </w:r>
      <w:r w:rsidR="00074EEF">
        <w:t>Ohio</w:t>
      </w:r>
      <w:r w:rsidR="00630F30">
        <w:t xml:space="preserve">.  </w:t>
      </w:r>
    </w:p>
    <w:p w:rsidR="007D220C" w:rsidRDefault="00EF496A" w:rsidP="00BA5DA9">
      <w:pPr>
        <w:spacing w:line="480" w:lineRule="auto"/>
        <w:ind w:firstLine="720"/>
      </w:pPr>
      <w:r>
        <w:lastRenderedPageBreak/>
        <w:t xml:space="preserve">AEP </w:t>
      </w:r>
      <w:r w:rsidR="00630F30">
        <w:t xml:space="preserve">Ohio </w:t>
      </w:r>
      <w:r w:rsidR="003F525A">
        <w:t>seeks to overturn the SSO rate reductions and thwart the PUCO’s review of the double recovery issue</w:t>
      </w:r>
      <w:r w:rsidR="007C5868">
        <w:t>s</w:t>
      </w:r>
      <w:r w:rsidR="003F525A">
        <w:t xml:space="preserve"> in </w:t>
      </w:r>
      <w:r w:rsidR="00BA5DA9">
        <w:t>its</w:t>
      </w:r>
      <w:r w:rsidR="003F525A">
        <w:t xml:space="preserve"> 2012 fuel adjustment clause case.  </w:t>
      </w:r>
      <w:r w:rsidR="004B2D77">
        <w:t xml:space="preserve">AEP Ohio, </w:t>
      </w:r>
      <w:r w:rsidR="003F525A">
        <w:t xml:space="preserve"> </w:t>
      </w:r>
      <w:r w:rsidR="00D25579">
        <w:t>in part</w:t>
      </w:r>
      <w:r w:rsidR="004B2D77">
        <w:t>, relies</w:t>
      </w:r>
      <w:r w:rsidR="00D25579">
        <w:t xml:space="preserve"> on </w:t>
      </w:r>
      <w:r w:rsidR="004B2D77">
        <w:t xml:space="preserve">information that is </w:t>
      </w:r>
      <w:r w:rsidR="00D25579">
        <w:t>o</w:t>
      </w:r>
      <w:r w:rsidR="003F525A">
        <w:t>utside the record</w:t>
      </w:r>
      <w:r w:rsidR="004B2D77">
        <w:t xml:space="preserve">. </w:t>
      </w:r>
    </w:p>
    <w:p w:rsidR="007D220C" w:rsidRPr="002C7431" w:rsidRDefault="007D220C" w:rsidP="007D220C">
      <w:pPr>
        <w:pStyle w:val="indexheadin"/>
        <w:widowControl/>
        <w:spacing w:line="480" w:lineRule="auto"/>
        <w:rPr>
          <w:rFonts w:ascii="Times New Roman" w:hAnsi="Times New Roman"/>
          <w:b w:val="0"/>
        </w:rPr>
      </w:pPr>
      <w:r>
        <w:rPr>
          <w:rFonts w:ascii="Times New Roman" w:hAnsi="Times New Roman"/>
          <w:b w:val="0"/>
        </w:rPr>
        <w:tab/>
        <w:t xml:space="preserve">Sixty </w:t>
      </w:r>
      <w:r w:rsidRPr="002C7431">
        <w:rPr>
          <w:rFonts w:ascii="Times New Roman" w:hAnsi="Times New Roman"/>
          <w:b w:val="0"/>
        </w:rPr>
        <w:t>years ago the Ohio General Assembly determined, in enacting R.C. 4903.09, that the PUCO will decide cases based upon the record before it:</w:t>
      </w:r>
    </w:p>
    <w:p w:rsidR="007D220C" w:rsidRPr="009F2B18" w:rsidRDefault="007D220C" w:rsidP="00662D52">
      <w:pPr>
        <w:pStyle w:val="indexheadin"/>
        <w:widowControl/>
        <w:ind w:left="1440" w:right="720" w:hanging="1440"/>
        <w:rPr>
          <w:rFonts w:ascii="Times New Roman" w:hAnsi="Times New Roman"/>
          <w:b w:val="0"/>
          <w:lang w:bidi="en-US"/>
        </w:rPr>
      </w:pPr>
      <w:r w:rsidRPr="009F2B18">
        <w:rPr>
          <w:rFonts w:ascii="Times New Roman" w:hAnsi="Times New Roman"/>
          <w:b w:val="0"/>
          <w:lang w:bidi="en-US"/>
        </w:rPr>
        <w:tab/>
        <w:t>In all contested cases heard by the public utilities commission, a complete record of all of the proceedings shall be made, including a transcript of all testimony and of all exhibits, and the commission shall file, with the records of such cases, findings of fact and written opinions setting forth the reasons prompting the decisions arrived at, based upon said findings of fact.</w:t>
      </w:r>
    </w:p>
    <w:p w:rsidR="007D220C" w:rsidRPr="002C7431" w:rsidRDefault="007D220C" w:rsidP="007D220C">
      <w:pPr>
        <w:pStyle w:val="indexheadin"/>
        <w:widowControl/>
        <w:rPr>
          <w:rFonts w:ascii="Times New Roman" w:hAnsi="Times New Roman"/>
          <w:b w:val="0"/>
        </w:rPr>
      </w:pPr>
    </w:p>
    <w:p w:rsidR="007D220C" w:rsidRPr="002C7431" w:rsidRDefault="007D220C" w:rsidP="007D220C">
      <w:pPr>
        <w:pStyle w:val="indexheadin"/>
        <w:widowControl/>
        <w:spacing w:line="480" w:lineRule="auto"/>
        <w:rPr>
          <w:rFonts w:ascii="Times New Roman" w:hAnsi="Times New Roman"/>
          <w:b w:val="0"/>
        </w:rPr>
      </w:pPr>
      <w:r w:rsidRPr="002C7431">
        <w:rPr>
          <w:rFonts w:ascii="Times New Roman" w:hAnsi="Times New Roman"/>
          <w:b w:val="0"/>
        </w:rPr>
        <w:t>There is no shortage of precedent on this subject.</w:t>
      </w:r>
      <w:r>
        <w:rPr>
          <w:rStyle w:val="FootnoteReference"/>
          <w:rFonts w:ascii="Times New Roman" w:hAnsi="Times New Roman"/>
          <w:b w:val="0"/>
        </w:rPr>
        <w:footnoteReference w:id="3"/>
      </w:r>
      <w:r w:rsidRPr="002C7431">
        <w:rPr>
          <w:rFonts w:ascii="Times New Roman" w:hAnsi="Times New Roman"/>
          <w:b w:val="0"/>
        </w:rPr>
        <w:t xml:space="preserve">  There is no novelty to the concept of the record.</w:t>
      </w:r>
    </w:p>
    <w:p w:rsidR="00802E32" w:rsidRDefault="007D220C" w:rsidP="007D220C">
      <w:pPr>
        <w:spacing w:line="480" w:lineRule="auto"/>
        <w:ind w:firstLine="720"/>
      </w:pPr>
      <w:r w:rsidRPr="003116FD">
        <w:t xml:space="preserve">But over half a century later AEP Ohio has demonstrated a disregard for the </w:t>
      </w:r>
      <w:r w:rsidR="003116FD">
        <w:t>L</w:t>
      </w:r>
      <w:r w:rsidRPr="003116FD">
        <w:t>egislature’s directive.</w:t>
      </w:r>
      <w:r>
        <w:rPr>
          <w:b/>
        </w:rPr>
        <w:t xml:space="preserve"> </w:t>
      </w:r>
      <w:r w:rsidRPr="003116FD">
        <w:t>Specifically, AEP Ohio</w:t>
      </w:r>
      <w:r>
        <w:rPr>
          <w:b/>
        </w:rPr>
        <w:t xml:space="preserve"> </w:t>
      </w:r>
      <w:r w:rsidR="000329F1">
        <w:t>uses its</w:t>
      </w:r>
      <w:r w:rsidR="00EF496A">
        <w:t xml:space="preserve"> </w:t>
      </w:r>
      <w:r w:rsidR="000329F1">
        <w:t>application for rehearing to argue the merits of the double recovery issue</w:t>
      </w:r>
      <w:r w:rsidR="00775B60">
        <w:t xml:space="preserve">—using facts and data that it </w:t>
      </w:r>
      <w:r w:rsidR="00995368">
        <w:t xml:space="preserve">did </w:t>
      </w:r>
      <w:r w:rsidR="005D6D9F">
        <w:t>not produce</w:t>
      </w:r>
      <w:r w:rsidR="00775B60">
        <w:t xml:space="preserve"> in the course of the evidentiary proceeding</w:t>
      </w:r>
      <w:r w:rsidR="00995368">
        <w:t>, even though it had ample opportunity to do so</w:t>
      </w:r>
      <w:r w:rsidR="000329F1">
        <w:t xml:space="preserve">.  </w:t>
      </w:r>
      <w:r>
        <w:t xml:space="preserve">That information has not been subject to cross-examination in this or any other proceeding.   </w:t>
      </w:r>
    </w:p>
    <w:p w:rsidR="00B12CAB" w:rsidRDefault="003F525A" w:rsidP="006D37E0">
      <w:pPr>
        <w:spacing w:line="480" w:lineRule="auto"/>
        <w:ind w:firstLine="720"/>
      </w:pPr>
      <w:r>
        <w:t xml:space="preserve">The PUCO should reject </w:t>
      </w:r>
      <w:r w:rsidR="001A39A2">
        <w:t xml:space="preserve">AEP </w:t>
      </w:r>
      <w:r>
        <w:t xml:space="preserve">Ohio’s </w:t>
      </w:r>
      <w:r w:rsidR="004B2D77">
        <w:t>request for rehearing</w:t>
      </w:r>
      <w:r>
        <w:t>, Th</w:t>
      </w:r>
      <w:r w:rsidR="00C91D2E">
        <w:t xml:space="preserve">e PUCO’s </w:t>
      </w:r>
      <w:r w:rsidR="004B2D77">
        <w:t xml:space="preserve">November 13, 2013 Opinion and Order (“Order”) </w:t>
      </w:r>
      <w:r w:rsidR="00775B60">
        <w:t xml:space="preserve">is neither unjust nor unreasonable.  </w:t>
      </w:r>
      <w:r w:rsidR="00B12CAB">
        <w:t xml:space="preserve">It is based on record evidence submitted in the proceeding—evidence that was subject to review and cross examination.  </w:t>
      </w:r>
    </w:p>
    <w:p w:rsidR="003116FD" w:rsidRDefault="003116FD" w:rsidP="003116FD">
      <w:pPr>
        <w:pStyle w:val="Heading2"/>
      </w:pPr>
      <w:r>
        <w:t>A.</w:t>
      </w:r>
      <w:r w:rsidRPr="00D9524E">
        <w:tab/>
      </w:r>
      <w:r>
        <w:t xml:space="preserve">AEP Ohio Has Failed </w:t>
      </w:r>
      <w:r w:rsidR="00E57661">
        <w:t xml:space="preserve">To </w:t>
      </w:r>
      <w:r>
        <w:t xml:space="preserve">Prove </w:t>
      </w:r>
      <w:r w:rsidR="00E57661">
        <w:t xml:space="preserve">That There Is </w:t>
      </w:r>
      <w:r>
        <w:t xml:space="preserve">No Double Recovery </w:t>
      </w:r>
      <w:r w:rsidR="00E57661">
        <w:t xml:space="preserve">Of The </w:t>
      </w:r>
      <w:r>
        <w:t xml:space="preserve">Fixed Cost Portion </w:t>
      </w:r>
      <w:r w:rsidR="00E57661">
        <w:t xml:space="preserve">Of Its </w:t>
      </w:r>
      <w:r>
        <w:t>Fuel Adjustment Clause</w:t>
      </w:r>
      <w:r w:rsidR="00E57661">
        <w:t>.</w:t>
      </w:r>
    </w:p>
    <w:p w:rsidR="003116FD" w:rsidRPr="00D9524E" w:rsidRDefault="003116FD" w:rsidP="003116FD"/>
    <w:p w:rsidR="003116FD" w:rsidRDefault="003116FD" w:rsidP="003116FD">
      <w:pPr>
        <w:spacing w:line="480" w:lineRule="auto"/>
        <w:ind w:firstLine="720"/>
      </w:pPr>
      <w:r>
        <w:t>The Commission has held that “[d]ocuments that are not part of the record, and that were not designated a late-filed exhibit at hearing, cannot be attached to a brief or filed after a hearing, and thereby be made part of the record.”</w:t>
      </w:r>
      <w:r>
        <w:rPr>
          <w:rStyle w:val="FootnoteReference"/>
        </w:rPr>
        <w:footnoteReference w:id="4"/>
      </w:r>
      <w:r>
        <w:t xml:space="preserve">  In assessing the arguments of applications for rehearing, the PUCO requires parties to rely on evidence within the record, in accordance with R.C. 4903.09.  </w:t>
      </w:r>
    </w:p>
    <w:p w:rsidR="003116FD" w:rsidRDefault="003116FD" w:rsidP="003116FD">
      <w:pPr>
        <w:pStyle w:val="msolistparagraph0"/>
        <w:spacing w:before="0" w:beforeAutospacing="0" w:after="0" w:afterAutospacing="0" w:line="480" w:lineRule="auto"/>
        <w:ind w:left="0" w:right="187" w:firstLine="720"/>
      </w:pPr>
      <w:r>
        <w:t xml:space="preserve">AEP Ohio attempts to address and settle the double recovery arguments once and for all by relying on </w:t>
      </w:r>
      <w:r w:rsidR="00030BCA">
        <w:t xml:space="preserve">information </w:t>
      </w:r>
      <w:r>
        <w:t xml:space="preserve">that </w:t>
      </w:r>
      <w:r w:rsidR="00030BCA">
        <w:t xml:space="preserve">was never part of </w:t>
      </w:r>
      <w:r>
        <w:t>the record of this proceeding.  It claims there will be no double recovery from customers of fixed costs through the fixed cost recovery rider (“FCR”) that have already been recovered through the fuel adjustment clause.</w:t>
      </w:r>
      <w:r w:rsidR="00662D52">
        <w:rPr>
          <w:rStyle w:val="FootnoteReference"/>
        </w:rPr>
        <w:footnoteReference w:id="5"/>
      </w:r>
      <w:r>
        <w:t xml:space="preserve">  In support of its allegations, </w:t>
      </w:r>
      <w:r w:rsidRPr="00BD7BAE">
        <w:t>AEP Ohio provide</w:t>
      </w:r>
      <w:r>
        <w:t>s</w:t>
      </w:r>
      <w:r w:rsidRPr="00BD7BAE">
        <w:t xml:space="preserve"> a “threshold analysis” that relies upon Witness Pierce’s testimony in the Capacity Case.</w:t>
      </w:r>
      <w:r w:rsidR="00662D52">
        <w:rPr>
          <w:rStyle w:val="FootnoteReference"/>
        </w:rPr>
        <w:footnoteReference w:id="6"/>
      </w:r>
      <w:r>
        <w:t xml:space="preserve">  It bolsters that analysis using actual 2012 data (Exhibit A) – data that was not introduced in the record and not subject to cross examination in this or any other proceeding.  It then tries to re-litigate the Capacity Case by arguing that the energy credit produced under the Capacity Case was “riddled with errors.”</w:t>
      </w:r>
      <w:r>
        <w:rPr>
          <w:rStyle w:val="FootnoteReference"/>
        </w:rPr>
        <w:footnoteReference w:id="7"/>
      </w:r>
      <w:r>
        <w:t xml:space="preserve">  According to AEP Ohio, when the Capacity Case energy credit is compared to actual gross margins achieved in 2012 (Exhibit B), this comparison shows that the energy credit was unrealistic.</w:t>
      </w:r>
      <w:r>
        <w:rPr>
          <w:rStyle w:val="FootnoteReference"/>
        </w:rPr>
        <w:footnoteReference w:id="8"/>
      </w:r>
      <w:r>
        <w:t xml:space="preserve">  Like Exhibit A, this data was not introduced in the record and was not subject to cross examination in this or any other proceeding.  AEP Ohio uses this data to argue that the energy credit determined by the PUCO in the Capacity Case is “overstated” when compared to 2013 experience.</w:t>
      </w:r>
      <w:r>
        <w:rPr>
          <w:rStyle w:val="FootnoteReference"/>
        </w:rPr>
        <w:footnoteReference w:id="9"/>
      </w:r>
      <w:r>
        <w:t xml:space="preserve">  According to the Utility, the “overstatement” of the energy credit is proof that there is no double recovery.  </w:t>
      </w:r>
    </w:p>
    <w:p w:rsidR="003116FD" w:rsidRDefault="003116FD" w:rsidP="003116FD">
      <w:pPr>
        <w:pStyle w:val="msolistparagraph0"/>
        <w:spacing w:before="0" w:beforeAutospacing="0" w:after="0" w:afterAutospacing="0" w:line="480" w:lineRule="auto"/>
        <w:ind w:left="0" w:right="187" w:firstLine="720"/>
      </w:pPr>
      <w:r>
        <w:t xml:space="preserve">The PUCO should not accept AEP Ohio’s assertions that there is no double recovery of the fixed cost portion of its fuel adjustment clause, without further investigation and inquiry.  There are several reasons why.  First, AEP Ohio mistakenly focuses on the base generation rates.  No party argued that there would be double recovery through the base generation rates.  Instead the arguments have focused upon the double recovery between the $188.88 capacity costs and the FCR.  The parties alleged double recovery because both the $188 value and the FCR reflect the capacity cost for the purchases from OVEC and Lawrenceburg.  The Utility never refutes this fact.  Rather it clings to obfuscatory arguments that are not determinative of the issues.  </w:t>
      </w:r>
    </w:p>
    <w:p w:rsidR="00662D52" w:rsidRDefault="003116FD" w:rsidP="003116FD">
      <w:pPr>
        <w:pStyle w:val="msolistparagraph0"/>
        <w:spacing w:before="0" w:beforeAutospacing="0" w:after="0" w:afterAutospacing="0" w:line="480" w:lineRule="auto"/>
        <w:ind w:left="0" w:right="187" w:firstLine="720"/>
      </w:pPr>
      <w:r>
        <w:t xml:space="preserve">Second, the PUCO should not consider information AEP Ohio submitted in its application for rehearing to refute assertions of double-recovery. Under R.C. 4903.09, the PUCO must decide the case based on the record evidence, not on statements (and calculations) submitted for the first time in a pleading that pertains to an application for </w:t>
      </w:r>
    </w:p>
    <w:p w:rsidR="003116FD" w:rsidRDefault="00662D52" w:rsidP="00662D52">
      <w:pPr>
        <w:pStyle w:val="msolistparagraph0"/>
        <w:spacing w:before="0" w:beforeAutospacing="0" w:after="0" w:afterAutospacing="0" w:line="480" w:lineRule="auto"/>
        <w:ind w:left="0" w:right="187"/>
      </w:pPr>
      <w:r>
        <w:br w:type="page"/>
      </w:r>
      <w:r w:rsidR="003116FD">
        <w:t>rehearing.</w:t>
      </w:r>
      <w:r w:rsidR="003116FD">
        <w:rPr>
          <w:rStyle w:val="FootnoteReference"/>
        </w:rPr>
        <w:footnoteReference w:id="10"/>
      </w:r>
      <w:r w:rsidR="003116FD">
        <w:t xml:space="preserve">  AEP Ohio had the burden of proof in this proceeding to provide sufficient probative and detailed evidence to sustain its point by a preponderance of the evidence.</w:t>
      </w:r>
      <w:r w:rsidR="003116FD">
        <w:rPr>
          <w:rStyle w:val="FootnoteReference"/>
        </w:rPr>
        <w:footnoteReference w:id="11"/>
      </w:r>
      <w:r w:rsidR="003116FD">
        <w:t xml:space="preserve">  It failed to do so when it had ample opportunity to address this issue at hearing.  Moreover, the “new” non-record information (Exhibits A, B) attached to AEP Ohio’s Application for Rehearing, could have been produced as part of the record in this proceeding.  If </w:t>
      </w:r>
      <w:r w:rsidR="00030BCA">
        <w:t>pr</w:t>
      </w:r>
      <w:r w:rsidR="003116FD">
        <w:t>oduced, parties would have been afforded an opportunity to cross examine on that information.  But it was not.  Parties to this proceeding did not have a chance to address such information.  It would be unreasonable and unlawful now for the PUCO to consider the non-record information on rehearing and reverse or modify its Opinion and Order based on such information.</w:t>
      </w:r>
      <w:r w:rsidR="003116FD">
        <w:rPr>
          <w:rStyle w:val="FootnoteReference"/>
        </w:rPr>
        <w:footnoteReference w:id="12"/>
      </w:r>
    </w:p>
    <w:p w:rsidR="003116FD" w:rsidRDefault="003116FD" w:rsidP="003116FD">
      <w:pPr>
        <w:spacing w:line="480" w:lineRule="auto"/>
        <w:ind w:firstLine="720"/>
      </w:pPr>
      <w:r>
        <w:t>If double recovery of capacity costs is occurring, the Commission should remedy it by ordering further reductions to the fuel cost recovery rider.  Otherwise, the rates will be unjust and unreasonable.  The double recovery issue is an issue that some Commissioners found troubling</w:t>
      </w:r>
      <w:r>
        <w:rPr>
          <w:rStyle w:val="FootnoteReference"/>
        </w:rPr>
        <w:footnoteReference w:id="13"/>
      </w:r>
      <w:r>
        <w:t xml:space="preserve"> and worthy of further investigation in the Utility’s 2012 fuel adjustment clause proceeding.</w:t>
      </w:r>
      <w:r>
        <w:rPr>
          <w:rStyle w:val="FootnoteReference"/>
        </w:rPr>
        <w:footnoteReference w:id="14"/>
      </w:r>
      <w:r>
        <w:t xml:space="preserve">  OCC fully agrees and supports addressing this issue in AEP Ohio’s 2012 fuel cost proceeding.  Fully vetting these issues in that proceeding will enable parties to appropriately address evidence in lieu of responding to information AEP Ohio submitted for the first time in its application for rehearing.  </w:t>
      </w:r>
    </w:p>
    <w:p w:rsidR="00802E32" w:rsidRDefault="003116FD" w:rsidP="00D9524E">
      <w:pPr>
        <w:pStyle w:val="Heading2"/>
      </w:pPr>
      <w:r>
        <w:t>B.</w:t>
      </w:r>
      <w:r w:rsidR="00D9524E">
        <w:tab/>
      </w:r>
      <w:r w:rsidR="00D9524E" w:rsidRPr="000329F1">
        <w:t xml:space="preserve">The </w:t>
      </w:r>
      <w:r w:rsidR="00802E32" w:rsidRPr="000329F1">
        <w:t xml:space="preserve">PUCO’s Order </w:t>
      </w:r>
      <w:r w:rsidR="00D9524E" w:rsidRPr="000329F1">
        <w:t xml:space="preserve">Reducing </w:t>
      </w:r>
      <w:r w:rsidR="00802E32" w:rsidRPr="000329F1">
        <w:t>S</w:t>
      </w:r>
      <w:r w:rsidR="00EE6EAD">
        <w:t xml:space="preserve">tandard </w:t>
      </w:r>
      <w:r w:rsidR="00802E32" w:rsidRPr="000329F1">
        <w:t>S</w:t>
      </w:r>
      <w:r w:rsidR="00EE6EAD">
        <w:t xml:space="preserve">ervice </w:t>
      </w:r>
      <w:r w:rsidR="00802E32" w:rsidRPr="000329F1">
        <w:t>O</w:t>
      </w:r>
      <w:r w:rsidR="00EE6EAD">
        <w:t>ffer</w:t>
      </w:r>
      <w:r w:rsidR="00802E32" w:rsidRPr="000329F1">
        <w:t xml:space="preserve"> </w:t>
      </w:r>
      <w:r w:rsidR="00D9524E" w:rsidRPr="000329F1">
        <w:t xml:space="preserve">Rates Is </w:t>
      </w:r>
      <w:r w:rsidR="00EE6EAD">
        <w:t>J</w:t>
      </w:r>
      <w:r w:rsidR="00D9524E" w:rsidRPr="000329F1">
        <w:t>ust</w:t>
      </w:r>
      <w:r w:rsidR="00EE6EAD">
        <w:t xml:space="preserve"> </w:t>
      </w:r>
      <w:r w:rsidR="00E57661">
        <w:t xml:space="preserve">And </w:t>
      </w:r>
      <w:r w:rsidR="00EE6EAD">
        <w:t>R</w:t>
      </w:r>
      <w:r w:rsidR="00D9524E" w:rsidRPr="000329F1">
        <w:t>easonable</w:t>
      </w:r>
      <w:r w:rsidR="00EE6EAD">
        <w:t xml:space="preserve"> </w:t>
      </w:r>
      <w:r w:rsidR="00E57661">
        <w:t xml:space="preserve">And </w:t>
      </w:r>
      <w:r w:rsidR="00EE6EAD">
        <w:t>S</w:t>
      </w:r>
      <w:r w:rsidR="00D9524E" w:rsidRPr="000329F1">
        <w:t>upported By The Record.</w:t>
      </w:r>
    </w:p>
    <w:p w:rsidR="005D6D9F" w:rsidRPr="005D6D9F" w:rsidRDefault="005D6D9F" w:rsidP="005D6D9F"/>
    <w:p w:rsidR="00802E32" w:rsidRDefault="001A39A2" w:rsidP="00802E32">
      <w:pPr>
        <w:spacing w:line="480" w:lineRule="auto"/>
        <w:ind w:firstLine="720"/>
      </w:pPr>
      <w:r>
        <w:t xml:space="preserve">AEP </w:t>
      </w:r>
      <w:r w:rsidR="00802E32">
        <w:t xml:space="preserve">Ohio </w:t>
      </w:r>
      <w:r w:rsidR="006D37E0">
        <w:t>claims that the PUCO’s decision reducing base generation rates for standard service offers is unjust and unreasonable.</w:t>
      </w:r>
      <w:r w:rsidR="006D37E0">
        <w:rPr>
          <w:rStyle w:val="FootnoteReference"/>
        </w:rPr>
        <w:footnoteReference w:id="15"/>
      </w:r>
      <w:r w:rsidR="006D37E0">
        <w:t xml:space="preserve">   </w:t>
      </w:r>
      <w:r>
        <w:t>It</w:t>
      </w:r>
      <w:r w:rsidR="006D37E0">
        <w:t xml:space="preserve"> asserts that the PUCO has reversed course in this proceeding on an issue that was decided in the ESP II proceeding.</w:t>
      </w:r>
      <w:r w:rsidR="006D37E0">
        <w:rPr>
          <w:rStyle w:val="FootnoteReference"/>
        </w:rPr>
        <w:footnoteReference w:id="16"/>
      </w:r>
      <w:r w:rsidR="006D37E0">
        <w:t xml:space="preserve">  </w:t>
      </w:r>
      <w:r>
        <w:t xml:space="preserve">AEP </w:t>
      </w:r>
      <w:r w:rsidR="006D37E0">
        <w:t xml:space="preserve">Ohio believes that the Order in </w:t>
      </w:r>
      <w:r w:rsidR="0053646B">
        <w:t xml:space="preserve">the </w:t>
      </w:r>
      <w:r w:rsidR="006D37E0">
        <w:t>ESP II</w:t>
      </w:r>
      <w:r w:rsidR="0053646B">
        <w:t xml:space="preserve"> proceeding</w:t>
      </w:r>
      <w:r w:rsidR="006D37E0">
        <w:t xml:space="preserve"> established frozen base generation rates through</w:t>
      </w:r>
      <w:r w:rsidR="00F84A81">
        <w:t xml:space="preserve"> December 31, 2014, and that the PUCO’s Entry on Rehearing only rejected frozen rates for the last five months of the ESP.</w:t>
      </w:r>
      <w:r w:rsidR="005031E9">
        <w:rPr>
          <w:rStyle w:val="FootnoteReference"/>
        </w:rPr>
        <w:footnoteReference w:id="17"/>
      </w:r>
      <w:r w:rsidR="00F84A81">
        <w:t xml:space="preserve">  Hence, </w:t>
      </w:r>
      <w:r>
        <w:t xml:space="preserve">AEP </w:t>
      </w:r>
      <w:r w:rsidR="00F84A81">
        <w:t>Ohio asserts that the Order in this proceeding</w:t>
      </w:r>
      <w:r w:rsidR="00A647D8">
        <w:t>—which proportionately reduces SSO rates for all of the energy</w:t>
      </w:r>
      <w:r w:rsidR="00F84A81">
        <w:t xml:space="preserve"> </w:t>
      </w:r>
      <w:r w:rsidR="00A647D8">
        <w:t>auctions--</w:t>
      </w:r>
      <w:r w:rsidR="005031E9">
        <w:t xml:space="preserve">goes beyond both the ESP II Order and the Entry on Rehearing. </w:t>
      </w:r>
    </w:p>
    <w:p w:rsidR="004F481D" w:rsidRDefault="001A39A2" w:rsidP="006D37E0">
      <w:pPr>
        <w:spacing w:line="480" w:lineRule="auto"/>
        <w:ind w:firstLine="720"/>
      </w:pPr>
      <w:r>
        <w:t xml:space="preserve">AEP </w:t>
      </w:r>
      <w:r w:rsidR="005031E9">
        <w:t>Ohio also claims that the PUCO’s decision “lacks any basis in the record in this case.”</w:t>
      </w:r>
      <w:r w:rsidR="005031E9">
        <w:rPr>
          <w:rStyle w:val="FootnoteReference"/>
        </w:rPr>
        <w:footnoteReference w:id="18"/>
      </w:r>
      <w:r w:rsidR="005031E9">
        <w:t xml:space="preserve">   </w:t>
      </w:r>
      <w:r>
        <w:t xml:space="preserve">AEP </w:t>
      </w:r>
      <w:r w:rsidR="005031E9">
        <w:t>Ohio claims that retail base generation service is not equivalent to wholesale capacity service and thus, it is unreasonable to reduce retail generation rates to the $188.88/MW-day price of wholesale capacity.</w:t>
      </w:r>
      <w:r w:rsidR="005031E9">
        <w:rPr>
          <w:rStyle w:val="FootnoteReference"/>
        </w:rPr>
        <w:footnoteReference w:id="19"/>
      </w:r>
      <w:r w:rsidR="005031E9">
        <w:t xml:space="preserve">  </w:t>
      </w:r>
      <w:r>
        <w:t xml:space="preserve">AEP </w:t>
      </w:r>
      <w:r w:rsidR="005031E9">
        <w:t xml:space="preserve">Ohio </w:t>
      </w:r>
      <w:r w:rsidR="000E5537">
        <w:t xml:space="preserve">claims that it will lose “substantial” revenues under the PUCO’s decision, undermining the </w:t>
      </w:r>
      <w:r w:rsidR="00700A75">
        <w:t>retail stability rider (“</w:t>
      </w:r>
      <w:r w:rsidR="000E5537">
        <w:t>RSR</w:t>
      </w:r>
      <w:r w:rsidR="00700A75">
        <w:t>”)</w:t>
      </w:r>
      <w:r w:rsidR="000E5537">
        <w:t>.</w:t>
      </w:r>
      <w:r w:rsidR="000E5537">
        <w:rPr>
          <w:rStyle w:val="FootnoteReference"/>
        </w:rPr>
        <w:footnoteReference w:id="20"/>
      </w:r>
      <w:r w:rsidR="000E5537">
        <w:t xml:space="preserve">   </w:t>
      </w:r>
    </w:p>
    <w:p w:rsidR="00CC1EA1" w:rsidRDefault="001A39A2" w:rsidP="006D37E0">
      <w:pPr>
        <w:spacing w:line="480" w:lineRule="auto"/>
        <w:ind w:firstLine="720"/>
      </w:pPr>
      <w:r>
        <w:t xml:space="preserve">AEP </w:t>
      </w:r>
      <w:r w:rsidR="00775B60">
        <w:t xml:space="preserve">Ohio’s claims should be rejected.   </w:t>
      </w:r>
      <w:r>
        <w:t xml:space="preserve">AEP </w:t>
      </w:r>
      <w:r w:rsidR="00CC1EA1">
        <w:t xml:space="preserve">Ohio focuses on miscellaneous bits and pieces of the </w:t>
      </w:r>
      <w:r>
        <w:t xml:space="preserve">ESP II </w:t>
      </w:r>
      <w:r w:rsidR="00CC1EA1">
        <w:t xml:space="preserve">Entry on Rehearing to </w:t>
      </w:r>
      <w:r w:rsidR="00B12CAB">
        <w:t>fabricate i</w:t>
      </w:r>
      <w:r w:rsidR="00CC1EA1">
        <w:t xml:space="preserve">ts arguments, but misses the direct discussion of the issue in that Entry.  Specifically, the PUCO addressed the issue at length when </w:t>
      </w:r>
      <w:r w:rsidR="002806BD">
        <w:t xml:space="preserve">rejecting </w:t>
      </w:r>
      <w:r>
        <w:t xml:space="preserve">AEP </w:t>
      </w:r>
      <w:r w:rsidR="00CC1EA1">
        <w:t>Ohio’s request to confirm that the state compensation mechanism</w:t>
      </w:r>
      <w:r w:rsidR="0052707C">
        <w:t xml:space="preserve"> does not apply to the SSO energy auctions or non-shopping customers</w:t>
      </w:r>
      <w:r w:rsidR="00CC1EA1">
        <w:t>:</w:t>
      </w:r>
    </w:p>
    <w:p w:rsidR="0052707C" w:rsidRDefault="00CC1EA1" w:rsidP="00D9524E">
      <w:pPr>
        <w:ind w:left="1440" w:right="720"/>
      </w:pPr>
      <w:r>
        <w:t>The Commission finds that AEP-Ohio’s application for rehearing should be denied.  In its modified ESP application, AEP-Ohio origin</w:t>
      </w:r>
      <w:r w:rsidR="0052707C">
        <w:t>a</w:t>
      </w:r>
      <w:r>
        <w:t>lly offered to provide capacity for the January 1, 2013 auction at $255 per MW-day.  In light of the Commission’s decision in the Capacity Case, which determined $188.88 per MW-day would allow AEP Ohio to recover its capacity cost without overcharging customers, it would be unreasonable for us to permit AEP-Ohio to recover an amount higher than its cost of service.</w:t>
      </w:r>
      <w:r w:rsidR="00841E55">
        <w:rPr>
          <w:rStyle w:val="FootnoteReference"/>
        </w:rPr>
        <w:footnoteReference w:id="21"/>
      </w:r>
    </w:p>
    <w:p w:rsidR="00D9524E" w:rsidRDefault="00D9524E" w:rsidP="00D9524E">
      <w:pPr>
        <w:ind w:left="1440" w:right="720"/>
      </w:pPr>
    </w:p>
    <w:p w:rsidR="00B4288B" w:rsidRDefault="002806BD" w:rsidP="002806BD">
      <w:pPr>
        <w:spacing w:line="480" w:lineRule="auto"/>
      </w:pPr>
      <w:r>
        <w:tab/>
        <w:t xml:space="preserve">This passage directly refutes the </w:t>
      </w:r>
      <w:r w:rsidR="001A39A2">
        <w:t>Utility</w:t>
      </w:r>
      <w:r>
        <w:t xml:space="preserve">’s claim that the PUCO is reversing itself in this Order.  Rather the PUCO is merely affirming what it decided on rehearing </w:t>
      </w:r>
      <w:r w:rsidR="001A39A2">
        <w:t xml:space="preserve">in </w:t>
      </w:r>
      <w:r w:rsidR="0053646B">
        <w:t xml:space="preserve">the </w:t>
      </w:r>
      <w:r w:rsidR="001A39A2">
        <w:t xml:space="preserve">ESP II </w:t>
      </w:r>
      <w:r w:rsidR="0053646B">
        <w:t xml:space="preserve">proceeding </w:t>
      </w:r>
      <w:r>
        <w:t xml:space="preserve">when it addressed </w:t>
      </w:r>
      <w:r w:rsidR="00E71A55">
        <w:t xml:space="preserve">AEP </w:t>
      </w:r>
      <w:r>
        <w:t xml:space="preserve">Ohio’s arguments.  The PUCO made clear in </w:t>
      </w:r>
      <w:r w:rsidR="0053646B">
        <w:t xml:space="preserve">the ESP II Entry on Rehearing </w:t>
      </w:r>
      <w:r>
        <w:t xml:space="preserve">that </w:t>
      </w:r>
      <w:r w:rsidR="0053646B">
        <w:t>it would be un</w:t>
      </w:r>
      <w:r>
        <w:t xml:space="preserve">reasonable </w:t>
      </w:r>
      <w:r w:rsidR="0053646B">
        <w:t xml:space="preserve">if AEP Ohio were to collect more money from its </w:t>
      </w:r>
      <w:r>
        <w:t xml:space="preserve">SSO customers for capacity than </w:t>
      </w:r>
      <w:r w:rsidR="005D6D9F">
        <w:t xml:space="preserve">its </w:t>
      </w:r>
      <w:r>
        <w:t xml:space="preserve">cost of service.  Its decision here </w:t>
      </w:r>
      <w:r w:rsidR="00B4288B">
        <w:t xml:space="preserve">is entirely consistent with its </w:t>
      </w:r>
      <w:r w:rsidR="001A39A2">
        <w:t xml:space="preserve">ESP II </w:t>
      </w:r>
      <w:r w:rsidR="00B4288B">
        <w:t xml:space="preserve">Entry on Rehearing.  </w:t>
      </w:r>
      <w:r w:rsidR="001171AE">
        <w:t>It</w:t>
      </w:r>
      <w:r w:rsidR="00B4288B">
        <w:t xml:space="preserve"> is not unjust or unreasonable.</w:t>
      </w:r>
    </w:p>
    <w:p w:rsidR="00DD336C" w:rsidRDefault="00B4288B" w:rsidP="00DD336C">
      <w:pPr>
        <w:spacing w:line="480" w:lineRule="auto"/>
        <w:ind w:firstLine="720"/>
      </w:pPr>
      <w:r>
        <w:t>Additionally,</w:t>
      </w:r>
      <w:r w:rsidR="000D50F5">
        <w:t xml:space="preserve"> </w:t>
      </w:r>
      <w:r w:rsidR="001A39A2">
        <w:t xml:space="preserve">AEP </w:t>
      </w:r>
      <w:r w:rsidR="000D50F5">
        <w:t xml:space="preserve">Ohio </w:t>
      </w:r>
      <w:r w:rsidR="00841E55">
        <w:t>draws</w:t>
      </w:r>
      <w:r w:rsidR="000D50F5">
        <w:t xml:space="preserve"> distinctions between capacity supplied to</w:t>
      </w:r>
      <w:r w:rsidR="00DE35D2">
        <w:t xml:space="preserve"> competitive retail electric service providers (“</w:t>
      </w:r>
      <w:r w:rsidR="000D50F5">
        <w:t>CRES</w:t>
      </w:r>
      <w:r w:rsidR="00DE35D2">
        <w:t xml:space="preserve">”) </w:t>
      </w:r>
      <w:r w:rsidR="000D50F5">
        <w:t>and capacity supplied to SSO customers</w:t>
      </w:r>
      <w:r w:rsidR="00C34EAC">
        <w:t xml:space="preserve">. But such </w:t>
      </w:r>
      <w:r w:rsidR="000D50F5">
        <w:t xml:space="preserve">distinctions </w:t>
      </w:r>
      <w:r w:rsidR="00C34EAC">
        <w:t xml:space="preserve">do not make </w:t>
      </w:r>
      <w:r w:rsidR="000D50F5">
        <w:t xml:space="preserve">a difference for purposes of establishing the cost of capacity.  </w:t>
      </w:r>
      <w:r w:rsidR="00714335">
        <w:t xml:space="preserve">While </w:t>
      </w:r>
      <w:r w:rsidR="000D50F5">
        <w:t xml:space="preserve">the PUCO did distinguish between retail and wholesale service in </w:t>
      </w:r>
      <w:r w:rsidR="000E6BDF">
        <w:t>the Capacity Order</w:t>
      </w:r>
      <w:r w:rsidR="0094460B">
        <w:t>,</w:t>
      </w:r>
      <w:r w:rsidR="00841E55">
        <w:rPr>
          <w:rStyle w:val="FootnoteReference"/>
        </w:rPr>
        <w:footnoteReference w:id="22"/>
      </w:r>
      <w:r w:rsidR="00714335">
        <w:t xml:space="preserve"> </w:t>
      </w:r>
      <w:r w:rsidR="001E3EDC">
        <w:t>in the ESP</w:t>
      </w:r>
      <w:r w:rsidR="00714335">
        <w:t xml:space="preserve"> </w:t>
      </w:r>
      <w:r w:rsidR="001E3EDC">
        <w:t xml:space="preserve">II </w:t>
      </w:r>
      <w:r w:rsidR="00C34EAC">
        <w:t>Order</w:t>
      </w:r>
      <w:r w:rsidR="00841E55">
        <w:rPr>
          <w:rStyle w:val="FootnoteReference"/>
        </w:rPr>
        <w:footnoteReference w:id="23"/>
      </w:r>
      <w:r w:rsidR="001E3EDC">
        <w:t xml:space="preserve"> </w:t>
      </w:r>
      <w:r w:rsidR="00DE35D2">
        <w:t>it ordered</w:t>
      </w:r>
      <w:r w:rsidR="001E3EDC">
        <w:t xml:space="preserve"> the wholesale deferred capacity costs to be collected through retail rates.  </w:t>
      </w:r>
      <w:r w:rsidR="001171AE">
        <w:t xml:space="preserve">Thus, even if there </w:t>
      </w:r>
      <w:r w:rsidR="00C34EAC">
        <w:t>i</w:t>
      </w:r>
      <w:r w:rsidR="001171AE">
        <w:t xml:space="preserve">s a distinction, the PUCO </w:t>
      </w:r>
      <w:r w:rsidR="00C34EAC">
        <w:t xml:space="preserve">ESP II Order makes it irrelevant </w:t>
      </w:r>
      <w:r w:rsidR="001171AE">
        <w:t xml:space="preserve">for the purposes of setting retail rates.  </w:t>
      </w:r>
      <w:r w:rsidR="001E3EDC">
        <w:t>And importantly,</w:t>
      </w:r>
      <w:r w:rsidR="00714335">
        <w:t xml:space="preserve"> </w:t>
      </w:r>
      <w:r w:rsidR="00A902A2">
        <w:t>capacity is capacity</w:t>
      </w:r>
      <w:r w:rsidR="001A39A2">
        <w:t xml:space="preserve"> -</w:t>
      </w:r>
      <w:r w:rsidR="00A902A2">
        <w:t xml:space="preserve"> whether it is supplied (on a wholesale basis) to marketers or supplied (on a retail basis) to non-shopping </w:t>
      </w:r>
      <w:r w:rsidR="0094460B">
        <w:t xml:space="preserve">SSO </w:t>
      </w:r>
      <w:r w:rsidR="00A902A2">
        <w:t>customers.  The PUCO’s Order is not unjust or unreasonable because it recognizes that retail capacity payments, like wholesale capacity</w:t>
      </w:r>
      <w:r w:rsidR="00FE3C85">
        <w:t xml:space="preserve"> payments</w:t>
      </w:r>
      <w:r w:rsidR="00A902A2">
        <w:t xml:space="preserve">, should not be </w:t>
      </w:r>
      <w:r w:rsidR="0094460B">
        <w:t xml:space="preserve">higher than </w:t>
      </w:r>
      <w:r w:rsidR="00A902A2">
        <w:t xml:space="preserve">the Utility’s cost to provide that capacity.  </w:t>
      </w:r>
      <w:r w:rsidR="00683BE5">
        <w:t xml:space="preserve">AEP </w:t>
      </w:r>
      <w:r w:rsidR="00FE3C85">
        <w:t xml:space="preserve">Ohio’s application for rehearing should be denied in this respect.  </w:t>
      </w:r>
    </w:p>
    <w:p w:rsidR="00435DB9" w:rsidRDefault="003116FD" w:rsidP="003116FD">
      <w:pPr>
        <w:pStyle w:val="Heading2"/>
      </w:pPr>
      <w:r>
        <w:t>C.</w:t>
      </w:r>
      <w:r w:rsidR="00A902A2">
        <w:t xml:space="preserve">  </w:t>
      </w:r>
      <w:r w:rsidR="00E237A4">
        <w:tab/>
      </w:r>
      <w:r w:rsidR="00435DB9">
        <w:t>It Is Both J</w:t>
      </w:r>
      <w:r w:rsidR="00435DB9" w:rsidRPr="000329F1">
        <w:t>ust</w:t>
      </w:r>
      <w:r w:rsidR="00435DB9">
        <w:t xml:space="preserve"> </w:t>
      </w:r>
      <w:r w:rsidR="00435DB9" w:rsidRPr="000329F1">
        <w:t xml:space="preserve">And </w:t>
      </w:r>
      <w:r w:rsidR="00435DB9">
        <w:t>R</w:t>
      </w:r>
      <w:r w:rsidR="00435DB9" w:rsidRPr="000329F1">
        <w:t>easonable</w:t>
      </w:r>
      <w:r w:rsidR="00435DB9">
        <w:t xml:space="preserve"> For </w:t>
      </w:r>
      <w:r w:rsidR="00D9524E" w:rsidRPr="000329F1">
        <w:t xml:space="preserve">The </w:t>
      </w:r>
      <w:r w:rsidR="000329F1" w:rsidRPr="000329F1">
        <w:t xml:space="preserve">PUCO </w:t>
      </w:r>
      <w:r w:rsidR="00E57661">
        <w:t xml:space="preserve">To </w:t>
      </w:r>
      <w:r w:rsidR="00EE6EAD">
        <w:t>Decide T</w:t>
      </w:r>
      <w:r w:rsidR="00D9524E" w:rsidRPr="000329F1">
        <w:t xml:space="preserve">he Issue Of Double Recovery </w:t>
      </w:r>
      <w:r w:rsidR="00435DB9">
        <w:t xml:space="preserve">Of Purchase Power Costs </w:t>
      </w:r>
      <w:r w:rsidR="00E57661">
        <w:t xml:space="preserve">In </w:t>
      </w:r>
      <w:r w:rsidR="00EE6EAD">
        <w:t xml:space="preserve">The Fuel Adjustment </w:t>
      </w:r>
      <w:r w:rsidR="00435DB9">
        <w:t xml:space="preserve">Clause </w:t>
      </w:r>
      <w:r w:rsidR="00EE6EAD">
        <w:t>Proceeding</w:t>
      </w:r>
      <w:r w:rsidR="00E57661">
        <w:t xml:space="preserve">. </w:t>
      </w:r>
    </w:p>
    <w:p w:rsidR="005D6D9F" w:rsidRPr="005D6D9F" w:rsidRDefault="005D6D9F" w:rsidP="003116FD">
      <w:pPr>
        <w:pStyle w:val="Heading2"/>
      </w:pPr>
    </w:p>
    <w:p w:rsidR="00D9524E" w:rsidRDefault="00683BE5" w:rsidP="00D9524E">
      <w:pPr>
        <w:pStyle w:val="msolistparagraph0"/>
        <w:spacing w:before="0" w:beforeAutospacing="0" w:after="0" w:afterAutospacing="0" w:line="480" w:lineRule="auto"/>
        <w:ind w:left="0" w:firstLine="720"/>
      </w:pPr>
      <w:r>
        <w:t xml:space="preserve">AEP </w:t>
      </w:r>
      <w:r w:rsidR="000329F1">
        <w:t>Ohio also claims it was unreasonable and unlawful for the PUCO to defer ruling on double recovery of purchased power costs</w:t>
      </w:r>
      <w:r w:rsidR="00E237A4">
        <w:t>.</w:t>
      </w:r>
      <w:r w:rsidR="001171AE">
        <w:rPr>
          <w:rStyle w:val="FootnoteReference"/>
        </w:rPr>
        <w:footnoteReference w:id="24"/>
      </w:r>
      <w:r w:rsidR="00E237A4">
        <w:t xml:space="preserve">  </w:t>
      </w:r>
      <w:r>
        <w:t xml:space="preserve">AEP </w:t>
      </w:r>
      <w:r w:rsidR="000329F1">
        <w:t xml:space="preserve">Ohio alleges </w:t>
      </w:r>
      <w:r w:rsidR="00FE3C85">
        <w:t>that the PUCO should</w:t>
      </w:r>
      <w:r w:rsidR="00E237A4">
        <w:t xml:space="preserve"> hold rehearing in this docket if necessary to resolve the issue of double recovery.</w:t>
      </w:r>
      <w:r w:rsidR="001171AE">
        <w:rPr>
          <w:rStyle w:val="FootnoteReference"/>
        </w:rPr>
        <w:footnoteReference w:id="25"/>
      </w:r>
      <w:r w:rsidR="00E237A4">
        <w:t xml:space="preserve">  And if no rehearing is held, the </w:t>
      </w:r>
      <w:r>
        <w:t>Utility</w:t>
      </w:r>
      <w:r w:rsidR="00E237A4">
        <w:t xml:space="preserve"> opines there should be a new separate docket to address these issues.</w:t>
      </w:r>
      <w:r w:rsidR="00E237A4">
        <w:rPr>
          <w:rStyle w:val="FootnoteReference"/>
        </w:rPr>
        <w:footnoteReference w:id="26"/>
      </w:r>
      <w:r w:rsidR="00E237A4">
        <w:t xml:space="preserve"> The </w:t>
      </w:r>
      <w:r>
        <w:t>Utility</w:t>
      </w:r>
      <w:r w:rsidR="00E237A4">
        <w:t xml:space="preserve"> argues that the </w:t>
      </w:r>
      <w:r w:rsidR="00DE35D2">
        <w:t>fuel adjustment clause (“</w:t>
      </w:r>
      <w:r w:rsidR="00E237A4">
        <w:t>FAC</w:t>
      </w:r>
      <w:r w:rsidR="00DE35D2">
        <w:t xml:space="preserve">”) </w:t>
      </w:r>
      <w:r w:rsidR="00E237A4">
        <w:t xml:space="preserve"> proceeding is not an appropriate docket to consider these issues because there is no connection between the FAC and the wholesale cost of capacity supplied to </w:t>
      </w:r>
      <w:r w:rsidR="00DE35D2">
        <w:t>CRES.</w:t>
      </w:r>
      <w:r w:rsidR="001171AE">
        <w:rPr>
          <w:rStyle w:val="FootnoteReference"/>
        </w:rPr>
        <w:footnoteReference w:id="27"/>
      </w:r>
      <w:r w:rsidR="00E237A4">
        <w:t xml:space="preserve"> </w:t>
      </w:r>
      <w:r w:rsidR="000329F1">
        <w:t xml:space="preserve"> </w:t>
      </w:r>
      <w:r w:rsidR="00E237A4">
        <w:t xml:space="preserve">Moreover, </w:t>
      </w:r>
      <w:r w:rsidR="00D83DAD">
        <w:t>AEP Ohio</w:t>
      </w:r>
      <w:r w:rsidR="00E237A4">
        <w:t xml:space="preserve"> claims that because the </w:t>
      </w:r>
      <w:r>
        <w:t xml:space="preserve">PUCO’s </w:t>
      </w:r>
      <w:r w:rsidR="00E237A4">
        <w:t xml:space="preserve">auditor in the Capacity </w:t>
      </w:r>
      <w:r w:rsidR="00B12CAB">
        <w:t>C</w:t>
      </w:r>
      <w:r w:rsidR="00E237A4">
        <w:t xml:space="preserve">ase is the same auditor </w:t>
      </w:r>
      <w:r>
        <w:t xml:space="preserve">selected by the PUCO for </w:t>
      </w:r>
      <w:r w:rsidR="00E237A4">
        <w:t>the fuel case, there would be no independent review of the issue in the existing 2012 FAC proceeding.</w:t>
      </w:r>
      <w:r w:rsidR="00E237A4">
        <w:rPr>
          <w:rStyle w:val="FootnoteReference"/>
        </w:rPr>
        <w:footnoteReference w:id="28"/>
      </w:r>
      <w:r w:rsidR="00E237A4">
        <w:t xml:space="preserve">  </w:t>
      </w:r>
    </w:p>
    <w:p w:rsidR="00956980" w:rsidRDefault="00683BE5" w:rsidP="00D9524E">
      <w:pPr>
        <w:pStyle w:val="msolistparagraph0"/>
        <w:spacing w:before="0" w:beforeAutospacing="0" w:after="0" w:afterAutospacing="0" w:line="480" w:lineRule="auto"/>
        <w:ind w:left="0" w:firstLine="720"/>
      </w:pPr>
      <w:r>
        <w:t xml:space="preserve">AEP </w:t>
      </w:r>
      <w:r w:rsidR="006846E0">
        <w:t xml:space="preserve">Ohio’s application for rehearing should be denied.  </w:t>
      </w:r>
      <w:r w:rsidR="00435DB9">
        <w:t xml:space="preserve">It is both </w:t>
      </w:r>
      <w:r w:rsidR="006846E0">
        <w:t xml:space="preserve">just </w:t>
      </w:r>
      <w:r w:rsidR="00435DB9">
        <w:t xml:space="preserve">and </w:t>
      </w:r>
      <w:r w:rsidR="006846E0">
        <w:t xml:space="preserve">reasonable </w:t>
      </w:r>
      <w:r w:rsidR="00435DB9">
        <w:t>for</w:t>
      </w:r>
      <w:r w:rsidR="006846E0">
        <w:t xml:space="preserve"> </w:t>
      </w:r>
      <w:r>
        <w:t xml:space="preserve">the PUCO </w:t>
      </w:r>
      <w:r w:rsidR="00435DB9">
        <w:t xml:space="preserve">to </w:t>
      </w:r>
      <w:r>
        <w:t>order</w:t>
      </w:r>
      <w:r w:rsidR="00435DB9">
        <w:t xml:space="preserve"> a</w:t>
      </w:r>
      <w:r>
        <w:t xml:space="preserve"> </w:t>
      </w:r>
      <w:r w:rsidR="006846E0">
        <w:t xml:space="preserve">review </w:t>
      </w:r>
      <w:r>
        <w:t xml:space="preserve">of </w:t>
      </w:r>
      <w:r w:rsidR="006846E0">
        <w:t xml:space="preserve">this issue in </w:t>
      </w:r>
      <w:r w:rsidR="00E237A4">
        <w:t>th</w:t>
      </w:r>
      <w:r w:rsidR="00FE5947">
        <w:t>e</w:t>
      </w:r>
      <w:r w:rsidR="006846E0">
        <w:t xml:space="preserve"> existing</w:t>
      </w:r>
      <w:r w:rsidR="007B2FC1">
        <w:t xml:space="preserve"> FAC</w:t>
      </w:r>
      <w:r w:rsidR="006846E0">
        <w:t xml:space="preserve"> docket</w:t>
      </w:r>
      <w:r w:rsidR="007B2FC1">
        <w:t xml:space="preserve"> under which an annual audit is performed</w:t>
      </w:r>
      <w:r w:rsidR="00E237A4">
        <w:t>.</w:t>
      </w:r>
      <w:r w:rsidR="007B2FC1">
        <w:t xml:space="preserve">  </w:t>
      </w:r>
      <w:r w:rsidR="00435DB9">
        <w:t>Such a review</w:t>
      </w:r>
      <w:r w:rsidR="007B2FC1">
        <w:t xml:space="preserve"> will allow the issue</w:t>
      </w:r>
      <w:r w:rsidR="00435DB9">
        <w:t xml:space="preserve"> of whether there is double recovery of purchase power costs</w:t>
      </w:r>
      <w:r w:rsidR="007B2FC1">
        <w:t xml:space="preserve"> to be completely vetted.  An independent audit process </w:t>
      </w:r>
      <w:r w:rsidR="00E237A4">
        <w:t>se</w:t>
      </w:r>
      <w:r w:rsidR="00B12CAB">
        <w:t>rves</w:t>
      </w:r>
      <w:r w:rsidR="00E237A4">
        <w:t xml:space="preserve"> as </w:t>
      </w:r>
      <w:r w:rsidR="007B2FC1">
        <w:t>an important tool</w:t>
      </w:r>
      <w:r w:rsidR="00E237A4">
        <w:t xml:space="preserve"> to assist in vetting th</w:t>
      </w:r>
      <w:r w:rsidR="00435DB9">
        <w:t>is</w:t>
      </w:r>
      <w:r w:rsidR="00E237A4">
        <w:t xml:space="preserve"> issue.  </w:t>
      </w:r>
      <w:r>
        <w:t xml:space="preserve">AEP </w:t>
      </w:r>
      <w:r w:rsidR="00956980">
        <w:t xml:space="preserve">Ohio’s allegations of the lack of independence of the </w:t>
      </w:r>
      <w:r>
        <w:t>a</w:t>
      </w:r>
      <w:r w:rsidR="00956980">
        <w:t xml:space="preserve">uditor </w:t>
      </w:r>
      <w:r w:rsidR="00BA5DA9">
        <w:t>appear to be based on the fact that</w:t>
      </w:r>
      <w:r w:rsidR="0059638D">
        <w:t xml:space="preserve"> </w:t>
      </w:r>
      <w:r w:rsidR="00956980">
        <w:t xml:space="preserve"> it </w:t>
      </w:r>
      <w:r w:rsidR="00A647D8">
        <w:t xml:space="preserve">was not satisfied with the </w:t>
      </w:r>
      <w:r>
        <w:t>a</w:t>
      </w:r>
      <w:r w:rsidR="0094460B">
        <w:t xml:space="preserve">uditor’s </w:t>
      </w:r>
      <w:r w:rsidR="00A647D8">
        <w:t xml:space="preserve">recommended </w:t>
      </w:r>
      <w:r w:rsidR="00956980">
        <w:t>energy credit</w:t>
      </w:r>
      <w:r w:rsidR="00BA5DA9">
        <w:t xml:space="preserve"> in the Capacity Case</w:t>
      </w:r>
      <w:r w:rsidR="00956980">
        <w:t xml:space="preserve"> </w:t>
      </w:r>
      <w:r w:rsidR="00A647D8">
        <w:t xml:space="preserve">– an energy credit ultimately </w:t>
      </w:r>
      <w:r w:rsidR="0094460B">
        <w:t>a</w:t>
      </w:r>
      <w:r w:rsidR="00B12CAB">
        <w:t>dopted by the PUCO</w:t>
      </w:r>
      <w:r w:rsidR="00956980">
        <w:t xml:space="preserve">.  </w:t>
      </w:r>
      <w:r w:rsidR="00E237A4">
        <w:t xml:space="preserve">Using the same </w:t>
      </w:r>
      <w:r>
        <w:t>a</w:t>
      </w:r>
      <w:r w:rsidR="00E237A4">
        <w:t xml:space="preserve">uditor </w:t>
      </w:r>
      <w:r w:rsidR="00B12CAB">
        <w:t>who testified</w:t>
      </w:r>
      <w:r w:rsidR="00E237A4">
        <w:t xml:space="preserve"> in the Capacity Case makes sense as </w:t>
      </w:r>
      <w:r w:rsidR="00A647D8">
        <w:t xml:space="preserve">she </w:t>
      </w:r>
      <w:r w:rsidR="00E237A4">
        <w:t>is completely familiar with the</w:t>
      </w:r>
      <w:r>
        <w:t>se</w:t>
      </w:r>
      <w:r w:rsidR="00E237A4">
        <w:t xml:space="preserve"> complex underlying issues</w:t>
      </w:r>
      <w:r w:rsidR="00435DB9">
        <w:t xml:space="preserve"> involving AEP Ohio’s capacity costs</w:t>
      </w:r>
      <w:r w:rsidR="00E237A4">
        <w:t xml:space="preserve">.  The </w:t>
      </w:r>
      <w:r>
        <w:t>a</w:t>
      </w:r>
      <w:r w:rsidR="00E237A4">
        <w:t xml:space="preserve">uditor’s familiarity with the issues is a plus.  </w:t>
      </w:r>
      <w:r>
        <w:t xml:space="preserve">AEP </w:t>
      </w:r>
      <w:r w:rsidR="00956980">
        <w:t>Ohio’s a</w:t>
      </w:r>
      <w:r w:rsidR="00E237A4">
        <w:t xml:space="preserve">llegations </w:t>
      </w:r>
      <w:r w:rsidR="00956980">
        <w:t xml:space="preserve">that the </w:t>
      </w:r>
      <w:r>
        <w:t>FAC a</w:t>
      </w:r>
      <w:r w:rsidR="00956980">
        <w:t xml:space="preserve">uditor lacks independence are unfounded.   </w:t>
      </w:r>
    </w:p>
    <w:p w:rsidR="000329F1" w:rsidRDefault="00E237A4" w:rsidP="00D9524E">
      <w:pPr>
        <w:pStyle w:val="msolistparagraph0"/>
        <w:spacing w:before="0" w:beforeAutospacing="0" w:after="0" w:afterAutospacing="0" w:line="480" w:lineRule="auto"/>
        <w:ind w:left="0" w:firstLine="720"/>
      </w:pPr>
      <w:r>
        <w:t xml:space="preserve">The </w:t>
      </w:r>
      <w:r w:rsidR="00683BE5">
        <w:t>PUCO</w:t>
      </w:r>
      <w:r>
        <w:t xml:space="preserve"> was acting appropriately and wisely in deferring </w:t>
      </w:r>
      <w:r w:rsidR="00683BE5">
        <w:t xml:space="preserve">review and consideration of </w:t>
      </w:r>
      <w:r>
        <w:t xml:space="preserve">the </w:t>
      </w:r>
      <w:r w:rsidR="00A647D8">
        <w:t xml:space="preserve">double recovery </w:t>
      </w:r>
      <w:r>
        <w:t xml:space="preserve">issue.  </w:t>
      </w:r>
      <w:r w:rsidR="00683BE5">
        <w:t xml:space="preserve">AEP </w:t>
      </w:r>
      <w:r>
        <w:t>Ohio’s application for rehearing should be denied.</w:t>
      </w:r>
    </w:p>
    <w:p w:rsidR="00B55A6A" w:rsidRDefault="00DD336C" w:rsidP="003116FD">
      <w:pPr>
        <w:pStyle w:val="Heading2"/>
      </w:pPr>
      <w:r w:rsidRPr="00D9524E">
        <w:t xml:space="preserve">  </w:t>
      </w:r>
      <w:r w:rsidR="000329F1" w:rsidRPr="00D9524E">
        <w:t xml:space="preserve"> </w:t>
      </w:r>
    </w:p>
    <w:p w:rsidR="00A36C41" w:rsidRPr="003116FD" w:rsidRDefault="00662D52" w:rsidP="00D9524E">
      <w:pPr>
        <w:pStyle w:val="msolistparagraph0"/>
        <w:spacing w:before="0" w:beforeAutospacing="0" w:after="0" w:afterAutospacing="0" w:line="480" w:lineRule="auto"/>
        <w:ind w:left="0" w:right="187" w:firstLine="720"/>
        <w:rPr>
          <w:b/>
        </w:rPr>
      </w:pPr>
      <w:r>
        <w:rPr>
          <w:b/>
        </w:rPr>
        <w:br w:type="page"/>
      </w:r>
      <w:r w:rsidR="00A36C41" w:rsidRPr="003116FD">
        <w:rPr>
          <w:b/>
        </w:rPr>
        <w:t>D.</w:t>
      </w:r>
      <w:r w:rsidR="00A36C41" w:rsidRPr="003116FD">
        <w:rPr>
          <w:b/>
        </w:rPr>
        <w:tab/>
        <w:t>Conclusion</w:t>
      </w:r>
    </w:p>
    <w:p w:rsidR="00053BB4" w:rsidRDefault="00053BB4" w:rsidP="00D9524E">
      <w:pPr>
        <w:pStyle w:val="msolistparagraph0"/>
        <w:spacing w:before="0" w:beforeAutospacing="0" w:after="0" w:afterAutospacing="0" w:line="480" w:lineRule="auto"/>
        <w:ind w:left="0" w:right="187" w:firstLine="720"/>
      </w:pPr>
      <w:r>
        <w:t xml:space="preserve">For all of the above reasons, the PUCO should deny </w:t>
      </w:r>
      <w:r w:rsidR="00D7222F">
        <w:t xml:space="preserve">AEP </w:t>
      </w:r>
      <w:r>
        <w:t xml:space="preserve">Ohio’s request for rehearing.  Instead </w:t>
      </w:r>
      <w:r w:rsidR="00A36C41">
        <w:t>the PUCO</w:t>
      </w:r>
      <w:r>
        <w:t xml:space="preserve"> should </w:t>
      </w:r>
      <w:r w:rsidR="00A36C41">
        <w:t>find that</w:t>
      </w:r>
      <w:r>
        <w:t xml:space="preserve"> its Opinion and Order</w:t>
      </w:r>
      <w:r w:rsidR="00030BCA">
        <w:t>,</w:t>
      </w:r>
      <w:r w:rsidR="00A36C41">
        <w:t xml:space="preserve"> that</w:t>
      </w:r>
      <w:r>
        <w:t xml:space="preserve"> allow</w:t>
      </w:r>
      <w:r w:rsidR="00A36C41">
        <w:t>s</w:t>
      </w:r>
      <w:r>
        <w:t xml:space="preserve"> standard service </w:t>
      </w:r>
      <w:r w:rsidR="00D7222F">
        <w:t xml:space="preserve">offer </w:t>
      </w:r>
      <w:r>
        <w:t xml:space="preserve">customers to receive reductions in rates and </w:t>
      </w:r>
      <w:r w:rsidR="00A36C41">
        <w:t>provides for</w:t>
      </w:r>
      <w:r>
        <w:t xml:space="preserve"> further investigation into issues of double recovery</w:t>
      </w:r>
      <w:r w:rsidR="00030BCA">
        <w:t>,</w:t>
      </w:r>
      <w:r w:rsidR="00A36C41">
        <w:t xml:space="preserve"> is lawful and reasonable</w:t>
      </w:r>
      <w:r>
        <w:t xml:space="preserve">.  </w:t>
      </w:r>
    </w:p>
    <w:p w:rsidR="004F481D" w:rsidRDefault="00D25579" w:rsidP="00053BB4">
      <w:pPr>
        <w:pStyle w:val="msolistparagraph0"/>
        <w:spacing w:beforeAutospacing="0" w:after="240" w:afterAutospacing="0" w:line="480" w:lineRule="auto"/>
        <w:ind w:left="3600" w:right="187" w:firstLine="720"/>
      </w:pPr>
      <w:r>
        <w:t>R</w:t>
      </w:r>
      <w:r w:rsidR="004F481D">
        <w:t>espectfully submitted,</w:t>
      </w:r>
    </w:p>
    <w:p w:rsidR="004F481D" w:rsidRDefault="004F481D">
      <w:pPr>
        <w:tabs>
          <w:tab w:val="left" w:pos="4320"/>
        </w:tabs>
        <w:spacing w:before="240"/>
        <w:rPr>
          <w:szCs w:val="24"/>
        </w:rPr>
      </w:pPr>
      <w:r>
        <w:rPr>
          <w:szCs w:val="24"/>
        </w:rPr>
        <w:tab/>
        <w:t>BRUCE J. WESTON</w:t>
      </w:r>
    </w:p>
    <w:p w:rsidR="004F481D" w:rsidRDefault="004F481D">
      <w:pPr>
        <w:tabs>
          <w:tab w:val="left" w:pos="4320"/>
        </w:tabs>
        <w:rPr>
          <w:szCs w:val="24"/>
        </w:rPr>
      </w:pPr>
      <w:r>
        <w:rPr>
          <w:szCs w:val="24"/>
        </w:rPr>
        <w:tab/>
      </w:r>
      <w:smartTag w:uri="urn:schemas-microsoft-com:office:smarttags" w:element="PostalCode">
        <w:r>
          <w:rPr>
            <w:szCs w:val="24"/>
          </w:rPr>
          <w:t>OHIO</w:t>
        </w:r>
      </w:smartTag>
      <w:r>
        <w:rPr>
          <w:szCs w:val="24"/>
        </w:rPr>
        <w:t xml:space="preserve"> CONSUMERS’ COUNSEL</w:t>
      </w:r>
    </w:p>
    <w:p w:rsidR="004F481D" w:rsidRDefault="004F481D">
      <w:pPr>
        <w:tabs>
          <w:tab w:val="left" w:pos="4320"/>
        </w:tabs>
        <w:rPr>
          <w:szCs w:val="24"/>
        </w:rPr>
      </w:pPr>
      <w:r>
        <w:rPr>
          <w:szCs w:val="24"/>
        </w:rPr>
        <w:tab/>
      </w:r>
    </w:p>
    <w:p w:rsidR="004F481D" w:rsidRDefault="004F481D">
      <w:pPr>
        <w:tabs>
          <w:tab w:val="left" w:pos="4320"/>
        </w:tabs>
        <w:rPr>
          <w:i/>
          <w:szCs w:val="24"/>
          <w:u w:val="single"/>
        </w:rPr>
      </w:pPr>
      <w:r>
        <w:rPr>
          <w:szCs w:val="24"/>
        </w:rPr>
        <w:tab/>
      </w:r>
      <w:r>
        <w:rPr>
          <w:i/>
          <w:szCs w:val="24"/>
          <w:u w:val="single"/>
        </w:rPr>
        <w:t>/s/ Maureen R. Grady</w:t>
      </w:r>
      <w:r>
        <w:rPr>
          <w:i/>
          <w:szCs w:val="24"/>
          <w:u w:val="single"/>
        </w:rPr>
        <w:tab/>
      </w:r>
      <w:r>
        <w:rPr>
          <w:i/>
          <w:szCs w:val="24"/>
          <w:u w:val="single"/>
        </w:rPr>
        <w:tab/>
      </w:r>
      <w:r>
        <w:rPr>
          <w:i/>
          <w:szCs w:val="24"/>
          <w:u w:val="single"/>
        </w:rPr>
        <w:tab/>
      </w:r>
      <w:r>
        <w:rPr>
          <w:i/>
          <w:szCs w:val="24"/>
          <w:u w:val="single"/>
        </w:rPr>
        <w:tab/>
      </w:r>
    </w:p>
    <w:p w:rsidR="004F481D" w:rsidRDefault="004F481D">
      <w:pPr>
        <w:tabs>
          <w:tab w:val="left" w:pos="4320"/>
        </w:tabs>
        <w:rPr>
          <w:szCs w:val="24"/>
        </w:rPr>
      </w:pPr>
      <w:r>
        <w:rPr>
          <w:szCs w:val="24"/>
        </w:rPr>
        <w:tab/>
        <w:t>Maureen R. Grady, Counsel of Record</w:t>
      </w:r>
    </w:p>
    <w:p w:rsidR="004F481D" w:rsidRDefault="004F481D">
      <w:pPr>
        <w:tabs>
          <w:tab w:val="left" w:pos="4320"/>
        </w:tabs>
        <w:rPr>
          <w:szCs w:val="24"/>
        </w:rPr>
      </w:pPr>
      <w:r>
        <w:rPr>
          <w:szCs w:val="24"/>
        </w:rPr>
        <w:tab/>
        <w:t>Assistant Consumers’ Counsel</w:t>
      </w:r>
    </w:p>
    <w:p w:rsidR="004F481D" w:rsidRDefault="004F481D">
      <w:pPr>
        <w:keepNext/>
        <w:ind w:left="3240" w:right="-648" w:firstLine="720"/>
        <w:outlineLvl w:val="0"/>
        <w:rPr>
          <w:b/>
          <w:szCs w:val="24"/>
        </w:rPr>
      </w:pPr>
      <w:r>
        <w:rPr>
          <w:b/>
          <w:szCs w:val="24"/>
        </w:rPr>
        <w:tab/>
      </w:r>
    </w:p>
    <w:p w:rsidR="004F481D" w:rsidRDefault="004F481D">
      <w:pPr>
        <w:keepNext/>
        <w:ind w:left="3240" w:right="-648" w:firstLine="720"/>
        <w:outlineLvl w:val="0"/>
        <w:rPr>
          <w:b/>
          <w:szCs w:val="24"/>
        </w:rPr>
      </w:pPr>
      <w:r>
        <w:rPr>
          <w:b/>
          <w:szCs w:val="24"/>
        </w:rPr>
        <w:tab/>
        <w:t xml:space="preserve">Office of the </w:t>
      </w:r>
      <w:smartTag w:uri="urn:schemas-microsoft-com:office:smarttags" w:element="PostalCode">
        <w:r>
          <w:rPr>
            <w:b/>
            <w:szCs w:val="24"/>
          </w:rPr>
          <w:t>Ohio</w:t>
        </w:r>
      </w:smartTag>
      <w:r>
        <w:rPr>
          <w:b/>
          <w:szCs w:val="24"/>
        </w:rPr>
        <w:t xml:space="preserve"> Consumers’ Counsel</w:t>
      </w:r>
    </w:p>
    <w:p w:rsidR="004F481D" w:rsidRDefault="004F481D">
      <w:pPr>
        <w:keepNext/>
        <w:ind w:left="3240" w:right="-648" w:firstLine="720"/>
        <w:outlineLvl w:val="0"/>
        <w:rPr>
          <w:szCs w:val="24"/>
        </w:rPr>
      </w:pPr>
      <w:r>
        <w:rPr>
          <w:szCs w:val="24"/>
        </w:rPr>
        <w:tab/>
      </w:r>
      <w:smartTag w:uri="urn:schemas-microsoft-com:office:smarttags" w:element="PostalCode">
        <w:r>
          <w:rPr>
            <w:szCs w:val="24"/>
          </w:rPr>
          <w:t>10 West Broad Street, Suite 1800</w:t>
        </w:r>
      </w:smartTag>
    </w:p>
    <w:p w:rsidR="004F481D" w:rsidRDefault="004F481D">
      <w:pPr>
        <w:keepNext/>
        <w:ind w:left="3240" w:right="-648" w:firstLine="720"/>
        <w:outlineLvl w:val="0"/>
        <w:rPr>
          <w:szCs w:val="24"/>
        </w:rPr>
      </w:pPr>
      <w:r>
        <w:rPr>
          <w:szCs w:val="24"/>
        </w:rPr>
        <w:tab/>
      </w:r>
      <w:smartTag w:uri="urn:schemas-microsoft-com:office:smarttags" w:element="PostalCode">
        <w:smartTag w:uri="urn:schemas-microsoft-com:office:smarttags" w:element="PostalCode">
          <w:r>
            <w:rPr>
              <w:szCs w:val="24"/>
            </w:rPr>
            <w:t>Columbus</w:t>
          </w:r>
        </w:smartTag>
        <w:r>
          <w:rPr>
            <w:szCs w:val="24"/>
          </w:rPr>
          <w:t xml:space="preserve">, </w:t>
        </w:r>
        <w:smartTag w:uri="urn:schemas-microsoft-com:office:smarttags" w:element="PostalCode">
          <w:r>
            <w:rPr>
              <w:szCs w:val="24"/>
            </w:rPr>
            <w:t>Ohio</w:t>
          </w:r>
        </w:smartTag>
        <w:r>
          <w:rPr>
            <w:szCs w:val="24"/>
          </w:rPr>
          <w:t xml:space="preserve"> </w:t>
        </w:r>
        <w:smartTag w:uri="urn:schemas-microsoft-com:office:smarttags" w:element="PostalCode">
          <w:r>
            <w:rPr>
              <w:szCs w:val="24"/>
            </w:rPr>
            <w:t>43215-3485</w:t>
          </w:r>
        </w:smartTag>
      </w:smartTag>
    </w:p>
    <w:p w:rsidR="004F481D" w:rsidRDefault="004F481D">
      <w:pPr>
        <w:autoSpaceDE w:val="0"/>
        <w:autoSpaceDN w:val="0"/>
        <w:adjustRightInd w:val="0"/>
        <w:ind w:left="3600" w:firstLine="720"/>
        <w:rPr>
          <w:szCs w:val="24"/>
        </w:rPr>
      </w:pPr>
      <w:r>
        <w:rPr>
          <w:szCs w:val="24"/>
        </w:rPr>
        <w:t>Telephone:  (Grady) (614) 466-9567</w:t>
      </w:r>
    </w:p>
    <w:p w:rsidR="004F481D" w:rsidRDefault="004F481D">
      <w:r>
        <w:rPr>
          <w:szCs w:val="24"/>
        </w:rPr>
        <w:tab/>
      </w:r>
      <w:r>
        <w:rPr>
          <w:szCs w:val="24"/>
        </w:rPr>
        <w:tab/>
      </w:r>
      <w:r>
        <w:rPr>
          <w:szCs w:val="24"/>
        </w:rPr>
        <w:tab/>
      </w:r>
      <w:r>
        <w:rPr>
          <w:szCs w:val="24"/>
        </w:rPr>
        <w:tab/>
      </w:r>
      <w:r>
        <w:rPr>
          <w:szCs w:val="24"/>
        </w:rPr>
        <w:tab/>
      </w:r>
      <w:r>
        <w:rPr>
          <w:szCs w:val="24"/>
        </w:rPr>
        <w:tab/>
      </w:r>
      <w:hyperlink r:id="rId14" w:history="1">
        <w:r>
          <w:rPr>
            <w:color w:val="0000FF"/>
            <w:szCs w:val="24"/>
            <w:u w:val="single"/>
          </w:rPr>
          <w:t>grady@occ.state.oh.us</w:t>
        </w:r>
      </w:hyperlink>
    </w:p>
    <w:p w:rsidR="004F481D" w:rsidRDefault="004F481D">
      <w:pPr>
        <w:jc w:val="center"/>
        <w:rPr>
          <w:b/>
          <w:bCs/>
          <w:u w:val="single"/>
        </w:rPr>
      </w:pPr>
      <w:r>
        <w:br w:type="page"/>
      </w:r>
      <w:r>
        <w:rPr>
          <w:b/>
          <w:bCs/>
          <w:u w:val="single"/>
        </w:rPr>
        <w:t>CERTIFICATE OF SERVICE</w:t>
      </w:r>
    </w:p>
    <w:p w:rsidR="004F481D" w:rsidRDefault="004F481D">
      <w:pPr>
        <w:spacing w:line="480" w:lineRule="atLeast"/>
      </w:pPr>
      <w:r>
        <w:tab/>
        <w:t xml:space="preserve">I hereby certify that a copy of the </w:t>
      </w:r>
      <w:r w:rsidR="00D9524E">
        <w:t xml:space="preserve">Memo Contra </w:t>
      </w:r>
      <w:r>
        <w:t xml:space="preserve">by the Office of the Ohio Consumers’ Counsel was served on the persons stated below via electronic service this </w:t>
      </w:r>
      <w:r w:rsidR="00D9524E">
        <w:t>23</w:t>
      </w:r>
      <w:r w:rsidR="00D9524E" w:rsidRPr="00D9524E">
        <w:rPr>
          <w:vertAlign w:val="superscript"/>
        </w:rPr>
        <w:t>rd</w:t>
      </w:r>
      <w:r w:rsidR="00D9524E">
        <w:t xml:space="preserve"> </w:t>
      </w:r>
      <w:r>
        <w:t xml:space="preserve">day of </w:t>
      </w:r>
      <w:r w:rsidR="00D9524E">
        <w:t>December</w:t>
      </w:r>
      <w:r>
        <w:t xml:space="preserve"> 2013.</w:t>
      </w:r>
    </w:p>
    <w:p w:rsidR="004F481D" w:rsidRDefault="004F481D">
      <w:pPr>
        <w:spacing w:line="480" w:lineRule="atLeast"/>
      </w:pPr>
    </w:p>
    <w:p w:rsidR="004F481D" w:rsidRDefault="004F481D">
      <w:pPr>
        <w:tabs>
          <w:tab w:val="left" w:pos="4320"/>
        </w:tabs>
        <w:rPr>
          <w:i/>
          <w:u w:val="single"/>
        </w:rPr>
      </w:pPr>
      <w:r>
        <w:tab/>
      </w:r>
      <w:r>
        <w:rPr>
          <w:i/>
          <w:u w:val="single"/>
        </w:rPr>
        <w:t>/s/ Maureen R. Grady</w:t>
      </w:r>
      <w:r>
        <w:rPr>
          <w:i/>
          <w:u w:val="single"/>
        </w:rPr>
        <w:tab/>
      </w:r>
      <w:r>
        <w:rPr>
          <w:i/>
          <w:u w:val="single"/>
        </w:rPr>
        <w:tab/>
      </w:r>
      <w:r>
        <w:rPr>
          <w:i/>
          <w:u w:val="single"/>
        </w:rPr>
        <w:tab/>
      </w:r>
    </w:p>
    <w:p w:rsidR="004F481D" w:rsidRDefault="004F481D">
      <w:pPr>
        <w:tabs>
          <w:tab w:val="left" w:pos="4320"/>
        </w:tabs>
      </w:pPr>
      <w:r>
        <w:tab/>
        <w:t>Maureen R. Grady</w:t>
      </w:r>
    </w:p>
    <w:p w:rsidR="004F481D" w:rsidRDefault="004F481D">
      <w:pPr>
        <w:tabs>
          <w:tab w:val="left" w:pos="4320"/>
        </w:tabs>
      </w:pPr>
      <w:r>
        <w:tab/>
        <w:t>Assistant Consumers’ Counsel</w:t>
      </w:r>
    </w:p>
    <w:p w:rsidR="004F481D" w:rsidRDefault="004F481D">
      <w:pPr>
        <w:pStyle w:val="CommentSubject"/>
      </w:pPr>
    </w:p>
    <w:p w:rsidR="004F481D" w:rsidRDefault="004F481D">
      <w:pPr>
        <w:pStyle w:val="CommentText"/>
        <w:jc w:val="center"/>
        <w:rPr>
          <w:b/>
          <w:u w:val="single"/>
        </w:rPr>
      </w:pPr>
      <w:r>
        <w:rPr>
          <w:b/>
          <w:u w:val="single"/>
        </w:rPr>
        <w:t>SERVICE LIST</w:t>
      </w:r>
    </w:p>
    <w:p w:rsidR="00D7242F" w:rsidRDefault="00D7242F" w:rsidP="00D7242F">
      <w:pPr>
        <w:autoSpaceDE w:val="0"/>
        <w:autoSpaceDN w:val="0"/>
        <w:adjustRightInd w:val="0"/>
        <w:rPr>
          <w:rFonts w:ascii="TimesNewRomanPS-BoldMT" w:eastAsia="Calibri" w:hAnsi="TimesNewRomanPS-BoldMT" w:cs="TimesNewRomanPS-BoldMT"/>
          <w:b/>
          <w:bCs/>
          <w:color w:val="000000"/>
          <w:szCs w:val="24"/>
        </w:rPr>
      </w:pPr>
    </w:p>
    <w:tbl>
      <w:tblPr>
        <w:tblW w:w="0" w:type="auto"/>
        <w:tblLook w:val="04A0" w:firstRow="1" w:lastRow="0" w:firstColumn="1" w:lastColumn="0" w:noHBand="0" w:noVBand="1"/>
      </w:tblPr>
      <w:tblGrid>
        <w:gridCol w:w="4428"/>
        <w:gridCol w:w="4428"/>
      </w:tblGrid>
      <w:tr w:rsidR="00D7242F" w:rsidRPr="00F92F77" w:rsidTr="00F92F77">
        <w:tc>
          <w:tcPr>
            <w:tcW w:w="4428" w:type="dxa"/>
            <w:shd w:val="clear" w:color="auto" w:fill="auto"/>
          </w:tcPr>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15" w:history="1">
              <w:r w:rsidR="00D7242F" w:rsidRPr="00F92F77">
                <w:rPr>
                  <w:rStyle w:val="Hyperlink"/>
                  <w:rFonts w:ascii="TimesNewRomanPSMT" w:eastAsia="Calibri" w:hAnsi="TimesNewRomanPSMT" w:cs="TimesNewRomanPSMT"/>
                  <w:szCs w:val="24"/>
                </w:rPr>
                <w:t>John.jones@puc.state.oh.us</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16" w:history="1">
              <w:r w:rsidR="00D7242F" w:rsidRPr="00F92F77">
                <w:rPr>
                  <w:rStyle w:val="Hyperlink"/>
                  <w:rFonts w:ascii="TimesNewRomanPSMT" w:eastAsia="Calibri" w:hAnsi="TimesNewRomanPSMT" w:cs="TimesNewRomanPSMT"/>
                  <w:szCs w:val="24"/>
                </w:rPr>
                <w:t>stnourse@aep.com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17" w:history="1">
              <w:r w:rsidR="00D7242F" w:rsidRPr="00F92F77">
                <w:rPr>
                  <w:rStyle w:val="Hyperlink"/>
                  <w:rFonts w:ascii="TimesNewRomanPSMT" w:eastAsia="Calibri" w:hAnsi="TimesNewRomanPSMT" w:cs="TimesNewRomanPSMT"/>
                  <w:szCs w:val="24"/>
                </w:rPr>
                <w:t>dconway@porterwright.com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18" w:history="1">
              <w:r w:rsidR="00D7242F" w:rsidRPr="00F92F77">
                <w:rPr>
                  <w:rStyle w:val="Hyperlink"/>
                  <w:rFonts w:ascii="TimesNewRomanPSMT" w:eastAsia="Calibri" w:hAnsi="TimesNewRomanPSMT" w:cs="TimesNewRomanPSMT"/>
                  <w:szCs w:val="24"/>
                </w:rPr>
                <w:t>mhpetricoff@vorys.com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19" w:history="1">
              <w:r w:rsidR="00D7242F" w:rsidRPr="00F92F77">
                <w:rPr>
                  <w:rStyle w:val="Hyperlink"/>
                  <w:rFonts w:ascii="TimesNewRomanPSMT" w:eastAsia="Calibri" w:hAnsi="TimesNewRomanPSMT" w:cs="TimesNewRomanPSMT"/>
                  <w:szCs w:val="24"/>
                </w:rPr>
                <w:t>smhoward@vorys.com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20" w:history="1">
              <w:r w:rsidR="00D7242F" w:rsidRPr="00F92F77">
                <w:rPr>
                  <w:rStyle w:val="Hyperlink"/>
                  <w:rFonts w:ascii="TimesNewRomanPSMT" w:eastAsia="Calibri" w:hAnsi="TimesNewRomanPSMT" w:cs="TimesNewRomanPSMT"/>
                  <w:szCs w:val="24"/>
                </w:rPr>
                <w:t>glpetrucci@vorys.com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21" w:history="1">
              <w:r w:rsidR="00D7242F" w:rsidRPr="00F92F77">
                <w:rPr>
                  <w:rStyle w:val="Hyperlink"/>
                  <w:rFonts w:ascii="TimesNewRomanPSMT" w:eastAsia="Calibri" w:hAnsi="TimesNewRomanPSMT" w:cs="TimesNewRomanPSMT"/>
                  <w:szCs w:val="24"/>
                </w:rPr>
                <w:t>sam@mwncmh.com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22" w:history="1">
              <w:r w:rsidR="00D7242F" w:rsidRPr="00F92F77">
                <w:rPr>
                  <w:rStyle w:val="Hyperlink"/>
                  <w:rFonts w:ascii="TimesNewRomanPSMT" w:eastAsia="Calibri" w:hAnsi="TimesNewRomanPSMT" w:cs="TimesNewRomanPSMT"/>
                  <w:szCs w:val="24"/>
                </w:rPr>
                <w:t>fdarr@mwncmh.com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23" w:history="1">
              <w:r w:rsidR="00D7242F" w:rsidRPr="00F92F77">
                <w:rPr>
                  <w:rStyle w:val="Hyperlink"/>
                  <w:rFonts w:ascii="TimesNewRomanPSMT" w:eastAsia="Calibri" w:hAnsi="TimesNewRomanPSMT" w:cs="TimesNewRomanPSMT"/>
                  <w:szCs w:val="24"/>
                </w:rPr>
                <w:t>joliker@mwncmh.com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24" w:history="1">
              <w:r w:rsidR="00D7242F" w:rsidRPr="00F92F77">
                <w:rPr>
                  <w:rStyle w:val="Hyperlink"/>
                  <w:rFonts w:ascii="TimesNewRomanPSMT" w:eastAsia="Calibri" w:hAnsi="TimesNewRomanPSMT" w:cs="TimesNewRomanPSMT"/>
                  <w:szCs w:val="24"/>
                </w:rPr>
                <w:t>mpritchard@mwncmh.com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25" w:history="1">
              <w:r w:rsidR="00D7242F" w:rsidRPr="00F92F77">
                <w:rPr>
                  <w:rStyle w:val="Hyperlink"/>
                  <w:rFonts w:ascii="TimesNewRomanPSMT" w:eastAsia="Calibri" w:hAnsi="TimesNewRomanPSMT" w:cs="TimesNewRomanPSMT"/>
                  <w:szCs w:val="24"/>
                </w:rPr>
                <w:t>haydenm@firstenergycorp.com</w:t>
              </w:r>
            </w:hyperlink>
          </w:p>
          <w:p w:rsidR="00D7242F" w:rsidRPr="00F92F77" w:rsidRDefault="00D7242F" w:rsidP="00F92F77">
            <w:pPr>
              <w:autoSpaceDE w:val="0"/>
              <w:autoSpaceDN w:val="0"/>
              <w:adjustRightInd w:val="0"/>
              <w:rPr>
                <w:rFonts w:ascii="TimesNewRomanPSMT" w:eastAsia="Calibri" w:hAnsi="TimesNewRomanPSMT" w:cs="TimesNewRomanPSMT"/>
                <w:color w:val="0000FF"/>
                <w:szCs w:val="24"/>
              </w:rPr>
            </w:pPr>
          </w:p>
          <w:p w:rsidR="00D7242F" w:rsidRPr="00F92F77" w:rsidRDefault="00D7242F" w:rsidP="00F92F77">
            <w:pPr>
              <w:autoSpaceDE w:val="0"/>
              <w:autoSpaceDN w:val="0"/>
              <w:adjustRightInd w:val="0"/>
              <w:rPr>
                <w:rFonts w:ascii="TimesNewRomanPS-BoldMT" w:eastAsia="Calibri" w:hAnsi="TimesNewRomanPS-BoldMT" w:cs="TimesNewRomanPS-BoldMT"/>
                <w:b/>
                <w:bCs/>
                <w:color w:val="000000"/>
                <w:szCs w:val="24"/>
              </w:rPr>
            </w:pPr>
          </w:p>
        </w:tc>
        <w:tc>
          <w:tcPr>
            <w:tcW w:w="4428" w:type="dxa"/>
            <w:shd w:val="clear" w:color="auto" w:fill="auto"/>
          </w:tcPr>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26" w:history="1">
              <w:r w:rsidR="00D7242F" w:rsidRPr="00F92F77">
                <w:rPr>
                  <w:rStyle w:val="Hyperlink"/>
                  <w:rFonts w:ascii="TimesNewRomanPSMT" w:eastAsia="Calibri" w:hAnsi="TimesNewRomanPSMT" w:cs="TimesNewRomanPSMT"/>
                  <w:szCs w:val="24"/>
                </w:rPr>
                <w:t>jlang@calfee.com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27" w:history="1">
              <w:r w:rsidR="00D7242F" w:rsidRPr="00F92F77">
                <w:rPr>
                  <w:rStyle w:val="Hyperlink"/>
                  <w:rFonts w:ascii="TimesNewRomanPSMT" w:eastAsia="Calibri" w:hAnsi="TimesNewRomanPSMT" w:cs="TimesNewRomanPSMT"/>
                  <w:szCs w:val="24"/>
                </w:rPr>
                <w:t>lmcbride@calfee.com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28" w:history="1">
              <w:r w:rsidR="00D7242F" w:rsidRPr="00F92F77">
                <w:rPr>
                  <w:rStyle w:val="Hyperlink"/>
                  <w:rFonts w:ascii="TimesNewRomanPSMT" w:eastAsia="Calibri" w:hAnsi="TimesNewRomanPSMT" w:cs="TimesNewRomanPSMT"/>
                  <w:szCs w:val="24"/>
                </w:rPr>
                <w:t>talexander@calfee.com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29" w:history="1">
              <w:r w:rsidR="00D7242F" w:rsidRPr="00F92F77">
                <w:rPr>
                  <w:rStyle w:val="Hyperlink"/>
                  <w:rFonts w:ascii="TimesNewRomanPSMT" w:eastAsia="Calibri" w:hAnsi="TimesNewRomanPSMT" w:cs="TimesNewRomanPSMT"/>
                  <w:szCs w:val="24"/>
                </w:rPr>
                <w:t>dboehm@BKLlawfirm.com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30" w:history="1">
              <w:r w:rsidR="00D7242F" w:rsidRPr="00F92F77">
                <w:rPr>
                  <w:rStyle w:val="Hyperlink"/>
                  <w:rFonts w:ascii="TimesNewRomanPSMT" w:eastAsia="Calibri" w:hAnsi="TimesNewRomanPSMT" w:cs="TimesNewRomanPSMT"/>
                  <w:szCs w:val="24"/>
                </w:rPr>
                <w:t>mkurtz@BKLlawfirm.com</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31" w:history="1">
              <w:r w:rsidR="00D7242F" w:rsidRPr="00F92F77">
                <w:rPr>
                  <w:rStyle w:val="Hyperlink"/>
                  <w:rFonts w:ascii="TimesNewRomanPSMT" w:eastAsia="Calibri" w:hAnsi="TimesNewRomanPSMT" w:cs="TimesNewRomanPSMT"/>
                  <w:szCs w:val="24"/>
                </w:rPr>
                <w:t>jkylercohn@BKLlawfirm.com</w:t>
              </w:r>
            </w:hyperlink>
          </w:p>
          <w:p w:rsidR="00D7242F" w:rsidRPr="00F92F77" w:rsidRDefault="00D7242F" w:rsidP="00F92F77">
            <w:pPr>
              <w:autoSpaceDE w:val="0"/>
              <w:autoSpaceDN w:val="0"/>
              <w:adjustRightInd w:val="0"/>
              <w:rPr>
                <w:rFonts w:ascii="TimesNewRomanPSMT" w:eastAsia="Calibri" w:hAnsi="TimesNewRomanPSMT" w:cs="TimesNewRomanPSMT"/>
                <w:color w:val="0000FF"/>
                <w:szCs w:val="24"/>
              </w:rPr>
            </w:pPr>
          </w:p>
          <w:p w:rsidR="00D7242F" w:rsidRPr="00F92F77" w:rsidRDefault="00D7242F" w:rsidP="00F92F77">
            <w:pPr>
              <w:autoSpaceDE w:val="0"/>
              <w:autoSpaceDN w:val="0"/>
              <w:adjustRightInd w:val="0"/>
              <w:rPr>
                <w:rFonts w:ascii="TimesNewRomanPSMT" w:eastAsia="Calibri" w:hAnsi="TimesNewRomanPSMT" w:cs="TimesNewRomanPSMT"/>
                <w:color w:val="0000FF"/>
                <w:szCs w:val="24"/>
              </w:rPr>
            </w:pPr>
          </w:p>
          <w:p w:rsidR="00D7242F" w:rsidRPr="00F92F77" w:rsidRDefault="00D7242F" w:rsidP="00F92F77">
            <w:pPr>
              <w:autoSpaceDE w:val="0"/>
              <w:autoSpaceDN w:val="0"/>
              <w:adjustRightInd w:val="0"/>
              <w:rPr>
                <w:rFonts w:ascii="TimesNewRomanPSMT" w:eastAsia="Calibri" w:hAnsi="TimesNewRomanPSMT" w:cs="TimesNewRomanPSMT"/>
                <w:color w:val="0000FF"/>
                <w:szCs w:val="24"/>
              </w:rPr>
            </w:pPr>
            <w:r w:rsidRPr="00F92F77">
              <w:rPr>
                <w:rFonts w:ascii="TimesNewRomanPSMT" w:eastAsia="Calibri" w:hAnsi="TimesNewRomanPSMT" w:cs="TimesNewRomanPSMT"/>
                <w:color w:val="0000FF"/>
                <w:szCs w:val="24"/>
              </w:rPr>
              <w:t>Attorney Examiners:</w:t>
            </w:r>
          </w:p>
          <w:p w:rsidR="00D7242F" w:rsidRPr="00F92F77" w:rsidRDefault="00D7242F" w:rsidP="00F92F77">
            <w:pPr>
              <w:autoSpaceDE w:val="0"/>
              <w:autoSpaceDN w:val="0"/>
              <w:adjustRightInd w:val="0"/>
              <w:rPr>
                <w:rFonts w:ascii="TimesNewRomanPSMT" w:eastAsia="Calibri" w:hAnsi="TimesNewRomanPSMT" w:cs="TimesNewRomanPSMT"/>
                <w:color w:val="0000FF"/>
                <w:szCs w:val="24"/>
              </w:rPr>
            </w:pPr>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32" w:history="1">
              <w:r w:rsidR="00D7242F" w:rsidRPr="00F92F77">
                <w:rPr>
                  <w:rStyle w:val="Hyperlink"/>
                  <w:rFonts w:ascii="TimesNewRomanPSMT" w:eastAsia="Calibri" w:hAnsi="TimesNewRomanPSMT" w:cs="TimesNewRomanPSMT"/>
                  <w:szCs w:val="24"/>
                </w:rPr>
                <w:t>Sarah.parrot@puc.state.oh.us</w:t>
              </w:r>
            </w:hyperlink>
          </w:p>
          <w:p w:rsidR="00D7242F" w:rsidRPr="00F92F77" w:rsidRDefault="00B66EF7" w:rsidP="00F92F77">
            <w:pPr>
              <w:autoSpaceDE w:val="0"/>
              <w:autoSpaceDN w:val="0"/>
              <w:adjustRightInd w:val="0"/>
              <w:rPr>
                <w:rFonts w:ascii="TimesNewRomanPSMT" w:eastAsia="Calibri" w:hAnsi="TimesNewRomanPSMT" w:cs="TimesNewRomanPSMT"/>
                <w:color w:val="0000FF"/>
                <w:szCs w:val="24"/>
              </w:rPr>
            </w:pPr>
            <w:hyperlink r:id="rId33" w:history="1">
              <w:r w:rsidR="00D7242F" w:rsidRPr="00F92F77">
                <w:rPr>
                  <w:rStyle w:val="Hyperlink"/>
                  <w:rFonts w:ascii="TimesNewRomanPSMT" w:eastAsia="Calibri" w:hAnsi="TimesNewRomanPSMT" w:cs="TimesNewRomanPSMT"/>
                  <w:szCs w:val="24"/>
                </w:rPr>
                <w:t>Jonathan.tauber@puc.state.oh.us</w:t>
              </w:r>
            </w:hyperlink>
          </w:p>
          <w:p w:rsidR="00D7242F" w:rsidRPr="00F92F77" w:rsidRDefault="00D7242F" w:rsidP="00F92F77">
            <w:pPr>
              <w:autoSpaceDE w:val="0"/>
              <w:autoSpaceDN w:val="0"/>
              <w:adjustRightInd w:val="0"/>
              <w:rPr>
                <w:rFonts w:ascii="TimesNewRomanPSMT" w:eastAsia="Calibri" w:hAnsi="TimesNewRomanPSMT" w:cs="TimesNewRomanPSMT"/>
                <w:color w:val="0000FF"/>
                <w:szCs w:val="24"/>
              </w:rPr>
            </w:pPr>
          </w:p>
          <w:p w:rsidR="00D7242F" w:rsidRPr="00F92F77" w:rsidRDefault="00D7242F" w:rsidP="00F92F77">
            <w:pPr>
              <w:autoSpaceDE w:val="0"/>
              <w:autoSpaceDN w:val="0"/>
              <w:adjustRightInd w:val="0"/>
              <w:rPr>
                <w:rFonts w:ascii="TimesNewRomanPS-BoldMT" w:eastAsia="Calibri" w:hAnsi="TimesNewRomanPS-BoldMT" w:cs="TimesNewRomanPS-BoldMT"/>
                <w:b/>
                <w:bCs/>
                <w:color w:val="000000"/>
                <w:szCs w:val="24"/>
              </w:rPr>
            </w:pPr>
          </w:p>
        </w:tc>
      </w:tr>
    </w:tbl>
    <w:p w:rsidR="00D7242F" w:rsidRDefault="00D7242F" w:rsidP="00D7242F">
      <w:pPr>
        <w:autoSpaceDE w:val="0"/>
        <w:autoSpaceDN w:val="0"/>
        <w:adjustRightInd w:val="0"/>
        <w:rPr>
          <w:rFonts w:ascii="TimesNewRomanPS-BoldMT" w:eastAsia="Calibri" w:hAnsi="TimesNewRomanPS-BoldMT" w:cs="TimesNewRomanPS-BoldMT"/>
          <w:b/>
          <w:bCs/>
          <w:color w:val="000000"/>
          <w:szCs w:val="24"/>
        </w:rPr>
      </w:pPr>
    </w:p>
    <w:p w:rsidR="004F481D" w:rsidRDefault="004F481D">
      <w:pPr>
        <w:tabs>
          <w:tab w:val="left" w:pos="1380"/>
        </w:tabs>
      </w:pPr>
      <w:r>
        <w:tab/>
      </w:r>
    </w:p>
    <w:sectPr w:rsidR="004F481D" w:rsidSect="00E95705">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7E" w:rsidRDefault="00DB747E">
      <w:r>
        <w:separator/>
      </w:r>
    </w:p>
  </w:endnote>
  <w:endnote w:type="continuationSeparator" w:id="0">
    <w:p w:rsidR="00DB747E" w:rsidRDefault="00DB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7F" w:rsidRDefault="005B2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7F" w:rsidRDefault="005B20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7F" w:rsidRDefault="005B20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52" w:rsidRDefault="00662D52">
    <w:pPr>
      <w:pStyle w:val="Footer"/>
      <w:jc w:val="center"/>
    </w:pPr>
    <w:r>
      <w:fldChar w:fldCharType="begin"/>
    </w:r>
    <w:r>
      <w:instrText xml:space="preserve"> PAGE   \* MERGEFORMAT </w:instrText>
    </w:r>
    <w:r>
      <w:fldChar w:fldCharType="separate"/>
    </w:r>
    <w:r w:rsidR="00E57661">
      <w:rPr>
        <w:noProof/>
      </w:rPr>
      <w:t>8</w:t>
    </w:r>
    <w:r>
      <w:rPr>
        <w:noProof/>
      </w:rPr>
      <w:fldChar w:fldCharType="end"/>
    </w:r>
  </w:p>
  <w:p w:rsidR="00662D52" w:rsidRDefault="00662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7E" w:rsidRDefault="00DB747E">
      <w:r>
        <w:separator/>
      </w:r>
    </w:p>
  </w:footnote>
  <w:footnote w:type="continuationSeparator" w:id="0">
    <w:p w:rsidR="00DB747E" w:rsidRDefault="00DB747E">
      <w:r>
        <w:continuationSeparator/>
      </w:r>
    </w:p>
  </w:footnote>
  <w:footnote w:id="1">
    <w:p w:rsidR="00F84A81" w:rsidRDefault="00F84A81">
      <w:pPr>
        <w:pStyle w:val="FootnoteText"/>
      </w:pPr>
      <w:r>
        <w:rPr>
          <w:rStyle w:val="FootnoteReference"/>
        </w:rPr>
        <w:footnoteRef/>
      </w:r>
      <w:r>
        <w:t xml:space="preserve"> The energy only auctions will be:  10% February 2014; 25% May 2014; 25% September 2014; 40% November 2014.  </w:t>
      </w:r>
    </w:p>
  </w:footnote>
  <w:footnote w:id="2">
    <w:p w:rsidR="005840D6" w:rsidRDefault="005840D6">
      <w:pPr>
        <w:pStyle w:val="FootnoteText"/>
      </w:pPr>
      <w:r>
        <w:rPr>
          <w:rStyle w:val="FootnoteReference"/>
        </w:rPr>
        <w:footnoteRef/>
      </w:r>
      <w:r>
        <w:t xml:space="preserve"> </w:t>
      </w:r>
      <w:r w:rsidRPr="00775B60">
        <w:rPr>
          <w:i/>
        </w:rPr>
        <w:t xml:space="preserve">In The Matter of the </w:t>
      </w:r>
      <w:r w:rsidR="00280DD2" w:rsidRPr="00775B60">
        <w:rPr>
          <w:i/>
        </w:rPr>
        <w:t>A</w:t>
      </w:r>
      <w:r w:rsidRPr="00775B60">
        <w:rPr>
          <w:i/>
        </w:rPr>
        <w:t>pplication of Ohio Power Company to Establish a Compet</w:t>
      </w:r>
      <w:r w:rsidR="00280DD2" w:rsidRPr="00775B60">
        <w:rPr>
          <w:i/>
        </w:rPr>
        <w:t>itive</w:t>
      </w:r>
      <w:r w:rsidRPr="00775B60">
        <w:rPr>
          <w:i/>
        </w:rPr>
        <w:t xml:space="preserve"> Bidding Process for Procurement of Energy to Support its Standard Service Offer</w:t>
      </w:r>
      <w:r>
        <w:t>, Case No. 12-3254-EL-UNC, Opinion and Order at 12 (Nov. 13, 2013)</w:t>
      </w:r>
      <w:r w:rsidR="000329F1">
        <w:t>.</w:t>
      </w:r>
    </w:p>
  </w:footnote>
  <w:footnote w:id="3">
    <w:p w:rsidR="007D220C" w:rsidRPr="00922FF6" w:rsidRDefault="007D220C" w:rsidP="007D220C">
      <w:pPr>
        <w:autoSpaceDE w:val="0"/>
        <w:autoSpaceDN w:val="0"/>
        <w:adjustRightInd w:val="0"/>
        <w:spacing w:after="120"/>
        <w:rPr>
          <w:szCs w:val="17"/>
        </w:rPr>
      </w:pPr>
      <w:r>
        <w:rPr>
          <w:rStyle w:val="FootnoteReference"/>
        </w:rPr>
        <w:footnoteRef/>
      </w:r>
      <w:r>
        <w:t xml:space="preserve"> </w:t>
      </w:r>
      <w:r w:rsidRPr="00A2275B">
        <w:rPr>
          <w:sz w:val="20"/>
        </w:rPr>
        <w:t>See, e.g.</w:t>
      </w:r>
      <w:r w:rsidR="00030BCA">
        <w:rPr>
          <w:sz w:val="20"/>
        </w:rPr>
        <w:t>,</w:t>
      </w:r>
      <w:r w:rsidRPr="00A2275B">
        <w:rPr>
          <w:sz w:val="20"/>
        </w:rPr>
        <w:t xml:space="preserve"> </w:t>
      </w:r>
      <w:r w:rsidRPr="00A2275B">
        <w:rPr>
          <w:i/>
          <w:sz w:val="20"/>
        </w:rPr>
        <w:t>In the Matter of the Regulation of the Electric Fuel Component Contained Within the Rate Schedules of The Toledo Edison Company and Related Matters</w:t>
      </w:r>
      <w:r w:rsidRPr="00A2275B">
        <w:rPr>
          <w:sz w:val="20"/>
        </w:rPr>
        <w:t>, Case No. 89-07-EL-EFC, Entry upon Application for Rehearing at *5-6 (Oct</w:t>
      </w:r>
      <w:r w:rsidR="00030BCA">
        <w:rPr>
          <w:sz w:val="20"/>
        </w:rPr>
        <w:t>.</w:t>
      </w:r>
      <w:r w:rsidRPr="00A2275B">
        <w:rPr>
          <w:sz w:val="20"/>
        </w:rPr>
        <w:t xml:space="preserve"> 17, 1989) (“[T]o meet the requirements of R.C. 4903.09, the Commission's order must show, in sufficient detail, the facts </w:t>
      </w:r>
      <w:r w:rsidRPr="00A2275B">
        <w:rPr>
          <w:sz w:val="20"/>
          <w:u w:val="single"/>
        </w:rPr>
        <w:t>in the record</w:t>
      </w:r>
      <w:r w:rsidRPr="00A2275B">
        <w:rPr>
          <w:sz w:val="20"/>
        </w:rPr>
        <w:t xml:space="preserve"> on which the order is based and the reasoning followed by the Commission in reaching its conclusion.”) (citing </w:t>
      </w:r>
      <w:smartTag w:uri="urn:schemas-microsoft-com:office:smarttags" w:element="place">
        <w:smartTag w:uri="urn:schemas-microsoft-com:office:smarttags" w:element="City">
          <w:r w:rsidRPr="00A2275B">
            <w:rPr>
              <w:i/>
              <w:sz w:val="20"/>
            </w:rPr>
            <w:t>Cleveland</w:t>
          </w:r>
        </w:smartTag>
      </w:smartTag>
      <w:r w:rsidRPr="00A2275B">
        <w:rPr>
          <w:i/>
          <w:sz w:val="20"/>
        </w:rPr>
        <w:t xml:space="preserve"> Elec. Illum. Co. v. Pub. Util. Comm.</w:t>
      </w:r>
      <w:r w:rsidRPr="00A2275B">
        <w:rPr>
          <w:sz w:val="20"/>
        </w:rPr>
        <w:t xml:space="preserve"> (1984), 12 Ohio St.3d 320, 322; </w:t>
      </w:r>
      <w:r w:rsidRPr="00A2275B">
        <w:rPr>
          <w:i/>
          <w:sz w:val="20"/>
        </w:rPr>
        <w:t>Cleveland Elec. Illum. Co. v. Pub. Util. Comm</w:t>
      </w:r>
      <w:r w:rsidRPr="00A2275B">
        <w:rPr>
          <w:sz w:val="20"/>
        </w:rPr>
        <w:t xml:space="preserve">. (1983), 4 Ohio St.3d 107; </w:t>
      </w:r>
      <w:r w:rsidRPr="00A2275B">
        <w:rPr>
          <w:i/>
          <w:sz w:val="20"/>
        </w:rPr>
        <w:t>Harold D. Miller, Inc.  v. Pub. Util. Comm.</w:t>
      </w:r>
      <w:r w:rsidRPr="00A2275B">
        <w:rPr>
          <w:sz w:val="20"/>
        </w:rPr>
        <w:t xml:space="preserve"> (1982), 1 Ohio St.3d 162).</w:t>
      </w:r>
      <w:r w:rsidR="002B5186">
        <w:rPr>
          <w:sz w:val="20"/>
        </w:rPr>
        <w:t xml:space="preserve">  (Emphasis added).</w:t>
      </w:r>
    </w:p>
    <w:p w:rsidR="007D220C" w:rsidRDefault="007D220C" w:rsidP="007D220C">
      <w:pPr>
        <w:pStyle w:val="FootnoteText"/>
      </w:pPr>
    </w:p>
  </w:footnote>
  <w:footnote w:id="4">
    <w:p w:rsidR="003116FD" w:rsidRDefault="003116FD" w:rsidP="003116FD">
      <w:pPr>
        <w:autoSpaceDE w:val="0"/>
        <w:autoSpaceDN w:val="0"/>
        <w:adjustRightInd w:val="0"/>
        <w:spacing w:after="120"/>
      </w:pPr>
      <w:r>
        <w:rPr>
          <w:rStyle w:val="FootnoteReference"/>
        </w:rPr>
        <w:footnoteRef/>
      </w:r>
      <w:r>
        <w:t xml:space="preserve"> </w:t>
      </w:r>
      <w:r w:rsidRPr="00557CA8">
        <w:rPr>
          <w:i/>
          <w:sz w:val="20"/>
        </w:rPr>
        <w:t>In the Matter of FAF,</w:t>
      </w:r>
      <w:r w:rsidR="00662D52">
        <w:rPr>
          <w:i/>
          <w:sz w:val="20"/>
        </w:rPr>
        <w:t xml:space="preserve"> </w:t>
      </w:r>
      <w:r w:rsidRPr="00557CA8">
        <w:rPr>
          <w:i/>
          <w:sz w:val="20"/>
        </w:rPr>
        <w:t>Inc., Notice of Apparent Violation and Intent to Assess Forfeiture</w:t>
      </w:r>
      <w:r w:rsidRPr="00557CA8">
        <w:rPr>
          <w:sz w:val="20"/>
        </w:rPr>
        <w:t>, Case No.  06-786</w:t>
      </w:r>
      <w:r>
        <w:rPr>
          <w:sz w:val="20"/>
        </w:rPr>
        <w:t xml:space="preserve">-TR-CVF, Opinion and Order at 2 </w:t>
      </w:r>
      <w:r w:rsidRPr="00557CA8">
        <w:rPr>
          <w:sz w:val="20"/>
        </w:rPr>
        <w:t>(Nov</w:t>
      </w:r>
      <w:r>
        <w:rPr>
          <w:sz w:val="20"/>
        </w:rPr>
        <w:t>.</w:t>
      </w:r>
      <w:r w:rsidRPr="00557CA8">
        <w:rPr>
          <w:sz w:val="20"/>
        </w:rPr>
        <w:t xml:space="preserve"> 21, 2006)</w:t>
      </w:r>
      <w:r>
        <w:rPr>
          <w:sz w:val="20"/>
        </w:rPr>
        <w:t xml:space="preserve"> at 2</w:t>
      </w:r>
      <w:r w:rsidRPr="00557CA8">
        <w:rPr>
          <w:sz w:val="20"/>
        </w:rPr>
        <w:t>.</w:t>
      </w:r>
    </w:p>
  </w:footnote>
  <w:footnote w:id="5">
    <w:p w:rsidR="00662D52" w:rsidRDefault="00662D52">
      <w:pPr>
        <w:pStyle w:val="FootnoteText"/>
      </w:pPr>
      <w:r>
        <w:rPr>
          <w:rStyle w:val="FootnoteReference"/>
        </w:rPr>
        <w:footnoteRef/>
      </w:r>
      <w:r>
        <w:t xml:space="preserve"> </w:t>
      </w:r>
      <w:r w:rsidR="002B5186">
        <w:t>AEP Ohio Application for Rehearing at 19.</w:t>
      </w:r>
    </w:p>
  </w:footnote>
  <w:footnote w:id="6">
    <w:p w:rsidR="00662D52" w:rsidRDefault="00662D52">
      <w:pPr>
        <w:pStyle w:val="FootnoteText"/>
      </w:pPr>
      <w:r>
        <w:rPr>
          <w:rStyle w:val="FootnoteReference"/>
        </w:rPr>
        <w:footnoteRef/>
      </w:r>
      <w:r>
        <w:t xml:space="preserve"> Id. </w:t>
      </w:r>
    </w:p>
  </w:footnote>
  <w:footnote w:id="7">
    <w:p w:rsidR="003116FD" w:rsidRDefault="003116FD" w:rsidP="003116FD">
      <w:pPr>
        <w:pStyle w:val="FootnoteText"/>
      </w:pPr>
      <w:r>
        <w:rPr>
          <w:rStyle w:val="FootnoteReference"/>
        </w:rPr>
        <w:footnoteRef/>
      </w:r>
      <w:r>
        <w:t xml:space="preserve"> Id. </w:t>
      </w:r>
    </w:p>
  </w:footnote>
  <w:footnote w:id="8">
    <w:p w:rsidR="003116FD" w:rsidRDefault="003116FD" w:rsidP="003116FD">
      <w:pPr>
        <w:pStyle w:val="FootnoteText"/>
      </w:pPr>
      <w:r>
        <w:rPr>
          <w:rStyle w:val="FootnoteReference"/>
        </w:rPr>
        <w:footnoteRef/>
      </w:r>
      <w:r>
        <w:t xml:space="preserve"> Id. </w:t>
      </w:r>
    </w:p>
  </w:footnote>
  <w:footnote w:id="9">
    <w:p w:rsidR="003116FD" w:rsidRDefault="003116FD" w:rsidP="003116FD">
      <w:pPr>
        <w:pStyle w:val="FootnoteText"/>
      </w:pPr>
      <w:r>
        <w:rPr>
          <w:rStyle w:val="FootnoteReference"/>
        </w:rPr>
        <w:footnoteRef/>
      </w:r>
      <w:r>
        <w:t xml:space="preserve"> Id.   </w:t>
      </w:r>
    </w:p>
  </w:footnote>
  <w:footnote w:id="10">
    <w:p w:rsidR="003116FD" w:rsidRDefault="003116FD" w:rsidP="003116FD">
      <w:pPr>
        <w:pStyle w:val="FootnoteText"/>
      </w:pPr>
      <w:r>
        <w:rPr>
          <w:rStyle w:val="FootnoteReference"/>
        </w:rPr>
        <w:footnoteRef/>
      </w:r>
      <w:r>
        <w:t xml:space="preserve"> See, for example, </w:t>
      </w:r>
      <w:r w:rsidRPr="00657E03">
        <w:rPr>
          <w:i/>
        </w:rPr>
        <w:t>In the Matter of the Review of Ameritech Ohio’s Economic Costs for Interconnection, Unbundled Network Elements, and Reciprocal Compensation for Transport and Termination of Local Telecommunications Traffic; In the Matter of the Application of Ameritech Ohio for Approval of Carrier to Carrier Tariff</w:t>
      </w:r>
      <w:r>
        <w:t xml:space="preserve">, Case No. 96-922-TP-UNC et al., Entry on Rehearing  at ¶34 (Jan. 31, 2002) (where the Commission expressly noted it could not consider an affidavit submitted with a rehearing application as evidence in a proceeding) . </w:t>
      </w:r>
    </w:p>
  </w:footnote>
  <w:footnote w:id="11">
    <w:p w:rsidR="003116FD" w:rsidRDefault="003116FD" w:rsidP="003116FD">
      <w:pPr>
        <w:pStyle w:val="FootnoteText"/>
      </w:pPr>
      <w:r>
        <w:rPr>
          <w:rStyle w:val="FootnoteReference"/>
        </w:rPr>
        <w:footnoteRef/>
      </w:r>
      <w:r>
        <w:t xml:space="preserve"> </w:t>
      </w:r>
      <w:r w:rsidRPr="008C2566">
        <w:rPr>
          <w:i/>
        </w:rPr>
        <w:t>Central Movers Corp. v. Pub. Util. Comm.</w:t>
      </w:r>
      <w:r>
        <w:t xml:space="preserve"> (1976), 47 Ohio St.2d 58; </w:t>
      </w:r>
      <w:r w:rsidRPr="008C2566">
        <w:rPr>
          <w:i/>
        </w:rPr>
        <w:t xml:space="preserve">Cleveland Electric Illuminating Co. v. Pub. Util. Comm. </w:t>
      </w:r>
      <w:r>
        <w:t xml:space="preserve">(1983), 4 Ohio St.3d 107.  </w:t>
      </w:r>
    </w:p>
  </w:footnote>
  <w:footnote w:id="12">
    <w:p w:rsidR="003116FD" w:rsidRDefault="003116FD" w:rsidP="003116FD">
      <w:pPr>
        <w:pStyle w:val="FootnoteText"/>
      </w:pPr>
      <w:r>
        <w:rPr>
          <w:rStyle w:val="FootnoteReference"/>
        </w:rPr>
        <w:footnoteRef/>
      </w:r>
      <w:r>
        <w:t xml:space="preserve"> See,  e.g., </w:t>
      </w:r>
      <w:r w:rsidRPr="00657E03">
        <w:rPr>
          <w:i/>
        </w:rPr>
        <w:t xml:space="preserve">In the Matter of the Application of </w:t>
      </w:r>
      <w:r>
        <w:rPr>
          <w:i/>
        </w:rPr>
        <w:t>B</w:t>
      </w:r>
      <w:r w:rsidRPr="00657E03">
        <w:rPr>
          <w:i/>
        </w:rPr>
        <w:t>uckeye Wind LLC for a Certificate to Construct Wind-powered Electric Generation Facilities in Champaign County, Ohio</w:t>
      </w:r>
      <w:r>
        <w:t xml:space="preserve">, Case No. 08-666-EL-BGN, Entry on Rehearing  at ¶8-10 (July 15, 2010) (granting a motion to strike a footnote and accompanying exhibit contained in an application for rehearing when the information was available prior to the hearing and could have been presented); </w:t>
      </w:r>
      <w:r w:rsidRPr="00657E03">
        <w:rPr>
          <w:i/>
        </w:rPr>
        <w:t>In  the Matter of the Application of the City of Clyde Requesting Removal of Certain Electric Facilities of the Toledo Edison Company From Within Clyde’s Corporate  Limits</w:t>
      </w:r>
      <w:r>
        <w:t xml:space="preserve">, Case No. 95-02-EL-ABN, Entry on Rehearing  at  ¶11-12 (June 12, 1996) (claims of new evidence occurring after the close of evidence are not appropriately  raised on rehearing). </w:t>
      </w:r>
    </w:p>
  </w:footnote>
  <w:footnote w:id="13">
    <w:p w:rsidR="003116FD" w:rsidRDefault="003116FD" w:rsidP="003116FD">
      <w:pPr>
        <w:pStyle w:val="FootnoteText"/>
      </w:pPr>
      <w:r>
        <w:rPr>
          <w:rStyle w:val="FootnoteReference"/>
        </w:rPr>
        <w:footnoteRef/>
      </w:r>
      <w:r>
        <w:t xml:space="preserve"> Opinion and Order, Concurring Opinion of Commissioners Lesser and Trombold.  </w:t>
      </w:r>
    </w:p>
  </w:footnote>
  <w:footnote w:id="14">
    <w:p w:rsidR="003116FD" w:rsidRDefault="003116FD" w:rsidP="003116FD">
      <w:pPr>
        <w:pStyle w:val="FootnoteText"/>
      </w:pPr>
      <w:r>
        <w:rPr>
          <w:rStyle w:val="FootnoteReference"/>
        </w:rPr>
        <w:footnoteRef/>
      </w:r>
      <w:r>
        <w:t xml:space="preserve"> </w:t>
      </w:r>
      <w:r w:rsidRPr="000329F1">
        <w:rPr>
          <w:i/>
        </w:rPr>
        <w:t>In the Matter of the Application of the Fuel Adjustment Clauses for Co</w:t>
      </w:r>
      <w:r>
        <w:rPr>
          <w:i/>
        </w:rPr>
        <w:t>l</w:t>
      </w:r>
      <w:r w:rsidRPr="000329F1">
        <w:rPr>
          <w:i/>
        </w:rPr>
        <w:t>umbus Southern Power Company and Ohio Power Company and Related Matters,</w:t>
      </w:r>
      <w:r>
        <w:t xml:space="preserve"> Case No. 11-5906-EL-FAC, Entry at ¶10 (Dec. 4, 2013).  </w:t>
      </w:r>
    </w:p>
  </w:footnote>
  <w:footnote w:id="15">
    <w:p w:rsidR="006D37E0" w:rsidRDefault="006D37E0">
      <w:pPr>
        <w:pStyle w:val="FootnoteText"/>
      </w:pPr>
      <w:r>
        <w:rPr>
          <w:rStyle w:val="FootnoteReference"/>
        </w:rPr>
        <w:footnoteRef/>
      </w:r>
      <w:r>
        <w:t xml:space="preserve"> </w:t>
      </w:r>
      <w:r w:rsidR="00E71A55">
        <w:t xml:space="preserve">AEP </w:t>
      </w:r>
      <w:r>
        <w:t>Ohio Application for Rehearing at 6.</w:t>
      </w:r>
    </w:p>
  </w:footnote>
  <w:footnote w:id="16">
    <w:p w:rsidR="006D37E0" w:rsidRDefault="006D37E0">
      <w:pPr>
        <w:pStyle w:val="FootnoteText"/>
      </w:pPr>
      <w:r>
        <w:rPr>
          <w:rStyle w:val="FootnoteReference"/>
        </w:rPr>
        <w:footnoteRef/>
      </w:r>
      <w:r>
        <w:t xml:space="preserve"> Id. at 7.  </w:t>
      </w:r>
    </w:p>
  </w:footnote>
  <w:footnote w:id="17">
    <w:p w:rsidR="005031E9" w:rsidRDefault="005031E9">
      <w:pPr>
        <w:pStyle w:val="FootnoteText"/>
      </w:pPr>
      <w:r>
        <w:rPr>
          <w:rStyle w:val="FootnoteReference"/>
        </w:rPr>
        <w:footnoteRef/>
      </w:r>
      <w:r>
        <w:t xml:space="preserve"> Id. at 7.  </w:t>
      </w:r>
    </w:p>
  </w:footnote>
  <w:footnote w:id="18">
    <w:p w:rsidR="005031E9" w:rsidRDefault="005031E9">
      <w:pPr>
        <w:pStyle w:val="FootnoteText"/>
      </w:pPr>
      <w:r>
        <w:rPr>
          <w:rStyle w:val="FootnoteReference"/>
        </w:rPr>
        <w:footnoteRef/>
      </w:r>
      <w:r>
        <w:t xml:space="preserve"> Id.   </w:t>
      </w:r>
    </w:p>
  </w:footnote>
  <w:footnote w:id="19">
    <w:p w:rsidR="005031E9" w:rsidRDefault="005031E9">
      <w:pPr>
        <w:pStyle w:val="FootnoteText"/>
      </w:pPr>
      <w:r>
        <w:rPr>
          <w:rStyle w:val="FootnoteReference"/>
        </w:rPr>
        <w:footnoteRef/>
      </w:r>
      <w:r>
        <w:t xml:space="preserve"> Id. at 8.  </w:t>
      </w:r>
    </w:p>
  </w:footnote>
  <w:footnote w:id="20">
    <w:p w:rsidR="000E5537" w:rsidRDefault="000E5537">
      <w:pPr>
        <w:pStyle w:val="FootnoteText"/>
      </w:pPr>
      <w:r>
        <w:rPr>
          <w:rStyle w:val="FootnoteReference"/>
        </w:rPr>
        <w:footnoteRef/>
      </w:r>
      <w:r>
        <w:t xml:space="preserve"> Id. at 9.  </w:t>
      </w:r>
    </w:p>
  </w:footnote>
  <w:footnote w:id="21">
    <w:p w:rsidR="00841E55" w:rsidRDefault="00841E55">
      <w:pPr>
        <w:pStyle w:val="FootnoteText"/>
      </w:pPr>
      <w:r>
        <w:rPr>
          <w:rStyle w:val="FootnoteReference"/>
        </w:rPr>
        <w:footnoteRef/>
      </w:r>
      <w:r>
        <w:t xml:space="preserve"> </w:t>
      </w:r>
      <w:r w:rsidRPr="00841E55">
        <w:rPr>
          <w:i/>
        </w:rPr>
        <w:t>In the Matter of the Application of Columbus Southern Power Company and Ohio Power Company for Authority to Establish a Standard Service Offer Pursuant to Section 4928.143, Revised Code in th</w:t>
      </w:r>
      <w:r w:rsidR="00D9524E">
        <w:rPr>
          <w:i/>
        </w:rPr>
        <w:t>e</w:t>
      </w:r>
      <w:r w:rsidRPr="00841E55">
        <w:rPr>
          <w:i/>
        </w:rPr>
        <w:t xml:space="preserve"> Form of an Electric Security Plan</w:t>
      </w:r>
      <w:r>
        <w:t xml:space="preserve">, Case No. 11-346-EL-SSO et al., Entry on Rehearing at ¶39 (Jan. 30, 2013).  </w:t>
      </w:r>
    </w:p>
  </w:footnote>
  <w:footnote w:id="22">
    <w:p w:rsidR="00841E55" w:rsidRDefault="00841E55">
      <w:pPr>
        <w:pStyle w:val="FootnoteText"/>
      </w:pPr>
      <w:r>
        <w:rPr>
          <w:rStyle w:val="FootnoteReference"/>
        </w:rPr>
        <w:footnoteRef/>
      </w:r>
      <w:r>
        <w:t xml:space="preserve"> </w:t>
      </w:r>
      <w:r w:rsidR="00D9524E">
        <w:rPr>
          <w:i/>
        </w:rPr>
        <w:t>In</w:t>
      </w:r>
      <w:r w:rsidR="00DE35D2" w:rsidRPr="00DE35D2">
        <w:rPr>
          <w:i/>
        </w:rPr>
        <w:t xml:space="preserve"> re: AEP</w:t>
      </w:r>
      <w:r w:rsidR="00DE35D2">
        <w:t>, Case No. 10-2929-EL-UNC, Opinion and Order (July 2, 2012).</w:t>
      </w:r>
    </w:p>
  </w:footnote>
  <w:footnote w:id="23">
    <w:p w:rsidR="00841E55" w:rsidRDefault="00841E55">
      <w:pPr>
        <w:pStyle w:val="FootnoteText"/>
      </w:pPr>
      <w:r>
        <w:rPr>
          <w:rStyle w:val="FootnoteReference"/>
        </w:rPr>
        <w:footnoteRef/>
      </w:r>
      <w:r>
        <w:t xml:space="preserve"> </w:t>
      </w:r>
      <w:r w:rsidRPr="00841E55">
        <w:rPr>
          <w:i/>
        </w:rPr>
        <w:t>In the Matter of the Application of Columbus Southern Power Company and Ohio Power Company for Authority to Establish a Standard Service Offer Pursuant to Section 4928.143, Revised Code in th</w:t>
      </w:r>
      <w:r w:rsidR="00D9524E">
        <w:rPr>
          <w:i/>
        </w:rPr>
        <w:t>e</w:t>
      </w:r>
      <w:r w:rsidRPr="00841E55">
        <w:rPr>
          <w:i/>
        </w:rPr>
        <w:t xml:space="preserve"> Form of an Electric Security Plan</w:t>
      </w:r>
      <w:r>
        <w:t xml:space="preserve">, Case No. 11-346-EL-SSO et al., Opinion and Order (Aug. 8, 2012).  </w:t>
      </w:r>
    </w:p>
  </w:footnote>
  <w:footnote w:id="24">
    <w:p w:rsidR="001171AE" w:rsidRDefault="001171AE">
      <w:pPr>
        <w:pStyle w:val="FootnoteText"/>
      </w:pPr>
      <w:r>
        <w:rPr>
          <w:rStyle w:val="FootnoteReference"/>
        </w:rPr>
        <w:footnoteRef/>
      </w:r>
      <w:r>
        <w:t xml:space="preserve"> AEP Ohio Application for Rehearing at 9-10.</w:t>
      </w:r>
    </w:p>
  </w:footnote>
  <w:footnote w:id="25">
    <w:p w:rsidR="001171AE" w:rsidRDefault="001171AE">
      <w:pPr>
        <w:pStyle w:val="FootnoteText"/>
      </w:pPr>
      <w:r>
        <w:rPr>
          <w:rStyle w:val="FootnoteReference"/>
        </w:rPr>
        <w:footnoteRef/>
      </w:r>
      <w:r>
        <w:t xml:space="preserve"> Id. </w:t>
      </w:r>
    </w:p>
  </w:footnote>
  <w:footnote w:id="26">
    <w:p w:rsidR="00E237A4" w:rsidRDefault="00E237A4" w:rsidP="00E237A4">
      <w:pPr>
        <w:pStyle w:val="FootnoteText"/>
      </w:pPr>
      <w:r>
        <w:rPr>
          <w:rStyle w:val="FootnoteReference"/>
        </w:rPr>
        <w:footnoteRef/>
      </w:r>
      <w:r w:rsidR="00BA5DA9">
        <w:t>AEP Ohio Application for Rehearing at 20.</w:t>
      </w:r>
      <w:r>
        <w:t xml:space="preserve">  </w:t>
      </w:r>
      <w:r w:rsidR="00E71A55">
        <w:t xml:space="preserve">AEP </w:t>
      </w:r>
      <w:r>
        <w:t xml:space="preserve">Ohio never explains what the separate docket would be or what opportunities parties would have in the docket.  </w:t>
      </w:r>
    </w:p>
  </w:footnote>
  <w:footnote w:id="27">
    <w:p w:rsidR="001171AE" w:rsidRDefault="001171AE">
      <w:pPr>
        <w:pStyle w:val="FootnoteText"/>
      </w:pPr>
      <w:r>
        <w:rPr>
          <w:rStyle w:val="FootnoteReference"/>
        </w:rPr>
        <w:footnoteRef/>
      </w:r>
      <w:r>
        <w:t xml:space="preserve"> Id. at 10, 20-22.</w:t>
      </w:r>
    </w:p>
  </w:footnote>
  <w:footnote w:id="28">
    <w:p w:rsidR="00E237A4" w:rsidRDefault="00E237A4" w:rsidP="00E237A4">
      <w:pPr>
        <w:pStyle w:val="FootnoteText"/>
      </w:pPr>
      <w:r>
        <w:rPr>
          <w:rStyle w:val="FootnoteReference"/>
        </w:rPr>
        <w:footnoteRef/>
      </w:r>
      <w:r>
        <w:t xml:space="preserve"> Id. at 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7F" w:rsidRDefault="005B2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7F" w:rsidRDefault="005B2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7F" w:rsidRDefault="005B2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93664"/>
    <w:multiLevelType w:val="hybridMultilevel"/>
    <w:tmpl w:val="FB4E8B94"/>
    <w:lvl w:ilvl="0" w:tplc="F8348D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5E152D"/>
    <w:multiLevelType w:val="hybridMultilevel"/>
    <w:tmpl w:val="BAFE3060"/>
    <w:lvl w:ilvl="0" w:tplc="D3CCE7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BBD7D44"/>
    <w:multiLevelType w:val="singleLevel"/>
    <w:tmpl w:val="5B842948"/>
    <w:lvl w:ilvl="0">
      <w:start w:val="1"/>
      <w:numFmt w:val="bullet"/>
      <w:lvlText w:val=""/>
      <w:lvlJc w:val="left"/>
      <w:pPr>
        <w:ind w:left="547" w:hanging="547"/>
      </w:pPr>
      <w:rPr>
        <w:rFonts w:ascii="Symbol" w:hAnsi="Symbol" w:hint="default"/>
      </w:rPr>
    </w:lvl>
  </w:abstractNum>
  <w:abstractNum w:abstractNumId="3">
    <w:nsid w:val="6F9E4BC3"/>
    <w:multiLevelType w:val="hybridMultilevel"/>
    <w:tmpl w:val="4AA62F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81D"/>
    <w:rsid w:val="00030BCA"/>
    <w:rsid w:val="000329F1"/>
    <w:rsid w:val="0005312F"/>
    <w:rsid w:val="00053BB4"/>
    <w:rsid w:val="00074EEF"/>
    <w:rsid w:val="000D50F5"/>
    <w:rsid w:val="000E5537"/>
    <w:rsid w:val="000E6BDF"/>
    <w:rsid w:val="001171AE"/>
    <w:rsid w:val="001176DC"/>
    <w:rsid w:val="00142897"/>
    <w:rsid w:val="00176A77"/>
    <w:rsid w:val="00190B7E"/>
    <w:rsid w:val="001A39A2"/>
    <w:rsid w:val="001E3497"/>
    <w:rsid w:val="001E3EDC"/>
    <w:rsid w:val="0023623B"/>
    <w:rsid w:val="002806BD"/>
    <w:rsid w:val="00280DD2"/>
    <w:rsid w:val="002B5186"/>
    <w:rsid w:val="002F382F"/>
    <w:rsid w:val="003116FD"/>
    <w:rsid w:val="003332ED"/>
    <w:rsid w:val="00394E63"/>
    <w:rsid w:val="003C2DF9"/>
    <w:rsid w:val="003F525A"/>
    <w:rsid w:val="00404C4B"/>
    <w:rsid w:val="004160BF"/>
    <w:rsid w:val="00435DB9"/>
    <w:rsid w:val="00460D78"/>
    <w:rsid w:val="004A1B03"/>
    <w:rsid w:val="004B1549"/>
    <w:rsid w:val="004B2D77"/>
    <w:rsid w:val="004F16A3"/>
    <w:rsid w:val="004F481D"/>
    <w:rsid w:val="005031E9"/>
    <w:rsid w:val="00522AA8"/>
    <w:rsid w:val="0052707C"/>
    <w:rsid w:val="0053646B"/>
    <w:rsid w:val="005840D6"/>
    <w:rsid w:val="00591F36"/>
    <w:rsid w:val="00595CDF"/>
    <w:rsid w:val="0059638D"/>
    <w:rsid w:val="005A14FB"/>
    <w:rsid w:val="005B207F"/>
    <w:rsid w:val="005D6D9F"/>
    <w:rsid w:val="00630F30"/>
    <w:rsid w:val="00657E03"/>
    <w:rsid w:val="00662D52"/>
    <w:rsid w:val="00683BE5"/>
    <w:rsid w:val="006846E0"/>
    <w:rsid w:val="006D37E0"/>
    <w:rsid w:val="00700A75"/>
    <w:rsid w:val="00710621"/>
    <w:rsid w:val="00714335"/>
    <w:rsid w:val="00775B60"/>
    <w:rsid w:val="007B2FC1"/>
    <w:rsid w:val="007C5868"/>
    <w:rsid w:val="007D220C"/>
    <w:rsid w:val="00802E32"/>
    <w:rsid w:val="00841E55"/>
    <w:rsid w:val="008C2566"/>
    <w:rsid w:val="008D39B8"/>
    <w:rsid w:val="008E0507"/>
    <w:rsid w:val="0094460B"/>
    <w:rsid w:val="00956980"/>
    <w:rsid w:val="00995368"/>
    <w:rsid w:val="009C4006"/>
    <w:rsid w:val="00A36C41"/>
    <w:rsid w:val="00A647D8"/>
    <w:rsid w:val="00A902A2"/>
    <w:rsid w:val="00B12CAB"/>
    <w:rsid w:val="00B4288B"/>
    <w:rsid w:val="00B55A6A"/>
    <w:rsid w:val="00B639E0"/>
    <w:rsid w:val="00B66EF7"/>
    <w:rsid w:val="00B67A7D"/>
    <w:rsid w:val="00BA5DA9"/>
    <w:rsid w:val="00BD49D2"/>
    <w:rsid w:val="00BD7BAE"/>
    <w:rsid w:val="00C30E11"/>
    <w:rsid w:val="00C34EAC"/>
    <w:rsid w:val="00C91D2E"/>
    <w:rsid w:val="00CC1EA1"/>
    <w:rsid w:val="00CF5D97"/>
    <w:rsid w:val="00D25579"/>
    <w:rsid w:val="00D7222F"/>
    <w:rsid w:val="00D7242F"/>
    <w:rsid w:val="00D83DAD"/>
    <w:rsid w:val="00D9524E"/>
    <w:rsid w:val="00DB747E"/>
    <w:rsid w:val="00DD336C"/>
    <w:rsid w:val="00DE35D2"/>
    <w:rsid w:val="00E03C37"/>
    <w:rsid w:val="00E237A4"/>
    <w:rsid w:val="00E55E80"/>
    <w:rsid w:val="00E57661"/>
    <w:rsid w:val="00E71A55"/>
    <w:rsid w:val="00E775DD"/>
    <w:rsid w:val="00E95705"/>
    <w:rsid w:val="00EE6EAD"/>
    <w:rsid w:val="00EF496A"/>
    <w:rsid w:val="00F22336"/>
    <w:rsid w:val="00F70B42"/>
    <w:rsid w:val="00F84A81"/>
    <w:rsid w:val="00F92F77"/>
    <w:rsid w:val="00FD1FE5"/>
    <w:rsid w:val="00FE3C85"/>
    <w:rsid w:val="00FE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paragraph" w:styleId="Heading1">
    <w:name w:val="heading 1"/>
    <w:basedOn w:val="Normal"/>
    <w:next w:val="Normal"/>
    <w:link w:val="Heading1Char"/>
    <w:autoRedefine/>
    <w:uiPriority w:val="99"/>
    <w:qFormat/>
    <w:rsid w:val="00D9524E"/>
    <w:pPr>
      <w:keepNext/>
      <w:spacing w:after="240"/>
      <w:ind w:left="720" w:hanging="720"/>
      <w:outlineLvl w:val="0"/>
    </w:pPr>
    <w:rPr>
      <w:b/>
      <w:bCs/>
      <w:caps/>
      <w:kern w:val="32"/>
      <w:szCs w:val="32"/>
    </w:rPr>
  </w:style>
  <w:style w:type="paragraph" w:styleId="Heading2">
    <w:name w:val="heading 2"/>
    <w:basedOn w:val="Normal"/>
    <w:next w:val="Normal"/>
    <w:link w:val="Heading2Char"/>
    <w:autoRedefine/>
    <w:uiPriority w:val="99"/>
    <w:qFormat/>
    <w:rsid w:val="00D9524E"/>
    <w:pPr>
      <w:keepNext/>
      <w:tabs>
        <w:tab w:val="left" w:pos="0"/>
        <w:tab w:val="left" w:pos="720"/>
      </w:tabs>
      <w:ind w:left="1440" w:right="720" w:hanging="720"/>
      <w:outlineLvl w:val="1"/>
    </w:pPr>
    <w:rPr>
      <w:b/>
      <w:bCs/>
      <w:szCs w:val="24"/>
    </w:rPr>
  </w:style>
  <w:style w:type="paragraph" w:styleId="Heading3">
    <w:name w:val="heading 3"/>
    <w:basedOn w:val="Normal"/>
    <w:next w:val="Normal"/>
    <w:link w:val="Heading3Char"/>
    <w:autoRedefine/>
    <w:uiPriority w:val="99"/>
    <w:qFormat/>
    <w:rsid w:val="00D9524E"/>
    <w:pPr>
      <w:keepNext/>
      <w:tabs>
        <w:tab w:val="left" w:pos="0"/>
        <w:tab w:val="left" w:pos="720"/>
      </w:tabs>
      <w:spacing w:after="240"/>
      <w:ind w:left="2160" w:hanging="720"/>
      <w:outlineLvl w:val="2"/>
    </w:pPr>
    <w:rPr>
      <w:szCs w:val="24"/>
    </w:rPr>
  </w:style>
  <w:style w:type="paragraph" w:styleId="Heading4">
    <w:name w:val="heading 4"/>
    <w:basedOn w:val="Normal"/>
    <w:next w:val="Normal"/>
    <w:link w:val="Heading4Char"/>
    <w:autoRedefine/>
    <w:uiPriority w:val="99"/>
    <w:qFormat/>
    <w:pPr>
      <w:keepNext/>
      <w:spacing w:after="240"/>
      <w:ind w:left="2880" w:hanging="720"/>
      <w:outlineLvl w:val="3"/>
    </w:pPr>
    <w:rPr>
      <w:b/>
      <w:bCs/>
      <w:sz w:val="28"/>
      <w:szCs w:val="28"/>
    </w:rPr>
  </w:style>
  <w:style w:type="paragraph" w:styleId="Heading5">
    <w:name w:val="heading 5"/>
    <w:basedOn w:val="Normal"/>
    <w:next w:val="Normal"/>
    <w:link w:val="Heading5Char"/>
    <w:autoRedefine/>
    <w:uiPriority w:val="99"/>
    <w:qFormat/>
    <w:pPr>
      <w:spacing w:after="240"/>
      <w:ind w:left="3600" w:hanging="720"/>
      <w:outlineLvl w:val="4"/>
    </w:pPr>
    <w:rPr>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524E"/>
    <w:rPr>
      <w:rFonts w:eastAsia="Times New Roman"/>
      <w:b/>
      <w:bCs/>
      <w:caps/>
      <w:kern w:val="32"/>
      <w:sz w:val="24"/>
      <w:szCs w:val="32"/>
    </w:rPr>
  </w:style>
  <w:style w:type="character" w:customStyle="1" w:styleId="Heading2Char">
    <w:name w:val="Heading 2 Char"/>
    <w:link w:val="Heading2"/>
    <w:uiPriority w:val="99"/>
    <w:locked/>
    <w:rsid w:val="00D9524E"/>
    <w:rPr>
      <w:rFonts w:eastAsia="Times New Roman"/>
      <w:b/>
      <w:bCs/>
      <w:sz w:val="24"/>
      <w:szCs w:val="24"/>
    </w:rPr>
  </w:style>
  <w:style w:type="character" w:customStyle="1" w:styleId="Heading3Char">
    <w:name w:val="Heading 3 Char"/>
    <w:link w:val="Heading3"/>
    <w:uiPriority w:val="99"/>
    <w:locked/>
    <w:rsid w:val="00D9524E"/>
    <w:rPr>
      <w:rFonts w:eastAsia="Times New Roman"/>
      <w:sz w:val="24"/>
      <w:szCs w:val="24"/>
    </w:rPr>
  </w:style>
  <w:style w:type="character" w:customStyle="1" w:styleId="Heading4Char">
    <w:name w:val="Heading 4 Char"/>
    <w:link w:val="Heading4"/>
    <w:uiPriority w:val="99"/>
    <w:semiHidden/>
    <w:locked/>
    <w:rPr>
      <w:rFonts w:eastAsia="Times New Roman" w:cs="Times New Roman"/>
      <w:b/>
      <w:sz w:val="28"/>
    </w:rPr>
  </w:style>
  <w:style w:type="character" w:customStyle="1" w:styleId="Heading5Char">
    <w:name w:val="Heading 5 Char"/>
    <w:link w:val="Heading5"/>
    <w:uiPriority w:val="99"/>
    <w:semiHidden/>
    <w:locked/>
    <w:rPr>
      <w:rFonts w:eastAsia="Times New Roman" w:cs="Times New Roman"/>
      <w:b/>
      <w:sz w:val="26"/>
    </w:rPr>
  </w:style>
  <w:style w:type="paragraph" w:styleId="BalloonText">
    <w:name w:val="Balloon Text"/>
    <w:basedOn w:val="Normal"/>
    <w:link w:val="BalloonTextChar"/>
    <w:uiPriority w:val="99"/>
    <w:semiHidden/>
    <w:rPr>
      <w:rFonts w:ascii="Lucida Grande" w:eastAsia="Calibri" w:hAnsi="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TOC2">
    <w:name w:val="toc 2"/>
    <w:basedOn w:val="Normal"/>
    <w:next w:val="Normal"/>
    <w:autoRedefine/>
    <w:uiPriority w:val="99"/>
    <w:pPr>
      <w:tabs>
        <w:tab w:val="left" w:pos="720"/>
        <w:tab w:val="decimal" w:leader="dot" w:pos="8640"/>
      </w:tabs>
      <w:spacing w:after="240"/>
      <w:ind w:left="1440" w:hanging="720"/>
    </w:pPr>
    <w:rPr>
      <w:szCs w:val="24"/>
    </w:rPr>
  </w:style>
  <w:style w:type="paragraph" w:styleId="TOC1">
    <w:name w:val="toc 1"/>
    <w:basedOn w:val="Normal"/>
    <w:next w:val="Normal"/>
    <w:autoRedefine/>
    <w:uiPriority w:val="99"/>
    <w:pPr>
      <w:tabs>
        <w:tab w:val="left" w:pos="720"/>
        <w:tab w:val="decimal" w:leader="dot" w:pos="8640"/>
      </w:tabs>
      <w:spacing w:after="240"/>
      <w:ind w:left="720" w:hanging="720"/>
    </w:pPr>
    <w:rPr>
      <w:caps/>
      <w:szCs w:val="24"/>
    </w:rPr>
  </w:style>
  <w:style w:type="paragraph" w:customStyle="1" w:styleId="Quote1">
    <w:name w:val="Quote1"/>
    <w:basedOn w:val="Normal"/>
    <w:autoRedefine/>
    <w:uiPriority w:val="99"/>
    <w:pPr>
      <w:spacing w:after="240"/>
      <w:ind w:left="720" w:right="720"/>
    </w:pPr>
    <w:rPr>
      <w:bCs/>
    </w:rPr>
  </w:style>
  <w:style w:type="paragraph" w:customStyle="1" w:styleId="WW-BodyTextIndent3">
    <w:name w:val="WW-Body Text Indent 3"/>
    <w:basedOn w:val="Normal"/>
    <w:uiPriority w:val="99"/>
    <w:pPr>
      <w:suppressAutoHyphens/>
      <w:spacing w:line="480" w:lineRule="atLeast"/>
      <w:ind w:firstLine="720"/>
    </w:pPr>
    <w:rPr>
      <w:lang w:eastAsia="ar-SA"/>
    </w:rPr>
  </w:style>
  <w:style w:type="character" w:customStyle="1" w:styleId="caps">
    <w:name w:val="caps"/>
    <w:uiPriority w:val="99"/>
  </w:style>
  <w:style w:type="paragraph" w:customStyle="1" w:styleId="ShortReturnAddress">
    <w:name w:val="Short Return Address"/>
    <w:basedOn w:val="Normal"/>
    <w:uiPriority w:val="99"/>
  </w:style>
  <w:style w:type="character" w:customStyle="1" w:styleId="FootnoteTextChar">
    <w:name w:val="Footnote Text Char"/>
    <w:uiPriority w:val="99"/>
    <w:locked/>
    <w:rPr>
      <w:lang w:val="en-US" w:eastAsia="en-US"/>
    </w:rPr>
  </w:style>
  <w:style w:type="character" w:customStyle="1" w:styleId="CharChar10">
    <w:name w:val="Char Char10"/>
    <w:uiPriority w:val="99"/>
    <w:semiHidden/>
    <w:locked/>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Pr>
      <w:lang w:val="en-US" w:eastAsia="en-US"/>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customStyle="1" w:styleId="term">
    <w:name w:val="term"/>
    <w:uiPriority w:val="9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3"/>
    <w:autoRedefine/>
    <w:pPr>
      <w:spacing w:after="120"/>
    </w:pPr>
    <w:rPr>
      <w:sz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1 Char,fn Char1 Char"/>
    <w:semiHidden/>
    <w:locked/>
    <w:rPr>
      <w:rFonts w:cs="Times New Roman"/>
    </w:r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Footnote Text Char Char Char"/>
    <w:link w:val="FootnoteText"/>
    <w:locked/>
    <w:rPr>
      <w:rFonts w:eastAsia="Times New Roman"/>
    </w:rPr>
  </w:style>
  <w:style w:type="paragraph" w:styleId="CommentText">
    <w:name w:val="annotation text"/>
    <w:basedOn w:val="Normal"/>
    <w:link w:val="CommentTextChar"/>
    <w:uiPriority w:val="99"/>
    <w:semiHidden/>
    <w:rPr>
      <w:szCs w:val="24"/>
    </w:rPr>
  </w:style>
  <w:style w:type="character" w:customStyle="1" w:styleId="CommentTextChar">
    <w:name w:val="Comment Text Char"/>
    <w:link w:val="CommentText"/>
    <w:uiPriority w:val="99"/>
    <w:semiHidden/>
    <w:locked/>
    <w:rPr>
      <w:rFonts w:eastAsia="Times New Roman" w:cs="Times New Roman"/>
      <w:sz w:val="24"/>
    </w:rPr>
  </w:style>
  <w:style w:type="paragraph" w:styleId="Header">
    <w:name w:val="header"/>
    <w:basedOn w:val="Normal"/>
    <w:link w:val="HeaderChar"/>
    <w:uiPriority w:val="99"/>
    <w:pPr>
      <w:tabs>
        <w:tab w:val="center" w:pos="4320"/>
        <w:tab w:val="right" w:pos="8640"/>
      </w:tabs>
    </w:pPr>
    <w:rPr>
      <w:szCs w:val="24"/>
    </w:rPr>
  </w:style>
  <w:style w:type="character" w:customStyle="1" w:styleId="HeaderChar">
    <w:name w:val="Header Char"/>
    <w:link w:val="Header"/>
    <w:uiPriority w:val="99"/>
    <w:locked/>
    <w:rPr>
      <w:rFonts w:eastAsia="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eastAsia="Times New Roman" w:cs="Times New Roman"/>
      <w:sz w:val="24"/>
    </w:rPr>
  </w:style>
  <w:style w:type="character" w:styleId="FootnoteReference">
    <w:name w:val="footnote reference"/>
    <w:aliases w:val="o,fr,Style 3,Style 13,Appel note de bas de p,Style 12,(NECG) Footnote Reference,Style 124"/>
    <w:semiHidden/>
    <w:rPr>
      <w:rFonts w:cs="Times New Roman"/>
      <w:vertAlign w:val="superscript"/>
    </w:rPr>
  </w:style>
  <w:style w:type="character" w:styleId="CommentReference">
    <w:name w:val="annotation reference"/>
    <w:uiPriority w:val="99"/>
    <w:semiHidden/>
    <w:rPr>
      <w:rFonts w:cs="Times New Roman"/>
      <w:sz w:val="18"/>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eastAsia="Times New Roman" w:cs="Times New Roman"/>
      <w:b/>
      <w:sz w:val="24"/>
    </w:rPr>
  </w:style>
  <w:style w:type="paragraph" w:styleId="BodyText">
    <w:name w:val="Body Text"/>
    <w:basedOn w:val="Normal"/>
    <w:link w:val="BodyTextChar"/>
    <w:uiPriority w:val="99"/>
    <w:pPr>
      <w:tabs>
        <w:tab w:val="left" w:pos="0"/>
        <w:tab w:val="left" w:pos="720"/>
      </w:tabs>
      <w:spacing w:line="480" w:lineRule="auto"/>
      <w:ind w:firstLine="720"/>
    </w:pPr>
  </w:style>
  <w:style w:type="character" w:customStyle="1" w:styleId="BodyTextChar">
    <w:name w:val="Body Text Char"/>
    <w:link w:val="BodyText"/>
    <w:uiPriority w:val="99"/>
    <w:locked/>
    <w:rPr>
      <w:rFonts w:eastAsia="Times New Roman" w:cs="Times New Roman"/>
      <w:sz w:val="24"/>
    </w:rPr>
  </w:style>
  <w:style w:type="paragraph" w:styleId="BodyTextIndent">
    <w:name w:val="Body Text Indent"/>
    <w:basedOn w:val="Normal"/>
    <w:link w:val="BodyTextIndentChar"/>
    <w:uiPriority w:val="99"/>
    <w:pPr>
      <w:spacing w:line="480" w:lineRule="auto"/>
      <w:ind w:firstLine="720"/>
    </w:pPr>
    <w:rPr>
      <w:szCs w:val="24"/>
    </w:rPr>
  </w:style>
  <w:style w:type="character" w:customStyle="1" w:styleId="BodyTextIndentChar">
    <w:name w:val="Body Text Indent Char"/>
    <w:link w:val="BodyTextIndent"/>
    <w:uiPriority w:val="99"/>
    <w:locked/>
    <w:rPr>
      <w:rFonts w:eastAsia="Times New Roman" w:cs="Times New Roman"/>
      <w:sz w:val="24"/>
    </w:rPr>
  </w:style>
  <w:style w:type="paragraph" w:styleId="BodyText2">
    <w:name w:val="Body Text 2"/>
    <w:basedOn w:val="Normal"/>
    <w:link w:val="BodyText2Char"/>
    <w:uiPriority w:val="99"/>
    <w:pPr>
      <w:spacing w:after="120" w:line="480" w:lineRule="auto"/>
    </w:pPr>
    <w:rPr>
      <w:szCs w:val="24"/>
    </w:rPr>
  </w:style>
  <w:style w:type="character" w:customStyle="1" w:styleId="BodyText2Char">
    <w:name w:val="Body Text 2 Char"/>
    <w:link w:val="BodyText2"/>
    <w:uiPriority w:val="99"/>
    <w:locked/>
    <w:rPr>
      <w:rFonts w:eastAsia="Times New Roman" w:cs="Times New Roman"/>
      <w:sz w:val="24"/>
    </w:rPr>
  </w:style>
  <w:style w:type="paragraph" w:styleId="BodyTextIndent2">
    <w:name w:val="Body Text Indent 2"/>
    <w:basedOn w:val="Normal"/>
    <w:link w:val="BodyTextIndent2Char"/>
    <w:uiPriority w:val="99"/>
    <w:pPr>
      <w:widowControl w:val="0"/>
      <w:autoSpaceDE w:val="0"/>
      <w:autoSpaceDN w:val="0"/>
      <w:adjustRightInd w:val="0"/>
      <w:spacing w:after="120" w:line="480" w:lineRule="auto"/>
      <w:ind w:left="360"/>
    </w:pPr>
    <w:rPr>
      <w:rFonts w:ascii="Courier New" w:eastAsia="Calibri" w:hAnsi="Courier New"/>
      <w:sz w:val="20"/>
    </w:rPr>
  </w:style>
  <w:style w:type="character" w:customStyle="1" w:styleId="BodyTextIndent2Char">
    <w:name w:val="Body Text Indent 2 Char"/>
    <w:link w:val="BodyTextIndent2"/>
    <w:uiPriority w:val="99"/>
    <w:locked/>
    <w:rPr>
      <w:rFonts w:ascii="Courier New" w:hAnsi="Courier New" w:cs="Times New Roman"/>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locked/>
    <w:rPr>
      <w:rFonts w:eastAsia="Times New Roman" w:cs="Times New Roman"/>
      <w:sz w:val="16"/>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paragraph" w:styleId="NormalWeb">
    <w:name w:val="Normal (Web)"/>
    <w:basedOn w:val="Normal"/>
    <w:uiPriority w:val="99"/>
    <w:pPr>
      <w:spacing w:before="100" w:beforeAutospacing="1" w:after="100" w:afterAutospacing="1"/>
    </w:pPr>
    <w:rPr>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PreformattedChar">
    <w:name w:val="HTML Preformatted Char"/>
    <w:link w:val="HTMLPreformatted"/>
    <w:uiPriority w:val="99"/>
    <w:locked/>
    <w:rPr>
      <w:rFonts w:ascii="Courier New" w:hAnsi="Courier New" w:cs="Times New Roma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link w:val="CommentSubject"/>
    <w:uiPriority w:val="99"/>
    <w:semiHidden/>
    <w:locked/>
    <w:rPr>
      <w:rFonts w:eastAsia="Times New Roman" w:cs="Times New Roman"/>
      <w:sz w:val="24"/>
    </w:rPr>
  </w:style>
  <w:style w:type="table" w:styleId="TableGrid">
    <w:name w:val="Table Grid"/>
    <w:basedOn w:val="TableNormal"/>
    <w:uiPriority w:val="9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List">
    <w:name w:val="List"/>
    <w:basedOn w:val="Normal"/>
    <w:uiPriority w:val="99"/>
    <w:pPr>
      <w:spacing w:after="140" w:line="320" w:lineRule="atLeast"/>
      <w:ind w:left="540" w:hanging="540"/>
    </w:pPr>
    <w:rPr>
      <w:rFonts w:eastAsia="Calibri"/>
      <w:sz w:val="26"/>
    </w:rPr>
  </w:style>
  <w:style w:type="paragraph" w:customStyle="1" w:styleId="msolistparagraph0">
    <w:name w:val="msolistparagraph"/>
    <w:basedOn w:val="Normal"/>
    <w:uiPriority w:val="99"/>
    <w:pPr>
      <w:spacing w:before="100" w:beforeAutospacing="1" w:after="100" w:afterAutospacing="1"/>
      <w:ind w:left="720"/>
    </w:pPr>
    <w:rPr>
      <w:rFonts w:eastAsia="Calibri"/>
      <w:szCs w:val="24"/>
    </w:rPr>
  </w:style>
  <w:style w:type="paragraph" w:customStyle="1" w:styleId="indexheadin">
    <w:name w:val="index headin"/>
    <w:rsid w:val="007D220C"/>
    <w:pPr>
      <w:widowControl w:val="0"/>
      <w:tabs>
        <w:tab w:val="left" w:pos="-720"/>
      </w:tabs>
      <w:suppressAutoHyphens/>
    </w:pPr>
    <w:rPr>
      <w:rFonts w:ascii="Courier New" w:eastAsia="Times New Roman" w:hAnsi="Courier New"/>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039055">
      <w:bodyDiv w:val="1"/>
      <w:marLeft w:val="0"/>
      <w:marRight w:val="0"/>
      <w:marTop w:val="0"/>
      <w:marBottom w:val="0"/>
      <w:divBdr>
        <w:top w:val="none" w:sz="0" w:space="0" w:color="auto"/>
        <w:left w:val="none" w:sz="0" w:space="0" w:color="auto"/>
        <w:bottom w:val="none" w:sz="0" w:space="0" w:color="auto"/>
        <w:right w:val="none" w:sz="0" w:space="0" w:color="auto"/>
      </w:divBdr>
    </w:div>
    <w:div w:id="1311400218">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hpetricoff@vorys.com" TargetMode="External"/><Relationship Id="rId26" Type="http://schemas.openxmlformats.org/officeDocument/2006/relationships/hyperlink" Target="mailto:jlang@calfee.com" TargetMode="External"/><Relationship Id="rId3" Type="http://schemas.microsoft.com/office/2007/relationships/stylesWithEffects" Target="stylesWithEffects.xml"/><Relationship Id="rId21" Type="http://schemas.openxmlformats.org/officeDocument/2006/relationships/hyperlink" Target="mailto:sam@mwncmh.co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conway@porterwright.com" TargetMode="External"/><Relationship Id="rId25" Type="http://schemas.openxmlformats.org/officeDocument/2006/relationships/hyperlink" Target="mailto:haydenm@firstenergycorp.com" TargetMode="External"/><Relationship Id="rId33" Type="http://schemas.openxmlformats.org/officeDocument/2006/relationships/hyperlink" Target="mailto:Jonathan.tauber@puc.state.oh.us" TargetMode="External"/><Relationship Id="rId2" Type="http://schemas.openxmlformats.org/officeDocument/2006/relationships/styles" Target="styles.xml"/><Relationship Id="rId16" Type="http://schemas.openxmlformats.org/officeDocument/2006/relationships/hyperlink" Target="mailto:stnourse@aep.com" TargetMode="External"/><Relationship Id="rId20" Type="http://schemas.openxmlformats.org/officeDocument/2006/relationships/hyperlink" Target="mailto:glpetrucci@vorys.com" TargetMode="External"/><Relationship Id="rId29" Type="http://schemas.openxmlformats.org/officeDocument/2006/relationships/hyperlink" Target="mailto:dboehm@BKLlawfirm.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pritchard@mwncmh.com" TargetMode="External"/><Relationship Id="rId32" Type="http://schemas.openxmlformats.org/officeDocument/2006/relationships/hyperlink" Target="mailto:Sarah.parrot@puc.state.oh.us" TargetMode="External"/><Relationship Id="rId5" Type="http://schemas.openxmlformats.org/officeDocument/2006/relationships/webSettings" Target="webSettings.xml"/><Relationship Id="rId15" Type="http://schemas.openxmlformats.org/officeDocument/2006/relationships/hyperlink" Target="mailto:John.jones@puc.state.oh.us" TargetMode="External"/><Relationship Id="rId23" Type="http://schemas.openxmlformats.org/officeDocument/2006/relationships/hyperlink" Target="mailto:joliker@mwncmh.com" TargetMode="External"/><Relationship Id="rId28" Type="http://schemas.openxmlformats.org/officeDocument/2006/relationships/hyperlink" Target="mailto:talexander@calfee.co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mhoward@vorys.com" TargetMode="External"/><Relationship Id="rId31" Type="http://schemas.openxmlformats.org/officeDocument/2006/relationships/hyperlink" Target="mailto:jkylercohn@BKLlawfirm.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ady@occ.state.oh.us" TargetMode="External"/><Relationship Id="rId22" Type="http://schemas.openxmlformats.org/officeDocument/2006/relationships/hyperlink" Target="mailto:fdarr@mwncmh.com" TargetMode="External"/><Relationship Id="rId27" Type="http://schemas.openxmlformats.org/officeDocument/2006/relationships/hyperlink" Target="mailto:lmcbride@calfee.com" TargetMode="External"/><Relationship Id="rId30" Type="http://schemas.openxmlformats.org/officeDocument/2006/relationships/hyperlink" Target="mailto:mkurtz@BKLlawfirm.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2293</Words>
  <Characters>12147</Characters>
  <Application>Microsoft Office Word</Application>
  <DocSecurity>0</DocSecurity>
  <Lines>262</Lines>
  <Paragraphs>79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14503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2013-12-20T21:48:00Z</cp:lastPrinted>
  <dcterms:created xsi:type="dcterms:W3CDTF">2013-12-23T14:17:00Z</dcterms:created>
  <dcterms:modified xsi:type="dcterms:W3CDTF">2013-12-23T14:17:00Z</dcterms:modified>
  <cp:category> </cp:category>
  <cp:contentStatus> </cp:contentStatus>
</cp:coreProperties>
</file>