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0D436" w14:textId="77777777" w:rsidR="00DF1F6F" w:rsidRPr="00DF1F6F" w:rsidRDefault="00DF1F6F" w:rsidP="00DF1F6F">
      <w:pPr>
        <w:jc w:val="center"/>
        <w:rPr>
          <w:rFonts w:eastAsia="Calibri" w:cs="Arial"/>
          <w:b/>
          <w:smallCaps/>
          <w:sz w:val="28"/>
          <w:szCs w:val="28"/>
        </w:rPr>
      </w:pPr>
      <w:bookmarkStart w:id="0" w:name="_GoBack"/>
      <w:bookmarkEnd w:id="0"/>
      <w:r w:rsidRPr="00DF1F6F">
        <w:rPr>
          <w:rFonts w:eastAsia="Calibri" w:cs="Arial"/>
          <w:b/>
          <w:smallCaps/>
          <w:sz w:val="28"/>
          <w:szCs w:val="28"/>
        </w:rPr>
        <w:t>Before</w:t>
      </w:r>
    </w:p>
    <w:p w14:paraId="05DA06B2" w14:textId="77777777" w:rsidR="00DF1F6F" w:rsidRPr="00DF1F6F" w:rsidRDefault="00DF1F6F" w:rsidP="00DF1F6F">
      <w:pPr>
        <w:jc w:val="center"/>
        <w:rPr>
          <w:rFonts w:eastAsia="Calibri" w:cs="Arial"/>
          <w:b/>
          <w:smallCaps/>
          <w:sz w:val="28"/>
          <w:szCs w:val="28"/>
        </w:rPr>
      </w:pPr>
      <w:r w:rsidRPr="00DF1F6F">
        <w:rPr>
          <w:rFonts w:eastAsia="Calibri" w:cs="Arial"/>
          <w:b/>
          <w:smallCaps/>
          <w:sz w:val="28"/>
          <w:szCs w:val="28"/>
        </w:rPr>
        <w:t>The Public Utilities Commission of Ohio</w:t>
      </w:r>
    </w:p>
    <w:p w14:paraId="183F7D6F" w14:textId="77777777" w:rsidR="00DF1F6F" w:rsidRPr="00DF1F6F" w:rsidRDefault="00DF1F6F" w:rsidP="00DF1F6F">
      <w:pPr>
        <w:autoSpaceDE w:val="0"/>
        <w:autoSpaceDN w:val="0"/>
        <w:adjustRightInd w:val="0"/>
        <w:rPr>
          <w:rFonts w:eastAsia="Calibri" w:cs="Arial"/>
          <w:sz w:val="28"/>
          <w:szCs w:val="28"/>
        </w:rPr>
      </w:pPr>
    </w:p>
    <w:p w14:paraId="56BBC997" w14:textId="77777777" w:rsidR="00DF1F6F" w:rsidRPr="00243BCE" w:rsidRDefault="00DF1F6F" w:rsidP="00DF1F6F">
      <w:pPr>
        <w:autoSpaceDE w:val="0"/>
        <w:autoSpaceDN w:val="0"/>
        <w:adjustRightInd w:val="0"/>
        <w:rPr>
          <w:rFonts w:eastAsia="Calibri" w:cs="Arial"/>
        </w:rPr>
      </w:pPr>
    </w:p>
    <w:p w14:paraId="7D317D85" w14:textId="77777777" w:rsidR="00DF1F6F" w:rsidRPr="00243BCE" w:rsidRDefault="00DF1F6F" w:rsidP="00DF1F6F">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In the Matter of the Application of Ohio</w:t>
      </w:r>
      <w:r w:rsidRPr="00243BCE">
        <w:rPr>
          <w:rFonts w:eastAsia="Calibri" w:cs="Arial"/>
        </w:rPr>
        <w:tab/>
      </w:r>
      <w:r w:rsidRPr="00243BCE">
        <w:rPr>
          <w:rFonts w:eastAsia="Calibri" w:cs="Arial"/>
        </w:rPr>
        <w:tab/>
        <w:t>)</w:t>
      </w:r>
    </w:p>
    <w:p w14:paraId="6EA94515" w14:textId="77777777" w:rsidR="00DF1F6F" w:rsidRPr="00243BCE" w:rsidRDefault="00DF1F6F" w:rsidP="00DF1F6F">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 xml:space="preserve">Edison Company, </w:t>
      </w:r>
      <w:proofErr w:type="gramStart"/>
      <w:r w:rsidRPr="00243BCE">
        <w:rPr>
          <w:rFonts w:eastAsia="Calibri" w:cs="Arial"/>
        </w:rPr>
        <w:t>The</w:t>
      </w:r>
      <w:proofErr w:type="gramEnd"/>
      <w:r w:rsidRPr="00243BCE">
        <w:rPr>
          <w:rFonts w:eastAsia="Calibri" w:cs="Arial"/>
        </w:rPr>
        <w:t xml:space="preserve"> Cleveland Electric</w:t>
      </w:r>
      <w:r w:rsidRPr="00243BCE">
        <w:rPr>
          <w:rFonts w:eastAsia="Calibri" w:cs="Arial"/>
        </w:rPr>
        <w:tab/>
        <w:t>)</w:t>
      </w:r>
    </w:p>
    <w:p w14:paraId="6ECC3AE0" w14:textId="77777777" w:rsidR="00DF1F6F" w:rsidRPr="00243BCE" w:rsidRDefault="00DF1F6F" w:rsidP="00DF1F6F">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 xml:space="preserve">Illuminating Company and </w:t>
      </w:r>
      <w:proofErr w:type="gramStart"/>
      <w:r w:rsidRPr="00243BCE">
        <w:rPr>
          <w:rFonts w:eastAsia="Calibri" w:cs="Arial"/>
        </w:rPr>
        <w:t>The</w:t>
      </w:r>
      <w:proofErr w:type="gramEnd"/>
      <w:r w:rsidRPr="00243BCE">
        <w:rPr>
          <w:rFonts w:eastAsia="Calibri" w:cs="Arial"/>
        </w:rPr>
        <w:t xml:space="preserve"> Toledo</w:t>
      </w:r>
      <w:r w:rsidRPr="00243BCE">
        <w:rPr>
          <w:rFonts w:eastAsia="Calibri" w:cs="Arial"/>
        </w:rPr>
        <w:tab/>
      </w:r>
      <w:r w:rsidRPr="00243BCE">
        <w:rPr>
          <w:rFonts w:eastAsia="Calibri" w:cs="Arial"/>
        </w:rPr>
        <w:tab/>
        <w:t>)</w:t>
      </w:r>
    </w:p>
    <w:p w14:paraId="2BFB9425" w14:textId="77777777" w:rsidR="00DF1F6F" w:rsidRPr="00243BCE" w:rsidRDefault="00DF1F6F" w:rsidP="00DF1F6F">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for Authority to Provide</w:t>
      </w:r>
      <w:r w:rsidRPr="00243BCE">
        <w:rPr>
          <w:rFonts w:eastAsia="Calibri" w:cs="Arial"/>
        </w:rPr>
        <w:tab/>
        <w:t>)</w:t>
      </w:r>
      <w:r w:rsidRPr="00243BCE">
        <w:rPr>
          <w:rFonts w:eastAsia="Calibri" w:cs="Arial"/>
        </w:rPr>
        <w:tab/>
        <w:t>Case No. 14-1297-EL-SSO</w:t>
      </w:r>
    </w:p>
    <w:p w14:paraId="6D6F1127" w14:textId="77777777" w:rsidR="00DF1F6F" w:rsidRPr="00243BCE" w:rsidRDefault="00DF1F6F" w:rsidP="00DF1F6F">
      <w:pPr>
        <w:tabs>
          <w:tab w:val="left" w:pos="-1440"/>
          <w:tab w:val="left" w:pos="-720"/>
          <w:tab w:val="left" w:pos="4320"/>
          <w:tab w:val="left" w:pos="4680"/>
        </w:tabs>
        <w:overflowPunct w:val="0"/>
        <w:autoSpaceDE w:val="0"/>
        <w:autoSpaceDN w:val="0"/>
        <w:adjustRightInd w:val="0"/>
        <w:rPr>
          <w:rFonts w:eastAsia="Calibri" w:cs="Arial"/>
        </w:rPr>
      </w:pPr>
      <w:proofErr w:type="gramStart"/>
      <w:r w:rsidRPr="00243BCE">
        <w:rPr>
          <w:rFonts w:eastAsia="Calibri" w:cs="Arial"/>
        </w:rPr>
        <w:t>for</w:t>
      </w:r>
      <w:proofErr w:type="gramEnd"/>
      <w:r w:rsidRPr="00243BCE">
        <w:rPr>
          <w:rFonts w:eastAsia="Calibri" w:cs="Arial"/>
        </w:rPr>
        <w:t xml:space="preserve"> a Standard Service Offer Pursuant to</w:t>
      </w:r>
      <w:r w:rsidRPr="00243BCE">
        <w:rPr>
          <w:rFonts w:eastAsia="Calibri" w:cs="Arial"/>
        </w:rPr>
        <w:tab/>
      </w:r>
      <w:r w:rsidRPr="00243BCE">
        <w:rPr>
          <w:rFonts w:eastAsia="Calibri" w:cs="Arial"/>
        </w:rPr>
        <w:tab/>
        <w:t>)</w:t>
      </w:r>
    </w:p>
    <w:p w14:paraId="58F1EA78" w14:textId="77777777" w:rsidR="00DF1F6F" w:rsidRPr="00243BCE" w:rsidRDefault="00DF1F6F" w:rsidP="00DF1F6F">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R.C. 4928.143 in the Form of an Electric</w:t>
      </w:r>
      <w:r w:rsidRPr="00243BCE">
        <w:rPr>
          <w:rFonts w:eastAsia="Calibri" w:cs="Arial"/>
        </w:rPr>
        <w:tab/>
      </w:r>
      <w:r w:rsidRPr="00243BCE">
        <w:rPr>
          <w:rFonts w:eastAsia="Calibri" w:cs="Arial"/>
        </w:rPr>
        <w:tab/>
        <w:t>)</w:t>
      </w:r>
    </w:p>
    <w:p w14:paraId="53BCED9C" w14:textId="77777777" w:rsidR="00DF1F6F" w:rsidRPr="00243BCE" w:rsidRDefault="00DF1F6F" w:rsidP="00DF1F6F">
      <w:pPr>
        <w:tabs>
          <w:tab w:val="left" w:pos="-1440"/>
          <w:tab w:val="left" w:pos="-720"/>
          <w:tab w:val="left" w:pos="4320"/>
          <w:tab w:val="left" w:pos="4500"/>
          <w:tab w:val="left" w:pos="4680"/>
        </w:tabs>
        <w:overflowPunct w:val="0"/>
        <w:autoSpaceDE w:val="0"/>
        <w:autoSpaceDN w:val="0"/>
        <w:adjustRightInd w:val="0"/>
        <w:rPr>
          <w:rFonts w:eastAsia="Calibri" w:cs="Arial"/>
        </w:rPr>
      </w:pPr>
      <w:r w:rsidRPr="00243BCE">
        <w:rPr>
          <w:rFonts w:eastAsia="Calibri" w:cs="Arial"/>
        </w:rPr>
        <w:t>Security Plan.</w:t>
      </w:r>
      <w:r w:rsidRPr="00243BCE">
        <w:rPr>
          <w:rFonts w:eastAsia="Calibri" w:cs="Arial"/>
        </w:rPr>
        <w:tab/>
      </w:r>
      <w:r w:rsidRPr="00243BCE">
        <w:rPr>
          <w:rFonts w:eastAsia="Calibri" w:cs="Arial"/>
        </w:rPr>
        <w:tab/>
      </w:r>
      <w:r w:rsidRPr="00243BCE">
        <w:rPr>
          <w:rFonts w:eastAsia="Calibri" w:cs="Arial"/>
        </w:rPr>
        <w:tab/>
        <w:t>)</w:t>
      </w:r>
    </w:p>
    <w:p w14:paraId="11F468B8" w14:textId="77777777" w:rsidR="00DF1F6F" w:rsidRPr="00243BCE" w:rsidRDefault="00DF1F6F" w:rsidP="00DF1F6F">
      <w:pPr>
        <w:pBdr>
          <w:bottom w:val="single" w:sz="12" w:space="1" w:color="auto"/>
        </w:pBdr>
        <w:rPr>
          <w:rFonts w:eastAsia="Calibri" w:cs="Times New Roman"/>
        </w:rPr>
      </w:pPr>
    </w:p>
    <w:p w14:paraId="686215A9" w14:textId="77777777" w:rsidR="00DF1F6F" w:rsidRPr="00243BCE" w:rsidRDefault="00DF1F6F" w:rsidP="00DF1F6F">
      <w:pPr>
        <w:pBdr>
          <w:bottom w:val="single" w:sz="12" w:space="1" w:color="auto"/>
        </w:pBdr>
        <w:rPr>
          <w:rFonts w:eastAsia="Calibri" w:cs="Times New Roman"/>
        </w:rPr>
      </w:pPr>
    </w:p>
    <w:p w14:paraId="15E5E4CA" w14:textId="77777777" w:rsidR="00DF1F6F" w:rsidRPr="00243BCE" w:rsidRDefault="00DF1F6F" w:rsidP="00DF1F6F">
      <w:pPr>
        <w:rPr>
          <w:rFonts w:eastAsia="Calibri" w:cs="Times New Roman"/>
          <w:b/>
        </w:rPr>
      </w:pPr>
    </w:p>
    <w:p w14:paraId="2F86DE8B" w14:textId="77777777" w:rsidR="00DF1F6F" w:rsidRPr="00C32755" w:rsidRDefault="00DF1F6F" w:rsidP="00FC4D86">
      <w:pPr>
        <w:jc w:val="center"/>
        <w:rPr>
          <w:rFonts w:ascii="Arial Bold" w:eastAsia="Calibri" w:hAnsi="Arial Bold" w:cs="Times New Roman"/>
          <w:b/>
          <w:smallCaps/>
          <w:sz w:val="28"/>
          <w:szCs w:val="28"/>
        </w:rPr>
      </w:pPr>
      <w:r w:rsidRPr="00DF1F6F">
        <w:rPr>
          <w:rFonts w:ascii="Arial Bold" w:eastAsia="Calibri" w:hAnsi="Arial Bold" w:cs="Times New Roman"/>
          <w:b/>
          <w:smallCaps/>
          <w:sz w:val="28"/>
          <w:szCs w:val="28"/>
        </w:rPr>
        <w:t>Memorandum Contra of Industrial Energy Users-Ohio</w:t>
      </w:r>
      <w:r w:rsidR="00FC4D86">
        <w:rPr>
          <w:rFonts w:ascii="Arial Bold" w:eastAsia="Calibri" w:hAnsi="Arial Bold" w:cs="Times New Roman"/>
          <w:b/>
          <w:smallCaps/>
          <w:sz w:val="28"/>
          <w:szCs w:val="28"/>
        </w:rPr>
        <w:t xml:space="preserve"> </w:t>
      </w:r>
      <w:r w:rsidRPr="00DF1F6F">
        <w:rPr>
          <w:rFonts w:ascii="Arial Bold" w:eastAsia="Calibri" w:hAnsi="Arial Bold" w:cs="Times New Roman"/>
          <w:b/>
          <w:smallCaps/>
          <w:sz w:val="28"/>
          <w:szCs w:val="28"/>
        </w:rPr>
        <w:t>to the Application for Rehearing of</w:t>
      </w:r>
      <w:r w:rsidR="00C32755">
        <w:rPr>
          <w:rFonts w:ascii="Arial Bold" w:eastAsia="Calibri" w:hAnsi="Arial Bold" w:cs="Times New Roman"/>
          <w:b/>
          <w:smallCaps/>
          <w:sz w:val="28"/>
          <w:szCs w:val="28"/>
        </w:rPr>
        <w:t xml:space="preserve"> the Ohio Environmental </w:t>
      </w:r>
      <w:r w:rsidR="00516758">
        <w:rPr>
          <w:rFonts w:ascii="Arial Bold" w:eastAsia="Calibri" w:hAnsi="Arial Bold" w:cs="Times New Roman"/>
          <w:b/>
          <w:smallCaps/>
          <w:sz w:val="28"/>
          <w:szCs w:val="28"/>
        </w:rPr>
        <w:t>Council</w:t>
      </w:r>
      <w:r w:rsidR="00C32755">
        <w:rPr>
          <w:rFonts w:ascii="Arial Bold" w:eastAsia="Calibri" w:hAnsi="Arial Bold" w:cs="Times New Roman"/>
          <w:b/>
          <w:smallCaps/>
          <w:sz w:val="28"/>
          <w:szCs w:val="28"/>
        </w:rPr>
        <w:t>, the Environmental Defense Fund, and the Environmental Law and Policy Center</w:t>
      </w:r>
    </w:p>
    <w:p w14:paraId="64144712" w14:textId="77777777" w:rsidR="00DF1F6F" w:rsidRPr="00243BCE" w:rsidRDefault="00DF1F6F" w:rsidP="00DF1F6F">
      <w:pPr>
        <w:rPr>
          <w:rFonts w:eastAsia="Calibri" w:cs="Times New Roman"/>
          <w:b/>
        </w:rPr>
      </w:pPr>
      <w:r w:rsidRPr="00243BCE">
        <w:rPr>
          <w:rFonts w:eastAsia="Calibri" w:cs="Times New Roman"/>
          <w:b/>
        </w:rPr>
        <w:t>______________________________________________________________________</w:t>
      </w:r>
    </w:p>
    <w:p w14:paraId="78F76FCD" w14:textId="77777777" w:rsidR="00DF1F6F" w:rsidRPr="00243BCE" w:rsidRDefault="00DF1F6F" w:rsidP="00DF1F6F">
      <w:pPr>
        <w:rPr>
          <w:rFonts w:eastAsia="Calibri" w:cs="Times New Roman"/>
        </w:rPr>
      </w:pPr>
    </w:p>
    <w:p w14:paraId="47890BC0" w14:textId="77777777" w:rsidR="00DF1F6F" w:rsidRPr="00243BCE" w:rsidRDefault="00DF1F6F" w:rsidP="00DF1F6F">
      <w:pPr>
        <w:rPr>
          <w:rFonts w:eastAsia="Calibri" w:cs="Times New Roman"/>
        </w:rPr>
      </w:pPr>
    </w:p>
    <w:p w14:paraId="6F949D63" w14:textId="77777777" w:rsidR="00DF1F6F" w:rsidRPr="00243BCE" w:rsidRDefault="00DF1F6F" w:rsidP="00DF1F6F">
      <w:pPr>
        <w:rPr>
          <w:rFonts w:eastAsia="Calibri" w:cs="Times New Roman"/>
        </w:rPr>
      </w:pPr>
    </w:p>
    <w:p w14:paraId="3366DA99" w14:textId="77777777" w:rsidR="00DF1F6F" w:rsidRPr="00243BCE" w:rsidRDefault="00DF1F6F" w:rsidP="00DF1F6F">
      <w:pPr>
        <w:rPr>
          <w:rFonts w:eastAsia="Calibri" w:cs="Times New Roman"/>
        </w:rPr>
      </w:pPr>
    </w:p>
    <w:p w14:paraId="0BDCEE56" w14:textId="77777777" w:rsidR="00DF1F6F" w:rsidRDefault="00DF1F6F" w:rsidP="00DF1F6F">
      <w:pPr>
        <w:rPr>
          <w:rFonts w:eastAsia="Calibri" w:cs="Times New Roman"/>
        </w:rPr>
      </w:pPr>
    </w:p>
    <w:p w14:paraId="35B0090C" w14:textId="77777777" w:rsidR="00DF1F6F" w:rsidRDefault="00DF1F6F" w:rsidP="00DF1F6F">
      <w:pPr>
        <w:rPr>
          <w:rFonts w:eastAsia="Calibri" w:cs="Times New Roman"/>
        </w:rPr>
      </w:pPr>
    </w:p>
    <w:p w14:paraId="3D57E6DA" w14:textId="77777777" w:rsidR="00DF1F6F" w:rsidRDefault="00DF1F6F" w:rsidP="00DF1F6F">
      <w:pPr>
        <w:rPr>
          <w:rFonts w:eastAsia="Calibri" w:cs="Times New Roman"/>
        </w:rPr>
      </w:pPr>
    </w:p>
    <w:p w14:paraId="70401CB3" w14:textId="77777777" w:rsidR="00DF1F6F" w:rsidRDefault="00DF1F6F" w:rsidP="00DF1F6F">
      <w:pPr>
        <w:rPr>
          <w:rFonts w:eastAsia="Calibri" w:cs="Times New Roman"/>
        </w:rPr>
      </w:pPr>
    </w:p>
    <w:p w14:paraId="6699E142" w14:textId="77777777" w:rsidR="00DF1F6F" w:rsidRDefault="00DF1F6F" w:rsidP="00DF1F6F">
      <w:pPr>
        <w:rPr>
          <w:rFonts w:eastAsia="Calibri" w:cs="Times New Roman"/>
        </w:rPr>
      </w:pPr>
    </w:p>
    <w:p w14:paraId="38637FE9" w14:textId="77777777" w:rsidR="00DF1F6F" w:rsidRDefault="00DF1F6F" w:rsidP="00DF1F6F">
      <w:pPr>
        <w:rPr>
          <w:rFonts w:eastAsia="Calibri" w:cs="Times New Roman"/>
        </w:rPr>
      </w:pPr>
    </w:p>
    <w:p w14:paraId="5C2EECCD" w14:textId="77777777" w:rsidR="00DF1F6F" w:rsidRDefault="00DF1F6F" w:rsidP="00DF1F6F">
      <w:pPr>
        <w:rPr>
          <w:rFonts w:eastAsia="Calibri" w:cs="Times New Roman"/>
        </w:rPr>
      </w:pPr>
    </w:p>
    <w:p w14:paraId="0F3F688A" w14:textId="77777777" w:rsidR="00DF1F6F" w:rsidRPr="00243BCE" w:rsidRDefault="00DF1F6F" w:rsidP="00DF1F6F">
      <w:pPr>
        <w:rPr>
          <w:rFonts w:eastAsia="Calibri" w:cs="Times New Roman"/>
        </w:rPr>
      </w:pPr>
    </w:p>
    <w:p w14:paraId="0E9A3779" w14:textId="77777777" w:rsidR="00DF1F6F" w:rsidRPr="00243BCE" w:rsidRDefault="00DF1F6F" w:rsidP="00DF1F6F">
      <w:pPr>
        <w:rPr>
          <w:rFonts w:eastAsia="Calibri" w:cs="Times New Roman"/>
        </w:rPr>
      </w:pPr>
    </w:p>
    <w:p w14:paraId="4D4EDF6B" w14:textId="77777777" w:rsidR="00DF1F6F" w:rsidRPr="00243BCE" w:rsidRDefault="00DF1F6F" w:rsidP="00DF1F6F">
      <w:pPr>
        <w:widowControl w:val="0"/>
        <w:ind w:left="4140"/>
        <w:rPr>
          <w:rFonts w:eastAsia="Calibri" w:cs="Times New Roman"/>
          <w:b/>
          <w:bCs/>
          <w:color w:val="000000"/>
        </w:rPr>
      </w:pPr>
      <w:r w:rsidRPr="00243BCE">
        <w:rPr>
          <w:rFonts w:eastAsia="Calibri" w:cs="Times New Roman"/>
          <w:bCs/>
          <w:color w:val="000000"/>
        </w:rPr>
        <w:t>Frank P. Darr (Reg. No. 0025469)</w:t>
      </w:r>
    </w:p>
    <w:p w14:paraId="65DDEA21" w14:textId="77777777" w:rsidR="00DF1F6F" w:rsidRPr="00243BCE" w:rsidRDefault="00DF1F6F" w:rsidP="00DF1F6F">
      <w:pPr>
        <w:tabs>
          <w:tab w:val="right" w:pos="8640"/>
        </w:tabs>
        <w:ind w:left="4140"/>
        <w:rPr>
          <w:rFonts w:eastAsia="Calibri" w:cs="Times New Roman"/>
          <w:color w:val="000000"/>
        </w:rPr>
      </w:pPr>
      <w:r w:rsidRPr="00243BCE">
        <w:rPr>
          <w:rFonts w:eastAsia="Calibri" w:cs="Times New Roman"/>
          <w:b/>
          <w:bCs/>
          <w:color w:val="000000"/>
        </w:rPr>
        <w:t xml:space="preserve">  </w:t>
      </w:r>
      <w:r w:rsidRPr="00243BCE">
        <w:rPr>
          <w:rFonts w:eastAsia="Calibri" w:cs="Times New Roman"/>
          <w:color w:val="000000"/>
        </w:rPr>
        <w:t>(Counsel of Record)</w:t>
      </w:r>
    </w:p>
    <w:p w14:paraId="0D6BE12A" w14:textId="77777777" w:rsidR="00DF1F6F" w:rsidRPr="00243BCE" w:rsidRDefault="00DF1F6F" w:rsidP="00DF1F6F">
      <w:pPr>
        <w:widowControl w:val="0"/>
        <w:ind w:left="4140"/>
        <w:rPr>
          <w:rFonts w:eastAsia="Calibri" w:cs="Times New Roman"/>
          <w:b/>
          <w:bCs/>
          <w:color w:val="000000"/>
        </w:rPr>
      </w:pPr>
      <w:r w:rsidRPr="00243BCE">
        <w:rPr>
          <w:rFonts w:eastAsia="Calibri" w:cs="Times New Roman"/>
          <w:bCs/>
          <w:color w:val="000000"/>
        </w:rPr>
        <w:t>Matthew R. Pritchard (Reg. No. 0088070)</w:t>
      </w:r>
    </w:p>
    <w:p w14:paraId="7EA9AE51" w14:textId="77777777" w:rsidR="00DF1F6F" w:rsidRPr="00243BCE" w:rsidRDefault="00DF1F6F" w:rsidP="00DF1F6F">
      <w:pPr>
        <w:widowControl w:val="0"/>
        <w:ind w:left="4140"/>
        <w:rPr>
          <w:rFonts w:eastAsia="Calibri" w:cs="Times New Roman"/>
          <w:b/>
          <w:bCs/>
          <w:smallCaps/>
          <w:color w:val="000000"/>
        </w:rPr>
      </w:pPr>
      <w:r w:rsidRPr="00243BCE">
        <w:rPr>
          <w:rFonts w:eastAsia="Calibri" w:cs="Times New Roman"/>
          <w:bCs/>
          <w:smallCaps/>
          <w:color w:val="000000"/>
        </w:rPr>
        <w:t>McNees Wallace &amp; Nurick LLC</w:t>
      </w:r>
    </w:p>
    <w:p w14:paraId="4E91641E" w14:textId="77777777" w:rsidR="00DF1F6F" w:rsidRPr="00243BCE" w:rsidRDefault="00DF1F6F" w:rsidP="00DF1F6F">
      <w:pPr>
        <w:widowControl w:val="0"/>
        <w:ind w:left="4140"/>
        <w:rPr>
          <w:rFonts w:eastAsia="Calibri" w:cs="Times New Roman"/>
          <w:b/>
          <w:bCs/>
          <w:color w:val="000000"/>
        </w:rPr>
      </w:pPr>
      <w:r w:rsidRPr="00243BCE">
        <w:rPr>
          <w:rFonts w:eastAsia="Calibri" w:cs="Times New Roman"/>
          <w:bCs/>
          <w:color w:val="000000"/>
        </w:rPr>
        <w:t>21 East State Street, 17</w:t>
      </w:r>
      <w:r w:rsidRPr="00243BCE">
        <w:rPr>
          <w:rFonts w:eastAsia="Calibri" w:cs="Times New Roman"/>
          <w:bCs/>
          <w:color w:val="000000"/>
          <w:vertAlign w:val="superscript"/>
        </w:rPr>
        <w:t>TH</w:t>
      </w:r>
      <w:r w:rsidRPr="00243BCE">
        <w:rPr>
          <w:rFonts w:eastAsia="Calibri" w:cs="Times New Roman"/>
          <w:bCs/>
          <w:color w:val="000000"/>
        </w:rPr>
        <w:t xml:space="preserve"> Floor</w:t>
      </w:r>
    </w:p>
    <w:p w14:paraId="3ABAB521" w14:textId="77777777" w:rsidR="00DF1F6F" w:rsidRPr="00243BCE" w:rsidRDefault="00DF1F6F" w:rsidP="00DF1F6F">
      <w:pPr>
        <w:ind w:left="4140"/>
        <w:rPr>
          <w:rFonts w:eastAsia="Times New Roman" w:cs="Times New Roman"/>
          <w:color w:val="000000"/>
        </w:rPr>
      </w:pPr>
      <w:r w:rsidRPr="00243BCE">
        <w:rPr>
          <w:rFonts w:eastAsia="Times New Roman" w:cs="Times New Roman"/>
          <w:color w:val="000000"/>
        </w:rPr>
        <w:t>Columbus, OH  43215</w:t>
      </w:r>
    </w:p>
    <w:p w14:paraId="27C391D9" w14:textId="77777777" w:rsidR="00DF1F6F" w:rsidRPr="00243BCE" w:rsidRDefault="00DF1F6F" w:rsidP="00DF1F6F">
      <w:pPr>
        <w:ind w:left="4140"/>
        <w:rPr>
          <w:rFonts w:eastAsia="Times New Roman" w:cs="Times New Roman"/>
          <w:color w:val="000000"/>
        </w:rPr>
      </w:pPr>
      <w:r w:rsidRPr="00243BCE">
        <w:rPr>
          <w:rFonts w:eastAsia="Times New Roman" w:cs="Times New Roman"/>
          <w:color w:val="000000"/>
        </w:rPr>
        <w:t>Telephone:  (614) 469-8000</w:t>
      </w:r>
    </w:p>
    <w:p w14:paraId="14BF0A07" w14:textId="77777777" w:rsidR="00DF1F6F" w:rsidRPr="00243BCE" w:rsidRDefault="00DF1F6F" w:rsidP="00DF1F6F">
      <w:pPr>
        <w:ind w:left="4140"/>
        <w:rPr>
          <w:rFonts w:eastAsia="Times New Roman" w:cs="Times New Roman"/>
          <w:color w:val="000000"/>
        </w:rPr>
      </w:pPr>
      <w:r w:rsidRPr="00243BCE">
        <w:rPr>
          <w:rFonts w:eastAsia="Times New Roman" w:cs="Times New Roman"/>
          <w:color w:val="000000"/>
        </w:rPr>
        <w:t>Telecopier:  (614) 469-4653</w:t>
      </w:r>
    </w:p>
    <w:p w14:paraId="7FF059FF" w14:textId="77777777" w:rsidR="00DF1F6F" w:rsidRPr="00243BCE" w:rsidRDefault="00DF1F6F" w:rsidP="00DF1F6F">
      <w:pPr>
        <w:ind w:left="4140"/>
        <w:rPr>
          <w:rFonts w:eastAsia="Times New Roman" w:cs="Times New Roman"/>
          <w:color w:val="000000"/>
        </w:rPr>
      </w:pPr>
      <w:r w:rsidRPr="00243BCE">
        <w:rPr>
          <w:rFonts w:eastAsia="Times New Roman" w:cs="Times New Roman"/>
          <w:color w:val="000000"/>
        </w:rPr>
        <w:t>fdarr@mwncmh.com</w:t>
      </w:r>
    </w:p>
    <w:p w14:paraId="42B99954" w14:textId="77777777" w:rsidR="00DF1F6F" w:rsidRPr="00243BCE" w:rsidRDefault="00DF1F6F" w:rsidP="00DF1F6F">
      <w:pPr>
        <w:ind w:left="4140"/>
        <w:rPr>
          <w:rFonts w:eastAsia="Times New Roman" w:cs="Times New Roman"/>
          <w:color w:val="000000"/>
        </w:rPr>
      </w:pPr>
      <w:r w:rsidRPr="00243BCE">
        <w:rPr>
          <w:rFonts w:eastAsia="Times New Roman" w:cs="Times New Roman"/>
          <w:color w:val="000000"/>
        </w:rPr>
        <w:t>mpritchard@mwncmh.com</w:t>
      </w:r>
    </w:p>
    <w:p w14:paraId="653BF192" w14:textId="77777777" w:rsidR="00DF1F6F" w:rsidRPr="00243BCE" w:rsidRDefault="00DF1F6F" w:rsidP="00DF1F6F">
      <w:pPr>
        <w:tabs>
          <w:tab w:val="left" w:pos="4320"/>
          <w:tab w:val="right" w:pos="8640"/>
        </w:tabs>
        <w:ind w:left="4140"/>
        <w:rPr>
          <w:rFonts w:eastAsia="Calibri" w:cs="Times New Roman"/>
          <w:color w:val="000000"/>
        </w:rPr>
      </w:pPr>
    </w:p>
    <w:p w14:paraId="47AF67DF" w14:textId="7530A759" w:rsidR="00DF1F6F" w:rsidRDefault="006E7A50" w:rsidP="00DF1F6F">
      <w:pPr>
        <w:tabs>
          <w:tab w:val="left" w:pos="4320"/>
          <w:tab w:val="right" w:pos="8640"/>
        </w:tabs>
        <w:ind w:left="4140" w:hanging="4140"/>
        <w:rPr>
          <w:rFonts w:ascii="Arial Bold" w:eastAsia="Calibri" w:hAnsi="Arial Bold" w:cs="Times New Roman"/>
          <w:b/>
          <w:smallCaps/>
          <w:color w:val="000000"/>
        </w:rPr>
      </w:pPr>
      <w:r>
        <w:rPr>
          <w:rFonts w:ascii="Arial Bold" w:eastAsia="Calibri" w:hAnsi="Arial Bold" w:cs="Times New Roman"/>
          <w:b/>
          <w:smallCaps/>
          <w:color w:val="000000"/>
        </w:rPr>
        <w:t xml:space="preserve">November </w:t>
      </w:r>
      <w:r w:rsidR="00172419">
        <w:rPr>
          <w:rFonts w:ascii="Arial Bold" w:eastAsia="Calibri" w:hAnsi="Arial Bold" w:cs="Times New Roman"/>
          <w:b/>
          <w:smallCaps/>
          <w:color w:val="000000"/>
        </w:rPr>
        <w:t>23</w:t>
      </w:r>
      <w:r w:rsidR="00DF1F6F" w:rsidRPr="0020432A">
        <w:rPr>
          <w:rFonts w:eastAsia="Calibri" w:cs="Times New Roman"/>
          <w:b/>
          <w:color w:val="000000"/>
        </w:rPr>
        <w:t>, 2016</w:t>
      </w:r>
      <w:r w:rsidR="00DF1F6F" w:rsidRPr="00243BCE">
        <w:rPr>
          <w:rFonts w:eastAsia="Calibri" w:cs="Times New Roman"/>
          <w:b/>
          <w:color w:val="000000"/>
        </w:rPr>
        <w:tab/>
      </w:r>
      <w:r w:rsidR="00DF1F6F" w:rsidRPr="00243BCE">
        <w:rPr>
          <w:rFonts w:ascii="Arial Bold" w:eastAsia="Calibri" w:hAnsi="Arial Bold" w:cs="Times New Roman"/>
          <w:b/>
          <w:smallCaps/>
          <w:color w:val="000000"/>
        </w:rPr>
        <w:t>Attorneys for Industrial Energy Users-Ohio</w:t>
      </w:r>
    </w:p>
    <w:p w14:paraId="2F30BD30" w14:textId="77777777" w:rsidR="00DF1F6F" w:rsidRDefault="00DF1F6F" w:rsidP="00DF1F6F">
      <w:pPr>
        <w:tabs>
          <w:tab w:val="left" w:pos="4320"/>
          <w:tab w:val="right" w:pos="8640"/>
        </w:tabs>
        <w:ind w:left="4140" w:hanging="4140"/>
        <w:rPr>
          <w:rFonts w:ascii="Arial Bold" w:eastAsia="Calibri" w:hAnsi="Arial Bold" w:cs="Times New Roman"/>
          <w:b/>
          <w:smallCaps/>
          <w:color w:val="000000"/>
        </w:rPr>
        <w:sectPr w:rsidR="00DF1F6F" w:rsidSect="00A735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titlePg/>
          <w:docGrid w:linePitch="360"/>
        </w:sectPr>
      </w:pPr>
    </w:p>
    <w:p w14:paraId="7BD6B8D8" w14:textId="77777777" w:rsidR="00FC4D86" w:rsidRPr="00DF1F6F" w:rsidRDefault="00FC4D86" w:rsidP="00FC4D86">
      <w:pPr>
        <w:jc w:val="center"/>
        <w:rPr>
          <w:rFonts w:eastAsia="Calibri" w:cs="Arial"/>
          <w:b/>
          <w:smallCaps/>
          <w:sz w:val="28"/>
          <w:szCs w:val="28"/>
        </w:rPr>
      </w:pPr>
      <w:r w:rsidRPr="00DF1F6F">
        <w:rPr>
          <w:rFonts w:eastAsia="Calibri" w:cs="Arial"/>
          <w:b/>
          <w:smallCaps/>
          <w:sz w:val="28"/>
          <w:szCs w:val="28"/>
        </w:rPr>
        <w:lastRenderedPageBreak/>
        <w:t>Before</w:t>
      </w:r>
    </w:p>
    <w:p w14:paraId="777E3193" w14:textId="77777777" w:rsidR="00FC4D86" w:rsidRPr="00DF1F6F" w:rsidRDefault="00FC4D86" w:rsidP="00FC4D86">
      <w:pPr>
        <w:jc w:val="center"/>
        <w:rPr>
          <w:rFonts w:eastAsia="Calibri" w:cs="Arial"/>
          <w:b/>
          <w:smallCaps/>
          <w:sz w:val="28"/>
          <w:szCs w:val="28"/>
        </w:rPr>
      </w:pPr>
      <w:r w:rsidRPr="00DF1F6F">
        <w:rPr>
          <w:rFonts w:eastAsia="Calibri" w:cs="Arial"/>
          <w:b/>
          <w:smallCaps/>
          <w:sz w:val="28"/>
          <w:szCs w:val="28"/>
        </w:rPr>
        <w:t>The Public Utilities Commission of Ohio</w:t>
      </w:r>
    </w:p>
    <w:p w14:paraId="3F40BF07" w14:textId="77777777" w:rsidR="00FC4D86" w:rsidRPr="00DF1F6F" w:rsidRDefault="00FC4D86" w:rsidP="00FC4D86">
      <w:pPr>
        <w:autoSpaceDE w:val="0"/>
        <w:autoSpaceDN w:val="0"/>
        <w:adjustRightInd w:val="0"/>
        <w:rPr>
          <w:rFonts w:eastAsia="Calibri" w:cs="Arial"/>
          <w:sz w:val="28"/>
          <w:szCs w:val="28"/>
        </w:rPr>
      </w:pPr>
    </w:p>
    <w:p w14:paraId="31ED354D" w14:textId="77777777" w:rsidR="00FC4D86" w:rsidRPr="00243BCE" w:rsidRDefault="00FC4D86" w:rsidP="00FC4D86">
      <w:pPr>
        <w:autoSpaceDE w:val="0"/>
        <w:autoSpaceDN w:val="0"/>
        <w:adjustRightInd w:val="0"/>
        <w:rPr>
          <w:rFonts w:eastAsia="Calibri" w:cs="Arial"/>
        </w:rPr>
      </w:pPr>
    </w:p>
    <w:p w14:paraId="7422A8EE" w14:textId="77777777" w:rsidR="00FC4D86" w:rsidRPr="00243BCE" w:rsidRDefault="00FC4D86" w:rsidP="00FC4D8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In the Matter of the Application of Ohio</w:t>
      </w:r>
      <w:r w:rsidRPr="00243BCE">
        <w:rPr>
          <w:rFonts w:eastAsia="Calibri" w:cs="Arial"/>
        </w:rPr>
        <w:tab/>
      </w:r>
      <w:r w:rsidRPr="00243BCE">
        <w:rPr>
          <w:rFonts w:eastAsia="Calibri" w:cs="Arial"/>
        </w:rPr>
        <w:tab/>
        <w:t>)</w:t>
      </w:r>
    </w:p>
    <w:p w14:paraId="70B7AA1E" w14:textId="77777777" w:rsidR="00FC4D86" w:rsidRPr="00243BCE" w:rsidRDefault="00FC4D86" w:rsidP="00FC4D8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 xml:space="preserve">Edison Company, </w:t>
      </w:r>
      <w:proofErr w:type="gramStart"/>
      <w:r w:rsidRPr="00243BCE">
        <w:rPr>
          <w:rFonts w:eastAsia="Calibri" w:cs="Arial"/>
        </w:rPr>
        <w:t>The</w:t>
      </w:r>
      <w:proofErr w:type="gramEnd"/>
      <w:r w:rsidRPr="00243BCE">
        <w:rPr>
          <w:rFonts w:eastAsia="Calibri" w:cs="Arial"/>
        </w:rPr>
        <w:t xml:space="preserve"> Cleveland Electric</w:t>
      </w:r>
      <w:r w:rsidRPr="00243BCE">
        <w:rPr>
          <w:rFonts w:eastAsia="Calibri" w:cs="Arial"/>
        </w:rPr>
        <w:tab/>
        <w:t>)</w:t>
      </w:r>
    </w:p>
    <w:p w14:paraId="5106443F" w14:textId="77777777" w:rsidR="00FC4D86" w:rsidRPr="00243BCE" w:rsidRDefault="00FC4D86" w:rsidP="00FC4D8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 xml:space="preserve">Illuminating Company and </w:t>
      </w:r>
      <w:proofErr w:type="gramStart"/>
      <w:r w:rsidRPr="00243BCE">
        <w:rPr>
          <w:rFonts w:eastAsia="Calibri" w:cs="Arial"/>
        </w:rPr>
        <w:t>The</w:t>
      </w:r>
      <w:proofErr w:type="gramEnd"/>
      <w:r w:rsidRPr="00243BCE">
        <w:rPr>
          <w:rFonts w:eastAsia="Calibri" w:cs="Arial"/>
        </w:rPr>
        <w:t xml:space="preserve"> Toledo</w:t>
      </w:r>
      <w:r w:rsidRPr="00243BCE">
        <w:rPr>
          <w:rFonts w:eastAsia="Calibri" w:cs="Arial"/>
        </w:rPr>
        <w:tab/>
      </w:r>
      <w:r w:rsidRPr="00243BCE">
        <w:rPr>
          <w:rFonts w:eastAsia="Calibri" w:cs="Arial"/>
        </w:rPr>
        <w:tab/>
        <w:t>)</w:t>
      </w:r>
    </w:p>
    <w:p w14:paraId="78750EC2" w14:textId="77777777" w:rsidR="00FC4D86" w:rsidRPr="00243BCE" w:rsidRDefault="00FC4D86" w:rsidP="00FC4D8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for Authority to Provide</w:t>
      </w:r>
      <w:r w:rsidRPr="00243BCE">
        <w:rPr>
          <w:rFonts w:eastAsia="Calibri" w:cs="Arial"/>
        </w:rPr>
        <w:tab/>
        <w:t>)</w:t>
      </w:r>
      <w:r w:rsidRPr="00243BCE">
        <w:rPr>
          <w:rFonts w:eastAsia="Calibri" w:cs="Arial"/>
        </w:rPr>
        <w:tab/>
        <w:t>Case No. 14-1297-EL-SSO</w:t>
      </w:r>
    </w:p>
    <w:p w14:paraId="3DC41B91" w14:textId="77777777" w:rsidR="00FC4D86" w:rsidRPr="00243BCE" w:rsidRDefault="00FC4D86" w:rsidP="00FC4D86">
      <w:pPr>
        <w:tabs>
          <w:tab w:val="left" w:pos="-1440"/>
          <w:tab w:val="left" w:pos="-720"/>
          <w:tab w:val="left" w:pos="4320"/>
          <w:tab w:val="left" w:pos="4680"/>
        </w:tabs>
        <w:overflowPunct w:val="0"/>
        <w:autoSpaceDE w:val="0"/>
        <w:autoSpaceDN w:val="0"/>
        <w:adjustRightInd w:val="0"/>
        <w:rPr>
          <w:rFonts w:eastAsia="Calibri" w:cs="Arial"/>
        </w:rPr>
      </w:pPr>
      <w:proofErr w:type="gramStart"/>
      <w:r w:rsidRPr="00243BCE">
        <w:rPr>
          <w:rFonts w:eastAsia="Calibri" w:cs="Arial"/>
        </w:rPr>
        <w:t>for</w:t>
      </w:r>
      <w:proofErr w:type="gramEnd"/>
      <w:r w:rsidRPr="00243BCE">
        <w:rPr>
          <w:rFonts w:eastAsia="Calibri" w:cs="Arial"/>
        </w:rPr>
        <w:t xml:space="preserve"> a Standard Service Offer Pursuant to</w:t>
      </w:r>
      <w:r w:rsidRPr="00243BCE">
        <w:rPr>
          <w:rFonts w:eastAsia="Calibri" w:cs="Arial"/>
        </w:rPr>
        <w:tab/>
      </w:r>
      <w:r w:rsidRPr="00243BCE">
        <w:rPr>
          <w:rFonts w:eastAsia="Calibri" w:cs="Arial"/>
        </w:rPr>
        <w:tab/>
        <w:t>)</w:t>
      </w:r>
    </w:p>
    <w:p w14:paraId="27626384" w14:textId="77777777" w:rsidR="00FC4D86" w:rsidRPr="00243BCE" w:rsidRDefault="00FC4D86" w:rsidP="00FC4D86">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R.C. 4928.143 in the Form of an Electric</w:t>
      </w:r>
      <w:r w:rsidRPr="00243BCE">
        <w:rPr>
          <w:rFonts w:eastAsia="Calibri" w:cs="Arial"/>
        </w:rPr>
        <w:tab/>
      </w:r>
      <w:r w:rsidRPr="00243BCE">
        <w:rPr>
          <w:rFonts w:eastAsia="Calibri" w:cs="Arial"/>
        </w:rPr>
        <w:tab/>
        <w:t>)</w:t>
      </w:r>
    </w:p>
    <w:p w14:paraId="049090A1" w14:textId="77777777" w:rsidR="00FC4D86" w:rsidRPr="00243BCE" w:rsidRDefault="00FC4D86" w:rsidP="00FC4D86">
      <w:pPr>
        <w:tabs>
          <w:tab w:val="left" w:pos="-1440"/>
          <w:tab w:val="left" w:pos="-720"/>
          <w:tab w:val="left" w:pos="4320"/>
          <w:tab w:val="left" w:pos="4500"/>
          <w:tab w:val="left" w:pos="4680"/>
        </w:tabs>
        <w:overflowPunct w:val="0"/>
        <w:autoSpaceDE w:val="0"/>
        <w:autoSpaceDN w:val="0"/>
        <w:adjustRightInd w:val="0"/>
        <w:rPr>
          <w:rFonts w:eastAsia="Calibri" w:cs="Arial"/>
        </w:rPr>
      </w:pPr>
      <w:r w:rsidRPr="00243BCE">
        <w:rPr>
          <w:rFonts w:eastAsia="Calibri" w:cs="Arial"/>
        </w:rPr>
        <w:t>Security Plan.</w:t>
      </w:r>
      <w:r w:rsidRPr="00243BCE">
        <w:rPr>
          <w:rFonts w:eastAsia="Calibri" w:cs="Arial"/>
        </w:rPr>
        <w:tab/>
      </w:r>
      <w:r w:rsidRPr="00243BCE">
        <w:rPr>
          <w:rFonts w:eastAsia="Calibri" w:cs="Arial"/>
        </w:rPr>
        <w:tab/>
      </w:r>
      <w:r w:rsidRPr="00243BCE">
        <w:rPr>
          <w:rFonts w:eastAsia="Calibri" w:cs="Arial"/>
        </w:rPr>
        <w:tab/>
        <w:t>)</w:t>
      </w:r>
    </w:p>
    <w:p w14:paraId="39092384" w14:textId="77777777" w:rsidR="00FC4D86" w:rsidRPr="00243BCE" w:rsidRDefault="00FC4D86" w:rsidP="00FC4D86">
      <w:pPr>
        <w:pBdr>
          <w:bottom w:val="single" w:sz="12" w:space="1" w:color="auto"/>
        </w:pBdr>
        <w:rPr>
          <w:rFonts w:eastAsia="Calibri" w:cs="Times New Roman"/>
        </w:rPr>
      </w:pPr>
    </w:p>
    <w:p w14:paraId="2EA44D2E" w14:textId="77777777" w:rsidR="00FC4D86" w:rsidRPr="00243BCE" w:rsidRDefault="00FC4D86" w:rsidP="00FC4D86">
      <w:pPr>
        <w:pBdr>
          <w:bottom w:val="single" w:sz="12" w:space="1" w:color="auto"/>
        </w:pBdr>
        <w:rPr>
          <w:rFonts w:eastAsia="Calibri" w:cs="Times New Roman"/>
        </w:rPr>
      </w:pPr>
    </w:p>
    <w:p w14:paraId="7031A976" w14:textId="77777777" w:rsidR="00FC4D86" w:rsidRPr="00243BCE" w:rsidRDefault="00FC4D86" w:rsidP="00FC4D86">
      <w:pPr>
        <w:rPr>
          <w:rFonts w:eastAsia="Calibri" w:cs="Times New Roman"/>
          <w:b/>
        </w:rPr>
      </w:pPr>
    </w:p>
    <w:p w14:paraId="3C3F0635" w14:textId="77777777" w:rsidR="00FC4D86" w:rsidRPr="00C32755" w:rsidRDefault="00FC4D86" w:rsidP="00FC4D86">
      <w:pPr>
        <w:jc w:val="center"/>
        <w:rPr>
          <w:rFonts w:ascii="Arial Bold" w:eastAsia="Calibri" w:hAnsi="Arial Bold" w:cs="Times New Roman"/>
          <w:b/>
          <w:smallCaps/>
          <w:sz w:val="28"/>
          <w:szCs w:val="28"/>
        </w:rPr>
      </w:pPr>
      <w:r w:rsidRPr="00DF1F6F">
        <w:rPr>
          <w:rFonts w:ascii="Arial Bold" w:eastAsia="Calibri" w:hAnsi="Arial Bold" w:cs="Times New Roman"/>
          <w:b/>
          <w:smallCaps/>
          <w:sz w:val="28"/>
          <w:szCs w:val="28"/>
        </w:rPr>
        <w:t>Memorandum Contra of Industrial Energy Users-Ohio</w:t>
      </w:r>
      <w:r>
        <w:rPr>
          <w:rFonts w:ascii="Arial Bold" w:eastAsia="Calibri" w:hAnsi="Arial Bold" w:cs="Times New Roman"/>
          <w:b/>
          <w:smallCaps/>
          <w:sz w:val="28"/>
          <w:szCs w:val="28"/>
        </w:rPr>
        <w:t xml:space="preserve"> </w:t>
      </w:r>
      <w:r w:rsidRPr="00DF1F6F">
        <w:rPr>
          <w:rFonts w:ascii="Arial Bold" w:eastAsia="Calibri" w:hAnsi="Arial Bold" w:cs="Times New Roman"/>
          <w:b/>
          <w:smallCaps/>
          <w:sz w:val="28"/>
          <w:szCs w:val="28"/>
        </w:rPr>
        <w:t>to the Application for Rehearing of</w:t>
      </w:r>
      <w:r>
        <w:rPr>
          <w:rFonts w:ascii="Arial Bold" w:eastAsia="Calibri" w:hAnsi="Arial Bold" w:cs="Times New Roman"/>
          <w:b/>
          <w:smallCaps/>
          <w:sz w:val="28"/>
          <w:szCs w:val="28"/>
        </w:rPr>
        <w:t xml:space="preserve"> the Ohio Environmental Council, the Environmental Defense Fund, and the Environmental Law and Policy Center</w:t>
      </w:r>
    </w:p>
    <w:p w14:paraId="58DE0049" w14:textId="77777777" w:rsidR="00FC4D86" w:rsidRPr="00243BCE" w:rsidRDefault="00FC4D86" w:rsidP="00FC4D86">
      <w:pPr>
        <w:rPr>
          <w:rFonts w:eastAsia="Calibri" w:cs="Times New Roman"/>
          <w:b/>
        </w:rPr>
      </w:pPr>
      <w:r w:rsidRPr="00243BCE">
        <w:rPr>
          <w:rFonts w:eastAsia="Calibri" w:cs="Times New Roman"/>
          <w:b/>
        </w:rPr>
        <w:t>______________________________________________________________________</w:t>
      </w:r>
    </w:p>
    <w:p w14:paraId="57BDD2F9" w14:textId="77777777" w:rsidR="00DF1F6F" w:rsidRDefault="00DF1F6F" w:rsidP="00D643C6">
      <w:pPr>
        <w:spacing w:line="480" w:lineRule="auto"/>
        <w:jc w:val="both"/>
        <w:rPr>
          <w:b/>
        </w:rPr>
      </w:pPr>
    </w:p>
    <w:p w14:paraId="28538E39" w14:textId="77777777" w:rsidR="00543C87" w:rsidRPr="002655CA" w:rsidRDefault="00543C87" w:rsidP="00516758">
      <w:pPr>
        <w:pStyle w:val="Heading1"/>
      </w:pPr>
      <w:r w:rsidRPr="002655CA">
        <w:t>Introduction</w:t>
      </w:r>
    </w:p>
    <w:p w14:paraId="6D19005A" w14:textId="2578731D" w:rsidR="00965186" w:rsidRDefault="00423AEF" w:rsidP="00423AEF">
      <w:pPr>
        <w:spacing w:line="480" w:lineRule="auto"/>
        <w:ind w:firstLine="720"/>
        <w:jc w:val="both"/>
      </w:pPr>
      <w:r>
        <w:t xml:space="preserve">One of the stipulations that the Public </w:t>
      </w:r>
      <w:r w:rsidR="00DE284C">
        <w:t>Utilities</w:t>
      </w:r>
      <w:r>
        <w:t xml:space="preserve"> Commission of Ohio (“Commission”) </w:t>
      </w:r>
      <w:r w:rsidR="009C4444">
        <w:t>approved</w:t>
      </w:r>
      <w:r>
        <w:t xml:space="preserve"> in this matter provided that customers electing to take service under the </w:t>
      </w:r>
      <w:r w:rsidR="00150AB9">
        <w:t>Economic Load Response Program (“</w:t>
      </w:r>
      <w:r>
        <w:t>ELR Program</w:t>
      </w:r>
      <w:r w:rsidR="00150AB9">
        <w:t>”)</w:t>
      </w:r>
      <w:r>
        <w:t xml:space="preserve"> may opt out of the benefits and costs </w:t>
      </w:r>
      <w:r w:rsidR="00C35790">
        <w:t xml:space="preserve">of the </w:t>
      </w:r>
      <w:r w:rsidR="00086CDF">
        <w:t xml:space="preserve">energy </w:t>
      </w:r>
      <w:r>
        <w:t>efficiency and peak demand reduction (“EE/PDR”) portfolio plan</w:t>
      </w:r>
      <w:r w:rsidR="00DE284C">
        <w:t xml:space="preserve"> of the First</w:t>
      </w:r>
      <w:r w:rsidR="004F57E9">
        <w:t>Energy electric distribution utilities (“EDU”)</w:t>
      </w:r>
      <w:r>
        <w:t xml:space="preserve">.  Cos. Ex. 2 at 8.  </w:t>
      </w:r>
      <w:r w:rsidR="002D35A0">
        <w:t xml:space="preserve">In the Fifth Entry on Rehearing, the Commission </w:t>
      </w:r>
      <w:r w:rsidR="00672565">
        <w:t xml:space="preserve">clarified that the provision recognizing customers’ right to opt out did not violate any important regulatory principle or practice.  Fifth Entry on Rehearing at 146 (Oct. 12, 2016).  </w:t>
      </w:r>
    </w:p>
    <w:p w14:paraId="2883EC89" w14:textId="0906F3DC" w:rsidR="00543C87" w:rsidRDefault="009A1AB4" w:rsidP="00423AEF">
      <w:pPr>
        <w:spacing w:line="480" w:lineRule="auto"/>
        <w:ind w:firstLine="720"/>
        <w:jc w:val="both"/>
      </w:pPr>
      <w:r>
        <w:t xml:space="preserve">In </w:t>
      </w:r>
      <w:r w:rsidR="00080534">
        <w:t>an</w:t>
      </w:r>
      <w:r>
        <w:t xml:space="preserve"> application for rehearing, Ohio </w:t>
      </w:r>
      <w:r w:rsidR="00EE512E">
        <w:t>Environmental</w:t>
      </w:r>
      <w:r>
        <w:t xml:space="preserve"> Council</w:t>
      </w:r>
      <w:r w:rsidR="00D6668A">
        <w:t xml:space="preserve">, the Environmental Defense Fund, and the Environmental Law and </w:t>
      </w:r>
      <w:r w:rsidR="00EE512E">
        <w:t>Policy</w:t>
      </w:r>
      <w:r w:rsidR="00D6668A">
        <w:t xml:space="preserve"> Center (“OEC”)</w:t>
      </w:r>
      <w:r w:rsidR="00F51376">
        <w:t xml:space="preserve"> </w:t>
      </w:r>
      <w:r w:rsidR="00D643C6">
        <w:t>allege</w:t>
      </w:r>
      <w:r w:rsidR="00F51376">
        <w:t xml:space="preserve"> that the </w:t>
      </w:r>
      <w:r w:rsidR="00F206A4">
        <w:t xml:space="preserve">Fifth </w:t>
      </w:r>
      <w:r w:rsidR="00F51376">
        <w:lastRenderedPageBreak/>
        <w:t>Entry on Rehearing “contravenes R.C. 4928.66</w:t>
      </w:r>
      <w:r w:rsidR="00F20A61">
        <w:rPr>
          <w:rStyle w:val="FootnoteReference"/>
        </w:rPr>
        <w:footnoteReference w:id="1"/>
      </w:r>
      <w:r w:rsidR="00F51376">
        <w:t xml:space="preserve"> by permitting </w:t>
      </w:r>
      <w:r w:rsidR="00164EA7">
        <w:t>utility</w:t>
      </w:r>
      <w:r w:rsidR="00F51376">
        <w:t xml:space="preserve"> customers to participate </w:t>
      </w:r>
      <w:r w:rsidR="00164EA7">
        <w:t>in</w:t>
      </w:r>
      <w:r w:rsidR="00F51376">
        <w:t xml:space="preserve"> one of FirstEnergy’s </w:t>
      </w:r>
      <w:r w:rsidR="00EE512E">
        <w:t>peak</w:t>
      </w:r>
      <w:r w:rsidR="00F51376">
        <w:t xml:space="preserve"> demand reduction programs under Rider ELR </w:t>
      </w:r>
      <w:r w:rsidR="00150AB9">
        <w:t xml:space="preserve">Program </w:t>
      </w:r>
      <w:r w:rsidR="00F51376">
        <w:t>even after opting out o</w:t>
      </w:r>
      <w:r w:rsidR="002655CA">
        <w:t>f paying for those programs.</w:t>
      </w:r>
      <w:r w:rsidR="00080FD8">
        <w:t xml:space="preserve">”  Application for Rehearing of the Fifth Entry on Rehearing by the Ohio Environmental Council, </w:t>
      </w:r>
      <w:r w:rsidR="00EE512E">
        <w:t>Environmental</w:t>
      </w:r>
      <w:r w:rsidR="00080FD8">
        <w:t xml:space="preserve"> Defense Fund, and Environmental Law and Policy Center at 2 (</w:t>
      </w:r>
      <w:r w:rsidR="00EE512E">
        <w:t>Nov. 14, 2016)</w:t>
      </w:r>
      <w:r w:rsidR="00080534">
        <w:t xml:space="preserve"> </w:t>
      </w:r>
      <w:r w:rsidR="002655CA">
        <w:t>(“OEC Application for Rehearing”)</w:t>
      </w:r>
      <w:r w:rsidR="00EE512E">
        <w:t xml:space="preserve">.  </w:t>
      </w:r>
      <w:r w:rsidR="00C57F20">
        <w:t>The reasons</w:t>
      </w:r>
      <w:r w:rsidR="00D643C6">
        <w:t xml:space="preserve"> offered </w:t>
      </w:r>
      <w:r w:rsidR="0049625C">
        <w:t xml:space="preserve">by </w:t>
      </w:r>
      <w:r w:rsidR="00C57F20">
        <w:t>OEC</w:t>
      </w:r>
      <w:r w:rsidR="00D643C6">
        <w:t xml:space="preserve"> in support of this assignment of error are without merit</w:t>
      </w:r>
      <w:r w:rsidR="00C57F20">
        <w:t xml:space="preserve">.  Accordingly, </w:t>
      </w:r>
      <w:r w:rsidR="00E372C8">
        <w:t>the</w:t>
      </w:r>
      <w:r w:rsidR="00DB46CC">
        <w:t xml:space="preserve"> </w:t>
      </w:r>
      <w:r w:rsidR="00E372C8">
        <w:t xml:space="preserve">Commission should </w:t>
      </w:r>
      <w:r w:rsidR="00080534">
        <w:t>reject OEC’s assignment of error</w:t>
      </w:r>
      <w:r w:rsidR="00DB46CC">
        <w:t xml:space="preserve">. </w:t>
      </w:r>
      <w:r w:rsidR="00080534">
        <w:t xml:space="preserve"> </w:t>
      </w:r>
    </w:p>
    <w:p w14:paraId="681616B7" w14:textId="2B840227" w:rsidR="00A36473" w:rsidRPr="006E7A50" w:rsidRDefault="00A36473" w:rsidP="00A36473">
      <w:pPr>
        <w:pStyle w:val="Heading1"/>
      </w:pPr>
      <w:r w:rsidRPr="00A36473">
        <w:t xml:space="preserve">The Commission determined that the provision of the stipulations permitting customers that elect service under the ELR </w:t>
      </w:r>
      <w:r w:rsidR="000640D3">
        <w:t xml:space="preserve">Program </w:t>
      </w:r>
      <w:r w:rsidRPr="00A36473">
        <w:t xml:space="preserve">to opt out of the costs and benefits of the </w:t>
      </w:r>
      <w:r w:rsidR="00BF5507">
        <w:t>FirstEnergy</w:t>
      </w:r>
      <w:r w:rsidR="00BF5507" w:rsidRPr="00A36473">
        <w:t xml:space="preserve"> </w:t>
      </w:r>
      <w:r w:rsidRPr="00A36473">
        <w:t>portfolio plan does not violate any important regulatory principle or practice</w:t>
      </w:r>
    </w:p>
    <w:p w14:paraId="1F6B801F" w14:textId="4E08C95E" w:rsidR="00BD22F7" w:rsidRDefault="004C443E" w:rsidP="00D643C6">
      <w:pPr>
        <w:spacing w:line="480" w:lineRule="auto"/>
        <w:ind w:firstLine="720"/>
        <w:jc w:val="both"/>
      </w:pPr>
      <w:r>
        <w:t>The Ohio Edison Company, Cleveland Electric Illuminating Company, and the Toledo Edison Company (“</w:t>
      </w:r>
      <w:r w:rsidR="002308DE">
        <w:t>FirstEnergy</w:t>
      </w:r>
      <w:r>
        <w:t xml:space="preserve">”) filed an application for an electric security plan on </w:t>
      </w:r>
      <w:r w:rsidR="003F08C6">
        <w:t>August 4, 2014</w:t>
      </w:r>
      <w:r>
        <w:t>.  F</w:t>
      </w:r>
      <w:r w:rsidR="00DE284C">
        <w:t>irst</w:t>
      </w:r>
      <w:r>
        <w:t>E</w:t>
      </w:r>
      <w:r w:rsidR="00DE284C">
        <w:t>nergy</w:t>
      </w:r>
      <w:r>
        <w:t xml:space="preserve">, the Staff of the Commission, and several parties </w:t>
      </w:r>
      <w:r w:rsidR="004F0F71">
        <w:t xml:space="preserve">entered into stipulations that recommended </w:t>
      </w:r>
      <w:r w:rsidR="00CE4C57">
        <w:t>modification and approval of the application</w:t>
      </w:r>
      <w:r w:rsidR="004F0F71">
        <w:t xml:space="preserve">. </w:t>
      </w:r>
      <w:r>
        <w:t xml:space="preserve"> </w:t>
      </w:r>
      <w:r w:rsidR="00AD1180">
        <w:t>Included in the recommended terms of the electric security plan</w:t>
      </w:r>
      <w:r w:rsidR="00C83292">
        <w:t>, t</w:t>
      </w:r>
      <w:r w:rsidR="00E8239F">
        <w:t>he</w:t>
      </w:r>
      <w:r w:rsidR="00B83299">
        <w:t xml:space="preserve"> </w:t>
      </w:r>
      <w:r w:rsidR="008D3F53">
        <w:t xml:space="preserve">parties </w:t>
      </w:r>
      <w:r w:rsidR="00B83299">
        <w:t xml:space="preserve">recommended the continuation of the </w:t>
      </w:r>
      <w:r w:rsidR="00F50F78">
        <w:t>ELR</w:t>
      </w:r>
      <w:r w:rsidR="00D71048">
        <w:t xml:space="preserve"> Program</w:t>
      </w:r>
      <w:r w:rsidR="00F50F78">
        <w:t xml:space="preserve"> </w:t>
      </w:r>
      <w:r w:rsidR="00B83299">
        <w:t xml:space="preserve">with modifications.  </w:t>
      </w:r>
      <w:r w:rsidR="00F50F78">
        <w:t>The</w:t>
      </w:r>
      <w:r w:rsidR="008D3F53">
        <w:t>y</w:t>
      </w:r>
      <w:r w:rsidR="004F0F71">
        <w:t xml:space="preserve"> </w:t>
      </w:r>
      <w:r w:rsidR="00F50F78">
        <w:t xml:space="preserve">also included a </w:t>
      </w:r>
      <w:r w:rsidR="00BD22F7">
        <w:t>provision confirming</w:t>
      </w:r>
      <w:r w:rsidR="00F50F78">
        <w:t xml:space="preserve"> that</w:t>
      </w:r>
      <w:r w:rsidR="004F0F71">
        <w:t xml:space="preserve"> </w:t>
      </w:r>
      <w:r w:rsidR="00042864">
        <w:t xml:space="preserve">customers </w:t>
      </w:r>
      <w:r w:rsidR="004F0F71">
        <w:t>electing</w:t>
      </w:r>
      <w:r w:rsidR="00042864">
        <w:t xml:space="preserve"> to take service under the </w:t>
      </w:r>
      <w:r w:rsidR="00F50F78">
        <w:t>ELR</w:t>
      </w:r>
      <w:r w:rsidR="00DE7823">
        <w:t xml:space="preserve"> Program</w:t>
      </w:r>
      <w:r w:rsidR="00042864">
        <w:t xml:space="preserve"> may opt out of the benefits and costs of F</w:t>
      </w:r>
      <w:r w:rsidR="00D71048">
        <w:t>irst</w:t>
      </w:r>
      <w:r w:rsidR="00042864">
        <w:t>E</w:t>
      </w:r>
      <w:r w:rsidR="00D71048">
        <w:t>nergy</w:t>
      </w:r>
      <w:r w:rsidR="00042864">
        <w:t xml:space="preserve">’s </w:t>
      </w:r>
      <w:r w:rsidR="00E64C27">
        <w:t xml:space="preserve">EE/PDR </w:t>
      </w:r>
      <w:r w:rsidR="00042864">
        <w:t xml:space="preserve">portfolio plan.  </w:t>
      </w:r>
      <w:r w:rsidR="00B3235F">
        <w:t xml:space="preserve">Cos. Ex. 2 at 8.  </w:t>
      </w:r>
    </w:p>
    <w:p w14:paraId="3272473E" w14:textId="7A1EE300" w:rsidR="00FC5F45" w:rsidRDefault="00042864" w:rsidP="00D643C6">
      <w:pPr>
        <w:spacing w:line="480" w:lineRule="auto"/>
        <w:ind w:firstLine="720"/>
        <w:jc w:val="both"/>
      </w:pPr>
      <w:r>
        <w:t>In the Opinion and Order</w:t>
      </w:r>
      <w:r w:rsidR="006062E7">
        <w:t xml:space="preserve"> modifying and approving the electric security plan application and </w:t>
      </w:r>
      <w:r w:rsidR="00A15A4D">
        <w:t>stipulations</w:t>
      </w:r>
      <w:r w:rsidR="00FD68BC">
        <w:t>,</w:t>
      </w:r>
      <w:r>
        <w:t xml:space="preserve"> the Commission </w:t>
      </w:r>
      <w:r w:rsidR="00FD68BC">
        <w:t xml:space="preserve">addressed whether the settlement package violated any important regulatory principle or practice.  </w:t>
      </w:r>
      <w:r w:rsidR="00E51DB3">
        <w:t xml:space="preserve">In its discussion of the ELR </w:t>
      </w:r>
      <w:r w:rsidR="00D71048">
        <w:lastRenderedPageBreak/>
        <w:t xml:space="preserve">Program </w:t>
      </w:r>
      <w:r w:rsidR="00E51DB3">
        <w:t>provisions</w:t>
      </w:r>
      <w:r w:rsidR="00FD68BC">
        <w:t xml:space="preserve">, the Commission </w:t>
      </w:r>
      <w:r w:rsidR="00CF4CE2">
        <w:t>summarized the provision</w:t>
      </w:r>
      <w:r w:rsidR="00FC5F45">
        <w:t xml:space="preserve"> permitting customers taking service under the ELR</w:t>
      </w:r>
      <w:r w:rsidR="00F33D9C">
        <w:t xml:space="preserve"> Program</w:t>
      </w:r>
      <w:r w:rsidR="00FC5F45">
        <w:t xml:space="preserve"> to opt out</w:t>
      </w:r>
      <w:r w:rsidR="00CF4CE2">
        <w:t>, but did not explicitly approve it</w:t>
      </w:r>
      <w:r>
        <w:t xml:space="preserve">.  Opinion and Order at </w:t>
      </w:r>
      <w:r w:rsidR="00960E9F">
        <w:t>106-07</w:t>
      </w:r>
      <w:r w:rsidR="000A05D0">
        <w:t xml:space="preserve"> (Mar. 31, 2016)</w:t>
      </w:r>
      <w:r w:rsidR="00CF4CE2">
        <w:t>.</w:t>
      </w:r>
      <w:r>
        <w:t xml:space="preserve">  </w:t>
      </w:r>
    </w:p>
    <w:p w14:paraId="6523EA6A" w14:textId="24DA07CA" w:rsidR="00FC5F45" w:rsidRDefault="0041247A" w:rsidP="00D643C6">
      <w:pPr>
        <w:spacing w:line="480" w:lineRule="auto"/>
        <w:ind w:firstLine="720"/>
        <w:jc w:val="both"/>
      </w:pPr>
      <w:r>
        <w:t xml:space="preserve">After the Commission issued its Opinion and Order, </w:t>
      </w:r>
      <w:r w:rsidR="007F67F4">
        <w:t>OEC filed an application for rehearing and requested that the Commission address the provision addressing a customer’s right to opt out.  It asserted</w:t>
      </w:r>
      <w:r w:rsidR="00F339B0">
        <w:t xml:space="preserve"> that the provision </w:t>
      </w:r>
      <w:r w:rsidR="00174CC6">
        <w:t>violates</w:t>
      </w:r>
      <w:r w:rsidR="00F339B0">
        <w:t xml:space="preserve"> R.C. 4928.6613</w:t>
      </w:r>
      <w:r w:rsidR="007F67F4">
        <w:t>.</w:t>
      </w:r>
      <w:r w:rsidR="005042BE">
        <w:rPr>
          <w:rStyle w:val="FootnoteReference"/>
        </w:rPr>
        <w:footnoteReference w:id="2"/>
      </w:r>
      <w:r w:rsidR="00F339B0">
        <w:t xml:space="preserve"> </w:t>
      </w:r>
      <w:r w:rsidR="00D828E5">
        <w:t xml:space="preserve">Application for </w:t>
      </w:r>
      <w:r w:rsidR="00B03B4E">
        <w:t>Rehearing</w:t>
      </w:r>
      <w:r w:rsidR="00D828E5">
        <w:t xml:space="preserve"> by the Environmental Law and Policy Center, Ohio Environmental Council, and Environmental Defense Fund at </w:t>
      </w:r>
      <w:r w:rsidR="00B03B4E">
        <w:t xml:space="preserve">2 </w:t>
      </w:r>
      <w:r w:rsidR="00174CC6">
        <w:t xml:space="preserve">&amp; 23 </w:t>
      </w:r>
      <w:r w:rsidR="00B03B4E">
        <w:t>(May 2, 2016).</w:t>
      </w:r>
      <w:r w:rsidR="00616942">
        <w:t xml:space="preserve">  </w:t>
      </w:r>
    </w:p>
    <w:p w14:paraId="2DE4DCFE" w14:textId="71CA6105" w:rsidR="003B22A3" w:rsidRDefault="00960335" w:rsidP="00D643C6">
      <w:pPr>
        <w:spacing w:line="480" w:lineRule="auto"/>
        <w:ind w:firstLine="720"/>
        <w:jc w:val="both"/>
      </w:pPr>
      <w:r>
        <w:t xml:space="preserve">In response to OEC, </w:t>
      </w:r>
      <w:r w:rsidR="00174CC6">
        <w:t xml:space="preserve">IEU-Ohio agreed that </w:t>
      </w:r>
      <w:r w:rsidR="00075A55">
        <w:t xml:space="preserve">the Commission’s decision </w:t>
      </w:r>
      <w:r w:rsidR="00174CC6">
        <w:t>should be cla</w:t>
      </w:r>
      <w:r w:rsidR="00F36606">
        <w:t>rified, but argued</w:t>
      </w:r>
      <w:r w:rsidR="00174CC6">
        <w:t xml:space="preserve"> that the provision </w:t>
      </w:r>
      <w:r w:rsidR="000E6BE2">
        <w:t>permitting ELR</w:t>
      </w:r>
      <w:r w:rsidR="004D0C27">
        <w:t xml:space="preserve"> Program</w:t>
      </w:r>
      <w:r w:rsidR="000E6BE2">
        <w:t xml:space="preserve"> customer</w:t>
      </w:r>
      <w:r w:rsidR="00C31A9C">
        <w:t>s</w:t>
      </w:r>
      <w:r w:rsidR="000E6BE2">
        <w:t xml:space="preserve"> to elect to opt out of the F</w:t>
      </w:r>
      <w:r w:rsidR="00596CE6">
        <w:t>irst</w:t>
      </w:r>
      <w:r w:rsidR="000E6BE2">
        <w:t>E</w:t>
      </w:r>
      <w:r w:rsidR="00596CE6">
        <w:t>nergy</w:t>
      </w:r>
      <w:r w:rsidR="000E6BE2">
        <w:t xml:space="preserve"> portfolio plan </w:t>
      </w:r>
      <w:r w:rsidR="00174CC6">
        <w:t xml:space="preserve">did not violate R.C. 4928.6613.  </w:t>
      </w:r>
      <w:r w:rsidR="003B22A3">
        <w:t xml:space="preserve">As IEU-Ohio explained, </w:t>
      </w:r>
      <w:r w:rsidR="00475B8B">
        <w:t xml:space="preserve">the ELR </w:t>
      </w:r>
      <w:r w:rsidR="00596CE6">
        <w:t xml:space="preserve">Program </w:t>
      </w:r>
      <w:r w:rsidR="00475B8B">
        <w:t>predates the F</w:t>
      </w:r>
      <w:r w:rsidR="00596CE6">
        <w:t>irst</w:t>
      </w:r>
      <w:r w:rsidR="00475B8B">
        <w:t>E</w:t>
      </w:r>
      <w:r w:rsidR="00596CE6">
        <w:t>nergy</w:t>
      </w:r>
      <w:r w:rsidR="00475B8B">
        <w:t xml:space="preserve"> portfolio plans and the current program is an extension of the prior one</w:t>
      </w:r>
      <w:r w:rsidR="000C5B29">
        <w:t>s</w:t>
      </w:r>
      <w:r w:rsidR="00475B8B">
        <w:t>, not a part of the F</w:t>
      </w:r>
      <w:r w:rsidR="00DA4F1B">
        <w:t>irst</w:t>
      </w:r>
      <w:r w:rsidR="00475B8B">
        <w:t>E</w:t>
      </w:r>
      <w:r w:rsidR="00DA4F1B">
        <w:t>nergy</w:t>
      </w:r>
      <w:r w:rsidR="00475B8B">
        <w:t xml:space="preserve"> portfolio plan.  </w:t>
      </w:r>
      <w:r w:rsidR="00B51AC8">
        <w:t>IEU-Ohio</w:t>
      </w:r>
      <w:r w:rsidR="008620C7">
        <w:t>’s</w:t>
      </w:r>
      <w:r w:rsidR="00B51AC8">
        <w:t xml:space="preserve"> </w:t>
      </w:r>
      <w:r w:rsidR="00D0338F" w:rsidRPr="000F5619">
        <w:rPr>
          <w:szCs w:val="28"/>
        </w:rPr>
        <w:t>Memorandum in Opposition to Applications for Rehearing</w:t>
      </w:r>
      <w:r w:rsidR="00D0338F" w:rsidRPr="00D0338F" w:rsidDel="00D0338F">
        <w:rPr>
          <w:i/>
        </w:rPr>
        <w:t xml:space="preserve"> </w:t>
      </w:r>
      <w:r w:rsidR="00D30458">
        <w:rPr>
          <w:rFonts w:cs="Arial"/>
          <w:color w:val="000000"/>
        </w:rPr>
        <w:t xml:space="preserve">of Retail Electric Supply Association, The Environmental Law and Policy Center, and Ohio Manufacturers' Association Energy Group by Industrial Energy Users-Ohio </w:t>
      </w:r>
      <w:r w:rsidR="00475B8B">
        <w:t>at 11</w:t>
      </w:r>
      <w:r w:rsidR="00B92274">
        <w:t xml:space="preserve"> </w:t>
      </w:r>
      <w:r w:rsidR="00B92274" w:rsidRPr="00C22A0F">
        <w:t>(May 12, 2016)</w:t>
      </w:r>
      <w:r w:rsidR="00475B8B">
        <w:t xml:space="preserve">.  Further, the benefits </w:t>
      </w:r>
      <w:r w:rsidR="00374F39">
        <w:t>of</w:t>
      </w:r>
      <w:r w:rsidR="00475B8B">
        <w:t xml:space="preserve"> the ELR </w:t>
      </w:r>
      <w:r w:rsidR="00DA4F1B">
        <w:t xml:space="preserve">Program </w:t>
      </w:r>
      <w:r w:rsidR="00475B8B">
        <w:t>extend beyond F</w:t>
      </w:r>
      <w:r w:rsidR="00DA4F1B">
        <w:t>irst</w:t>
      </w:r>
      <w:r w:rsidR="00475B8B">
        <w:t>E</w:t>
      </w:r>
      <w:r w:rsidR="00DA4F1B">
        <w:t>nergy</w:t>
      </w:r>
      <w:r w:rsidR="00475B8B">
        <w:t xml:space="preserve">’s compliance with </w:t>
      </w:r>
      <w:r w:rsidR="003122C8">
        <w:t>EE/PDR</w:t>
      </w:r>
      <w:r w:rsidR="00475B8B">
        <w:t xml:space="preserve"> requirements by enhancing system reliability and stability, reducing the likelihood of load shedding, and assisting in job retention.  </w:t>
      </w:r>
      <w:r w:rsidR="00475B8B" w:rsidRPr="000F5619">
        <w:rPr>
          <w:i/>
        </w:rPr>
        <w:t>Id</w:t>
      </w:r>
      <w:r w:rsidR="00475B8B">
        <w:t>.</w:t>
      </w:r>
      <w:r w:rsidR="007B1D53">
        <w:t xml:space="preserve">  </w:t>
      </w:r>
      <w:r w:rsidR="00F36606">
        <w:t>D</w:t>
      </w:r>
      <w:r w:rsidR="007B1D53">
        <w:t xml:space="preserve">enying customer’s the right to opt out if they participated in the ELR </w:t>
      </w:r>
      <w:r w:rsidR="00DA4F1B">
        <w:t xml:space="preserve">Program </w:t>
      </w:r>
      <w:r w:rsidR="007B1D53">
        <w:t>would</w:t>
      </w:r>
      <w:r w:rsidR="00F36606">
        <w:t xml:space="preserve"> also</w:t>
      </w:r>
      <w:r w:rsidR="007B1D53">
        <w:t xml:space="preserve"> reduce the incentive </w:t>
      </w:r>
      <w:r w:rsidR="007B1D53">
        <w:lastRenderedPageBreak/>
        <w:t xml:space="preserve">for customers to participate in the program, thereby reducing </w:t>
      </w:r>
      <w:r w:rsidR="00F77680">
        <w:t xml:space="preserve">the collective benefit of a larger customer’s demand response.  </w:t>
      </w:r>
      <w:r w:rsidR="00F77680" w:rsidRPr="000F5619">
        <w:rPr>
          <w:i/>
        </w:rPr>
        <w:t>Id</w:t>
      </w:r>
      <w:r w:rsidR="00F77680">
        <w:t xml:space="preserve">. at 12.  </w:t>
      </w:r>
      <w:r w:rsidR="00DA4F1B">
        <w:t>IEU-Ohio</w:t>
      </w:r>
      <w:r w:rsidR="006750CD">
        <w:t xml:space="preserve">, therefore, urged the Commission to reject OEC’s attempt to limit </w:t>
      </w:r>
      <w:r w:rsidR="00C165BA">
        <w:t xml:space="preserve">a </w:t>
      </w:r>
      <w:r w:rsidR="006750CD">
        <w:t>customer</w:t>
      </w:r>
      <w:r w:rsidR="00C165BA">
        <w:t>’</w:t>
      </w:r>
      <w:r w:rsidR="006750CD">
        <w:t>s right to opt out</w:t>
      </w:r>
      <w:r w:rsidR="009A03DF">
        <w:t>.</w:t>
      </w:r>
      <w:r w:rsidR="00F77680">
        <w:t xml:space="preserve">  </w:t>
      </w:r>
      <w:r w:rsidR="00F77680" w:rsidRPr="000F5619">
        <w:rPr>
          <w:i/>
        </w:rPr>
        <w:t>Id</w:t>
      </w:r>
      <w:r w:rsidR="00F77680">
        <w:t>.</w:t>
      </w:r>
    </w:p>
    <w:p w14:paraId="3FFED91C" w14:textId="6B01164A" w:rsidR="008E3BF4" w:rsidRDefault="00D828E5" w:rsidP="00D643C6">
      <w:pPr>
        <w:spacing w:line="480" w:lineRule="auto"/>
        <w:ind w:firstLine="720"/>
        <w:jc w:val="both"/>
      </w:pPr>
      <w:r>
        <w:t>In its Fifth Entry on Rehearing, t</w:t>
      </w:r>
      <w:r w:rsidR="00623558">
        <w:t>he Commission</w:t>
      </w:r>
      <w:r w:rsidR="00D855EF">
        <w:t xml:space="preserve"> clarified that the provision permitting ELR </w:t>
      </w:r>
      <w:r w:rsidR="009A03DF">
        <w:t xml:space="preserve">Program </w:t>
      </w:r>
      <w:r w:rsidR="00D855EF">
        <w:t>customers to elect to opt out of the F</w:t>
      </w:r>
      <w:r w:rsidR="009A03DF">
        <w:t>irst</w:t>
      </w:r>
      <w:r w:rsidR="00D855EF">
        <w:t>E</w:t>
      </w:r>
      <w:r w:rsidR="009A03DF">
        <w:t>nergy</w:t>
      </w:r>
      <w:r w:rsidR="00D855EF">
        <w:t xml:space="preserve"> portfolio plan did not violate any important regulatory principle or practice and</w:t>
      </w:r>
      <w:r>
        <w:t xml:space="preserve"> </w:t>
      </w:r>
      <w:r w:rsidR="002B7D1A">
        <w:t>found</w:t>
      </w:r>
      <w:r w:rsidR="00623558">
        <w:t xml:space="preserve"> that cust</w:t>
      </w:r>
      <w:r w:rsidR="009A03DF">
        <w:t>omers participating in the ELR P</w:t>
      </w:r>
      <w:r w:rsidR="00623558">
        <w:t xml:space="preserve">rogram retain their statutory right to opt out of the </w:t>
      </w:r>
      <w:r w:rsidR="00DA07C1">
        <w:t>portfolio plan costs and benefits</w:t>
      </w:r>
      <w:r w:rsidR="00623558">
        <w:t>.  Fifth Entry on Rehearing at 146</w:t>
      </w:r>
      <w:r w:rsidR="00E25CEA">
        <w:t xml:space="preserve"> (Oct. 12, 2016)</w:t>
      </w:r>
      <w:r w:rsidR="00623558">
        <w:t>.  In support of this finding,</w:t>
      </w:r>
      <w:r w:rsidR="00F4293C">
        <w:t xml:space="preserve"> the Commission stated, “The ELR existed long before the statutory energy efficiency and peak demand reduction mandates.  Further, the Commission has long held that ELR has an economic development component and ELR is funded, in part, through the economic development rider, which is paid by all customers, including those who opt out of the energy efficiency programs.”</w:t>
      </w:r>
      <w:r w:rsidR="005030F8">
        <w:t xml:space="preserve">  </w:t>
      </w:r>
      <w:r w:rsidR="005030F8" w:rsidRPr="000F5619">
        <w:rPr>
          <w:i/>
        </w:rPr>
        <w:t>Id</w:t>
      </w:r>
      <w:r w:rsidR="005030F8">
        <w:t>.</w:t>
      </w:r>
    </w:p>
    <w:p w14:paraId="2EDBE309" w14:textId="1010B506" w:rsidR="00B47534" w:rsidRPr="006E7A50" w:rsidRDefault="00B06846" w:rsidP="00161F01">
      <w:pPr>
        <w:pStyle w:val="Heading1"/>
      </w:pPr>
      <w:r w:rsidRPr="00A36473">
        <w:t xml:space="preserve">The Commission should again affirm </w:t>
      </w:r>
      <w:r w:rsidR="00940FF6" w:rsidRPr="00A36473">
        <w:t xml:space="preserve">that the provision of the stipulations permitting customers that elect service under the ELR </w:t>
      </w:r>
      <w:r w:rsidR="00F42C5F">
        <w:t xml:space="preserve">PROGRAM </w:t>
      </w:r>
      <w:r w:rsidR="00940FF6" w:rsidRPr="00A36473">
        <w:t>to opt out of the costs and benefits of the F</w:t>
      </w:r>
      <w:r w:rsidR="00F42C5F">
        <w:t>irst</w:t>
      </w:r>
      <w:r w:rsidR="00940FF6" w:rsidRPr="00A36473">
        <w:t>E</w:t>
      </w:r>
      <w:r w:rsidR="00F42C5F">
        <w:t>nergy</w:t>
      </w:r>
      <w:r w:rsidR="00940FF6" w:rsidRPr="00A36473">
        <w:t xml:space="preserve"> portfolio plan does not violate any important regulatory principle or practice</w:t>
      </w:r>
    </w:p>
    <w:p w14:paraId="44A19E45" w14:textId="3DBA2A4E" w:rsidR="00B47534" w:rsidRDefault="00B47534" w:rsidP="00B47534">
      <w:pPr>
        <w:spacing w:line="480" w:lineRule="auto"/>
        <w:jc w:val="both"/>
      </w:pPr>
      <w:r>
        <w:tab/>
        <w:t xml:space="preserve">In its </w:t>
      </w:r>
      <w:r w:rsidR="00E07A30">
        <w:t xml:space="preserve">Application </w:t>
      </w:r>
      <w:r>
        <w:t xml:space="preserve">for </w:t>
      </w:r>
      <w:r w:rsidR="00E07A30">
        <w:t>Rehearing</w:t>
      </w:r>
      <w:r>
        <w:t>, OEC seeks a Commission order granting rehearing and reversing the Commission’s decision to approve the provision of the stipulations permitting customers that elect service under the ELR</w:t>
      </w:r>
      <w:r w:rsidR="00F42C5F">
        <w:t xml:space="preserve"> Program</w:t>
      </w:r>
      <w:r>
        <w:t xml:space="preserve"> to opt out of the costs and benefits of the F</w:t>
      </w:r>
      <w:r w:rsidR="00DE639E">
        <w:t>irst</w:t>
      </w:r>
      <w:r>
        <w:t>E</w:t>
      </w:r>
      <w:r w:rsidR="00DE639E">
        <w:t>nergy</w:t>
      </w:r>
      <w:r>
        <w:t xml:space="preserve"> portfolio plan.  OEC Application for Rehearing at 2.  In support of its assignment of error, OEC alleges that the Commission’s reasoning fails to consider that F</w:t>
      </w:r>
      <w:r w:rsidR="00DE639E">
        <w:t>irst</w:t>
      </w:r>
      <w:r>
        <w:t>E</w:t>
      </w:r>
      <w:r w:rsidR="00DE639E">
        <w:t>nergy includes the ELR P</w:t>
      </w:r>
      <w:r>
        <w:t xml:space="preserve">rogram in its current portfolio plan and that its order in this case is contrary to its order in a prior Ohio Power </w:t>
      </w:r>
      <w:r w:rsidR="00CB40A5">
        <w:t>c</w:t>
      </w:r>
      <w:r>
        <w:t xml:space="preserve">ase.  </w:t>
      </w:r>
      <w:r w:rsidR="00CD1B6C" w:rsidRPr="000F5619">
        <w:rPr>
          <w:i/>
        </w:rPr>
        <w:t>Id</w:t>
      </w:r>
      <w:r w:rsidR="00CD1B6C">
        <w:t>.</w:t>
      </w:r>
      <w:r>
        <w:t xml:space="preserve"> at 27-28.  OEC also argues that it is irrelevant that the ELR </w:t>
      </w:r>
      <w:r w:rsidR="00DE639E">
        <w:t xml:space="preserve">Program </w:t>
      </w:r>
      <w:r>
        <w:t xml:space="preserve">predates the adoption of </w:t>
      </w:r>
      <w:r>
        <w:lastRenderedPageBreak/>
        <w:t xml:space="preserve">R.C. 4928.66 and complains that the expansion of the ELR </w:t>
      </w:r>
      <w:r w:rsidR="00DE639E">
        <w:t xml:space="preserve">Program </w:t>
      </w:r>
      <w:r>
        <w:t xml:space="preserve">provides value to customers that are permitted to opt out in violation of R.C. 4928.6613 and basic fairness.  </w:t>
      </w:r>
      <w:r w:rsidRPr="000F5619">
        <w:rPr>
          <w:i/>
        </w:rPr>
        <w:t>Id</w:t>
      </w:r>
      <w:r>
        <w:t>. at 29.</w:t>
      </w:r>
    </w:p>
    <w:p w14:paraId="3F72FE2A" w14:textId="77777777" w:rsidR="00C93E64" w:rsidRDefault="00044924" w:rsidP="00732240">
      <w:pPr>
        <w:spacing w:line="480" w:lineRule="auto"/>
        <w:jc w:val="both"/>
      </w:pPr>
      <w:r>
        <w:tab/>
      </w:r>
      <w:r w:rsidR="005016AF">
        <w:t xml:space="preserve">There are several reasons to reject OEC’s argument in support of the assignment of error.  </w:t>
      </w:r>
    </w:p>
    <w:p w14:paraId="7AC86E21" w14:textId="6E6F26AD" w:rsidR="006F059F" w:rsidRDefault="00C93E64" w:rsidP="00DE7C8B">
      <w:pPr>
        <w:spacing w:line="480" w:lineRule="auto"/>
        <w:ind w:firstLine="720"/>
        <w:jc w:val="both"/>
      </w:pPr>
      <w:r>
        <w:t>Initially</w:t>
      </w:r>
      <w:r w:rsidR="005016AF">
        <w:t xml:space="preserve">, </w:t>
      </w:r>
      <w:r>
        <w:t>OEC incorrectly asserts</w:t>
      </w:r>
      <w:r w:rsidR="00514152">
        <w:t xml:space="preserve"> that the ELR Program is a cost </w:t>
      </w:r>
      <w:r w:rsidR="009C4444">
        <w:t>or</w:t>
      </w:r>
      <w:r w:rsidR="00514152">
        <w:t xml:space="preserve"> benefit of the portfolio plan.  </w:t>
      </w:r>
      <w:r w:rsidR="004A188D">
        <w:t>While F</w:t>
      </w:r>
      <w:r w:rsidR="00DD2C74">
        <w:t>irst</w:t>
      </w:r>
      <w:r w:rsidR="004A188D">
        <w:t>E</w:t>
      </w:r>
      <w:r w:rsidR="00DD2C74">
        <w:t>nergy</w:t>
      </w:r>
      <w:r w:rsidR="004A188D">
        <w:t xml:space="preserve"> is permitted to count</w:t>
      </w:r>
      <w:r w:rsidR="008B6805">
        <w:t xml:space="preserve"> the peak demand response </w:t>
      </w:r>
      <w:r w:rsidR="004A188D">
        <w:t>reduction associated with the ELR</w:t>
      </w:r>
      <w:r w:rsidR="008B6805">
        <w:t xml:space="preserve"> </w:t>
      </w:r>
      <w:r w:rsidR="003E4092">
        <w:t xml:space="preserve">Program </w:t>
      </w:r>
      <w:r w:rsidR="00E11000">
        <w:t>toward</w:t>
      </w:r>
      <w:r w:rsidR="004A188D">
        <w:t xml:space="preserve"> mandate requirements under R.C. 4928.66,</w:t>
      </w:r>
      <w:r w:rsidR="008B6805">
        <w:t xml:space="preserve"> </w:t>
      </w:r>
      <w:r w:rsidR="004A188D">
        <w:t>t</w:t>
      </w:r>
      <w:r w:rsidR="001815BE">
        <w:t>he</w:t>
      </w:r>
      <w:r w:rsidR="00134846">
        <w:t xml:space="preserve"> </w:t>
      </w:r>
      <w:r w:rsidR="00B81361">
        <w:t>p</w:t>
      </w:r>
      <w:r w:rsidR="003E4092">
        <w:t xml:space="preserve">rogram </w:t>
      </w:r>
      <w:r w:rsidR="00796F56">
        <w:t xml:space="preserve">predates the </w:t>
      </w:r>
      <w:r w:rsidR="003122C8">
        <w:t>EE/PDR</w:t>
      </w:r>
      <w:r w:rsidR="00465838">
        <w:t xml:space="preserve"> mandates and </w:t>
      </w:r>
      <w:r w:rsidR="00134846">
        <w:t xml:space="preserve">has </w:t>
      </w:r>
      <w:r w:rsidR="00FE79A4">
        <w:t>supported</w:t>
      </w:r>
      <w:r w:rsidR="002F4478">
        <w:t xml:space="preserve"> a broad array of benefits such as economic development and job retention </w:t>
      </w:r>
      <w:r w:rsidR="00465838">
        <w:t>that extend beyond compliance with the mandates</w:t>
      </w:r>
      <w:r w:rsidR="006A5101">
        <w:t>.</w:t>
      </w:r>
      <w:r w:rsidR="00A27494">
        <w:t xml:space="preserve">  </w:t>
      </w:r>
      <w:r w:rsidR="007156C5" w:rsidRPr="0093022B">
        <w:rPr>
          <w:i/>
        </w:rPr>
        <w:t>In the Matter of the Application of Ohio Edison Company, The Cleveland Electric Illuminating Company, and The Toledo Edison Company for Authority to Establish a Standard Service Offer Pursuant to Section 4928.143, Revised Code, in the Form of an Electric Security Plan</w:t>
      </w:r>
      <w:r w:rsidR="007156C5">
        <w:t>, Case No. 10-388-EL-SSO, Opinion and Order at 31 (</w:t>
      </w:r>
      <w:r w:rsidR="0093022B">
        <w:t>Aug. 25, 2010)</w:t>
      </w:r>
      <w:r w:rsidR="001815BE">
        <w:t xml:space="preserve"> (noting the benefits of continuing the ELR </w:t>
      </w:r>
      <w:r w:rsidR="004D0C27">
        <w:t xml:space="preserve">Program </w:t>
      </w:r>
      <w:r w:rsidR="001815BE">
        <w:t>in the first electric security plan)</w:t>
      </w:r>
      <w:r w:rsidR="0093022B">
        <w:t xml:space="preserve">.  </w:t>
      </w:r>
      <w:r w:rsidR="00FE79A4">
        <w:t>Like its predecessor</w:t>
      </w:r>
      <w:r w:rsidR="00955ECD">
        <w:t>s</w:t>
      </w:r>
      <w:r w:rsidR="00FE79A4">
        <w:t>, t</w:t>
      </w:r>
      <w:r w:rsidR="0093022B">
        <w:t xml:space="preserve">he current ELR </w:t>
      </w:r>
      <w:r w:rsidR="003E4092">
        <w:t xml:space="preserve">Program </w:t>
      </w:r>
      <w:r w:rsidR="00AC7771">
        <w:t xml:space="preserve">is </w:t>
      </w:r>
      <w:r w:rsidR="0093022B">
        <w:t>a provision of FirstEne</w:t>
      </w:r>
      <w:r w:rsidR="00D40604">
        <w:t xml:space="preserve">rgy’s tariffs that was </w:t>
      </w:r>
      <w:r w:rsidR="0093022B">
        <w:t xml:space="preserve">not </w:t>
      </w:r>
      <w:r w:rsidR="00D40604">
        <w:t xml:space="preserve">approved </w:t>
      </w:r>
      <w:r w:rsidR="0093022B">
        <w:t xml:space="preserve">as part of the portfolio plans.  </w:t>
      </w:r>
      <w:r w:rsidR="0093022B">
        <w:rPr>
          <w:i/>
        </w:rPr>
        <w:t xml:space="preserve">In the Matter of Ohio Edison Company, The Cleveland Electric Illuminating Company, and The Toledo Edison Company for Authority to Provide for a Standard Service Offer Pursuant to Section 4928.143, Revised Code, in the Form of an Electric Security Plan, </w:t>
      </w:r>
      <w:r w:rsidR="0093022B">
        <w:t xml:space="preserve">Case No. 12-1230-EL-SSO, Opinion and Order </w:t>
      </w:r>
      <w:r w:rsidR="0093022B">
        <w:rPr>
          <w:i/>
        </w:rPr>
        <w:t>passim</w:t>
      </w:r>
      <w:r w:rsidR="0093022B">
        <w:t xml:space="preserve"> (July 18, 2012).  </w:t>
      </w:r>
      <w:r w:rsidR="003517DB">
        <w:t xml:space="preserve">Further, the Commission correctly noted </w:t>
      </w:r>
      <w:r w:rsidR="003517DB">
        <w:lastRenderedPageBreak/>
        <w:t xml:space="preserve">that the ELR </w:t>
      </w:r>
      <w:r w:rsidR="003E4092">
        <w:t xml:space="preserve">Program </w:t>
      </w:r>
      <w:r w:rsidR="003517DB">
        <w:t>has an economic development component and is funded in part through the economic development rider.</w:t>
      </w:r>
      <w:r w:rsidR="003E4092">
        <w:rPr>
          <w:rStyle w:val="FootnoteReference"/>
        </w:rPr>
        <w:footnoteReference w:id="3"/>
      </w:r>
      <w:r w:rsidR="003517DB">
        <w:t xml:space="preserve">  </w:t>
      </w:r>
    </w:p>
    <w:p w14:paraId="7635EE1B" w14:textId="7F99F0BE" w:rsidR="006A5101" w:rsidRDefault="006A5101" w:rsidP="00D643C6">
      <w:pPr>
        <w:spacing w:line="480" w:lineRule="auto"/>
        <w:ind w:firstLine="720"/>
        <w:jc w:val="both"/>
      </w:pPr>
      <w:r>
        <w:t xml:space="preserve">Because the ELR </w:t>
      </w:r>
      <w:r w:rsidR="00DD2C74">
        <w:t xml:space="preserve">Program </w:t>
      </w:r>
      <w:r w:rsidR="0071685E">
        <w:t xml:space="preserve">predates the portfolio plan, its costs are recovered in part outside the plan, </w:t>
      </w:r>
      <w:r>
        <w:t xml:space="preserve">and </w:t>
      </w:r>
      <w:r w:rsidR="00B81361">
        <w:t>the p</w:t>
      </w:r>
      <w:r w:rsidR="00135E58">
        <w:t>rogram</w:t>
      </w:r>
      <w:r w:rsidR="008B1EF3">
        <w:t xml:space="preserve"> </w:t>
      </w:r>
      <w:r>
        <w:t xml:space="preserve">provides benefits that extend beyond compliance with </w:t>
      </w:r>
      <w:r w:rsidR="003122C8">
        <w:t>EE/PDR</w:t>
      </w:r>
      <w:r>
        <w:t xml:space="preserve"> requirements, a customer electing to take service under the ELR Program should not be deemed to be taking a benefit of the </w:t>
      </w:r>
      <w:r w:rsidR="008B1EF3">
        <w:t>F</w:t>
      </w:r>
      <w:r w:rsidR="00D97284">
        <w:t>irst</w:t>
      </w:r>
      <w:r w:rsidR="008B1EF3">
        <w:t>E</w:t>
      </w:r>
      <w:r w:rsidR="00D97284">
        <w:t>nergy</w:t>
      </w:r>
      <w:r w:rsidR="008B1EF3">
        <w:t xml:space="preserve"> portfolio plan</w:t>
      </w:r>
      <w:r>
        <w:t xml:space="preserve">.  Accordingly, the provision of the </w:t>
      </w:r>
      <w:r w:rsidR="0007105E">
        <w:t xml:space="preserve">stipulations </w:t>
      </w:r>
      <w:r>
        <w:t xml:space="preserve">making explicit that a customer taking service under the ELR Program may elect to opt out of the </w:t>
      </w:r>
      <w:r w:rsidR="00592108">
        <w:t>p</w:t>
      </w:r>
      <w:r>
        <w:t xml:space="preserve">ortfolio </w:t>
      </w:r>
      <w:r w:rsidR="00592108">
        <w:t xml:space="preserve">plan </w:t>
      </w:r>
      <w:r>
        <w:t>does not violate the limitation contained in R.C. 4928.6613.</w:t>
      </w:r>
    </w:p>
    <w:p w14:paraId="0DFC8769" w14:textId="4C2CC018" w:rsidR="005A7B84" w:rsidRDefault="00135E58" w:rsidP="00D643C6">
      <w:pPr>
        <w:spacing w:line="480" w:lineRule="auto"/>
        <w:ind w:firstLine="720"/>
        <w:jc w:val="both"/>
      </w:pPr>
      <w:r>
        <w:t xml:space="preserve">Like its statutory argument, </w:t>
      </w:r>
      <w:r w:rsidR="00D21A8C">
        <w:t xml:space="preserve">OEC’s </w:t>
      </w:r>
      <w:r w:rsidR="003469B2">
        <w:t>claim</w:t>
      </w:r>
      <w:r>
        <w:t xml:space="preserve"> that</w:t>
      </w:r>
      <w:r w:rsidR="00D21A8C">
        <w:t xml:space="preserve"> </w:t>
      </w:r>
      <w:r w:rsidR="003E4C64">
        <w:t>“</w:t>
      </w:r>
      <w:r w:rsidR="00D21A8C">
        <w:t>b</w:t>
      </w:r>
      <w:r w:rsidR="003E4C64">
        <w:t>asic fairness</w:t>
      </w:r>
      <w:r w:rsidR="00CF7196">
        <w:t>”</w:t>
      </w:r>
      <w:r w:rsidR="003E4C64">
        <w:t xml:space="preserve"> require</w:t>
      </w:r>
      <w:r w:rsidR="004F0A85">
        <w:t>s</w:t>
      </w:r>
      <w:r w:rsidR="003E4C64">
        <w:t xml:space="preserve"> the Commission to reverse </w:t>
      </w:r>
      <w:r w:rsidR="00090EB6">
        <w:t>its approval of the stipulation provision confirming a customer’s right to opt out is also without merit</w:t>
      </w:r>
      <w:r w:rsidR="003E4C64">
        <w:t xml:space="preserve">.  </w:t>
      </w:r>
      <w:r w:rsidR="00B32B81">
        <w:t xml:space="preserve">The opportunity to opt out is statutory: </w:t>
      </w:r>
      <w:r w:rsidR="007A6F16">
        <w:t>R.C. 4928.6611 grants certain customers the opportunity to opt out of the costs and benefits of the F</w:t>
      </w:r>
      <w:r w:rsidR="00D97284">
        <w:t>irst</w:t>
      </w:r>
      <w:r w:rsidR="007A6F16">
        <w:t>E</w:t>
      </w:r>
      <w:r w:rsidR="00D97284">
        <w:t>nergy</w:t>
      </w:r>
      <w:r w:rsidR="007A6F16">
        <w:t xml:space="preserve"> portfolio plan, beginning January 1, 2017.  </w:t>
      </w:r>
      <w:r w:rsidR="003560C1">
        <w:t>Based on the Commission’s determination that there is no violation of R.C. 4928.6613</w:t>
      </w:r>
      <w:r w:rsidR="00B32B81">
        <w:t xml:space="preserve"> if a customer elects to opt out</w:t>
      </w:r>
      <w:r w:rsidR="003560C1">
        <w:t xml:space="preserve">, the Commission cannot then strip the customer’s statutory right </w:t>
      </w:r>
      <w:r w:rsidR="007A6F16">
        <w:t xml:space="preserve">on the ground that “basic fairness” </w:t>
      </w:r>
      <w:r w:rsidR="00EA5A67">
        <w:t>permits</w:t>
      </w:r>
      <w:r w:rsidR="007A6F16">
        <w:t xml:space="preserve"> the Commissions to ignore the law</w:t>
      </w:r>
      <w:r w:rsidR="005A7B84">
        <w:t xml:space="preserve">. </w:t>
      </w:r>
      <w:r w:rsidR="003E4C64">
        <w:t xml:space="preserve"> </w:t>
      </w:r>
      <w:r w:rsidR="00CE6998" w:rsidRPr="00CF16F1">
        <w:rPr>
          <w:i/>
        </w:rPr>
        <w:t xml:space="preserve">Office of the Ohio Consumers’ Counsel v. Pub. </w:t>
      </w:r>
      <w:proofErr w:type="spellStart"/>
      <w:r w:rsidR="00CE6998" w:rsidRPr="00CF16F1">
        <w:rPr>
          <w:i/>
        </w:rPr>
        <w:t>Utils</w:t>
      </w:r>
      <w:proofErr w:type="spellEnd"/>
      <w:r w:rsidR="00CE6998" w:rsidRPr="00CF16F1">
        <w:rPr>
          <w:i/>
        </w:rPr>
        <w:t xml:space="preserve">. </w:t>
      </w:r>
      <w:proofErr w:type="spellStart"/>
      <w:r w:rsidR="00CE6998" w:rsidRPr="00CF16F1">
        <w:rPr>
          <w:i/>
        </w:rPr>
        <w:t>Comm</w:t>
      </w:r>
      <w:r w:rsidR="00914F4B" w:rsidRPr="00CF16F1">
        <w:rPr>
          <w:i/>
        </w:rPr>
        <w:t>’</w:t>
      </w:r>
      <w:r w:rsidR="00CE6998" w:rsidRPr="00CF16F1">
        <w:rPr>
          <w:i/>
        </w:rPr>
        <w:t>n</w:t>
      </w:r>
      <w:proofErr w:type="spellEnd"/>
      <w:r w:rsidR="00CE6998" w:rsidRPr="00CF16F1">
        <w:rPr>
          <w:i/>
        </w:rPr>
        <w:t xml:space="preserve"> </w:t>
      </w:r>
      <w:r w:rsidR="005C3FF4" w:rsidRPr="00CF16F1">
        <w:rPr>
          <w:i/>
        </w:rPr>
        <w:t>o</w:t>
      </w:r>
      <w:r w:rsidR="00CE6998" w:rsidRPr="00CF16F1">
        <w:rPr>
          <w:i/>
        </w:rPr>
        <w:t>f Ohio</w:t>
      </w:r>
      <w:r w:rsidR="00CE6998" w:rsidRPr="00CF16F1">
        <w:t xml:space="preserve">, 67 Ohio St.2d 153, </w:t>
      </w:r>
      <w:r w:rsidR="00914F4B" w:rsidRPr="00CF16F1">
        <w:t>167-68 (1981).</w:t>
      </w:r>
    </w:p>
    <w:p w14:paraId="27EA418A" w14:textId="7372C701" w:rsidR="00F92768" w:rsidRDefault="00CE6B0B" w:rsidP="00D643C6">
      <w:pPr>
        <w:spacing w:line="480" w:lineRule="auto"/>
        <w:ind w:firstLine="720"/>
        <w:jc w:val="both"/>
      </w:pPr>
      <w:r>
        <w:t xml:space="preserve">Moreover, </w:t>
      </w:r>
      <w:r w:rsidR="0053769B">
        <w:t>OEC’s position would frustrate state energy policy</w:t>
      </w:r>
      <w:r w:rsidR="00505AC0">
        <w:t xml:space="preserve"> that encourages</w:t>
      </w:r>
      <w:r w:rsidR="008E3FA1">
        <w:t xml:space="preserve"> customer effo</w:t>
      </w:r>
      <w:r w:rsidR="00505AC0">
        <w:t>rts at demand-</w:t>
      </w:r>
      <w:r w:rsidR="0053769B">
        <w:t>side management</w:t>
      </w:r>
      <w:r w:rsidR="00BB1BCE">
        <w:t>.</w:t>
      </w:r>
      <w:r>
        <w:t xml:space="preserve">  </w:t>
      </w:r>
      <w:r w:rsidR="0053769B">
        <w:t xml:space="preserve">R.C. 4928.02(D).  </w:t>
      </w:r>
      <w:r w:rsidR="000E09E2">
        <w:t xml:space="preserve">Customers that have demand response capabilities </w:t>
      </w:r>
      <w:r w:rsidR="00BE3062">
        <w:t xml:space="preserve">have alternatives as to the manner in which they use those </w:t>
      </w:r>
      <w:r w:rsidR="00BE3062">
        <w:lastRenderedPageBreak/>
        <w:t>capabilities</w:t>
      </w:r>
      <w:r w:rsidR="006A5101">
        <w:t xml:space="preserve">.  </w:t>
      </w:r>
      <w:proofErr w:type="gramStart"/>
      <w:r w:rsidR="006A5101">
        <w:t>An opt</w:t>
      </w:r>
      <w:proofErr w:type="gramEnd"/>
      <w:r w:rsidR="006A5101">
        <w:t xml:space="preserve"> out customer could use its demand response to reduce its capacity obligation without loss of the statutory opt out right.  These customers could benefit from reducing their capacity charges and have no obligation to offer those capabilities to FirstEnergy.  If the customer participates in the ELR Program, however, that customer would be subject to unlimited emergency interruptions by FirstEnergy, ATSI, and PJM.  Tr. Vol. III at 494.  The customer gives up its right to use emergency-related demand response as it may see fit, and FirstEnergy is then able to use this demand response capability to address emergency circumstances that might otherwise cause involuntary interruptions of service to other non-interruptible customers.  </w:t>
      </w:r>
    </w:p>
    <w:p w14:paraId="2BE37587" w14:textId="39D08A6B" w:rsidR="006A5101" w:rsidRDefault="006A5101" w:rsidP="00D643C6">
      <w:pPr>
        <w:spacing w:line="480" w:lineRule="auto"/>
        <w:ind w:firstLine="720"/>
        <w:jc w:val="both"/>
      </w:pPr>
      <w:r>
        <w:t xml:space="preserve">If the Commission accepted </w:t>
      </w:r>
      <w:r w:rsidR="00F814E7">
        <w:t>OEC</w:t>
      </w:r>
      <w:r>
        <w:t xml:space="preserve">’s argument, however, customers with demand response capabilities would be deterred from taking service under the ELR Program since they would not be permitted to opt out of the EE/PDR costs and benefits under SB 310.  </w:t>
      </w:r>
      <w:r w:rsidR="000C24D7">
        <w:t>If successful, therefore</w:t>
      </w:r>
      <w:r w:rsidR="00EA5A67">
        <w:t xml:space="preserve">, OEC’s argument </w:t>
      </w:r>
      <w:r w:rsidR="000C24D7">
        <w:t xml:space="preserve">that customers electing to take service under the ELR </w:t>
      </w:r>
      <w:r w:rsidR="006241C9">
        <w:t xml:space="preserve">Program </w:t>
      </w:r>
      <w:r w:rsidR="000C24D7">
        <w:t xml:space="preserve">lose their opportunity to opt out </w:t>
      </w:r>
      <w:r w:rsidR="00EA5A67">
        <w:t>would likely reduce the use of demand response by removing an incentive</w:t>
      </w:r>
      <w:r w:rsidR="006241C9">
        <w:t xml:space="preserve"> to participate.</w:t>
      </w:r>
      <w:r w:rsidR="00EA5A67">
        <w:t xml:space="preserve">  </w:t>
      </w:r>
      <w:r w:rsidR="001056AA">
        <w:t xml:space="preserve">As a further consequence, other customers would face </w:t>
      </w:r>
      <w:r w:rsidR="007615BC">
        <w:t xml:space="preserve">the increased chance of service interruptions.  </w:t>
      </w:r>
      <w:r w:rsidR="00431E39">
        <w:t xml:space="preserve">State policy, therefore, does not support OEC’s attempt to restrict a customer’s opportunity to opt out of the </w:t>
      </w:r>
      <w:r w:rsidR="00813E6B">
        <w:t>FirstEnergy</w:t>
      </w:r>
      <w:r w:rsidR="00431E39">
        <w:t xml:space="preserve"> portfolio plan.</w:t>
      </w:r>
    </w:p>
    <w:p w14:paraId="5020803A" w14:textId="544A44E3" w:rsidR="00A531FF" w:rsidRDefault="00A531FF" w:rsidP="00D643C6">
      <w:pPr>
        <w:spacing w:line="480" w:lineRule="auto"/>
        <w:ind w:firstLine="720"/>
        <w:jc w:val="both"/>
      </w:pPr>
      <w:r>
        <w:t xml:space="preserve">OEC’s </w:t>
      </w:r>
      <w:r w:rsidR="004642AD">
        <w:t>attempt to support its position based on</w:t>
      </w:r>
      <w:r w:rsidR="008D4EB1">
        <w:t xml:space="preserve"> </w:t>
      </w:r>
      <w:r>
        <w:t>the Commission’s decision in a prior AEP-Ohio case</w:t>
      </w:r>
      <w:r w:rsidR="00E50943">
        <w:t xml:space="preserve"> also</w:t>
      </w:r>
      <w:r>
        <w:t xml:space="preserve"> </w:t>
      </w:r>
      <w:r w:rsidR="00E50943">
        <w:t>does not warrant</w:t>
      </w:r>
      <w:r>
        <w:t xml:space="preserve"> </w:t>
      </w:r>
      <w:r w:rsidR="00E50943">
        <w:t>an order</w:t>
      </w:r>
      <w:r>
        <w:t xml:space="preserve"> granting rehearing.  </w:t>
      </w:r>
      <w:r w:rsidR="00E8629F">
        <w:t xml:space="preserve">In the decision cited by OEC, the Commission determined that costs associated with </w:t>
      </w:r>
      <w:r w:rsidR="00560CFE">
        <w:t>AEP-Ohio’s interruptible load program</w:t>
      </w:r>
      <w:r w:rsidR="00E8629F">
        <w:t xml:space="preserve"> should be recovered through the </w:t>
      </w:r>
      <w:r w:rsidR="003122C8">
        <w:t>EE/PDR</w:t>
      </w:r>
      <w:r w:rsidR="00E8629F">
        <w:t xml:space="preserve"> rider.  </w:t>
      </w:r>
      <w:r w:rsidR="004B29CC" w:rsidRPr="008C6517">
        <w:rPr>
          <w:i/>
        </w:rPr>
        <w:t xml:space="preserve">In the Matter of the Application </w:t>
      </w:r>
      <w:r w:rsidR="00097123" w:rsidRPr="008C6517">
        <w:rPr>
          <w:i/>
        </w:rPr>
        <w:t xml:space="preserve">of Ohio Power Company for Authority to Establish a Standard Service </w:t>
      </w:r>
      <w:r w:rsidR="00097123" w:rsidRPr="008C6517">
        <w:rPr>
          <w:i/>
        </w:rPr>
        <w:lastRenderedPageBreak/>
        <w:t>Offer Pursuant to R.C. 4928.143, in the Form of an Electric Security Plan</w:t>
      </w:r>
      <w:r w:rsidR="00097123">
        <w:t xml:space="preserve">, Case Nos. 13-2385-EL-SSO, </w:t>
      </w:r>
      <w:r w:rsidR="00097123" w:rsidRPr="000F5619">
        <w:rPr>
          <w:i/>
        </w:rPr>
        <w:t>et al.</w:t>
      </w:r>
      <w:r w:rsidR="00097123">
        <w:t xml:space="preserve">, Second Entry on Rehearing at 12 (May 28, 2015).  </w:t>
      </w:r>
      <w:r w:rsidR="00E8629F">
        <w:t xml:space="preserve">The Commission </w:t>
      </w:r>
      <w:r w:rsidR="008C6517">
        <w:t>did not address</w:t>
      </w:r>
      <w:r w:rsidR="00E8629F">
        <w:t xml:space="preserve"> whether a custome</w:t>
      </w:r>
      <w:r w:rsidR="00560CFE">
        <w:t>r that participated in the AEP-Ohio interruptible load program would be eligible to opt out of the AEP-Ohio portfolio program costs and benefits.</w:t>
      </w:r>
      <w:r w:rsidR="00B22FD2">
        <w:t xml:space="preserve">  The decision, therefore, is inapposite.</w:t>
      </w:r>
      <w:r w:rsidR="000074F7">
        <w:rPr>
          <w:rStyle w:val="FootnoteReference"/>
        </w:rPr>
        <w:footnoteReference w:id="4"/>
      </w:r>
    </w:p>
    <w:p w14:paraId="09E41627" w14:textId="77777777" w:rsidR="00832AFD" w:rsidRPr="00DE6ACA" w:rsidRDefault="00832AFD" w:rsidP="00516758">
      <w:pPr>
        <w:pStyle w:val="Heading1"/>
      </w:pPr>
      <w:r w:rsidRPr="00DE6ACA">
        <w:t>Conclusion</w:t>
      </w:r>
    </w:p>
    <w:p w14:paraId="0E328AEC" w14:textId="01ED0EBD" w:rsidR="00832AFD" w:rsidRDefault="00FD0C60" w:rsidP="007F2A55">
      <w:pPr>
        <w:spacing w:line="480" w:lineRule="auto"/>
        <w:ind w:firstLine="720"/>
        <w:jc w:val="both"/>
      </w:pPr>
      <w:r>
        <w:t>In the Fifth Entry on Rehearing, the Commission clarified that a provision of the stipulations providing that customers participating in the ELR Program retain their right to opt out of the FirstEnergy portfolio plan does not violate any important regulatory principle or practice</w:t>
      </w:r>
      <w:r w:rsidR="007F2A55">
        <w:t xml:space="preserve">.  </w:t>
      </w:r>
      <w:r w:rsidR="001A7EE6">
        <w:t xml:space="preserve">OEC’s </w:t>
      </w:r>
      <w:r w:rsidR="00F92001">
        <w:t xml:space="preserve">Application </w:t>
      </w:r>
      <w:r w:rsidR="001A7EE6">
        <w:t xml:space="preserve">for </w:t>
      </w:r>
      <w:r w:rsidR="00F92001">
        <w:t xml:space="preserve">Rehearing </w:t>
      </w:r>
      <w:r w:rsidR="001A7EE6">
        <w:t xml:space="preserve">seeks </w:t>
      </w:r>
      <w:r w:rsidR="00031C52">
        <w:t>an order reversing</w:t>
      </w:r>
      <w:r w:rsidR="001A7EE6">
        <w:t xml:space="preserve"> </w:t>
      </w:r>
      <w:r w:rsidR="007F2A55">
        <w:t>that</w:t>
      </w:r>
      <w:r w:rsidR="001A7EE6">
        <w:t xml:space="preserve"> </w:t>
      </w:r>
      <w:r w:rsidR="00E6185B">
        <w:t>clarification</w:t>
      </w:r>
      <w:r w:rsidR="00475CAA">
        <w:t xml:space="preserve">, </w:t>
      </w:r>
      <w:r w:rsidR="007F2A55">
        <w:t xml:space="preserve">but </w:t>
      </w:r>
      <w:r w:rsidR="00475CAA">
        <w:t xml:space="preserve">does not offer a reasoned basis for the Commission to grant </w:t>
      </w:r>
      <w:r w:rsidR="000F5619">
        <w:t>rehearing</w:t>
      </w:r>
      <w:r w:rsidR="00475CAA">
        <w:t>.  Accordingly,</w:t>
      </w:r>
      <w:r w:rsidR="00832AFD">
        <w:t xml:space="preserve"> the Commission should </w:t>
      </w:r>
      <w:r w:rsidR="002F48F4">
        <w:t xml:space="preserve">deny </w:t>
      </w:r>
      <w:r w:rsidR="00545984">
        <w:t>OEC’s request for rehearing</w:t>
      </w:r>
      <w:r w:rsidR="00B176A2">
        <w:t xml:space="preserve"> of this portion of the Fifth Entry on Rehearing</w:t>
      </w:r>
      <w:r w:rsidR="007E3F10">
        <w:t>.</w:t>
      </w:r>
    </w:p>
    <w:p w14:paraId="44082E6A" w14:textId="77777777" w:rsidR="00A92AFA" w:rsidRPr="00CA5ADB" w:rsidRDefault="00A92AFA" w:rsidP="00A92AFA">
      <w:pPr>
        <w:tabs>
          <w:tab w:val="left" w:pos="4320"/>
          <w:tab w:val="right" w:pos="8640"/>
        </w:tabs>
        <w:ind w:left="4680"/>
        <w:rPr>
          <w:rFonts w:eastAsia="Calibri" w:cs="Arial"/>
        </w:rPr>
      </w:pPr>
      <w:r w:rsidRPr="00CA5ADB">
        <w:rPr>
          <w:rFonts w:eastAsia="Calibri" w:cs="Arial"/>
        </w:rPr>
        <w:t>Respectfully submitted,</w:t>
      </w:r>
    </w:p>
    <w:p w14:paraId="08E97892" w14:textId="77777777" w:rsidR="00A92AFA" w:rsidRPr="00CA5ADB" w:rsidRDefault="00A92AFA" w:rsidP="00A92AFA">
      <w:pPr>
        <w:tabs>
          <w:tab w:val="left" w:pos="4320"/>
          <w:tab w:val="right" w:pos="8640"/>
        </w:tabs>
        <w:ind w:left="4680"/>
        <w:rPr>
          <w:rFonts w:eastAsia="Calibri" w:cs="Arial"/>
        </w:rPr>
      </w:pPr>
    </w:p>
    <w:p w14:paraId="7FC32744" w14:textId="77777777" w:rsidR="00A92AFA" w:rsidRPr="00CA5ADB" w:rsidRDefault="00A92AFA" w:rsidP="00A92AFA">
      <w:pPr>
        <w:tabs>
          <w:tab w:val="left" w:pos="4320"/>
          <w:tab w:val="right" w:pos="8640"/>
        </w:tabs>
        <w:ind w:left="4680"/>
        <w:rPr>
          <w:rFonts w:eastAsia="Calibri" w:cs="Arial"/>
        </w:rPr>
      </w:pPr>
    </w:p>
    <w:p w14:paraId="7CC65EAD" w14:textId="77777777" w:rsidR="00A92AFA" w:rsidRPr="00CA5ADB" w:rsidRDefault="00A92AFA" w:rsidP="00A92AFA">
      <w:pPr>
        <w:tabs>
          <w:tab w:val="left" w:pos="4320"/>
          <w:tab w:val="right" w:pos="8640"/>
        </w:tabs>
        <w:ind w:left="4680"/>
        <w:rPr>
          <w:rFonts w:eastAsia="Calibri" w:cs="Arial"/>
          <w:u w:val="single"/>
        </w:rPr>
      </w:pPr>
      <w:r w:rsidRPr="00CA5ADB">
        <w:rPr>
          <w:rFonts w:eastAsia="Calibri" w:cs="Arial"/>
          <w:i/>
          <w:u w:val="single"/>
        </w:rPr>
        <w:t>/s/</w:t>
      </w:r>
      <w:r w:rsidRPr="00CA5ADB">
        <w:rPr>
          <w:rFonts w:eastAsia="Calibri" w:cs="Arial"/>
          <w:u w:val="single"/>
        </w:rPr>
        <w:t xml:space="preserve"> </w:t>
      </w:r>
      <w:r>
        <w:rPr>
          <w:rFonts w:eastAsia="Calibri" w:cs="Arial"/>
          <w:i/>
          <w:u w:val="single"/>
        </w:rPr>
        <w:t>Frank P. Darr</w:t>
      </w:r>
      <w:r w:rsidRPr="00CA5ADB">
        <w:rPr>
          <w:rFonts w:eastAsia="Calibri" w:cs="Arial"/>
          <w:u w:val="single"/>
        </w:rPr>
        <w:tab/>
      </w:r>
    </w:p>
    <w:p w14:paraId="612B002B" w14:textId="77777777" w:rsidR="00A92AFA" w:rsidRPr="00CA5ADB" w:rsidRDefault="00A92AFA" w:rsidP="00A92AFA">
      <w:pPr>
        <w:widowControl w:val="0"/>
        <w:tabs>
          <w:tab w:val="left" w:pos="4320"/>
        </w:tabs>
        <w:ind w:left="4680"/>
        <w:rPr>
          <w:rFonts w:eastAsia="Calibri" w:cs="Arial"/>
          <w:bCs/>
        </w:rPr>
      </w:pPr>
      <w:r w:rsidRPr="00CA5ADB">
        <w:rPr>
          <w:rFonts w:eastAsia="Calibri" w:cs="Arial"/>
          <w:bCs/>
        </w:rPr>
        <w:t>Frank P. Darr (Reg. No. 0025469)</w:t>
      </w:r>
    </w:p>
    <w:p w14:paraId="49B24C0F" w14:textId="77777777" w:rsidR="00A92AFA" w:rsidRPr="00CA5ADB" w:rsidRDefault="00A92AFA" w:rsidP="00A92AFA">
      <w:pPr>
        <w:widowControl w:val="0"/>
        <w:tabs>
          <w:tab w:val="left" w:pos="4320"/>
        </w:tabs>
        <w:ind w:left="4680"/>
        <w:rPr>
          <w:rFonts w:eastAsia="Calibri" w:cs="Arial"/>
          <w:b/>
          <w:bCs/>
        </w:rPr>
      </w:pPr>
      <w:r w:rsidRPr="00CA5ADB">
        <w:rPr>
          <w:rFonts w:eastAsia="Calibri" w:cs="Arial"/>
          <w:bCs/>
        </w:rPr>
        <w:t>Matthew R. Pritchard (Reg. No. 0088070)</w:t>
      </w:r>
    </w:p>
    <w:p w14:paraId="581CBE81" w14:textId="77777777" w:rsidR="00A92AFA" w:rsidRPr="00CA5ADB" w:rsidRDefault="00A92AFA" w:rsidP="00A92AFA">
      <w:pPr>
        <w:widowControl w:val="0"/>
        <w:tabs>
          <w:tab w:val="left" w:pos="4320"/>
        </w:tabs>
        <w:ind w:left="4680"/>
        <w:rPr>
          <w:rFonts w:eastAsia="Calibri" w:cs="Arial"/>
          <w:b/>
          <w:bCs/>
          <w:smallCaps/>
        </w:rPr>
      </w:pPr>
      <w:r w:rsidRPr="00CA5ADB">
        <w:rPr>
          <w:rFonts w:eastAsia="Calibri" w:cs="Arial"/>
          <w:bCs/>
          <w:smallCaps/>
        </w:rPr>
        <w:t>McNees Wallace &amp; Nurick LLC</w:t>
      </w:r>
    </w:p>
    <w:p w14:paraId="61C539A5" w14:textId="77777777" w:rsidR="00A92AFA" w:rsidRPr="00CA5ADB" w:rsidRDefault="00A92AFA" w:rsidP="00A92AFA">
      <w:pPr>
        <w:widowControl w:val="0"/>
        <w:tabs>
          <w:tab w:val="left" w:pos="4320"/>
        </w:tabs>
        <w:ind w:left="4680"/>
        <w:rPr>
          <w:rFonts w:eastAsia="Calibri" w:cs="Arial"/>
          <w:b/>
          <w:bCs/>
        </w:rPr>
      </w:pPr>
      <w:r w:rsidRPr="00CA5ADB">
        <w:rPr>
          <w:rFonts w:eastAsia="Calibri" w:cs="Arial"/>
          <w:bCs/>
        </w:rPr>
        <w:t>21 East State Street, 17</w:t>
      </w:r>
      <w:r w:rsidRPr="00CA5ADB">
        <w:rPr>
          <w:rFonts w:eastAsia="Calibri" w:cs="Arial"/>
          <w:bCs/>
          <w:vertAlign w:val="superscript"/>
        </w:rPr>
        <w:t>TH</w:t>
      </w:r>
      <w:r w:rsidRPr="00CA5ADB">
        <w:rPr>
          <w:rFonts w:eastAsia="Calibri" w:cs="Arial"/>
          <w:bCs/>
        </w:rPr>
        <w:t xml:space="preserve"> Floor</w:t>
      </w:r>
    </w:p>
    <w:p w14:paraId="66416686" w14:textId="77777777" w:rsidR="00A92AFA" w:rsidRPr="00CA5ADB" w:rsidRDefault="00A92AFA" w:rsidP="00A92AFA">
      <w:pPr>
        <w:tabs>
          <w:tab w:val="left" w:pos="-1440"/>
          <w:tab w:val="left" w:pos="-720"/>
          <w:tab w:val="left" w:pos="4320"/>
          <w:tab w:val="left" w:pos="5040"/>
          <w:tab w:val="center" w:pos="7200"/>
        </w:tabs>
        <w:overflowPunct w:val="0"/>
        <w:autoSpaceDE w:val="0"/>
        <w:autoSpaceDN w:val="0"/>
        <w:adjustRightInd w:val="0"/>
        <w:ind w:left="4680"/>
        <w:rPr>
          <w:rFonts w:eastAsia="Calibri" w:cs="Arial"/>
        </w:rPr>
      </w:pPr>
      <w:r w:rsidRPr="00CA5ADB">
        <w:rPr>
          <w:rFonts w:eastAsia="Calibri" w:cs="Arial"/>
        </w:rPr>
        <w:t>Columbus, OH  43215</w:t>
      </w:r>
    </w:p>
    <w:p w14:paraId="76071EFC" w14:textId="77777777" w:rsidR="00A92AFA" w:rsidRPr="00CA5ADB" w:rsidRDefault="00A92AFA" w:rsidP="00A92AFA">
      <w:pPr>
        <w:tabs>
          <w:tab w:val="left" w:pos="-1440"/>
          <w:tab w:val="left" w:pos="-720"/>
          <w:tab w:val="left" w:pos="4320"/>
          <w:tab w:val="left" w:pos="5040"/>
          <w:tab w:val="center" w:pos="7200"/>
        </w:tabs>
        <w:overflowPunct w:val="0"/>
        <w:autoSpaceDE w:val="0"/>
        <w:autoSpaceDN w:val="0"/>
        <w:adjustRightInd w:val="0"/>
        <w:ind w:left="4680"/>
        <w:rPr>
          <w:rFonts w:eastAsia="Calibri" w:cs="Arial"/>
        </w:rPr>
      </w:pPr>
      <w:r w:rsidRPr="00CA5ADB">
        <w:rPr>
          <w:rFonts w:eastAsia="Calibri" w:cs="Arial"/>
        </w:rPr>
        <w:t>Telephone:  (614) 469-8000</w:t>
      </w:r>
    </w:p>
    <w:p w14:paraId="0A3C9081" w14:textId="77777777" w:rsidR="00A92AFA" w:rsidRPr="00CA5ADB" w:rsidRDefault="00A92AFA" w:rsidP="00A92AFA">
      <w:pPr>
        <w:tabs>
          <w:tab w:val="left" w:pos="-1440"/>
          <w:tab w:val="left" w:pos="-720"/>
          <w:tab w:val="left" w:pos="4320"/>
          <w:tab w:val="left" w:pos="5040"/>
          <w:tab w:val="center" w:pos="7200"/>
        </w:tabs>
        <w:overflowPunct w:val="0"/>
        <w:autoSpaceDE w:val="0"/>
        <w:autoSpaceDN w:val="0"/>
        <w:adjustRightInd w:val="0"/>
        <w:ind w:left="4680"/>
        <w:rPr>
          <w:rFonts w:eastAsia="Calibri" w:cs="Arial"/>
        </w:rPr>
      </w:pPr>
      <w:r w:rsidRPr="00CA5ADB">
        <w:rPr>
          <w:rFonts w:eastAsia="Calibri" w:cs="Arial"/>
        </w:rPr>
        <w:t>Telecopier:  (614) 469-4653</w:t>
      </w:r>
    </w:p>
    <w:p w14:paraId="50804827" w14:textId="77777777" w:rsidR="00A92AFA" w:rsidRPr="00CA5ADB" w:rsidRDefault="00A92AFA" w:rsidP="00A92AFA">
      <w:pPr>
        <w:tabs>
          <w:tab w:val="left" w:pos="-1440"/>
          <w:tab w:val="left" w:pos="-720"/>
          <w:tab w:val="left" w:pos="5040"/>
          <w:tab w:val="center" w:pos="7200"/>
        </w:tabs>
        <w:overflowPunct w:val="0"/>
        <w:autoSpaceDE w:val="0"/>
        <w:autoSpaceDN w:val="0"/>
        <w:adjustRightInd w:val="0"/>
        <w:ind w:left="4680"/>
        <w:rPr>
          <w:rFonts w:eastAsia="Calibri" w:cs="Arial"/>
          <w:color w:val="000000"/>
        </w:rPr>
      </w:pPr>
      <w:r w:rsidRPr="00CA5ADB">
        <w:rPr>
          <w:rFonts w:eastAsia="Calibri" w:cs="Arial"/>
          <w:color w:val="000000"/>
        </w:rPr>
        <w:t>fdarr@mwncmh.com</w:t>
      </w:r>
    </w:p>
    <w:p w14:paraId="645CEF36" w14:textId="77777777" w:rsidR="00A92AFA" w:rsidRPr="00CA5ADB" w:rsidRDefault="00A92AFA" w:rsidP="00A92AFA">
      <w:pPr>
        <w:tabs>
          <w:tab w:val="left" w:pos="-1440"/>
          <w:tab w:val="left" w:pos="-720"/>
          <w:tab w:val="left" w:pos="5040"/>
          <w:tab w:val="center" w:pos="7200"/>
        </w:tabs>
        <w:overflowPunct w:val="0"/>
        <w:autoSpaceDE w:val="0"/>
        <w:autoSpaceDN w:val="0"/>
        <w:adjustRightInd w:val="0"/>
        <w:ind w:left="4680"/>
        <w:rPr>
          <w:rFonts w:eastAsia="Calibri" w:cs="Arial"/>
          <w:smallCaps/>
          <w:color w:val="000000"/>
        </w:rPr>
      </w:pPr>
      <w:r w:rsidRPr="00CA5ADB">
        <w:rPr>
          <w:rFonts w:eastAsia="Calibri" w:cs="Arial"/>
          <w:color w:val="000000"/>
        </w:rPr>
        <w:t>mpritchard@mwncmh.com</w:t>
      </w:r>
    </w:p>
    <w:p w14:paraId="5C51CBCC" w14:textId="77777777" w:rsidR="00A92AFA" w:rsidRPr="00CA5ADB" w:rsidRDefault="00A92AFA" w:rsidP="00A92AFA">
      <w:pPr>
        <w:tabs>
          <w:tab w:val="left" w:pos="4320"/>
          <w:tab w:val="right" w:pos="8640"/>
        </w:tabs>
        <w:ind w:left="5040"/>
        <w:rPr>
          <w:rFonts w:eastAsia="Calibri"/>
        </w:rPr>
      </w:pPr>
      <w:r w:rsidRPr="00CA5ADB">
        <w:rPr>
          <w:rFonts w:eastAsia="Calibri"/>
        </w:rPr>
        <w:tab/>
      </w:r>
      <w:r w:rsidRPr="00CA5ADB">
        <w:rPr>
          <w:rFonts w:eastAsia="Calibri"/>
        </w:rPr>
        <w:tab/>
      </w:r>
    </w:p>
    <w:p w14:paraId="49044180" w14:textId="77777777" w:rsidR="00A92AFA" w:rsidRDefault="00A92AFA" w:rsidP="00A92AFA">
      <w:pPr>
        <w:tabs>
          <w:tab w:val="left" w:pos="4320"/>
        </w:tabs>
        <w:ind w:left="4680"/>
        <w:sectPr w:rsidR="00A92AFA" w:rsidSect="00A7358C">
          <w:headerReference w:type="default"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pPr>
      <w:r w:rsidRPr="00CA5ADB">
        <w:rPr>
          <w:rFonts w:cs="Arial"/>
          <w:b/>
        </w:rPr>
        <w:lastRenderedPageBreak/>
        <w:t>Attorneys for Industrial Energy Users-Ohio</w:t>
      </w:r>
    </w:p>
    <w:p w14:paraId="4351B706" w14:textId="77777777" w:rsidR="008245F1" w:rsidRPr="008245F1" w:rsidRDefault="008245F1" w:rsidP="008245F1">
      <w:pPr>
        <w:tabs>
          <w:tab w:val="left" w:pos="2160"/>
          <w:tab w:val="left" w:pos="2280"/>
        </w:tabs>
        <w:jc w:val="center"/>
        <w:rPr>
          <w:rFonts w:eastAsia="Times New Roman" w:cs="Arial"/>
          <w:b/>
          <w:smallCaps/>
          <w:sz w:val="28"/>
          <w:u w:val="single"/>
        </w:rPr>
      </w:pPr>
      <w:r w:rsidRPr="008245F1">
        <w:rPr>
          <w:rFonts w:eastAsia="Times New Roman" w:cs="Arial"/>
          <w:b/>
          <w:smallCaps/>
          <w:sz w:val="28"/>
          <w:u w:val="single"/>
        </w:rPr>
        <w:lastRenderedPageBreak/>
        <w:t>Certificate of Service</w:t>
      </w:r>
    </w:p>
    <w:p w14:paraId="30E72DC2" w14:textId="77777777" w:rsidR="008245F1" w:rsidRPr="008245F1" w:rsidRDefault="008245F1" w:rsidP="008245F1">
      <w:pPr>
        <w:rPr>
          <w:rFonts w:eastAsia="Times New Roman" w:cs="Arial"/>
        </w:rPr>
      </w:pPr>
    </w:p>
    <w:p w14:paraId="2FD33761" w14:textId="5BDEDC94" w:rsidR="008245F1" w:rsidRPr="008245F1" w:rsidRDefault="008245F1" w:rsidP="008245F1">
      <w:pPr>
        <w:spacing w:line="480" w:lineRule="auto"/>
        <w:ind w:firstLine="720"/>
        <w:jc w:val="both"/>
        <w:rPr>
          <w:rFonts w:eastAsia="Times New Roman" w:cs="Arial"/>
          <w:b/>
          <w:smallCaps/>
        </w:rPr>
      </w:pPr>
      <w:r w:rsidRPr="008245F1">
        <w:rPr>
          <w:rFonts w:eastAsia="Times New Roman" w:cs="Arial"/>
        </w:rPr>
        <w:t>In Accordance with Rule 4901-1-05, Ohio Administrative Code, "The PUCO's e</w:t>
      </w:r>
      <w:r w:rsidRPr="008245F1">
        <w:rPr>
          <w:rFonts w:eastAsia="Times New Roman" w:cs="Arial"/>
        </w:rPr>
        <w:noBreakHyphen/>
        <w:t xml:space="preserve">filing system will electronically serve notice of the filing of this document upon the following parties."  In addition, I hereby certify that a service copy of the foregoing </w:t>
      </w:r>
      <w:r w:rsidR="00496156" w:rsidRPr="00496156">
        <w:rPr>
          <w:rFonts w:eastAsia="Calibri" w:cs="Times New Roman"/>
          <w:i/>
          <w:szCs w:val="28"/>
        </w:rPr>
        <w:t>Memorandum Contra of Industrial Energy Users-Ohio</w:t>
      </w:r>
      <w:r w:rsidRPr="008245F1">
        <w:rPr>
          <w:rFonts w:eastAsia="Times New Roman" w:cs="Arial"/>
        </w:rPr>
        <w:t xml:space="preserve"> was sent by, or on behalf of, the undersigned counsel for IEU-Ohio, to the following parties of record this </w:t>
      </w:r>
      <w:r w:rsidR="00FD3977">
        <w:rPr>
          <w:rFonts w:eastAsia="Times New Roman" w:cs="Arial"/>
        </w:rPr>
        <w:t>2</w:t>
      </w:r>
      <w:r w:rsidR="00F50FB1">
        <w:rPr>
          <w:rFonts w:eastAsia="Times New Roman" w:cs="Arial"/>
        </w:rPr>
        <w:t>3</w:t>
      </w:r>
      <w:r w:rsidR="00F50FB1" w:rsidRPr="00F50FB1">
        <w:rPr>
          <w:rFonts w:eastAsia="Times New Roman" w:cs="Arial"/>
          <w:vertAlign w:val="superscript"/>
        </w:rPr>
        <w:t>rd</w:t>
      </w:r>
      <w:r w:rsidRPr="008245F1">
        <w:rPr>
          <w:rFonts w:eastAsia="Times New Roman" w:cs="Arial"/>
        </w:rPr>
        <w:t xml:space="preserve"> day of </w:t>
      </w:r>
      <w:r w:rsidR="00FD3977">
        <w:rPr>
          <w:rFonts w:eastAsia="Times New Roman" w:cs="Arial"/>
        </w:rPr>
        <w:t xml:space="preserve">November </w:t>
      </w:r>
      <w:r w:rsidRPr="008245F1">
        <w:rPr>
          <w:rFonts w:eastAsia="Times New Roman" w:cs="Arial"/>
        </w:rPr>
        <w:t xml:space="preserve">2016, </w:t>
      </w:r>
      <w:r w:rsidRPr="008245F1">
        <w:rPr>
          <w:rFonts w:eastAsia="Times New Roman" w:cs="Arial"/>
          <w:i/>
        </w:rPr>
        <w:t>via</w:t>
      </w:r>
      <w:r w:rsidRPr="008245F1">
        <w:rPr>
          <w:rFonts w:eastAsia="Times New Roman" w:cs="Arial"/>
        </w:rPr>
        <w:t xml:space="preserve"> electronic transmission. </w:t>
      </w:r>
    </w:p>
    <w:p w14:paraId="55005E27" w14:textId="77777777" w:rsidR="008245F1" w:rsidRPr="008245F1" w:rsidRDefault="008245F1" w:rsidP="008245F1">
      <w:pPr>
        <w:rPr>
          <w:rFonts w:eastAsia="Times New Roman" w:cs="Arial"/>
        </w:rPr>
      </w:pPr>
    </w:p>
    <w:p w14:paraId="0A28D6D0" w14:textId="77777777" w:rsidR="008245F1" w:rsidRPr="008245F1" w:rsidRDefault="008245F1" w:rsidP="008245F1">
      <w:pPr>
        <w:tabs>
          <w:tab w:val="right" w:pos="8640"/>
        </w:tabs>
        <w:ind w:left="5040"/>
        <w:rPr>
          <w:rFonts w:eastAsia="Times New Roman" w:cs="Arial"/>
          <w:i/>
          <w:u w:val="single"/>
        </w:rPr>
      </w:pPr>
      <w:r w:rsidRPr="008245F1">
        <w:rPr>
          <w:rFonts w:eastAsia="Times New Roman" w:cs="Arial"/>
          <w:i/>
          <w:u w:val="single"/>
        </w:rPr>
        <w:t>/s/ Frank P. Darr</w:t>
      </w:r>
      <w:r w:rsidRPr="008245F1">
        <w:rPr>
          <w:rFonts w:eastAsia="Times New Roman" w:cs="Arial"/>
          <w:i/>
          <w:u w:val="single"/>
        </w:rPr>
        <w:tab/>
      </w:r>
    </w:p>
    <w:p w14:paraId="5BC59877" w14:textId="77777777" w:rsidR="008245F1" w:rsidRPr="008245F1" w:rsidRDefault="008245F1" w:rsidP="008245F1">
      <w:pPr>
        <w:spacing w:line="480" w:lineRule="auto"/>
        <w:sectPr w:rsidR="008245F1" w:rsidRPr="008245F1" w:rsidSect="00A30046">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titlePg/>
          <w:docGrid w:linePitch="360"/>
        </w:sectPr>
      </w:pPr>
      <w:r w:rsidRPr="008245F1">
        <w:tab/>
      </w:r>
      <w:r w:rsidRPr="008245F1">
        <w:tab/>
      </w:r>
      <w:r w:rsidRPr="008245F1">
        <w:tab/>
      </w:r>
      <w:r w:rsidRPr="008245F1">
        <w:tab/>
      </w:r>
      <w:r w:rsidRPr="008245F1">
        <w:tab/>
      </w:r>
      <w:r w:rsidRPr="008245F1">
        <w:tab/>
      </w:r>
      <w:r w:rsidRPr="008245F1">
        <w:tab/>
      </w:r>
      <w:r w:rsidRPr="008245F1">
        <w:tab/>
        <w:t>Frank P. Darr</w:t>
      </w:r>
    </w:p>
    <w:p w14:paraId="46770232" w14:textId="77777777" w:rsidR="008245F1" w:rsidRPr="008245F1" w:rsidRDefault="008245F1" w:rsidP="008245F1">
      <w:pPr>
        <w:rPr>
          <w:rFonts w:cs="Arial"/>
          <w:color w:val="000000"/>
          <w:lang w:val="x-none"/>
        </w:rPr>
      </w:pPr>
      <w:r w:rsidRPr="008245F1">
        <w:rPr>
          <w:rFonts w:cs="Arial"/>
          <w:color w:val="000000"/>
          <w:lang w:val="x-none"/>
        </w:rPr>
        <w:t>cdunn@firstenergycorp.com</w:t>
      </w:r>
    </w:p>
    <w:p w14:paraId="5E9C0065" w14:textId="77777777" w:rsidR="008245F1" w:rsidRPr="008245F1" w:rsidRDefault="008245F1" w:rsidP="008245F1">
      <w:pPr>
        <w:autoSpaceDE w:val="0"/>
        <w:autoSpaceDN w:val="0"/>
        <w:adjustRightInd w:val="0"/>
        <w:snapToGrid w:val="0"/>
        <w:rPr>
          <w:rFonts w:cs="Arial"/>
          <w:color w:val="000000"/>
          <w:lang w:val="x-none"/>
        </w:rPr>
      </w:pPr>
      <w:r w:rsidRPr="008245F1">
        <w:rPr>
          <w:rFonts w:cs="Arial"/>
          <w:color w:val="000000"/>
          <w:lang w:val="x-none"/>
        </w:rPr>
        <w:t>jlang@calfee.com</w:t>
      </w:r>
    </w:p>
    <w:p w14:paraId="21C8006E" w14:textId="77777777" w:rsidR="008245F1" w:rsidRPr="008245F1" w:rsidRDefault="008245F1" w:rsidP="008245F1">
      <w:pPr>
        <w:autoSpaceDE w:val="0"/>
        <w:autoSpaceDN w:val="0"/>
        <w:adjustRightInd w:val="0"/>
        <w:snapToGrid w:val="0"/>
        <w:rPr>
          <w:rFonts w:cs="Arial"/>
          <w:color w:val="000000"/>
          <w:lang w:val="x-none"/>
        </w:rPr>
      </w:pPr>
      <w:r w:rsidRPr="008245F1">
        <w:rPr>
          <w:rFonts w:cs="Arial"/>
          <w:color w:val="000000"/>
          <w:lang w:val="x-none"/>
        </w:rPr>
        <w:t>talexander@calfee.com</w:t>
      </w:r>
    </w:p>
    <w:p w14:paraId="10C5385B" w14:textId="77777777" w:rsidR="008245F1" w:rsidRPr="008245F1" w:rsidRDefault="008245F1" w:rsidP="008245F1">
      <w:pPr>
        <w:autoSpaceDE w:val="0"/>
        <w:autoSpaceDN w:val="0"/>
        <w:adjustRightInd w:val="0"/>
        <w:snapToGrid w:val="0"/>
        <w:rPr>
          <w:rFonts w:cs="Arial"/>
          <w:color w:val="000000"/>
          <w:lang w:val="x-none"/>
        </w:rPr>
      </w:pPr>
      <w:r w:rsidRPr="008245F1">
        <w:rPr>
          <w:rFonts w:cs="Arial"/>
          <w:color w:val="000000"/>
          <w:lang w:val="x-none"/>
        </w:rPr>
        <w:t>dakutik@jonesday.com</w:t>
      </w:r>
    </w:p>
    <w:p w14:paraId="790FBDF7" w14:textId="77777777" w:rsidR="008245F1" w:rsidRPr="008245F1" w:rsidRDefault="008245F1" w:rsidP="008245F1">
      <w:pPr>
        <w:autoSpaceDE w:val="0"/>
        <w:autoSpaceDN w:val="0"/>
        <w:adjustRightInd w:val="0"/>
        <w:snapToGrid w:val="0"/>
        <w:rPr>
          <w:rFonts w:eastAsia="Times New Roman" w:cs="Arial"/>
          <w:color w:val="000000"/>
          <w:lang w:val="x-none"/>
        </w:rPr>
      </w:pPr>
      <w:proofErr w:type="spellStart"/>
      <w:r w:rsidRPr="008245F1">
        <w:rPr>
          <w:rFonts w:eastAsia="Times New Roman" w:cs="Arial"/>
          <w:color w:val="000000"/>
          <w:lang w:val="x-none"/>
        </w:rPr>
        <w:t>mkurtz</w:t>
      </w:r>
      <w:proofErr w:type="spellEnd"/>
      <w:r w:rsidRPr="008245F1">
        <w:rPr>
          <w:rFonts w:eastAsia="Times New Roman" w:cs="Arial"/>
          <w:color w:val="000000"/>
        </w:rPr>
        <w:t>@</w:t>
      </w:r>
      <w:proofErr w:type="spellStart"/>
      <w:r w:rsidRPr="008245F1">
        <w:rPr>
          <w:rFonts w:eastAsia="Times New Roman" w:cs="Arial"/>
          <w:color w:val="000000"/>
          <w:lang w:val="x-none"/>
        </w:rPr>
        <w:t>BKLlawfi</w:t>
      </w:r>
      <w:r w:rsidRPr="008245F1">
        <w:rPr>
          <w:rFonts w:eastAsia="Times New Roman" w:cs="Arial"/>
          <w:color w:val="000000"/>
        </w:rPr>
        <w:t>r</w:t>
      </w:r>
      <w:proofErr w:type="spellEnd"/>
      <w:r w:rsidRPr="008245F1">
        <w:rPr>
          <w:rFonts w:eastAsia="Times New Roman" w:cs="Arial"/>
          <w:color w:val="000000"/>
          <w:lang w:val="x-none"/>
        </w:rPr>
        <w:t>m</w:t>
      </w:r>
      <w:r w:rsidRPr="008245F1">
        <w:rPr>
          <w:rFonts w:eastAsia="Times New Roman" w:cs="Arial"/>
          <w:color w:val="000000"/>
        </w:rPr>
        <w:t>.</w:t>
      </w:r>
      <w:r w:rsidRPr="008245F1">
        <w:rPr>
          <w:rFonts w:eastAsia="Times New Roman" w:cs="Arial"/>
          <w:color w:val="000000"/>
          <w:lang w:val="x-none"/>
        </w:rPr>
        <w:t>com</w:t>
      </w:r>
    </w:p>
    <w:p w14:paraId="6BF7B4CC" w14:textId="77777777" w:rsidR="008245F1" w:rsidRPr="008245F1" w:rsidRDefault="008245F1" w:rsidP="008245F1">
      <w:pPr>
        <w:autoSpaceDE w:val="0"/>
        <w:autoSpaceDN w:val="0"/>
        <w:adjustRightInd w:val="0"/>
        <w:snapToGrid w:val="0"/>
        <w:rPr>
          <w:rFonts w:eastAsia="Times New Roman" w:cs="Arial"/>
          <w:color w:val="000000"/>
          <w:lang w:val="x-none"/>
        </w:rPr>
      </w:pPr>
      <w:proofErr w:type="spellStart"/>
      <w:r w:rsidRPr="008245F1">
        <w:rPr>
          <w:rFonts w:eastAsia="Times New Roman" w:cs="Arial"/>
          <w:color w:val="000000"/>
          <w:lang w:val="x-none"/>
        </w:rPr>
        <w:t>kboeh</w:t>
      </w:r>
      <w:r w:rsidRPr="008245F1">
        <w:rPr>
          <w:rFonts w:eastAsia="Times New Roman" w:cs="Arial"/>
          <w:color w:val="000000"/>
        </w:rPr>
        <w:t>m</w:t>
      </w:r>
      <w:proofErr w:type="spellEnd"/>
      <w:r w:rsidRPr="008245F1">
        <w:rPr>
          <w:rFonts w:eastAsia="Times New Roman" w:cs="Arial"/>
          <w:color w:val="000000"/>
          <w:lang w:val="x-none"/>
        </w:rPr>
        <w:t>@BKLlawfirm.com</w:t>
      </w:r>
    </w:p>
    <w:p w14:paraId="18DFF0EB" w14:textId="77777777" w:rsidR="008245F1" w:rsidRPr="008245F1" w:rsidRDefault="008245F1" w:rsidP="008245F1">
      <w:pPr>
        <w:rPr>
          <w:rFonts w:eastAsia="Times New Roman" w:cs="Arial"/>
          <w:color w:val="000000"/>
          <w:lang w:val="x-none"/>
        </w:rPr>
      </w:pPr>
      <w:proofErr w:type="spellStart"/>
      <w:r w:rsidRPr="008245F1">
        <w:rPr>
          <w:rFonts w:eastAsia="Times New Roman" w:cs="Arial"/>
          <w:color w:val="000000"/>
          <w:lang w:val="x-none"/>
        </w:rPr>
        <w:t>jky</w:t>
      </w:r>
      <w:r w:rsidRPr="008245F1">
        <w:rPr>
          <w:rFonts w:eastAsia="Times New Roman" w:cs="Arial"/>
          <w:color w:val="000000"/>
        </w:rPr>
        <w:t>l</w:t>
      </w:r>
      <w:r w:rsidRPr="008245F1">
        <w:rPr>
          <w:rFonts w:eastAsia="Times New Roman" w:cs="Arial"/>
          <w:color w:val="000000"/>
          <w:lang w:val="x-none"/>
        </w:rPr>
        <w:t>ercohn</w:t>
      </w:r>
      <w:proofErr w:type="spellEnd"/>
      <w:r w:rsidRPr="008245F1">
        <w:rPr>
          <w:rFonts w:eastAsia="Times New Roman" w:cs="Arial"/>
          <w:color w:val="000000"/>
        </w:rPr>
        <w:t>@</w:t>
      </w:r>
      <w:proofErr w:type="spellStart"/>
      <w:r w:rsidRPr="008245F1">
        <w:rPr>
          <w:rFonts w:eastAsia="Times New Roman" w:cs="Arial"/>
          <w:color w:val="000000"/>
          <w:lang w:val="x-none"/>
        </w:rPr>
        <w:t>BKLlawfi</w:t>
      </w:r>
      <w:r w:rsidRPr="008245F1">
        <w:rPr>
          <w:rFonts w:eastAsia="Times New Roman" w:cs="Arial"/>
          <w:color w:val="000000"/>
        </w:rPr>
        <w:t>r</w:t>
      </w:r>
      <w:proofErr w:type="spellEnd"/>
      <w:r w:rsidRPr="008245F1">
        <w:rPr>
          <w:rFonts w:eastAsia="Times New Roman" w:cs="Arial"/>
          <w:color w:val="000000"/>
          <w:lang w:val="x-none"/>
        </w:rPr>
        <w:t>m</w:t>
      </w:r>
      <w:r w:rsidRPr="008245F1">
        <w:rPr>
          <w:rFonts w:eastAsia="Times New Roman" w:cs="Arial"/>
          <w:color w:val="000000"/>
        </w:rPr>
        <w:t>.</w:t>
      </w:r>
      <w:r w:rsidRPr="008245F1">
        <w:rPr>
          <w:rFonts w:eastAsia="Times New Roman" w:cs="Arial"/>
          <w:color w:val="000000"/>
          <w:lang w:val="x-none"/>
        </w:rPr>
        <w:t>com</w:t>
      </w:r>
    </w:p>
    <w:p w14:paraId="622A361E" w14:textId="77777777" w:rsidR="008245F1" w:rsidRPr="008245F1" w:rsidRDefault="00213430" w:rsidP="008245F1">
      <w:pPr>
        <w:autoSpaceDE w:val="0"/>
        <w:autoSpaceDN w:val="0"/>
        <w:adjustRightInd w:val="0"/>
        <w:rPr>
          <w:rFonts w:cs="Arial"/>
        </w:rPr>
      </w:pPr>
      <w:hyperlink r:id="rId23" w:history="1">
        <w:r w:rsidR="008245F1" w:rsidRPr="008245F1">
          <w:rPr>
            <w:rFonts w:cs="Arial"/>
          </w:rPr>
          <w:t>stnourse@aep.com</w:t>
        </w:r>
      </w:hyperlink>
    </w:p>
    <w:p w14:paraId="086B196F" w14:textId="77777777" w:rsidR="008245F1" w:rsidRPr="008245F1" w:rsidRDefault="00213430" w:rsidP="008245F1">
      <w:pPr>
        <w:autoSpaceDE w:val="0"/>
        <w:autoSpaceDN w:val="0"/>
        <w:adjustRightInd w:val="0"/>
        <w:rPr>
          <w:rFonts w:cs="Arial"/>
        </w:rPr>
      </w:pPr>
      <w:hyperlink r:id="rId24" w:history="1">
        <w:r w:rsidR="008245F1" w:rsidRPr="008245F1">
          <w:rPr>
            <w:rFonts w:cs="Arial"/>
          </w:rPr>
          <w:t>mjsatterwhite@aep.com</w:t>
        </w:r>
      </w:hyperlink>
    </w:p>
    <w:p w14:paraId="0FBB6675" w14:textId="77777777" w:rsidR="008245F1" w:rsidRPr="008245F1" w:rsidRDefault="00213430" w:rsidP="008245F1">
      <w:pPr>
        <w:rPr>
          <w:rFonts w:cs="Arial"/>
        </w:rPr>
      </w:pPr>
      <w:hyperlink r:id="rId25" w:history="1">
        <w:r w:rsidR="008245F1" w:rsidRPr="008245F1">
          <w:rPr>
            <w:rFonts w:cs="Arial"/>
          </w:rPr>
          <w:t>yalami@aep.com</w:t>
        </w:r>
      </w:hyperlink>
    </w:p>
    <w:p w14:paraId="235653A6" w14:textId="77777777" w:rsidR="008245F1" w:rsidRPr="008245F1" w:rsidRDefault="008245F1" w:rsidP="008245F1">
      <w:pPr>
        <w:autoSpaceDE w:val="0"/>
        <w:autoSpaceDN w:val="0"/>
        <w:adjustRightInd w:val="0"/>
        <w:snapToGrid w:val="0"/>
        <w:rPr>
          <w:rFonts w:cs="Arial"/>
        </w:rPr>
      </w:pPr>
      <w:r w:rsidRPr="008245F1">
        <w:rPr>
          <w:rFonts w:cs="Arial"/>
        </w:rPr>
        <w:t>Larry.sauer@occ.ohio.gov</w:t>
      </w:r>
    </w:p>
    <w:p w14:paraId="41D3C32C" w14:textId="77777777" w:rsidR="008245F1" w:rsidRPr="008245F1" w:rsidRDefault="008245F1" w:rsidP="008245F1">
      <w:pPr>
        <w:autoSpaceDE w:val="0"/>
        <w:autoSpaceDN w:val="0"/>
        <w:adjustRightInd w:val="0"/>
        <w:snapToGrid w:val="0"/>
        <w:rPr>
          <w:rFonts w:cs="Arial"/>
        </w:rPr>
      </w:pPr>
      <w:r w:rsidRPr="008245F1">
        <w:rPr>
          <w:rFonts w:cs="Arial"/>
        </w:rPr>
        <w:t>maureen.willis@occ.ohio.gov</w:t>
      </w:r>
    </w:p>
    <w:p w14:paraId="73F34DD7" w14:textId="77777777" w:rsidR="008245F1" w:rsidRPr="008245F1" w:rsidRDefault="008245F1" w:rsidP="008245F1">
      <w:pPr>
        <w:autoSpaceDE w:val="0"/>
        <w:autoSpaceDN w:val="0"/>
        <w:adjustRightInd w:val="0"/>
        <w:snapToGrid w:val="0"/>
        <w:rPr>
          <w:rFonts w:cs="Arial"/>
        </w:rPr>
      </w:pPr>
      <w:r w:rsidRPr="008245F1">
        <w:rPr>
          <w:rFonts w:cs="Arial"/>
        </w:rPr>
        <w:t>William.Michael@occ.ohio.gov</w:t>
      </w:r>
    </w:p>
    <w:p w14:paraId="57FE2FA9" w14:textId="77777777" w:rsidR="008245F1" w:rsidRPr="008245F1" w:rsidRDefault="008245F1" w:rsidP="008245F1">
      <w:pPr>
        <w:autoSpaceDE w:val="0"/>
        <w:autoSpaceDN w:val="0"/>
        <w:adjustRightInd w:val="0"/>
        <w:snapToGrid w:val="0"/>
        <w:rPr>
          <w:rFonts w:cs="Arial"/>
        </w:rPr>
      </w:pPr>
      <w:r w:rsidRPr="008245F1">
        <w:rPr>
          <w:rFonts w:cs="Arial"/>
        </w:rPr>
        <w:t>Kevin.moore@occ.ohio.gov</w:t>
      </w:r>
    </w:p>
    <w:p w14:paraId="4D77384A" w14:textId="77777777" w:rsidR="008245F1" w:rsidRPr="008245F1" w:rsidRDefault="008245F1" w:rsidP="008245F1">
      <w:pPr>
        <w:autoSpaceDE w:val="0"/>
        <w:autoSpaceDN w:val="0"/>
        <w:adjustRightInd w:val="0"/>
        <w:snapToGrid w:val="0"/>
        <w:rPr>
          <w:rFonts w:cs="Arial"/>
        </w:rPr>
      </w:pPr>
      <w:r w:rsidRPr="008245F1">
        <w:rPr>
          <w:rFonts w:cs="Arial"/>
        </w:rPr>
        <w:t>Ajay.kumar@occ.ohio.gov</w:t>
      </w:r>
    </w:p>
    <w:p w14:paraId="71B75D2D" w14:textId="77777777" w:rsidR="008245F1" w:rsidRPr="008245F1" w:rsidRDefault="008245F1" w:rsidP="008245F1">
      <w:pPr>
        <w:rPr>
          <w:rFonts w:cs="Arial"/>
        </w:rPr>
      </w:pPr>
      <w:r w:rsidRPr="008245F1">
        <w:rPr>
          <w:rFonts w:cs="Arial"/>
        </w:rPr>
        <w:t>barthroyer@aol.com</w:t>
      </w:r>
    </w:p>
    <w:p w14:paraId="227E6F93" w14:textId="77777777" w:rsidR="008245F1" w:rsidRPr="008245F1" w:rsidRDefault="008245F1" w:rsidP="008245F1">
      <w:pPr>
        <w:rPr>
          <w:rFonts w:cs="Arial"/>
        </w:rPr>
      </w:pPr>
      <w:r w:rsidRPr="008245F1">
        <w:rPr>
          <w:rFonts w:cs="Arial"/>
        </w:rPr>
        <w:t>athompson@taftlaw.com</w:t>
      </w:r>
    </w:p>
    <w:p w14:paraId="678B275A" w14:textId="77777777" w:rsidR="008245F1" w:rsidRPr="008245F1" w:rsidRDefault="008245F1" w:rsidP="008245F1">
      <w:pPr>
        <w:rPr>
          <w:rFonts w:cs="Arial"/>
        </w:rPr>
      </w:pPr>
      <w:r w:rsidRPr="008245F1">
        <w:rPr>
          <w:rFonts w:cs="Arial"/>
        </w:rPr>
        <w:t>Marilyn@wflawfirm.com</w:t>
      </w:r>
    </w:p>
    <w:p w14:paraId="60719670" w14:textId="77777777" w:rsidR="008245F1" w:rsidRPr="008245F1" w:rsidRDefault="008245F1" w:rsidP="008245F1">
      <w:pPr>
        <w:rPr>
          <w:rFonts w:cs="Arial"/>
        </w:rPr>
      </w:pPr>
      <w:r w:rsidRPr="008245F1">
        <w:rPr>
          <w:rFonts w:cs="Arial"/>
        </w:rPr>
        <w:t>rsahli@columbus.rr.com</w:t>
      </w:r>
    </w:p>
    <w:p w14:paraId="00A5325D" w14:textId="77777777" w:rsidR="008245F1" w:rsidRPr="008245F1" w:rsidRDefault="008245F1" w:rsidP="008245F1">
      <w:pPr>
        <w:rPr>
          <w:rFonts w:cs="Arial"/>
        </w:rPr>
      </w:pPr>
      <w:r w:rsidRPr="008245F1">
        <w:rPr>
          <w:rFonts w:cs="Arial"/>
        </w:rPr>
        <w:t>msoules@earthjustice.org</w:t>
      </w:r>
    </w:p>
    <w:p w14:paraId="5C89CDEF" w14:textId="77777777" w:rsidR="008245F1" w:rsidRPr="008245F1" w:rsidRDefault="008245F1" w:rsidP="008245F1">
      <w:pPr>
        <w:rPr>
          <w:rFonts w:cs="Arial"/>
        </w:rPr>
      </w:pPr>
      <w:r w:rsidRPr="008245F1">
        <w:rPr>
          <w:rFonts w:cs="Arial"/>
        </w:rPr>
        <w:t>sfisk@earthjustice.org</w:t>
      </w:r>
    </w:p>
    <w:p w14:paraId="2DAE33DA" w14:textId="77777777" w:rsidR="008245F1" w:rsidRPr="008245F1" w:rsidRDefault="008245F1" w:rsidP="008245F1">
      <w:pPr>
        <w:autoSpaceDE w:val="0"/>
        <w:autoSpaceDN w:val="0"/>
        <w:adjustRightInd w:val="0"/>
        <w:snapToGrid w:val="0"/>
        <w:rPr>
          <w:rFonts w:cs="Arial"/>
        </w:rPr>
      </w:pPr>
      <w:r w:rsidRPr="008245F1">
        <w:rPr>
          <w:rFonts w:cs="Arial"/>
        </w:rPr>
        <w:t>tony.mendoza@sierraclub.org</w:t>
      </w:r>
    </w:p>
    <w:p w14:paraId="0F07F1F6" w14:textId="77777777" w:rsidR="008245F1" w:rsidRPr="008245F1" w:rsidRDefault="008245F1" w:rsidP="008245F1">
      <w:pPr>
        <w:rPr>
          <w:rFonts w:cs="Arial"/>
        </w:rPr>
      </w:pPr>
      <w:r w:rsidRPr="008245F1">
        <w:rPr>
          <w:rFonts w:cs="Arial"/>
        </w:rPr>
        <w:t>kristin.henry@sierraclub.org</w:t>
      </w:r>
    </w:p>
    <w:p w14:paraId="3EDA33F2" w14:textId="77777777" w:rsidR="008245F1" w:rsidRPr="008245F1" w:rsidRDefault="008245F1" w:rsidP="008245F1">
      <w:pPr>
        <w:autoSpaceDE w:val="0"/>
        <w:autoSpaceDN w:val="0"/>
        <w:adjustRightInd w:val="0"/>
        <w:snapToGrid w:val="0"/>
        <w:rPr>
          <w:rFonts w:cs="Arial"/>
        </w:rPr>
      </w:pPr>
      <w:r w:rsidRPr="008245F1">
        <w:rPr>
          <w:rFonts w:cs="Arial"/>
        </w:rPr>
        <w:t>whitt@whitt-sturtevant.com</w:t>
      </w:r>
    </w:p>
    <w:p w14:paraId="5407B2FD" w14:textId="77777777" w:rsidR="008245F1" w:rsidRPr="008245F1" w:rsidRDefault="008245F1" w:rsidP="008245F1">
      <w:pPr>
        <w:autoSpaceDE w:val="0"/>
        <w:autoSpaceDN w:val="0"/>
        <w:adjustRightInd w:val="0"/>
        <w:snapToGrid w:val="0"/>
        <w:rPr>
          <w:rFonts w:cs="Arial"/>
        </w:rPr>
      </w:pPr>
      <w:r w:rsidRPr="008245F1">
        <w:rPr>
          <w:rFonts w:cs="Arial"/>
        </w:rPr>
        <w:t>campbell@whitt-sturtevant.com</w:t>
      </w:r>
    </w:p>
    <w:p w14:paraId="466A7937" w14:textId="77777777" w:rsidR="008245F1" w:rsidRPr="008245F1" w:rsidRDefault="008245F1" w:rsidP="008245F1">
      <w:pPr>
        <w:autoSpaceDE w:val="0"/>
        <w:autoSpaceDN w:val="0"/>
        <w:adjustRightInd w:val="0"/>
        <w:snapToGrid w:val="0"/>
        <w:rPr>
          <w:rFonts w:cs="Arial"/>
        </w:rPr>
      </w:pPr>
      <w:r w:rsidRPr="008245F1">
        <w:rPr>
          <w:rFonts w:cs="Arial"/>
        </w:rPr>
        <w:t>glover@whitt-sturtevant.com</w:t>
      </w:r>
    </w:p>
    <w:p w14:paraId="7DB8FCA2" w14:textId="77777777" w:rsidR="008245F1" w:rsidRPr="008245F1" w:rsidRDefault="008245F1" w:rsidP="008245F1">
      <w:pPr>
        <w:rPr>
          <w:rFonts w:cs="Arial"/>
        </w:rPr>
      </w:pPr>
      <w:r w:rsidRPr="008245F1">
        <w:rPr>
          <w:rFonts w:cs="Arial"/>
        </w:rPr>
        <w:t>cmooney@ohiopartners.org</w:t>
      </w:r>
    </w:p>
    <w:p w14:paraId="3CC0C1E5" w14:textId="77777777" w:rsidR="008245F1" w:rsidRPr="008245F1" w:rsidRDefault="008245F1" w:rsidP="008245F1">
      <w:pPr>
        <w:autoSpaceDE w:val="0"/>
        <w:autoSpaceDN w:val="0"/>
        <w:adjustRightInd w:val="0"/>
        <w:snapToGrid w:val="0"/>
        <w:rPr>
          <w:rFonts w:cs="Arial"/>
        </w:rPr>
      </w:pPr>
      <w:r w:rsidRPr="008245F1">
        <w:rPr>
          <w:rFonts w:cs="Arial"/>
        </w:rPr>
        <w:t>joliker@igsenergy.com</w:t>
      </w:r>
    </w:p>
    <w:p w14:paraId="49DB4F86" w14:textId="77777777" w:rsidR="008245F1" w:rsidRPr="008245F1" w:rsidRDefault="008245F1" w:rsidP="008245F1">
      <w:pPr>
        <w:autoSpaceDE w:val="0"/>
        <w:autoSpaceDN w:val="0"/>
        <w:adjustRightInd w:val="0"/>
        <w:snapToGrid w:val="0"/>
        <w:rPr>
          <w:rFonts w:cs="Arial"/>
        </w:rPr>
      </w:pPr>
      <w:r w:rsidRPr="008245F1">
        <w:rPr>
          <w:rFonts w:cs="Arial"/>
        </w:rPr>
        <w:t>ckilgard@taftlaw.com</w:t>
      </w:r>
    </w:p>
    <w:p w14:paraId="7D869FA4" w14:textId="77777777" w:rsidR="008245F1" w:rsidRPr="008245F1" w:rsidRDefault="008245F1" w:rsidP="008245F1">
      <w:pPr>
        <w:autoSpaceDE w:val="0"/>
        <w:autoSpaceDN w:val="0"/>
        <w:adjustRightInd w:val="0"/>
        <w:snapToGrid w:val="0"/>
        <w:rPr>
          <w:rFonts w:cs="Arial"/>
        </w:rPr>
      </w:pPr>
      <w:r w:rsidRPr="008245F1">
        <w:rPr>
          <w:rFonts w:cs="Arial"/>
        </w:rPr>
        <w:t>dparram@taftlaw.com</w:t>
      </w:r>
    </w:p>
    <w:p w14:paraId="30A76039" w14:textId="77777777" w:rsidR="008245F1" w:rsidRPr="008245F1" w:rsidRDefault="008245F1" w:rsidP="008245F1">
      <w:pPr>
        <w:autoSpaceDE w:val="0"/>
        <w:autoSpaceDN w:val="0"/>
        <w:adjustRightInd w:val="0"/>
        <w:snapToGrid w:val="0"/>
        <w:rPr>
          <w:rFonts w:cs="Arial"/>
        </w:rPr>
      </w:pPr>
      <w:r w:rsidRPr="008245F1">
        <w:rPr>
          <w:rFonts w:cs="Arial"/>
        </w:rPr>
        <w:t>ricks@ohanet.org</w:t>
      </w:r>
    </w:p>
    <w:p w14:paraId="2023381C" w14:textId="77777777" w:rsidR="008245F1" w:rsidRPr="008245F1" w:rsidRDefault="008245F1" w:rsidP="008245F1">
      <w:pPr>
        <w:autoSpaceDE w:val="0"/>
        <w:autoSpaceDN w:val="0"/>
        <w:adjustRightInd w:val="0"/>
        <w:snapToGrid w:val="0"/>
        <w:rPr>
          <w:rFonts w:cs="Arial"/>
        </w:rPr>
      </w:pPr>
      <w:r w:rsidRPr="008245F1">
        <w:rPr>
          <w:rFonts w:cs="Arial"/>
        </w:rPr>
        <w:t>mwarnock@bricker.com</w:t>
      </w:r>
    </w:p>
    <w:p w14:paraId="022C5601" w14:textId="77777777" w:rsidR="008245F1" w:rsidRPr="008245F1" w:rsidRDefault="008245F1" w:rsidP="008245F1">
      <w:pPr>
        <w:autoSpaceDE w:val="0"/>
        <w:autoSpaceDN w:val="0"/>
        <w:adjustRightInd w:val="0"/>
        <w:snapToGrid w:val="0"/>
        <w:rPr>
          <w:rFonts w:cs="Arial"/>
        </w:rPr>
      </w:pPr>
      <w:r w:rsidRPr="008245F1">
        <w:rPr>
          <w:rFonts w:cs="Arial"/>
        </w:rPr>
        <w:t>mkl@smxblaw.com</w:t>
      </w:r>
    </w:p>
    <w:p w14:paraId="79EC10F1" w14:textId="77777777" w:rsidR="008245F1" w:rsidRPr="008245F1" w:rsidRDefault="008245F1" w:rsidP="008245F1">
      <w:pPr>
        <w:autoSpaceDE w:val="0"/>
        <w:autoSpaceDN w:val="0"/>
        <w:adjustRightInd w:val="0"/>
        <w:snapToGrid w:val="0"/>
        <w:rPr>
          <w:rFonts w:cs="Arial"/>
        </w:rPr>
      </w:pPr>
      <w:r w:rsidRPr="008245F1">
        <w:rPr>
          <w:rFonts w:cs="Arial"/>
        </w:rPr>
        <w:t>gas@smxblaw.com</w:t>
      </w:r>
    </w:p>
    <w:p w14:paraId="7052F0AD" w14:textId="77777777" w:rsidR="008245F1" w:rsidRPr="008245F1" w:rsidRDefault="008245F1" w:rsidP="008245F1">
      <w:pPr>
        <w:autoSpaceDE w:val="0"/>
        <w:autoSpaceDN w:val="0"/>
        <w:adjustRightInd w:val="0"/>
        <w:snapToGrid w:val="0"/>
        <w:rPr>
          <w:rFonts w:cs="Arial"/>
        </w:rPr>
      </w:pPr>
      <w:r w:rsidRPr="008245F1">
        <w:rPr>
          <w:rFonts w:cs="Arial"/>
        </w:rPr>
        <w:t>blanghenry@city.cleveland.oh.us</w:t>
      </w:r>
    </w:p>
    <w:p w14:paraId="38E808D2" w14:textId="77777777" w:rsidR="008245F1" w:rsidRPr="008245F1" w:rsidRDefault="008245F1" w:rsidP="008245F1">
      <w:pPr>
        <w:autoSpaceDE w:val="0"/>
        <w:autoSpaceDN w:val="0"/>
        <w:adjustRightInd w:val="0"/>
        <w:snapToGrid w:val="0"/>
        <w:rPr>
          <w:rFonts w:cs="Arial"/>
        </w:rPr>
      </w:pPr>
      <w:r w:rsidRPr="008245F1">
        <w:rPr>
          <w:rFonts w:cs="Arial"/>
        </w:rPr>
        <w:t>hmadorsky@city.cleveland.oh.us</w:t>
      </w:r>
    </w:p>
    <w:p w14:paraId="38A73063" w14:textId="77777777" w:rsidR="008245F1" w:rsidRPr="008245F1" w:rsidRDefault="008245F1" w:rsidP="008245F1">
      <w:pPr>
        <w:autoSpaceDE w:val="0"/>
        <w:autoSpaceDN w:val="0"/>
        <w:adjustRightInd w:val="0"/>
        <w:snapToGrid w:val="0"/>
        <w:rPr>
          <w:rFonts w:cs="Arial"/>
        </w:rPr>
      </w:pPr>
      <w:r w:rsidRPr="008245F1">
        <w:rPr>
          <w:rFonts w:cs="Arial"/>
        </w:rPr>
        <w:t>kryan@city.cleveland.oh.us</w:t>
      </w:r>
    </w:p>
    <w:p w14:paraId="00F8267A" w14:textId="77777777" w:rsidR="008245F1" w:rsidRPr="008245F1" w:rsidRDefault="008245F1" w:rsidP="008245F1">
      <w:pPr>
        <w:autoSpaceDE w:val="0"/>
        <w:autoSpaceDN w:val="0"/>
        <w:adjustRightInd w:val="0"/>
        <w:snapToGrid w:val="0"/>
        <w:rPr>
          <w:rFonts w:cs="Arial"/>
        </w:rPr>
      </w:pPr>
      <w:r w:rsidRPr="008245F1">
        <w:rPr>
          <w:rFonts w:cs="Arial"/>
        </w:rPr>
        <w:t>Bojko@carpenterlipps.com</w:t>
      </w:r>
    </w:p>
    <w:p w14:paraId="4AE8C7FF" w14:textId="77777777" w:rsidR="008245F1" w:rsidRPr="008245F1" w:rsidRDefault="008245F1" w:rsidP="008245F1">
      <w:pPr>
        <w:autoSpaceDE w:val="0"/>
        <w:autoSpaceDN w:val="0"/>
        <w:adjustRightInd w:val="0"/>
        <w:snapToGrid w:val="0"/>
        <w:rPr>
          <w:rFonts w:cs="Arial"/>
        </w:rPr>
      </w:pPr>
      <w:r w:rsidRPr="008245F1">
        <w:rPr>
          <w:rFonts w:cs="Arial"/>
        </w:rPr>
        <w:t>ghiloni@carpenterlipps.com</w:t>
      </w:r>
    </w:p>
    <w:p w14:paraId="5F4D6BE2" w14:textId="77777777" w:rsidR="008245F1" w:rsidRPr="008245F1" w:rsidRDefault="008245F1" w:rsidP="008245F1">
      <w:pPr>
        <w:autoSpaceDE w:val="0"/>
        <w:autoSpaceDN w:val="0"/>
        <w:adjustRightInd w:val="0"/>
        <w:snapToGrid w:val="0"/>
        <w:rPr>
          <w:rFonts w:cs="Arial"/>
        </w:rPr>
      </w:pPr>
      <w:r w:rsidRPr="008245F1">
        <w:rPr>
          <w:rFonts w:cs="Arial"/>
        </w:rPr>
        <w:t>lhawrot@spilmanlaw.com</w:t>
      </w:r>
    </w:p>
    <w:p w14:paraId="3830B822" w14:textId="77777777" w:rsidR="008245F1" w:rsidRPr="008245F1" w:rsidRDefault="008245F1" w:rsidP="008245F1">
      <w:pPr>
        <w:autoSpaceDE w:val="0"/>
        <w:autoSpaceDN w:val="0"/>
        <w:adjustRightInd w:val="0"/>
        <w:snapToGrid w:val="0"/>
        <w:rPr>
          <w:rFonts w:cs="Arial"/>
        </w:rPr>
      </w:pPr>
      <w:r w:rsidRPr="008245F1">
        <w:rPr>
          <w:rFonts w:cs="Arial"/>
        </w:rPr>
        <w:t>dwilliamson@spilmanlaw.com</w:t>
      </w:r>
    </w:p>
    <w:p w14:paraId="4014D3EE" w14:textId="77777777" w:rsidR="008245F1" w:rsidRPr="008245F1" w:rsidRDefault="008245F1" w:rsidP="008245F1">
      <w:pPr>
        <w:autoSpaceDE w:val="0"/>
        <w:autoSpaceDN w:val="0"/>
        <w:adjustRightInd w:val="0"/>
        <w:snapToGrid w:val="0"/>
        <w:rPr>
          <w:rFonts w:cs="Arial"/>
        </w:rPr>
      </w:pPr>
      <w:r w:rsidRPr="008245F1">
        <w:rPr>
          <w:rFonts w:cs="Arial"/>
        </w:rPr>
        <w:t>charris@spilmanlaw.com</w:t>
      </w:r>
    </w:p>
    <w:p w14:paraId="7A133AA8" w14:textId="77777777" w:rsidR="008245F1" w:rsidRPr="008245F1" w:rsidRDefault="008245F1" w:rsidP="008245F1">
      <w:pPr>
        <w:autoSpaceDE w:val="0"/>
        <w:autoSpaceDN w:val="0"/>
        <w:adjustRightInd w:val="0"/>
        <w:snapToGrid w:val="0"/>
        <w:rPr>
          <w:rFonts w:cs="Arial"/>
        </w:rPr>
      </w:pPr>
      <w:r w:rsidRPr="008245F1">
        <w:rPr>
          <w:rFonts w:cs="Arial"/>
        </w:rPr>
        <w:t>meissnerjoseph@yahoo.com</w:t>
      </w:r>
    </w:p>
    <w:p w14:paraId="4EBE4022" w14:textId="77777777" w:rsidR="008245F1" w:rsidRPr="008245F1" w:rsidRDefault="008245F1" w:rsidP="008245F1">
      <w:pPr>
        <w:autoSpaceDE w:val="0"/>
        <w:autoSpaceDN w:val="0"/>
        <w:adjustRightInd w:val="0"/>
        <w:snapToGrid w:val="0"/>
        <w:rPr>
          <w:rFonts w:cs="Arial"/>
        </w:rPr>
      </w:pPr>
      <w:r w:rsidRPr="008245F1">
        <w:rPr>
          <w:rFonts w:cs="Arial"/>
        </w:rPr>
        <w:t>trhayslaw@gmail.com</w:t>
      </w:r>
    </w:p>
    <w:p w14:paraId="73AF30FD" w14:textId="77777777" w:rsidR="008245F1" w:rsidRPr="008245F1" w:rsidRDefault="008245F1" w:rsidP="008245F1">
      <w:pPr>
        <w:autoSpaceDE w:val="0"/>
        <w:autoSpaceDN w:val="0"/>
        <w:adjustRightInd w:val="0"/>
        <w:snapToGrid w:val="0"/>
        <w:rPr>
          <w:rFonts w:cs="Arial"/>
        </w:rPr>
      </w:pPr>
      <w:r w:rsidRPr="008245F1">
        <w:rPr>
          <w:rFonts w:cs="Arial"/>
        </w:rPr>
        <w:t>lesliekovacik@toledo.oh.gov</w:t>
      </w:r>
    </w:p>
    <w:p w14:paraId="22F7558B" w14:textId="77777777" w:rsidR="008245F1" w:rsidRPr="008245F1" w:rsidRDefault="008245F1" w:rsidP="008245F1">
      <w:pPr>
        <w:autoSpaceDE w:val="0"/>
        <w:autoSpaceDN w:val="0"/>
        <w:adjustRightInd w:val="0"/>
        <w:snapToGrid w:val="0"/>
        <w:rPr>
          <w:rFonts w:cs="Arial"/>
        </w:rPr>
      </w:pPr>
      <w:r w:rsidRPr="008245F1">
        <w:rPr>
          <w:rFonts w:cs="Arial"/>
        </w:rPr>
        <w:t>gkrassen@bricker.com</w:t>
      </w:r>
    </w:p>
    <w:p w14:paraId="05998440" w14:textId="77777777" w:rsidR="008245F1" w:rsidRPr="008245F1" w:rsidRDefault="008245F1" w:rsidP="008245F1">
      <w:pPr>
        <w:autoSpaceDE w:val="0"/>
        <w:autoSpaceDN w:val="0"/>
        <w:adjustRightInd w:val="0"/>
        <w:snapToGrid w:val="0"/>
        <w:rPr>
          <w:rFonts w:cs="Arial"/>
        </w:rPr>
      </w:pPr>
      <w:r w:rsidRPr="008245F1">
        <w:rPr>
          <w:rFonts w:cs="Arial"/>
        </w:rPr>
        <w:t>dstinson@bricker.com</w:t>
      </w:r>
    </w:p>
    <w:p w14:paraId="6D733B0D" w14:textId="77777777" w:rsidR="008245F1" w:rsidRPr="008245F1" w:rsidRDefault="008245F1" w:rsidP="008245F1">
      <w:pPr>
        <w:autoSpaceDE w:val="0"/>
        <w:autoSpaceDN w:val="0"/>
        <w:adjustRightInd w:val="0"/>
        <w:snapToGrid w:val="0"/>
        <w:rPr>
          <w:rFonts w:cs="Arial"/>
        </w:rPr>
      </w:pPr>
      <w:r w:rsidRPr="008245F1">
        <w:rPr>
          <w:rFonts w:cs="Arial"/>
        </w:rPr>
        <w:t>dborchers@bricker.com</w:t>
      </w:r>
    </w:p>
    <w:p w14:paraId="78AD5D93" w14:textId="77777777" w:rsidR="008245F1" w:rsidRPr="008245F1" w:rsidRDefault="008245F1" w:rsidP="008245F1">
      <w:pPr>
        <w:autoSpaceDE w:val="0"/>
        <w:autoSpaceDN w:val="0"/>
        <w:adjustRightInd w:val="0"/>
        <w:snapToGrid w:val="0"/>
        <w:rPr>
          <w:rFonts w:cs="Arial"/>
        </w:rPr>
      </w:pPr>
      <w:r w:rsidRPr="008245F1">
        <w:rPr>
          <w:rFonts w:cs="Arial"/>
        </w:rPr>
        <w:t>mjsettineri@vorys.com</w:t>
      </w:r>
    </w:p>
    <w:p w14:paraId="2DEBDA59" w14:textId="77777777" w:rsidR="008245F1" w:rsidRPr="008245F1" w:rsidRDefault="008245F1" w:rsidP="008245F1">
      <w:pPr>
        <w:autoSpaceDE w:val="0"/>
        <w:autoSpaceDN w:val="0"/>
        <w:adjustRightInd w:val="0"/>
        <w:snapToGrid w:val="0"/>
        <w:rPr>
          <w:rFonts w:cs="Arial"/>
        </w:rPr>
      </w:pPr>
      <w:r w:rsidRPr="008245F1">
        <w:rPr>
          <w:rFonts w:cs="Arial"/>
        </w:rPr>
        <w:t>glpetrucci@vorys.com</w:t>
      </w:r>
    </w:p>
    <w:p w14:paraId="4C244B3E" w14:textId="77777777" w:rsidR="008245F1" w:rsidRPr="008245F1" w:rsidRDefault="008245F1" w:rsidP="008245F1">
      <w:pPr>
        <w:autoSpaceDE w:val="0"/>
        <w:autoSpaceDN w:val="0"/>
        <w:adjustRightInd w:val="0"/>
        <w:snapToGrid w:val="0"/>
        <w:rPr>
          <w:rFonts w:cs="Arial"/>
        </w:rPr>
      </w:pPr>
      <w:r w:rsidRPr="008245F1">
        <w:rPr>
          <w:rFonts w:cs="Arial"/>
        </w:rPr>
        <w:t>matt@matthewcoxlaw.com</w:t>
      </w:r>
    </w:p>
    <w:p w14:paraId="27676B3B" w14:textId="77777777" w:rsidR="008245F1" w:rsidRPr="008245F1" w:rsidRDefault="008245F1" w:rsidP="008245F1">
      <w:pPr>
        <w:autoSpaceDE w:val="0"/>
        <w:autoSpaceDN w:val="0"/>
        <w:adjustRightInd w:val="0"/>
        <w:snapToGrid w:val="0"/>
        <w:rPr>
          <w:rFonts w:cs="Arial"/>
        </w:rPr>
      </w:pPr>
      <w:r w:rsidRPr="008245F1">
        <w:rPr>
          <w:rFonts w:cs="Arial"/>
        </w:rPr>
        <w:t>mfleisher@elpc.org</w:t>
      </w:r>
    </w:p>
    <w:p w14:paraId="45898AE1" w14:textId="77777777" w:rsidR="008245F1" w:rsidRPr="008245F1" w:rsidRDefault="008245F1" w:rsidP="008245F1">
      <w:pPr>
        <w:autoSpaceDE w:val="0"/>
        <w:autoSpaceDN w:val="0"/>
        <w:adjustRightInd w:val="0"/>
        <w:snapToGrid w:val="0"/>
        <w:rPr>
          <w:rFonts w:cs="Arial"/>
        </w:rPr>
      </w:pPr>
      <w:r w:rsidRPr="008245F1">
        <w:rPr>
          <w:rFonts w:cs="Arial"/>
        </w:rPr>
        <w:t>tdougherty@theOEC.org</w:t>
      </w:r>
    </w:p>
    <w:p w14:paraId="48A1A86A" w14:textId="77777777" w:rsidR="008245F1" w:rsidRPr="008245F1" w:rsidRDefault="008245F1" w:rsidP="008245F1">
      <w:pPr>
        <w:autoSpaceDE w:val="0"/>
        <w:autoSpaceDN w:val="0"/>
        <w:adjustRightInd w:val="0"/>
        <w:snapToGrid w:val="0"/>
        <w:rPr>
          <w:rFonts w:cs="Arial"/>
        </w:rPr>
      </w:pPr>
      <w:r w:rsidRPr="008245F1">
        <w:rPr>
          <w:rFonts w:cs="Arial"/>
        </w:rPr>
        <w:t>jfinnigan@edf.org</w:t>
      </w:r>
    </w:p>
    <w:p w14:paraId="7CC6B9B4" w14:textId="77777777" w:rsidR="008245F1" w:rsidRPr="008245F1" w:rsidRDefault="008245F1" w:rsidP="008245F1">
      <w:pPr>
        <w:autoSpaceDE w:val="0"/>
        <w:autoSpaceDN w:val="0"/>
        <w:adjustRightInd w:val="0"/>
        <w:snapToGrid w:val="0"/>
        <w:rPr>
          <w:rFonts w:cs="Arial"/>
        </w:rPr>
      </w:pPr>
      <w:r w:rsidRPr="008245F1">
        <w:rPr>
          <w:rFonts w:cs="Arial"/>
        </w:rPr>
        <w:t>Cynthia.brady@exeloncorp.com</w:t>
      </w:r>
    </w:p>
    <w:p w14:paraId="6ECF2E5E" w14:textId="77777777" w:rsidR="008245F1" w:rsidRPr="008245F1" w:rsidRDefault="008245F1" w:rsidP="008245F1">
      <w:pPr>
        <w:autoSpaceDE w:val="0"/>
        <w:autoSpaceDN w:val="0"/>
        <w:adjustRightInd w:val="0"/>
        <w:snapToGrid w:val="0"/>
        <w:rPr>
          <w:rFonts w:cs="Arial"/>
        </w:rPr>
      </w:pPr>
      <w:r w:rsidRPr="008245F1">
        <w:rPr>
          <w:rFonts w:cs="Arial"/>
        </w:rPr>
        <w:t>David.fein@exeloncorp.com</w:t>
      </w:r>
    </w:p>
    <w:p w14:paraId="1D32AF48" w14:textId="77777777" w:rsidR="008245F1" w:rsidRPr="008245F1" w:rsidRDefault="008245F1" w:rsidP="008245F1">
      <w:pPr>
        <w:autoSpaceDE w:val="0"/>
        <w:autoSpaceDN w:val="0"/>
        <w:adjustRightInd w:val="0"/>
        <w:snapToGrid w:val="0"/>
        <w:rPr>
          <w:rFonts w:cs="Arial"/>
        </w:rPr>
      </w:pPr>
      <w:r w:rsidRPr="008245F1">
        <w:rPr>
          <w:rFonts w:cs="Arial"/>
        </w:rPr>
        <w:lastRenderedPageBreak/>
        <w:t>Lael.campbell@exeloncorp.com</w:t>
      </w:r>
    </w:p>
    <w:p w14:paraId="3C7B1C9F" w14:textId="77777777" w:rsidR="008245F1" w:rsidRPr="008245F1" w:rsidRDefault="008245F1" w:rsidP="008245F1">
      <w:pPr>
        <w:autoSpaceDE w:val="0"/>
        <w:autoSpaceDN w:val="0"/>
        <w:adjustRightInd w:val="0"/>
        <w:snapToGrid w:val="0"/>
        <w:rPr>
          <w:rFonts w:cs="Arial"/>
        </w:rPr>
      </w:pPr>
      <w:r w:rsidRPr="008245F1">
        <w:rPr>
          <w:rFonts w:cs="Arial"/>
        </w:rPr>
        <w:t>gthomas@gtpowergroup.com</w:t>
      </w:r>
    </w:p>
    <w:p w14:paraId="5A05D3D4" w14:textId="77777777" w:rsidR="008245F1" w:rsidRPr="008245F1" w:rsidRDefault="008245F1" w:rsidP="008245F1">
      <w:pPr>
        <w:autoSpaceDE w:val="0"/>
        <w:autoSpaceDN w:val="0"/>
        <w:adjustRightInd w:val="0"/>
        <w:snapToGrid w:val="0"/>
        <w:rPr>
          <w:rFonts w:cs="Arial"/>
        </w:rPr>
      </w:pPr>
      <w:r w:rsidRPr="008245F1">
        <w:rPr>
          <w:rFonts w:cs="Arial"/>
        </w:rPr>
        <w:t>laurac@chappeleconsulting.net</w:t>
      </w:r>
    </w:p>
    <w:p w14:paraId="2C9C6494" w14:textId="77777777" w:rsidR="008245F1" w:rsidRPr="008245F1" w:rsidRDefault="008245F1" w:rsidP="008245F1">
      <w:pPr>
        <w:autoSpaceDE w:val="0"/>
        <w:autoSpaceDN w:val="0"/>
        <w:adjustRightInd w:val="0"/>
        <w:snapToGrid w:val="0"/>
        <w:rPr>
          <w:rFonts w:cs="Arial"/>
        </w:rPr>
      </w:pPr>
      <w:r w:rsidRPr="008245F1">
        <w:rPr>
          <w:rFonts w:cs="Arial"/>
        </w:rPr>
        <w:t>callwein@keglerbrown.com</w:t>
      </w:r>
    </w:p>
    <w:p w14:paraId="06CB3F36" w14:textId="77777777" w:rsidR="008245F1" w:rsidRPr="008245F1" w:rsidRDefault="008245F1" w:rsidP="008245F1">
      <w:pPr>
        <w:autoSpaceDE w:val="0"/>
        <w:autoSpaceDN w:val="0"/>
        <w:adjustRightInd w:val="0"/>
        <w:snapToGrid w:val="0"/>
        <w:rPr>
          <w:rFonts w:cs="Arial"/>
        </w:rPr>
      </w:pPr>
      <w:r w:rsidRPr="008245F1">
        <w:rPr>
          <w:rFonts w:cs="Arial"/>
        </w:rPr>
        <w:t>twilliams@snhslaw.com</w:t>
      </w:r>
    </w:p>
    <w:p w14:paraId="3E44ABFF" w14:textId="77777777" w:rsidR="008245F1" w:rsidRPr="008245F1" w:rsidRDefault="008245F1" w:rsidP="008245F1">
      <w:pPr>
        <w:rPr>
          <w:rFonts w:cs="Arial"/>
        </w:rPr>
      </w:pPr>
      <w:r w:rsidRPr="008245F1">
        <w:rPr>
          <w:rFonts w:cs="Arial"/>
        </w:rPr>
        <w:t>Jeffrey.mayes@monitoringanalytics.com</w:t>
      </w:r>
    </w:p>
    <w:p w14:paraId="6B872402" w14:textId="77777777" w:rsidR="008245F1" w:rsidRPr="008245F1" w:rsidRDefault="008245F1" w:rsidP="008245F1">
      <w:pPr>
        <w:autoSpaceDE w:val="0"/>
        <w:autoSpaceDN w:val="0"/>
        <w:adjustRightInd w:val="0"/>
        <w:snapToGrid w:val="0"/>
        <w:rPr>
          <w:rFonts w:cs="Arial"/>
        </w:rPr>
      </w:pPr>
      <w:r w:rsidRPr="008245F1">
        <w:rPr>
          <w:rFonts w:cs="Arial"/>
        </w:rPr>
        <w:t>stheodore@epsa.org</w:t>
      </w:r>
    </w:p>
    <w:p w14:paraId="3A7D60C8" w14:textId="77777777" w:rsidR="008245F1" w:rsidRPr="008245F1" w:rsidRDefault="008245F1" w:rsidP="008245F1">
      <w:pPr>
        <w:autoSpaceDE w:val="0"/>
        <w:autoSpaceDN w:val="0"/>
        <w:adjustRightInd w:val="0"/>
        <w:snapToGrid w:val="0"/>
        <w:rPr>
          <w:rFonts w:cs="Arial"/>
        </w:rPr>
      </w:pPr>
      <w:r w:rsidRPr="008245F1">
        <w:rPr>
          <w:rFonts w:cs="Arial"/>
        </w:rPr>
        <w:t>Schmidt@sppgrp.com</w:t>
      </w:r>
    </w:p>
    <w:p w14:paraId="76F69C77" w14:textId="77777777" w:rsidR="008245F1" w:rsidRPr="008245F1" w:rsidRDefault="008245F1" w:rsidP="008245F1">
      <w:pPr>
        <w:autoSpaceDE w:val="0"/>
        <w:autoSpaceDN w:val="0"/>
        <w:adjustRightInd w:val="0"/>
        <w:snapToGrid w:val="0"/>
        <w:rPr>
          <w:rFonts w:cs="Arial"/>
        </w:rPr>
      </w:pPr>
      <w:r w:rsidRPr="008245F1">
        <w:rPr>
          <w:rFonts w:cs="Arial"/>
        </w:rPr>
        <w:t>Christopher.miller@icemiller.com</w:t>
      </w:r>
    </w:p>
    <w:p w14:paraId="6DDD69D4" w14:textId="77777777" w:rsidR="008245F1" w:rsidRPr="008245F1" w:rsidRDefault="008245F1" w:rsidP="008245F1">
      <w:pPr>
        <w:autoSpaceDE w:val="0"/>
        <w:autoSpaceDN w:val="0"/>
        <w:adjustRightInd w:val="0"/>
        <w:snapToGrid w:val="0"/>
        <w:rPr>
          <w:rFonts w:cs="Arial"/>
        </w:rPr>
      </w:pPr>
      <w:r w:rsidRPr="008245F1">
        <w:rPr>
          <w:rFonts w:cs="Arial"/>
        </w:rPr>
        <w:t>Gregory.dunn@icemiller.com</w:t>
      </w:r>
    </w:p>
    <w:p w14:paraId="6231D9BB" w14:textId="77777777" w:rsidR="008245F1" w:rsidRPr="008245F1" w:rsidRDefault="008245F1" w:rsidP="008245F1">
      <w:pPr>
        <w:autoSpaceDE w:val="0"/>
        <w:autoSpaceDN w:val="0"/>
        <w:adjustRightInd w:val="0"/>
        <w:snapToGrid w:val="0"/>
        <w:rPr>
          <w:rFonts w:cs="Arial"/>
        </w:rPr>
      </w:pPr>
      <w:r w:rsidRPr="008245F1">
        <w:rPr>
          <w:rFonts w:cs="Arial"/>
        </w:rPr>
        <w:t>Jeremy.grayem@icemiller.com</w:t>
      </w:r>
    </w:p>
    <w:p w14:paraId="2D7AD48B" w14:textId="77777777" w:rsidR="008245F1" w:rsidRPr="008245F1" w:rsidRDefault="008245F1" w:rsidP="008245F1">
      <w:pPr>
        <w:autoSpaceDE w:val="0"/>
        <w:autoSpaceDN w:val="0"/>
        <w:adjustRightInd w:val="0"/>
        <w:snapToGrid w:val="0"/>
        <w:rPr>
          <w:rFonts w:cs="Arial"/>
        </w:rPr>
      </w:pPr>
      <w:r w:rsidRPr="008245F1">
        <w:rPr>
          <w:rFonts w:cs="Arial"/>
        </w:rPr>
        <w:t>wttpmlc@aol.com</w:t>
      </w:r>
    </w:p>
    <w:p w14:paraId="5C38AAC4" w14:textId="77777777" w:rsidR="008245F1" w:rsidRPr="008245F1" w:rsidRDefault="008245F1" w:rsidP="008245F1">
      <w:pPr>
        <w:autoSpaceDE w:val="0"/>
        <w:autoSpaceDN w:val="0"/>
        <w:adjustRightInd w:val="0"/>
        <w:snapToGrid w:val="0"/>
        <w:rPr>
          <w:rFonts w:cs="Arial"/>
        </w:rPr>
      </w:pPr>
      <w:r w:rsidRPr="008245F1">
        <w:rPr>
          <w:rFonts w:cs="Arial"/>
        </w:rPr>
        <w:t>sechler@carpenterlipps.com</w:t>
      </w:r>
    </w:p>
    <w:p w14:paraId="04FC0BFB" w14:textId="77777777" w:rsidR="008245F1" w:rsidRPr="008245F1" w:rsidRDefault="008245F1" w:rsidP="008245F1">
      <w:pPr>
        <w:autoSpaceDE w:val="0"/>
        <w:autoSpaceDN w:val="0"/>
        <w:adjustRightInd w:val="0"/>
        <w:snapToGrid w:val="0"/>
        <w:rPr>
          <w:rFonts w:cs="Arial"/>
        </w:rPr>
      </w:pPr>
      <w:r w:rsidRPr="008245F1">
        <w:rPr>
          <w:rFonts w:cs="Arial"/>
        </w:rPr>
        <w:t>gpoulos@enernoc.com</w:t>
      </w:r>
    </w:p>
    <w:p w14:paraId="54644970" w14:textId="77777777" w:rsidR="008245F1" w:rsidRPr="008245F1" w:rsidRDefault="008245F1" w:rsidP="008245F1">
      <w:pPr>
        <w:rPr>
          <w:rFonts w:cs="Arial"/>
        </w:rPr>
      </w:pPr>
      <w:r w:rsidRPr="008245F1">
        <w:rPr>
          <w:rFonts w:cs="Arial"/>
          <w:color w:val="000000"/>
        </w:rPr>
        <w:t>dfolk@Akronohio.Gov</w:t>
      </w:r>
      <w:r w:rsidRPr="008245F1">
        <w:rPr>
          <w:rFonts w:cs="Arial"/>
        </w:rPr>
        <w:t xml:space="preserve"> dwolff@crowell.com</w:t>
      </w:r>
    </w:p>
    <w:p w14:paraId="266242CD" w14:textId="77777777" w:rsidR="008245F1" w:rsidRPr="008245F1" w:rsidRDefault="008245F1" w:rsidP="008245F1">
      <w:pPr>
        <w:rPr>
          <w:rFonts w:cs="Arial"/>
        </w:rPr>
      </w:pPr>
      <w:r w:rsidRPr="008245F1">
        <w:rPr>
          <w:rFonts w:cs="Arial"/>
        </w:rPr>
        <w:t>rlehfeldt@crowell.com</w:t>
      </w:r>
    </w:p>
    <w:p w14:paraId="22A988A4" w14:textId="77777777" w:rsidR="008245F1" w:rsidRPr="008245F1" w:rsidRDefault="008245F1" w:rsidP="008245F1">
      <w:pPr>
        <w:autoSpaceDE w:val="0"/>
        <w:autoSpaceDN w:val="0"/>
        <w:adjustRightInd w:val="0"/>
        <w:snapToGrid w:val="0"/>
        <w:rPr>
          <w:rFonts w:cs="Arial"/>
        </w:rPr>
      </w:pPr>
      <w:r w:rsidRPr="008245F1">
        <w:rPr>
          <w:rFonts w:cs="Arial"/>
        </w:rPr>
        <w:t>thomas.mcnamee@ohioattorneygeneral.gov</w:t>
      </w:r>
    </w:p>
    <w:p w14:paraId="5CEBD112" w14:textId="77777777" w:rsidR="008245F1" w:rsidRPr="008245F1" w:rsidRDefault="008245F1" w:rsidP="008245F1">
      <w:pPr>
        <w:rPr>
          <w:rFonts w:cs="Arial"/>
        </w:rPr>
      </w:pPr>
      <w:r w:rsidRPr="008245F1">
        <w:rPr>
          <w:rFonts w:cs="Arial"/>
        </w:rPr>
        <w:t>thomas.lindgren@ohioattorneygeneral.gov.</w:t>
      </w:r>
    </w:p>
    <w:p w14:paraId="5DC0830B" w14:textId="77777777" w:rsidR="008245F1" w:rsidRPr="008245F1" w:rsidRDefault="008245F1" w:rsidP="008245F1">
      <w:pPr>
        <w:rPr>
          <w:rFonts w:cs="Arial"/>
        </w:rPr>
      </w:pPr>
      <w:r w:rsidRPr="008245F1">
        <w:rPr>
          <w:rFonts w:cs="Arial"/>
          <w:color w:val="000000" w:themeColor="text1"/>
        </w:rPr>
        <w:t>Greg</w:t>
      </w:r>
      <w:r w:rsidRPr="008245F1">
        <w:rPr>
          <w:rFonts w:cs="Arial"/>
        </w:rPr>
        <w:t>ory.price@puc.state.oh.us</w:t>
      </w:r>
    </w:p>
    <w:p w14:paraId="3D701F3A" w14:textId="77777777" w:rsidR="008245F1" w:rsidRPr="008245F1" w:rsidRDefault="00213430" w:rsidP="008245F1">
      <w:pPr>
        <w:rPr>
          <w:rFonts w:cs="Arial"/>
        </w:rPr>
      </w:pPr>
      <w:hyperlink r:id="rId26" w:history="1">
        <w:r w:rsidR="008245F1" w:rsidRPr="008245F1">
          <w:rPr>
            <w:rFonts w:cs="Arial"/>
          </w:rPr>
          <w:t>Mandy.chiles@puc.state.oh.us</w:t>
        </w:r>
      </w:hyperlink>
    </w:p>
    <w:p w14:paraId="116AD2EF" w14:textId="77777777" w:rsidR="008245F1" w:rsidRPr="008245F1" w:rsidRDefault="008245F1" w:rsidP="008245F1">
      <w:pPr>
        <w:spacing w:line="480" w:lineRule="auto"/>
        <w:jc w:val="both"/>
        <w:rPr>
          <w:rFonts w:cs="Arial"/>
        </w:rPr>
      </w:pPr>
      <w:r w:rsidRPr="008245F1">
        <w:rPr>
          <w:rFonts w:cs="Arial"/>
        </w:rPr>
        <w:t>ckilgard@taftlaw.com</w:t>
      </w:r>
    </w:p>
    <w:p w14:paraId="4A2ACCA7" w14:textId="77777777" w:rsidR="00F40458" w:rsidRDefault="00F40458" w:rsidP="008245F1">
      <w:pPr>
        <w:spacing w:line="480" w:lineRule="auto"/>
        <w:jc w:val="both"/>
      </w:pPr>
    </w:p>
    <w:sectPr w:rsidR="00F40458" w:rsidSect="00052278">
      <w:type w:val="continuous"/>
      <w:pgSz w:w="12240" w:h="15840" w:code="1"/>
      <w:pgMar w:top="1440" w:right="1440" w:bottom="1440" w:left="1440"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0AE1C" w14:textId="77777777" w:rsidR="00203576" w:rsidRDefault="00203576" w:rsidP="00CF68D7">
      <w:r>
        <w:separator/>
      </w:r>
    </w:p>
  </w:endnote>
  <w:endnote w:type="continuationSeparator" w:id="0">
    <w:p w14:paraId="51193CE6" w14:textId="77777777" w:rsidR="00203576" w:rsidRDefault="00203576" w:rsidP="00CF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CABBD" w14:textId="77777777" w:rsidR="007C5107" w:rsidRDefault="007C5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E34C5" w14:textId="77777777" w:rsidR="00DF1F6F" w:rsidRPr="00B94BDF" w:rsidRDefault="00DF1F6F" w:rsidP="00A7358C">
    <w:pPr>
      <w:pStyle w:val="Footer"/>
    </w:pPr>
    <w:r w:rsidRPr="001D13CC">
      <w:rPr>
        <w:noProof/>
        <w:sz w:val="16"/>
      </w:rPr>
      <w:t>{C50295:2 }</w:t>
    </w:r>
    <w:r>
      <w:rPr>
        <w:noProof/>
        <w:sz w:val="16"/>
      </w:rPr>
      <w:tab/>
    </w:r>
    <w:r w:rsidRPr="00A822BB">
      <w:rPr>
        <w:noProof/>
      </w:rPr>
      <w:fldChar w:fldCharType="begin"/>
    </w:r>
    <w:r w:rsidRPr="00A822BB">
      <w:rPr>
        <w:noProof/>
      </w:rPr>
      <w:instrText xml:space="preserve"> PAGE   \* MERGEFORMAT </w:instrText>
    </w:r>
    <w:r w:rsidRPr="00A822BB">
      <w:rPr>
        <w:noProof/>
      </w:rPr>
      <w:fldChar w:fldCharType="separate"/>
    </w:r>
    <w:r>
      <w:rPr>
        <w:noProof/>
      </w:rPr>
      <w:t>4</w:t>
    </w:r>
    <w:r w:rsidRPr="00A822B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C0327" w14:textId="77777777" w:rsidR="00DF1F6F" w:rsidRPr="00B94BDF" w:rsidRDefault="00DF1F6F" w:rsidP="00A7358C">
    <w:pPr>
      <w:pStyle w:val="Footer"/>
    </w:pPr>
    <w:r w:rsidRPr="001D13CC">
      <w:rPr>
        <w:noProof/>
        <w:sz w:val="16"/>
      </w:rPr>
      <w:t>{C50295:2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77923" w14:textId="77777777" w:rsidR="00A92AFA" w:rsidRPr="00B94BDF" w:rsidRDefault="00A92AFA" w:rsidP="00A7358C">
    <w:pPr>
      <w:pStyle w:val="Footer"/>
    </w:pPr>
    <w:r w:rsidRPr="001D13CC">
      <w:rPr>
        <w:noProof/>
        <w:sz w:val="16"/>
      </w:rPr>
      <w:t>{C50295:2 }</w:t>
    </w:r>
    <w:r>
      <w:rPr>
        <w:noProof/>
        <w:sz w:val="16"/>
      </w:rPr>
      <w:tab/>
    </w:r>
    <w:r w:rsidRPr="00054B57">
      <w:rPr>
        <w:noProof/>
      </w:rPr>
      <w:fldChar w:fldCharType="begin"/>
    </w:r>
    <w:r w:rsidRPr="00054B57">
      <w:rPr>
        <w:noProof/>
      </w:rPr>
      <w:instrText xml:space="preserve"> PAGE   \* MERGEFORMAT </w:instrText>
    </w:r>
    <w:r w:rsidRPr="00054B57">
      <w:rPr>
        <w:noProof/>
      </w:rPr>
      <w:fldChar w:fldCharType="separate"/>
    </w:r>
    <w:r w:rsidR="00213430">
      <w:rPr>
        <w:noProof/>
      </w:rPr>
      <w:t>2</w:t>
    </w:r>
    <w:r w:rsidRPr="00054B57">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1700E" w14:textId="77777777" w:rsidR="00A92AFA" w:rsidRPr="00B94BDF" w:rsidRDefault="00A92AFA" w:rsidP="00A7358C">
    <w:pPr>
      <w:pStyle w:val="Footer"/>
    </w:pPr>
    <w:r w:rsidRPr="001D13CC">
      <w:rPr>
        <w:noProof/>
        <w:sz w:val="16"/>
      </w:rPr>
      <w:t>{C50295:2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0C22A" w14:textId="77777777" w:rsidR="008245F1" w:rsidRDefault="008245F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0A37A" w14:textId="77777777" w:rsidR="008245F1" w:rsidRPr="00DF63ED" w:rsidRDefault="008245F1" w:rsidP="008245F1">
    <w:pPr>
      <w:pStyle w:val="Footer"/>
    </w:pPr>
    <w:r w:rsidRPr="00562215">
      <w:rPr>
        <w:noProof/>
        <w:sz w:val="16"/>
      </w:rPr>
      <w:t>{C51209: }</w:t>
    </w:r>
  </w:p>
  <w:p w14:paraId="450C4AD9" w14:textId="77777777" w:rsidR="008245F1" w:rsidRPr="00DF63ED" w:rsidRDefault="008245F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7E8B2" w14:textId="77777777" w:rsidR="008245F1" w:rsidRPr="009F5804" w:rsidRDefault="008245F1">
    <w:pPr>
      <w:pStyle w:val="Footer"/>
    </w:pPr>
    <w:r w:rsidRPr="00562215">
      <w:rPr>
        <w:noProof/>
        <w:sz w:val="16"/>
      </w:rPr>
      <w:t>{C51209: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9BE5A" w14:textId="77777777" w:rsidR="00203576" w:rsidRDefault="00203576" w:rsidP="00CF68D7">
      <w:pPr>
        <w:rPr>
          <w:noProof/>
        </w:rPr>
      </w:pPr>
      <w:r>
        <w:rPr>
          <w:noProof/>
        </w:rPr>
        <w:separator/>
      </w:r>
    </w:p>
  </w:footnote>
  <w:footnote w:type="continuationSeparator" w:id="0">
    <w:p w14:paraId="2D44006B" w14:textId="77777777" w:rsidR="00203576" w:rsidRDefault="00203576" w:rsidP="00CF68D7">
      <w:r>
        <w:continuationSeparator/>
      </w:r>
    </w:p>
  </w:footnote>
  <w:footnote w:id="1">
    <w:p w14:paraId="4AE854C5" w14:textId="03A02187" w:rsidR="00F20A61" w:rsidRDefault="00F20A61" w:rsidP="008E2CA0">
      <w:pPr>
        <w:pStyle w:val="FootnoteText"/>
        <w:jc w:val="both"/>
      </w:pPr>
      <w:r>
        <w:rPr>
          <w:rStyle w:val="FootnoteReference"/>
        </w:rPr>
        <w:footnoteRef/>
      </w:r>
      <w:r>
        <w:t xml:space="preserve"> The reference to R.C. 4928.66 appears to be a typographical error.</w:t>
      </w:r>
      <w:r w:rsidR="009D04E2">
        <w:t xml:space="preserve">  The right to opt out is provided by R.C. 4928.66</w:t>
      </w:r>
      <w:r w:rsidR="002308DE">
        <w:t>10 to R.C. 4928.6613.</w:t>
      </w:r>
    </w:p>
  </w:footnote>
  <w:footnote w:id="2">
    <w:p w14:paraId="78452074" w14:textId="77777777" w:rsidR="005E4F66" w:rsidRDefault="005042BE">
      <w:pPr>
        <w:pStyle w:val="FootnoteText"/>
      </w:pPr>
      <w:r>
        <w:rPr>
          <w:rStyle w:val="FootnoteReference"/>
        </w:rPr>
        <w:footnoteRef/>
      </w:r>
      <w:r w:rsidR="005E4F66">
        <w:t xml:space="preserve"> R.C. 4928.6613 provides as follows:</w:t>
      </w:r>
    </w:p>
    <w:p w14:paraId="0EFAFBD4" w14:textId="77777777" w:rsidR="005042BE" w:rsidRDefault="005042BE" w:rsidP="005E4F66">
      <w:pPr>
        <w:pStyle w:val="FootnoteText"/>
        <w:ind w:left="720" w:right="720"/>
        <w:jc w:val="both"/>
      </w:pPr>
      <w:r w:rsidRPr="005042BE">
        <w:t>Upon a customer's election to opt out under section 4928.6611 of the Revised Code and commencing on the effective date of the election to opt out, no account properly identified in the customer's verified notice under division (C) of section 4928.6612 of the Revised Code shall be subject to any cost recovery mechanism under section 4928.66 of the Revised Code or eligible to participate in, or directly benefit from, programs arising from electric distribution utility portfolio plans approved by the public utilities commission.</w:t>
      </w:r>
    </w:p>
  </w:footnote>
  <w:footnote w:id="3">
    <w:p w14:paraId="6CBA2093" w14:textId="74F66F66" w:rsidR="003E4092" w:rsidRDefault="003E4092" w:rsidP="003B592A">
      <w:pPr>
        <w:pStyle w:val="FootnoteText"/>
        <w:spacing w:after="120"/>
        <w:jc w:val="both"/>
      </w:pPr>
      <w:r>
        <w:rPr>
          <w:rStyle w:val="FootnoteReference"/>
        </w:rPr>
        <w:footnoteRef/>
      </w:r>
      <w:r w:rsidR="00A24918">
        <w:t xml:space="preserve"> Further demonstrating the fact that the ELR </w:t>
      </w:r>
      <w:r w:rsidR="00150AB9">
        <w:t xml:space="preserve">Program </w:t>
      </w:r>
      <w:r w:rsidR="00A24918">
        <w:t>is n</w:t>
      </w:r>
      <w:r w:rsidR="004B7616">
        <w:t>ot tied exclusively to the F</w:t>
      </w:r>
      <w:r w:rsidR="00D97284">
        <w:t>irst</w:t>
      </w:r>
      <w:r w:rsidR="004B7616">
        <w:t>E</w:t>
      </w:r>
      <w:r w:rsidR="00D97284">
        <w:t>nergy</w:t>
      </w:r>
      <w:r w:rsidR="004B7616">
        <w:t xml:space="preserve"> portfolio p</w:t>
      </w:r>
      <w:r w:rsidR="00A24918">
        <w:t>lan, t</w:t>
      </w:r>
      <w:r>
        <w:t xml:space="preserve">he Commission has directed that some of the increases in the cost of the ELR </w:t>
      </w:r>
      <w:r w:rsidR="00150AB9">
        <w:t xml:space="preserve">Program </w:t>
      </w:r>
      <w:r>
        <w:t>be recovered through a new economic development rider.  Fifth Entry on Rehearing at 113.</w:t>
      </w:r>
    </w:p>
  </w:footnote>
  <w:footnote w:id="4">
    <w:p w14:paraId="4D9BA6E4" w14:textId="77777777" w:rsidR="000074F7" w:rsidRDefault="000074F7" w:rsidP="003B592A">
      <w:pPr>
        <w:pStyle w:val="FootnoteText"/>
        <w:jc w:val="both"/>
      </w:pPr>
      <w:r>
        <w:rPr>
          <w:rStyle w:val="FootnoteReference"/>
        </w:rPr>
        <w:footnoteRef/>
      </w:r>
      <w:r>
        <w:t xml:space="preserve"> AEP-Ohio has entered into a stipulation to resolve its attempt to implement a stability rider</w:t>
      </w:r>
      <w:r w:rsidR="00A16606">
        <w:t xml:space="preserve"> in which it has also agreed that customers electing to take service under its interruptible rate program may also elect to opt out of the costs and benefits of the portfolio plan.  </w:t>
      </w:r>
      <w:r w:rsidR="00A16606" w:rsidRPr="000F5619">
        <w:rPr>
          <w:i/>
        </w:rPr>
        <w:t>In the Matter of the Application Seeking Approval of the Ohio Power Company’s Proposal to Enter into an Affiliate Power Purchase Agreement for Inclusion in the Power Purchase Agreement Rider</w:t>
      </w:r>
      <w:r w:rsidR="00A16606">
        <w:t xml:space="preserve">, Case Nos. 14-1693-EL-RDR, </w:t>
      </w:r>
      <w:r w:rsidR="00A16606" w:rsidRPr="000F5619">
        <w:rPr>
          <w:i/>
        </w:rPr>
        <w:t>et al.,</w:t>
      </w:r>
      <w:r w:rsidR="00A16606">
        <w:t xml:space="preserve"> Joint Stipulation and Recommendation at </w:t>
      </w:r>
      <w:r w:rsidR="0037170A">
        <w:t>11-12 (Dec. 14,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116C5" w14:textId="77777777" w:rsidR="007C5107" w:rsidRDefault="007C51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1B0EA" w14:textId="77777777" w:rsidR="007C5107" w:rsidRDefault="007C51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6EBE" w14:textId="77777777" w:rsidR="007C5107" w:rsidRDefault="007C51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5B7B1" w14:textId="77777777" w:rsidR="00A92AFA" w:rsidRDefault="00A92AF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DB942" w14:textId="77777777" w:rsidR="00A92AFA" w:rsidRDefault="00A92A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4DD5" w14:textId="77777777" w:rsidR="008245F1" w:rsidRDefault="008245F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D4545" w14:textId="77777777" w:rsidR="008245F1" w:rsidRDefault="008245F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7D1F3" w14:textId="77777777" w:rsidR="008245F1" w:rsidRDefault="00824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6705F"/>
    <w:multiLevelType w:val="multilevel"/>
    <w:tmpl w:val="AD9E2E50"/>
    <w:name w:val="IEU-Ohio Headings-Scheme 1"/>
    <w:lvl w:ilvl="0">
      <w:start w:val="1"/>
      <w:numFmt w:val="upperRoman"/>
      <w:pStyle w:val="Heading1"/>
      <w:lvlText w:val="%1."/>
      <w:lvlJc w:val="left"/>
      <w:pPr>
        <w:tabs>
          <w:tab w:val="num" w:pos="720"/>
        </w:tabs>
        <w:ind w:left="720" w:hanging="720"/>
      </w:pPr>
      <w:rPr>
        <w:b/>
        <w:caps w:val="0"/>
        <w:strike w:val="0"/>
        <w:dstrike w:val="0"/>
        <w:vanish w:val="0"/>
        <w:webHidden w:val="0"/>
        <w:color w:val="010000"/>
        <w:u w:val="none"/>
        <w:effect w:val="none"/>
        <w:specVanish w:val="0"/>
      </w:rPr>
    </w:lvl>
    <w:lvl w:ilvl="1">
      <w:start w:val="1"/>
      <w:numFmt w:val="upperLetter"/>
      <w:pStyle w:val="Heading2"/>
      <w:lvlText w:val="%2."/>
      <w:lvlJc w:val="left"/>
      <w:pPr>
        <w:tabs>
          <w:tab w:val="num" w:pos="1440"/>
        </w:tabs>
        <w:ind w:left="1440" w:hanging="720"/>
      </w:pPr>
      <w:rPr>
        <w:rFonts w:ascii="Arial" w:eastAsiaTheme="majorEastAsia" w:hAnsi="Arial" w:cs="Arial"/>
        <w:b/>
        <w:caps w:val="0"/>
        <w:strike w:val="0"/>
        <w:dstrike w:val="0"/>
        <w:vanish w:val="0"/>
        <w:webHidden w:val="0"/>
        <w:color w:val="010000"/>
        <w:u w:val="none"/>
        <w:effect w:val="none"/>
        <w:specVanish w:val="0"/>
      </w:rPr>
    </w:lvl>
    <w:lvl w:ilvl="2">
      <w:start w:val="1"/>
      <w:numFmt w:val="decimal"/>
      <w:pStyle w:val="Heading3"/>
      <w:lvlText w:val="%3."/>
      <w:lvlJc w:val="left"/>
      <w:pPr>
        <w:tabs>
          <w:tab w:val="num" w:pos="2160"/>
        </w:tabs>
        <w:ind w:left="2160" w:hanging="720"/>
      </w:pPr>
      <w:rPr>
        <w:b/>
        <w:i w:val="0"/>
        <w:caps w:val="0"/>
        <w:strike w:val="0"/>
        <w:dstrike w:val="0"/>
        <w:vanish w:val="0"/>
        <w:webHidden w:val="0"/>
        <w:color w:val="010000"/>
        <w:u w:val="none"/>
        <w:effect w:val="none"/>
        <w:specVanish w:val="0"/>
      </w:rPr>
    </w:lvl>
    <w:lvl w:ilvl="3">
      <w:start w:val="1"/>
      <w:numFmt w:val="lowerLetter"/>
      <w:pStyle w:val="Heading4"/>
      <w:lvlText w:val="%4."/>
      <w:lvlJc w:val="left"/>
      <w:pPr>
        <w:tabs>
          <w:tab w:val="num" w:pos="2880"/>
        </w:tabs>
        <w:ind w:left="2880" w:hanging="720"/>
      </w:pPr>
      <w:rPr>
        <w:b/>
        <w:i/>
        <w:caps w:val="0"/>
        <w:strike w:val="0"/>
        <w:dstrike w:val="0"/>
        <w:vanish w:val="0"/>
        <w:webHidden w:val="0"/>
        <w:color w:val="010000"/>
        <w:u w:val="none"/>
        <w:effect w:val="none"/>
        <w:specVanish w:val="0"/>
      </w:rPr>
    </w:lvl>
    <w:lvl w:ilvl="4">
      <w:start w:val="1"/>
      <w:numFmt w:val="lowerRoman"/>
      <w:pStyle w:val="Heading5"/>
      <w:lvlText w:val="%5."/>
      <w:lvlJc w:val="left"/>
      <w:pPr>
        <w:tabs>
          <w:tab w:val="num" w:pos="3600"/>
        </w:tabs>
        <w:ind w:left="3600" w:hanging="720"/>
      </w:pPr>
      <w:rPr>
        <w:caps w:val="0"/>
        <w:strike w:val="0"/>
        <w:dstrike w:val="0"/>
        <w:vanish w:val="0"/>
        <w:webHidden w:val="0"/>
        <w:color w:val="010000"/>
        <w:u w:val="none"/>
        <w:effect w:val="none"/>
        <w:specVanish w:val="0"/>
      </w:rPr>
    </w:lvl>
    <w:lvl w:ilvl="5">
      <w:start w:val="1"/>
      <w:numFmt w:val="lowerLetter"/>
      <w:pStyle w:val="Heading6"/>
      <w:lvlText w:val="(%6)"/>
      <w:lvlJc w:val="left"/>
      <w:pPr>
        <w:tabs>
          <w:tab w:val="num" w:pos="4320"/>
        </w:tabs>
        <w:ind w:left="4320" w:hanging="720"/>
      </w:pPr>
      <w:rPr>
        <w:caps w:val="0"/>
        <w:strike w:val="0"/>
        <w:dstrike w:val="0"/>
        <w:vanish w:val="0"/>
        <w:webHidden w:val="0"/>
        <w:color w:val="010000"/>
        <w:u w:val="none"/>
        <w:effect w:val="none"/>
        <w:specVanish w:val="0"/>
      </w:rPr>
    </w:lvl>
    <w:lvl w:ilvl="6">
      <w:start w:val="1"/>
      <w:numFmt w:val="decimal"/>
      <w:pStyle w:val="Heading7"/>
      <w:lvlText w:val="(%7)"/>
      <w:lvlJc w:val="left"/>
      <w:pPr>
        <w:tabs>
          <w:tab w:val="num" w:pos="5040"/>
        </w:tabs>
        <w:ind w:left="5040" w:hanging="720"/>
      </w:pPr>
      <w:rPr>
        <w:caps w:val="0"/>
        <w:strike w:val="0"/>
        <w:dstrike w:val="0"/>
        <w:vanish w:val="0"/>
        <w:webHidden w:val="0"/>
        <w:color w:val="010000"/>
        <w:u w:val="none"/>
        <w:effect w:val="none"/>
        <w:specVanish w:val="0"/>
      </w:rPr>
    </w:lvl>
    <w:lvl w:ilvl="7">
      <w:start w:val="1"/>
      <w:numFmt w:val="lowerRoman"/>
      <w:pStyle w:val="Heading8"/>
      <w:lvlText w:val="%8)"/>
      <w:lvlJc w:val="left"/>
      <w:pPr>
        <w:tabs>
          <w:tab w:val="num" w:pos="5760"/>
        </w:tabs>
        <w:ind w:left="5760" w:hanging="720"/>
      </w:pPr>
      <w:rPr>
        <w:caps w:val="0"/>
        <w:strike w:val="0"/>
        <w:dstrike w:val="0"/>
        <w:vanish w:val="0"/>
        <w:webHidden w:val="0"/>
        <w:color w:val="010000"/>
        <w:u w:val="none"/>
        <w:effect w:val="none"/>
        <w:specVanish w:val="0"/>
      </w:rPr>
    </w:lvl>
    <w:lvl w:ilvl="8">
      <w:start w:val="1"/>
      <w:numFmt w:val="lowerLetter"/>
      <w:pStyle w:val="Heading9"/>
      <w:lvlText w:val="%9)"/>
      <w:lvlJc w:val="left"/>
      <w:pPr>
        <w:tabs>
          <w:tab w:val="num" w:pos="6480"/>
        </w:tabs>
        <w:ind w:left="6480" w:hanging="720"/>
      </w:pPr>
      <w:rPr>
        <w:caps w:val="0"/>
        <w:strike w:val="0"/>
        <w:dstrike w:val="0"/>
        <w:vanish w:val="0"/>
        <w:webHidden w:val="0"/>
        <w:color w:val="010000"/>
        <w:u w:val="none"/>
        <w:effect w:val="none"/>
        <w:specVanish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64"/>
    <w:rsid w:val="000074F7"/>
    <w:rsid w:val="00031C52"/>
    <w:rsid w:val="0003619D"/>
    <w:rsid w:val="00041817"/>
    <w:rsid w:val="00041DA9"/>
    <w:rsid w:val="00042864"/>
    <w:rsid w:val="00042FF3"/>
    <w:rsid w:val="0004396F"/>
    <w:rsid w:val="00044924"/>
    <w:rsid w:val="00060AF5"/>
    <w:rsid w:val="000640D3"/>
    <w:rsid w:val="0006719B"/>
    <w:rsid w:val="0006765E"/>
    <w:rsid w:val="0007105E"/>
    <w:rsid w:val="00075A55"/>
    <w:rsid w:val="00080534"/>
    <w:rsid w:val="00080FD8"/>
    <w:rsid w:val="00086CDF"/>
    <w:rsid w:val="00090EB6"/>
    <w:rsid w:val="00097123"/>
    <w:rsid w:val="000A05D0"/>
    <w:rsid w:val="000B0E02"/>
    <w:rsid w:val="000B2E0D"/>
    <w:rsid w:val="000C24D7"/>
    <w:rsid w:val="000C5B29"/>
    <w:rsid w:val="000E0269"/>
    <w:rsid w:val="000E0886"/>
    <w:rsid w:val="000E09E2"/>
    <w:rsid w:val="000E6BE2"/>
    <w:rsid w:val="000F2A3B"/>
    <w:rsid w:val="000F5619"/>
    <w:rsid w:val="001056AA"/>
    <w:rsid w:val="00134846"/>
    <w:rsid w:val="00135E58"/>
    <w:rsid w:val="00140852"/>
    <w:rsid w:val="00146205"/>
    <w:rsid w:val="00150AB9"/>
    <w:rsid w:val="00153125"/>
    <w:rsid w:val="00153262"/>
    <w:rsid w:val="00161F01"/>
    <w:rsid w:val="00164EA7"/>
    <w:rsid w:val="00165C89"/>
    <w:rsid w:val="00172419"/>
    <w:rsid w:val="00174CC6"/>
    <w:rsid w:val="001815BE"/>
    <w:rsid w:val="001972AF"/>
    <w:rsid w:val="001A7CC4"/>
    <w:rsid w:val="001A7EE6"/>
    <w:rsid w:val="001C25E6"/>
    <w:rsid w:val="001D0594"/>
    <w:rsid w:val="00200FAF"/>
    <w:rsid w:val="00201339"/>
    <w:rsid w:val="002030A6"/>
    <w:rsid w:val="00203576"/>
    <w:rsid w:val="00213430"/>
    <w:rsid w:val="00217E3F"/>
    <w:rsid w:val="002209D8"/>
    <w:rsid w:val="00225C39"/>
    <w:rsid w:val="002308DE"/>
    <w:rsid w:val="002333F9"/>
    <w:rsid w:val="00261837"/>
    <w:rsid w:val="002655CA"/>
    <w:rsid w:val="002714DE"/>
    <w:rsid w:val="00281458"/>
    <w:rsid w:val="00286E33"/>
    <w:rsid w:val="00287DF4"/>
    <w:rsid w:val="002B7D1A"/>
    <w:rsid w:val="002D35A0"/>
    <w:rsid w:val="002F4478"/>
    <w:rsid w:val="002F48F4"/>
    <w:rsid w:val="003122C8"/>
    <w:rsid w:val="00326B92"/>
    <w:rsid w:val="003469B2"/>
    <w:rsid w:val="00350FEC"/>
    <w:rsid w:val="003517DB"/>
    <w:rsid w:val="00351A54"/>
    <w:rsid w:val="003560C1"/>
    <w:rsid w:val="0037170A"/>
    <w:rsid w:val="00374F39"/>
    <w:rsid w:val="00381635"/>
    <w:rsid w:val="003B22A3"/>
    <w:rsid w:val="003B514F"/>
    <w:rsid w:val="003B56CF"/>
    <w:rsid w:val="003B592A"/>
    <w:rsid w:val="003D2F4E"/>
    <w:rsid w:val="003E4092"/>
    <w:rsid w:val="003E4C64"/>
    <w:rsid w:val="003F08C6"/>
    <w:rsid w:val="0041247A"/>
    <w:rsid w:val="004145F3"/>
    <w:rsid w:val="00423AEF"/>
    <w:rsid w:val="00431E39"/>
    <w:rsid w:val="004372C2"/>
    <w:rsid w:val="00441329"/>
    <w:rsid w:val="004416BA"/>
    <w:rsid w:val="00450CC3"/>
    <w:rsid w:val="004642AD"/>
    <w:rsid w:val="00465838"/>
    <w:rsid w:val="00467A14"/>
    <w:rsid w:val="00475B8B"/>
    <w:rsid w:val="00475CAA"/>
    <w:rsid w:val="00493BE4"/>
    <w:rsid w:val="00496156"/>
    <w:rsid w:val="0049625C"/>
    <w:rsid w:val="004A188D"/>
    <w:rsid w:val="004A647D"/>
    <w:rsid w:val="004B29CC"/>
    <w:rsid w:val="004B4D51"/>
    <w:rsid w:val="004B7616"/>
    <w:rsid w:val="004C443E"/>
    <w:rsid w:val="004C7780"/>
    <w:rsid w:val="004D0369"/>
    <w:rsid w:val="004D0C27"/>
    <w:rsid w:val="004E6E93"/>
    <w:rsid w:val="004F0A85"/>
    <w:rsid w:val="004F0F71"/>
    <w:rsid w:val="004F57E9"/>
    <w:rsid w:val="005016AF"/>
    <w:rsid w:val="005030F8"/>
    <w:rsid w:val="005042BE"/>
    <w:rsid w:val="00505AC0"/>
    <w:rsid w:val="00514152"/>
    <w:rsid w:val="00516758"/>
    <w:rsid w:val="0053769B"/>
    <w:rsid w:val="00543C87"/>
    <w:rsid w:val="00545984"/>
    <w:rsid w:val="00560CFE"/>
    <w:rsid w:val="00576FA9"/>
    <w:rsid w:val="00592108"/>
    <w:rsid w:val="00596CE6"/>
    <w:rsid w:val="005A5625"/>
    <w:rsid w:val="005A66FE"/>
    <w:rsid w:val="005A7B84"/>
    <w:rsid w:val="005C3FF4"/>
    <w:rsid w:val="005C4873"/>
    <w:rsid w:val="005D3DDB"/>
    <w:rsid w:val="005D78C4"/>
    <w:rsid w:val="005E4F66"/>
    <w:rsid w:val="006062E7"/>
    <w:rsid w:val="00614333"/>
    <w:rsid w:val="00616942"/>
    <w:rsid w:val="00623558"/>
    <w:rsid w:val="006241C9"/>
    <w:rsid w:val="00650B57"/>
    <w:rsid w:val="00657EE5"/>
    <w:rsid w:val="00667BF6"/>
    <w:rsid w:val="00672565"/>
    <w:rsid w:val="006750CD"/>
    <w:rsid w:val="0068501D"/>
    <w:rsid w:val="006A5101"/>
    <w:rsid w:val="006D1D96"/>
    <w:rsid w:val="006E7A50"/>
    <w:rsid w:val="006F059F"/>
    <w:rsid w:val="00711345"/>
    <w:rsid w:val="007156C5"/>
    <w:rsid w:val="0071685E"/>
    <w:rsid w:val="00732240"/>
    <w:rsid w:val="007475DB"/>
    <w:rsid w:val="00756CB0"/>
    <w:rsid w:val="007615BC"/>
    <w:rsid w:val="00791A98"/>
    <w:rsid w:val="00796F56"/>
    <w:rsid w:val="007A6F16"/>
    <w:rsid w:val="007B1D53"/>
    <w:rsid w:val="007B49EC"/>
    <w:rsid w:val="007C5107"/>
    <w:rsid w:val="007E3F10"/>
    <w:rsid w:val="007F065F"/>
    <w:rsid w:val="007F2A55"/>
    <w:rsid w:val="007F67F4"/>
    <w:rsid w:val="00813E6B"/>
    <w:rsid w:val="008245F1"/>
    <w:rsid w:val="00832AFD"/>
    <w:rsid w:val="00851CDE"/>
    <w:rsid w:val="00853A84"/>
    <w:rsid w:val="00854591"/>
    <w:rsid w:val="00857472"/>
    <w:rsid w:val="008620C7"/>
    <w:rsid w:val="0086621F"/>
    <w:rsid w:val="0086644A"/>
    <w:rsid w:val="008674DD"/>
    <w:rsid w:val="00872274"/>
    <w:rsid w:val="0087770A"/>
    <w:rsid w:val="008B1EF3"/>
    <w:rsid w:val="008B3FF9"/>
    <w:rsid w:val="008B59BA"/>
    <w:rsid w:val="008B6805"/>
    <w:rsid w:val="008B6CAF"/>
    <w:rsid w:val="008C6517"/>
    <w:rsid w:val="008D17DF"/>
    <w:rsid w:val="008D3F53"/>
    <w:rsid w:val="008D4EB1"/>
    <w:rsid w:val="008D589B"/>
    <w:rsid w:val="008D7A7C"/>
    <w:rsid w:val="008E2CA0"/>
    <w:rsid w:val="008E3BF4"/>
    <w:rsid w:val="008E3FA1"/>
    <w:rsid w:val="00900C2E"/>
    <w:rsid w:val="00910869"/>
    <w:rsid w:val="0091100B"/>
    <w:rsid w:val="00914F4B"/>
    <w:rsid w:val="0093022B"/>
    <w:rsid w:val="0093166E"/>
    <w:rsid w:val="00937873"/>
    <w:rsid w:val="00940FF6"/>
    <w:rsid w:val="009515A0"/>
    <w:rsid w:val="0095519F"/>
    <w:rsid w:val="00955ECD"/>
    <w:rsid w:val="009576A3"/>
    <w:rsid w:val="00960335"/>
    <w:rsid w:val="00960E9F"/>
    <w:rsid w:val="00965186"/>
    <w:rsid w:val="009665C6"/>
    <w:rsid w:val="009A03DF"/>
    <w:rsid w:val="009A1AB4"/>
    <w:rsid w:val="009A2E54"/>
    <w:rsid w:val="009C4444"/>
    <w:rsid w:val="009C55D8"/>
    <w:rsid w:val="009D04E2"/>
    <w:rsid w:val="009E0261"/>
    <w:rsid w:val="009F4396"/>
    <w:rsid w:val="00A02971"/>
    <w:rsid w:val="00A06FD0"/>
    <w:rsid w:val="00A072EA"/>
    <w:rsid w:val="00A15A4D"/>
    <w:rsid w:val="00A16606"/>
    <w:rsid w:val="00A22B88"/>
    <w:rsid w:val="00A23649"/>
    <w:rsid w:val="00A24918"/>
    <w:rsid w:val="00A27494"/>
    <w:rsid w:val="00A36473"/>
    <w:rsid w:val="00A41FDA"/>
    <w:rsid w:val="00A4309F"/>
    <w:rsid w:val="00A531FF"/>
    <w:rsid w:val="00A82470"/>
    <w:rsid w:val="00A92AFA"/>
    <w:rsid w:val="00A9624A"/>
    <w:rsid w:val="00AB68C5"/>
    <w:rsid w:val="00AC48E8"/>
    <w:rsid w:val="00AC7771"/>
    <w:rsid w:val="00AD1180"/>
    <w:rsid w:val="00AE46E4"/>
    <w:rsid w:val="00B03B4E"/>
    <w:rsid w:val="00B055C2"/>
    <w:rsid w:val="00B06846"/>
    <w:rsid w:val="00B0684F"/>
    <w:rsid w:val="00B176A2"/>
    <w:rsid w:val="00B2256D"/>
    <w:rsid w:val="00B22FD2"/>
    <w:rsid w:val="00B2392B"/>
    <w:rsid w:val="00B3235F"/>
    <w:rsid w:val="00B32B81"/>
    <w:rsid w:val="00B375F8"/>
    <w:rsid w:val="00B47534"/>
    <w:rsid w:val="00B51AC8"/>
    <w:rsid w:val="00B56F64"/>
    <w:rsid w:val="00B775EE"/>
    <w:rsid w:val="00B81361"/>
    <w:rsid w:val="00B83299"/>
    <w:rsid w:val="00B92274"/>
    <w:rsid w:val="00BA7F58"/>
    <w:rsid w:val="00BB1BCE"/>
    <w:rsid w:val="00BD22F7"/>
    <w:rsid w:val="00BE3062"/>
    <w:rsid w:val="00BE526B"/>
    <w:rsid w:val="00BF5507"/>
    <w:rsid w:val="00C0405A"/>
    <w:rsid w:val="00C11F96"/>
    <w:rsid w:val="00C165BA"/>
    <w:rsid w:val="00C31A9C"/>
    <w:rsid w:val="00C32755"/>
    <w:rsid w:val="00C35790"/>
    <w:rsid w:val="00C35BCD"/>
    <w:rsid w:val="00C57F20"/>
    <w:rsid w:val="00C62880"/>
    <w:rsid w:val="00C730EA"/>
    <w:rsid w:val="00C81159"/>
    <w:rsid w:val="00C83292"/>
    <w:rsid w:val="00C84DBC"/>
    <w:rsid w:val="00C93E64"/>
    <w:rsid w:val="00C9683F"/>
    <w:rsid w:val="00CB40A5"/>
    <w:rsid w:val="00CD0AFA"/>
    <w:rsid w:val="00CD1B6C"/>
    <w:rsid w:val="00CE4C57"/>
    <w:rsid w:val="00CE6998"/>
    <w:rsid w:val="00CE6B0B"/>
    <w:rsid w:val="00CF16F1"/>
    <w:rsid w:val="00CF2237"/>
    <w:rsid w:val="00CF4CE2"/>
    <w:rsid w:val="00CF68D7"/>
    <w:rsid w:val="00CF7196"/>
    <w:rsid w:val="00D0338F"/>
    <w:rsid w:val="00D13ADA"/>
    <w:rsid w:val="00D21A8C"/>
    <w:rsid w:val="00D30458"/>
    <w:rsid w:val="00D40604"/>
    <w:rsid w:val="00D459DF"/>
    <w:rsid w:val="00D643C6"/>
    <w:rsid w:val="00D64782"/>
    <w:rsid w:val="00D6668A"/>
    <w:rsid w:val="00D71048"/>
    <w:rsid w:val="00D828E5"/>
    <w:rsid w:val="00D855EF"/>
    <w:rsid w:val="00D950A9"/>
    <w:rsid w:val="00D970DB"/>
    <w:rsid w:val="00D97284"/>
    <w:rsid w:val="00D9744B"/>
    <w:rsid w:val="00DA04F3"/>
    <w:rsid w:val="00DA07C1"/>
    <w:rsid w:val="00DA4F1B"/>
    <w:rsid w:val="00DB46CC"/>
    <w:rsid w:val="00DB7716"/>
    <w:rsid w:val="00DC0797"/>
    <w:rsid w:val="00DD2C74"/>
    <w:rsid w:val="00DE284C"/>
    <w:rsid w:val="00DE639E"/>
    <w:rsid w:val="00DE6ACA"/>
    <w:rsid w:val="00DE7823"/>
    <w:rsid w:val="00DE7C8B"/>
    <w:rsid w:val="00DF1F6F"/>
    <w:rsid w:val="00E05F80"/>
    <w:rsid w:val="00E07A30"/>
    <w:rsid w:val="00E11000"/>
    <w:rsid w:val="00E21914"/>
    <w:rsid w:val="00E21A00"/>
    <w:rsid w:val="00E25CEA"/>
    <w:rsid w:val="00E372C8"/>
    <w:rsid w:val="00E422A3"/>
    <w:rsid w:val="00E50033"/>
    <w:rsid w:val="00E50943"/>
    <w:rsid w:val="00E51DB3"/>
    <w:rsid w:val="00E6185B"/>
    <w:rsid w:val="00E64C27"/>
    <w:rsid w:val="00E8239F"/>
    <w:rsid w:val="00E8629F"/>
    <w:rsid w:val="00E91AE8"/>
    <w:rsid w:val="00EA5A67"/>
    <w:rsid w:val="00EE512E"/>
    <w:rsid w:val="00EF2189"/>
    <w:rsid w:val="00F0103F"/>
    <w:rsid w:val="00F206A4"/>
    <w:rsid w:val="00F20A61"/>
    <w:rsid w:val="00F25C15"/>
    <w:rsid w:val="00F339B0"/>
    <w:rsid w:val="00F33D9C"/>
    <w:rsid w:val="00F36606"/>
    <w:rsid w:val="00F40458"/>
    <w:rsid w:val="00F4293C"/>
    <w:rsid w:val="00F42C5F"/>
    <w:rsid w:val="00F43A78"/>
    <w:rsid w:val="00F50F78"/>
    <w:rsid w:val="00F50FB1"/>
    <w:rsid w:val="00F51376"/>
    <w:rsid w:val="00F52764"/>
    <w:rsid w:val="00F77680"/>
    <w:rsid w:val="00F80D70"/>
    <w:rsid w:val="00F814E7"/>
    <w:rsid w:val="00F92001"/>
    <w:rsid w:val="00F92768"/>
    <w:rsid w:val="00F97BA1"/>
    <w:rsid w:val="00FB0DAC"/>
    <w:rsid w:val="00FC4D86"/>
    <w:rsid w:val="00FC5F45"/>
    <w:rsid w:val="00FD0C60"/>
    <w:rsid w:val="00FD3977"/>
    <w:rsid w:val="00FD68BC"/>
    <w:rsid w:val="00FE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039C"/>
  <w15:chartTrackingRefBased/>
  <w15:docId w15:val="{ACFA0A88-0AFF-4CEE-9EB6-4D328511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5101"/>
    <w:pPr>
      <w:numPr>
        <w:numId w:val="1"/>
      </w:numPr>
      <w:spacing w:after="240"/>
      <w:jc w:val="both"/>
      <w:outlineLvl w:val="0"/>
    </w:pPr>
    <w:rPr>
      <w:rFonts w:eastAsiaTheme="majorEastAsia" w:cs="Arial"/>
      <w:b/>
      <w:caps/>
      <w:szCs w:val="32"/>
      <w:u w:val="single"/>
    </w:rPr>
  </w:style>
  <w:style w:type="paragraph" w:styleId="Heading2">
    <w:name w:val="heading 2"/>
    <w:basedOn w:val="Normal"/>
    <w:next w:val="Normal"/>
    <w:link w:val="Heading2Char"/>
    <w:uiPriority w:val="9"/>
    <w:semiHidden/>
    <w:unhideWhenUsed/>
    <w:qFormat/>
    <w:rsid w:val="006A5101"/>
    <w:pPr>
      <w:numPr>
        <w:ilvl w:val="1"/>
        <w:numId w:val="1"/>
      </w:numPr>
      <w:tabs>
        <w:tab w:val="left" w:pos="1440"/>
      </w:tabs>
      <w:spacing w:after="240"/>
      <w:jc w:val="both"/>
      <w:outlineLvl w:val="1"/>
    </w:pPr>
    <w:rPr>
      <w:rFonts w:eastAsiaTheme="majorEastAsia" w:cs="Arial"/>
      <w:b/>
      <w:szCs w:val="26"/>
    </w:rPr>
  </w:style>
  <w:style w:type="paragraph" w:styleId="Heading3">
    <w:name w:val="heading 3"/>
    <w:basedOn w:val="Normal"/>
    <w:next w:val="Normal"/>
    <w:link w:val="Heading3Char"/>
    <w:uiPriority w:val="9"/>
    <w:semiHidden/>
    <w:unhideWhenUsed/>
    <w:qFormat/>
    <w:rsid w:val="006A5101"/>
    <w:pPr>
      <w:numPr>
        <w:ilvl w:val="2"/>
        <w:numId w:val="1"/>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semiHidden/>
    <w:unhideWhenUsed/>
    <w:qFormat/>
    <w:rsid w:val="006A5101"/>
    <w:pPr>
      <w:numPr>
        <w:ilvl w:val="3"/>
        <w:numId w:val="1"/>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6A5101"/>
    <w:pPr>
      <w:numPr>
        <w:ilvl w:val="4"/>
        <w:numId w:val="1"/>
      </w:numPr>
      <w:tabs>
        <w:tab w:val="left" w:pos="3600"/>
      </w:tabs>
      <w:spacing w:after="240"/>
      <w:jc w:val="both"/>
      <w:outlineLvl w:val="4"/>
    </w:pPr>
    <w:rPr>
      <w:rFonts w:eastAsiaTheme="majorEastAsia" w:cs="Arial"/>
      <w:color w:val="243F60"/>
    </w:rPr>
  </w:style>
  <w:style w:type="paragraph" w:styleId="Heading6">
    <w:name w:val="heading 6"/>
    <w:basedOn w:val="Normal"/>
    <w:next w:val="Normal"/>
    <w:link w:val="Heading6Char"/>
    <w:uiPriority w:val="9"/>
    <w:semiHidden/>
    <w:unhideWhenUsed/>
    <w:qFormat/>
    <w:rsid w:val="006A5101"/>
    <w:pPr>
      <w:numPr>
        <w:ilvl w:val="5"/>
        <w:numId w:val="1"/>
      </w:numPr>
      <w:tabs>
        <w:tab w:val="left" w:pos="4320"/>
      </w:tabs>
      <w:spacing w:after="240"/>
      <w:jc w:val="both"/>
      <w:outlineLvl w:val="5"/>
    </w:pPr>
    <w:rPr>
      <w:rFonts w:eastAsiaTheme="majorEastAsia" w:cs="Arial"/>
      <w:color w:val="243F60"/>
    </w:rPr>
  </w:style>
  <w:style w:type="paragraph" w:styleId="Heading7">
    <w:name w:val="heading 7"/>
    <w:basedOn w:val="Normal"/>
    <w:next w:val="Normal"/>
    <w:link w:val="Heading7Char"/>
    <w:uiPriority w:val="9"/>
    <w:semiHidden/>
    <w:unhideWhenUsed/>
    <w:qFormat/>
    <w:rsid w:val="006A5101"/>
    <w:pPr>
      <w:numPr>
        <w:ilvl w:val="6"/>
        <w:numId w:val="1"/>
      </w:numPr>
      <w:tabs>
        <w:tab w:val="left" w:pos="5040"/>
      </w:tabs>
      <w:spacing w:after="240"/>
      <w:jc w:val="both"/>
      <w:outlineLvl w:val="6"/>
    </w:pPr>
    <w:rPr>
      <w:rFonts w:eastAsiaTheme="majorEastAsia" w:cs="Arial"/>
      <w:iCs/>
      <w:color w:val="404040"/>
    </w:rPr>
  </w:style>
  <w:style w:type="paragraph" w:styleId="Heading8">
    <w:name w:val="heading 8"/>
    <w:basedOn w:val="Normal"/>
    <w:next w:val="Normal"/>
    <w:link w:val="Heading8Char"/>
    <w:uiPriority w:val="9"/>
    <w:semiHidden/>
    <w:unhideWhenUsed/>
    <w:qFormat/>
    <w:rsid w:val="006A5101"/>
    <w:pPr>
      <w:numPr>
        <w:ilvl w:val="7"/>
        <w:numId w:val="1"/>
      </w:numPr>
      <w:tabs>
        <w:tab w:val="left" w:pos="5760"/>
      </w:tabs>
      <w:spacing w:after="240"/>
      <w:jc w:val="both"/>
      <w:outlineLvl w:val="7"/>
    </w:pPr>
    <w:rPr>
      <w:rFonts w:eastAsiaTheme="majorEastAsia" w:cs="Arial"/>
      <w:color w:val="404040"/>
      <w:szCs w:val="21"/>
    </w:rPr>
  </w:style>
  <w:style w:type="paragraph" w:styleId="Heading9">
    <w:name w:val="heading 9"/>
    <w:basedOn w:val="Normal"/>
    <w:next w:val="Normal"/>
    <w:link w:val="Heading9Char"/>
    <w:uiPriority w:val="9"/>
    <w:semiHidden/>
    <w:unhideWhenUsed/>
    <w:qFormat/>
    <w:rsid w:val="006A5101"/>
    <w:pPr>
      <w:numPr>
        <w:ilvl w:val="8"/>
        <w:numId w:val="1"/>
      </w:numPr>
      <w:tabs>
        <w:tab w:val="left" w:pos="6480"/>
      </w:tabs>
      <w:spacing w:after="240"/>
      <w:jc w:val="both"/>
      <w:outlineLvl w:val="8"/>
    </w:pPr>
    <w:rPr>
      <w:rFonts w:eastAsiaTheme="majorEastAsia" w:cs="Arial"/>
      <w:iCs/>
      <w:color w:val="4040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D7"/>
    <w:pPr>
      <w:tabs>
        <w:tab w:val="center" w:pos="4680"/>
        <w:tab w:val="right" w:pos="9360"/>
      </w:tabs>
    </w:pPr>
  </w:style>
  <w:style w:type="character" w:customStyle="1" w:styleId="HeaderChar">
    <w:name w:val="Header Char"/>
    <w:basedOn w:val="DefaultParagraphFont"/>
    <w:link w:val="Header"/>
    <w:uiPriority w:val="99"/>
    <w:rsid w:val="00CF68D7"/>
  </w:style>
  <w:style w:type="paragraph" w:styleId="Footer">
    <w:name w:val="footer"/>
    <w:basedOn w:val="Normal"/>
    <w:link w:val="FooterChar"/>
    <w:uiPriority w:val="99"/>
    <w:unhideWhenUsed/>
    <w:rsid w:val="00CF68D7"/>
    <w:pPr>
      <w:tabs>
        <w:tab w:val="center" w:pos="4680"/>
        <w:tab w:val="right" w:pos="9360"/>
      </w:tabs>
    </w:pPr>
  </w:style>
  <w:style w:type="character" w:customStyle="1" w:styleId="FooterChar">
    <w:name w:val="Footer Char"/>
    <w:basedOn w:val="DefaultParagraphFont"/>
    <w:link w:val="Footer"/>
    <w:uiPriority w:val="99"/>
    <w:rsid w:val="00CF68D7"/>
  </w:style>
  <w:style w:type="character" w:customStyle="1" w:styleId="Heading1Char">
    <w:name w:val="Heading 1 Char"/>
    <w:basedOn w:val="DefaultParagraphFont"/>
    <w:link w:val="Heading1"/>
    <w:uiPriority w:val="9"/>
    <w:rsid w:val="006A5101"/>
    <w:rPr>
      <w:rFonts w:eastAsiaTheme="majorEastAsia" w:cs="Arial"/>
      <w:b/>
      <w:caps/>
      <w:szCs w:val="32"/>
      <w:u w:val="single"/>
    </w:rPr>
  </w:style>
  <w:style w:type="character" w:customStyle="1" w:styleId="Heading2Char">
    <w:name w:val="Heading 2 Char"/>
    <w:basedOn w:val="DefaultParagraphFont"/>
    <w:link w:val="Heading2"/>
    <w:uiPriority w:val="9"/>
    <w:semiHidden/>
    <w:rsid w:val="006A5101"/>
    <w:rPr>
      <w:rFonts w:eastAsiaTheme="majorEastAsia" w:cs="Arial"/>
      <w:b/>
      <w:szCs w:val="26"/>
    </w:rPr>
  </w:style>
  <w:style w:type="character" w:customStyle="1" w:styleId="Heading3Char">
    <w:name w:val="Heading 3 Char"/>
    <w:basedOn w:val="DefaultParagraphFont"/>
    <w:link w:val="Heading3"/>
    <w:uiPriority w:val="9"/>
    <w:semiHidden/>
    <w:rsid w:val="006A5101"/>
    <w:rPr>
      <w:rFonts w:eastAsiaTheme="majorEastAsia" w:cs="Arial"/>
      <w:b/>
    </w:rPr>
  </w:style>
  <w:style w:type="character" w:customStyle="1" w:styleId="Heading4Char">
    <w:name w:val="Heading 4 Char"/>
    <w:basedOn w:val="DefaultParagraphFont"/>
    <w:link w:val="Heading4"/>
    <w:uiPriority w:val="9"/>
    <w:semiHidden/>
    <w:rsid w:val="006A5101"/>
    <w:rPr>
      <w:rFonts w:eastAsiaTheme="majorEastAsia" w:cs="Arial"/>
      <w:b/>
      <w:i/>
      <w:iCs/>
    </w:rPr>
  </w:style>
  <w:style w:type="character" w:customStyle="1" w:styleId="Heading5Char">
    <w:name w:val="Heading 5 Char"/>
    <w:basedOn w:val="DefaultParagraphFont"/>
    <w:link w:val="Heading5"/>
    <w:uiPriority w:val="9"/>
    <w:semiHidden/>
    <w:rsid w:val="006A5101"/>
    <w:rPr>
      <w:rFonts w:eastAsiaTheme="majorEastAsia" w:cs="Arial"/>
      <w:color w:val="243F60"/>
    </w:rPr>
  </w:style>
  <w:style w:type="character" w:customStyle="1" w:styleId="Heading6Char">
    <w:name w:val="Heading 6 Char"/>
    <w:basedOn w:val="DefaultParagraphFont"/>
    <w:link w:val="Heading6"/>
    <w:uiPriority w:val="9"/>
    <w:semiHidden/>
    <w:rsid w:val="006A5101"/>
    <w:rPr>
      <w:rFonts w:eastAsiaTheme="majorEastAsia" w:cs="Arial"/>
      <w:color w:val="243F60"/>
    </w:rPr>
  </w:style>
  <w:style w:type="character" w:customStyle="1" w:styleId="Heading7Char">
    <w:name w:val="Heading 7 Char"/>
    <w:basedOn w:val="DefaultParagraphFont"/>
    <w:link w:val="Heading7"/>
    <w:uiPriority w:val="9"/>
    <w:semiHidden/>
    <w:rsid w:val="006A5101"/>
    <w:rPr>
      <w:rFonts w:eastAsiaTheme="majorEastAsia" w:cs="Arial"/>
      <w:iCs/>
      <w:color w:val="404040"/>
    </w:rPr>
  </w:style>
  <w:style w:type="character" w:customStyle="1" w:styleId="Heading8Char">
    <w:name w:val="Heading 8 Char"/>
    <w:basedOn w:val="DefaultParagraphFont"/>
    <w:link w:val="Heading8"/>
    <w:uiPriority w:val="9"/>
    <w:semiHidden/>
    <w:rsid w:val="006A5101"/>
    <w:rPr>
      <w:rFonts w:eastAsiaTheme="majorEastAsia" w:cs="Arial"/>
      <w:color w:val="404040"/>
      <w:szCs w:val="21"/>
    </w:rPr>
  </w:style>
  <w:style w:type="character" w:customStyle="1" w:styleId="Heading9Char">
    <w:name w:val="Heading 9 Char"/>
    <w:basedOn w:val="DefaultParagraphFont"/>
    <w:link w:val="Heading9"/>
    <w:uiPriority w:val="9"/>
    <w:semiHidden/>
    <w:rsid w:val="006A5101"/>
    <w:rPr>
      <w:rFonts w:eastAsiaTheme="majorEastAsia" w:cs="Arial"/>
      <w:iCs/>
      <w:color w:val="404040"/>
      <w:szCs w:val="21"/>
    </w:rPr>
  </w:style>
  <w:style w:type="paragraph" w:styleId="FootnoteText">
    <w:name w:val="footnote text"/>
    <w:basedOn w:val="Normal"/>
    <w:link w:val="FootnoteTextChar"/>
    <w:uiPriority w:val="99"/>
    <w:semiHidden/>
    <w:unhideWhenUsed/>
    <w:rsid w:val="006A5101"/>
    <w:rPr>
      <w:sz w:val="20"/>
      <w:szCs w:val="20"/>
    </w:rPr>
  </w:style>
  <w:style w:type="character" w:customStyle="1" w:styleId="FootnoteTextChar">
    <w:name w:val="Footnote Text Char"/>
    <w:basedOn w:val="DefaultParagraphFont"/>
    <w:link w:val="FootnoteText"/>
    <w:uiPriority w:val="99"/>
    <w:semiHidden/>
    <w:rsid w:val="006A5101"/>
    <w:rPr>
      <w:sz w:val="20"/>
      <w:szCs w:val="20"/>
    </w:rPr>
  </w:style>
  <w:style w:type="character" w:styleId="FootnoteReference">
    <w:name w:val="footnote reference"/>
    <w:basedOn w:val="DefaultParagraphFont"/>
    <w:uiPriority w:val="99"/>
    <w:semiHidden/>
    <w:unhideWhenUsed/>
    <w:rsid w:val="006A5101"/>
    <w:rPr>
      <w:vertAlign w:val="superscript"/>
    </w:rPr>
  </w:style>
  <w:style w:type="paragraph" w:styleId="BalloonText">
    <w:name w:val="Balloon Text"/>
    <w:basedOn w:val="Normal"/>
    <w:link w:val="BalloonTextChar"/>
    <w:uiPriority w:val="99"/>
    <w:semiHidden/>
    <w:unhideWhenUsed/>
    <w:rsid w:val="00657E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E5"/>
    <w:rPr>
      <w:rFonts w:ascii="Segoe UI" w:hAnsi="Segoe UI" w:cs="Segoe UI"/>
      <w:sz w:val="18"/>
      <w:szCs w:val="18"/>
    </w:rPr>
  </w:style>
  <w:style w:type="character" w:styleId="CommentReference">
    <w:name w:val="annotation reference"/>
    <w:basedOn w:val="DefaultParagraphFont"/>
    <w:uiPriority w:val="99"/>
    <w:semiHidden/>
    <w:unhideWhenUsed/>
    <w:rsid w:val="00C35BCD"/>
    <w:rPr>
      <w:sz w:val="16"/>
      <w:szCs w:val="16"/>
    </w:rPr>
  </w:style>
  <w:style w:type="paragraph" w:styleId="CommentText">
    <w:name w:val="annotation text"/>
    <w:basedOn w:val="Normal"/>
    <w:link w:val="CommentTextChar"/>
    <w:uiPriority w:val="99"/>
    <w:semiHidden/>
    <w:unhideWhenUsed/>
    <w:rsid w:val="00C35BCD"/>
    <w:rPr>
      <w:sz w:val="20"/>
      <w:szCs w:val="20"/>
    </w:rPr>
  </w:style>
  <w:style w:type="character" w:customStyle="1" w:styleId="CommentTextChar">
    <w:name w:val="Comment Text Char"/>
    <w:basedOn w:val="DefaultParagraphFont"/>
    <w:link w:val="CommentText"/>
    <w:uiPriority w:val="99"/>
    <w:semiHidden/>
    <w:rsid w:val="00C35BCD"/>
    <w:rPr>
      <w:sz w:val="20"/>
      <w:szCs w:val="20"/>
    </w:rPr>
  </w:style>
  <w:style w:type="paragraph" w:styleId="CommentSubject">
    <w:name w:val="annotation subject"/>
    <w:basedOn w:val="CommentText"/>
    <w:next w:val="CommentText"/>
    <w:link w:val="CommentSubjectChar"/>
    <w:uiPriority w:val="99"/>
    <w:semiHidden/>
    <w:unhideWhenUsed/>
    <w:rsid w:val="00C35BCD"/>
    <w:rPr>
      <w:b/>
      <w:bCs/>
    </w:rPr>
  </w:style>
  <w:style w:type="character" w:customStyle="1" w:styleId="CommentSubjectChar">
    <w:name w:val="Comment Subject Char"/>
    <w:basedOn w:val="CommentTextChar"/>
    <w:link w:val="CommentSubject"/>
    <w:uiPriority w:val="99"/>
    <w:semiHidden/>
    <w:rsid w:val="00C35B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5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yperlink" Target="mailto:Mandy.chiles@puc.state.oh.us" TargetMode="Externa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yperlink" Target="mailto:yalami@aep.com"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mjsatterwhite@aep.com"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mailto:stnourse@aep.com"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2341</Words>
  <Characters>14341</Characters>
  <Application>Microsoft Office Word</Application>
  <DocSecurity>0</DocSecurity>
  <PresentationFormat/>
  <Lines>333</Lines>
  <Paragraphs>146</Paragraphs>
  <ScaleCrop>false</ScaleCrop>
  <HeadingPairs>
    <vt:vector size="2" baseType="variant">
      <vt:variant>
        <vt:lpstr>Title</vt:lpstr>
      </vt:variant>
      <vt:variant>
        <vt:i4>1</vt:i4>
      </vt:variant>
    </vt:vector>
  </HeadingPairs>
  <TitlesOfParts>
    <vt:vector size="1" baseType="lpstr">
      <vt:lpstr>FE Memo Contra OEC AFR (14-1297) (C0100041).DOCX</vt:lpstr>
    </vt:vector>
  </TitlesOfParts>
  <Company/>
  <LinksUpToDate>false</LinksUpToDate>
  <CharactersWithSpaces>16640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Memo Contra OEC AFR (14-1297) (C0100041).DOCX</dc:title>
  <dc:subject>C51399: /font=8</dc:subject>
  <dc:creator>Frank Darr</dc:creator>
  <cp:keywords/>
  <dc:description/>
  <cp:lastModifiedBy>Karen Bowman</cp:lastModifiedBy>
  <cp:revision>2</cp:revision>
  <cp:lastPrinted>2016-11-23T18:31:00Z</cp:lastPrinted>
  <dcterms:created xsi:type="dcterms:W3CDTF">2016-11-23T18:34:00Z</dcterms:created>
  <dcterms:modified xsi:type="dcterms:W3CDTF">2016-11-23T18:34:00Z</dcterms:modified>
</cp:coreProperties>
</file>