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1A" w:rsidRPr="009D4411" w:rsidRDefault="000E1D4A" w:rsidP="000E1D4A">
      <w:pPr>
        <w:spacing w:after="0" w:line="240" w:lineRule="auto"/>
        <w:jc w:val="center"/>
        <w:rPr>
          <w:rFonts w:ascii="Times New Roman" w:hAnsi="Times New Roman" w:cs="Times New Roman"/>
          <w:b/>
          <w:sz w:val="24"/>
          <w:szCs w:val="24"/>
        </w:rPr>
      </w:pPr>
      <w:bookmarkStart w:id="0" w:name="_GoBack"/>
      <w:bookmarkEnd w:id="0"/>
      <w:r w:rsidRPr="009D4411">
        <w:rPr>
          <w:rFonts w:ascii="Times New Roman" w:hAnsi="Times New Roman" w:cs="Times New Roman"/>
          <w:b/>
          <w:sz w:val="24"/>
          <w:szCs w:val="24"/>
        </w:rPr>
        <w:t>BEFORE</w:t>
      </w: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THE PUBLIC UTILITIES COMMISSION OF OHIO</w:t>
      </w:r>
    </w:p>
    <w:p w:rsidR="000E1D4A" w:rsidRPr="009D4411" w:rsidRDefault="000E1D4A" w:rsidP="000E1D4A">
      <w:pPr>
        <w:spacing w:after="0" w:line="240" w:lineRule="auto"/>
        <w:jc w:val="center"/>
        <w:rPr>
          <w:rFonts w:ascii="Times New Roman" w:hAnsi="Times New Roman" w:cs="Times New Roman"/>
          <w:b/>
          <w:sz w:val="24"/>
          <w:szCs w:val="24"/>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40"/>
        <w:gridCol w:w="4230"/>
      </w:tblGrid>
      <w:tr w:rsidR="00CE18BC" w:rsidTr="004359DC">
        <w:tc>
          <w:tcPr>
            <w:tcW w:w="4608" w:type="dxa"/>
          </w:tcPr>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In the Matter of the Application of Duke Energy Ohio for Approval of the Fourth Amended Corporate Separation Plan under Section 4928.17, Revised Code, and Chapter 4901:1-37, Ohio Administrative Code.</w:t>
            </w: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 xml:space="preserve">In the Matter of the Application of Duke Energy Ohio for </w:t>
            </w:r>
            <w:r w:rsidRPr="00122B4E">
              <w:rPr>
                <w:rFonts w:ascii="Times New Roman" w:hAnsi="Times New Roman"/>
                <w:szCs w:val="24"/>
              </w:rPr>
              <w:t xml:space="preserve">Authority to Amend its </w:t>
            </w:r>
            <w:r>
              <w:rPr>
                <w:rFonts w:ascii="Times New Roman" w:hAnsi="Times New Roman"/>
                <w:szCs w:val="24"/>
              </w:rPr>
              <w:t>Retail</w:t>
            </w:r>
            <w:r w:rsidRPr="00122B4E">
              <w:rPr>
                <w:rFonts w:ascii="Times New Roman" w:hAnsi="Times New Roman"/>
                <w:szCs w:val="24"/>
              </w:rPr>
              <w:t xml:space="preserve"> Tariff, P.U.C.O. No. </w:t>
            </w:r>
            <w:r>
              <w:rPr>
                <w:rFonts w:ascii="Times New Roman" w:hAnsi="Times New Roman"/>
                <w:szCs w:val="24"/>
              </w:rPr>
              <w:t>19.</w:t>
            </w:r>
          </w:p>
        </w:tc>
        <w:tc>
          <w:tcPr>
            <w:tcW w:w="540" w:type="dxa"/>
          </w:tcPr>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w:t>
            </w:r>
          </w:p>
        </w:tc>
        <w:tc>
          <w:tcPr>
            <w:tcW w:w="4230" w:type="dxa"/>
          </w:tcPr>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r>
              <w:rPr>
                <w:rFonts w:ascii="Times New Roman" w:hAnsi="Times New Roman" w:cs="Times New Roman"/>
                <w:sz w:val="24"/>
                <w:szCs w:val="24"/>
              </w:rPr>
              <w:t>Case No. 14-689-EL-UNC</w:t>
            </w: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p>
          <w:p w:rsidR="00CE18BC" w:rsidRDefault="00CE18BC" w:rsidP="004359DC">
            <w:pPr>
              <w:jc w:val="both"/>
              <w:rPr>
                <w:rFonts w:ascii="Times New Roman" w:hAnsi="Times New Roman" w:cs="Times New Roman"/>
                <w:sz w:val="24"/>
                <w:szCs w:val="24"/>
              </w:rPr>
            </w:pPr>
          </w:p>
          <w:p w:rsidR="00CE18BC" w:rsidRDefault="00CE18BC" w:rsidP="00CE18BC">
            <w:pPr>
              <w:jc w:val="both"/>
              <w:rPr>
                <w:rFonts w:ascii="Times New Roman" w:hAnsi="Times New Roman" w:cs="Times New Roman"/>
                <w:sz w:val="24"/>
                <w:szCs w:val="24"/>
              </w:rPr>
            </w:pPr>
            <w:r>
              <w:rPr>
                <w:rFonts w:ascii="Times New Roman" w:hAnsi="Times New Roman" w:cs="Times New Roman"/>
                <w:sz w:val="24"/>
                <w:szCs w:val="24"/>
              </w:rPr>
              <w:t>Case No. 14-690-EL-ATA</w:t>
            </w:r>
          </w:p>
        </w:tc>
      </w:tr>
    </w:tbl>
    <w:p w:rsidR="000E1D4A" w:rsidRPr="009D4411" w:rsidRDefault="000E1D4A" w:rsidP="000E1D4A">
      <w:pPr>
        <w:pBdr>
          <w:bottom w:val="single" w:sz="12" w:space="1" w:color="auto"/>
        </w:pBdr>
        <w:spacing w:after="0" w:line="240" w:lineRule="auto"/>
        <w:jc w:val="both"/>
        <w:rPr>
          <w:rFonts w:ascii="Times New Roman" w:hAnsi="Times New Roman" w:cs="Times New Roman"/>
          <w:sz w:val="24"/>
          <w:szCs w:val="24"/>
        </w:rPr>
      </w:pPr>
    </w:p>
    <w:p w:rsidR="000E1D4A" w:rsidRPr="009D4411" w:rsidRDefault="000E1D4A" w:rsidP="000E1D4A">
      <w:pPr>
        <w:spacing w:after="0" w:line="240" w:lineRule="auto"/>
        <w:jc w:val="both"/>
        <w:rPr>
          <w:rFonts w:ascii="Times New Roman" w:hAnsi="Times New Roman" w:cs="Times New Roman"/>
          <w:sz w:val="24"/>
          <w:szCs w:val="24"/>
        </w:rPr>
      </w:pPr>
    </w:p>
    <w:p w:rsidR="000E1D4A" w:rsidRPr="009D4411" w:rsidRDefault="00CC1EA6" w:rsidP="000E1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REPLY</w:t>
      </w:r>
      <w:r w:rsidR="000E1D4A" w:rsidRPr="009D4411">
        <w:rPr>
          <w:rFonts w:ascii="Times New Roman" w:hAnsi="Times New Roman" w:cs="Times New Roman"/>
          <w:b/>
          <w:sz w:val="24"/>
          <w:szCs w:val="24"/>
        </w:rPr>
        <w:t xml:space="preserve"> COMMENTS</w:t>
      </w: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OF</w:t>
      </w: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 xml:space="preserve">DUKE ENERGY </w:t>
      </w:r>
      <w:r w:rsidR="00F14EA2">
        <w:rPr>
          <w:rFonts w:ascii="Times New Roman" w:hAnsi="Times New Roman" w:cs="Times New Roman"/>
          <w:b/>
          <w:sz w:val="24"/>
          <w:szCs w:val="24"/>
        </w:rPr>
        <w:t>OHIO</w:t>
      </w:r>
      <w:r w:rsidRPr="009D4411">
        <w:rPr>
          <w:rFonts w:ascii="Times New Roman" w:hAnsi="Times New Roman" w:cs="Times New Roman"/>
          <w:b/>
          <w:sz w:val="24"/>
          <w:szCs w:val="24"/>
        </w:rPr>
        <w:t xml:space="preserve">, </w:t>
      </w:r>
      <w:r w:rsidR="00F14EA2">
        <w:rPr>
          <w:rFonts w:ascii="Times New Roman" w:hAnsi="Times New Roman" w:cs="Times New Roman"/>
          <w:b/>
          <w:sz w:val="24"/>
          <w:szCs w:val="24"/>
        </w:rPr>
        <w:t>INC.</w:t>
      </w:r>
    </w:p>
    <w:p w:rsidR="000E1D4A" w:rsidRPr="009D4411" w:rsidRDefault="000E1D4A" w:rsidP="000E1D4A">
      <w:pPr>
        <w:pBdr>
          <w:bottom w:val="single" w:sz="12" w:space="1" w:color="auto"/>
        </w:pBdr>
        <w:spacing w:after="0" w:line="240" w:lineRule="auto"/>
        <w:jc w:val="center"/>
        <w:rPr>
          <w:rFonts w:ascii="Times New Roman" w:hAnsi="Times New Roman" w:cs="Times New Roman"/>
          <w:b/>
          <w:sz w:val="24"/>
          <w:szCs w:val="24"/>
        </w:rPr>
      </w:pPr>
    </w:p>
    <w:p w:rsidR="000E1D4A" w:rsidRPr="009D4411" w:rsidRDefault="000E1D4A" w:rsidP="000E1D4A">
      <w:pPr>
        <w:spacing w:after="0" w:line="240" w:lineRule="auto"/>
        <w:jc w:val="center"/>
        <w:rPr>
          <w:rFonts w:ascii="Times New Roman" w:hAnsi="Times New Roman" w:cs="Times New Roman"/>
          <w:b/>
          <w:sz w:val="24"/>
          <w:szCs w:val="24"/>
        </w:rPr>
      </w:pPr>
    </w:p>
    <w:p w:rsidR="005D39E5" w:rsidRDefault="000E1D4A" w:rsidP="00C526A2">
      <w:pPr>
        <w:spacing w:after="0" w:line="480" w:lineRule="auto"/>
        <w:jc w:val="both"/>
        <w:rPr>
          <w:rFonts w:ascii="Times New Roman" w:hAnsi="Times New Roman" w:cs="Times New Roman"/>
          <w:sz w:val="24"/>
          <w:szCs w:val="24"/>
        </w:rPr>
      </w:pPr>
      <w:r w:rsidRPr="009D4411">
        <w:rPr>
          <w:rFonts w:ascii="Times New Roman" w:hAnsi="Times New Roman" w:cs="Times New Roman"/>
          <w:b/>
          <w:sz w:val="24"/>
          <w:szCs w:val="24"/>
        </w:rPr>
        <w:tab/>
      </w:r>
      <w:r w:rsidRPr="009D4411">
        <w:rPr>
          <w:rFonts w:ascii="Times New Roman" w:hAnsi="Times New Roman" w:cs="Times New Roman"/>
          <w:sz w:val="24"/>
          <w:szCs w:val="24"/>
        </w:rPr>
        <w:t xml:space="preserve">On </w:t>
      </w:r>
      <w:r w:rsidR="00F14EA2">
        <w:rPr>
          <w:rFonts w:ascii="Times New Roman" w:hAnsi="Times New Roman" w:cs="Times New Roman"/>
          <w:sz w:val="24"/>
          <w:szCs w:val="24"/>
        </w:rPr>
        <w:t xml:space="preserve">April </w:t>
      </w:r>
      <w:r w:rsidR="00CE18BC">
        <w:rPr>
          <w:rFonts w:ascii="Times New Roman" w:hAnsi="Times New Roman" w:cs="Times New Roman"/>
          <w:sz w:val="24"/>
          <w:szCs w:val="24"/>
        </w:rPr>
        <w:t>16, 2014</w:t>
      </w:r>
      <w:r w:rsidRPr="009D4411">
        <w:rPr>
          <w:rFonts w:ascii="Times New Roman" w:hAnsi="Times New Roman" w:cs="Times New Roman"/>
          <w:sz w:val="24"/>
          <w:szCs w:val="24"/>
        </w:rPr>
        <w:t xml:space="preserve">, </w:t>
      </w:r>
      <w:r w:rsidR="00CE18BC">
        <w:rPr>
          <w:rFonts w:ascii="Times New Roman" w:hAnsi="Times New Roman" w:cs="Times New Roman"/>
          <w:sz w:val="24"/>
          <w:szCs w:val="24"/>
        </w:rPr>
        <w:t xml:space="preserve">Duke Energy Ohio, Inc., (Duke Energy Ohio or the Company) filed an application </w:t>
      </w:r>
      <w:r w:rsidR="00955DEA">
        <w:rPr>
          <w:rFonts w:ascii="Times New Roman" w:hAnsi="Times New Roman" w:cs="Times New Roman"/>
          <w:sz w:val="24"/>
          <w:szCs w:val="24"/>
        </w:rPr>
        <w:t xml:space="preserve">(Application) </w:t>
      </w:r>
      <w:r w:rsidR="00CE18BC">
        <w:rPr>
          <w:rFonts w:ascii="Times New Roman" w:hAnsi="Times New Roman" w:cs="Times New Roman"/>
          <w:sz w:val="24"/>
          <w:szCs w:val="24"/>
        </w:rPr>
        <w:t xml:space="preserve">for approval of its Fourth Amended Corporate Separation Plan (Plan), as well as certain corresponding modifications of its retail electric tariff.  On May 6, 2014, the </w:t>
      </w:r>
      <w:r w:rsidR="00DA1A23">
        <w:rPr>
          <w:rFonts w:ascii="Times New Roman" w:hAnsi="Times New Roman" w:cs="Times New Roman"/>
          <w:sz w:val="24"/>
          <w:szCs w:val="24"/>
        </w:rPr>
        <w:t>A</w:t>
      </w:r>
      <w:r w:rsidR="00CE18BC">
        <w:rPr>
          <w:rFonts w:ascii="Times New Roman" w:hAnsi="Times New Roman" w:cs="Times New Roman"/>
          <w:sz w:val="24"/>
          <w:szCs w:val="24"/>
        </w:rPr>
        <w:t xml:space="preserve">ttorney </w:t>
      </w:r>
      <w:r w:rsidR="00DA1A23">
        <w:rPr>
          <w:rFonts w:ascii="Times New Roman" w:hAnsi="Times New Roman" w:cs="Times New Roman"/>
          <w:sz w:val="24"/>
          <w:szCs w:val="24"/>
        </w:rPr>
        <w:t>E</w:t>
      </w:r>
      <w:r w:rsidR="00CE18BC">
        <w:rPr>
          <w:rFonts w:ascii="Times New Roman" w:hAnsi="Times New Roman" w:cs="Times New Roman"/>
          <w:sz w:val="24"/>
          <w:szCs w:val="24"/>
        </w:rPr>
        <w:t xml:space="preserve">xaminer established a procedural schedule, calling for comments on the application to be filed by May 15, 2014, and reply comments by May 21, 2014.  </w:t>
      </w:r>
      <w:r w:rsidR="00DA1A23">
        <w:rPr>
          <w:rFonts w:ascii="Times New Roman" w:hAnsi="Times New Roman" w:cs="Times New Roman"/>
          <w:sz w:val="24"/>
          <w:szCs w:val="24"/>
        </w:rPr>
        <w:t>I</w:t>
      </w:r>
      <w:r w:rsidR="00E06494">
        <w:rPr>
          <w:rFonts w:ascii="Times New Roman" w:hAnsi="Times New Roman" w:cs="Times New Roman"/>
          <w:sz w:val="24"/>
          <w:szCs w:val="24"/>
        </w:rPr>
        <w:t xml:space="preserve">nitial comments were filed by the </w:t>
      </w:r>
      <w:r w:rsidR="00DA1A23">
        <w:rPr>
          <w:rFonts w:ascii="Times New Roman" w:hAnsi="Times New Roman" w:cs="Times New Roman"/>
          <w:sz w:val="24"/>
          <w:szCs w:val="24"/>
        </w:rPr>
        <w:t>Staff (Staff) of the Public Utilities Commission of Ohio (Commission); Interstate Gas Supply, Inc. (IGS); and Direct Energy Services, LLC, and Direct Energy Business, LLC (collectively, Direct Energy).</w:t>
      </w:r>
      <w:r w:rsidR="00036C42">
        <w:rPr>
          <w:rFonts w:ascii="Times New Roman" w:hAnsi="Times New Roman" w:cs="Times New Roman"/>
          <w:sz w:val="24"/>
          <w:szCs w:val="24"/>
        </w:rPr>
        <w:t xml:space="preserve">  </w:t>
      </w:r>
      <w:r w:rsidR="00955DEA">
        <w:rPr>
          <w:rFonts w:ascii="Times New Roman" w:hAnsi="Times New Roman" w:cs="Times New Roman"/>
          <w:sz w:val="24"/>
          <w:szCs w:val="24"/>
        </w:rPr>
        <w:t xml:space="preserve">With certain minor modifications, Staff supports the Company’s application, while IGS and Direct Energy oppose it.  </w:t>
      </w:r>
      <w:r w:rsidR="00483B12" w:rsidRPr="009D4411">
        <w:rPr>
          <w:rFonts w:ascii="Times New Roman" w:hAnsi="Times New Roman" w:cs="Times New Roman"/>
          <w:sz w:val="24"/>
          <w:szCs w:val="24"/>
        </w:rPr>
        <w:t xml:space="preserve">In accordance </w:t>
      </w:r>
      <w:r w:rsidR="00F53B77" w:rsidRPr="009D4411">
        <w:rPr>
          <w:rFonts w:ascii="Times New Roman" w:hAnsi="Times New Roman" w:cs="Times New Roman"/>
          <w:sz w:val="24"/>
          <w:szCs w:val="24"/>
        </w:rPr>
        <w:t>with the Commission’s schedule</w:t>
      </w:r>
      <w:r w:rsidR="00483B12" w:rsidRPr="009D4411">
        <w:rPr>
          <w:rFonts w:ascii="Times New Roman" w:hAnsi="Times New Roman" w:cs="Times New Roman"/>
          <w:sz w:val="24"/>
          <w:szCs w:val="24"/>
        </w:rPr>
        <w:t xml:space="preserve">, Duke Energy </w:t>
      </w:r>
      <w:r w:rsidR="006C1122">
        <w:rPr>
          <w:rFonts w:ascii="Times New Roman" w:hAnsi="Times New Roman" w:cs="Times New Roman"/>
          <w:sz w:val="24"/>
          <w:szCs w:val="24"/>
        </w:rPr>
        <w:t>Ohio</w:t>
      </w:r>
      <w:r w:rsidR="00036C42">
        <w:rPr>
          <w:rFonts w:ascii="Times New Roman" w:hAnsi="Times New Roman" w:cs="Times New Roman"/>
          <w:sz w:val="24"/>
          <w:szCs w:val="24"/>
        </w:rPr>
        <w:t xml:space="preserve"> respectfully submits </w:t>
      </w:r>
      <w:r w:rsidR="00483B12" w:rsidRPr="009D4411">
        <w:rPr>
          <w:rFonts w:ascii="Times New Roman" w:hAnsi="Times New Roman" w:cs="Times New Roman"/>
          <w:sz w:val="24"/>
          <w:szCs w:val="24"/>
        </w:rPr>
        <w:t>comments</w:t>
      </w:r>
      <w:r w:rsidR="00036C42">
        <w:rPr>
          <w:rFonts w:ascii="Times New Roman" w:hAnsi="Times New Roman" w:cs="Times New Roman"/>
          <w:sz w:val="24"/>
          <w:szCs w:val="24"/>
        </w:rPr>
        <w:t xml:space="preserve"> in reply to those initial comments</w:t>
      </w:r>
      <w:r w:rsidR="00955DEA">
        <w:rPr>
          <w:rFonts w:ascii="Times New Roman" w:hAnsi="Times New Roman" w:cs="Times New Roman"/>
          <w:sz w:val="24"/>
          <w:szCs w:val="24"/>
        </w:rPr>
        <w:t>,</w:t>
      </w:r>
      <w:r w:rsidR="00955DEA" w:rsidRPr="00955DEA">
        <w:rPr>
          <w:rFonts w:ascii="Times New Roman" w:hAnsi="Times New Roman" w:cs="Times New Roman"/>
          <w:sz w:val="24"/>
          <w:szCs w:val="24"/>
        </w:rPr>
        <w:t xml:space="preserve"> </w:t>
      </w:r>
      <w:r w:rsidR="00955DEA">
        <w:rPr>
          <w:rFonts w:ascii="Times New Roman" w:hAnsi="Times New Roman" w:cs="Times New Roman"/>
          <w:sz w:val="24"/>
          <w:szCs w:val="24"/>
        </w:rPr>
        <w:t>addressing each of the expressed concerns</w:t>
      </w:r>
      <w:r w:rsidR="00483B12" w:rsidRPr="009D4411">
        <w:rPr>
          <w:rFonts w:ascii="Times New Roman" w:hAnsi="Times New Roman" w:cs="Times New Roman"/>
          <w:sz w:val="24"/>
          <w:szCs w:val="24"/>
        </w:rPr>
        <w:t xml:space="preserve">. </w:t>
      </w:r>
      <w:r w:rsidR="00F53B77" w:rsidRPr="009D4411">
        <w:rPr>
          <w:rFonts w:ascii="Times New Roman" w:hAnsi="Times New Roman" w:cs="Times New Roman"/>
          <w:sz w:val="24"/>
          <w:szCs w:val="24"/>
        </w:rPr>
        <w:t xml:space="preserve"> </w:t>
      </w:r>
    </w:p>
    <w:p w:rsidR="00DA1A23" w:rsidRPr="009E3140" w:rsidRDefault="00955DEA" w:rsidP="009E3140">
      <w:pPr>
        <w:pStyle w:val="ListParagraph"/>
        <w:numPr>
          <w:ilvl w:val="0"/>
          <w:numId w:val="5"/>
        </w:numPr>
        <w:spacing w:after="0" w:line="480" w:lineRule="auto"/>
        <w:jc w:val="both"/>
        <w:rPr>
          <w:rFonts w:ascii="Times New Roman" w:hAnsi="Times New Roman" w:cs="Times New Roman"/>
          <w:sz w:val="24"/>
          <w:szCs w:val="24"/>
        </w:rPr>
      </w:pPr>
      <w:r w:rsidRPr="009E3140">
        <w:rPr>
          <w:rFonts w:ascii="Times New Roman" w:hAnsi="Times New Roman" w:cs="Times New Roman"/>
          <w:b/>
          <w:sz w:val="24"/>
          <w:szCs w:val="24"/>
          <w:u w:val="single"/>
        </w:rPr>
        <w:t>Proposal to Offer Additional, Electric-Related Services</w:t>
      </w:r>
    </w:p>
    <w:p w:rsidR="00955DEA" w:rsidRDefault="00955DEA" w:rsidP="00955D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explained in the Application</w:t>
      </w:r>
      <w:r w:rsidR="007147AA">
        <w:rPr>
          <w:rFonts w:ascii="Times New Roman" w:hAnsi="Times New Roman" w:cs="Times New Roman"/>
          <w:sz w:val="24"/>
          <w:szCs w:val="24"/>
        </w:rPr>
        <w:t>,</w:t>
      </w:r>
      <w:r>
        <w:rPr>
          <w:rFonts w:ascii="Times New Roman" w:hAnsi="Times New Roman" w:cs="Times New Roman"/>
          <w:sz w:val="24"/>
          <w:szCs w:val="24"/>
        </w:rPr>
        <w:t xml:space="preserve"> the Plan and the proposed tariff amendments will allow Duke Energy Ohio to offer additional electric-related services to customers.  Staff indicates that, </w:t>
      </w:r>
      <w:r>
        <w:rPr>
          <w:rFonts w:ascii="Times New Roman" w:hAnsi="Times New Roman" w:cs="Times New Roman"/>
          <w:sz w:val="24"/>
          <w:szCs w:val="24"/>
        </w:rPr>
        <w:lastRenderedPageBreak/>
        <w:t>in general, it is not opposed to this request.</w:t>
      </w:r>
      <w:r w:rsidR="000F58C6">
        <w:rPr>
          <w:rFonts w:ascii="Times New Roman" w:hAnsi="Times New Roman" w:cs="Times New Roman"/>
          <w:sz w:val="24"/>
          <w:szCs w:val="24"/>
        </w:rPr>
        <w:t xml:space="preserve">  Staff discusses no policy concerns or statutory prohibitions that relate to the Company’s offer.  Rather, Staff suggests three minor modifications, all of which the Company is amenable to.</w:t>
      </w:r>
    </w:p>
    <w:p w:rsidR="009E3140" w:rsidRPr="009E3140" w:rsidRDefault="009E3140" w:rsidP="009E3140">
      <w:pPr>
        <w:pStyle w:val="ListParagraph"/>
        <w:numPr>
          <w:ilvl w:val="1"/>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u w:val="single"/>
        </w:rPr>
        <w:t>Staff’s Comments</w:t>
      </w:r>
    </w:p>
    <w:p w:rsidR="000F58C6" w:rsidRDefault="000F58C6" w:rsidP="009E31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Staff proposes that customers who wish to take advantage of these services be required to initial a statement on the work order, indicating an understanding that the services are non-regulated and can be performed by other vendors.  Such a confirmation will allow the Company to assure the Commission that no rule violation has occurred.  </w:t>
      </w:r>
      <w:r w:rsidR="006D4A7D">
        <w:rPr>
          <w:rFonts w:ascii="Times New Roman" w:hAnsi="Times New Roman" w:cs="Times New Roman"/>
          <w:sz w:val="24"/>
          <w:szCs w:val="24"/>
        </w:rPr>
        <w:t>Staff’s related, second suggestion is that the customers</w:t>
      </w:r>
      <w:r w:rsidR="0096376B">
        <w:rPr>
          <w:rFonts w:ascii="Times New Roman" w:hAnsi="Times New Roman" w:cs="Times New Roman"/>
          <w:sz w:val="24"/>
          <w:szCs w:val="24"/>
        </w:rPr>
        <w:t>’</w:t>
      </w:r>
      <w:r w:rsidR="006D4A7D">
        <w:rPr>
          <w:rFonts w:ascii="Times New Roman" w:hAnsi="Times New Roman" w:cs="Times New Roman"/>
          <w:sz w:val="24"/>
          <w:szCs w:val="24"/>
        </w:rPr>
        <w:t xml:space="preserve"> written verification of understanding be retained as provided for </w:t>
      </w:r>
      <w:r w:rsidR="0096376B">
        <w:rPr>
          <w:rFonts w:ascii="Times New Roman" w:hAnsi="Times New Roman" w:cs="Times New Roman"/>
          <w:sz w:val="24"/>
          <w:szCs w:val="24"/>
        </w:rPr>
        <w:t xml:space="preserve">in the document retention provisions of </w:t>
      </w:r>
      <w:r w:rsidR="006D4A7D">
        <w:rPr>
          <w:rFonts w:ascii="Times New Roman" w:hAnsi="Times New Roman" w:cs="Times New Roman"/>
          <w:sz w:val="24"/>
          <w:szCs w:val="24"/>
        </w:rPr>
        <w:t>O.A.C. Chapter 4901:1-9.  Finally</w:t>
      </w:r>
      <w:r w:rsidR="0096376B">
        <w:rPr>
          <w:rFonts w:ascii="Times New Roman" w:hAnsi="Times New Roman" w:cs="Times New Roman"/>
          <w:sz w:val="24"/>
          <w:szCs w:val="24"/>
        </w:rPr>
        <w:t>, Staff recommends certain refor</w:t>
      </w:r>
      <w:r w:rsidR="009E3140">
        <w:rPr>
          <w:rFonts w:ascii="Times New Roman" w:hAnsi="Times New Roman" w:cs="Times New Roman"/>
          <w:sz w:val="24"/>
          <w:szCs w:val="24"/>
        </w:rPr>
        <w:t>matting changes to improve the readability of the proposed tariff sheet.</w:t>
      </w:r>
    </w:p>
    <w:p w:rsidR="006D4A7D" w:rsidRPr="00955DEA" w:rsidRDefault="006D4A7D" w:rsidP="00955D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E3140">
        <w:rPr>
          <w:rFonts w:ascii="Times New Roman" w:hAnsi="Times New Roman" w:cs="Times New Roman"/>
          <w:sz w:val="24"/>
          <w:szCs w:val="24"/>
        </w:rPr>
        <w:t xml:space="preserve">Duke Energy Ohio </w:t>
      </w:r>
      <w:r w:rsidR="007147AA">
        <w:rPr>
          <w:rFonts w:ascii="Times New Roman" w:hAnsi="Times New Roman" w:cs="Times New Roman"/>
          <w:sz w:val="24"/>
          <w:szCs w:val="24"/>
        </w:rPr>
        <w:t>accepts</w:t>
      </w:r>
      <w:r w:rsidR="009E3140">
        <w:rPr>
          <w:rFonts w:ascii="Times New Roman" w:hAnsi="Times New Roman" w:cs="Times New Roman"/>
          <w:sz w:val="24"/>
          <w:szCs w:val="24"/>
        </w:rPr>
        <w:t xml:space="preserve"> Staff’s </w:t>
      </w:r>
      <w:r w:rsidR="007147AA">
        <w:rPr>
          <w:rFonts w:ascii="Times New Roman" w:hAnsi="Times New Roman" w:cs="Times New Roman"/>
          <w:sz w:val="24"/>
          <w:szCs w:val="24"/>
        </w:rPr>
        <w:t>recommendations</w:t>
      </w:r>
      <w:r w:rsidR="009E3140">
        <w:rPr>
          <w:rFonts w:ascii="Times New Roman" w:hAnsi="Times New Roman" w:cs="Times New Roman"/>
          <w:sz w:val="24"/>
          <w:szCs w:val="24"/>
        </w:rPr>
        <w:t xml:space="preserve"> regarding these customer services.</w:t>
      </w:r>
    </w:p>
    <w:p w:rsidR="003E75DF" w:rsidRDefault="009E3140" w:rsidP="009E3140">
      <w:pPr>
        <w:pStyle w:val="ListParagraph"/>
        <w:numPr>
          <w:ilvl w:val="1"/>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u w:val="single"/>
        </w:rPr>
        <w:t>IGS’s Comments</w:t>
      </w:r>
    </w:p>
    <w:p w:rsidR="00E5761B" w:rsidRDefault="00E5761B"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IGS opposes Duke Energy Ohio’s proposal to offer additional services to customers on two grounds: one based on a mistaken understanding of the law and one based on a mistaken understanding of the proposal itself.</w:t>
      </w:r>
    </w:p>
    <w:p w:rsidR="00CD52D2" w:rsidRDefault="00E5761B"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IGS begins its discussion with a recitation of what it terms “background,” attempting to tie the Plan to the Company’s commitment to transfer its legacy generating assets to an affiliate or subsidiary.</w:t>
      </w:r>
      <w:r w:rsidR="0099394B">
        <w:rPr>
          <w:rFonts w:ascii="Times New Roman" w:hAnsi="Times New Roman" w:cs="Times New Roman"/>
          <w:sz w:val="24"/>
          <w:szCs w:val="24"/>
        </w:rPr>
        <w:t xml:space="preserve">  IGS correctly indicates that Duke Energy Ohio has committed to make such a transfer by no later than the end of 2014.</w:t>
      </w:r>
      <w:r w:rsidR="0099394B">
        <w:rPr>
          <w:rStyle w:val="FootnoteReference"/>
          <w:rFonts w:ascii="Times New Roman" w:hAnsi="Times New Roman" w:cs="Times New Roman"/>
          <w:sz w:val="24"/>
          <w:szCs w:val="24"/>
        </w:rPr>
        <w:footnoteReference w:id="1"/>
      </w:r>
      <w:r w:rsidR="0099394B">
        <w:rPr>
          <w:rFonts w:ascii="Times New Roman" w:hAnsi="Times New Roman" w:cs="Times New Roman"/>
          <w:sz w:val="24"/>
          <w:szCs w:val="24"/>
        </w:rPr>
        <w:t xml:space="preserve">  However, the modifications to the Plan, as proposed in the Application, are entirely unrelated to that commitment.  </w:t>
      </w:r>
      <w:r w:rsidR="00422FE2">
        <w:rPr>
          <w:rFonts w:ascii="Times New Roman" w:hAnsi="Times New Roman" w:cs="Times New Roman"/>
          <w:sz w:val="24"/>
          <w:szCs w:val="24"/>
        </w:rPr>
        <w:t xml:space="preserve">It is critical to note that, although </w:t>
      </w:r>
      <w:r w:rsidR="00422FE2">
        <w:rPr>
          <w:rFonts w:ascii="Times New Roman" w:hAnsi="Times New Roman" w:cs="Times New Roman"/>
          <w:sz w:val="24"/>
          <w:szCs w:val="24"/>
        </w:rPr>
        <w:lastRenderedPageBreak/>
        <w:t xml:space="preserve">the Commission’s order requires Duke Energy Ohio to transfer </w:t>
      </w:r>
      <w:r w:rsidR="00422FE2" w:rsidRPr="007147AA">
        <w:rPr>
          <w:rFonts w:ascii="Times New Roman" w:hAnsi="Times New Roman" w:cs="Times New Roman"/>
          <w:sz w:val="24"/>
          <w:szCs w:val="24"/>
          <w:u w:val="single"/>
        </w:rPr>
        <w:t>generating</w:t>
      </w:r>
      <w:r w:rsidR="00422FE2">
        <w:rPr>
          <w:rFonts w:ascii="Times New Roman" w:hAnsi="Times New Roman" w:cs="Times New Roman"/>
          <w:sz w:val="24"/>
          <w:szCs w:val="24"/>
        </w:rPr>
        <w:t xml:space="preserve"> assets, such order does not address “products or services other than retail electric service.”</w:t>
      </w:r>
      <w:r w:rsidR="00422FE2">
        <w:rPr>
          <w:rStyle w:val="FootnoteReference"/>
          <w:rFonts w:ascii="Times New Roman" w:hAnsi="Times New Roman" w:cs="Times New Roman"/>
          <w:sz w:val="24"/>
          <w:szCs w:val="24"/>
        </w:rPr>
        <w:footnoteReference w:id="2"/>
      </w:r>
      <w:r w:rsidR="00422FE2">
        <w:rPr>
          <w:rFonts w:ascii="Times New Roman" w:hAnsi="Times New Roman" w:cs="Times New Roman"/>
          <w:sz w:val="24"/>
          <w:szCs w:val="24"/>
        </w:rPr>
        <w:t xml:space="preserve">   </w:t>
      </w:r>
      <w:r w:rsidR="003978D1">
        <w:rPr>
          <w:rFonts w:ascii="Times New Roman" w:hAnsi="Times New Roman" w:cs="Times New Roman"/>
          <w:sz w:val="24"/>
          <w:szCs w:val="24"/>
        </w:rPr>
        <w:t>The Commission</w:t>
      </w:r>
      <w:r w:rsidR="000A75C1">
        <w:rPr>
          <w:rFonts w:ascii="Times New Roman" w:hAnsi="Times New Roman" w:cs="Times New Roman"/>
          <w:sz w:val="24"/>
          <w:szCs w:val="24"/>
        </w:rPr>
        <w:t xml:space="preserve">’s approval of the stipulation in the last standard service offer proceeding merely </w:t>
      </w:r>
      <w:r w:rsidR="003978D1">
        <w:rPr>
          <w:rFonts w:ascii="Times New Roman" w:hAnsi="Times New Roman" w:cs="Times New Roman"/>
          <w:sz w:val="24"/>
          <w:szCs w:val="24"/>
        </w:rPr>
        <w:t xml:space="preserve">said that the Company’s </w:t>
      </w:r>
      <w:r w:rsidR="003978D1" w:rsidRPr="007147AA">
        <w:rPr>
          <w:rFonts w:ascii="Times New Roman" w:hAnsi="Times New Roman" w:cs="Times New Roman"/>
          <w:sz w:val="24"/>
          <w:szCs w:val="24"/>
          <w:u w:val="single"/>
        </w:rPr>
        <w:t>generation</w:t>
      </w:r>
      <w:r w:rsidR="003978D1">
        <w:rPr>
          <w:rFonts w:ascii="Times New Roman" w:hAnsi="Times New Roman" w:cs="Times New Roman"/>
          <w:sz w:val="24"/>
          <w:szCs w:val="24"/>
        </w:rPr>
        <w:t xml:space="preserve"> assets will be transferred to an affiliate.</w:t>
      </w:r>
      <w:r w:rsidR="00CD52D2">
        <w:rPr>
          <w:rFonts w:ascii="Times New Roman" w:hAnsi="Times New Roman" w:cs="Times New Roman"/>
          <w:sz w:val="24"/>
          <w:szCs w:val="24"/>
        </w:rPr>
        <w:t xml:space="preserve">  </w:t>
      </w:r>
      <w:r w:rsidR="00EA1CFD">
        <w:rPr>
          <w:rFonts w:ascii="Times New Roman" w:hAnsi="Times New Roman" w:cs="Times New Roman"/>
          <w:sz w:val="24"/>
          <w:szCs w:val="24"/>
        </w:rPr>
        <w:t>As much as IGS may wish otherwise, the Commission</w:t>
      </w:r>
      <w:r w:rsidR="00CD52D2">
        <w:rPr>
          <w:rFonts w:ascii="Times New Roman" w:hAnsi="Times New Roman" w:cs="Times New Roman"/>
          <w:sz w:val="24"/>
          <w:szCs w:val="24"/>
        </w:rPr>
        <w:t>’s order did not speak in terms of functional versus full separation; it</w:t>
      </w:r>
      <w:r w:rsidR="00EA1CFD">
        <w:rPr>
          <w:rFonts w:ascii="Times New Roman" w:hAnsi="Times New Roman" w:cs="Times New Roman"/>
          <w:sz w:val="24"/>
          <w:szCs w:val="24"/>
        </w:rPr>
        <w:t xml:space="preserve"> has not</w:t>
      </w:r>
      <w:r w:rsidR="003978D1">
        <w:rPr>
          <w:rFonts w:ascii="Times New Roman" w:hAnsi="Times New Roman" w:cs="Times New Roman"/>
          <w:sz w:val="24"/>
          <w:szCs w:val="24"/>
        </w:rPr>
        <w:t xml:space="preserve"> limited Duke Energy Ohio’s business to distribution and transmission only.</w:t>
      </w:r>
      <w:r w:rsidR="00660059">
        <w:rPr>
          <w:rFonts w:ascii="Times New Roman" w:hAnsi="Times New Roman" w:cs="Times New Roman"/>
          <w:sz w:val="24"/>
          <w:szCs w:val="24"/>
        </w:rPr>
        <w:t xml:space="preserve">  </w:t>
      </w:r>
      <w:r w:rsidR="00CD52D2">
        <w:rPr>
          <w:rFonts w:ascii="Times New Roman" w:hAnsi="Times New Roman" w:cs="Times New Roman"/>
          <w:sz w:val="24"/>
          <w:szCs w:val="24"/>
        </w:rPr>
        <w:t xml:space="preserve">Indeed, any attempt to so limit the Company’s business would go beyond the corporate separation provisions established by the Ohio General Assembly.  R.C. 4928.17 clearly </w:t>
      </w:r>
      <w:r w:rsidR="002336AB">
        <w:rPr>
          <w:rFonts w:ascii="Times New Roman" w:hAnsi="Times New Roman" w:cs="Times New Roman"/>
          <w:sz w:val="24"/>
          <w:szCs w:val="24"/>
        </w:rPr>
        <w:t xml:space="preserve">allows a utility to provide services other than retail electric service, directly or through an affiliate, </w:t>
      </w:r>
      <w:r w:rsidR="00660059">
        <w:rPr>
          <w:rFonts w:ascii="Times New Roman" w:hAnsi="Times New Roman" w:cs="Times New Roman"/>
          <w:sz w:val="24"/>
          <w:szCs w:val="24"/>
        </w:rPr>
        <w:t>under appropriate terms of a corporate separation plan.</w:t>
      </w:r>
      <w:r w:rsidR="00660059">
        <w:rPr>
          <w:rStyle w:val="FootnoteReference"/>
          <w:rFonts w:ascii="Times New Roman" w:hAnsi="Times New Roman" w:cs="Times New Roman"/>
          <w:sz w:val="24"/>
          <w:szCs w:val="24"/>
        </w:rPr>
        <w:footnoteReference w:id="3"/>
      </w:r>
      <w:r w:rsidR="00660059">
        <w:rPr>
          <w:rFonts w:ascii="Times New Roman" w:hAnsi="Times New Roman" w:cs="Times New Roman"/>
          <w:sz w:val="24"/>
          <w:szCs w:val="24"/>
        </w:rPr>
        <w:t xml:space="preserve">  </w:t>
      </w:r>
    </w:p>
    <w:p w:rsidR="00660059" w:rsidRDefault="00660059"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IGS also alleges that the Company’s Application would allow it to recover the cost of providing the </w:t>
      </w:r>
      <w:r w:rsidRPr="00A034B4">
        <w:rPr>
          <w:rFonts w:ascii="Times New Roman" w:hAnsi="Times New Roman" w:cs="Times New Roman"/>
          <w:color w:val="000000" w:themeColor="text1"/>
          <w:sz w:val="24"/>
          <w:szCs w:val="24"/>
        </w:rPr>
        <w:t>services through distribution rates.</w:t>
      </w:r>
      <w:r w:rsidR="000E0F2A" w:rsidRPr="00A034B4">
        <w:rPr>
          <w:rFonts w:ascii="Times New Roman" w:hAnsi="Times New Roman" w:cs="Times New Roman"/>
          <w:color w:val="000000" w:themeColor="text1"/>
          <w:sz w:val="24"/>
          <w:szCs w:val="24"/>
        </w:rPr>
        <w:t xml:space="preserve">  But it is clear from the face of the Application that this is not the case.  Rather, </w:t>
      </w:r>
      <w:r w:rsidR="00C54BDF" w:rsidRPr="00A034B4">
        <w:rPr>
          <w:rFonts w:ascii="Times New Roman" w:hAnsi="Times New Roman" w:cs="Times New Roman"/>
          <w:color w:val="000000" w:themeColor="text1"/>
          <w:sz w:val="24"/>
          <w:szCs w:val="24"/>
        </w:rPr>
        <w:t xml:space="preserve">in addition to having the necessary accounting systems in place to ensure that the cost and revenues associated with the additional electric-related services are appropriately segregated from those associated with providing regulated utility service, </w:t>
      </w:r>
      <w:r w:rsidR="000E0F2A" w:rsidRPr="00A034B4">
        <w:rPr>
          <w:rFonts w:ascii="Times New Roman" w:hAnsi="Times New Roman" w:cs="Times New Roman"/>
          <w:color w:val="000000" w:themeColor="text1"/>
          <w:sz w:val="24"/>
          <w:szCs w:val="24"/>
        </w:rPr>
        <w:t xml:space="preserve">the </w:t>
      </w:r>
      <w:r w:rsidR="000E0F2A">
        <w:rPr>
          <w:rFonts w:ascii="Times New Roman" w:hAnsi="Times New Roman" w:cs="Times New Roman"/>
          <w:sz w:val="24"/>
          <w:szCs w:val="24"/>
        </w:rPr>
        <w:t>proposed tariff language specifically states that the negotiated rate for any given service may not be less than the Company’s fully allocated cost.  Thus, these services would be at least self-supporting and may even contribute to reductions in distribution rates.</w:t>
      </w:r>
    </w:p>
    <w:p w:rsidR="000E0F2A" w:rsidRDefault="000E0F2A"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final issue raised by IGS must be addressed.  Duke Energy Ohio pointed out, in the Application, that certain other Ohio utilities already have tariffs that include a similar ability to provide special services.  IGS claims that, because those tariffs were adopted through a procedure that involved a stipulation, the Company cannot claim their existence as precedent.  </w:t>
      </w:r>
      <w:r>
        <w:rPr>
          <w:rFonts w:ascii="Times New Roman" w:hAnsi="Times New Roman" w:cs="Times New Roman"/>
          <w:sz w:val="24"/>
          <w:szCs w:val="24"/>
        </w:rPr>
        <w:lastRenderedPageBreak/>
        <w:t>What IGS fails to recognize is that the Commission’s Opinion and Order approving the stipulation specifically found that it did not, in any regard, violate Ohio law.</w:t>
      </w:r>
      <w:r w:rsidR="009D332C">
        <w:rPr>
          <w:rStyle w:val="FootnoteReference"/>
          <w:rFonts w:ascii="Times New Roman" w:hAnsi="Times New Roman" w:cs="Times New Roman"/>
          <w:sz w:val="24"/>
          <w:szCs w:val="24"/>
        </w:rPr>
        <w:footnoteReference w:id="4"/>
      </w:r>
      <w:r w:rsidR="00E901EB">
        <w:rPr>
          <w:rFonts w:ascii="Times New Roman" w:hAnsi="Times New Roman" w:cs="Times New Roman"/>
          <w:sz w:val="24"/>
          <w:szCs w:val="24"/>
        </w:rPr>
        <w:t xml:space="preserve">  That finding – in contrast to the stipulation itself – is citable precedent.</w:t>
      </w:r>
      <w:r w:rsidR="002F500C">
        <w:rPr>
          <w:rFonts w:ascii="Times New Roman" w:hAnsi="Times New Roman" w:cs="Times New Roman"/>
          <w:sz w:val="24"/>
          <w:szCs w:val="24"/>
        </w:rPr>
        <w:t xml:space="preserve">  The Commission has concluded that an arrangement – directly analogous to that proposed here – is legal under Ohio corporate separation requirements.</w:t>
      </w:r>
    </w:p>
    <w:p w:rsidR="00DE2B78" w:rsidRDefault="00DE2B78"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the IGS concern about the difference between the services to be offered by Duke Energy Ohio and those offered by the FirstEnergy utilities is irrelevant.  If, has been shown above, Duke Energy Ohio can legally offer tariffed products or services other than retail electric service, then the choice of those products or services to be offered does not impact the underlying legality.</w:t>
      </w:r>
    </w:p>
    <w:p w:rsidR="003978D1" w:rsidRPr="002F500C" w:rsidRDefault="002F500C" w:rsidP="002F500C">
      <w:pPr>
        <w:pStyle w:val="ListParagraph"/>
        <w:numPr>
          <w:ilvl w:val="1"/>
          <w:numId w:val="5"/>
        </w:numPr>
        <w:spacing w:after="0" w:line="480" w:lineRule="auto"/>
        <w:jc w:val="both"/>
        <w:rPr>
          <w:rFonts w:ascii="Times New Roman" w:hAnsi="Times New Roman" w:cs="Times New Roman"/>
          <w:sz w:val="24"/>
          <w:szCs w:val="24"/>
          <w:u w:val="single"/>
        </w:rPr>
      </w:pPr>
      <w:r w:rsidRPr="002F500C">
        <w:rPr>
          <w:rFonts w:ascii="Times New Roman" w:hAnsi="Times New Roman" w:cs="Times New Roman"/>
          <w:sz w:val="24"/>
          <w:szCs w:val="24"/>
          <w:u w:val="single"/>
        </w:rPr>
        <w:t>Direct Energy’s Comments</w:t>
      </w:r>
    </w:p>
    <w:p w:rsidR="00E5761B" w:rsidRDefault="001928C0"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Direct Energy also comments negatively on the Application’s proposal to offer special services to customers.  Initially, it focuses on whether Duke Energy Ohio has provided “any justification” for the change.  But “justification” is not required, if the corporate separation plan adequately protects distribution ratepayers and the marketplace.  The most important </w:t>
      </w:r>
      <w:r w:rsidR="00D72B60">
        <w:rPr>
          <w:rFonts w:ascii="Times New Roman" w:hAnsi="Times New Roman" w:cs="Times New Roman"/>
          <w:sz w:val="24"/>
          <w:szCs w:val="24"/>
        </w:rPr>
        <w:t>issue in corporate</w:t>
      </w:r>
      <w:r>
        <w:rPr>
          <w:rFonts w:ascii="Times New Roman" w:hAnsi="Times New Roman" w:cs="Times New Roman"/>
          <w:sz w:val="24"/>
          <w:szCs w:val="24"/>
        </w:rPr>
        <w:t xml:space="preserve"> separation is that the services in question will be priced at no less than their fully allocated cost.  Although Direct Energy finds this term to be “ambiguous,</w:t>
      </w:r>
      <w:r w:rsidR="00A034B4">
        <w:rPr>
          <w:rFonts w:ascii="Times New Roman" w:hAnsi="Times New Roman" w:cs="Times New Roman"/>
          <w:sz w:val="24"/>
          <w:szCs w:val="24"/>
        </w:rPr>
        <w:t>” it</w:t>
      </w:r>
      <w:r>
        <w:rPr>
          <w:rFonts w:ascii="Times New Roman" w:hAnsi="Times New Roman" w:cs="Times New Roman"/>
          <w:sz w:val="24"/>
          <w:szCs w:val="24"/>
        </w:rPr>
        <w:t xml:space="preserve"> is well known to the Commission.</w:t>
      </w:r>
      <w:r w:rsidR="00F52001">
        <w:rPr>
          <w:rFonts w:ascii="Times New Roman" w:hAnsi="Times New Roman" w:cs="Times New Roman"/>
          <w:sz w:val="24"/>
          <w:szCs w:val="24"/>
        </w:rPr>
        <w:t xml:space="preserve">  The definitions of terms used in the Commission-promulgated rules relating to R.C. 4928.17 include the following:</w:t>
      </w:r>
    </w:p>
    <w:p w:rsidR="00F52001" w:rsidRDefault="00F52001" w:rsidP="00D72B60">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Fully allocated costs are the sum of the direct costs plus an appropriate share of indirect costs.  For purposes of these rules, the term fully allocated costs shall have the same meaning as the term fully loaded embedded costs as that term appears in division (A)(3) of section 4928.17 of the Revised Code.</w:t>
      </w:r>
      <w:r>
        <w:rPr>
          <w:rStyle w:val="FootnoteReference"/>
          <w:rFonts w:ascii="Times New Roman" w:hAnsi="Times New Roman" w:cs="Times New Roman"/>
          <w:sz w:val="24"/>
          <w:szCs w:val="24"/>
        </w:rPr>
        <w:footnoteReference w:id="5"/>
      </w:r>
    </w:p>
    <w:p w:rsidR="00D72B60" w:rsidRDefault="00D72B60" w:rsidP="00D72B60">
      <w:pPr>
        <w:spacing w:after="0" w:line="240" w:lineRule="auto"/>
        <w:ind w:left="720" w:right="720"/>
        <w:jc w:val="both"/>
        <w:rPr>
          <w:rFonts w:ascii="Times New Roman" w:hAnsi="Times New Roman" w:cs="Times New Roman"/>
          <w:sz w:val="24"/>
          <w:szCs w:val="24"/>
        </w:rPr>
      </w:pPr>
    </w:p>
    <w:p w:rsidR="00F52001" w:rsidRDefault="00F52001" w:rsidP="00D72B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034B4">
        <w:rPr>
          <w:rFonts w:ascii="Times New Roman" w:hAnsi="Times New Roman" w:cs="Times New Roman"/>
          <w:sz w:val="24"/>
          <w:szCs w:val="24"/>
        </w:rPr>
        <w:t>various</w:t>
      </w:r>
      <w:r>
        <w:rPr>
          <w:rFonts w:ascii="Times New Roman" w:hAnsi="Times New Roman" w:cs="Times New Roman"/>
          <w:sz w:val="24"/>
          <w:szCs w:val="24"/>
        </w:rPr>
        <w:t xml:space="preserve"> questions that Direct Energy poses with regard to this term are </w:t>
      </w:r>
      <w:r w:rsidR="000E635E">
        <w:rPr>
          <w:rFonts w:ascii="Times New Roman" w:hAnsi="Times New Roman" w:cs="Times New Roman"/>
          <w:sz w:val="24"/>
          <w:szCs w:val="24"/>
        </w:rPr>
        <w:t>moot</w:t>
      </w:r>
      <w:r>
        <w:rPr>
          <w:rFonts w:ascii="Times New Roman" w:hAnsi="Times New Roman" w:cs="Times New Roman"/>
          <w:sz w:val="24"/>
          <w:szCs w:val="24"/>
        </w:rPr>
        <w:t>.  The Commission’s definition controls.</w:t>
      </w:r>
    </w:p>
    <w:p w:rsidR="00F52001" w:rsidRDefault="00F52001"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Direct Energy goes on to propose two limitations on any authorization the Commission may grant under the Application.  </w:t>
      </w:r>
      <w:r w:rsidR="00A511D5">
        <w:rPr>
          <w:rFonts w:ascii="Times New Roman" w:hAnsi="Times New Roman" w:cs="Times New Roman"/>
          <w:sz w:val="24"/>
          <w:szCs w:val="24"/>
        </w:rPr>
        <w:t>First, Direct Energy suggests that any assets used by the Company to provide these services be similarly made available to competitors.  Such a provision would be unnecessary, as the law already addresses this issue.  To the extent existing law require</w:t>
      </w:r>
      <w:r w:rsidR="00D72B60">
        <w:rPr>
          <w:rFonts w:ascii="Times New Roman" w:hAnsi="Times New Roman" w:cs="Times New Roman"/>
          <w:sz w:val="24"/>
          <w:szCs w:val="24"/>
        </w:rPr>
        <w:t>s</w:t>
      </w:r>
      <w:r w:rsidR="00A511D5">
        <w:rPr>
          <w:rFonts w:ascii="Times New Roman" w:hAnsi="Times New Roman" w:cs="Times New Roman"/>
          <w:sz w:val="24"/>
          <w:szCs w:val="24"/>
        </w:rPr>
        <w:t xml:space="preserve"> Duke Energy Ohio to make facilities available to competitors, a new requirement is merely redundant.  And to the extent existing law does </w:t>
      </w:r>
      <w:r w:rsidR="00A511D5">
        <w:rPr>
          <w:rFonts w:ascii="Times New Roman" w:hAnsi="Times New Roman" w:cs="Times New Roman"/>
          <w:sz w:val="24"/>
          <w:szCs w:val="24"/>
          <w:u w:val="single"/>
        </w:rPr>
        <w:t>not</w:t>
      </w:r>
      <w:r w:rsidR="00A511D5">
        <w:rPr>
          <w:rFonts w:ascii="Times New Roman" w:hAnsi="Times New Roman" w:cs="Times New Roman"/>
          <w:sz w:val="24"/>
          <w:szCs w:val="24"/>
        </w:rPr>
        <w:t xml:space="preserve"> require such availability, any mandate in that regard is beyond the Commission’s authority.</w:t>
      </w:r>
    </w:p>
    <w:p w:rsidR="000E635E" w:rsidRDefault="00A511D5"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Direct Energy believes that the Company should only be allowed to offer these services through an affiliate, and then only under limitations as to name and logo, and mandated disclosure of the relationship.  This concept has two major flaws.  </w:t>
      </w:r>
    </w:p>
    <w:p w:rsidR="000E635E" w:rsidRDefault="000E635E"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First, t</w:t>
      </w:r>
      <w:r w:rsidR="00A511D5">
        <w:rPr>
          <w:rFonts w:ascii="Times New Roman" w:hAnsi="Times New Roman" w:cs="Times New Roman"/>
          <w:sz w:val="24"/>
          <w:szCs w:val="24"/>
        </w:rPr>
        <w:t>he Application does not seek approval to offer the services through an affiliate</w:t>
      </w:r>
      <w:r w:rsidR="00D72B60">
        <w:rPr>
          <w:rFonts w:ascii="Times New Roman" w:hAnsi="Times New Roman" w:cs="Times New Roman"/>
          <w:sz w:val="24"/>
          <w:szCs w:val="24"/>
        </w:rPr>
        <w:t>,</w:t>
      </w:r>
      <w:r w:rsidR="00A511D5">
        <w:rPr>
          <w:rFonts w:ascii="Times New Roman" w:hAnsi="Times New Roman" w:cs="Times New Roman"/>
          <w:sz w:val="24"/>
          <w:szCs w:val="24"/>
        </w:rPr>
        <w:t xml:space="preserve"> nor would such approval be necessary.  </w:t>
      </w:r>
      <w:r w:rsidR="00D44EBE">
        <w:rPr>
          <w:rFonts w:ascii="Times New Roman" w:hAnsi="Times New Roman" w:cs="Times New Roman"/>
          <w:sz w:val="24"/>
          <w:szCs w:val="24"/>
        </w:rPr>
        <w:t xml:space="preserve">These services </w:t>
      </w:r>
      <w:r>
        <w:rPr>
          <w:rFonts w:ascii="Times New Roman" w:hAnsi="Times New Roman" w:cs="Times New Roman"/>
          <w:sz w:val="24"/>
          <w:szCs w:val="24"/>
        </w:rPr>
        <w:t xml:space="preserve">can </w:t>
      </w:r>
      <w:r w:rsidR="00D44EBE">
        <w:rPr>
          <w:rFonts w:ascii="Times New Roman" w:hAnsi="Times New Roman" w:cs="Times New Roman"/>
          <w:sz w:val="24"/>
          <w:szCs w:val="24"/>
        </w:rPr>
        <w:t xml:space="preserve">be offered by an affiliate under the terms of the existing corporate separation plan, without Commission authorization.  </w:t>
      </w:r>
    </w:p>
    <w:p w:rsidR="00A511D5" w:rsidRDefault="00D44EBE"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Direct Energy attempts </w:t>
      </w:r>
      <w:r w:rsidR="00D72B60">
        <w:rPr>
          <w:rFonts w:ascii="Times New Roman" w:hAnsi="Times New Roman" w:cs="Times New Roman"/>
          <w:sz w:val="24"/>
          <w:szCs w:val="24"/>
        </w:rPr>
        <w:t xml:space="preserve">to </w:t>
      </w:r>
      <w:r>
        <w:rPr>
          <w:rFonts w:ascii="Times New Roman" w:hAnsi="Times New Roman" w:cs="Times New Roman"/>
          <w:sz w:val="24"/>
          <w:szCs w:val="24"/>
        </w:rPr>
        <w:t xml:space="preserve">analogize this request to a prior case where the Commission required disclosure of the fact that two entities were </w:t>
      </w:r>
      <w:r>
        <w:rPr>
          <w:rFonts w:ascii="Times New Roman" w:hAnsi="Times New Roman" w:cs="Times New Roman"/>
          <w:sz w:val="24"/>
          <w:szCs w:val="24"/>
          <w:u w:val="single"/>
        </w:rPr>
        <w:t>not</w:t>
      </w:r>
      <w:r>
        <w:rPr>
          <w:rFonts w:ascii="Times New Roman" w:hAnsi="Times New Roman" w:cs="Times New Roman"/>
          <w:sz w:val="24"/>
          <w:szCs w:val="24"/>
        </w:rPr>
        <w:t xml:space="preserve"> related, even though one was using the name of the other.  The risk of customer confusion </w:t>
      </w:r>
      <w:r w:rsidR="000E635E">
        <w:rPr>
          <w:rFonts w:ascii="Times New Roman" w:hAnsi="Times New Roman" w:cs="Times New Roman"/>
          <w:sz w:val="24"/>
          <w:szCs w:val="24"/>
        </w:rPr>
        <w:t xml:space="preserve">in that situation </w:t>
      </w:r>
      <w:r>
        <w:rPr>
          <w:rFonts w:ascii="Times New Roman" w:hAnsi="Times New Roman" w:cs="Times New Roman"/>
          <w:sz w:val="24"/>
          <w:szCs w:val="24"/>
        </w:rPr>
        <w:t xml:space="preserve">was extremely high, as the sharing of the name led customers to believe a falsehood.  Here, on the other hand, </w:t>
      </w:r>
      <w:r w:rsidR="000E635E">
        <w:rPr>
          <w:rFonts w:ascii="Times New Roman" w:hAnsi="Times New Roman" w:cs="Times New Roman"/>
          <w:sz w:val="24"/>
          <w:szCs w:val="24"/>
        </w:rPr>
        <w:t>the companies actually would be affiliated;</w:t>
      </w:r>
      <w:r w:rsidR="00D72B60">
        <w:rPr>
          <w:rFonts w:ascii="Times New Roman" w:hAnsi="Times New Roman" w:cs="Times New Roman"/>
          <w:sz w:val="24"/>
          <w:szCs w:val="24"/>
        </w:rPr>
        <w:t xml:space="preserve"> </w:t>
      </w:r>
      <w:r w:rsidR="000E635E">
        <w:rPr>
          <w:rFonts w:ascii="Times New Roman" w:hAnsi="Times New Roman" w:cs="Times New Roman"/>
          <w:sz w:val="24"/>
          <w:szCs w:val="24"/>
        </w:rPr>
        <w:t>t</w:t>
      </w:r>
      <w:r w:rsidR="00D72B60">
        <w:rPr>
          <w:rFonts w:ascii="Times New Roman" w:hAnsi="Times New Roman" w:cs="Times New Roman"/>
          <w:sz w:val="24"/>
          <w:szCs w:val="24"/>
        </w:rPr>
        <w:t>hus, there is no risk that customers would be misled.</w:t>
      </w:r>
      <w:r>
        <w:rPr>
          <w:rFonts w:ascii="Times New Roman" w:hAnsi="Times New Roman" w:cs="Times New Roman"/>
          <w:sz w:val="24"/>
          <w:szCs w:val="24"/>
        </w:rPr>
        <w:t xml:space="preserve">  There is no analogy to be drawn between these two situations.</w:t>
      </w:r>
    </w:p>
    <w:p w:rsidR="00DE2B78" w:rsidRDefault="00DE2B78" w:rsidP="00D44EBE">
      <w:pPr>
        <w:pStyle w:val="ListParagraph"/>
        <w:numPr>
          <w:ilvl w:val="0"/>
          <w:numId w:val="5"/>
        </w:num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44EBE" w:rsidRPr="00D44EBE" w:rsidRDefault="00D44EBE" w:rsidP="00D44EBE">
      <w:pPr>
        <w:pStyle w:val="ListParagraph"/>
        <w:numPr>
          <w:ilvl w:val="0"/>
          <w:numId w:val="5"/>
        </w:numPr>
        <w:spacing w:after="0" w:line="480" w:lineRule="auto"/>
        <w:jc w:val="both"/>
        <w:rPr>
          <w:rFonts w:ascii="Times New Roman" w:hAnsi="Times New Roman" w:cs="Times New Roman"/>
          <w:sz w:val="24"/>
          <w:szCs w:val="24"/>
          <w:u w:val="single"/>
        </w:rPr>
      </w:pPr>
      <w:r w:rsidRPr="00D44EBE">
        <w:rPr>
          <w:rFonts w:ascii="Times New Roman" w:hAnsi="Times New Roman" w:cs="Times New Roman"/>
          <w:b/>
          <w:sz w:val="24"/>
          <w:szCs w:val="24"/>
          <w:u w:val="single"/>
        </w:rPr>
        <w:lastRenderedPageBreak/>
        <w:t xml:space="preserve">Additional Issues </w:t>
      </w:r>
      <w:r>
        <w:rPr>
          <w:rFonts w:ascii="Times New Roman" w:hAnsi="Times New Roman" w:cs="Times New Roman"/>
          <w:b/>
          <w:sz w:val="24"/>
          <w:szCs w:val="24"/>
          <w:u w:val="single"/>
        </w:rPr>
        <w:t xml:space="preserve">Raised </w:t>
      </w:r>
      <w:r w:rsidRPr="00D44EBE">
        <w:rPr>
          <w:rFonts w:ascii="Times New Roman" w:hAnsi="Times New Roman" w:cs="Times New Roman"/>
          <w:b/>
          <w:sz w:val="24"/>
          <w:szCs w:val="24"/>
          <w:u w:val="single"/>
        </w:rPr>
        <w:t>in Comments</w:t>
      </w:r>
    </w:p>
    <w:p w:rsidR="00E5761B" w:rsidRPr="00DB207D" w:rsidRDefault="00DB207D" w:rsidP="00DB207D">
      <w:pPr>
        <w:pStyle w:val="ListParagraph"/>
        <w:numPr>
          <w:ilvl w:val="1"/>
          <w:numId w:val="5"/>
        </w:numPr>
        <w:spacing w:after="0" w:line="480" w:lineRule="auto"/>
        <w:jc w:val="both"/>
        <w:rPr>
          <w:rFonts w:ascii="Times New Roman" w:hAnsi="Times New Roman" w:cs="Times New Roman"/>
          <w:sz w:val="24"/>
          <w:szCs w:val="24"/>
          <w:u w:val="single"/>
        </w:rPr>
      </w:pPr>
      <w:r w:rsidRPr="00DB207D">
        <w:rPr>
          <w:rFonts w:ascii="Times New Roman" w:hAnsi="Times New Roman" w:cs="Times New Roman"/>
          <w:sz w:val="24"/>
          <w:szCs w:val="24"/>
          <w:u w:val="single"/>
        </w:rPr>
        <w:t>Staff’s Comments</w:t>
      </w:r>
    </w:p>
    <w:p w:rsidR="00E5761B" w:rsidRDefault="00DB207D"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Staff also comments on the revised description of the “Inter-Company Asset Transfer Agreement.”  Pointing to the Commission’s rules on the topic, Staff requests that the language be modified to indicate that records will be kept that demonstrate that assets will be transferred only at the fully allocated cost.</w:t>
      </w:r>
    </w:p>
    <w:p w:rsidR="00DB207D" w:rsidRDefault="00DB207D" w:rsidP="002D1E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Duke Energy Ohio </w:t>
      </w:r>
      <w:r w:rsidR="00647094">
        <w:rPr>
          <w:rFonts w:ascii="Times New Roman" w:hAnsi="Times New Roman" w:cs="Times New Roman"/>
          <w:sz w:val="24"/>
          <w:szCs w:val="24"/>
        </w:rPr>
        <w:t>agrees to make this revision, such that the description of the agreement reads as follows:</w:t>
      </w:r>
    </w:p>
    <w:p w:rsidR="009E7DBE" w:rsidRDefault="00647094" w:rsidP="00A034B4">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This Agreement permits asset transfer agreements for inventory items between Duke Energy Ohio and its affiliated regulated utility operating companies.  The transfers among the regulated utilities are priced at the transferring party’s fully allocated cost </w:t>
      </w:r>
      <w:r w:rsidR="0095086D">
        <w:rPr>
          <w:rFonts w:ascii="Times New Roman" w:hAnsi="Times New Roman" w:cs="Times New Roman"/>
          <w:sz w:val="24"/>
          <w:szCs w:val="24"/>
        </w:rPr>
        <w:t xml:space="preserve">(as defined in Ohio Administrative Code Rule 4901:1-37-01(G)) </w:t>
      </w:r>
      <w:r>
        <w:rPr>
          <w:rFonts w:ascii="Times New Roman" w:hAnsi="Times New Roman" w:cs="Times New Roman"/>
          <w:sz w:val="24"/>
          <w:szCs w:val="24"/>
        </w:rPr>
        <w:t>or through in-kind replacements, providing the transfers do not jeopardize the transferring party’s ability to provide service.  The pricing under this agreement is consistent with Ohio’s affiliate transaction pricing rules.  Duke Energy Ohio “Generation/Non-regulated” and regulated utilities use FERC’s asymmetrical pricing for transfers among themselves.</w:t>
      </w:r>
      <w:r w:rsidR="009E7DBE">
        <w:rPr>
          <w:rFonts w:ascii="Times New Roman" w:hAnsi="Times New Roman" w:cs="Times New Roman"/>
          <w:sz w:val="24"/>
          <w:szCs w:val="24"/>
        </w:rPr>
        <w:t xml:space="preserve">  Detailed records will be retained to demonstrate compliance with pricing under this Agreement.  </w:t>
      </w:r>
    </w:p>
    <w:p w:rsidR="002E3540" w:rsidRDefault="002E3540" w:rsidP="002E3540">
      <w:pPr>
        <w:pStyle w:val="ListParagraph"/>
        <w:numPr>
          <w:ilvl w:val="1"/>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u w:val="single"/>
        </w:rPr>
        <w:t>Direct Energy</w:t>
      </w:r>
    </w:p>
    <w:p w:rsidR="002E3540" w:rsidRPr="002E3540" w:rsidRDefault="004766F4" w:rsidP="0033226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Following up on</w:t>
      </w:r>
      <w:r w:rsidR="00332266">
        <w:rPr>
          <w:rFonts w:ascii="Times New Roman" w:hAnsi="Times New Roman" w:cs="Times New Roman"/>
          <w:sz w:val="24"/>
          <w:szCs w:val="24"/>
        </w:rPr>
        <w:t xml:space="preserve"> a proposal that the Commission has already rejected in another proceeding, </w:t>
      </w:r>
      <w:r w:rsidR="002E3540">
        <w:rPr>
          <w:rFonts w:ascii="Times New Roman" w:hAnsi="Times New Roman" w:cs="Times New Roman"/>
          <w:sz w:val="24"/>
          <w:szCs w:val="24"/>
        </w:rPr>
        <w:t>Direct Energy</w:t>
      </w:r>
      <w:r w:rsidR="00332266">
        <w:rPr>
          <w:rFonts w:ascii="Times New Roman" w:hAnsi="Times New Roman" w:cs="Times New Roman"/>
          <w:sz w:val="24"/>
          <w:szCs w:val="24"/>
        </w:rPr>
        <w:t xml:space="preserve"> asks that the Commission establish a variety of limitations around employee transfers.</w:t>
      </w:r>
      <w:r w:rsidR="00332266">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Direct Energy, in lodging this complaint, fails to account for the fact that </w:t>
      </w:r>
      <w:r w:rsidR="007C33E1">
        <w:rPr>
          <w:rFonts w:ascii="Times New Roman" w:hAnsi="Times New Roman" w:cs="Times New Roman"/>
          <w:sz w:val="24"/>
          <w:szCs w:val="24"/>
        </w:rPr>
        <w:t>the Commission’s own rules specifically allow shared services.  The limitations that this commenter proposes to place on the Company are more onerous than are allowed by law.  These suggestions should be rejected.</w:t>
      </w:r>
    </w:p>
    <w:p w:rsidR="00685FB0" w:rsidRPr="00DF570E" w:rsidRDefault="00DF2F43" w:rsidP="002D1EE4">
      <w:pPr>
        <w:spacing w:after="0" w:line="480" w:lineRule="auto"/>
        <w:ind w:firstLine="720"/>
        <w:jc w:val="both"/>
        <w:rPr>
          <w:rFonts w:ascii="Times New Roman" w:hAnsi="Times New Roman" w:cs="Times New Roman"/>
          <w:sz w:val="24"/>
          <w:szCs w:val="24"/>
        </w:rPr>
      </w:pPr>
      <w:r w:rsidRPr="00DF570E">
        <w:rPr>
          <w:rFonts w:ascii="Times New Roman" w:hAnsi="Times New Roman" w:cs="Times New Roman"/>
          <w:sz w:val="24"/>
          <w:szCs w:val="24"/>
        </w:rPr>
        <w:lastRenderedPageBreak/>
        <w:t xml:space="preserve">Duke Energy Ohio </w:t>
      </w:r>
      <w:r w:rsidR="00685FB0" w:rsidRPr="00DF570E">
        <w:rPr>
          <w:rFonts w:ascii="Times New Roman" w:hAnsi="Times New Roman" w:cs="Times New Roman"/>
          <w:sz w:val="24"/>
          <w:szCs w:val="24"/>
        </w:rPr>
        <w:t>appreciates the opportunity to provide its initial comments to the Commission</w:t>
      </w:r>
      <w:r w:rsidRPr="00DF570E">
        <w:rPr>
          <w:rFonts w:ascii="Times New Roman" w:hAnsi="Times New Roman" w:cs="Times New Roman"/>
          <w:sz w:val="24"/>
          <w:szCs w:val="24"/>
        </w:rPr>
        <w:t xml:space="preserve"> and</w:t>
      </w:r>
      <w:r w:rsidR="00685FB0" w:rsidRPr="00DF570E">
        <w:rPr>
          <w:rFonts w:ascii="Times New Roman" w:hAnsi="Times New Roman" w:cs="Times New Roman"/>
          <w:sz w:val="24"/>
          <w:szCs w:val="24"/>
        </w:rPr>
        <w:t xml:space="preserve"> respectfully requests that the Commission </w:t>
      </w:r>
      <w:r w:rsidR="002F500C">
        <w:rPr>
          <w:rFonts w:ascii="Times New Roman" w:hAnsi="Times New Roman" w:cs="Times New Roman"/>
          <w:sz w:val="24"/>
          <w:szCs w:val="24"/>
        </w:rPr>
        <w:t>approve the Company’s Application, as filed, with the modifications agreed to herein</w:t>
      </w:r>
      <w:r w:rsidR="00685FB0" w:rsidRPr="00DF570E">
        <w:rPr>
          <w:rFonts w:ascii="Times New Roman" w:hAnsi="Times New Roman" w:cs="Times New Roman"/>
          <w:sz w:val="24"/>
          <w:szCs w:val="24"/>
        </w:rPr>
        <w:t>.</w:t>
      </w:r>
    </w:p>
    <w:p w:rsidR="00685FB0" w:rsidRPr="001E20DF" w:rsidRDefault="00685FB0" w:rsidP="00685FB0">
      <w:pPr>
        <w:spacing w:after="0" w:line="240" w:lineRule="auto"/>
        <w:ind w:left="4320"/>
        <w:jc w:val="both"/>
        <w:rPr>
          <w:rFonts w:ascii="Times New Roman" w:hAnsi="Times New Roman"/>
          <w:sz w:val="24"/>
          <w:szCs w:val="24"/>
        </w:rPr>
      </w:pPr>
      <w:r w:rsidRPr="001E20DF">
        <w:rPr>
          <w:rFonts w:ascii="Times New Roman" w:hAnsi="Times New Roman"/>
          <w:sz w:val="24"/>
          <w:szCs w:val="24"/>
        </w:rPr>
        <w:t>Respectfully submitted,</w:t>
      </w:r>
    </w:p>
    <w:p w:rsidR="00685FB0" w:rsidRPr="001E20DF" w:rsidRDefault="00685FB0" w:rsidP="00685FB0">
      <w:pPr>
        <w:spacing w:after="0" w:line="240" w:lineRule="auto"/>
        <w:ind w:left="4320"/>
        <w:jc w:val="both"/>
        <w:rPr>
          <w:rFonts w:ascii="Times New Roman" w:hAnsi="Times New Roman"/>
          <w:sz w:val="24"/>
          <w:szCs w:val="24"/>
        </w:rPr>
      </w:pPr>
    </w:p>
    <w:p w:rsidR="00685FB0" w:rsidRPr="001E20DF" w:rsidRDefault="00685FB0" w:rsidP="00685FB0">
      <w:pPr>
        <w:spacing w:after="0" w:line="240" w:lineRule="auto"/>
        <w:ind w:left="4320"/>
        <w:jc w:val="both"/>
        <w:rPr>
          <w:rFonts w:ascii="Times New Roman" w:hAnsi="Times New Roman"/>
          <w:sz w:val="24"/>
          <w:szCs w:val="24"/>
        </w:rPr>
      </w:pPr>
      <w:r w:rsidRPr="001E20DF">
        <w:rPr>
          <w:rFonts w:ascii="Times New Roman" w:hAnsi="Times New Roman"/>
          <w:sz w:val="24"/>
          <w:szCs w:val="24"/>
        </w:rPr>
        <w:t xml:space="preserve">DUKE ENERGY </w:t>
      </w:r>
      <w:r w:rsidR="00DF2F43">
        <w:rPr>
          <w:rFonts w:ascii="Times New Roman" w:hAnsi="Times New Roman"/>
          <w:sz w:val="24"/>
          <w:szCs w:val="24"/>
        </w:rPr>
        <w:t>OHIO</w:t>
      </w:r>
      <w:r w:rsidRPr="001E20DF">
        <w:rPr>
          <w:rFonts w:ascii="Times New Roman" w:hAnsi="Times New Roman"/>
          <w:sz w:val="24"/>
          <w:szCs w:val="24"/>
        </w:rPr>
        <w:t xml:space="preserve">, </w:t>
      </w:r>
      <w:r w:rsidR="00DF2F43">
        <w:rPr>
          <w:rFonts w:ascii="Times New Roman" w:hAnsi="Times New Roman"/>
          <w:sz w:val="24"/>
          <w:szCs w:val="24"/>
        </w:rPr>
        <w:t>INC.</w:t>
      </w:r>
    </w:p>
    <w:p w:rsidR="00685FB0" w:rsidRPr="001E20DF" w:rsidRDefault="00685FB0" w:rsidP="00685FB0">
      <w:pPr>
        <w:keepNext/>
        <w:keepLines/>
        <w:autoSpaceDE w:val="0"/>
        <w:autoSpaceDN w:val="0"/>
        <w:adjustRightInd w:val="0"/>
        <w:spacing w:after="0" w:line="240" w:lineRule="auto"/>
        <w:ind w:left="4320"/>
        <w:jc w:val="both"/>
        <w:rPr>
          <w:rFonts w:ascii="Times New Roman" w:hAnsi="Times New Roman"/>
          <w:sz w:val="24"/>
          <w:szCs w:val="24"/>
        </w:rPr>
      </w:pPr>
    </w:p>
    <w:p w:rsidR="00685FB0" w:rsidRPr="001E20DF" w:rsidRDefault="00685FB0" w:rsidP="00685FB0">
      <w:pPr>
        <w:keepNext/>
        <w:keepLines/>
        <w:autoSpaceDE w:val="0"/>
        <w:autoSpaceDN w:val="0"/>
        <w:adjustRightInd w:val="0"/>
        <w:spacing w:after="0" w:line="240" w:lineRule="auto"/>
        <w:ind w:left="4320"/>
        <w:jc w:val="both"/>
        <w:rPr>
          <w:rFonts w:ascii="Times New Roman" w:hAnsi="Times New Roman"/>
          <w:sz w:val="24"/>
          <w:szCs w:val="24"/>
        </w:rPr>
      </w:pPr>
    </w:p>
    <w:p w:rsidR="00E4529C" w:rsidRPr="00B75964" w:rsidRDefault="00E4529C" w:rsidP="00E4529C">
      <w:pPr>
        <w:pStyle w:val="BodyTextIndent2"/>
        <w:tabs>
          <w:tab w:val="left" w:pos="4320"/>
        </w:tabs>
        <w:spacing w:line="240" w:lineRule="auto"/>
        <w:ind w:left="4320" w:firstLine="0"/>
        <w:rPr>
          <w:rFonts w:ascii="Times New Roman" w:hAnsi="Times New Roman"/>
        </w:rPr>
      </w:pPr>
      <w:r w:rsidRPr="00B75964">
        <w:rPr>
          <w:rFonts w:ascii="Times New Roman" w:hAnsi="Times New Roman"/>
        </w:rPr>
        <w:t>_____________________________</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Amy B. Spiller</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Deputy General Counsel</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Jeanne W. Kingery</w:t>
      </w:r>
      <w:r w:rsidR="007C33E1">
        <w:rPr>
          <w:rFonts w:ascii="Times New Roman" w:hAnsi="Times New Roman"/>
        </w:rPr>
        <w:t xml:space="preserve"> (Counsel of Record)</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Associate General Counsel</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Duke Energy Business Services LLC</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 xml:space="preserve">139 East </w:t>
      </w:r>
      <w:r w:rsidR="009464EE">
        <w:rPr>
          <w:rFonts w:ascii="Times New Roman" w:hAnsi="Times New Roman"/>
        </w:rPr>
        <w:t>Fourth</w:t>
      </w:r>
      <w:r>
        <w:rPr>
          <w:rFonts w:ascii="Times New Roman" w:hAnsi="Times New Roman"/>
        </w:rPr>
        <w:t xml:space="preserve"> Street, 1303 Main</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Cincinnati, OH 45202</w:t>
      </w:r>
    </w:p>
    <w:p w:rsidR="00685FB0" w:rsidRPr="001E20DF" w:rsidRDefault="00E4529C" w:rsidP="00685FB0">
      <w:pPr>
        <w:keepNext/>
        <w:keepLines/>
        <w:autoSpaceDE w:val="0"/>
        <w:autoSpaceDN w:val="0"/>
        <w:adjustRightInd w:val="0"/>
        <w:spacing w:after="0" w:line="240" w:lineRule="auto"/>
        <w:ind w:left="4320"/>
        <w:jc w:val="both"/>
        <w:rPr>
          <w:rFonts w:ascii="Times New Roman" w:hAnsi="Times New Roman"/>
          <w:sz w:val="24"/>
          <w:szCs w:val="24"/>
        </w:rPr>
      </w:pPr>
      <w:r>
        <w:rPr>
          <w:rFonts w:ascii="Times New Roman" w:hAnsi="Times New Roman"/>
          <w:sz w:val="24"/>
          <w:szCs w:val="24"/>
        </w:rPr>
        <w:t>(513) 287-4359</w:t>
      </w:r>
    </w:p>
    <w:p w:rsidR="00E4529C" w:rsidRDefault="007E7B06" w:rsidP="00685FB0">
      <w:pPr>
        <w:keepNext/>
        <w:keepLines/>
        <w:autoSpaceDE w:val="0"/>
        <w:autoSpaceDN w:val="0"/>
        <w:adjustRightInd w:val="0"/>
        <w:spacing w:after="0" w:line="240" w:lineRule="auto"/>
        <w:ind w:left="4320"/>
        <w:jc w:val="both"/>
        <w:rPr>
          <w:rFonts w:ascii="Times New Roman" w:hAnsi="Times New Roman"/>
          <w:sz w:val="24"/>
          <w:szCs w:val="24"/>
        </w:rPr>
      </w:pPr>
      <w:hyperlink r:id="rId8" w:history="1">
        <w:r w:rsidR="00E4529C" w:rsidRPr="00E221AE">
          <w:rPr>
            <w:rStyle w:val="Hyperlink"/>
            <w:rFonts w:ascii="Times New Roman" w:hAnsi="Times New Roman"/>
            <w:sz w:val="24"/>
            <w:szCs w:val="24"/>
          </w:rPr>
          <w:t>Amy.Spiller@duke-energy.com</w:t>
        </w:r>
      </w:hyperlink>
    </w:p>
    <w:p w:rsidR="00685FB0" w:rsidRDefault="007E7B06" w:rsidP="00685FB0">
      <w:pPr>
        <w:keepNext/>
        <w:keepLines/>
        <w:autoSpaceDE w:val="0"/>
        <w:autoSpaceDN w:val="0"/>
        <w:adjustRightInd w:val="0"/>
        <w:spacing w:after="0" w:line="240" w:lineRule="auto"/>
        <w:ind w:left="4320"/>
        <w:jc w:val="both"/>
        <w:rPr>
          <w:rFonts w:ascii="Times New Roman" w:hAnsi="Times New Roman"/>
          <w:sz w:val="24"/>
          <w:szCs w:val="24"/>
        </w:rPr>
      </w:pPr>
      <w:hyperlink r:id="rId9" w:history="1">
        <w:r w:rsidR="00E4529C" w:rsidRPr="00E221AE">
          <w:rPr>
            <w:rStyle w:val="Hyperlink"/>
            <w:rFonts w:ascii="Times New Roman" w:hAnsi="Times New Roman"/>
            <w:sz w:val="24"/>
            <w:szCs w:val="24"/>
          </w:rPr>
          <w:t>Jeanne.Kingery@duke-energy.com</w:t>
        </w:r>
      </w:hyperlink>
    </w:p>
    <w:p w:rsidR="00E4529C" w:rsidRPr="001E20DF" w:rsidRDefault="00E4529C" w:rsidP="00685FB0">
      <w:pPr>
        <w:keepNext/>
        <w:keepLines/>
        <w:autoSpaceDE w:val="0"/>
        <w:autoSpaceDN w:val="0"/>
        <w:adjustRightInd w:val="0"/>
        <w:spacing w:after="0" w:line="240" w:lineRule="auto"/>
        <w:ind w:left="4320"/>
        <w:jc w:val="both"/>
        <w:rPr>
          <w:rFonts w:ascii="Times New Roman" w:hAnsi="Times New Roman"/>
          <w:sz w:val="24"/>
          <w:szCs w:val="24"/>
        </w:rPr>
      </w:pPr>
    </w:p>
    <w:p w:rsidR="00685FB0" w:rsidRPr="001E20DF" w:rsidRDefault="00685FB0" w:rsidP="00685FB0">
      <w:pPr>
        <w:pStyle w:val="Title"/>
        <w:suppressLineNumbers/>
        <w:spacing w:before="0" w:after="0"/>
        <w:rPr>
          <w:b w:val="0"/>
          <w:sz w:val="24"/>
          <w:szCs w:val="24"/>
        </w:rPr>
      </w:pPr>
    </w:p>
    <w:p w:rsidR="00685FB0" w:rsidRPr="001E20DF" w:rsidRDefault="00685FB0" w:rsidP="00685FB0">
      <w:pPr>
        <w:rPr>
          <w:rFonts w:ascii="Times New Roman" w:hAnsi="Times New Roman"/>
          <w:b/>
          <w:sz w:val="24"/>
          <w:szCs w:val="24"/>
        </w:rPr>
      </w:pPr>
      <w:r w:rsidRPr="001E20DF">
        <w:rPr>
          <w:rFonts w:ascii="Times New Roman" w:hAnsi="Times New Roman"/>
          <w:b/>
          <w:sz w:val="24"/>
          <w:szCs w:val="24"/>
        </w:rPr>
        <w:br w:type="page"/>
      </w:r>
    </w:p>
    <w:p w:rsidR="00685FB0" w:rsidRPr="001E20DF" w:rsidRDefault="00685FB0" w:rsidP="00685FB0">
      <w:pPr>
        <w:tabs>
          <w:tab w:val="left" w:pos="2880"/>
          <w:tab w:val="left" w:pos="4320"/>
          <w:tab w:val="left" w:pos="7920"/>
        </w:tabs>
        <w:jc w:val="center"/>
        <w:rPr>
          <w:rFonts w:ascii="Times New Roman" w:hAnsi="Times New Roman"/>
          <w:b/>
          <w:sz w:val="24"/>
          <w:szCs w:val="24"/>
        </w:rPr>
      </w:pPr>
      <w:r w:rsidRPr="001E20DF">
        <w:rPr>
          <w:rFonts w:ascii="Times New Roman" w:hAnsi="Times New Roman"/>
          <w:b/>
          <w:sz w:val="24"/>
          <w:szCs w:val="24"/>
        </w:rPr>
        <w:lastRenderedPageBreak/>
        <w:t>CERTIFICATE OF SERVICE</w:t>
      </w:r>
    </w:p>
    <w:p w:rsidR="00685FB0" w:rsidRPr="001E20DF" w:rsidRDefault="00685FB0" w:rsidP="00685FB0">
      <w:pPr>
        <w:rPr>
          <w:rFonts w:ascii="Times New Roman" w:hAnsi="Times New Roman"/>
          <w:sz w:val="24"/>
          <w:szCs w:val="24"/>
        </w:rPr>
      </w:pPr>
    </w:p>
    <w:p w:rsidR="00685FB0" w:rsidRPr="001E20DF" w:rsidRDefault="00685FB0" w:rsidP="00685FB0">
      <w:pPr>
        <w:pStyle w:val="Header"/>
        <w:tabs>
          <w:tab w:val="left" w:pos="0"/>
        </w:tabs>
        <w:spacing w:line="480" w:lineRule="auto"/>
        <w:jc w:val="both"/>
      </w:pPr>
      <w:r w:rsidRPr="001E20DF">
        <w:t xml:space="preserve">I hereby certify that a true and accurate copy of the foregoing was delivered via U.S. mail (postage prepaid), personal, or electronic mail delivery on this the </w:t>
      </w:r>
      <w:r w:rsidR="007C33E1">
        <w:t>2</w:t>
      </w:r>
      <w:r w:rsidR="00EE322C">
        <w:t>1</w:t>
      </w:r>
      <w:r w:rsidR="00EE322C" w:rsidRPr="00EE322C">
        <w:rPr>
          <w:vertAlign w:val="superscript"/>
        </w:rPr>
        <w:t>st</w:t>
      </w:r>
      <w:r w:rsidR="00EE322C">
        <w:t xml:space="preserve"> </w:t>
      </w:r>
      <w:r w:rsidRPr="001E20DF">
        <w:t xml:space="preserve">day of </w:t>
      </w:r>
      <w:r w:rsidR="007C33E1">
        <w:t>May</w:t>
      </w:r>
      <w:r w:rsidRPr="001E20DF">
        <w:t>, 201</w:t>
      </w:r>
      <w:r w:rsidR="00682B7D">
        <w:t>4</w:t>
      </w:r>
      <w:r w:rsidRPr="001E20DF">
        <w:t>, to the following parties.</w:t>
      </w:r>
    </w:p>
    <w:p w:rsidR="00685FB0" w:rsidRPr="001E20DF" w:rsidRDefault="00685FB0" w:rsidP="00685FB0">
      <w:pPr>
        <w:pStyle w:val="Heading1"/>
        <w:numPr>
          <w:ilvl w:val="0"/>
          <w:numId w:val="0"/>
        </w:numPr>
        <w:tabs>
          <w:tab w:val="clear" w:pos="720"/>
        </w:tabs>
        <w:ind w:left="5760"/>
        <w:rPr>
          <w:rFonts w:ascii="Times New Roman" w:hAnsi="Times New Roman" w:cs="Times New Roman"/>
          <w:b w:val="0"/>
          <w:color w:val="auto"/>
          <w:sz w:val="24"/>
          <w:szCs w:val="24"/>
        </w:rPr>
      </w:pPr>
      <w:r w:rsidRPr="001E20DF">
        <w:rPr>
          <w:rFonts w:ascii="Times New Roman" w:hAnsi="Times New Roman" w:cs="Times New Roman"/>
          <w:b w:val="0"/>
          <w:color w:val="auto"/>
          <w:sz w:val="24"/>
          <w:szCs w:val="24"/>
        </w:rPr>
        <w:t>_________________________</w:t>
      </w:r>
    </w:p>
    <w:p w:rsidR="00685FB0" w:rsidRDefault="00685FB0" w:rsidP="00685FB0">
      <w:pPr>
        <w:rPr>
          <w:rFonts w:ascii="Times New Roman" w:hAnsi="Times New Roman"/>
          <w:sz w:val="24"/>
          <w:szCs w:val="24"/>
        </w:rPr>
      </w:pP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r>
      <w:r w:rsidRPr="001E20DF">
        <w:rPr>
          <w:rFonts w:ascii="Times New Roman" w:hAnsi="Times New Roman"/>
          <w:sz w:val="24"/>
          <w:szCs w:val="24"/>
        </w:rPr>
        <w:tab/>
        <w:t xml:space="preserve">Jeanne W. Kingery </w:t>
      </w:r>
    </w:p>
    <w:p w:rsidR="00D91094" w:rsidRPr="001E20DF" w:rsidRDefault="00D91094" w:rsidP="00685FB0">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91094" w:rsidTr="00AC74BC">
        <w:tc>
          <w:tcPr>
            <w:tcW w:w="4788" w:type="dxa"/>
          </w:tcPr>
          <w:p w:rsidR="00D91094" w:rsidRDefault="002602CA" w:rsidP="00F84545">
            <w:pPr>
              <w:jc w:val="both"/>
              <w:rPr>
                <w:rFonts w:ascii="Times New Roman" w:hAnsi="Times New Roman" w:cs="Times New Roman"/>
                <w:sz w:val="24"/>
                <w:szCs w:val="24"/>
              </w:rPr>
            </w:pPr>
            <w:r>
              <w:rPr>
                <w:rFonts w:ascii="Times New Roman" w:hAnsi="Times New Roman" w:cs="Times New Roman"/>
                <w:sz w:val="24"/>
                <w:szCs w:val="24"/>
              </w:rPr>
              <w:t>Thomas W. McNamee</w:t>
            </w:r>
          </w:p>
          <w:p w:rsidR="002602CA" w:rsidRDefault="002602CA" w:rsidP="00F84545">
            <w:pPr>
              <w:jc w:val="both"/>
              <w:rPr>
                <w:rFonts w:ascii="Times New Roman" w:hAnsi="Times New Roman" w:cs="Times New Roman"/>
                <w:sz w:val="24"/>
                <w:szCs w:val="24"/>
              </w:rPr>
            </w:pPr>
            <w:r>
              <w:rPr>
                <w:rFonts w:ascii="Times New Roman" w:hAnsi="Times New Roman" w:cs="Times New Roman"/>
                <w:sz w:val="24"/>
                <w:szCs w:val="24"/>
              </w:rPr>
              <w:t>Assistant Attorney General</w:t>
            </w:r>
          </w:p>
          <w:p w:rsidR="00D91094" w:rsidRDefault="002602CA" w:rsidP="00F84545">
            <w:pPr>
              <w:jc w:val="both"/>
              <w:rPr>
                <w:rFonts w:ascii="Times New Roman" w:hAnsi="Times New Roman" w:cs="Times New Roman"/>
                <w:sz w:val="24"/>
                <w:szCs w:val="24"/>
              </w:rPr>
            </w:pPr>
            <w:r>
              <w:rPr>
                <w:rFonts w:ascii="Times New Roman" w:hAnsi="Times New Roman" w:cs="Times New Roman"/>
                <w:sz w:val="24"/>
                <w:szCs w:val="24"/>
              </w:rPr>
              <w:t>Public Utilities Section</w:t>
            </w:r>
          </w:p>
          <w:p w:rsidR="00D91094" w:rsidRDefault="00D91094" w:rsidP="00F84545">
            <w:pPr>
              <w:jc w:val="both"/>
              <w:rPr>
                <w:rFonts w:ascii="Times New Roman" w:hAnsi="Times New Roman" w:cs="Times New Roman"/>
                <w:sz w:val="24"/>
                <w:szCs w:val="24"/>
              </w:rPr>
            </w:pPr>
            <w:r>
              <w:rPr>
                <w:rFonts w:ascii="Times New Roman" w:hAnsi="Times New Roman" w:cs="Times New Roman"/>
                <w:sz w:val="24"/>
                <w:szCs w:val="24"/>
              </w:rPr>
              <w:t>180 East Broad St.</w:t>
            </w:r>
            <w:r w:rsidR="002602CA">
              <w:rPr>
                <w:rFonts w:ascii="Times New Roman" w:hAnsi="Times New Roman" w:cs="Times New Roman"/>
                <w:sz w:val="24"/>
                <w:szCs w:val="24"/>
              </w:rPr>
              <w:t>, 6</w:t>
            </w:r>
            <w:r w:rsidR="002602CA" w:rsidRPr="002602CA">
              <w:rPr>
                <w:rFonts w:ascii="Times New Roman" w:hAnsi="Times New Roman" w:cs="Times New Roman"/>
                <w:sz w:val="24"/>
                <w:szCs w:val="24"/>
                <w:vertAlign w:val="superscript"/>
              </w:rPr>
              <w:t>th</w:t>
            </w:r>
            <w:r w:rsidR="002602CA">
              <w:rPr>
                <w:rFonts w:ascii="Times New Roman" w:hAnsi="Times New Roman" w:cs="Times New Roman"/>
                <w:sz w:val="24"/>
                <w:szCs w:val="24"/>
              </w:rPr>
              <w:t xml:space="preserve"> Floor</w:t>
            </w:r>
          </w:p>
          <w:p w:rsidR="00D91094" w:rsidRDefault="00D91094" w:rsidP="00F84545">
            <w:pPr>
              <w:jc w:val="both"/>
              <w:rPr>
                <w:rFonts w:ascii="Times New Roman" w:hAnsi="Times New Roman" w:cs="Times New Roman"/>
                <w:sz w:val="24"/>
                <w:szCs w:val="24"/>
              </w:rPr>
            </w:pPr>
            <w:r>
              <w:rPr>
                <w:rFonts w:ascii="Times New Roman" w:hAnsi="Times New Roman" w:cs="Times New Roman"/>
                <w:sz w:val="24"/>
                <w:szCs w:val="24"/>
              </w:rPr>
              <w:t>Columbus, Ohio 43215</w:t>
            </w:r>
          </w:p>
          <w:p w:rsidR="00D91094" w:rsidRDefault="007E7B06" w:rsidP="00F84545">
            <w:pPr>
              <w:jc w:val="both"/>
              <w:rPr>
                <w:rFonts w:ascii="Times New Roman" w:hAnsi="Times New Roman" w:cs="Times New Roman"/>
                <w:sz w:val="24"/>
                <w:szCs w:val="24"/>
              </w:rPr>
            </w:pPr>
            <w:hyperlink r:id="rId10" w:history="1">
              <w:r w:rsidR="002602CA" w:rsidRPr="00E12057">
                <w:rPr>
                  <w:rStyle w:val="Hyperlink"/>
                  <w:rFonts w:ascii="Times New Roman" w:hAnsi="Times New Roman" w:cs="Times New Roman"/>
                  <w:sz w:val="24"/>
                  <w:szCs w:val="24"/>
                </w:rPr>
                <w:t>Thomas.Mcnamee@puc.state.oh.us</w:t>
              </w:r>
            </w:hyperlink>
            <w:r w:rsidR="00D91094">
              <w:rPr>
                <w:rFonts w:ascii="Times New Roman" w:hAnsi="Times New Roman" w:cs="Times New Roman"/>
                <w:sz w:val="24"/>
                <w:szCs w:val="24"/>
              </w:rPr>
              <w:t xml:space="preserve"> </w:t>
            </w:r>
          </w:p>
          <w:p w:rsidR="00ED04D0" w:rsidRDefault="00ED04D0" w:rsidP="00F84545">
            <w:pPr>
              <w:jc w:val="both"/>
              <w:rPr>
                <w:rFonts w:ascii="Times New Roman" w:hAnsi="Times New Roman" w:cs="Times New Roman"/>
                <w:sz w:val="24"/>
                <w:szCs w:val="24"/>
              </w:rPr>
            </w:pPr>
          </w:p>
          <w:p w:rsidR="00ED04D0" w:rsidRDefault="00ED04D0" w:rsidP="00F84545">
            <w:pPr>
              <w:jc w:val="both"/>
              <w:rPr>
                <w:rFonts w:ascii="Times New Roman" w:hAnsi="Times New Roman" w:cs="Times New Roman"/>
                <w:sz w:val="24"/>
                <w:szCs w:val="24"/>
              </w:rPr>
            </w:pPr>
            <w:r>
              <w:rPr>
                <w:rFonts w:ascii="Times New Roman" w:hAnsi="Times New Roman" w:cs="Times New Roman"/>
                <w:sz w:val="24"/>
                <w:szCs w:val="24"/>
              </w:rPr>
              <w:t>Counsel for Staff of the Commission</w:t>
            </w:r>
          </w:p>
          <w:p w:rsidR="002602CA" w:rsidRDefault="002602CA" w:rsidP="00F84545">
            <w:pPr>
              <w:jc w:val="both"/>
              <w:rPr>
                <w:rFonts w:ascii="Times New Roman" w:hAnsi="Times New Roman" w:cs="Times New Roman"/>
                <w:sz w:val="24"/>
                <w:szCs w:val="24"/>
              </w:rPr>
            </w:pPr>
          </w:p>
          <w:p w:rsidR="00ED04D0" w:rsidRDefault="00ED04D0" w:rsidP="00F84545">
            <w:pPr>
              <w:jc w:val="both"/>
              <w:rPr>
                <w:rFonts w:ascii="Times New Roman" w:hAnsi="Times New Roman" w:cs="Times New Roman"/>
                <w:sz w:val="24"/>
                <w:szCs w:val="24"/>
              </w:rPr>
            </w:pPr>
          </w:p>
        </w:tc>
        <w:tc>
          <w:tcPr>
            <w:tcW w:w="4788" w:type="dxa"/>
          </w:tcPr>
          <w:p w:rsidR="00ED04D0" w:rsidRDefault="002602CA" w:rsidP="00ED04D0">
            <w:pPr>
              <w:ind w:right="360"/>
              <w:jc w:val="both"/>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Oliker</w:t>
            </w:r>
            <w:proofErr w:type="spellEnd"/>
          </w:p>
          <w:p w:rsidR="002602CA" w:rsidRDefault="002602CA" w:rsidP="00ED04D0">
            <w:pPr>
              <w:ind w:right="360"/>
              <w:jc w:val="both"/>
              <w:rPr>
                <w:rFonts w:ascii="Times New Roman" w:hAnsi="Times New Roman" w:cs="Times New Roman"/>
                <w:sz w:val="24"/>
                <w:szCs w:val="24"/>
              </w:rPr>
            </w:pPr>
            <w:r>
              <w:rPr>
                <w:rFonts w:ascii="Times New Roman" w:hAnsi="Times New Roman" w:cs="Times New Roman"/>
                <w:sz w:val="24"/>
                <w:szCs w:val="24"/>
              </w:rPr>
              <w:t>Matthew White</w:t>
            </w:r>
          </w:p>
          <w:p w:rsidR="002602CA" w:rsidRDefault="002602CA" w:rsidP="00ED04D0">
            <w:pPr>
              <w:ind w:right="360"/>
              <w:jc w:val="both"/>
              <w:rPr>
                <w:rFonts w:ascii="Times New Roman" w:hAnsi="Times New Roman" w:cs="Times New Roman"/>
                <w:sz w:val="24"/>
                <w:szCs w:val="24"/>
              </w:rPr>
            </w:pPr>
            <w:r>
              <w:rPr>
                <w:rFonts w:ascii="Times New Roman" w:hAnsi="Times New Roman" w:cs="Times New Roman"/>
                <w:sz w:val="24"/>
                <w:szCs w:val="24"/>
              </w:rPr>
              <w:t>IGS Energy</w:t>
            </w:r>
          </w:p>
          <w:p w:rsidR="002602CA" w:rsidRDefault="002602CA" w:rsidP="00ED04D0">
            <w:pPr>
              <w:ind w:right="360"/>
              <w:jc w:val="both"/>
              <w:rPr>
                <w:rFonts w:ascii="Times New Roman" w:hAnsi="Times New Roman" w:cs="Times New Roman"/>
                <w:sz w:val="24"/>
                <w:szCs w:val="24"/>
              </w:rPr>
            </w:pPr>
            <w:r>
              <w:rPr>
                <w:rFonts w:ascii="Times New Roman" w:hAnsi="Times New Roman" w:cs="Times New Roman"/>
                <w:sz w:val="24"/>
                <w:szCs w:val="24"/>
              </w:rPr>
              <w:t>6100 Emerald Parkway</w:t>
            </w:r>
          </w:p>
          <w:p w:rsidR="002602CA" w:rsidRDefault="002602CA" w:rsidP="00ED04D0">
            <w:pPr>
              <w:ind w:right="360"/>
              <w:jc w:val="both"/>
              <w:rPr>
                <w:rFonts w:ascii="Times New Roman" w:hAnsi="Times New Roman" w:cs="Times New Roman"/>
                <w:sz w:val="24"/>
                <w:szCs w:val="24"/>
              </w:rPr>
            </w:pPr>
            <w:r>
              <w:rPr>
                <w:rFonts w:ascii="Times New Roman" w:hAnsi="Times New Roman" w:cs="Times New Roman"/>
                <w:sz w:val="24"/>
                <w:szCs w:val="24"/>
              </w:rPr>
              <w:t>Dublin, Ohio 43016</w:t>
            </w:r>
          </w:p>
          <w:p w:rsidR="007147AA" w:rsidRDefault="007E7B06" w:rsidP="00ED04D0">
            <w:pPr>
              <w:ind w:right="360"/>
              <w:jc w:val="both"/>
              <w:rPr>
                <w:rFonts w:ascii="Times New Roman" w:hAnsi="Times New Roman" w:cs="Times New Roman"/>
                <w:sz w:val="24"/>
                <w:szCs w:val="24"/>
              </w:rPr>
            </w:pPr>
            <w:hyperlink r:id="rId11" w:history="1">
              <w:r w:rsidR="007147AA" w:rsidRPr="00E12057">
                <w:rPr>
                  <w:rStyle w:val="Hyperlink"/>
                  <w:rFonts w:ascii="Times New Roman" w:hAnsi="Times New Roman" w:cs="Times New Roman"/>
                  <w:sz w:val="24"/>
                  <w:szCs w:val="24"/>
                </w:rPr>
                <w:t>joliker@igsenergy.com</w:t>
              </w:r>
            </w:hyperlink>
          </w:p>
          <w:p w:rsidR="007147AA" w:rsidRDefault="007E7B06" w:rsidP="00ED04D0">
            <w:pPr>
              <w:ind w:right="360"/>
              <w:jc w:val="both"/>
              <w:rPr>
                <w:rFonts w:ascii="Times New Roman" w:hAnsi="Times New Roman" w:cs="Times New Roman"/>
                <w:sz w:val="24"/>
                <w:szCs w:val="24"/>
              </w:rPr>
            </w:pPr>
            <w:hyperlink r:id="rId12" w:history="1">
              <w:r w:rsidR="007147AA" w:rsidRPr="00E12057">
                <w:rPr>
                  <w:rStyle w:val="Hyperlink"/>
                  <w:rFonts w:ascii="Times New Roman" w:hAnsi="Times New Roman" w:cs="Times New Roman"/>
                  <w:sz w:val="24"/>
                  <w:szCs w:val="24"/>
                </w:rPr>
                <w:t>mswhite@igsenergy.com</w:t>
              </w:r>
            </w:hyperlink>
          </w:p>
          <w:p w:rsidR="007147AA" w:rsidRDefault="007147AA" w:rsidP="00ED04D0">
            <w:pPr>
              <w:ind w:right="360"/>
              <w:jc w:val="both"/>
              <w:rPr>
                <w:rFonts w:ascii="Times New Roman" w:hAnsi="Times New Roman" w:cs="Times New Roman"/>
                <w:sz w:val="24"/>
                <w:szCs w:val="24"/>
              </w:rPr>
            </w:pPr>
          </w:p>
          <w:p w:rsidR="007147AA" w:rsidRDefault="007147AA" w:rsidP="00ED04D0">
            <w:pPr>
              <w:ind w:right="360"/>
              <w:jc w:val="both"/>
              <w:rPr>
                <w:rFonts w:ascii="Times New Roman" w:hAnsi="Times New Roman" w:cs="Times New Roman"/>
                <w:sz w:val="24"/>
                <w:szCs w:val="24"/>
              </w:rPr>
            </w:pPr>
            <w:r>
              <w:rPr>
                <w:rFonts w:ascii="Times New Roman" w:hAnsi="Times New Roman" w:cs="Times New Roman"/>
                <w:sz w:val="24"/>
                <w:szCs w:val="24"/>
              </w:rPr>
              <w:t>Counsel for IGS Energy</w:t>
            </w:r>
          </w:p>
        </w:tc>
      </w:tr>
      <w:tr w:rsidR="00D91094" w:rsidTr="00AC74BC">
        <w:tc>
          <w:tcPr>
            <w:tcW w:w="4788" w:type="dxa"/>
          </w:tcPr>
          <w:p w:rsidR="002602CA" w:rsidRDefault="002602CA" w:rsidP="002602CA">
            <w:pPr>
              <w:jc w:val="both"/>
              <w:rPr>
                <w:rFonts w:ascii="Times New Roman" w:hAnsi="Times New Roman" w:cs="Times New Roman"/>
                <w:sz w:val="24"/>
                <w:szCs w:val="24"/>
              </w:rPr>
            </w:pPr>
            <w:r>
              <w:rPr>
                <w:rFonts w:ascii="Times New Roman" w:hAnsi="Times New Roman" w:cs="Times New Roman"/>
                <w:sz w:val="24"/>
                <w:szCs w:val="24"/>
              </w:rPr>
              <w:t>Joseph M. Clark</w:t>
            </w:r>
          </w:p>
          <w:p w:rsidR="002602CA" w:rsidRDefault="002602CA" w:rsidP="002602CA">
            <w:pPr>
              <w:jc w:val="both"/>
              <w:rPr>
                <w:rFonts w:ascii="Times New Roman" w:hAnsi="Times New Roman" w:cs="Times New Roman"/>
                <w:sz w:val="24"/>
                <w:szCs w:val="24"/>
              </w:rPr>
            </w:pPr>
            <w:r>
              <w:rPr>
                <w:rFonts w:ascii="Times New Roman" w:hAnsi="Times New Roman" w:cs="Times New Roman"/>
                <w:sz w:val="24"/>
                <w:szCs w:val="24"/>
              </w:rPr>
              <w:t>Direct Energy</w:t>
            </w:r>
          </w:p>
          <w:p w:rsidR="002602CA" w:rsidRDefault="002602CA" w:rsidP="002602CA">
            <w:pPr>
              <w:jc w:val="both"/>
              <w:rPr>
                <w:rFonts w:ascii="Times New Roman" w:hAnsi="Times New Roman" w:cs="Times New Roman"/>
                <w:sz w:val="24"/>
                <w:szCs w:val="24"/>
              </w:rPr>
            </w:pPr>
            <w:r>
              <w:rPr>
                <w:rFonts w:ascii="Times New Roman" w:hAnsi="Times New Roman" w:cs="Times New Roman"/>
                <w:sz w:val="24"/>
                <w:szCs w:val="24"/>
              </w:rPr>
              <w:t>21 East State Street, 19</w:t>
            </w:r>
            <w:r w:rsidRPr="009464EE">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2602CA" w:rsidRDefault="002602CA" w:rsidP="002602CA">
            <w:pPr>
              <w:jc w:val="both"/>
              <w:rPr>
                <w:rFonts w:ascii="Times New Roman" w:hAnsi="Times New Roman" w:cs="Times New Roman"/>
                <w:sz w:val="24"/>
                <w:szCs w:val="24"/>
              </w:rPr>
            </w:pPr>
            <w:r>
              <w:rPr>
                <w:rFonts w:ascii="Times New Roman" w:hAnsi="Times New Roman" w:cs="Times New Roman"/>
                <w:sz w:val="24"/>
                <w:szCs w:val="24"/>
              </w:rPr>
              <w:t>Columbus, Ohio 43215</w:t>
            </w:r>
          </w:p>
          <w:p w:rsidR="002602CA" w:rsidRDefault="007E7B06" w:rsidP="002602CA">
            <w:pPr>
              <w:jc w:val="both"/>
              <w:rPr>
                <w:rFonts w:ascii="Times New Roman" w:hAnsi="Times New Roman" w:cs="Times New Roman"/>
                <w:sz w:val="24"/>
                <w:szCs w:val="24"/>
              </w:rPr>
            </w:pPr>
            <w:hyperlink r:id="rId13" w:history="1">
              <w:r w:rsidR="002602CA" w:rsidRPr="00993237">
                <w:rPr>
                  <w:rStyle w:val="Hyperlink"/>
                  <w:rFonts w:ascii="Times New Roman" w:hAnsi="Times New Roman" w:cs="Times New Roman"/>
                  <w:sz w:val="24"/>
                  <w:szCs w:val="24"/>
                </w:rPr>
                <w:t>Joseph.clark@directenergy.com</w:t>
              </w:r>
            </w:hyperlink>
          </w:p>
          <w:p w:rsidR="002602CA" w:rsidRDefault="002602CA" w:rsidP="002602CA">
            <w:pPr>
              <w:jc w:val="both"/>
              <w:rPr>
                <w:rFonts w:ascii="Times New Roman" w:hAnsi="Times New Roman" w:cs="Times New Roman"/>
                <w:sz w:val="24"/>
                <w:szCs w:val="24"/>
              </w:rPr>
            </w:pPr>
          </w:p>
          <w:p w:rsidR="00D91094" w:rsidRDefault="002602CA" w:rsidP="002602CA">
            <w:pPr>
              <w:jc w:val="both"/>
              <w:rPr>
                <w:rFonts w:ascii="Times New Roman" w:hAnsi="Times New Roman" w:cs="Times New Roman"/>
                <w:sz w:val="24"/>
                <w:szCs w:val="24"/>
              </w:rPr>
            </w:pPr>
            <w:r>
              <w:rPr>
                <w:rFonts w:ascii="Times New Roman" w:hAnsi="Times New Roman" w:cs="Times New Roman"/>
                <w:sz w:val="24"/>
                <w:szCs w:val="24"/>
              </w:rPr>
              <w:t>Counsel for Direct Energy Services, LLC</w:t>
            </w:r>
            <w:r w:rsidR="007147AA">
              <w:rPr>
                <w:rFonts w:ascii="Times New Roman" w:hAnsi="Times New Roman" w:cs="Times New Roman"/>
                <w:sz w:val="24"/>
                <w:szCs w:val="24"/>
              </w:rPr>
              <w:t>,</w:t>
            </w:r>
            <w:r>
              <w:rPr>
                <w:rFonts w:ascii="Times New Roman" w:hAnsi="Times New Roman" w:cs="Times New Roman"/>
                <w:sz w:val="24"/>
                <w:szCs w:val="24"/>
              </w:rPr>
              <w:t xml:space="preserve"> and Direct Energy Business, LLC</w:t>
            </w:r>
            <w:r w:rsidR="00D91094">
              <w:rPr>
                <w:rFonts w:ascii="Times New Roman" w:hAnsi="Times New Roman" w:cs="Times New Roman"/>
                <w:sz w:val="24"/>
                <w:szCs w:val="24"/>
              </w:rPr>
              <w:t xml:space="preserve"> </w:t>
            </w:r>
          </w:p>
        </w:tc>
        <w:tc>
          <w:tcPr>
            <w:tcW w:w="4788" w:type="dxa"/>
          </w:tcPr>
          <w:p w:rsidR="00D91094" w:rsidRDefault="00D91094" w:rsidP="00F84545">
            <w:pPr>
              <w:jc w:val="both"/>
              <w:rPr>
                <w:rFonts w:ascii="Times New Roman" w:hAnsi="Times New Roman" w:cs="Times New Roman"/>
                <w:sz w:val="24"/>
                <w:szCs w:val="24"/>
              </w:rPr>
            </w:pPr>
          </w:p>
        </w:tc>
      </w:tr>
      <w:tr w:rsidR="00D91094" w:rsidTr="00AC74BC">
        <w:tc>
          <w:tcPr>
            <w:tcW w:w="4788" w:type="dxa"/>
          </w:tcPr>
          <w:p w:rsidR="00ED04D0" w:rsidRDefault="00ED04D0" w:rsidP="002602CA">
            <w:pPr>
              <w:ind w:right="432"/>
              <w:jc w:val="both"/>
              <w:rPr>
                <w:rFonts w:ascii="Times New Roman" w:hAnsi="Times New Roman" w:cs="Times New Roman"/>
                <w:sz w:val="24"/>
                <w:szCs w:val="24"/>
              </w:rPr>
            </w:pPr>
          </w:p>
        </w:tc>
        <w:tc>
          <w:tcPr>
            <w:tcW w:w="4788" w:type="dxa"/>
          </w:tcPr>
          <w:p w:rsidR="00EE322C" w:rsidRDefault="00EE322C" w:rsidP="002602CA">
            <w:pPr>
              <w:jc w:val="both"/>
              <w:rPr>
                <w:rFonts w:ascii="Times New Roman" w:hAnsi="Times New Roman" w:cs="Times New Roman"/>
                <w:sz w:val="24"/>
                <w:szCs w:val="24"/>
              </w:rPr>
            </w:pPr>
          </w:p>
        </w:tc>
      </w:tr>
      <w:tr w:rsidR="00EE322C" w:rsidTr="00AC74BC">
        <w:tc>
          <w:tcPr>
            <w:tcW w:w="4788" w:type="dxa"/>
          </w:tcPr>
          <w:p w:rsidR="00EE322C" w:rsidRDefault="00EE322C" w:rsidP="00EE322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E322C" w:rsidRDefault="00EE322C" w:rsidP="00F84545">
            <w:pPr>
              <w:jc w:val="both"/>
              <w:rPr>
                <w:rFonts w:ascii="Times New Roman" w:hAnsi="Times New Roman" w:cs="Times New Roman"/>
                <w:sz w:val="24"/>
                <w:szCs w:val="24"/>
              </w:rPr>
            </w:pPr>
          </w:p>
          <w:p w:rsidR="00AC74BC" w:rsidRDefault="00AC74BC" w:rsidP="00F84545">
            <w:pPr>
              <w:jc w:val="both"/>
              <w:rPr>
                <w:rFonts w:ascii="Times New Roman" w:hAnsi="Times New Roman" w:cs="Times New Roman"/>
                <w:sz w:val="24"/>
                <w:szCs w:val="24"/>
              </w:rPr>
            </w:pPr>
          </w:p>
        </w:tc>
        <w:tc>
          <w:tcPr>
            <w:tcW w:w="4788" w:type="dxa"/>
          </w:tcPr>
          <w:p w:rsidR="009464EE" w:rsidRDefault="009464EE" w:rsidP="00F84545">
            <w:pPr>
              <w:jc w:val="both"/>
              <w:rPr>
                <w:rFonts w:ascii="Times New Roman" w:hAnsi="Times New Roman" w:cs="Times New Roman"/>
                <w:sz w:val="24"/>
                <w:szCs w:val="24"/>
              </w:rPr>
            </w:pPr>
          </w:p>
        </w:tc>
      </w:tr>
    </w:tbl>
    <w:p w:rsidR="00EE322C" w:rsidRPr="001E20DF" w:rsidRDefault="00EE322C" w:rsidP="00685FB0">
      <w:pPr>
        <w:spacing w:after="0" w:line="480" w:lineRule="auto"/>
        <w:jc w:val="both"/>
        <w:rPr>
          <w:rFonts w:ascii="Times New Roman" w:hAnsi="Times New Roman" w:cs="Times New Roman"/>
          <w:sz w:val="24"/>
          <w:szCs w:val="24"/>
        </w:rPr>
      </w:pPr>
    </w:p>
    <w:sectPr w:rsidR="00EE322C" w:rsidRPr="001E20DF" w:rsidSect="00ED04D0">
      <w:headerReference w:type="even" r:id="rId14"/>
      <w:headerReference w:type="default" r:id="rId15"/>
      <w:footerReference w:type="even" r:id="rId16"/>
      <w:footerReference w:type="default" r:id="rId17"/>
      <w:headerReference w:type="first" r:id="rId18"/>
      <w:footerReference w:type="first" r:id="rId19"/>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C2" w:rsidRDefault="00F542C2" w:rsidP="00694CE5">
      <w:pPr>
        <w:spacing w:after="0" w:line="240" w:lineRule="auto"/>
      </w:pPr>
      <w:r>
        <w:separator/>
      </w:r>
    </w:p>
  </w:endnote>
  <w:endnote w:type="continuationSeparator" w:id="0">
    <w:p w:rsidR="00F542C2" w:rsidRDefault="00F542C2" w:rsidP="0069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6" w:rsidRDefault="007E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E5" w:rsidRPr="007F1E22" w:rsidRDefault="00ED04D0" w:rsidP="00694CE5">
    <w:pPr>
      <w:pStyle w:val="Footer"/>
      <w:jc w:val="center"/>
      <w:rPr>
        <w:rFonts w:ascii="Times New Roman" w:hAnsi="Times New Roman" w:cs="Times New Roman"/>
        <w:sz w:val="20"/>
        <w:szCs w:val="20"/>
      </w:rPr>
    </w:pPr>
    <w:r w:rsidRPr="007F1E22">
      <w:rPr>
        <w:rFonts w:ascii="Times New Roman" w:hAnsi="Times New Roman" w:cs="Times New Roman"/>
        <w:sz w:val="20"/>
        <w:szCs w:val="20"/>
      </w:rPr>
      <w:fldChar w:fldCharType="begin"/>
    </w:r>
    <w:r w:rsidRPr="007F1E22">
      <w:rPr>
        <w:rFonts w:ascii="Times New Roman" w:hAnsi="Times New Roman" w:cs="Times New Roman"/>
        <w:sz w:val="20"/>
        <w:szCs w:val="20"/>
      </w:rPr>
      <w:instrText xml:space="preserve"> PAGE   \* MERGEFORMAT </w:instrText>
    </w:r>
    <w:r w:rsidRPr="007F1E22">
      <w:rPr>
        <w:rFonts w:ascii="Times New Roman" w:hAnsi="Times New Roman" w:cs="Times New Roman"/>
        <w:sz w:val="20"/>
        <w:szCs w:val="20"/>
      </w:rPr>
      <w:fldChar w:fldCharType="separate"/>
    </w:r>
    <w:r w:rsidR="007E7B06">
      <w:rPr>
        <w:rFonts w:ascii="Times New Roman" w:hAnsi="Times New Roman" w:cs="Times New Roman"/>
        <w:noProof/>
        <w:sz w:val="20"/>
        <w:szCs w:val="20"/>
      </w:rPr>
      <w:t>2</w:t>
    </w:r>
    <w:r w:rsidRPr="007F1E22">
      <w:rPr>
        <w:rFonts w:ascii="Times New Roman" w:hAnsi="Times New Roman" w:cs="Times New Roman"/>
        <w:noProof/>
        <w:sz w:val="20"/>
        <w:szCs w:val="20"/>
      </w:rPr>
      <w:fldChar w:fldCharType="end"/>
    </w:r>
  </w:p>
  <w:p w:rsidR="00694CE5" w:rsidRDefault="00694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6" w:rsidRDefault="007E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C2" w:rsidRDefault="00F542C2" w:rsidP="00694CE5">
      <w:pPr>
        <w:spacing w:after="0" w:line="240" w:lineRule="auto"/>
      </w:pPr>
      <w:r>
        <w:separator/>
      </w:r>
    </w:p>
  </w:footnote>
  <w:footnote w:type="continuationSeparator" w:id="0">
    <w:p w:rsidR="00F542C2" w:rsidRDefault="00F542C2" w:rsidP="00694CE5">
      <w:pPr>
        <w:spacing w:after="0" w:line="240" w:lineRule="auto"/>
      </w:pPr>
      <w:r>
        <w:continuationSeparator/>
      </w:r>
    </w:p>
  </w:footnote>
  <w:footnote w:id="1">
    <w:p w:rsidR="0099394B" w:rsidRPr="00DE2B78" w:rsidRDefault="0099394B">
      <w:pPr>
        <w:pStyle w:val="FootnoteText"/>
      </w:pPr>
      <w:r>
        <w:rPr>
          <w:rStyle w:val="FootnoteReference"/>
        </w:rPr>
        <w:footnoteRef/>
      </w:r>
      <w:r>
        <w:t xml:space="preserve"> </w:t>
      </w:r>
      <w:r w:rsidR="00EA24D3">
        <w:rPr>
          <w:i/>
        </w:rPr>
        <w:t>In the Matter of the application of Duke Energy Ohio for Authority to Establish a Standard Service Offer Pursuant to Section 4928.143, Revised Code, in the Form of an Electric Security Plan, Accounting Modifications and Tariffs for Generation Service</w:t>
      </w:r>
      <w:r w:rsidR="00EA24D3">
        <w:t xml:space="preserve">, Case No. 11-3549-EL-SSO, </w:t>
      </w:r>
      <w:r w:rsidR="00EA24D3">
        <w:rPr>
          <w:i/>
        </w:rPr>
        <w:t>et al.</w:t>
      </w:r>
      <w:r w:rsidR="00EA24D3">
        <w:t>, Stipulation and Recommendation, VIII.A. (October 24, 2011) and Opinion and Order, pp. 29-31, 45-46 (November 22, 2011).</w:t>
      </w:r>
    </w:p>
  </w:footnote>
  <w:footnote w:id="2">
    <w:p w:rsidR="00422FE2" w:rsidRPr="00422FE2" w:rsidRDefault="00422FE2">
      <w:pPr>
        <w:pStyle w:val="FootnoteText"/>
      </w:pPr>
      <w:r>
        <w:rPr>
          <w:rStyle w:val="FootnoteReference"/>
        </w:rPr>
        <w:footnoteRef/>
      </w:r>
      <w:r>
        <w:t xml:space="preserve"> </w:t>
      </w:r>
      <w:r>
        <w:rPr>
          <w:i/>
        </w:rPr>
        <w:t xml:space="preserve">See </w:t>
      </w:r>
      <w:r>
        <w:t>R.C. 4928.17(A).</w:t>
      </w:r>
    </w:p>
  </w:footnote>
  <w:footnote w:id="3">
    <w:p w:rsidR="00660059" w:rsidRDefault="00660059">
      <w:pPr>
        <w:pStyle w:val="FootnoteText"/>
      </w:pPr>
      <w:r>
        <w:rPr>
          <w:rStyle w:val="FootnoteReference"/>
        </w:rPr>
        <w:footnoteRef/>
      </w:r>
      <w:r>
        <w:t xml:space="preserve"> R.C. 4928.17(A) and (C).</w:t>
      </w:r>
    </w:p>
  </w:footnote>
  <w:footnote w:id="4">
    <w:p w:rsidR="009D332C" w:rsidRDefault="009D332C">
      <w:pPr>
        <w:pStyle w:val="FootnoteText"/>
      </w:pPr>
      <w:r>
        <w:rPr>
          <w:rStyle w:val="FootnoteReference"/>
        </w:rPr>
        <w:footnoteRef/>
      </w:r>
      <w:r>
        <w:t xml:space="preserve"> </w:t>
      </w:r>
      <w:r w:rsidR="002F500C">
        <w:rPr>
          <w:i/>
        </w:rPr>
        <w:t xml:space="preserve">In the Matter of the Application of FirstEnergy Corp. on Behalf of Ohio Edison Company, The Cleveland Electric Illuminating Company, and The Toledo Edison Company for Approval of Their Transition Plans and for Authorization to Collect Transition </w:t>
      </w:r>
      <w:r w:rsidR="002F500C" w:rsidRPr="002F500C">
        <w:rPr>
          <w:i/>
        </w:rPr>
        <w:t>Revenues</w:t>
      </w:r>
      <w:r w:rsidR="002F500C">
        <w:t xml:space="preserve">, Case No. 99-1212-EL-ETP, </w:t>
      </w:r>
      <w:r w:rsidR="002F500C">
        <w:rPr>
          <w:i/>
        </w:rPr>
        <w:t>et al.</w:t>
      </w:r>
      <w:r w:rsidR="002F500C">
        <w:t xml:space="preserve">, at pg. </w:t>
      </w:r>
      <w:r w:rsidR="00E901EB" w:rsidRPr="002F500C">
        <w:t>66</w:t>
      </w:r>
      <w:r w:rsidR="002F500C">
        <w:t xml:space="preserve"> </w:t>
      </w:r>
      <w:r>
        <w:t>(July 19, 2000).</w:t>
      </w:r>
    </w:p>
  </w:footnote>
  <w:footnote w:id="5">
    <w:p w:rsidR="00F52001" w:rsidRDefault="00F52001">
      <w:pPr>
        <w:pStyle w:val="FootnoteText"/>
      </w:pPr>
      <w:r>
        <w:rPr>
          <w:rStyle w:val="FootnoteReference"/>
        </w:rPr>
        <w:footnoteRef/>
      </w:r>
      <w:r>
        <w:t xml:space="preserve"> O.A.C. 4901:1-37-01(G).</w:t>
      </w:r>
    </w:p>
  </w:footnote>
  <w:footnote w:id="6">
    <w:p w:rsidR="00332266" w:rsidRDefault="00332266">
      <w:pPr>
        <w:pStyle w:val="FootnoteText"/>
      </w:pPr>
      <w:r>
        <w:rPr>
          <w:rStyle w:val="FootnoteReference"/>
        </w:rPr>
        <w:footnoteRef/>
      </w:r>
      <w:r>
        <w:t xml:space="preserve"> </w:t>
      </w:r>
      <w:r>
        <w:rPr>
          <w:i/>
        </w:rPr>
        <w:t>See, e.g.</w:t>
      </w:r>
      <w:r>
        <w:t>,</w:t>
      </w:r>
      <w:r>
        <w:rPr>
          <w:i/>
        </w:rPr>
        <w:t xml:space="preserve"> </w:t>
      </w:r>
      <w:r w:rsidR="004766F4">
        <w:rPr>
          <w:i/>
        </w:rPr>
        <w:t>In the Matter of the Commission’s Investigation of Ohio’s Retail Electric Service Market</w:t>
      </w:r>
      <w:r w:rsidR="004766F4">
        <w:t xml:space="preserve">, Case No. 12-3151-EL-COI, </w:t>
      </w:r>
      <w:r w:rsidR="004766F4">
        <w:rPr>
          <w:i/>
        </w:rPr>
        <w:t xml:space="preserve"> </w:t>
      </w:r>
      <w:r>
        <w:t>Direct Energy Reply Comments, at pg. 2 (February 20,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6" w:rsidRDefault="007E7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6" w:rsidRDefault="007E7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6" w:rsidRDefault="007E7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2"/>
    <w:multiLevelType w:val="hybridMultilevel"/>
    <w:tmpl w:val="45E8652A"/>
    <w:lvl w:ilvl="0" w:tplc="D1C657E0">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64A6E"/>
    <w:multiLevelType w:val="hybridMultilevel"/>
    <w:tmpl w:val="57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A3E07"/>
    <w:multiLevelType w:val="hybridMultilevel"/>
    <w:tmpl w:val="B2E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96B52"/>
    <w:multiLevelType w:val="multilevel"/>
    <w:tmpl w:val="BCEA042A"/>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614E4175"/>
    <w:multiLevelType w:val="multilevel"/>
    <w:tmpl w:val="BCEA042A"/>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7E9021FB"/>
    <w:multiLevelType w:val="hybridMultilevel"/>
    <w:tmpl w:val="BCC6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4A"/>
    <w:rsid w:val="000005F6"/>
    <w:rsid w:val="00011878"/>
    <w:rsid w:val="00023816"/>
    <w:rsid w:val="00027BE1"/>
    <w:rsid w:val="00031DFC"/>
    <w:rsid w:val="00036C42"/>
    <w:rsid w:val="00037BB6"/>
    <w:rsid w:val="00065C8D"/>
    <w:rsid w:val="00070FC0"/>
    <w:rsid w:val="00073692"/>
    <w:rsid w:val="000A75C1"/>
    <w:rsid w:val="000C3926"/>
    <w:rsid w:val="000E0F2A"/>
    <w:rsid w:val="000E1D4A"/>
    <w:rsid w:val="000E635E"/>
    <w:rsid w:val="000F58C6"/>
    <w:rsid w:val="00106D60"/>
    <w:rsid w:val="00111C31"/>
    <w:rsid w:val="0015355D"/>
    <w:rsid w:val="001725ED"/>
    <w:rsid w:val="0017340D"/>
    <w:rsid w:val="00180651"/>
    <w:rsid w:val="001928C0"/>
    <w:rsid w:val="00196373"/>
    <w:rsid w:val="001A609C"/>
    <w:rsid w:val="001D22F5"/>
    <w:rsid w:val="001E123E"/>
    <w:rsid w:val="001E20DF"/>
    <w:rsid w:val="002336AB"/>
    <w:rsid w:val="00243E35"/>
    <w:rsid w:val="0025681E"/>
    <w:rsid w:val="002602CA"/>
    <w:rsid w:val="002642A4"/>
    <w:rsid w:val="00265367"/>
    <w:rsid w:val="00265FFC"/>
    <w:rsid w:val="00282229"/>
    <w:rsid w:val="0028518B"/>
    <w:rsid w:val="002921AC"/>
    <w:rsid w:val="00296014"/>
    <w:rsid w:val="002D1EE4"/>
    <w:rsid w:val="002D690B"/>
    <w:rsid w:val="002E3540"/>
    <w:rsid w:val="002F500C"/>
    <w:rsid w:val="00300549"/>
    <w:rsid w:val="003018D9"/>
    <w:rsid w:val="00311F2B"/>
    <w:rsid w:val="0031529E"/>
    <w:rsid w:val="003253C3"/>
    <w:rsid w:val="0033010D"/>
    <w:rsid w:val="00332266"/>
    <w:rsid w:val="0034498F"/>
    <w:rsid w:val="00344C2E"/>
    <w:rsid w:val="00374AD3"/>
    <w:rsid w:val="00385FFB"/>
    <w:rsid w:val="0039297B"/>
    <w:rsid w:val="00392D9D"/>
    <w:rsid w:val="00393FB5"/>
    <w:rsid w:val="003978D1"/>
    <w:rsid w:val="003A45FD"/>
    <w:rsid w:val="003C63F4"/>
    <w:rsid w:val="003D7CC4"/>
    <w:rsid w:val="003E75DF"/>
    <w:rsid w:val="003F733E"/>
    <w:rsid w:val="004064B4"/>
    <w:rsid w:val="00422FE2"/>
    <w:rsid w:val="00431B1F"/>
    <w:rsid w:val="0044502D"/>
    <w:rsid w:val="00447EBC"/>
    <w:rsid w:val="0045698F"/>
    <w:rsid w:val="004766F4"/>
    <w:rsid w:val="004802A9"/>
    <w:rsid w:val="00483B12"/>
    <w:rsid w:val="004909E4"/>
    <w:rsid w:val="004B5713"/>
    <w:rsid w:val="004D1456"/>
    <w:rsid w:val="004F030C"/>
    <w:rsid w:val="004F79FB"/>
    <w:rsid w:val="00501F54"/>
    <w:rsid w:val="00507F59"/>
    <w:rsid w:val="00510E4B"/>
    <w:rsid w:val="0051301A"/>
    <w:rsid w:val="00515FD3"/>
    <w:rsid w:val="0051756C"/>
    <w:rsid w:val="00524CFF"/>
    <w:rsid w:val="00532A11"/>
    <w:rsid w:val="00553760"/>
    <w:rsid w:val="0056683F"/>
    <w:rsid w:val="00580592"/>
    <w:rsid w:val="0059203D"/>
    <w:rsid w:val="005958BA"/>
    <w:rsid w:val="005A0EFD"/>
    <w:rsid w:val="005B0176"/>
    <w:rsid w:val="005C0536"/>
    <w:rsid w:val="005C7850"/>
    <w:rsid w:val="005D39E5"/>
    <w:rsid w:val="005D67F6"/>
    <w:rsid w:val="00641C45"/>
    <w:rsid w:val="00647094"/>
    <w:rsid w:val="00651166"/>
    <w:rsid w:val="00660059"/>
    <w:rsid w:val="006668DF"/>
    <w:rsid w:val="00667D43"/>
    <w:rsid w:val="00682B7D"/>
    <w:rsid w:val="00685FB0"/>
    <w:rsid w:val="00694CE5"/>
    <w:rsid w:val="006A08E4"/>
    <w:rsid w:val="006A3FF0"/>
    <w:rsid w:val="006A4552"/>
    <w:rsid w:val="006C1122"/>
    <w:rsid w:val="006C6181"/>
    <w:rsid w:val="006D4A7D"/>
    <w:rsid w:val="006D5DE6"/>
    <w:rsid w:val="006E07E6"/>
    <w:rsid w:val="006F368D"/>
    <w:rsid w:val="00704C47"/>
    <w:rsid w:val="00714267"/>
    <w:rsid w:val="007147AA"/>
    <w:rsid w:val="00725F98"/>
    <w:rsid w:val="007306C4"/>
    <w:rsid w:val="0073760E"/>
    <w:rsid w:val="00743FE4"/>
    <w:rsid w:val="00747974"/>
    <w:rsid w:val="007514E2"/>
    <w:rsid w:val="00754B64"/>
    <w:rsid w:val="00781BF7"/>
    <w:rsid w:val="0079787C"/>
    <w:rsid w:val="007B0287"/>
    <w:rsid w:val="007B16AF"/>
    <w:rsid w:val="007B2EFD"/>
    <w:rsid w:val="007C33E1"/>
    <w:rsid w:val="007E0CFC"/>
    <w:rsid w:val="007E2398"/>
    <w:rsid w:val="007E7B06"/>
    <w:rsid w:val="007F12DC"/>
    <w:rsid w:val="007F1E22"/>
    <w:rsid w:val="007F5E83"/>
    <w:rsid w:val="007F6BF6"/>
    <w:rsid w:val="00801A94"/>
    <w:rsid w:val="00807B38"/>
    <w:rsid w:val="00810983"/>
    <w:rsid w:val="00843E6F"/>
    <w:rsid w:val="00844F0E"/>
    <w:rsid w:val="00845ACF"/>
    <w:rsid w:val="00850C1A"/>
    <w:rsid w:val="0086115D"/>
    <w:rsid w:val="00871241"/>
    <w:rsid w:val="00872364"/>
    <w:rsid w:val="00876886"/>
    <w:rsid w:val="00885BB8"/>
    <w:rsid w:val="00885D92"/>
    <w:rsid w:val="008A2997"/>
    <w:rsid w:val="008A60A0"/>
    <w:rsid w:val="008B5052"/>
    <w:rsid w:val="008E481D"/>
    <w:rsid w:val="008F5E58"/>
    <w:rsid w:val="009038C7"/>
    <w:rsid w:val="009263B1"/>
    <w:rsid w:val="009464EE"/>
    <w:rsid w:val="0095086D"/>
    <w:rsid w:val="00952DDD"/>
    <w:rsid w:val="00955DEA"/>
    <w:rsid w:val="0096376B"/>
    <w:rsid w:val="009712CD"/>
    <w:rsid w:val="00981AAE"/>
    <w:rsid w:val="00991484"/>
    <w:rsid w:val="00993088"/>
    <w:rsid w:val="0099394B"/>
    <w:rsid w:val="00996DC0"/>
    <w:rsid w:val="009A50F0"/>
    <w:rsid w:val="009A78CF"/>
    <w:rsid w:val="009C2756"/>
    <w:rsid w:val="009C59BC"/>
    <w:rsid w:val="009D332C"/>
    <w:rsid w:val="009D3C10"/>
    <w:rsid w:val="009D4411"/>
    <w:rsid w:val="009E3140"/>
    <w:rsid w:val="009E650A"/>
    <w:rsid w:val="009E7DBE"/>
    <w:rsid w:val="009F54CB"/>
    <w:rsid w:val="009F7FA4"/>
    <w:rsid w:val="00A034B4"/>
    <w:rsid w:val="00A2706E"/>
    <w:rsid w:val="00A276F8"/>
    <w:rsid w:val="00A32B35"/>
    <w:rsid w:val="00A35FAC"/>
    <w:rsid w:val="00A3673D"/>
    <w:rsid w:val="00A40914"/>
    <w:rsid w:val="00A511D5"/>
    <w:rsid w:val="00A64FCD"/>
    <w:rsid w:val="00A72068"/>
    <w:rsid w:val="00A826AA"/>
    <w:rsid w:val="00A97CD1"/>
    <w:rsid w:val="00AC52FA"/>
    <w:rsid w:val="00AC6B54"/>
    <w:rsid w:val="00AC74BC"/>
    <w:rsid w:val="00AE7829"/>
    <w:rsid w:val="00B0634D"/>
    <w:rsid w:val="00B11B58"/>
    <w:rsid w:val="00B153B0"/>
    <w:rsid w:val="00B15714"/>
    <w:rsid w:val="00B254F8"/>
    <w:rsid w:val="00B30CE1"/>
    <w:rsid w:val="00B44B65"/>
    <w:rsid w:val="00B47903"/>
    <w:rsid w:val="00B506F5"/>
    <w:rsid w:val="00B50E78"/>
    <w:rsid w:val="00B66CA4"/>
    <w:rsid w:val="00B7233D"/>
    <w:rsid w:val="00B9161E"/>
    <w:rsid w:val="00B92872"/>
    <w:rsid w:val="00BB5BC2"/>
    <w:rsid w:val="00BC070C"/>
    <w:rsid w:val="00BD1CED"/>
    <w:rsid w:val="00BD1EBF"/>
    <w:rsid w:val="00BD5059"/>
    <w:rsid w:val="00BE5585"/>
    <w:rsid w:val="00BE6410"/>
    <w:rsid w:val="00BE7536"/>
    <w:rsid w:val="00BF22B4"/>
    <w:rsid w:val="00BF39DC"/>
    <w:rsid w:val="00C22080"/>
    <w:rsid w:val="00C33B95"/>
    <w:rsid w:val="00C47F99"/>
    <w:rsid w:val="00C526A2"/>
    <w:rsid w:val="00C54BDF"/>
    <w:rsid w:val="00C642A5"/>
    <w:rsid w:val="00C73012"/>
    <w:rsid w:val="00C77057"/>
    <w:rsid w:val="00C861BC"/>
    <w:rsid w:val="00C9408C"/>
    <w:rsid w:val="00CB2941"/>
    <w:rsid w:val="00CC1EA6"/>
    <w:rsid w:val="00CD52D2"/>
    <w:rsid w:val="00CE18BC"/>
    <w:rsid w:val="00CE59FC"/>
    <w:rsid w:val="00D056AF"/>
    <w:rsid w:val="00D07D95"/>
    <w:rsid w:val="00D10E00"/>
    <w:rsid w:val="00D11A55"/>
    <w:rsid w:val="00D17EC3"/>
    <w:rsid w:val="00D17F84"/>
    <w:rsid w:val="00D23DBF"/>
    <w:rsid w:val="00D27DDA"/>
    <w:rsid w:val="00D34102"/>
    <w:rsid w:val="00D44EBE"/>
    <w:rsid w:val="00D52F09"/>
    <w:rsid w:val="00D62825"/>
    <w:rsid w:val="00D654BD"/>
    <w:rsid w:val="00D72B60"/>
    <w:rsid w:val="00D91094"/>
    <w:rsid w:val="00D929A1"/>
    <w:rsid w:val="00DA16A6"/>
    <w:rsid w:val="00DA1A23"/>
    <w:rsid w:val="00DA7F26"/>
    <w:rsid w:val="00DB207D"/>
    <w:rsid w:val="00DB7C0A"/>
    <w:rsid w:val="00DC0F80"/>
    <w:rsid w:val="00DC1039"/>
    <w:rsid w:val="00DC3EFB"/>
    <w:rsid w:val="00DC6D95"/>
    <w:rsid w:val="00DE2B78"/>
    <w:rsid w:val="00DF2F43"/>
    <w:rsid w:val="00DF55ED"/>
    <w:rsid w:val="00DF570E"/>
    <w:rsid w:val="00E053E6"/>
    <w:rsid w:val="00E05B2B"/>
    <w:rsid w:val="00E06494"/>
    <w:rsid w:val="00E15FD1"/>
    <w:rsid w:val="00E22666"/>
    <w:rsid w:val="00E35145"/>
    <w:rsid w:val="00E366C0"/>
    <w:rsid w:val="00E4033B"/>
    <w:rsid w:val="00E4529C"/>
    <w:rsid w:val="00E5761B"/>
    <w:rsid w:val="00E66A4C"/>
    <w:rsid w:val="00E66DC3"/>
    <w:rsid w:val="00E809D3"/>
    <w:rsid w:val="00E83BA1"/>
    <w:rsid w:val="00E86F27"/>
    <w:rsid w:val="00E901EB"/>
    <w:rsid w:val="00E9253A"/>
    <w:rsid w:val="00E97EF1"/>
    <w:rsid w:val="00EA1CFD"/>
    <w:rsid w:val="00EA24D3"/>
    <w:rsid w:val="00EA6E18"/>
    <w:rsid w:val="00EB7D99"/>
    <w:rsid w:val="00ED04D0"/>
    <w:rsid w:val="00ED3D68"/>
    <w:rsid w:val="00EE0748"/>
    <w:rsid w:val="00EE322C"/>
    <w:rsid w:val="00EF0BDB"/>
    <w:rsid w:val="00F02B3C"/>
    <w:rsid w:val="00F14EA2"/>
    <w:rsid w:val="00F152DD"/>
    <w:rsid w:val="00F32E01"/>
    <w:rsid w:val="00F52001"/>
    <w:rsid w:val="00F53B77"/>
    <w:rsid w:val="00F542C2"/>
    <w:rsid w:val="00F70A80"/>
    <w:rsid w:val="00F711C7"/>
    <w:rsid w:val="00F93F1D"/>
    <w:rsid w:val="00F96638"/>
    <w:rsid w:val="00FA0939"/>
    <w:rsid w:val="00FB5E2F"/>
    <w:rsid w:val="00FB771A"/>
    <w:rsid w:val="00FD6C7E"/>
    <w:rsid w:val="00FF58DE"/>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2"/>
  </w:style>
  <w:style w:type="paragraph" w:styleId="Heading1">
    <w:name w:val="heading 1"/>
    <w:basedOn w:val="Normal"/>
    <w:next w:val="Normal"/>
    <w:link w:val="Heading1Char"/>
    <w:uiPriority w:val="9"/>
    <w:qFormat/>
    <w:rsid w:val="00685FB0"/>
    <w:pPr>
      <w:keepNext/>
      <w:keepLines/>
      <w:numPr>
        <w:numId w:val="2"/>
      </w:numPr>
      <w:tabs>
        <w:tab w:val="left" w:pos="720"/>
      </w:tabs>
      <w:spacing w:after="0" w:line="240" w:lineRule="auto"/>
      <w:outlineLvl w:val="0"/>
    </w:pPr>
    <w:rPr>
      <w:rFonts w:ascii="Calibri" w:eastAsiaTheme="majorEastAsia" w:hAnsi="Calibr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7F99"/>
    <w:pPr>
      <w:ind w:left="720"/>
      <w:contextualSpacing/>
    </w:pPr>
  </w:style>
  <w:style w:type="character" w:customStyle="1" w:styleId="Heading1Char">
    <w:name w:val="Heading 1 Char"/>
    <w:basedOn w:val="DefaultParagraphFont"/>
    <w:link w:val="Heading1"/>
    <w:uiPriority w:val="9"/>
    <w:rsid w:val="00685FB0"/>
    <w:rPr>
      <w:rFonts w:ascii="Calibri" w:eastAsiaTheme="majorEastAsia" w:hAnsi="Calibri" w:cstheme="majorBidi"/>
      <w:b/>
      <w:bCs/>
      <w:color w:val="000000" w:themeColor="text1"/>
      <w:szCs w:val="28"/>
    </w:rPr>
  </w:style>
  <w:style w:type="paragraph" w:styleId="Title">
    <w:name w:val="Title"/>
    <w:basedOn w:val="Normal"/>
    <w:link w:val="TitleChar"/>
    <w:qFormat/>
    <w:rsid w:val="00685FB0"/>
    <w:pPr>
      <w:keepNext/>
      <w:keepLines/>
      <w:suppressAutoHyphens/>
      <w:spacing w:before="120" w:after="280" w:line="240" w:lineRule="auto"/>
      <w:jc w:val="center"/>
    </w:pPr>
    <w:rPr>
      <w:rFonts w:ascii="Times New Roman" w:eastAsia="Times New Roman" w:hAnsi="Times New Roman" w:cs="Times New Roman"/>
      <w:b/>
      <w:caps/>
      <w:sz w:val="32"/>
      <w:szCs w:val="20"/>
    </w:rPr>
  </w:style>
  <w:style w:type="character" w:customStyle="1" w:styleId="TitleChar">
    <w:name w:val="Title Char"/>
    <w:basedOn w:val="DefaultParagraphFont"/>
    <w:link w:val="Title"/>
    <w:rsid w:val="00685FB0"/>
    <w:rPr>
      <w:rFonts w:ascii="Times New Roman" w:eastAsia="Times New Roman" w:hAnsi="Times New Roman" w:cs="Times New Roman"/>
      <w:b/>
      <w:caps/>
      <w:sz w:val="32"/>
      <w:szCs w:val="20"/>
    </w:rPr>
  </w:style>
  <w:style w:type="character" w:styleId="Hyperlink">
    <w:name w:val="Hyperlink"/>
    <w:basedOn w:val="DefaultParagraphFont"/>
    <w:uiPriority w:val="99"/>
    <w:unhideWhenUsed/>
    <w:rsid w:val="00685FB0"/>
    <w:rPr>
      <w:color w:val="0000FF" w:themeColor="hyperlink"/>
      <w:u w:val="single"/>
    </w:rPr>
  </w:style>
  <w:style w:type="paragraph" w:styleId="Header">
    <w:name w:val="header"/>
    <w:basedOn w:val="Normal"/>
    <w:link w:val="HeaderChar"/>
    <w:unhideWhenUsed/>
    <w:rsid w:val="00685F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F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1E"/>
    <w:rPr>
      <w:rFonts w:ascii="Tahoma" w:hAnsi="Tahoma" w:cs="Tahoma"/>
      <w:sz w:val="16"/>
      <w:szCs w:val="16"/>
    </w:rPr>
  </w:style>
  <w:style w:type="paragraph" w:styleId="Footer">
    <w:name w:val="footer"/>
    <w:basedOn w:val="Normal"/>
    <w:link w:val="FooterChar"/>
    <w:uiPriority w:val="99"/>
    <w:unhideWhenUsed/>
    <w:rsid w:val="0069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E5"/>
  </w:style>
  <w:style w:type="character" w:styleId="CommentReference">
    <w:name w:val="annotation reference"/>
    <w:basedOn w:val="DefaultParagraphFont"/>
    <w:uiPriority w:val="99"/>
    <w:semiHidden/>
    <w:unhideWhenUsed/>
    <w:rsid w:val="0056683F"/>
    <w:rPr>
      <w:sz w:val="16"/>
      <w:szCs w:val="16"/>
    </w:rPr>
  </w:style>
  <w:style w:type="paragraph" w:styleId="CommentText">
    <w:name w:val="annotation text"/>
    <w:basedOn w:val="Normal"/>
    <w:link w:val="CommentTextChar"/>
    <w:uiPriority w:val="99"/>
    <w:semiHidden/>
    <w:unhideWhenUsed/>
    <w:rsid w:val="0056683F"/>
    <w:pPr>
      <w:spacing w:line="240" w:lineRule="auto"/>
    </w:pPr>
    <w:rPr>
      <w:sz w:val="20"/>
      <w:szCs w:val="20"/>
    </w:rPr>
  </w:style>
  <w:style w:type="character" w:customStyle="1" w:styleId="CommentTextChar">
    <w:name w:val="Comment Text Char"/>
    <w:basedOn w:val="DefaultParagraphFont"/>
    <w:link w:val="CommentText"/>
    <w:uiPriority w:val="99"/>
    <w:semiHidden/>
    <w:rsid w:val="0056683F"/>
    <w:rPr>
      <w:sz w:val="20"/>
      <w:szCs w:val="20"/>
    </w:rPr>
  </w:style>
  <w:style w:type="paragraph" w:styleId="CommentSubject">
    <w:name w:val="annotation subject"/>
    <w:basedOn w:val="CommentText"/>
    <w:next w:val="CommentText"/>
    <w:link w:val="CommentSubjectChar"/>
    <w:uiPriority w:val="99"/>
    <w:semiHidden/>
    <w:unhideWhenUsed/>
    <w:rsid w:val="0056683F"/>
    <w:rPr>
      <w:b/>
      <w:bCs/>
    </w:rPr>
  </w:style>
  <w:style w:type="character" w:customStyle="1" w:styleId="CommentSubjectChar">
    <w:name w:val="Comment Subject Char"/>
    <w:basedOn w:val="CommentTextChar"/>
    <w:link w:val="CommentSubject"/>
    <w:uiPriority w:val="99"/>
    <w:semiHidden/>
    <w:rsid w:val="0056683F"/>
    <w:rPr>
      <w:b/>
      <w:bCs/>
      <w:sz w:val="20"/>
      <w:szCs w:val="20"/>
    </w:rPr>
  </w:style>
  <w:style w:type="paragraph" w:styleId="FootnoteText">
    <w:name w:val="footnote text"/>
    <w:basedOn w:val="Normal"/>
    <w:link w:val="FootnoteTextChar"/>
    <w:uiPriority w:val="99"/>
    <w:semiHidden/>
    <w:unhideWhenUsed/>
    <w:rsid w:val="00D72B60"/>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72B60"/>
    <w:rPr>
      <w:rFonts w:ascii="Times New Roman" w:hAnsi="Times New Roman"/>
      <w:sz w:val="20"/>
      <w:szCs w:val="20"/>
    </w:rPr>
  </w:style>
  <w:style w:type="character" w:styleId="FootnoteReference">
    <w:name w:val="footnote reference"/>
    <w:basedOn w:val="DefaultParagraphFont"/>
    <w:uiPriority w:val="99"/>
    <w:semiHidden/>
    <w:unhideWhenUsed/>
    <w:rsid w:val="006C1122"/>
    <w:rPr>
      <w:vertAlign w:val="superscript"/>
    </w:rPr>
  </w:style>
  <w:style w:type="paragraph" w:styleId="BodyTextIndent2">
    <w:name w:val="Body Text Indent 2"/>
    <w:basedOn w:val="Normal"/>
    <w:link w:val="BodyTextIndent2Char"/>
    <w:rsid w:val="00E4529C"/>
    <w:pPr>
      <w:spacing w:after="0" w:line="480" w:lineRule="auto"/>
      <w:ind w:firstLine="720"/>
      <w:jc w:val="both"/>
    </w:pPr>
    <w:rPr>
      <w:rFonts w:ascii="Palatino Linotype" w:eastAsia="Times New Roman" w:hAnsi="Palatino Linotype" w:cs="Times New Roman"/>
      <w:iCs/>
      <w:sz w:val="24"/>
      <w:szCs w:val="24"/>
    </w:rPr>
  </w:style>
  <w:style w:type="character" w:customStyle="1" w:styleId="BodyTextIndent2Char">
    <w:name w:val="Body Text Indent 2 Char"/>
    <w:basedOn w:val="DefaultParagraphFont"/>
    <w:link w:val="BodyTextIndent2"/>
    <w:rsid w:val="00E4529C"/>
    <w:rPr>
      <w:rFonts w:ascii="Palatino Linotype" w:eastAsia="Times New Roman" w:hAnsi="Palatino Linotype" w:cs="Times New Roman"/>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2"/>
  </w:style>
  <w:style w:type="paragraph" w:styleId="Heading1">
    <w:name w:val="heading 1"/>
    <w:basedOn w:val="Normal"/>
    <w:next w:val="Normal"/>
    <w:link w:val="Heading1Char"/>
    <w:uiPriority w:val="9"/>
    <w:qFormat/>
    <w:rsid w:val="00685FB0"/>
    <w:pPr>
      <w:keepNext/>
      <w:keepLines/>
      <w:numPr>
        <w:numId w:val="2"/>
      </w:numPr>
      <w:tabs>
        <w:tab w:val="left" w:pos="720"/>
      </w:tabs>
      <w:spacing w:after="0" w:line="240" w:lineRule="auto"/>
      <w:outlineLvl w:val="0"/>
    </w:pPr>
    <w:rPr>
      <w:rFonts w:ascii="Calibri" w:eastAsiaTheme="majorEastAsia" w:hAnsi="Calibr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7F99"/>
    <w:pPr>
      <w:ind w:left="720"/>
      <w:contextualSpacing/>
    </w:pPr>
  </w:style>
  <w:style w:type="character" w:customStyle="1" w:styleId="Heading1Char">
    <w:name w:val="Heading 1 Char"/>
    <w:basedOn w:val="DefaultParagraphFont"/>
    <w:link w:val="Heading1"/>
    <w:uiPriority w:val="9"/>
    <w:rsid w:val="00685FB0"/>
    <w:rPr>
      <w:rFonts w:ascii="Calibri" w:eastAsiaTheme="majorEastAsia" w:hAnsi="Calibri" w:cstheme="majorBidi"/>
      <w:b/>
      <w:bCs/>
      <w:color w:val="000000" w:themeColor="text1"/>
      <w:szCs w:val="28"/>
    </w:rPr>
  </w:style>
  <w:style w:type="paragraph" w:styleId="Title">
    <w:name w:val="Title"/>
    <w:basedOn w:val="Normal"/>
    <w:link w:val="TitleChar"/>
    <w:qFormat/>
    <w:rsid w:val="00685FB0"/>
    <w:pPr>
      <w:keepNext/>
      <w:keepLines/>
      <w:suppressAutoHyphens/>
      <w:spacing w:before="120" w:after="280" w:line="240" w:lineRule="auto"/>
      <w:jc w:val="center"/>
    </w:pPr>
    <w:rPr>
      <w:rFonts w:ascii="Times New Roman" w:eastAsia="Times New Roman" w:hAnsi="Times New Roman" w:cs="Times New Roman"/>
      <w:b/>
      <w:caps/>
      <w:sz w:val="32"/>
      <w:szCs w:val="20"/>
    </w:rPr>
  </w:style>
  <w:style w:type="character" w:customStyle="1" w:styleId="TitleChar">
    <w:name w:val="Title Char"/>
    <w:basedOn w:val="DefaultParagraphFont"/>
    <w:link w:val="Title"/>
    <w:rsid w:val="00685FB0"/>
    <w:rPr>
      <w:rFonts w:ascii="Times New Roman" w:eastAsia="Times New Roman" w:hAnsi="Times New Roman" w:cs="Times New Roman"/>
      <w:b/>
      <w:caps/>
      <w:sz w:val="32"/>
      <w:szCs w:val="20"/>
    </w:rPr>
  </w:style>
  <w:style w:type="character" w:styleId="Hyperlink">
    <w:name w:val="Hyperlink"/>
    <w:basedOn w:val="DefaultParagraphFont"/>
    <w:uiPriority w:val="99"/>
    <w:unhideWhenUsed/>
    <w:rsid w:val="00685FB0"/>
    <w:rPr>
      <w:color w:val="0000FF" w:themeColor="hyperlink"/>
      <w:u w:val="single"/>
    </w:rPr>
  </w:style>
  <w:style w:type="paragraph" w:styleId="Header">
    <w:name w:val="header"/>
    <w:basedOn w:val="Normal"/>
    <w:link w:val="HeaderChar"/>
    <w:unhideWhenUsed/>
    <w:rsid w:val="00685F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F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1E"/>
    <w:rPr>
      <w:rFonts w:ascii="Tahoma" w:hAnsi="Tahoma" w:cs="Tahoma"/>
      <w:sz w:val="16"/>
      <w:szCs w:val="16"/>
    </w:rPr>
  </w:style>
  <w:style w:type="paragraph" w:styleId="Footer">
    <w:name w:val="footer"/>
    <w:basedOn w:val="Normal"/>
    <w:link w:val="FooterChar"/>
    <w:uiPriority w:val="99"/>
    <w:unhideWhenUsed/>
    <w:rsid w:val="0069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E5"/>
  </w:style>
  <w:style w:type="character" w:styleId="CommentReference">
    <w:name w:val="annotation reference"/>
    <w:basedOn w:val="DefaultParagraphFont"/>
    <w:uiPriority w:val="99"/>
    <w:semiHidden/>
    <w:unhideWhenUsed/>
    <w:rsid w:val="0056683F"/>
    <w:rPr>
      <w:sz w:val="16"/>
      <w:szCs w:val="16"/>
    </w:rPr>
  </w:style>
  <w:style w:type="paragraph" w:styleId="CommentText">
    <w:name w:val="annotation text"/>
    <w:basedOn w:val="Normal"/>
    <w:link w:val="CommentTextChar"/>
    <w:uiPriority w:val="99"/>
    <w:semiHidden/>
    <w:unhideWhenUsed/>
    <w:rsid w:val="0056683F"/>
    <w:pPr>
      <w:spacing w:line="240" w:lineRule="auto"/>
    </w:pPr>
    <w:rPr>
      <w:sz w:val="20"/>
      <w:szCs w:val="20"/>
    </w:rPr>
  </w:style>
  <w:style w:type="character" w:customStyle="1" w:styleId="CommentTextChar">
    <w:name w:val="Comment Text Char"/>
    <w:basedOn w:val="DefaultParagraphFont"/>
    <w:link w:val="CommentText"/>
    <w:uiPriority w:val="99"/>
    <w:semiHidden/>
    <w:rsid w:val="0056683F"/>
    <w:rPr>
      <w:sz w:val="20"/>
      <w:szCs w:val="20"/>
    </w:rPr>
  </w:style>
  <w:style w:type="paragraph" w:styleId="CommentSubject">
    <w:name w:val="annotation subject"/>
    <w:basedOn w:val="CommentText"/>
    <w:next w:val="CommentText"/>
    <w:link w:val="CommentSubjectChar"/>
    <w:uiPriority w:val="99"/>
    <w:semiHidden/>
    <w:unhideWhenUsed/>
    <w:rsid w:val="0056683F"/>
    <w:rPr>
      <w:b/>
      <w:bCs/>
    </w:rPr>
  </w:style>
  <w:style w:type="character" w:customStyle="1" w:styleId="CommentSubjectChar">
    <w:name w:val="Comment Subject Char"/>
    <w:basedOn w:val="CommentTextChar"/>
    <w:link w:val="CommentSubject"/>
    <w:uiPriority w:val="99"/>
    <w:semiHidden/>
    <w:rsid w:val="0056683F"/>
    <w:rPr>
      <w:b/>
      <w:bCs/>
      <w:sz w:val="20"/>
      <w:szCs w:val="20"/>
    </w:rPr>
  </w:style>
  <w:style w:type="paragraph" w:styleId="FootnoteText">
    <w:name w:val="footnote text"/>
    <w:basedOn w:val="Normal"/>
    <w:link w:val="FootnoteTextChar"/>
    <w:uiPriority w:val="99"/>
    <w:semiHidden/>
    <w:unhideWhenUsed/>
    <w:rsid w:val="00D72B60"/>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72B60"/>
    <w:rPr>
      <w:rFonts w:ascii="Times New Roman" w:hAnsi="Times New Roman"/>
      <w:sz w:val="20"/>
      <w:szCs w:val="20"/>
    </w:rPr>
  </w:style>
  <w:style w:type="character" w:styleId="FootnoteReference">
    <w:name w:val="footnote reference"/>
    <w:basedOn w:val="DefaultParagraphFont"/>
    <w:uiPriority w:val="99"/>
    <w:semiHidden/>
    <w:unhideWhenUsed/>
    <w:rsid w:val="006C1122"/>
    <w:rPr>
      <w:vertAlign w:val="superscript"/>
    </w:rPr>
  </w:style>
  <w:style w:type="paragraph" w:styleId="BodyTextIndent2">
    <w:name w:val="Body Text Indent 2"/>
    <w:basedOn w:val="Normal"/>
    <w:link w:val="BodyTextIndent2Char"/>
    <w:rsid w:val="00E4529C"/>
    <w:pPr>
      <w:spacing w:after="0" w:line="480" w:lineRule="auto"/>
      <w:ind w:firstLine="720"/>
      <w:jc w:val="both"/>
    </w:pPr>
    <w:rPr>
      <w:rFonts w:ascii="Palatino Linotype" w:eastAsia="Times New Roman" w:hAnsi="Palatino Linotype" w:cs="Times New Roman"/>
      <w:iCs/>
      <w:sz w:val="24"/>
      <w:szCs w:val="24"/>
    </w:rPr>
  </w:style>
  <w:style w:type="character" w:customStyle="1" w:styleId="BodyTextIndent2Char">
    <w:name w:val="Body Text Indent 2 Char"/>
    <w:basedOn w:val="DefaultParagraphFont"/>
    <w:link w:val="BodyTextIndent2"/>
    <w:rsid w:val="00E4529C"/>
    <w:rPr>
      <w:rFonts w:ascii="Palatino Linotype" w:eastAsia="Times New Roman" w:hAnsi="Palatino Linotype"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5231">
      <w:bodyDiv w:val="1"/>
      <w:marLeft w:val="0"/>
      <w:marRight w:val="0"/>
      <w:marTop w:val="0"/>
      <w:marBottom w:val="0"/>
      <w:divBdr>
        <w:top w:val="none" w:sz="0" w:space="0" w:color="auto"/>
        <w:left w:val="none" w:sz="0" w:space="0" w:color="auto"/>
        <w:bottom w:val="none" w:sz="0" w:space="0" w:color="auto"/>
        <w:right w:val="none" w:sz="0" w:space="0" w:color="auto"/>
      </w:divBdr>
    </w:div>
    <w:div w:id="13645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Spiller@duke-energy.com" TargetMode="External"/><Relationship Id="rId13" Type="http://schemas.openxmlformats.org/officeDocument/2006/relationships/hyperlink" Target="mailto:Joseph.clark@directenergy.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swhite@igsenergy.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liker@igsenerg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Mcnamee@puc.state.oh.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anne.Kingery@duke-energ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1859</Words>
  <Characters>10600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2014-05-21T20:17:00Z</dcterms:created>
  <dcterms:modified xsi:type="dcterms:W3CDTF">2014-05-21T20:17:00Z</dcterms:modified>
</cp:coreProperties>
</file>