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2DA" w:rsidRPr="009D5E48" w:rsidRDefault="002052DA" w:rsidP="002052DA">
      <w:pPr>
        <w:tabs>
          <w:tab w:val="center" w:pos="4680"/>
          <w:tab w:val="right" w:pos="9360"/>
        </w:tabs>
        <w:spacing w:line="216" w:lineRule="auto"/>
      </w:pPr>
      <w:r w:rsidRPr="009D5E48">
        <w:t>CenturyTel of Ohio, Inc.</w:t>
      </w:r>
      <w:r w:rsidRPr="009D5E48">
        <w:tab/>
      </w:r>
      <w:r w:rsidRPr="009D5E48">
        <w:tab/>
        <w:t>Section 7</w:t>
      </w:r>
    </w:p>
    <w:p w:rsidR="002052DA" w:rsidRPr="009D5E48" w:rsidRDefault="002052DA" w:rsidP="002052DA">
      <w:pPr>
        <w:tabs>
          <w:tab w:val="center" w:pos="4680"/>
          <w:tab w:val="right" w:pos="9360"/>
        </w:tabs>
        <w:spacing w:line="216" w:lineRule="auto"/>
      </w:pPr>
      <w:r w:rsidRPr="009D5E48">
        <w:t>d/b/a CenturyLink</w:t>
      </w:r>
      <w:r w:rsidRPr="009D5E48">
        <w:tab/>
      </w:r>
      <w:r w:rsidRPr="009D5E48">
        <w:tab/>
      </w:r>
    </w:p>
    <w:p w:rsidR="002052DA" w:rsidRPr="009D5E48" w:rsidRDefault="002052DA" w:rsidP="002052DA">
      <w:pPr>
        <w:tabs>
          <w:tab w:val="center" w:pos="4680"/>
          <w:tab w:val="right" w:pos="9360"/>
        </w:tabs>
        <w:spacing w:line="216" w:lineRule="auto"/>
        <w:jc w:val="center"/>
      </w:pPr>
      <w:r w:rsidRPr="009D5E48">
        <w:tab/>
        <w:t>P.U.C.O. NO. 12</w:t>
      </w:r>
      <w:r w:rsidRPr="009D5E48">
        <w:tab/>
      </w:r>
      <w:r w:rsidR="005A3AD5">
        <w:t>Fourth</w:t>
      </w:r>
      <w:r w:rsidRPr="009D5E48">
        <w:t xml:space="preserve"> Revised Sheet 1</w:t>
      </w:r>
    </w:p>
    <w:p w:rsidR="002052DA" w:rsidRPr="009D5E48" w:rsidRDefault="002052DA" w:rsidP="002052DA">
      <w:pPr>
        <w:tabs>
          <w:tab w:val="center" w:pos="4680"/>
          <w:tab w:val="right" w:pos="9360"/>
        </w:tabs>
        <w:spacing w:line="216" w:lineRule="auto"/>
        <w:jc w:val="center"/>
      </w:pPr>
      <w:r w:rsidRPr="009D5E48">
        <w:tab/>
        <w:t>GENERAL EXCHANGE TARIFF</w:t>
      </w:r>
      <w:r w:rsidRPr="009D5E48">
        <w:tab/>
        <w:t xml:space="preserve">Cancels </w:t>
      </w:r>
      <w:r w:rsidR="005A3AD5">
        <w:t>Thir</w:t>
      </w:r>
      <w:r w:rsidRPr="009D5E48">
        <w:t>d Revised Sheet 1</w:t>
      </w:r>
    </w:p>
    <w:p w:rsidR="002052DA" w:rsidRPr="009D5E48" w:rsidRDefault="002052DA" w:rsidP="002052DA">
      <w:pPr>
        <w:tabs>
          <w:tab w:val="right" w:pos="605"/>
          <w:tab w:val="left" w:pos="720"/>
          <w:tab w:val="left" w:pos="1080"/>
          <w:tab w:val="left" w:pos="1555"/>
          <w:tab w:val="left" w:pos="2045"/>
          <w:tab w:val="left" w:pos="2520"/>
          <w:tab w:val="left" w:pos="2880"/>
          <w:tab w:val="left" w:pos="3600"/>
          <w:tab w:val="left" w:pos="4075"/>
          <w:tab w:val="center" w:pos="4680"/>
          <w:tab w:val="left" w:pos="4925"/>
          <w:tab w:val="right" w:pos="9360"/>
        </w:tabs>
        <w:suppressAutoHyphens/>
        <w:spacing w:line="216" w:lineRule="auto"/>
        <w:ind w:right="720"/>
        <w:jc w:val="both"/>
        <w:rPr>
          <w:rFonts w:cs="Arial"/>
          <w:spacing w:val="-2"/>
        </w:rPr>
      </w:pPr>
    </w:p>
    <w:tbl>
      <w:tblPr>
        <w:tblW w:w="10656" w:type="dxa"/>
        <w:tblLayout w:type="fixed"/>
        <w:tblLook w:val="0000" w:firstRow="0" w:lastRow="0" w:firstColumn="0" w:lastColumn="0" w:noHBand="0" w:noVBand="0"/>
      </w:tblPr>
      <w:tblGrid>
        <w:gridCol w:w="9504"/>
        <w:gridCol w:w="1152"/>
      </w:tblGrid>
      <w:tr w:rsidR="002052DA" w:rsidRPr="009D5E48" w:rsidTr="00B40FDA">
        <w:trPr>
          <w:trHeight w:val="11835"/>
        </w:trPr>
        <w:tc>
          <w:tcPr>
            <w:tcW w:w="9504" w:type="dxa"/>
          </w:tcPr>
          <w:p w:rsidR="002052DA" w:rsidRPr="005A3AD5" w:rsidRDefault="002052DA" w:rsidP="00B913C3">
            <w:pPr>
              <w:tabs>
                <w:tab w:val="left" w:pos="547"/>
                <w:tab w:val="left" w:pos="1080"/>
                <w:tab w:val="left" w:pos="1598"/>
                <w:tab w:val="left" w:pos="2160"/>
              </w:tabs>
              <w:suppressAutoHyphens/>
              <w:ind w:left="1598" w:hanging="1598"/>
              <w:jc w:val="center"/>
              <w:rPr>
                <w:rFonts w:cs="Arial"/>
                <w:bCs/>
                <w:spacing w:val="-2"/>
              </w:rPr>
            </w:pPr>
            <w:r w:rsidRPr="005A3AD5">
              <w:rPr>
                <w:rFonts w:cs="Arial"/>
                <w:bCs/>
                <w:spacing w:val="-2"/>
              </w:rPr>
              <w:t>LIFELINE ASSISTANCE PROGRAMS</w:t>
            </w:r>
          </w:p>
          <w:p w:rsidR="002052DA" w:rsidRPr="005A3AD5" w:rsidRDefault="002052DA" w:rsidP="00B913C3">
            <w:pPr>
              <w:tabs>
                <w:tab w:val="left" w:pos="547"/>
                <w:tab w:val="left" w:pos="1080"/>
                <w:tab w:val="left" w:pos="1598"/>
                <w:tab w:val="left" w:pos="2160"/>
              </w:tabs>
              <w:suppressAutoHyphens/>
              <w:ind w:left="1598" w:hanging="1598"/>
              <w:jc w:val="center"/>
              <w:rPr>
                <w:rFonts w:cs="Arial"/>
                <w:bCs/>
                <w:spacing w:val="-2"/>
              </w:rPr>
            </w:pPr>
          </w:p>
          <w:p w:rsidR="008B6208" w:rsidRDefault="008B6208" w:rsidP="00B913C3">
            <w:pPr>
              <w:tabs>
                <w:tab w:val="left" w:pos="720"/>
                <w:tab w:val="left" w:pos="1800"/>
                <w:tab w:val="left" w:pos="2160"/>
                <w:tab w:val="right" w:pos="9360"/>
              </w:tabs>
              <w:jc w:val="both"/>
              <w:rPr>
                <w:rFonts w:eastAsia="Calibri" w:cs="Arial"/>
              </w:rPr>
            </w:pPr>
          </w:p>
          <w:p w:rsidR="008B6208" w:rsidRDefault="008B6208" w:rsidP="00B913C3">
            <w:pPr>
              <w:tabs>
                <w:tab w:val="left" w:pos="720"/>
                <w:tab w:val="left" w:pos="1800"/>
                <w:tab w:val="left" w:pos="2160"/>
                <w:tab w:val="right" w:pos="9360"/>
              </w:tabs>
              <w:jc w:val="both"/>
              <w:rPr>
                <w:rFonts w:eastAsia="Calibri" w:cs="Arial"/>
              </w:rPr>
            </w:pPr>
          </w:p>
          <w:p w:rsidR="002052DA" w:rsidRDefault="002052DA" w:rsidP="00B913C3">
            <w:pPr>
              <w:tabs>
                <w:tab w:val="left" w:pos="720"/>
                <w:tab w:val="left" w:pos="1800"/>
                <w:tab w:val="left" w:pos="2160"/>
                <w:tab w:val="right" w:pos="9360"/>
              </w:tabs>
              <w:jc w:val="both"/>
              <w:rPr>
                <w:rFonts w:eastAsia="Calibri" w:cs="Arial"/>
              </w:rPr>
            </w:pPr>
          </w:p>
          <w:p w:rsidR="00B57A5F" w:rsidRDefault="00B57A5F" w:rsidP="00B913C3">
            <w:pPr>
              <w:tabs>
                <w:tab w:val="left" w:pos="720"/>
                <w:tab w:val="left" w:pos="1800"/>
                <w:tab w:val="left" w:pos="2160"/>
                <w:tab w:val="right" w:pos="9360"/>
              </w:tabs>
              <w:jc w:val="both"/>
              <w:rPr>
                <w:rFonts w:eastAsia="Calibri" w:cs="Arial"/>
              </w:rPr>
            </w:pPr>
          </w:p>
          <w:p w:rsidR="00B57A5F" w:rsidRDefault="00B57A5F" w:rsidP="00B913C3">
            <w:pPr>
              <w:tabs>
                <w:tab w:val="left" w:pos="720"/>
                <w:tab w:val="left" w:pos="1800"/>
                <w:tab w:val="left" w:pos="2160"/>
                <w:tab w:val="right" w:pos="9360"/>
              </w:tabs>
              <w:jc w:val="both"/>
              <w:rPr>
                <w:rFonts w:eastAsia="Calibri" w:cs="Arial"/>
              </w:rPr>
            </w:pPr>
          </w:p>
          <w:p w:rsidR="00B57A5F" w:rsidRPr="005A3AD5" w:rsidRDefault="00B57A5F" w:rsidP="00B913C3">
            <w:pPr>
              <w:tabs>
                <w:tab w:val="left" w:pos="720"/>
                <w:tab w:val="left" w:pos="1800"/>
                <w:tab w:val="left" w:pos="2160"/>
                <w:tab w:val="right" w:pos="9360"/>
              </w:tabs>
              <w:jc w:val="both"/>
              <w:rPr>
                <w:rFonts w:eastAsia="Calibri" w:cs="Arial"/>
              </w:rPr>
            </w:pPr>
          </w:p>
          <w:p w:rsidR="00F76E83" w:rsidRDefault="00F76E83" w:rsidP="00B913C3">
            <w:pPr>
              <w:tabs>
                <w:tab w:val="left" w:pos="720"/>
                <w:tab w:val="left" w:pos="1800"/>
                <w:tab w:val="left" w:pos="2160"/>
                <w:tab w:val="right" w:pos="9360"/>
              </w:tabs>
              <w:jc w:val="both"/>
              <w:rPr>
                <w:rFonts w:eastAsia="Calibri" w:cs="Arial"/>
                <w:strike/>
              </w:rPr>
            </w:pPr>
          </w:p>
          <w:p w:rsidR="00F76E83" w:rsidRDefault="00F76E83" w:rsidP="00B913C3">
            <w:pPr>
              <w:tabs>
                <w:tab w:val="left" w:pos="720"/>
                <w:tab w:val="left" w:pos="1800"/>
                <w:tab w:val="left" w:pos="2160"/>
                <w:tab w:val="right" w:pos="9360"/>
              </w:tabs>
              <w:jc w:val="both"/>
              <w:rPr>
                <w:rFonts w:eastAsia="Calibri" w:cs="Arial"/>
                <w:strike/>
              </w:rPr>
            </w:pPr>
          </w:p>
          <w:p w:rsidR="002052DA" w:rsidRPr="005A3AD5" w:rsidRDefault="002052DA" w:rsidP="00B913C3">
            <w:pPr>
              <w:tabs>
                <w:tab w:val="left" w:pos="720"/>
                <w:tab w:val="left" w:pos="1800"/>
                <w:tab w:val="left" w:pos="2160"/>
                <w:tab w:val="right" w:pos="9360"/>
              </w:tabs>
              <w:jc w:val="both"/>
              <w:rPr>
                <w:rFonts w:eastAsia="Calibri" w:cs="Arial"/>
                <w:strike/>
              </w:rPr>
            </w:pPr>
          </w:p>
          <w:p w:rsidR="002052DA" w:rsidRPr="005A3AD5" w:rsidRDefault="002052DA" w:rsidP="00B913C3">
            <w:pPr>
              <w:tabs>
                <w:tab w:val="left" w:pos="547"/>
                <w:tab w:val="left" w:pos="1080"/>
                <w:tab w:val="left" w:pos="1598"/>
                <w:tab w:val="left" w:pos="2160"/>
              </w:tabs>
              <w:suppressAutoHyphens/>
              <w:rPr>
                <w:rFonts w:cs="Arial"/>
                <w:spacing w:val="-2"/>
              </w:rPr>
            </w:pPr>
          </w:p>
          <w:p w:rsidR="002052DA" w:rsidRPr="0035750A" w:rsidRDefault="002052DA" w:rsidP="00B913C3">
            <w:pPr>
              <w:tabs>
                <w:tab w:val="left" w:pos="547"/>
                <w:tab w:val="left" w:pos="1080"/>
                <w:tab w:val="left" w:pos="1598"/>
                <w:tab w:val="left" w:pos="2160"/>
              </w:tabs>
              <w:suppressAutoHyphens/>
              <w:jc w:val="both"/>
              <w:rPr>
                <w:rFonts w:cs="Arial"/>
                <w:spacing w:val="-2"/>
              </w:rPr>
            </w:pPr>
            <w:r w:rsidRPr="0035750A">
              <w:rPr>
                <w:rFonts w:cs="Arial"/>
                <w:spacing w:val="-2"/>
              </w:rPr>
              <w:t>7.1</w:t>
            </w:r>
            <w:r w:rsidRPr="0035750A">
              <w:rPr>
                <w:rFonts w:cs="Arial"/>
                <w:spacing w:val="-2"/>
              </w:rPr>
              <w:tab/>
              <w:t>Federal Lifeline Programs</w:t>
            </w:r>
          </w:p>
          <w:p w:rsidR="002052DA" w:rsidRPr="0035750A" w:rsidRDefault="002052DA" w:rsidP="00B913C3">
            <w:pPr>
              <w:tabs>
                <w:tab w:val="left" w:pos="720"/>
                <w:tab w:val="left" w:pos="1800"/>
                <w:tab w:val="left" w:pos="2160"/>
                <w:tab w:val="right" w:pos="9360"/>
              </w:tabs>
              <w:jc w:val="both"/>
              <w:rPr>
                <w:rFonts w:eastAsia="Calibri" w:cs="Arial"/>
                <w:b/>
              </w:rPr>
            </w:pPr>
          </w:p>
          <w:p w:rsidR="00D70B09" w:rsidRPr="0035750A" w:rsidRDefault="002052DA" w:rsidP="00963D41">
            <w:pPr>
              <w:tabs>
                <w:tab w:val="right" w:pos="9360"/>
              </w:tabs>
              <w:ind w:left="900" w:hanging="360"/>
              <w:jc w:val="both"/>
              <w:rPr>
                <w:rFonts w:eastAsia="Calibri" w:cs="Arial"/>
                <w:b/>
              </w:rPr>
            </w:pPr>
            <w:r w:rsidRPr="0035750A">
              <w:rPr>
                <w:rFonts w:eastAsia="Calibri" w:cs="Arial"/>
                <w:b/>
              </w:rPr>
              <w:t>a.</w:t>
            </w:r>
            <w:r w:rsidRPr="0035750A">
              <w:rPr>
                <w:rFonts w:eastAsia="Calibri" w:cs="Arial"/>
                <w:b/>
              </w:rPr>
              <w:tab/>
            </w:r>
            <w:r w:rsidR="006E4499" w:rsidRPr="0035750A">
              <w:rPr>
                <w:rFonts w:cs="Arial"/>
                <w:b/>
              </w:rPr>
              <w:t xml:space="preserve">CenturyTel of Ohio, Inc. d/b/a CenturyLink concurs in </w:t>
            </w:r>
            <w:r w:rsidR="00963D41" w:rsidRPr="0035750A">
              <w:rPr>
                <w:rFonts w:cs="Arial"/>
                <w:b/>
              </w:rPr>
              <w:t xml:space="preserve">Lifeline Assistance Programs </w:t>
            </w:r>
            <w:r w:rsidR="006E4499" w:rsidRPr="0035750A">
              <w:rPr>
                <w:rFonts w:cs="Arial"/>
                <w:b/>
              </w:rPr>
              <w:t xml:space="preserve">rates and regulations </w:t>
            </w:r>
            <w:r w:rsidR="00963D41" w:rsidRPr="0035750A">
              <w:rPr>
                <w:rFonts w:cs="Arial"/>
                <w:b/>
              </w:rPr>
              <w:t xml:space="preserve">in </w:t>
            </w:r>
            <w:r w:rsidR="005F7E92" w:rsidRPr="0035750A">
              <w:rPr>
                <w:rFonts w:cs="Arial"/>
                <w:b/>
              </w:rPr>
              <w:t xml:space="preserve">Section 7 </w:t>
            </w:r>
            <w:r w:rsidR="00963D41" w:rsidRPr="0035750A">
              <w:rPr>
                <w:rFonts w:cs="Arial"/>
                <w:b/>
              </w:rPr>
              <w:t xml:space="preserve">of </w:t>
            </w:r>
            <w:hyperlink r:id="rId5" w:history="1">
              <w:r w:rsidR="00B40FDA" w:rsidRPr="0035750A">
                <w:rPr>
                  <w:rStyle w:val="Hyperlink"/>
                  <w:rFonts w:eastAsia="Calibri" w:cs="Arial"/>
                  <w:b/>
                </w:rPr>
                <w:t>United Telephone Company of Ohio d/b/a CenturyLink P.U.C.O. No. 5 General Exchange Tariff</w:t>
              </w:r>
            </w:hyperlink>
            <w:r w:rsidR="00B40FDA" w:rsidRPr="0035750A">
              <w:rPr>
                <w:rFonts w:eastAsia="Calibri" w:cs="Arial"/>
                <w:b/>
              </w:rPr>
              <w:t xml:space="preserve"> </w:t>
            </w:r>
            <w:r w:rsidR="00B40FDA" w:rsidRPr="0035750A">
              <w:rPr>
                <w:rFonts w:cs="Arial"/>
                <w:b/>
              </w:rPr>
              <w:t>for the purpose of providing this service.</w:t>
            </w:r>
          </w:p>
          <w:p w:rsidR="00B57A5F" w:rsidRPr="005A3AD5" w:rsidRDefault="002052DA" w:rsidP="00B57A5F">
            <w:pPr>
              <w:tabs>
                <w:tab w:val="left" w:pos="540"/>
                <w:tab w:val="left" w:pos="900"/>
                <w:tab w:val="left" w:pos="2160"/>
                <w:tab w:val="right" w:pos="9360"/>
              </w:tabs>
              <w:jc w:val="both"/>
              <w:rPr>
                <w:rFonts w:cs="Arial"/>
                <w:spacing w:val="-2"/>
              </w:rPr>
            </w:pPr>
            <w:r w:rsidRPr="005A3AD5">
              <w:rPr>
                <w:rFonts w:eastAsia="Calibri" w:cs="Arial"/>
              </w:rPr>
              <w:tab/>
            </w:r>
          </w:p>
          <w:p w:rsidR="00C805B4" w:rsidRPr="004F43F2" w:rsidRDefault="00C805B4" w:rsidP="00C805B4">
            <w:pPr>
              <w:tabs>
                <w:tab w:val="left" w:pos="547"/>
                <w:tab w:val="left" w:pos="1080"/>
                <w:tab w:val="left" w:pos="1598"/>
                <w:tab w:val="left" w:pos="2160"/>
              </w:tabs>
              <w:suppressAutoHyphens/>
              <w:jc w:val="both"/>
              <w:rPr>
                <w:rFonts w:eastAsia="Calibri" w:cs="Arial"/>
                <w:color w:val="FF0000"/>
              </w:rPr>
            </w:pPr>
            <w:r w:rsidRPr="004F43F2">
              <w:rPr>
                <w:rFonts w:eastAsia="Calibri"/>
                <w:szCs w:val="22"/>
              </w:rPr>
              <w:t>7</w:t>
            </w:r>
            <w:r w:rsidRPr="004F43F2">
              <w:rPr>
                <w:rFonts w:eastAsia="Calibri" w:cs="Arial"/>
              </w:rPr>
              <w:t>.2</w:t>
            </w:r>
            <w:r w:rsidRPr="004F43F2">
              <w:rPr>
                <w:rFonts w:eastAsia="Calibri" w:cs="Arial"/>
              </w:rPr>
              <w:tab/>
              <w:t xml:space="preserve">Link-Up Program  </w:t>
            </w:r>
          </w:p>
          <w:p w:rsidR="00C805B4" w:rsidRPr="004F43F2" w:rsidRDefault="00C805B4" w:rsidP="00C805B4">
            <w:pPr>
              <w:tabs>
                <w:tab w:val="left" w:pos="720"/>
                <w:tab w:val="left" w:pos="1260"/>
                <w:tab w:val="left" w:pos="1800"/>
                <w:tab w:val="right" w:pos="9360"/>
              </w:tabs>
              <w:jc w:val="both"/>
              <w:rPr>
                <w:rFonts w:eastAsia="Calibri" w:cs="Arial"/>
                <w:color w:val="FF0000"/>
              </w:rPr>
            </w:pPr>
          </w:p>
          <w:p w:rsidR="00C805B4" w:rsidRPr="004F43F2" w:rsidRDefault="00C805B4" w:rsidP="00C805B4">
            <w:pPr>
              <w:tabs>
                <w:tab w:val="left" w:pos="720"/>
                <w:tab w:val="left" w:pos="1350"/>
                <w:tab w:val="left" w:pos="2160"/>
                <w:tab w:val="right" w:pos="9360"/>
              </w:tabs>
              <w:ind w:left="540"/>
              <w:jc w:val="both"/>
              <w:rPr>
                <w:rFonts w:eastAsia="Calibri" w:cs="Arial"/>
              </w:rPr>
            </w:pPr>
            <w:r w:rsidRPr="004F43F2">
              <w:rPr>
                <w:rFonts w:eastAsia="Calibri" w:cs="Arial"/>
              </w:rPr>
              <w:t xml:space="preserve">Link-Up assistance for non-Tribal Lifeline customers was eliminated as of April 1, 2012, pursuant to the FCC’s Lifeline and Link Up Reform and Modernization, Report and Order and Further Notice of Proposed Rulemaking, WC Docket No. 11-42, FCC 12-11 (rel. Feb. 6, 2012). </w:t>
            </w:r>
          </w:p>
          <w:p w:rsidR="002052DA" w:rsidRDefault="002052DA"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bookmarkStart w:id="0" w:name="_GoBack"/>
            <w:bookmarkEnd w:id="0"/>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Default="00C805B4" w:rsidP="00F76E83">
            <w:pPr>
              <w:tabs>
                <w:tab w:val="left" w:pos="1094"/>
                <w:tab w:val="left" w:pos="1598"/>
                <w:tab w:val="left" w:pos="2160"/>
              </w:tabs>
              <w:suppressAutoHyphens/>
              <w:ind w:left="360" w:hanging="360"/>
              <w:jc w:val="both"/>
              <w:rPr>
                <w:rFonts w:cs="Arial"/>
                <w:spacing w:val="-2"/>
              </w:rPr>
            </w:pPr>
          </w:p>
          <w:p w:rsidR="00C805B4" w:rsidRPr="005A3AD5" w:rsidRDefault="001F6EC4" w:rsidP="00F76E83">
            <w:pPr>
              <w:tabs>
                <w:tab w:val="left" w:pos="1094"/>
                <w:tab w:val="left" w:pos="1598"/>
                <w:tab w:val="left" w:pos="2160"/>
              </w:tabs>
              <w:suppressAutoHyphens/>
              <w:ind w:left="360" w:hanging="360"/>
              <w:jc w:val="both"/>
              <w:rPr>
                <w:rFonts w:cs="Arial"/>
                <w:spacing w:val="-2"/>
              </w:rPr>
            </w:pPr>
            <w:r>
              <w:rPr>
                <w:rFonts w:cs="Arial"/>
                <w:spacing w:val="-2"/>
              </w:rPr>
              <w:t>(M)</w:t>
            </w:r>
            <w:r>
              <w:rPr>
                <w:rFonts w:cs="Arial"/>
                <w:spacing w:val="-2"/>
              </w:rPr>
              <w:tab/>
            </w:r>
            <w:r w:rsidR="00C805B4">
              <w:rPr>
                <w:rFonts w:cs="Arial"/>
                <w:spacing w:val="-2"/>
              </w:rPr>
              <w:t>Material was previously located on Second Revised Sheet 3 of this section.</w:t>
            </w:r>
          </w:p>
        </w:tc>
        <w:tc>
          <w:tcPr>
            <w:tcW w:w="1152" w:type="dxa"/>
          </w:tcPr>
          <w:p w:rsidR="002052DA" w:rsidRDefault="002052DA" w:rsidP="00B913C3">
            <w:pPr>
              <w:tabs>
                <w:tab w:val="right" w:pos="1060"/>
              </w:tabs>
              <w:suppressAutoHyphens/>
              <w:jc w:val="center"/>
              <w:rPr>
                <w:rFonts w:cs="Arial"/>
              </w:rPr>
            </w:pPr>
          </w:p>
          <w:p w:rsidR="005A3AD5" w:rsidRDefault="005A3AD5" w:rsidP="00B913C3">
            <w:pPr>
              <w:tabs>
                <w:tab w:val="right" w:pos="1060"/>
              </w:tabs>
              <w:suppressAutoHyphens/>
              <w:jc w:val="center"/>
              <w:rPr>
                <w:rFonts w:cs="Arial"/>
              </w:rPr>
            </w:pPr>
          </w:p>
          <w:p w:rsidR="005A3AD5" w:rsidRDefault="005A3AD5" w:rsidP="00B913C3">
            <w:pPr>
              <w:tabs>
                <w:tab w:val="right" w:pos="1060"/>
              </w:tabs>
              <w:suppressAutoHyphens/>
              <w:jc w:val="center"/>
              <w:rPr>
                <w:rFonts w:cs="Arial"/>
              </w:rPr>
            </w:pPr>
          </w:p>
          <w:p w:rsidR="005A3AD5" w:rsidRDefault="005A3AD5" w:rsidP="00B913C3">
            <w:pPr>
              <w:tabs>
                <w:tab w:val="right" w:pos="1060"/>
              </w:tabs>
              <w:suppressAutoHyphens/>
              <w:jc w:val="center"/>
              <w:rPr>
                <w:rFonts w:cs="Arial"/>
              </w:rPr>
            </w:pPr>
          </w:p>
          <w:p w:rsidR="005A3AD5" w:rsidRDefault="005A3AD5" w:rsidP="00B913C3">
            <w:pPr>
              <w:tabs>
                <w:tab w:val="right" w:pos="1060"/>
              </w:tabs>
              <w:suppressAutoHyphens/>
              <w:jc w:val="center"/>
              <w:rPr>
                <w:rFonts w:cs="Arial"/>
              </w:rPr>
            </w:pPr>
            <w:r>
              <w:rPr>
                <w:rFonts w:cs="Arial"/>
              </w:rPr>
              <w:t>(D)</w:t>
            </w:r>
          </w:p>
          <w:p w:rsidR="00F76E83" w:rsidRDefault="00F76E83" w:rsidP="00F76E83">
            <w:pPr>
              <w:tabs>
                <w:tab w:val="bar" w:pos="450"/>
                <w:tab w:val="right" w:pos="1060"/>
              </w:tabs>
              <w:suppressAutoHyphens/>
              <w:jc w:val="center"/>
              <w:rPr>
                <w:rFonts w:cs="Arial"/>
              </w:rPr>
            </w:pPr>
          </w:p>
          <w:p w:rsidR="00B57A5F" w:rsidRDefault="00B57A5F" w:rsidP="00F76E83">
            <w:pPr>
              <w:tabs>
                <w:tab w:val="bar" w:pos="450"/>
                <w:tab w:val="right" w:pos="1060"/>
              </w:tabs>
              <w:suppressAutoHyphens/>
              <w:jc w:val="center"/>
              <w:rPr>
                <w:rFonts w:cs="Arial"/>
              </w:rPr>
            </w:pPr>
          </w:p>
          <w:p w:rsidR="00B57A5F" w:rsidRDefault="00B57A5F" w:rsidP="00F76E83">
            <w:pPr>
              <w:tabs>
                <w:tab w:val="bar" w:pos="450"/>
                <w:tab w:val="right" w:pos="1060"/>
              </w:tabs>
              <w:suppressAutoHyphens/>
              <w:jc w:val="center"/>
              <w:rPr>
                <w:rFonts w:cs="Arial"/>
              </w:rPr>
            </w:pPr>
          </w:p>
          <w:p w:rsidR="00B57A5F" w:rsidRDefault="00B57A5F" w:rsidP="00F76E83">
            <w:pPr>
              <w:tabs>
                <w:tab w:val="bar" w:pos="450"/>
                <w:tab w:val="right" w:pos="1060"/>
              </w:tabs>
              <w:suppressAutoHyphens/>
              <w:jc w:val="center"/>
              <w:rPr>
                <w:rFonts w:cs="Arial"/>
              </w:rPr>
            </w:pPr>
          </w:p>
          <w:p w:rsidR="00B57A5F" w:rsidRDefault="00B57A5F" w:rsidP="00F76E83">
            <w:pPr>
              <w:tabs>
                <w:tab w:val="bar" w:pos="450"/>
                <w:tab w:val="right" w:pos="1060"/>
              </w:tabs>
              <w:suppressAutoHyphens/>
              <w:jc w:val="center"/>
              <w:rPr>
                <w:rFonts w:cs="Arial"/>
              </w:rPr>
            </w:pPr>
          </w:p>
          <w:p w:rsidR="00F76E83" w:rsidRDefault="00F76E83" w:rsidP="00B913C3">
            <w:pPr>
              <w:tabs>
                <w:tab w:val="right" w:pos="1060"/>
              </w:tabs>
              <w:suppressAutoHyphens/>
              <w:jc w:val="center"/>
              <w:rPr>
                <w:rFonts w:cs="Arial"/>
              </w:rPr>
            </w:pPr>
            <w:r>
              <w:rPr>
                <w:rFonts w:cs="Arial"/>
              </w:rPr>
              <w:t>(D)</w:t>
            </w:r>
          </w:p>
          <w:p w:rsidR="0035750A" w:rsidRDefault="0035750A" w:rsidP="00B913C3">
            <w:pPr>
              <w:tabs>
                <w:tab w:val="right" w:pos="1060"/>
              </w:tabs>
              <w:suppressAutoHyphens/>
              <w:jc w:val="center"/>
              <w:rPr>
                <w:rFonts w:cs="Arial"/>
              </w:rPr>
            </w:pPr>
          </w:p>
          <w:p w:rsidR="0035750A" w:rsidRDefault="0035750A" w:rsidP="00B913C3">
            <w:pPr>
              <w:tabs>
                <w:tab w:val="right" w:pos="1060"/>
              </w:tabs>
              <w:suppressAutoHyphens/>
              <w:jc w:val="center"/>
              <w:rPr>
                <w:rFonts w:cs="Arial"/>
              </w:rPr>
            </w:pPr>
            <w:r>
              <w:rPr>
                <w:rFonts w:cs="Arial"/>
              </w:rPr>
              <w:t>(C)</w:t>
            </w:r>
          </w:p>
          <w:p w:rsidR="0035750A" w:rsidRDefault="0035750A" w:rsidP="0035750A">
            <w:pPr>
              <w:tabs>
                <w:tab w:val="bar" w:pos="480"/>
                <w:tab w:val="right" w:pos="1060"/>
              </w:tabs>
              <w:suppressAutoHyphens/>
              <w:jc w:val="center"/>
              <w:rPr>
                <w:rFonts w:cs="Arial"/>
              </w:rPr>
            </w:pPr>
          </w:p>
          <w:p w:rsidR="0035750A" w:rsidRDefault="0035750A" w:rsidP="0035750A">
            <w:pPr>
              <w:tabs>
                <w:tab w:val="bar" w:pos="480"/>
                <w:tab w:val="right" w:pos="1060"/>
              </w:tabs>
              <w:suppressAutoHyphens/>
              <w:jc w:val="center"/>
              <w:rPr>
                <w:rFonts w:cs="Arial"/>
              </w:rPr>
            </w:pPr>
          </w:p>
          <w:p w:rsidR="0035750A" w:rsidRDefault="0035750A" w:rsidP="0035750A">
            <w:pPr>
              <w:tabs>
                <w:tab w:val="bar" w:pos="480"/>
                <w:tab w:val="right" w:pos="1060"/>
              </w:tabs>
              <w:suppressAutoHyphens/>
              <w:jc w:val="center"/>
              <w:rPr>
                <w:rFonts w:cs="Arial"/>
              </w:rPr>
            </w:pPr>
          </w:p>
          <w:p w:rsidR="0035750A" w:rsidRDefault="0035750A" w:rsidP="0035750A">
            <w:pPr>
              <w:tabs>
                <w:tab w:val="bar" w:pos="480"/>
                <w:tab w:val="right" w:pos="1060"/>
              </w:tabs>
              <w:suppressAutoHyphens/>
              <w:jc w:val="center"/>
              <w:rPr>
                <w:rFonts w:cs="Arial"/>
              </w:rPr>
            </w:pPr>
          </w:p>
          <w:p w:rsidR="0035750A" w:rsidRDefault="0035750A" w:rsidP="00B913C3">
            <w:pPr>
              <w:tabs>
                <w:tab w:val="right" w:pos="1060"/>
              </w:tabs>
              <w:suppressAutoHyphens/>
              <w:jc w:val="center"/>
              <w:rPr>
                <w:rFonts w:cs="Arial"/>
              </w:rPr>
            </w:pPr>
            <w:r>
              <w:rPr>
                <w:rFonts w:cs="Arial"/>
              </w:rPr>
              <w:t>(C)</w:t>
            </w:r>
          </w:p>
          <w:p w:rsidR="00B57A5F" w:rsidRDefault="00B57A5F" w:rsidP="00B913C3">
            <w:pPr>
              <w:tabs>
                <w:tab w:val="right" w:pos="1060"/>
              </w:tabs>
              <w:suppressAutoHyphens/>
              <w:jc w:val="center"/>
              <w:rPr>
                <w:rFonts w:cs="Arial"/>
              </w:rPr>
            </w:pPr>
          </w:p>
          <w:p w:rsidR="00C805B4" w:rsidRDefault="00C805B4" w:rsidP="00B913C3">
            <w:pPr>
              <w:tabs>
                <w:tab w:val="right" w:pos="1060"/>
              </w:tabs>
              <w:suppressAutoHyphens/>
              <w:jc w:val="center"/>
              <w:rPr>
                <w:rFonts w:cs="Arial"/>
              </w:rPr>
            </w:pPr>
            <w:r>
              <w:rPr>
                <w:rFonts w:cs="Arial"/>
              </w:rPr>
              <w:t>(M)</w:t>
            </w:r>
          </w:p>
          <w:p w:rsidR="00C805B4" w:rsidRDefault="00C805B4" w:rsidP="00C805B4">
            <w:pPr>
              <w:tabs>
                <w:tab w:val="bar" w:pos="486"/>
                <w:tab w:val="right" w:pos="1060"/>
              </w:tabs>
              <w:suppressAutoHyphens/>
              <w:jc w:val="center"/>
              <w:rPr>
                <w:rFonts w:cs="Arial"/>
              </w:rPr>
            </w:pPr>
          </w:p>
          <w:p w:rsidR="00C805B4" w:rsidRDefault="00C805B4" w:rsidP="00C805B4">
            <w:pPr>
              <w:tabs>
                <w:tab w:val="bar" w:pos="486"/>
                <w:tab w:val="right" w:pos="1060"/>
              </w:tabs>
              <w:suppressAutoHyphens/>
              <w:jc w:val="center"/>
              <w:rPr>
                <w:rFonts w:cs="Arial"/>
              </w:rPr>
            </w:pPr>
          </w:p>
          <w:p w:rsidR="00C805B4" w:rsidRDefault="00C805B4" w:rsidP="00C805B4">
            <w:pPr>
              <w:tabs>
                <w:tab w:val="bar" w:pos="486"/>
                <w:tab w:val="right" w:pos="1060"/>
              </w:tabs>
              <w:suppressAutoHyphens/>
              <w:jc w:val="center"/>
              <w:rPr>
                <w:rFonts w:cs="Arial"/>
              </w:rPr>
            </w:pPr>
          </w:p>
          <w:p w:rsidR="00C805B4" w:rsidRDefault="00C805B4" w:rsidP="00B913C3">
            <w:pPr>
              <w:tabs>
                <w:tab w:val="right" w:pos="1060"/>
              </w:tabs>
              <w:suppressAutoHyphens/>
              <w:jc w:val="center"/>
              <w:rPr>
                <w:rFonts w:cs="Arial"/>
              </w:rPr>
            </w:pPr>
            <w:r>
              <w:rPr>
                <w:rFonts w:cs="Arial"/>
              </w:rPr>
              <w:t>(M)</w:t>
            </w:r>
          </w:p>
          <w:p w:rsidR="00C805B4" w:rsidRDefault="00C805B4" w:rsidP="00B913C3">
            <w:pPr>
              <w:tabs>
                <w:tab w:val="right" w:pos="1060"/>
              </w:tabs>
              <w:suppressAutoHyphens/>
              <w:jc w:val="center"/>
              <w:rPr>
                <w:rFonts w:cs="Arial"/>
              </w:rPr>
            </w:pPr>
          </w:p>
          <w:p w:rsidR="00B57A5F" w:rsidRDefault="00B57A5F" w:rsidP="00B57A5F">
            <w:pPr>
              <w:tabs>
                <w:tab w:val="right" w:pos="1060"/>
              </w:tabs>
              <w:suppressAutoHyphens/>
              <w:jc w:val="center"/>
              <w:rPr>
                <w:rFonts w:cs="Arial"/>
              </w:rPr>
            </w:pPr>
            <w:r>
              <w:rPr>
                <w:rFonts w:cs="Arial"/>
              </w:rPr>
              <w:t>(D)</w:t>
            </w: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40FDA" w:rsidRDefault="00B40FDA"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bar" w:pos="450"/>
                <w:tab w:val="right" w:pos="1060"/>
              </w:tabs>
              <w:suppressAutoHyphens/>
              <w:jc w:val="center"/>
              <w:rPr>
                <w:rFonts w:cs="Arial"/>
              </w:rPr>
            </w:pPr>
          </w:p>
          <w:p w:rsidR="00B57A5F" w:rsidRDefault="00B57A5F" w:rsidP="00B57A5F">
            <w:pPr>
              <w:tabs>
                <w:tab w:val="right" w:pos="1060"/>
              </w:tabs>
              <w:suppressAutoHyphens/>
              <w:jc w:val="center"/>
              <w:rPr>
                <w:rFonts w:cs="Arial"/>
              </w:rPr>
            </w:pPr>
            <w:r>
              <w:rPr>
                <w:rFonts w:cs="Arial"/>
              </w:rPr>
              <w:t>(D)</w:t>
            </w:r>
          </w:p>
          <w:p w:rsidR="00F76E83" w:rsidRDefault="00F76E83" w:rsidP="00B913C3">
            <w:pPr>
              <w:tabs>
                <w:tab w:val="right" w:pos="1060"/>
              </w:tabs>
              <w:suppressAutoHyphens/>
              <w:jc w:val="center"/>
              <w:rPr>
                <w:rFonts w:cs="Arial"/>
              </w:rPr>
            </w:pPr>
          </w:p>
          <w:p w:rsidR="00F76E83" w:rsidRPr="009D5E48" w:rsidRDefault="00F76E83" w:rsidP="00B913C3">
            <w:pPr>
              <w:tabs>
                <w:tab w:val="right" w:pos="1060"/>
              </w:tabs>
              <w:suppressAutoHyphens/>
              <w:jc w:val="center"/>
              <w:rPr>
                <w:rFonts w:cs="Arial"/>
              </w:rPr>
            </w:pPr>
          </w:p>
        </w:tc>
      </w:tr>
    </w:tbl>
    <w:p w:rsidR="002052DA" w:rsidRPr="009D5E48" w:rsidRDefault="002052DA" w:rsidP="002052DA">
      <w:pPr>
        <w:tabs>
          <w:tab w:val="right" w:pos="9360"/>
        </w:tabs>
        <w:ind w:right="-270"/>
        <w:rPr>
          <w:rFonts w:cs="Arial"/>
        </w:rPr>
      </w:pPr>
      <w:r w:rsidRPr="009D5E48">
        <w:rPr>
          <w:rFonts w:cs="Arial"/>
        </w:rPr>
        <w:t xml:space="preserve">Issued:  </w:t>
      </w:r>
      <w:r w:rsidR="009A04FE">
        <w:rPr>
          <w:rFonts w:cs="Arial"/>
        </w:rPr>
        <w:t>December 1</w:t>
      </w:r>
      <w:r w:rsidR="00F76E83">
        <w:rPr>
          <w:rFonts w:cs="Arial"/>
        </w:rPr>
        <w:t>, 2019</w:t>
      </w:r>
      <w:r w:rsidRPr="009D5E48">
        <w:rPr>
          <w:rFonts w:cs="Arial"/>
        </w:rPr>
        <w:tab/>
        <w:t xml:space="preserve">Effective:  December </w:t>
      </w:r>
      <w:r w:rsidR="00F76E83">
        <w:rPr>
          <w:rFonts w:cs="Arial"/>
        </w:rPr>
        <w:t>1, 2019</w:t>
      </w:r>
      <w:r w:rsidRPr="009D5E48">
        <w:rPr>
          <w:rFonts w:cs="Arial"/>
        </w:rPr>
        <w:t xml:space="preserve"> </w:t>
      </w:r>
    </w:p>
    <w:p w:rsidR="002052DA" w:rsidRPr="009D5E48" w:rsidRDefault="002052DA" w:rsidP="002052DA">
      <w:pPr>
        <w:tabs>
          <w:tab w:val="right" w:pos="9360"/>
        </w:tabs>
        <w:ind w:right="-270"/>
        <w:rPr>
          <w:rFonts w:cs="Arial"/>
        </w:rPr>
      </w:pPr>
    </w:p>
    <w:p w:rsidR="002052DA" w:rsidRPr="009D5E48" w:rsidRDefault="002052DA" w:rsidP="002052DA">
      <w:pPr>
        <w:tabs>
          <w:tab w:val="right" w:pos="9360"/>
        </w:tabs>
        <w:ind w:right="-270"/>
        <w:rPr>
          <w:rFonts w:cs="Arial"/>
        </w:rPr>
      </w:pPr>
      <w:r w:rsidRPr="009D5E48">
        <w:rPr>
          <w:rFonts w:cs="Arial"/>
        </w:rPr>
        <w:t>CenturyTel of Ohio, Inc. d/b/a CenturyLink</w:t>
      </w:r>
      <w:r w:rsidRPr="009D5E48">
        <w:rPr>
          <w:rFonts w:cs="Arial"/>
        </w:rPr>
        <w:tab/>
      </w:r>
      <w:proofErr w:type="gramStart"/>
      <w:r w:rsidRPr="009D5E48">
        <w:rPr>
          <w:rFonts w:cs="Arial"/>
        </w:rPr>
        <w:t>In</w:t>
      </w:r>
      <w:proofErr w:type="gramEnd"/>
      <w:r w:rsidRPr="009D5E48">
        <w:rPr>
          <w:rFonts w:cs="Arial"/>
        </w:rPr>
        <w:t xml:space="preserve"> accordance with Case Nos.: 90-5010-TP-TRF</w:t>
      </w:r>
    </w:p>
    <w:p w:rsidR="002052DA" w:rsidRPr="009D5E48" w:rsidRDefault="002052DA" w:rsidP="002052DA">
      <w:pPr>
        <w:tabs>
          <w:tab w:val="right" w:pos="9360"/>
        </w:tabs>
        <w:ind w:right="-270"/>
        <w:rPr>
          <w:rFonts w:cs="Arial"/>
        </w:rPr>
      </w:pPr>
      <w:r w:rsidRPr="009D5E48">
        <w:t>By Bill Hanchey, Vice President</w:t>
      </w:r>
      <w:r w:rsidRPr="009D5E48">
        <w:rPr>
          <w:rFonts w:cs="Arial"/>
        </w:rPr>
        <w:tab/>
        <w:t xml:space="preserve">and </w:t>
      </w:r>
      <w:r w:rsidR="00F76E83">
        <w:rPr>
          <w:rFonts w:cs="Arial"/>
        </w:rPr>
        <w:t>19-</w:t>
      </w:r>
      <w:r w:rsidR="00B0733F">
        <w:rPr>
          <w:rFonts w:cs="Arial"/>
        </w:rPr>
        <w:t>2006</w:t>
      </w:r>
      <w:r w:rsidRPr="009D5E48">
        <w:rPr>
          <w:rFonts w:cs="Arial"/>
        </w:rPr>
        <w:t>-TP-ATA</w:t>
      </w:r>
    </w:p>
    <w:p w:rsidR="002052DA" w:rsidRPr="009D5E48" w:rsidRDefault="002052DA" w:rsidP="002052DA">
      <w:pPr>
        <w:tabs>
          <w:tab w:val="right" w:pos="9360"/>
        </w:tabs>
        <w:ind w:right="-270"/>
        <w:rPr>
          <w:rFonts w:cs="Arial"/>
        </w:rPr>
      </w:pPr>
      <w:r w:rsidRPr="009D5E48">
        <w:rPr>
          <w:rFonts w:cs="Arial"/>
        </w:rPr>
        <w:t>Wake Forest, North Carolina</w:t>
      </w:r>
      <w:r w:rsidRPr="009D5E48">
        <w:rPr>
          <w:rFonts w:cs="Arial"/>
        </w:rPr>
        <w:tab/>
        <w:t>Issued by the Public Utilities Commission of Ohio</w:t>
      </w:r>
    </w:p>
    <w:p w:rsidR="00B40FDA" w:rsidRDefault="00B40FDA" w:rsidP="002052DA">
      <w:pPr>
        <w:rPr>
          <w:rFonts w:cs="Arial"/>
          <w:b/>
          <w:color w:val="7F7F7F"/>
          <w:sz w:val="16"/>
          <w:szCs w:val="16"/>
        </w:rPr>
      </w:pPr>
    </w:p>
    <w:p w:rsidR="00B40FDA" w:rsidRDefault="002052DA" w:rsidP="002052DA">
      <w:pPr>
        <w:rPr>
          <w:rFonts w:cs="Arial"/>
          <w:b/>
          <w:color w:val="7F7F7F"/>
          <w:sz w:val="16"/>
          <w:szCs w:val="16"/>
        </w:rPr>
      </w:pPr>
      <w:r w:rsidRPr="009D5E48">
        <w:rPr>
          <w:rFonts w:cs="Arial"/>
          <w:b/>
          <w:color w:val="7F7F7F"/>
          <w:sz w:val="16"/>
          <w:szCs w:val="16"/>
        </w:rPr>
        <w:t>OH 1</w:t>
      </w:r>
      <w:r w:rsidR="00F76E83">
        <w:rPr>
          <w:rFonts w:cs="Arial"/>
          <w:b/>
          <w:color w:val="7F7F7F"/>
          <w:sz w:val="16"/>
          <w:szCs w:val="16"/>
        </w:rPr>
        <w:t>9-09</w:t>
      </w:r>
    </w:p>
    <w:p w:rsidR="002052DA" w:rsidRPr="009D5E48" w:rsidRDefault="002052DA" w:rsidP="002052DA">
      <w:pPr>
        <w:tabs>
          <w:tab w:val="center" w:pos="4680"/>
          <w:tab w:val="right" w:pos="9360"/>
        </w:tabs>
        <w:spacing w:line="216" w:lineRule="auto"/>
      </w:pPr>
      <w:r w:rsidRPr="009D5E48">
        <w:rPr>
          <w:rFonts w:cs="Arial"/>
          <w:b/>
          <w:color w:val="BFBFBF"/>
          <w:sz w:val="16"/>
          <w:szCs w:val="18"/>
        </w:rPr>
        <w:br w:type="page"/>
      </w:r>
      <w:r w:rsidRPr="009D5E48">
        <w:lastRenderedPageBreak/>
        <w:t>CenturyTel of Ohio, Inc.</w:t>
      </w:r>
      <w:r w:rsidRPr="009D5E48">
        <w:tab/>
      </w:r>
      <w:r w:rsidRPr="009D5E48">
        <w:tab/>
        <w:t>Section 7</w:t>
      </w:r>
    </w:p>
    <w:p w:rsidR="002052DA" w:rsidRPr="009D5E48" w:rsidRDefault="002052DA" w:rsidP="002052DA">
      <w:pPr>
        <w:tabs>
          <w:tab w:val="center" w:pos="4680"/>
          <w:tab w:val="right" w:pos="9360"/>
        </w:tabs>
        <w:spacing w:line="216" w:lineRule="auto"/>
      </w:pPr>
      <w:r w:rsidRPr="009D5E48">
        <w:t>d/b/a CenturyLink</w:t>
      </w:r>
      <w:r w:rsidRPr="009D5E48">
        <w:tab/>
      </w:r>
      <w:r w:rsidRPr="009D5E48">
        <w:tab/>
      </w:r>
    </w:p>
    <w:p w:rsidR="002052DA" w:rsidRPr="009D5E48" w:rsidRDefault="002052DA" w:rsidP="002052DA">
      <w:pPr>
        <w:tabs>
          <w:tab w:val="center" w:pos="4680"/>
          <w:tab w:val="right" w:pos="9360"/>
        </w:tabs>
        <w:spacing w:line="220" w:lineRule="exact"/>
        <w:jc w:val="center"/>
      </w:pPr>
      <w:r w:rsidRPr="009D5E48">
        <w:tab/>
        <w:t>P.U.C.O. NO. 12</w:t>
      </w:r>
      <w:r w:rsidRPr="009D5E48">
        <w:tab/>
      </w:r>
      <w:r w:rsidR="00F76E83">
        <w:t>Thir</w:t>
      </w:r>
      <w:r w:rsidRPr="009D5E48">
        <w:t>d Revised Sheet 2</w:t>
      </w:r>
    </w:p>
    <w:p w:rsidR="002052DA" w:rsidRPr="009D5E48" w:rsidRDefault="002052DA" w:rsidP="002052DA">
      <w:pPr>
        <w:tabs>
          <w:tab w:val="center" w:pos="4680"/>
          <w:tab w:val="right" w:pos="9360"/>
        </w:tabs>
        <w:spacing w:line="220" w:lineRule="exact"/>
        <w:jc w:val="center"/>
      </w:pPr>
      <w:r w:rsidRPr="009D5E48">
        <w:tab/>
        <w:t>GENERAL EXCHANGE TARIFF</w:t>
      </w:r>
      <w:r w:rsidRPr="009D5E48">
        <w:tab/>
        <w:t xml:space="preserve">Cancels </w:t>
      </w:r>
      <w:r w:rsidR="00F76E83">
        <w:t>Secon</w:t>
      </w:r>
      <w:r w:rsidRPr="009D5E48">
        <w:t>d Revised Sheet 2</w:t>
      </w:r>
    </w:p>
    <w:p w:rsidR="002052DA" w:rsidRPr="009D5E48" w:rsidRDefault="002052DA" w:rsidP="002052DA">
      <w:pPr>
        <w:tabs>
          <w:tab w:val="right" w:pos="605"/>
          <w:tab w:val="left" w:pos="720"/>
          <w:tab w:val="left" w:pos="1080"/>
          <w:tab w:val="left" w:pos="1555"/>
          <w:tab w:val="left" w:pos="2045"/>
          <w:tab w:val="left" w:pos="2520"/>
          <w:tab w:val="left" w:pos="2880"/>
          <w:tab w:val="left" w:pos="3600"/>
          <w:tab w:val="left" w:pos="4075"/>
          <w:tab w:val="left" w:pos="4925"/>
          <w:tab w:val="right" w:pos="9360"/>
        </w:tabs>
        <w:suppressAutoHyphens/>
        <w:jc w:val="both"/>
        <w:rPr>
          <w:rFonts w:cs="Arial"/>
        </w:rPr>
      </w:pPr>
    </w:p>
    <w:tbl>
      <w:tblPr>
        <w:tblW w:w="10656" w:type="dxa"/>
        <w:tblLayout w:type="fixed"/>
        <w:tblLook w:val="0000" w:firstRow="0" w:lastRow="0" w:firstColumn="0" w:lastColumn="0" w:noHBand="0" w:noVBand="0"/>
      </w:tblPr>
      <w:tblGrid>
        <w:gridCol w:w="9608"/>
        <w:gridCol w:w="1048"/>
      </w:tblGrid>
      <w:tr w:rsidR="002052DA" w:rsidRPr="009D5E48" w:rsidTr="00F76E83">
        <w:trPr>
          <w:trHeight w:val="11520"/>
        </w:trPr>
        <w:tc>
          <w:tcPr>
            <w:tcW w:w="9608" w:type="dxa"/>
          </w:tcPr>
          <w:p w:rsidR="00963D41" w:rsidRPr="009E3C39"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r w:rsidRPr="005C6F7C">
              <w:rPr>
                <w:rFonts w:ascii="Arial" w:hAnsi="Arial" w:cs="Arial"/>
                <w:b/>
                <w:bCs/>
              </w:rPr>
              <w:t>RESERVED FOR FUTURE USE</w:t>
            </w:r>
          </w:p>
          <w:p w:rsidR="002052DA" w:rsidRPr="00F76E83" w:rsidRDefault="002052DA" w:rsidP="00B913C3">
            <w:pPr>
              <w:tabs>
                <w:tab w:val="left" w:pos="547"/>
                <w:tab w:val="left" w:pos="1080"/>
                <w:tab w:val="left" w:pos="1598"/>
                <w:tab w:val="left" w:pos="2160"/>
              </w:tabs>
              <w:suppressAutoHyphens/>
              <w:rPr>
                <w:rFonts w:cs="Arial"/>
                <w:spacing w:val="-2"/>
              </w:rPr>
            </w:pPr>
          </w:p>
          <w:p w:rsidR="002052DA" w:rsidRPr="00F76E83" w:rsidRDefault="002052DA" w:rsidP="00B913C3">
            <w:pPr>
              <w:tabs>
                <w:tab w:val="left" w:pos="720"/>
                <w:tab w:val="left" w:pos="1800"/>
                <w:tab w:val="left" w:pos="2160"/>
                <w:tab w:val="right" w:pos="9360"/>
              </w:tabs>
              <w:jc w:val="both"/>
              <w:rPr>
                <w:rFonts w:eastAsia="Calibri" w:cs="Arial"/>
              </w:rPr>
            </w:pPr>
          </w:p>
          <w:p w:rsidR="002052DA" w:rsidRDefault="002052DA" w:rsidP="00963D41">
            <w:pPr>
              <w:tabs>
                <w:tab w:val="left" w:pos="540"/>
                <w:tab w:val="left" w:pos="900"/>
                <w:tab w:val="left" w:pos="2160"/>
                <w:tab w:val="right" w:pos="9360"/>
              </w:tabs>
              <w:jc w:val="both"/>
              <w:rPr>
                <w:rFonts w:eastAsia="Calibri"/>
              </w:rPr>
            </w:pPr>
            <w:r w:rsidRPr="00F76E83">
              <w:rPr>
                <w:rFonts w:eastAsia="Calibri" w:cs="Arial"/>
              </w:rPr>
              <w:tab/>
            </w:r>
          </w:p>
          <w:p w:rsidR="002052DA" w:rsidRPr="00F76E83" w:rsidRDefault="002052DA" w:rsidP="00B913C3">
            <w:pPr>
              <w:tabs>
                <w:tab w:val="left" w:pos="720"/>
                <w:tab w:val="left" w:pos="1800"/>
                <w:tab w:val="left" w:pos="2160"/>
                <w:tab w:val="right" w:pos="9360"/>
              </w:tabs>
              <w:ind w:left="2520" w:hanging="360"/>
              <w:jc w:val="both"/>
              <w:rPr>
                <w:rFonts w:eastAsia="Calibri"/>
              </w:rPr>
            </w:pPr>
          </w:p>
          <w:p w:rsidR="002052DA" w:rsidRPr="00F76E83"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F76E83" w:rsidRDefault="002052DA" w:rsidP="00B913C3">
            <w:pPr>
              <w:tabs>
                <w:tab w:val="left" w:pos="547"/>
                <w:tab w:val="left" w:pos="1094"/>
                <w:tab w:val="left" w:pos="1598"/>
                <w:tab w:val="left" w:pos="2160"/>
              </w:tabs>
              <w:suppressAutoHyphens/>
              <w:ind w:left="1598" w:hanging="1598"/>
              <w:jc w:val="both"/>
              <w:rPr>
                <w:rFonts w:cs="Arial"/>
                <w:spacing w:val="-2"/>
              </w:rPr>
            </w:pPr>
          </w:p>
          <w:p w:rsidR="002052DA" w:rsidRPr="00F76E83" w:rsidRDefault="002052DA" w:rsidP="00B913C3">
            <w:pPr>
              <w:tabs>
                <w:tab w:val="left" w:pos="547"/>
                <w:tab w:val="left" w:pos="1094"/>
                <w:tab w:val="left" w:pos="1598"/>
                <w:tab w:val="left" w:pos="2160"/>
              </w:tabs>
              <w:suppressAutoHyphens/>
              <w:jc w:val="both"/>
              <w:rPr>
                <w:rFonts w:cs="Arial"/>
                <w:spacing w:val="-2"/>
              </w:rPr>
            </w:pPr>
          </w:p>
        </w:tc>
        <w:tc>
          <w:tcPr>
            <w:tcW w:w="1048" w:type="dxa"/>
          </w:tcPr>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r>
              <w:rPr>
                <w:rFonts w:ascii="Arial" w:hAnsi="Arial" w:cs="Arial"/>
              </w:rPr>
              <w:t>(C)</w:t>
            </w: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r>
              <w:rPr>
                <w:rFonts w:ascii="Arial" w:hAnsi="Arial" w:cs="Arial"/>
              </w:rPr>
              <w:t>(D)</w:t>
            </w: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r>
              <w:rPr>
                <w:rFonts w:ascii="Arial" w:hAnsi="Arial" w:cs="Arial"/>
              </w:rPr>
              <w:t>(D)</w:t>
            </w:r>
          </w:p>
          <w:p w:rsidR="00F76E83" w:rsidRPr="009D5E48" w:rsidRDefault="00F76E83" w:rsidP="008B6208">
            <w:pPr>
              <w:suppressAutoHyphens/>
              <w:jc w:val="center"/>
              <w:rPr>
                <w:rFonts w:cs="Arial"/>
              </w:rPr>
            </w:pPr>
          </w:p>
        </w:tc>
      </w:tr>
    </w:tbl>
    <w:p w:rsidR="00F76E83" w:rsidRPr="009D5E48" w:rsidRDefault="00F76E83" w:rsidP="00F76E83">
      <w:pPr>
        <w:tabs>
          <w:tab w:val="right" w:pos="9360"/>
        </w:tabs>
        <w:ind w:right="-270"/>
        <w:rPr>
          <w:rFonts w:cs="Arial"/>
        </w:rPr>
      </w:pPr>
      <w:r w:rsidRPr="009D5E48">
        <w:rPr>
          <w:rFonts w:cs="Arial"/>
        </w:rPr>
        <w:t xml:space="preserve">Issued:  </w:t>
      </w:r>
      <w:r w:rsidR="009A04FE">
        <w:rPr>
          <w:rFonts w:cs="Arial"/>
        </w:rPr>
        <w:t>December 1</w:t>
      </w:r>
      <w:r>
        <w:rPr>
          <w:rFonts w:cs="Arial"/>
        </w:rPr>
        <w:t>, 2019</w:t>
      </w:r>
      <w:r w:rsidRPr="009D5E48">
        <w:rPr>
          <w:rFonts w:cs="Arial"/>
        </w:rPr>
        <w:tab/>
        <w:t xml:space="preserve">Effective:  December </w:t>
      </w:r>
      <w:r>
        <w:rPr>
          <w:rFonts w:cs="Arial"/>
        </w:rPr>
        <w:t>1, 2019</w:t>
      </w:r>
      <w:r w:rsidRPr="009D5E48">
        <w:rPr>
          <w:rFonts w:cs="Arial"/>
        </w:rPr>
        <w:t xml:space="preserve"> </w:t>
      </w:r>
    </w:p>
    <w:p w:rsidR="00F76E83" w:rsidRPr="009D5E48" w:rsidRDefault="00F76E83" w:rsidP="00F76E83">
      <w:pPr>
        <w:tabs>
          <w:tab w:val="right" w:pos="9360"/>
        </w:tabs>
        <w:ind w:right="-270"/>
        <w:rPr>
          <w:rFonts w:cs="Arial"/>
        </w:rPr>
      </w:pPr>
    </w:p>
    <w:p w:rsidR="00F76E83" w:rsidRPr="009D5E48" w:rsidRDefault="00F76E83" w:rsidP="00F76E83">
      <w:pPr>
        <w:tabs>
          <w:tab w:val="right" w:pos="9360"/>
        </w:tabs>
        <w:ind w:right="-270"/>
        <w:rPr>
          <w:rFonts w:cs="Arial"/>
        </w:rPr>
      </w:pPr>
      <w:r w:rsidRPr="009D5E48">
        <w:rPr>
          <w:rFonts w:cs="Arial"/>
        </w:rPr>
        <w:t>CenturyTel of Ohio, Inc. d/b/a CenturyLink</w:t>
      </w:r>
      <w:r w:rsidRPr="009D5E48">
        <w:rPr>
          <w:rFonts w:cs="Arial"/>
        </w:rPr>
        <w:tab/>
      </w:r>
      <w:proofErr w:type="gramStart"/>
      <w:r w:rsidRPr="009D5E48">
        <w:rPr>
          <w:rFonts w:cs="Arial"/>
        </w:rPr>
        <w:t>In</w:t>
      </w:r>
      <w:proofErr w:type="gramEnd"/>
      <w:r w:rsidRPr="009D5E48">
        <w:rPr>
          <w:rFonts w:cs="Arial"/>
        </w:rPr>
        <w:t xml:space="preserve"> accordance with Case Nos.: 90-5010-TP-TRF</w:t>
      </w:r>
    </w:p>
    <w:p w:rsidR="00F76E83" w:rsidRPr="009D5E48" w:rsidRDefault="00F76E83" w:rsidP="00F76E83">
      <w:pPr>
        <w:tabs>
          <w:tab w:val="right" w:pos="9360"/>
        </w:tabs>
        <w:ind w:right="-270"/>
        <w:rPr>
          <w:rFonts w:cs="Arial"/>
        </w:rPr>
      </w:pPr>
      <w:r w:rsidRPr="009D5E48">
        <w:t>By Bill Hanchey, Vice President</w:t>
      </w:r>
      <w:r w:rsidRPr="009D5E48">
        <w:rPr>
          <w:rFonts w:cs="Arial"/>
        </w:rPr>
        <w:tab/>
        <w:t xml:space="preserve">and </w:t>
      </w:r>
      <w:r>
        <w:rPr>
          <w:rFonts w:cs="Arial"/>
        </w:rPr>
        <w:t>19-</w:t>
      </w:r>
      <w:r w:rsidR="00B0733F">
        <w:rPr>
          <w:rFonts w:cs="Arial"/>
        </w:rPr>
        <w:t>2006</w:t>
      </w:r>
      <w:r w:rsidRPr="009D5E48">
        <w:rPr>
          <w:rFonts w:cs="Arial"/>
        </w:rPr>
        <w:t>-TP-ATA</w:t>
      </w:r>
    </w:p>
    <w:p w:rsidR="00F76E83" w:rsidRPr="009D5E48" w:rsidRDefault="00F76E83" w:rsidP="00F76E83">
      <w:pPr>
        <w:tabs>
          <w:tab w:val="right" w:pos="9360"/>
        </w:tabs>
        <w:ind w:right="-270"/>
        <w:rPr>
          <w:rFonts w:cs="Arial"/>
        </w:rPr>
      </w:pPr>
      <w:r w:rsidRPr="009D5E48">
        <w:rPr>
          <w:rFonts w:cs="Arial"/>
        </w:rPr>
        <w:t>Wake Forest, North Carolina</w:t>
      </w:r>
      <w:r w:rsidRPr="009D5E48">
        <w:rPr>
          <w:rFonts w:cs="Arial"/>
        </w:rPr>
        <w:tab/>
        <w:t>Issued by the Public Utilities Commission of Ohio</w:t>
      </w:r>
    </w:p>
    <w:p w:rsidR="00F76E83" w:rsidRPr="009D5E48" w:rsidRDefault="00F76E83" w:rsidP="00F76E83">
      <w:pPr>
        <w:tabs>
          <w:tab w:val="right" w:pos="9360"/>
        </w:tabs>
        <w:ind w:right="-270"/>
        <w:rPr>
          <w:rFonts w:cs="Arial"/>
        </w:rPr>
      </w:pPr>
    </w:p>
    <w:p w:rsidR="00F76E83" w:rsidRDefault="00F76E83" w:rsidP="00F76E83">
      <w:pPr>
        <w:rPr>
          <w:rFonts w:cs="Arial"/>
          <w:b/>
          <w:color w:val="7F7F7F"/>
          <w:sz w:val="16"/>
          <w:szCs w:val="16"/>
        </w:rPr>
      </w:pPr>
      <w:r w:rsidRPr="009D5E48">
        <w:rPr>
          <w:rFonts w:cs="Arial"/>
          <w:b/>
          <w:color w:val="7F7F7F"/>
          <w:sz w:val="16"/>
          <w:szCs w:val="16"/>
        </w:rPr>
        <w:t>OH 1</w:t>
      </w:r>
      <w:r>
        <w:rPr>
          <w:rFonts w:cs="Arial"/>
          <w:b/>
          <w:color w:val="7F7F7F"/>
          <w:sz w:val="16"/>
          <w:szCs w:val="16"/>
        </w:rPr>
        <w:t>9-09</w:t>
      </w:r>
    </w:p>
    <w:p w:rsidR="00F76E83" w:rsidRDefault="00F76E83">
      <w:pPr>
        <w:spacing w:after="200" w:line="276" w:lineRule="auto"/>
        <w:rPr>
          <w:rFonts w:cs="Arial"/>
          <w:b/>
          <w:color w:val="7F7F7F"/>
          <w:sz w:val="16"/>
          <w:szCs w:val="16"/>
        </w:rPr>
      </w:pPr>
      <w:r>
        <w:rPr>
          <w:rFonts w:cs="Arial"/>
          <w:b/>
          <w:color w:val="7F7F7F"/>
          <w:sz w:val="16"/>
          <w:szCs w:val="16"/>
        </w:rPr>
        <w:br w:type="page"/>
      </w:r>
    </w:p>
    <w:p w:rsidR="002052DA" w:rsidRPr="009D5E48" w:rsidRDefault="002052DA" w:rsidP="002052DA">
      <w:pPr>
        <w:tabs>
          <w:tab w:val="center" w:pos="4680"/>
          <w:tab w:val="right" w:pos="9360"/>
        </w:tabs>
        <w:spacing w:line="220" w:lineRule="exact"/>
      </w:pPr>
      <w:r w:rsidRPr="009D5E48">
        <w:lastRenderedPageBreak/>
        <w:t>CenturyTel of Ohio, Inc.</w:t>
      </w:r>
      <w:r w:rsidRPr="009D5E48">
        <w:tab/>
      </w:r>
      <w:r w:rsidRPr="009D5E48">
        <w:tab/>
        <w:t>Section 7</w:t>
      </w:r>
    </w:p>
    <w:p w:rsidR="002052DA" w:rsidRPr="009D5E48" w:rsidRDefault="002052DA" w:rsidP="002052DA">
      <w:pPr>
        <w:tabs>
          <w:tab w:val="center" w:pos="4680"/>
          <w:tab w:val="right" w:pos="9360"/>
        </w:tabs>
        <w:spacing w:line="220" w:lineRule="exact"/>
      </w:pPr>
      <w:r w:rsidRPr="009D5E48">
        <w:t>d/b/a CenturyLink</w:t>
      </w:r>
      <w:r w:rsidRPr="009D5E48">
        <w:tab/>
      </w:r>
    </w:p>
    <w:p w:rsidR="002052DA" w:rsidRPr="009D5E48" w:rsidRDefault="002052DA" w:rsidP="002052DA">
      <w:pPr>
        <w:tabs>
          <w:tab w:val="center" w:pos="4680"/>
          <w:tab w:val="right" w:pos="9360"/>
        </w:tabs>
        <w:spacing w:line="220" w:lineRule="exact"/>
        <w:jc w:val="center"/>
      </w:pPr>
      <w:r w:rsidRPr="009D5E48">
        <w:tab/>
        <w:t>P.U.C.O. NO. 12</w:t>
      </w:r>
      <w:r w:rsidRPr="009D5E48">
        <w:tab/>
      </w:r>
      <w:r w:rsidR="004F43F2">
        <w:t>Thir</w:t>
      </w:r>
      <w:r w:rsidRPr="009D5E48">
        <w:t>d Revised Sheet 3</w:t>
      </w:r>
    </w:p>
    <w:p w:rsidR="002052DA" w:rsidRPr="009D5E48" w:rsidRDefault="002052DA" w:rsidP="002052DA">
      <w:pPr>
        <w:tabs>
          <w:tab w:val="center" w:pos="4680"/>
          <w:tab w:val="right" w:pos="9360"/>
        </w:tabs>
        <w:spacing w:line="220" w:lineRule="exact"/>
        <w:jc w:val="center"/>
      </w:pPr>
      <w:r w:rsidRPr="009D5E48">
        <w:tab/>
        <w:t>GENERAL EXCHANGE TARIFF</w:t>
      </w:r>
      <w:r w:rsidRPr="009D5E48">
        <w:tab/>
        <w:t xml:space="preserve">Cancels </w:t>
      </w:r>
      <w:r w:rsidR="004F43F2">
        <w:t>Second</w:t>
      </w:r>
      <w:r w:rsidRPr="009D5E48">
        <w:t xml:space="preserve"> Revised Sheet 3</w:t>
      </w:r>
    </w:p>
    <w:p w:rsidR="002052DA" w:rsidRPr="009D5E48" w:rsidRDefault="002052DA" w:rsidP="002052DA">
      <w:pPr>
        <w:tabs>
          <w:tab w:val="right" w:pos="605"/>
          <w:tab w:val="left" w:pos="720"/>
          <w:tab w:val="left" w:pos="1080"/>
          <w:tab w:val="left" w:pos="1555"/>
          <w:tab w:val="left" w:pos="2045"/>
          <w:tab w:val="left" w:pos="2520"/>
          <w:tab w:val="left" w:pos="2880"/>
          <w:tab w:val="left" w:pos="3600"/>
          <w:tab w:val="left" w:pos="4075"/>
          <w:tab w:val="left" w:pos="4925"/>
          <w:tab w:val="right" w:pos="9360"/>
        </w:tabs>
        <w:suppressAutoHyphens/>
        <w:jc w:val="both"/>
        <w:rPr>
          <w:rFonts w:cs="Arial"/>
        </w:rPr>
      </w:pPr>
    </w:p>
    <w:tbl>
      <w:tblPr>
        <w:tblW w:w="10728" w:type="dxa"/>
        <w:tblLayout w:type="fixed"/>
        <w:tblLook w:val="0000" w:firstRow="0" w:lastRow="0" w:firstColumn="0" w:lastColumn="0" w:noHBand="0" w:noVBand="0"/>
      </w:tblPr>
      <w:tblGrid>
        <w:gridCol w:w="9568"/>
        <w:gridCol w:w="1160"/>
      </w:tblGrid>
      <w:tr w:rsidR="002052DA" w:rsidRPr="009D5E48" w:rsidTr="00F76E83">
        <w:trPr>
          <w:trHeight w:val="11520"/>
        </w:trPr>
        <w:tc>
          <w:tcPr>
            <w:tcW w:w="9568" w:type="dxa"/>
          </w:tcPr>
          <w:p w:rsidR="00963D41" w:rsidRPr="009E3C39"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r w:rsidRPr="005C6F7C">
              <w:rPr>
                <w:rFonts w:ascii="Arial" w:hAnsi="Arial" w:cs="Arial"/>
                <w:b/>
                <w:bCs/>
              </w:rPr>
              <w:t xml:space="preserve">RESERVED </w:t>
            </w:r>
          </w:p>
          <w:p w:rsidR="002052DA" w:rsidRPr="004F43F2" w:rsidRDefault="002052DA" w:rsidP="00B913C3">
            <w:pPr>
              <w:tabs>
                <w:tab w:val="left" w:pos="547"/>
                <w:tab w:val="left" w:pos="1080"/>
                <w:tab w:val="left" w:pos="1598"/>
                <w:tab w:val="left" w:pos="2160"/>
              </w:tabs>
              <w:suppressAutoHyphens/>
              <w:rPr>
                <w:rFonts w:cs="Arial"/>
                <w:spacing w:val="-2"/>
              </w:rPr>
            </w:pPr>
          </w:p>
          <w:p w:rsidR="002052DA" w:rsidRDefault="002052DA"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p>
          <w:p w:rsidR="001F6EC4" w:rsidRDefault="001F6EC4" w:rsidP="004F43F2">
            <w:pPr>
              <w:tabs>
                <w:tab w:val="left" w:pos="720"/>
                <w:tab w:val="left" w:pos="1800"/>
                <w:tab w:val="left" w:pos="2160"/>
                <w:tab w:val="right" w:pos="9360"/>
              </w:tabs>
              <w:jc w:val="both"/>
              <w:rPr>
                <w:rFonts w:cs="Arial"/>
                <w:spacing w:val="-2"/>
              </w:rPr>
            </w:pPr>
            <w:r>
              <w:rPr>
                <w:rFonts w:cs="Arial"/>
                <w:spacing w:val="-2"/>
              </w:rPr>
              <w:t>(M)</w:t>
            </w:r>
            <w:r>
              <w:rPr>
                <w:rFonts w:cs="Arial"/>
                <w:spacing w:val="-2"/>
              </w:rPr>
              <w:tab/>
              <w:t>Material was moved to Sheet 1 of this section.</w:t>
            </w:r>
          </w:p>
          <w:p w:rsidR="001F6EC4" w:rsidRDefault="001F6EC4" w:rsidP="004F43F2">
            <w:pPr>
              <w:tabs>
                <w:tab w:val="left" w:pos="720"/>
                <w:tab w:val="left" w:pos="1800"/>
                <w:tab w:val="left" w:pos="2160"/>
                <w:tab w:val="right" w:pos="9360"/>
              </w:tabs>
              <w:jc w:val="both"/>
              <w:rPr>
                <w:rFonts w:cs="Arial"/>
                <w:spacing w:val="-2"/>
              </w:rPr>
            </w:pPr>
          </w:p>
          <w:p w:rsidR="001F6EC4" w:rsidRPr="004F43F2" w:rsidRDefault="001F6EC4" w:rsidP="004F43F2">
            <w:pPr>
              <w:tabs>
                <w:tab w:val="left" w:pos="720"/>
                <w:tab w:val="left" w:pos="1800"/>
                <w:tab w:val="left" w:pos="2160"/>
                <w:tab w:val="right" w:pos="9360"/>
              </w:tabs>
              <w:jc w:val="both"/>
              <w:rPr>
                <w:rFonts w:cs="Arial"/>
                <w:spacing w:val="-2"/>
              </w:rPr>
            </w:pPr>
          </w:p>
        </w:tc>
        <w:tc>
          <w:tcPr>
            <w:tcW w:w="1160" w:type="dxa"/>
          </w:tcPr>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r>
              <w:rPr>
                <w:rFonts w:ascii="Arial" w:hAnsi="Arial" w:cs="Arial"/>
              </w:rPr>
              <w:t>(C)</w:t>
            </w: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r>
              <w:rPr>
                <w:rFonts w:ascii="Arial" w:hAnsi="Arial" w:cs="Arial"/>
              </w:rPr>
              <w:t>(D)</w:t>
            </w: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62"/>
              </w:tabs>
              <w:spacing w:line="240" w:lineRule="auto"/>
              <w:jc w:val="left"/>
              <w:rPr>
                <w:rFonts w:ascii="Arial" w:hAnsi="Arial" w:cs="Arial"/>
              </w:rPr>
            </w:pPr>
          </w:p>
          <w:p w:rsidR="00963D41" w:rsidRDefault="00963D41"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r>
              <w:rPr>
                <w:rFonts w:ascii="Arial" w:hAnsi="Arial" w:cs="Arial"/>
              </w:rPr>
              <w:t>(D)</w:t>
            </w:r>
          </w:p>
          <w:p w:rsidR="001F6EC4" w:rsidRDefault="001F6EC4"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p>
          <w:p w:rsidR="001F6EC4" w:rsidRDefault="001F6EC4"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p>
          <w:p w:rsidR="001F6EC4" w:rsidRDefault="001F6EC4"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p>
          <w:p w:rsidR="001F6EC4" w:rsidRDefault="001F6EC4"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r>
              <w:rPr>
                <w:rFonts w:ascii="Arial" w:hAnsi="Arial" w:cs="Arial"/>
              </w:rPr>
              <w:t>(M)</w:t>
            </w:r>
          </w:p>
          <w:p w:rsidR="001F6EC4" w:rsidRDefault="001F6EC4" w:rsidP="001F6EC4">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53"/>
              </w:tabs>
              <w:spacing w:line="240" w:lineRule="auto"/>
              <w:jc w:val="left"/>
              <w:rPr>
                <w:rFonts w:ascii="Arial" w:hAnsi="Arial" w:cs="Arial"/>
              </w:rPr>
            </w:pPr>
          </w:p>
          <w:p w:rsidR="001F6EC4" w:rsidRDefault="001F6EC4" w:rsidP="001F6EC4">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53"/>
              </w:tabs>
              <w:spacing w:line="240" w:lineRule="auto"/>
              <w:jc w:val="left"/>
              <w:rPr>
                <w:rFonts w:ascii="Arial" w:hAnsi="Arial" w:cs="Arial"/>
              </w:rPr>
            </w:pPr>
          </w:p>
          <w:p w:rsidR="001F6EC4" w:rsidRDefault="001F6EC4" w:rsidP="001F6EC4">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bar" w:pos="153"/>
              </w:tabs>
              <w:spacing w:line="240" w:lineRule="auto"/>
              <w:jc w:val="left"/>
              <w:rPr>
                <w:rFonts w:ascii="Arial" w:hAnsi="Arial" w:cs="Arial"/>
              </w:rPr>
            </w:pPr>
          </w:p>
          <w:p w:rsidR="001F6EC4" w:rsidRDefault="001F6EC4" w:rsidP="00963D41">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r>
              <w:rPr>
                <w:rFonts w:ascii="Arial" w:hAnsi="Arial" w:cs="Arial"/>
              </w:rPr>
              <w:t>(M)</w:t>
            </w:r>
          </w:p>
          <w:p w:rsidR="004F43F2" w:rsidRPr="009D5E48" w:rsidRDefault="004F43F2" w:rsidP="00B913C3">
            <w:pPr>
              <w:suppressAutoHyphens/>
              <w:jc w:val="center"/>
              <w:rPr>
                <w:rFonts w:cs="Arial"/>
                <w:spacing w:val="-2"/>
              </w:rPr>
            </w:pPr>
          </w:p>
        </w:tc>
      </w:tr>
    </w:tbl>
    <w:p w:rsidR="00F76E83" w:rsidRPr="009D5E48" w:rsidRDefault="00F76E83" w:rsidP="00F76E83">
      <w:pPr>
        <w:tabs>
          <w:tab w:val="right" w:pos="9360"/>
        </w:tabs>
        <w:ind w:right="-270"/>
        <w:rPr>
          <w:rFonts w:cs="Arial"/>
        </w:rPr>
      </w:pPr>
      <w:r w:rsidRPr="009D5E48">
        <w:rPr>
          <w:rFonts w:cs="Arial"/>
        </w:rPr>
        <w:t xml:space="preserve">Issued:  </w:t>
      </w:r>
      <w:r w:rsidR="009A04FE">
        <w:rPr>
          <w:rFonts w:cs="Arial"/>
        </w:rPr>
        <w:t>December 1</w:t>
      </w:r>
      <w:r>
        <w:rPr>
          <w:rFonts w:cs="Arial"/>
        </w:rPr>
        <w:t>, 2019</w:t>
      </w:r>
      <w:r w:rsidRPr="009D5E48">
        <w:rPr>
          <w:rFonts w:cs="Arial"/>
        </w:rPr>
        <w:tab/>
        <w:t xml:space="preserve">Effective:  December </w:t>
      </w:r>
      <w:r>
        <w:rPr>
          <w:rFonts w:cs="Arial"/>
        </w:rPr>
        <w:t>1, 2019</w:t>
      </w:r>
      <w:r w:rsidRPr="009D5E48">
        <w:rPr>
          <w:rFonts w:cs="Arial"/>
        </w:rPr>
        <w:t xml:space="preserve"> </w:t>
      </w:r>
    </w:p>
    <w:p w:rsidR="00F76E83" w:rsidRPr="009D5E48" w:rsidRDefault="00F76E83" w:rsidP="00F76E83">
      <w:pPr>
        <w:tabs>
          <w:tab w:val="right" w:pos="9360"/>
        </w:tabs>
        <w:ind w:right="-270"/>
        <w:rPr>
          <w:rFonts w:cs="Arial"/>
        </w:rPr>
      </w:pPr>
    </w:p>
    <w:p w:rsidR="00F76E83" w:rsidRPr="009D5E48" w:rsidRDefault="00F76E83" w:rsidP="00F76E83">
      <w:pPr>
        <w:tabs>
          <w:tab w:val="right" w:pos="9360"/>
        </w:tabs>
        <w:ind w:right="-270"/>
        <w:rPr>
          <w:rFonts w:cs="Arial"/>
        </w:rPr>
      </w:pPr>
      <w:r w:rsidRPr="009D5E48">
        <w:rPr>
          <w:rFonts w:cs="Arial"/>
        </w:rPr>
        <w:t>CenturyTel of Ohio, Inc. d/b/a CenturyLink</w:t>
      </w:r>
      <w:r w:rsidRPr="009D5E48">
        <w:rPr>
          <w:rFonts w:cs="Arial"/>
        </w:rPr>
        <w:tab/>
      </w:r>
      <w:proofErr w:type="gramStart"/>
      <w:r w:rsidRPr="009D5E48">
        <w:rPr>
          <w:rFonts w:cs="Arial"/>
        </w:rPr>
        <w:t>In</w:t>
      </w:r>
      <w:proofErr w:type="gramEnd"/>
      <w:r w:rsidRPr="009D5E48">
        <w:rPr>
          <w:rFonts w:cs="Arial"/>
        </w:rPr>
        <w:t xml:space="preserve"> accordance with Case Nos.: 90-5010-TP-TRF</w:t>
      </w:r>
    </w:p>
    <w:p w:rsidR="00F76E83" w:rsidRPr="009D5E48" w:rsidRDefault="00F76E83" w:rsidP="00F76E83">
      <w:pPr>
        <w:tabs>
          <w:tab w:val="right" w:pos="9360"/>
        </w:tabs>
        <w:ind w:right="-270"/>
        <w:rPr>
          <w:rFonts w:cs="Arial"/>
        </w:rPr>
      </w:pPr>
      <w:r w:rsidRPr="009D5E48">
        <w:t>By Bill Hanchey, Vice President</w:t>
      </w:r>
      <w:r w:rsidRPr="009D5E48">
        <w:rPr>
          <w:rFonts w:cs="Arial"/>
        </w:rPr>
        <w:tab/>
        <w:t xml:space="preserve">and </w:t>
      </w:r>
      <w:r>
        <w:rPr>
          <w:rFonts w:cs="Arial"/>
        </w:rPr>
        <w:t>19-</w:t>
      </w:r>
      <w:r w:rsidR="00B0733F">
        <w:rPr>
          <w:rFonts w:cs="Arial"/>
        </w:rPr>
        <w:t>2006</w:t>
      </w:r>
      <w:r w:rsidRPr="009D5E48">
        <w:rPr>
          <w:rFonts w:cs="Arial"/>
        </w:rPr>
        <w:t>-TP-ATA</w:t>
      </w:r>
    </w:p>
    <w:p w:rsidR="00F76E83" w:rsidRPr="009D5E48" w:rsidRDefault="00F76E83" w:rsidP="00F76E83">
      <w:pPr>
        <w:tabs>
          <w:tab w:val="right" w:pos="9360"/>
        </w:tabs>
        <w:ind w:right="-270"/>
        <w:rPr>
          <w:rFonts w:cs="Arial"/>
        </w:rPr>
      </w:pPr>
      <w:r w:rsidRPr="009D5E48">
        <w:rPr>
          <w:rFonts w:cs="Arial"/>
        </w:rPr>
        <w:t>Wake Forest, North Carolina</w:t>
      </w:r>
      <w:r w:rsidRPr="009D5E48">
        <w:rPr>
          <w:rFonts w:cs="Arial"/>
        </w:rPr>
        <w:tab/>
        <w:t>Issued by the Public Utilities Commission of Ohio</w:t>
      </w:r>
    </w:p>
    <w:p w:rsidR="00F76E83" w:rsidRPr="009D5E48" w:rsidRDefault="00F76E83" w:rsidP="00F76E83">
      <w:pPr>
        <w:tabs>
          <w:tab w:val="right" w:pos="9360"/>
        </w:tabs>
        <w:ind w:right="-270"/>
        <w:rPr>
          <w:rFonts w:cs="Arial"/>
        </w:rPr>
      </w:pPr>
    </w:p>
    <w:p w:rsidR="00DA384C" w:rsidRPr="004F43F2" w:rsidRDefault="00F76E83" w:rsidP="004F43F2">
      <w:r w:rsidRPr="009D5E48">
        <w:rPr>
          <w:rFonts w:cs="Arial"/>
          <w:b/>
          <w:color w:val="7F7F7F"/>
          <w:sz w:val="16"/>
          <w:szCs w:val="16"/>
        </w:rPr>
        <w:t>OH 1</w:t>
      </w:r>
      <w:r>
        <w:rPr>
          <w:rFonts w:cs="Arial"/>
          <w:b/>
          <w:color w:val="7F7F7F"/>
          <w:sz w:val="16"/>
          <w:szCs w:val="16"/>
        </w:rPr>
        <w:t>9-0</w:t>
      </w:r>
      <w:r w:rsidR="004F43F2">
        <w:rPr>
          <w:rFonts w:cs="Arial"/>
          <w:b/>
          <w:color w:val="7F7F7F"/>
          <w:sz w:val="16"/>
          <w:szCs w:val="16"/>
        </w:rPr>
        <w:t>9</w:t>
      </w:r>
    </w:p>
    <w:sectPr w:rsidR="00DA384C" w:rsidRPr="004F43F2" w:rsidSect="002052D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D06F4"/>
    <w:multiLevelType w:val="hybridMultilevel"/>
    <w:tmpl w:val="F258B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52DA"/>
    <w:rsid w:val="00096DD4"/>
    <w:rsid w:val="001F6EC4"/>
    <w:rsid w:val="002052DA"/>
    <w:rsid w:val="002B1A28"/>
    <w:rsid w:val="0035750A"/>
    <w:rsid w:val="004F43F2"/>
    <w:rsid w:val="005A3AD5"/>
    <w:rsid w:val="005F7E92"/>
    <w:rsid w:val="006B7F88"/>
    <w:rsid w:val="006E4499"/>
    <w:rsid w:val="00841736"/>
    <w:rsid w:val="008B3745"/>
    <w:rsid w:val="008B6208"/>
    <w:rsid w:val="00963D41"/>
    <w:rsid w:val="009A04FE"/>
    <w:rsid w:val="009B3045"/>
    <w:rsid w:val="009F2185"/>
    <w:rsid w:val="00A3568F"/>
    <w:rsid w:val="00B0733F"/>
    <w:rsid w:val="00B40FDA"/>
    <w:rsid w:val="00B57A5F"/>
    <w:rsid w:val="00C805B4"/>
    <w:rsid w:val="00D70B09"/>
    <w:rsid w:val="00F7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0496C-12BB-48D0-BC11-AE876E7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2DA"/>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rifftabs">
    <w:name w:val="Tariff tabs"/>
    <w:basedOn w:val="Normal"/>
    <w:uiPriority w:val="99"/>
    <w:rsid w:val="002052DA"/>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rPr>
  </w:style>
  <w:style w:type="paragraph" w:styleId="ListParagraph">
    <w:name w:val="List Paragraph"/>
    <w:basedOn w:val="Normal"/>
    <w:uiPriority w:val="99"/>
    <w:qFormat/>
    <w:rsid w:val="002052DA"/>
    <w:pPr>
      <w:ind w:left="720"/>
      <w:contextualSpacing/>
    </w:pPr>
    <w:rPr>
      <w:rFonts w:ascii="Palatino Linotype" w:hAnsi="Palatino Linotype"/>
      <w:sz w:val="24"/>
    </w:rPr>
  </w:style>
  <w:style w:type="character" w:styleId="Hyperlink">
    <w:name w:val="Hyperlink"/>
    <w:basedOn w:val="DefaultParagraphFont"/>
    <w:uiPriority w:val="99"/>
    <w:unhideWhenUsed/>
    <w:rsid w:val="009F2185"/>
    <w:rPr>
      <w:color w:val="0000FF" w:themeColor="hyperlink"/>
      <w:u w:val="single"/>
    </w:rPr>
  </w:style>
  <w:style w:type="character" w:styleId="UnresolvedMention">
    <w:name w:val="Unresolved Mention"/>
    <w:basedOn w:val="DefaultParagraphFont"/>
    <w:uiPriority w:val="99"/>
    <w:semiHidden/>
    <w:unhideWhenUsed/>
    <w:rsid w:val="009F2185"/>
    <w:rPr>
      <w:color w:val="605E5C"/>
      <w:shd w:val="clear" w:color="auto" w:fill="E1DFDD"/>
    </w:rPr>
  </w:style>
  <w:style w:type="character" w:styleId="FollowedHyperlink">
    <w:name w:val="FollowedHyperlink"/>
    <w:basedOn w:val="DefaultParagraphFont"/>
    <w:uiPriority w:val="99"/>
    <w:semiHidden/>
    <w:unhideWhenUsed/>
    <w:rsid w:val="00D70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nturylink.com/tariffs/oh_ut-oh_loc_t_no_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Levy, Debra A</cp:lastModifiedBy>
  <cp:revision>2</cp:revision>
  <dcterms:created xsi:type="dcterms:W3CDTF">2019-11-25T22:07:00Z</dcterms:created>
  <dcterms:modified xsi:type="dcterms:W3CDTF">2019-11-25T22:07:00Z</dcterms:modified>
</cp:coreProperties>
</file>