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35" w:rsidRDefault="00D77915">
      <w:pPr>
        <w:jc w:val="center"/>
        <w:rPr>
          <w:rFonts w:eastAsia="Times New Roman"/>
          <w:b/>
          <w:smallCaps/>
          <w:sz w:val="28"/>
          <w:szCs w:val="24"/>
        </w:rPr>
      </w:pPr>
      <w:r>
        <w:rPr>
          <w:rFonts w:eastAsia="Times New Roman"/>
          <w:b/>
          <w:smallCaps/>
          <w:sz w:val="28"/>
          <w:szCs w:val="24"/>
        </w:rPr>
        <w:t>Before</w:t>
      </w:r>
    </w:p>
    <w:p w:rsidR="003B1035" w:rsidRDefault="00D77915">
      <w:pPr>
        <w:spacing w:after="200" w:line="276" w:lineRule="auto"/>
        <w:jc w:val="center"/>
        <w:rPr>
          <w:rFonts w:eastAsia="Times New Roman"/>
          <w:b/>
          <w:smallCaps/>
          <w:sz w:val="28"/>
        </w:rPr>
      </w:pPr>
      <w:r>
        <w:rPr>
          <w:rFonts w:eastAsia="Times New Roman"/>
          <w:b/>
          <w:smallCaps/>
          <w:sz w:val="28"/>
        </w:rPr>
        <w:t>The Public Utilities Commission of Ohio</w:t>
      </w:r>
    </w:p>
    <w:p w:rsidR="003B1035" w:rsidRDefault="003B1035">
      <w:pPr>
        <w:rPr>
          <w:rFonts w:eastAsia="Times New Roman"/>
          <w:sz w:val="20"/>
          <w:szCs w:val="20"/>
        </w:rPr>
      </w:pPr>
    </w:p>
    <w:p w:rsidR="003B1035" w:rsidRDefault="00D77915">
      <w:pPr>
        <w:tabs>
          <w:tab w:val="left" w:pos="4680"/>
        </w:tabs>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 xml:space="preserve">The Dayton Power and Light Company </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12-426-EL-SSO</w:t>
      </w:r>
    </w:p>
    <w:p w:rsidR="003B1035" w:rsidRDefault="00D77915">
      <w:pPr>
        <w:tabs>
          <w:tab w:val="left" w:pos="4680"/>
          <w:tab w:val="left" w:pos="5400"/>
        </w:tabs>
        <w:rPr>
          <w:rFonts w:eastAsia="Times New Roman" w:cs="Times New Roman"/>
          <w:szCs w:val="24"/>
        </w:rPr>
      </w:pPr>
      <w:r>
        <w:rPr>
          <w:rFonts w:eastAsia="Times New Roman" w:cs="Times New Roman"/>
          <w:szCs w:val="24"/>
        </w:rPr>
        <w:t>for Approval of Its Market Rate Offer.</w:t>
      </w:r>
      <w:r>
        <w:rPr>
          <w:rFonts w:eastAsia="Times New Roman" w:cs="Times New Roman"/>
          <w:szCs w:val="24"/>
        </w:rPr>
        <w:tab/>
        <w:t>)</w:t>
      </w:r>
    </w:p>
    <w:p w:rsidR="003B1035" w:rsidRDefault="003B1035">
      <w:pPr>
        <w:tabs>
          <w:tab w:val="left" w:pos="4680"/>
          <w:tab w:val="left" w:pos="5400"/>
        </w:tabs>
        <w:rPr>
          <w:rFonts w:eastAsia="Times New Roman" w:cs="Times New Roman"/>
          <w:sz w:val="20"/>
          <w:szCs w:val="20"/>
        </w:rPr>
      </w:pPr>
    </w:p>
    <w:p w:rsidR="003B1035" w:rsidRDefault="00D77915">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12-427-EL-ATA</w:t>
      </w:r>
    </w:p>
    <w:p w:rsidR="003B1035" w:rsidRDefault="00D77915">
      <w:pPr>
        <w:tabs>
          <w:tab w:val="left" w:pos="4680"/>
        </w:tabs>
        <w:rPr>
          <w:rFonts w:eastAsia="Times New Roman" w:cs="Times New Roman"/>
          <w:szCs w:val="24"/>
        </w:rPr>
      </w:pPr>
      <w:r>
        <w:rPr>
          <w:rFonts w:eastAsia="Times New Roman" w:cs="Times New Roman"/>
          <w:szCs w:val="24"/>
        </w:rPr>
        <w:t>for Approval of Revised Tariffs.</w:t>
      </w:r>
      <w:r>
        <w:rPr>
          <w:rFonts w:eastAsia="Times New Roman" w:cs="Times New Roman"/>
          <w:szCs w:val="24"/>
        </w:rPr>
        <w:tab/>
        <w:t>)</w:t>
      </w:r>
    </w:p>
    <w:p w:rsidR="003B1035" w:rsidRDefault="003B1035">
      <w:pPr>
        <w:tabs>
          <w:tab w:val="left" w:pos="5040"/>
        </w:tabs>
        <w:rPr>
          <w:rFonts w:eastAsia="Times New Roman" w:cs="Times New Roman"/>
          <w:sz w:val="20"/>
          <w:szCs w:val="20"/>
        </w:rPr>
      </w:pPr>
    </w:p>
    <w:p w:rsidR="003B1035" w:rsidRDefault="00D77915">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12-428-EL-AAM</w:t>
      </w:r>
    </w:p>
    <w:p w:rsidR="003B1035" w:rsidRDefault="00D77915">
      <w:pPr>
        <w:tabs>
          <w:tab w:val="left" w:pos="4680"/>
          <w:tab w:val="left" w:pos="5400"/>
        </w:tabs>
        <w:rPr>
          <w:rFonts w:eastAsia="Times New Roman" w:cs="Times New Roman"/>
          <w:szCs w:val="24"/>
        </w:rPr>
      </w:pPr>
      <w:r>
        <w:rPr>
          <w:rFonts w:eastAsia="Times New Roman" w:cs="Times New Roman"/>
          <w:szCs w:val="24"/>
        </w:rPr>
        <w:t xml:space="preserve">for Approval of Certain Accounting </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Authority.</w:t>
      </w:r>
      <w:r>
        <w:rPr>
          <w:rFonts w:eastAsia="Times New Roman" w:cs="Times New Roman"/>
          <w:szCs w:val="24"/>
        </w:rPr>
        <w:tab/>
        <w:t>)</w:t>
      </w:r>
    </w:p>
    <w:p w:rsidR="003B1035" w:rsidRDefault="003B1035">
      <w:pPr>
        <w:tabs>
          <w:tab w:val="left" w:pos="4680"/>
        </w:tabs>
        <w:rPr>
          <w:rFonts w:eastAsia="Times New Roman" w:cs="Times New Roman"/>
          <w:sz w:val="20"/>
          <w:szCs w:val="20"/>
        </w:rPr>
      </w:pPr>
    </w:p>
    <w:p w:rsidR="003B1035" w:rsidRDefault="00D77915">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12-429-EL-WVR</w:t>
      </w:r>
    </w:p>
    <w:p w:rsidR="003B1035" w:rsidRDefault="00D77915">
      <w:pPr>
        <w:tabs>
          <w:tab w:val="left" w:pos="4680"/>
          <w:tab w:val="left" w:pos="5400"/>
        </w:tabs>
        <w:rPr>
          <w:rFonts w:eastAsia="Times New Roman" w:cs="Times New Roman"/>
          <w:szCs w:val="24"/>
        </w:rPr>
      </w:pPr>
      <w:r>
        <w:rPr>
          <w:rFonts w:eastAsia="Times New Roman" w:cs="Times New Roman"/>
          <w:szCs w:val="24"/>
        </w:rPr>
        <w:t>for Waiver of Certain Commission Rules.</w:t>
      </w:r>
      <w:r>
        <w:rPr>
          <w:rFonts w:eastAsia="Times New Roman" w:cs="Times New Roman"/>
          <w:szCs w:val="24"/>
        </w:rPr>
        <w:tab/>
        <w:t>)</w:t>
      </w:r>
    </w:p>
    <w:p w:rsidR="003B1035" w:rsidRDefault="003B1035">
      <w:pPr>
        <w:tabs>
          <w:tab w:val="left" w:pos="4680"/>
          <w:tab w:val="left" w:pos="5400"/>
        </w:tabs>
        <w:rPr>
          <w:rFonts w:eastAsia="Times New Roman" w:cs="Times New Roman"/>
          <w:sz w:val="20"/>
          <w:szCs w:val="20"/>
        </w:rPr>
      </w:pPr>
    </w:p>
    <w:p w:rsidR="003B1035" w:rsidRDefault="00D77915">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12-672-EL-RDR</w:t>
      </w:r>
    </w:p>
    <w:p w:rsidR="003B1035" w:rsidRDefault="00D77915">
      <w:pPr>
        <w:tabs>
          <w:tab w:val="left" w:pos="4680"/>
        </w:tabs>
        <w:rPr>
          <w:rFonts w:eastAsia="Times New Roman" w:cs="Times New Roman"/>
          <w:szCs w:val="24"/>
        </w:rPr>
      </w:pPr>
      <w:r>
        <w:rPr>
          <w:rFonts w:eastAsia="Times New Roman" w:cs="Times New Roman"/>
          <w:szCs w:val="24"/>
        </w:rPr>
        <w:t>to Establish Tariff Riders.</w:t>
      </w:r>
      <w:r>
        <w:rPr>
          <w:rFonts w:eastAsia="Times New Roman" w:cs="Times New Roman"/>
          <w:szCs w:val="24"/>
        </w:rPr>
        <w:tab/>
        <w:t>)</w:t>
      </w:r>
    </w:p>
    <w:p w:rsidR="003B1035" w:rsidRDefault="00D77915">
      <w:pPr>
        <w:jc w:val="left"/>
        <w:rPr>
          <w:b/>
          <w:smallCaps/>
          <w:sz w:val="20"/>
          <w:szCs w:val="20"/>
        </w:rPr>
      </w:pPr>
      <w:r>
        <w:rPr>
          <w:b/>
          <w:smallCaps/>
          <w:szCs w:val="24"/>
        </w:rPr>
        <w:t>_____________________________________________________________________</w:t>
      </w:r>
    </w:p>
    <w:p w:rsidR="003B1035" w:rsidRDefault="003B1035">
      <w:pPr>
        <w:jc w:val="center"/>
        <w:rPr>
          <w:b/>
          <w:sz w:val="20"/>
          <w:szCs w:val="20"/>
        </w:rPr>
      </w:pPr>
    </w:p>
    <w:p w:rsidR="003B1035" w:rsidRDefault="00D77915">
      <w:pPr>
        <w:jc w:val="center"/>
        <w:rPr>
          <w:rFonts w:ascii="Arial Bold" w:hAnsi="Arial Bold"/>
          <w:b/>
          <w:szCs w:val="24"/>
        </w:rPr>
      </w:pPr>
      <w:r>
        <w:rPr>
          <w:rFonts w:ascii="Arial Bold" w:hAnsi="Arial Bold"/>
          <w:b/>
          <w:szCs w:val="24"/>
        </w:rPr>
        <w:t>JOINT MOVANTS’ MOTION SEEKING AN ORDER DIRECTING THE DAYTON POWER AND LIGHT COMPANY TO COMPLY WITH THE STANDARD FILING REQUIREMENTS FOR AN ELECTRIC SECURITY PLAN AND MEMORANDUM IN SUPPORT AND MEMORANDUM CONTRA THE DAYTON POWER AND LIGHT COMPANY’S REQUESTS FOR WAIVERS</w:t>
      </w:r>
    </w:p>
    <w:p w:rsidR="003B1035" w:rsidRDefault="00D77915">
      <w:pPr>
        <w:jc w:val="center"/>
        <w:rPr>
          <w:rFonts w:ascii="Arial Bold" w:hAnsi="Arial Bold"/>
          <w:b/>
          <w:sz w:val="20"/>
          <w:szCs w:val="20"/>
        </w:rPr>
      </w:pPr>
      <w:r>
        <w:rPr>
          <w:rFonts w:ascii="Arial Bold" w:hAnsi="Arial Bold"/>
          <w:b/>
          <w:szCs w:val="24"/>
        </w:rPr>
        <w:t>______________________________________________________________________</w:t>
      </w:r>
    </w:p>
    <w:p w:rsidR="003B1035" w:rsidRDefault="003B1035">
      <w:pPr>
        <w:jc w:val="center"/>
        <w:rPr>
          <w:b/>
          <w:szCs w:val="24"/>
        </w:rPr>
      </w:pPr>
    </w:p>
    <w:p w:rsidR="003B1035" w:rsidRDefault="003B1035">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2A7839" w:rsidRDefault="002A7839">
      <w:pPr>
        <w:pStyle w:val="BodyText"/>
        <w:tabs>
          <w:tab w:val="left" w:pos="4301"/>
        </w:tabs>
        <w:ind w:left="4320"/>
        <w:jc w:val="left"/>
        <w:rPr>
          <w:b/>
          <w:bCs/>
        </w:rPr>
      </w:pPr>
    </w:p>
    <w:p w:rsidR="003B1035" w:rsidRDefault="00D77915">
      <w:pPr>
        <w:pStyle w:val="Title"/>
        <w:ind w:left="4320" w:hanging="4320"/>
        <w:jc w:val="left"/>
        <w:rPr>
          <w:bCs/>
          <w:smallCaps w:val="0"/>
          <w:sz w:val="24"/>
        </w:rPr>
        <w:sectPr w:rsidR="003B103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141" w:left="1440" w:header="720" w:footer="720" w:gutter="0"/>
          <w:pgNumType w:start="1"/>
          <w:cols w:space="720"/>
          <w:titlePg/>
          <w:docGrid w:linePitch="326"/>
        </w:sectPr>
      </w:pPr>
      <w:r>
        <w:rPr>
          <w:bCs/>
          <w:smallCaps w:val="0"/>
          <w:sz w:val="24"/>
        </w:rPr>
        <w:t>October 22, 2012</w:t>
      </w:r>
      <w:r>
        <w:rPr>
          <w:bCs/>
          <w:smallCaps w:val="0"/>
          <w:sz w:val="24"/>
        </w:rPr>
        <w:tab/>
      </w:r>
    </w:p>
    <w:p w:rsidR="003B1035" w:rsidRDefault="00D77915">
      <w:pPr>
        <w:jc w:val="center"/>
        <w:rPr>
          <w:rFonts w:eastAsia="Times New Roman"/>
          <w:b/>
          <w:smallCaps/>
          <w:sz w:val="28"/>
          <w:szCs w:val="24"/>
        </w:rPr>
      </w:pPr>
      <w:r>
        <w:rPr>
          <w:rFonts w:eastAsia="Times New Roman"/>
          <w:b/>
          <w:smallCaps/>
          <w:sz w:val="28"/>
          <w:szCs w:val="24"/>
        </w:rPr>
        <w:lastRenderedPageBreak/>
        <w:t>Before</w:t>
      </w:r>
    </w:p>
    <w:p w:rsidR="003B1035" w:rsidRDefault="00D77915">
      <w:pPr>
        <w:spacing w:after="200" w:line="276" w:lineRule="auto"/>
        <w:jc w:val="center"/>
        <w:rPr>
          <w:rFonts w:eastAsia="Times New Roman"/>
          <w:b/>
          <w:smallCaps/>
          <w:sz w:val="28"/>
        </w:rPr>
      </w:pPr>
      <w:r>
        <w:rPr>
          <w:rFonts w:eastAsia="Times New Roman"/>
          <w:b/>
          <w:smallCaps/>
          <w:sz w:val="28"/>
        </w:rPr>
        <w:t>The Public Utilities Commission of Ohio</w:t>
      </w:r>
    </w:p>
    <w:p w:rsidR="003B1035" w:rsidRDefault="003B1035">
      <w:pPr>
        <w:rPr>
          <w:rFonts w:eastAsia="Times New Roman"/>
          <w:szCs w:val="24"/>
        </w:rPr>
      </w:pPr>
    </w:p>
    <w:p w:rsidR="003B1035" w:rsidRDefault="00D77915">
      <w:pPr>
        <w:tabs>
          <w:tab w:val="left" w:pos="4680"/>
        </w:tabs>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 xml:space="preserve">The Dayton Power and Light Company </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12-426-EL-SSO</w:t>
      </w:r>
    </w:p>
    <w:p w:rsidR="003B1035" w:rsidRDefault="00D77915">
      <w:pPr>
        <w:tabs>
          <w:tab w:val="left" w:pos="4680"/>
          <w:tab w:val="left" w:pos="5400"/>
        </w:tabs>
        <w:rPr>
          <w:rFonts w:eastAsia="Times New Roman" w:cs="Times New Roman"/>
          <w:szCs w:val="24"/>
        </w:rPr>
      </w:pPr>
      <w:r>
        <w:rPr>
          <w:rFonts w:eastAsia="Times New Roman" w:cs="Times New Roman"/>
          <w:szCs w:val="24"/>
        </w:rPr>
        <w:t>for Approval of Its Market Rate Offer.</w:t>
      </w:r>
      <w:r>
        <w:rPr>
          <w:rFonts w:eastAsia="Times New Roman" w:cs="Times New Roman"/>
          <w:szCs w:val="24"/>
        </w:rPr>
        <w:tab/>
        <w:t>)</w:t>
      </w:r>
    </w:p>
    <w:p w:rsidR="003B1035" w:rsidRDefault="003B1035">
      <w:pPr>
        <w:tabs>
          <w:tab w:val="left" w:pos="4680"/>
          <w:tab w:val="left" w:pos="5400"/>
        </w:tabs>
        <w:rPr>
          <w:rFonts w:eastAsia="Times New Roman" w:cs="Times New Roman"/>
          <w:szCs w:val="24"/>
        </w:rPr>
      </w:pPr>
    </w:p>
    <w:p w:rsidR="003B1035" w:rsidRDefault="00D77915">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12-427-EL-ATA</w:t>
      </w:r>
    </w:p>
    <w:p w:rsidR="003B1035" w:rsidRDefault="00D77915">
      <w:pPr>
        <w:tabs>
          <w:tab w:val="left" w:pos="4680"/>
        </w:tabs>
        <w:rPr>
          <w:rFonts w:eastAsia="Times New Roman" w:cs="Times New Roman"/>
          <w:szCs w:val="24"/>
        </w:rPr>
      </w:pPr>
      <w:r>
        <w:rPr>
          <w:rFonts w:eastAsia="Times New Roman" w:cs="Times New Roman"/>
          <w:szCs w:val="24"/>
        </w:rPr>
        <w:t>for Approval of Revised Tariffs.</w:t>
      </w:r>
      <w:r>
        <w:rPr>
          <w:rFonts w:eastAsia="Times New Roman" w:cs="Times New Roman"/>
          <w:szCs w:val="24"/>
        </w:rPr>
        <w:tab/>
        <w:t>)</w:t>
      </w:r>
    </w:p>
    <w:p w:rsidR="003B1035" w:rsidRDefault="003B1035">
      <w:pPr>
        <w:tabs>
          <w:tab w:val="left" w:pos="5040"/>
        </w:tabs>
        <w:rPr>
          <w:rFonts w:eastAsia="Times New Roman" w:cs="Times New Roman"/>
          <w:szCs w:val="24"/>
        </w:rPr>
      </w:pPr>
    </w:p>
    <w:p w:rsidR="003B1035" w:rsidRDefault="00D77915">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12-428-EL-AAM</w:t>
      </w:r>
    </w:p>
    <w:p w:rsidR="003B1035" w:rsidRDefault="00D77915">
      <w:pPr>
        <w:tabs>
          <w:tab w:val="left" w:pos="4680"/>
          <w:tab w:val="left" w:pos="5400"/>
        </w:tabs>
        <w:rPr>
          <w:rFonts w:eastAsia="Times New Roman" w:cs="Times New Roman"/>
          <w:szCs w:val="24"/>
        </w:rPr>
      </w:pPr>
      <w:r>
        <w:rPr>
          <w:rFonts w:eastAsia="Times New Roman" w:cs="Times New Roman"/>
          <w:szCs w:val="24"/>
        </w:rPr>
        <w:t xml:space="preserve">for Approval of Certain Accounting </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Authority.</w:t>
      </w:r>
      <w:r>
        <w:rPr>
          <w:rFonts w:eastAsia="Times New Roman" w:cs="Times New Roman"/>
          <w:szCs w:val="24"/>
        </w:rPr>
        <w:tab/>
        <w:t>)</w:t>
      </w:r>
    </w:p>
    <w:p w:rsidR="003B1035" w:rsidRDefault="003B1035">
      <w:pPr>
        <w:tabs>
          <w:tab w:val="left" w:pos="4680"/>
        </w:tabs>
        <w:rPr>
          <w:rFonts w:eastAsia="Times New Roman" w:cs="Times New Roman"/>
          <w:szCs w:val="24"/>
        </w:rPr>
      </w:pPr>
    </w:p>
    <w:p w:rsidR="003B1035" w:rsidRDefault="00D77915">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12-429-EL-WVR</w:t>
      </w:r>
    </w:p>
    <w:p w:rsidR="003B1035" w:rsidRDefault="00D77915">
      <w:pPr>
        <w:tabs>
          <w:tab w:val="left" w:pos="4680"/>
          <w:tab w:val="left" w:pos="5400"/>
        </w:tabs>
        <w:rPr>
          <w:rFonts w:eastAsia="Times New Roman" w:cs="Times New Roman"/>
          <w:szCs w:val="24"/>
        </w:rPr>
      </w:pPr>
      <w:r>
        <w:rPr>
          <w:rFonts w:eastAsia="Times New Roman" w:cs="Times New Roman"/>
          <w:szCs w:val="24"/>
        </w:rPr>
        <w:t>for Waiver of Certain Commission Rules.</w:t>
      </w:r>
      <w:r>
        <w:rPr>
          <w:rFonts w:eastAsia="Times New Roman" w:cs="Times New Roman"/>
          <w:szCs w:val="24"/>
        </w:rPr>
        <w:tab/>
        <w:t>)</w:t>
      </w:r>
    </w:p>
    <w:p w:rsidR="003B1035" w:rsidRDefault="003B1035">
      <w:pPr>
        <w:tabs>
          <w:tab w:val="left" w:pos="4680"/>
          <w:tab w:val="left" w:pos="5400"/>
        </w:tabs>
        <w:rPr>
          <w:rFonts w:eastAsia="Times New Roman" w:cs="Times New Roman"/>
          <w:szCs w:val="24"/>
        </w:rPr>
      </w:pPr>
    </w:p>
    <w:p w:rsidR="003B1035" w:rsidRDefault="00D77915">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12-672-EL-RDR</w:t>
      </w:r>
    </w:p>
    <w:p w:rsidR="003B1035" w:rsidRDefault="00D77915">
      <w:pPr>
        <w:tabs>
          <w:tab w:val="left" w:pos="4680"/>
        </w:tabs>
        <w:rPr>
          <w:rFonts w:eastAsia="Times New Roman" w:cs="Times New Roman"/>
          <w:szCs w:val="24"/>
        </w:rPr>
      </w:pPr>
      <w:r>
        <w:rPr>
          <w:rFonts w:eastAsia="Times New Roman" w:cs="Times New Roman"/>
          <w:szCs w:val="24"/>
        </w:rPr>
        <w:t>to Establish Tariff Riders.</w:t>
      </w:r>
      <w:r>
        <w:rPr>
          <w:rFonts w:eastAsia="Times New Roman" w:cs="Times New Roman"/>
          <w:szCs w:val="24"/>
        </w:rPr>
        <w:tab/>
        <w:t>)</w:t>
      </w:r>
    </w:p>
    <w:p w:rsidR="003B1035" w:rsidRDefault="003B1035">
      <w:pPr>
        <w:tabs>
          <w:tab w:val="left" w:pos="4320"/>
          <w:tab w:val="right" w:pos="8640"/>
        </w:tabs>
        <w:jc w:val="center"/>
        <w:rPr>
          <w:b/>
          <w:caps/>
        </w:rPr>
      </w:pPr>
    </w:p>
    <w:p w:rsidR="003B1035" w:rsidRDefault="00D77915">
      <w:pPr>
        <w:tabs>
          <w:tab w:val="left" w:pos="4320"/>
          <w:tab w:val="right" w:pos="8640"/>
        </w:tabs>
        <w:jc w:val="center"/>
        <w:rPr>
          <w:b/>
          <w:caps/>
        </w:rPr>
      </w:pPr>
      <w:r>
        <w:rPr>
          <w:b/>
          <w:caps/>
        </w:rPr>
        <w:t>______________________________________________________________________</w:t>
      </w:r>
    </w:p>
    <w:p w:rsidR="003B1035" w:rsidRDefault="003B1035">
      <w:pPr>
        <w:tabs>
          <w:tab w:val="left" w:pos="4320"/>
          <w:tab w:val="right" w:pos="8640"/>
        </w:tabs>
        <w:jc w:val="center"/>
        <w:rPr>
          <w:b/>
          <w:caps/>
        </w:rPr>
      </w:pPr>
    </w:p>
    <w:p w:rsidR="003B1035" w:rsidRDefault="00D77915">
      <w:pPr>
        <w:tabs>
          <w:tab w:val="left" w:pos="4320"/>
          <w:tab w:val="right" w:pos="8640"/>
        </w:tabs>
        <w:jc w:val="center"/>
        <w:rPr>
          <w:b/>
          <w:caps/>
        </w:rPr>
      </w:pPr>
      <w:r>
        <w:rPr>
          <w:b/>
          <w:caps/>
        </w:rPr>
        <w:t>JOINT MOVANTS’</w:t>
      </w:r>
      <w:r>
        <w:rPr>
          <w:rStyle w:val="FootnoteReference"/>
          <w:b/>
          <w:caps/>
        </w:rPr>
        <w:footnoteReference w:id="1"/>
      </w:r>
      <w:r>
        <w:rPr>
          <w:b/>
          <w:caps/>
        </w:rPr>
        <w:t xml:space="preserve"> motion seeking an Order directing the Dayton power and light company to comply with the standard filing requirements for an electric security plan</w:t>
      </w:r>
    </w:p>
    <w:p w:rsidR="003B1035" w:rsidRDefault="00D77915">
      <w:pPr>
        <w:tabs>
          <w:tab w:val="left" w:pos="4320"/>
          <w:tab w:val="right" w:pos="8640"/>
        </w:tabs>
        <w:rPr>
          <w:b/>
          <w:caps/>
        </w:rPr>
      </w:pPr>
      <w:r>
        <w:rPr>
          <w:b/>
          <w:caps/>
        </w:rPr>
        <w:t>______________________________________________________________________</w:t>
      </w:r>
    </w:p>
    <w:p w:rsidR="003B1035" w:rsidRDefault="003B1035">
      <w:pPr>
        <w:tabs>
          <w:tab w:val="left" w:pos="4320"/>
          <w:tab w:val="right" w:pos="8640"/>
        </w:tabs>
        <w:rPr>
          <w:caps/>
        </w:rPr>
      </w:pPr>
    </w:p>
    <w:p w:rsidR="003B1035" w:rsidRDefault="003B1035">
      <w:pPr>
        <w:tabs>
          <w:tab w:val="left" w:pos="4320"/>
          <w:tab w:val="right" w:pos="8640"/>
        </w:tabs>
        <w:rPr>
          <w:color w:val="000000"/>
        </w:rPr>
      </w:pPr>
    </w:p>
    <w:p w:rsidR="003B1035" w:rsidRDefault="00D77915">
      <w:pPr>
        <w:spacing w:line="480" w:lineRule="auto"/>
        <w:rPr>
          <w:color w:val="000000"/>
        </w:rPr>
      </w:pPr>
      <w:r>
        <w:rPr>
          <w:color w:val="000000"/>
        </w:rPr>
        <w:tab/>
      </w:r>
      <w:r>
        <w:t xml:space="preserve">On October 5, 2012, the Dayton Power and Light Company (“DP&amp;L”) filed an application (“Application”) to establish a standard service offer (“SSO”) in the form of an electric security plan (“ESP”).  DP&amp;L’s Application, however, does not comply with the standard filing requirements for an ESP as established by Rule 4901:1-35-03, Ohio Administrative Code (“O.A.C.”). </w:t>
      </w:r>
      <w:r>
        <w:rPr>
          <w:color w:val="000000"/>
        </w:rPr>
        <w:t xml:space="preserve"> Specifically, DP&amp;L’s Application failed to include: </w:t>
      </w:r>
      <w:r>
        <w:rPr>
          <w:color w:val="000000"/>
        </w:rPr>
        <w:lastRenderedPageBreak/>
        <w:t>(1) “the projected costs” of the Yankee Solar project;</w:t>
      </w:r>
      <w:r>
        <w:rPr>
          <w:rStyle w:val="FootnoteReference"/>
          <w:color w:val="000000"/>
        </w:rPr>
        <w:footnoteReference w:id="2"/>
      </w:r>
      <w:r>
        <w:rPr>
          <w:color w:val="000000"/>
        </w:rPr>
        <w:t xml:space="preserve"> (2) a “quantification or estimation” of the switching tracker;</w:t>
      </w:r>
      <w:r>
        <w:rPr>
          <w:rStyle w:val="FootnoteReference"/>
          <w:color w:val="000000"/>
        </w:rPr>
        <w:footnoteReference w:id="3"/>
      </w:r>
      <w:r>
        <w:rPr>
          <w:color w:val="000000"/>
        </w:rPr>
        <w:t xml:space="preserve"> (3) “a description of the effect on large-scale governmental aggregation of any unavoidable generation charge proposed to be established in the ESP;”</w:t>
      </w:r>
      <w:r>
        <w:rPr>
          <w:rStyle w:val="FootnoteReference"/>
          <w:color w:val="000000"/>
        </w:rPr>
        <w:footnoteReference w:id="4"/>
      </w:r>
      <w:r>
        <w:rPr>
          <w:color w:val="000000"/>
        </w:rPr>
        <w:t xml:space="preserve"> and (4) “a section demonstrating that its current corporate separation plan is in compliance with section 4928.17 of the Revised Code, Chapter 4901:1-37 of the Administrative Code, and consistent with the policy of the state as delineated in divisions (A) to (N) of section 4928.02 of the Revised Code.”</w:t>
      </w:r>
      <w:r>
        <w:rPr>
          <w:rStyle w:val="FootnoteReference"/>
          <w:color w:val="000000"/>
        </w:rPr>
        <w:footnoteReference w:id="5"/>
      </w:r>
      <w:r>
        <w:rPr>
          <w:color w:val="000000"/>
        </w:rPr>
        <w:t xml:space="preserve">  Further, it failed to fully quantify the impact of the Reconciliation Rider (“RR”); and because of these omissions the Application fails to properly quantify the pro forma financial projections and projected rate impacts that are required.</w:t>
      </w:r>
      <w:r>
        <w:rPr>
          <w:rStyle w:val="FootnoteReference"/>
          <w:color w:val="000000"/>
        </w:rPr>
        <w:footnoteReference w:id="6"/>
      </w:r>
      <w:r>
        <w:rPr>
          <w:color w:val="000000"/>
        </w:rPr>
        <w:t xml:space="preserve">  Additionally, DP&amp;L has claimed that it will suffer financial harm if the Commission does not approve its ESP.</w:t>
      </w:r>
      <w:r>
        <w:rPr>
          <w:rStyle w:val="FootnoteReference"/>
          <w:color w:val="000000"/>
        </w:rPr>
        <w:footnoteReference w:id="7"/>
      </w:r>
      <w:r>
        <w:rPr>
          <w:color w:val="000000"/>
        </w:rPr>
        <w:t xml:space="preserve">  To this end, DP&amp;L has included projected total company financial information with its Application; however, DP&amp;L has failed to segregate its financial information by function, </w:t>
      </w:r>
      <w:r>
        <w:rPr>
          <w:i/>
          <w:color w:val="000000"/>
        </w:rPr>
        <w:t>i.e.</w:t>
      </w:r>
      <w:r>
        <w:rPr>
          <w:color w:val="000000"/>
        </w:rPr>
        <w:t xml:space="preserve"> on a distribution, transmission, and generation-only basis.  Finally, DP&amp;L’</w:t>
      </w:r>
      <w:r w:rsidR="004E0028">
        <w:rPr>
          <w:color w:val="000000"/>
        </w:rPr>
        <w:t xml:space="preserve">s failure to quantify the </w:t>
      </w:r>
      <w:r w:rsidR="003D42BA">
        <w:rPr>
          <w:color w:val="000000"/>
        </w:rPr>
        <w:t xml:space="preserve">impact of the </w:t>
      </w:r>
      <w:r w:rsidR="004E0028">
        <w:rPr>
          <w:color w:val="000000"/>
        </w:rPr>
        <w:t>issues</w:t>
      </w:r>
      <w:r>
        <w:rPr>
          <w:color w:val="000000"/>
        </w:rPr>
        <w:t xml:space="preserve"> addressed above violates Section 4928.143(C)(1), Revised Code, which requires the Commission to consider “</w:t>
      </w:r>
      <w:r>
        <w:t xml:space="preserve">pricing and all other terms and conditions [of an ESP], including any deferrals and any future recovery of deferrals” before the Commission can approve a proposed ESP.  DP&amp;L’s failure to provide a quantification of </w:t>
      </w:r>
      <w:r>
        <w:lastRenderedPageBreak/>
        <w:t>these issues effectively prohibits the Commission from properly conducting the statutorily required ESP v. market rate offer (“MRO”) test.</w:t>
      </w:r>
    </w:p>
    <w:p w:rsidR="003B1035" w:rsidRDefault="00D77915">
      <w:pPr>
        <w:spacing w:line="480" w:lineRule="auto"/>
        <w:rPr>
          <w:color w:val="000000"/>
        </w:rPr>
      </w:pPr>
      <w:r>
        <w:rPr>
          <w:color w:val="000000"/>
        </w:rPr>
        <w:t xml:space="preserve"> </w:t>
      </w:r>
      <w:r>
        <w:rPr>
          <w:color w:val="000000"/>
        </w:rPr>
        <w:tab/>
        <w:t>The information is essential to the parties’ and the Commission’s ability to conduct a proper and lawful review of DP&amp;L’s Application.  Moreover, DP&amp;L requested a waiver of only the first item regarding the Yankee Solar project; however, DP&amp;L has failed to demonstrate that good cause exists for the waiver.  Accordingly, the Commission should deny DP&amp;L’s waiver request as to the first item and should grant Joint Movants’ motion and direct DP&amp;L to timely file the information as required by Rule 4901:1-35-03, O.A.C., including pro forma financial projections segregated on a generation/distribution/transmission basis.  Finally, the Commission should suspend the procedural schedule in this case until DP&amp;L complies.</w:t>
      </w:r>
    </w:p>
    <w:p w:rsidR="003B1035" w:rsidRDefault="003B1035">
      <w:pPr>
        <w:tabs>
          <w:tab w:val="left" w:pos="4320"/>
          <w:tab w:val="right" w:pos="8640"/>
        </w:tabs>
        <w:rPr>
          <w:rFonts w:eastAsia="Times New Roman"/>
          <w:szCs w:val="24"/>
        </w:rPr>
      </w:pPr>
    </w:p>
    <w:p w:rsidR="00F5002B" w:rsidRDefault="00F5002B" w:rsidP="00F5002B">
      <w:pPr>
        <w:tabs>
          <w:tab w:val="left" w:pos="4320"/>
          <w:tab w:val="right" w:pos="8640"/>
        </w:tabs>
        <w:jc w:val="center"/>
        <w:rPr>
          <w:rFonts w:eastAsia="Calibri"/>
          <w:color w:val="000000" w:themeColor="text1"/>
          <w:sz w:val="20"/>
          <w:szCs w:val="20"/>
          <w:u w:val="single"/>
        </w:rPr>
      </w:pPr>
      <w:r>
        <w:t>Respectfully submitted,</w:t>
      </w:r>
    </w:p>
    <w:p w:rsidR="00F5002B" w:rsidRDefault="00F5002B" w:rsidP="00F5002B">
      <w:pPr>
        <w:tabs>
          <w:tab w:val="right" w:pos="4320"/>
        </w:tabs>
        <w:rPr>
          <w:rFonts w:eastAsia="Calibri"/>
          <w:color w:val="000000" w:themeColor="text1"/>
          <w:sz w:val="20"/>
          <w:szCs w:val="20"/>
          <w:u w:val="single"/>
        </w:rPr>
      </w:pPr>
    </w:p>
    <w:p w:rsidR="00F5002B" w:rsidRDefault="00F5002B" w:rsidP="00F5002B">
      <w:pPr>
        <w:tabs>
          <w:tab w:val="right" w:pos="4320"/>
        </w:tabs>
        <w:rPr>
          <w:rFonts w:eastAsia="Calibri"/>
          <w:color w:val="000000" w:themeColor="text1"/>
          <w:sz w:val="20"/>
          <w:szCs w:val="20"/>
          <w:u w:val="single"/>
        </w:rPr>
      </w:pPr>
    </w:p>
    <w:p w:rsidR="00F5002B" w:rsidRDefault="00F5002B" w:rsidP="00F5002B">
      <w:pPr>
        <w:tabs>
          <w:tab w:val="right" w:pos="4320"/>
        </w:tabs>
        <w:rPr>
          <w:rFonts w:eastAsia="Calibri"/>
          <w:color w:val="000000" w:themeColor="text1"/>
          <w:sz w:val="20"/>
          <w:szCs w:val="20"/>
          <w:u w:val="single"/>
        </w:rPr>
        <w:sectPr w:rsidR="00F5002B" w:rsidSect="00AC7EA7">
          <w:pgSz w:w="12240" w:h="15840"/>
          <w:pgMar w:top="1368" w:right="1440" w:bottom="1296" w:left="1440" w:header="720" w:footer="720" w:gutter="0"/>
          <w:pgNumType w:start="1"/>
          <w:cols w:space="720"/>
          <w:titlePg/>
          <w:docGrid w:linePitch="360"/>
        </w:sectPr>
      </w:pPr>
    </w:p>
    <w:p w:rsidR="00F5002B" w:rsidRDefault="00F5002B" w:rsidP="00F5002B">
      <w:pPr>
        <w:tabs>
          <w:tab w:val="right" w:pos="4320"/>
        </w:tabs>
        <w:rPr>
          <w:rFonts w:eastAsia="Calibri"/>
          <w:color w:val="000000" w:themeColor="text1"/>
          <w:sz w:val="20"/>
          <w:szCs w:val="20"/>
          <w:u w:val="single"/>
        </w:rPr>
      </w:pPr>
      <w:r>
        <w:rPr>
          <w:rFonts w:eastAsia="Calibri"/>
          <w:color w:val="000000" w:themeColor="text1"/>
          <w:sz w:val="20"/>
          <w:szCs w:val="20"/>
          <w:u w:val="single"/>
        </w:rPr>
        <w:lastRenderedPageBreak/>
        <w:t>/s/ Matthew R. Pritchard</w:t>
      </w:r>
      <w:r>
        <w:rPr>
          <w:rFonts w:eastAsia="Calibri"/>
          <w:color w:val="000000" w:themeColor="text1"/>
          <w:sz w:val="20"/>
          <w:szCs w:val="20"/>
          <w:u w:val="single"/>
        </w:rPr>
        <w:tab/>
      </w:r>
    </w:p>
    <w:p w:rsidR="00F5002B" w:rsidRPr="002A7839" w:rsidRDefault="00F5002B" w:rsidP="00F5002B">
      <w:pPr>
        <w:tabs>
          <w:tab w:val="left" w:pos="2160"/>
          <w:tab w:val="left" w:pos="2280"/>
        </w:tabs>
        <w:rPr>
          <w:rFonts w:eastAsia="Calibri"/>
          <w:color w:val="000000" w:themeColor="text1"/>
          <w:sz w:val="20"/>
          <w:szCs w:val="20"/>
        </w:rPr>
      </w:pPr>
      <w:r w:rsidRPr="002A7839">
        <w:rPr>
          <w:rFonts w:eastAsia="Calibri"/>
          <w:color w:val="000000" w:themeColor="text1"/>
          <w:sz w:val="20"/>
          <w:szCs w:val="20"/>
        </w:rPr>
        <w:t>Samuel C. Randazzo</w:t>
      </w:r>
    </w:p>
    <w:p w:rsidR="00F5002B" w:rsidRPr="002A7839" w:rsidRDefault="00F5002B" w:rsidP="00F5002B">
      <w:pPr>
        <w:tabs>
          <w:tab w:val="left" w:pos="2160"/>
          <w:tab w:val="left" w:pos="2280"/>
        </w:tabs>
        <w:rPr>
          <w:rFonts w:eastAsia="Calibri"/>
          <w:color w:val="000000" w:themeColor="text1"/>
          <w:sz w:val="20"/>
          <w:szCs w:val="20"/>
        </w:rPr>
      </w:pPr>
      <w:r w:rsidRPr="002A7839">
        <w:rPr>
          <w:rFonts w:eastAsia="Calibri"/>
          <w:color w:val="000000" w:themeColor="text1"/>
          <w:sz w:val="20"/>
          <w:szCs w:val="20"/>
        </w:rPr>
        <w:t>Frank P. Darr</w:t>
      </w:r>
    </w:p>
    <w:p w:rsidR="00F5002B" w:rsidRPr="002A7839" w:rsidRDefault="00F5002B" w:rsidP="00F5002B">
      <w:pPr>
        <w:tabs>
          <w:tab w:val="left" w:pos="2160"/>
          <w:tab w:val="left" w:pos="2280"/>
        </w:tabs>
        <w:rPr>
          <w:rFonts w:eastAsia="Calibri"/>
          <w:color w:val="000000" w:themeColor="text1"/>
          <w:sz w:val="20"/>
          <w:szCs w:val="20"/>
        </w:rPr>
      </w:pPr>
      <w:r w:rsidRPr="002A7839">
        <w:rPr>
          <w:rFonts w:eastAsia="Calibri"/>
          <w:color w:val="000000" w:themeColor="text1"/>
          <w:sz w:val="20"/>
          <w:szCs w:val="20"/>
        </w:rPr>
        <w:t>Joseph E. Oliker</w:t>
      </w:r>
    </w:p>
    <w:p w:rsidR="00F5002B" w:rsidRPr="002A7839" w:rsidRDefault="00F5002B" w:rsidP="00F5002B">
      <w:pPr>
        <w:tabs>
          <w:tab w:val="left" w:pos="2160"/>
          <w:tab w:val="left" w:pos="2280"/>
        </w:tabs>
        <w:rPr>
          <w:rFonts w:eastAsia="Calibri"/>
          <w:color w:val="000000" w:themeColor="text1"/>
          <w:sz w:val="20"/>
          <w:szCs w:val="20"/>
        </w:rPr>
      </w:pPr>
      <w:r w:rsidRPr="002A7839">
        <w:rPr>
          <w:rFonts w:eastAsia="Calibri"/>
          <w:color w:val="000000" w:themeColor="text1"/>
          <w:sz w:val="20"/>
          <w:szCs w:val="20"/>
        </w:rPr>
        <w:t>Matthew R. Pritchard</w:t>
      </w:r>
    </w:p>
    <w:p w:rsidR="00F5002B" w:rsidRPr="002A7839" w:rsidRDefault="00F5002B" w:rsidP="00F5002B">
      <w:pPr>
        <w:tabs>
          <w:tab w:val="left" w:pos="2160"/>
          <w:tab w:val="left" w:pos="2280"/>
        </w:tabs>
        <w:rPr>
          <w:rFonts w:eastAsia="Calibri"/>
          <w:color w:val="000000" w:themeColor="text1"/>
          <w:sz w:val="20"/>
          <w:szCs w:val="20"/>
        </w:rPr>
      </w:pPr>
      <w:r w:rsidRPr="002A7839">
        <w:rPr>
          <w:rFonts w:eastAsia="Calibri"/>
          <w:color w:val="000000" w:themeColor="text1"/>
          <w:sz w:val="20"/>
          <w:szCs w:val="20"/>
        </w:rPr>
        <w:t>McNees Wallace &amp; Nurick LLC</w:t>
      </w:r>
    </w:p>
    <w:p w:rsidR="00F5002B" w:rsidRPr="002A7839" w:rsidRDefault="00F5002B" w:rsidP="00F5002B">
      <w:pPr>
        <w:tabs>
          <w:tab w:val="left" w:pos="2160"/>
          <w:tab w:val="left" w:pos="2280"/>
        </w:tabs>
        <w:rPr>
          <w:rFonts w:eastAsia="Calibri"/>
          <w:color w:val="000000" w:themeColor="text1"/>
          <w:sz w:val="20"/>
          <w:szCs w:val="20"/>
        </w:rPr>
      </w:pPr>
      <w:r w:rsidRPr="002A7839">
        <w:rPr>
          <w:rFonts w:eastAsia="Calibri"/>
          <w:color w:val="000000" w:themeColor="text1"/>
          <w:sz w:val="20"/>
          <w:szCs w:val="20"/>
        </w:rPr>
        <w:t>21 East State Street, 17th Floor</w:t>
      </w:r>
    </w:p>
    <w:p w:rsidR="00F5002B" w:rsidRPr="002A7839" w:rsidRDefault="00F5002B" w:rsidP="00F5002B">
      <w:pPr>
        <w:tabs>
          <w:tab w:val="left" w:pos="2160"/>
          <w:tab w:val="left" w:pos="2280"/>
        </w:tabs>
        <w:rPr>
          <w:rFonts w:eastAsia="Calibri"/>
          <w:color w:val="000000" w:themeColor="text1"/>
          <w:sz w:val="20"/>
          <w:szCs w:val="20"/>
        </w:rPr>
      </w:pPr>
      <w:r w:rsidRPr="002A7839">
        <w:rPr>
          <w:rFonts w:eastAsia="Calibri"/>
          <w:color w:val="000000" w:themeColor="text1"/>
          <w:sz w:val="20"/>
          <w:szCs w:val="20"/>
        </w:rPr>
        <w:t>Columbus, OH  43215</w:t>
      </w:r>
    </w:p>
    <w:p w:rsidR="00F5002B" w:rsidRPr="002A7839" w:rsidRDefault="00F5002B" w:rsidP="00F5002B">
      <w:pPr>
        <w:tabs>
          <w:tab w:val="left" w:pos="2160"/>
          <w:tab w:val="left" w:pos="2280"/>
        </w:tabs>
        <w:rPr>
          <w:rFonts w:eastAsia="Calibri"/>
          <w:color w:val="000000" w:themeColor="text1"/>
          <w:sz w:val="20"/>
          <w:szCs w:val="20"/>
        </w:rPr>
      </w:pPr>
      <w:r w:rsidRPr="00491526">
        <w:rPr>
          <w:rFonts w:eastAsia="Calibri"/>
          <w:sz w:val="20"/>
          <w:szCs w:val="20"/>
        </w:rPr>
        <w:t>sam@mwncmh.com</w:t>
      </w:r>
    </w:p>
    <w:p w:rsidR="00F5002B" w:rsidRPr="002A7839" w:rsidRDefault="00F5002B" w:rsidP="00F5002B">
      <w:pPr>
        <w:tabs>
          <w:tab w:val="left" w:pos="2160"/>
          <w:tab w:val="left" w:pos="2280"/>
        </w:tabs>
        <w:rPr>
          <w:rFonts w:eastAsia="Calibri"/>
          <w:color w:val="000000" w:themeColor="text1"/>
          <w:sz w:val="20"/>
          <w:szCs w:val="20"/>
        </w:rPr>
      </w:pPr>
      <w:r w:rsidRPr="00491526">
        <w:rPr>
          <w:rFonts w:eastAsia="Calibri"/>
          <w:sz w:val="20"/>
          <w:szCs w:val="20"/>
        </w:rPr>
        <w:t>fdarr@mwncmh.com</w:t>
      </w:r>
    </w:p>
    <w:p w:rsidR="00F5002B" w:rsidRPr="002A7839" w:rsidRDefault="00F5002B" w:rsidP="00F5002B">
      <w:pPr>
        <w:tabs>
          <w:tab w:val="left" w:pos="2160"/>
          <w:tab w:val="left" w:pos="2280"/>
        </w:tabs>
        <w:rPr>
          <w:rFonts w:eastAsia="Calibri"/>
          <w:color w:val="000000" w:themeColor="text1"/>
          <w:sz w:val="20"/>
          <w:szCs w:val="20"/>
        </w:rPr>
      </w:pPr>
      <w:r w:rsidRPr="00491526">
        <w:rPr>
          <w:rFonts w:eastAsia="Calibri"/>
          <w:sz w:val="20"/>
          <w:szCs w:val="20"/>
        </w:rPr>
        <w:t>joliker@mwncmh.com</w:t>
      </w:r>
    </w:p>
    <w:p w:rsidR="00F5002B" w:rsidRPr="002A7839" w:rsidRDefault="00F5002B" w:rsidP="00F5002B">
      <w:pPr>
        <w:tabs>
          <w:tab w:val="left" w:pos="2160"/>
          <w:tab w:val="left" w:pos="2280"/>
        </w:tabs>
        <w:rPr>
          <w:rFonts w:eastAsia="Calibri"/>
          <w:color w:val="000000" w:themeColor="text1"/>
          <w:sz w:val="20"/>
          <w:szCs w:val="20"/>
        </w:rPr>
      </w:pPr>
      <w:r w:rsidRPr="002A7839">
        <w:rPr>
          <w:rFonts w:eastAsia="Calibri"/>
          <w:color w:val="000000" w:themeColor="text1"/>
          <w:sz w:val="20"/>
          <w:szCs w:val="20"/>
        </w:rPr>
        <w:t>mpritchard@mwncmh.com</w:t>
      </w:r>
    </w:p>
    <w:p w:rsidR="00F5002B" w:rsidRPr="002A7839" w:rsidRDefault="00F5002B" w:rsidP="00F5002B">
      <w:pPr>
        <w:tabs>
          <w:tab w:val="left" w:pos="2160"/>
          <w:tab w:val="left" w:pos="2280"/>
        </w:tabs>
        <w:rPr>
          <w:rFonts w:eastAsia="Calibri"/>
          <w:color w:val="000000" w:themeColor="text1"/>
          <w:sz w:val="20"/>
          <w:szCs w:val="20"/>
        </w:rPr>
      </w:pPr>
    </w:p>
    <w:p w:rsidR="00F5002B" w:rsidRPr="002A7839" w:rsidRDefault="00F5002B" w:rsidP="00F5002B">
      <w:pPr>
        <w:tabs>
          <w:tab w:val="left" w:pos="2160"/>
          <w:tab w:val="left" w:pos="2280"/>
        </w:tabs>
        <w:rPr>
          <w:rFonts w:eastAsia="Calibri"/>
          <w:b/>
          <w:smallCaps/>
          <w:color w:val="000000" w:themeColor="text1"/>
          <w:sz w:val="20"/>
          <w:szCs w:val="20"/>
        </w:rPr>
      </w:pPr>
      <w:r w:rsidRPr="002A7839">
        <w:rPr>
          <w:rFonts w:eastAsia="Calibri"/>
          <w:b/>
          <w:smallCaps/>
          <w:color w:val="000000" w:themeColor="text1"/>
          <w:sz w:val="20"/>
          <w:szCs w:val="20"/>
        </w:rPr>
        <w:t>Attorneys for Industrial Energy Users-Ohio</w:t>
      </w:r>
    </w:p>
    <w:p w:rsidR="00F5002B" w:rsidRPr="002A7839" w:rsidRDefault="00F5002B" w:rsidP="00F5002B">
      <w:pPr>
        <w:tabs>
          <w:tab w:val="right" w:pos="4320"/>
        </w:tabs>
        <w:rPr>
          <w:rFonts w:eastAsia="Calibri"/>
          <w:color w:val="000000" w:themeColor="text1"/>
          <w:sz w:val="20"/>
          <w:szCs w:val="20"/>
        </w:rPr>
      </w:pPr>
    </w:p>
    <w:p w:rsidR="00F5002B" w:rsidRPr="002A7839" w:rsidRDefault="00F5002B" w:rsidP="00F5002B">
      <w:pPr>
        <w:tabs>
          <w:tab w:val="right" w:pos="4320"/>
        </w:tabs>
        <w:rPr>
          <w:rFonts w:eastAsia="Calibri"/>
          <w:color w:val="000000" w:themeColor="text1"/>
          <w:sz w:val="20"/>
          <w:szCs w:val="20"/>
        </w:rPr>
      </w:pPr>
    </w:p>
    <w:p w:rsidR="00F5002B" w:rsidRDefault="00F5002B" w:rsidP="00F5002B">
      <w:pPr>
        <w:tabs>
          <w:tab w:val="right" w:pos="4320"/>
        </w:tabs>
        <w:rPr>
          <w:rFonts w:eastAsia="Calibri"/>
          <w:color w:val="000000" w:themeColor="text1"/>
          <w:sz w:val="20"/>
          <w:szCs w:val="20"/>
          <w:u w:val="single"/>
        </w:rPr>
      </w:pPr>
      <w:r>
        <w:rPr>
          <w:rFonts w:eastAsia="Calibri"/>
          <w:color w:val="000000" w:themeColor="text1"/>
          <w:sz w:val="20"/>
          <w:szCs w:val="20"/>
          <w:u w:val="single"/>
        </w:rPr>
        <w:t>/s/ Colleen L. Mooney</w:t>
      </w:r>
      <w:r>
        <w:rPr>
          <w:rFonts w:eastAsia="Calibri"/>
          <w:color w:val="000000" w:themeColor="text1"/>
          <w:sz w:val="20"/>
          <w:szCs w:val="20"/>
          <w:u w:val="single"/>
        </w:rPr>
        <w:tab/>
      </w:r>
    </w:p>
    <w:p w:rsidR="00F5002B" w:rsidRPr="002A7839" w:rsidRDefault="00F5002B" w:rsidP="00F5002B">
      <w:pPr>
        <w:rPr>
          <w:color w:val="000000" w:themeColor="text1"/>
          <w:sz w:val="20"/>
          <w:szCs w:val="20"/>
        </w:rPr>
      </w:pPr>
      <w:r w:rsidRPr="002A7839">
        <w:rPr>
          <w:color w:val="000000" w:themeColor="text1"/>
          <w:sz w:val="20"/>
          <w:szCs w:val="20"/>
        </w:rPr>
        <w:t>Colleen L. Mooney</w:t>
      </w:r>
    </w:p>
    <w:p w:rsidR="00F5002B" w:rsidRPr="002A7839" w:rsidRDefault="00F5002B" w:rsidP="00F5002B">
      <w:pPr>
        <w:rPr>
          <w:color w:val="000000" w:themeColor="text1"/>
          <w:sz w:val="20"/>
          <w:szCs w:val="20"/>
        </w:rPr>
      </w:pPr>
      <w:r w:rsidRPr="002A7839">
        <w:rPr>
          <w:color w:val="000000" w:themeColor="text1"/>
          <w:sz w:val="20"/>
          <w:szCs w:val="20"/>
        </w:rPr>
        <w:t>Ohio Partners for Affordable Energy</w:t>
      </w:r>
    </w:p>
    <w:p w:rsidR="00F5002B" w:rsidRPr="002A7839" w:rsidRDefault="00F5002B" w:rsidP="00F5002B">
      <w:pPr>
        <w:rPr>
          <w:color w:val="000000" w:themeColor="text1"/>
          <w:sz w:val="20"/>
          <w:szCs w:val="20"/>
        </w:rPr>
      </w:pPr>
      <w:r w:rsidRPr="002A7839">
        <w:rPr>
          <w:color w:val="000000" w:themeColor="text1"/>
          <w:sz w:val="20"/>
          <w:szCs w:val="20"/>
        </w:rPr>
        <w:t>231 West Lima Street</w:t>
      </w:r>
    </w:p>
    <w:p w:rsidR="00F5002B" w:rsidRPr="002A7839" w:rsidRDefault="00F5002B" w:rsidP="00F5002B">
      <w:pPr>
        <w:rPr>
          <w:color w:val="000000" w:themeColor="text1"/>
          <w:sz w:val="20"/>
          <w:szCs w:val="20"/>
        </w:rPr>
      </w:pPr>
      <w:r w:rsidRPr="002A7839">
        <w:rPr>
          <w:color w:val="000000" w:themeColor="text1"/>
          <w:sz w:val="20"/>
          <w:szCs w:val="20"/>
        </w:rPr>
        <w:t>Findlay, OH  45839</w:t>
      </w:r>
    </w:p>
    <w:p w:rsidR="00F5002B" w:rsidRPr="002A7839" w:rsidRDefault="00F5002B" w:rsidP="00F5002B">
      <w:pPr>
        <w:rPr>
          <w:color w:val="000000" w:themeColor="text1"/>
          <w:sz w:val="20"/>
          <w:szCs w:val="20"/>
        </w:rPr>
      </w:pPr>
      <w:r w:rsidRPr="00491526">
        <w:rPr>
          <w:sz w:val="20"/>
          <w:szCs w:val="20"/>
        </w:rPr>
        <w:t>cmooney2@columbus.rr.com</w:t>
      </w:r>
    </w:p>
    <w:p w:rsidR="00F5002B" w:rsidRDefault="00F5002B" w:rsidP="00F5002B">
      <w:pPr>
        <w:rPr>
          <w:color w:val="000000" w:themeColor="text1"/>
          <w:sz w:val="20"/>
          <w:szCs w:val="20"/>
        </w:rPr>
      </w:pPr>
    </w:p>
    <w:p w:rsidR="00F5002B" w:rsidRDefault="00F5002B" w:rsidP="00F5002B">
      <w:pPr>
        <w:rPr>
          <w:b/>
          <w:smallCaps/>
          <w:color w:val="000000" w:themeColor="text1"/>
          <w:sz w:val="20"/>
          <w:szCs w:val="20"/>
        </w:rPr>
      </w:pPr>
      <w:r>
        <w:rPr>
          <w:b/>
          <w:smallCaps/>
          <w:color w:val="000000" w:themeColor="text1"/>
          <w:sz w:val="20"/>
          <w:szCs w:val="20"/>
        </w:rPr>
        <w:t>Attorney for Ohio Partners for Affordable Energy</w:t>
      </w:r>
    </w:p>
    <w:p w:rsidR="00F5002B" w:rsidRDefault="00F5002B" w:rsidP="00F5002B">
      <w:pPr>
        <w:tabs>
          <w:tab w:val="left" w:pos="2160"/>
          <w:tab w:val="left" w:pos="2280"/>
        </w:tabs>
        <w:rPr>
          <w:rFonts w:eastAsia="Calibri"/>
          <w:b/>
          <w:color w:val="000000" w:themeColor="text1"/>
          <w:sz w:val="20"/>
          <w:szCs w:val="20"/>
        </w:rPr>
      </w:pPr>
    </w:p>
    <w:p w:rsidR="00F5002B" w:rsidRDefault="00F5002B" w:rsidP="001B36CA">
      <w:pPr>
        <w:tabs>
          <w:tab w:val="right" w:pos="4320"/>
        </w:tabs>
        <w:rPr>
          <w:rFonts w:eastAsia="Calibri"/>
          <w:color w:val="000000" w:themeColor="text1"/>
          <w:sz w:val="20"/>
          <w:szCs w:val="20"/>
          <w:u w:val="single"/>
        </w:rPr>
      </w:pPr>
      <w:r>
        <w:rPr>
          <w:rFonts w:eastAsia="Calibri"/>
          <w:b/>
          <w:color w:val="000000" w:themeColor="text1"/>
          <w:sz w:val="20"/>
          <w:szCs w:val="20"/>
        </w:rPr>
        <w:br w:type="column"/>
      </w:r>
      <w:r>
        <w:rPr>
          <w:rFonts w:eastAsia="Calibri"/>
          <w:color w:val="000000" w:themeColor="text1"/>
          <w:sz w:val="20"/>
          <w:szCs w:val="20"/>
          <w:u w:val="single"/>
        </w:rPr>
        <w:lastRenderedPageBreak/>
        <w:t>/s/ Mark S. Yurick</w:t>
      </w:r>
      <w:r>
        <w:rPr>
          <w:rFonts w:eastAsia="Calibri"/>
          <w:color w:val="000000" w:themeColor="text1"/>
          <w:sz w:val="20"/>
          <w:szCs w:val="20"/>
          <w:u w:val="single"/>
        </w:rPr>
        <w:tab/>
      </w:r>
    </w:p>
    <w:p w:rsidR="00F5002B" w:rsidRDefault="00F5002B" w:rsidP="00F5002B">
      <w:pPr>
        <w:rPr>
          <w:color w:val="000000" w:themeColor="text1"/>
          <w:sz w:val="20"/>
        </w:rPr>
      </w:pPr>
      <w:r>
        <w:rPr>
          <w:color w:val="000000" w:themeColor="text1"/>
          <w:sz w:val="20"/>
        </w:rPr>
        <w:t>Mark S. Yurick</w:t>
      </w:r>
    </w:p>
    <w:p w:rsidR="00F5002B" w:rsidRDefault="00F5002B" w:rsidP="00F5002B">
      <w:pPr>
        <w:rPr>
          <w:color w:val="000000" w:themeColor="text1"/>
          <w:sz w:val="20"/>
        </w:rPr>
      </w:pPr>
      <w:r>
        <w:rPr>
          <w:color w:val="000000" w:themeColor="text1"/>
          <w:sz w:val="20"/>
        </w:rPr>
        <w:t>Taft Stettinius &amp; Hollister LLP</w:t>
      </w:r>
    </w:p>
    <w:p w:rsidR="00F5002B" w:rsidRDefault="00F5002B" w:rsidP="00F5002B">
      <w:pPr>
        <w:rPr>
          <w:color w:val="000000" w:themeColor="text1"/>
          <w:sz w:val="20"/>
        </w:rPr>
      </w:pPr>
      <w:r>
        <w:rPr>
          <w:color w:val="000000" w:themeColor="text1"/>
          <w:sz w:val="20"/>
        </w:rPr>
        <w:t>65 East State Street, Suite 1000</w:t>
      </w:r>
    </w:p>
    <w:p w:rsidR="00F5002B" w:rsidRDefault="00F5002B" w:rsidP="00F5002B">
      <w:pPr>
        <w:rPr>
          <w:color w:val="000000" w:themeColor="text1"/>
          <w:sz w:val="20"/>
        </w:rPr>
      </w:pPr>
      <w:r>
        <w:rPr>
          <w:color w:val="000000" w:themeColor="text1"/>
          <w:sz w:val="20"/>
        </w:rPr>
        <w:t>Columbus, OH  43215-4213</w:t>
      </w:r>
    </w:p>
    <w:p w:rsidR="00F5002B" w:rsidRDefault="00F5002B" w:rsidP="00F5002B">
      <w:pPr>
        <w:rPr>
          <w:color w:val="000000" w:themeColor="text1"/>
          <w:sz w:val="20"/>
        </w:rPr>
      </w:pPr>
      <w:r>
        <w:rPr>
          <w:color w:val="000000" w:themeColor="text1"/>
          <w:sz w:val="20"/>
        </w:rPr>
        <w:t>myurick@taftlaw.com</w:t>
      </w:r>
    </w:p>
    <w:p w:rsidR="00F5002B" w:rsidRDefault="00F5002B" w:rsidP="00F5002B">
      <w:pPr>
        <w:rPr>
          <w:color w:val="000000" w:themeColor="text1"/>
          <w:sz w:val="20"/>
        </w:rPr>
      </w:pPr>
    </w:p>
    <w:p w:rsidR="00F5002B" w:rsidRDefault="00F5002B" w:rsidP="00F5002B">
      <w:pPr>
        <w:rPr>
          <w:b/>
          <w:smallCaps/>
          <w:color w:val="000000" w:themeColor="text1"/>
          <w:sz w:val="20"/>
        </w:rPr>
      </w:pPr>
      <w:r>
        <w:rPr>
          <w:b/>
          <w:smallCaps/>
          <w:color w:val="000000" w:themeColor="text1"/>
          <w:sz w:val="20"/>
        </w:rPr>
        <w:t>Attorney for The Kroger Company</w:t>
      </w:r>
    </w:p>
    <w:p w:rsidR="00F5002B" w:rsidRDefault="00F5002B" w:rsidP="00F5002B">
      <w:pPr>
        <w:rPr>
          <w:b/>
          <w:smallCaps/>
          <w:color w:val="000000" w:themeColor="text1"/>
          <w:sz w:val="20"/>
        </w:rPr>
      </w:pPr>
    </w:p>
    <w:p w:rsidR="00F5002B" w:rsidRDefault="00F5002B" w:rsidP="00F5002B">
      <w:pPr>
        <w:tabs>
          <w:tab w:val="left" w:pos="2160"/>
          <w:tab w:val="left" w:pos="2280"/>
        </w:tabs>
        <w:rPr>
          <w:rFonts w:eastAsia="Calibri"/>
          <w:b/>
          <w:color w:val="000000" w:themeColor="text1"/>
          <w:sz w:val="20"/>
          <w:szCs w:val="20"/>
        </w:rPr>
      </w:pPr>
    </w:p>
    <w:p w:rsidR="00F5002B" w:rsidRDefault="00F5002B" w:rsidP="00F5002B">
      <w:pPr>
        <w:tabs>
          <w:tab w:val="right" w:pos="4320"/>
        </w:tabs>
        <w:rPr>
          <w:rFonts w:eastAsia="Calibri"/>
          <w:color w:val="000000" w:themeColor="text1"/>
          <w:sz w:val="20"/>
          <w:szCs w:val="20"/>
          <w:u w:val="single"/>
        </w:rPr>
      </w:pPr>
      <w:r>
        <w:rPr>
          <w:rFonts w:eastAsia="Calibri"/>
          <w:color w:val="000000" w:themeColor="text1"/>
          <w:sz w:val="20"/>
          <w:szCs w:val="20"/>
          <w:u w:val="single"/>
        </w:rPr>
        <w:t>/s/ David F. Boehm</w:t>
      </w:r>
      <w:r>
        <w:rPr>
          <w:rFonts w:eastAsia="Calibri"/>
          <w:color w:val="000000" w:themeColor="text1"/>
          <w:sz w:val="20"/>
          <w:szCs w:val="20"/>
          <w:u w:val="single"/>
        </w:rPr>
        <w:tab/>
      </w:r>
    </w:p>
    <w:p w:rsidR="00F5002B" w:rsidRDefault="00F5002B" w:rsidP="00F5002B">
      <w:pPr>
        <w:tabs>
          <w:tab w:val="left" w:pos="2160"/>
          <w:tab w:val="left" w:pos="2280"/>
        </w:tabs>
        <w:rPr>
          <w:color w:val="000000" w:themeColor="text1"/>
          <w:sz w:val="20"/>
          <w:szCs w:val="20"/>
        </w:rPr>
      </w:pPr>
      <w:r>
        <w:rPr>
          <w:color w:val="000000" w:themeColor="text1"/>
          <w:sz w:val="20"/>
          <w:szCs w:val="20"/>
        </w:rPr>
        <w:t>David F. Boehm</w:t>
      </w:r>
    </w:p>
    <w:p w:rsidR="00F5002B" w:rsidRDefault="00F5002B" w:rsidP="00F5002B">
      <w:pPr>
        <w:tabs>
          <w:tab w:val="left" w:pos="2160"/>
          <w:tab w:val="left" w:pos="2280"/>
        </w:tabs>
        <w:rPr>
          <w:color w:val="000000" w:themeColor="text1"/>
          <w:sz w:val="20"/>
          <w:szCs w:val="20"/>
        </w:rPr>
      </w:pPr>
      <w:r>
        <w:rPr>
          <w:color w:val="000000" w:themeColor="text1"/>
          <w:sz w:val="20"/>
          <w:szCs w:val="20"/>
        </w:rPr>
        <w:t>Michael L. Kurtz</w:t>
      </w:r>
    </w:p>
    <w:p w:rsidR="00F5002B" w:rsidRDefault="00F5002B" w:rsidP="00F5002B">
      <w:pPr>
        <w:tabs>
          <w:tab w:val="left" w:pos="2160"/>
          <w:tab w:val="left" w:pos="2280"/>
        </w:tabs>
        <w:rPr>
          <w:color w:val="000000" w:themeColor="text1"/>
          <w:sz w:val="20"/>
          <w:szCs w:val="20"/>
        </w:rPr>
      </w:pPr>
      <w:r>
        <w:rPr>
          <w:color w:val="000000" w:themeColor="text1"/>
          <w:sz w:val="20"/>
          <w:szCs w:val="20"/>
        </w:rPr>
        <w:t>Boehm, Kurtz &amp; Lowry</w:t>
      </w:r>
    </w:p>
    <w:p w:rsidR="00F5002B" w:rsidRDefault="00F5002B" w:rsidP="00F5002B">
      <w:pPr>
        <w:tabs>
          <w:tab w:val="left" w:pos="2160"/>
          <w:tab w:val="left" w:pos="2280"/>
        </w:tabs>
        <w:rPr>
          <w:color w:val="000000" w:themeColor="text1"/>
          <w:sz w:val="20"/>
          <w:szCs w:val="20"/>
        </w:rPr>
      </w:pPr>
      <w:r>
        <w:rPr>
          <w:color w:val="000000" w:themeColor="text1"/>
          <w:sz w:val="20"/>
          <w:szCs w:val="20"/>
        </w:rPr>
        <w:t>36 East 7</w:t>
      </w:r>
      <w:r>
        <w:rPr>
          <w:color w:val="000000" w:themeColor="text1"/>
          <w:sz w:val="20"/>
          <w:szCs w:val="20"/>
          <w:vertAlign w:val="superscript"/>
        </w:rPr>
        <w:t>th</w:t>
      </w:r>
      <w:r>
        <w:rPr>
          <w:color w:val="000000" w:themeColor="text1"/>
          <w:sz w:val="20"/>
          <w:szCs w:val="20"/>
        </w:rPr>
        <w:t xml:space="preserve"> Street, Ste. 1510</w:t>
      </w:r>
    </w:p>
    <w:p w:rsidR="00F5002B" w:rsidRPr="007263B5" w:rsidRDefault="00F5002B" w:rsidP="00F5002B">
      <w:pPr>
        <w:tabs>
          <w:tab w:val="left" w:pos="2160"/>
          <w:tab w:val="left" w:pos="2280"/>
        </w:tabs>
        <w:rPr>
          <w:color w:val="000000" w:themeColor="text1"/>
          <w:sz w:val="20"/>
          <w:szCs w:val="20"/>
        </w:rPr>
      </w:pPr>
      <w:r w:rsidRPr="007263B5">
        <w:rPr>
          <w:color w:val="000000" w:themeColor="text1"/>
          <w:sz w:val="20"/>
          <w:szCs w:val="20"/>
        </w:rPr>
        <w:t>Cincinnati, OH  45202</w:t>
      </w:r>
    </w:p>
    <w:p w:rsidR="00F5002B" w:rsidRPr="007263B5" w:rsidRDefault="00F5002B" w:rsidP="00F5002B">
      <w:pPr>
        <w:tabs>
          <w:tab w:val="left" w:pos="2160"/>
          <w:tab w:val="left" w:pos="2280"/>
        </w:tabs>
        <w:rPr>
          <w:color w:val="000000" w:themeColor="text1"/>
          <w:sz w:val="20"/>
          <w:szCs w:val="20"/>
        </w:rPr>
      </w:pPr>
      <w:r w:rsidRPr="00491526">
        <w:rPr>
          <w:sz w:val="20"/>
          <w:szCs w:val="20"/>
        </w:rPr>
        <w:t>dboehm@BKLlawfirm.com</w:t>
      </w:r>
    </w:p>
    <w:p w:rsidR="00F5002B" w:rsidRPr="007263B5" w:rsidRDefault="00F5002B" w:rsidP="00F5002B">
      <w:pPr>
        <w:tabs>
          <w:tab w:val="left" w:pos="2160"/>
          <w:tab w:val="left" w:pos="2280"/>
        </w:tabs>
        <w:rPr>
          <w:color w:val="000000" w:themeColor="text1"/>
          <w:sz w:val="20"/>
          <w:szCs w:val="20"/>
        </w:rPr>
      </w:pPr>
      <w:r w:rsidRPr="00491526">
        <w:rPr>
          <w:sz w:val="20"/>
          <w:szCs w:val="20"/>
        </w:rPr>
        <w:t>mkurtz@BKLlawfirm.com</w:t>
      </w:r>
    </w:p>
    <w:p w:rsidR="00F5002B" w:rsidRDefault="00F5002B" w:rsidP="00F5002B">
      <w:pPr>
        <w:tabs>
          <w:tab w:val="left" w:pos="2160"/>
          <w:tab w:val="left" w:pos="2280"/>
        </w:tabs>
        <w:rPr>
          <w:color w:val="000000" w:themeColor="text1"/>
          <w:sz w:val="20"/>
          <w:szCs w:val="20"/>
        </w:rPr>
      </w:pPr>
    </w:p>
    <w:p w:rsidR="00F5002B" w:rsidRDefault="00F5002B" w:rsidP="00F5002B">
      <w:pPr>
        <w:tabs>
          <w:tab w:val="left" w:pos="2160"/>
          <w:tab w:val="left" w:pos="2280"/>
        </w:tabs>
        <w:rPr>
          <w:rFonts w:eastAsia="Calibri"/>
          <w:b/>
          <w:smallCaps/>
          <w:color w:val="000000" w:themeColor="text1"/>
          <w:sz w:val="20"/>
          <w:szCs w:val="20"/>
        </w:rPr>
      </w:pPr>
      <w:r>
        <w:rPr>
          <w:b/>
          <w:smallCaps/>
          <w:color w:val="000000" w:themeColor="text1"/>
          <w:sz w:val="20"/>
          <w:szCs w:val="20"/>
        </w:rPr>
        <w:t>Attorneys for Ohio Energy Group</w:t>
      </w:r>
    </w:p>
    <w:p w:rsidR="00F5002B" w:rsidRDefault="00F5002B" w:rsidP="00F5002B">
      <w:pPr>
        <w:rPr>
          <w:b/>
          <w:smallCaps/>
          <w:color w:val="000000" w:themeColor="text1"/>
          <w:sz w:val="20"/>
        </w:rPr>
      </w:pPr>
    </w:p>
    <w:p w:rsidR="00F5002B" w:rsidRDefault="00F5002B" w:rsidP="00F5002B">
      <w:pPr>
        <w:autoSpaceDE w:val="0"/>
        <w:autoSpaceDN w:val="0"/>
        <w:adjustRightInd w:val="0"/>
        <w:rPr>
          <w:color w:val="000000" w:themeColor="text1"/>
          <w:sz w:val="20"/>
          <w:szCs w:val="20"/>
        </w:rPr>
      </w:pPr>
    </w:p>
    <w:p w:rsidR="00F5002B" w:rsidRDefault="00F5002B" w:rsidP="00F5002B">
      <w:pPr>
        <w:tabs>
          <w:tab w:val="right" w:pos="4320"/>
        </w:tabs>
        <w:rPr>
          <w:rFonts w:eastAsia="Calibri"/>
          <w:color w:val="000000" w:themeColor="text1"/>
          <w:sz w:val="20"/>
          <w:szCs w:val="20"/>
          <w:u w:val="single"/>
        </w:rPr>
      </w:pPr>
      <w:r>
        <w:rPr>
          <w:rFonts w:eastAsia="Calibri"/>
          <w:color w:val="000000" w:themeColor="text1"/>
          <w:sz w:val="20"/>
          <w:szCs w:val="20"/>
          <w:u w:val="single"/>
        </w:rPr>
        <w:br w:type="column"/>
      </w:r>
      <w:r>
        <w:rPr>
          <w:rFonts w:eastAsia="Calibri"/>
          <w:color w:val="000000" w:themeColor="text1"/>
          <w:sz w:val="20"/>
          <w:szCs w:val="20"/>
          <w:u w:val="single"/>
        </w:rPr>
        <w:lastRenderedPageBreak/>
        <w:t>/s/ M. Anthony Long</w:t>
      </w:r>
      <w:r>
        <w:rPr>
          <w:rFonts w:eastAsia="Calibri"/>
          <w:color w:val="000000" w:themeColor="text1"/>
          <w:sz w:val="20"/>
          <w:szCs w:val="20"/>
          <w:u w:val="single"/>
        </w:rPr>
        <w:tab/>
      </w:r>
    </w:p>
    <w:p w:rsidR="00F5002B" w:rsidRDefault="00F5002B" w:rsidP="00F5002B">
      <w:pPr>
        <w:tabs>
          <w:tab w:val="left" w:pos="2160"/>
          <w:tab w:val="left" w:pos="2280"/>
        </w:tabs>
        <w:rPr>
          <w:b/>
          <w:color w:val="000000" w:themeColor="text1"/>
          <w:sz w:val="20"/>
          <w:szCs w:val="20"/>
        </w:rPr>
      </w:pPr>
      <w:r>
        <w:rPr>
          <w:color w:val="000000" w:themeColor="text1"/>
          <w:sz w:val="20"/>
          <w:szCs w:val="20"/>
        </w:rPr>
        <w:t>M. Anthony Long</w:t>
      </w:r>
    </w:p>
    <w:p w:rsidR="00F5002B" w:rsidRDefault="00F5002B" w:rsidP="00F5002B">
      <w:pPr>
        <w:tabs>
          <w:tab w:val="left" w:pos="2160"/>
          <w:tab w:val="left" w:pos="2280"/>
        </w:tabs>
        <w:rPr>
          <w:color w:val="000000" w:themeColor="text1"/>
          <w:sz w:val="20"/>
          <w:szCs w:val="20"/>
        </w:rPr>
      </w:pPr>
      <w:r>
        <w:rPr>
          <w:color w:val="000000" w:themeColor="text1"/>
          <w:sz w:val="20"/>
          <w:szCs w:val="20"/>
        </w:rPr>
        <w:t>Honda of America Mfg., Inc.</w:t>
      </w:r>
    </w:p>
    <w:p w:rsidR="00F5002B" w:rsidRDefault="00F5002B" w:rsidP="00F5002B">
      <w:pPr>
        <w:tabs>
          <w:tab w:val="left" w:pos="2160"/>
          <w:tab w:val="left" w:pos="2280"/>
        </w:tabs>
        <w:rPr>
          <w:color w:val="000000" w:themeColor="text1"/>
          <w:sz w:val="20"/>
          <w:szCs w:val="20"/>
        </w:rPr>
      </w:pPr>
      <w:r>
        <w:rPr>
          <w:color w:val="000000" w:themeColor="text1"/>
          <w:sz w:val="20"/>
          <w:szCs w:val="20"/>
        </w:rPr>
        <w:t>24000 Honda Parkway</w:t>
      </w:r>
    </w:p>
    <w:p w:rsidR="00F5002B" w:rsidRDefault="00F5002B" w:rsidP="00F5002B">
      <w:pPr>
        <w:tabs>
          <w:tab w:val="left" w:pos="2160"/>
          <w:tab w:val="left" w:pos="2280"/>
        </w:tabs>
        <w:rPr>
          <w:color w:val="000000" w:themeColor="text1"/>
          <w:sz w:val="20"/>
          <w:szCs w:val="20"/>
        </w:rPr>
      </w:pPr>
      <w:r>
        <w:rPr>
          <w:color w:val="000000" w:themeColor="text1"/>
          <w:sz w:val="20"/>
          <w:szCs w:val="20"/>
        </w:rPr>
        <w:t>Marysville, OH  43040</w:t>
      </w:r>
    </w:p>
    <w:p w:rsidR="00F5002B" w:rsidRPr="007263B5" w:rsidRDefault="00F5002B" w:rsidP="00F5002B">
      <w:pPr>
        <w:tabs>
          <w:tab w:val="left" w:pos="2160"/>
          <w:tab w:val="left" w:pos="2280"/>
        </w:tabs>
        <w:rPr>
          <w:color w:val="000000" w:themeColor="text1"/>
          <w:sz w:val="20"/>
          <w:szCs w:val="20"/>
        </w:rPr>
      </w:pPr>
      <w:r w:rsidRPr="00491526">
        <w:rPr>
          <w:sz w:val="20"/>
          <w:szCs w:val="20"/>
        </w:rPr>
        <w:t>tony_long@ham.honda.com</w:t>
      </w:r>
    </w:p>
    <w:p w:rsidR="00F5002B" w:rsidRDefault="00F5002B" w:rsidP="00F5002B">
      <w:pPr>
        <w:tabs>
          <w:tab w:val="left" w:pos="2160"/>
          <w:tab w:val="left" w:pos="2280"/>
        </w:tabs>
        <w:rPr>
          <w:b/>
          <w:smallCaps/>
          <w:sz w:val="20"/>
          <w:szCs w:val="20"/>
        </w:rPr>
      </w:pPr>
    </w:p>
    <w:p w:rsidR="00F5002B" w:rsidRDefault="00F5002B" w:rsidP="00F5002B">
      <w:pPr>
        <w:tabs>
          <w:tab w:val="left" w:pos="2160"/>
          <w:tab w:val="left" w:pos="2280"/>
        </w:tabs>
        <w:rPr>
          <w:b/>
          <w:smallCaps/>
          <w:sz w:val="20"/>
          <w:szCs w:val="20"/>
        </w:rPr>
      </w:pPr>
      <w:r>
        <w:rPr>
          <w:b/>
          <w:smallCaps/>
          <w:sz w:val="20"/>
          <w:szCs w:val="20"/>
        </w:rPr>
        <w:t>Attorney for Honda of America</w:t>
      </w:r>
    </w:p>
    <w:p w:rsidR="00F5002B" w:rsidRDefault="00F5002B" w:rsidP="00F5002B">
      <w:pPr>
        <w:autoSpaceDE w:val="0"/>
        <w:autoSpaceDN w:val="0"/>
        <w:adjustRightInd w:val="0"/>
        <w:rPr>
          <w:b/>
          <w:smallCaps/>
          <w:sz w:val="20"/>
          <w:szCs w:val="20"/>
        </w:rPr>
      </w:pPr>
      <w:r>
        <w:rPr>
          <w:b/>
          <w:smallCaps/>
          <w:sz w:val="20"/>
          <w:szCs w:val="20"/>
        </w:rPr>
        <w:t>Manufacturing, Inc.</w:t>
      </w:r>
    </w:p>
    <w:p w:rsidR="00F65618" w:rsidRDefault="00F65618" w:rsidP="00F5002B">
      <w:pPr>
        <w:autoSpaceDE w:val="0"/>
        <w:autoSpaceDN w:val="0"/>
        <w:adjustRightInd w:val="0"/>
        <w:rPr>
          <w:b/>
          <w:smallCaps/>
          <w:sz w:val="20"/>
          <w:szCs w:val="20"/>
        </w:rPr>
      </w:pPr>
    </w:p>
    <w:p w:rsidR="00F65618" w:rsidRDefault="00F65618" w:rsidP="00F65618">
      <w:pPr>
        <w:rPr>
          <w:b/>
          <w:bCs/>
          <w:color w:val="000000" w:themeColor="text1"/>
          <w:sz w:val="20"/>
          <w:szCs w:val="20"/>
        </w:rPr>
      </w:pPr>
    </w:p>
    <w:p w:rsidR="00F65618" w:rsidRDefault="00F65618" w:rsidP="00F65618">
      <w:pPr>
        <w:tabs>
          <w:tab w:val="right" w:pos="4320"/>
        </w:tabs>
        <w:rPr>
          <w:rFonts w:eastAsia="Calibri"/>
          <w:color w:val="000000" w:themeColor="text1"/>
          <w:sz w:val="20"/>
          <w:szCs w:val="20"/>
          <w:u w:val="single"/>
        </w:rPr>
      </w:pPr>
      <w:r>
        <w:rPr>
          <w:rFonts w:eastAsia="Calibri"/>
          <w:color w:val="000000" w:themeColor="text1"/>
          <w:sz w:val="20"/>
          <w:szCs w:val="20"/>
          <w:u w:val="single"/>
        </w:rPr>
        <w:t>/s/ Kimberly W. Bojko</w:t>
      </w:r>
      <w:r>
        <w:rPr>
          <w:rFonts w:eastAsia="Calibri"/>
          <w:color w:val="000000" w:themeColor="text1"/>
          <w:sz w:val="20"/>
          <w:szCs w:val="20"/>
          <w:u w:val="single"/>
        </w:rPr>
        <w:tab/>
      </w:r>
    </w:p>
    <w:p w:rsidR="00F65618" w:rsidRDefault="00F65618" w:rsidP="00F65618">
      <w:pPr>
        <w:rPr>
          <w:bCs/>
          <w:color w:val="000000" w:themeColor="text1"/>
          <w:sz w:val="20"/>
          <w:szCs w:val="20"/>
        </w:rPr>
      </w:pPr>
      <w:r>
        <w:rPr>
          <w:bCs/>
          <w:color w:val="000000" w:themeColor="text1"/>
          <w:sz w:val="20"/>
          <w:szCs w:val="20"/>
        </w:rPr>
        <w:t>Kimberly W. Bojko</w:t>
      </w:r>
    </w:p>
    <w:p w:rsidR="00F65618" w:rsidRDefault="00F65618" w:rsidP="00F65618">
      <w:pPr>
        <w:rPr>
          <w:smallCaps/>
          <w:color w:val="000000" w:themeColor="text1"/>
          <w:sz w:val="20"/>
          <w:szCs w:val="20"/>
        </w:rPr>
      </w:pPr>
      <w:r>
        <w:rPr>
          <w:smallCaps/>
          <w:color w:val="000000" w:themeColor="text1"/>
          <w:sz w:val="20"/>
          <w:szCs w:val="20"/>
        </w:rPr>
        <w:t>Carpenter Lipps &amp; Leland LLP</w:t>
      </w:r>
    </w:p>
    <w:p w:rsidR="00F65618" w:rsidRDefault="00F65618" w:rsidP="00F65618">
      <w:pPr>
        <w:rPr>
          <w:color w:val="000000" w:themeColor="text1"/>
          <w:sz w:val="20"/>
          <w:szCs w:val="20"/>
        </w:rPr>
      </w:pPr>
      <w:r>
        <w:rPr>
          <w:color w:val="000000" w:themeColor="text1"/>
          <w:sz w:val="20"/>
          <w:szCs w:val="20"/>
        </w:rPr>
        <w:t>280 Plaza, Suite 1300</w:t>
      </w:r>
    </w:p>
    <w:p w:rsidR="00F65618" w:rsidRDefault="00F65618" w:rsidP="00F65618">
      <w:pPr>
        <w:rPr>
          <w:color w:val="000000" w:themeColor="text1"/>
          <w:sz w:val="20"/>
          <w:szCs w:val="20"/>
        </w:rPr>
      </w:pPr>
      <w:r>
        <w:rPr>
          <w:color w:val="000000" w:themeColor="text1"/>
          <w:sz w:val="20"/>
          <w:szCs w:val="20"/>
        </w:rPr>
        <w:t>280 N. High Street</w:t>
      </w:r>
    </w:p>
    <w:p w:rsidR="00F65618" w:rsidRDefault="00F65618" w:rsidP="00F65618">
      <w:pPr>
        <w:rPr>
          <w:color w:val="000000" w:themeColor="text1"/>
          <w:sz w:val="20"/>
          <w:szCs w:val="20"/>
        </w:rPr>
      </w:pPr>
      <w:r>
        <w:rPr>
          <w:color w:val="000000" w:themeColor="text1"/>
          <w:sz w:val="20"/>
          <w:szCs w:val="20"/>
        </w:rPr>
        <w:t>Columbus, OH  43215</w:t>
      </w:r>
    </w:p>
    <w:p w:rsidR="00F65618" w:rsidRPr="00AB0F5C" w:rsidRDefault="00F65618" w:rsidP="00F65618">
      <w:pPr>
        <w:rPr>
          <w:color w:val="000000" w:themeColor="text1"/>
          <w:sz w:val="20"/>
          <w:szCs w:val="20"/>
        </w:rPr>
      </w:pPr>
      <w:r w:rsidRPr="00491526">
        <w:rPr>
          <w:sz w:val="20"/>
          <w:szCs w:val="20"/>
        </w:rPr>
        <w:t>bojko@carpenterlipps.com</w:t>
      </w:r>
    </w:p>
    <w:p w:rsidR="00F65618" w:rsidRDefault="00F65618" w:rsidP="00F65618">
      <w:pPr>
        <w:tabs>
          <w:tab w:val="left" w:pos="2160"/>
          <w:tab w:val="left" w:pos="2280"/>
        </w:tabs>
        <w:rPr>
          <w:rFonts w:eastAsia="Calibri"/>
          <w:b/>
          <w:color w:val="000000" w:themeColor="text1"/>
          <w:sz w:val="20"/>
          <w:szCs w:val="20"/>
        </w:rPr>
      </w:pPr>
    </w:p>
    <w:p w:rsidR="00F65618" w:rsidRDefault="00F65618" w:rsidP="00F65618">
      <w:pPr>
        <w:rPr>
          <w:b/>
          <w:smallCaps/>
          <w:color w:val="000000" w:themeColor="text1"/>
          <w:sz w:val="20"/>
        </w:rPr>
      </w:pPr>
      <w:r>
        <w:rPr>
          <w:b/>
          <w:smallCaps/>
          <w:color w:val="000000" w:themeColor="text1"/>
          <w:sz w:val="20"/>
        </w:rPr>
        <w:t>Attorney for SolarVision, LLC*</w:t>
      </w:r>
    </w:p>
    <w:p w:rsidR="00F65618" w:rsidRDefault="00F65618" w:rsidP="00F5002B">
      <w:pPr>
        <w:autoSpaceDE w:val="0"/>
        <w:autoSpaceDN w:val="0"/>
        <w:adjustRightInd w:val="0"/>
        <w:rPr>
          <w:b/>
          <w:smallCaps/>
          <w:sz w:val="20"/>
          <w:szCs w:val="20"/>
        </w:rPr>
      </w:pPr>
    </w:p>
    <w:p w:rsidR="0038271E" w:rsidRDefault="0038271E" w:rsidP="0038271E">
      <w:pPr>
        <w:tabs>
          <w:tab w:val="right" w:pos="4320"/>
        </w:tabs>
        <w:rPr>
          <w:rFonts w:eastAsia="Calibri"/>
          <w:color w:val="000000" w:themeColor="text1"/>
          <w:sz w:val="20"/>
          <w:szCs w:val="20"/>
          <w:u w:val="single"/>
        </w:rPr>
      </w:pPr>
    </w:p>
    <w:p w:rsidR="0038271E" w:rsidRDefault="00697F09" w:rsidP="0038271E">
      <w:pPr>
        <w:tabs>
          <w:tab w:val="right" w:pos="4320"/>
        </w:tabs>
        <w:rPr>
          <w:rFonts w:eastAsia="Calibri"/>
          <w:color w:val="000000" w:themeColor="text1"/>
          <w:sz w:val="20"/>
          <w:szCs w:val="20"/>
          <w:u w:val="single"/>
        </w:rPr>
      </w:pPr>
      <w:r>
        <w:rPr>
          <w:rFonts w:eastAsia="Calibri"/>
          <w:color w:val="000000" w:themeColor="text1"/>
          <w:sz w:val="20"/>
          <w:szCs w:val="20"/>
          <w:u w:val="single"/>
        </w:rPr>
        <w:t>/s/ J. Thomas Siwo</w:t>
      </w:r>
      <w:r>
        <w:rPr>
          <w:rFonts w:eastAsia="Calibri"/>
          <w:color w:val="000000" w:themeColor="text1"/>
          <w:sz w:val="20"/>
          <w:szCs w:val="20"/>
          <w:u w:val="single"/>
        </w:rPr>
        <w:tab/>
      </w:r>
    </w:p>
    <w:p w:rsidR="0038271E" w:rsidRDefault="0038271E" w:rsidP="0038271E">
      <w:pPr>
        <w:tabs>
          <w:tab w:val="left" w:pos="2160"/>
          <w:tab w:val="left" w:pos="2280"/>
        </w:tabs>
        <w:rPr>
          <w:rFonts w:eastAsia="Calibri"/>
          <w:color w:val="000000" w:themeColor="text1"/>
          <w:sz w:val="20"/>
          <w:szCs w:val="20"/>
        </w:rPr>
      </w:pPr>
      <w:r>
        <w:rPr>
          <w:rFonts w:eastAsia="Calibri"/>
          <w:color w:val="000000" w:themeColor="text1"/>
          <w:sz w:val="20"/>
          <w:szCs w:val="20"/>
        </w:rPr>
        <w:t>J. Thomas Siwo</w:t>
      </w:r>
    </w:p>
    <w:p w:rsidR="0038271E" w:rsidRDefault="0038271E" w:rsidP="0038271E">
      <w:pPr>
        <w:tabs>
          <w:tab w:val="left" w:pos="2160"/>
          <w:tab w:val="left" w:pos="2280"/>
        </w:tabs>
        <w:rPr>
          <w:rFonts w:eastAsia="Calibri"/>
          <w:color w:val="000000" w:themeColor="text1"/>
          <w:sz w:val="20"/>
          <w:szCs w:val="20"/>
        </w:rPr>
      </w:pPr>
      <w:r>
        <w:rPr>
          <w:rFonts w:eastAsia="Calibri"/>
          <w:color w:val="000000" w:themeColor="text1"/>
          <w:sz w:val="20"/>
          <w:szCs w:val="20"/>
        </w:rPr>
        <w:t>Matthew W. Warnock</w:t>
      </w:r>
    </w:p>
    <w:p w:rsidR="0038271E" w:rsidRDefault="0038271E" w:rsidP="0038271E">
      <w:pPr>
        <w:tabs>
          <w:tab w:val="left" w:pos="2160"/>
          <w:tab w:val="left" w:pos="2280"/>
        </w:tabs>
        <w:rPr>
          <w:rFonts w:eastAsia="Calibri"/>
          <w:color w:val="000000" w:themeColor="text1"/>
          <w:sz w:val="20"/>
          <w:szCs w:val="20"/>
        </w:rPr>
      </w:pPr>
      <w:r>
        <w:rPr>
          <w:rFonts w:eastAsia="Calibri"/>
          <w:color w:val="000000" w:themeColor="text1"/>
          <w:sz w:val="20"/>
          <w:szCs w:val="20"/>
        </w:rPr>
        <w:t>BRICKER &amp; ECKLER LLP</w:t>
      </w:r>
    </w:p>
    <w:p w:rsidR="0038271E" w:rsidRDefault="0038271E" w:rsidP="0038271E">
      <w:pPr>
        <w:tabs>
          <w:tab w:val="left" w:pos="2160"/>
          <w:tab w:val="left" w:pos="2280"/>
        </w:tabs>
        <w:rPr>
          <w:rFonts w:eastAsia="Calibri"/>
          <w:color w:val="000000" w:themeColor="text1"/>
          <w:sz w:val="20"/>
          <w:szCs w:val="20"/>
        </w:rPr>
      </w:pPr>
      <w:r>
        <w:rPr>
          <w:rFonts w:eastAsia="Calibri"/>
          <w:color w:val="000000" w:themeColor="text1"/>
          <w:sz w:val="20"/>
          <w:szCs w:val="20"/>
        </w:rPr>
        <w:t>100 South Third Street</w:t>
      </w:r>
    </w:p>
    <w:p w:rsidR="0038271E" w:rsidRDefault="0038271E" w:rsidP="0038271E">
      <w:pPr>
        <w:tabs>
          <w:tab w:val="left" w:pos="2160"/>
          <w:tab w:val="left" w:pos="2280"/>
        </w:tabs>
        <w:rPr>
          <w:rFonts w:eastAsia="Calibri"/>
          <w:color w:val="000000" w:themeColor="text1"/>
          <w:sz w:val="20"/>
          <w:szCs w:val="20"/>
        </w:rPr>
      </w:pPr>
      <w:r>
        <w:rPr>
          <w:rFonts w:eastAsia="Calibri"/>
          <w:color w:val="000000" w:themeColor="text1"/>
          <w:sz w:val="20"/>
          <w:szCs w:val="20"/>
        </w:rPr>
        <w:t>Columbus, OH  43215</w:t>
      </w:r>
    </w:p>
    <w:p w:rsidR="0038271E" w:rsidRPr="00674933" w:rsidRDefault="0038271E" w:rsidP="0038271E">
      <w:pPr>
        <w:tabs>
          <w:tab w:val="left" w:pos="2160"/>
          <w:tab w:val="left" w:pos="2280"/>
        </w:tabs>
        <w:rPr>
          <w:rFonts w:eastAsia="Calibri"/>
          <w:color w:val="000000" w:themeColor="text1"/>
          <w:sz w:val="20"/>
          <w:szCs w:val="20"/>
        </w:rPr>
      </w:pPr>
      <w:r w:rsidRPr="00491526">
        <w:rPr>
          <w:rFonts w:eastAsia="Calibri"/>
          <w:sz w:val="20"/>
          <w:szCs w:val="20"/>
        </w:rPr>
        <w:t>tsiwo@bricker.com</w:t>
      </w:r>
    </w:p>
    <w:p w:rsidR="0038271E" w:rsidRDefault="0038271E" w:rsidP="0038271E">
      <w:pPr>
        <w:tabs>
          <w:tab w:val="left" w:pos="2160"/>
          <w:tab w:val="left" w:pos="2280"/>
        </w:tabs>
        <w:rPr>
          <w:rFonts w:eastAsia="Calibri"/>
          <w:color w:val="000000" w:themeColor="text1"/>
          <w:sz w:val="20"/>
          <w:szCs w:val="20"/>
        </w:rPr>
      </w:pPr>
      <w:r>
        <w:rPr>
          <w:rFonts w:eastAsia="Calibri"/>
          <w:color w:val="000000" w:themeColor="text1"/>
          <w:sz w:val="20"/>
          <w:szCs w:val="20"/>
        </w:rPr>
        <w:t>mwarnock@bricker.com</w:t>
      </w:r>
    </w:p>
    <w:p w:rsidR="0038271E" w:rsidRDefault="0038271E" w:rsidP="0038271E">
      <w:pPr>
        <w:tabs>
          <w:tab w:val="left" w:pos="2160"/>
          <w:tab w:val="left" w:pos="2280"/>
        </w:tabs>
        <w:rPr>
          <w:rFonts w:eastAsia="Calibri"/>
          <w:color w:val="000000" w:themeColor="text1"/>
          <w:sz w:val="20"/>
          <w:szCs w:val="20"/>
        </w:rPr>
      </w:pPr>
    </w:p>
    <w:p w:rsidR="0038271E" w:rsidRDefault="0038271E" w:rsidP="0038271E">
      <w:pPr>
        <w:tabs>
          <w:tab w:val="left" w:pos="2160"/>
          <w:tab w:val="left" w:pos="2280"/>
        </w:tabs>
        <w:rPr>
          <w:rFonts w:eastAsia="Calibri"/>
          <w:b/>
          <w:smallCaps/>
          <w:color w:val="000000" w:themeColor="text1"/>
          <w:sz w:val="20"/>
          <w:szCs w:val="20"/>
        </w:rPr>
      </w:pPr>
      <w:r>
        <w:rPr>
          <w:rFonts w:eastAsia="Calibri"/>
          <w:b/>
          <w:smallCaps/>
          <w:color w:val="000000" w:themeColor="text1"/>
          <w:sz w:val="20"/>
          <w:szCs w:val="20"/>
        </w:rPr>
        <w:t>Attorneys for the OMA Energy Group</w:t>
      </w:r>
    </w:p>
    <w:p w:rsidR="0038271E" w:rsidRDefault="0038271E" w:rsidP="00F5002B">
      <w:pPr>
        <w:autoSpaceDE w:val="0"/>
        <w:autoSpaceDN w:val="0"/>
        <w:adjustRightInd w:val="0"/>
        <w:rPr>
          <w:b/>
          <w:smallCaps/>
          <w:sz w:val="20"/>
          <w:szCs w:val="20"/>
        </w:rPr>
      </w:pPr>
    </w:p>
    <w:p w:rsidR="007C6361" w:rsidRDefault="007C6361" w:rsidP="00F5002B">
      <w:pPr>
        <w:autoSpaceDE w:val="0"/>
        <w:autoSpaceDN w:val="0"/>
        <w:adjustRightInd w:val="0"/>
        <w:rPr>
          <w:b/>
          <w:smallCaps/>
          <w:sz w:val="20"/>
          <w:szCs w:val="20"/>
        </w:rPr>
      </w:pPr>
    </w:p>
    <w:p w:rsidR="007C6361" w:rsidRDefault="007C6361" w:rsidP="007C6361">
      <w:pPr>
        <w:tabs>
          <w:tab w:val="right" w:pos="4320"/>
        </w:tabs>
        <w:rPr>
          <w:rFonts w:eastAsia="Calibri"/>
          <w:color w:val="000000" w:themeColor="text1"/>
          <w:sz w:val="20"/>
          <w:szCs w:val="20"/>
          <w:u w:val="single"/>
        </w:rPr>
      </w:pPr>
      <w:r>
        <w:rPr>
          <w:rFonts w:eastAsia="Calibri"/>
          <w:color w:val="000000" w:themeColor="text1"/>
          <w:sz w:val="20"/>
          <w:szCs w:val="20"/>
          <w:u w:val="single"/>
        </w:rPr>
        <w:t>/s/ Joseph P. Serio</w:t>
      </w:r>
      <w:r>
        <w:rPr>
          <w:rFonts w:eastAsia="Calibri"/>
          <w:color w:val="000000" w:themeColor="text1"/>
          <w:sz w:val="20"/>
          <w:szCs w:val="20"/>
          <w:u w:val="single"/>
        </w:rPr>
        <w:tab/>
      </w:r>
    </w:p>
    <w:p w:rsidR="007C6361" w:rsidRDefault="007C6361" w:rsidP="007C6361">
      <w:pPr>
        <w:tabs>
          <w:tab w:val="left" w:pos="2160"/>
          <w:tab w:val="left" w:pos="2280"/>
        </w:tabs>
        <w:rPr>
          <w:sz w:val="20"/>
          <w:szCs w:val="20"/>
        </w:rPr>
      </w:pPr>
      <w:r>
        <w:rPr>
          <w:sz w:val="20"/>
          <w:szCs w:val="20"/>
        </w:rPr>
        <w:t>Joseph P. Serio</w:t>
      </w:r>
    </w:p>
    <w:p w:rsidR="007C6361" w:rsidRDefault="007C6361" w:rsidP="007C6361">
      <w:pPr>
        <w:tabs>
          <w:tab w:val="left" w:pos="2160"/>
          <w:tab w:val="left" w:pos="2280"/>
        </w:tabs>
        <w:rPr>
          <w:sz w:val="20"/>
          <w:szCs w:val="20"/>
        </w:rPr>
      </w:pPr>
      <w:r>
        <w:rPr>
          <w:sz w:val="20"/>
          <w:szCs w:val="20"/>
        </w:rPr>
        <w:t>Office of the Ohio Consumers’ Counsel</w:t>
      </w:r>
    </w:p>
    <w:p w:rsidR="007C6361" w:rsidRDefault="007C6361" w:rsidP="007C6361">
      <w:pPr>
        <w:tabs>
          <w:tab w:val="left" w:pos="2160"/>
          <w:tab w:val="left" w:pos="2280"/>
        </w:tabs>
        <w:rPr>
          <w:sz w:val="20"/>
          <w:szCs w:val="20"/>
        </w:rPr>
      </w:pPr>
      <w:r>
        <w:rPr>
          <w:sz w:val="20"/>
          <w:szCs w:val="20"/>
        </w:rPr>
        <w:t>10 West Broad St., Ste. 1800</w:t>
      </w:r>
    </w:p>
    <w:p w:rsidR="007C6361" w:rsidRDefault="007C6361" w:rsidP="007C6361">
      <w:pPr>
        <w:tabs>
          <w:tab w:val="left" w:pos="2160"/>
          <w:tab w:val="left" w:pos="2280"/>
        </w:tabs>
        <w:rPr>
          <w:sz w:val="20"/>
          <w:szCs w:val="20"/>
        </w:rPr>
      </w:pPr>
      <w:r>
        <w:rPr>
          <w:sz w:val="20"/>
          <w:szCs w:val="20"/>
        </w:rPr>
        <w:t>Columbus, OH  43215-3485</w:t>
      </w:r>
    </w:p>
    <w:p w:rsidR="007C6361" w:rsidRPr="007C6361" w:rsidRDefault="007C6361" w:rsidP="007C6361">
      <w:pPr>
        <w:tabs>
          <w:tab w:val="left" w:pos="2160"/>
          <w:tab w:val="left" w:pos="2280"/>
        </w:tabs>
        <w:rPr>
          <w:color w:val="000000" w:themeColor="text1"/>
          <w:sz w:val="20"/>
          <w:szCs w:val="20"/>
        </w:rPr>
      </w:pPr>
      <w:r w:rsidRPr="00491526">
        <w:rPr>
          <w:sz w:val="20"/>
          <w:szCs w:val="20"/>
        </w:rPr>
        <w:t>serio@occ.state.oh.us</w:t>
      </w:r>
    </w:p>
    <w:p w:rsidR="007C6361" w:rsidRDefault="007C6361" w:rsidP="007C6361">
      <w:pPr>
        <w:tabs>
          <w:tab w:val="left" w:pos="2160"/>
          <w:tab w:val="left" w:pos="2280"/>
        </w:tabs>
        <w:rPr>
          <w:sz w:val="20"/>
          <w:szCs w:val="20"/>
        </w:rPr>
      </w:pPr>
    </w:p>
    <w:p w:rsidR="007C6361" w:rsidRDefault="007C6361" w:rsidP="007C6361">
      <w:pPr>
        <w:tabs>
          <w:tab w:val="left" w:pos="2160"/>
          <w:tab w:val="left" w:pos="2280"/>
        </w:tabs>
        <w:rPr>
          <w:b/>
          <w:smallCaps/>
          <w:sz w:val="20"/>
          <w:szCs w:val="20"/>
        </w:rPr>
      </w:pPr>
      <w:r>
        <w:rPr>
          <w:b/>
          <w:smallCaps/>
          <w:sz w:val="20"/>
          <w:szCs w:val="20"/>
        </w:rPr>
        <w:t xml:space="preserve">Attorney for the Office of the </w:t>
      </w:r>
    </w:p>
    <w:p w:rsidR="007C6361" w:rsidRDefault="007C6361" w:rsidP="007C6361">
      <w:pPr>
        <w:tabs>
          <w:tab w:val="left" w:pos="2160"/>
          <w:tab w:val="left" w:pos="2280"/>
        </w:tabs>
        <w:rPr>
          <w:b/>
          <w:smallCaps/>
          <w:sz w:val="20"/>
          <w:szCs w:val="20"/>
        </w:rPr>
      </w:pPr>
      <w:r>
        <w:rPr>
          <w:b/>
          <w:smallCaps/>
          <w:sz w:val="20"/>
          <w:szCs w:val="20"/>
        </w:rPr>
        <w:t>Ohio Consumers’ Counsel</w:t>
      </w:r>
    </w:p>
    <w:p w:rsidR="007C6361" w:rsidRDefault="007C6361" w:rsidP="00F5002B">
      <w:pPr>
        <w:autoSpaceDE w:val="0"/>
        <w:autoSpaceDN w:val="0"/>
        <w:adjustRightInd w:val="0"/>
        <w:rPr>
          <w:b/>
          <w:smallCaps/>
          <w:sz w:val="20"/>
          <w:szCs w:val="20"/>
        </w:rPr>
      </w:pPr>
    </w:p>
    <w:p w:rsidR="00F5002B" w:rsidRDefault="00F5002B" w:rsidP="00F5002B">
      <w:pPr>
        <w:rPr>
          <w:b/>
          <w:smallCaps/>
          <w:color w:val="000000" w:themeColor="text1"/>
          <w:sz w:val="20"/>
        </w:rPr>
      </w:pPr>
    </w:p>
    <w:p w:rsidR="001B1E9F" w:rsidRDefault="001B1E9F" w:rsidP="00F5002B">
      <w:pPr>
        <w:tabs>
          <w:tab w:val="left" w:pos="4320"/>
          <w:tab w:val="right" w:pos="8640"/>
        </w:tabs>
        <w:rPr>
          <w:rFonts w:eastAsia="Times New Roman"/>
          <w:b/>
          <w:smallCaps/>
          <w:sz w:val="28"/>
          <w:szCs w:val="24"/>
        </w:rPr>
        <w:sectPr w:rsidR="001B1E9F" w:rsidSect="00F5002B">
          <w:headerReference w:type="default" r:id="rId15"/>
          <w:footerReference w:type="default" r:id="rId16"/>
          <w:headerReference w:type="first" r:id="rId17"/>
          <w:footerReference w:type="first" r:id="rId18"/>
          <w:type w:val="continuous"/>
          <w:pgSz w:w="12240" w:h="15840"/>
          <w:pgMar w:top="1368" w:right="1440" w:bottom="1296" w:left="1440" w:header="720" w:footer="720" w:gutter="0"/>
          <w:cols w:num="2" w:space="720"/>
          <w:docGrid w:linePitch="360"/>
        </w:sectPr>
      </w:pPr>
    </w:p>
    <w:p w:rsidR="003B1035" w:rsidRDefault="00D77915">
      <w:pPr>
        <w:jc w:val="center"/>
        <w:rPr>
          <w:rFonts w:eastAsia="Times New Roman"/>
          <w:b/>
          <w:smallCaps/>
          <w:sz w:val="28"/>
          <w:szCs w:val="24"/>
        </w:rPr>
      </w:pPr>
      <w:r>
        <w:rPr>
          <w:rFonts w:eastAsia="Times New Roman"/>
          <w:b/>
          <w:smallCaps/>
          <w:sz w:val="28"/>
          <w:szCs w:val="24"/>
        </w:rPr>
        <w:lastRenderedPageBreak/>
        <w:t>Before</w:t>
      </w:r>
    </w:p>
    <w:p w:rsidR="003B1035" w:rsidRDefault="00D77915">
      <w:pPr>
        <w:spacing w:after="200" w:line="276" w:lineRule="auto"/>
        <w:jc w:val="center"/>
        <w:rPr>
          <w:rFonts w:eastAsia="Times New Roman"/>
          <w:b/>
          <w:smallCaps/>
          <w:sz w:val="28"/>
        </w:rPr>
      </w:pPr>
      <w:r>
        <w:rPr>
          <w:rFonts w:eastAsia="Times New Roman"/>
          <w:b/>
          <w:smallCaps/>
          <w:sz w:val="28"/>
        </w:rPr>
        <w:t>The Public Utilities Commission of Ohio</w:t>
      </w:r>
    </w:p>
    <w:p w:rsidR="003B1035" w:rsidRDefault="003B1035">
      <w:pPr>
        <w:rPr>
          <w:rFonts w:eastAsia="Times New Roman"/>
          <w:szCs w:val="24"/>
        </w:rPr>
      </w:pPr>
    </w:p>
    <w:p w:rsidR="003B1035" w:rsidRDefault="00D77915">
      <w:pPr>
        <w:tabs>
          <w:tab w:val="left" w:pos="4680"/>
        </w:tabs>
        <w:rPr>
          <w:rFonts w:eastAsia="Times New Roman" w:cs="Times New Roman"/>
          <w:szCs w:val="24"/>
        </w:rPr>
      </w:pPr>
      <w:r>
        <w:rPr>
          <w:rFonts w:eastAsia="Times New Roman" w:cs="Times New Roman"/>
          <w:szCs w:val="24"/>
        </w:rPr>
        <w:t xml:space="preserve">In the Matter of the Application of </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 xml:space="preserve">The Dayton Power and Light Company </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12-426-EL-SSO</w:t>
      </w:r>
    </w:p>
    <w:p w:rsidR="003B1035" w:rsidRDefault="00D77915">
      <w:pPr>
        <w:tabs>
          <w:tab w:val="left" w:pos="4680"/>
          <w:tab w:val="left" w:pos="5400"/>
        </w:tabs>
        <w:rPr>
          <w:rFonts w:eastAsia="Times New Roman" w:cs="Times New Roman"/>
          <w:szCs w:val="24"/>
        </w:rPr>
      </w:pPr>
      <w:r>
        <w:rPr>
          <w:rFonts w:eastAsia="Times New Roman" w:cs="Times New Roman"/>
          <w:szCs w:val="24"/>
        </w:rPr>
        <w:t>for Approval of Its Market Rate Offer.</w:t>
      </w:r>
      <w:r>
        <w:rPr>
          <w:rFonts w:eastAsia="Times New Roman" w:cs="Times New Roman"/>
          <w:szCs w:val="24"/>
        </w:rPr>
        <w:tab/>
        <w:t>)</w:t>
      </w:r>
    </w:p>
    <w:p w:rsidR="003B1035" w:rsidRDefault="003B1035">
      <w:pPr>
        <w:tabs>
          <w:tab w:val="left" w:pos="4680"/>
          <w:tab w:val="left" w:pos="5400"/>
        </w:tabs>
        <w:rPr>
          <w:rFonts w:eastAsia="Times New Roman" w:cs="Times New Roman"/>
          <w:szCs w:val="24"/>
        </w:rPr>
      </w:pPr>
    </w:p>
    <w:p w:rsidR="003B1035" w:rsidRDefault="00D77915">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12-427-EL-ATA</w:t>
      </w:r>
    </w:p>
    <w:p w:rsidR="003B1035" w:rsidRDefault="00D77915">
      <w:pPr>
        <w:tabs>
          <w:tab w:val="left" w:pos="4680"/>
        </w:tabs>
        <w:rPr>
          <w:rFonts w:eastAsia="Times New Roman" w:cs="Times New Roman"/>
          <w:szCs w:val="24"/>
        </w:rPr>
      </w:pPr>
      <w:r>
        <w:rPr>
          <w:rFonts w:eastAsia="Times New Roman" w:cs="Times New Roman"/>
          <w:szCs w:val="24"/>
        </w:rPr>
        <w:t>for Approval of Revised Tariffs.</w:t>
      </w:r>
      <w:r>
        <w:rPr>
          <w:rFonts w:eastAsia="Times New Roman" w:cs="Times New Roman"/>
          <w:szCs w:val="24"/>
        </w:rPr>
        <w:tab/>
        <w:t>)</w:t>
      </w:r>
    </w:p>
    <w:p w:rsidR="003B1035" w:rsidRDefault="003B1035">
      <w:pPr>
        <w:tabs>
          <w:tab w:val="left" w:pos="5040"/>
        </w:tabs>
        <w:rPr>
          <w:rFonts w:eastAsia="Times New Roman" w:cs="Times New Roman"/>
          <w:szCs w:val="24"/>
        </w:rPr>
      </w:pPr>
    </w:p>
    <w:p w:rsidR="003B1035" w:rsidRDefault="00D77915">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12-428-EL-AAM</w:t>
      </w:r>
    </w:p>
    <w:p w:rsidR="003B1035" w:rsidRDefault="00D77915">
      <w:pPr>
        <w:tabs>
          <w:tab w:val="left" w:pos="4680"/>
          <w:tab w:val="left" w:pos="5400"/>
        </w:tabs>
        <w:rPr>
          <w:rFonts w:eastAsia="Times New Roman" w:cs="Times New Roman"/>
          <w:szCs w:val="24"/>
        </w:rPr>
      </w:pPr>
      <w:r>
        <w:rPr>
          <w:rFonts w:eastAsia="Times New Roman" w:cs="Times New Roman"/>
          <w:szCs w:val="24"/>
        </w:rPr>
        <w:t xml:space="preserve">for Approval of Certain Accounting </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Authority.</w:t>
      </w:r>
      <w:r>
        <w:rPr>
          <w:rFonts w:eastAsia="Times New Roman" w:cs="Times New Roman"/>
          <w:szCs w:val="24"/>
        </w:rPr>
        <w:tab/>
        <w:t>)</w:t>
      </w:r>
    </w:p>
    <w:p w:rsidR="003B1035" w:rsidRDefault="003B1035">
      <w:pPr>
        <w:tabs>
          <w:tab w:val="left" w:pos="4680"/>
        </w:tabs>
        <w:rPr>
          <w:rFonts w:eastAsia="Times New Roman" w:cs="Times New Roman"/>
          <w:szCs w:val="24"/>
        </w:rPr>
      </w:pPr>
    </w:p>
    <w:p w:rsidR="003B1035" w:rsidRDefault="00D77915">
      <w:pPr>
        <w:tabs>
          <w:tab w:val="left" w:pos="468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 w:val="left" w:pos="540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12-429-EL-WVR</w:t>
      </w:r>
    </w:p>
    <w:p w:rsidR="003B1035" w:rsidRDefault="00D77915">
      <w:pPr>
        <w:tabs>
          <w:tab w:val="left" w:pos="4680"/>
          <w:tab w:val="left" w:pos="5400"/>
        </w:tabs>
        <w:rPr>
          <w:rFonts w:eastAsia="Times New Roman" w:cs="Times New Roman"/>
          <w:szCs w:val="24"/>
        </w:rPr>
      </w:pPr>
      <w:r>
        <w:rPr>
          <w:rFonts w:eastAsia="Times New Roman" w:cs="Times New Roman"/>
          <w:szCs w:val="24"/>
        </w:rPr>
        <w:t>for Waiver of Certain Commission Rules.</w:t>
      </w:r>
      <w:r>
        <w:rPr>
          <w:rFonts w:eastAsia="Times New Roman" w:cs="Times New Roman"/>
          <w:szCs w:val="24"/>
        </w:rPr>
        <w:tab/>
        <w:t>)</w:t>
      </w:r>
    </w:p>
    <w:p w:rsidR="003B1035" w:rsidRDefault="003B1035">
      <w:pPr>
        <w:tabs>
          <w:tab w:val="left" w:pos="4680"/>
          <w:tab w:val="left" w:pos="5400"/>
        </w:tabs>
        <w:rPr>
          <w:rFonts w:eastAsia="Times New Roman" w:cs="Times New Roman"/>
          <w:szCs w:val="24"/>
        </w:rPr>
      </w:pPr>
    </w:p>
    <w:p w:rsidR="003B1035" w:rsidRDefault="00D77915">
      <w:pPr>
        <w:tabs>
          <w:tab w:val="left" w:pos="4680"/>
          <w:tab w:val="left" w:pos="5400"/>
        </w:tabs>
        <w:rPr>
          <w:rFonts w:eastAsia="Times New Roman" w:cs="Times New Roman"/>
          <w:szCs w:val="24"/>
        </w:rPr>
      </w:pPr>
      <w:r>
        <w:rPr>
          <w:rFonts w:eastAsia="Times New Roman" w:cs="Times New Roman"/>
          <w:szCs w:val="24"/>
        </w:rPr>
        <w:t>In the Matter of the Application of</w:t>
      </w:r>
      <w:r>
        <w:rPr>
          <w:rFonts w:eastAsia="Times New Roman" w:cs="Times New Roman"/>
          <w:szCs w:val="24"/>
        </w:rPr>
        <w:tab/>
        <w:t>)</w:t>
      </w:r>
    </w:p>
    <w:p w:rsidR="003B1035" w:rsidRDefault="00D77915">
      <w:pPr>
        <w:tabs>
          <w:tab w:val="left" w:pos="4680"/>
        </w:tabs>
        <w:rPr>
          <w:rFonts w:eastAsia="Times New Roman" w:cs="Times New Roman"/>
          <w:szCs w:val="24"/>
        </w:rPr>
      </w:pPr>
      <w:r>
        <w:rPr>
          <w:rFonts w:eastAsia="Times New Roman" w:cs="Times New Roman"/>
          <w:szCs w:val="24"/>
        </w:rPr>
        <w:t>The Dayton Power and Light Company</w:t>
      </w:r>
      <w:r>
        <w:rPr>
          <w:rFonts w:eastAsia="Times New Roman" w:cs="Times New Roman"/>
          <w:szCs w:val="24"/>
        </w:rPr>
        <w:tab/>
        <w:t>)</w:t>
      </w:r>
      <w:r>
        <w:rPr>
          <w:rFonts w:eastAsia="Times New Roman" w:cs="Times New Roman"/>
          <w:szCs w:val="24"/>
        </w:rPr>
        <w:tab/>
      </w:r>
      <w:r>
        <w:rPr>
          <w:rFonts w:eastAsia="Times New Roman" w:cs="Times New Roman"/>
          <w:szCs w:val="24"/>
        </w:rPr>
        <w:tab/>
        <w:t>Case No. 12-672-EL-RDR</w:t>
      </w:r>
    </w:p>
    <w:p w:rsidR="003B1035" w:rsidRDefault="00D77915">
      <w:pPr>
        <w:tabs>
          <w:tab w:val="left" w:pos="4680"/>
        </w:tabs>
        <w:rPr>
          <w:rFonts w:eastAsia="Times New Roman" w:cs="Times New Roman"/>
          <w:szCs w:val="24"/>
        </w:rPr>
      </w:pPr>
      <w:r>
        <w:rPr>
          <w:rFonts w:eastAsia="Times New Roman" w:cs="Times New Roman"/>
          <w:szCs w:val="24"/>
        </w:rPr>
        <w:t>to Establish Tariff Riders.</w:t>
      </w:r>
      <w:r>
        <w:rPr>
          <w:rFonts w:eastAsia="Times New Roman" w:cs="Times New Roman"/>
          <w:szCs w:val="24"/>
        </w:rPr>
        <w:tab/>
        <w:t>)</w:t>
      </w:r>
    </w:p>
    <w:p w:rsidR="003B1035" w:rsidRDefault="003B1035">
      <w:pPr>
        <w:tabs>
          <w:tab w:val="left" w:pos="4680"/>
        </w:tabs>
      </w:pPr>
    </w:p>
    <w:p w:rsidR="003B1035" w:rsidRDefault="00D77915">
      <w:pPr>
        <w:rPr>
          <w:b/>
        </w:rPr>
      </w:pPr>
      <w:r>
        <w:rPr>
          <w:b/>
        </w:rPr>
        <w:t>______________________________________________________________________</w:t>
      </w:r>
    </w:p>
    <w:p w:rsidR="003B1035" w:rsidRDefault="003B1035">
      <w:pPr>
        <w:jc w:val="center"/>
        <w:rPr>
          <w:b/>
        </w:rPr>
      </w:pPr>
    </w:p>
    <w:p w:rsidR="004E0028" w:rsidRDefault="00D77915">
      <w:pPr>
        <w:jc w:val="center"/>
        <w:rPr>
          <w:b/>
        </w:rPr>
      </w:pPr>
      <w:r>
        <w:rPr>
          <w:b/>
        </w:rPr>
        <w:t xml:space="preserve">MEMORANDUM IN SUPPORT AND MEMORANDUM CONTRA </w:t>
      </w:r>
    </w:p>
    <w:p w:rsidR="003B1035" w:rsidRDefault="00D77915">
      <w:pPr>
        <w:jc w:val="center"/>
        <w:rPr>
          <w:b/>
        </w:rPr>
      </w:pPr>
      <w:r>
        <w:rPr>
          <w:b/>
        </w:rPr>
        <w:t>THE DAYTON POWER AND LIGHT COMPANY’S REQUESTS FOR WAIVERS</w:t>
      </w:r>
    </w:p>
    <w:p w:rsidR="003B1035" w:rsidRDefault="00D77915">
      <w:pPr>
        <w:rPr>
          <w:b/>
        </w:rPr>
      </w:pPr>
      <w:r>
        <w:rPr>
          <w:b/>
        </w:rPr>
        <w:t>______________________________________________________________________</w:t>
      </w:r>
    </w:p>
    <w:p w:rsidR="003B1035" w:rsidRDefault="003B1035">
      <w:pPr>
        <w:rPr>
          <w:b/>
        </w:rPr>
      </w:pPr>
    </w:p>
    <w:p w:rsidR="003B1035" w:rsidRDefault="00D77915">
      <w:pPr>
        <w:pStyle w:val="ListParagraph"/>
        <w:numPr>
          <w:ilvl w:val="0"/>
          <w:numId w:val="5"/>
        </w:numPr>
        <w:spacing w:before="120" w:line="480" w:lineRule="auto"/>
        <w:ind w:left="720"/>
      </w:pPr>
      <w:r>
        <w:rPr>
          <w:b/>
        </w:rPr>
        <w:t>INTRODUCTION</w:t>
      </w:r>
    </w:p>
    <w:p w:rsidR="003B1035" w:rsidRDefault="00D77915">
      <w:pPr>
        <w:spacing w:line="480" w:lineRule="auto"/>
        <w:ind w:firstLine="720"/>
      </w:pPr>
      <w:r>
        <w:t xml:space="preserve">On March 30, 2012, DP&amp;L filed an application for an SSO in the form of an MRO.  After months of settlement discussions, on September 7, 2012, DP&amp;L withdrew its MRO application.  Late on Friday, October 5, 2012, DP&amp;L filed its Application to set a successor SSO in the form of an ESP.  DP&amp;L’s Application, however, does not comply with the standard filing requirements for an ESP as established by Rule 4901:1-35-03, O.A.C.  The Joint Movants have identified at least six areas in which DP&amp;L’s Application fails to comply with the Commission’s standard filing requirements: </w:t>
      </w:r>
    </w:p>
    <w:p w:rsidR="003B1035" w:rsidRDefault="00D77915">
      <w:pPr>
        <w:pStyle w:val="ListParagraph"/>
        <w:numPr>
          <w:ilvl w:val="1"/>
          <w:numId w:val="5"/>
        </w:numPr>
        <w:spacing w:after="180"/>
        <w:ind w:right="720" w:hanging="720"/>
        <w:contextualSpacing w:val="0"/>
        <w:rPr>
          <w:color w:val="000000"/>
        </w:rPr>
      </w:pPr>
      <w:r>
        <w:rPr>
          <w:color w:val="000000"/>
        </w:rPr>
        <w:lastRenderedPageBreak/>
        <w:t>DP&amp;L failed to provide “the projected costs” of the Yankee Solar project.</w:t>
      </w:r>
      <w:r>
        <w:rPr>
          <w:rStyle w:val="FootnoteReference"/>
          <w:color w:val="000000"/>
        </w:rPr>
        <w:footnoteReference w:id="8"/>
      </w:r>
      <w:r>
        <w:rPr>
          <w:color w:val="000000"/>
        </w:rPr>
        <w:t xml:space="preserve"> </w:t>
      </w:r>
    </w:p>
    <w:p w:rsidR="003B1035" w:rsidRDefault="00D77915">
      <w:pPr>
        <w:pStyle w:val="ListParagraph"/>
        <w:numPr>
          <w:ilvl w:val="1"/>
          <w:numId w:val="5"/>
        </w:numPr>
        <w:spacing w:after="180"/>
        <w:ind w:right="720" w:hanging="720"/>
        <w:contextualSpacing w:val="0"/>
        <w:rPr>
          <w:color w:val="000000"/>
        </w:rPr>
      </w:pPr>
      <w:r>
        <w:rPr>
          <w:color w:val="000000"/>
        </w:rPr>
        <w:t>DP&amp;L failed to provide a “quantification or estimation” of the switching tracker.</w:t>
      </w:r>
      <w:r>
        <w:rPr>
          <w:rStyle w:val="FootnoteReference"/>
          <w:color w:val="000000"/>
        </w:rPr>
        <w:footnoteReference w:id="9"/>
      </w:r>
      <w:r>
        <w:rPr>
          <w:color w:val="000000"/>
        </w:rPr>
        <w:t xml:space="preserve"> </w:t>
      </w:r>
    </w:p>
    <w:p w:rsidR="003B1035" w:rsidRDefault="00D77915">
      <w:pPr>
        <w:pStyle w:val="ListParagraph"/>
        <w:numPr>
          <w:ilvl w:val="1"/>
          <w:numId w:val="5"/>
        </w:numPr>
        <w:spacing w:after="180"/>
        <w:ind w:right="720" w:hanging="720"/>
        <w:contextualSpacing w:val="0"/>
        <w:rPr>
          <w:color w:val="000000"/>
        </w:rPr>
      </w:pPr>
      <w:r>
        <w:rPr>
          <w:color w:val="000000"/>
        </w:rPr>
        <w:t>DP&amp;L failed to provide “a description of the effect on large-scale governmental aggregation of any unavoidable generation charge proposed to be established in the ESP.”</w:t>
      </w:r>
      <w:r>
        <w:rPr>
          <w:rStyle w:val="FootnoteReference"/>
          <w:color w:val="000000"/>
        </w:rPr>
        <w:footnoteReference w:id="10"/>
      </w:r>
      <w:r>
        <w:rPr>
          <w:color w:val="000000"/>
        </w:rPr>
        <w:t xml:space="preserve"> </w:t>
      </w:r>
    </w:p>
    <w:p w:rsidR="003B1035" w:rsidRDefault="00D77915">
      <w:pPr>
        <w:pStyle w:val="ListParagraph"/>
        <w:numPr>
          <w:ilvl w:val="1"/>
          <w:numId w:val="5"/>
        </w:numPr>
        <w:spacing w:after="180"/>
        <w:ind w:right="720" w:hanging="720"/>
        <w:contextualSpacing w:val="0"/>
        <w:rPr>
          <w:color w:val="000000"/>
        </w:rPr>
      </w:pPr>
      <w:r>
        <w:rPr>
          <w:color w:val="000000"/>
        </w:rPr>
        <w:t>DP&amp;L failed to provide “a section demonstrating that its current corporate separation plan is in compliance with section 4928.17 of  the Revised Code, Chapter 4901:1-37 of the Administrative Code, and consistent with the policy of the state as delineated in divisions (A) to (N) of section 4928.02 of the Revised Code.”</w:t>
      </w:r>
      <w:r>
        <w:rPr>
          <w:rStyle w:val="FootnoteReference"/>
          <w:color w:val="000000"/>
        </w:rPr>
        <w:footnoteReference w:id="11"/>
      </w:r>
      <w:r>
        <w:rPr>
          <w:color w:val="000000"/>
        </w:rPr>
        <w:t xml:space="preserve">  Although DP&amp;L witness Sobecki provides testimony regarding corporate separation, her testimony falls well short of compliance with the standard filing requirements. </w:t>
      </w:r>
    </w:p>
    <w:p w:rsidR="003B1035" w:rsidRDefault="00D77915">
      <w:pPr>
        <w:pStyle w:val="ListParagraph"/>
        <w:numPr>
          <w:ilvl w:val="1"/>
          <w:numId w:val="5"/>
        </w:numPr>
        <w:spacing w:after="180"/>
        <w:ind w:right="720" w:hanging="720"/>
        <w:contextualSpacing w:val="0"/>
        <w:rPr>
          <w:color w:val="000000"/>
        </w:rPr>
      </w:pPr>
      <w:r>
        <w:rPr>
          <w:color w:val="000000"/>
        </w:rPr>
        <w:t>A complete quantification of the RR, specifically the cost of retail enhancements.</w:t>
      </w:r>
    </w:p>
    <w:p w:rsidR="003B1035" w:rsidRDefault="00D77915">
      <w:pPr>
        <w:pStyle w:val="ListParagraph"/>
        <w:numPr>
          <w:ilvl w:val="1"/>
          <w:numId w:val="5"/>
        </w:numPr>
        <w:ind w:right="720" w:hanging="720"/>
        <w:contextualSpacing w:val="0"/>
      </w:pPr>
      <w:r>
        <w:rPr>
          <w:color w:val="000000"/>
        </w:rPr>
        <w:t>Because of these omissions, the Application fails to properly quantify the pro forma financial projections and projected rate impacts that are required by the standard filing requirements.  Additionally, the pro forma financial projections are on a total company basis rather than being broken down on a generation/distribution/transmission basis.</w:t>
      </w:r>
    </w:p>
    <w:p w:rsidR="003B1035" w:rsidRDefault="003B1035">
      <w:pPr>
        <w:pStyle w:val="ListParagraph"/>
        <w:spacing w:after="180"/>
        <w:ind w:left="1440" w:right="720" w:hanging="720"/>
        <w:contextualSpacing w:val="0"/>
      </w:pPr>
    </w:p>
    <w:p w:rsidR="003B1035" w:rsidRDefault="00D77915">
      <w:pPr>
        <w:spacing w:line="480" w:lineRule="auto"/>
        <w:ind w:firstLine="720"/>
      </w:pPr>
      <w:r>
        <w:t xml:space="preserve">DP&amp;L’s Application requests a waiver of the requirement to provide the projected costs of the Yankee Solar project; however, the Application fails to demonstrate that good cause exists for that waiver.   Because DP&amp;L has failed to offer any legitimate reason for the waiver, and has failed to otherwise comply with the standard filing requirements, the Commission should grant </w:t>
      </w:r>
      <w:r w:rsidR="004E0028">
        <w:t xml:space="preserve">Joint Movants’ </w:t>
      </w:r>
      <w:r>
        <w:t xml:space="preserve">motion seeking an order directing DP&amp;L to file </w:t>
      </w:r>
      <w:r>
        <w:rPr>
          <w:i/>
        </w:rPr>
        <w:t xml:space="preserve">all </w:t>
      </w:r>
      <w:r>
        <w:t xml:space="preserve">the information required by the Commission’s rules and accordingly should deny DP&amp;L’s waiver request.  Until DP&amp;L complies with the </w:t>
      </w:r>
      <w:r>
        <w:lastRenderedPageBreak/>
        <w:t xml:space="preserve">Commission’s rules and provides the required and necessary information, the Commission should suspend further action on the Application. </w:t>
      </w:r>
    </w:p>
    <w:p w:rsidR="003B1035" w:rsidRDefault="00D77915">
      <w:pPr>
        <w:pStyle w:val="ListParagraph"/>
        <w:numPr>
          <w:ilvl w:val="0"/>
          <w:numId w:val="5"/>
        </w:numPr>
        <w:spacing w:before="240"/>
        <w:ind w:left="720"/>
        <w:rPr>
          <w:b/>
        </w:rPr>
      </w:pPr>
      <w:r>
        <w:rPr>
          <w:b/>
        </w:rPr>
        <w:t>ARGUMENT</w:t>
      </w:r>
    </w:p>
    <w:p w:rsidR="003B1035" w:rsidRDefault="003B1035">
      <w:pPr>
        <w:pStyle w:val="ListParagraph"/>
        <w:rPr>
          <w:b/>
        </w:rPr>
      </w:pPr>
    </w:p>
    <w:p w:rsidR="003B1035" w:rsidRDefault="00D77915">
      <w:pPr>
        <w:pStyle w:val="ListParagraph"/>
        <w:numPr>
          <w:ilvl w:val="0"/>
          <w:numId w:val="2"/>
        </w:numPr>
        <w:ind w:hanging="720"/>
        <w:rPr>
          <w:b/>
        </w:rPr>
      </w:pPr>
      <w:r>
        <w:rPr>
          <w:b/>
        </w:rPr>
        <w:t xml:space="preserve">The Commission’s rules and previous orders require that SSO applications must comply with the Commission’s standard filing requirements unless the EDU can demonstrate good cause for a waiver. </w:t>
      </w:r>
    </w:p>
    <w:p w:rsidR="003B1035" w:rsidRDefault="003B1035">
      <w:pPr>
        <w:pStyle w:val="ListParagraph"/>
        <w:ind w:left="1440"/>
        <w:rPr>
          <w:b/>
        </w:rPr>
      </w:pPr>
    </w:p>
    <w:p w:rsidR="003B1035" w:rsidRDefault="00D77915">
      <w:pPr>
        <w:spacing w:line="480" w:lineRule="auto"/>
        <w:ind w:firstLine="720"/>
      </w:pPr>
      <w:r>
        <w:t>The Commission’s standard filing requirements are rooted in sound regulatory policy.  A transparent and open process is a fundamental cornerstone to an effective regulatory process.</w:t>
      </w:r>
      <w:r>
        <w:rPr>
          <w:rStyle w:val="FootnoteReference"/>
        </w:rPr>
        <w:footnoteReference w:id="12"/>
      </w:r>
      <w:r>
        <w:t xml:space="preserve">  By failing to provide all of the information required by the Commission’s rules, DP&amp;L’s Application hides the true costs and impacts that the Application will have on customers.  Specifically, DP&amp;L’s Application fails to quantify the costs of many of its riders and therefore understates the bill impacts upon customers and the financial benefits DP&amp;L will receive.  If the Commission is to avoid the surprising and rate-shocking outcome that occurred from the incomplete record in Ohio Power Company’s (“AEP-Ohio”) ESP that was rejected in February, the Commission </w:t>
      </w:r>
      <w:r>
        <w:lastRenderedPageBreak/>
        <w:t xml:space="preserve">must require DP&amp;L to supplement its Application to bring it into compliance with the Commission’s rules.  </w:t>
      </w:r>
    </w:p>
    <w:p w:rsidR="003B1035" w:rsidRDefault="00D77915">
      <w:pPr>
        <w:spacing w:line="480" w:lineRule="auto"/>
        <w:ind w:firstLine="720"/>
      </w:pPr>
      <w:r>
        <w:t>Chairman Snitchler’s acknowledgment of the importance of complete and accurate information was highlighted in the Commission’s press release following its rejection of the stipulation in AEP-Ohio’s ESP proceeding in February 2012:</w:t>
      </w:r>
    </w:p>
    <w:p w:rsidR="003B1035" w:rsidRDefault="00D77915">
      <w:pPr>
        <w:pStyle w:val="NormalWeb"/>
        <w:spacing w:before="0" w:beforeAutospacing="0" w:after="0" w:afterAutospacing="0"/>
        <w:ind w:left="720" w:right="720"/>
        <w:jc w:val="both"/>
        <w:rPr>
          <w:rFonts w:ascii="Arial" w:hAnsi="Arial" w:cs="Arial"/>
          <w:color w:val="000000"/>
        </w:rPr>
      </w:pPr>
      <w:r>
        <w:rPr>
          <w:rFonts w:ascii="Arial" w:hAnsi="Arial" w:cs="Arial"/>
          <w:color w:val="000000"/>
        </w:rPr>
        <w:t xml:space="preserve">“Our decision effectively hits the reset button on AEP’s electric security plan, allows us to start over from the beginning, </w:t>
      </w:r>
      <w:r>
        <w:rPr>
          <w:rFonts w:ascii="Arial" w:hAnsi="Arial" w:cs="Arial"/>
          <w:i/>
          <w:color w:val="000000"/>
        </w:rPr>
        <w:t>ensure that we have a complete picture of any proposal</w:t>
      </w:r>
      <w:r>
        <w:rPr>
          <w:rFonts w:ascii="Arial" w:hAnsi="Arial" w:cs="Arial"/>
          <w:color w:val="000000"/>
        </w:rPr>
        <w:t xml:space="preserve">, and balance the interests of all customers and the utility,” Chairman Todd A. Snitchler stated. “Ohio remains committed to continuing down the path towards fully competitive markets.” </w:t>
      </w:r>
    </w:p>
    <w:p w:rsidR="003B1035" w:rsidRDefault="00D77915">
      <w:pPr>
        <w:pStyle w:val="NormalWeb"/>
        <w:spacing w:before="0" w:beforeAutospacing="0" w:after="0" w:afterAutospacing="0"/>
        <w:ind w:left="720" w:right="720"/>
        <w:jc w:val="both"/>
        <w:rPr>
          <w:color w:val="000000"/>
        </w:rPr>
      </w:pPr>
      <w:r>
        <w:rPr>
          <w:rFonts w:ascii="Arial" w:hAnsi="Arial" w:cs="Arial"/>
          <w:color w:val="000000"/>
        </w:rPr>
        <w:t>…</w:t>
      </w:r>
      <w:r>
        <w:rPr>
          <w:color w:val="000000"/>
        </w:rPr>
        <w:t xml:space="preserve">  </w:t>
      </w:r>
    </w:p>
    <w:p w:rsidR="003B1035" w:rsidRDefault="003B1035">
      <w:pPr>
        <w:pStyle w:val="NormalWeb"/>
        <w:spacing w:before="0" w:beforeAutospacing="0" w:after="0" w:afterAutospacing="0"/>
        <w:ind w:left="720" w:right="720"/>
        <w:jc w:val="both"/>
        <w:rPr>
          <w:color w:val="000000"/>
        </w:rPr>
      </w:pPr>
    </w:p>
    <w:p w:rsidR="003B1035" w:rsidRDefault="00D77915">
      <w:pPr>
        <w:pStyle w:val="NormalWeb"/>
        <w:spacing w:before="0" w:beforeAutospacing="0" w:after="0" w:afterAutospacing="0"/>
        <w:ind w:left="720" w:right="720"/>
        <w:jc w:val="both"/>
        <w:rPr>
          <w:rFonts w:ascii="Arial" w:hAnsi="Arial" w:cs="Arial"/>
          <w:color w:val="000000"/>
        </w:rPr>
      </w:pPr>
      <w:r>
        <w:rPr>
          <w:rFonts w:ascii="Arial" w:hAnsi="Arial" w:cs="Arial"/>
          <w:color w:val="000000"/>
        </w:rPr>
        <w:t xml:space="preserve">The Commission also acknowledges that small businesses and residential customers were negatively impacted by the order approved last December. </w:t>
      </w:r>
      <w:r>
        <w:rPr>
          <w:rFonts w:ascii="Arial" w:hAnsi="Arial" w:cs="Arial"/>
          <w:i/>
          <w:color w:val="000000"/>
          <w:u w:val="single"/>
        </w:rPr>
        <w:t>Bills for certain customers significantly exceeded what was expected based on the record in the case.</w:t>
      </w:r>
    </w:p>
    <w:p w:rsidR="003B1035" w:rsidRDefault="003B1035">
      <w:pPr>
        <w:pStyle w:val="NormalWeb"/>
        <w:spacing w:before="0" w:beforeAutospacing="0" w:after="0" w:afterAutospacing="0"/>
        <w:ind w:left="720" w:right="720"/>
        <w:jc w:val="both"/>
        <w:rPr>
          <w:rFonts w:ascii="Arial" w:hAnsi="Arial" w:cs="Arial"/>
          <w:color w:val="000000"/>
        </w:rPr>
      </w:pPr>
    </w:p>
    <w:p w:rsidR="003B1035" w:rsidRDefault="00D77915">
      <w:pPr>
        <w:pStyle w:val="NormalWeb"/>
        <w:spacing w:before="0" w:beforeAutospacing="0" w:after="0" w:afterAutospacing="0"/>
        <w:ind w:left="720" w:right="720"/>
        <w:jc w:val="both"/>
        <w:rPr>
          <w:rFonts w:ascii="Arial" w:hAnsi="Arial" w:cs="Arial"/>
          <w:color w:val="000000"/>
        </w:rPr>
      </w:pPr>
      <w:r>
        <w:rPr>
          <w:rFonts w:ascii="Arial" w:hAnsi="Arial" w:cs="Arial"/>
          <w:color w:val="000000"/>
        </w:rPr>
        <w:t xml:space="preserve">“The evidence in the record inadvertently </w:t>
      </w:r>
      <w:r>
        <w:rPr>
          <w:rFonts w:ascii="Arial" w:hAnsi="Arial" w:cs="Arial"/>
          <w:i/>
          <w:color w:val="000000"/>
          <w:u w:val="single"/>
        </w:rPr>
        <w:t>failed to present a full and accurate record of the actual bill impacts to be felt by customers</w:t>
      </w:r>
      <w:r>
        <w:rPr>
          <w:rFonts w:ascii="Arial" w:hAnsi="Arial" w:cs="Arial"/>
          <w:color w:val="000000"/>
        </w:rPr>
        <w:t>,” Snitchler continued. “This is particularly true with respect to low load factor customers who have high electricity demand for short periods and low usage the rest of the time.” (Emphasis added.)</w:t>
      </w:r>
      <w:r>
        <w:rPr>
          <w:rStyle w:val="FootnoteReference"/>
          <w:rFonts w:ascii="Arial" w:hAnsi="Arial" w:cs="Arial"/>
          <w:color w:val="000000"/>
        </w:rPr>
        <w:footnoteReference w:id="13"/>
      </w:r>
    </w:p>
    <w:p w:rsidR="003B1035" w:rsidRDefault="003B1035">
      <w:pPr>
        <w:pStyle w:val="ListParagraph"/>
        <w:ind w:left="1440"/>
        <w:rPr>
          <w:b/>
        </w:rPr>
      </w:pPr>
    </w:p>
    <w:p w:rsidR="003B1035" w:rsidRDefault="00D77915">
      <w:pPr>
        <w:pStyle w:val="ListParagraph"/>
        <w:spacing w:line="480" w:lineRule="auto"/>
        <w:ind w:left="0" w:firstLine="720"/>
      </w:pPr>
      <w:r>
        <w:t xml:space="preserve">Requiring DP&amp;L to comply with the standard filing requirements will provide the Commission, Staff, and all interested parties an ability to thoroughly review the filing and provides additional transparency.  DP&amp;L has not demonstrated any valid reason why it should not supply the information required by the Commission’s rules.  In fact, DP&amp;L’s Application does not even seek waivers for most of the areas where its Application is in </w:t>
      </w:r>
      <w:r>
        <w:lastRenderedPageBreak/>
        <w:t>non-compliance.  And, the Commission has held that it will not grant a general waiver for an ESP application that does not comply with the standard filing requirements.</w:t>
      </w:r>
      <w:r>
        <w:rPr>
          <w:rStyle w:val="FootnoteReference"/>
          <w:szCs w:val="24"/>
        </w:rPr>
        <w:footnoteReference w:id="14"/>
      </w:r>
    </w:p>
    <w:p w:rsidR="003B1035" w:rsidRDefault="00D77915">
      <w:pPr>
        <w:pStyle w:val="ListParagraph"/>
        <w:spacing w:line="480" w:lineRule="auto"/>
        <w:ind w:left="0" w:firstLine="720"/>
      </w:pPr>
      <w:r>
        <w:t>Additionally, as part of its compliance with the Commission’s rules, the Commission must direct DP&amp;L to file its pro forma financial information by function.  This requirement is of heightened importance since DP&amp;L has claimed that it needs a rate increase to ensure its financial integrity.  By requiring DP&amp;L to provide more transparent and complete financial information, the Commission will be more informed when it addresses DP&amp;L’s claims.  Moreover, the Commission’s rules require DP&amp;L to detail the effect of the ESP upon DP&amp;L’s finances.  Such a requirement would be of little meaning if the financial information is masked behind total company numbers.</w:t>
      </w:r>
      <w:r>
        <w:rPr>
          <w:rStyle w:val="FootnoteReference"/>
        </w:rPr>
        <w:footnoteReference w:id="15"/>
      </w:r>
      <w:r>
        <w:t xml:space="preserve">  Thus, as part of the Commission’s decision directing DP&amp;L to comply with the standard filing requirements, the Commission should make it clear that DP&amp;L must file its pro forma projections by business function.</w:t>
      </w:r>
    </w:p>
    <w:p w:rsidR="003B1035" w:rsidRDefault="00D77915">
      <w:pPr>
        <w:pStyle w:val="ListParagraph"/>
        <w:spacing w:line="480" w:lineRule="auto"/>
        <w:ind w:left="0" w:firstLine="720"/>
        <w:rPr>
          <w:b/>
        </w:rPr>
      </w:pPr>
      <w:r>
        <w:t xml:space="preserve">The standard filing requirements require necessary and essential information to be filed along with an SSO application.  The Commission has recently been sensitized to the necessity of transparency in ESP proceedings.  In the spirit of and requirements for fairness and transparency, and in accordance with Commission rules, the Commission should deny DP&amp;L’s waiver request and require DP&amp;L to update its Application with the information required by Commission rules.  Rejecting the waiver </w:t>
      </w:r>
      <w:r>
        <w:lastRenderedPageBreak/>
        <w:t>request and directing DP&amp;L to supplement its Application would be the first step to “ensure that [the Commission] [has] a complete picture of any proposal.”</w:t>
      </w:r>
      <w:r>
        <w:rPr>
          <w:rStyle w:val="FootnoteReference"/>
        </w:rPr>
        <w:footnoteReference w:id="16"/>
      </w:r>
      <w:r>
        <w:t xml:space="preserve">  Accordingly, the Commission should direct DP&amp;L to file the information addressing the six items identified by the Joint Movants above, as well as any other information that is necessary to bring the Application into compliance with the Commission’s rules.</w:t>
      </w:r>
    </w:p>
    <w:p w:rsidR="003B1035" w:rsidRDefault="00D77915">
      <w:pPr>
        <w:pStyle w:val="ListParagraph"/>
        <w:numPr>
          <w:ilvl w:val="0"/>
          <w:numId w:val="2"/>
        </w:numPr>
        <w:ind w:hanging="720"/>
        <w:rPr>
          <w:b/>
        </w:rPr>
      </w:pPr>
      <w:r>
        <w:rPr>
          <w:b/>
        </w:rPr>
        <w:t>DP&amp;L has failed to offer any legitimate or lawful reason why the Commission should grant DP&amp;L’s waiver request with respect to the Yankee Solar facility.</w:t>
      </w:r>
    </w:p>
    <w:p w:rsidR="003B1035" w:rsidRDefault="003B1035">
      <w:pPr>
        <w:pStyle w:val="ListParagraph"/>
        <w:ind w:left="1440"/>
      </w:pPr>
    </w:p>
    <w:p w:rsidR="003B1035" w:rsidRDefault="00D77915">
      <w:pPr>
        <w:spacing w:line="480" w:lineRule="auto"/>
        <w:rPr>
          <w:color w:val="000000"/>
        </w:rPr>
      </w:pPr>
      <w:r>
        <w:tab/>
        <w:t xml:space="preserve">The Commission should deny DP&amp;L’s waiver request with respect to the Yankee Solar facility because DP&amp;L has failed to demonstrate good cause to support a waiver.  </w:t>
      </w:r>
      <w:r>
        <w:rPr>
          <w:szCs w:val="24"/>
        </w:rPr>
        <w:t xml:space="preserve">Rule 4901:1-35-02, O.A.C., provides that “[t]he commission may, upon an application or a motion filed by a party, waive any requirement of this chapter, other than a requirement mandated by statute, </w:t>
      </w:r>
      <w:r>
        <w:rPr>
          <w:i/>
          <w:szCs w:val="24"/>
        </w:rPr>
        <w:t>for good cause shown</w:t>
      </w:r>
      <w:r>
        <w:rPr>
          <w:szCs w:val="24"/>
        </w:rPr>
        <w:t>.” (Emphasis added.)  DP&amp;L’s only argument in support of the waiver request is its claim that “DP&amp;L will file its application to recover such charges for its Yankee Solar Generating Facility within six months of a Commission order in this case [and therefore] there is no need for compliance with” the Commission’s rules at this time.</w:t>
      </w:r>
      <w:r>
        <w:rPr>
          <w:rStyle w:val="FootnoteReference"/>
          <w:szCs w:val="24"/>
        </w:rPr>
        <w:footnoteReference w:id="17"/>
      </w:r>
      <w:r>
        <w:rPr>
          <w:szCs w:val="24"/>
        </w:rPr>
        <w:t xml:space="preserve">  DP&amp;L’s assertion that it will not seek cost recovery until six months after a decision in this case does not eliminate the costs of the facility, which will impact customers’ bills and which will provide DP&amp;L with additional financial security. </w:t>
      </w:r>
    </w:p>
    <w:p w:rsidR="003B1035" w:rsidRDefault="00D77915">
      <w:pPr>
        <w:autoSpaceDE w:val="0"/>
        <w:autoSpaceDN w:val="0"/>
        <w:adjustRightInd w:val="0"/>
        <w:spacing w:line="480" w:lineRule="auto"/>
      </w:pPr>
      <w:r>
        <w:tab/>
        <w:t xml:space="preserve">First, it is clear that the Commission should be fully apprised of the rate impacts of the Application before it takes any action on the Application.  Without a full </w:t>
      </w:r>
      <w:r>
        <w:lastRenderedPageBreak/>
        <w:t xml:space="preserve">understanding of the proposed ESP’s impacts, the Commission will not be able to properly analyze individual effects of the proposal, leading to a repeat of the unfortunate results customers faced in early 2012 in AEP-Ohio’s ESP proceeding.   </w:t>
      </w:r>
    </w:p>
    <w:p w:rsidR="003B1035" w:rsidRDefault="00D77915">
      <w:pPr>
        <w:autoSpaceDE w:val="0"/>
        <w:autoSpaceDN w:val="0"/>
        <w:adjustRightInd w:val="0"/>
        <w:spacing w:line="480" w:lineRule="auto"/>
        <w:ind w:firstLine="720"/>
      </w:pPr>
      <w:r>
        <w:t xml:space="preserve">Second, the Commission has already determined the need for information regarding recovery of a plant addition, </w:t>
      </w:r>
      <w:r>
        <w:rPr>
          <w:i/>
        </w:rPr>
        <w:t>i.e.</w:t>
      </w:r>
      <w:r>
        <w:t xml:space="preserve"> AEP-Ohio’s</w:t>
      </w:r>
      <w:r>
        <w:rPr>
          <w:i/>
        </w:rPr>
        <w:t xml:space="preserve"> </w:t>
      </w:r>
      <w:r>
        <w:t>Turning Point Solar project, required by Rule 4901:1-35-03(C)(9)(b), O.A.C, for purposes of conducting the ESP v. MRO test.  In its application to the Commission, AEP-Ohio attempted to exclude the effects of its Turning Point Solar project from consideration in the ESP v. MRO test.  In its December 14, 2011 Opinion and Order in AEP-Ohio’s ESP proceeding, however, the Commission determined that the Turning Point Solar project’s rate effects were relevant to the application of the statutory test that the ESP must satisfy under Section 4928.143(C)(1), Revised Code.  The Commission found that AEP-Ohio witness Thomas had improperly excluded the costs associated with the Turning Point Solar project from the calculation of the ESP v. MRO test, and categorized the error as a “material flaw[].”</w:t>
      </w:r>
      <w:r>
        <w:rPr>
          <w:rStyle w:val="FootnoteReference"/>
        </w:rPr>
        <w:footnoteReference w:id="18"/>
      </w:r>
      <w:r>
        <w:t xml:space="preserve">  The Commission, instead, agreed with Staff witness Fortney who testified that it was “reasonable to include an estimated charge for the [Generation Resource Rider (“GRR”)].”</w:t>
      </w:r>
      <w:r>
        <w:rPr>
          <w:rStyle w:val="FootnoteReference"/>
        </w:rPr>
        <w:footnoteReference w:id="19"/>
      </w:r>
      <w:r>
        <w:t xml:space="preserve">   </w:t>
      </w:r>
    </w:p>
    <w:p w:rsidR="003B1035" w:rsidRDefault="00D77915">
      <w:pPr>
        <w:autoSpaceDE w:val="0"/>
        <w:autoSpaceDN w:val="0"/>
        <w:adjustRightInd w:val="0"/>
        <w:spacing w:line="480" w:lineRule="auto"/>
        <w:ind w:firstLine="720"/>
      </w:pPr>
      <w:r>
        <w:t>Likewise, in the second go-around on AEP-Ohio’s ESP, the Commission again rejected AEP-Ohio’s claim that the Turning Point Solar facility could be ignored when conducting the ESP v. MRO test.</w:t>
      </w:r>
      <w:r>
        <w:rPr>
          <w:rStyle w:val="FootnoteReference"/>
        </w:rPr>
        <w:footnoteReference w:id="20"/>
      </w:r>
      <w:r>
        <w:t xml:space="preserve">  Ohio law and the Commission’s precedent are </w:t>
      </w:r>
      <w:r>
        <w:lastRenderedPageBreak/>
        <w:t xml:space="preserve">clear: if an EDU proposes to create a rider under Sections 4928.143(B)(2)(b)-(c), Revised Code, and regardless of whether the EDU proposes an initial rate of zero for the rider, the costs of the facility must be addressed in the ESP v. MRO test.  </w:t>
      </w:r>
    </w:p>
    <w:p w:rsidR="003B1035" w:rsidRDefault="00D77915">
      <w:pPr>
        <w:autoSpaceDE w:val="0"/>
        <w:autoSpaceDN w:val="0"/>
        <w:adjustRightInd w:val="0"/>
        <w:spacing w:line="480" w:lineRule="auto"/>
      </w:pPr>
      <w:r>
        <w:tab/>
        <w:t>In analyzing DP&amp;L’s Application, DP&amp;L is requesting that the Commission once again address the propriety of establishing a recovery mechanism for plant additions and the effect of those additions on the statutory test the ESP must pass before the Commission may approve it.</w:t>
      </w:r>
      <w:r>
        <w:rPr>
          <w:rStyle w:val="FootnoteReference"/>
        </w:rPr>
        <w:footnoteReference w:id="21"/>
      </w:r>
      <w:r>
        <w:t xml:space="preserve">  Because DP&amp;L is seeking the Alternative Energy Rider Non-bypassable (“AER-N”) (essentially a duplicate of AEP-Ohio’s GRR) and the Commission must review the ESP “in the aggregate,” DP&amp;L must provide the required information regarding the Yankee Solar facility in accordance with Ohio law and the Commission’s filing requirements.</w:t>
      </w:r>
    </w:p>
    <w:p w:rsidR="003B1035" w:rsidRDefault="00D77915">
      <w:pPr>
        <w:autoSpaceDE w:val="0"/>
        <w:autoSpaceDN w:val="0"/>
        <w:adjustRightInd w:val="0"/>
        <w:spacing w:line="480" w:lineRule="auto"/>
        <w:ind w:firstLine="720"/>
        <w:rPr>
          <w:rFonts w:ascii="Times New Roman" w:hAnsi="Times New Roman" w:cs="Times New Roman"/>
          <w:sz w:val="26"/>
          <w:szCs w:val="26"/>
        </w:rPr>
      </w:pPr>
      <w:r>
        <w:t>Additionally, because DP&amp;L has indicated</w:t>
      </w:r>
      <w:r>
        <w:rPr>
          <w:szCs w:val="24"/>
        </w:rPr>
        <w:t xml:space="preserve"> in its long-term forecast report (“LTFR”) proceeding that it “plans to construct additional solar generating facilities to be on-line in 2012,” the Commission should require DP&amp;L to file the costs of all facilities that DP&amp;L may</w:t>
      </w:r>
      <w:r>
        <w:t xml:space="preserve"> potentially seek to recover through the AER-N.</w:t>
      </w:r>
      <w:r>
        <w:rPr>
          <w:rStyle w:val="FootnoteReference"/>
        </w:rPr>
        <w:footnoteReference w:id="22"/>
      </w:r>
    </w:p>
    <w:p w:rsidR="003B1035" w:rsidRDefault="00D77915">
      <w:pPr>
        <w:spacing w:line="480" w:lineRule="auto"/>
        <w:ind w:firstLine="720"/>
      </w:pPr>
      <w:r>
        <w:t xml:space="preserve">The Commission’s rules require DP&amp;L to provide information so that the Commission can determine the impact of the proposal under review.  DP&amp;L’s waiver request would deprive the Commission of the information required to evaluate the rate impact associated with a potential non-bypassable charge for the life-cycle of the Yankee Solar facility, and any of the other solar facilities that DP&amp;L plans to recover through the AER-N.  Not only would DP&amp;L’s waiver request deprive the Commission of </w:t>
      </w:r>
      <w:r>
        <w:lastRenderedPageBreak/>
        <w:t>the information required to determine the impact of the proposal on customers’ bills, it would also deprive the Commission of the ability to determine if the proposed ESP is more favorable than an MRO.  Accordingly, the Commission should not grant DP&amp;L’s waiver request.  DP&amp;L has failed to make the necessary demonstration of good cause to waive the rules, and Ohio law as well as the Commission’s precedent demonstrates that a waiver is not warranted.</w:t>
      </w:r>
    </w:p>
    <w:p w:rsidR="003B1035" w:rsidRDefault="00D77915">
      <w:pPr>
        <w:pStyle w:val="ListParagraph"/>
        <w:numPr>
          <w:ilvl w:val="0"/>
          <w:numId w:val="5"/>
        </w:numPr>
        <w:spacing w:before="240"/>
        <w:ind w:left="720"/>
        <w:rPr>
          <w:b/>
          <w:szCs w:val="24"/>
        </w:rPr>
      </w:pPr>
      <w:r>
        <w:rPr>
          <w:b/>
        </w:rPr>
        <w:t>CONCLUSION</w:t>
      </w:r>
    </w:p>
    <w:p w:rsidR="003B1035" w:rsidRDefault="003B1035">
      <w:pPr>
        <w:pStyle w:val="ListParagraph"/>
        <w:rPr>
          <w:b/>
          <w:szCs w:val="24"/>
        </w:rPr>
      </w:pPr>
    </w:p>
    <w:p w:rsidR="003B1035" w:rsidRDefault="00D77915">
      <w:pPr>
        <w:autoSpaceDE w:val="0"/>
        <w:autoSpaceDN w:val="0"/>
        <w:adjustRightInd w:val="0"/>
        <w:spacing w:line="480" w:lineRule="auto"/>
        <w:rPr>
          <w:szCs w:val="24"/>
        </w:rPr>
      </w:pPr>
      <w:r>
        <w:rPr>
          <w:szCs w:val="24"/>
        </w:rPr>
        <w:tab/>
        <w:t>As discussed above, DP&amp;L has failed to comply with the Commission’s standard filing requirements for an ESP.  The Joint Movants have identified at least six areas in which DP&amp;L’s Application is deficient.  Moreover, DP&amp;L has failed to demonstrate good cause exists to waive the Commission’s standard filing requirements with regard to the Yankee Solar facility.  The information DP&amp;L has not provided is relevant to properly conducting the ESP v. MRO test and is required to analyze the rate impact customers will face from DP&amp;L’s proposal.  Additionally, because DP&amp;L has claimed that it will suffer financial harm if the Commission does not grant its Application, the Commission should require DP&amp;L to disclose all sources of revenue that its proposed ESP will produce, a</w:t>
      </w:r>
      <w:r w:rsidRPr="002305FB">
        <w:rPr>
          <w:color w:val="000000" w:themeColor="text1"/>
          <w:szCs w:val="24"/>
        </w:rPr>
        <w:t>n</w:t>
      </w:r>
      <w:r>
        <w:rPr>
          <w:szCs w:val="24"/>
        </w:rPr>
        <w:t>d should require DP&amp;L to segregate its financial information on a generation/distribution/transmission basis.  If DP&amp;L is not required to supplement its Application, the Commission will again be presented an incomplete picture of the actual impact on customers.</w:t>
      </w:r>
      <w:r>
        <w:rPr>
          <w:rStyle w:val="FootnoteReference"/>
          <w:szCs w:val="24"/>
        </w:rPr>
        <w:footnoteReference w:id="23"/>
      </w:r>
      <w:r>
        <w:rPr>
          <w:szCs w:val="24"/>
        </w:rPr>
        <w:t xml:space="preserve">  </w:t>
      </w:r>
    </w:p>
    <w:p w:rsidR="007263B5" w:rsidRDefault="007263B5">
      <w:r>
        <w:br w:type="page"/>
      </w:r>
    </w:p>
    <w:p w:rsidR="002A7839" w:rsidRDefault="002A7839" w:rsidP="002A7839">
      <w:pPr>
        <w:tabs>
          <w:tab w:val="left" w:pos="4320"/>
          <w:tab w:val="right" w:pos="8640"/>
        </w:tabs>
        <w:jc w:val="center"/>
        <w:rPr>
          <w:rFonts w:eastAsia="Calibri"/>
          <w:color w:val="000000" w:themeColor="text1"/>
          <w:sz w:val="20"/>
          <w:szCs w:val="20"/>
          <w:u w:val="single"/>
        </w:rPr>
      </w:pPr>
      <w:r>
        <w:lastRenderedPageBreak/>
        <w:t>Respectfully submitted</w:t>
      </w:r>
      <w:r w:rsidR="007263B5">
        <w:t>,</w:t>
      </w:r>
    </w:p>
    <w:p w:rsidR="002A7839" w:rsidRDefault="002A7839" w:rsidP="002A7839">
      <w:pPr>
        <w:tabs>
          <w:tab w:val="right" w:pos="4320"/>
        </w:tabs>
        <w:rPr>
          <w:rFonts w:eastAsia="Calibri"/>
          <w:color w:val="000000" w:themeColor="text1"/>
          <w:sz w:val="20"/>
          <w:szCs w:val="20"/>
          <w:u w:val="single"/>
        </w:rPr>
      </w:pPr>
    </w:p>
    <w:p w:rsidR="00FE16D7" w:rsidRDefault="00FE16D7" w:rsidP="002A7839">
      <w:pPr>
        <w:tabs>
          <w:tab w:val="right" w:pos="4320"/>
        </w:tabs>
        <w:rPr>
          <w:rFonts w:eastAsia="Calibri"/>
          <w:color w:val="000000" w:themeColor="text1"/>
          <w:sz w:val="20"/>
          <w:szCs w:val="20"/>
          <w:u w:val="single"/>
        </w:rPr>
      </w:pPr>
    </w:p>
    <w:p w:rsidR="007263B5" w:rsidRDefault="007263B5" w:rsidP="002A7839">
      <w:pPr>
        <w:tabs>
          <w:tab w:val="right" w:pos="4320"/>
        </w:tabs>
        <w:rPr>
          <w:rFonts w:eastAsia="Calibri"/>
          <w:color w:val="000000" w:themeColor="text1"/>
          <w:sz w:val="20"/>
          <w:szCs w:val="20"/>
          <w:u w:val="single"/>
        </w:rPr>
        <w:sectPr w:rsidR="007263B5" w:rsidSect="001B1E9F">
          <w:pgSz w:w="12240" w:h="15840"/>
          <w:pgMar w:top="1368" w:right="1440" w:bottom="1296" w:left="1440" w:header="720" w:footer="720" w:gutter="0"/>
          <w:cols w:space="720"/>
          <w:docGrid w:linePitch="360"/>
        </w:sectPr>
      </w:pPr>
    </w:p>
    <w:p w:rsidR="002A7839" w:rsidRDefault="008469ED" w:rsidP="002A7839">
      <w:pPr>
        <w:tabs>
          <w:tab w:val="right" w:pos="4320"/>
        </w:tabs>
        <w:rPr>
          <w:rFonts w:eastAsia="Calibri"/>
          <w:color w:val="000000" w:themeColor="text1"/>
          <w:sz w:val="20"/>
          <w:szCs w:val="20"/>
          <w:u w:val="single"/>
        </w:rPr>
      </w:pPr>
      <w:r>
        <w:rPr>
          <w:rFonts w:eastAsia="Calibri"/>
          <w:color w:val="000000" w:themeColor="text1"/>
          <w:sz w:val="20"/>
          <w:szCs w:val="20"/>
          <w:u w:val="single"/>
        </w:rPr>
        <w:lastRenderedPageBreak/>
        <w:t>/s/ Matthew R. Pritchard</w:t>
      </w:r>
      <w:r w:rsidR="002A7839">
        <w:rPr>
          <w:rFonts w:eastAsia="Calibri"/>
          <w:color w:val="000000" w:themeColor="text1"/>
          <w:sz w:val="20"/>
          <w:szCs w:val="20"/>
          <w:u w:val="single"/>
        </w:rPr>
        <w:tab/>
      </w:r>
    </w:p>
    <w:p w:rsidR="002A7839" w:rsidRPr="002A7839" w:rsidRDefault="002A7839" w:rsidP="002A7839">
      <w:pPr>
        <w:tabs>
          <w:tab w:val="left" w:pos="2160"/>
          <w:tab w:val="left" w:pos="2280"/>
        </w:tabs>
        <w:rPr>
          <w:rFonts w:eastAsia="Calibri"/>
          <w:color w:val="000000" w:themeColor="text1"/>
          <w:sz w:val="20"/>
          <w:szCs w:val="20"/>
        </w:rPr>
      </w:pPr>
      <w:r w:rsidRPr="002A7839">
        <w:rPr>
          <w:rFonts w:eastAsia="Calibri"/>
          <w:color w:val="000000" w:themeColor="text1"/>
          <w:sz w:val="20"/>
          <w:szCs w:val="20"/>
        </w:rPr>
        <w:t>Samuel C. Randazzo</w:t>
      </w:r>
    </w:p>
    <w:p w:rsidR="002A7839" w:rsidRPr="002A7839" w:rsidRDefault="002A7839" w:rsidP="002A7839">
      <w:pPr>
        <w:tabs>
          <w:tab w:val="left" w:pos="2160"/>
          <w:tab w:val="left" w:pos="2280"/>
        </w:tabs>
        <w:rPr>
          <w:rFonts w:eastAsia="Calibri"/>
          <w:color w:val="000000" w:themeColor="text1"/>
          <w:sz w:val="20"/>
          <w:szCs w:val="20"/>
        </w:rPr>
      </w:pPr>
      <w:r w:rsidRPr="002A7839">
        <w:rPr>
          <w:rFonts w:eastAsia="Calibri"/>
          <w:color w:val="000000" w:themeColor="text1"/>
          <w:sz w:val="20"/>
          <w:szCs w:val="20"/>
        </w:rPr>
        <w:t>Frank P. Darr</w:t>
      </w:r>
    </w:p>
    <w:p w:rsidR="002A7839" w:rsidRPr="002A7839" w:rsidRDefault="002A7839" w:rsidP="002A7839">
      <w:pPr>
        <w:tabs>
          <w:tab w:val="left" w:pos="2160"/>
          <w:tab w:val="left" w:pos="2280"/>
        </w:tabs>
        <w:rPr>
          <w:rFonts w:eastAsia="Calibri"/>
          <w:color w:val="000000" w:themeColor="text1"/>
          <w:sz w:val="20"/>
          <w:szCs w:val="20"/>
        </w:rPr>
      </w:pPr>
      <w:r w:rsidRPr="002A7839">
        <w:rPr>
          <w:rFonts w:eastAsia="Calibri"/>
          <w:color w:val="000000" w:themeColor="text1"/>
          <w:sz w:val="20"/>
          <w:szCs w:val="20"/>
        </w:rPr>
        <w:t>Joseph E. Oliker</w:t>
      </w:r>
    </w:p>
    <w:p w:rsidR="002A7839" w:rsidRPr="002A7839" w:rsidRDefault="002A7839" w:rsidP="002A7839">
      <w:pPr>
        <w:tabs>
          <w:tab w:val="left" w:pos="2160"/>
          <w:tab w:val="left" w:pos="2280"/>
        </w:tabs>
        <w:rPr>
          <w:rFonts w:eastAsia="Calibri"/>
          <w:color w:val="000000" w:themeColor="text1"/>
          <w:sz w:val="20"/>
          <w:szCs w:val="20"/>
        </w:rPr>
      </w:pPr>
      <w:r w:rsidRPr="002A7839">
        <w:rPr>
          <w:rFonts w:eastAsia="Calibri"/>
          <w:color w:val="000000" w:themeColor="text1"/>
          <w:sz w:val="20"/>
          <w:szCs w:val="20"/>
        </w:rPr>
        <w:t>Matthew R. Pritchard</w:t>
      </w:r>
    </w:p>
    <w:p w:rsidR="002A7839" w:rsidRPr="002A7839" w:rsidRDefault="002A7839" w:rsidP="002A7839">
      <w:pPr>
        <w:tabs>
          <w:tab w:val="left" w:pos="2160"/>
          <w:tab w:val="left" w:pos="2280"/>
        </w:tabs>
        <w:rPr>
          <w:rFonts w:eastAsia="Calibri"/>
          <w:color w:val="000000" w:themeColor="text1"/>
          <w:sz w:val="20"/>
          <w:szCs w:val="20"/>
        </w:rPr>
      </w:pPr>
      <w:r w:rsidRPr="002A7839">
        <w:rPr>
          <w:rFonts w:eastAsia="Calibri"/>
          <w:color w:val="000000" w:themeColor="text1"/>
          <w:sz w:val="20"/>
          <w:szCs w:val="20"/>
        </w:rPr>
        <w:t>McNees Wallace &amp; Nurick LLC</w:t>
      </w:r>
    </w:p>
    <w:p w:rsidR="002A7839" w:rsidRPr="002A7839" w:rsidRDefault="002A7839" w:rsidP="002A7839">
      <w:pPr>
        <w:tabs>
          <w:tab w:val="left" w:pos="2160"/>
          <w:tab w:val="left" w:pos="2280"/>
        </w:tabs>
        <w:rPr>
          <w:rFonts w:eastAsia="Calibri"/>
          <w:color w:val="000000" w:themeColor="text1"/>
          <w:sz w:val="20"/>
          <w:szCs w:val="20"/>
        </w:rPr>
      </w:pPr>
      <w:r w:rsidRPr="002A7839">
        <w:rPr>
          <w:rFonts w:eastAsia="Calibri"/>
          <w:color w:val="000000" w:themeColor="text1"/>
          <w:sz w:val="20"/>
          <w:szCs w:val="20"/>
        </w:rPr>
        <w:t>21 East State Street, 17th Floor</w:t>
      </w:r>
    </w:p>
    <w:p w:rsidR="002A7839" w:rsidRPr="002A7839" w:rsidRDefault="002A7839" w:rsidP="002A7839">
      <w:pPr>
        <w:tabs>
          <w:tab w:val="left" w:pos="2160"/>
          <w:tab w:val="left" w:pos="2280"/>
        </w:tabs>
        <w:rPr>
          <w:rFonts w:eastAsia="Calibri"/>
          <w:color w:val="000000" w:themeColor="text1"/>
          <w:sz w:val="20"/>
          <w:szCs w:val="20"/>
        </w:rPr>
      </w:pPr>
      <w:r w:rsidRPr="002A7839">
        <w:rPr>
          <w:rFonts w:eastAsia="Calibri"/>
          <w:color w:val="000000" w:themeColor="text1"/>
          <w:sz w:val="20"/>
          <w:szCs w:val="20"/>
        </w:rPr>
        <w:t>Columbus, OH  43215</w:t>
      </w:r>
    </w:p>
    <w:p w:rsidR="002A7839" w:rsidRPr="002A7839" w:rsidRDefault="002A7839" w:rsidP="002A7839">
      <w:pPr>
        <w:tabs>
          <w:tab w:val="left" w:pos="2160"/>
          <w:tab w:val="left" w:pos="2280"/>
        </w:tabs>
        <w:rPr>
          <w:rFonts w:eastAsia="Calibri"/>
          <w:color w:val="000000" w:themeColor="text1"/>
          <w:sz w:val="20"/>
          <w:szCs w:val="20"/>
        </w:rPr>
      </w:pPr>
      <w:r w:rsidRPr="00491526">
        <w:rPr>
          <w:rFonts w:eastAsia="Calibri"/>
          <w:sz w:val="20"/>
          <w:szCs w:val="20"/>
        </w:rPr>
        <w:t>sam@mwncmh.com</w:t>
      </w:r>
    </w:p>
    <w:p w:rsidR="002A7839" w:rsidRPr="002A7839" w:rsidRDefault="002A7839" w:rsidP="002A7839">
      <w:pPr>
        <w:tabs>
          <w:tab w:val="left" w:pos="2160"/>
          <w:tab w:val="left" w:pos="2280"/>
        </w:tabs>
        <w:rPr>
          <w:rFonts w:eastAsia="Calibri"/>
          <w:color w:val="000000" w:themeColor="text1"/>
          <w:sz w:val="20"/>
          <w:szCs w:val="20"/>
        </w:rPr>
      </w:pPr>
      <w:r w:rsidRPr="00491526">
        <w:rPr>
          <w:rFonts w:eastAsia="Calibri"/>
          <w:sz w:val="20"/>
          <w:szCs w:val="20"/>
        </w:rPr>
        <w:t>fdarr@mwncmh.com</w:t>
      </w:r>
    </w:p>
    <w:p w:rsidR="002A7839" w:rsidRPr="002A7839" w:rsidRDefault="002A7839" w:rsidP="002A7839">
      <w:pPr>
        <w:tabs>
          <w:tab w:val="left" w:pos="2160"/>
          <w:tab w:val="left" w:pos="2280"/>
        </w:tabs>
        <w:rPr>
          <w:rFonts w:eastAsia="Calibri"/>
          <w:color w:val="000000" w:themeColor="text1"/>
          <w:sz w:val="20"/>
          <w:szCs w:val="20"/>
        </w:rPr>
      </w:pPr>
      <w:r w:rsidRPr="00491526">
        <w:rPr>
          <w:rFonts w:eastAsia="Calibri"/>
          <w:sz w:val="20"/>
          <w:szCs w:val="20"/>
        </w:rPr>
        <w:t>joliker@mwncmh.com</w:t>
      </w:r>
    </w:p>
    <w:p w:rsidR="002A7839" w:rsidRPr="002A7839" w:rsidRDefault="002A7839" w:rsidP="002A7839">
      <w:pPr>
        <w:tabs>
          <w:tab w:val="left" w:pos="2160"/>
          <w:tab w:val="left" w:pos="2280"/>
        </w:tabs>
        <w:rPr>
          <w:rFonts w:eastAsia="Calibri"/>
          <w:color w:val="000000" w:themeColor="text1"/>
          <w:sz w:val="20"/>
          <w:szCs w:val="20"/>
        </w:rPr>
      </w:pPr>
      <w:r w:rsidRPr="002A7839">
        <w:rPr>
          <w:rFonts w:eastAsia="Calibri"/>
          <w:color w:val="000000" w:themeColor="text1"/>
          <w:sz w:val="20"/>
          <w:szCs w:val="20"/>
        </w:rPr>
        <w:t>mpritchard@mwncmh.com</w:t>
      </w:r>
    </w:p>
    <w:p w:rsidR="002A7839" w:rsidRPr="002A7839" w:rsidRDefault="002A7839" w:rsidP="002A7839">
      <w:pPr>
        <w:tabs>
          <w:tab w:val="left" w:pos="2160"/>
          <w:tab w:val="left" w:pos="2280"/>
        </w:tabs>
        <w:rPr>
          <w:rFonts w:eastAsia="Calibri"/>
          <w:color w:val="000000" w:themeColor="text1"/>
          <w:sz w:val="20"/>
          <w:szCs w:val="20"/>
        </w:rPr>
      </w:pPr>
    </w:p>
    <w:p w:rsidR="002A7839" w:rsidRPr="002A7839" w:rsidRDefault="002A7839" w:rsidP="002A7839">
      <w:pPr>
        <w:tabs>
          <w:tab w:val="left" w:pos="2160"/>
          <w:tab w:val="left" w:pos="2280"/>
        </w:tabs>
        <w:rPr>
          <w:rFonts w:eastAsia="Calibri"/>
          <w:b/>
          <w:smallCaps/>
          <w:color w:val="000000" w:themeColor="text1"/>
          <w:sz w:val="20"/>
          <w:szCs w:val="20"/>
        </w:rPr>
      </w:pPr>
      <w:r w:rsidRPr="002A7839">
        <w:rPr>
          <w:rFonts w:eastAsia="Calibri"/>
          <w:b/>
          <w:smallCaps/>
          <w:color w:val="000000" w:themeColor="text1"/>
          <w:sz w:val="20"/>
          <w:szCs w:val="20"/>
        </w:rPr>
        <w:t>Attorneys for Industrial Energy Users-Ohio</w:t>
      </w:r>
    </w:p>
    <w:p w:rsidR="002A7839" w:rsidRPr="002A7839" w:rsidRDefault="002A7839" w:rsidP="002A7839">
      <w:pPr>
        <w:tabs>
          <w:tab w:val="right" w:pos="4320"/>
        </w:tabs>
        <w:rPr>
          <w:rFonts w:eastAsia="Calibri"/>
          <w:color w:val="000000" w:themeColor="text1"/>
          <w:sz w:val="20"/>
          <w:szCs w:val="20"/>
        </w:rPr>
      </w:pPr>
    </w:p>
    <w:p w:rsidR="002A7839" w:rsidRPr="002A7839" w:rsidRDefault="002A7839" w:rsidP="002A7839">
      <w:pPr>
        <w:tabs>
          <w:tab w:val="right" w:pos="4320"/>
        </w:tabs>
        <w:rPr>
          <w:rFonts w:eastAsia="Calibri"/>
          <w:color w:val="000000" w:themeColor="text1"/>
          <w:sz w:val="20"/>
          <w:szCs w:val="20"/>
        </w:rPr>
      </w:pPr>
    </w:p>
    <w:p w:rsidR="002A7839" w:rsidRDefault="008469ED" w:rsidP="002A7839">
      <w:pPr>
        <w:tabs>
          <w:tab w:val="right" w:pos="4320"/>
        </w:tabs>
        <w:rPr>
          <w:rFonts w:eastAsia="Calibri"/>
          <w:color w:val="000000" w:themeColor="text1"/>
          <w:sz w:val="20"/>
          <w:szCs w:val="20"/>
          <w:u w:val="single"/>
        </w:rPr>
      </w:pPr>
      <w:r>
        <w:rPr>
          <w:rFonts w:eastAsia="Calibri"/>
          <w:color w:val="000000" w:themeColor="text1"/>
          <w:sz w:val="20"/>
          <w:szCs w:val="20"/>
          <w:u w:val="single"/>
        </w:rPr>
        <w:t>/s/ Colleen L. Mooney</w:t>
      </w:r>
      <w:r w:rsidR="002A7839">
        <w:rPr>
          <w:rFonts w:eastAsia="Calibri"/>
          <w:color w:val="000000" w:themeColor="text1"/>
          <w:sz w:val="20"/>
          <w:szCs w:val="20"/>
          <w:u w:val="single"/>
        </w:rPr>
        <w:tab/>
      </w:r>
    </w:p>
    <w:p w:rsidR="002A7839" w:rsidRPr="002A7839" w:rsidRDefault="002A7839" w:rsidP="002A7839">
      <w:pPr>
        <w:rPr>
          <w:color w:val="000000" w:themeColor="text1"/>
          <w:sz w:val="20"/>
          <w:szCs w:val="20"/>
        </w:rPr>
      </w:pPr>
      <w:r w:rsidRPr="002A7839">
        <w:rPr>
          <w:color w:val="000000" w:themeColor="text1"/>
          <w:sz w:val="20"/>
          <w:szCs w:val="20"/>
        </w:rPr>
        <w:t>Colleen L. Mooney</w:t>
      </w:r>
    </w:p>
    <w:p w:rsidR="002A7839" w:rsidRPr="002A7839" w:rsidRDefault="002A7839" w:rsidP="002A7839">
      <w:pPr>
        <w:rPr>
          <w:color w:val="000000" w:themeColor="text1"/>
          <w:sz w:val="20"/>
          <w:szCs w:val="20"/>
        </w:rPr>
      </w:pPr>
      <w:r w:rsidRPr="002A7839">
        <w:rPr>
          <w:color w:val="000000" w:themeColor="text1"/>
          <w:sz w:val="20"/>
          <w:szCs w:val="20"/>
        </w:rPr>
        <w:t>Ohio Partners for Affordable Energy</w:t>
      </w:r>
    </w:p>
    <w:p w:rsidR="002A7839" w:rsidRPr="002A7839" w:rsidRDefault="002A7839" w:rsidP="002A7839">
      <w:pPr>
        <w:rPr>
          <w:color w:val="000000" w:themeColor="text1"/>
          <w:sz w:val="20"/>
          <w:szCs w:val="20"/>
        </w:rPr>
      </w:pPr>
      <w:r w:rsidRPr="002A7839">
        <w:rPr>
          <w:color w:val="000000" w:themeColor="text1"/>
          <w:sz w:val="20"/>
          <w:szCs w:val="20"/>
        </w:rPr>
        <w:t>231 West Lima Street</w:t>
      </w:r>
    </w:p>
    <w:p w:rsidR="002A7839" w:rsidRPr="002A7839" w:rsidRDefault="002A7839" w:rsidP="002A7839">
      <w:pPr>
        <w:rPr>
          <w:color w:val="000000" w:themeColor="text1"/>
          <w:sz w:val="20"/>
          <w:szCs w:val="20"/>
        </w:rPr>
      </w:pPr>
      <w:r w:rsidRPr="002A7839">
        <w:rPr>
          <w:color w:val="000000" w:themeColor="text1"/>
          <w:sz w:val="20"/>
          <w:szCs w:val="20"/>
        </w:rPr>
        <w:t>Findlay, OH  45839</w:t>
      </w:r>
    </w:p>
    <w:p w:rsidR="002A7839" w:rsidRPr="002A7839" w:rsidRDefault="002A7839" w:rsidP="002A7839">
      <w:pPr>
        <w:rPr>
          <w:color w:val="000000" w:themeColor="text1"/>
          <w:sz w:val="20"/>
          <w:szCs w:val="20"/>
        </w:rPr>
      </w:pPr>
      <w:r w:rsidRPr="00491526">
        <w:rPr>
          <w:sz w:val="20"/>
          <w:szCs w:val="20"/>
        </w:rPr>
        <w:t>cmooney2@columbus.rr.com</w:t>
      </w:r>
    </w:p>
    <w:p w:rsidR="002A7839" w:rsidRDefault="002A7839" w:rsidP="002A7839">
      <w:pPr>
        <w:rPr>
          <w:color w:val="000000" w:themeColor="text1"/>
          <w:sz w:val="20"/>
          <w:szCs w:val="20"/>
        </w:rPr>
      </w:pPr>
    </w:p>
    <w:p w:rsidR="002A7839" w:rsidRDefault="002A7839" w:rsidP="002A7839">
      <w:pPr>
        <w:rPr>
          <w:b/>
          <w:smallCaps/>
          <w:color w:val="000000" w:themeColor="text1"/>
          <w:sz w:val="20"/>
          <w:szCs w:val="20"/>
        </w:rPr>
      </w:pPr>
      <w:r>
        <w:rPr>
          <w:b/>
          <w:smallCaps/>
          <w:color w:val="000000" w:themeColor="text1"/>
          <w:sz w:val="20"/>
          <w:szCs w:val="20"/>
        </w:rPr>
        <w:t>Attorney for Ohio Partners for Affordable Energy</w:t>
      </w:r>
    </w:p>
    <w:p w:rsidR="002A7839" w:rsidRDefault="002A7839" w:rsidP="002A7839">
      <w:pPr>
        <w:tabs>
          <w:tab w:val="left" w:pos="2160"/>
          <w:tab w:val="left" w:pos="2280"/>
        </w:tabs>
        <w:rPr>
          <w:rFonts w:eastAsia="Calibri"/>
          <w:b/>
          <w:color w:val="000000" w:themeColor="text1"/>
          <w:sz w:val="20"/>
          <w:szCs w:val="20"/>
        </w:rPr>
      </w:pPr>
    </w:p>
    <w:p w:rsidR="002A7839" w:rsidRDefault="002A7839" w:rsidP="002A7839">
      <w:pPr>
        <w:tabs>
          <w:tab w:val="left" w:pos="2160"/>
          <w:tab w:val="left" w:pos="2280"/>
        </w:tabs>
        <w:rPr>
          <w:rFonts w:eastAsia="Calibri"/>
          <w:b/>
          <w:color w:val="000000" w:themeColor="text1"/>
          <w:sz w:val="20"/>
          <w:szCs w:val="20"/>
        </w:rPr>
      </w:pPr>
    </w:p>
    <w:p w:rsidR="002A7839" w:rsidRDefault="008469ED" w:rsidP="002A7839">
      <w:pPr>
        <w:tabs>
          <w:tab w:val="right" w:pos="4320"/>
        </w:tabs>
        <w:rPr>
          <w:rFonts w:eastAsia="Calibri"/>
          <w:color w:val="000000" w:themeColor="text1"/>
          <w:sz w:val="20"/>
          <w:szCs w:val="20"/>
          <w:u w:val="single"/>
        </w:rPr>
      </w:pPr>
      <w:r>
        <w:rPr>
          <w:rFonts w:eastAsia="Calibri"/>
          <w:color w:val="000000" w:themeColor="text1"/>
          <w:sz w:val="20"/>
          <w:szCs w:val="20"/>
          <w:u w:val="single"/>
        </w:rPr>
        <w:t xml:space="preserve">/s/ Mark S. </w:t>
      </w:r>
      <w:bookmarkStart w:id="7" w:name="_GoBack"/>
      <w:bookmarkEnd w:id="7"/>
      <w:r>
        <w:rPr>
          <w:rFonts w:eastAsia="Calibri"/>
          <w:color w:val="000000" w:themeColor="text1"/>
          <w:sz w:val="20"/>
          <w:szCs w:val="20"/>
          <w:u w:val="single"/>
        </w:rPr>
        <w:t>Yurick</w:t>
      </w:r>
      <w:r w:rsidR="002A7839">
        <w:rPr>
          <w:rFonts w:eastAsia="Calibri"/>
          <w:color w:val="000000" w:themeColor="text1"/>
          <w:sz w:val="20"/>
          <w:szCs w:val="20"/>
          <w:u w:val="single"/>
        </w:rPr>
        <w:tab/>
      </w:r>
    </w:p>
    <w:p w:rsidR="002A7839" w:rsidRDefault="002A7839" w:rsidP="002A7839">
      <w:pPr>
        <w:rPr>
          <w:color w:val="000000" w:themeColor="text1"/>
          <w:sz w:val="20"/>
        </w:rPr>
      </w:pPr>
      <w:r>
        <w:rPr>
          <w:color w:val="000000" w:themeColor="text1"/>
          <w:sz w:val="20"/>
        </w:rPr>
        <w:t>Mark S. Yurick</w:t>
      </w:r>
    </w:p>
    <w:p w:rsidR="002A7839" w:rsidRDefault="002A7839" w:rsidP="002A7839">
      <w:pPr>
        <w:rPr>
          <w:color w:val="000000" w:themeColor="text1"/>
          <w:sz w:val="20"/>
        </w:rPr>
      </w:pPr>
      <w:r>
        <w:rPr>
          <w:color w:val="000000" w:themeColor="text1"/>
          <w:sz w:val="20"/>
        </w:rPr>
        <w:t>Taft Stettinius &amp; Hollister LLP</w:t>
      </w:r>
    </w:p>
    <w:p w:rsidR="002A7839" w:rsidRDefault="002A7839" w:rsidP="002A7839">
      <w:pPr>
        <w:rPr>
          <w:color w:val="000000" w:themeColor="text1"/>
          <w:sz w:val="20"/>
        </w:rPr>
      </w:pPr>
      <w:r>
        <w:rPr>
          <w:color w:val="000000" w:themeColor="text1"/>
          <w:sz w:val="20"/>
        </w:rPr>
        <w:t>65 East State Street, Suite 1000</w:t>
      </w:r>
    </w:p>
    <w:p w:rsidR="002A7839" w:rsidRDefault="002A7839" w:rsidP="002A7839">
      <w:pPr>
        <w:rPr>
          <w:color w:val="000000" w:themeColor="text1"/>
          <w:sz w:val="20"/>
        </w:rPr>
      </w:pPr>
      <w:r>
        <w:rPr>
          <w:color w:val="000000" w:themeColor="text1"/>
          <w:sz w:val="20"/>
        </w:rPr>
        <w:t>Columbus, OH  43215-4213</w:t>
      </w:r>
    </w:p>
    <w:p w:rsidR="002A7839" w:rsidRDefault="002A7839" w:rsidP="002A7839">
      <w:pPr>
        <w:rPr>
          <w:color w:val="000000" w:themeColor="text1"/>
          <w:sz w:val="20"/>
        </w:rPr>
      </w:pPr>
      <w:r>
        <w:rPr>
          <w:color w:val="000000" w:themeColor="text1"/>
          <w:sz w:val="20"/>
        </w:rPr>
        <w:t>myurick@taftlaw.com</w:t>
      </w:r>
    </w:p>
    <w:p w:rsidR="002A7839" w:rsidRDefault="002A7839" w:rsidP="002A7839">
      <w:pPr>
        <w:rPr>
          <w:color w:val="000000" w:themeColor="text1"/>
          <w:sz w:val="20"/>
        </w:rPr>
      </w:pPr>
    </w:p>
    <w:p w:rsidR="002A7839" w:rsidRDefault="002A7839" w:rsidP="002A7839">
      <w:pPr>
        <w:rPr>
          <w:b/>
          <w:smallCaps/>
          <w:color w:val="000000" w:themeColor="text1"/>
          <w:sz w:val="20"/>
        </w:rPr>
      </w:pPr>
      <w:r>
        <w:rPr>
          <w:b/>
          <w:smallCaps/>
          <w:color w:val="000000" w:themeColor="text1"/>
          <w:sz w:val="20"/>
        </w:rPr>
        <w:t>Attorney for The Kroger Company</w:t>
      </w:r>
    </w:p>
    <w:p w:rsidR="007263B5" w:rsidRDefault="007263B5" w:rsidP="002A7839">
      <w:pPr>
        <w:rPr>
          <w:b/>
          <w:smallCaps/>
          <w:color w:val="000000" w:themeColor="text1"/>
          <w:sz w:val="20"/>
        </w:rPr>
      </w:pPr>
    </w:p>
    <w:p w:rsidR="007263B5" w:rsidRDefault="007263B5" w:rsidP="007263B5">
      <w:pPr>
        <w:tabs>
          <w:tab w:val="left" w:pos="2160"/>
          <w:tab w:val="left" w:pos="2280"/>
        </w:tabs>
        <w:rPr>
          <w:rFonts w:eastAsia="Calibri"/>
          <w:b/>
          <w:color w:val="000000" w:themeColor="text1"/>
          <w:sz w:val="20"/>
          <w:szCs w:val="20"/>
        </w:rPr>
      </w:pPr>
    </w:p>
    <w:p w:rsidR="007263B5" w:rsidRDefault="007263B5" w:rsidP="007263B5">
      <w:pPr>
        <w:tabs>
          <w:tab w:val="right" w:pos="4320"/>
        </w:tabs>
        <w:rPr>
          <w:rFonts w:eastAsia="Calibri"/>
          <w:color w:val="000000" w:themeColor="text1"/>
          <w:sz w:val="20"/>
          <w:szCs w:val="20"/>
          <w:u w:val="single"/>
        </w:rPr>
      </w:pPr>
      <w:r>
        <w:rPr>
          <w:rFonts w:eastAsia="Calibri"/>
          <w:color w:val="000000" w:themeColor="text1"/>
          <w:sz w:val="20"/>
          <w:szCs w:val="20"/>
          <w:u w:val="single"/>
        </w:rPr>
        <w:t>/s/ David F. Boehm</w:t>
      </w:r>
      <w:r>
        <w:rPr>
          <w:rFonts w:eastAsia="Calibri"/>
          <w:color w:val="000000" w:themeColor="text1"/>
          <w:sz w:val="20"/>
          <w:szCs w:val="20"/>
          <w:u w:val="single"/>
        </w:rPr>
        <w:tab/>
      </w:r>
    </w:p>
    <w:p w:rsidR="007263B5" w:rsidRDefault="007263B5" w:rsidP="007263B5">
      <w:pPr>
        <w:tabs>
          <w:tab w:val="left" w:pos="2160"/>
          <w:tab w:val="left" w:pos="2280"/>
        </w:tabs>
        <w:rPr>
          <w:color w:val="000000" w:themeColor="text1"/>
          <w:sz w:val="20"/>
          <w:szCs w:val="20"/>
        </w:rPr>
      </w:pPr>
      <w:r>
        <w:rPr>
          <w:color w:val="000000" w:themeColor="text1"/>
          <w:sz w:val="20"/>
          <w:szCs w:val="20"/>
        </w:rPr>
        <w:t>David F. Boehm</w:t>
      </w:r>
    </w:p>
    <w:p w:rsidR="007263B5" w:rsidRDefault="007263B5" w:rsidP="007263B5">
      <w:pPr>
        <w:tabs>
          <w:tab w:val="left" w:pos="2160"/>
          <w:tab w:val="left" w:pos="2280"/>
        </w:tabs>
        <w:rPr>
          <w:color w:val="000000" w:themeColor="text1"/>
          <w:sz w:val="20"/>
          <w:szCs w:val="20"/>
        </w:rPr>
      </w:pPr>
      <w:r>
        <w:rPr>
          <w:color w:val="000000" w:themeColor="text1"/>
          <w:sz w:val="20"/>
          <w:szCs w:val="20"/>
        </w:rPr>
        <w:t>Michael L. Kurtz</w:t>
      </w:r>
    </w:p>
    <w:p w:rsidR="007263B5" w:rsidRDefault="007263B5" w:rsidP="007263B5">
      <w:pPr>
        <w:tabs>
          <w:tab w:val="left" w:pos="2160"/>
          <w:tab w:val="left" w:pos="2280"/>
        </w:tabs>
        <w:rPr>
          <w:color w:val="000000" w:themeColor="text1"/>
          <w:sz w:val="20"/>
          <w:szCs w:val="20"/>
        </w:rPr>
      </w:pPr>
      <w:r>
        <w:rPr>
          <w:color w:val="000000" w:themeColor="text1"/>
          <w:sz w:val="20"/>
          <w:szCs w:val="20"/>
        </w:rPr>
        <w:t>Boehm, Kurtz &amp; Lowry</w:t>
      </w:r>
    </w:p>
    <w:p w:rsidR="007263B5" w:rsidRDefault="007263B5" w:rsidP="007263B5">
      <w:pPr>
        <w:tabs>
          <w:tab w:val="left" w:pos="2160"/>
          <w:tab w:val="left" w:pos="2280"/>
        </w:tabs>
        <w:rPr>
          <w:color w:val="000000" w:themeColor="text1"/>
          <w:sz w:val="20"/>
          <w:szCs w:val="20"/>
        </w:rPr>
      </w:pPr>
      <w:r>
        <w:rPr>
          <w:color w:val="000000" w:themeColor="text1"/>
          <w:sz w:val="20"/>
          <w:szCs w:val="20"/>
        </w:rPr>
        <w:t>36 East 7</w:t>
      </w:r>
      <w:r>
        <w:rPr>
          <w:color w:val="000000" w:themeColor="text1"/>
          <w:sz w:val="20"/>
          <w:szCs w:val="20"/>
          <w:vertAlign w:val="superscript"/>
        </w:rPr>
        <w:t>th</w:t>
      </w:r>
      <w:r>
        <w:rPr>
          <w:color w:val="000000" w:themeColor="text1"/>
          <w:sz w:val="20"/>
          <w:szCs w:val="20"/>
        </w:rPr>
        <w:t xml:space="preserve"> Street, Ste. 1510</w:t>
      </w:r>
    </w:p>
    <w:p w:rsidR="007263B5" w:rsidRPr="007263B5" w:rsidRDefault="007263B5" w:rsidP="007263B5">
      <w:pPr>
        <w:tabs>
          <w:tab w:val="left" w:pos="2160"/>
          <w:tab w:val="left" w:pos="2280"/>
        </w:tabs>
        <w:rPr>
          <w:color w:val="000000" w:themeColor="text1"/>
          <w:sz w:val="20"/>
          <w:szCs w:val="20"/>
        </w:rPr>
      </w:pPr>
      <w:r w:rsidRPr="007263B5">
        <w:rPr>
          <w:color w:val="000000" w:themeColor="text1"/>
          <w:sz w:val="20"/>
          <w:szCs w:val="20"/>
        </w:rPr>
        <w:t>Cincinnati, OH  45202</w:t>
      </w:r>
    </w:p>
    <w:p w:rsidR="007263B5" w:rsidRPr="007263B5" w:rsidRDefault="007263B5" w:rsidP="007263B5">
      <w:pPr>
        <w:tabs>
          <w:tab w:val="left" w:pos="2160"/>
          <w:tab w:val="left" w:pos="2280"/>
        </w:tabs>
        <w:rPr>
          <w:color w:val="000000" w:themeColor="text1"/>
          <w:sz w:val="20"/>
          <w:szCs w:val="20"/>
        </w:rPr>
      </w:pPr>
      <w:r w:rsidRPr="00491526">
        <w:rPr>
          <w:sz w:val="20"/>
          <w:szCs w:val="20"/>
        </w:rPr>
        <w:t>dboehm@BKLlawfirm.com</w:t>
      </w:r>
    </w:p>
    <w:p w:rsidR="007263B5" w:rsidRPr="007263B5" w:rsidRDefault="007263B5" w:rsidP="007263B5">
      <w:pPr>
        <w:tabs>
          <w:tab w:val="left" w:pos="2160"/>
          <w:tab w:val="left" w:pos="2280"/>
        </w:tabs>
        <w:rPr>
          <w:color w:val="000000" w:themeColor="text1"/>
          <w:sz w:val="20"/>
          <w:szCs w:val="20"/>
        </w:rPr>
      </w:pPr>
      <w:r w:rsidRPr="00491526">
        <w:rPr>
          <w:sz w:val="20"/>
          <w:szCs w:val="20"/>
        </w:rPr>
        <w:t>mkurtz@BKLlawfirm.com</w:t>
      </w:r>
    </w:p>
    <w:p w:rsidR="007263B5" w:rsidRDefault="007263B5" w:rsidP="007263B5">
      <w:pPr>
        <w:tabs>
          <w:tab w:val="left" w:pos="2160"/>
          <w:tab w:val="left" w:pos="2280"/>
        </w:tabs>
        <w:rPr>
          <w:color w:val="000000" w:themeColor="text1"/>
          <w:sz w:val="20"/>
          <w:szCs w:val="20"/>
        </w:rPr>
      </w:pPr>
    </w:p>
    <w:p w:rsidR="007263B5" w:rsidRDefault="007263B5" w:rsidP="007263B5">
      <w:pPr>
        <w:tabs>
          <w:tab w:val="left" w:pos="2160"/>
          <w:tab w:val="left" w:pos="2280"/>
        </w:tabs>
        <w:rPr>
          <w:rFonts w:eastAsia="Calibri"/>
          <w:b/>
          <w:smallCaps/>
          <w:color w:val="000000" w:themeColor="text1"/>
          <w:sz w:val="20"/>
          <w:szCs w:val="20"/>
        </w:rPr>
      </w:pPr>
      <w:r>
        <w:rPr>
          <w:b/>
          <w:smallCaps/>
          <w:color w:val="000000" w:themeColor="text1"/>
          <w:sz w:val="20"/>
          <w:szCs w:val="20"/>
        </w:rPr>
        <w:t>Attorneys for Ohio Energy Group</w:t>
      </w:r>
    </w:p>
    <w:p w:rsidR="007263B5" w:rsidRDefault="007263B5" w:rsidP="002A7839">
      <w:pPr>
        <w:rPr>
          <w:b/>
          <w:smallCaps/>
          <w:color w:val="000000" w:themeColor="text1"/>
          <w:sz w:val="20"/>
        </w:rPr>
      </w:pPr>
    </w:p>
    <w:p w:rsidR="007263B5" w:rsidRDefault="007263B5" w:rsidP="007263B5">
      <w:pPr>
        <w:autoSpaceDE w:val="0"/>
        <w:autoSpaceDN w:val="0"/>
        <w:adjustRightInd w:val="0"/>
        <w:rPr>
          <w:color w:val="000000" w:themeColor="text1"/>
          <w:sz w:val="20"/>
          <w:szCs w:val="20"/>
        </w:rPr>
      </w:pPr>
    </w:p>
    <w:p w:rsidR="007263B5" w:rsidRDefault="00B25E2B" w:rsidP="007263B5">
      <w:pPr>
        <w:tabs>
          <w:tab w:val="right" w:pos="4320"/>
        </w:tabs>
        <w:rPr>
          <w:rFonts w:eastAsia="Calibri"/>
          <w:color w:val="000000" w:themeColor="text1"/>
          <w:sz w:val="20"/>
          <w:szCs w:val="20"/>
          <w:u w:val="single"/>
        </w:rPr>
      </w:pPr>
      <w:r>
        <w:rPr>
          <w:rFonts w:eastAsia="Calibri"/>
          <w:color w:val="000000" w:themeColor="text1"/>
          <w:sz w:val="20"/>
          <w:szCs w:val="20"/>
          <w:u w:val="single"/>
        </w:rPr>
        <w:br w:type="column"/>
      </w:r>
      <w:r w:rsidR="007263B5">
        <w:rPr>
          <w:rFonts w:eastAsia="Calibri"/>
          <w:color w:val="000000" w:themeColor="text1"/>
          <w:sz w:val="20"/>
          <w:szCs w:val="20"/>
          <w:u w:val="single"/>
        </w:rPr>
        <w:lastRenderedPageBreak/>
        <w:t>/s/ M. Anthony Long</w:t>
      </w:r>
      <w:r w:rsidR="007263B5">
        <w:rPr>
          <w:rFonts w:eastAsia="Calibri"/>
          <w:color w:val="000000" w:themeColor="text1"/>
          <w:sz w:val="20"/>
          <w:szCs w:val="20"/>
          <w:u w:val="single"/>
        </w:rPr>
        <w:tab/>
      </w:r>
    </w:p>
    <w:p w:rsidR="007263B5" w:rsidRDefault="007263B5" w:rsidP="007263B5">
      <w:pPr>
        <w:tabs>
          <w:tab w:val="left" w:pos="2160"/>
          <w:tab w:val="left" w:pos="2280"/>
        </w:tabs>
        <w:rPr>
          <w:b/>
          <w:color w:val="000000" w:themeColor="text1"/>
          <w:sz w:val="20"/>
          <w:szCs w:val="20"/>
        </w:rPr>
      </w:pPr>
      <w:r>
        <w:rPr>
          <w:color w:val="000000" w:themeColor="text1"/>
          <w:sz w:val="20"/>
          <w:szCs w:val="20"/>
        </w:rPr>
        <w:t>M. Anthony Long</w:t>
      </w:r>
    </w:p>
    <w:p w:rsidR="007263B5" w:rsidRDefault="007263B5" w:rsidP="007263B5">
      <w:pPr>
        <w:tabs>
          <w:tab w:val="left" w:pos="2160"/>
          <w:tab w:val="left" w:pos="2280"/>
        </w:tabs>
        <w:rPr>
          <w:color w:val="000000" w:themeColor="text1"/>
          <w:sz w:val="20"/>
          <w:szCs w:val="20"/>
        </w:rPr>
      </w:pPr>
      <w:r>
        <w:rPr>
          <w:color w:val="000000" w:themeColor="text1"/>
          <w:sz w:val="20"/>
          <w:szCs w:val="20"/>
        </w:rPr>
        <w:t>Honda of America Mfg., Inc.</w:t>
      </w:r>
    </w:p>
    <w:p w:rsidR="007263B5" w:rsidRDefault="007263B5" w:rsidP="007263B5">
      <w:pPr>
        <w:tabs>
          <w:tab w:val="left" w:pos="2160"/>
          <w:tab w:val="left" w:pos="2280"/>
        </w:tabs>
        <w:rPr>
          <w:color w:val="000000" w:themeColor="text1"/>
          <w:sz w:val="20"/>
          <w:szCs w:val="20"/>
        </w:rPr>
      </w:pPr>
      <w:r>
        <w:rPr>
          <w:color w:val="000000" w:themeColor="text1"/>
          <w:sz w:val="20"/>
          <w:szCs w:val="20"/>
        </w:rPr>
        <w:t>24000 Honda Parkway</w:t>
      </w:r>
    </w:p>
    <w:p w:rsidR="007263B5" w:rsidRDefault="007263B5" w:rsidP="007263B5">
      <w:pPr>
        <w:tabs>
          <w:tab w:val="left" w:pos="2160"/>
          <w:tab w:val="left" w:pos="2280"/>
        </w:tabs>
        <w:rPr>
          <w:color w:val="000000" w:themeColor="text1"/>
          <w:sz w:val="20"/>
          <w:szCs w:val="20"/>
        </w:rPr>
      </w:pPr>
      <w:r>
        <w:rPr>
          <w:color w:val="000000" w:themeColor="text1"/>
          <w:sz w:val="20"/>
          <w:szCs w:val="20"/>
        </w:rPr>
        <w:t>Marysville, OH  43040</w:t>
      </w:r>
    </w:p>
    <w:p w:rsidR="007263B5" w:rsidRPr="007263B5" w:rsidRDefault="007263B5" w:rsidP="007263B5">
      <w:pPr>
        <w:tabs>
          <w:tab w:val="left" w:pos="2160"/>
          <w:tab w:val="left" w:pos="2280"/>
        </w:tabs>
        <w:rPr>
          <w:color w:val="000000" w:themeColor="text1"/>
          <w:sz w:val="20"/>
          <w:szCs w:val="20"/>
        </w:rPr>
      </w:pPr>
      <w:r w:rsidRPr="00491526">
        <w:rPr>
          <w:sz w:val="20"/>
          <w:szCs w:val="20"/>
        </w:rPr>
        <w:t>tony_long@ham.honda.com</w:t>
      </w:r>
    </w:p>
    <w:p w:rsidR="00F5002B" w:rsidRDefault="00F5002B" w:rsidP="007263B5">
      <w:pPr>
        <w:tabs>
          <w:tab w:val="left" w:pos="2160"/>
          <w:tab w:val="left" w:pos="2280"/>
        </w:tabs>
        <w:rPr>
          <w:b/>
          <w:smallCaps/>
          <w:sz w:val="20"/>
          <w:szCs w:val="20"/>
        </w:rPr>
      </w:pPr>
    </w:p>
    <w:p w:rsidR="007263B5" w:rsidRDefault="007263B5" w:rsidP="007263B5">
      <w:pPr>
        <w:tabs>
          <w:tab w:val="left" w:pos="2160"/>
          <w:tab w:val="left" w:pos="2280"/>
        </w:tabs>
        <w:rPr>
          <w:b/>
          <w:smallCaps/>
          <w:sz w:val="20"/>
          <w:szCs w:val="20"/>
        </w:rPr>
      </w:pPr>
      <w:r>
        <w:rPr>
          <w:b/>
          <w:smallCaps/>
          <w:sz w:val="20"/>
          <w:szCs w:val="20"/>
        </w:rPr>
        <w:t>Attorney for Honda of America</w:t>
      </w:r>
    </w:p>
    <w:p w:rsidR="007263B5" w:rsidRDefault="007263B5" w:rsidP="007263B5">
      <w:pPr>
        <w:autoSpaceDE w:val="0"/>
        <w:autoSpaceDN w:val="0"/>
        <w:adjustRightInd w:val="0"/>
        <w:rPr>
          <w:b/>
          <w:smallCaps/>
          <w:sz w:val="20"/>
          <w:szCs w:val="20"/>
        </w:rPr>
      </w:pPr>
      <w:r>
        <w:rPr>
          <w:b/>
          <w:smallCaps/>
          <w:sz w:val="20"/>
          <w:szCs w:val="20"/>
        </w:rPr>
        <w:t>Manufacturing, Inc.</w:t>
      </w:r>
    </w:p>
    <w:p w:rsidR="007263B5" w:rsidRPr="00F65618" w:rsidRDefault="007263B5" w:rsidP="002A7839">
      <w:pPr>
        <w:rPr>
          <w:smallCaps/>
          <w:color w:val="000000" w:themeColor="text1"/>
          <w:sz w:val="20"/>
        </w:rPr>
      </w:pPr>
    </w:p>
    <w:p w:rsidR="00F65618" w:rsidRPr="00F65618" w:rsidRDefault="00F65618" w:rsidP="002A7839">
      <w:pPr>
        <w:rPr>
          <w:smallCaps/>
          <w:color w:val="000000" w:themeColor="text1"/>
          <w:sz w:val="20"/>
        </w:rPr>
      </w:pPr>
    </w:p>
    <w:p w:rsidR="00F65618" w:rsidRDefault="00F65618" w:rsidP="00F65618">
      <w:pPr>
        <w:tabs>
          <w:tab w:val="right" w:pos="4320"/>
        </w:tabs>
        <w:rPr>
          <w:rFonts w:eastAsia="Calibri"/>
          <w:color w:val="000000" w:themeColor="text1"/>
          <w:sz w:val="20"/>
          <w:szCs w:val="20"/>
          <w:u w:val="single"/>
        </w:rPr>
      </w:pPr>
      <w:r>
        <w:rPr>
          <w:rFonts w:eastAsia="Calibri"/>
          <w:color w:val="000000" w:themeColor="text1"/>
          <w:sz w:val="20"/>
          <w:szCs w:val="20"/>
          <w:u w:val="single"/>
        </w:rPr>
        <w:t>/s/ Kimberly W. Bojko</w:t>
      </w:r>
      <w:r>
        <w:rPr>
          <w:rFonts w:eastAsia="Calibri"/>
          <w:color w:val="000000" w:themeColor="text1"/>
          <w:sz w:val="20"/>
          <w:szCs w:val="20"/>
          <w:u w:val="single"/>
        </w:rPr>
        <w:tab/>
      </w:r>
    </w:p>
    <w:p w:rsidR="00F65618" w:rsidRDefault="00F65618" w:rsidP="00F65618">
      <w:pPr>
        <w:rPr>
          <w:bCs/>
          <w:color w:val="000000" w:themeColor="text1"/>
          <w:sz w:val="20"/>
          <w:szCs w:val="20"/>
        </w:rPr>
      </w:pPr>
      <w:r>
        <w:rPr>
          <w:bCs/>
          <w:color w:val="000000" w:themeColor="text1"/>
          <w:sz w:val="20"/>
          <w:szCs w:val="20"/>
        </w:rPr>
        <w:t>Kimberly W. Bojko</w:t>
      </w:r>
    </w:p>
    <w:p w:rsidR="00F65618" w:rsidRDefault="00F65618" w:rsidP="00F65618">
      <w:pPr>
        <w:rPr>
          <w:smallCaps/>
          <w:color w:val="000000" w:themeColor="text1"/>
          <w:sz w:val="20"/>
          <w:szCs w:val="20"/>
        </w:rPr>
      </w:pPr>
      <w:r>
        <w:rPr>
          <w:smallCaps/>
          <w:color w:val="000000" w:themeColor="text1"/>
          <w:sz w:val="20"/>
          <w:szCs w:val="20"/>
        </w:rPr>
        <w:t>Carpenter Lipps &amp; Leland LLP</w:t>
      </w:r>
    </w:p>
    <w:p w:rsidR="00F65618" w:rsidRDefault="00F65618" w:rsidP="00F65618">
      <w:pPr>
        <w:rPr>
          <w:color w:val="000000" w:themeColor="text1"/>
          <w:sz w:val="20"/>
          <w:szCs w:val="20"/>
        </w:rPr>
      </w:pPr>
      <w:r>
        <w:rPr>
          <w:color w:val="000000" w:themeColor="text1"/>
          <w:sz w:val="20"/>
          <w:szCs w:val="20"/>
        </w:rPr>
        <w:t>280 Plaza, Suite 1300</w:t>
      </w:r>
    </w:p>
    <w:p w:rsidR="00F65618" w:rsidRDefault="00F65618" w:rsidP="00F65618">
      <w:pPr>
        <w:rPr>
          <w:color w:val="000000" w:themeColor="text1"/>
          <w:sz w:val="20"/>
          <w:szCs w:val="20"/>
        </w:rPr>
      </w:pPr>
      <w:r>
        <w:rPr>
          <w:color w:val="000000" w:themeColor="text1"/>
          <w:sz w:val="20"/>
          <w:szCs w:val="20"/>
        </w:rPr>
        <w:t>280 N. High Street</w:t>
      </w:r>
    </w:p>
    <w:p w:rsidR="00F65618" w:rsidRDefault="00F65618" w:rsidP="00F65618">
      <w:pPr>
        <w:rPr>
          <w:color w:val="000000" w:themeColor="text1"/>
          <w:sz w:val="20"/>
          <w:szCs w:val="20"/>
        </w:rPr>
      </w:pPr>
      <w:r>
        <w:rPr>
          <w:color w:val="000000" w:themeColor="text1"/>
          <w:sz w:val="20"/>
          <w:szCs w:val="20"/>
        </w:rPr>
        <w:t>Columbus, OH  43215</w:t>
      </w:r>
    </w:p>
    <w:p w:rsidR="00F65618" w:rsidRPr="00B94EB6" w:rsidRDefault="00F65618" w:rsidP="00F65618">
      <w:pPr>
        <w:rPr>
          <w:color w:val="000000" w:themeColor="text1"/>
          <w:sz w:val="20"/>
          <w:szCs w:val="20"/>
        </w:rPr>
      </w:pPr>
      <w:r w:rsidRPr="00491526">
        <w:rPr>
          <w:sz w:val="20"/>
          <w:szCs w:val="20"/>
        </w:rPr>
        <w:t>bojko@carpenterlipps.com</w:t>
      </w:r>
    </w:p>
    <w:p w:rsidR="00F65618" w:rsidRDefault="00F65618" w:rsidP="00F65618">
      <w:pPr>
        <w:tabs>
          <w:tab w:val="left" w:pos="2160"/>
          <w:tab w:val="left" w:pos="2280"/>
        </w:tabs>
        <w:rPr>
          <w:rFonts w:eastAsia="Calibri"/>
          <w:b/>
          <w:color w:val="000000" w:themeColor="text1"/>
          <w:sz w:val="20"/>
          <w:szCs w:val="20"/>
        </w:rPr>
      </w:pPr>
    </w:p>
    <w:p w:rsidR="00F65618" w:rsidRDefault="00F65618" w:rsidP="00F65618">
      <w:pPr>
        <w:rPr>
          <w:b/>
          <w:smallCaps/>
          <w:color w:val="000000" w:themeColor="text1"/>
          <w:sz w:val="20"/>
        </w:rPr>
      </w:pPr>
      <w:r>
        <w:rPr>
          <w:b/>
          <w:smallCaps/>
          <w:color w:val="000000" w:themeColor="text1"/>
          <w:sz w:val="20"/>
        </w:rPr>
        <w:t>Attorney for SolarVision, LLC*</w:t>
      </w:r>
    </w:p>
    <w:p w:rsidR="002A7839" w:rsidRDefault="002A7839" w:rsidP="002A7839">
      <w:pPr>
        <w:tabs>
          <w:tab w:val="left" w:pos="2160"/>
          <w:tab w:val="left" w:pos="2280"/>
        </w:tabs>
        <w:rPr>
          <w:rFonts w:eastAsia="Calibri"/>
          <w:b/>
          <w:color w:val="000000" w:themeColor="text1"/>
          <w:sz w:val="20"/>
          <w:szCs w:val="20"/>
        </w:rPr>
      </w:pPr>
    </w:p>
    <w:p w:rsidR="00777CB3" w:rsidRDefault="00777CB3" w:rsidP="002A7839">
      <w:pPr>
        <w:tabs>
          <w:tab w:val="left" w:pos="2160"/>
          <w:tab w:val="left" w:pos="2280"/>
        </w:tabs>
        <w:rPr>
          <w:rFonts w:eastAsia="Calibri"/>
          <w:b/>
          <w:color w:val="000000" w:themeColor="text1"/>
          <w:sz w:val="20"/>
          <w:szCs w:val="20"/>
        </w:rPr>
      </w:pPr>
    </w:p>
    <w:p w:rsidR="00777CB3" w:rsidRDefault="00777CB3" w:rsidP="00777CB3">
      <w:pPr>
        <w:tabs>
          <w:tab w:val="right" w:pos="4320"/>
        </w:tabs>
        <w:rPr>
          <w:rFonts w:eastAsia="Calibri"/>
          <w:color w:val="000000" w:themeColor="text1"/>
          <w:sz w:val="20"/>
          <w:szCs w:val="20"/>
          <w:u w:val="single"/>
        </w:rPr>
      </w:pPr>
      <w:r>
        <w:rPr>
          <w:rFonts w:eastAsia="Calibri"/>
          <w:color w:val="000000" w:themeColor="text1"/>
          <w:sz w:val="20"/>
          <w:szCs w:val="20"/>
          <w:u w:val="single"/>
        </w:rPr>
        <w:t>/s/ J. Thoms Siwo</w:t>
      </w:r>
      <w:r>
        <w:rPr>
          <w:rFonts w:eastAsia="Calibri"/>
          <w:color w:val="000000" w:themeColor="text1"/>
          <w:sz w:val="20"/>
          <w:szCs w:val="20"/>
          <w:u w:val="single"/>
        </w:rPr>
        <w:tab/>
      </w:r>
    </w:p>
    <w:p w:rsidR="00777CB3" w:rsidRDefault="00777CB3" w:rsidP="00777CB3">
      <w:pPr>
        <w:tabs>
          <w:tab w:val="left" w:pos="2160"/>
          <w:tab w:val="left" w:pos="2280"/>
        </w:tabs>
        <w:rPr>
          <w:rFonts w:eastAsia="Calibri"/>
          <w:color w:val="000000" w:themeColor="text1"/>
          <w:sz w:val="20"/>
          <w:szCs w:val="20"/>
        </w:rPr>
      </w:pPr>
      <w:r>
        <w:rPr>
          <w:rFonts w:eastAsia="Calibri"/>
          <w:color w:val="000000" w:themeColor="text1"/>
          <w:sz w:val="20"/>
          <w:szCs w:val="20"/>
        </w:rPr>
        <w:t>J. Thomas Siwo</w:t>
      </w:r>
    </w:p>
    <w:p w:rsidR="00777CB3" w:rsidRDefault="00777CB3" w:rsidP="00777CB3">
      <w:pPr>
        <w:tabs>
          <w:tab w:val="left" w:pos="2160"/>
          <w:tab w:val="left" w:pos="2280"/>
        </w:tabs>
        <w:rPr>
          <w:rFonts w:eastAsia="Calibri"/>
          <w:color w:val="000000" w:themeColor="text1"/>
          <w:sz w:val="20"/>
          <w:szCs w:val="20"/>
        </w:rPr>
      </w:pPr>
      <w:r>
        <w:rPr>
          <w:rFonts w:eastAsia="Calibri"/>
          <w:color w:val="000000" w:themeColor="text1"/>
          <w:sz w:val="20"/>
          <w:szCs w:val="20"/>
        </w:rPr>
        <w:t>Matthew W. Warnock</w:t>
      </w:r>
    </w:p>
    <w:p w:rsidR="00777CB3" w:rsidRDefault="00777CB3" w:rsidP="00777CB3">
      <w:pPr>
        <w:tabs>
          <w:tab w:val="left" w:pos="2160"/>
          <w:tab w:val="left" w:pos="2280"/>
        </w:tabs>
        <w:rPr>
          <w:rFonts w:eastAsia="Calibri"/>
          <w:color w:val="000000" w:themeColor="text1"/>
          <w:sz w:val="20"/>
          <w:szCs w:val="20"/>
        </w:rPr>
      </w:pPr>
      <w:r>
        <w:rPr>
          <w:rFonts w:eastAsia="Calibri"/>
          <w:color w:val="000000" w:themeColor="text1"/>
          <w:sz w:val="20"/>
          <w:szCs w:val="20"/>
        </w:rPr>
        <w:t>BRICKER &amp; ECKLER LLP</w:t>
      </w:r>
    </w:p>
    <w:p w:rsidR="00777CB3" w:rsidRDefault="00777CB3" w:rsidP="00777CB3">
      <w:pPr>
        <w:tabs>
          <w:tab w:val="left" w:pos="2160"/>
          <w:tab w:val="left" w:pos="2280"/>
        </w:tabs>
        <w:rPr>
          <w:rFonts w:eastAsia="Calibri"/>
          <w:color w:val="000000" w:themeColor="text1"/>
          <w:sz w:val="20"/>
          <w:szCs w:val="20"/>
        </w:rPr>
      </w:pPr>
      <w:r>
        <w:rPr>
          <w:rFonts w:eastAsia="Calibri"/>
          <w:color w:val="000000" w:themeColor="text1"/>
          <w:sz w:val="20"/>
          <w:szCs w:val="20"/>
        </w:rPr>
        <w:t>100 South Third Street</w:t>
      </w:r>
    </w:p>
    <w:p w:rsidR="00777CB3" w:rsidRDefault="00777CB3" w:rsidP="00777CB3">
      <w:pPr>
        <w:tabs>
          <w:tab w:val="left" w:pos="2160"/>
          <w:tab w:val="left" w:pos="2280"/>
        </w:tabs>
        <w:rPr>
          <w:rFonts w:eastAsia="Calibri"/>
          <w:color w:val="000000" w:themeColor="text1"/>
          <w:sz w:val="20"/>
          <w:szCs w:val="20"/>
        </w:rPr>
      </w:pPr>
      <w:r>
        <w:rPr>
          <w:rFonts w:eastAsia="Calibri"/>
          <w:color w:val="000000" w:themeColor="text1"/>
          <w:sz w:val="20"/>
          <w:szCs w:val="20"/>
        </w:rPr>
        <w:t>Columbus, OH  43215</w:t>
      </w:r>
    </w:p>
    <w:p w:rsidR="00777CB3" w:rsidRPr="00674933" w:rsidRDefault="00777CB3" w:rsidP="00777CB3">
      <w:pPr>
        <w:tabs>
          <w:tab w:val="left" w:pos="2160"/>
          <w:tab w:val="left" w:pos="2280"/>
        </w:tabs>
        <w:rPr>
          <w:rFonts w:eastAsia="Calibri"/>
          <w:color w:val="000000" w:themeColor="text1"/>
          <w:sz w:val="20"/>
          <w:szCs w:val="20"/>
        </w:rPr>
      </w:pPr>
      <w:r w:rsidRPr="00491526">
        <w:rPr>
          <w:rFonts w:eastAsia="Calibri"/>
          <w:sz w:val="20"/>
          <w:szCs w:val="20"/>
        </w:rPr>
        <w:t>tsiwo@bricker.com</w:t>
      </w:r>
    </w:p>
    <w:p w:rsidR="00777CB3" w:rsidRDefault="00777CB3" w:rsidP="00777CB3">
      <w:pPr>
        <w:tabs>
          <w:tab w:val="left" w:pos="2160"/>
          <w:tab w:val="left" w:pos="2280"/>
        </w:tabs>
        <w:rPr>
          <w:rFonts w:eastAsia="Calibri"/>
          <w:color w:val="000000" w:themeColor="text1"/>
          <w:sz w:val="20"/>
          <w:szCs w:val="20"/>
        </w:rPr>
      </w:pPr>
      <w:r>
        <w:rPr>
          <w:rFonts w:eastAsia="Calibri"/>
          <w:color w:val="000000" w:themeColor="text1"/>
          <w:sz w:val="20"/>
          <w:szCs w:val="20"/>
        </w:rPr>
        <w:t>mwarnock@bricker.com</w:t>
      </w:r>
    </w:p>
    <w:p w:rsidR="00777CB3" w:rsidRDefault="00777CB3" w:rsidP="00777CB3">
      <w:pPr>
        <w:tabs>
          <w:tab w:val="left" w:pos="2160"/>
          <w:tab w:val="left" w:pos="2280"/>
        </w:tabs>
        <w:rPr>
          <w:rFonts w:eastAsia="Calibri"/>
          <w:color w:val="000000" w:themeColor="text1"/>
          <w:sz w:val="20"/>
          <w:szCs w:val="20"/>
        </w:rPr>
      </w:pPr>
    </w:p>
    <w:p w:rsidR="00777CB3" w:rsidRDefault="00777CB3" w:rsidP="00777CB3">
      <w:pPr>
        <w:tabs>
          <w:tab w:val="left" w:pos="2160"/>
          <w:tab w:val="left" w:pos="2280"/>
        </w:tabs>
        <w:rPr>
          <w:rFonts w:eastAsia="Calibri"/>
          <w:b/>
          <w:smallCaps/>
          <w:color w:val="000000" w:themeColor="text1"/>
          <w:sz w:val="20"/>
          <w:szCs w:val="20"/>
        </w:rPr>
      </w:pPr>
      <w:r>
        <w:rPr>
          <w:rFonts w:eastAsia="Calibri"/>
          <w:b/>
          <w:smallCaps/>
          <w:color w:val="000000" w:themeColor="text1"/>
          <w:sz w:val="20"/>
          <w:szCs w:val="20"/>
        </w:rPr>
        <w:t>Attorneys for the OMA Energy Group</w:t>
      </w:r>
    </w:p>
    <w:p w:rsidR="007C6361" w:rsidRDefault="007C6361" w:rsidP="00777CB3">
      <w:pPr>
        <w:tabs>
          <w:tab w:val="left" w:pos="2160"/>
          <w:tab w:val="left" w:pos="2280"/>
        </w:tabs>
        <w:rPr>
          <w:rFonts w:eastAsia="Calibri"/>
          <w:b/>
          <w:smallCaps/>
          <w:color w:val="000000" w:themeColor="text1"/>
          <w:sz w:val="20"/>
          <w:szCs w:val="20"/>
        </w:rPr>
      </w:pPr>
    </w:p>
    <w:p w:rsidR="007C6361" w:rsidRDefault="007C6361" w:rsidP="007C6361">
      <w:pPr>
        <w:tabs>
          <w:tab w:val="right" w:pos="4320"/>
        </w:tabs>
        <w:rPr>
          <w:rFonts w:eastAsia="Calibri"/>
          <w:color w:val="000000" w:themeColor="text1"/>
          <w:sz w:val="20"/>
          <w:szCs w:val="20"/>
          <w:u w:val="single"/>
        </w:rPr>
      </w:pPr>
    </w:p>
    <w:p w:rsidR="007C6361" w:rsidRDefault="007C6361" w:rsidP="007C6361">
      <w:pPr>
        <w:tabs>
          <w:tab w:val="right" w:pos="4320"/>
        </w:tabs>
        <w:rPr>
          <w:rFonts w:eastAsia="Calibri"/>
          <w:color w:val="000000" w:themeColor="text1"/>
          <w:sz w:val="20"/>
          <w:szCs w:val="20"/>
          <w:u w:val="single"/>
        </w:rPr>
      </w:pPr>
      <w:r>
        <w:rPr>
          <w:rFonts w:eastAsia="Calibri"/>
          <w:color w:val="000000" w:themeColor="text1"/>
          <w:sz w:val="20"/>
          <w:szCs w:val="20"/>
          <w:u w:val="single"/>
        </w:rPr>
        <w:t>/s/ Joseph P. Serio</w:t>
      </w:r>
      <w:r>
        <w:rPr>
          <w:rFonts w:eastAsia="Calibri"/>
          <w:color w:val="000000" w:themeColor="text1"/>
          <w:sz w:val="20"/>
          <w:szCs w:val="20"/>
          <w:u w:val="single"/>
        </w:rPr>
        <w:tab/>
      </w:r>
    </w:p>
    <w:p w:rsidR="007C6361" w:rsidRDefault="007C6361" w:rsidP="007C6361">
      <w:pPr>
        <w:tabs>
          <w:tab w:val="left" w:pos="2160"/>
          <w:tab w:val="left" w:pos="2280"/>
        </w:tabs>
        <w:rPr>
          <w:sz w:val="20"/>
          <w:szCs w:val="20"/>
        </w:rPr>
      </w:pPr>
      <w:r>
        <w:rPr>
          <w:sz w:val="20"/>
          <w:szCs w:val="20"/>
        </w:rPr>
        <w:t>Joseph P. Serio</w:t>
      </w:r>
    </w:p>
    <w:p w:rsidR="007C6361" w:rsidRDefault="007C6361" w:rsidP="007C6361">
      <w:pPr>
        <w:tabs>
          <w:tab w:val="left" w:pos="2160"/>
          <w:tab w:val="left" w:pos="2280"/>
        </w:tabs>
        <w:rPr>
          <w:sz w:val="20"/>
          <w:szCs w:val="20"/>
        </w:rPr>
      </w:pPr>
      <w:r>
        <w:rPr>
          <w:sz w:val="20"/>
          <w:szCs w:val="20"/>
        </w:rPr>
        <w:t>Office of the Ohio Consumers’ Counsel</w:t>
      </w:r>
    </w:p>
    <w:p w:rsidR="007C6361" w:rsidRDefault="007C6361" w:rsidP="007C6361">
      <w:pPr>
        <w:tabs>
          <w:tab w:val="left" w:pos="2160"/>
          <w:tab w:val="left" w:pos="2280"/>
        </w:tabs>
        <w:rPr>
          <w:sz w:val="20"/>
          <w:szCs w:val="20"/>
        </w:rPr>
      </w:pPr>
      <w:r>
        <w:rPr>
          <w:sz w:val="20"/>
          <w:szCs w:val="20"/>
        </w:rPr>
        <w:t>10 West Broad St., Ste. 1800</w:t>
      </w:r>
    </w:p>
    <w:p w:rsidR="007C6361" w:rsidRDefault="007C6361" w:rsidP="007C6361">
      <w:pPr>
        <w:tabs>
          <w:tab w:val="left" w:pos="2160"/>
          <w:tab w:val="left" w:pos="2280"/>
        </w:tabs>
        <w:rPr>
          <w:sz w:val="20"/>
          <w:szCs w:val="20"/>
        </w:rPr>
      </w:pPr>
      <w:r>
        <w:rPr>
          <w:sz w:val="20"/>
          <w:szCs w:val="20"/>
        </w:rPr>
        <w:t>Columbus, OH  43215-3485</w:t>
      </w:r>
    </w:p>
    <w:p w:rsidR="007C6361" w:rsidRPr="007C6361" w:rsidRDefault="007C6361" w:rsidP="007C6361">
      <w:pPr>
        <w:tabs>
          <w:tab w:val="left" w:pos="2160"/>
          <w:tab w:val="left" w:pos="2280"/>
        </w:tabs>
        <w:rPr>
          <w:color w:val="000000" w:themeColor="text1"/>
          <w:sz w:val="20"/>
          <w:szCs w:val="20"/>
        </w:rPr>
      </w:pPr>
      <w:r w:rsidRPr="00491526">
        <w:rPr>
          <w:sz w:val="20"/>
          <w:szCs w:val="20"/>
        </w:rPr>
        <w:t>serio@occ.state.oh.us</w:t>
      </w:r>
    </w:p>
    <w:p w:rsidR="007C6361" w:rsidRDefault="007C6361" w:rsidP="007C6361">
      <w:pPr>
        <w:tabs>
          <w:tab w:val="left" w:pos="2160"/>
          <w:tab w:val="left" w:pos="2280"/>
        </w:tabs>
        <w:rPr>
          <w:sz w:val="20"/>
          <w:szCs w:val="20"/>
        </w:rPr>
      </w:pPr>
    </w:p>
    <w:p w:rsidR="007C6361" w:rsidRDefault="007C6361" w:rsidP="007C6361">
      <w:pPr>
        <w:tabs>
          <w:tab w:val="left" w:pos="2160"/>
          <w:tab w:val="left" w:pos="2280"/>
        </w:tabs>
        <w:rPr>
          <w:b/>
          <w:smallCaps/>
          <w:sz w:val="20"/>
          <w:szCs w:val="20"/>
        </w:rPr>
      </w:pPr>
      <w:r>
        <w:rPr>
          <w:b/>
          <w:smallCaps/>
          <w:sz w:val="20"/>
          <w:szCs w:val="20"/>
        </w:rPr>
        <w:t xml:space="preserve">Attorney for the Office of the </w:t>
      </w:r>
    </w:p>
    <w:p w:rsidR="007C6361" w:rsidRDefault="007C6361" w:rsidP="007C6361">
      <w:pPr>
        <w:tabs>
          <w:tab w:val="left" w:pos="2160"/>
          <w:tab w:val="left" w:pos="2280"/>
        </w:tabs>
        <w:rPr>
          <w:b/>
          <w:smallCaps/>
          <w:sz w:val="20"/>
          <w:szCs w:val="20"/>
        </w:rPr>
      </w:pPr>
      <w:r>
        <w:rPr>
          <w:b/>
          <w:smallCaps/>
          <w:sz w:val="20"/>
          <w:szCs w:val="20"/>
        </w:rPr>
        <w:t>Ohio Consumers’ Counsel</w:t>
      </w:r>
    </w:p>
    <w:p w:rsidR="007C6361" w:rsidRDefault="007C6361" w:rsidP="007C6361">
      <w:pPr>
        <w:autoSpaceDE w:val="0"/>
        <w:autoSpaceDN w:val="0"/>
        <w:adjustRightInd w:val="0"/>
        <w:rPr>
          <w:rFonts w:ascii="Arial Bold" w:hAnsi="Arial Bold"/>
          <w:b/>
          <w:smallCaps/>
          <w:sz w:val="20"/>
          <w:szCs w:val="20"/>
        </w:rPr>
      </w:pPr>
    </w:p>
    <w:p w:rsidR="007C6361" w:rsidRDefault="007C6361" w:rsidP="00777CB3">
      <w:pPr>
        <w:tabs>
          <w:tab w:val="left" w:pos="2160"/>
          <w:tab w:val="left" w:pos="2280"/>
        </w:tabs>
        <w:rPr>
          <w:rFonts w:eastAsia="Calibri"/>
          <w:b/>
          <w:smallCaps/>
          <w:color w:val="000000" w:themeColor="text1"/>
          <w:sz w:val="20"/>
          <w:szCs w:val="20"/>
        </w:rPr>
      </w:pPr>
    </w:p>
    <w:p w:rsidR="00777CB3" w:rsidRDefault="00777CB3" w:rsidP="002A7839">
      <w:pPr>
        <w:tabs>
          <w:tab w:val="left" w:pos="2160"/>
          <w:tab w:val="left" w:pos="2280"/>
        </w:tabs>
        <w:rPr>
          <w:rFonts w:eastAsia="Calibri"/>
          <w:b/>
          <w:color w:val="000000" w:themeColor="text1"/>
          <w:sz w:val="20"/>
          <w:szCs w:val="20"/>
        </w:rPr>
      </w:pPr>
    </w:p>
    <w:p w:rsidR="002A7839" w:rsidRDefault="002A7839">
      <w:pPr>
        <w:tabs>
          <w:tab w:val="left" w:pos="2160"/>
          <w:tab w:val="left" w:pos="2280"/>
        </w:tabs>
        <w:jc w:val="center"/>
        <w:rPr>
          <w:rFonts w:ascii="Arial Bold" w:hAnsi="Arial Bold"/>
          <w:b/>
          <w:smallCaps/>
          <w:sz w:val="28"/>
          <w:u w:val="single"/>
        </w:rPr>
        <w:sectPr w:rsidR="002A7839" w:rsidSect="007263B5">
          <w:type w:val="continuous"/>
          <w:pgSz w:w="12240" w:h="15840"/>
          <w:pgMar w:top="1368" w:right="1440" w:bottom="1296" w:left="1440" w:header="720" w:footer="720" w:gutter="0"/>
          <w:cols w:num="2" w:space="720"/>
          <w:docGrid w:linePitch="360"/>
        </w:sectPr>
      </w:pPr>
    </w:p>
    <w:p w:rsidR="003B1035" w:rsidRDefault="00D77915">
      <w:pPr>
        <w:tabs>
          <w:tab w:val="left" w:pos="2160"/>
          <w:tab w:val="left" w:pos="2280"/>
        </w:tabs>
        <w:jc w:val="center"/>
        <w:rPr>
          <w:rFonts w:ascii="Arial Bold" w:hAnsi="Arial Bold"/>
          <w:b/>
          <w:smallCaps/>
          <w:sz w:val="28"/>
          <w:u w:val="single"/>
        </w:rPr>
      </w:pPr>
      <w:r>
        <w:rPr>
          <w:rFonts w:ascii="Arial Bold" w:hAnsi="Arial Bold"/>
          <w:b/>
          <w:smallCaps/>
          <w:sz w:val="28"/>
          <w:u w:val="single"/>
        </w:rPr>
        <w:lastRenderedPageBreak/>
        <w:t>Certificate Of Service</w:t>
      </w:r>
    </w:p>
    <w:p w:rsidR="003B1035" w:rsidRDefault="003B1035"/>
    <w:p w:rsidR="003B1035" w:rsidRDefault="00D77915">
      <w:pPr>
        <w:pStyle w:val="BodyText"/>
        <w:spacing w:line="480" w:lineRule="auto"/>
        <w:ind w:firstLine="720"/>
        <w:rPr>
          <w:b/>
          <w:smallCaps/>
        </w:rPr>
      </w:pPr>
      <w:r>
        <w:t xml:space="preserve">I hereby certify that a copy of the foregoing </w:t>
      </w:r>
      <w:r w:rsidRPr="002305FB">
        <w:rPr>
          <w:i/>
        </w:rPr>
        <w:t>Joint Movants’ Motion Seeking an Order Directing the Dayton Power and Light Company to Comply with the Standard Filing Requirements for an Electric Security Plan and Memorandum in Support and Memorandum Contra the Dayton Power and Light Company’s Requests for Waivers</w:t>
      </w:r>
      <w:r>
        <w:t xml:space="preserve"> was served upon the following parties of record this 22</w:t>
      </w:r>
      <w:r>
        <w:rPr>
          <w:vertAlign w:val="superscript"/>
        </w:rPr>
        <w:t>nd</w:t>
      </w:r>
      <w:r>
        <w:t xml:space="preserve"> day of October 2012, </w:t>
      </w:r>
      <w:r>
        <w:rPr>
          <w:i/>
        </w:rPr>
        <w:t>via</w:t>
      </w:r>
      <w:r>
        <w:t xml:space="preserve"> electronic transmission, hand-delivery or first class U.S. mail, postage prepaid.</w:t>
      </w:r>
    </w:p>
    <w:p w:rsidR="003B1035" w:rsidRPr="002305FB" w:rsidRDefault="00D77915">
      <w:pPr>
        <w:tabs>
          <w:tab w:val="left" w:pos="2160"/>
          <w:tab w:val="left" w:pos="2280"/>
        </w:tabs>
        <w:rPr>
          <w:u w:val="single"/>
        </w:rPr>
      </w:pPr>
      <w:r>
        <w:tab/>
      </w:r>
      <w:r>
        <w:tab/>
      </w:r>
      <w:r>
        <w:tab/>
      </w:r>
      <w:r>
        <w:tab/>
      </w:r>
      <w:r>
        <w:tab/>
      </w:r>
      <w:r>
        <w:tab/>
      </w:r>
      <w:r w:rsidR="002305FB" w:rsidRPr="002305FB">
        <w:rPr>
          <w:u w:val="single"/>
        </w:rPr>
        <w:t>/s/  Matthew R. Pritchard</w:t>
      </w:r>
      <w:r w:rsidR="002305FB" w:rsidRPr="002305FB">
        <w:rPr>
          <w:u w:val="single"/>
        </w:rPr>
        <w:tab/>
      </w:r>
      <w:r w:rsidRPr="002305FB">
        <w:rPr>
          <w:u w:val="single"/>
        </w:rPr>
        <w:tab/>
      </w:r>
      <w:r w:rsidRPr="002305FB">
        <w:rPr>
          <w:u w:val="single"/>
        </w:rPr>
        <w:tab/>
      </w:r>
    </w:p>
    <w:p w:rsidR="003B1035" w:rsidRDefault="00D77915">
      <w:pPr>
        <w:tabs>
          <w:tab w:val="left" w:pos="2160"/>
          <w:tab w:val="left" w:pos="2280"/>
        </w:tabs>
        <w:jc w:val="left"/>
        <w:rPr>
          <w:sz w:val="22"/>
        </w:rPr>
        <w:sectPr w:rsidR="003B1035">
          <w:pgSz w:w="12240" w:h="15840"/>
          <w:pgMar w:top="1440" w:right="1440" w:bottom="1440" w:left="1440" w:header="720" w:footer="720" w:gutter="0"/>
          <w:cols w:space="720"/>
          <w:docGrid w:linePitch="360"/>
        </w:sectPr>
      </w:pPr>
      <w:r>
        <w:rPr>
          <w:sz w:val="22"/>
        </w:rPr>
        <w:tab/>
      </w:r>
      <w:r>
        <w:rPr>
          <w:sz w:val="22"/>
        </w:rPr>
        <w:tab/>
      </w:r>
      <w:r>
        <w:rPr>
          <w:sz w:val="22"/>
        </w:rPr>
        <w:tab/>
      </w:r>
      <w:r>
        <w:rPr>
          <w:sz w:val="22"/>
        </w:rPr>
        <w:tab/>
      </w:r>
      <w:r>
        <w:rPr>
          <w:sz w:val="22"/>
        </w:rPr>
        <w:tab/>
      </w:r>
      <w:r>
        <w:rPr>
          <w:sz w:val="22"/>
        </w:rPr>
        <w:tab/>
        <w:t>Matthew R. Pritchard</w:t>
      </w:r>
    </w:p>
    <w:p w:rsidR="003B1035" w:rsidRDefault="003B1035">
      <w:pPr>
        <w:tabs>
          <w:tab w:val="left" w:pos="2160"/>
          <w:tab w:val="left" w:pos="2280"/>
        </w:tabs>
        <w:rPr>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Judi L. Sobecki</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The Dayton Power and Light Company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1065 Woodman Drive</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Dayton, OH  45432</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judi.sobecki@dplinc.com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Charles J. Faruki</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Jeffrey S. Sharkey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Faruki, Ireland and Cox PLL</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500 Courthouse Plaza, SW</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10 North Ludlow Street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Dayton, OH  45402</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cfaruki@ficlaw.com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jsharkey@ficlaw.com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b/>
          <w:color w:val="000000" w:themeColor="text1"/>
          <w:sz w:val="22"/>
        </w:rPr>
        <w:t>On Behalf of the Dayton Power and Light Company</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Matthew W. Warnock</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 Thomas Siwo</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Bricker &amp; Eckler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100 South Third Street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lmcalister@bricker.com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mwarnock@bricker.com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tsiwo@bricker.com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the OMA Energy Group</w:t>
      </w: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br w:type="column"/>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Mark A. Whitt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Andrew J. Campbell</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Whitt Sturtevant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PNC Plaza, Ste. 2020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155 East Broad St.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whitt@whitt-sturtevant.com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campbell@whitt-sturtevant.com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Vincent Parisi</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Matthew White</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Interstate Gas Supply, Inc.</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6100 Emerald Parkway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Dublin, OH  43016</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vparisi@igsenergy.com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mswhite@igsenergy.com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Interstate Gas Supply, Inc.</w:t>
      </w:r>
    </w:p>
    <w:p w:rsidR="003B1035" w:rsidRPr="005D1CA4" w:rsidRDefault="003B1035">
      <w:pPr>
        <w:tabs>
          <w:tab w:val="left" w:pos="2160"/>
          <w:tab w:val="left" w:pos="2280"/>
        </w:tabs>
        <w:jc w:val="left"/>
        <w:rPr>
          <w:b/>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Joseph P. Serio</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Melissa R. Yost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Office of the Ohio Consumers’ Counsel</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10 West Broad St., Ste. 1800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43215-3485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serio@occ.state.oh.us</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yost@occ.state.oh.us</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 xml:space="preserve">On Behalf of the Office of the </w:t>
      </w: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Ohio Consumers’ Counsel</w:t>
      </w:r>
    </w:p>
    <w:p w:rsidR="003B1035" w:rsidRPr="005D1CA4" w:rsidRDefault="003B1035">
      <w:pPr>
        <w:tabs>
          <w:tab w:val="left" w:pos="2160"/>
          <w:tab w:val="left" w:pos="2280"/>
        </w:tabs>
        <w:jc w:val="left"/>
        <w:rPr>
          <w:b/>
          <w:color w:val="000000" w:themeColor="text1"/>
          <w:sz w:val="22"/>
        </w:rPr>
      </w:pPr>
    </w:p>
    <w:p w:rsidR="003B1035" w:rsidRPr="005D1CA4" w:rsidRDefault="003B1035">
      <w:pPr>
        <w:tabs>
          <w:tab w:val="left" w:pos="2160"/>
          <w:tab w:val="left" w:pos="2280"/>
        </w:tabs>
        <w:jc w:val="left"/>
        <w:rPr>
          <w:b/>
          <w:color w:val="000000" w:themeColor="text1"/>
          <w:sz w:val="22"/>
        </w:rPr>
        <w:sectPr w:rsidR="003B1035" w:rsidRPr="005D1CA4">
          <w:type w:val="continuous"/>
          <w:pgSz w:w="12240" w:h="15840" w:code="1"/>
          <w:pgMar w:top="1440" w:right="1440" w:bottom="1440" w:left="1440" w:header="720" w:footer="720" w:gutter="0"/>
          <w:cols w:num="2" w:space="720"/>
          <w:titlePg/>
          <w:docGrid w:linePitch="360"/>
        </w:sect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lastRenderedPageBreak/>
        <w:t>Amy B. Spiller</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Jeanne W. Kingery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139 East Fourth Street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1303-Main</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Cincinnati, OH  45202</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Amy.spiller@duke-energy.com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Jeanne.kingery@duke-energy.com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Philip B. Sineneng</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Thompson Hine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41 S. High Street, Suite 1700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Philip.Sineneng@ThompsonHine.com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 xml:space="preserve">On Behalf of Duke Energy Retail </w:t>
      </w: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Sales, LLC and Duke Energy Commercial Asset Management, Inc.</w:t>
      </w:r>
    </w:p>
    <w:p w:rsidR="003B1035" w:rsidRPr="005D1CA4" w:rsidRDefault="003B1035">
      <w:pPr>
        <w:tabs>
          <w:tab w:val="left" w:pos="2160"/>
          <w:tab w:val="left" w:pos="2280"/>
        </w:tabs>
        <w:jc w:val="left"/>
        <w:rPr>
          <w:b/>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Robert A. McMahon</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Eberly McMahon, LLC</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2321 Kemper Lane, Ste. 100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Cincinnati, OH  45206</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bmcmahon@emh-law.com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Rocco D’Ascenzo</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Elizabeth Watts</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139 East Fourth Street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1303-Main</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Cincinnati, OH  45202</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Elizabeth.Watts@duke-energy.com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Rocco.D’Ascenzo@duke-energy.com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Duke Energy Ohio, Inc.</w:t>
      </w:r>
    </w:p>
    <w:p w:rsidR="003B1035" w:rsidRPr="005D1CA4" w:rsidRDefault="003B1035">
      <w:pPr>
        <w:tabs>
          <w:tab w:val="left" w:pos="2160"/>
          <w:tab w:val="left" w:pos="2280"/>
        </w:tabs>
        <w:jc w:val="left"/>
        <w:rPr>
          <w:b/>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David F. Boehm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Michael L. Kurtz</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Boehm, Kurtz &amp; Lowry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36 East 7</w:t>
      </w:r>
      <w:r w:rsidRPr="005D1CA4">
        <w:rPr>
          <w:color w:val="000000" w:themeColor="text1"/>
          <w:sz w:val="22"/>
          <w:vertAlign w:val="superscript"/>
        </w:rPr>
        <w:t>th</w:t>
      </w:r>
      <w:r w:rsidRPr="005D1CA4">
        <w:rPr>
          <w:color w:val="000000" w:themeColor="text1"/>
          <w:sz w:val="22"/>
        </w:rPr>
        <w:t xml:space="preserve"> Street, Ste. 1510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Cincinnati, OH  45202</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dboehm@BKLlawfirm.com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mkurtz@BKLlawfirm.com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Ohio Energy Group.</w:t>
      </w:r>
    </w:p>
    <w:p w:rsidR="003B1035" w:rsidRPr="005D1CA4" w:rsidRDefault="00D77915">
      <w:pPr>
        <w:tabs>
          <w:tab w:val="left" w:pos="2160"/>
          <w:tab w:val="left" w:pos="2280"/>
        </w:tabs>
        <w:jc w:val="left"/>
        <w:rPr>
          <w:b/>
          <w:color w:val="000000" w:themeColor="text1"/>
          <w:sz w:val="22"/>
        </w:rPr>
      </w:pPr>
      <w:r w:rsidRPr="005D1CA4">
        <w:rPr>
          <w:color w:val="000000" w:themeColor="text1"/>
          <w:sz w:val="22"/>
        </w:rPr>
        <w:t>M. Anthony Long</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Honda of America Mfg., Inc.</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24000 Honda Parkway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Marysville, OH  43040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tony_long@ham.honda.com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Honda of America</w:t>
      </w: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Manufacturing, Inc.</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lastRenderedPageBreak/>
        <w:t>Mark A. Hayden</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FirstEnergy Service Company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76 South Main Street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Akron, OH  44308</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haydenm@firstenergycorp.com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James F. Lang</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Laura C. McBride</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N. Trevor Alexander</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Calfee, Halter &amp; Grisswold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1400 KeyBank Center</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800 Superior Avenue</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Cleveland, OH  44114</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jlang@calfee.com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lmcbride@calfee.com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talexander@calfee.com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 xml:space="preserve">David A. </w:t>
      </w:r>
      <w:r w:rsidR="00663937" w:rsidRPr="005D1CA4">
        <w:rPr>
          <w:color w:val="000000" w:themeColor="text1"/>
          <w:sz w:val="22"/>
        </w:rPr>
        <w:t>Kutik</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Jones Day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North Point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901 Lakeside Avenue</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Cleveland, OH  44114</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dakutik@jonesday.com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Allison E. Haedt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Jones Day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325 John H. McConnell Blvd., Ste. 600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PO Box 165017</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43216-5017</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aehaedt@jonesday.com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FirstEnergy Solutions Corp.</w:t>
      </w:r>
    </w:p>
    <w:p w:rsidR="003B1035" w:rsidRPr="005D1CA4" w:rsidRDefault="003B1035">
      <w:pPr>
        <w:tabs>
          <w:tab w:val="left" w:pos="2160"/>
          <w:tab w:val="left" w:pos="2280"/>
        </w:tabs>
        <w:jc w:val="left"/>
        <w:rPr>
          <w:b/>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Jay E. Jadwin</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155 W. Nationwide Blvd., Ste. 500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jejadwin@aep.com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AEP Retail Energy Partners LLC</w:t>
      </w:r>
    </w:p>
    <w:p w:rsidR="003B1035" w:rsidRPr="005D1CA4" w:rsidRDefault="003B1035">
      <w:pPr>
        <w:tabs>
          <w:tab w:val="left" w:pos="2160"/>
          <w:tab w:val="left" w:pos="2280"/>
        </w:tabs>
        <w:jc w:val="left"/>
        <w:rPr>
          <w:b/>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color w:val="000000" w:themeColor="text1"/>
          <w:sz w:val="22"/>
        </w:rPr>
        <w:t>Cathryn N. Loucas</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Trent A. Dougherty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Ohio Environmental Council</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1207 Grandview Avenue, Ste. 201</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43215-3449</w:t>
      </w:r>
    </w:p>
    <w:p w:rsidR="003B1035" w:rsidRPr="005D1CA4" w:rsidRDefault="00D77915">
      <w:pPr>
        <w:jc w:val="left"/>
        <w:rPr>
          <w:color w:val="000000" w:themeColor="text1"/>
          <w:sz w:val="22"/>
        </w:rPr>
      </w:pPr>
      <w:r w:rsidRPr="005D1CA4">
        <w:rPr>
          <w:color w:val="000000" w:themeColor="text1"/>
          <w:sz w:val="22"/>
        </w:rPr>
        <w:t>trent@theoec.org</w:t>
      </w:r>
    </w:p>
    <w:p w:rsidR="003B1035" w:rsidRPr="005D1CA4" w:rsidRDefault="00D77915">
      <w:pPr>
        <w:jc w:val="left"/>
        <w:rPr>
          <w:color w:val="000000" w:themeColor="text1"/>
          <w:sz w:val="22"/>
        </w:rPr>
      </w:pPr>
      <w:r w:rsidRPr="005D1CA4">
        <w:rPr>
          <w:color w:val="000000" w:themeColor="text1"/>
          <w:sz w:val="22"/>
        </w:rPr>
        <w:t>cathy@theoec.org</w:t>
      </w:r>
    </w:p>
    <w:p w:rsidR="003B1035" w:rsidRPr="005D1CA4" w:rsidRDefault="003B1035">
      <w:pPr>
        <w:jc w:val="left"/>
        <w:rPr>
          <w:color w:val="000000" w:themeColor="text1"/>
          <w:sz w:val="22"/>
        </w:rPr>
      </w:pPr>
    </w:p>
    <w:p w:rsidR="003B1035" w:rsidRPr="005D1CA4" w:rsidRDefault="00D77915">
      <w:pPr>
        <w:jc w:val="left"/>
        <w:rPr>
          <w:b/>
          <w:color w:val="000000" w:themeColor="text1"/>
          <w:sz w:val="22"/>
        </w:rPr>
      </w:pPr>
      <w:r w:rsidRPr="005D1CA4">
        <w:rPr>
          <w:b/>
          <w:color w:val="000000" w:themeColor="text1"/>
          <w:sz w:val="22"/>
        </w:rPr>
        <w:t>On Behalf of the Ohio Environmental</w:t>
      </w:r>
    </w:p>
    <w:p w:rsidR="003B1035" w:rsidRPr="005D1CA4" w:rsidRDefault="00D77915">
      <w:pPr>
        <w:jc w:val="left"/>
        <w:rPr>
          <w:b/>
          <w:color w:val="000000" w:themeColor="text1"/>
          <w:sz w:val="22"/>
        </w:rPr>
      </w:pPr>
      <w:r w:rsidRPr="005D1CA4">
        <w:rPr>
          <w:b/>
          <w:color w:val="000000" w:themeColor="text1"/>
          <w:sz w:val="22"/>
        </w:rPr>
        <w:t xml:space="preserve">Council </w:t>
      </w:r>
    </w:p>
    <w:p w:rsidR="003B1035" w:rsidRPr="005D1CA4" w:rsidRDefault="00D77915">
      <w:pPr>
        <w:jc w:val="left"/>
        <w:rPr>
          <w:b/>
          <w:color w:val="000000" w:themeColor="text1"/>
          <w:sz w:val="22"/>
        </w:rPr>
      </w:pPr>
      <w:r w:rsidRPr="005D1CA4">
        <w:rPr>
          <w:color w:val="000000" w:themeColor="text1"/>
          <w:sz w:val="22"/>
        </w:rPr>
        <w:lastRenderedPageBreak/>
        <w:t>Richard L. Sites</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155 E. Broad Street, 15</w:t>
      </w:r>
      <w:r w:rsidRPr="005D1CA4">
        <w:rPr>
          <w:color w:val="000000" w:themeColor="text1"/>
          <w:sz w:val="22"/>
          <w:vertAlign w:val="superscript"/>
        </w:rPr>
        <w:t>th</w:t>
      </w:r>
      <w:r w:rsidRPr="005D1CA4">
        <w:rPr>
          <w:color w:val="000000" w:themeColor="text1"/>
          <w:sz w:val="22"/>
        </w:rPr>
        <w:t xml:space="preserve"> Flr.</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43215-3620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ricks@ohanet.org</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Thomas J. O’Brien</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Bricker &amp; Eckler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100 S. Third St.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43215-4291</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tobrien@bricker.com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Ohio Hospital Association</w:t>
      </w:r>
    </w:p>
    <w:p w:rsidR="003B1035" w:rsidRPr="005D1CA4" w:rsidRDefault="003B1035">
      <w:pPr>
        <w:tabs>
          <w:tab w:val="left" w:pos="2160"/>
          <w:tab w:val="left" w:pos="2280"/>
        </w:tabs>
        <w:jc w:val="left"/>
        <w:rPr>
          <w:b/>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Joseph M. Clark</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Direct Energy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6641 North High Street, Suite 200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Worthington, OH  43085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jmclark@directenergy.com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Christopher L. Miller</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Gregory H. Dunn</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Asim Z. Haque</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Alan G. Starkoff</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Ice Miller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250 West Street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christopher.miller@icemiller.com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gregory.dunn@icemiller.com</w:t>
      </w:r>
    </w:p>
    <w:p w:rsidR="003B1035" w:rsidRPr="005D1CA4" w:rsidRDefault="00D77915">
      <w:pPr>
        <w:tabs>
          <w:tab w:val="left" w:pos="2160"/>
          <w:tab w:val="left" w:pos="2280"/>
        </w:tabs>
        <w:jc w:val="left"/>
        <w:rPr>
          <w:rStyle w:val="Hyperlink"/>
          <w:color w:val="000000" w:themeColor="text1"/>
          <w:sz w:val="22"/>
          <w:u w:val="none"/>
        </w:rPr>
      </w:pPr>
      <w:r w:rsidRPr="005D1CA4">
        <w:rPr>
          <w:color w:val="000000" w:themeColor="text1"/>
          <w:sz w:val="22"/>
        </w:rPr>
        <w:t>asim.haque@icemiller.com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alan.starkoff@icemiller.com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Direct Energy Services, LLC and Direct Energy Business, LLC</w:t>
      </w:r>
    </w:p>
    <w:p w:rsidR="003B1035" w:rsidRPr="005D1CA4" w:rsidRDefault="003B1035">
      <w:pPr>
        <w:tabs>
          <w:tab w:val="left" w:pos="2160"/>
          <w:tab w:val="left" w:pos="2280"/>
        </w:tabs>
        <w:jc w:val="left"/>
        <w:rPr>
          <w:b/>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Matthew J. Satterwhite</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Steven T. Nourse</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American Electric Power Service Corp.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1 Riverside Plaza, 29</w:t>
      </w:r>
      <w:r w:rsidRPr="005D1CA4">
        <w:rPr>
          <w:color w:val="000000" w:themeColor="text1"/>
          <w:sz w:val="22"/>
          <w:vertAlign w:val="superscript"/>
        </w:rPr>
        <w:t>th</w:t>
      </w:r>
      <w:r w:rsidRPr="005D1CA4">
        <w:rPr>
          <w:color w:val="000000" w:themeColor="text1"/>
          <w:sz w:val="22"/>
        </w:rPr>
        <w:t xml:space="preserve"> Floor</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mjsatterwhite@aep.com</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stnourse@aep.com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the Ohio Power Company</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br w:type="column"/>
      </w:r>
      <w:r w:rsidRPr="005D1CA4">
        <w:rPr>
          <w:color w:val="000000" w:themeColor="text1"/>
          <w:sz w:val="22"/>
        </w:rPr>
        <w:lastRenderedPageBreak/>
        <w:t>M. Howard Petricoff</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Stephen M. Howard</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Vorys, Sater, Seymour &amp; Pease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52 East Gay Street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PO Box 1008</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mhpetricoff@vorys.com</w:t>
      </w:r>
    </w:p>
    <w:p w:rsidR="003B1035" w:rsidRPr="005D1CA4" w:rsidRDefault="00D77915">
      <w:pPr>
        <w:tabs>
          <w:tab w:val="left" w:pos="2160"/>
          <w:tab w:val="left" w:pos="2280"/>
        </w:tabs>
        <w:jc w:val="left"/>
        <w:rPr>
          <w:rStyle w:val="Hyperlink"/>
          <w:color w:val="000000" w:themeColor="text1"/>
          <w:sz w:val="22"/>
          <w:u w:val="none"/>
        </w:rPr>
      </w:pPr>
      <w:r w:rsidRPr="005D1CA4">
        <w:rPr>
          <w:color w:val="000000" w:themeColor="text1"/>
          <w:sz w:val="22"/>
        </w:rPr>
        <w:t>smhoward@vorys.com</w:t>
      </w:r>
    </w:p>
    <w:p w:rsidR="003B1035" w:rsidRPr="005D1CA4" w:rsidRDefault="003B1035">
      <w:pPr>
        <w:tabs>
          <w:tab w:val="left" w:pos="2160"/>
          <w:tab w:val="left" w:pos="2280"/>
        </w:tabs>
        <w:jc w:val="left"/>
        <w:rPr>
          <w:rStyle w:val="Hyperlink"/>
          <w:color w:val="000000" w:themeColor="text1"/>
          <w:sz w:val="22"/>
          <w:u w:val="none"/>
        </w:rPr>
      </w:pPr>
    </w:p>
    <w:p w:rsidR="003B1035" w:rsidRPr="005D1CA4" w:rsidRDefault="00D77915">
      <w:pPr>
        <w:tabs>
          <w:tab w:val="left" w:pos="2160"/>
          <w:tab w:val="left" w:pos="2280"/>
        </w:tabs>
        <w:jc w:val="left"/>
        <w:rPr>
          <w:rStyle w:val="Hyperlink"/>
          <w:color w:val="000000" w:themeColor="text1"/>
          <w:sz w:val="22"/>
          <w:u w:val="none"/>
        </w:rPr>
      </w:pPr>
      <w:r w:rsidRPr="005D1CA4">
        <w:rPr>
          <w:rStyle w:val="Hyperlink"/>
          <w:color w:val="000000" w:themeColor="text1"/>
          <w:sz w:val="22"/>
          <w:u w:val="none"/>
        </w:rPr>
        <w:t>Scott C. Solberg</w:t>
      </w:r>
    </w:p>
    <w:p w:rsidR="003B1035" w:rsidRPr="005D1CA4" w:rsidRDefault="00D77915">
      <w:pPr>
        <w:tabs>
          <w:tab w:val="left" w:pos="2160"/>
          <w:tab w:val="left" w:pos="2280"/>
        </w:tabs>
        <w:jc w:val="left"/>
        <w:rPr>
          <w:rStyle w:val="Hyperlink"/>
          <w:color w:val="000000" w:themeColor="text1"/>
          <w:sz w:val="22"/>
          <w:u w:val="none"/>
        </w:rPr>
      </w:pPr>
      <w:r w:rsidRPr="005D1CA4">
        <w:rPr>
          <w:rStyle w:val="Hyperlink"/>
          <w:color w:val="000000" w:themeColor="text1"/>
          <w:sz w:val="22"/>
          <w:u w:val="none"/>
        </w:rPr>
        <w:t>Eimer Stahl LLP</w:t>
      </w:r>
    </w:p>
    <w:p w:rsidR="003B1035" w:rsidRPr="005D1CA4" w:rsidRDefault="00D77915">
      <w:pPr>
        <w:tabs>
          <w:tab w:val="left" w:pos="2160"/>
          <w:tab w:val="left" w:pos="2280"/>
        </w:tabs>
        <w:jc w:val="left"/>
        <w:rPr>
          <w:rStyle w:val="Hyperlink"/>
          <w:color w:val="000000" w:themeColor="text1"/>
          <w:sz w:val="22"/>
          <w:u w:val="none"/>
        </w:rPr>
      </w:pPr>
      <w:r w:rsidRPr="005D1CA4">
        <w:rPr>
          <w:rStyle w:val="Hyperlink"/>
          <w:color w:val="000000" w:themeColor="text1"/>
          <w:sz w:val="22"/>
          <w:u w:val="none"/>
        </w:rPr>
        <w:t>224 S. Michigan Ave., Suite 1100</w:t>
      </w:r>
    </w:p>
    <w:p w:rsidR="003B1035" w:rsidRPr="005D1CA4" w:rsidRDefault="00D77915">
      <w:pPr>
        <w:tabs>
          <w:tab w:val="left" w:pos="2160"/>
          <w:tab w:val="left" w:pos="2280"/>
        </w:tabs>
        <w:jc w:val="left"/>
        <w:rPr>
          <w:rStyle w:val="Hyperlink"/>
          <w:color w:val="000000" w:themeColor="text1"/>
          <w:sz w:val="22"/>
          <w:u w:val="none"/>
        </w:rPr>
      </w:pPr>
      <w:r w:rsidRPr="005D1CA4">
        <w:rPr>
          <w:rStyle w:val="Hyperlink"/>
          <w:color w:val="000000" w:themeColor="text1"/>
          <w:sz w:val="22"/>
          <w:u w:val="none"/>
        </w:rPr>
        <w:t>Chicago, IL  60604</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ssolberg@EimerStahl.com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the Retail Energy Supply Association, Exelon Generation Company, LLC, Exelon Energy Company, Inc. Constellation Energy Commodities Group, Inc. and Constellation NewEnergy, Inc.</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Stephanie M. Chmiel</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Michael L. Dillard, Jr.</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Philip B. Sineneng</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Thompson Hine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41 South High Street, Ste. 1700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Stephanie.Chmiel@ThompsonHine.com</w:t>
      </w:r>
    </w:p>
    <w:p w:rsidR="003B1035" w:rsidRPr="005D1CA4" w:rsidRDefault="00D77915">
      <w:pPr>
        <w:tabs>
          <w:tab w:val="left" w:pos="2160"/>
          <w:tab w:val="left" w:pos="2280"/>
        </w:tabs>
        <w:jc w:val="left"/>
        <w:rPr>
          <w:rStyle w:val="Hyperlink"/>
          <w:color w:val="000000" w:themeColor="text1"/>
          <w:sz w:val="22"/>
          <w:u w:val="none"/>
        </w:rPr>
      </w:pPr>
      <w:r w:rsidRPr="005D1CA4">
        <w:rPr>
          <w:color w:val="000000" w:themeColor="text1"/>
          <w:sz w:val="22"/>
        </w:rPr>
        <w:t>Michael.Dillard@ThompsonHine.com</w:t>
      </w:r>
    </w:p>
    <w:p w:rsidR="003B1035" w:rsidRPr="005D1CA4" w:rsidRDefault="00D77915">
      <w:pPr>
        <w:tabs>
          <w:tab w:val="left" w:pos="2160"/>
          <w:tab w:val="left" w:pos="2280"/>
        </w:tabs>
        <w:jc w:val="left"/>
        <w:rPr>
          <w:color w:val="000000" w:themeColor="text1"/>
          <w:sz w:val="22"/>
        </w:rPr>
      </w:pPr>
      <w:r w:rsidRPr="005D1CA4">
        <w:rPr>
          <w:rStyle w:val="Hyperlink"/>
          <w:color w:val="000000" w:themeColor="text1"/>
          <w:sz w:val="22"/>
          <w:u w:val="none"/>
        </w:rPr>
        <w:t>Philip.sineneng@ThompsonHine.com</w:t>
      </w:r>
    </w:p>
    <w:p w:rsidR="003B1035" w:rsidRPr="005D1CA4" w:rsidRDefault="003B1035">
      <w:pPr>
        <w:tabs>
          <w:tab w:val="left" w:pos="2160"/>
          <w:tab w:val="left" w:pos="2280"/>
        </w:tabs>
        <w:jc w:val="left"/>
        <w:rPr>
          <w:color w:val="000000" w:themeColor="text1"/>
          <w:sz w:val="22"/>
        </w:rPr>
      </w:pPr>
    </w:p>
    <w:p w:rsidR="003B1035" w:rsidRPr="005D1CA4" w:rsidRDefault="00D77915">
      <w:pPr>
        <w:tabs>
          <w:tab w:val="left" w:pos="2160"/>
          <w:tab w:val="left" w:pos="2280"/>
        </w:tabs>
        <w:jc w:val="left"/>
        <w:rPr>
          <w:b/>
          <w:color w:val="000000" w:themeColor="text1"/>
          <w:sz w:val="22"/>
        </w:rPr>
      </w:pPr>
      <w:r w:rsidRPr="005D1CA4">
        <w:rPr>
          <w:b/>
          <w:color w:val="000000" w:themeColor="text1"/>
          <w:sz w:val="22"/>
        </w:rPr>
        <w:t>On Behalf of Border Energy Electric, Inc.</w:t>
      </w:r>
    </w:p>
    <w:p w:rsidR="003B1035" w:rsidRPr="005D1CA4" w:rsidRDefault="003B1035">
      <w:pPr>
        <w:tabs>
          <w:tab w:val="left" w:pos="2160"/>
          <w:tab w:val="left" w:pos="2280"/>
        </w:tabs>
        <w:jc w:val="left"/>
        <w:rPr>
          <w:b/>
          <w:color w:val="000000" w:themeColor="text1"/>
          <w:sz w:val="22"/>
        </w:rPr>
      </w:pPr>
    </w:p>
    <w:p w:rsidR="003B1035" w:rsidRPr="005D1CA4" w:rsidRDefault="00D77915">
      <w:pPr>
        <w:tabs>
          <w:tab w:val="left" w:pos="2160"/>
          <w:tab w:val="left" w:pos="2280"/>
        </w:tabs>
        <w:jc w:val="left"/>
        <w:rPr>
          <w:color w:val="000000" w:themeColor="text1"/>
          <w:sz w:val="22"/>
        </w:rPr>
      </w:pPr>
      <w:r w:rsidRPr="005D1CA4">
        <w:rPr>
          <w:color w:val="000000" w:themeColor="text1"/>
          <w:sz w:val="22"/>
        </w:rPr>
        <w:t>Kimberly W. Bojko</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Joel E. Sechler</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Carpenter Lipps &amp; Leland LLP</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280 Plaza, Suite 1300</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280 North High Street</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Columbus, OH  43215</w:t>
      </w:r>
    </w:p>
    <w:p w:rsidR="003B1035" w:rsidRPr="005D1CA4" w:rsidRDefault="00D77915">
      <w:pPr>
        <w:tabs>
          <w:tab w:val="left" w:pos="2160"/>
          <w:tab w:val="left" w:pos="2280"/>
        </w:tabs>
        <w:jc w:val="left"/>
        <w:rPr>
          <w:color w:val="000000" w:themeColor="text1"/>
          <w:sz w:val="22"/>
        </w:rPr>
      </w:pPr>
      <w:r w:rsidRPr="005D1CA4">
        <w:rPr>
          <w:color w:val="000000" w:themeColor="text1"/>
          <w:sz w:val="22"/>
        </w:rPr>
        <w:t>Bojko@carpenterlipps.com</w:t>
      </w:r>
    </w:p>
    <w:p w:rsidR="003B1035" w:rsidRDefault="00D77915">
      <w:pPr>
        <w:tabs>
          <w:tab w:val="left" w:pos="2160"/>
          <w:tab w:val="left" w:pos="2280"/>
        </w:tabs>
        <w:jc w:val="left"/>
        <w:rPr>
          <w:sz w:val="22"/>
        </w:rPr>
      </w:pPr>
      <w:r w:rsidRPr="005D1CA4">
        <w:rPr>
          <w:color w:val="000000" w:themeColor="text1"/>
          <w:sz w:val="22"/>
        </w:rPr>
        <w:t>sechler@</w:t>
      </w:r>
      <w:r w:rsidRPr="00491526">
        <w:rPr>
          <w:sz w:val="22"/>
        </w:rPr>
        <w:t>carpenterlipps.com</w:t>
      </w:r>
    </w:p>
    <w:p w:rsidR="003B1035" w:rsidRDefault="003B1035">
      <w:pPr>
        <w:tabs>
          <w:tab w:val="left" w:pos="2160"/>
          <w:tab w:val="left" w:pos="2280"/>
        </w:tabs>
        <w:jc w:val="left"/>
        <w:rPr>
          <w:sz w:val="22"/>
        </w:rPr>
      </w:pPr>
    </w:p>
    <w:p w:rsidR="003B1035" w:rsidRDefault="00D77915">
      <w:pPr>
        <w:tabs>
          <w:tab w:val="left" w:pos="2160"/>
          <w:tab w:val="left" w:pos="2280"/>
        </w:tabs>
        <w:jc w:val="left"/>
        <w:rPr>
          <w:b/>
          <w:sz w:val="22"/>
        </w:rPr>
      </w:pPr>
      <w:r>
        <w:rPr>
          <w:b/>
          <w:sz w:val="22"/>
        </w:rPr>
        <w:t>On Behalf of SolarVision, LLC</w:t>
      </w:r>
    </w:p>
    <w:p w:rsidR="003B1035" w:rsidRDefault="003B1035">
      <w:pPr>
        <w:tabs>
          <w:tab w:val="left" w:pos="2160"/>
          <w:tab w:val="left" w:pos="2280"/>
        </w:tabs>
        <w:jc w:val="left"/>
        <w:rPr>
          <w:b/>
          <w:sz w:val="22"/>
        </w:rPr>
      </w:pPr>
    </w:p>
    <w:p w:rsidR="003B1035" w:rsidRDefault="003B1035">
      <w:pPr>
        <w:tabs>
          <w:tab w:val="left" w:pos="2160"/>
          <w:tab w:val="left" w:pos="2280"/>
        </w:tabs>
        <w:jc w:val="left"/>
        <w:rPr>
          <w:sz w:val="22"/>
        </w:rPr>
        <w:sectPr w:rsidR="003B103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num="2" w:space="720"/>
          <w:docGrid w:linePitch="360"/>
        </w:sectPr>
      </w:pPr>
    </w:p>
    <w:p w:rsidR="003B1035" w:rsidRDefault="00D77915">
      <w:pPr>
        <w:tabs>
          <w:tab w:val="left" w:pos="2160"/>
          <w:tab w:val="left" w:pos="2280"/>
        </w:tabs>
        <w:jc w:val="left"/>
        <w:rPr>
          <w:sz w:val="22"/>
        </w:rPr>
      </w:pPr>
      <w:r>
        <w:rPr>
          <w:sz w:val="22"/>
        </w:rPr>
        <w:lastRenderedPageBreak/>
        <w:t>Mark S. Yurick</w:t>
      </w:r>
    </w:p>
    <w:p w:rsidR="003B1035" w:rsidRDefault="00D77915">
      <w:pPr>
        <w:tabs>
          <w:tab w:val="left" w:pos="2160"/>
          <w:tab w:val="left" w:pos="2280"/>
        </w:tabs>
        <w:jc w:val="left"/>
        <w:rPr>
          <w:sz w:val="22"/>
        </w:rPr>
      </w:pPr>
      <w:r>
        <w:rPr>
          <w:sz w:val="22"/>
        </w:rPr>
        <w:t>Zachary D. Kravitz</w:t>
      </w:r>
    </w:p>
    <w:p w:rsidR="003B1035" w:rsidRDefault="00D77915">
      <w:pPr>
        <w:tabs>
          <w:tab w:val="left" w:pos="2160"/>
          <w:tab w:val="left" w:pos="2280"/>
        </w:tabs>
        <w:jc w:val="left"/>
        <w:rPr>
          <w:sz w:val="22"/>
        </w:rPr>
      </w:pPr>
      <w:r>
        <w:rPr>
          <w:sz w:val="22"/>
        </w:rPr>
        <w:t>Taft, Stettinius &amp; Hollister LLP</w:t>
      </w:r>
    </w:p>
    <w:p w:rsidR="003B1035" w:rsidRDefault="00D77915">
      <w:pPr>
        <w:tabs>
          <w:tab w:val="left" w:pos="2160"/>
          <w:tab w:val="left" w:pos="2280"/>
        </w:tabs>
        <w:jc w:val="left"/>
        <w:rPr>
          <w:sz w:val="22"/>
        </w:rPr>
      </w:pPr>
      <w:r>
        <w:rPr>
          <w:sz w:val="22"/>
        </w:rPr>
        <w:t>65 East State Street, Ste. 1000</w:t>
      </w:r>
    </w:p>
    <w:p w:rsidR="003B1035" w:rsidRDefault="00D77915">
      <w:pPr>
        <w:tabs>
          <w:tab w:val="left" w:pos="2160"/>
          <w:tab w:val="left" w:pos="2280"/>
        </w:tabs>
        <w:jc w:val="left"/>
        <w:rPr>
          <w:sz w:val="22"/>
        </w:rPr>
      </w:pPr>
      <w:r>
        <w:rPr>
          <w:sz w:val="22"/>
        </w:rPr>
        <w:t>Columbus, OH  43215</w:t>
      </w:r>
    </w:p>
    <w:p w:rsidR="003B1035" w:rsidRDefault="00D77915">
      <w:pPr>
        <w:tabs>
          <w:tab w:val="left" w:pos="2160"/>
          <w:tab w:val="left" w:pos="2280"/>
        </w:tabs>
        <w:jc w:val="left"/>
        <w:rPr>
          <w:sz w:val="22"/>
        </w:rPr>
      </w:pPr>
      <w:r w:rsidRPr="00491526">
        <w:rPr>
          <w:sz w:val="22"/>
        </w:rPr>
        <w:t>myurick@taftlaw.com</w:t>
      </w:r>
    </w:p>
    <w:p w:rsidR="003B1035" w:rsidRDefault="00D77915">
      <w:pPr>
        <w:tabs>
          <w:tab w:val="left" w:pos="2160"/>
          <w:tab w:val="left" w:pos="2280"/>
        </w:tabs>
        <w:jc w:val="left"/>
        <w:rPr>
          <w:sz w:val="22"/>
        </w:rPr>
      </w:pPr>
      <w:r w:rsidRPr="00491526">
        <w:rPr>
          <w:sz w:val="22"/>
        </w:rPr>
        <w:t>zkravitz@taftlaw.com</w:t>
      </w:r>
    </w:p>
    <w:p w:rsidR="003B1035" w:rsidRDefault="003B1035">
      <w:pPr>
        <w:tabs>
          <w:tab w:val="left" w:pos="2160"/>
          <w:tab w:val="left" w:pos="2280"/>
        </w:tabs>
        <w:jc w:val="left"/>
        <w:rPr>
          <w:sz w:val="22"/>
        </w:rPr>
      </w:pPr>
    </w:p>
    <w:p w:rsidR="003B1035" w:rsidRDefault="00D77915">
      <w:pPr>
        <w:tabs>
          <w:tab w:val="left" w:pos="2160"/>
          <w:tab w:val="left" w:pos="2280"/>
        </w:tabs>
        <w:jc w:val="left"/>
        <w:rPr>
          <w:b/>
          <w:sz w:val="22"/>
        </w:rPr>
      </w:pPr>
      <w:r>
        <w:rPr>
          <w:b/>
          <w:sz w:val="22"/>
        </w:rPr>
        <w:t xml:space="preserve">On Behalf of </w:t>
      </w:r>
      <w:r w:rsidR="002A7839">
        <w:rPr>
          <w:b/>
          <w:sz w:val="22"/>
        </w:rPr>
        <w:t xml:space="preserve">The </w:t>
      </w:r>
      <w:r>
        <w:rPr>
          <w:b/>
          <w:sz w:val="22"/>
        </w:rPr>
        <w:t>Kroger Company</w:t>
      </w:r>
    </w:p>
    <w:p w:rsidR="003B1035" w:rsidRDefault="003B1035">
      <w:pPr>
        <w:tabs>
          <w:tab w:val="left" w:pos="2160"/>
          <w:tab w:val="left" w:pos="2280"/>
        </w:tabs>
        <w:jc w:val="left"/>
        <w:rPr>
          <w:sz w:val="22"/>
        </w:rPr>
      </w:pPr>
    </w:p>
    <w:p w:rsidR="003B1035" w:rsidRDefault="00D77915">
      <w:pPr>
        <w:tabs>
          <w:tab w:val="left" w:pos="2160"/>
          <w:tab w:val="left" w:pos="2280"/>
        </w:tabs>
        <w:jc w:val="left"/>
        <w:rPr>
          <w:sz w:val="22"/>
        </w:rPr>
      </w:pPr>
      <w:r>
        <w:rPr>
          <w:sz w:val="22"/>
        </w:rPr>
        <w:t>Matthew R. Cox</w:t>
      </w:r>
    </w:p>
    <w:p w:rsidR="003B1035" w:rsidRDefault="00D77915">
      <w:pPr>
        <w:tabs>
          <w:tab w:val="left" w:pos="2160"/>
          <w:tab w:val="left" w:pos="2280"/>
        </w:tabs>
        <w:jc w:val="left"/>
        <w:rPr>
          <w:sz w:val="22"/>
        </w:rPr>
      </w:pPr>
      <w:r>
        <w:rPr>
          <w:sz w:val="22"/>
        </w:rPr>
        <w:t>Matthew Cox Law, Ltd.</w:t>
      </w:r>
    </w:p>
    <w:p w:rsidR="003B1035" w:rsidRDefault="00D77915">
      <w:pPr>
        <w:tabs>
          <w:tab w:val="left" w:pos="2160"/>
          <w:tab w:val="left" w:pos="2280"/>
        </w:tabs>
        <w:jc w:val="left"/>
        <w:rPr>
          <w:sz w:val="22"/>
        </w:rPr>
      </w:pPr>
      <w:r>
        <w:rPr>
          <w:sz w:val="22"/>
        </w:rPr>
        <w:t>4145 St. Theresa Blvd.</w:t>
      </w:r>
    </w:p>
    <w:p w:rsidR="003B1035" w:rsidRDefault="00D77915">
      <w:pPr>
        <w:tabs>
          <w:tab w:val="left" w:pos="2160"/>
          <w:tab w:val="left" w:pos="2280"/>
        </w:tabs>
        <w:jc w:val="left"/>
        <w:rPr>
          <w:sz w:val="22"/>
        </w:rPr>
      </w:pPr>
      <w:r>
        <w:rPr>
          <w:sz w:val="22"/>
        </w:rPr>
        <w:t>Avon, OH  44011</w:t>
      </w:r>
    </w:p>
    <w:p w:rsidR="003B1035" w:rsidRDefault="00D77915">
      <w:pPr>
        <w:tabs>
          <w:tab w:val="left" w:pos="2160"/>
          <w:tab w:val="left" w:pos="2280"/>
        </w:tabs>
        <w:jc w:val="left"/>
        <w:rPr>
          <w:rStyle w:val="Hyperlink"/>
          <w:sz w:val="22"/>
        </w:rPr>
      </w:pPr>
      <w:r w:rsidRPr="00491526">
        <w:rPr>
          <w:sz w:val="22"/>
        </w:rPr>
        <w:t>matt@matthewcoxlaw.com</w:t>
      </w:r>
    </w:p>
    <w:p w:rsidR="003B1035" w:rsidRDefault="003B1035">
      <w:pPr>
        <w:tabs>
          <w:tab w:val="left" w:pos="2160"/>
          <w:tab w:val="left" w:pos="2280"/>
        </w:tabs>
        <w:jc w:val="left"/>
        <w:rPr>
          <w:sz w:val="22"/>
        </w:rPr>
      </w:pPr>
    </w:p>
    <w:p w:rsidR="003B1035" w:rsidRDefault="00D77915">
      <w:pPr>
        <w:tabs>
          <w:tab w:val="left" w:pos="2160"/>
          <w:tab w:val="left" w:pos="2280"/>
        </w:tabs>
        <w:jc w:val="left"/>
        <w:rPr>
          <w:b/>
          <w:sz w:val="22"/>
        </w:rPr>
      </w:pPr>
      <w:r>
        <w:rPr>
          <w:b/>
          <w:sz w:val="22"/>
        </w:rPr>
        <w:t>On Behalf of the Council of Smaller Enterprises</w:t>
      </w:r>
    </w:p>
    <w:p w:rsidR="003B1035" w:rsidRDefault="003B1035">
      <w:pPr>
        <w:tabs>
          <w:tab w:val="left" w:pos="2160"/>
          <w:tab w:val="left" w:pos="2280"/>
        </w:tabs>
        <w:jc w:val="left"/>
        <w:rPr>
          <w:sz w:val="22"/>
        </w:rPr>
      </w:pPr>
    </w:p>
    <w:p w:rsidR="003B1035" w:rsidRDefault="00D77915">
      <w:pPr>
        <w:tabs>
          <w:tab w:val="left" w:pos="2160"/>
          <w:tab w:val="left" w:pos="2280"/>
        </w:tabs>
        <w:jc w:val="left"/>
        <w:rPr>
          <w:sz w:val="22"/>
        </w:rPr>
      </w:pPr>
      <w:r>
        <w:rPr>
          <w:sz w:val="22"/>
        </w:rPr>
        <w:t>Colleen L. Mooney</w:t>
      </w:r>
    </w:p>
    <w:p w:rsidR="003B1035" w:rsidRDefault="00D77915">
      <w:pPr>
        <w:tabs>
          <w:tab w:val="left" w:pos="2160"/>
          <w:tab w:val="left" w:pos="2280"/>
        </w:tabs>
        <w:jc w:val="left"/>
        <w:rPr>
          <w:sz w:val="22"/>
        </w:rPr>
      </w:pPr>
      <w:r>
        <w:rPr>
          <w:sz w:val="22"/>
        </w:rPr>
        <w:t>Ohio Partners for Affordable Energy</w:t>
      </w:r>
    </w:p>
    <w:p w:rsidR="003B1035" w:rsidRDefault="00D77915">
      <w:pPr>
        <w:tabs>
          <w:tab w:val="left" w:pos="2160"/>
          <w:tab w:val="left" w:pos="2280"/>
        </w:tabs>
        <w:jc w:val="left"/>
        <w:rPr>
          <w:sz w:val="22"/>
        </w:rPr>
      </w:pPr>
      <w:r>
        <w:rPr>
          <w:sz w:val="22"/>
        </w:rPr>
        <w:t>231 West Lima Street</w:t>
      </w:r>
    </w:p>
    <w:p w:rsidR="003B1035" w:rsidRDefault="00D77915">
      <w:pPr>
        <w:tabs>
          <w:tab w:val="left" w:pos="2160"/>
          <w:tab w:val="left" w:pos="2280"/>
        </w:tabs>
        <w:jc w:val="left"/>
        <w:rPr>
          <w:sz w:val="22"/>
        </w:rPr>
      </w:pPr>
      <w:r>
        <w:rPr>
          <w:sz w:val="22"/>
        </w:rPr>
        <w:t>P.O. Box 1793</w:t>
      </w:r>
    </w:p>
    <w:p w:rsidR="003B1035" w:rsidRDefault="00D77915">
      <w:pPr>
        <w:tabs>
          <w:tab w:val="left" w:pos="2160"/>
          <w:tab w:val="left" w:pos="2280"/>
        </w:tabs>
        <w:jc w:val="left"/>
        <w:rPr>
          <w:sz w:val="22"/>
        </w:rPr>
      </w:pPr>
      <w:r>
        <w:rPr>
          <w:sz w:val="22"/>
        </w:rPr>
        <w:t>Findlay, OH  45839-1793</w:t>
      </w:r>
    </w:p>
    <w:p w:rsidR="003B1035" w:rsidRDefault="00D77915">
      <w:pPr>
        <w:tabs>
          <w:tab w:val="left" w:pos="2160"/>
          <w:tab w:val="left" w:pos="2280"/>
        </w:tabs>
        <w:jc w:val="left"/>
        <w:rPr>
          <w:sz w:val="22"/>
        </w:rPr>
      </w:pPr>
      <w:r w:rsidRPr="00491526">
        <w:rPr>
          <w:sz w:val="22"/>
        </w:rPr>
        <w:t>cmooney2@columbus.rr.com</w:t>
      </w:r>
    </w:p>
    <w:p w:rsidR="003B1035" w:rsidRDefault="003B1035">
      <w:pPr>
        <w:tabs>
          <w:tab w:val="left" w:pos="2160"/>
          <w:tab w:val="left" w:pos="2280"/>
        </w:tabs>
        <w:jc w:val="left"/>
        <w:rPr>
          <w:sz w:val="22"/>
        </w:rPr>
      </w:pPr>
    </w:p>
    <w:p w:rsidR="003B1035" w:rsidRDefault="00D77915">
      <w:pPr>
        <w:tabs>
          <w:tab w:val="left" w:pos="2160"/>
          <w:tab w:val="left" w:pos="2280"/>
        </w:tabs>
        <w:jc w:val="left"/>
        <w:rPr>
          <w:b/>
          <w:sz w:val="22"/>
        </w:rPr>
      </w:pPr>
      <w:r>
        <w:rPr>
          <w:b/>
          <w:sz w:val="22"/>
        </w:rPr>
        <w:t>On Behalf of Ohio Partners for Affordable Energy</w:t>
      </w:r>
    </w:p>
    <w:p w:rsidR="003B1035" w:rsidRDefault="003B1035">
      <w:pPr>
        <w:tabs>
          <w:tab w:val="left" w:pos="2160"/>
          <w:tab w:val="left" w:pos="2280"/>
        </w:tabs>
        <w:jc w:val="left"/>
        <w:rPr>
          <w:sz w:val="22"/>
        </w:rPr>
      </w:pPr>
    </w:p>
    <w:p w:rsidR="003B1035" w:rsidRDefault="00D77915">
      <w:pPr>
        <w:tabs>
          <w:tab w:val="left" w:pos="2160"/>
          <w:tab w:val="left" w:pos="2280"/>
        </w:tabs>
        <w:jc w:val="left"/>
        <w:rPr>
          <w:sz w:val="22"/>
        </w:rPr>
      </w:pPr>
      <w:r>
        <w:rPr>
          <w:sz w:val="22"/>
        </w:rPr>
        <w:t>Gregory J. Poulos</w:t>
      </w:r>
    </w:p>
    <w:p w:rsidR="003B1035" w:rsidRDefault="00D77915">
      <w:pPr>
        <w:tabs>
          <w:tab w:val="left" w:pos="2160"/>
          <w:tab w:val="left" w:pos="2280"/>
        </w:tabs>
        <w:jc w:val="left"/>
        <w:rPr>
          <w:sz w:val="22"/>
        </w:rPr>
      </w:pPr>
      <w:r>
        <w:rPr>
          <w:sz w:val="22"/>
        </w:rPr>
        <w:t>EnerNoc, Inc.</w:t>
      </w:r>
    </w:p>
    <w:p w:rsidR="003B1035" w:rsidRDefault="00D77915">
      <w:pPr>
        <w:tabs>
          <w:tab w:val="left" w:pos="2160"/>
          <w:tab w:val="left" w:pos="2280"/>
        </w:tabs>
        <w:jc w:val="left"/>
        <w:rPr>
          <w:sz w:val="22"/>
        </w:rPr>
      </w:pPr>
      <w:r>
        <w:rPr>
          <w:sz w:val="22"/>
        </w:rPr>
        <w:t>471 E. Broad Street</w:t>
      </w:r>
    </w:p>
    <w:p w:rsidR="003B1035" w:rsidRDefault="00D77915">
      <w:pPr>
        <w:tabs>
          <w:tab w:val="left" w:pos="2160"/>
          <w:tab w:val="left" w:pos="2280"/>
        </w:tabs>
        <w:jc w:val="left"/>
        <w:rPr>
          <w:sz w:val="22"/>
        </w:rPr>
      </w:pPr>
      <w:r>
        <w:rPr>
          <w:sz w:val="22"/>
        </w:rPr>
        <w:t>Columbus, OH  43215</w:t>
      </w:r>
    </w:p>
    <w:p w:rsidR="003B1035" w:rsidRDefault="00D77915">
      <w:pPr>
        <w:tabs>
          <w:tab w:val="left" w:pos="2160"/>
          <w:tab w:val="left" w:pos="2280"/>
        </w:tabs>
        <w:jc w:val="left"/>
        <w:rPr>
          <w:sz w:val="22"/>
        </w:rPr>
      </w:pPr>
      <w:r w:rsidRPr="00491526">
        <w:rPr>
          <w:sz w:val="22"/>
        </w:rPr>
        <w:t>gpoulos@enernoc.com</w:t>
      </w:r>
    </w:p>
    <w:p w:rsidR="003B1035" w:rsidRDefault="003B1035">
      <w:pPr>
        <w:tabs>
          <w:tab w:val="left" w:pos="2160"/>
          <w:tab w:val="left" w:pos="2280"/>
        </w:tabs>
        <w:jc w:val="left"/>
        <w:rPr>
          <w:sz w:val="22"/>
        </w:rPr>
      </w:pPr>
    </w:p>
    <w:p w:rsidR="003B1035" w:rsidRDefault="00D77915">
      <w:pPr>
        <w:tabs>
          <w:tab w:val="left" w:pos="2160"/>
          <w:tab w:val="left" w:pos="2280"/>
        </w:tabs>
        <w:jc w:val="left"/>
        <w:rPr>
          <w:b/>
          <w:sz w:val="22"/>
        </w:rPr>
      </w:pPr>
      <w:r>
        <w:rPr>
          <w:b/>
          <w:sz w:val="22"/>
        </w:rPr>
        <w:t>On Behalf of EnerNOC, Inc.</w:t>
      </w:r>
    </w:p>
    <w:p w:rsidR="003B1035" w:rsidRDefault="003B1035">
      <w:pPr>
        <w:tabs>
          <w:tab w:val="left" w:pos="2160"/>
          <w:tab w:val="left" w:pos="2280"/>
        </w:tabs>
        <w:jc w:val="left"/>
        <w:rPr>
          <w:sz w:val="22"/>
        </w:rPr>
      </w:pPr>
    </w:p>
    <w:p w:rsidR="003B1035" w:rsidRDefault="00D77915">
      <w:pPr>
        <w:tabs>
          <w:tab w:val="left" w:pos="2160"/>
          <w:tab w:val="left" w:pos="2280"/>
        </w:tabs>
        <w:jc w:val="left"/>
        <w:rPr>
          <w:sz w:val="22"/>
        </w:rPr>
      </w:pPr>
      <w:r>
        <w:rPr>
          <w:sz w:val="22"/>
        </w:rPr>
        <w:t>Steven M. Sherman</w:t>
      </w:r>
    </w:p>
    <w:p w:rsidR="003B1035" w:rsidRDefault="00D77915">
      <w:pPr>
        <w:tabs>
          <w:tab w:val="left" w:pos="2160"/>
          <w:tab w:val="left" w:pos="2280"/>
        </w:tabs>
        <w:jc w:val="left"/>
        <w:rPr>
          <w:sz w:val="22"/>
        </w:rPr>
      </w:pPr>
      <w:r>
        <w:rPr>
          <w:sz w:val="22"/>
        </w:rPr>
        <w:t>Joshua D. Hague</w:t>
      </w:r>
    </w:p>
    <w:p w:rsidR="003B1035" w:rsidRDefault="00D77915">
      <w:pPr>
        <w:tabs>
          <w:tab w:val="left" w:pos="2160"/>
          <w:tab w:val="left" w:pos="2280"/>
        </w:tabs>
        <w:jc w:val="left"/>
        <w:rPr>
          <w:sz w:val="22"/>
        </w:rPr>
      </w:pPr>
      <w:r>
        <w:rPr>
          <w:sz w:val="22"/>
        </w:rPr>
        <w:t>Grant E. Chapman</w:t>
      </w:r>
    </w:p>
    <w:p w:rsidR="003B1035" w:rsidRDefault="00D77915">
      <w:pPr>
        <w:tabs>
          <w:tab w:val="left" w:pos="2160"/>
          <w:tab w:val="left" w:pos="2280"/>
        </w:tabs>
        <w:jc w:val="left"/>
        <w:rPr>
          <w:sz w:val="22"/>
        </w:rPr>
      </w:pPr>
      <w:r>
        <w:rPr>
          <w:sz w:val="22"/>
        </w:rPr>
        <w:t>Krieg DeVault, LLP</w:t>
      </w:r>
    </w:p>
    <w:p w:rsidR="003B1035" w:rsidRDefault="00D77915">
      <w:pPr>
        <w:tabs>
          <w:tab w:val="left" w:pos="2160"/>
          <w:tab w:val="left" w:pos="2280"/>
        </w:tabs>
        <w:jc w:val="left"/>
        <w:rPr>
          <w:sz w:val="22"/>
        </w:rPr>
      </w:pPr>
      <w:r>
        <w:rPr>
          <w:sz w:val="22"/>
        </w:rPr>
        <w:t>One Indiana Square, Suite 2800</w:t>
      </w:r>
    </w:p>
    <w:p w:rsidR="003B1035" w:rsidRDefault="00D77915">
      <w:pPr>
        <w:tabs>
          <w:tab w:val="left" w:pos="2160"/>
          <w:tab w:val="left" w:pos="2280"/>
        </w:tabs>
        <w:jc w:val="left"/>
        <w:rPr>
          <w:sz w:val="22"/>
        </w:rPr>
      </w:pPr>
      <w:r>
        <w:rPr>
          <w:sz w:val="22"/>
        </w:rPr>
        <w:t>Indianapolis, Indiana  46204-2079</w:t>
      </w:r>
    </w:p>
    <w:p w:rsidR="003B1035" w:rsidRDefault="00D77915">
      <w:pPr>
        <w:tabs>
          <w:tab w:val="left" w:pos="2160"/>
          <w:tab w:val="left" w:pos="2280"/>
        </w:tabs>
        <w:jc w:val="left"/>
        <w:rPr>
          <w:sz w:val="22"/>
        </w:rPr>
      </w:pPr>
      <w:r w:rsidRPr="00491526">
        <w:rPr>
          <w:sz w:val="22"/>
        </w:rPr>
        <w:t>ssherman@kdlegal.com</w:t>
      </w:r>
    </w:p>
    <w:p w:rsidR="003B1035" w:rsidRDefault="00D77915">
      <w:pPr>
        <w:tabs>
          <w:tab w:val="left" w:pos="2160"/>
          <w:tab w:val="left" w:pos="2280"/>
        </w:tabs>
        <w:jc w:val="left"/>
        <w:rPr>
          <w:sz w:val="22"/>
        </w:rPr>
      </w:pPr>
      <w:r w:rsidRPr="00491526">
        <w:rPr>
          <w:sz w:val="22"/>
        </w:rPr>
        <w:t>jhague@kdlegal.com</w:t>
      </w:r>
    </w:p>
    <w:p w:rsidR="003B1035" w:rsidRDefault="00D77915">
      <w:pPr>
        <w:tabs>
          <w:tab w:val="left" w:pos="2160"/>
          <w:tab w:val="left" w:pos="2280"/>
        </w:tabs>
        <w:jc w:val="left"/>
        <w:rPr>
          <w:sz w:val="22"/>
        </w:rPr>
      </w:pPr>
      <w:r w:rsidRPr="00491526">
        <w:rPr>
          <w:sz w:val="22"/>
        </w:rPr>
        <w:t>gchapman@kdlegal.com</w:t>
      </w:r>
    </w:p>
    <w:p w:rsidR="003B1035" w:rsidRDefault="003B1035">
      <w:pPr>
        <w:tabs>
          <w:tab w:val="left" w:pos="2160"/>
          <w:tab w:val="left" w:pos="2280"/>
        </w:tabs>
        <w:jc w:val="left"/>
        <w:rPr>
          <w:sz w:val="22"/>
        </w:rPr>
      </w:pPr>
    </w:p>
    <w:p w:rsidR="003B1035" w:rsidRDefault="00D77915">
      <w:pPr>
        <w:tabs>
          <w:tab w:val="left" w:pos="2160"/>
          <w:tab w:val="left" w:pos="2280"/>
        </w:tabs>
        <w:jc w:val="left"/>
        <w:rPr>
          <w:b/>
          <w:sz w:val="22"/>
        </w:rPr>
      </w:pPr>
      <w:r>
        <w:rPr>
          <w:b/>
          <w:sz w:val="22"/>
        </w:rPr>
        <w:t>On Behalf of Wal-Mart Stores East, LP and Sam’s East, Inc.</w:t>
      </w:r>
    </w:p>
    <w:p w:rsidR="003B1035" w:rsidRDefault="003B1035">
      <w:pPr>
        <w:tabs>
          <w:tab w:val="left" w:pos="2160"/>
          <w:tab w:val="left" w:pos="2280"/>
        </w:tabs>
        <w:jc w:val="left"/>
        <w:rPr>
          <w:sz w:val="22"/>
        </w:rPr>
      </w:pPr>
    </w:p>
    <w:p w:rsidR="003B1035" w:rsidRDefault="00D77915">
      <w:pPr>
        <w:tabs>
          <w:tab w:val="left" w:pos="2160"/>
          <w:tab w:val="left" w:pos="2280"/>
        </w:tabs>
        <w:jc w:val="left"/>
        <w:rPr>
          <w:sz w:val="22"/>
        </w:rPr>
      </w:pPr>
      <w:r>
        <w:rPr>
          <w:sz w:val="22"/>
        </w:rPr>
        <w:br w:type="column"/>
      </w:r>
      <w:r>
        <w:rPr>
          <w:sz w:val="22"/>
        </w:rPr>
        <w:lastRenderedPageBreak/>
        <w:t>Ellis Jacobs</w:t>
      </w:r>
    </w:p>
    <w:p w:rsidR="003B1035" w:rsidRDefault="00D77915">
      <w:pPr>
        <w:tabs>
          <w:tab w:val="left" w:pos="2160"/>
          <w:tab w:val="left" w:pos="2280"/>
        </w:tabs>
        <w:jc w:val="left"/>
        <w:rPr>
          <w:sz w:val="22"/>
        </w:rPr>
      </w:pPr>
      <w:r>
        <w:rPr>
          <w:sz w:val="22"/>
        </w:rPr>
        <w:t>Advocates for Basic Legal Equality, Inc.</w:t>
      </w:r>
    </w:p>
    <w:p w:rsidR="003B1035" w:rsidRDefault="00D77915">
      <w:pPr>
        <w:tabs>
          <w:tab w:val="left" w:pos="2160"/>
          <w:tab w:val="left" w:pos="2280"/>
        </w:tabs>
        <w:jc w:val="left"/>
        <w:rPr>
          <w:sz w:val="22"/>
        </w:rPr>
      </w:pPr>
      <w:r>
        <w:rPr>
          <w:sz w:val="22"/>
        </w:rPr>
        <w:t>333 W. First Street, Suite 500B</w:t>
      </w:r>
    </w:p>
    <w:p w:rsidR="003B1035" w:rsidRDefault="00D77915">
      <w:pPr>
        <w:tabs>
          <w:tab w:val="left" w:pos="2160"/>
          <w:tab w:val="left" w:pos="2280"/>
        </w:tabs>
        <w:jc w:val="left"/>
        <w:rPr>
          <w:sz w:val="22"/>
        </w:rPr>
      </w:pPr>
      <w:r>
        <w:rPr>
          <w:sz w:val="22"/>
        </w:rPr>
        <w:t>Dayton, OH  45402</w:t>
      </w:r>
    </w:p>
    <w:p w:rsidR="003B1035" w:rsidRDefault="00D77915">
      <w:pPr>
        <w:tabs>
          <w:tab w:val="left" w:pos="2160"/>
          <w:tab w:val="left" w:pos="2280"/>
        </w:tabs>
        <w:jc w:val="left"/>
        <w:rPr>
          <w:sz w:val="22"/>
        </w:rPr>
      </w:pPr>
      <w:r w:rsidRPr="00491526">
        <w:rPr>
          <w:sz w:val="22"/>
        </w:rPr>
        <w:t>ejacobs@ablelaw.org</w:t>
      </w:r>
      <w:r>
        <w:rPr>
          <w:sz w:val="22"/>
        </w:rPr>
        <w:t>.</w:t>
      </w:r>
    </w:p>
    <w:p w:rsidR="003B1035" w:rsidRDefault="003B1035">
      <w:pPr>
        <w:tabs>
          <w:tab w:val="left" w:pos="2160"/>
          <w:tab w:val="left" w:pos="2280"/>
        </w:tabs>
        <w:jc w:val="left"/>
        <w:rPr>
          <w:sz w:val="22"/>
        </w:rPr>
      </w:pPr>
    </w:p>
    <w:p w:rsidR="003B1035" w:rsidRDefault="00D77915">
      <w:pPr>
        <w:tabs>
          <w:tab w:val="left" w:pos="2160"/>
          <w:tab w:val="left" w:pos="2280"/>
        </w:tabs>
        <w:jc w:val="left"/>
        <w:rPr>
          <w:b/>
          <w:sz w:val="22"/>
        </w:rPr>
      </w:pPr>
      <w:r>
        <w:rPr>
          <w:b/>
          <w:sz w:val="22"/>
        </w:rPr>
        <w:t>On Behalf of Edgemont Neighborhood Coalition</w:t>
      </w:r>
    </w:p>
    <w:p w:rsidR="003B1035" w:rsidRDefault="003B1035">
      <w:pPr>
        <w:tabs>
          <w:tab w:val="left" w:pos="2160"/>
          <w:tab w:val="left" w:pos="2280"/>
        </w:tabs>
        <w:jc w:val="left"/>
        <w:rPr>
          <w:sz w:val="22"/>
        </w:rPr>
      </w:pPr>
    </w:p>
    <w:p w:rsidR="003B1035" w:rsidRDefault="00D77915">
      <w:pPr>
        <w:tabs>
          <w:tab w:val="left" w:pos="2160"/>
          <w:tab w:val="left" w:pos="2280"/>
        </w:tabs>
        <w:jc w:val="left"/>
        <w:rPr>
          <w:sz w:val="22"/>
        </w:rPr>
      </w:pPr>
      <w:r>
        <w:rPr>
          <w:sz w:val="22"/>
        </w:rPr>
        <w:t>Thomas McNamee</w:t>
      </w:r>
    </w:p>
    <w:p w:rsidR="003B1035" w:rsidRDefault="00D77915">
      <w:pPr>
        <w:tabs>
          <w:tab w:val="left" w:pos="2160"/>
          <w:tab w:val="left" w:pos="2280"/>
        </w:tabs>
        <w:jc w:val="left"/>
        <w:rPr>
          <w:sz w:val="22"/>
        </w:rPr>
      </w:pPr>
      <w:r>
        <w:rPr>
          <w:sz w:val="22"/>
        </w:rPr>
        <w:t>Devin Parram</w:t>
      </w:r>
    </w:p>
    <w:p w:rsidR="003B1035" w:rsidRDefault="00D77915">
      <w:pPr>
        <w:tabs>
          <w:tab w:val="left" w:pos="2160"/>
          <w:tab w:val="left" w:pos="2280"/>
        </w:tabs>
        <w:jc w:val="left"/>
        <w:rPr>
          <w:sz w:val="22"/>
        </w:rPr>
      </w:pPr>
      <w:r>
        <w:rPr>
          <w:sz w:val="22"/>
        </w:rPr>
        <w:t>Assistant Attorney’s General</w:t>
      </w:r>
    </w:p>
    <w:p w:rsidR="003B1035" w:rsidRDefault="00D77915">
      <w:pPr>
        <w:tabs>
          <w:tab w:val="left" w:pos="2160"/>
          <w:tab w:val="left" w:pos="2280"/>
        </w:tabs>
        <w:jc w:val="left"/>
        <w:rPr>
          <w:sz w:val="22"/>
        </w:rPr>
      </w:pPr>
      <w:r>
        <w:rPr>
          <w:sz w:val="22"/>
        </w:rPr>
        <w:t>Attorney General’s Office</w:t>
      </w:r>
    </w:p>
    <w:p w:rsidR="003B1035" w:rsidRDefault="00D77915">
      <w:pPr>
        <w:tabs>
          <w:tab w:val="left" w:pos="2160"/>
          <w:tab w:val="left" w:pos="2280"/>
        </w:tabs>
        <w:jc w:val="left"/>
        <w:rPr>
          <w:sz w:val="22"/>
        </w:rPr>
      </w:pPr>
      <w:r>
        <w:rPr>
          <w:sz w:val="22"/>
        </w:rPr>
        <w:t>180 East Broad Street</w:t>
      </w:r>
    </w:p>
    <w:p w:rsidR="003B1035" w:rsidRDefault="00D77915">
      <w:pPr>
        <w:tabs>
          <w:tab w:val="left" w:pos="2160"/>
          <w:tab w:val="left" w:pos="2280"/>
        </w:tabs>
        <w:jc w:val="left"/>
        <w:rPr>
          <w:sz w:val="22"/>
        </w:rPr>
      </w:pPr>
      <w:r>
        <w:rPr>
          <w:sz w:val="22"/>
        </w:rPr>
        <w:t>Columbus, OH  43215</w:t>
      </w:r>
    </w:p>
    <w:p w:rsidR="003B1035" w:rsidRDefault="00D77915">
      <w:pPr>
        <w:tabs>
          <w:tab w:val="left" w:pos="2160"/>
          <w:tab w:val="left" w:pos="2280"/>
        </w:tabs>
        <w:jc w:val="left"/>
        <w:rPr>
          <w:sz w:val="22"/>
        </w:rPr>
      </w:pPr>
      <w:r w:rsidRPr="00491526">
        <w:rPr>
          <w:sz w:val="22"/>
        </w:rPr>
        <w:t>Thomas.mcnamee@puc.state.oh.us</w:t>
      </w:r>
    </w:p>
    <w:p w:rsidR="003B1035" w:rsidRDefault="00D77915">
      <w:pPr>
        <w:tabs>
          <w:tab w:val="left" w:pos="2160"/>
          <w:tab w:val="left" w:pos="2280"/>
        </w:tabs>
        <w:jc w:val="left"/>
        <w:rPr>
          <w:sz w:val="22"/>
        </w:rPr>
      </w:pPr>
      <w:r w:rsidRPr="00491526">
        <w:rPr>
          <w:sz w:val="22"/>
        </w:rPr>
        <w:t>Devin.parram@puc.state.oh.us</w:t>
      </w:r>
    </w:p>
    <w:p w:rsidR="003B1035" w:rsidRDefault="003B1035">
      <w:pPr>
        <w:tabs>
          <w:tab w:val="left" w:pos="2160"/>
          <w:tab w:val="left" w:pos="2280"/>
        </w:tabs>
        <w:jc w:val="left"/>
        <w:rPr>
          <w:sz w:val="22"/>
        </w:rPr>
      </w:pPr>
    </w:p>
    <w:p w:rsidR="003B1035" w:rsidRDefault="00D77915">
      <w:pPr>
        <w:tabs>
          <w:tab w:val="left" w:pos="2160"/>
          <w:tab w:val="left" w:pos="2280"/>
        </w:tabs>
        <w:jc w:val="left"/>
        <w:rPr>
          <w:b/>
          <w:sz w:val="22"/>
        </w:rPr>
      </w:pPr>
      <w:r>
        <w:rPr>
          <w:b/>
          <w:sz w:val="22"/>
        </w:rPr>
        <w:t>On Behalf of the Staff of the Public Utilities Commission of Ohio</w:t>
      </w:r>
    </w:p>
    <w:p w:rsidR="003B1035" w:rsidRDefault="003B1035">
      <w:pPr>
        <w:tabs>
          <w:tab w:val="left" w:pos="2160"/>
          <w:tab w:val="left" w:pos="2280"/>
        </w:tabs>
        <w:jc w:val="left"/>
        <w:rPr>
          <w:sz w:val="22"/>
        </w:rPr>
      </w:pPr>
    </w:p>
    <w:p w:rsidR="003B1035" w:rsidRDefault="00D77915">
      <w:pPr>
        <w:tabs>
          <w:tab w:val="left" w:pos="2160"/>
          <w:tab w:val="left" w:pos="2280"/>
        </w:tabs>
        <w:jc w:val="left"/>
        <w:rPr>
          <w:sz w:val="22"/>
        </w:rPr>
      </w:pPr>
      <w:r>
        <w:rPr>
          <w:sz w:val="22"/>
        </w:rPr>
        <w:t>Mandy Willey</w:t>
      </w:r>
    </w:p>
    <w:p w:rsidR="003B1035" w:rsidRDefault="00D77915">
      <w:pPr>
        <w:tabs>
          <w:tab w:val="left" w:pos="2160"/>
          <w:tab w:val="left" w:pos="2280"/>
        </w:tabs>
        <w:jc w:val="left"/>
        <w:rPr>
          <w:sz w:val="22"/>
        </w:rPr>
      </w:pPr>
      <w:r>
        <w:rPr>
          <w:sz w:val="22"/>
        </w:rPr>
        <w:t>Gregory Price</w:t>
      </w:r>
    </w:p>
    <w:p w:rsidR="003B1035" w:rsidRDefault="00D77915">
      <w:pPr>
        <w:tabs>
          <w:tab w:val="left" w:pos="2160"/>
          <w:tab w:val="left" w:pos="2280"/>
        </w:tabs>
        <w:jc w:val="left"/>
        <w:rPr>
          <w:sz w:val="22"/>
        </w:rPr>
      </w:pPr>
      <w:r>
        <w:rPr>
          <w:sz w:val="22"/>
        </w:rPr>
        <w:t>Bryce McKenney</w:t>
      </w:r>
    </w:p>
    <w:p w:rsidR="003B1035" w:rsidRDefault="00D77915">
      <w:pPr>
        <w:tabs>
          <w:tab w:val="left" w:pos="2160"/>
          <w:tab w:val="left" w:pos="2280"/>
        </w:tabs>
        <w:jc w:val="left"/>
        <w:rPr>
          <w:sz w:val="22"/>
        </w:rPr>
      </w:pPr>
      <w:r>
        <w:rPr>
          <w:sz w:val="22"/>
        </w:rPr>
        <w:t>Attorney Examiners</w:t>
      </w:r>
    </w:p>
    <w:p w:rsidR="003B1035" w:rsidRDefault="00D77915">
      <w:pPr>
        <w:tabs>
          <w:tab w:val="left" w:pos="2160"/>
          <w:tab w:val="left" w:pos="2280"/>
        </w:tabs>
        <w:jc w:val="left"/>
        <w:rPr>
          <w:sz w:val="22"/>
        </w:rPr>
      </w:pPr>
      <w:r>
        <w:rPr>
          <w:sz w:val="22"/>
        </w:rPr>
        <w:t>Public Utilities Commission of Ohio</w:t>
      </w:r>
    </w:p>
    <w:p w:rsidR="003B1035" w:rsidRDefault="00D77915">
      <w:pPr>
        <w:tabs>
          <w:tab w:val="left" w:pos="2160"/>
          <w:tab w:val="left" w:pos="2280"/>
        </w:tabs>
        <w:jc w:val="left"/>
        <w:rPr>
          <w:sz w:val="22"/>
        </w:rPr>
      </w:pPr>
      <w:r>
        <w:rPr>
          <w:sz w:val="22"/>
        </w:rPr>
        <w:t>180 East Broad Street</w:t>
      </w:r>
    </w:p>
    <w:p w:rsidR="003B1035" w:rsidRDefault="00D77915">
      <w:pPr>
        <w:tabs>
          <w:tab w:val="left" w:pos="2160"/>
          <w:tab w:val="left" w:pos="2280"/>
        </w:tabs>
        <w:jc w:val="left"/>
        <w:rPr>
          <w:sz w:val="22"/>
        </w:rPr>
      </w:pPr>
      <w:r>
        <w:rPr>
          <w:sz w:val="22"/>
        </w:rPr>
        <w:t>Columbus, OH  43215</w:t>
      </w:r>
    </w:p>
    <w:p w:rsidR="003B1035" w:rsidRDefault="00D77915">
      <w:pPr>
        <w:tabs>
          <w:tab w:val="left" w:pos="2160"/>
          <w:tab w:val="left" w:pos="2280"/>
        </w:tabs>
        <w:jc w:val="left"/>
        <w:rPr>
          <w:sz w:val="22"/>
        </w:rPr>
      </w:pPr>
      <w:r w:rsidRPr="00491526">
        <w:rPr>
          <w:sz w:val="22"/>
        </w:rPr>
        <w:t>Mandy.willey@puc.state.oh.us</w:t>
      </w:r>
    </w:p>
    <w:p w:rsidR="003B1035" w:rsidRDefault="00D77915">
      <w:pPr>
        <w:tabs>
          <w:tab w:val="left" w:pos="2160"/>
          <w:tab w:val="left" w:pos="2280"/>
        </w:tabs>
        <w:jc w:val="left"/>
        <w:rPr>
          <w:rStyle w:val="Hyperlink"/>
          <w:sz w:val="22"/>
        </w:rPr>
      </w:pPr>
      <w:r w:rsidRPr="00491526">
        <w:rPr>
          <w:sz w:val="22"/>
        </w:rPr>
        <w:t>Gregory.price@puc.state.oh.us</w:t>
      </w:r>
    </w:p>
    <w:p w:rsidR="003B1035" w:rsidRPr="005D1CA4" w:rsidRDefault="00D77915">
      <w:pPr>
        <w:tabs>
          <w:tab w:val="left" w:pos="2160"/>
          <w:tab w:val="left" w:pos="2280"/>
        </w:tabs>
        <w:jc w:val="left"/>
        <w:rPr>
          <w:color w:val="000000" w:themeColor="text1"/>
          <w:sz w:val="22"/>
        </w:rPr>
      </w:pPr>
      <w:r w:rsidRPr="005D1CA4">
        <w:rPr>
          <w:rStyle w:val="Hyperlink"/>
          <w:color w:val="000000" w:themeColor="text1"/>
          <w:sz w:val="22"/>
          <w:u w:val="none"/>
        </w:rPr>
        <w:t>Bryce.mckenney@puc.state.oh.us</w:t>
      </w:r>
    </w:p>
    <w:p w:rsidR="003B1035" w:rsidRDefault="003B1035">
      <w:pPr>
        <w:tabs>
          <w:tab w:val="left" w:pos="2160"/>
          <w:tab w:val="left" w:pos="2280"/>
        </w:tabs>
        <w:jc w:val="left"/>
        <w:rPr>
          <w:sz w:val="22"/>
        </w:rPr>
      </w:pPr>
    </w:p>
    <w:p w:rsidR="003B1035" w:rsidRDefault="00D77915">
      <w:pPr>
        <w:tabs>
          <w:tab w:val="left" w:pos="2160"/>
          <w:tab w:val="left" w:pos="2280"/>
        </w:tabs>
        <w:jc w:val="left"/>
        <w:rPr>
          <w:sz w:val="22"/>
        </w:rPr>
      </w:pPr>
      <w:r>
        <w:rPr>
          <w:b/>
          <w:sz w:val="22"/>
        </w:rPr>
        <w:t>Attorney Examiners</w:t>
      </w:r>
    </w:p>
    <w:p w:rsidR="003B1035" w:rsidRDefault="003B1035">
      <w:pPr>
        <w:tabs>
          <w:tab w:val="left" w:pos="4680"/>
        </w:tabs>
        <w:jc w:val="left"/>
        <w:rPr>
          <w:b/>
          <w:smallCaps/>
          <w:color w:val="000000"/>
          <w:sz w:val="22"/>
        </w:rPr>
      </w:pPr>
    </w:p>
    <w:sectPr w:rsidR="003B103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11" w:rsidRDefault="007E5911">
      <w:r>
        <w:separator/>
      </w:r>
    </w:p>
  </w:endnote>
  <w:endnote w:type="continuationSeparator" w:id="0">
    <w:p w:rsidR="007E5911" w:rsidRDefault="007E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4D" w:rsidRDefault="00995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811168">
    <w:pPr>
      <w:pStyle w:val="Footer"/>
    </w:pPr>
    <w:r w:rsidRPr="00811168">
      <w:rPr>
        <w:noProof/>
        <w:sz w:val="16"/>
      </w:rPr>
      <w:t>{C38899:2 }</w:t>
    </w:r>
    <w:sdt>
      <w:sdtPr>
        <w:id w:val="-201790209"/>
        <w:docPartObj>
          <w:docPartGallery w:val="Page Numbers (Bottom of Page)"/>
          <w:docPartUnique/>
        </w:docPartObj>
      </w:sdtPr>
      <w:sdtEndPr>
        <w:rPr>
          <w:noProof/>
        </w:rPr>
      </w:sdtEndPr>
      <w:sdtContent>
        <w:r w:rsidR="007E5911">
          <w:tab/>
        </w:r>
        <w:r w:rsidR="007E5911">
          <w:fldChar w:fldCharType="begin"/>
        </w:r>
        <w:r w:rsidR="007E5911">
          <w:instrText xml:space="preserve"> PAGE   \* MERGEFORMAT </w:instrText>
        </w:r>
        <w:r w:rsidR="007E5911">
          <w:fldChar w:fldCharType="separate"/>
        </w:r>
        <w:r w:rsidR="00922269">
          <w:rPr>
            <w:noProof/>
          </w:rPr>
          <w:t>3</w:t>
        </w:r>
        <w:r w:rsidR="007E5911">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811168">
    <w:pPr>
      <w:pStyle w:val="Footer"/>
    </w:pPr>
    <w:r w:rsidRPr="00811168">
      <w:rPr>
        <w:noProof/>
        <w:sz w:val="16"/>
      </w:rPr>
      <w:t>{C38899:2 }</w:t>
    </w:r>
    <w:r w:rsidR="007E5911">
      <w:rPr>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811168">
    <w:pPr>
      <w:pStyle w:val="Footer"/>
    </w:pPr>
    <w:r w:rsidRPr="00811168">
      <w:rPr>
        <w:noProof/>
        <w:sz w:val="16"/>
      </w:rPr>
      <w:t>{C38899:2 }</w:t>
    </w:r>
    <w:r w:rsidR="007E5911">
      <w:rPr>
        <w:noProof/>
        <w:sz w:val="16"/>
      </w:rPr>
      <w:tab/>
    </w:r>
    <w:r w:rsidR="007E5911">
      <w:rPr>
        <w:noProof/>
        <w:sz w:val="22"/>
      </w:rPr>
      <w:fldChar w:fldCharType="begin"/>
    </w:r>
    <w:r w:rsidR="007E5911">
      <w:rPr>
        <w:noProof/>
        <w:sz w:val="22"/>
      </w:rPr>
      <w:instrText xml:space="preserve"> PAGE   \* MERGEFORMAT </w:instrText>
    </w:r>
    <w:r w:rsidR="007E5911">
      <w:rPr>
        <w:noProof/>
        <w:sz w:val="22"/>
      </w:rPr>
      <w:fldChar w:fldCharType="separate"/>
    </w:r>
    <w:r w:rsidR="007445E9">
      <w:rPr>
        <w:noProof/>
        <w:sz w:val="22"/>
      </w:rPr>
      <w:t>15</w:t>
    </w:r>
    <w:r w:rsidR="007E5911">
      <w:rPr>
        <w:noProof/>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7E5911">
    <w:pPr>
      <w:pStyle w:val="Footer"/>
    </w:pPr>
    <w:r w:rsidRPr="00860E1D">
      <w:rPr>
        <w:noProof/>
        <w:sz w:val="16"/>
      </w:rPr>
      <w:t>{C38901:6 }</w:t>
    </w:r>
    <w:r>
      <w:rPr>
        <w:noProof/>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7E59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811168">
    <w:pPr>
      <w:pStyle w:val="Footer"/>
    </w:pPr>
    <w:r w:rsidRPr="00811168">
      <w:rPr>
        <w:noProof/>
        <w:sz w:val="16"/>
      </w:rPr>
      <w:t>{C38899:2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7E5911">
    <w:pPr>
      <w:pStyle w:val="Footer"/>
    </w:pPr>
    <w:r>
      <w:rPr>
        <w:noProof/>
        <w:sz w:val="16"/>
      </w:rPr>
      <w:t>{C37274: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11" w:rsidRDefault="007E5911">
      <w:pPr>
        <w:rPr>
          <w:noProof/>
        </w:rPr>
      </w:pPr>
      <w:r>
        <w:rPr>
          <w:noProof/>
        </w:rPr>
        <w:separator/>
      </w:r>
    </w:p>
  </w:footnote>
  <w:footnote w:type="continuationSeparator" w:id="0">
    <w:p w:rsidR="007E5911" w:rsidRDefault="007E5911">
      <w:r>
        <w:continuationSeparator/>
      </w:r>
    </w:p>
  </w:footnote>
  <w:footnote w:id="1">
    <w:p w:rsidR="007E5911" w:rsidRDefault="007E5911">
      <w:pPr>
        <w:pStyle w:val="FootnoteText"/>
      </w:pPr>
      <w:r>
        <w:rPr>
          <w:rStyle w:val="FootnoteReference"/>
        </w:rPr>
        <w:footnoteRef/>
      </w:r>
      <w:r>
        <w:t xml:space="preserve"> The Joint Movants filing this pleading are Industrial Energy Users-Ohio (“IEU-Ohio”), Ohio Partners for Affordable Energy (“OPAE”)</w:t>
      </w:r>
      <w:r w:rsidR="00264DC0">
        <w:t xml:space="preserve">, The Kroger Company (“Kroger”), the Ohio </w:t>
      </w:r>
      <w:r w:rsidR="00B94EB6">
        <w:t xml:space="preserve">Energy Group (“OEG”), </w:t>
      </w:r>
      <w:r w:rsidR="00264DC0">
        <w:t>Honda of Americ</w:t>
      </w:r>
      <w:r w:rsidR="00361483">
        <w:t xml:space="preserve">a Manufacturing, Inc. (“Honda”), </w:t>
      </w:r>
      <w:r w:rsidR="00B94EB6">
        <w:t>SolarVision, LLC (“SolarVision”</w:t>
      </w:r>
      <w:r w:rsidR="00361483">
        <w:t>)</w:t>
      </w:r>
      <w:r w:rsidR="001A7BEB">
        <w:t xml:space="preserve">, </w:t>
      </w:r>
      <w:r w:rsidR="00361483">
        <w:t>the OMA Energy Group (“OMAEG”</w:t>
      </w:r>
      <w:r w:rsidR="001A7BEB">
        <w:t>) and the Office of the Ohio Consumers’ Counsel (“OCC”).</w:t>
      </w:r>
    </w:p>
  </w:footnote>
  <w:footnote w:id="2">
    <w:p w:rsidR="007E5911" w:rsidRDefault="007E5911">
      <w:pPr>
        <w:pStyle w:val="FootnoteText"/>
        <w:spacing w:after="120"/>
      </w:pPr>
      <w:r>
        <w:rPr>
          <w:rStyle w:val="FootnoteReference"/>
        </w:rPr>
        <w:footnoteRef/>
      </w:r>
      <w:r>
        <w:t xml:space="preserve"> Rule 4901:1-35-03(C)(9)(b)(i), O.A.C.</w:t>
      </w:r>
    </w:p>
  </w:footnote>
  <w:footnote w:id="3">
    <w:p w:rsidR="007E5911" w:rsidRDefault="007E5911">
      <w:pPr>
        <w:pStyle w:val="FootnoteText"/>
        <w:spacing w:after="120"/>
      </w:pPr>
      <w:r>
        <w:rPr>
          <w:rStyle w:val="FootnoteReference"/>
        </w:rPr>
        <w:footnoteRef/>
      </w:r>
      <w:r>
        <w:t xml:space="preserve"> Rule 4901:1-35-03(C)(9)(c)(ii), O.A.C.  This rule applies to charges that an electric distribution utility (“EDU”) seeks to recover under Section 4928.143(B)(2)(d), Revised Code.  DP&amp;L relies on this Section as authority to implement its Service Stability Rider (“SSR”) and implicitly the switching tracker.  </w:t>
      </w:r>
    </w:p>
  </w:footnote>
  <w:footnote w:id="4">
    <w:p w:rsidR="007E5911" w:rsidRDefault="007E5911">
      <w:pPr>
        <w:pStyle w:val="FootnoteText"/>
        <w:spacing w:after="120"/>
      </w:pPr>
      <w:r>
        <w:rPr>
          <w:rStyle w:val="FootnoteReference"/>
        </w:rPr>
        <w:footnoteRef/>
      </w:r>
      <w:r>
        <w:t xml:space="preserve"> Rule 4901:1-35-03(C)(7), O.A.C.  </w:t>
      </w:r>
    </w:p>
  </w:footnote>
  <w:footnote w:id="5">
    <w:p w:rsidR="007E5911" w:rsidRDefault="007E5911">
      <w:pPr>
        <w:pStyle w:val="FootnoteText"/>
        <w:spacing w:after="120"/>
      </w:pPr>
      <w:r>
        <w:rPr>
          <w:rStyle w:val="FootnoteReference"/>
        </w:rPr>
        <w:footnoteRef/>
      </w:r>
      <w:r>
        <w:t xml:space="preserve"> Rule 4901:1-35-03(F), O.A.C.  </w:t>
      </w:r>
    </w:p>
  </w:footnote>
  <w:footnote w:id="6">
    <w:p w:rsidR="007E5911" w:rsidRDefault="007E5911">
      <w:pPr>
        <w:pStyle w:val="FootnoteText"/>
        <w:spacing w:after="120"/>
      </w:pPr>
      <w:r>
        <w:rPr>
          <w:rStyle w:val="FootnoteReference"/>
        </w:rPr>
        <w:footnoteRef/>
      </w:r>
      <w:r>
        <w:t xml:space="preserve"> Rule 4901:1-35-03(C)(2)-(3), O.A.C.  </w:t>
      </w:r>
    </w:p>
  </w:footnote>
  <w:footnote w:id="7">
    <w:p w:rsidR="007E5911" w:rsidRDefault="007E5911">
      <w:pPr>
        <w:pStyle w:val="FootnoteText"/>
      </w:pPr>
      <w:r>
        <w:rPr>
          <w:rStyle w:val="FootnoteReference"/>
        </w:rPr>
        <w:footnoteRef/>
      </w:r>
      <w:r>
        <w:t xml:space="preserve"> </w:t>
      </w:r>
      <w:r>
        <w:rPr>
          <w:i/>
        </w:rPr>
        <w:t>See, e.g.,</w:t>
      </w:r>
      <w:r>
        <w:t xml:space="preserve"> Direct Testimony of William J. Chambers at 1-2.</w:t>
      </w:r>
    </w:p>
  </w:footnote>
  <w:footnote w:id="8">
    <w:p w:rsidR="007E5911" w:rsidRDefault="007E5911">
      <w:pPr>
        <w:pStyle w:val="FootnoteText"/>
        <w:spacing w:after="120"/>
      </w:pPr>
      <w:r>
        <w:rPr>
          <w:rStyle w:val="FootnoteReference"/>
        </w:rPr>
        <w:footnoteRef/>
      </w:r>
      <w:r>
        <w:t xml:space="preserve"> Rule 4901:1-35-03(C)(9)(b)(i), O.A.C.</w:t>
      </w:r>
    </w:p>
  </w:footnote>
  <w:footnote w:id="9">
    <w:p w:rsidR="007E5911" w:rsidRDefault="007E5911">
      <w:pPr>
        <w:pStyle w:val="FootnoteText"/>
        <w:spacing w:after="120"/>
      </w:pPr>
      <w:r>
        <w:rPr>
          <w:rStyle w:val="FootnoteReference"/>
        </w:rPr>
        <w:footnoteRef/>
      </w:r>
      <w:r>
        <w:t xml:space="preserve"> Rule 4901:1-35-03(C)(9)(c)(ii), O.A.C. </w:t>
      </w:r>
    </w:p>
  </w:footnote>
  <w:footnote w:id="10">
    <w:p w:rsidR="007E5911" w:rsidRDefault="007E5911">
      <w:pPr>
        <w:pStyle w:val="FootnoteText"/>
        <w:spacing w:after="120"/>
      </w:pPr>
      <w:r>
        <w:rPr>
          <w:rStyle w:val="FootnoteReference"/>
        </w:rPr>
        <w:footnoteRef/>
      </w:r>
      <w:r>
        <w:t xml:space="preserve"> Rule 4901:1-35-03(C)(7), O.A.C.  </w:t>
      </w:r>
    </w:p>
  </w:footnote>
  <w:footnote w:id="11">
    <w:p w:rsidR="007E5911" w:rsidRDefault="007E5911">
      <w:pPr>
        <w:pStyle w:val="FootnoteText"/>
        <w:spacing w:after="120"/>
      </w:pPr>
      <w:r>
        <w:rPr>
          <w:rStyle w:val="FootnoteReference"/>
        </w:rPr>
        <w:footnoteRef/>
      </w:r>
      <w:r>
        <w:t xml:space="preserve"> Rule 4901:1-35-03(F), O.A.C.  </w:t>
      </w:r>
    </w:p>
  </w:footnote>
  <w:footnote w:id="12">
    <w:p w:rsidR="007E5911" w:rsidRDefault="007E5911">
      <w:pPr>
        <w:autoSpaceDE w:val="0"/>
        <w:autoSpaceDN w:val="0"/>
        <w:adjustRightInd w:val="0"/>
        <w:spacing w:after="120"/>
      </w:pPr>
      <w:r>
        <w:rPr>
          <w:rStyle w:val="FootnoteReference"/>
          <w:sz w:val="20"/>
          <w:szCs w:val="20"/>
        </w:rPr>
        <w:footnoteRef/>
      </w:r>
      <w:r>
        <w:rPr>
          <w:sz w:val="20"/>
          <w:szCs w:val="20"/>
        </w:rPr>
        <w:t xml:space="preserve"> </w:t>
      </w:r>
      <w:r>
        <w:rPr>
          <w:i/>
          <w:sz w:val="20"/>
          <w:szCs w:val="20"/>
        </w:rPr>
        <w:t>See</w:t>
      </w:r>
      <w:r>
        <w:rPr>
          <w:sz w:val="20"/>
          <w:szCs w:val="20"/>
        </w:rPr>
        <w:t xml:space="preserve"> </w:t>
      </w:r>
      <w:r>
        <w:rPr>
          <w:i/>
          <w:sz w:val="20"/>
          <w:szCs w:val="20"/>
        </w:rPr>
        <w:t>In the Matter of the Commission's Review of Chapters 4901:1-9, 4901:1-10, 4901:1-21, 4901:1</w:t>
      </w:r>
      <w:r>
        <w:rPr>
          <w:i/>
          <w:sz w:val="20"/>
          <w:szCs w:val="20"/>
        </w:rPr>
        <w:noBreakHyphen/>
        <w:t>22, 4901:1-23, 4901:1-24, and 4901:1-25 of the Ohio Administrative Code</w:t>
      </w:r>
      <w:r>
        <w:rPr>
          <w:sz w:val="20"/>
          <w:szCs w:val="20"/>
        </w:rPr>
        <w:t xml:space="preserve">, Case No. 06-653-EL-ORD, Finding and Order at 26 (Nov. 5, 2008) (“The Commission believes that the proposed rules, as modified herein, provide for regulations, standards, and enforcement of those regulations and standards that will provide for a </w:t>
      </w:r>
      <w:bookmarkStart w:id="0" w:name="SR;8992"/>
      <w:bookmarkEnd w:id="0"/>
      <w:r>
        <w:rPr>
          <w:sz w:val="20"/>
          <w:szCs w:val="20"/>
        </w:rPr>
        <w:t xml:space="preserve">transparent and </w:t>
      </w:r>
      <w:bookmarkStart w:id="1" w:name="SR;8994"/>
      <w:bookmarkEnd w:id="1"/>
      <w:r>
        <w:rPr>
          <w:sz w:val="20"/>
          <w:szCs w:val="20"/>
        </w:rPr>
        <w:t xml:space="preserve">public process, which should result in more accountability as well as greater reliability of the electric utilities' distribution systems.”); </w:t>
      </w:r>
      <w:r>
        <w:rPr>
          <w:i/>
          <w:sz w:val="20"/>
          <w:szCs w:val="20"/>
        </w:rPr>
        <w:t>see In the Matter of the Application of Columbus Southern Power Company and Ohio Power Company for Authority to Establish a Standard Service Offer Pursuant to §4928.143, Ohio Rev. Code, in the Form of an Electric Security Plan, et al.</w:t>
      </w:r>
      <w:r>
        <w:rPr>
          <w:sz w:val="20"/>
          <w:szCs w:val="20"/>
        </w:rPr>
        <w:t>, Case Nos. 11</w:t>
      </w:r>
      <w:r>
        <w:rPr>
          <w:sz w:val="20"/>
          <w:szCs w:val="20"/>
        </w:rPr>
        <w:noBreakHyphen/>
        <w:t>346</w:t>
      </w:r>
      <w:r>
        <w:rPr>
          <w:sz w:val="20"/>
          <w:szCs w:val="20"/>
        </w:rPr>
        <w:noBreakHyphen/>
        <w:t>EL</w:t>
      </w:r>
      <w:r>
        <w:rPr>
          <w:sz w:val="20"/>
          <w:szCs w:val="20"/>
        </w:rPr>
        <w:noBreakHyphen/>
        <w:t xml:space="preserve">SSO, </w:t>
      </w:r>
      <w:r>
        <w:rPr>
          <w:i/>
          <w:sz w:val="20"/>
          <w:szCs w:val="20"/>
        </w:rPr>
        <w:t>et al.</w:t>
      </w:r>
      <w:r>
        <w:rPr>
          <w:sz w:val="20"/>
          <w:szCs w:val="20"/>
        </w:rPr>
        <w:t xml:space="preserve">, Opinion and Order at 34-35 (Dec. 14, 2011) (enough facts existed to demonstrate settlement discussions were open and transparent supporting a finding that the Stipulation was in the public interest); Section 4905.15, Revised Code (Commission records are open to the public); </w:t>
      </w:r>
      <w:r>
        <w:rPr>
          <w:i/>
          <w:sz w:val="20"/>
          <w:szCs w:val="20"/>
        </w:rPr>
        <w:t>see also In the Matter of the Regulation of the Purchased Gas Adjustment Clause Contained Within the Rate Schedules of Columbia Gas of Ohio, Inc., and Related Matters</w:t>
      </w:r>
      <w:r>
        <w:rPr>
          <w:sz w:val="20"/>
          <w:szCs w:val="20"/>
        </w:rPr>
        <w:t xml:space="preserve">, Case Nos. 05-221-GA-GCR, </w:t>
      </w:r>
      <w:r>
        <w:rPr>
          <w:i/>
          <w:sz w:val="20"/>
          <w:szCs w:val="20"/>
        </w:rPr>
        <w:t>et al.</w:t>
      </w:r>
      <w:r>
        <w:rPr>
          <w:sz w:val="20"/>
          <w:szCs w:val="20"/>
        </w:rPr>
        <w:t xml:space="preserve">, Opinion and Order, </w:t>
      </w:r>
      <w:r>
        <w:rPr>
          <w:i/>
          <w:sz w:val="20"/>
          <w:szCs w:val="20"/>
        </w:rPr>
        <w:t xml:space="preserve">Concurring Opinion of Commissioner Paul A. Centolella </w:t>
      </w:r>
      <w:r>
        <w:rPr>
          <w:sz w:val="20"/>
          <w:szCs w:val="20"/>
        </w:rPr>
        <w:t xml:space="preserve">at 2 (Jan. 23, 2008) (“Parties before this Commission have a responsibility to promote </w:t>
      </w:r>
      <w:bookmarkStart w:id="2" w:name="SR;5392"/>
      <w:bookmarkStart w:id="3" w:name="BestSection"/>
      <w:bookmarkStart w:id="4" w:name="SearchTerm"/>
      <w:bookmarkEnd w:id="2"/>
      <w:bookmarkEnd w:id="3"/>
      <w:r>
        <w:rPr>
          <w:sz w:val="20"/>
          <w:szCs w:val="20"/>
        </w:rPr>
        <w:t xml:space="preserve">openness, </w:t>
      </w:r>
      <w:bookmarkStart w:id="5" w:name="SR;5393"/>
      <w:bookmarkEnd w:id="5"/>
      <w:r>
        <w:rPr>
          <w:sz w:val="20"/>
          <w:szCs w:val="20"/>
        </w:rPr>
        <w:t xml:space="preserve">transparency, and </w:t>
      </w:r>
      <w:bookmarkStart w:id="6" w:name="SR;5395"/>
      <w:bookmarkEnd w:id="4"/>
      <w:bookmarkEnd w:id="6"/>
      <w:r>
        <w:rPr>
          <w:sz w:val="20"/>
          <w:szCs w:val="20"/>
        </w:rPr>
        <w:t xml:space="preserve">public confidence in the regulatory process.”); Rule 4901:1-35-08, O.A.C. (competitive bid solicitation process should be open, fair, and transparent). </w:t>
      </w:r>
    </w:p>
  </w:footnote>
  <w:footnote w:id="13">
    <w:p w:rsidR="007E5911" w:rsidRDefault="007E5911">
      <w:pPr>
        <w:pStyle w:val="FootnoteText"/>
        <w:spacing w:after="120"/>
        <w:rPr>
          <w:color w:val="000000"/>
        </w:rPr>
      </w:pPr>
      <w:r>
        <w:rPr>
          <w:rStyle w:val="FootnoteReference"/>
        </w:rPr>
        <w:footnoteRef/>
      </w:r>
      <w:r>
        <w:t xml:space="preserve"> PUCO Press Release, </w:t>
      </w:r>
      <w:r>
        <w:rPr>
          <w:i/>
          <w:color w:val="000000"/>
        </w:rPr>
        <w:t xml:space="preserve">PUCO revokes AEP-Ohio electric security plan settlement agreement </w:t>
      </w:r>
      <w:r>
        <w:rPr>
          <w:color w:val="000000"/>
        </w:rPr>
        <w:t xml:space="preserve">(Feb. 23, 2012), available on the Commission’s website at: </w:t>
      </w:r>
      <w:r w:rsidRPr="00491526">
        <w:t>http://www.puco.ohio.gov/puco/index.cfm/media-room/media-releases/puco-revokes-aep-ohio-electric-security-plan-settlement-agreement/</w:t>
      </w:r>
      <w:r>
        <w:rPr>
          <w:color w:val="000000"/>
        </w:rPr>
        <w:t>.</w:t>
      </w:r>
    </w:p>
  </w:footnote>
  <w:footnote w:id="14">
    <w:p w:rsidR="007E5911" w:rsidRDefault="007E5911">
      <w:pPr>
        <w:autoSpaceDE w:val="0"/>
        <w:autoSpaceDN w:val="0"/>
        <w:adjustRightInd w:val="0"/>
        <w:spacing w:after="120"/>
      </w:pPr>
      <w:r>
        <w:rPr>
          <w:rStyle w:val="FootnoteReference"/>
        </w:rPr>
        <w:footnoteRef/>
      </w:r>
      <w:r>
        <w:t xml:space="preserve"> </w:t>
      </w:r>
      <w:r>
        <w:rPr>
          <w:i/>
          <w:sz w:val="20"/>
          <w:szCs w:val="20"/>
        </w:rPr>
        <w:t>In the Matter of the Application of Columbus Southern Power Company and Ohio Power Company for Authority to Establish a Standard Service Offer Pursuant to Section 4928.143, Revised Code, in the Form of an Electric Security Plan</w:t>
      </w:r>
      <w:r>
        <w:rPr>
          <w:sz w:val="20"/>
          <w:szCs w:val="20"/>
        </w:rPr>
        <w:t>, Entry at 3 (Mar. 23, 2011) (hereinafter “</w:t>
      </w:r>
      <w:r>
        <w:rPr>
          <w:i/>
          <w:sz w:val="20"/>
          <w:szCs w:val="20"/>
        </w:rPr>
        <w:t>AEP ESP II Case</w:t>
      </w:r>
      <w:r>
        <w:rPr>
          <w:sz w:val="20"/>
          <w:szCs w:val="20"/>
        </w:rPr>
        <w:t xml:space="preserve">”); </w:t>
      </w:r>
      <w:r>
        <w:rPr>
          <w:i/>
          <w:sz w:val="20"/>
          <w:szCs w:val="20"/>
        </w:rPr>
        <w:t>AEP ESP II Case</w:t>
      </w:r>
      <w:r>
        <w:rPr>
          <w:sz w:val="20"/>
          <w:szCs w:val="20"/>
        </w:rPr>
        <w:t xml:space="preserve">, Entry at 3 (Apr. 25, 2012). </w:t>
      </w:r>
    </w:p>
  </w:footnote>
  <w:footnote w:id="15">
    <w:p w:rsidR="007E5911" w:rsidRDefault="007E5911">
      <w:pPr>
        <w:pStyle w:val="FootnoteText"/>
        <w:spacing w:after="120"/>
      </w:pPr>
      <w:r>
        <w:rPr>
          <w:rStyle w:val="FootnoteReference"/>
        </w:rPr>
        <w:footnoteRef/>
      </w:r>
      <w:r>
        <w:t xml:space="preserve"> Additionally, if DP&amp;L’s distribution business is suffering financial harm, DP&amp;L may seek relief through an application under Section 4909.16, Revised Code.  Also, if DP&amp;L’s transmission business is suffering financial harm, DP&amp;L may only seek relief from the Federal Energy Regulatory Commission (“FERC”).  Reading this together with the Commission’s rule requiring all EDUs to detail the effect that the ESP will have on their finances, it is clear that the Commission’s rules require DP&amp;L to file its pro forma projections by business function.</w:t>
      </w:r>
    </w:p>
  </w:footnote>
  <w:footnote w:id="16">
    <w:p w:rsidR="007E5911" w:rsidRDefault="007E5911">
      <w:pPr>
        <w:pStyle w:val="FootnoteText"/>
        <w:spacing w:after="120"/>
      </w:pPr>
      <w:r>
        <w:rPr>
          <w:rStyle w:val="FootnoteReference"/>
        </w:rPr>
        <w:footnoteRef/>
      </w:r>
      <w:r>
        <w:t xml:space="preserve"> PUCO Press Release, </w:t>
      </w:r>
      <w:r>
        <w:rPr>
          <w:i/>
          <w:color w:val="000000"/>
        </w:rPr>
        <w:t xml:space="preserve">PUCO revokes AEP-Ohio electric security plan settlement agreement </w:t>
      </w:r>
      <w:r>
        <w:rPr>
          <w:color w:val="000000"/>
        </w:rPr>
        <w:t xml:space="preserve">(Feb. 23, 2012), available on the Commission’s website at: </w:t>
      </w:r>
      <w:r w:rsidRPr="00491526">
        <w:t>http://www.puco.ohio.gov/puco/index.cfm/media-room/media-releases/puco-revokes-aep-ohio-electric-security-plan-settlement-agreement/</w:t>
      </w:r>
      <w:r>
        <w:rPr>
          <w:color w:val="000000"/>
        </w:rPr>
        <w:t>.</w:t>
      </w:r>
    </w:p>
  </w:footnote>
  <w:footnote w:id="17">
    <w:p w:rsidR="007E5911" w:rsidRDefault="007E5911">
      <w:pPr>
        <w:pStyle w:val="FootnoteText"/>
        <w:spacing w:after="120"/>
      </w:pPr>
      <w:r>
        <w:rPr>
          <w:rStyle w:val="FootnoteReference"/>
        </w:rPr>
        <w:footnoteRef/>
      </w:r>
      <w:r>
        <w:t xml:space="preserve"> Application at 9-10.</w:t>
      </w:r>
    </w:p>
  </w:footnote>
  <w:footnote w:id="18">
    <w:p w:rsidR="007E5911" w:rsidRDefault="007E5911">
      <w:pPr>
        <w:pStyle w:val="FootnoteText"/>
        <w:spacing w:after="120"/>
      </w:pPr>
      <w:r>
        <w:rPr>
          <w:rStyle w:val="FootnoteReference"/>
        </w:rPr>
        <w:footnoteRef/>
      </w:r>
      <w:r>
        <w:t xml:space="preserve"> </w:t>
      </w:r>
      <w:r>
        <w:rPr>
          <w:i/>
        </w:rPr>
        <w:t>AEP-Ohio ESP II Case</w:t>
      </w:r>
      <w:r>
        <w:t>, Opinion and Order at 30 (Dec. 14, 2011).</w:t>
      </w:r>
    </w:p>
  </w:footnote>
  <w:footnote w:id="19">
    <w:p w:rsidR="007E5911" w:rsidRDefault="007E5911">
      <w:pPr>
        <w:pStyle w:val="FootnoteText"/>
        <w:spacing w:after="120"/>
      </w:pPr>
      <w:r>
        <w:rPr>
          <w:rStyle w:val="FootnoteReference"/>
        </w:rPr>
        <w:footnoteRef/>
      </w:r>
      <w:r>
        <w:t xml:space="preserve"> </w:t>
      </w:r>
      <w:r>
        <w:rPr>
          <w:i/>
        </w:rPr>
        <w:t>Id.</w:t>
      </w:r>
      <w:r>
        <w:t xml:space="preserve"> Although the Commission has counted part of the cost of a facility anticipated to be authorized under Section 4928.143(C)(2)(b)-(c), Revised Code,</w:t>
      </w:r>
      <w:r>
        <w:rPr>
          <w:i/>
        </w:rPr>
        <w:t xml:space="preserve"> i.e. </w:t>
      </w:r>
      <w:r>
        <w:t xml:space="preserve">Turning Point Solar, in conducting the ESP v. MRO test, the Commission failed to include the total cost of facility over its entire life as required by those sections.  IEU-Ohio has sought rehearing of this issue in the </w:t>
      </w:r>
      <w:r>
        <w:rPr>
          <w:i/>
        </w:rPr>
        <w:t>AEP-Ohio ESP II Case.</w:t>
      </w:r>
    </w:p>
  </w:footnote>
  <w:footnote w:id="20">
    <w:p w:rsidR="007E5911" w:rsidRDefault="007E5911">
      <w:pPr>
        <w:pStyle w:val="FootnoteText"/>
        <w:spacing w:after="120"/>
      </w:pPr>
      <w:r>
        <w:rPr>
          <w:rStyle w:val="FootnoteReference"/>
        </w:rPr>
        <w:footnoteRef/>
      </w:r>
      <w:r>
        <w:t xml:space="preserve"> </w:t>
      </w:r>
      <w:r>
        <w:rPr>
          <w:i/>
        </w:rPr>
        <w:t>AEP-Ohio ESP II Case</w:t>
      </w:r>
      <w:r>
        <w:t>, Opinion and Order at 75 (Aug. 8, 2012).</w:t>
      </w:r>
    </w:p>
  </w:footnote>
  <w:footnote w:id="21">
    <w:p w:rsidR="007E5911" w:rsidRDefault="007E5911">
      <w:pPr>
        <w:pStyle w:val="FootnoteText"/>
        <w:spacing w:after="120"/>
      </w:pPr>
      <w:r>
        <w:rPr>
          <w:rStyle w:val="FootnoteReference"/>
        </w:rPr>
        <w:footnoteRef/>
      </w:r>
      <w:r>
        <w:t xml:space="preserve"> IEU-Ohio has previously indicated in the </w:t>
      </w:r>
      <w:r>
        <w:rPr>
          <w:i/>
        </w:rPr>
        <w:t>AEP-Ohio ESP II Case</w:t>
      </w:r>
      <w:r>
        <w:t xml:space="preserve"> that Section 4928.143(B)(2)(c), Revised Code, does not support the inclusion of a placeholder rider, as DP&amp;L has requested in its Application.</w:t>
      </w:r>
    </w:p>
  </w:footnote>
  <w:footnote w:id="22">
    <w:p w:rsidR="007E5911" w:rsidRDefault="007E5911">
      <w:pPr>
        <w:autoSpaceDE w:val="0"/>
        <w:autoSpaceDN w:val="0"/>
        <w:adjustRightInd w:val="0"/>
        <w:spacing w:after="120"/>
        <w:rPr>
          <w:sz w:val="20"/>
          <w:szCs w:val="20"/>
        </w:rPr>
      </w:pPr>
      <w:r>
        <w:rPr>
          <w:rStyle w:val="FootnoteReference"/>
          <w:sz w:val="20"/>
          <w:szCs w:val="20"/>
        </w:rPr>
        <w:footnoteRef/>
      </w:r>
      <w:r>
        <w:rPr>
          <w:sz w:val="20"/>
          <w:szCs w:val="20"/>
        </w:rPr>
        <w:t xml:space="preserve"> </w:t>
      </w:r>
      <w:r>
        <w:rPr>
          <w:i/>
          <w:sz w:val="20"/>
          <w:szCs w:val="20"/>
        </w:rPr>
        <w:t>In the Matter of the Long-Term Forecast Report of Dayton Power and Light Company and Related Matters</w:t>
      </w:r>
      <w:r>
        <w:rPr>
          <w:sz w:val="20"/>
          <w:szCs w:val="20"/>
        </w:rPr>
        <w:t>, Case No. 10-505-EL-FOR, Opinion and Order at 2 (Apr. 19, 2011).</w:t>
      </w:r>
    </w:p>
  </w:footnote>
  <w:footnote w:id="23">
    <w:p w:rsidR="007E5911" w:rsidRDefault="007E5911">
      <w:pPr>
        <w:pStyle w:val="FootnoteText"/>
        <w:spacing w:after="120"/>
      </w:pPr>
      <w:r>
        <w:rPr>
          <w:rStyle w:val="FootnoteReference"/>
        </w:rPr>
        <w:footnoteRef/>
      </w:r>
      <w:r>
        <w:t xml:space="preserve"> PUCO Press Release, </w:t>
      </w:r>
      <w:r>
        <w:rPr>
          <w:i/>
          <w:color w:val="000000"/>
        </w:rPr>
        <w:t xml:space="preserve">PUCO revokes AEP-Ohio electric security plan settlement agreement </w:t>
      </w:r>
      <w:r>
        <w:rPr>
          <w:color w:val="000000"/>
        </w:rPr>
        <w:t>(February 23,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4D" w:rsidRDefault="00995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4D" w:rsidRDefault="00995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4D" w:rsidRDefault="009952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7E59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7E59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7E59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7E59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1" w:rsidRDefault="007E5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347"/>
    <w:multiLevelType w:val="hybridMultilevel"/>
    <w:tmpl w:val="2C1CA9AE"/>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EA32B1B"/>
    <w:multiLevelType w:val="hybridMultilevel"/>
    <w:tmpl w:val="AF1427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101B1E"/>
    <w:multiLevelType w:val="hybridMultilevel"/>
    <w:tmpl w:val="E58CC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64161"/>
    <w:multiLevelType w:val="hybridMultilevel"/>
    <w:tmpl w:val="2B4C589E"/>
    <w:lvl w:ilvl="0" w:tplc="F9B08EE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232226"/>
    <w:multiLevelType w:val="hybridMultilevel"/>
    <w:tmpl w:val="B1D85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D13F0"/>
    <w:multiLevelType w:val="hybridMultilevel"/>
    <w:tmpl w:val="415A8C56"/>
    <w:lvl w:ilvl="0" w:tplc="4274AFCE">
      <w:start w:val="1"/>
      <w:numFmt w:val="upperRoman"/>
      <w:lvlText w:val="%1."/>
      <w:lvlJc w:val="left"/>
      <w:pPr>
        <w:ind w:left="1080" w:hanging="720"/>
      </w:pPr>
      <w:rPr>
        <w:rFonts w:hint="default"/>
        <w:b/>
      </w:rPr>
    </w:lvl>
    <w:lvl w:ilvl="1" w:tplc="214CE4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5132FC"/>
    <w:multiLevelType w:val="hybridMultilevel"/>
    <w:tmpl w:val="A2923C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170351"/>
    <w:multiLevelType w:val="hybridMultilevel"/>
    <w:tmpl w:val="AD10D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3"/>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35"/>
    <w:rsid w:val="0001746B"/>
    <w:rsid w:val="00082CE1"/>
    <w:rsid w:val="001A4154"/>
    <w:rsid w:val="001A7BEB"/>
    <w:rsid w:val="001B1E9F"/>
    <w:rsid w:val="001B36CA"/>
    <w:rsid w:val="002305FB"/>
    <w:rsid w:val="00264DC0"/>
    <w:rsid w:val="002A7839"/>
    <w:rsid w:val="003301AD"/>
    <w:rsid w:val="0035530D"/>
    <w:rsid w:val="00361483"/>
    <w:rsid w:val="0038271E"/>
    <w:rsid w:val="003B1035"/>
    <w:rsid w:val="003D42BA"/>
    <w:rsid w:val="00491526"/>
    <w:rsid w:val="004E0028"/>
    <w:rsid w:val="005D1CA4"/>
    <w:rsid w:val="00663937"/>
    <w:rsid w:val="00674933"/>
    <w:rsid w:val="00697F09"/>
    <w:rsid w:val="007263B5"/>
    <w:rsid w:val="007445E9"/>
    <w:rsid w:val="00773C76"/>
    <w:rsid w:val="00777CB3"/>
    <w:rsid w:val="007C6361"/>
    <w:rsid w:val="007E5911"/>
    <w:rsid w:val="00811168"/>
    <w:rsid w:val="008469ED"/>
    <w:rsid w:val="00922269"/>
    <w:rsid w:val="00970EEE"/>
    <w:rsid w:val="0099524D"/>
    <w:rsid w:val="009A4170"/>
    <w:rsid w:val="009B7ECE"/>
    <w:rsid w:val="00AB0F5C"/>
    <w:rsid w:val="00AC7EA7"/>
    <w:rsid w:val="00B25E2B"/>
    <w:rsid w:val="00B94EB6"/>
    <w:rsid w:val="00D27521"/>
    <w:rsid w:val="00D77915"/>
    <w:rsid w:val="00D80FF3"/>
    <w:rsid w:val="00F5002B"/>
    <w:rsid w:val="00F65618"/>
    <w:rsid w:val="00FE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unhideWhenUsed/>
    <w:qFormat/>
    <w:rsid w:val="004A3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cs="Times New Roman"/>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4A338A"/>
    <w:rPr>
      <w:rFonts w:eastAsia="Times New Roman"/>
      <w:szCs w:val="24"/>
    </w:rPr>
  </w:style>
  <w:style w:type="character" w:customStyle="1" w:styleId="BodyTextChar">
    <w:name w:val="Body Text Char"/>
    <w:basedOn w:val="DefaultParagraphFont"/>
    <w:link w:val="BodyText"/>
    <w:uiPriority w:val="99"/>
    <w:rsid w:val="004A338A"/>
    <w:rPr>
      <w:rFonts w:eastAsia="Times New Roman"/>
      <w:szCs w:val="24"/>
    </w:rPr>
  </w:style>
  <w:style w:type="paragraph" w:styleId="BodyText3">
    <w:name w:val="Body Text 3"/>
    <w:basedOn w:val="Normal"/>
    <w:link w:val="BodyText3Char"/>
    <w:rsid w:val="004A338A"/>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4A338A"/>
    <w:rPr>
      <w:rFonts w:ascii="Times New Roman" w:eastAsia="Times New Roman" w:hAnsi="Times New Roman" w:cs="Times New Roman"/>
      <w:b/>
      <w:szCs w:val="20"/>
    </w:rPr>
  </w:style>
  <w:style w:type="character" w:styleId="Hyperlink">
    <w:name w:val="Hyperlink"/>
    <w:basedOn w:val="DefaultParagraphFont"/>
    <w:uiPriority w:val="99"/>
    <w:unhideWhenUsed/>
    <w:rsid w:val="004A338A"/>
    <w:rPr>
      <w:color w:val="0000FF" w:themeColor="hyperlink"/>
      <w:u w:val="single"/>
    </w:rPr>
  </w:style>
  <w:style w:type="character" w:customStyle="1" w:styleId="Heading4Char">
    <w:name w:val="Heading 4 Char"/>
    <w:basedOn w:val="DefaultParagraphFont"/>
    <w:link w:val="Heading4"/>
    <w:uiPriority w:val="99"/>
    <w:semiHidden/>
    <w:rsid w:val="004A338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1204"/>
    <w:rPr>
      <w:rFonts w:ascii="Tahoma" w:hAnsi="Tahoma" w:cs="Tahoma"/>
      <w:sz w:val="16"/>
      <w:szCs w:val="16"/>
    </w:rPr>
  </w:style>
  <w:style w:type="character" w:customStyle="1" w:styleId="BalloonTextChar">
    <w:name w:val="Balloon Text Char"/>
    <w:basedOn w:val="DefaultParagraphFont"/>
    <w:link w:val="BalloonText"/>
    <w:uiPriority w:val="99"/>
    <w:semiHidden/>
    <w:rsid w:val="00261204"/>
    <w:rPr>
      <w:rFonts w:ascii="Tahoma" w:hAnsi="Tahoma" w:cs="Tahoma"/>
      <w:sz w:val="16"/>
      <w:szCs w:val="16"/>
    </w:rPr>
  </w:style>
  <w:style w:type="character" w:styleId="CommentReference">
    <w:name w:val="annotation reference"/>
    <w:basedOn w:val="DefaultParagraphFont"/>
    <w:uiPriority w:val="99"/>
    <w:semiHidden/>
    <w:unhideWhenUsed/>
    <w:rsid w:val="0036671E"/>
    <w:rPr>
      <w:sz w:val="16"/>
      <w:szCs w:val="16"/>
    </w:rPr>
  </w:style>
  <w:style w:type="paragraph" w:styleId="CommentText">
    <w:name w:val="annotation text"/>
    <w:basedOn w:val="Normal"/>
    <w:link w:val="CommentTextChar"/>
    <w:uiPriority w:val="99"/>
    <w:semiHidden/>
    <w:unhideWhenUsed/>
    <w:rsid w:val="0036671E"/>
    <w:rPr>
      <w:sz w:val="20"/>
      <w:szCs w:val="20"/>
    </w:rPr>
  </w:style>
  <w:style w:type="character" w:customStyle="1" w:styleId="CommentTextChar">
    <w:name w:val="Comment Text Char"/>
    <w:basedOn w:val="DefaultParagraphFont"/>
    <w:link w:val="CommentText"/>
    <w:uiPriority w:val="99"/>
    <w:semiHidden/>
    <w:rsid w:val="0036671E"/>
    <w:rPr>
      <w:sz w:val="20"/>
      <w:szCs w:val="20"/>
    </w:rPr>
  </w:style>
  <w:style w:type="paragraph" w:styleId="CommentSubject">
    <w:name w:val="annotation subject"/>
    <w:basedOn w:val="CommentText"/>
    <w:next w:val="CommentText"/>
    <w:link w:val="CommentSubjectChar"/>
    <w:uiPriority w:val="99"/>
    <w:semiHidden/>
    <w:unhideWhenUsed/>
    <w:rsid w:val="0036671E"/>
    <w:rPr>
      <w:b/>
      <w:bCs/>
    </w:rPr>
  </w:style>
  <w:style w:type="character" w:customStyle="1" w:styleId="CommentSubjectChar">
    <w:name w:val="Comment Subject Char"/>
    <w:basedOn w:val="CommentTextChar"/>
    <w:link w:val="CommentSubject"/>
    <w:uiPriority w:val="99"/>
    <w:semiHidden/>
    <w:rsid w:val="0036671E"/>
    <w:rPr>
      <w:b/>
      <w:bCs/>
      <w:sz w:val="20"/>
      <w:szCs w:val="20"/>
    </w:rPr>
  </w:style>
  <w:style w:type="paragraph" w:styleId="Revision">
    <w:name w:val="Revision"/>
    <w:hidden/>
    <w:uiPriority w:val="99"/>
    <w:semiHidden/>
    <w:rsid w:val="0036671E"/>
    <w:pPr>
      <w:jc w:val="left"/>
    </w:pPr>
  </w:style>
  <w:style w:type="paragraph" w:styleId="BodyTextIndent2">
    <w:name w:val="Body Text Indent 2"/>
    <w:basedOn w:val="Normal"/>
    <w:link w:val="BodyTextIndent2Char"/>
    <w:uiPriority w:val="99"/>
    <w:semiHidden/>
    <w:unhideWhenUsed/>
    <w:rsid w:val="00337D13"/>
    <w:pPr>
      <w:spacing w:after="120" w:line="480" w:lineRule="auto"/>
      <w:ind w:left="360"/>
    </w:pPr>
  </w:style>
  <w:style w:type="character" w:customStyle="1" w:styleId="BodyTextIndent2Char">
    <w:name w:val="Body Text Indent 2 Char"/>
    <w:basedOn w:val="DefaultParagraphFont"/>
    <w:link w:val="BodyTextIndent2"/>
    <w:uiPriority w:val="99"/>
    <w:semiHidden/>
    <w:rsid w:val="00337D13"/>
  </w:style>
  <w:style w:type="paragraph" w:styleId="Title">
    <w:name w:val="Title"/>
    <w:basedOn w:val="Normal"/>
    <w:link w:val="TitleChar"/>
    <w:qFormat/>
    <w:rsid w:val="00337D13"/>
    <w:pPr>
      <w:jc w:val="center"/>
    </w:pPr>
    <w:rPr>
      <w:rFonts w:eastAsia="Times New Roman"/>
      <w:b/>
      <w:smallCaps/>
      <w:sz w:val="32"/>
      <w:szCs w:val="24"/>
    </w:rPr>
  </w:style>
  <w:style w:type="character" w:customStyle="1" w:styleId="TitleChar">
    <w:name w:val="Title Char"/>
    <w:basedOn w:val="DefaultParagraphFont"/>
    <w:link w:val="Title"/>
    <w:rsid w:val="00337D13"/>
    <w:rPr>
      <w:rFonts w:eastAsia="Times New Roman"/>
      <w:b/>
      <w:smallCaps/>
      <w:sz w:val="32"/>
      <w:szCs w:val="24"/>
    </w:rPr>
  </w:style>
  <w:style w:type="character" w:styleId="FollowedHyperlink">
    <w:name w:val="FollowedHyperlink"/>
    <w:basedOn w:val="DefaultParagraphFont"/>
    <w:uiPriority w:val="99"/>
    <w:semiHidden/>
    <w:unhideWhenUsed/>
    <w:rsid w:val="00F01770"/>
    <w:rPr>
      <w:color w:val="800080" w:themeColor="followedHyperlink"/>
      <w:u w:val="single"/>
    </w:rPr>
  </w:style>
  <w:style w:type="paragraph" w:styleId="HTMLPreformatted">
    <w:name w:val="HTML Preformatted"/>
    <w:basedOn w:val="Normal"/>
    <w:link w:val="HTMLPreformattedChar"/>
    <w:rsid w:val="002A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A7839"/>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unhideWhenUsed/>
    <w:qFormat/>
    <w:rsid w:val="004A3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cs="Times New Roman"/>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4A338A"/>
    <w:rPr>
      <w:rFonts w:eastAsia="Times New Roman"/>
      <w:szCs w:val="24"/>
    </w:rPr>
  </w:style>
  <w:style w:type="character" w:customStyle="1" w:styleId="BodyTextChar">
    <w:name w:val="Body Text Char"/>
    <w:basedOn w:val="DefaultParagraphFont"/>
    <w:link w:val="BodyText"/>
    <w:uiPriority w:val="99"/>
    <w:rsid w:val="004A338A"/>
    <w:rPr>
      <w:rFonts w:eastAsia="Times New Roman"/>
      <w:szCs w:val="24"/>
    </w:rPr>
  </w:style>
  <w:style w:type="paragraph" w:styleId="BodyText3">
    <w:name w:val="Body Text 3"/>
    <w:basedOn w:val="Normal"/>
    <w:link w:val="BodyText3Char"/>
    <w:rsid w:val="004A338A"/>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4A338A"/>
    <w:rPr>
      <w:rFonts w:ascii="Times New Roman" w:eastAsia="Times New Roman" w:hAnsi="Times New Roman" w:cs="Times New Roman"/>
      <w:b/>
      <w:szCs w:val="20"/>
    </w:rPr>
  </w:style>
  <w:style w:type="character" w:styleId="Hyperlink">
    <w:name w:val="Hyperlink"/>
    <w:basedOn w:val="DefaultParagraphFont"/>
    <w:uiPriority w:val="99"/>
    <w:unhideWhenUsed/>
    <w:rsid w:val="004A338A"/>
    <w:rPr>
      <w:color w:val="0000FF" w:themeColor="hyperlink"/>
      <w:u w:val="single"/>
    </w:rPr>
  </w:style>
  <w:style w:type="character" w:customStyle="1" w:styleId="Heading4Char">
    <w:name w:val="Heading 4 Char"/>
    <w:basedOn w:val="DefaultParagraphFont"/>
    <w:link w:val="Heading4"/>
    <w:uiPriority w:val="99"/>
    <w:semiHidden/>
    <w:rsid w:val="004A338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1204"/>
    <w:rPr>
      <w:rFonts w:ascii="Tahoma" w:hAnsi="Tahoma" w:cs="Tahoma"/>
      <w:sz w:val="16"/>
      <w:szCs w:val="16"/>
    </w:rPr>
  </w:style>
  <w:style w:type="character" w:customStyle="1" w:styleId="BalloonTextChar">
    <w:name w:val="Balloon Text Char"/>
    <w:basedOn w:val="DefaultParagraphFont"/>
    <w:link w:val="BalloonText"/>
    <w:uiPriority w:val="99"/>
    <w:semiHidden/>
    <w:rsid w:val="00261204"/>
    <w:rPr>
      <w:rFonts w:ascii="Tahoma" w:hAnsi="Tahoma" w:cs="Tahoma"/>
      <w:sz w:val="16"/>
      <w:szCs w:val="16"/>
    </w:rPr>
  </w:style>
  <w:style w:type="character" w:styleId="CommentReference">
    <w:name w:val="annotation reference"/>
    <w:basedOn w:val="DefaultParagraphFont"/>
    <w:uiPriority w:val="99"/>
    <w:semiHidden/>
    <w:unhideWhenUsed/>
    <w:rsid w:val="0036671E"/>
    <w:rPr>
      <w:sz w:val="16"/>
      <w:szCs w:val="16"/>
    </w:rPr>
  </w:style>
  <w:style w:type="paragraph" w:styleId="CommentText">
    <w:name w:val="annotation text"/>
    <w:basedOn w:val="Normal"/>
    <w:link w:val="CommentTextChar"/>
    <w:uiPriority w:val="99"/>
    <w:semiHidden/>
    <w:unhideWhenUsed/>
    <w:rsid w:val="0036671E"/>
    <w:rPr>
      <w:sz w:val="20"/>
      <w:szCs w:val="20"/>
    </w:rPr>
  </w:style>
  <w:style w:type="character" w:customStyle="1" w:styleId="CommentTextChar">
    <w:name w:val="Comment Text Char"/>
    <w:basedOn w:val="DefaultParagraphFont"/>
    <w:link w:val="CommentText"/>
    <w:uiPriority w:val="99"/>
    <w:semiHidden/>
    <w:rsid w:val="0036671E"/>
    <w:rPr>
      <w:sz w:val="20"/>
      <w:szCs w:val="20"/>
    </w:rPr>
  </w:style>
  <w:style w:type="paragraph" w:styleId="CommentSubject">
    <w:name w:val="annotation subject"/>
    <w:basedOn w:val="CommentText"/>
    <w:next w:val="CommentText"/>
    <w:link w:val="CommentSubjectChar"/>
    <w:uiPriority w:val="99"/>
    <w:semiHidden/>
    <w:unhideWhenUsed/>
    <w:rsid w:val="0036671E"/>
    <w:rPr>
      <w:b/>
      <w:bCs/>
    </w:rPr>
  </w:style>
  <w:style w:type="character" w:customStyle="1" w:styleId="CommentSubjectChar">
    <w:name w:val="Comment Subject Char"/>
    <w:basedOn w:val="CommentTextChar"/>
    <w:link w:val="CommentSubject"/>
    <w:uiPriority w:val="99"/>
    <w:semiHidden/>
    <w:rsid w:val="0036671E"/>
    <w:rPr>
      <w:b/>
      <w:bCs/>
      <w:sz w:val="20"/>
      <w:szCs w:val="20"/>
    </w:rPr>
  </w:style>
  <w:style w:type="paragraph" w:styleId="Revision">
    <w:name w:val="Revision"/>
    <w:hidden/>
    <w:uiPriority w:val="99"/>
    <w:semiHidden/>
    <w:rsid w:val="0036671E"/>
    <w:pPr>
      <w:jc w:val="left"/>
    </w:pPr>
  </w:style>
  <w:style w:type="paragraph" w:styleId="BodyTextIndent2">
    <w:name w:val="Body Text Indent 2"/>
    <w:basedOn w:val="Normal"/>
    <w:link w:val="BodyTextIndent2Char"/>
    <w:uiPriority w:val="99"/>
    <w:semiHidden/>
    <w:unhideWhenUsed/>
    <w:rsid w:val="00337D13"/>
    <w:pPr>
      <w:spacing w:after="120" w:line="480" w:lineRule="auto"/>
      <w:ind w:left="360"/>
    </w:pPr>
  </w:style>
  <w:style w:type="character" w:customStyle="1" w:styleId="BodyTextIndent2Char">
    <w:name w:val="Body Text Indent 2 Char"/>
    <w:basedOn w:val="DefaultParagraphFont"/>
    <w:link w:val="BodyTextIndent2"/>
    <w:uiPriority w:val="99"/>
    <w:semiHidden/>
    <w:rsid w:val="00337D13"/>
  </w:style>
  <w:style w:type="paragraph" w:styleId="Title">
    <w:name w:val="Title"/>
    <w:basedOn w:val="Normal"/>
    <w:link w:val="TitleChar"/>
    <w:qFormat/>
    <w:rsid w:val="00337D13"/>
    <w:pPr>
      <w:jc w:val="center"/>
    </w:pPr>
    <w:rPr>
      <w:rFonts w:eastAsia="Times New Roman"/>
      <w:b/>
      <w:smallCaps/>
      <w:sz w:val="32"/>
      <w:szCs w:val="24"/>
    </w:rPr>
  </w:style>
  <w:style w:type="character" w:customStyle="1" w:styleId="TitleChar">
    <w:name w:val="Title Char"/>
    <w:basedOn w:val="DefaultParagraphFont"/>
    <w:link w:val="Title"/>
    <w:rsid w:val="00337D13"/>
    <w:rPr>
      <w:rFonts w:eastAsia="Times New Roman"/>
      <w:b/>
      <w:smallCaps/>
      <w:sz w:val="32"/>
      <w:szCs w:val="24"/>
    </w:rPr>
  </w:style>
  <w:style w:type="character" w:styleId="FollowedHyperlink">
    <w:name w:val="FollowedHyperlink"/>
    <w:basedOn w:val="DefaultParagraphFont"/>
    <w:uiPriority w:val="99"/>
    <w:semiHidden/>
    <w:unhideWhenUsed/>
    <w:rsid w:val="00F01770"/>
    <w:rPr>
      <w:color w:val="800080" w:themeColor="followedHyperlink"/>
      <w:u w:val="single"/>
    </w:rPr>
  </w:style>
  <w:style w:type="paragraph" w:styleId="HTMLPreformatted">
    <w:name w:val="HTML Preformatted"/>
    <w:basedOn w:val="Normal"/>
    <w:link w:val="HTMLPreformattedChar"/>
    <w:rsid w:val="002A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A7839"/>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C330C-F59F-4816-B4A1-C0899AB0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4360</Words>
  <Characters>24983</Characters>
  <Application>Microsoft Office Word</Application>
  <DocSecurity>0</DocSecurity>
  <PresentationFormat/>
  <Lines>886</Lines>
  <Paragraphs>504</Paragraphs>
  <ScaleCrop>false</ScaleCrop>
  <HeadingPairs>
    <vt:vector size="2" baseType="variant">
      <vt:variant>
        <vt:lpstr>Title</vt:lpstr>
      </vt:variant>
      <vt:variant>
        <vt:i4>1</vt:i4>
      </vt:variant>
    </vt:vector>
  </HeadingPairs>
  <TitlesOfParts>
    <vt:vector size="1" baseType="lpstr">
      <vt:lpstr>Memo Contra DP&amp;L's ESP Waiver Request 12-426-EL-SSO, et al. (C38899-2).DOCX</vt:lpstr>
    </vt:vector>
  </TitlesOfParts>
  <LinksUpToDate>false</LinksUpToDate>
  <CharactersWithSpaces>29029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DP&amp;L's ESP Waiver Request 12-426-EL-SSO, et al. (C38899-2).DOCX</dc:title>
  <dc:subject>C38899:2 /font=8</dc:subject>
  <dc:creator/>
  <cp:lastModifiedBy/>
  <cp:revision>1</cp:revision>
  <cp:lastPrinted>2012-10-22T19:28:00Z</cp:lastPrinted>
  <dcterms:created xsi:type="dcterms:W3CDTF">2012-10-22T19:32:00Z</dcterms:created>
  <dcterms:modified xsi:type="dcterms:W3CDTF">2012-10-22T19:32:00Z</dcterms:modified>
</cp:coreProperties>
</file>