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80" w:rsidRDefault="00FA3180" w:rsidP="00FA3180">
      <w:pPr>
        <w:tabs>
          <w:tab w:val="center" w:pos="4680"/>
          <w:tab w:val="right" w:pos="9360"/>
        </w:tabs>
        <w:spacing w:after="260"/>
        <w:rPr>
          <w:noProof/>
          <w:sz w:val="22"/>
        </w:rPr>
      </w:pPr>
    </w:p>
    <w:p w:rsidR="00FA3180" w:rsidRDefault="00FA3180" w:rsidP="00FA3180">
      <w:pPr>
        <w:tabs>
          <w:tab w:val="center" w:pos="4680"/>
          <w:tab w:val="right" w:pos="9360"/>
        </w:tabs>
        <w:spacing w:after="260"/>
        <w:rPr>
          <w:noProof/>
          <w:sz w:val="22"/>
        </w:rPr>
      </w:pPr>
    </w:p>
    <w:p w:rsidR="00FA3180" w:rsidRDefault="00FA3180" w:rsidP="00FA3180">
      <w:pPr>
        <w:tabs>
          <w:tab w:val="center" w:pos="4680"/>
          <w:tab w:val="right" w:pos="9360"/>
        </w:tabs>
        <w:spacing w:after="260"/>
        <w:rPr>
          <w:noProof/>
          <w:sz w:val="22"/>
        </w:rPr>
      </w:pPr>
    </w:p>
    <w:p w:rsidR="00FA3180" w:rsidRPr="00AC46AE" w:rsidRDefault="00FA3180" w:rsidP="00FA3180">
      <w:pPr>
        <w:tabs>
          <w:tab w:val="center" w:pos="4680"/>
          <w:tab w:val="right" w:pos="9360"/>
        </w:tabs>
        <w:spacing w:after="260"/>
        <w:rPr>
          <w:sz w:val="22"/>
        </w:rPr>
      </w:pPr>
      <w:r>
        <w:rPr>
          <w:noProof/>
          <w:sz w:val="22"/>
        </w:rPr>
        <w:t>April 30</w:t>
      </w:r>
      <w:r w:rsidRPr="00AC46AE">
        <w:rPr>
          <w:noProof/>
          <w:sz w:val="22"/>
        </w:rPr>
        <w:t>, 2012</w:t>
      </w:r>
    </w:p>
    <w:p w:rsidR="00FA3180" w:rsidRPr="00AC46AE" w:rsidRDefault="00FA3180" w:rsidP="00FA3180">
      <w:pPr>
        <w:tabs>
          <w:tab w:val="center" w:pos="4680"/>
          <w:tab w:val="right" w:pos="9360"/>
        </w:tabs>
        <w:spacing w:after="120"/>
        <w:rPr>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A3180" w:rsidRPr="00AC46AE" w:rsidTr="00571ED5">
        <w:trPr>
          <w:cantSplit/>
          <w:jc w:val="center"/>
        </w:trPr>
        <w:tc>
          <w:tcPr>
            <w:tcW w:w="5400" w:type="dxa"/>
          </w:tcPr>
          <w:p w:rsidR="00FA3180" w:rsidRPr="00AC46AE" w:rsidRDefault="00FA3180" w:rsidP="00571ED5">
            <w:pPr>
              <w:rPr>
                <w:sz w:val="22"/>
              </w:rPr>
            </w:pPr>
            <w:proofErr w:type="spellStart"/>
            <w:r w:rsidRPr="00AC46AE">
              <w:rPr>
                <w:sz w:val="22"/>
              </w:rPr>
              <w:t>Barcy</w:t>
            </w:r>
            <w:proofErr w:type="spellEnd"/>
            <w:r w:rsidRPr="00AC46AE">
              <w:rPr>
                <w:sz w:val="22"/>
              </w:rPr>
              <w:t xml:space="preserve"> McNeal, Secretary</w:t>
            </w:r>
          </w:p>
          <w:p w:rsidR="00FA3180" w:rsidRPr="00AC46AE" w:rsidRDefault="00FA3180" w:rsidP="00571ED5">
            <w:pPr>
              <w:rPr>
                <w:sz w:val="22"/>
              </w:rPr>
            </w:pPr>
            <w:r w:rsidRPr="00AC46AE">
              <w:rPr>
                <w:sz w:val="22"/>
              </w:rPr>
              <w:t xml:space="preserve">The Public Utilities Commission of </w:t>
            </w:r>
            <w:smartTag w:uri="urn:schemas-microsoft-com:office:smarttags" w:element="State">
              <w:smartTag w:uri="urn:schemas-microsoft-com:office:smarttags" w:element="place">
                <w:r w:rsidRPr="00AC46AE">
                  <w:rPr>
                    <w:sz w:val="22"/>
                  </w:rPr>
                  <w:t>Ohio</w:t>
                </w:r>
              </w:smartTag>
            </w:smartTag>
          </w:p>
          <w:p w:rsidR="00FA3180" w:rsidRPr="00AC46AE" w:rsidRDefault="00FA3180" w:rsidP="00571ED5">
            <w:pPr>
              <w:rPr>
                <w:sz w:val="22"/>
              </w:rPr>
            </w:pPr>
            <w:smartTag w:uri="urn:schemas-microsoft-com:office:smarttags" w:element="Street">
              <w:smartTag w:uri="urn:schemas-microsoft-com:office:smarttags" w:element="address">
                <w:r w:rsidRPr="00AC46AE">
                  <w:rPr>
                    <w:sz w:val="22"/>
                  </w:rPr>
                  <w:t>180 East Broad Street</w:t>
                </w:r>
              </w:smartTag>
            </w:smartTag>
          </w:p>
          <w:p w:rsidR="00FA3180" w:rsidRPr="00AC46AE" w:rsidRDefault="00FA3180" w:rsidP="00571ED5">
            <w:pPr>
              <w:rPr>
                <w:sz w:val="22"/>
              </w:rPr>
            </w:pPr>
            <w:smartTag w:uri="urn:schemas-microsoft-com:office:smarttags" w:element="place">
              <w:smartTag w:uri="urn:schemas:contacts" w:element="nameSuffix">
                <w:r w:rsidRPr="00AC46AE">
                  <w:rPr>
                    <w:sz w:val="22"/>
                  </w:rPr>
                  <w:t>Columbus</w:t>
                </w:r>
              </w:smartTag>
              <w:r w:rsidRPr="00AC46AE">
                <w:rPr>
                  <w:sz w:val="22"/>
                </w:rPr>
                <w:t xml:space="preserve">, </w:t>
              </w:r>
              <w:smartTag w:uri="urn:schemas-microsoft-com:office:smarttags" w:element="State">
                <w:r w:rsidRPr="00AC46AE">
                  <w:rPr>
                    <w:sz w:val="22"/>
                  </w:rPr>
                  <w:t>Ohio</w:t>
                </w:r>
              </w:smartTag>
              <w:r w:rsidRPr="00AC46AE">
                <w:rPr>
                  <w:sz w:val="22"/>
                </w:rPr>
                <w:t xml:space="preserve"> </w:t>
              </w:r>
              <w:smartTag w:uri="urn:schemas-microsoft-com:office:smarttags" w:element="PostalCode">
                <w:r w:rsidRPr="00AC46AE">
                  <w:rPr>
                    <w:sz w:val="22"/>
                  </w:rPr>
                  <w:t>43215</w:t>
                </w:r>
              </w:smartTag>
            </w:smartTag>
          </w:p>
        </w:tc>
        <w:tc>
          <w:tcPr>
            <w:tcW w:w="3960" w:type="dxa"/>
          </w:tcPr>
          <w:p w:rsidR="00FA3180" w:rsidRPr="00AC46AE" w:rsidRDefault="00FA3180" w:rsidP="00571ED5"/>
        </w:tc>
      </w:tr>
    </w:tbl>
    <w:p w:rsidR="00FA3180" w:rsidRPr="00AC46AE" w:rsidRDefault="00FA3180" w:rsidP="00FA3180">
      <w:pPr>
        <w:spacing w:after="360"/>
        <w:ind w:left="720" w:hanging="730"/>
        <w:rPr>
          <w:sz w:val="22"/>
          <w:szCs w:val="22"/>
          <w:u w:val="single"/>
        </w:rPr>
      </w:pPr>
      <w:r w:rsidRPr="00AC46AE">
        <w:rPr>
          <w:smallCaps/>
          <w:sz w:val="22"/>
        </w:rPr>
        <w:t>Re:</w:t>
      </w:r>
      <w:r w:rsidRPr="00AC46AE">
        <w:rPr>
          <w:sz w:val="22"/>
        </w:rPr>
        <w:tab/>
        <w:t xml:space="preserve">In the Matter of the Application </w:t>
      </w:r>
      <w:proofErr w:type="spellStart"/>
      <w:r>
        <w:rPr>
          <w:sz w:val="22"/>
        </w:rPr>
        <w:t>Pattersonville</w:t>
      </w:r>
      <w:proofErr w:type="spellEnd"/>
      <w:r>
        <w:rPr>
          <w:sz w:val="22"/>
        </w:rPr>
        <w:t xml:space="preserve"> Telephone Company to Obtain </w:t>
      </w:r>
      <w:proofErr w:type="spellStart"/>
      <w:r>
        <w:rPr>
          <w:sz w:val="22"/>
        </w:rPr>
        <w:t>BLES</w:t>
      </w:r>
      <w:proofErr w:type="spellEnd"/>
      <w:r>
        <w:rPr>
          <w:sz w:val="22"/>
        </w:rPr>
        <w:t xml:space="preserve"> Pricing Flexibility, </w:t>
      </w:r>
      <w:proofErr w:type="spellStart"/>
      <w:r>
        <w:rPr>
          <w:sz w:val="22"/>
        </w:rPr>
        <w:t>TRF</w:t>
      </w:r>
      <w:proofErr w:type="spellEnd"/>
      <w:r>
        <w:rPr>
          <w:sz w:val="22"/>
        </w:rPr>
        <w:t xml:space="preserve"> Docket No. 90-5035-</w:t>
      </w:r>
      <w:proofErr w:type="spellStart"/>
      <w:r>
        <w:rPr>
          <w:sz w:val="22"/>
        </w:rPr>
        <w:t>TP</w:t>
      </w:r>
      <w:proofErr w:type="spellEnd"/>
      <w:r>
        <w:rPr>
          <w:sz w:val="22"/>
        </w:rPr>
        <w:t>-</w:t>
      </w:r>
      <w:proofErr w:type="spellStart"/>
      <w:r>
        <w:rPr>
          <w:sz w:val="22"/>
        </w:rPr>
        <w:t>TRF</w:t>
      </w:r>
      <w:proofErr w:type="spellEnd"/>
      <w:r>
        <w:rPr>
          <w:sz w:val="22"/>
        </w:rPr>
        <w:t xml:space="preserve"> and</w:t>
      </w:r>
      <w:r w:rsidRPr="00AC46AE">
        <w:rPr>
          <w:sz w:val="22"/>
        </w:rPr>
        <w:t xml:space="preserve"> </w:t>
      </w:r>
      <w:r>
        <w:rPr>
          <w:sz w:val="22"/>
        </w:rPr>
        <w:t>PUCO Case No. 12-1110</w:t>
      </w:r>
      <w:r w:rsidRPr="00AC46AE">
        <w:rPr>
          <w:sz w:val="22"/>
        </w:rPr>
        <w:t>-</w:t>
      </w:r>
      <w:proofErr w:type="spellStart"/>
      <w:r w:rsidRPr="00AC46AE">
        <w:rPr>
          <w:sz w:val="22"/>
        </w:rPr>
        <w:t>TP</w:t>
      </w:r>
      <w:proofErr w:type="spellEnd"/>
      <w:r w:rsidRPr="00AC46AE">
        <w:rPr>
          <w:sz w:val="22"/>
        </w:rPr>
        <w:t>-</w:t>
      </w:r>
      <w:proofErr w:type="spellStart"/>
      <w:r>
        <w:rPr>
          <w:sz w:val="22"/>
        </w:rPr>
        <w:t>BLS</w:t>
      </w:r>
      <w:proofErr w:type="spellEnd"/>
    </w:p>
    <w:p w:rsidR="00FA3180" w:rsidRPr="00AC46AE" w:rsidRDefault="00FA3180" w:rsidP="00FA3180">
      <w:pPr>
        <w:spacing w:after="260"/>
        <w:rPr>
          <w:sz w:val="22"/>
        </w:rPr>
      </w:pPr>
      <w:r w:rsidRPr="00AC46AE">
        <w:rPr>
          <w:sz w:val="22"/>
        </w:rPr>
        <w:t xml:space="preserve">Dear </w:t>
      </w:r>
      <w:smartTag w:uri="urn:schemas:contacts" w:element="title">
        <w:r w:rsidRPr="00AC46AE">
          <w:rPr>
            <w:sz w:val="22"/>
          </w:rPr>
          <w:t>Ms.</w:t>
        </w:r>
      </w:smartTag>
      <w:r w:rsidRPr="00AC46AE">
        <w:rPr>
          <w:sz w:val="22"/>
        </w:rPr>
        <w:t xml:space="preserve"> McNeal:</w:t>
      </w:r>
    </w:p>
    <w:p w:rsidR="00FA3180" w:rsidRDefault="00FA3180" w:rsidP="00FA3180">
      <w:pPr>
        <w:spacing w:after="260"/>
        <w:rPr>
          <w:sz w:val="22"/>
        </w:rPr>
      </w:pPr>
      <w:r w:rsidRPr="00AC46AE">
        <w:rPr>
          <w:sz w:val="22"/>
        </w:rPr>
        <w:t xml:space="preserve">Attached </w:t>
      </w:r>
      <w:r>
        <w:rPr>
          <w:sz w:val="22"/>
        </w:rPr>
        <w:t xml:space="preserve">please find </w:t>
      </w:r>
      <w:r w:rsidR="001E07A6">
        <w:rPr>
          <w:sz w:val="22"/>
        </w:rPr>
        <w:t>a final tariff sheet</w:t>
      </w:r>
      <w:r w:rsidRPr="00AC46AE">
        <w:rPr>
          <w:sz w:val="22"/>
        </w:rPr>
        <w:t xml:space="preserve"> be filed on behalf of </w:t>
      </w:r>
      <w:proofErr w:type="spellStart"/>
      <w:r>
        <w:rPr>
          <w:sz w:val="22"/>
        </w:rPr>
        <w:t>Patt</w:t>
      </w:r>
      <w:bookmarkStart w:id="0" w:name="_GoBack"/>
      <w:bookmarkEnd w:id="0"/>
      <w:r>
        <w:rPr>
          <w:sz w:val="22"/>
        </w:rPr>
        <w:t>ersonville</w:t>
      </w:r>
      <w:proofErr w:type="spellEnd"/>
      <w:r>
        <w:rPr>
          <w:sz w:val="22"/>
        </w:rPr>
        <w:t xml:space="preserve"> Telephone Company</w:t>
      </w:r>
      <w:r w:rsidRPr="00AC46AE">
        <w:rPr>
          <w:sz w:val="22"/>
        </w:rPr>
        <w:t xml:space="preserve"> in the above-referenced mat</w:t>
      </w:r>
      <w:r>
        <w:rPr>
          <w:sz w:val="22"/>
        </w:rPr>
        <w:t xml:space="preserve">ter.  </w:t>
      </w:r>
    </w:p>
    <w:p w:rsidR="00FA3180" w:rsidRPr="00AC46AE" w:rsidRDefault="00FA3180" w:rsidP="00FA3180">
      <w:pPr>
        <w:spacing w:after="260"/>
        <w:rPr>
          <w:sz w:val="22"/>
        </w:rPr>
      </w:pPr>
      <w:r w:rsidRPr="00AC46AE">
        <w:rPr>
          <w:sz w:val="22"/>
        </w:rPr>
        <w:t>Please contact me with any questions.</w:t>
      </w:r>
    </w:p>
    <w:p w:rsidR="00FA3180" w:rsidRPr="00AC46AE" w:rsidRDefault="00FA3180" w:rsidP="00FA3180">
      <w:pPr>
        <w:rPr>
          <w:sz w:val="22"/>
        </w:rPr>
      </w:pPr>
      <w:r w:rsidRPr="00AC46AE">
        <w:rPr>
          <w:sz w:val="22"/>
        </w:rPr>
        <w:t>Very truly yours,</w:t>
      </w:r>
    </w:p>
    <w:p w:rsidR="00FA3180" w:rsidRPr="00AC46AE" w:rsidRDefault="00FA3180" w:rsidP="00FA3180">
      <w:pPr>
        <w:rPr>
          <w:sz w:val="22"/>
        </w:rPr>
      </w:pPr>
    </w:p>
    <w:p w:rsidR="00FA3180" w:rsidRPr="00AC46AE" w:rsidRDefault="00FA3180" w:rsidP="00FA3180">
      <w:pPr>
        <w:rPr>
          <w:sz w:val="22"/>
        </w:rPr>
      </w:pPr>
    </w:p>
    <w:p w:rsidR="00FA3180" w:rsidRPr="00AC46AE" w:rsidRDefault="00FA3180" w:rsidP="00FA3180">
      <w:pPr>
        <w:rPr>
          <w:sz w:val="22"/>
        </w:rPr>
      </w:pPr>
    </w:p>
    <w:p w:rsidR="00FA3180" w:rsidRPr="00AC46AE" w:rsidRDefault="00FA3180" w:rsidP="00FA3180">
      <w:pPr>
        <w:rPr>
          <w:sz w:val="22"/>
        </w:rPr>
      </w:pPr>
      <w:r w:rsidRPr="00AC46AE">
        <w:rPr>
          <w:sz w:val="22"/>
        </w:rPr>
        <w:t xml:space="preserve">/s/ </w:t>
      </w:r>
      <w:smartTag w:uri="urn:schemas-microsoft-com:office:smarttags" w:element="PersonName">
        <w:smartTag w:uri="urn:schemas:contacts" w:element="GivenName">
          <w:r w:rsidRPr="00AC46AE">
            <w:rPr>
              <w:sz w:val="22"/>
            </w:rPr>
            <w:t>Carolyn</w:t>
          </w:r>
        </w:smartTag>
        <w:r w:rsidRPr="00AC46AE">
          <w:rPr>
            <w:sz w:val="22"/>
          </w:rPr>
          <w:t xml:space="preserve"> </w:t>
        </w:r>
        <w:smartTag w:uri="urn:schemas:contacts" w:element="middlename">
          <w:r w:rsidRPr="00AC46AE">
            <w:rPr>
              <w:sz w:val="22"/>
            </w:rPr>
            <w:t>S.</w:t>
          </w:r>
        </w:smartTag>
        <w:r w:rsidRPr="00AC46AE">
          <w:rPr>
            <w:sz w:val="22"/>
          </w:rPr>
          <w:t xml:space="preserve"> </w:t>
        </w:r>
        <w:smartTag w:uri="urn:schemas:contacts" w:element="Sn">
          <w:r w:rsidRPr="00AC46AE">
            <w:rPr>
              <w:sz w:val="22"/>
            </w:rPr>
            <w:t>Flahive</w:t>
          </w:r>
        </w:smartTag>
      </w:smartTag>
    </w:p>
    <w:p w:rsidR="00FA3180" w:rsidRPr="00AC46AE" w:rsidRDefault="00FA3180" w:rsidP="00FA3180">
      <w:pPr>
        <w:rPr>
          <w:sz w:val="22"/>
        </w:rPr>
      </w:pPr>
      <w:smartTag w:uri="urn:schemas-microsoft-com:office:smarttags" w:element="PersonName">
        <w:smartTag w:uri="urn:schemas:contacts" w:element="GivenName">
          <w:r w:rsidRPr="00AC46AE">
            <w:rPr>
              <w:sz w:val="22"/>
            </w:rPr>
            <w:t>Carolyn</w:t>
          </w:r>
        </w:smartTag>
        <w:r w:rsidRPr="00AC46AE">
          <w:rPr>
            <w:sz w:val="22"/>
          </w:rPr>
          <w:t xml:space="preserve"> </w:t>
        </w:r>
        <w:smartTag w:uri="urn:schemas:contacts" w:element="middlename">
          <w:r w:rsidRPr="00AC46AE">
            <w:rPr>
              <w:sz w:val="22"/>
            </w:rPr>
            <w:t>S.</w:t>
          </w:r>
        </w:smartTag>
        <w:r w:rsidRPr="00AC46AE">
          <w:rPr>
            <w:sz w:val="22"/>
          </w:rPr>
          <w:t xml:space="preserve"> </w:t>
        </w:r>
        <w:smartTag w:uri="urn:schemas:contacts" w:element="Sn">
          <w:r w:rsidRPr="00AC46AE">
            <w:rPr>
              <w:sz w:val="22"/>
            </w:rPr>
            <w:t>Flahive</w:t>
          </w:r>
        </w:smartTag>
      </w:smartTag>
    </w:p>
    <w:p w:rsidR="00FA3180" w:rsidRPr="00AC46AE" w:rsidRDefault="00FA3180" w:rsidP="00FA3180">
      <w:pPr>
        <w:rPr>
          <w:sz w:val="22"/>
        </w:rPr>
      </w:pPr>
    </w:p>
    <w:p w:rsidR="00FA3180" w:rsidRPr="00AC46AE" w:rsidRDefault="00FA3180" w:rsidP="00FA3180">
      <w:pPr>
        <w:rPr>
          <w:sz w:val="22"/>
        </w:rPr>
      </w:pPr>
    </w:p>
    <w:p w:rsidR="00FA3180" w:rsidRDefault="001E07A6" w:rsidP="00FA3180">
      <w:pPr>
        <w:rPr>
          <w:sz w:val="22"/>
        </w:rPr>
      </w:pPr>
      <w:r>
        <w:rPr>
          <w:sz w:val="22"/>
        </w:rPr>
        <w:t>Enclosure</w:t>
      </w:r>
    </w:p>
    <w:p w:rsidR="00FA3180" w:rsidRDefault="00FA3180" w:rsidP="00FA3180">
      <w:pPr>
        <w:rPr>
          <w:sz w:val="22"/>
        </w:rPr>
      </w:pPr>
    </w:p>
    <w:p w:rsidR="00FA3180" w:rsidRDefault="00FA3180" w:rsidP="00571ED5">
      <w:pPr>
        <w:jc w:val="center"/>
        <w:rPr>
          <w:sz w:val="22"/>
          <w:szCs w:val="22"/>
          <w:u w:val="single"/>
        </w:rPr>
        <w:sectPr w:rsidR="00FA31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tbl>
      <w:tblPr>
        <w:tblW w:w="10393" w:type="dxa"/>
        <w:tblLayout w:type="fixed"/>
        <w:tblLook w:val="0000" w:firstRow="0" w:lastRow="0" w:firstColumn="0" w:lastColumn="0" w:noHBand="0" w:noVBand="0"/>
      </w:tblPr>
      <w:tblGrid>
        <w:gridCol w:w="468"/>
        <w:gridCol w:w="14"/>
        <w:gridCol w:w="3946"/>
        <w:gridCol w:w="1170"/>
        <w:gridCol w:w="1170"/>
        <w:gridCol w:w="1170"/>
        <w:gridCol w:w="1170"/>
        <w:gridCol w:w="488"/>
        <w:gridCol w:w="236"/>
        <w:gridCol w:w="446"/>
        <w:gridCol w:w="115"/>
      </w:tblGrid>
      <w:tr w:rsidR="003013A4" w:rsidTr="00571ED5">
        <w:trPr>
          <w:gridAfter w:val="1"/>
          <w:wAfter w:w="115" w:type="dxa"/>
          <w:cantSplit/>
          <w:trHeight w:val="315"/>
        </w:trPr>
        <w:tc>
          <w:tcPr>
            <w:tcW w:w="9596" w:type="dxa"/>
            <w:gridSpan w:val="8"/>
          </w:tcPr>
          <w:p w:rsidR="003013A4" w:rsidRDefault="003013A4" w:rsidP="00571ED5">
            <w:pPr>
              <w:jc w:val="center"/>
              <w:rPr>
                <w:sz w:val="22"/>
                <w:szCs w:val="22"/>
                <w:u w:val="single"/>
              </w:rPr>
            </w:pPr>
            <w:r>
              <w:rPr>
                <w:sz w:val="22"/>
                <w:szCs w:val="22"/>
                <w:u w:val="single"/>
              </w:rPr>
              <w:lastRenderedPageBreak/>
              <w:t>EXCHANGE RATES</w:t>
            </w:r>
          </w:p>
          <w:p w:rsidR="003013A4" w:rsidRDefault="003013A4" w:rsidP="00571ED5">
            <w:pPr>
              <w:jc w:val="center"/>
              <w:rPr>
                <w:sz w:val="22"/>
                <w:szCs w:val="22"/>
                <w:u w:val="single"/>
              </w:rPr>
            </w:pPr>
          </w:p>
        </w:tc>
        <w:tc>
          <w:tcPr>
            <w:tcW w:w="682" w:type="dxa"/>
            <w:gridSpan w:val="2"/>
          </w:tcPr>
          <w:p w:rsidR="003013A4" w:rsidRDefault="003013A4" w:rsidP="00571ED5">
            <w:pPr>
              <w:jc w:val="center"/>
              <w:rPr>
                <w:sz w:val="22"/>
                <w:szCs w:val="22"/>
                <w:u w:val="single"/>
              </w:rPr>
            </w:pPr>
          </w:p>
        </w:tc>
      </w:tr>
      <w:tr w:rsidR="003013A4" w:rsidTr="00571ED5">
        <w:trPr>
          <w:gridAfter w:val="1"/>
          <w:wAfter w:w="115" w:type="dxa"/>
          <w:cantSplit/>
          <w:trHeight w:val="315"/>
        </w:trPr>
        <w:tc>
          <w:tcPr>
            <w:tcW w:w="9596" w:type="dxa"/>
            <w:gridSpan w:val="8"/>
          </w:tcPr>
          <w:p w:rsidR="003013A4" w:rsidRDefault="003013A4" w:rsidP="00571ED5">
            <w:pPr>
              <w:rPr>
                <w:sz w:val="22"/>
              </w:rPr>
            </w:pPr>
            <w:r>
              <w:rPr>
                <w:sz w:val="22"/>
              </w:rPr>
              <w:t>The rates hereunder entitle the subscribers to service, without additional charge, to the subscribers connected with the Minerva and Carrollton Exchange of Frontier North Inc.</w:t>
            </w: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9596" w:type="dxa"/>
            <w:gridSpan w:val="8"/>
          </w:tcPr>
          <w:p w:rsidR="003013A4" w:rsidRDefault="003013A4" w:rsidP="00571ED5">
            <w:pPr>
              <w:rPr>
                <w:sz w:val="22"/>
              </w:rPr>
            </w:pP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r>
              <w:rPr>
                <w:sz w:val="22"/>
              </w:rPr>
              <w:t>A.</w:t>
            </w:r>
          </w:p>
        </w:tc>
        <w:tc>
          <w:tcPr>
            <w:tcW w:w="9114" w:type="dxa"/>
            <w:gridSpan w:val="6"/>
          </w:tcPr>
          <w:p w:rsidR="003013A4" w:rsidRDefault="003013A4" w:rsidP="00571ED5">
            <w:pPr>
              <w:rPr>
                <w:sz w:val="22"/>
              </w:rPr>
            </w:pPr>
            <w:r>
              <w:rPr>
                <w:sz w:val="22"/>
              </w:rPr>
              <w:t xml:space="preserve">Within the Base Rate Area, comprising the territory within ½ mile radius from the </w:t>
            </w:r>
            <w:proofErr w:type="spellStart"/>
            <w:r>
              <w:rPr>
                <w:sz w:val="22"/>
              </w:rPr>
              <w:t>Pattersonville</w:t>
            </w:r>
            <w:proofErr w:type="spellEnd"/>
            <w:r>
              <w:rPr>
                <w:sz w:val="22"/>
              </w:rPr>
              <w:t xml:space="preserve"> Central Office:</w:t>
            </w: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p>
        </w:tc>
        <w:tc>
          <w:tcPr>
            <w:tcW w:w="9114" w:type="dxa"/>
            <w:gridSpan w:val="6"/>
          </w:tcPr>
          <w:p w:rsidR="003013A4" w:rsidRDefault="003013A4" w:rsidP="00571ED5">
            <w:pPr>
              <w:rPr>
                <w:sz w:val="22"/>
              </w:rPr>
            </w:pP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68" w:type="dxa"/>
          </w:tcPr>
          <w:p w:rsidR="003013A4" w:rsidRDefault="003013A4" w:rsidP="00571ED5">
            <w:pPr>
              <w:rPr>
                <w:sz w:val="22"/>
              </w:rPr>
            </w:pPr>
          </w:p>
        </w:tc>
        <w:tc>
          <w:tcPr>
            <w:tcW w:w="3960" w:type="dxa"/>
            <w:gridSpan w:val="2"/>
          </w:tcPr>
          <w:p w:rsidR="003013A4" w:rsidRDefault="003013A4" w:rsidP="00571ED5">
            <w:pPr>
              <w:rPr>
                <w:sz w:val="22"/>
              </w:rPr>
            </w:pPr>
          </w:p>
        </w:tc>
        <w:tc>
          <w:tcPr>
            <w:tcW w:w="5850" w:type="dxa"/>
            <w:gridSpan w:val="7"/>
          </w:tcPr>
          <w:p w:rsidR="003013A4" w:rsidRDefault="003013A4" w:rsidP="00571ED5">
            <w:pPr>
              <w:jc w:val="center"/>
              <w:rPr>
                <w:sz w:val="22"/>
                <w:u w:val="single"/>
              </w:rPr>
            </w:pPr>
            <w:r>
              <w:rPr>
                <w:sz w:val="22"/>
                <w:u w:val="single"/>
              </w:rPr>
              <w:t>Net Monthly Rates</w:t>
            </w:r>
          </w:p>
        </w:tc>
      </w:tr>
      <w:tr w:rsidR="003013A4" w:rsidTr="00571ED5">
        <w:trPr>
          <w:gridAfter w:val="1"/>
          <w:wAfter w:w="115" w:type="dxa"/>
          <w:cantSplit/>
          <w:trHeight w:val="315"/>
        </w:trPr>
        <w:tc>
          <w:tcPr>
            <w:tcW w:w="468" w:type="dxa"/>
          </w:tcPr>
          <w:p w:rsidR="003013A4" w:rsidRDefault="003013A4" w:rsidP="00571ED5">
            <w:pPr>
              <w:rPr>
                <w:sz w:val="22"/>
              </w:rPr>
            </w:pPr>
          </w:p>
        </w:tc>
        <w:tc>
          <w:tcPr>
            <w:tcW w:w="3960" w:type="dxa"/>
            <w:gridSpan w:val="2"/>
          </w:tcPr>
          <w:p w:rsidR="003013A4" w:rsidRDefault="003013A4" w:rsidP="00571ED5">
            <w:pPr>
              <w:rPr>
                <w:sz w:val="22"/>
              </w:rPr>
            </w:pPr>
          </w:p>
        </w:tc>
        <w:tc>
          <w:tcPr>
            <w:tcW w:w="1170" w:type="dxa"/>
          </w:tcPr>
          <w:p w:rsidR="003013A4" w:rsidRDefault="003013A4" w:rsidP="00571ED5">
            <w:pPr>
              <w:jc w:val="center"/>
              <w:rPr>
                <w:sz w:val="22"/>
                <w:u w:val="single"/>
              </w:rPr>
            </w:pPr>
            <w:r>
              <w:rPr>
                <w:sz w:val="22"/>
                <w:u w:val="single"/>
              </w:rPr>
              <w:t>Business</w:t>
            </w:r>
          </w:p>
        </w:tc>
        <w:tc>
          <w:tcPr>
            <w:tcW w:w="1170" w:type="dxa"/>
          </w:tcPr>
          <w:p w:rsidR="003013A4" w:rsidRDefault="003013A4" w:rsidP="00571ED5">
            <w:pPr>
              <w:jc w:val="center"/>
              <w:rPr>
                <w:sz w:val="22"/>
                <w:u w:val="single"/>
              </w:rPr>
            </w:pPr>
            <w:r>
              <w:rPr>
                <w:sz w:val="22"/>
                <w:u w:val="single"/>
              </w:rPr>
              <w:t>Maximum Rate</w:t>
            </w:r>
          </w:p>
        </w:tc>
        <w:tc>
          <w:tcPr>
            <w:tcW w:w="1170" w:type="dxa"/>
          </w:tcPr>
          <w:p w:rsidR="003013A4" w:rsidRDefault="003013A4" w:rsidP="00571ED5">
            <w:pPr>
              <w:jc w:val="center"/>
              <w:rPr>
                <w:sz w:val="22"/>
                <w:u w:val="single"/>
              </w:rPr>
            </w:pPr>
            <w:r>
              <w:rPr>
                <w:sz w:val="22"/>
                <w:u w:val="single"/>
              </w:rPr>
              <w:t>Residence</w:t>
            </w:r>
          </w:p>
        </w:tc>
        <w:tc>
          <w:tcPr>
            <w:tcW w:w="1170" w:type="dxa"/>
          </w:tcPr>
          <w:p w:rsidR="003013A4" w:rsidRDefault="003013A4" w:rsidP="00571ED5">
            <w:pPr>
              <w:jc w:val="center"/>
              <w:rPr>
                <w:sz w:val="22"/>
                <w:u w:val="single"/>
              </w:rPr>
            </w:pPr>
            <w:r>
              <w:rPr>
                <w:sz w:val="22"/>
                <w:u w:val="single"/>
              </w:rPr>
              <w:t>Maximum Rate</w:t>
            </w:r>
          </w:p>
        </w:tc>
        <w:tc>
          <w:tcPr>
            <w:tcW w:w="1170" w:type="dxa"/>
            <w:gridSpan w:val="3"/>
          </w:tcPr>
          <w:p w:rsidR="003013A4" w:rsidRDefault="003013A4" w:rsidP="00571ED5">
            <w:pPr>
              <w:jc w:val="center"/>
              <w:rPr>
                <w:sz w:val="22"/>
                <w:u w:val="single"/>
              </w:rPr>
            </w:pPr>
          </w:p>
        </w:tc>
      </w:tr>
      <w:tr w:rsidR="003013A4" w:rsidTr="00571ED5">
        <w:trPr>
          <w:gridAfter w:val="1"/>
          <w:wAfter w:w="115" w:type="dxa"/>
          <w:cantSplit/>
          <w:trHeight w:val="315"/>
        </w:trPr>
        <w:tc>
          <w:tcPr>
            <w:tcW w:w="468" w:type="dxa"/>
          </w:tcPr>
          <w:p w:rsidR="003013A4" w:rsidRDefault="003013A4" w:rsidP="00571ED5">
            <w:pPr>
              <w:rPr>
                <w:sz w:val="22"/>
              </w:rPr>
            </w:pPr>
          </w:p>
        </w:tc>
        <w:tc>
          <w:tcPr>
            <w:tcW w:w="3960" w:type="dxa"/>
            <w:gridSpan w:val="2"/>
          </w:tcPr>
          <w:p w:rsidR="003013A4" w:rsidRDefault="003013A4" w:rsidP="00571ED5">
            <w:pPr>
              <w:rPr>
                <w:sz w:val="22"/>
              </w:rPr>
            </w:pPr>
            <w:r>
              <w:rPr>
                <w:sz w:val="22"/>
              </w:rPr>
              <w:t>Individual line main stations, each</w:t>
            </w:r>
          </w:p>
        </w:tc>
        <w:tc>
          <w:tcPr>
            <w:tcW w:w="1170" w:type="dxa"/>
          </w:tcPr>
          <w:p w:rsidR="003013A4" w:rsidRDefault="003013A4" w:rsidP="00571ED5">
            <w:pPr>
              <w:jc w:val="center"/>
              <w:rPr>
                <w:sz w:val="22"/>
              </w:rPr>
            </w:pPr>
            <w:r>
              <w:rPr>
                <w:sz w:val="22"/>
              </w:rPr>
              <w:t>$7.00</w:t>
            </w:r>
          </w:p>
        </w:tc>
        <w:tc>
          <w:tcPr>
            <w:tcW w:w="1170" w:type="dxa"/>
          </w:tcPr>
          <w:p w:rsidR="003013A4" w:rsidRDefault="003013A4" w:rsidP="00571ED5">
            <w:pPr>
              <w:jc w:val="center"/>
              <w:rPr>
                <w:sz w:val="22"/>
              </w:rPr>
            </w:pPr>
            <w:r>
              <w:rPr>
                <w:sz w:val="22"/>
              </w:rPr>
              <w:t>$7.00</w:t>
            </w:r>
          </w:p>
        </w:tc>
        <w:tc>
          <w:tcPr>
            <w:tcW w:w="1170" w:type="dxa"/>
          </w:tcPr>
          <w:p w:rsidR="003013A4" w:rsidRDefault="003013A4" w:rsidP="00571ED5">
            <w:pPr>
              <w:jc w:val="center"/>
              <w:rPr>
                <w:sz w:val="22"/>
              </w:rPr>
            </w:pPr>
            <w:r>
              <w:rPr>
                <w:sz w:val="22"/>
              </w:rPr>
              <w:t>$6.00</w:t>
            </w:r>
          </w:p>
        </w:tc>
        <w:tc>
          <w:tcPr>
            <w:tcW w:w="1170" w:type="dxa"/>
          </w:tcPr>
          <w:p w:rsidR="003013A4" w:rsidRDefault="003013A4" w:rsidP="00571ED5">
            <w:pPr>
              <w:jc w:val="center"/>
              <w:rPr>
                <w:sz w:val="22"/>
              </w:rPr>
            </w:pPr>
            <w:r>
              <w:rPr>
                <w:sz w:val="22"/>
              </w:rPr>
              <w:t>$6.00</w:t>
            </w:r>
          </w:p>
        </w:tc>
        <w:tc>
          <w:tcPr>
            <w:tcW w:w="1170" w:type="dxa"/>
            <w:gridSpan w:val="3"/>
          </w:tcPr>
          <w:p w:rsidR="003013A4" w:rsidRDefault="003013A4" w:rsidP="00571ED5">
            <w:pPr>
              <w:jc w:val="center"/>
              <w:rPr>
                <w:sz w:val="22"/>
              </w:rPr>
            </w:pPr>
            <w:r>
              <w:rPr>
                <w:sz w:val="22"/>
              </w:rPr>
              <w:t>(I)</w:t>
            </w:r>
          </w:p>
        </w:tc>
      </w:tr>
      <w:tr w:rsidR="003013A4" w:rsidTr="00571ED5">
        <w:trPr>
          <w:gridAfter w:val="1"/>
          <w:wAfter w:w="115" w:type="dxa"/>
          <w:cantSplit/>
          <w:trHeight w:val="315"/>
        </w:trPr>
        <w:tc>
          <w:tcPr>
            <w:tcW w:w="482" w:type="dxa"/>
            <w:gridSpan w:val="2"/>
          </w:tcPr>
          <w:p w:rsidR="003013A4" w:rsidRDefault="003013A4" w:rsidP="00571ED5">
            <w:pPr>
              <w:rPr>
                <w:sz w:val="22"/>
              </w:rPr>
            </w:pPr>
          </w:p>
        </w:tc>
        <w:tc>
          <w:tcPr>
            <w:tcW w:w="9114" w:type="dxa"/>
            <w:gridSpan w:val="6"/>
          </w:tcPr>
          <w:p w:rsidR="003013A4" w:rsidRDefault="003013A4" w:rsidP="00571ED5">
            <w:pPr>
              <w:rPr>
                <w:sz w:val="22"/>
              </w:rPr>
            </w:pP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r>
              <w:rPr>
                <w:sz w:val="22"/>
              </w:rPr>
              <w:t>B.</w:t>
            </w:r>
          </w:p>
        </w:tc>
        <w:tc>
          <w:tcPr>
            <w:tcW w:w="9114" w:type="dxa"/>
            <w:gridSpan w:val="6"/>
          </w:tcPr>
          <w:p w:rsidR="003013A4" w:rsidRDefault="003013A4" w:rsidP="00571ED5">
            <w:pPr>
              <w:rPr>
                <w:sz w:val="22"/>
              </w:rPr>
            </w:pPr>
            <w:r>
              <w:rPr>
                <w:sz w:val="22"/>
              </w:rPr>
              <w:t xml:space="preserve">Outside the Base Rate Area described in “A” above but within 150 feet of any existing rural circuit connection with the </w:t>
            </w:r>
            <w:proofErr w:type="spellStart"/>
            <w:r>
              <w:rPr>
                <w:sz w:val="22"/>
              </w:rPr>
              <w:t>Pattersonville</w:t>
            </w:r>
            <w:proofErr w:type="spellEnd"/>
            <w:r>
              <w:rPr>
                <w:sz w:val="22"/>
              </w:rPr>
              <w:t xml:space="preserve"> Exchange:</w:t>
            </w: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p>
        </w:tc>
        <w:tc>
          <w:tcPr>
            <w:tcW w:w="9114" w:type="dxa"/>
            <w:gridSpan w:val="6"/>
          </w:tcPr>
          <w:p w:rsidR="003013A4" w:rsidRDefault="003013A4" w:rsidP="00571ED5">
            <w:pPr>
              <w:rPr>
                <w:sz w:val="22"/>
              </w:rPr>
            </w:pP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p>
        </w:tc>
        <w:tc>
          <w:tcPr>
            <w:tcW w:w="9114" w:type="dxa"/>
            <w:gridSpan w:val="6"/>
          </w:tcPr>
          <w:p w:rsidR="003013A4" w:rsidRDefault="003013A4" w:rsidP="00571ED5">
            <w:pPr>
              <w:rPr>
                <w:sz w:val="22"/>
              </w:rPr>
            </w:pPr>
            <w:r>
              <w:rPr>
                <w:sz w:val="22"/>
              </w:rPr>
              <w:t>Individual line service will be furnished at the rates specified in “A” above for those grades of service, plus a net monthly mileage charge of 60 cents for each quarter mile or fraction thereof, route measurement, between the Base Rate Area boundary and the subscriber’s location.</w:t>
            </w: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p>
        </w:tc>
        <w:tc>
          <w:tcPr>
            <w:tcW w:w="9114" w:type="dxa"/>
            <w:gridSpan w:val="6"/>
          </w:tcPr>
          <w:p w:rsidR="003013A4" w:rsidRDefault="003013A4" w:rsidP="00571ED5">
            <w:pPr>
              <w:rPr>
                <w:sz w:val="22"/>
              </w:rPr>
            </w:pPr>
          </w:p>
        </w:tc>
        <w:tc>
          <w:tcPr>
            <w:tcW w:w="682" w:type="dxa"/>
            <w:gridSpan w:val="2"/>
          </w:tcPr>
          <w:p w:rsidR="003013A4" w:rsidRDefault="003013A4" w:rsidP="00571ED5">
            <w:pPr>
              <w:rPr>
                <w:sz w:val="22"/>
              </w:rPr>
            </w:pPr>
          </w:p>
        </w:tc>
      </w:tr>
      <w:tr w:rsidR="003013A4" w:rsidTr="00571ED5">
        <w:trPr>
          <w:gridAfter w:val="1"/>
          <w:wAfter w:w="115" w:type="dxa"/>
          <w:cantSplit/>
          <w:trHeight w:val="315"/>
        </w:trPr>
        <w:tc>
          <w:tcPr>
            <w:tcW w:w="9596" w:type="dxa"/>
            <w:gridSpan w:val="8"/>
          </w:tcPr>
          <w:p w:rsidR="003013A4" w:rsidRDefault="003013A4" w:rsidP="00571ED5">
            <w:pPr>
              <w:rPr>
                <w:sz w:val="22"/>
              </w:rPr>
            </w:pPr>
            <w:r>
              <w:rPr>
                <w:sz w:val="22"/>
              </w:rPr>
              <w:t xml:space="preserve">Each of the net monthly rates shown under “A” and “B” above is subject to a delayed payment charge of 25 cents, which may be applied fourteen (14) days after the due date of the bill if payment of all charges for service, including rental for the current month, is not made by the due date.  </w:t>
            </w:r>
          </w:p>
        </w:tc>
        <w:tc>
          <w:tcPr>
            <w:tcW w:w="682" w:type="dxa"/>
            <w:gridSpan w:val="2"/>
          </w:tcPr>
          <w:p w:rsidR="003013A4" w:rsidRDefault="003013A4" w:rsidP="00571ED5">
            <w:pPr>
              <w:rPr>
                <w:sz w:val="22"/>
              </w:rPr>
            </w:pPr>
          </w:p>
        </w:tc>
      </w:tr>
      <w:tr w:rsidR="003013A4" w:rsidTr="00571ED5">
        <w:trPr>
          <w:cantSplit/>
          <w:trHeight w:val="315"/>
        </w:trPr>
        <w:tc>
          <w:tcPr>
            <w:tcW w:w="9596" w:type="dxa"/>
            <w:gridSpan w:val="8"/>
          </w:tcPr>
          <w:p w:rsidR="003013A4" w:rsidRDefault="003013A4" w:rsidP="00571ED5">
            <w:pPr>
              <w:rPr>
                <w:sz w:val="22"/>
              </w:rPr>
            </w:pPr>
          </w:p>
        </w:tc>
        <w:tc>
          <w:tcPr>
            <w:tcW w:w="236" w:type="dxa"/>
          </w:tcPr>
          <w:p w:rsidR="003013A4" w:rsidRDefault="003013A4" w:rsidP="00571ED5">
            <w:pPr>
              <w:rPr>
                <w:sz w:val="22"/>
              </w:rPr>
            </w:pPr>
          </w:p>
        </w:tc>
        <w:tc>
          <w:tcPr>
            <w:tcW w:w="561" w:type="dxa"/>
            <w:gridSpan w:val="2"/>
          </w:tcPr>
          <w:p w:rsidR="003013A4" w:rsidRDefault="003013A4" w:rsidP="00571ED5">
            <w:pPr>
              <w:rPr>
                <w:sz w:val="22"/>
              </w:rPr>
            </w:pPr>
          </w:p>
        </w:tc>
      </w:tr>
      <w:tr w:rsidR="003013A4" w:rsidTr="00571ED5">
        <w:trPr>
          <w:gridAfter w:val="1"/>
          <w:wAfter w:w="115" w:type="dxa"/>
          <w:cantSplit/>
          <w:trHeight w:val="315"/>
        </w:trPr>
        <w:tc>
          <w:tcPr>
            <w:tcW w:w="482" w:type="dxa"/>
            <w:gridSpan w:val="2"/>
          </w:tcPr>
          <w:p w:rsidR="003013A4" w:rsidRDefault="003013A4" w:rsidP="00571ED5">
            <w:pPr>
              <w:rPr>
                <w:sz w:val="22"/>
              </w:rPr>
            </w:pPr>
            <w:r>
              <w:rPr>
                <w:sz w:val="22"/>
              </w:rPr>
              <w:t>C.</w:t>
            </w:r>
          </w:p>
        </w:tc>
        <w:tc>
          <w:tcPr>
            <w:tcW w:w="9114" w:type="dxa"/>
            <w:gridSpan w:val="6"/>
          </w:tcPr>
          <w:p w:rsidR="003013A4" w:rsidRDefault="003013A4" w:rsidP="00571ED5">
            <w:pPr>
              <w:rPr>
                <w:sz w:val="22"/>
                <w:szCs w:val="22"/>
              </w:rPr>
            </w:pPr>
            <w:r>
              <w:rPr>
                <w:sz w:val="22"/>
                <w:szCs w:val="22"/>
              </w:rPr>
              <w:t>Touch Tone service is furnished to residential and business customers at the additional rate of $1.50 per month.</w:t>
            </w:r>
          </w:p>
          <w:p w:rsidR="003013A4" w:rsidRDefault="003013A4" w:rsidP="00571ED5">
            <w:pPr>
              <w:rPr>
                <w:sz w:val="22"/>
              </w:rPr>
            </w:pPr>
          </w:p>
        </w:tc>
        <w:tc>
          <w:tcPr>
            <w:tcW w:w="682" w:type="dxa"/>
            <w:gridSpan w:val="2"/>
          </w:tcPr>
          <w:p w:rsidR="003013A4" w:rsidRDefault="003013A4" w:rsidP="00571ED5">
            <w:pPr>
              <w:rPr>
                <w:sz w:val="22"/>
              </w:rPr>
            </w:pPr>
            <w:r>
              <w:rPr>
                <w:sz w:val="22"/>
              </w:rPr>
              <w:t>(Z)</w:t>
            </w:r>
          </w:p>
        </w:tc>
      </w:tr>
    </w:tbl>
    <w:p w:rsidR="003013A4" w:rsidRDefault="003013A4" w:rsidP="003013A4">
      <w:pPr>
        <w:rPr>
          <w:sz w:val="22"/>
        </w:rPr>
      </w:pPr>
    </w:p>
    <w:p w:rsidR="00757A43" w:rsidRDefault="001C1C21" w:rsidP="00D83C7D">
      <w:pPr>
        <w:pStyle w:val="Body1default"/>
      </w:pPr>
    </w:p>
    <w:sectPr w:rsidR="00757A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A4" w:rsidRDefault="003013A4" w:rsidP="00045AAE">
      <w:r>
        <w:separator/>
      </w:r>
    </w:p>
  </w:endnote>
  <w:endnote w:type="continuationSeparator" w:id="0">
    <w:p w:rsidR="003013A4" w:rsidRDefault="003013A4"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Pr="00FA3180" w:rsidRDefault="00FA3180">
    <w:pPr>
      <w:pStyle w:val="Footer"/>
      <w:rPr>
        <w:sz w:val="18"/>
        <w:szCs w:val="18"/>
      </w:rPr>
    </w:pPr>
    <w:r w:rsidRPr="00FA3180">
      <w:rPr>
        <w:sz w:val="18"/>
        <w:szCs w:val="18"/>
      </w:rPr>
      <w:t xml:space="preserve">Carolyn.Flahive@ThompsonHine.com </w:t>
    </w:r>
    <w:proofErr w:type="spellStart"/>
    <w:r w:rsidRPr="00FA3180">
      <w:rPr>
        <w:sz w:val="18"/>
        <w:szCs w:val="18"/>
      </w:rPr>
      <w:t>Ph</w:t>
    </w:r>
    <w:proofErr w:type="spellEnd"/>
    <w:r w:rsidRPr="00FA3180">
      <w:rPr>
        <w:sz w:val="18"/>
        <w:szCs w:val="18"/>
      </w:rPr>
      <w:t>: 614-469-3294 Fax: 614-469-3361</w:t>
    </w:r>
    <w:r>
      <w:rPr>
        <w:sz w:val="18"/>
        <w:szCs w:val="18"/>
      </w:rPr>
      <w:t xml:space="preserve">                                                        </w:t>
    </w:r>
    <w:r w:rsidRPr="00FA3180">
      <w:rPr>
        <w:rStyle w:val="DocID"/>
      </w:rPr>
      <w:fldChar w:fldCharType="begin"/>
    </w:r>
    <w:r w:rsidRPr="00FA3180">
      <w:rPr>
        <w:rStyle w:val="DocID"/>
      </w:rPr>
      <w:instrText xml:space="preserve"> DOCPROPERTY "DocID" \* MERGEFORMAT </w:instrText>
    </w:r>
    <w:r w:rsidRPr="00FA3180">
      <w:rPr>
        <w:rStyle w:val="DocID"/>
      </w:rPr>
      <w:fldChar w:fldCharType="separate"/>
    </w:r>
    <w:r w:rsidRPr="00FA3180">
      <w:rPr>
        <w:rStyle w:val="DocID"/>
      </w:rPr>
      <w:t>705646.1</w:t>
    </w:r>
    <w:r w:rsidRPr="00FA3180">
      <w:rPr>
        <w:rStyle w:val="DocID"/>
      </w:rPr>
      <w:fldChar w:fldCharType="end"/>
    </w:r>
  </w:p>
  <w:p w:rsidR="00FA3180" w:rsidRDefault="00FA3180">
    <w:pPr>
      <w:pStyle w:val="Footer"/>
    </w:pPr>
  </w:p>
  <w:p w:rsidR="00FA3180" w:rsidRDefault="00FA3180">
    <w:pPr>
      <w:pStyle w:val="Footer"/>
    </w:pPr>
  </w:p>
  <w:p w:rsidR="00FA3180" w:rsidRDefault="00FA3180">
    <w:pPr>
      <w:pStyle w:val="Footer"/>
    </w:pPr>
    <w:r>
      <w:rPr>
        <w:noProof/>
      </w:rPr>
      <w:drawing>
        <wp:anchor distT="0" distB="0" distL="114300" distR="114300" simplePos="0" relativeHeight="251659264" behindDoc="0" locked="0" layoutInCell="1" allowOverlap="1">
          <wp:simplePos x="0" y="0"/>
          <wp:positionH relativeFrom="page">
            <wp:posOffset>876300</wp:posOffset>
          </wp:positionH>
          <wp:positionV relativeFrom="page">
            <wp:posOffset>9180195</wp:posOffset>
          </wp:positionV>
          <wp:extent cx="6020435" cy="600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OGOColumbus52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435" cy="60071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rsidP="003013A4">
    <w:pPr>
      <w:pBdr>
        <w:top w:val="single" w:sz="4" w:space="1" w:color="auto"/>
      </w:pBdr>
      <w:tabs>
        <w:tab w:val="right" w:pos="9360"/>
        <w:tab w:val="left" w:pos="9990"/>
      </w:tabs>
      <w:jc w:val="both"/>
      <w:rPr>
        <w:sz w:val="22"/>
      </w:rPr>
    </w:pPr>
    <w:r>
      <w:rPr>
        <w:sz w:val="22"/>
      </w:rPr>
      <w:t xml:space="preserve">Issued:  </w:t>
    </w:r>
    <w:r>
      <w:rPr>
        <w:sz w:val="22"/>
        <w:u w:val="single"/>
      </w:rPr>
      <w:t>April 30, 2012</w:t>
    </w:r>
    <w:r>
      <w:rPr>
        <w:sz w:val="22"/>
      </w:rPr>
      <w:tab/>
      <w:t xml:space="preserve">Effective:  </w:t>
    </w:r>
    <w:r w:rsidRPr="00A648B3">
      <w:rPr>
        <w:sz w:val="22"/>
        <w:u w:val="single"/>
      </w:rPr>
      <w:t>April 30, 2012</w:t>
    </w:r>
  </w:p>
  <w:p w:rsidR="00FA3180" w:rsidRPr="00A648B3" w:rsidRDefault="00FA3180" w:rsidP="003013A4">
    <w:pPr>
      <w:pStyle w:val="Footer"/>
      <w:jc w:val="center"/>
      <w:rPr>
        <w:sz w:val="22"/>
      </w:rPr>
    </w:pPr>
    <w:r>
      <w:rPr>
        <w:sz w:val="22"/>
      </w:rPr>
      <w:t>In Accordance with Case No. 12-1110-</w:t>
    </w:r>
    <w:proofErr w:type="spellStart"/>
    <w:r>
      <w:rPr>
        <w:sz w:val="22"/>
      </w:rPr>
      <w:t>TP</w:t>
    </w:r>
    <w:proofErr w:type="spellEnd"/>
    <w:r>
      <w:rPr>
        <w:sz w:val="22"/>
      </w:rPr>
      <w:t>-</w:t>
    </w:r>
    <w:proofErr w:type="spellStart"/>
    <w:r>
      <w:rPr>
        <w:sz w:val="22"/>
      </w:rPr>
      <w:t>BLS</w:t>
    </w:r>
    <w:proofErr w:type="spellEnd"/>
  </w:p>
  <w:p w:rsidR="00FA3180" w:rsidRDefault="00FA3180" w:rsidP="003013A4">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FA3180" w:rsidRDefault="00FA3180" w:rsidP="003013A4">
    <w:pPr>
      <w:tabs>
        <w:tab w:val="left" w:pos="5940"/>
        <w:tab w:val="left" w:pos="7470"/>
        <w:tab w:val="left" w:pos="7560"/>
        <w:tab w:val="left" w:pos="7740"/>
        <w:tab w:val="left" w:pos="8640"/>
        <w:tab w:val="left" w:pos="9360"/>
        <w:tab w:val="left" w:pos="9990"/>
      </w:tabs>
      <w:jc w:val="center"/>
      <w:rPr>
        <w:sz w:val="22"/>
      </w:rPr>
    </w:pPr>
    <w:r>
      <w:rPr>
        <w:sz w:val="22"/>
      </w:rPr>
      <w:t>Aaron Jones, CEO</w:t>
    </w:r>
  </w:p>
  <w:p w:rsidR="00FA3180" w:rsidRPr="003013A4" w:rsidRDefault="00FA3180" w:rsidP="003013A4">
    <w:pPr>
      <w:pStyle w:val="Footer"/>
      <w:jc w:val="center"/>
      <w:rPr>
        <w:sz w:val="22"/>
      </w:rPr>
    </w:pPr>
    <w:r>
      <w:rPr>
        <w:sz w:val="22"/>
      </w:rPr>
      <w:t>Carrollton,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A4" w:rsidRDefault="003013A4" w:rsidP="00045AAE">
      <w:r>
        <w:separator/>
      </w:r>
    </w:p>
  </w:footnote>
  <w:footnote w:type="continuationSeparator" w:id="0">
    <w:p w:rsidR="003013A4" w:rsidRDefault="003013A4"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pPr>
      <w:pStyle w:val="Header"/>
    </w:pPr>
    <w:r>
      <w:rPr>
        <w:noProof/>
      </w:rPr>
      <w:drawing>
        <wp:anchor distT="0" distB="0" distL="114300" distR="114300" simplePos="0" relativeHeight="251658240" behindDoc="0" locked="0" layoutInCell="1" allowOverlap="1">
          <wp:simplePos x="0" y="0"/>
          <wp:positionH relativeFrom="page">
            <wp:posOffset>859155</wp:posOffset>
          </wp:positionH>
          <wp:positionV relativeFrom="page">
            <wp:posOffset>365760</wp:posOffset>
          </wp:positionV>
          <wp:extent cx="6047105"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Header1Rnd70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105" cy="593725"/>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80" w:rsidRDefault="00FA3180" w:rsidP="003013A4">
    <w:pPr>
      <w:tabs>
        <w:tab w:val="right" w:pos="9360"/>
      </w:tabs>
      <w:rPr>
        <w:sz w:val="22"/>
        <w:szCs w:val="22"/>
      </w:rPr>
    </w:pPr>
    <w:proofErr w:type="spellStart"/>
    <w:r>
      <w:rPr>
        <w:sz w:val="22"/>
        <w:szCs w:val="22"/>
      </w:rPr>
      <w:t>Pattersonville</w:t>
    </w:r>
    <w:proofErr w:type="spellEnd"/>
    <w:r>
      <w:rPr>
        <w:sz w:val="22"/>
        <w:szCs w:val="22"/>
      </w:rPr>
      <w:t xml:space="preserve"> Telephone Company</w:t>
    </w:r>
    <w:r>
      <w:rPr>
        <w:sz w:val="22"/>
        <w:szCs w:val="22"/>
      </w:rPr>
      <w:tab/>
      <w:t>Section No. 1</w:t>
    </w:r>
  </w:p>
  <w:p w:rsidR="00FA3180" w:rsidRDefault="00FA3180" w:rsidP="003013A4">
    <w:pPr>
      <w:tabs>
        <w:tab w:val="right" w:pos="9360"/>
      </w:tabs>
      <w:rPr>
        <w:sz w:val="22"/>
        <w:szCs w:val="22"/>
      </w:rPr>
    </w:pPr>
    <w:r>
      <w:rPr>
        <w:sz w:val="22"/>
        <w:szCs w:val="22"/>
      </w:rPr>
      <w:t>Carrollton, Ohio</w:t>
    </w:r>
    <w:r>
      <w:rPr>
        <w:sz w:val="22"/>
        <w:szCs w:val="22"/>
      </w:rPr>
      <w:tab/>
      <w:t>First Revised Sheet No. 2</w:t>
    </w:r>
  </w:p>
  <w:p w:rsidR="00FA3180" w:rsidRDefault="00FA3180" w:rsidP="003013A4">
    <w:pPr>
      <w:tabs>
        <w:tab w:val="right" w:pos="9360"/>
      </w:tabs>
      <w:jc w:val="right"/>
      <w:rPr>
        <w:sz w:val="22"/>
        <w:szCs w:val="22"/>
      </w:rPr>
    </w:pPr>
    <w:r>
      <w:rPr>
        <w:sz w:val="22"/>
        <w:szCs w:val="22"/>
      </w:rPr>
      <w:t>Replaces Original Sheet No. 2</w:t>
    </w:r>
  </w:p>
  <w:p w:rsidR="00FA3180" w:rsidRDefault="00FA3180" w:rsidP="003013A4">
    <w:pPr>
      <w:tabs>
        <w:tab w:val="right" w:pos="9360"/>
      </w:tabs>
      <w:jc w:val="right"/>
      <w:rPr>
        <w:sz w:val="22"/>
        <w:szCs w:val="22"/>
      </w:rPr>
    </w:pPr>
  </w:p>
  <w:p w:rsidR="00FA3180" w:rsidRDefault="00FA3180" w:rsidP="003013A4">
    <w:pPr>
      <w:tabs>
        <w:tab w:val="right" w:pos="9360"/>
      </w:tabs>
      <w:jc w:val="center"/>
    </w:pPr>
    <w:proofErr w:type="spellStart"/>
    <w:r>
      <w:t>P.U.C.O</w:t>
    </w:r>
    <w:proofErr w:type="spellEnd"/>
    <w:r>
      <w:t>. NO. 4</w:t>
    </w:r>
  </w:p>
  <w:p w:rsidR="00FA3180" w:rsidRDefault="00FA3180" w:rsidP="003013A4">
    <w:pPr>
      <w:pStyle w:val="Header"/>
      <w:pBdr>
        <w:bottom w:val="single" w:sz="4" w:space="1" w:color="auto"/>
      </w:pBdr>
      <w:jc w:val="center"/>
      <w:rPr>
        <w:rStyle w:val="PageNumber"/>
        <w:spacing w:val="20"/>
        <w:sz w:val="22"/>
        <w:szCs w:val="22"/>
      </w:rPr>
    </w:pPr>
  </w:p>
  <w:p w:rsidR="00FA3180" w:rsidRDefault="00FA3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3013A4"/>
    <w:rsid w:val="00045AAE"/>
    <w:rsid w:val="001726D8"/>
    <w:rsid w:val="001C1C21"/>
    <w:rsid w:val="001E07A6"/>
    <w:rsid w:val="00255CF7"/>
    <w:rsid w:val="003013A4"/>
    <w:rsid w:val="003265B8"/>
    <w:rsid w:val="003B3E9A"/>
    <w:rsid w:val="006036E6"/>
    <w:rsid w:val="009512CC"/>
    <w:rsid w:val="00C66A5C"/>
    <w:rsid w:val="00C751CB"/>
    <w:rsid w:val="00CB6376"/>
    <w:rsid w:val="00D83C7D"/>
    <w:rsid w:val="00E87729"/>
    <w:rsid w:val="00EA1E19"/>
    <w:rsid w:val="00F15459"/>
    <w:rsid w:val="00FA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contacts" w:name="GivenName"/>
  <w:smartTagType w:namespaceuri="urn:schemas-microsoft-com:office:smarttags" w:name="Street"/>
  <w:smartTagType w:namespaceuri="urn:schemas:contacts" w:name="nameSuffix"/>
  <w:smartTagType w:namespaceuri="urn:schemas-microsoft-com:office:smarttags" w:name="address"/>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13A4"/>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PageNumber">
    <w:name w:val="page number"/>
    <w:basedOn w:val="DefaultParagraphFont"/>
    <w:rsid w:val="003013A4"/>
  </w:style>
  <w:style w:type="character" w:customStyle="1" w:styleId="DocID">
    <w:name w:val="DocID"/>
    <w:basedOn w:val="DefaultParagraphFont"/>
    <w:rsid w:val="00FA3180"/>
    <w:rPr>
      <w:rFonts w:ascii="Times New Roman" w:hAnsi="Times New Roman" w:cs="Times New Roman"/>
      <w:b w:val="0"/>
      <w:i w:val="0"/>
      <w:vanish w:val="0"/>
      <w:color w:val="000000"/>
      <w:sz w:val="16"/>
      <w:u w:val="none"/>
    </w:rPr>
  </w:style>
  <w:style w:type="character" w:styleId="Hyperlink">
    <w:name w:val="Hyperlink"/>
    <w:basedOn w:val="DefaultParagraphFont"/>
    <w:uiPriority w:val="99"/>
    <w:unhideWhenUsed/>
    <w:rsid w:val="00FA3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13A4"/>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PageNumber">
    <w:name w:val="page number"/>
    <w:basedOn w:val="DefaultParagraphFont"/>
    <w:rsid w:val="003013A4"/>
  </w:style>
  <w:style w:type="character" w:customStyle="1" w:styleId="DocID">
    <w:name w:val="DocID"/>
    <w:basedOn w:val="DefaultParagraphFont"/>
    <w:rsid w:val="00FA3180"/>
    <w:rPr>
      <w:rFonts w:ascii="Times New Roman" w:hAnsi="Times New Roman" w:cs="Times New Roman"/>
      <w:b w:val="0"/>
      <w:i w:val="0"/>
      <w:vanish w:val="0"/>
      <w:color w:val="000000"/>
      <w:sz w:val="16"/>
      <w:u w:val="none"/>
    </w:rPr>
  </w:style>
  <w:style w:type="character" w:styleId="Hyperlink">
    <w:name w:val="Hyperlink"/>
    <w:basedOn w:val="DefaultParagraphFont"/>
    <w:uiPriority w:val="99"/>
    <w:unhideWhenUsed/>
    <w:rsid w:val="00FA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302</Words>
  <Characters>1585</Characters>
  <Application>Microsoft Office Word</Application>
  <DocSecurity>0</DocSecurity>
  <Lines>99</Lines>
  <Paragraphs>42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2012-04-30T15:01:00Z</dcterms:created>
  <dcterms:modified xsi:type="dcterms:W3CDTF">2012-04-30T15:01:00Z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705646.1</vt:lpwstr>
  </property>
  <property fmtid="{D5CDD505-2E9C-101B-9397-08002B2CF9AE}" pid="3" name="DocumentType">
    <vt:lpwstr>pcgBlank</vt:lpwstr>
  </property>
</Properties>
</file>