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93" w:rsidRDefault="00EE3C93" w:rsidP="00EE3C93">
      <w:pPr>
        <w:spacing w:line="240" w:lineRule="auto"/>
        <w:jc w:val="center"/>
        <w:rPr>
          <w:rFonts w:eastAsiaTheme="minorHAnsi" w:cs="Arial"/>
          <w:b/>
          <w:smallCaps/>
          <w:sz w:val="32"/>
          <w:szCs w:val="32"/>
        </w:rPr>
      </w:pPr>
      <w:r>
        <w:rPr>
          <w:rFonts w:eastAsiaTheme="minorHAnsi" w:cs="Arial"/>
          <w:b/>
          <w:smallCaps/>
          <w:sz w:val="32"/>
          <w:szCs w:val="32"/>
        </w:rPr>
        <w:t>Before</w:t>
      </w:r>
    </w:p>
    <w:p w:rsidR="00EE3C93" w:rsidRDefault="00EE3C93" w:rsidP="00EE3C93">
      <w:pPr>
        <w:spacing w:line="240" w:lineRule="auto"/>
        <w:jc w:val="center"/>
        <w:rPr>
          <w:rFonts w:eastAsiaTheme="minorHAnsi" w:cs="Arial"/>
          <w:b/>
          <w:smallCaps/>
          <w:sz w:val="32"/>
          <w:szCs w:val="32"/>
        </w:rPr>
      </w:pPr>
      <w:r>
        <w:rPr>
          <w:rFonts w:eastAsiaTheme="minorHAnsi" w:cs="Arial"/>
          <w:b/>
          <w:smallCaps/>
          <w:sz w:val="32"/>
          <w:szCs w:val="32"/>
        </w:rPr>
        <w:t>The Public Utilities Commission of Ohio</w:t>
      </w:r>
    </w:p>
    <w:p w:rsidR="00EE3C93" w:rsidRDefault="00EE3C93" w:rsidP="00EE3C93">
      <w:pPr>
        <w:autoSpaceDE w:val="0"/>
        <w:autoSpaceDN w:val="0"/>
        <w:adjustRightInd w:val="0"/>
        <w:spacing w:line="240" w:lineRule="auto"/>
        <w:jc w:val="left"/>
        <w:rPr>
          <w:rFonts w:eastAsiaTheme="minorHAnsi" w:cs="Arial"/>
          <w:sz w:val="20"/>
        </w:rPr>
      </w:pPr>
    </w:p>
    <w:p w:rsidR="00EE3C93" w:rsidRDefault="00EE3C93" w:rsidP="00EE3C93">
      <w:pPr>
        <w:autoSpaceDE w:val="0"/>
        <w:autoSpaceDN w:val="0"/>
        <w:adjustRightInd w:val="0"/>
        <w:spacing w:line="240" w:lineRule="auto"/>
        <w:jc w:val="left"/>
        <w:rPr>
          <w:rFonts w:eastAsiaTheme="minorHAnsi" w:cs="Arial"/>
          <w:sz w:val="20"/>
        </w:rPr>
      </w:pPr>
    </w:p>
    <w:p w:rsidR="00EE3C93" w:rsidRPr="00AB084C" w:rsidRDefault="00EE3C93" w:rsidP="00EE3C93">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sidRPr="00AB084C">
        <w:rPr>
          <w:rFonts w:eastAsiaTheme="minorHAnsi" w:cs="Arial"/>
        </w:rPr>
        <w:t>In the Matter of the Application of</w:t>
      </w:r>
      <w:r w:rsidRPr="00AB084C">
        <w:rPr>
          <w:rFonts w:eastAsiaTheme="minorHAnsi" w:cs="Arial"/>
        </w:rPr>
        <w:tab/>
        <w:t>)</w:t>
      </w:r>
    </w:p>
    <w:p w:rsidR="00EE3C93" w:rsidRPr="00AB084C" w:rsidRDefault="00EE3C93" w:rsidP="00EE3C93">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sidRPr="00AB084C">
        <w:rPr>
          <w:rFonts w:eastAsiaTheme="minorHAnsi" w:cs="Arial"/>
        </w:rPr>
        <w:t xml:space="preserve">Ohio Power Company to Adopt a </w:t>
      </w:r>
      <w:r w:rsidRPr="00AB084C">
        <w:rPr>
          <w:rFonts w:eastAsiaTheme="minorHAnsi" w:cs="Arial"/>
        </w:rPr>
        <w:tab/>
        <w:t>)</w:t>
      </w:r>
      <w:r w:rsidRPr="00AB084C">
        <w:rPr>
          <w:rFonts w:eastAsiaTheme="minorHAnsi" w:cs="Arial"/>
        </w:rPr>
        <w:tab/>
        <w:t>Case No. 14-1186-EL-RDR</w:t>
      </w:r>
    </w:p>
    <w:p w:rsidR="00EE3C93" w:rsidRPr="00AB084C" w:rsidRDefault="00EE3C93" w:rsidP="00EE3C93">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sidRPr="00AB084C">
        <w:rPr>
          <w:rFonts w:eastAsiaTheme="minorHAnsi" w:cs="Arial"/>
        </w:rPr>
        <w:t>Final Implementation Plan for the</w:t>
      </w:r>
      <w:r w:rsidRPr="00AB084C">
        <w:rPr>
          <w:rFonts w:eastAsiaTheme="minorHAnsi" w:cs="Arial"/>
        </w:rPr>
        <w:tab/>
        <w:t>)</w:t>
      </w:r>
    </w:p>
    <w:p w:rsidR="00EE3C93" w:rsidRPr="00AB084C" w:rsidRDefault="00EE3C93" w:rsidP="00EE3C93">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sidRPr="00AB084C">
        <w:rPr>
          <w:rFonts w:eastAsiaTheme="minorHAnsi" w:cs="Arial"/>
        </w:rPr>
        <w:t>Retail Stability Rider</w:t>
      </w:r>
      <w:r w:rsidRPr="00AB084C">
        <w:rPr>
          <w:rFonts w:eastAsiaTheme="minorHAnsi" w:cs="Arial"/>
        </w:rPr>
        <w:tab/>
        <w:t>)</w:t>
      </w:r>
    </w:p>
    <w:p w:rsidR="00EE3C93" w:rsidRPr="00AB084C" w:rsidRDefault="00EE3C93" w:rsidP="00EE3C93">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i/>
        </w:rPr>
      </w:pPr>
    </w:p>
    <w:p w:rsidR="00EE3C93" w:rsidRDefault="00EE3C93" w:rsidP="00EE3C93">
      <w:pPr>
        <w:tabs>
          <w:tab w:val="left" w:pos="-1440"/>
          <w:tab w:val="left" w:pos="-720"/>
          <w:tab w:val="left" w:pos="5040"/>
        </w:tabs>
        <w:overflowPunct w:val="0"/>
        <w:autoSpaceDE w:val="0"/>
        <w:autoSpaceDN w:val="0"/>
        <w:adjustRightInd w:val="0"/>
        <w:spacing w:line="240" w:lineRule="auto"/>
        <w:rPr>
          <w:rFonts w:eastAsiaTheme="minorHAnsi" w:cs="Arial"/>
          <w:smallCaps/>
          <w:sz w:val="20"/>
        </w:rPr>
      </w:pPr>
    </w:p>
    <w:p w:rsidR="00EE3C93" w:rsidRDefault="00EE3C93" w:rsidP="00EE3C93">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EE3C93" w:rsidRPr="00AB084C" w:rsidRDefault="00EE3C93" w:rsidP="00EE3C93">
      <w:pPr>
        <w:spacing w:line="240" w:lineRule="auto"/>
        <w:jc w:val="center"/>
        <w:rPr>
          <w:rFonts w:eastAsiaTheme="minorHAnsi" w:cs="Arial"/>
          <w:b/>
          <w:smallCaps/>
          <w:sz w:val="32"/>
          <w:szCs w:val="32"/>
        </w:rPr>
      </w:pPr>
      <w:r>
        <w:rPr>
          <w:rFonts w:eastAsiaTheme="minorHAnsi" w:cs="Arial"/>
          <w:b/>
          <w:smallCaps/>
          <w:sz w:val="32"/>
          <w:szCs w:val="32"/>
        </w:rPr>
        <w:t>Industrial Energy Users-Ohio’s Reply Comments</w:t>
      </w:r>
    </w:p>
    <w:p w:rsidR="00EE3C93" w:rsidRDefault="00EE3C93" w:rsidP="00EE3C93">
      <w:pPr>
        <w:pBdr>
          <w:bottom w:val="single" w:sz="12" w:space="1" w:color="auto"/>
        </w:pBdr>
        <w:spacing w:line="240" w:lineRule="auto"/>
        <w:rPr>
          <w:rFonts w:eastAsiaTheme="minorHAnsi" w:cs="Arial"/>
          <w:sz w:val="32"/>
          <w:szCs w:val="32"/>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rPr>
          <w:rFonts w:eastAsiaTheme="minorHAnsi" w:cs="Arial"/>
          <w:sz w:val="20"/>
        </w:rPr>
      </w:pPr>
    </w:p>
    <w:p w:rsidR="00EE3C93" w:rsidRDefault="00EE3C93" w:rsidP="00EE3C93">
      <w:pPr>
        <w:spacing w:line="240" w:lineRule="auto"/>
        <w:ind w:left="4320"/>
        <w:jc w:val="left"/>
        <w:rPr>
          <w:rFonts w:eastAsiaTheme="minorHAnsi" w:cs="Arial"/>
        </w:rPr>
      </w:pPr>
      <w:r>
        <w:rPr>
          <w:rFonts w:eastAsiaTheme="minorHAnsi" w:cs="Arial"/>
        </w:rPr>
        <w:t xml:space="preserve">Samuel C. Randazzo </w:t>
      </w:r>
    </w:p>
    <w:p w:rsidR="00EE3C93" w:rsidRDefault="00EE3C93" w:rsidP="00EE3C93">
      <w:pPr>
        <w:spacing w:line="240" w:lineRule="auto"/>
        <w:ind w:left="4320"/>
        <w:jc w:val="left"/>
        <w:rPr>
          <w:rFonts w:eastAsiaTheme="minorHAnsi" w:cs="Arial"/>
        </w:rPr>
      </w:pPr>
      <w:r>
        <w:rPr>
          <w:rFonts w:eastAsiaTheme="minorHAnsi" w:cs="Arial"/>
        </w:rPr>
        <w:t xml:space="preserve">  (Counsel of Record) </w:t>
      </w:r>
    </w:p>
    <w:p w:rsidR="00EE3C93" w:rsidRDefault="00EE3C93" w:rsidP="00EE3C93">
      <w:pPr>
        <w:tabs>
          <w:tab w:val="right" w:pos="8640"/>
        </w:tabs>
        <w:spacing w:line="240" w:lineRule="auto"/>
        <w:ind w:left="4320"/>
        <w:rPr>
          <w:rFonts w:eastAsiaTheme="minorHAnsi" w:cs="Arial"/>
        </w:rPr>
      </w:pPr>
      <w:r>
        <w:rPr>
          <w:rFonts w:eastAsiaTheme="minorHAnsi" w:cs="Arial"/>
        </w:rPr>
        <w:t xml:space="preserve">  (Reg. No. 0016386)</w:t>
      </w:r>
    </w:p>
    <w:p w:rsidR="00EE3C93" w:rsidRDefault="00EE3C93" w:rsidP="00EE3C93">
      <w:pPr>
        <w:widowControl w:val="0"/>
        <w:spacing w:line="240" w:lineRule="auto"/>
        <w:ind w:left="4320"/>
        <w:rPr>
          <w:rFonts w:eastAsiaTheme="minorHAnsi" w:cs="Arial"/>
          <w:bCs/>
        </w:rPr>
      </w:pPr>
      <w:r>
        <w:rPr>
          <w:rFonts w:eastAsiaTheme="minorHAnsi" w:cs="Arial"/>
          <w:bCs/>
        </w:rPr>
        <w:t>Frank P. Darr (Reg. No. 0025469)</w:t>
      </w:r>
    </w:p>
    <w:p w:rsidR="00EE3C93" w:rsidRDefault="00EE3C93" w:rsidP="00EE3C93">
      <w:pPr>
        <w:widowControl w:val="0"/>
        <w:spacing w:line="240" w:lineRule="auto"/>
        <w:ind w:left="4320"/>
        <w:rPr>
          <w:rFonts w:eastAsiaTheme="minorHAnsi" w:cs="Arial"/>
          <w:b/>
          <w:bCs/>
        </w:rPr>
      </w:pPr>
      <w:r>
        <w:rPr>
          <w:rFonts w:eastAsiaTheme="minorHAnsi" w:cs="Arial"/>
          <w:bCs/>
        </w:rPr>
        <w:t>Matthew R. Pritchard (Reg. No. 0088070)</w:t>
      </w:r>
    </w:p>
    <w:p w:rsidR="00EE3C93" w:rsidRDefault="00EE3C93" w:rsidP="00EE3C93">
      <w:pPr>
        <w:widowControl w:val="0"/>
        <w:spacing w:line="240" w:lineRule="auto"/>
        <w:ind w:left="4320"/>
        <w:rPr>
          <w:rFonts w:eastAsiaTheme="minorHAnsi" w:cs="Arial"/>
          <w:b/>
          <w:bCs/>
          <w:smallCaps/>
        </w:rPr>
      </w:pPr>
      <w:r>
        <w:rPr>
          <w:rFonts w:eastAsiaTheme="minorHAnsi" w:cs="Arial"/>
          <w:bCs/>
          <w:smallCaps/>
        </w:rPr>
        <w:t>McNees Wallace &amp; Nurick LLC</w:t>
      </w:r>
    </w:p>
    <w:p w:rsidR="00EE3C93" w:rsidRDefault="00EE3C93" w:rsidP="00EE3C93">
      <w:pPr>
        <w:widowControl w:val="0"/>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Telecopier:  (614) 469-4653</w:t>
      </w: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EE3C93" w:rsidRDefault="00EE3C93" w:rsidP="00EE3C93">
      <w:pPr>
        <w:spacing w:line="240" w:lineRule="auto"/>
        <w:ind w:left="4320" w:hanging="4320"/>
        <w:jc w:val="left"/>
        <w:rPr>
          <w:rFonts w:eastAsiaTheme="minorHAnsi" w:cs="Arial"/>
          <w:b/>
        </w:rPr>
      </w:pPr>
      <w:r>
        <w:rPr>
          <w:rFonts w:eastAsiaTheme="minorHAnsi" w:cs="Arial"/>
          <w:b/>
        </w:rPr>
        <w:t>December 16, 2014</w:t>
      </w:r>
      <w:r>
        <w:rPr>
          <w:rFonts w:eastAsiaTheme="minorHAnsi" w:cs="Arial"/>
          <w:b/>
        </w:rPr>
        <w:tab/>
        <w:t>Attorneys for Industrial Energy Users-Ohio</w:t>
      </w:r>
    </w:p>
    <w:p w:rsidR="00EE3C93" w:rsidRDefault="00EE3C93" w:rsidP="00EE3C93">
      <w:pPr>
        <w:spacing w:line="240" w:lineRule="auto"/>
        <w:jc w:val="left"/>
        <w:rPr>
          <w:rFonts w:eastAsiaTheme="minorHAnsi" w:cs="Arial"/>
          <w:b/>
        </w:rPr>
        <w:sectPr w:rsidR="00EE3C9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pPr>
    </w:p>
    <w:p w:rsidR="00EE3C93" w:rsidRPr="00AB084C" w:rsidRDefault="00EE3C93" w:rsidP="00EE3C93">
      <w:pPr>
        <w:spacing w:line="240" w:lineRule="auto"/>
        <w:jc w:val="center"/>
        <w:rPr>
          <w:rFonts w:eastAsiaTheme="minorHAnsi" w:cs="Arial"/>
          <w:b/>
          <w:smallCaps/>
          <w:sz w:val="28"/>
          <w:szCs w:val="28"/>
        </w:rPr>
      </w:pPr>
      <w:r w:rsidRPr="00AB084C">
        <w:rPr>
          <w:rFonts w:eastAsiaTheme="minorHAnsi" w:cs="Arial"/>
          <w:b/>
          <w:smallCaps/>
          <w:sz w:val="28"/>
          <w:szCs w:val="28"/>
        </w:rPr>
        <w:lastRenderedPageBreak/>
        <w:t>Before</w:t>
      </w:r>
    </w:p>
    <w:p w:rsidR="00EE3C93" w:rsidRPr="00AB084C" w:rsidRDefault="00EE3C93" w:rsidP="00EE3C93">
      <w:pPr>
        <w:spacing w:line="240" w:lineRule="auto"/>
        <w:jc w:val="center"/>
        <w:rPr>
          <w:rFonts w:eastAsiaTheme="minorHAnsi" w:cs="Arial"/>
          <w:b/>
          <w:smallCaps/>
          <w:sz w:val="28"/>
          <w:szCs w:val="28"/>
        </w:rPr>
      </w:pPr>
      <w:r w:rsidRPr="00AB084C">
        <w:rPr>
          <w:rFonts w:eastAsiaTheme="minorHAnsi" w:cs="Arial"/>
          <w:b/>
          <w:smallCaps/>
          <w:sz w:val="28"/>
          <w:szCs w:val="28"/>
        </w:rPr>
        <w:t>The Public Utilities Commission of Ohio</w:t>
      </w:r>
    </w:p>
    <w:p w:rsidR="00EE3C93" w:rsidRDefault="00EE3C93" w:rsidP="00EE3C93">
      <w:pPr>
        <w:autoSpaceDE w:val="0"/>
        <w:autoSpaceDN w:val="0"/>
        <w:adjustRightInd w:val="0"/>
        <w:spacing w:line="240" w:lineRule="auto"/>
        <w:jc w:val="left"/>
        <w:rPr>
          <w:rFonts w:eastAsiaTheme="minorHAnsi" w:cs="Arial"/>
          <w:sz w:val="20"/>
        </w:rPr>
      </w:pPr>
    </w:p>
    <w:p w:rsidR="00EE3C93" w:rsidRDefault="00EE3C93" w:rsidP="00EE3C93">
      <w:pPr>
        <w:autoSpaceDE w:val="0"/>
        <w:autoSpaceDN w:val="0"/>
        <w:adjustRightInd w:val="0"/>
        <w:spacing w:line="240" w:lineRule="auto"/>
        <w:jc w:val="left"/>
        <w:rPr>
          <w:rFonts w:eastAsiaTheme="minorHAnsi" w:cs="Arial"/>
          <w:sz w:val="20"/>
        </w:rPr>
      </w:pPr>
    </w:p>
    <w:p w:rsidR="00EE3C93" w:rsidRPr="00AB084C" w:rsidRDefault="00EE3C93" w:rsidP="00EE3C93">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sidRPr="00AB084C">
        <w:rPr>
          <w:rFonts w:eastAsiaTheme="minorHAnsi" w:cs="Arial"/>
        </w:rPr>
        <w:t>In the Matter of the Application of</w:t>
      </w:r>
      <w:r w:rsidRPr="00AB084C">
        <w:rPr>
          <w:rFonts w:eastAsiaTheme="minorHAnsi" w:cs="Arial"/>
        </w:rPr>
        <w:tab/>
        <w:t>)</w:t>
      </w:r>
    </w:p>
    <w:p w:rsidR="00EE3C93" w:rsidRPr="00AB084C" w:rsidRDefault="00EE3C93" w:rsidP="00EE3C93">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sidRPr="00AB084C">
        <w:rPr>
          <w:rFonts w:eastAsiaTheme="minorHAnsi" w:cs="Arial"/>
        </w:rPr>
        <w:t xml:space="preserve">Ohio Power Company to Adopt a </w:t>
      </w:r>
      <w:r w:rsidRPr="00AB084C">
        <w:rPr>
          <w:rFonts w:eastAsiaTheme="minorHAnsi" w:cs="Arial"/>
        </w:rPr>
        <w:tab/>
        <w:t>)</w:t>
      </w:r>
      <w:r w:rsidRPr="00AB084C">
        <w:rPr>
          <w:rFonts w:eastAsiaTheme="minorHAnsi" w:cs="Arial"/>
        </w:rPr>
        <w:tab/>
        <w:t>Case No. 14-1186-EL-RDR</w:t>
      </w:r>
    </w:p>
    <w:p w:rsidR="00EE3C93" w:rsidRPr="00AB084C" w:rsidRDefault="00EE3C93" w:rsidP="00EE3C93">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sidRPr="00AB084C">
        <w:rPr>
          <w:rFonts w:eastAsiaTheme="minorHAnsi" w:cs="Arial"/>
        </w:rPr>
        <w:t>Final Implementation Plan for the</w:t>
      </w:r>
      <w:r w:rsidRPr="00AB084C">
        <w:rPr>
          <w:rFonts w:eastAsiaTheme="minorHAnsi" w:cs="Arial"/>
        </w:rPr>
        <w:tab/>
        <w:t>)</w:t>
      </w:r>
    </w:p>
    <w:p w:rsidR="00EE3C93" w:rsidRPr="00AB084C" w:rsidRDefault="00EE3C93" w:rsidP="00EE3C93">
      <w:pPr>
        <w:tabs>
          <w:tab w:val="left" w:pos="-1440"/>
          <w:tab w:val="left" w:pos="-720"/>
          <w:tab w:val="left" w:pos="4320"/>
          <w:tab w:val="left" w:pos="4860"/>
        </w:tabs>
        <w:overflowPunct w:val="0"/>
        <w:autoSpaceDE w:val="0"/>
        <w:autoSpaceDN w:val="0"/>
        <w:adjustRightInd w:val="0"/>
        <w:spacing w:line="240" w:lineRule="auto"/>
        <w:rPr>
          <w:rFonts w:eastAsiaTheme="minorHAnsi" w:cs="Arial"/>
        </w:rPr>
      </w:pPr>
      <w:r w:rsidRPr="00AB084C">
        <w:rPr>
          <w:rFonts w:eastAsiaTheme="minorHAnsi" w:cs="Arial"/>
        </w:rPr>
        <w:t>Retail Stability Rider</w:t>
      </w:r>
      <w:r w:rsidRPr="00AB084C">
        <w:rPr>
          <w:rFonts w:eastAsiaTheme="minorHAnsi" w:cs="Arial"/>
        </w:rPr>
        <w:tab/>
        <w:t>)</w:t>
      </w:r>
    </w:p>
    <w:p w:rsidR="00EE3C93" w:rsidRPr="00AB084C" w:rsidRDefault="00EE3C93" w:rsidP="00EE3C93">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i/>
        </w:rPr>
      </w:pPr>
    </w:p>
    <w:p w:rsidR="00EE3C93" w:rsidRDefault="00EE3C93" w:rsidP="00EE3C93">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rPr>
      </w:pPr>
    </w:p>
    <w:p w:rsidR="00EE3C93" w:rsidRDefault="00EE3C93" w:rsidP="00EE3C93">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EE3C93" w:rsidRPr="00EE3C93" w:rsidRDefault="00EE3C93" w:rsidP="00EE3C93">
      <w:pPr>
        <w:spacing w:line="240" w:lineRule="auto"/>
        <w:jc w:val="center"/>
        <w:rPr>
          <w:rFonts w:eastAsiaTheme="minorHAnsi" w:cs="Arial"/>
          <w:b/>
          <w:smallCaps/>
          <w:sz w:val="28"/>
          <w:szCs w:val="28"/>
        </w:rPr>
      </w:pPr>
      <w:r>
        <w:rPr>
          <w:rFonts w:eastAsiaTheme="minorHAnsi" w:cs="Arial"/>
          <w:b/>
          <w:smallCaps/>
          <w:sz w:val="28"/>
          <w:szCs w:val="28"/>
        </w:rPr>
        <w:t>Industrial Energy Users-Ohio’s Reply Comments</w:t>
      </w:r>
    </w:p>
    <w:p w:rsidR="00EE3C93" w:rsidRDefault="00EE3C93" w:rsidP="00EE3C93">
      <w:pPr>
        <w:pBdr>
          <w:bottom w:val="single" w:sz="12" w:space="1" w:color="auto"/>
        </w:pBdr>
        <w:spacing w:line="240" w:lineRule="auto"/>
        <w:rPr>
          <w:rFonts w:eastAsiaTheme="minorHAnsi" w:cs="Arial"/>
          <w:sz w:val="32"/>
          <w:szCs w:val="32"/>
        </w:rPr>
      </w:pPr>
    </w:p>
    <w:p w:rsidR="00EE3C93" w:rsidRDefault="00EE3C93" w:rsidP="00EE3C93">
      <w:pPr>
        <w:spacing w:line="240" w:lineRule="auto"/>
        <w:rPr>
          <w:rFonts w:eastAsiaTheme="minorHAnsi" w:cs="Arial"/>
          <w:sz w:val="20"/>
        </w:rPr>
      </w:pPr>
    </w:p>
    <w:p w:rsidR="00EE3C93" w:rsidRDefault="00EE3C93" w:rsidP="00EE3C93">
      <w:pPr>
        <w:ind w:firstLine="720"/>
      </w:pPr>
    </w:p>
    <w:p w:rsidR="003728D9" w:rsidRDefault="003728D9" w:rsidP="003728D9">
      <w:pPr>
        <w:pStyle w:val="Heading1"/>
      </w:pPr>
      <w:r>
        <w:t>Introduction</w:t>
      </w:r>
    </w:p>
    <w:p w:rsidR="00F13F67" w:rsidRDefault="00625E66" w:rsidP="00A9660F">
      <w:pPr>
        <w:spacing w:after="120"/>
        <w:ind w:firstLine="720"/>
      </w:pPr>
      <w:r>
        <w:t xml:space="preserve">As Industrial Energy Users-Ohio (“IEU-Ohio”) demonstrated in its Initial Comments and its Motion to Dismiss, Ohio Power Company’s (“AEP-Ohio”) July 8, 2014 </w:t>
      </w:r>
      <w:r w:rsidR="00A9660F">
        <w:t>A</w:t>
      </w:r>
      <w:r>
        <w:t>pplication (“Capacity Shopping Tax Application”) should be dismissed</w:t>
      </w:r>
      <w:r w:rsidR="003728D9">
        <w:t xml:space="preserve"> because the </w:t>
      </w:r>
      <w:r w:rsidR="00A9660F">
        <w:t>Public Utilities Commission of Ohio ("</w:t>
      </w:r>
      <w:r w:rsidR="003728D9">
        <w:t>Commission</w:t>
      </w:r>
      <w:r w:rsidR="00A9660F">
        <w:t>")</w:t>
      </w:r>
      <w:r w:rsidR="003728D9">
        <w:t xml:space="preserve"> lacks jurisdiction to increase AEP-Ohio’s compensation for a wholesale generation-related service</w:t>
      </w:r>
      <w:r>
        <w:t>.  If the C</w:t>
      </w:r>
      <w:r w:rsidR="003C570B">
        <w:t>ommission does not dismiss the A</w:t>
      </w:r>
      <w:bookmarkStart w:id="0" w:name="_GoBack"/>
      <w:bookmarkEnd w:id="0"/>
      <w:r>
        <w:t xml:space="preserve">pplication, </w:t>
      </w:r>
      <w:r w:rsidR="00A9660F">
        <w:t>I</w:t>
      </w:r>
      <w:r>
        <w:t xml:space="preserve">nitial </w:t>
      </w:r>
      <w:r w:rsidR="00A9660F">
        <w:t>C</w:t>
      </w:r>
      <w:r>
        <w:t>omments filed by the Ohio Hospital Association (“OHA”), the Retail Electric Supply Association (“RESA”), and the Office of the Ohio Consumers</w:t>
      </w:r>
      <w:r w:rsidR="00A9660F">
        <w:t>'</w:t>
      </w:r>
      <w:r>
        <w:t xml:space="preserve"> Counsel (“OCC”) correctly note that customers are at substantial risk of funding another windfall for AEP-Ohio. </w:t>
      </w:r>
      <w:r w:rsidR="003C570B">
        <w:t xml:space="preserve"> </w:t>
      </w:r>
      <w:r>
        <w:t xml:space="preserve">Accordingly, if the Commission does not grant IEU-Ohio’s pending Motion to Dismiss, IEU-Ohio supports the recommendation of OHA to </w:t>
      </w:r>
      <w:r w:rsidR="00EB3560">
        <w:t>stay review</w:t>
      </w:r>
      <w:r>
        <w:t xml:space="preserve"> of the Capacity Shopping Tax Application until the </w:t>
      </w:r>
      <w:r w:rsidR="00A9660F">
        <w:t xml:space="preserve">Supreme </w:t>
      </w:r>
      <w:r>
        <w:t xml:space="preserve">Court </w:t>
      </w:r>
      <w:r w:rsidR="00A9660F">
        <w:t xml:space="preserve">of Ohio ("Court") </w:t>
      </w:r>
      <w:r>
        <w:t>rules on the pending appeals.</w:t>
      </w:r>
      <w:r w:rsidR="003728D9">
        <w:t xml:space="preserve"> </w:t>
      </w:r>
      <w:r>
        <w:t xml:space="preserve"> If the Commission nonetheless moves forward at this time</w:t>
      </w:r>
      <w:r w:rsidR="00EB3560">
        <w:t xml:space="preserve"> and authorizes AEP-Ohio to begin billing and collection of the Capacity Shopping Tax</w:t>
      </w:r>
      <w:r>
        <w:t xml:space="preserve">, IEU-Ohio supports </w:t>
      </w:r>
      <w:r w:rsidR="003728D9">
        <w:t xml:space="preserve">the </w:t>
      </w:r>
      <w:r w:rsidR="003728D9">
        <w:lastRenderedPageBreak/>
        <w:t>recommendations of RESA and OCC</w:t>
      </w:r>
      <w:r>
        <w:t xml:space="preserve"> that the Commission authorize collection of the Capacity Shopping Tax subject to refund.</w:t>
      </w:r>
    </w:p>
    <w:p w:rsidR="003728D9" w:rsidRDefault="003728D9" w:rsidP="003728D9">
      <w:pPr>
        <w:pStyle w:val="Heading1"/>
      </w:pPr>
      <w:r>
        <w:t>The Staff fails to address the jurisdictional limits on the Commission’s authority to increase the compensation of AEP-Ohio for a wholesale generation-related service</w:t>
      </w:r>
    </w:p>
    <w:p w:rsidR="00EB3560" w:rsidRDefault="00EB3560" w:rsidP="00EB3560">
      <w:pPr>
        <w:spacing w:after="120"/>
        <w:ind w:firstLine="720"/>
      </w:pPr>
      <w:r>
        <w:t xml:space="preserve">Through the Capacity Shopping Tax Application, AEP-Ohio seeks to recover deferred above-market revenue </w:t>
      </w:r>
      <w:r w:rsidR="00C50B45">
        <w:t xml:space="preserve">that AEP-Ohio claims it is authorized to bill and collect as a result of </w:t>
      </w:r>
      <w:r>
        <w:t xml:space="preserve">two prior unlawful decisions of the Commission.  AEP-Ohio anticipates that the amount it will defer will reach $445 million pursuant to these unlawful decisions.  </w:t>
      </w:r>
    </w:p>
    <w:p w:rsidR="003728D9" w:rsidRDefault="00625E66" w:rsidP="0051405F">
      <w:pPr>
        <w:spacing w:after="120"/>
        <w:ind w:firstLine="720"/>
      </w:pPr>
      <w:r>
        <w:t xml:space="preserve">In its Initial Comments, the </w:t>
      </w:r>
      <w:r w:rsidR="00A9660F">
        <w:t xml:space="preserve">Commission </w:t>
      </w:r>
      <w:r>
        <w:t xml:space="preserve">Staff </w:t>
      </w:r>
      <w:r w:rsidR="00A9660F">
        <w:t xml:space="preserve">("Staff") </w:t>
      </w:r>
      <w:r>
        <w:t>noted that it had “reviewed the Company’s application in order to verify that the Company properly reordered all applicable charges, collections and deferrals” and during this review had discovered “an immaterial error pertaining to the carrying charges applied by the Company.”</w:t>
      </w:r>
      <w:r>
        <w:rPr>
          <w:rStyle w:val="FootnoteReference"/>
        </w:rPr>
        <w:footnoteReference w:id="1"/>
      </w:r>
      <w:r>
        <w:t xml:space="preserve">  Upon AEP-Ohio’s agreement to modify the immaterial error, Staff found “the Company’s application to be reasonable and recommends the Commission adopt a final implementation plan as proposed in the Application.”</w:t>
      </w:r>
      <w:r>
        <w:rPr>
          <w:rStyle w:val="FootnoteReference"/>
        </w:rPr>
        <w:footnoteReference w:id="2"/>
      </w:r>
      <w:r w:rsidR="003728D9">
        <w:t xml:space="preserve">  Staff’s implied position is</w:t>
      </w:r>
      <w:r>
        <w:t xml:space="preserve"> that the Commission has jurisdiction to approve the Ca</w:t>
      </w:r>
      <w:r w:rsidR="003728D9">
        <w:t>pacity Shopping Tax Application</w:t>
      </w:r>
      <w:r w:rsidR="0051405F">
        <w:t>.</w:t>
      </w:r>
    </w:p>
    <w:p w:rsidR="00F13F67" w:rsidRDefault="003728D9" w:rsidP="0051405F">
      <w:pPr>
        <w:spacing w:after="120"/>
        <w:ind w:firstLine="720"/>
      </w:pPr>
      <w:r>
        <w:t xml:space="preserve">Staff’s implied position that the Commission has authority to increase AEP-Ohio’s compensation for a wholesale generation-related service </w:t>
      </w:r>
      <w:r w:rsidR="00625E66">
        <w:t xml:space="preserve">is inconsistent with </w:t>
      </w:r>
      <w:r>
        <w:t>its</w:t>
      </w:r>
      <w:r w:rsidR="00625E66">
        <w:t xml:space="preserve"> position in its briefs in AEP-Ohio’s pending electric security plan (ESP”) case (Case Nos. 13-2385-EL-SSO, </w:t>
      </w:r>
      <w:r w:rsidR="00625E66">
        <w:rPr>
          <w:i/>
        </w:rPr>
        <w:t>et al.</w:t>
      </w:r>
      <w:r w:rsidR="00625E66">
        <w:t xml:space="preserve">) and Duke Energy Ohio Inc.’s (“Duke”) pending ESP case (Case Nos. 14-841-EL-SSO, </w:t>
      </w:r>
      <w:r w:rsidR="00625E66">
        <w:rPr>
          <w:i/>
        </w:rPr>
        <w:t>et al.</w:t>
      </w:r>
      <w:r w:rsidR="00625E66">
        <w:t>).</w:t>
      </w:r>
      <w:r>
        <w:t xml:space="preserve">  </w:t>
      </w:r>
      <w:r w:rsidR="00625E66">
        <w:t xml:space="preserve">In these briefs, Staff argued that the Commission was </w:t>
      </w:r>
      <w:r w:rsidR="00625E66">
        <w:lastRenderedPageBreak/>
        <w:t xml:space="preserve">preempted by the Federal Power Act from increasing </w:t>
      </w:r>
      <w:r w:rsidR="00EB3560">
        <w:t xml:space="preserve">the </w:t>
      </w:r>
      <w:r w:rsidR="00625E66">
        <w:t>compensation for wholesale electric services</w:t>
      </w:r>
      <w:r w:rsidR="00EB3560" w:rsidRPr="00EB3560">
        <w:t xml:space="preserve"> </w:t>
      </w:r>
      <w:r w:rsidR="00EB3560">
        <w:t>of AEP-Ohio and Duke</w:t>
      </w:r>
      <w:r w:rsidR="00625E66">
        <w:t>.</w:t>
      </w:r>
      <w:r w:rsidR="00625E66">
        <w:rPr>
          <w:vertAlign w:val="superscript"/>
        </w:rPr>
        <w:footnoteReference w:id="3"/>
      </w:r>
      <w:r w:rsidR="00625E66">
        <w:t xml:space="preserve">  Staff </w:t>
      </w:r>
      <w:r>
        <w:t>correctly stated</w:t>
      </w:r>
      <w:r w:rsidR="00625E66">
        <w:t xml:space="preserve"> that the Commission was without jurisdiction to establish any generation-related rates outside of its authority in R.C. 4928.141 to 4928.144 (the Capacity Shopping Tax was authorized under R.C. Chapter 4905),</w:t>
      </w:r>
      <w:r w:rsidR="00625E66">
        <w:rPr>
          <w:rStyle w:val="FootnoteReference"/>
        </w:rPr>
        <w:footnoteReference w:id="4"/>
      </w:r>
      <w:r w:rsidR="00625E66">
        <w:t xml:space="preserve"> and that the Commission was prohibited by R.C. 4928.02(H) from authorizing a non-bypassable generation-related charge to subsidize AEP-Ohio’s generation business.</w:t>
      </w:r>
      <w:r w:rsidR="00625E66">
        <w:rPr>
          <w:rStyle w:val="FootnoteReference"/>
        </w:rPr>
        <w:footnoteReference w:id="5"/>
      </w:r>
      <w:r w:rsidR="00625E66">
        <w:t xml:space="preserve">  </w:t>
      </w:r>
    </w:p>
    <w:p w:rsidR="00F13F67" w:rsidRDefault="00625E66" w:rsidP="0051405F">
      <w:pPr>
        <w:spacing w:after="120"/>
        <w:ind w:firstLine="720"/>
      </w:pPr>
      <w:r>
        <w:t xml:space="preserve">Although Staff’s arguments were related to AEP-Ohio’s proposed Purchase Power Adjustment (“PPA”) Rider and Duke’s proposed Price Stability Rider, they apply equally to AEP-Ohio’s request to implement a generation-related non-bypassable rider to collect the Capacity Shopping Tax.  </w:t>
      </w:r>
      <w:r w:rsidR="003728D9">
        <w:t>As the Commission previously determined</w:t>
      </w:r>
      <w:r w:rsidR="003728D9">
        <w:rPr>
          <w:rStyle w:val="FootnoteReference"/>
        </w:rPr>
        <w:footnoteReference w:id="6"/>
      </w:r>
      <w:r w:rsidR="003728D9">
        <w:t xml:space="preserve"> and has argued in briefs filed with the Court,</w:t>
      </w:r>
      <w:r w:rsidR="003728D9">
        <w:rPr>
          <w:rStyle w:val="FootnoteReference"/>
        </w:rPr>
        <w:footnoteReference w:id="7"/>
      </w:r>
      <w:r>
        <w:t xml:space="preserve"> the Capacity Shopping Tax relates to a wholesale electric service, capacity service, and it is undisputed that this service is generation-related.  IEU-Ohio’s Motion to Dismiss and Initial Comments further address the Commission’s lack of jurisdiction to approve the Capacity Shopping Tax Application </w:t>
      </w:r>
      <w:r>
        <w:lastRenderedPageBreak/>
        <w:t>on these grounds as well as others.  Because the Commission lacks jurisdiction</w:t>
      </w:r>
      <w:r w:rsidR="00FD522F">
        <w:t>,</w:t>
      </w:r>
      <w:r>
        <w:t xml:space="preserve"> it should grant IEU-Ohio’s pending Motion to Dismiss.</w:t>
      </w:r>
    </w:p>
    <w:p w:rsidR="00FD522F" w:rsidRDefault="00FD522F" w:rsidP="00FD522F">
      <w:pPr>
        <w:pStyle w:val="Heading1"/>
      </w:pPr>
      <w:r>
        <w:t xml:space="preserve">The Commission should dismiss </w:t>
      </w:r>
      <w:r w:rsidR="00EB3560">
        <w:t xml:space="preserve">the application </w:t>
      </w:r>
      <w:r>
        <w:t>or stay this proceeding until the Supreme Court acts on the pending appeals and the Commission completes i</w:t>
      </w:r>
      <w:r w:rsidR="0051405F">
        <w:t>t</w:t>
      </w:r>
      <w:r>
        <w:t>s review of the potential double recovery of generation-related charges</w:t>
      </w:r>
      <w:r w:rsidR="00742B87">
        <w:t>; If it grants authorization of the Capacity shopping Tax, it should impose consumer safeguards</w:t>
      </w:r>
    </w:p>
    <w:p w:rsidR="00F13F67" w:rsidRDefault="00FD522F" w:rsidP="0051405F">
      <w:pPr>
        <w:spacing w:after="120"/>
        <w:ind w:firstLine="720"/>
      </w:pPr>
      <w:r>
        <w:t>Additionally, approval of the Capacity Shopping Tax Application would cause irreparable injury to retail customers if the Commission acts prematurely</w:t>
      </w:r>
      <w:r w:rsidR="00625E66">
        <w:t>.  In its Initial Comments, the OHA identified the significant impact that the appeals related to the Capacity Shopping Tax could have regarding AEP-Ohio’s ability to recover the Capacity Shopping Tax.</w:t>
      </w:r>
      <w:r w:rsidR="00625E66">
        <w:rPr>
          <w:rStyle w:val="FootnoteReference"/>
        </w:rPr>
        <w:footnoteReference w:id="8"/>
      </w:r>
      <w:r w:rsidR="00625E66">
        <w:t xml:space="preserve">  Therefore, the OHA urges the Commission to either dismiss or defer ruling on the Capacity Shopping Tax Application until the Court has issued decisions in the appeals related to the Capacity Shopping Tax.</w:t>
      </w:r>
      <w:r w:rsidR="00625E66">
        <w:rPr>
          <w:rStyle w:val="FootnoteReference"/>
        </w:rPr>
        <w:footnoteReference w:id="9"/>
      </w:r>
      <w:r w:rsidR="00625E66">
        <w:t xml:space="preserve">  The ongoing audit of AEP-Ohio’s double-recovery of certain purchase power costs, as noted by RESA,</w:t>
      </w:r>
      <w:r w:rsidR="00625E66">
        <w:rPr>
          <w:vertAlign w:val="superscript"/>
        </w:rPr>
        <w:footnoteReference w:id="10"/>
      </w:r>
      <w:r w:rsidR="003C570B">
        <w:t xml:space="preserve"> also warrants </w:t>
      </w:r>
      <w:r w:rsidR="00EB3560">
        <w:t xml:space="preserve">a stay of </w:t>
      </w:r>
      <w:r w:rsidR="00625E66">
        <w:t>this proceeding pending final resolution of the audit.</w:t>
      </w:r>
    </w:p>
    <w:p w:rsidR="00F13F67" w:rsidRDefault="00625E66" w:rsidP="00AC6448">
      <w:pPr>
        <w:spacing w:after="120"/>
        <w:ind w:firstLine="720"/>
      </w:pPr>
      <w:r>
        <w:t xml:space="preserve">If the Commission, however, moves forward, it should do so subject to the recommendations of RESA and OCC that the Capacity Shopping Tax be subject to audit and future reconciliation so that customers are protected and the Commission can </w:t>
      </w:r>
      <w:r>
        <w:lastRenderedPageBreak/>
        <w:t>flow through the Court’s decisions and its own decision regarding the double-recovery audit.</w:t>
      </w:r>
      <w:r>
        <w:rPr>
          <w:vertAlign w:val="superscript"/>
        </w:rPr>
        <w:footnoteReference w:id="11"/>
      </w:r>
    </w:p>
    <w:p w:rsidR="00742B87" w:rsidRDefault="00742B87" w:rsidP="00742B87">
      <w:pPr>
        <w:pStyle w:val="Heading1"/>
      </w:pPr>
      <w:r>
        <w:t>conclusion</w:t>
      </w:r>
    </w:p>
    <w:p w:rsidR="00F13F67" w:rsidRDefault="00625E66">
      <w:pPr>
        <w:ind w:firstLine="720"/>
      </w:pPr>
      <w:r>
        <w:t xml:space="preserve">In sum, the Commission lacks jurisdiction to approve the Capacity Shopping Tax Application under Ohio and federal law and therefore IEU-Ohio again urges the Commission </w:t>
      </w:r>
      <w:r w:rsidR="00742B87">
        <w:t>to</w:t>
      </w:r>
      <w:r>
        <w:t xml:space="preserve"> grant IEU-Ohio’s pending </w:t>
      </w:r>
      <w:r w:rsidR="0051405F">
        <w:t>M</w:t>
      </w:r>
      <w:r>
        <w:t xml:space="preserve">otion to </w:t>
      </w:r>
      <w:r w:rsidR="0051405F">
        <w:t>D</w:t>
      </w:r>
      <w:r>
        <w:t xml:space="preserve">ismiss.  </w:t>
      </w:r>
      <w:r w:rsidR="00742B87">
        <w:t>I</w:t>
      </w:r>
      <w:r>
        <w:t xml:space="preserve">f the Commission does not dismiss </w:t>
      </w:r>
      <w:r w:rsidR="00EB3560">
        <w:t>the Application</w:t>
      </w:r>
      <w:r w:rsidR="00742B87">
        <w:t>,</w:t>
      </w:r>
      <w:r>
        <w:t xml:space="preserve"> it should defer ruling on </w:t>
      </w:r>
      <w:r w:rsidR="00EB3560">
        <w:t>the Application</w:t>
      </w:r>
      <w:r>
        <w:t xml:space="preserve"> until the Court issues decisions in the appeals related to the Capacity Shopping Tax and the Commission has resolved double-recovery issues outlined </w:t>
      </w:r>
      <w:r w:rsidR="00742B87">
        <w:t xml:space="preserve">in the </w:t>
      </w:r>
      <w:r w:rsidR="0051405F">
        <w:t>I</w:t>
      </w:r>
      <w:r w:rsidR="00742B87">
        <w:t xml:space="preserve">nitial </w:t>
      </w:r>
      <w:r w:rsidR="0051405F">
        <w:t>C</w:t>
      </w:r>
      <w:r w:rsidR="00742B87">
        <w:t xml:space="preserve">omments </w:t>
      </w:r>
      <w:r w:rsidR="0051405F">
        <w:t>of</w:t>
      </w:r>
      <w:r w:rsidR="00742B87">
        <w:t xml:space="preserve"> RESA and OCC</w:t>
      </w:r>
      <w:r>
        <w:t xml:space="preserve">.  At a minimum, if the Commission proceeds and approves the Capacity Shopping Tax Application it should do so subject to </w:t>
      </w:r>
      <w:r w:rsidR="00742B87">
        <w:t xml:space="preserve">reconciliation and </w:t>
      </w:r>
      <w:r>
        <w:t xml:space="preserve">refund to prevent another customer-funded windfall for AEP-Ohio.  </w:t>
      </w:r>
    </w:p>
    <w:p w:rsidR="0051405F" w:rsidRDefault="0051405F" w:rsidP="0051405F">
      <w:pPr>
        <w:tabs>
          <w:tab w:val="left" w:pos="720"/>
          <w:tab w:val="left" w:pos="4320"/>
          <w:tab w:val="right" w:pos="8640"/>
        </w:tabs>
        <w:spacing w:line="240" w:lineRule="auto"/>
        <w:ind w:left="4320"/>
        <w:rPr>
          <w:rFonts w:eastAsiaTheme="minorHAnsi" w:cs="Arial"/>
        </w:rPr>
      </w:pPr>
      <w:r>
        <w:rPr>
          <w:rFonts w:eastAsiaTheme="minorHAnsi" w:cs="Arial"/>
        </w:rPr>
        <w:t>Respectfully submitted,</w:t>
      </w:r>
    </w:p>
    <w:p w:rsidR="0051405F" w:rsidRDefault="0051405F" w:rsidP="0051405F">
      <w:pPr>
        <w:tabs>
          <w:tab w:val="left" w:pos="720"/>
          <w:tab w:val="left" w:pos="4320"/>
          <w:tab w:val="right" w:pos="8640"/>
        </w:tabs>
        <w:spacing w:line="240" w:lineRule="auto"/>
        <w:ind w:left="4320"/>
        <w:rPr>
          <w:rFonts w:eastAsiaTheme="minorHAnsi" w:cs="Arial"/>
        </w:rPr>
      </w:pPr>
    </w:p>
    <w:p w:rsidR="0051405F" w:rsidRDefault="0051405F" w:rsidP="0051405F">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51405F" w:rsidRDefault="0051405F" w:rsidP="0051405F">
      <w:pPr>
        <w:tabs>
          <w:tab w:val="left" w:pos="4320"/>
          <w:tab w:val="right" w:pos="8640"/>
        </w:tabs>
        <w:spacing w:line="240" w:lineRule="auto"/>
        <w:ind w:left="4320"/>
        <w:rPr>
          <w:rFonts w:eastAsiaTheme="minorHAnsi" w:cs="Arial"/>
        </w:rPr>
      </w:pPr>
      <w:r>
        <w:rPr>
          <w:rFonts w:eastAsiaTheme="minorHAnsi" w:cs="Arial"/>
        </w:rPr>
        <w:t>Samuel C. Randazzo (Counsel of Record) (Reg. No. 0016386)</w:t>
      </w:r>
    </w:p>
    <w:p w:rsidR="0051405F" w:rsidRDefault="0051405F" w:rsidP="0051405F">
      <w:pPr>
        <w:widowControl w:val="0"/>
        <w:tabs>
          <w:tab w:val="left" w:pos="4320"/>
        </w:tabs>
        <w:spacing w:line="240" w:lineRule="auto"/>
        <w:ind w:left="4320"/>
        <w:rPr>
          <w:rFonts w:eastAsiaTheme="minorHAnsi" w:cs="Arial"/>
          <w:bCs/>
        </w:rPr>
      </w:pPr>
      <w:r>
        <w:rPr>
          <w:rFonts w:eastAsiaTheme="minorHAnsi" w:cs="Arial"/>
          <w:bCs/>
        </w:rPr>
        <w:t>Frank P. Darr (Reg. No. 0025469)</w:t>
      </w:r>
    </w:p>
    <w:p w:rsidR="0051405F" w:rsidRDefault="0051405F" w:rsidP="0051405F">
      <w:pPr>
        <w:widowControl w:val="0"/>
        <w:tabs>
          <w:tab w:val="left" w:pos="4320"/>
        </w:tabs>
        <w:spacing w:line="240" w:lineRule="auto"/>
        <w:ind w:left="4320"/>
        <w:rPr>
          <w:rFonts w:eastAsiaTheme="minorHAnsi" w:cs="Arial"/>
          <w:b/>
          <w:bCs/>
        </w:rPr>
      </w:pPr>
      <w:r>
        <w:rPr>
          <w:rFonts w:eastAsiaTheme="minorHAnsi" w:cs="Arial"/>
          <w:bCs/>
        </w:rPr>
        <w:t>Matthew R. Pritchard (Reg. No. 0088070)</w:t>
      </w:r>
    </w:p>
    <w:p w:rsidR="0051405F" w:rsidRDefault="0051405F" w:rsidP="0051405F">
      <w:pPr>
        <w:widowControl w:val="0"/>
        <w:tabs>
          <w:tab w:val="left" w:pos="4320"/>
        </w:tabs>
        <w:spacing w:line="240" w:lineRule="auto"/>
        <w:ind w:left="4320"/>
        <w:rPr>
          <w:rFonts w:eastAsiaTheme="minorHAnsi" w:cs="Arial"/>
          <w:b/>
          <w:bCs/>
          <w:smallCaps/>
        </w:rPr>
      </w:pPr>
      <w:r>
        <w:rPr>
          <w:rFonts w:eastAsiaTheme="minorHAnsi" w:cs="Arial"/>
          <w:bCs/>
          <w:smallCaps/>
        </w:rPr>
        <w:t>McNees Wallace &amp; Nurick LLC</w:t>
      </w:r>
    </w:p>
    <w:p w:rsidR="0051405F" w:rsidRDefault="0051405F" w:rsidP="0051405F">
      <w:pPr>
        <w:widowControl w:val="0"/>
        <w:tabs>
          <w:tab w:val="left" w:pos="4320"/>
        </w:tabs>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51405F" w:rsidRDefault="0051405F" w:rsidP="0051405F">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51405F" w:rsidRDefault="0051405F" w:rsidP="0051405F">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51405F" w:rsidRDefault="0051405F" w:rsidP="0051405F">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Telecopier:  (614) 469-4653</w:t>
      </w:r>
    </w:p>
    <w:p w:rsidR="0051405F" w:rsidRDefault="0051405F" w:rsidP="0051405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51405F" w:rsidRDefault="0051405F" w:rsidP="0051405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51405F" w:rsidRDefault="0051405F" w:rsidP="0051405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51405F" w:rsidRDefault="0051405F" w:rsidP="0051405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51405F" w:rsidRDefault="0051405F" w:rsidP="0051405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51405F" w:rsidRDefault="0051405F" w:rsidP="0051405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51405F" w:rsidRDefault="0051405F" w:rsidP="0051405F">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AC6448" w:rsidRDefault="0051405F" w:rsidP="0051405F">
      <w:pPr>
        <w:spacing w:line="240" w:lineRule="auto"/>
        <w:ind w:left="4320"/>
        <w:rPr>
          <w:rFonts w:eastAsiaTheme="minorHAnsi" w:cs="Arial"/>
          <w:b/>
        </w:rPr>
        <w:sectPr w:rsidR="00AC6448" w:rsidSect="00A9660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r>
        <w:rPr>
          <w:rFonts w:eastAsiaTheme="minorHAnsi" w:cs="Arial"/>
          <w:b/>
        </w:rPr>
        <w:t>Attorneys for Industrial Energy Users-Ohio</w:t>
      </w:r>
    </w:p>
    <w:p w:rsidR="00AC6448" w:rsidRPr="00700466" w:rsidRDefault="00AC6448" w:rsidP="00AC6448">
      <w:pPr>
        <w:jc w:val="center"/>
        <w:rPr>
          <w:rFonts w:ascii="Arial Bold" w:hAnsi="Arial Bold" w:cs="Arial"/>
          <w:b/>
          <w:smallCaps/>
          <w:sz w:val="28"/>
          <w:szCs w:val="28"/>
          <w:u w:val="single"/>
        </w:rPr>
      </w:pPr>
      <w:r w:rsidRPr="00700466">
        <w:rPr>
          <w:rFonts w:ascii="Arial Bold" w:hAnsi="Arial Bold" w:cs="Arial"/>
          <w:b/>
          <w:smallCaps/>
          <w:sz w:val="28"/>
          <w:szCs w:val="28"/>
          <w:u w:val="single"/>
        </w:rPr>
        <w:lastRenderedPageBreak/>
        <w:t>Certificate Of Service</w:t>
      </w:r>
    </w:p>
    <w:p w:rsidR="00AC6448" w:rsidRDefault="00AC6448" w:rsidP="00AC6448">
      <w:pPr>
        <w:pStyle w:val="BodyText"/>
        <w:ind w:firstLine="720"/>
        <w:rPr>
          <w:b/>
          <w:smallCaps/>
          <w:szCs w:val="24"/>
        </w:rPr>
      </w:pPr>
      <w:r>
        <w:rPr>
          <w:szCs w:val="24"/>
        </w:rPr>
        <w:t xml:space="preserve">In accordance with Rule 4901-1-05, Ohio Administrative Code, the PUCO's e-filing system will electronically serve notice of the filing of this document upon the following parties.  In addition, I hereby certify that a service copy of the foregoing </w:t>
      </w:r>
      <w:r>
        <w:rPr>
          <w:i/>
          <w:szCs w:val="24"/>
        </w:rPr>
        <w:t xml:space="preserve">Industrial Energy Users-Ohio’s </w:t>
      </w:r>
      <w:r w:rsidR="004A6C60">
        <w:rPr>
          <w:i/>
          <w:szCs w:val="24"/>
        </w:rPr>
        <w:t>Reply Comments</w:t>
      </w:r>
      <w:r>
        <w:rPr>
          <w:i/>
          <w:szCs w:val="24"/>
        </w:rPr>
        <w:t xml:space="preserve"> </w:t>
      </w:r>
      <w:r>
        <w:rPr>
          <w:szCs w:val="24"/>
        </w:rPr>
        <w:t xml:space="preserve">was sent by, or on behalf of, the undersigned counsel for IEU-Ohio to the following parties of record this </w:t>
      </w:r>
      <w:r w:rsidR="004A6C60">
        <w:rPr>
          <w:szCs w:val="24"/>
        </w:rPr>
        <w:t>16th</w:t>
      </w:r>
      <w:r>
        <w:rPr>
          <w:szCs w:val="24"/>
        </w:rPr>
        <w:t xml:space="preserve"> day of </w:t>
      </w:r>
      <w:r w:rsidR="004A6C60">
        <w:rPr>
          <w:szCs w:val="24"/>
        </w:rPr>
        <w:t xml:space="preserve">December </w:t>
      </w:r>
      <w:r>
        <w:rPr>
          <w:szCs w:val="24"/>
        </w:rPr>
        <w:t xml:space="preserve">2014, </w:t>
      </w:r>
      <w:r>
        <w:rPr>
          <w:i/>
          <w:szCs w:val="24"/>
        </w:rPr>
        <w:t>via</w:t>
      </w:r>
      <w:r>
        <w:rPr>
          <w:szCs w:val="24"/>
        </w:rPr>
        <w:t xml:space="preserve"> electronic transmission.</w:t>
      </w:r>
      <w:r>
        <w:t xml:space="preserve"> </w:t>
      </w:r>
    </w:p>
    <w:p w:rsidR="00AC6448" w:rsidRPr="00AB084C" w:rsidRDefault="00AC6448" w:rsidP="00AC6448">
      <w:pPr>
        <w:tabs>
          <w:tab w:val="left" w:pos="-1440"/>
          <w:tab w:val="left" w:pos="-720"/>
          <w:tab w:val="left" w:pos="5040"/>
          <w:tab w:val="center" w:pos="7200"/>
          <w:tab w:val="right" w:pos="9360"/>
        </w:tabs>
        <w:spacing w:line="240" w:lineRule="auto"/>
        <w:ind w:firstLine="5040"/>
        <w:rPr>
          <w:rFonts w:cs="Arial"/>
          <w:i/>
        </w:rPr>
      </w:pPr>
      <w:r w:rsidRPr="00AB084C">
        <w:rPr>
          <w:rFonts w:cs="Arial"/>
          <w:i/>
          <w:u w:val="single"/>
        </w:rPr>
        <w:t>/s/ Matthew R. Pritchard</w:t>
      </w:r>
      <w:r w:rsidRPr="00AB084C">
        <w:rPr>
          <w:rFonts w:cs="Arial"/>
          <w:i/>
          <w:u w:val="single"/>
        </w:rPr>
        <w:tab/>
      </w:r>
    </w:p>
    <w:p w:rsidR="00AC6448" w:rsidRDefault="00AC6448" w:rsidP="00AC6448">
      <w:pPr>
        <w:tabs>
          <w:tab w:val="left" w:pos="4320"/>
          <w:tab w:val="center" w:pos="6840"/>
        </w:tabs>
        <w:spacing w:line="240" w:lineRule="auto"/>
        <w:rPr>
          <w:rFonts w:cs="Arial"/>
        </w:rPr>
      </w:pPr>
      <w:r>
        <w:rPr>
          <w:rFonts w:cs="Arial"/>
        </w:rPr>
        <w:tab/>
      </w:r>
      <w:r>
        <w:rPr>
          <w:rFonts w:cs="Arial"/>
        </w:rPr>
        <w:tab/>
        <w:t>Matthew R. Pritchard</w:t>
      </w:r>
    </w:p>
    <w:p w:rsidR="00AC6448" w:rsidRDefault="00AC6448" w:rsidP="00AC6448">
      <w:pPr>
        <w:spacing w:line="240" w:lineRule="auto"/>
      </w:pPr>
    </w:p>
    <w:p w:rsidR="00AC6448" w:rsidRDefault="00AC6448" w:rsidP="00AC6448">
      <w:pPr>
        <w:spacing w:line="240" w:lineRule="auto"/>
        <w:sectPr w:rsidR="00AC6448">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AC6448" w:rsidRPr="005E2E17" w:rsidRDefault="00AC6448" w:rsidP="00AC6448">
      <w:pPr>
        <w:spacing w:line="240" w:lineRule="auto"/>
        <w:jc w:val="left"/>
        <w:rPr>
          <w:sz w:val="22"/>
          <w:szCs w:val="22"/>
        </w:rPr>
      </w:pPr>
      <w:r w:rsidRPr="005E2E17">
        <w:rPr>
          <w:sz w:val="22"/>
          <w:szCs w:val="22"/>
        </w:rPr>
        <w:lastRenderedPageBreak/>
        <w:t>Steven T. Nourse (Reg. No. 0046705)</w:t>
      </w:r>
    </w:p>
    <w:p w:rsidR="00AC6448" w:rsidRPr="005E2E17" w:rsidRDefault="00AC6448" w:rsidP="00AC6448">
      <w:pPr>
        <w:spacing w:line="240" w:lineRule="auto"/>
        <w:jc w:val="left"/>
        <w:rPr>
          <w:sz w:val="22"/>
          <w:szCs w:val="22"/>
        </w:rPr>
      </w:pPr>
      <w:r w:rsidRPr="005E2E17">
        <w:rPr>
          <w:sz w:val="22"/>
          <w:szCs w:val="22"/>
        </w:rPr>
        <w:t>Matthew J. Satterwhite (Reg. No. 0071972)</w:t>
      </w:r>
    </w:p>
    <w:p w:rsidR="00AC6448" w:rsidRPr="005E2E17" w:rsidRDefault="00AC6448" w:rsidP="00AC6448">
      <w:pPr>
        <w:spacing w:line="240" w:lineRule="auto"/>
        <w:jc w:val="left"/>
        <w:rPr>
          <w:sz w:val="22"/>
          <w:szCs w:val="22"/>
        </w:rPr>
      </w:pPr>
      <w:r w:rsidRPr="005E2E17">
        <w:rPr>
          <w:sz w:val="22"/>
          <w:szCs w:val="22"/>
        </w:rPr>
        <w:t>American Electric Power Service Corporation</w:t>
      </w:r>
    </w:p>
    <w:p w:rsidR="00AC6448" w:rsidRPr="005E2E17" w:rsidRDefault="00AC6448" w:rsidP="00AC6448">
      <w:pPr>
        <w:spacing w:line="240" w:lineRule="auto"/>
        <w:jc w:val="left"/>
        <w:rPr>
          <w:sz w:val="22"/>
          <w:szCs w:val="22"/>
        </w:rPr>
      </w:pPr>
      <w:r w:rsidRPr="005E2E17">
        <w:rPr>
          <w:sz w:val="22"/>
          <w:szCs w:val="22"/>
        </w:rPr>
        <w:t>1 Riverside Plaza, 29</w:t>
      </w:r>
      <w:r w:rsidRPr="005E2E17">
        <w:rPr>
          <w:sz w:val="22"/>
          <w:szCs w:val="22"/>
          <w:vertAlign w:val="superscript"/>
        </w:rPr>
        <w:t>th</w:t>
      </w:r>
      <w:r w:rsidRPr="005E2E17">
        <w:rPr>
          <w:sz w:val="22"/>
          <w:szCs w:val="22"/>
        </w:rPr>
        <w:t xml:space="preserve"> Floor</w:t>
      </w:r>
    </w:p>
    <w:p w:rsidR="00AC6448" w:rsidRPr="005E2E17" w:rsidRDefault="00AC6448" w:rsidP="00AC6448">
      <w:pPr>
        <w:spacing w:line="240" w:lineRule="auto"/>
        <w:jc w:val="left"/>
        <w:rPr>
          <w:sz w:val="22"/>
          <w:szCs w:val="22"/>
        </w:rPr>
      </w:pPr>
      <w:r w:rsidRPr="005E2E17">
        <w:rPr>
          <w:sz w:val="22"/>
          <w:szCs w:val="22"/>
        </w:rPr>
        <w:t>Columbus, OH  43215</w:t>
      </w:r>
    </w:p>
    <w:p w:rsidR="00AC6448" w:rsidRPr="005E2E17" w:rsidRDefault="002640ED" w:rsidP="00AC6448">
      <w:pPr>
        <w:spacing w:line="240" w:lineRule="auto"/>
        <w:jc w:val="left"/>
        <w:rPr>
          <w:sz w:val="22"/>
          <w:szCs w:val="22"/>
        </w:rPr>
      </w:pPr>
      <w:hyperlink r:id="rId27" w:history="1">
        <w:r w:rsidR="00AC6448" w:rsidRPr="005E2E17">
          <w:rPr>
            <w:rStyle w:val="Hyperlink"/>
            <w:rFonts w:eastAsiaTheme="majorEastAsia"/>
            <w:color w:val="auto"/>
            <w:sz w:val="22"/>
            <w:szCs w:val="22"/>
          </w:rPr>
          <w:t>stnourse@aep.com</w:t>
        </w:r>
      </w:hyperlink>
    </w:p>
    <w:p w:rsidR="00AC6448" w:rsidRPr="005E2E17" w:rsidRDefault="002640ED" w:rsidP="00AC6448">
      <w:pPr>
        <w:spacing w:line="240" w:lineRule="auto"/>
        <w:jc w:val="left"/>
        <w:rPr>
          <w:sz w:val="22"/>
          <w:szCs w:val="22"/>
        </w:rPr>
      </w:pPr>
      <w:hyperlink r:id="rId28" w:history="1">
        <w:r w:rsidR="00AC6448" w:rsidRPr="005E2E17">
          <w:rPr>
            <w:rStyle w:val="Hyperlink"/>
            <w:rFonts w:eastAsiaTheme="majorEastAsia"/>
            <w:color w:val="auto"/>
            <w:sz w:val="22"/>
            <w:szCs w:val="22"/>
          </w:rPr>
          <w:t>mjsatterwhite@aep.com</w:t>
        </w:r>
      </w:hyperlink>
    </w:p>
    <w:p w:rsidR="00AC6448" w:rsidRPr="005E2E17" w:rsidRDefault="00AC6448" w:rsidP="00AC6448">
      <w:pPr>
        <w:spacing w:line="240" w:lineRule="auto"/>
        <w:jc w:val="left"/>
        <w:rPr>
          <w:sz w:val="22"/>
          <w:szCs w:val="22"/>
        </w:rPr>
      </w:pPr>
    </w:p>
    <w:p w:rsidR="00AC6448" w:rsidRPr="005E2E17" w:rsidRDefault="00AC6448" w:rsidP="00AC6448">
      <w:pPr>
        <w:spacing w:line="240" w:lineRule="auto"/>
        <w:jc w:val="left"/>
        <w:rPr>
          <w:rFonts w:ascii="Arial Bold" w:hAnsi="Arial Bold"/>
          <w:b/>
          <w:smallCaps/>
          <w:sz w:val="22"/>
          <w:szCs w:val="22"/>
        </w:rPr>
      </w:pPr>
      <w:r w:rsidRPr="005E2E17">
        <w:rPr>
          <w:rFonts w:ascii="Arial Bold" w:hAnsi="Arial Bold"/>
          <w:b/>
          <w:smallCaps/>
          <w:sz w:val="22"/>
          <w:szCs w:val="22"/>
        </w:rPr>
        <w:t>Attorneys for Ohio Power Company</w:t>
      </w:r>
    </w:p>
    <w:p w:rsidR="00AC6448" w:rsidRPr="005E2E17" w:rsidRDefault="00AC6448" w:rsidP="00AC6448">
      <w:pPr>
        <w:spacing w:line="240" w:lineRule="auto"/>
        <w:jc w:val="left"/>
        <w:rPr>
          <w:sz w:val="22"/>
          <w:szCs w:val="22"/>
        </w:rPr>
      </w:pPr>
    </w:p>
    <w:p w:rsidR="00AC6448" w:rsidRPr="005E2E17" w:rsidRDefault="00AC6448" w:rsidP="00AC6448">
      <w:pPr>
        <w:spacing w:line="240" w:lineRule="auto"/>
        <w:jc w:val="left"/>
        <w:rPr>
          <w:sz w:val="22"/>
          <w:szCs w:val="22"/>
        </w:rPr>
      </w:pPr>
      <w:r w:rsidRPr="005E2E17">
        <w:rPr>
          <w:sz w:val="22"/>
          <w:szCs w:val="22"/>
        </w:rPr>
        <w:t>David F. Boehm (Reg. No. 0021881)</w:t>
      </w:r>
    </w:p>
    <w:p w:rsidR="00AC6448" w:rsidRPr="005E2E17" w:rsidRDefault="00AC6448" w:rsidP="00AC6448">
      <w:pPr>
        <w:spacing w:line="240" w:lineRule="auto"/>
        <w:jc w:val="left"/>
        <w:rPr>
          <w:sz w:val="22"/>
          <w:szCs w:val="22"/>
        </w:rPr>
      </w:pPr>
      <w:r w:rsidRPr="005E2E17">
        <w:rPr>
          <w:sz w:val="22"/>
          <w:szCs w:val="22"/>
        </w:rPr>
        <w:t>Michael L. Kurtz (Reg. No. 0033350)</w:t>
      </w:r>
    </w:p>
    <w:p w:rsidR="00AC6448" w:rsidRPr="005E2E17" w:rsidRDefault="00AC6448" w:rsidP="00AC6448">
      <w:pPr>
        <w:spacing w:line="240" w:lineRule="auto"/>
        <w:jc w:val="left"/>
        <w:rPr>
          <w:sz w:val="22"/>
          <w:szCs w:val="22"/>
        </w:rPr>
      </w:pPr>
      <w:r w:rsidRPr="005E2E17">
        <w:rPr>
          <w:sz w:val="22"/>
          <w:szCs w:val="22"/>
        </w:rPr>
        <w:t>Jody Kyler Cohn (Reg. No. 0085402)</w:t>
      </w:r>
    </w:p>
    <w:p w:rsidR="00AC6448" w:rsidRPr="005E2E17" w:rsidRDefault="00AC6448" w:rsidP="00AC6448">
      <w:pPr>
        <w:spacing w:line="240" w:lineRule="auto"/>
        <w:jc w:val="left"/>
        <w:rPr>
          <w:sz w:val="22"/>
          <w:szCs w:val="22"/>
        </w:rPr>
      </w:pPr>
      <w:r w:rsidRPr="005E2E17">
        <w:rPr>
          <w:sz w:val="22"/>
          <w:szCs w:val="22"/>
        </w:rPr>
        <w:t>Boehm, Kurtz &amp; Lowry</w:t>
      </w:r>
    </w:p>
    <w:p w:rsidR="00AC6448" w:rsidRPr="005E2E17" w:rsidRDefault="00AC6448" w:rsidP="00AC6448">
      <w:pPr>
        <w:spacing w:line="240" w:lineRule="auto"/>
        <w:jc w:val="left"/>
        <w:rPr>
          <w:sz w:val="22"/>
          <w:szCs w:val="22"/>
        </w:rPr>
      </w:pPr>
      <w:r w:rsidRPr="005E2E17">
        <w:rPr>
          <w:sz w:val="22"/>
          <w:szCs w:val="22"/>
        </w:rPr>
        <w:t>36 E. Seventh St., Suite 1510</w:t>
      </w:r>
    </w:p>
    <w:p w:rsidR="00AC6448" w:rsidRPr="005E2E17" w:rsidRDefault="00AC6448" w:rsidP="00AC6448">
      <w:pPr>
        <w:spacing w:line="240" w:lineRule="auto"/>
        <w:jc w:val="left"/>
        <w:rPr>
          <w:sz w:val="22"/>
          <w:szCs w:val="22"/>
        </w:rPr>
      </w:pPr>
      <w:r w:rsidRPr="005E2E17">
        <w:rPr>
          <w:sz w:val="22"/>
          <w:szCs w:val="22"/>
        </w:rPr>
        <w:t>Cincinnati, OH  45202</w:t>
      </w:r>
    </w:p>
    <w:p w:rsidR="00AC6448" w:rsidRPr="005E2E17" w:rsidRDefault="00AC6448" w:rsidP="00AC6448">
      <w:pPr>
        <w:spacing w:line="240" w:lineRule="auto"/>
        <w:jc w:val="left"/>
        <w:rPr>
          <w:sz w:val="22"/>
          <w:szCs w:val="22"/>
        </w:rPr>
      </w:pPr>
      <w:r w:rsidRPr="005E2E17">
        <w:rPr>
          <w:sz w:val="22"/>
          <w:szCs w:val="22"/>
        </w:rPr>
        <w:t>dboehm@BKLlawfirm.com</w:t>
      </w:r>
    </w:p>
    <w:p w:rsidR="00AC6448" w:rsidRPr="005E2E17" w:rsidRDefault="00AC6448" w:rsidP="00AC6448">
      <w:pPr>
        <w:spacing w:line="240" w:lineRule="auto"/>
        <w:jc w:val="left"/>
        <w:rPr>
          <w:sz w:val="22"/>
          <w:szCs w:val="22"/>
        </w:rPr>
      </w:pPr>
      <w:r w:rsidRPr="005E2E17">
        <w:rPr>
          <w:sz w:val="22"/>
          <w:szCs w:val="22"/>
        </w:rPr>
        <w:t>mkurtz@BKLlawfirm.com</w:t>
      </w:r>
    </w:p>
    <w:p w:rsidR="00AC6448" w:rsidRPr="005E2E17" w:rsidRDefault="00AC6448" w:rsidP="00AC6448">
      <w:pPr>
        <w:spacing w:line="240" w:lineRule="auto"/>
        <w:jc w:val="left"/>
        <w:rPr>
          <w:sz w:val="22"/>
          <w:szCs w:val="22"/>
        </w:rPr>
      </w:pPr>
      <w:r w:rsidRPr="005E2E17">
        <w:rPr>
          <w:sz w:val="22"/>
          <w:szCs w:val="22"/>
        </w:rPr>
        <w:t>jkyler@BKLlawfirm.com</w:t>
      </w:r>
    </w:p>
    <w:p w:rsidR="00AC6448" w:rsidRPr="005E2E17" w:rsidRDefault="00AC6448" w:rsidP="00AC6448">
      <w:pPr>
        <w:spacing w:line="240" w:lineRule="auto"/>
        <w:jc w:val="left"/>
        <w:rPr>
          <w:sz w:val="22"/>
          <w:szCs w:val="22"/>
        </w:rPr>
      </w:pPr>
    </w:p>
    <w:p w:rsidR="00AC6448" w:rsidRPr="005E2E17" w:rsidRDefault="00AC6448" w:rsidP="00AC6448">
      <w:pPr>
        <w:spacing w:line="240" w:lineRule="auto"/>
        <w:jc w:val="left"/>
        <w:rPr>
          <w:rFonts w:ascii="Arial Bold" w:hAnsi="Arial Bold"/>
          <w:b/>
          <w:smallCaps/>
          <w:sz w:val="22"/>
          <w:szCs w:val="22"/>
        </w:rPr>
      </w:pPr>
      <w:r w:rsidRPr="005E2E17">
        <w:rPr>
          <w:rFonts w:ascii="Arial Bold" w:hAnsi="Arial Bold"/>
          <w:b/>
          <w:smallCaps/>
          <w:sz w:val="22"/>
          <w:szCs w:val="22"/>
        </w:rPr>
        <w:t>Attorneys for the Ohio Energy Group</w:t>
      </w:r>
    </w:p>
    <w:p w:rsidR="00AC6448" w:rsidRPr="005E2E17" w:rsidRDefault="00AC6448" w:rsidP="00AC6448">
      <w:pPr>
        <w:spacing w:line="240" w:lineRule="auto"/>
        <w:jc w:val="left"/>
        <w:rPr>
          <w:sz w:val="22"/>
          <w:szCs w:val="22"/>
        </w:rPr>
      </w:pPr>
    </w:p>
    <w:p w:rsidR="00AC6448" w:rsidRPr="005E2E17" w:rsidRDefault="00AC6448" w:rsidP="00AC6448">
      <w:pPr>
        <w:spacing w:line="240" w:lineRule="auto"/>
        <w:jc w:val="left"/>
        <w:rPr>
          <w:sz w:val="22"/>
          <w:szCs w:val="22"/>
        </w:rPr>
      </w:pPr>
      <w:r w:rsidRPr="005E2E17">
        <w:rPr>
          <w:sz w:val="22"/>
          <w:szCs w:val="22"/>
        </w:rPr>
        <w:t>Richard L. Sites (Reg. No. 0019887)</w:t>
      </w:r>
    </w:p>
    <w:p w:rsidR="00AC6448" w:rsidRPr="005E2E17" w:rsidRDefault="00AC6448" w:rsidP="00AC6448">
      <w:pPr>
        <w:spacing w:line="240" w:lineRule="auto"/>
        <w:jc w:val="left"/>
        <w:rPr>
          <w:sz w:val="22"/>
          <w:szCs w:val="22"/>
        </w:rPr>
      </w:pPr>
      <w:r w:rsidRPr="005E2E17">
        <w:rPr>
          <w:sz w:val="22"/>
          <w:szCs w:val="22"/>
        </w:rPr>
        <w:t>General Counsel &amp; Senior Director of Health Policy</w:t>
      </w:r>
    </w:p>
    <w:p w:rsidR="00AC6448" w:rsidRPr="005E2E17" w:rsidRDefault="00AC6448" w:rsidP="00AC6448">
      <w:pPr>
        <w:spacing w:line="240" w:lineRule="auto"/>
        <w:jc w:val="left"/>
        <w:rPr>
          <w:sz w:val="22"/>
          <w:szCs w:val="22"/>
        </w:rPr>
      </w:pPr>
      <w:r w:rsidRPr="005E2E17">
        <w:rPr>
          <w:sz w:val="22"/>
          <w:szCs w:val="22"/>
        </w:rPr>
        <w:t>Ohio Hospital Association</w:t>
      </w:r>
    </w:p>
    <w:p w:rsidR="00AC6448" w:rsidRPr="005E2E17" w:rsidRDefault="00AC6448" w:rsidP="00AC6448">
      <w:pPr>
        <w:spacing w:line="240" w:lineRule="auto"/>
        <w:jc w:val="left"/>
        <w:rPr>
          <w:sz w:val="22"/>
          <w:szCs w:val="22"/>
        </w:rPr>
      </w:pPr>
      <w:r w:rsidRPr="005E2E17">
        <w:rPr>
          <w:sz w:val="22"/>
          <w:szCs w:val="22"/>
        </w:rPr>
        <w:t>155 East Broad Street, 15</w:t>
      </w:r>
      <w:r w:rsidRPr="005E2E17">
        <w:rPr>
          <w:sz w:val="22"/>
          <w:szCs w:val="22"/>
          <w:vertAlign w:val="superscript"/>
        </w:rPr>
        <w:t>th</w:t>
      </w:r>
      <w:r w:rsidRPr="005E2E17">
        <w:rPr>
          <w:sz w:val="22"/>
          <w:szCs w:val="22"/>
        </w:rPr>
        <w:t xml:space="preserve"> Floor</w:t>
      </w:r>
    </w:p>
    <w:p w:rsidR="00AC6448" w:rsidRPr="005E2E17" w:rsidRDefault="00AC6448" w:rsidP="00AC6448">
      <w:pPr>
        <w:spacing w:line="240" w:lineRule="auto"/>
        <w:jc w:val="left"/>
        <w:rPr>
          <w:sz w:val="22"/>
          <w:szCs w:val="22"/>
        </w:rPr>
      </w:pPr>
      <w:r w:rsidRPr="005E2E17">
        <w:rPr>
          <w:sz w:val="22"/>
          <w:szCs w:val="22"/>
        </w:rPr>
        <w:t>Columbus, OH  43215-3620</w:t>
      </w:r>
    </w:p>
    <w:p w:rsidR="00AC6448" w:rsidRPr="005E2E17" w:rsidRDefault="00AC6448" w:rsidP="00AC6448">
      <w:pPr>
        <w:spacing w:line="240" w:lineRule="auto"/>
        <w:jc w:val="left"/>
        <w:rPr>
          <w:sz w:val="22"/>
          <w:szCs w:val="22"/>
        </w:rPr>
      </w:pPr>
      <w:r w:rsidRPr="005E2E17">
        <w:rPr>
          <w:sz w:val="22"/>
          <w:szCs w:val="22"/>
        </w:rPr>
        <w:t>ricks@ohanet.org</w:t>
      </w:r>
    </w:p>
    <w:p w:rsidR="00AC6448" w:rsidRPr="005E2E17" w:rsidRDefault="00AC6448" w:rsidP="00AC6448">
      <w:pPr>
        <w:spacing w:line="240" w:lineRule="auto"/>
        <w:jc w:val="left"/>
        <w:rPr>
          <w:sz w:val="22"/>
          <w:szCs w:val="22"/>
        </w:rPr>
      </w:pPr>
    </w:p>
    <w:p w:rsidR="00AC6448" w:rsidRPr="005E2E17" w:rsidRDefault="00AC6448" w:rsidP="00AC6448">
      <w:pPr>
        <w:spacing w:line="240" w:lineRule="auto"/>
        <w:jc w:val="left"/>
        <w:rPr>
          <w:rFonts w:cs="Arial"/>
          <w:sz w:val="22"/>
          <w:szCs w:val="22"/>
        </w:rPr>
      </w:pPr>
      <w:r w:rsidRPr="005E2E17">
        <w:rPr>
          <w:rFonts w:cs="Arial"/>
          <w:sz w:val="22"/>
          <w:szCs w:val="22"/>
        </w:rPr>
        <w:lastRenderedPageBreak/>
        <w:t>Thomas J. O’Brien (Reg. No. 0066249)</w:t>
      </w:r>
    </w:p>
    <w:p w:rsidR="00AC6448" w:rsidRPr="005E2E17" w:rsidRDefault="00AC6448" w:rsidP="00AC6448">
      <w:pPr>
        <w:spacing w:line="240" w:lineRule="auto"/>
        <w:jc w:val="left"/>
        <w:rPr>
          <w:rFonts w:cs="Arial"/>
          <w:sz w:val="22"/>
          <w:szCs w:val="22"/>
        </w:rPr>
      </w:pPr>
      <w:r w:rsidRPr="005E2E17">
        <w:rPr>
          <w:rFonts w:cs="Arial"/>
          <w:sz w:val="22"/>
          <w:szCs w:val="22"/>
        </w:rPr>
        <w:t>Bricker &amp; Eckler LLP</w:t>
      </w:r>
    </w:p>
    <w:p w:rsidR="00AC6448" w:rsidRPr="005E2E17" w:rsidRDefault="00AC6448" w:rsidP="00AC6448">
      <w:pPr>
        <w:spacing w:line="240" w:lineRule="auto"/>
        <w:jc w:val="left"/>
        <w:rPr>
          <w:rFonts w:cs="Arial"/>
          <w:sz w:val="22"/>
          <w:szCs w:val="22"/>
        </w:rPr>
      </w:pPr>
      <w:r w:rsidRPr="005E2E17">
        <w:rPr>
          <w:rFonts w:cs="Arial"/>
          <w:sz w:val="22"/>
          <w:szCs w:val="22"/>
        </w:rPr>
        <w:t>100 South Third Street</w:t>
      </w:r>
    </w:p>
    <w:p w:rsidR="00AC6448" w:rsidRPr="005E2E17" w:rsidRDefault="00AC6448" w:rsidP="00AC6448">
      <w:pPr>
        <w:spacing w:line="240" w:lineRule="auto"/>
        <w:jc w:val="left"/>
        <w:rPr>
          <w:rFonts w:cs="Arial"/>
          <w:sz w:val="22"/>
          <w:szCs w:val="22"/>
        </w:rPr>
      </w:pPr>
      <w:r w:rsidRPr="005E2E17">
        <w:rPr>
          <w:rFonts w:cs="Arial"/>
          <w:sz w:val="22"/>
          <w:szCs w:val="22"/>
        </w:rPr>
        <w:t>Columbus, OH  43215-4291</w:t>
      </w:r>
    </w:p>
    <w:p w:rsidR="00AC6448" w:rsidRPr="005E2E17" w:rsidRDefault="00AC6448" w:rsidP="00AC6448">
      <w:pPr>
        <w:spacing w:line="240" w:lineRule="auto"/>
        <w:jc w:val="left"/>
        <w:rPr>
          <w:rFonts w:cs="Arial"/>
          <w:sz w:val="22"/>
          <w:szCs w:val="22"/>
        </w:rPr>
      </w:pPr>
      <w:r w:rsidRPr="005E2E17">
        <w:rPr>
          <w:rFonts w:cs="Arial"/>
          <w:sz w:val="22"/>
          <w:szCs w:val="22"/>
        </w:rPr>
        <w:t>tobrien@bricker.com</w:t>
      </w:r>
    </w:p>
    <w:p w:rsidR="00AC6448" w:rsidRPr="005E2E17" w:rsidRDefault="00AC6448" w:rsidP="00AC6448">
      <w:pPr>
        <w:spacing w:line="240" w:lineRule="auto"/>
        <w:jc w:val="left"/>
        <w:rPr>
          <w:rFonts w:cs="Arial"/>
          <w:sz w:val="22"/>
          <w:szCs w:val="22"/>
        </w:rPr>
      </w:pPr>
    </w:p>
    <w:p w:rsidR="00AC6448" w:rsidRPr="005E2E17" w:rsidRDefault="00AC6448" w:rsidP="00AC6448">
      <w:pPr>
        <w:spacing w:line="240" w:lineRule="auto"/>
        <w:jc w:val="left"/>
        <w:rPr>
          <w:rFonts w:cs="Arial"/>
          <w:b/>
          <w:smallCaps/>
          <w:sz w:val="22"/>
          <w:szCs w:val="22"/>
        </w:rPr>
      </w:pPr>
      <w:r w:rsidRPr="005E2E17">
        <w:rPr>
          <w:rFonts w:cs="Arial"/>
          <w:b/>
          <w:smallCaps/>
          <w:sz w:val="22"/>
          <w:szCs w:val="22"/>
        </w:rPr>
        <w:t>Attorneys for the Ohio Hospital Association</w:t>
      </w:r>
    </w:p>
    <w:p w:rsidR="00AC6448" w:rsidRPr="005E2E17" w:rsidRDefault="00AC6448" w:rsidP="00AC6448">
      <w:pPr>
        <w:spacing w:line="240" w:lineRule="auto"/>
        <w:jc w:val="left"/>
        <w:rPr>
          <w:rFonts w:cs="Arial"/>
          <w:sz w:val="22"/>
          <w:szCs w:val="22"/>
        </w:rPr>
      </w:pPr>
    </w:p>
    <w:p w:rsidR="00AC6448" w:rsidRPr="005E2E17" w:rsidRDefault="00AC6448" w:rsidP="00AC6448">
      <w:pPr>
        <w:spacing w:line="240" w:lineRule="auto"/>
        <w:jc w:val="left"/>
        <w:rPr>
          <w:rFonts w:cs="Arial"/>
          <w:sz w:val="22"/>
          <w:szCs w:val="22"/>
        </w:rPr>
      </w:pPr>
      <w:r w:rsidRPr="005E2E17">
        <w:rPr>
          <w:rFonts w:cs="Arial"/>
          <w:sz w:val="22"/>
          <w:szCs w:val="22"/>
        </w:rPr>
        <w:t>Kimberly W. Bojko (Reg. No. 0069402)</w:t>
      </w:r>
    </w:p>
    <w:p w:rsidR="00AC6448" w:rsidRPr="005E2E17" w:rsidRDefault="00AC6448" w:rsidP="00AC6448">
      <w:pPr>
        <w:spacing w:line="240" w:lineRule="auto"/>
        <w:jc w:val="left"/>
        <w:rPr>
          <w:rFonts w:cs="Arial"/>
          <w:sz w:val="22"/>
          <w:szCs w:val="22"/>
        </w:rPr>
      </w:pPr>
      <w:r w:rsidRPr="005E2E17">
        <w:rPr>
          <w:rFonts w:cs="Arial"/>
          <w:sz w:val="22"/>
          <w:szCs w:val="22"/>
        </w:rPr>
        <w:t>Rebecca L. Hussey (Reg. No. 0079444)</w:t>
      </w:r>
    </w:p>
    <w:p w:rsidR="00AC6448" w:rsidRPr="005E2E17" w:rsidRDefault="00AC6448" w:rsidP="00AC6448">
      <w:pPr>
        <w:spacing w:line="240" w:lineRule="auto"/>
        <w:jc w:val="left"/>
        <w:rPr>
          <w:rFonts w:cs="Arial"/>
          <w:sz w:val="22"/>
          <w:szCs w:val="22"/>
        </w:rPr>
      </w:pPr>
      <w:r w:rsidRPr="005E2E17">
        <w:rPr>
          <w:rFonts w:cs="Arial"/>
          <w:sz w:val="22"/>
          <w:szCs w:val="22"/>
        </w:rPr>
        <w:t>Jonathan A. Allison (Reg. No. 0062720)</w:t>
      </w:r>
    </w:p>
    <w:p w:rsidR="00AC6448" w:rsidRPr="005E2E17" w:rsidRDefault="00AC6448" w:rsidP="00AC6448">
      <w:pPr>
        <w:spacing w:line="240" w:lineRule="auto"/>
        <w:jc w:val="left"/>
        <w:rPr>
          <w:rFonts w:cs="Arial"/>
          <w:sz w:val="22"/>
          <w:szCs w:val="22"/>
        </w:rPr>
      </w:pPr>
      <w:r w:rsidRPr="005E2E17">
        <w:rPr>
          <w:rFonts w:cs="Arial"/>
          <w:sz w:val="22"/>
          <w:szCs w:val="22"/>
        </w:rPr>
        <w:t>Carpenter Lipps &amp; Leland LLP</w:t>
      </w:r>
    </w:p>
    <w:p w:rsidR="00AC6448" w:rsidRPr="005E2E17" w:rsidRDefault="00AC6448" w:rsidP="00AC6448">
      <w:pPr>
        <w:spacing w:line="240" w:lineRule="auto"/>
        <w:jc w:val="left"/>
        <w:rPr>
          <w:rFonts w:cs="Arial"/>
          <w:sz w:val="22"/>
          <w:szCs w:val="22"/>
        </w:rPr>
      </w:pPr>
      <w:r w:rsidRPr="005E2E17">
        <w:rPr>
          <w:rFonts w:cs="Arial"/>
          <w:sz w:val="22"/>
          <w:szCs w:val="22"/>
        </w:rPr>
        <w:t>280 Plaza, Suite 1300</w:t>
      </w:r>
    </w:p>
    <w:p w:rsidR="00AC6448" w:rsidRPr="005E2E17" w:rsidRDefault="00AC6448" w:rsidP="00AC6448">
      <w:pPr>
        <w:spacing w:line="240" w:lineRule="auto"/>
        <w:jc w:val="left"/>
        <w:rPr>
          <w:rFonts w:cs="Arial"/>
          <w:sz w:val="22"/>
          <w:szCs w:val="22"/>
        </w:rPr>
      </w:pPr>
      <w:r w:rsidRPr="005E2E17">
        <w:rPr>
          <w:rFonts w:cs="Arial"/>
          <w:sz w:val="22"/>
          <w:szCs w:val="22"/>
        </w:rPr>
        <w:t>280 North High Street</w:t>
      </w:r>
    </w:p>
    <w:p w:rsidR="00AC6448" w:rsidRPr="005E2E17" w:rsidRDefault="00AC6448" w:rsidP="00AC6448">
      <w:pPr>
        <w:spacing w:line="240" w:lineRule="auto"/>
        <w:jc w:val="left"/>
        <w:rPr>
          <w:rFonts w:cs="Arial"/>
          <w:sz w:val="22"/>
          <w:szCs w:val="22"/>
        </w:rPr>
      </w:pPr>
      <w:r w:rsidRPr="005E2E17">
        <w:rPr>
          <w:rFonts w:cs="Arial"/>
          <w:sz w:val="22"/>
          <w:szCs w:val="22"/>
        </w:rPr>
        <w:t>Columbus, OH  43215</w:t>
      </w:r>
    </w:p>
    <w:p w:rsidR="00AC6448" w:rsidRPr="005E2E17" w:rsidRDefault="00AC6448" w:rsidP="00AC6448">
      <w:pPr>
        <w:spacing w:line="240" w:lineRule="auto"/>
        <w:jc w:val="left"/>
        <w:rPr>
          <w:rFonts w:cs="Arial"/>
          <w:sz w:val="22"/>
          <w:szCs w:val="22"/>
        </w:rPr>
      </w:pPr>
      <w:r w:rsidRPr="005E2E17">
        <w:rPr>
          <w:rFonts w:cs="Arial"/>
          <w:sz w:val="22"/>
          <w:szCs w:val="22"/>
        </w:rPr>
        <w:t>Bojko@carpenterlipps.com</w:t>
      </w:r>
    </w:p>
    <w:p w:rsidR="00AC6448" w:rsidRPr="005E2E17" w:rsidRDefault="00AC6448" w:rsidP="00AC6448">
      <w:pPr>
        <w:spacing w:line="240" w:lineRule="auto"/>
        <w:jc w:val="left"/>
        <w:rPr>
          <w:rFonts w:cs="Arial"/>
          <w:sz w:val="22"/>
          <w:szCs w:val="22"/>
        </w:rPr>
      </w:pPr>
      <w:r w:rsidRPr="005E2E17">
        <w:rPr>
          <w:rFonts w:cs="Arial"/>
          <w:sz w:val="22"/>
          <w:szCs w:val="22"/>
        </w:rPr>
        <w:t>Hussey@carpenterlipps.com</w:t>
      </w:r>
    </w:p>
    <w:p w:rsidR="00AC6448" w:rsidRPr="005E2E17" w:rsidRDefault="00AC6448" w:rsidP="00AC6448">
      <w:pPr>
        <w:spacing w:line="240" w:lineRule="auto"/>
        <w:jc w:val="left"/>
        <w:rPr>
          <w:rFonts w:cs="Arial"/>
          <w:sz w:val="22"/>
          <w:szCs w:val="22"/>
        </w:rPr>
      </w:pPr>
      <w:r w:rsidRPr="005E2E17">
        <w:rPr>
          <w:rFonts w:cs="Arial"/>
          <w:sz w:val="22"/>
          <w:szCs w:val="22"/>
        </w:rPr>
        <w:t>Allison@carpenterlipps.com</w:t>
      </w:r>
    </w:p>
    <w:p w:rsidR="00AC6448" w:rsidRPr="005E2E17" w:rsidRDefault="00AC6448" w:rsidP="00AC6448">
      <w:pPr>
        <w:spacing w:line="240" w:lineRule="auto"/>
        <w:jc w:val="left"/>
        <w:rPr>
          <w:rFonts w:cs="Arial"/>
          <w:sz w:val="22"/>
          <w:szCs w:val="22"/>
        </w:rPr>
      </w:pPr>
    </w:p>
    <w:p w:rsidR="00AC6448" w:rsidRPr="005E2E17" w:rsidRDefault="00AC6448" w:rsidP="00AC6448">
      <w:pPr>
        <w:spacing w:line="240" w:lineRule="auto"/>
        <w:jc w:val="left"/>
        <w:rPr>
          <w:rFonts w:cs="Arial"/>
          <w:b/>
          <w:smallCaps/>
          <w:sz w:val="22"/>
          <w:szCs w:val="22"/>
        </w:rPr>
      </w:pPr>
      <w:r w:rsidRPr="005E2E17">
        <w:rPr>
          <w:rFonts w:cs="Arial"/>
          <w:b/>
          <w:smallCaps/>
          <w:sz w:val="22"/>
          <w:szCs w:val="22"/>
        </w:rPr>
        <w:t>Attorneys for the OMA Energy Group</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Mark S. Yurick (Reg. No. 0039176)</w:t>
      </w:r>
    </w:p>
    <w:p w:rsidR="00AC6448" w:rsidRDefault="00AC6448" w:rsidP="00AC6448">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Devin D. Parram (Reg. No. 0082507)</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TAFT STETTINIUS &amp; HOLLISTER LLP</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65 East State Street, Suite 1000</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Columbus, OH  43215</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myurick@taftlaw.com</w:t>
      </w:r>
    </w:p>
    <w:p w:rsidR="00AC6448" w:rsidRDefault="00AC6448" w:rsidP="00AC6448">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dparram@taftlaw.com</w:t>
      </w:r>
    </w:p>
    <w:p w:rsidR="00AC6448" w:rsidRPr="005E2E17" w:rsidRDefault="00AC6448" w:rsidP="00AC6448">
      <w:pPr>
        <w:tabs>
          <w:tab w:val="left" w:pos="2160"/>
          <w:tab w:val="left" w:pos="2280"/>
        </w:tabs>
        <w:spacing w:line="240" w:lineRule="auto"/>
        <w:jc w:val="left"/>
        <w:rPr>
          <w:rFonts w:cs="Arial"/>
          <w:color w:val="000000" w:themeColor="text1"/>
          <w:sz w:val="22"/>
          <w:szCs w:val="22"/>
        </w:rPr>
      </w:pPr>
    </w:p>
    <w:p w:rsidR="00AC6448" w:rsidRDefault="00AC6448" w:rsidP="00AC6448">
      <w:pPr>
        <w:spacing w:line="240" w:lineRule="auto"/>
        <w:jc w:val="left"/>
        <w:rPr>
          <w:rFonts w:cs="Arial"/>
          <w:b/>
          <w:smallCaps/>
          <w:sz w:val="22"/>
          <w:szCs w:val="22"/>
        </w:rPr>
      </w:pPr>
      <w:r w:rsidRPr="005E2E17">
        <w:rPr>
          <w:rFonts w:cs="Arial"/>
          <w:b/>
          <w:smallCaps/>
          <w:sz w:val="22"/>
          <w:szCs w:val="22"/>
        </w:rPr>
        <w:t>Attorney for The Kroger Co.</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lastRenderedPageBreak/>
        <w:t>Maureen R. Grady (Reg. No. 0020847)</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Terry L. Etter (Reg. No. 0067445)</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Assistant Consumers’ Counsel</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Office of the Ohio Consumers’ Counsel</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10 West Broad Street, Suite 1800</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Columbus, OH  43215-3485</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Maureen.grady@occ.state.oh.us</w:t>
      </w:r>
    </w:p>
    <w:p w:rsidR="00AC6448" w:rsidRPr="005E2E17" w:rsidRDefault="00AC6448" w:rsidP="00AC6448">
      <w:pPr>
        <w:autoSpaceDE w:val="0"/>
        <w:autoSpaceDN w:val="0"/>
        <w:adjustRightInd w:val="0"/>
        <w:spacing w:line="240" w:lineRule="auto"/>
        <w:jc w:val="left"/>
        <w:rPr>
          <w:rFonts w:cs="Arial"/>
          <w:color w:val="000000" w:themeColor="text1"/>
          <w:sz w:val="22"/>
          <w:szCs w:val="22"/>
        </w:rPr>
      </w:pPr>
      <w:r w:rsidRPr="005E2E17">
        <w:rPr>
          <w:rFonts w:cs="Arial"/>
          <w:color w:val="000000" w:themeColor="text1"/>
          <w:sz w:val="22"/>
          <w:szCs w:val="22"/>
        </w:rPr>
        <w:t>etter@occ.state.oh.us</w:t>
      </w:r>
    </w:p>
    <w:p w:rsidR="00AC6448" w:rsidRPr="005E2E17" w:rsidRDefault="00AC6448" w:rsidP="00AC6448">
      <w:pPr>
        <w:tabs>
          <w:tab w:val="left" w:pos="2160"/>
          <w:tab w:val="left" w:pos="2280"/>
        </w:tabs>
        <w:spacing w:line="240" w:lineRule="auto"/>
        <w:jc w:val="left"/>
        <w:rPr>
          <w:rFonts w:cs="Arial"/>
          <w:color w:val="000000" w:themeColor="text1"/>
          <w:sz w:val="22"/>
          <w:szCs w:val="22"/>
        </w:rPr>
      </w:pPr>
    </w:p>
    <w:p w:rsidR="00AC6448" w:rsidRPr="00710C64" w:rsidRDefault="00AC6448" w:rsidP="00AC6448">
      <w:pPr>
        <w:spacing w:line="240" w:lineRule="auto"/>
        <w:jc w:val="left"/>
        <w:rPr>
          <w:rFonts w:cs="Arial"/>
          <w:sz w:val="22"/>
          <w:szCs w:val="22"/>
        </w:rPr>
      </w:pPr>
      <w:r w:rsidRPr="005E2E17">
        <w:rPr>
          <w:rFonts w:cs="Arial"/>
          <w:b/>
          <w:smallCaps/>
          <w:sz w:val="22"/>
          <w:szCs w:val="22"/>
        </w:rPr>
        <w:t>Attorney for the Office of the Ohio Consumers’ Counsel</w:t>
      </w:r>
    </w:p>
    <w:p w:rsidR="00AC6448" w:rsidRPr="00710C64" w:rsidRDefault="00AC6448" w:rsidP="00AC6448">
      <w:pPr>
        <w:spacing w:line="240" w:lineRule="auto"/>
        <w:jc w:val="left"/>
        <w:rPr>
          <w:rFonts w:cs="Arial"/>
          <w:sz w:val="22"/>
          <w:szCs w:val="22"/>
        </w:rPr>
      </w:pP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M. Howard Petricoff (Reg. No. 0008287)</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Counsel of Record</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Gretchen L. Petrucci (Reg. No. 0046608)</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Vorys, Sater, Seymour and Pease LLP</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52 East Gay Street</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Columbus, OH  43216-1008</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mhpetricoff@vorys.com</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glpetrucci@vorys.com</w:t>
      </w:r>
    </w:p>
    <w:p w:rsidR="00AC6448" w:rsidRDefault="00AC6448" w:rsidP="00AC6448">
      <w:pPr>
        <w:autoSpaceDE w:val="0"/>
        <w:autoSpaceDN w:val="0"/>
        <w:adjustRightInd w:val="0"/>
        <w:snapToGrid w:val="0"/>
        <w:spacing w:line="240" w:lineRule="auto"/>
        <w:jc w:val="left"/>
        <w:rPr>
          <w:rFonts w:cs="Arial"/>
          <w:sz w:val="22"/>
          <w:szCs w:val="22"/>
        </w:rPr>
      </w:pPr>
    </w:p>
    <w:p w:rsidR="00AC6448" w:rsidRPr="00710C64" w:rsidRDefault="00AC6448" w:rsidP="00AC6448">
      <w:pPr>
        <w:spacing w:line="240" w:lineRule="auto"/>
        <w:jc w:val="left"/>
        <w:rPr>
          <w:rFonts w:cs="Arial"/>
          <w:sz w:val="22"/>
          <w:szCs w:val="22"/>
        </w:rPr>
      </w:pPr>
      <w:r w:rsidRPr="00710C64">
        <w:rPr>
          <w:rFonts w:cs="Arial"/>
          <w:b/>
          <w:smallCaps/>
          <w:sz w:val="22"/>
          <w:szCs w:val="22"/>
        </w:rPr>
        <w:t xml:space="preserve">Attorney for the </w:t>
      </w:r>
      <w:r>
        <w:rPr>
          <w:rFonts w:cs="Arial"/>
          <w:b/>
          <w:smallCaps/>
          <w:sz w:val="22"/>
          <w:szCs w:val="22"/>
        </w:rPr>
        <w:t>Retail Energy Supply Association</w:t>
      </w:r>
    </w:p>
    <w:p w:rsidR="00AC6448" w:rsidRDefault="00AC6448" w:rsidP="00AC6448">
      <w:pPr>
        <w:autoSpaceDE w:val="0"/>
        <w:autoSpaceDN w:val="0"/>
        <w:adjustRightInd w:val="0"/>
        <w:snapToGrid w:val="0"/>
        <w:spacing w:line="240" w:lineRule="auto"/>
        <w:jc w:val="left"/>
        <w:rPr>
          <w:rFonts w:cs="Arial"/>
          <w:sz w:val="22"/>
          <w:szCs w:val="22"/>
        </w:rPr>
      </w:pP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Joseph M. Clark</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Counsel of Record</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Direct Energy</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21 East State Street, 19</w:t>
      </w:r>
      <w:r w:rsidRPr="00CF151E">
        <w:rPr>
          <w:rFonts w:cs="Arial"/>
          <w:sz w:val="22"/>
          <w:szCs w:val="22"/>
          <w:vertAlign w:val="superscript"/>
        </w:rPr>
        <w:t>th</w:t>
      </w:r>
      <w:r>
        <w:rPr>
          <w:rFonts w:cs="Arial"/>
          <w:sz w:val="22"/>
          <w:szCs w:val="22"/>
        </w:rPr>
        <w:t xml:space="preserve"> Floor</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Columbus, OH  43215</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joseph.clark@directenergy.com</w:t>
      </w:r>
    </w:p>
    <w:p w:rsidR="00AC6448" w:rsidRDefault="00AC6448" w:rsidP="00AC6448">
      <w:pPr>
        <w:autoSpaceDE w:val="0"/>
        <w:autoSpaceDN w:val="0"/>
        <w:adjustRightInd w:val="0"/>
        <w:snapToGrid w:val="0"/>
        <w:spacing w:line="240" w:lineRule="auto"/>
        <w:jc w:val="left"/>
        <w:rPr>
          <w:rFonts w:cs="Arial"/>
          <w:sz w:val="22"/>
          <w:szCs w:val="22"/>
        </w:rPr>
      </w:pPr>
    </w:p>
    <w:p w:rsidR="00AC6448" w:rsidRPr="00710C64" w:rsidRDefault="00AC6448" w:rsidP="00AC6448">
      <w:pPr>
        <w:spacing w:line="240" w:lineRule="auto"/>
        <w:jc w:val="left"/>
        <w:rPr>
          <w:rFonts w:cs="Arial"/>
          <w:sz w:val="22"/>
          <w:szCs w:val="22"/>
        </w:rPr>
      </w:pPr>
      <w:r w:rsidRPr="00710C64">
        <w:rPr>
          <w:rFonts w:cs="Arial"/>
          <w:b/>
          <w:smallCaps/>
          <w:sz w:val="22"/>
          <w:szCs w:val="22"/>
        </w:rPr>
        <w:t xml:space="preserve">Attorney for </w:t>
      </w:r>
      <w:r>
        <w:rPr>
          <w:rFonts w:cs="Arial"/>
          <w:b/>
          <w:smallCaps/>
          <w:sz w:val="22"/>
          <w:szCs w:val="22"/>
        </w:rPr>
        <w:t>Direct Energy Services, LLC, Direct Energy Business, LLC and Direct Energy Business Marketing, LLC</w:t>
      </w:r>
    </w:p>
    <w:p w:rsidR="00AC6448" w:rsidRDefault="00AC6448" w:rsidP="00AC6448">
      <w:pPr>
        <w:autoSpaceDE w:val="0"/>
        <w:autoSpaceDN w:val="0"/>
        <w:adjustRightInd w:val="0"/>
        <w:snapToGrid w:val="0"/>
        <w:spacing w:line="240" w:lineRule="auto"/>
        <w:jc w:val="left"/>
        <w:rPr>
          <w:rFonts w:cs="Arial"/>
          <w:sz w:val="22"/>
          <w:szCs w:val="22"/>
        </w:rPr>
      </w:pPr>
    </w:p>
    <w:p w:rsidR="00AC6448" w:rsidRPr="00710C64" w:rsidRDefault="00AC6448" w:rsidP="00AC6448">
      <w:pPr>
        <w:autoSpaceDE w:val="0"/>
        <w:autoSpaceDN w:val="0"/>
        <w:adjustRightInd w:val="0"/>
        <w:snapToGrid w:val="0"/>
        <w:spacing w:line="240" w:lineRule="auto"/>
        <w:jc w:val="left"/>
        <w:rPr>
          <w:rFonts w:cs="Arial"/>
          <w:sz w:val="22"/>
          <w:szCs w:val="22"/>
        </w:rPr>
      </w:pPr>
      <w:r>
        <w:rPr>
          <w:rFonts w:cs="Arial"/>
          <w:sz w:val="22"/>
          <w:szCs w:val="22"/>
        </w:rPr>
        <w:br w:type="column"/>
      </w:r>
      <w:r>
        <w:rPr>
          <w:rFonts w:cs="Arial"/>
          <w:sz w:val="22"/>
          <w:szCs w:val="22"/>
        </w:rPr>
        <w:lastRenderedPageBreak/>
        <w:t>Werner Margard</w:t>
      </w:r>
    </w:p>
    <w:p w:rsidR="00AC6448" w:rsidRDefault="00AC6448" w:rsidP="00AC6448">
      <w:pPr>
        <w:autoSpaceDE w:val="0"/>
        <w:autoSpaceDN w:val="0"/>
        <w:adjustRightInd w:val="0"/>
        <w:snapToGrid w:val="0"/>
        <w:spacing w:line="240" w:lineRule="auto"/>
        <w:jc w:val="left"/>
        <w:rPr>
          <w:rFonts w:cs="Arial"/>
          <w:sz w:val="22"/>
          <w:szCs w:val="22"/>
        </w:rPr>
      </w:pPr>
      <w:r>
        <w:rPr>
          <w:rFonts w:cs="Arial"/>
          <w:sz w:val="22"/>
          <w:szCs w:val="22"/>
        </w:rPr>
        <w:t xml:space="preserve">Assistant Attorney General </w:t>
      </w:r>
    </w:p>
    <w:p w:rsidR="00AC6448" w:rsidRPr="00710C64" w:rsidRDefault="00AC6448" w:rsidP="00AC6448">
      <w:pPr>
        <w:autoSpaceDE w:val="0"/>
        <w:autoSpaceDN w:val="0"/>
        <w:adjustRightInd w:val="0"/>
        <w:snapToGrid w:val="0"/>
        <w:spacing w:line="240" w:lineRule="auto"/>
        <w:jc w:val="left"/>
        <w:rPr>
          <w:rFonts w:cs="Arial"/>
          <w:sz w:val="22"/>
          <w:szCs w:val="22"/>
        </w:rPr>
      </w:pPr>
      <w:r w:rsidRPr="00710C64">
        <w:rPr>
          <w:rFonts w:cs="Arial"/>
          <w:sz w:val="22"/>
          <w:szCs w:val="22"/>
        </w:rPr>
        <w:t>Public Utilities Section</w:t>
      </w:r>
    </w:p>
    <w:p w:rsidR="00AC6448" w:rsidRPr="00710C64" w:rsidRDefault="00AC6448" w:rsidP="00AC6448">
      <w:pPr>
        <w:autoSpaceDE w:val="0"/>
        <w:autoSpaceDN w:val="0"/>
        <w:adjustRightInd w:val="0"/>
        <w:snapToGrid w:val="0"/>
        <w:spacing w:line="240" w:lineRule="auto"/>
        <w:jc w:val="left"/>
        <w:rPr>
          <w:rFonts w:cs="Arial"/>
          <w:sz w:val="22"/>
          <w:szCs w:val="22"/>
        </w:rPr>
      </w:pPr>
      <w:r w:rsidRPr="00710C64">
        <w:rPr>
          <w:rFonts w:cs="Arial"/>
          <w:sz w:val="22"/>
          <w:szCs w:val="22"/>
        </w:rPr>
        <w:t>180 East Broad Street, 6th Floor</w:t>
      </w:r>
    </w:p>
    <w:p w:rsidR="00AC6448" w:rsidRPr="00710C64" w:rsidRDefault="00AC6448" w:rsidP="00AC6448">
      <w:pPr>
        <w:autoSpaceDE w:val="0"/>
        <w:autoSpaceDN w:val="0"/>
        <w:adjustRightInd w:val="0"/>
        <w:snapToGrid w:val="0"/>
        <w:spacing w:line="240" w:lineRule="auto"/>
        <w:jc w:val="left"/>
        <w:rPr>
          <w:rFonts w:cs="Arial"/>
          <w:sz w:val="22"/>
          <w:szCs w:val="22"/>
        </w:rPr>
      </w:pPr>
      <w:r w:rsidRPr="00710C64">
        <w:rPr>
          <w:rFonts w:cs="Arial"/>
          <w:sz w:val="22"/>
          <w:szCs w:val="22"/>
        </w:rPr>
        <w:t>Columbus, OH 43215-3793</w:t>
      </w:r>
    </w:p>
    <w:p w:rsidR="00AC6448" w:rsidRPr="00710C64" w:rsidRDefault="00AC6448" w:rsidP="00AC6448">
      <w:pPr>
        <w:spacing w:line="240" w:lineRule="auto"/>
        <w:jc w:val="left"/>
        <w:rPr>
          <w:rFonts w:cs="Arial"/>
          <w:smallCaps/>
          <w:sz w:val="22"/>
          <w:szCs w:val="22"/>
        </w:rPr>
      </w:pPr>
      <w:r w:rsidRPr="00C63A1C">
        <w:rPr>
          <w:rFonts w:cs="Arial"/>
          <w:sz w:val="22"/>
          <w:szCs w:val="22"/>
        </w:rPr>
        <w:t>werner.margard@puc.state.oh.us</w:t>
      </w:r>
    </w:p>
    <w:p w:rsidR="00AC6448" w:rsidRPr="00C63A1C" w:rsidRDefault="00AC6448" w:rsidP="00AC6448">
      <w:pPr>
        <w:spacing w:line="240" w:lineRule="auto"/>
        <w:jc w:val="left"/>
        <w:rPr>
          <w:rFonts w:cs="Arial"/>
          <w:smallCaps/>
          <w:sz w:val="22"/>
          <w:szCs w:val="22"/>
        </w:rPr>
      </w:pPr>
    </w:p>
    <w:p w:rsidR="00AC6448" w:rsidRPr="00710C64" w:rsidRDefault="00AC6448" w:rsidP="00AC6448">
      <w:pPr>
        <w:spacing w:line="240" w:lineRule="auto"/>
        <w:jc w:val="left"/>
        <w:rPr>
          <w:rFonts w:cs="Arial"/>
          <w:sz w:val="22"/>
          <w:szCs w:val="22"/>
        </w:rPr>
      </w:pPr>
      <w:r w:rsidRPr="00710C64">
        <w:rPr>
          <w:rFonts w:cs="Arial"/>
          <w:b/>
          <w:smallCaps/>
          <w:sz w:val="22"/>
          <w:szCs w:val="22"/>
        </w:rPr>
        <w:t>Attorney for the Staff of the Public Utilities Commission of Ohio</w:t>
      </w:r>
    </w:p>
    <w:p w:rsidR="00AC6448" w:rsidRPr="00710C64" w:rsidRDefault="00AC6448" w:rsidP="00AC6448">
      <w:pPr>
        <w:spacing w:line="240" w:lineRule="auto"/>
        <w:jc w:val="left"/>
        <w:rPr>
          <w:rFonts w:cs="Arial"/>
          <w:sz w:val="22"/>
          <w:szCs w:val="22"/>
        </w:rPr>
      </w:pPr>
    </w:p>
    <w:p w:rsidR="00AC6448" w:rsidRPr="00710C64" w:rsidRDefault="00AC6448" w:rsidP="00AC6448">
      <w:pPr>
        <w:spacing w:line="240" w:lineRule="auto"/>
        <w:jc w:val="left"/>
        <w:rPr>
          <w:rFonts w:cs="Arial"/>
          <w:sz w:val="22"/>
          <w:szCs w:val="22"/>
        </w:rPr>
      </w:pPr>
      <w:r w:rsidRPr="00710C64">
        <w:rPr>
          <w:rFonts w:cs="Arial"/>
          <w:sz w:val="22"/>
          <w:szCs w:val="22"/>
        </w:rPr>
        <w:t>Sarah Parrot (Reg. No. 0082197)</w:t>
      </w:r>
    </w:p>
    <w:p w:rsidR="00AC6448" w:rsidRPr="00710C64" w:rsidRDefault="00AC6448" w:rsidP="00AC6448">
      <w:pPr>
        <w:spacing w:line="240" w:lineRule="auto"/>
        <w:jc w:val="left"/>
        <w:rPr>
          <w:rFonts w:cs="Arial"/>
          <w:sz w:val="22"/>
          <w:szCs w:val="22"/>
        </w:rPr>
      </w:pPr>
      <w:r w:rsidRPr="00710C64">
        <w:rPr>
          <w:rFonts w:cs="Arial"/>
          <w:sz w:val="22"/>
          <w:szCs w:val="22"/>
        </w:rPr>
        <w:t xml:space="preserve">Greta See </w:t>
      </w:r>
    </w:p>
    <w:p w:rsidR="00AC6448" w:rsidRPr="00710C64" w:rsidRDefault="00AC6448" w:rsidP="00AC6448">
      <w:pPr>
        <w:spacing w:line="240" w:lineRule="auto"/>
        <w:jc w:val="left"/>
        <w:rPr>
          <w:rFonts w:cs="Arial"/>
          <w:sz w:val="22"/>
          <w:szCs w:val="22"/>
        </w:rPr>
      </w:pPr>
      <w:r w:rsidRPr="00710C64">
        <w:rPr>
          <w:rFonts w:cs="Arial"/>
          <w:sz w:val="22"/>
          <w:szCs w:val="22"/>
        </w:rPr>
        <w:t>Attorney Examiners</w:t>
      </w:r>
    </w:p>
    <w:p w:rsidR="00AC6448" w:rsidRPr="00710C64" w:rsidRDefault="00AC6448" w:rsidP="00AC6448">
      <w:pPr>
        <w:spacing w:line="240" w:lineRule="auto"/>
        <w:jc w:val="left"/>
        <w:rPr>
          <w:rFonts w:cs="Arial"/>
          <w:sz w:val="22"/>
          <w:szCs w:val="22"/>
        </w:rPr>
      </w:pPr>
      <w:r w:rsidRPr="00710C64">
        <w:rPr>
          <w:rFonts w:cs="Arial"/>
          <w:sz w:val="22"/>
          <w:szCs w:val="22"/>
        </w:rPr>
        <w:t>Public Utilities Commission of Ohio</w:t>
      </w:r>
    </w:p>
    <w:p w:rsidR="00AC6448" w:rsidRPr="00710C64" w:rsidRDefault="00AC6448" w:rsidP="00AC6448">
      <w:pPr>
        <w:spacing w:line="240" w:lineRule="auto"/>
        <w:jc w:val="left"/>
        <w:rPr>
          <w:rFonts w:cs="Arial"/>
          <w:sz w:val="22"/>
          <w:szCs w:val="22"/>
        </w:rPr>
      </w:pPr>
      <w:r w:rsidRPr="00710C64">
        <w:rPr>
          <w:rFonts w:cs="Arial"/>
          <w:sz w:val="22"/>
          <w:szCs w:val="22"/>
        </w:rPr>
        <w:t>180 East Broad Street</w:t>
      </w:r>
    </w:p>
    <w:p w:rsidR="00AC6448" w:rsidRPr="00710C64" w:rsidRDefault="00AC6448" w:rsidP="00AC6448">
      <w:pPr>
        <w:spacing w:line="240" w:lineRule="auto"/>
        <w:jc w:val="left"/>
        <w:rPr>
          <w:rFonts w:cs="Arial"/>
          <w:sz w:val="22"/>
          <w:szCs w:val="22"/>
        </w:rPr>
      </w:pPr>
      <w:r w:rsidRPr="00710C64">
        <w:rPr>
          <w:rFonts w:cs="Arial"/>
          <w:sz w:val="22"/>
          <w:szCs w:val="22"/>
        </w:rPr>
        <w:t>Columbus, OH  43215</w:t>
      </w:r>
    </w:p>
    <w:p w:rsidR="00AC6448" w:rsidRPr="00710C64" w:rsidRDefault="002640ED" w:rsidP="00AC6448">
      <w:pPr>
        <w:tabs>
          <w:tab w:val="left" w:pos="2160"/>
          <w:tab w:val="left" w:pos="2280"/>
        </w:tabs>
        <w:spacing w:line="240" w:lineRule="auto"/>
        <w:jc w:val="left"/>
        <w:rPr>
          <w:rFonts w:cs="Arial"/>
          <w:sz w:val="22"/>
          <w:szCs w:val="22"/>
        </w:rPr>
      </w:pPr>
      <w:hyperlink r:id="rId29" w:history="1">
        <w:r w:rsidR="00AC6448" w:rsidRPr="00710C64">
          <w:rPr>
            <w:rStyle w:val="Hyperlink"/>
            <w:rFonts w:eastAsiaTheme="majorEastAsia"/>
            <w:color w:val="auto"/>
            <w:sz w:val="22"/>
            <w:szCs w:val="22"/>
          </w:rPr>
          <w:t>Greta.See@puc.state.oh.us</w:t>
        </w:r>
      </w:hyperlink>
    </w:p>
    <w:p w:rsidR="00AC6448" w:rsidRPr="00710C64" w:rsidRDefault="002640ED" w:rsidP="00AC6448">
      <w:pPr>
        <w:tabs>
          <w:tab w:val="left" w:pos="2160"/>
          <w:tab w:val="left" w:pos="2280"/>
        </w:tabs>
        <w:spacing w:line="240" w:lineRule="auto"/>
        <w:jc w:val="left"/>
        <w:rPr>
          <w:rFonts w:cs="Arial"/>
          <w:sz w:val="22"/>
          <w:szCs w:val="22"/>
        </w:rPr>
      </w:pPr>
      <w:hyperlink r:id="rId30" w:history="1">
        <w:r w:rsidR="00AC6448" w:rsidRPr="00710C64">
          <w:rPr>
            <w:rStyle w:val="Hyperlink"/>
            <w:rFonts w:eastAsiaTheme="majorEastAsia"/>
            <w:color w:val="auto"/>
            <w:sz w:val="22"/>
            <w:szCs w:val="22"/>
          </w:rPr>
          <w:t>sarah.parrot@puc.state.oh.us</w:t>
        </w:r>
      </w:hyperlink>
    </w:p>
    <w:p w:rsidR="00AC6448" w:rsidRPr="00710C64" w:rsidRDefault="00AC6448" w:rsidP="00AC6448">
      <w:pPr>
        <w:tabs>
          <w:tab w:val="left" w:pos="2160"/>
          <w:tab w:val="left" w:pos="2280"/>
        </w:tabs>
        <w:spacing w:line="240" w:lineRule="auto"/>
        <w:jc w:val="left"/>
        <w:rPr>
          <w:rFonts w:cs="Arial"/>
          <w:sz w:val="22"/>
          <w:szCs w:val="22"/>
        </w:rPr>
      </w:pPr>
    </w:p>
    <w:p w:rsidR="00AC6448" w:rsidRPr="00710C64" w:rsidRDefault="00AC6448" w:rsidP="00AC6448">
      <w:pPr>
        <w:spacing w:line="240" w:lineRule="auto"/>
        <w:jc w:val="left"/>
        <w:rPr>
          <w:rFonts w:cs="Arial"/>
          <w:sz w:val="22"/>
          <w:szCs w:val="22"/>
        </w:rPr>
      </w:pPr>
      <w:r w:rsidRPr="00710C64">
        <w:rPr>
          <w:rFonts w:cs="Arial"/>
          <w:b/>
          <w:smallCaps/>
          <w:sz w:val="22"/>
          <w:szCs w:val="22"/>
        </w:rPr>
        <w:t>Attorney Examiners</w:t>
      </w:r>
    </w:p>
    <w:p w:rsidR="00AC6448" w:rsidRPr="00710C64" w:rsidRDefault="00AC6448" w:rsidP="00AC6448">
      <w:pPr>
        <w:spacing w:line="240" w:lineRule="auto"/>
        <w:jc w:val="left"/>
        <w:rPr>
          <w:rFonts w:cs="Arial"/>
          <w:sz w:val="22"/>
          <w:szCs w:val="22"/>
        </w:rPr>
      </w:pPr>
    </w:p>
    <w:p w:rsidR="0051405F" w:rsidRDefault="0051405F" w:rsidP="00AC6448">
      <w:pPr>
        <w:spacing w:line="240" w:lineRule="auto"/>
        <w:rPr>
          <w:rFonts w:eastAsiaTheme="minorHAnsi" w:cs="Arial"/>
          <w:b/>
        </w:rPr>
      </w:pPr>
    </w:p>
    <w:sectPr w:rsidR="0051405F" w:rsidSect="00710C64">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67" w:rsidRDefault="00625E66">
      <w:pPr>
        <w:spacing w:line="240" w:lineRule="auto"/>
      </w:pPr>
      <w:r>
        <w:separator/>
      </w:r>
    </w:p>
  </w:endnote>
  <w:endnote w:type="continuationSeparator" w:id="0">
    <w:p w:rsidR="00F13F67" w:rsidRDefault="00625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60" w:rsidRDefault="004A6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93" w:rsidRDefault="002640ED">
    <w:pPr>
      <w:pStyle w:val="Footer"/>
    </w:pPr>
    <w:r w:rsidRPr="002640ED">
      <w:rPr>
        <w:noProof/>
        <w:sz w:val="16"/>
      </w:rPr>
      <w:t>{C46182:3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93" w:rsidRDefault="002640ED">
    <w:pPr>
      <w:pStyle w:val="Footer"/>
      <w:jc w:val="left"/>
    </w:pPr>
    <w:r w:rsidRPr="002640ED">
      <w:rPr>
        <w:noProof/>
        <w:sz w:val="16"/>
      </w:rPr>
      <w:t>{C46182:3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67" w:rsidRDefault="00F13F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0F" w:rsidRPr="00AC6448" w:rsidRDefault="002640ED" w:rsidP="004A6C60">
    <w:pPr>
      <w:pStyle w:val="Footer"/>
      <w:jc w:val="left"/>
    </w:pPr>
    <w:r w:rsidRPr="002640ED">
      <w:rPr>
        <w:noProof/>
        <w:sz w:val="16"/>
      </w:rPr>
      <w:t>{C46182:3 }</w:t>
    </w:r>
    <w:sdt>
      <w:sdtPr>
        <w:id w:val="-420565468"/>
        <w:docPartObj>
          <w:docPartGallery w:val="Page Numbers (Bottom of Page)"/>
          <w:docPartUnique/>
        </w:docPartObj>
      </w:sdtPr>
      <w:sdtEndPr>
        <w:rPr>
          <w:noProof/>
        </w:rPr>
      </w:sdtEndPr>
      <w:sdtContent>
        <w:r w:rsidR="004A6C60">
          <w:tab/>
        </w:r>
        <w:r w:rsidR="00A9660F" w:rsidRPr="00AC6448">
          <w:fldChar w:fldCharType="begin"/>
        </w:r>
        <w:r w:rsidR="00A9660F" w:rsidRPr="00AC6448">
          <w:instrText xml:space="preserve"> PAGE   \* MERGEFORMAT </w:instrText>
        </w:r>
        <w:r w:rsidR="00A9660F" w:rsidRPr="00AC6448">
          <w:fldChar w:fldCharType="separate"/>
        </w:r>
        <w:r>
          <w:rPr>
            <w:noProof/>
          </w:rPr>
          <w:t>5</w:t>
        </w:r>
        <w:r w:rsidR="00A9660F" w:rsidRPr="00AC6448">
          <w:rPr>
            <w:noProof/>
          </w:rPr>
          <w:fldChar w:fldCharType="end"/>
        </w:r>
      </w:sdtContent>
    </w:sdt>
  </w:p>
  <w:p w:rsidR="00F13F67" w:rsidRPr="00AC6448" w:rsidRDefault="00F13F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0F" w:rsidRPr="00AC6448" w:rsidRDefault="002640ED">
    <w:pPr>
      <w:pStyle w:val="Footer"/>
      <w:jc w:val="center"/>
    </w:pPr>
    <w:r w:rsidRPr="002640ED">
      <w:rPr>
        <w:noProof/>
        <w:sz w:val="16"/>
      </w:rPr>
      <w:t>{C46182:3 }</w:t>
    </w:r>
  </w:p>
  <w:p w:rsidR="00F13F67" w:rsidRPr="00AC6448" w:rsidRDefault="00F13F6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48" w:rsidRDefault="00AC644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48" w:rsidRDefault="002640ED">
    <w:pPr>
      <w:pStyle w:val="Footer"/>
    </w:pPr>
    <w:r w:rsidRPr="002640ED">
      <w:rPr>
        <w:noProof/>
        <w:sz w:val="16"/>
      </w:rPr>
      <w:t>{C46182:3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48" w:rsidRDefault="002640ED">
    <w:pPr>
      <w:pStyle w:val="Footer"/>
    </w:pPr>
    <w:r w:rsidRPr="002640ED">
      <w:rPr>
        <w:noProof/>
        <w:sz w:val="16"/>
      </w:rPr>
      <w:t>{C46182:3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67" w:rsidRDefault="00625E66">
      <w:pPr>
        <w:spacing w:line="240" w:lineRule="auto"/>
        <w:rPr>
          <w:noProof/>
        </w:rPr>
      </w:pPr>
      <w:r>
        <w:rPr>
          <w:noProof/>
        </w:rPr>
        <w:separator/>
      </w:r>
    </w:p>
  </w:footnote>
  <w:footnote w:type="continuationSeparator" w:id="0">
    <w:p w:rsidR="00F13F67" w:rsidRDefault="00625E66">
      <w:pPr>
        <w:spacing w:line="240" w:lineRule="auto"/>
      </w:pPr>
      <w:r>
        <w:continuationSeparator/>
      </w:r>
    </w:p>
  </w:footnote>
  <w:footnote w:id="1">
    <w:p w:rsidR="00F13F67" w:rsidRDefault="00625E66">
      <w:pPr>
        <w:pStyle w:val="FootnoteText"/>
      </w:pPr>
      <w:r>
        <w:rPr>
          <w:rStyle w:val="FootnoteReference"/>
        </w:rPr>
        <w:footnoteRef/>
      </w:r>
      <w:r>
        <w:t xml:space="preserve"> Staff Initial Comments at 2.</w:t>
      </w:r>
    </w:p>
  </w:footnote>
  <w:footnote w:id="2">
    <w:p w:rsidR="00F13F67" w:rsidRDefault="00625E66">
      <w:pPr>
        <w:pStyle w:val="FootnoteText"/>
      </w:pPr>
      <w:r>
        <w:rPr>
          <w:rStyle w:val="FootnoteReference"/>
        </w:rPr>
        <w:footnoteRef/>
      </w:r>
      <w:r>
        <w:t xml:space="preserve"> </w:t>
      </w:r>
      <w:r>
        <w:rPr>
          <w:i/>
        </w:rPr>
        <w:t>Id.</w:t>
      </w:r>
      <w:r>
        <w:t xml:space="preserve"> at 3.</w:t>
      </w:r>
    </w:p>
  </w:footnote>
  <w:footnote w:id="3">
    <w:p w:rsidR="00F13F67" w:rsidRDefault="00625E66">
      <w:pPr>
        <w:pStyle w:val="FootnoteText"/>
      </w:pPr>
      <w:r>
        <w:rPr>
          <w:rStyle w:val="FootnoteReference"/>
        </w:rPr>
        <w:footnoteRef/>
      </w:r>
      <w:r>
        <w:t xml:space="preserve"> </w:t>
      </w:r>
      <w:r>
        <w:rPr>
          <w:i/>
        </w:rPr>
        <w:t>In the Matter of the Application of Ohio Power Company for Authority to Establish a Standard Service Offer Pursuant to §4928.143, Revised Code, in the Form of an Electric Security Plan,</w:t>
      </w:r>
      <w:r>
        <w:t xml:space="preserve"> Case Nos. 13-2385-EL-SSO, </w:t>
      </w:r>
      <w:r>
        <w:rPr>
          <w:i/>
        </w:rPr>
        <w:t>et al.</w:t>
      </w:r>
      <w:r>
        <w:t xml:space="preserve"> Post-Hearing Brief Submitted by the Staff of the Public Utilities Commission of Ohio at 15-17 (July 23, 2014) (“Staff AEP Brief”); </w:t>
      </w:r>
      <w:r>
        <w:rPr>
          <w:i/>
        </w:rPr>
        <w:t>In the Matter of the Application of Duke Energy Ohio for Authority to Establish a Standard Service Offer Pursuant to §4928.143, Revised Code, in the Form of an Electric Security Plan, Accounting Modifications, and Tariffs for Generation Service</w:t>
      </w:r>
      <w:r>
        <w:t>, Case Nos. 14-841-EL-SSO</w:t>
      </w:r>
      <w:r>
        <w:rPr>
          <w:i/>
        </w:rPr>
        <w:t>, et al.</w:t>
      </w:r>
      <w:r>
        <w:t xml:space="preserve"> Post-Hearing Brief Submitted by the Staff of the Public Utilities Commission of Ohio at 18-21 (Dec. 15, 2014) (“Staff Duke Brief”).</w:t>
      </w:r>
    </w:p>
  </w:footnote>
  <w:footnote w:id="4">
    <w:p w:rsidR="00F13F67" w:rsidRDefault="00625E66">
      <w:pPr>
        <w:pStyle w:val="FootnoteText"/>
      </w:pPr>
      <w:r>
        <w:rPr>
          <w:rStyle w:val="FootnoteReference"/>
        </w:rPr>
        <w:footnoteRef/>
      </w:r>
      <w:r>
        <w:t xml:space="preserve"> Staff AEP Brief</w:t>
      </w:r>
      <w:r>
        <w:rPr>
          <w:i/>
        </w:rPr>
        <w:t xml:space="preserve"> </w:t>
      </w:r>
      <w:r>
        <w:t>at 11; Staff Duke Brief at 15.</w:t>
      </w:r>
    </w:p>
  </w:footnote>
  <w:footnote w:id="5">
    <w:p w:rsidR="00F13F67" w:rsidRDefault="00625E66">
      <w:pPr>
        <w:pStyle w:val="FootnoteText"/>
      </w:pPr>
      <w:r>
        <w:rPr>
          <w:rStyle w:val="FootnoteReference"/>
        </w:rPr>
        <w:footnoteRef/>
      </w:r>
      <w:r>
        <w:t xml:space="preserve"> Staff AEP Brief at 12-14; Staff Duke Brief at 15-16.</w:t>
      </w:r>
    </w:p>
  </w:footnote>
  <w:footnote w:id="6">
    <w:p w:rsidR="003728D9" w:rsidRDefault="003728D9">
      <w:pPr>
        <w:pStyle w:val="FootnoteText"/>
      </w:pPr>
      <w:r>
        <w:rPr>
          <w:rStyle w:val="FootnoteReference"/>
        </w:rPr>
        <w:footnoteRef/>
      </w:r>
      <w:r>
        <w:t xml:space="preserve"> </w:t>
      </w:r>
      <w:r w:rsidR="00FD522F" w:rsidRPr="00FD522F">
        <w:rPr>
          <w:i/>
        </w:rPr>
        <w:t>In the Matter of the Commission Review of the Capacity Shopping Charges of Ohio Power Company and Columbus Southern Power Company</w:t>
      </w:r>
      <w:r w:rsidR="00FD522F">
        <w:t>, Case No. 10-2929-EL-SSO, Opinion and Order at 13 (July 2, 2012).</w:t>
      </w:r>
    </w:p>
  </w:footnote>
  <w:footnote w:id="7">
    <w:p w:rsidR="003728D9" w:rsidRDefault="003728D9">
      <w:pPr>
        <w:pStyle w:val="FootnoteText"/>
      </w:pPr>
      <w:r>
        <w:rPr>
          <w:rStyle w:val="FootnoteReference"/>
        </w:rPr>
        <w:footnoteRef/>
      </w:r>
      <w:r>
        <w:t xml:space="preserve"> </w:t>
      </w:r>
      <w:r w:rsidR="00FD522F" w:rsidRPr="00FD522F">
        <w:rPr>
          <w:i/>
        </w:rPr>
        <w:t>State of Ohio, ex rel. Industrial Energy Users-Ohio, v. Pub. Util. Comm’n of Ohio</w:t>
      </w:r>
      <w:r w:rsidR="00FD522F">
        <w:t xml:space="preserve">, Sup. Ct. Case No. 2014-1946, Motion to Dismiss Submitted on Behalf of Respondents, the Public Utilities Commission of Ohio, </w:t>
      </w:r>
      <w:r w:rsidR="00FD522F" w:rsidRPr="00FD522F">
        <w:rPr>
          <w:i/>
        </w:rPr>
        <w:t>et al</w:t>
      </w:r>
      <w:r w:rsidR="00FD522F">
        <w:t>., at 10 (Dec. 2, 2014).</w:t>
      </w:r>
    </w:p>
  </w:footnote>
  <w:footnote w:id="8">
    <w:p w:rsidR="00F13F67" w:rsidRDefault="00625E66">
      <w:pPr>
        <w:pStyle w:val="FootnoteText"/>
        <w:rPr>
          <w:i/>
        </w:rPr>
      </w:pPr>
      <w:r>
        <w:rPr>
          <w:rStyle w:val="FootnoteReference"/>
        </w:rPr>
        <w:footnoteRef/>
      </w:r>
      <w:r>
        <w:t xml:space="preserve"> </w:t>
      </w:r>
      <w:r w:rsidR="00627FA3" w:rsidRPr="00627FA3">
        <w:rPr>
          <w:i/>
        </w:rPr>
        <w:t>In the Matter of the Application of Columbus Southern Power Company and Ohio Power Company for Authority to Establish a Standard Service Offer Pursuant to Section 4928.143, Revised Code, in the Form of an Electric Security Plan</w:t>
      </w:r>
      <w:r w:rsidR="00627FA3" w:rsidRPr="00627FA3">
        <w:t>, Sup. Ct. Case No. 2013-0521</w:t>
      </w:r>
      <w:r w:rsidR="00627FA3">
        <w:t xml:space="preserve">; </w:t>
      </w:r>
      <w:r w:rsidR="00627FA3" w:rsidRPr="00627FA3">
        <w:rPr>
          <w:i/>
        </w:rPr>
        <w:t>In the Matter of the Commission Review of the Capacity Charges of Ohio Power Company and Columbus Southern Power Company</w:t>
      </w:r>
      <w:r w:rsidR="00627FA3">
        <w:t>, Sup. Ct. Case Nos. 2013-0228 &amp; 2012-2098.</w:t>
      </w:r>
    </w:p>
  </w:footnote>
  <w:footnote w:id="9">
    <w:p w:rsidR="00F13F67" w:rsidRDefault="00625E66">
      <w:pPr>
        <w:pStyle w:val="FootnoteText"/>
      </w:pPr>
      <w:r>
        <w:rPr>
          <w:rStyle w:val="FootnoteReference"/>
        </w:rPr>
        <w:footnoteRef/>
      </w:r>
      <w:r>
        <w:t xml:space="preserve"> OHA Initial Comments at 2-3.</w:t>
      </w:r>
    </w:p>
  </w:footnote>
  <w:footnote w:id="10">
    <w:p w:rsidR="00F13F67" w:rsidRDefault="00625E66">
      <w:pPr>
        <w:pStyle w:val="FootnoteText"/>
      </w:pPr>
      <w:r>
        <w:rPr>
          <w:rStyle w:val="FootnoteReference"/>
        </w:rPr>
        <w:footnoteRef/>
      </w:r>
      <w:r>
        <w:t xml:space="preserve"> RESA Initial Comments at 1-2, 6-7.</w:t>
      </w:r>
    </w:p>
  </w:footnote>
  <w:footnote w:id="11">
    <w:p w:rsidR="00F13F67" w:rsidRDefault="00625E66">
      <w:pPr>
        <w:pStyle w:val="FootnoteText"/>
      </w:pPr>
      <w:r>
        <w:rPr>
          <w:rStyle w:val="FootnoteReference"/>
        </w:rPr>
        <w:footnoteRef/>
      </w:r>
      <w:r>
        <w:t xml:space="preserve"> RESA Initial Comments at 1-2, 6-7; OCC Initial Comments at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60" w:rsidRDefault="004A6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60" w:rsidRDefault="004A6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60" w:rsidRDefault="004A6C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67" w:rsidRDefault="00F13F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67" w:rsidRDefault="00F13F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67" w:rsidRDefault="00F13F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48" w:rsidRDefault="00AC644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48" w:rsidRDefault="00AC64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48" w:rsidRDefault="00AC6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D82C9162"/>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gnword-docGUID" w:val="{1B167F0C-42A4-457F-8BBC-5162ACA4EB13}"/>
    <w:docVar w:name="dgnword-eventsink" w:val="361800768"/>
    <w:docVar w:name="LastSchemeChoice" w:val="Ind. Energy Users Group"/>
    <w:docVar w:name="LastSchemeUniqueID" w:val="1"/>
    <w:docVar w:name="Option0True" w:val="False"/>
    <w:docVar w:name="Option1True" w:val="False"/>
    <w:docVar w:name="Option2True" w:val="False"/>
  </w:docVars>
  <w:rsids>
    <w:rsidRoot w:val="00F13F67"/>
    <w:rsid w:val="002640ED"/>
    <w:rsid w:val="003728D9"/>
    <w:rsid w:val="003C570B"/>
    <w:rsid w:val="004A6C60"/>
    <w:rsid w:val="0051405F"/>
    <w:rsid w:val="00625E66"/>
    <w:rsid w:val="00627FA3"/>
    <w:rsid w:val="00742B87"/>
    <w:rsid w:val="00A9660F"/>
    <w:rsid w:val="00AC6448"/>
    <w:rsid w:val="00C50B45"/>
    <w:rsid w:val="00EB3560"/>
    <w:rsid w:val="00EE3C93"/>
    <w:rsid w:val="00F13F67"/>
    <w:rsid w:val="00FD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rsid w:val="003728D9"/>
    <w:pPr>
      <w:numPr>
        <w:numId w:val="29"/>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3728D9"/>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3728D9"/>
    <w:pPr>
      <w:numPr>
        <w:ilvl w:val="2"/>
        <w:numId w:val="29"/>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rsid w:val="003728D9"/>
    <w:pPr>
      <w:numPr>
        <w:ilvl w:val="3"/>
        <w:numId w:val="2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3728D9"/>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3728D9"/>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3728D9"/>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3728D9"/>
    <w:pPr>
      <w:numPr>
        <w:ilvl w:val="7"/>
        <w:numId w:val="29"/>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3728D9"/>
    <w:pPr>
      <w:numPr>
        <w:ilvl w:val="8"/>
        <w:numId w:val="29"/>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8D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3728D9"/>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3728D9"/>
    <w:rPr>
      <w:rFonts w:ascii="Arial" w:eastAsiaTheme="majorEastAsia" w:hAnsi="Arial" w:cs="Arial"/>
      <w:b/>
      <w:bCs/>
      <w:sz w:val="24"/>
    </w:rPr>
  </w:style>
  <w:style w:type="character" w:customStyle="1" w:styleId="Heading4Char">
    <w:name w:val="Heading 4 Char"/>
    <w:basedOn w:val="DefaultParagraphFont"/>
    <w:link w:val="Heading4"/>
    <w:uiPriority w:val="4"/>
    <w:rsid w:val="003728D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character" w:customStyle="1" w:styleId="Heading5Char">
    <w:name w:val="Heading 5 Char"/>
    <w:basedOn w:val="DefaultParagraphFont"/>
    <w:link w:val="Heading5"/>
    <w:uiPriority w:val="9"/>
    <w:semiHidden/>
    <w:rsid w:val="003728D9"/>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3728D9"/>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3728D9"/>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3728D9"/>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3728D9"/>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rsid w:val="003728D9"/>
    <w:pPr>
      <w:spacing w:after="120"/>
    </w:pPr>
  </w:style>
  <w:style w:type="character" w:customStyle="1" w:styleId="BodyTextChar">
    <w:name w:val="Body Text Char"/>
    <w:basedOn w:val="DefaultParagraphFont"/>
    <w:link w:val="BodyText"/>
    <w:uiPriority w:val="99"/>
    <w:semiHidden/>
    <w:rsid w:val="003728D9"/>
    <w:rPr>
      <w:rFonts w:ascii="Arial" w:hAnsi="Arial"/>
      <w:sz w:val="24"/>
    </w:rPr>
  </w:style>
  <w:style w:type="paragraph" w:styleId="BalloonText">
    <w:name w:val="Balloon Text"/>
    <w:basedOn w:val="Normal"/>
    <w:link w:val="BalloonTextChar"/>
    <w:uiPriority w:val="99"/>
    <w:semiHidden/>
    <w:unhideWhenUsed/>
    <w:rsid w:val="00A966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0F"/>
    <w:rPr>
      <w:rFonts w:ascii="Tahoma" w:hAnsi="Tahoma" w:cs="Tahoma"/>
      <w:sz w:val="16"/>
      <w:szCs w:val="16"/>
    </w:rPr>
  </w:style>
  <w:style w:type="character" w:styleId="Hyperlink">
    <w:name w:val="Hyperlink"/>
    <w:basedOn w:val="DefaultParagraphFont"/>
    <w:uiPriority w:val="99"/>
    <w:unhideWhenUsed/>
    <w:rsid w:val="00AC64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rsid w:val="003728D9"/>
    <w:pPr>
      <w:numPr>
        <w:numId w:val="29"/>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3728D9"/>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3728D9"/>
    <w:pPr>
      <w:numPr>
        <w:ilvl w:val="2"/>
        <w:numId w:val="29"/>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rsid w:val="003728D9"/>
    <w:pPr>
      <w:numPr>
        <w:ilvl w:val="3"/>
        <w:numId w:val="2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3728D9"/>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3728D9"/>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3728D9"/>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3728D9"/>
    <w:pPr>
      <w:numPr>
        <w:ilvl w:val="7"/>
        <w:numId w:val="29"/>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3728D9"/>
    <w:pPr>
      <w:numPr>
        <w:ilvl w:val="8"/>
        <w:numId w:val="29"/>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8D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3728D9"/>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3728D9"/>
    <w:rPr>
      <w:rFonts w:ascii="Arial" w:eastAsiaTheme="majorEastAsia" w:hAnsi="Arial" w:cs="Arial"/>
      <w:b/>
      <w:bCs/>
      <w:sz w:val="24"/>
    </w:rPr>
  </w:style>
  <w:style w:type="character" w:customStyle="1" w:styleId="Heading4Char">
    <w:name w:val="Heading 4 Char"/>
    <w:basedOn w:val="DefaultParagraphFont"/>
    <w:link w:val="Heading4"/>
    <w:uiPriority w:val="4"/>
    <w:rsid w:val="003728D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character" w:customStyle="1" w:styleId="Heading5Char">
    <w:name w:val="Heading 5 Char"/>
    <w:basedOn w:val="DefaultParagraphFont"/>
    <w:link w:val="Heading5"/>
    <w:uiPriority w:val="9"/>
    <w:semiHidden/>
    <w:rsid w:val="003728D9"/>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3728D9"/>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3728D9"/>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3728D9"/>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3728D9"/>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rsid w:val="003728D9"/>
    <w:pPr>
      <w:spacing w:after="120"/>
    </w:pPr>
  </w:style>
  <w:style w:type="character" w:customStyle="1" w:styleId="BodyTextChar">
    <w:name w:val="Body Text Char"/>
    <w:basedOn w:val="DefaultParagraphFont"/>
    <w:link w:val="BodyText"/>
    <w:uiPriority w:val="99"/>
    <w:semiHidden/>
    <w:rsid w:val="003728D9"/>
    <w:rPr>
      <w:rFonts w:ascii="Arial" w:hAnsi="Arial"/>
      <w:sz w:val="24"/>
    </w:rPr>
  </w:style>
  <w:style w:type="paragraph" w:styleId="BalloonText">
    <w:name w:val="Balloon Text"/>
    <w:basedOn w:val="Normal"/>
    <w:link w:val="BalloonTextChar"/>
    <w:uiPriority w:val="99"/>
    <w:semiHidden/>
    <w:unhideWhenUsed/>
    <w:rsid w:val="00A966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0F"/>
    <w:rPr>
      <w:rFonts w:ascii="Tahoma" w:hAnsi="Tahoma" w:cs="Tahoma"/>
      <w:sz w:val="16"/>
      <w:szCs w:val="16"/>
    </w:rPr>
  </w:style>
  <w:style w:type="character" w:styleId="Hyperlink">
    <w:name w:val="Hyperlink"/>
    <w:basedOn w:val="DefaultParagraphFont"/>
    <w:uiPriority w:val="99"/>
    <w:unhideWhenUsed/>
    <w:rsid w:val="00AC6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38622">
      <w:bodyDiv w:val="1"/>
      <w:marLeft w:val="0"/>
      <w:marRight w:val="0"/>
      <w:marTop w:val="0"/>
      <w:marBottom w:val="0"/>
      <w:divBdr>
        <w:top w:val="none" w:sz="0" w:space="0" w:color="auto"/>
        <w:left w:val="none" w:sz="0" w:space="0" w:color="auto"/>
        <w:bottom w:val="none" w:sz="0" w:space="0" w:color="auto"/>
        <w:right w:val="none" w:sz="0" w:space="0" w:color="auto"/>
      </w:divBdr>
    </w:div>
    <w:div w:id="18906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mailto:Greta.See@puc.state.oh.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mailto:mjsatterwhite@aep.com"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mailto:stnourse@aep.com" TargetMode="External"/><Relationship Id="rId30" Type="http://schemas.openxmlformats.org/officeDocument/2006/relationships/hyperlink" Target="mailto:sarah.parrot@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FFC31-31E6-4033-ABC9-DAD9DA1F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1582</Words>
  <Characters>9405</Characters>
  <Application>Microsoft Office Word</Application>
  <DocSecurity>0</DocSecurity>
  <PresentationFormat/>
  <Lines>295</Lines>
  <Paragraphs>154</Paragraphs>
  <ScaleCrop>false</ScaleCrop>
  <HeadingPairs>
    <vt:vector size="2" baseType="variant">
      <vt:variant>
        <vt:lpstr>Title</vt:lpstr>
      </vt:variant>
      <vt:variant>
        <vt:i4>1</vt:i4>
      </vt:variant>
    </vt:vector>
  </HeadingPairs>
  <TitlesOfParts>
    <vt:vector size="1" baseType="lpstr">
      <vt:lpstr>Reply Comments re: RSR Extension (14-1186) (C46182-3).DOCX</vt:lpstr>
    </vt:vector>
  </TitlesOfParts>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Comments re: RSR Extension (14-1186) (C46182-3).DOCX</dc:title>
  <dc:subject>C46182:3 /font=8</dc:subject>
  <dc:creator>mpritchard</dc:creator>
  <cp:keywords/>
  <dc:description/>
  <cp:lastModifiedBy>Renee Gannon</cp:lastModifiedBy>
  <cp:revision>4</cp:revision>
  <cp:lastPrinted>2014-12-16T19:14:00Z</cp:lastPrinted>
  <dcterms:created xsi:type="dcterms:W3CDTF">2014-12-16T16:41:00Z</dcterms:created>
  <dcterms:modified xsi:type="dcterms:W3CDTF">2014-12-16T19:14:00Z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12/16/2014 2:14:26 PM</vt:lpwstr>
  </property>
</Properties>
</file>