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0F7447">
        <w:rPr>
          <w:rFonts w:ascii="Times New Roman" w:hAnsi="Times New Roman"/>
          <w:color w:val="000000"/>
        </w:rPr>
        <w:t>$0.</w:t>
      </w:r>
      <w:bookmarkStart w:id="0" w:name="_GoBack"/>
      <w:bookmarkEnd w:id="0"/>
      <w:r w:rsidR="000F7447">
        <w:rPr>
          <w:rFonts w:ascii="Times New Roman" w:hAnsi="Times New Roman"/>
          <w:color w:val="000000"/>
        </w:rPr>
        <w:t>3928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2F692B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4343C0">
            <w:rPr>
              <w:rFonts w:ascii="Times New Roman" w:hAnsi="Times New Roman"/>
              <w:sz w:val="16"/>
            </w:rPr>
            <w:t>August 27</w:t>
          </w:r>
          <w:r w:rsidR="00C966CE">
            <w:rPr>
              <w:rFonts w:ascii="Times New Roman" w:hAnsi="Times New Roman"/>
              <w:sz w:val="16"/>
            </w:rPr>
            <w:t>, 2015</w:t>
          </w:r>
        </w:p>
      </w:tc>
      <w:tc>
        <w:tcPr>
          <w:tcW w:w="5040" w:type="dxa"/>
        </w:tcPr>
        <w:p w:rsidR="000918D4" w:rsidRDefault="000918D4" w:rsidP="002F692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BC4306">
            <w:rPr>
              <w:rFonts w:ascii="Times New Roman" w:hAnsi="Times New Roman"/>
              <w:sz w:val="16"/>
            </w:rPr>
            <w:t xml:space="preserve"> </w:t>
          </w:r>
          <w:r w:rsidR="004343C0">
            <w:rPr>
              <w:rFonts w:ascii="Times New Roman" w:hAnsi="Times New Roman"/>
              <w:sz w:val="16"/>
            </w:rPr>
            <w:t>August 28</w:t>
          </w:r>
          <w:r w:rsidR="00DA0C55">
            <w:rPr>
              <w:rFonts w:ascii="Times New Roman" w:hAnsi="Times New Roman"/>
              <w:sz w:val="16"/>
            </w:rPr>
            <w:t>, 2015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 xml:space="preserve">Daniel A. </w:t>
    </w:r>
    <w:proofErr w:type="spellStart"/>
    <w:r>
      <w:rPr>
        <w:rFonts w:ascii="Times New Roman" w:hAnsi="Times New Roman"/>
        <w:sz w:val="16"/>
      </w:rPr>
      <w:t>Creekmur</w:t>
    </w:r>
    <w:proofErr w:type="spellEnd"/>
    <w:r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915CDC">
      <w:rPr>
        <w:rFonts w:ascii="Times New Roman" w:hAnsi="Times New Roman"/>
        <w:b/>
        <w:sz w:val="22"/>
        <w:szCs w:val="22"/>
      </w:rPr>
      <w:t>Seventy-</w:t>
    </w:r>
    <w:r w:rsidR="004343C0">
      <w:rPr>
        <w:rFonts w:ascii="Times New Roman" w:hAnsi="Times New Roman"/>
        <w:b/>
        <w:sz w:val="22"/>
        <w:szCs w:val="22"/>
      </w:rPr>
      <w:t>Fourth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F692B">
      <w:rPr>
        <w:rFonts w:ascii="Times New Roman" w:hAnsi="Times New Roman"/>
        <w:b/>
        <w:sz w:val="22"/>
        <w:szCs w:val="22"/>
      </w:rPr>
      <w:t>Seventy-</w:t>
    </w:r>
    <w:r w:rsidR="004343C0">
      <w:rPr>
        <w:rFonts w:ascii="Times New Roman" w:hAnsi="Times New Roman"/>
        <w:b/>
        <w:sz w:val="22"/>
        <w:szCs w:val="22"/>
      </w:rPr>
      <w:t>Third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57438"/>
    <w:rsid w:val="000709C3"/>
    <w:rsid w:val="000907A6"/>
    <w:rsid w:val="000918D4"/>
    <w:rsid w:val="000A4BCC"/>
    <w:rsid w:val="000A662C"/>
    <w:rsid w:val="000F7447"/>
    <w:rsid w:val="00155AC7"/>
    <w:rsid w:val="001721E8"/>
    <w:rsid w:val="00182494"/>
    <w:rsid w:val="00194026"/>
    <w:rsid w:val="00194989"/>
    <w:rsid w:val="00197912"/>
    <w:rsid w:val="001D4F17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C57F6"/>
    <w:rsid w:val="002F692B"/>
    <w:rsid w:val="0030787C"/>
    <w:rsid w:val="00314C96"/>
    <w:rsid w:val="00315EC0"/>
    <w:rsid w:val="0032234E"/>
    <w:rsid w:val="003824CF"/>
    <w:rsid w:val="003E5745"/>
    <w:rsid w:val="003E6332"/>
    <w:rsid w:val="004343C0"/>
    <w:rsid w:val="004373FC"/>
    <w:rsid w:val="00441508"/>
    <w:rsid w:val="00461A95"/>
    <w:rsid w:val="00467797"/>
    <w:rsid w:val="00496840"/>
    <w:rsid w:val="004D0153"/>
    <w:rsid w:val="004D6BD8"/>
    <w:rsid w:val="00514682"/>
    <w:rsid w:val="005402F0"/>
    <w:rsid w:val="005479BA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10E6"/>
    <w:rsid w:val="00746809"/>
    <w:rsid w:val="00757C50"/>
    <w:rsid w:val="00783B6F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5565"/>
    <w:rsid w:val="008D6E5C"/>
    <w:rsid w:val="008E5B75"/>
    <w:rsid w:val="008F08AE"/>
    <w:rsid w:val="00906284"/>
    <w:rsid w:val="0091258E"/>
    <w:rsid w:val="00915CDC"/>
    <w:rsid w:val="00933FE1"/>
    <w:rsid w:val="00937420"/>
    <w:rsid w:val="00963797"/>
    <w:rsid w:val="009749B6"/>
    <w:rsid w:val="00994027"/>
    <w:rsid w:val="009A24FB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B05EEE"/>
    <w:rsid w:val="00B46A5E"/>
    <w:rsid w:val="00B54DD2"/>
    <w:rsid w:val="00B813B1"/>
    <w:rsid w:val="00BC4306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966CE"/>
    <w:rsid w:val="00CA246C"/>
    <w:rsid w:val="00CA3F46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15DCC"/>
    <w:rsid w:val="00E306AE"/>
    <w:rsid w:val="00E4419B"/>
    <w:rsid w:val="00E44695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1377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15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2015-08-11T14:32:00Z</dcterms:created>
  <dcterms:modified xsi:type="dcterms:W3CDTF">2015-08-27T18:43:00Z</dcterms:modified>
</cp:coreProperties>
</file>