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906C9" w:rsidRPr="00FF4A2C" w:rsidP="007906C9" w14:paraId="3380DA7D" w14:textId="6403D17E">
      <w:pPr>
        <w:pStyle w:val="HTMLPreformatted"/>
        <w:jc w:val="center"/>
        <w:rPr>
          <w:rFonts w:ascii="Times New Roman" w:hAnsi="Times New Roman" w:cs="Times New Roman"/>
          <w:b/>
          <w:bCs/>
          <w:sz w:val="24"/>
          <w:szCs w:val="24"/>
        </w:rPr>
      </w:pPr>
      <w:r w:rsidRPr="00FF4A2C">
        <w:rPr>
          <w:rFonts w:ascii="Times New Roman" w:hAnsi="Times New Roman" w:cs="Times New Roman"/>
          <w:b/>
          <w:bCs/>
          <w:sz w:val="24"/>
          <w:szCs w:val="24"/>
        </w:rPr>
        <w:t>BEFORE</w:t>
      </w:r>
    </w:p>
    <w:p w:rsidR="00A044B5" w:rsidRPr="00FF4A2C" w14:paraId="714ACE84" w14:textId="77777777">
      <w:pPr>
        <w:pStyle w:val="HTMLPreformatted"/>
        <w:jc w:val="center"/>
        <w:rPr>
          <w:rFonts w:ascii="Times New Roman" w:hAnsi="Times New Roman" w:cs="Times New Roman"/>
          <w:sz w:val="24"/>
        </w:rPr>
      </w:pPr>
      <w:r w:rsidRPr="00FF4A2C">
        <w:rPr>
          <w:rFonts w:ascii="Times New Roman" w:hAnsi="Times New Roman" w:cs="Times New Roman"/>
          <w:b/>
          <w:bCs/>
          <w:sz w:val="24"/>
        </w:rPr>
        <w:t>THE PUBLIC UTILITIES COMMISSION OF OHIO</w:t>
      </w:r>
    </w:p>
    <w:p w:rsidR="00B35EB5" w:rsidRPr="00FF4A2C" w14:paraId="5DE18760" w14:textId="77777777">
      <w:pPr>
        <w:pStyle w:val="HTMLPreformatted"/>
        <w:rPr>
          <w:rFonts w:ascii="Times New Roman" w:hAnsi="Times New Roman" w:cs="Times New Roman"/>
          <w:sz w:val="24"/>
        </w:rPr>
      </w:pPr>
    </w:p>
    <w:tbl>
      <w:tblPr>
        <w:tblW w:w="8640" w:type="dxa"/>
        <w:tblLook w:val="01E0"/>
      </w:tblPr>
      <w:tblGrid>
        <w:gridCol w:w="4230"/>
        <w:gridCol w:w="462"/>
        <w:gridCol w:w="3948"/>
      </w:tblGrid>
      <w:tr w14:paraId="48E79C9D" w14:textId="77777777" w:rsidTr="00D41C84">
        <w:tblPrEx>
          <w:tblW w:w="8640" w:type="dxa"/>
          <w:tblLook w:val="01E0"/>
        </w:tblPrEx>
        <w:trPr>
          <w:trHeight w:val="807"/>
        </w:trPr>
        <w:tc>
          <w:tcPr>
            <w:tcW w:w="4230" w:type="dxa"/>
            <w:shd w:val="clear" w:color="auto" w:fill="auto"/>
          </w:tcPr>
          <w:p w:rsidR="0011749F" w:rsidRPr="00FF4A2C" w14:paraId="4144F1E5" w14:textId="77777777">
            <w:pPr>
              <w:pStyle w:val="HTMLPreformatted"/>
              <w:rPr>
                <w:rFonts w:ascii="Times New Roman" w:hAnsi="Times New Roman" w:cs="Times New Roman"/>
                <w:sz w:val="24"/>
                <w:szCs w:val="24"/>
              </w:rPr>
            </w:pPr>
            <w:r w:rsidRPr="00FF4A2C">
              <w:rPr>
                <w:rFonts w:ascii="Times New Roman" w:hAnsi="Times New Roman" w:cs="Times New Roman"/>
                <w:sz w:val="24"/>
                <w:szCs w:val="24"/>
              </w:rPr>
              <w:t>In the Matter of the Application of RPA</w:t>
            </w:r>
          </w:p>
          <w:p w:rsidR="0011749F" w:rsidRPr="00FF4A2C" w14:paraId="42826EBC" w14:textId="77777777">
            <w:pPr>
              <w:pStyle w:val="HTMLPreformatted"/>
              <w:rPr>
                <w:rFonts w:ascii="Times New Roman" w:hAnsi="Times New Roman" w:cs="Times New Roman"/>
                <w:sz w:val="24"/>
                <w:szCs w:val="24"/>
              </w:rPr>
            </w:pPr>
            <w:r w:rsidRPr="00FF4A2C">
              <w:rPr>
                <w:rFonts w:ascii="Times New Roman" w:hAnsi="Times New Roman" w:cs="Times New Roman"/>
                <w:sz w:val="24"/>
                <w:szCs w:val="24"/>
              </w:rPr>
              <w:t>Energy, Inc. for Waivers of Certain</w:t>
            </w:r>
          </w:p>
          <w:p w:rsidR="0011749F" w:rsidRPr="00FF4A2C" w14:paraId="60077753" w14:textId="77777777">
            <w:pPr>
              <w:pStyle w:val="HTMLPreformatted"/>
              <w:rPr>
                <w:rFonts w:ascii="Times New Roman" w:hAnsi="Times New Roman" w:cs="Times New Roman"/>
                <w:sz w:val="24"/>
                <w:szCs w:val="24"/>
              </w:rPr>
            </w:pPr>
            <w:r w:rsidRPr="00FF4A2C">
              <w:rPr>
                <w:rFonts w:ascii="Times New Roman" w:hAnsi="Times New Roman" w:cs="Times New Roman"/>
                <w:sz w:val="24"/>
                <w:szCs w:val="24"/>
              </w:rPr>
              <w:t>Provisions of Chapters 4901:1-21 and</w:t>
            </w:r>
          </w:p>
          <w:p w:rsidR="0011749F" w:rsidRPr="00FF4A2C" w14:paraId="12249A12" w14:textId="2B8706FE">
            <w:pPr>
              <w:pStyle w:val="HTMLPreformatted"/>
              <w:rPr>
                <w:rFonts w:ascii="Times New Roman" w:hAnsi="Times New Roman" w:cs="Times New Roman"/>
                <w:sz w:val="24"/>
                <w:szCs w:val="24"/>
              </w:rPr>
            </w:pPr>
            <w:r w:rsidRPr="00FF4A2C">
              <w:rPr>
                <w:rFonts w:ascii="Times New Roman" w:hAnsi="Times New Roman" w:cs="Times New Roman"/>
                <w:sz w:val="24"/>
                <w:szCs w:val="24"/>
              </w:rPr>
              <w:t>4901:1-29, O.A.C., to Permit Third-Party</w:t>
            </w:r>
          </w:p>
          <w:p w:rsidR="00A044B5" w:rsidRPr="00FF4A2C" w:rsidP="0011749F" w14:paraId="30135D98" w14:textId="5E4C2DD4">
            <w:pPr>
              <w:pStyle w:val="HTMLPreformatted"/>
              <w:rPr>
                <w:rFonts w:ascii="Times New Roman" w:hAnsi="Times New Roman" w:cs="Times New Roman"/>
                <w:sz w:val="24"/>
                <w:szCs w:val="24"/>
              </w:rPr>
            </w:pPr>
            <w:r w:rsidRPr="00FF4A2C">
              <w:rPr>
                <w:rFonts w:ascii="Times New Roman" w:hAnsi="Times New Roman" w:cs="Times New Roman"/>
                <w:sz w:val="24"/>
                <w:szCs w:val="24"/>
              </w:rPr>
              <w:t>Verification by Digital Con</w:t>
            </w:r>
            <w:r w:rsidRPr="00FF4A2C" w:rsidR="00EF464D">
              <w:rPr>
                <w:rFonts w:ascii="Times New Roman" w:hAnsi="Times New Roman" w:cs="Times New Roman"/>
                <w:sz w:val="24"/>
                <w:szCs w:val="24"/>
              </w:rPr>
              <w:t>firmation.</w:t>
            </w:r>
          </w:p>
        </w:tc>
        <w:tc>
          <w:tcPr>
            <w:tcW w:w="462" w:type="dxa"/>
            <w:shd w:val="clear" w:color="auto" w:fill="auto"/>
          </w:tcPr>
          <w:p w:rsidR="00A044B5" w:rsidRPr="00FF4A2C" w14:paraId="71FA6363" w14:textId="77777777">
            <w:pPr>
              <w:pStyle w:val="HTMLPreformatted"/>
              <w:rPr>
                <w:rFonts w:ascii="Times New Roman" w:hAnsi="Times New Roman" w:cs="Times New Roman"/>
                <w:sz w:val="24"/>
              </w:rPr>
            </w:pPr>
            <w:r w:rsidRPr="00FF4A2C">
              <w:rPr>
                <w:rFonts w:ascii="Times New Roman" w:hAnsi="Times New Roman" w:cs="Times New Roman"/>
                <w:sz w:val="24"/>
              </w:rPr>
              <w:t>)</w:t>
            </w:r>
          </w:p>
          <w:p w:rsidR="00A044B5" w:rsidRPr="00FF4A2C" w14:paraId="2DC3BEA2" w14:textId="77777777">
            <w:pPr>
              <w:pStyle w:val="HTMLPreformatted"/>
              <w:rPr>
                <w:rFonts w:ascii="Times New Roman" w:hAnsi="Times New Roman" w:cs="Times New Roman"/>
                <w:sz w:val="24"/>
              </w:rPr>
            </w:pPr>
            <w:r w:rsidRPr="00FF4A2C">
              <w:rPr>
                <w:rFonts w:ascii="Times New Roman" w:hAnsi="Times New Roman" w:cs="Times New Roman"/>
                <w:sz w:val="24"/>
              </w:rPr>
              <w:t>)</w:t>
            </w:r>
          </w:p>
          <w:p w:rsidR="00A044B5" w:rsidRPr="00FF4A2C" w14:paraId="49751575" w14:textId="77777777">
            <w:pPr>
              <w:pStyle w:val="HTMLPreformatted"/>
              <w:rPr>
                <w:rFonts w:ascii="Times New Roman" w:hAnsi="Times New Roman" w:cs="Times New Roman"/>
                <w:sz w:val="24"/>
              </w:rPr>
            </w:pPr>
            <w:r w:rsidRPr="00FF4A2C">
              <w:rPr>
                <w:rFonts w:ascii="Times New Roman" w:hAnsi="Times New Roman" w:cs="Times New Roman"/>
                <w:sz w:val="24"/>
              </w:rPr>
              <w:t>)</w:t>
            </w:r>
          </w:p>
          <w:p w:rsidR="00A044B5" w:rsidRPr="00FF4A2C" w14:paraId="2BC503B8" w14:textId="77777777">
            <w:pPr>
              <w:pStyle w:val="HTMLPreformatted"/>
              <w:rPr>
                <w:rFonts w:ascii="Times New Roman" w:hAnsi="Times New Roman" w:cs="Times New Roman"/>
                <w:sz w:val="24"/>
              </w:rPr>
            </w:pPr>
            <w:r w:rsidRPr="00FF4A2C">
              <w:rPr>
                <w:rFonts w:ascii="Times New Roman" w:hAnsi="Times New Roman" w:cs="Times New Roman"/>
                <w:sz w:val="24"/>
              </w:rPr>
              <w:t>)</w:t>
            </w:r>
          </w:p>
          <w:p w:rsidR="00434BA4" w:rsidRPr="00FF4A2C" w:rsidP="00FF4A2C" w14:paraId="0504366D" w14:textId="22D164B7">
            <w:pPr>
              <w:pStyle w:val="HTMLPreformatted"/>
              <w:rPr>
                <w:rFonts w:ascii="Times New Roman" w:hAnsi="Times New Roman" w:cs="Times New Roman"/>
                <w:sz w:val="24"/>
              </w:rPr>
            </w:pPr>
            <w:r w:rsidRPr="00FF4A2C">
              <w:rPr>
                <w:rFonts w:ascii="Times New Roman" w:hAnsi="Times New Roman" w:cs="Times New Roman"/>
                <w:sz w:val="24"/>
              </w:rPr>
              <w:t>)</w:t>
            </w:r>
          </w:p>
        </w:tc>
        <w:tc>
          <w:tcPr>
            <w:tcW w:w="3948" w:type="dxa"/>
            <w:shd w:val="clear" w:color="auto" w:fill="auto"/>
          </w:tcPr>
          <w:p w:rsidR="00A044B5" w:rsidRPr="00FF4A2C" w14:paraId="0DA89D56" w14:textId="77777777">
            <w:pPr>
              <w:pStyle w:val="HTMLPreformatted"/>
              <w:rPr>
                <w:rFonts w:ascii="Times New Roman" w:hAnsi="Times New Roman" w:cs="Times New Roman"/>
                <w:sz w:val="24"/>
              </w:rPr>
            </w:pPr>
          </w:p>
          <w:p w:rsidR="00A044B5" w:rsidRPr="00FF4A2C" w14:paraId="18A8A664" w14:textId="41361814">
            <w:pPr>
              <w:pStyle w:val="HTMLPreformatted"/>
              <w:rPr>
                <w:rFonts w:ascii="Times New Roman" w:hAnsi="Times New Roman" w:cs="Times New Roman"/>
                <w:sz w:val="24"/>
              </w:rPr>
            </w:pPr>
            <w:r w:rsidRPr="00FF4A2C">
              <w:rPr>
                <w:rFonts w:ascii="Times New Roman" w:hAnsi="Times New Roman" w:cs="Times New Roman"/>
                <w:sz w:val="24"/>
              </w:rPr>
              <w:t xml:space="preserve">Case No. </w:t>
            </w:r>
            <w:r w:rsidRPr="00FF4A2C" w:rsidR="0011749F">
              <w:rPr>
                <w:rFonts w:ascii="Times New Roman" w:hAnsi="Times New Roman" w:cs="Times New Roman"/>
                <w:sz w:val="24"/>
              </w:rPr>
              <w:t>21-157</w:t>
            </w:r>
            <w:r w:rsidRPr="00FF4A2C">
              <w:rPr>
                <w:rFonts w:ascii="Times New Roman" w:hAnsi="Times New Roman" w:cs="Times New Roman"/>
                <w:sz w:val="24"/>
                <w:szCs w:val="24"/>
              </w:rPr>
              <w:t>-GE-WVR</w:t>
            </w:r>
            <w:r w:rsidRPr="00FF4A2C">
              <w:rPr>
                <w:rFonts w:ascii="Times New Roman" w:hAnsi="Times New Roman" w:cs="Times New Roman"/>
                <w:sz w:val="24"/>
              </w:rPr>
              <w:t xml:space="preserve"> </w:t>
            </w:r>
          </w:p>
          <w:p w:rsidR="00A044B5" w:rsidRPr="00FF4A2C" w14:paraId="1903FC02" w14:textId="77777777">
            <w:pPr>
              <w:pStyle w:val="HTMLPreformatted"/>
              <w:rPr>
                <w:rFonts w:ascii="Times New Roman" w:hAnsi="Times New Roman" w:cs="Times New Roman"/>
                <w:sz w:val="24"/>
              </w:rPr>
            </w:pPr>
          </w:p>
        </w:tc>
      </w:tr>
    </w:tbl>
    <w:p w:rsidR="00B35EB5" w:rsidRPr="00FF4A2C" w14:paraId="7B2C9BC1" w14:textId="36612B17">
      <w:pPr>
        <w:pStyle w:val="HTMLPreformatted"/>
        <w:rPr>
          <w:rFonts w:ascii="Times New Roman" w:hAnsi="Times New Roman" w:cs="Times New Roman"/>
          <w:sz w:val="24"/>
        </w:rPr>
      </w:pPr>
      <w:r w:rsidRPr="00FF4A2C">
        <w:rPr>
          <w:rFonts w:ascii="Times New Roman" w:hAnsi="Times New Roman" w:cs="Times New Roman"/>
          <w:sz w:val="24"/>
        </w:rPr>
        <w:tab/>
      </w:r>
    </w:p>
    <w:p w:rsidR="00A044B5" w:rsidRPr="00FF4A2C" w14:paraId="79603505" w14:textId="77777777">
      <w:pPr>
        <w:pStyle w:val="HTMLPreformatted"/>
        <w:pBdr>
          <w:top w:val="single" w:sz="12" w:space="1" w:color="auto"/>
        </w:pBdr>
        <w:rPr>
          <w:rFonts w:ascii="Times New Roman" w:hAnsi="Times New Roman" w:cs="Times New Roman"/>
          <w:sz w:val="24"/>
        </w:rPr>
      </w:pPr>
    </w:p>
    <w:p w:rsidR="00B95BF5" w:rsidRPr="00FF4A2C" w:rsidP="00B95BF5" w14:paraId="73DC4918" w14:textId="695038C9">
      <w:pPr>
        <w:jc w:val="center"/>
        <w:rPr>
          <w:b/>
          <w:bCs/>
        </w:rPr>
      </w:pPr>
      <w:r>
        <w:rPr>
          <w:b/>
          <w:bCs/>
        </w:rPr>
        <w:t xml:space="preserve">REPLY </w:t>
      </w:r>
      <w:r w:rsidRPr="00FF4A2C">
        <w:rPr>
          <w:b/>
          <w:bCs/>
        </w:rPr>
        <w:t xml:space="preserve">COMMENTS </w:t>
      </w:r>
      <w:r>
        <w:rPr>
          <w:b/>
          <w:bCs/>
        </w:rPr>
        <w:t>OPPOSING REQUEST OF</w:t>
      </w:r>
      <w:r w:rsidR="00E34D54">
        <w:rPr>
          <w:b/>
          <w:bCs/>
        </w:rPr>
        <w:t xml:space="preserve"> MARKETER</w:t>
      </w:r>
      <w:r>
        <w:rPr>
          <w:b/>
          <w:bCs/>
        </w:rPr>
        <w:t xml:space="preserve"> RPA ENERGY FOR A PUCO WAIVER OF CERTAIN</w:t>
      </w:r>
      <w:r w:rsidRPr="00FF4A2C">
        <w:rPr>
          <w:b/>
          <w:bCs/>
        </w:rPr>
        <w:t xml:space="preserve"> CONSUMER PROTECTION</w:t>
      </w:r>
      <w:r>
        <w:rPr>
          <w:b/>
          <w:bCs/>
        </w:rPr>
        <w:t>S</w:t>
      </w:r>
      <w:r w:rsidRPr="00FF4A2C">
        <w:rPr>
          <w:b/>
          <w:bCs/>
        </w:rPr>
        <w:t xml:space="preserve"> </w:t>
      </w:r>
    </w:p>
    <w:p w:rsidR="00A044B5" w:rsidRPr="00FF4A2C" w14:paraId="55850D9A" w14:textId="77777777">
      <w:pPr>
        <w:jc w:val="center"/>
        <w:rPr>
          <w:b/>
          <w:bCs/>
        </w:rPr>
      </w:pPr>
      <w:r w:rsidRPr="00FF4A2C">
        <w:rPr>
          <w:b/>
          <w:bCs/>
        </w:rPr>
        <w:t>BY</w:t>
      </w:r>
    </w:p>
    <w:p w:rsidR="00A044B5" w14:paraId="6C67A4FC" w14:textId="420DABC1">
      <w:pPr>
        <w:jc w:val="center"/>
        <w:rPr>
          <w:b/>
          <w:bCs/>
        </w:rPr>
      </w:pPr>
      <w:r w:rsidRPr="00FF4A2C">
        <w:rPr>
          <w:b/>
          <w:bCs/>
        </w:rPr>
        <w:t>OFFICE OF THE OHIO CONSUMERS’ COUNSEL</w:t>
      </w:r>
    </w:p>
    <w:p w:rsidR="00866410" w14:paraId="13BB45C6" w14:textId="77777777">
      <w:pPr>
        <w:jc w:val="center"/>
        <w:rPr>
          <w:b/>
          <w:bCs/>
        </w:rPr>
      </w:pPr>
      <w:r>
        <w:rPr>
          <w:b/>
          <w:bCs/>
        </w:rPr>
        <w:t xml:space="preserve">AND </w:t>
      </w:r>
    </w:p>
    <w:p w:rsidR="000412DA" w:rsidRPr="00FF4A2C" w14:paraId="2182D24C" w14:textId="2CFA271D">
      <w:pPr>
        <w:jc w:val="center"/>
        <w:rPr>
          <w:b/>
          <w:bCs/>
        </w:rPr>
      </w:pPr>
      <w:r>
        <w:rPr>
          <w:b/>
          <w:bCs/>
        </w:rPr>
        <w:t>PRO SENIORS, INC.</w:t>
      </w:r>
    </w:p>
    <w:p w:rsidR="00A044B5" w:rsidRPr="00FF4A2C" w14:paraId="5F3141CB" w14:textId="77777777">
      <w:pPr>
        <w:pBdr>
          <w:bottom w:val="single" w:sz="12" w:space="1" w:color="auto"/>
        </w:pBdr>
        <w:tabs>
          <w:tab w:val="left" w:pos="4320"/>
        </w:tabs>
      </w:pPr>
    </w:p>
    <w:p w:rsidR="00A044B5" w:rsidRPr="00FF4A2C" w14:paraId="7FB5F876" w14:textId="77777777">
      <w:pPr>
        <w:tabs>
          <w:tab w:val="left" w:pos="4320"/>
        </w:tabs>
      </w:pPr>
    </w:p>
    <w:p w:rsidR="0082789C" w:rsidRPr="00FF4A2C" w:rsidP="00862E1A" w14:paraId="0309C068" w14:textId="77777777">
      <w:pPr>
        <w:pStyle w:val="Heading1"/>
        <w:rPr>
          <w:rFonts w:ascii="Times New Roman" w:hAnsi="Times New Roman"/>
        </w:rPr>
      </w:pPr>
      <w:bookmarkStart w:id="0" w:name="_Toc68785998"/>
      <w:r w:rsidRPr="00FF4A2C">
        <w:rPr>
          <w:rFonts w:ascii="Times New Roman" w:hAnsi="Times New Roman"/>
        </w:rPr>
        <w:t>I.</w:t>
      </w:r>
      <w:r w:rsidRPr="00FF4A2C">
        <w:rPr>
          <w:rFonts w:ascii="Times New Roman" w:hAnsi="Times New Roman"/>
        </w:rPr>
        <w:tab/>
        <w:t>INTRODUCTION</w:t>
      </w:r>
      <w:bookmarkEnd w:id="0"/>
    </w:p>
    <w:p w:rsidR="00737683" w:rsidP="00070AE8" w14:paraId="4BB1E64B" w14:textId="19D0203D">
      <w:pPr>
        <w:pStyle w:val="BodyTextIndent3"/>
        <w:spacing w:line="480" w:lineRule="auto"/>
        <w:ind w:right="-29"/>
        <w:rPr>
          <w:szCs w:val="24"/>
        </w:rPr>
      </w:pPr>
      <w:r>
        <w:rPr>
          <w:szCs w:val="24"/>
        </w:rPr>
        <w:t>RPA Energy, a</w:t>
      </w:r>
      <w:r w:rsidR="00963B63">
        <w:rPr>
          <w:szCs w:val="24"/>
        </w:rPr>
        <w:t>n energy</w:t>
      </w:r>
      <w:r>
        <w:rPr>
          <w:szCs w:val="24"/>
        </w:rPr>
        <w:t xml:space="preserve"> marketer that has </w:t>
      </w:r>
      <w:r w:rsidR="008E56FA">
        <w:rPr>
          <w:szCs w:val="24"/>
        </w:rPr>
        <w:t>been</w:t>
      </w:r>
      <w:r>
        <w:rPr>
          <w:szCs w:val="24"/>
        </w:rPr>
        <w:t xml:space="preserve"> offering</w:t>
      </w:r>
      <w:r w:rsidR="00963B63">
        <w:rPr>
          <w:szCs w:val="24"/>
        </w:rPr>
        <w:t xml:space="preserve"> consumers</w:t>
      </w:r>
      <w:r>
        <w:rPr>
          <w:szCs w:val="24"/>
        </w:rPr>
        <w:t xml:space="preserve"> some of the higher rates</w:t>
      </w:r>
      <w:r w:rsidR="008E56FA">
        <w:rPr>
          <w:szCs w:val="24"/>
        </w:rPr>
        <w:t xml:space="preserve"> for green energy</w:t>
      </w:r>
      <w:r>
        <w:rPr>
          <w:szCs w:val="24"/>
        </w:rPr>
        <w:t xml:space="preserve"> in Ohio, wants the PUCO to grant it a waiver of a consumer protection rule for door-to-door sales.</w:t>
      </w:r>
      <w:r w:rsidR="00963B63">
        <w:rPr>
          <w:szCs w:val="24"/>
        </w:rPr>
        <w:t xml:space="preserve"> </w:t>
      </w:r>
      <w:r>
        <w:rPr>
          <w:szCs w:val="24"/>
        </w:rPr>
        <w:t xml:space="preserve">But the </w:t>
      </w:r>
      <w:r w:rsidR="00963B63">
        <w:rPr>
          <w:szCs w:val="24"/>
        </w:rPr>
        <w:t>PUCO should not cut RPA Energy any slack</w:t>
      </w:r>
      <w:r>
        <w:rPr>
          <w:szCs w:val="24"/>
        </w:rPr>
        <w:t xml:space="preserve"> on rules. </w:t>
      </w:r>
      <w:r w:rsidR="002E2236">
        <w:rPr>
          <w:szCs w:val="24"/>
        </w:rPr>
        <w:t>And</w:t>
      </w:r>
      <w:r w:rsidR="008E56FA">
        <w:rPr>
          <w:szCs w:val="24"/>
        </w:rPr>
        <w:t>,</w:t>
      </w:r>
      <w:r>
        <w:rPr>
          <w:szCs w:val="24"/>
        </w:rPr>
        <w:t xml:space="preserve"> </w:t>
      </w:r>
      <w:r w:rsidR="008E56FA">
        <w:rPr>
          <w:szCs w:val="24"/>
        </w:rPr>
        <w:t>if Ohio’s rules for consumer protection are unacceptable to RPA Energy, then</w:t>
      </w:r>
      <w:r w:rsidR="002E2236">
        <w:rPr>
          <w:szCs w:val="24"/>
        </w:rPr>
        <w:t xml:space="preserve"> </w:t>
      </w:r>
      <w:r>
        <w:rPr>
          <w:szCs w:val="24"/>
        </w:rPr>
        <w:t>RPA Energy</w:t>
      </w:r>
      <w:r w:rsidR="002E2236">
        <w:rPr>
          <w:szCs w:val="24"/>
        </w:rPr>
        <w:t xml:space="preserve"> </w:t>
      </w:r>
      <w:r w:rsidR="008E56FA">
        <w:rPr>
          <w:szCs w:val="24"/>
        </w:rPr>
        <w:t>should</w:t>
      </w:r>
      <w:r w:rsidR="002E2236">
        <w:rPr>
          <w:szCs w:val="24"/>
        </w:rPr>
        <w:t xml:space="preserve"> stop knocking on </w:t>
      </w:r>
      <w:r w:rsidR="008E56FA">
        <w:rPr>
          <w:szCs w:val="24"/>
        </w:rPr>
        <w:t>consumers</w:t>
      </w:r>
      <w:r w:rsidR="00CA592D">
        <w:rPr>
          <w:szCs w:val="24"/>
        </w:rPr>
        <w:t>’</w:t>
      </w:r>
      <w:r w:rsidR="002E2236">
        <w:rPr>
          <w:szCs w:val="24"/>
        </w:rPr>
        <w:t xml:space="preserve"> front doors</w:t>
      </w:r>
      <w:r w:rsidR="008E56FA">
        <w:rPr>
          <w:szCs w:val="24"/>
        </w:rPr>
        <w:t>.</w:t>
      </w:r>
    </w:p>
    <w:p w:rsidR="00737683" w:rsidP="00784865" w14:paraId="6941BAC9" w14:textId="7A4A83A6">
      <w:pPr>
        <w:spacing w:line="480" w:lineRule="auto"/>
        <w:ind w:firstLine="720"/>
        <w:rPr>
          <w:szCs w:val="24"/>
        </w:rPr>
      </w:pPr>
      <w:r>
        <w:t xml:space="preserve">Far from easing consumer protection rules for door-to-door energy sales, the PUCO should not subject Ohioans to door-to-door energy marketing at all. The PUCO should </w:t>
      </w:r>
      <w:r w:rsidRPr="00251DFC">
        <w:rPr>
          <w:i/>
          <w:iCs/>
        </w:rPr>
        <w:t>block the knock.</w:t>
      </w:r>
      <w:r w:rsidR="001C0048">
        <w:t xml:space="preserve"> </w:t>
      </w:r>
    </w:p>
    <w:p w:rsidR="001C0048" w:rsidP="00070AE8" w14:paraId="29FDBB50" w14:textId="77777777">
      <w:pPr>
        <w:pStyle w:val="BodyTextIndent3"/>
        <w:spacing w:line="480" w:lineRule="auto"/>
        <w:ind w:right="-29"/>
        <w:sectPr w:rsidSect="00CD4AC7">
          <w:footerReference w:type="default" r:id="rId6"/>
          <w:footerReference w:type="first" r:id="rId7"/>
          <w:pgSz w:w="12240" w:h="15840"/>
          <w:pgMar w:top="1440" w:right="1800" w:bottom="1440" w:left="1800" w:header="720" w:footer="720" w:gutter="0"/>
          <w:pgNumType w:start="2"/>
          <w:cols w:space="720"/>
          <w:titlePg/>
          <w:docGrid w:linePitch="65"/>
        </w:sectPr>
      </w:pPr>
      <w:r>
        <w:rPr>
          <w:szCs w:val="24"/>
        </w:rPr>
        <w:t>T</w:t>
      </w:r>
      <w:r w:rsidR="00731CCA">
        <w:rPr>
          <w:szCs w:val="24"/>
        </w:rPr>
        <w:t xml:space="preserve">he Office of the Ohio Consumers’ Counsel (“OCC”) </w:t>
      </w:r>
      <w:r w:rsidR="00C673EE">
        <w:rPr>
          <w:szCs w:val="24"/>
        </w:rPr>
        <w:t>and Pro Senior</w:t>
      </w:r>
      <w:r w:rsidR="00DB15B4">
        <w:rPr>
          <w:szCs w:val="24"/>
        </w:rPr>
        <w:t>s</w:t>
      </w:r>
      <w:r w:rsidR="00C673EE">
        <w:rPr>
          <w:szCs w:val="24"/>
        </w:rPr>
        <w:t xml:space="preserve">, Inc. (“Consumer Advocates”) </w:t>
      </w:r>
      <w:r w:rsidR="00731CCA">
        <w:rPr>
          <w:szCs w:val="24"/>
        </w:rPr>
        <w:t xml:space="preserve">filed Comments recommending that the </w:t>
      </w:r>
      <w:r>
        <w:rPr>
          <w:szCs w:val="24"/>
        </w:rPr>
        <w:t xml:space="preserve">PUCO deny the request of </w:t>
      </w:r>
      <w:r w:rsidR="00731CCA">
        <w:rPr>
          <w:szCs w:val="24"/>
        </w:rPr>
        <w:t>energy marketer R</w:t>
      </w:r>
      <w:r w:rsidRPr="00FF4A2C" w:rsidR="0011749F">
        <w:rPr>
          <w:szCs w:val="24"/>
        </w:rPr>
        <w:t xml:space="preserve">PA Energy, Inc. </w:t>
      </w:r>
      <w:r>
        <w:rPr>
          <w:szCs w:val="24"/>
        </w:rPr>
        <w:t xml:space="preserve">for a waiver of consumer protection rules. </w:t>
      </w:r>
      <w:r w:rsidR="00731CCA">
        <w:t xml:space="preserve">RPA Energy wants to offer consumers </w:t>
      </w:r>
      <w:r w:rsidR="00FD2852">
        <w:t xml:space="preserve">what it describes as a </w:t>
      </w:r>
      <w:r w:rsidR="00731CCA">
        <w:t>choice</w:t>
      </w:r>
      <w:r>
        <w:rPr>
          <w:rStyle w:val="FootnoteReference"/>
        </w:rPr>
        <w:footnoteReference w:id="2"/>
      </w:r>
      <w:r w:rsidR="00731CCA">
        <w:t xml:space="preserve"> between verification of </w:t>
      </w:r>
    </w:p>
    <w:p w:rsidR="00C673EE" w:rsidP="001C0048" w14:paraId="07F28BC8" w14:textId="6D63D560">
      <w:pPr>
        <w:pStyle w:val="BodyTextIndent3"/>
        <w:spacing w:line="480" w:lineRule="auto"/>
        <w:ind w:right="-29" w:firstLine="0"/>
      </w:pPr>
      <w:r>
        <w:t xml:space="preserve">their energy sign-up via a new digital process or the traditional telephonic live third-party verification in the PUCO’s rules. </w:t>
      </w:r>
      <w:r w:rsidR="00784129">
        <w:t>The PUCO should reject RPA Energy’s</w:t>
      </w:r>
      <w:r w:rsidR="00DB15B4">
        <w:t xml:space="preserve"> request because a</w:t>
      </w:r>
      <w:r>
        <w:t xml:space="preserve"> digital platform lacks the consumer protections of third-party telephonic verification involving back-and-forth interactive human communication, as discussed in </w:t>
      </w:r>
      <w:r w:rsidR="00784129">
        <w:t>Consumer Advocates</w:t>
      </w:r>
      <w:r>
        <w:t xml:space="preserve"> </w:t>
      </w:r>
      <w:r w:rsidR="002A691D">
        <w:t xml:space="preserve">Amended </w:t>
      </w:r>
      <w:r>
        <w:t>Comments.</w:t>
      </w:r>
      <w:r w:rsidR="001C0048">
        <w:rPr>
          <w:rStyle w:val="FootnoteReference"/>
        </w:rPr>
        <w:t xml:space="preserve"> </w:t>
      </w:r>
    </w:p>
    <w:p w:rsidR="007E1BFD" w:rsidRPr="00FF4A2C" w:rsidP="00784865" w14:paraId="698B785D" w14:textId="337399C2">
      <w:pPr>
        <w:spacing w:line="480" w:lineRule="auto"/>
        <w:ind w:firstLine="720"/>
      </w:pPr>
      <w:r>
        <w:t>T</w:t>
      </w:r>
      <w:r w:rsidR="007677CE">
        <w:t>he</w:t>
      </w:r>
      <w:r>
        <w:t xml:space="preserve"> questions that a consumer asks during the third-party verification </w:t>
      </w:r>
      <w:r w:rsidR="00DB15B4">
        <w:t xml:space="preserve">telephone </w:t>
      </w:r>
      <w:r>
        <w:t xml:space="preserve">call can reveal if they truly understand the terms and conditions in the contract they were sold by </w:t>
      </w:r>
      <w:r w:rsidR="00490440">
        <w:t xml:space="preserve">energy </w:t>
      </w:r>
      <w:r>
        <w:t>marketers</w:t>
      </w:r>
      <w:r w:rsidR="008B2C0B">
        <w:t xml:space="preserve"> or if they have any understanding whatsoever.</w:t>
      </w:r>
      <w:r w:rsidR="001C7C1B">
        <w:t xml:space="preserve"> </w:t>
      </w:r>
      <w:r>
        <w:t>T</w:t>
      </w:r>
      <w:r w:rsidRPr="00FF4A2C">
        <w:t>he PUCO’s rules specifically require the independent third-party verifier to structure the verification interview to give the customer adequate time to respond to questions.</w:t>
      </w:r>
      <w:r>
        <w:rPr>
          <w:rStyle w:val="FootnoteReference"/>
        </w:rPr>
        <w:footnoteReference w:id="3"/>
      </w:r>
      <w:r w:rsidR="00CD4AC7">
        <w:t xml:space="preserve"> </w:t>
      </w:r>
      <w:r>
        <w:t xml:space="preserve">That interactive process would not be possible through the digital process RPA Energy is proposing. </w:t>
      </w:r>
    </w:p>
    <w:p w:rsidR="00DA48E2" w:rsidP="007E1BFD" w14:paraId="28E4DE54" w14:textId="43633F6C">
      <w:pPr>
        <w:pStyle w:val="BodyTextIndent3"/>
        <w:spacing w:line="480" w:lineRule="auto"/>
        <w:ind w:right="-29"/>
      </w:pPr>
      <w:r>
        <w:t>The Staff of the Public Utilities Commission (“Staff”) also filed Comments.</w:t>
      </w:r>
      <w:r w:rsidR="001C0048">
        <w:rPr>
          <w:rStyle w:val="FootnoteReference"/>
        </w:rPr>
        <w:t xml:space="preserve"> </w:t>
      </w:r>
      <w:r>
        <w:t>The PUCO Staff recommended that RPA Energy’s request only be granted if the PUCO also adopts additional protection</w:t>
      </w:r>
      <w:r w:rsidR="0087310B">
        <w:t>s</w:t>
      </w:r>
      <w:r>
        <w:t xml:space="preserve">. </w:t>
      </w:r>
      <w:r w:rsidR="0087310B">
        <w:t xml:space="preserve">One of the protections </w:t>
      </w:r>
      <w:r>
        <w:t xml:space="preserve">is </w:t>
      </w:r>
      <w:r w:rsidR="00CA592D">
        <w:t xml:space="preserve">that </w:t>
      </w:r>
      <w:r>
        <w:t>the waiver should be limited to the pendency of the rules review currently underway for O.A.C. 4901:1-21-06 and 4901:1-</w:t>
      </w:r>
      <w:r w:rsidR="00CA592D">
        <w:t>2</w:t>
      </w:r>
      <w:r>
        <w:t>9-06.</w:t>
      </w:r>
      <w:r>
        <w:rPr>
          <w:rStyle w:val="FootnoteReference"/>
        </w:rPr>
        <w:footnoteReference w:id="4"/>
      </w:r>
      <w:r>
        <w:t xml:space="preserve"> </w:t>
      </w:r>
      <w:r w:rsidR="000079A0">
        <w:t xml:space="preserve">But the PUCO Staff’s approach is </w:t>
      </w:r>
      <w:r w:rsidR="00737683">
        <w:t>not enough consumer protection.</w:t>
      </w:r>
    </w:p>
    <w:p w:rsidR="007E1BFD" w:rsidP="007E1BFD" w14:paraId="49D727C3" w14:textId="73616692">
      <w:pPr>
        <w:pStyle w:val="BodyTextIndent3"/>
        <w:spacing w:line="480" w:lineRule="auto"/>
        <w:ind w:right="-29"/>
      </w:pPr>
      <w:r>
        <w:t>The rulemaking process is the appropriate venue for addressing enrollment methodology and third-party verification requirements.</w:t>
      </w:r>
      <w:r w:rsidR="00195745">
        <w:t xml:space="preserve"> </w:t>
      </w:r>
      <w:r w:rsidR="006425E4">
        <w:t>For consumer protection, t</w:t>
      </w:r>
      <w:r w:rsidR="008B2C0B">
        <w:t xml:space="preserve">he PUCO should reject the </w:t>
      </w:r>
      <w:r>
        <w:t xml:space="preserve">waiver </w:t>
      </w:r>
      <w:r w:rsidR="008B2C0B">
        <w:t>request</w:t>
      </w:r>
      <w:r w:rsidR="002A0A45">
        <w:t>. And RPA can make its proposal</w:t>
      </w:r>
      <w:r>
        <w:t xml:space="preserve"> in </w:t>
      </w:r>
      <w:r w:rsidR="0087310B">
        <w:t>the</w:t>
      </w:r>
      <w:r w:rsidR="00490440">
        <w:t xml:space="preserve"> </w:t>
      </w:r>
      <w:r w:rsidR="008F4A4A">
        <w:t xml:space="preserve">pending </w:t>
      </w:r>
      <w:r w:rsidR="00490440">
        <w:t>PUCO</w:t>
      </w:r>
      <w:r>
        <w:t xml:space="preserve"> rulemaking</w:t>
      </w:r>
      <w:r w:rsidR="008B2C0B">
        <w:t>.</w:t>
      </w:r>
      <w:r w:rsidR="001C0048">
        <w:t xml:space="preserve"> </w:t>
      </w:r>
    </w:p>
    <w:p w:rsidR="00934342" w:rsidP="00070AE8" w14:paraId="41E990E5" w14:textId="300EAED0">
      <w:pPr>
        <w:pStyle w:val="BodyTextIndent3"/>
        <w:spacing w:line="480" w:lineRule="auto"/>
        <w:ind w:right="-29"/>
      </w:pPr>
      <w:r>
        <w:t xml:space="preserve">Live, independent, telephonic third-party verification </w:t>
      </w:r>
      <w:r w:rsidR="008B2C0B">
        <w:t xml:space="preserve">should </w:t>
      </w:r>
      <w:r>
        <w:t>remain</w:t>
      </w:r>
      <w:r w:rsidR="008B2C0B">
        <w:t xml:space="preserve"> the single option </w:t>
      </w:r>
      <w:r>
        <w:t xml:space="preserve">for consumers to verify whether they </w:t>
      </w:r>
      <w:r w:rsidR="00490440">
        <w:t xml:space="preserve">understand the contract they entered and actually </w:t>
      </w:r>
      <w:r>
        <w:t>want to switch natural gas or electric suppliers.</w:t>
      </w:r>
      <w:r>
        <w:rPr>
          <w:rStyle w:val="FootnoteReference"/>
        </w:rPr>
        <w:footnoteReference w:id="5"/>
      </w:r>
      <w:r>
        <w:t xml:space="preserve"> </w:t>
      </w:r>
    </w:p>
    <w:p w:rsidR="00A65C51" w:rsidP="00CD4AC7" w14:paraId="5358F9FC" w14:textId="77777777">
      <w:pPr>
        <w:pStyle w:val="BodyTextIndent3"/>
        <w:spacing w:line="240" w:lineRule="auto"/>
        <w:ind w:right="-29"/>
      </w:pPr>
    </w:p>
    <w:p w:rsidR="00E27D0C" w:rsidRPr="00FF4A2C" w:rsidP="00E27D0C" w14:paraId="10C92313" w14:textId="0D90D136">
      <w:pPr>
        <w:pStyle w:val="Heading1"/>
        <w:rPr>
          <w:rFonts w:ascii="Times New Roman" w:hAnsi="Times New Roman"/>
        </w:rPr>
      </w:pPr>
      <w:bookmarkStart w:id="1" w:name="_Toc68785999"/>
      <w:r w:rsidRPr="00FF4A2C">
        <w:rPr>
          <w:rFonts w:ascii="Times New Roman" w:hAnsi="Times New Roman"/>
        </w:rPr>
        <w:t>II.</w:t>
      </w:r>
      <w:r w:rsidRPr="00FF4A2C">
        <w:rPr>
          <w:rFonts w:ascii="Times New Roman" w:hAnsi="Times New Roman"/>
        </w:rPr>
        <w:tab/>
        <w:t>RECOMMENDATIONS</w:t>
      </w:r>
      <w:bookmarkEnd w:id="1"/>
      <w:r w:rsidR="00D732EE">
        <w:rPr>
          <w:rFonts w:ascii="Times New Roman" w:hAnsi="Times New Roman"/>
        </w:rPr>
        <w:t xml:space="preserve"> </w:t>
      </w:r>
    </w:p>
    <w:p w:rsidR="00D732EE" w:rsidP="00CA592D" w14:paraId="7AFFB0ED" w14:textId="3E3DBDFC">
      <w:pPr>
        <w:pStyle w:val="Heading2"/>
        <w:ind w:left="720" w:firstLine="0"/>
      </w:pPr>
      <w:bookmarkStart w:id="2" w:name="_Toc68786000"/>
      <w:r>
        <w:t xml:space="preserve">Given the many issues surrounding </w:t>
      </w:r>
      <w:r w:rsidR="008E56FA">
        <w:t xml:space="preserve">the </w:t>
      </w:r>
      <w:r>
        <w:t>“switching”</w:t>
      </w:r>
      <w:r w:rsidR="000D4D55">
        <w:t xml:space="preserve"> of consumers</w:t>
      </w:r>
      <w:r>
        <w:t xml:space="preserve"> by energy marketers, </w:t>
      </w:r>
      <w:r w:rsidR="008E56FA">
        <w:t xml:space="preserve">a waiver of </w:t>
      </w:r>
      <w:r>
        <w:t>c</w:t>
      </w:r>
      <w:r w:rsidR="00DB15B4">
        <w:t>onsumer protection</w:t>
      </w:r>
      <w:r w:rsidR="008E56FA">
        <w:t xml:space="preserve"> rules </w:t>
      </w:r>
      <w:r w:rsidR="000F0E0A">
        <w:t>should</w:t>
      </w:r>
      <w:r w:rsidR="00DB15B4">
        <w:t xml:space="preserve"> </w:t>
      </w:r>
      <w:r w:rsidR="008E56FA">
        <w:t xml:space="preserve">not </w:t>
      </w:r>
      <w:r w:rsidR="00DB15B4">
        <w:t>be</w:t>
      </w:r>
      <w:r w:rsidR="008E56FA">
        <w:t xml:space="preserve"> granted</w:t>
      </w:r>
      <w:r w:rsidR="000F0E0A">
        <w:t>.</w:t>
      </w:r>
      <w:bookmarkEnd w:id="2"/>
    </w:p>
    <w:p w:rsidR="00D732EE" w:rsidP="00D732EE" w14:paraId="37665EBD" w14:textId="74DE733A">
      <w:pPr>
        <w:spacing w:line="480" w:lineRule="auto"/>
        <w:ind w:firstLine="720"/>
      </w:pPr>
      <w:r>
        <w:t>To protect consumers, the PUCO should deny RPA Energy’s request. But Consumer Advocates agree with Staff that the ideal venue for evaluating proposed changes to these rules is during the rule</w:t>
      </w:r>
      <w:r w:rsidR="001C7C1B">
        <w:t>s</w:t>
      </w:r>
      <w:r>
        <w:t xml:space="preserve"> review process that is currently underway.</w:t>
      </w:r>
      <w:r w:rsidR="001C0048">
        <w:t xml:space="preserve"> </w:t>
      </w:r>
      <w:r>
        <w:t>However, Consumer Advocates do not agree that the waiver should be effective during the pendency of the rules review for O.A.C. 4901:1-21-06 and 4901:1-29-06,</w:t>
      </w:r>
      <w:r>
        <w:rPr>
          <w:rStyle w:val="FootnoteReference"/>
        </w:rPr>
        <w:footnoteReference w:id="6"/>
      </w:r>
      <w:r>
        <w:t xml:space="preserve"> because the duration of this review is unknown. </w:t>
      </w:r>
    </w:p>
    <w:p w:rsidR="00D732EE" w:rsidP="00D732EE" w14:paraId="6D4D442F" w14:textId="51CBC3CD">
      <w:pPr>
        <w:spacing w:line="480" w:lineRule="auto"/>
        <w:ind w:firstLine="720"/>
      </w:pPr>
      <w:r>
        <w:t>Consumer Advocates support Staff’s view that the intent of the verification rules is to make sure that, to the greatest extent possible, consumers understand what they are agreeing to and the terms of that agreement.</w:t>
      </w:r>
      <w:r>
        <w:rPr>
          <w:rStyle w:val="FootnoteReference"/>
        </w:rPr>
        <w:footnoteReference w:id="7"/>
      </w:r>
      <w:r>
        <w:t xml:space="preserve"> </w:t>
      </w:r>
      <w:r w:rsidR="001C7C1B">
        <w:t xml:space="preserve"> </w:t>
      </w:r>
      <w:r w:rsidR="0087310B">
        <w:t>But l</w:t>
      </w:r>
      <w:r>
        <w:t xml:space="preserve">ive, telephonic third-party verification is hands-down the most effective way to verify that consumers are understanding enrollment with the marketer, as discussed in our Amended Comments. </w:t>
      </w:r>
    </w:p>
    <w:p w:rsidR="00D732EE" w:rsidP="00D732EE" w14:paraId="483DC2DF" w14:textId="24ABAA8C">
      <w:pPr>
        <w:spacing w:line="480" w:lineRule="auto"/>
        <w:ind w:firstLine="720"/>
      </w:pPr>
      <w:r>
        <w:t xml:space="preserve">Consumer Advocates do not agree that the waiver should be granted. </w:t>
      </w:r>
      <w:r w:rsidR="008E56FA">
        <w:t>However, i</w:t>
      </w:r>
      <w:r>
        <w:t xml:space="preserve">f it is, we support Staff’s recommendation that marketer enrollment should be verified with the consumer in clear, plain language, using a template </w:t>
      </w:r>
      <w:r w:rsidRPr="00E57877">
        <w:rPr>
          <w:i/>
          <w:iCs/>
        </w:rPr>
        <w:t>uniformly followed by all marketers</w:t>
      </w:r>
      <w:r w:rsidR="00C269C2">
        <w:t>.</w:t>
      </w:r>
      <w:r>
        <w:rPr>
          <w:rStyle w:val="FootnoteReference"/>
        </w:rPr>
        <w:footnoteReference w:id="8"/>
      </w:r>
      <w:r w:rsidR="00C269C2">
        <w:t xml:space="preserve"> </w:t>
      </w:r>
      <w:r>
        <w:t>This provides some safeguards for protecting consumers’ interests. In fact, this is another reason why RPA Energy’s waiver should not be granted at this time—</w:t>
      </w:r>
      <w:r w:rsidR="00435821">
        <w:t>there could be a</w:t>
      </w:r>
      <w:r>
        <w:t xml:space="preserve"> lack of uniformity among marketers’ templates or scripts without a rulemaking</w:t>
      </w:r>
      <w:r w:rsidR="00435821">
        <w:t xml:space="preserve"> that would lead to potential customer confusion and abuse by energy marketers</w:t>
      </w:r>
      <w:r>
        <w:t>.</w:t>
      </w:r>
    </w:p>
    <w:p w:rsidR="00DD43CA" w:rsidP="00D732EE" w14:paraId="6681BBCF" w14:textId="17F063B3">
      <w:pPr>
        <w:spacing w:line="480" w:lineRule="auto"/>
        <w:ind w:firstLine="720"/>
      </w:pPr>
      <w:r>
        <w:t>Staff</w:t>
      </w:r>
      <w:r w:rsidR="00435821">
        <w:t xml:space="preserve"> </w:t>
      </w:r>
      <w:r>
        <w:t>C</w:t>
      </w:r>
      <w:r w:rsidR="00435821">
        <w:t>omments included a</w:t>
      </w:r>
      <w:r>
        <w:t xml:space="preserve"> recommendation that the list of disclosures and permissions required by the rules match those provided to the customer through the digital platform. </w:t>
      </w:r>
      <w:r w:rsidR="00C269C2">
        <w:t>Staff recommends that t</w:t>
      </w:r>
      <w:r>
        <w:t xml:space="preserve">he format and content of the digital verification </w:t>
      </w:r>
      <w:r w:rsidR="00E57877">
        <w:t xml:space="preserve">should </w:t>
      </w:r>
      <w:r>
        <w:t>be submitted for review prior to its availability to consumers</w:t>
      </w:r>
      <w:r w:rsidR="00E57877">
        <w:t>.</w:t>
      </w:r>
      <w:r>
        <w:rPr>
          <w:rStyle w:val="FootnoteReference"/>
        </w:rPr>
        <w:footnoteReference w:id="9"/>
      </w:r>
      <w:r w:rsidR="001C0048">
        <w:t xml:space="preserve"> </w:t>
      </w:r>
    </w:p>
    <w:p w:rsidR="00D732EE" w:rsidP="00D732EE" w14:paraId="6AB6E13D" w14:textId="2BD6B245">
      <w:pPr>
        <w:spacing w:line="480" w:lineRule="auto"/>
        <w:ind w:firstLine="720"/>
      </w:pPr>
      <w:r>
        <w:t>However, Consumer Advocates note an issue with Staff’s recommendation that RPA Energy submit the format and content of its digital verification to Staff for review prior to being available to customers</w:t>
      </w:r>
      <w:r w:rsidR="00652FD6">
        <w:t>.</w:t>
      </w:r>
      <w:r>
        <w:t xml:space="preserve"> It does not identify what happens if Staff’s review reveals that RPA Energy’s digital verification does not match the requirements in the applicable rules. In other words, no consequences are identified for the digital verification not being in compliance with the rules. </w:t>
      </w:r>
    </w:p>
    <w:p w:rsidR="00652FD6" w:rsidP="00D732EE" w14:paraId="5E0F38A0" w14:textId="39FD31B2">
      <w:pPr>
        <w:spacing w:line="480" w:lineRule="auto"/>
        <w:ind w:firstLine="720"/>
      </w:pPr>
      <w:r>
        <w:t>Consumer Advocates thus recommend a qualification</w:t>
      </w:r>
      <w:r w:rsidR="006E35BA">
        <w:t xml:space="preserve"> to Staff’s recommendation</w:t>
      </w:r>
      <w:r>
        <w:t xml:space="preserve">. </w:t>
      </w:r>
      <w:r w:rsidR="006E35BA">
        <w:t>If the waiver is granted (which it should not be) w</w:t>
      </w:r>
      <w:r>
        <w:t xml:space="preserve">e recommend that RPA Energy may not use the digital verification for consumers until after the marketer obtains a formal acknowledgement from Staff that the format contains all of the disclosures and permissions required by the PUCO’s rules. </w:t>
      </w:r>
    </w:p>
    <w:p w:rsidR="001131B7" w:rsidP="001131B7" w14:paraId="29FBE654" w14:textId="7135AD52">
      <w:pPr>
        <w:spacing w:line="480" w:lineRule="auto"/>
        <w:ind w:firstLine="720"/>
      </w:pPr>
      <w:r w:rsidRPr="00FF4A2C">
        <w:t>The PUCO may waive any rule, other than a requirement mandated by statute, for good cause shown.</w:t>
      </w:r>
      <w:r>
        <w:rPr>
          <w:rStyle w:val="FootnoteReference"/>
        </w:rPr>
        <w:footnoteReference w:id="10"/>
      </w:r>
      <w:r w:rsidRPr="00FF4A2C">
        <w:t xml:space="preserve"> </w:t>
      </w:r>
      <w:r w:rsidR="00C46EBE">
        <w:t>But i</w:t>
      </w:r>
      <w:r w:rsidRPr="00FF4A2C">
        <w:t>n this case, RPA Energy has not shown good cause for its proposed waiver</w:t>
      </w:r>
      <w:r>
        <w:t xml:space="preserve"> to enroll customers via digital confirmation.</w:t>
      </w:r>
      <w:r w:rsidRPr="00FF4A2C">
        <w:t xml:space="preserve"> </w:t>
      </w:r>
      <w:r>
        <w:t>T</w:t>
      </w:r>
      <w:r w:rsidRPr="00FF4A2C">
        <w:t xml:space="preserve">he PUCO should deny it to safeguard consumers from deceptive or high-pressure door-to-door </w:t>
      </w:r>
      <w:r w:rsidR="00BD6166">
        <w:t xml:space="preserve">and outbound telephonic </w:t>
      </w:r>
      <w:r w:rsidRPr="00FF4A2C">
        <w:t>solicitations.</w:t>
      </w:r>
      <w:r w:rsidR="00390CD4">
        <w:t xml:space="preserve"> If anything, the welcome mat for RPA Energy should be rolled up, not rolled out with a </w:t>
      </w:r>
      <w:r w:rsidR="00D505F7">
        <w:t xml:space="preserve">PUCO </w:t>
      </w:r>
      <w:r w:rsidR="00390CD4">
        <w:t xml:space="preserve">waiver. </w:t>
      </w:r>
    </w:p>
    <w:p w:rsidR="00700015" w:rsidP="00B64DC1" w14:paraId="21B0260E" w14:textId="77777777">
      <w:pPr>
        <w:ind w:firstLine="720"/>
      </w:pPr>
    </w:p>
    <w:p w:rsidR="001430A2" w:rsidRPr="00FF4A2C" w:rsidP="00862E1A" w14:paraId="0D430595" w14:textId="77777777">
      <w:pPr>
        <w:pStyle w:val="Heading1"/>
        <w:rPr>
          <w:rFonts w:ascii="Times New Roman" w:hAnsi="Times New Roman"/>
        </w:rPr>
      </w:pPr>
      <w:bookmarkStart w:id="3" w:name="_Toc68786005"/>
      <w:r w:rsidRPr="00FF4A2C">
        <w:rPr>
          <w:rFonts w:ascii="Times New Roman" w:hAnsi="Times New Roman"/>
        </w:rPr>
        <w:t>III.</w:t>
      </w:r>
      <w:r w:rsidRPr="00FF4A2C">
        <w:rPr>
          <w:rFonts w:ascii="Times New Roman" w:hAnsi="Times New Roman"/>
        </w:rPr>
        <w:tab/>
        <w:t>CONCLUSION</w:t>
      </w:r>
      <w:bookmarkEnd w:id="3"/>
    </w:p>
    <w:p w:rsidR="00700015" w:rsidP="00700015" w14:paraId="7F53E353" w14:textId="6CFBBF27">
      <w:pPr>
        <w:spacing w:line="480" w:lineRule="auto"/>
        <w:ind w:firstLine="720"/>
        <w:rPr>
          <w:szCs w:val="24"/>
        </w:rPr>
      </w:pPr>
      <w:r w:rsidRPr="00FF4A2C">
        <w:rPr>
          <w:szCs w:val="24"/>
        </w:rPr>
        <w:t xml:space="preserve">Given the abundant issues involving marketers </w:t>
      </w:r>
      <w:r>
        <w:rPr>
          <w:szCs w:val="24"/>
        </w:rPr>
        <w:t xml:space="preserve">overcharging </w:t>
      </w:r>
      <w:r w:rsidRPr="00FF4A2C">
        <w:rPr>
          <w:szCs w:val="24"/>
        </w:rPr>
        <w:t>Ohio</w:t>
      </w:r>
      <w:r>
        <w:rPr>
          <w:szCs w:val="24"/>
        </w:rPr>
        <w:t>ans</w:t>
      </w:r>
      <w:r w:rsidRPr="00FF4A2C">
        <w:rPr>
          <w:szCs w:val="24"/>
        </w:rPr>
        <w:t xml:space="preserve">, it is imperative that the PUCO </w:t>
      </w:r>
      <w:r>
        <w:rPr>
          <w:szCs w:val="24"/>
        </w:rPr>
        <w:t>make certain</w:t>
      </w:r>
      <w:r w:rsidRPr="00FF4A2C">
        <w:rPr>
          <w:szCs w:val="24"/>
        </w:rPr>
        <w:t xml:space="preserve"> that</w:t>
      </w:r>
      <w:r>
        <w:rPr>
          <w:szCs w:val="24"/>
        </w:rPr>
        <w:t xml:space="preserve"> existing</w:t>
      </w:r>
      <w:r w:rsidRPr="00FF4A2C">
        <w:rPr>
          <w:szCs w:val="24"/>
        </w:rPr>
        <w:t xml:space="preserve"> consumer protections are enforced</w:t>
      </w:r>
      <w:r>
        <w:rPr>
          <w:szCs w:val="24"/>
        </w:rPr>
        <w:t>, if not strengthened</w:t>
      </w:r>
      <w:r w:rsidRPr="00FF4A2C">
        <w:rPr>
          <w:szCs w:val="24"/>
        </w:rPr>
        <w:t xml:space="preserve">. </w:t>
      </w:r>
      <w:r>
        <w:rPr>
          <w:szCs w:val="24"/>
        </w:rPr>
        <w:t xml:space="preserve">To protect consumers, the PUCO should deny RPA Energy’s request. </w:t>
      </w:r>
    </w:p>
    <w:p w:rsidR="00B64DC1" w14:paraId="5F39D71B" w14:textId="28D6C2CE">
      <w:r>
        <w:br w:type="page"/>
      </w:r>
    </w:p>
    <w:p w:rsidR="0094509A" w:rsidRPr="00FF4A2C" w:rsidP="0094509A" w14:paraId="48FE1D8F" w14:textId="77777777">
      <w:pPr>
        <w:pStyle w:val="BodyTextIndent3"/>
        <w:widowControl w:val="0"/>
        <w:spacing w:line="480" w:lineRule="auto"/>
        <w:ind w:left="3600" w:firstLine="0"/>
        <w:rPr>
          <w:szCs w:val="24"/>
        </w:rPr>
      </w:pPr>
      <w:r w:rsidRPr="00FF4A2C">
        <w:rPr>
          <w:szCs w:val="24"/>
        </w:rPr>
        <w:t>Respectfully submitted,</w:t>
      </w:r>
    </w:p>
    <w:p w:rsidR="0094509A" w:rsidRPr="00FF4A2C" w:rsidP="0094509A" w14:paraId="57C0E40B" w14:textId="77777777">
      <w:pPr>
        <w:pStyle w:val="Footer"/>
        <w:tabs>
          <w:tab w:val="left" w:pos="4320"/>
          <w:tab w:val="clear" w:pos="8640"/>
        </w:tabs>
        <w:ind w:left="3600"/>
        <w:rPr>
          <w:sz w:val="24"/>
          <w:szCs w:val="24"/>
        </w:rPr>
      </w:pPr>
      <w:r w:rsidRPr="00FF4A2C">
        <w:rPr>
          <w:sz w:val="24"/>
          <w:szCs w:val="24"/>
        </w:rPr>
        <w:t>Bruce Weston (0016973)</w:t>
      </w:r>
    </w:p>
    <w:p w:rsidR="0094509A" w:rsidRPr="00FF4A2C" w:rsidP="0094509A" w14:paraId="1DF965D2" w14:textId="77777777">
      <w:pPr>
        <w:tabs>
          <w:tab w:val="left" w:pos="4320"/>
        </w:tabs>
        <w:ind w:left="3600"/>
        <w:rPr>
          <w:szCs w:val="24"/>
        </w:rPr>
      </w:pPr>
      <w:r w:rsidRPr="00FF4A2C">
        <w:rPr>
          <w:szCs w:val="24"/>
        </w:rPr>
        <w:t>Ohio Consumers’ Counsel</w:t>
      </w:r>
    </w:p>
    <w:p w:rsidR="0094509A" w:rsidRPr="00FF4A2C" w:rsidP="0094509A" w14:paraId="03C3EB61" w14:textId="77777777">
      <w:pPr>
        <w:tabs>
          <w:tab w:val="left" w:pos="4320"/>
        </w:tabs>
        <w:ind w:left="3600"/>
        <w:rPr>
          <w:szCs w:val="24"/>
        </w:rPr>
      </w:pPr>
    </w:p>
    <w:p w:rsidR="00FD13AB" w:rsidRPr="00745D6B" w:rsidP="00FD13AB" w14:paraId="5D212925" w14:textId="77777777">
      <w:pPr>
        <w:tabs>
          <w:tab w:val="left" w:pos="4320"/>
        </w:tabs>
        <w:spacing w:before="120"/>
        <w:ind w:left="3600"/>
        <w:rPr>
          <w:szCs w:val="24"/>
        </w:rPr>
      </w:pPr>
      <w:r w:rsidRPr="00745D6B">
        <w:rPr>
          <w:i/>
          <w:iCs/>
          <w:szCs w:val="24"/>
          <w:u w:val="single"/>
        </w:rPr>
        <w:t>/s/ Amy Botschner O’Brien</w:t>
      </w:r>
    </w:p>
    <w:p w:rsidR="00FD13AB" w:rsidRPr="00745D6B" w:rsidP="00FD13AB" w14:paraId="5C34669A" w14:textId="77777777">
      <w:pPr>
        <w:tabs>
          <w:tab w:val="left" w:pos="4320"/>
        </w:tabs>
        <w:ind w:left="3600"/>
        <w:rPr>
          <w:szCs w:val="24"/>
        </w:rPr>
      </w:pPr>
      <w:r w:rsidRPr="00745D6B">
        <w:rPr>
          <w:szCs w:val="24"/>
        </w:rPr>
        <w:t>Amy Botschner O’Brien (0074423)</w:t>
      </w:r>
    </w:p>
    <w:p w:rsidR="00FD13AB" w:rsidRPr="00745D6B" w:rsidP="00FD13AB" w14:paraId="61510CF1" w14:textId="77777777">
      <w:pPr>
        <w:tabs>
          <w:tab w:val="left" w:pos="4320"/>
        </w:tabs>
        <w:ind w:left="3600"/>
        <w:rPr>
          <w:szCs w:val="24"/>
        </w:rPr>
      </w:pPr>
      <w:r w:rsidRPr="00745D6B">
        <w:rPr>
          <w:szCs w:val="24"/>
        </w:rPr>
        <w:t>Counsel of Record</w:t>
      </w:r>
    </w:p>
    <w:p w:rsidR="00FD13AB" w:rsidRPr="00745D6B" w:rsidP="00FD13AB" w14:paraId="7D6A6213" w14:textId="77777777">
      <w:pPr>
        <w:tabs>
          <w:tab w:val="left" w:pos="4320"/>
        </w:tabs>
        <w:ind w:left="3600"/>
        <w:rPr>
          <w:szCs w:val="24"/>
        </w:rPr>
      </w:pPr>
      <w:r w:rsidRPr="00745D6B">
        <w:rPr>
          <w:szCs w:val="24"/>
        </w:rPr>
        <w:t xml:space="preserve">Assistant Consumers’ Counsel </w:t>
      </w:r>
    </w:p>
    <w:p w:rsidR="00FD13AB" w:rsidRPr="00745D6B" w:rsidP="00FD13AB" w14:paraId="75415BA6" w14:textId="77777777">
      <w:pPr>
        <w:tabs>
          <w:tab w:val="left" w:pos="4320"/>
        </w:tabs>
        <w:ind w:left="3600"/>
        <w:rPr>
          <w:szCs w:val="24"/>
        </w:rPr>
      </w:pPr>
      <w:r w:rsidRPr="00745D6B">
        <w:rPr>
          <w:szCs w:val="24"/>
        </w:rPr>
        <w:t>Ambrosia E. Wilson (0096598)</w:t>
      </w:r>
    </w:p>
    <w:p w:rsidR="00FD13AB" w:rsidP="00FD13AB" w14:paraId="6765ED1B" w14:textId="222E1864">
      <w:pPr>
        <w:tabs>
          <w:tab w:val="left" w:pos="4320"/>
        </w:tabs>
        <w:ind w:left="3600"/>
        <w:rPr>
          <w:szCs w:val="24"/>
        </w:rPr>
      </w:pPr>
      <w:r w:rsidRPr="00745D6B">
        <w:rPr>
          <w:szCs w:val="24"/>
        </w:rPr>
        <w:t>Assistant Consumers’ Counsel</w:t>
      </w:r>
    </w:p>
    <w:p w:rsidR="00FD13AB" w:rsidRPr="00745D6B" w:rsidP="00FD13AB" w14:paraId="5D6A7F1B" w14:textId="77777777">
      <w:pPr>
        <w:tabs>
          <w:tab w:val="left" w:pos="4320"/>
        </w:tabs>
        <w:ind w:left="3600"/>
        <w:rPr>
          <w:szCs w:val="24"/>
        </w:rPr>
      </w:pPr>
    </w:p>
    <w:p w:rsidR="00FD13AB" w:rsidRPr="00FD13AB" w:rsidP="00FD13AB" w14:paraId="4C46241D" w14:textId="77777777">
      <w:pPr>
        <w:ind w:left="3600"/>
        <w:rPr>
          <w:b/>
          <w:bCs/>
        </w:rPr>
      </w:pPr>
      <w:r w:rsidRPr="00FD13AB">
        <w:rPr>
          <w:b/>
          <w:bCs/>
        </w:rPr>
        <w:t>Office of the Ohio Consumers’ Counsel</w:t>
      </w:r>
    </w:p>
    <w:p w:rsidR="00FD13AB" w:rsidRPr="00FD13AB" w:rsidP="00FD13AB" w14:paraId="39E43750" w14:textId="6256CD10">
      <w:pPr>
        <w:ind w:left="3600"/>
      </w:pPr>
      <w:r w:rsidRPr="00FD13AB">
        <w:t xml:space="preserve">65 East State Street, </w:t>
      </w:r>
      <w:r>
        <w:t>7</w:t>
      </w:r>
      <w:r w:rsidRPr="00FD13AB">
        <w:rPr>
          <w:vertAlign w:val="superscript"/>
        </w:rPr>
        <w:t>th</w:t>
      </w:r>
      <w:r w:rsidRPr="00FD13AB">
        <w:t xml:space="preserve"> Floor</w:t>
      </w:r>
    </w:p>
    <w:p w:rsidR="00FD13AB" w:rsidRPr="00FD13AB" w:rsidP="00FD13AB" w14:paraId="032ADC8C" w14:textId="77777777">
      <w:pPr>
        <w:ind w:left="3600"/>
      </w:pPr>
      <w:r w:rsidRPr="00FD13AB">
        <w:t>Columbus, Ohio 43215-4213</w:t>
      </w:r>
    </w:p>
    <w:p w:rsidR="00FD13AB" w:rsidRPr="00745D6B" w:rsidP="00FD13AB" w14:paraId="1E5B8A3A" w14:textId="77777777">
      <w:pPr>
        <w:autoSpaceDE w:val="0"/>
        <w:autoSpaceDN w:val="0"/>
        <w:adjustRightInd w:val="0"/>
        <w:ind w:left="3600"/>
        <w:rPr>
          <w:szCs w:val="24"/>
        </w:rPr>
      </w:pPr>
      <w:r w:rsidRPr="00745D6B">
        <w:rPr>
          <w:szCs w:val="24"/>
        </w:rPr>
        <w:t>Telephone [Botschner O’Brien]: (614) 466-9575</w:t>
      </w:r>
    </w:p>
    <w:p w:rsidR="00FD13AB" w:rsidRPr="00745D6B" w:rsidP="00FD13AB" w14:paraId="38D2A2B9" w14:textId="77777777">
      <w:pPr>
        <w:ind w:left="3600"/>
        <w:rPr>
          <w:szCs w:val="24"/>
        </w:rPr>
      </w:pPr>
      <w:r w:rsidRPr="00745D6B">
        <w:rPr>
          <w:szCs w:val="24"/>
        </w:rPr>
        <w:t>Telephone [Wilson]: (614) 466-1292</w:t>
      </w:r>
    </w:p>
    <w:p w:rsidR="00FD13AB" w:rsidRPr="00745D6B" w:rsidP="00FD13AB" w14:paraId="03B960E9" w14:textId="77777777">
      <w:pPr>
        <w:ind w:left="3600"/>
        <w:rPr>
          <w:szCs w:val="24"/>
        </w:rPr>
      </w:pPr>
      <w:hyperlink r:id="rId8" w:history="1">
        <w:r w:rsidRPr="00745D6B" w:rsidR="000A1AEF">
          <w:rPr>
            <w:rStyle w:val="Hyperlink"/>
            <w:szCs w:val="24"/>
          </w:rPr>
          <w:t>amy.botschner.obrien@occ.ohio.gov</w:t>
        </w:r>
      </w:hyperlink>
    </w:p>
    <w:p w:rsidR="00FD13AB" w:rsidRPr="00745D6B" w:rsidP="00FD13AB" w14:paraId="79C78BFB" w14:textId="77777777">
      <w:pPr>
        <w:ind w:left="3600"/>
        <w:rPr>
          <w:szCs w:val="24"/>
        </w:rPr>
      </w:pPr>
      <w:hyperlink r:id="rId9" w:history="1">
        <w:r w:rsidRPr="00745D6B" w:rsidR="000A1AEF">
          <w:rPr>
            <w:rStyle w:val="Hyperlink"/>
            <w:szCs w:val="24"/>
          </w:rPr>
          <w:t>ambrosia.wilson@occ.ohio.gov</w:t>
        </w:r>
      </w:hyperlink>
    </w:p>
    <w:p w:rsidR="00A044B5" w:rsidP="00C259B1" w14:paraId="00AC19CC" w14:textId="6F508FCC">
      <w:pPr>
        <w:ind w:left="3600"/>
        <w:rPr>
          <w:szCs w:val="24"/>
        </w:rPr>
      </w:pPr>
      <w:r w:rsidRPr="00FF4A2C">
        <w:rPr>
          <w:szCs w:val="24"/>
        </w:rPr>
        <w:t>(willing to accept service by e-mail)</w:t>
      </w:r>
      <w:r w:rsidRPr="00FF4A2C">
        <w:rPr>
          <w:szCs w:val="24"/>
        </w:rPr>
        <w:tab/>
      </w:r>
      <w:r w:rsidRPr="00FF4A2C">
        <w:rPr>
          <w:szCs w:val="24"/>
        </w:rPr>
        <w:tab/>
      </w:r>
      <w:r w:rsidRPr="00FF4A2C">
        <w:rPr>
          <w:szCs w:val="24"/>
        </w:rPr>
        <w:tab/>
      </w:r>
    </w:p>
    <w:p w:rsidR="00CB6623" w:rsidP="00C259B1" w14:paraId="00A96971" w14:textId="7E3ECFEA">
      <w:pPr>
        <w:ind w:left="3600"/>
        <w:rPr>
          <w:szCs w:val="24"/>
        </w:rPr>
      </w:pPr>
    </w:p>
    <w:p w:rsidR="00CB6623" w:rsidRPr="0069712E" w:rsidP="00CB6623" w14:paraId="0DF5402B" w14:textId="77777777">
      <w:pPr>
        <w:ind w:left="3600"/>
        <w:rPr>
          <w:szCs w:val="24"/>
        </w:rPr>
      </w:pPr>
      <w:r>
        <w:rPr>
          <w:i/>
          <w:iCs/>
          <w:szCs w:val="24"/>
          <w:u w:val="single"/>
        </w:rPr>
        <w:t>/s/ Michael Walters</w:t>
      </w:r>
      <w:r>
        <w:rPr>
          <w:i/>
          <w:iCs/>
          <w:szCs w:val="24"/>
          <w:u w:val="single"/>
        </w:rPr>
        <w:tab/>
      </w:r>
    </w:p>
    <w:p w:rsidR="00CB6623" w:rsidP="00CB6623" w14:paraId="14AB5C09" w14:textId="678388A5">
      <w:pPr>
        <w:shd w:val="clear" w:color="auto" w:fill="FFFFFF"/>
        <w:ind w:left="3600"/>
        <w:rPr>
          <w:color w:val="000000"/>
        </w:rPr>
      </w:pPr>
      <w:r>
        <w:rPr>
          <w:color w:val="000000"/>
        </w:rPr>
        <w:t>Michael Walters</w:t>
      </w:r>
      <w:r w:rsidRPr="004C3EBD">
        <w:rPr>
          <w:color w:val="000000"/>
        </w:rPr>
        <w:t> </w:t>
      </w:r>
      <w:r>
        <w:rPr>
          <w:color w:val="000000"/>
        </w:rPr>
        <w:t>(0068921)</w:t>
      </w:r>
    </w:p>
    <w:p w:rsidR="00CB6623" w:rsidRPr="004C3EBD" w:rsidP="00CB6623" w14:paraId="0CF67168" w14:textId="77777777">
      <w:pPr>
        <w:shd w:val="clear" w:color="auto" w:fill="FFFFFF"/>
        <w:ind w:left="3600"/>
        <w:rPr>
          <w:color w:val="000000"/>
        </w:rPr>
      </w:pPr>
      <w:r>
        <w:rPr>
          <w:color w:val="000000"/>
        </w:rPr>
        <w:t>Legal Hotline Managing Attorney</w:t>
      </w:r>
    </w:p>
    <w:p w:rsidR="00CB6623" w:rsidRPr="004C3EBD" w:rsidP="00CB6623" w14:paraId="656955BB" w14:textId="77777777">
      <w:pPr>
        <w:shd w:val="clear" w:color="auto" w:fill="FFFFFF"/>
        <w:ind w:left="3600"/>
        <w:rPr>
          <w:b/>
          <w:bCs/>
          <w:color w:val="000000"/>
        </w:rPr>
      </w:pPr>
      <w:r>
        <w:rPr>
          <w:b/>
          <w:bCs/>
          <w:color w:val="000000"/>
        </w:rPr>
        <w:t>Pro Seniors, Inc.</w:t>
      </w:r>
    </w:p>
    <w:p w:rsidR="00CB6623" w:rsidRPr="004C3EBD" w:rsidP="00CB6623" w14:paraId="150AD48E" w14:textId="77777777">
      <w:pPr>
        <w:shd w:val="clear" w:color="auto" w:fill="FFFFFF"/>
        <w:ind w:left="3600"/>
        <w:rPr>
          <w:color w:val="000000"/>
        </w:rPr>
      </w:pPr>
      <w:r>
        <w:rPr>
          <w:color w:val="000000"/>
        </w:rPr>
        <w:t>7162 Reading Road, Suite 1150</w:t>
      </w:r>
    </w:p>
    <w:p w:rsidR="00CB6623" w:rsidP="00CB6623" w14:paraId="5B891B75" w14:textId="77777777">
      <w:pPr>
        <w:shd w:val="clear" w:color="auto" w:fill="FFFFFF"/>
        <w:ind w:left="3600"/>
        <w:rPr>
          <w:color w:val="000000"/>
        </w:rPr>
      </w:pPr>
      <w:r>
        <w:rPr>
          <w:color w:val="000000"/>
        </w:rPr>
        <w:t>Cincinnati</w:t>
      </w:r>
      <w:r w:rsidRPr="004C3EBD">
        <w:rPr>
          <w:color w:val="000000"/>
        </w:rPr>
        <w:t xml:space="preserve">, OH </w:t>
      </w:r>
      <w:r>
        <w:rPr>
          <w:color w:val="000000"/>
        </w:rPr>
        <w:t>45237</w:t>
      </w:r>
    </w:p>
    <w:p w:rsidR="00CB6623" w:rsidRPr="004C3EBD" w:rsidP="00CB6623" w14:paraId="35EF4979" w14:textId="77777777">
      <w:pPr>
        <w:shd w:val="clear" w:color="auto" w:fill="FFFFFF"/>
        <w:ind w:left="3600"/>
        <w:rPr>
          <w:color w:val="000000"/>
        </w:rPr>
      </w:pPr>
      <w:r>
        <w:rPr>
          <w:color w:val="000000"/>
        </w:rPr>
        <w:t>Telephone: (513) 458-5532</w:t>
      </w:r>
    </w:p>
    <w:p w:rsidR="00CB6623" w:rsidP="00CB6623" w14:paraId="37E26500" w14:textId="77777777">
      <w:pPr>
        <w:ind w:left="2880" w:firstLine="720"/>
        <w:rPr>
          <w:szCs w:val="24"/>
        </w:rPr>
      </w:pPr>
      <w:hyperlink r:id="rId10" w:history="1">
        <w:r w:rsidRPr="003A6B0D" w:rsidR="000A1AEF">
          <w:rPr>
            <w:rStyle w:val="Hyperlink"/>
            <w:szCs w:val="24"/>
          </w:rPr>
          <w:t>mwalters@proseniors.org</w:t>
        </w:r>
      </w:hyperlink>
    </w:p>
    <w:p w:rsidR="00CB6623" w:rsidRPr="00FF4A2C" w:rsidP="00C259B1" w14:paraId="4ABB493B" w14:textId="77777777">
      <w:pPr>
        <w:ind w:left="3600"/>
        <w:rPr>
          <w:szCs w:val="24"/>
        </w:rPr>
      </w:pPr>
    </w:p>
    <w:p w:rsidR="00A044B5" w:rsidRPr="00FF4A2C" w:rsidP="001430A2" w14:paraId="656665E6" w14:textId="77777777">
      <w:pPr>
        <w:spacing w:line="480" w:lineRule="auto"/>
        <w:jc w:val="center"/>
        <w:rPr>
          <w:b/>
          <w:bCs/>
          <w:u w:val="single"/>
        </w:rPr>
      </w:pPr>
      <w:r w:rsidRPr="00FF4A2C">
        <w:br w:type="page"/>
      </w:r>
      <w:r w:rsidRPr="00FF4A2C">
        <w:rPr>
          <w:b/>
          <w:bCs/>
          <w:u w:val="single"/>
        </w:rPr>
        <w:t>CERTIFICATE OF SERVICE</w:t>
      </w:r>
    </w:p>
    <w:p w:rsidR="00A044B5" w:rsidRPr="00FF4A2C" w:rsidP="001430A2" w14:paraId="24600AA4" w14:textId="706E15F8">
      <w:pPr>
        <w:spacing w:line="480" w:lineRule="auto"/>
      </w:pPr>
      <w:r w:rsidRPr="00FF4A2C">
        <w:tab/>
        <w:t xml:space="preserve">I hereby certify that a copy of the foregoing </w:t>
      </w:r>
      <w:r w:rsidR="00B64DC1">
        <w:t>Reply</w:t>
      </w:r>
      <w:r w:rsidR="002E2592">
        <w:t xml:space="preserve"> </w:t>
      </w:r>
      <w:r w:rsidRPr="00FF4A2C">
        <w:t xml:space="preserve">Comments was served on the persons stated below via electronic transmission, this </w:t>
      </w:r>
      <w:r w:rsidR="00994093">
        <w:t>22nd</w:t>
      </w:r>
      <w:r w:rsidRPr="00FF4A2C">
        <w:t xml:space="preserve"> day of A</w:t>
      </w:r>
      <w:r w:rsidR="008B7C1D">
        <w:t>pril 2021</w:t>
      </w:r>
      <w:r w:rsidRPr="00FF4A2C">
        <w:t>.</w:t>
      </w:r>
    </w:p>
    <w:p w:rsidR="00FD13AB" w:rsidRPr="00FF4A2C" w:rsidP="00FD13AB" w14:paraId="2FC96584" w14:textId="77777777">
      <w:pPr>
        <w:tabs>
          <w:tab w:val="left" w:pos="4320"/>
        </w:tabs>
        <w:ind w:left="3600"/>
        <w:rPr>
          <w:szCs w:val="24"/>
        </w:rPr>
      </w:pPr>
      <w:r w:rsidRPr="00FF4A2C">
        <w:rPr>
          <w:szCs w:val="24"/>
        </w:rPr>
        <w:tab/>
      </w:r>
      <w:r w:rsidRPr="00FF4A2C">
        <w:rPr>
          <w:i/>
          <w:iCs/>
          <w:szCs w:val="24"/>
          <w:u w:val="single"/>
        </w:rPr>
        <w:t>/s/ Amy Botschner O’Brien</w:t>
      </w:r>
      <w:r w:rsidRPr="00FF4A2C">
        <w:rPr>
          <w:i/>
          <w:iCs/>
          <w:szCs w:val="24"/>
          <w:u w:val="single"/>
        </w:rPr>
        <w:tab/>
      </w:r>
    </w:p>
    <w:p w:rsidR="00A044B5" w:rsidRPr="00FF4A2C" w14:paraId="160AEF27" w14:textId="5C4856C3">
      <w:pPr>
        <w:tabs>
          <w:tab w:val="left" w:pos="4320"/>
        </w:tabs>
      </w:pPr>
      <w:r w:rsidRPr="00FF4A2C">
        <w:tab/>
      </w:r>
      <w:r w:rsidR="008B7C1D">
        <w:t>Amy Botschner O’Brien</w:t>
      </w:r>
    </w:p>
    <w:p w:rsidR="00A044B5" w:rsidRPr="00FF4A2C" w14:paraId="3C855FD8" w14:textId="77777777">
      <w:pPr>
        <w:tabs>
          <w:tab w:val="left" w:pos="4320"/>
        </w:tabs>
      </w:pPr>
      <w:r w:rsidRPr="00FF4A2C">
        <w:tab/>
        <w:t>Assistant Consumers’ Counsel</w:t>
      </w:r>
    </w:p>
    <w:p w:rsidR="00A044B5" w:rsidRPr="00FF4A2C" w14:paraId="63BAAF8B" w14:textId="77777777">
      <w:pPr>
        <w:pStyle w:val="CommentSubject"/>
      </w:pPr>
    </w:p>
    <w:p w:rsidR="00FD13AB" w:rsidRPr="00745D6B" w:rsidP="00FD13AB" w14:paraId="349EC6A0" w14:textId="77777777">
      <w:pPr>
        <w:rPr>
          <w:szCs w:val="24"/>
        </w:rPr>
      </w:pPr>
      <w:r w:rsidRPr="00745D6B">
        <w:rPr>
          <w:szCs w:val="24"/>
        </w:rPr>
        <w:t>The PUCO’s e-filing system will electronically serve notice of the filing of this document on the following parties:</w:t>
      </w:r>
    </w:p>
    <w:p w:rsidR="00A044B5" w:rsidRPr="00FF4A2C" w14:paraId="0BED4BAE" w14:textId="77777777">
      <w:pPr>
        <w:pStyle w:val="CommentText"/>
      </w:pPr>
    </w:p>
    <w:p w:rsidR="00FD13AB" w:rsidRPr="00745D6B" w:rsidP="00FD13AB" w14:paraId="53839BD0" w14:textId="77777777">
      <w:pPr>
        <w:pStyle w:val="CommentText"/>
        <w:jc w:val="center"/>
        <w:rPr>
          <w:b/>
          <w:u w:val="single"/>
        </w:rPr>
      </w:pPr>
      <w:r w:rsidRPr="00745D6B">
        <w:rPr>
          <w:b/>
          <w:u w:val="single"/>
        </w:rPr>
        <w:t>SERVICE LIST</w:t>
      </w:r>
    </w:p>
    <w:p w:rsidR="00FD13AB" w:rsidRPr="00745D6B" w:rsidP="00FD13AB" w14:paraId="6705A93D" w14:textId="77777777">
      <w:pPr>
        <w:pStyle w:val="CommentText"/>
        <w:jc w:val="center"/>
        <w:rPr>
          <w:b/>
          <w:u w:val="single"/>
        </w:rPr>
      </w:pPr>
    </w:p>
    <w:tbl>
      <w:tblPr>
        <w:tblW w:w="0" w:type="auto"/>
        <w:tblLook w:val="04A0"/>
      </w:tblPr>
      <w:tblGrid>
        <w:gridCol w:w="4610"/>
        <w:gridCol w:w="4030"/>
      </w:tblGrid>
      <w:tr w14:paraId="6DBEE08B" w14:textId="77777777" w:rsidTr="008C1BBB">
        <w:tblPrEx>
          <w:tblW w:w="0" w:type="auto"/>
          <w:tblLook w:val="04A0"/>
        </w:tblPrEx>
        <w:tc>
          <w:tcPr>
            <w:tcW w:w="4630" w:type="dxa"/>
            <w:shd w:val="clear" w:color="auto" w:fill="auto"/>
          </w:tcPr>
          <w:p w:rsidR="00FD13AB" w:rsidRPr="00745D6B" w:rsidP="008C1BBB" w14:paraId="5F3A67CB" w14:textId="77777777">
            <w:pPr>
              <w:pStyle w:val="CommentText"/>
              <w:rPr>
                <w:bCs/>
              </w:rPr>
            </w:pPr>
            <w:hyperlink r:id="rId11" w:history="1">
              <w:r w:rsidRPr="00745D6B" w:rsidR="000A1AEF">
                <w:rPr>
                  <w:rStyle w:val="Hyperlink"/>
                  <w:bCs/>
                </w:rPr>
                <w:t>thomas.shepherd@ohioattorneygeneral.gov</w:t>
              </w:r>
            </w:hyperlink>
          </w:p>
          <w:p w:rsidR="00FD13AB" w:rsidRPr="00745D6B" w:rsidP="008C1BBB" w14:paraId="5EACC065" w14:textId="77777777">
            <w:pPr>
              <w:pStyle w:val="CommentText"/>
              <w:rPr>
                <w:bCs/>
              </w:rPr>
            </w:pPr>
            <w:hyperlink r:id="rId12" w:history="1">
              <w:r w:rsidRPr="00745D6B" w:rsidR="000A1AEF">
                <w:rPr>
                  <w:rStyle w:val="Hyperlink"/>
                  <w:bCs/>
                </w:rPr>
                <w:t>Thomas.lindgren@ohioattorneygeneral.gov</w:t>
              </w:r>
            </w:hyperlink>
          </w:p>
          <w:p w:rsidR="00FD13AB" w:rsidRPr="00745D6B" w:rsidP="008C1BBB" w14:paraId="245DC0E1" w14:textId="77777777">
            <w:pPr>
              <w:pStyle w:val="CommentText"/>
              <w:rPr>
                <w:bCs/>
              </w:rPr>
            </w:pPr>
          </w:p>
          <w:p w:rsidR="00FD13AB" w:rsidRPr="00745D6B" w:rsidP="008C1BBB" w14:paraId="3BBD3794" w14:textId="77777777">
            <w:pPr>
              <w:pStyle w:val="CommentText"/>
              <w:rPr>
                <w:bCs/>
              </w:rPr>
            </w:pPr>
          </w:p>
          <w:p w:rsidR="00FD13AB" w:rsidRPr="00745D6B" w:rsidP="008C1BBB" w14:paraId="6509F950" w14:textId="77777777">
            <w:pPr>
              <w:pStyle w:val="CommentText"/>
              <w:rPr>
                <w:bCs/>
              </w:rPr>
            </w:pPr>
            <w:r w:rsidRPr="00745D6B">
              <w:rPr>
                <w:bCs/>
              </w:rPr>
              <w:t>Attorney Examiner:</w:t>
            </w:r>
          </w:p>
          <w:p w:rsidR="00FD13AB" w:rsidRPr="00745D6B" w:rsidP="008C1BBB" w14:paraId="4AAE5604" w14:textId="77777777">
            <w:pPr>
              <w:pStyle w:val="CommentText"/>
              <w:rPr>
                <w:bCs/>
              </w:rPr>
            </w:pPr>
          </w:p>
          <w:p w:rsidR="00FD13AB" w:rsidRPr="00745D6B" w:rsidP="008C1BBB" w14:paraId="1D26BD22" w14:textId="77777777">
            <w:pPr>
              <w:pStyle w:val="CommentText"/>
              <w:rPr>
                <w:bCs/>
              </w:rPr>
            </w:pPr>
            <w:hyperlink r:id="rId13" w:history="1">
              <w:r w:rsidRPr="00745D6B" w:rsidR="000A1AEF">
                <w:rPr>
                  <w:rStyle w:val="Hyperlink"/>
                  <w:bCs/>
                </w:rPr>
                <w:t>Jacqueline.st.john@puco.ohio.gov</w:t>
              </w:r>
            </w:hyperlink>
          </w:p>
          <w:p w:rsidR="00FD13AB" w:rsidRPr="00745D6B" w:rsidP="008C1BBB" w14:paraId="7232877B" w14:textId="77777777">
            <w:pPr>
              <w:pStyle w:val="CommentText"/>
              <w:rPr>
                <w:bCs/>
              </w:rPr>
            </w:pPr>
          </w:p>
        </w:tc>
        <w:tc>
          <w:tcPr>
            <w:tcW w:w="4226" w:type="dxa"/>
            <w:shd w:val="clear" w:color="auto" w:fill="auto"/>
          </w:tcPr>
          <w:p w:rsidR="00FD13AB" w:rsidRPr="00745D6B" w:rsidP="008C1BBB" w14:paraId="17847A7D" w14:textId="77777777">
            <w:pPr>
              <w:autoSpaceDE w:val="0"/>
              <w:autoSpaceDN w:val="0"/>
              <w:adjustRightInd w:val="0"/>
              <w:ind w:left="426"/>
              <w:rPr>
                <w:szCs w:val="24"/>
              </w:rPr>
            </w:pPr>
            <w:hyperlink r:id="rId14" w:history="1">
              <w:r w:rsidRPr="00745D6B" w:rsidR="000A1AEF">
                <w:rPr>
                  <w:rStyle w:val="Hyperlink"/>
                  <w:szCs w:val="24"/>
                </w:rPr>
                <w:t>whitt@whitt-sturtevant.com</w:t>
              </w:r>
            </w:hyperlink>
          </w:p>
          <w:p w:rsidR="00FD13AB" w:rsidRPr="00745D6B" w:rsidP="008C1BBB" w14:paraId="505BCA2D" w14:textId="77777777">
            <w:pPr>
              <w:pStyle w:val="CommentText"/>
              <w:ind w:left="426"/>
            </w:pPr>
            <w:hyperlink r:id="rId15" w:history="1">
              <w:r w:rsidRPr="00745D6B" w:rsidR="000A1AEF">
                <w:rPr>
                  <w:rStyle w:val="Hyperlink"/>
                </w:rPr>
                <w:t>fykes@whitt-sturtevant.com</w:t>
              </w:r>
            </w:hyperlink>
          </w:p>
          <w:p w:rsidR="00FD13AB" w:rsidRPr="00745D6B" w:rsidP="008C1BBB" w14:paraId="6C680619" w14:textId="77777777">
            <w:pPr>
              <w:pStyle w:val="CommentText"/>
              <w:ind w:left="1062"/>
              <w:rPr>
                <w:b/>
                <w:u w:val="single"/>
              </w:rPr>
            </w:pPr>
          </w:p>
        </w:tc>
      </w:tr>
    </w:tbl>
    <w:p w:rsidR="00FD13AB" w:rsidRPr="00745D6B" w:rsidP="00FD13AB" w14:paraId="4EB93140" w14:textId="77777777">
      <w:pPr>
        <w:tabs>
          <w:tab w:val="left" w:pos="4320"/>
        </w:tabs>
        <w:rPr>
          <w:b/>
          <w:bCs/>
          <w:szCs w:val="24"/>
        </w:rPr>
      </w:pPr>
    </w:p>
    <w:p w:rsidR="00A044B5" w:rsidRPr="00FF4A2C" w:rsidP="00FD13AB" w14:paraId="55508C2C" w14:textId="77777777">
      <w:pPr>
        <w:pStyle w:val="CommentText"/>
        <w:jc w:val="center"/>
        <w:rPr>
          <w:b/>
          <w:bCs/>
        </w:rPr>
      </w:pPr>
    </w:p>
    <w:sectPr w:rsidSect="00CD4AC7">
      <w:footerReference w:type="first" r:id="rId16"/>
      <w:pgSz w:w="12240" w:h="15840"/>
      <w:pgMar w:top="1440" w:right="1800" w:bottom="1440" w:left="1800" w:header="720" w:footer="720" w:gutter="0"/>
      <w:pgNumType w:start="2"/>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2527061"/>
      <w:docPartObj>
        <w:docPartGallery w:val="Page Numbers (Bottom of Page)"/>
        <w:docPartUnique/>
      </w:docPartObj>
    </w:sdtPr>
    <w:sdtEndPr>
      <w:rPr>
        <w:noProof/>
        <w:sz w:val="24"/>
        <w:szCs w:val="24"/>
      </w:rPr>
    </w:sdtEndPr>
    <w:sdtContent>
      <w:p w:rsidR="00457A17" w:rsidRPr="001C0048" w14:paraId="599E17DB" w14:textId="00837978">
        <w:pPr>
          <w:pStyle w:val="Footer"/>
          <w:jc w:val="center"/>
          <w:rPr>
            <w:sz w:val="24"/>
            <w:szCs w:val="24"/>
          </w:rPr>
        </w:pPr>
        <w:r w:rsidRPr="001C0048">
          <w:rPr>
            <w:sz w:val="24"/>
            <w:szCs w:val="24"/>
          </w:rPr>
          <w:fldChar w:fldCharType="begin"/>
        </w:r>
        <w:r w:rsidRPr="001C0048">
          <w:rPr>
            <w:sz w:val="24"/>
            <w:szCs w:val="24"/>
          </w:rPr>
          <w:instrText xml:space="preserve"> PAGE   \* MERGEFORMAT </w:instrText>
        </w:r>
        <w:r w:rsidRPr="001C0048">
          <w:rPr>
            <w:sz w:val="24"/>
            <w:szCs w:val="24"/>
          </w:rPr>
          <w:fldChar w:fldCharType="separate"/>
        </w:r>
        <w:r w:rsidRPr="001C0048">
          <w:rPr>
            <w:noProof/>
            <w:sz w:val="24"/>
            <w:szCs w:val="24"/>
          </w:rPr>
          <w:t>2</w:t>
        </w:r>
        <w:r w:rsidRPr="001C0048">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4AC7" w:rsidRPr="00CD4AC7" w14:paraId="615EA8D8" w14:textId="0A7E7ABE">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2694956"/>
      <w:docPartObj>
        <w:docPartGallery w:val="Page Numbers (Bottom of Page)"/>
        <w:docPartUnique/>
      </w:docPartObj>
    </w:sdtPr>
    <w:sdtEndPr>
      <w:rPr>
        <w:noProof/>
        <w:sz w:val="24"/>
        <w:szCs w:val="24"/>
      </w:rPr>
    </w:sdtEndPr>
    <w:sdtContent>
      <w:p w:rsidR="001C0048" w:rsidRPr="001C0048" w14:paraId="4078C976" w14:textId="40FD5B2A">
        <w:pPr>
          <w:pStyle w:val="Footer"/>
          <w:jc w:val="center"/>
          <w:rPr>
            <w:sz w:val="24"/>
            <w:szCs w:val="24"/>
          </w:rPr>
        </w:pPr>
        <w:r w:rsidRPr="001C0048">
          <w:rPr>
            <w:sz w:val="24"/>
            <w:szCs w:val="24"/>
          </w:rPr>
          <w:fldChar w:fldCharType="begin"/>
        </w:r>
        <w:r w:rsidRPr="001C0048">
          <w:rPr>
            <w:sz w:val="24"/>
            <w:szCs w:val="24"/>
          </w:rPr>
          <w:instrText xml:space="preserve"> PAGE   \* MERGEFORMAT </w:instrText>
        </w:r>
        <w:r w:rsidRPr="001C0048">
          <w:rPr>
            <w:sz w:val="24"/>
            <w:szCs w:val="24"/>
          </w:rPr>
          <w:fldChar w:fldCharType="separate"/>
        </w:r>
        <w:r w:rsidRPr="001C0048">
          <w:rPr>
            <w:noProof/>
            <w:sz w:val="24"/>
            <w:szCs w:val="24"/>
          </w:rPr>
          <w:t>2</w:t>
        </w:r>
        <w:r w:rsidRPr="001C0048">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6611C" w14:paraId="3FE39B1D" w14:textId="77777777">
      <w:r>
        <w:separator/>
      </w:r>
    </w:p>
  </w:footnote>
  <w:footnote w:type="continuationSeparator" w:id="1">
    <w:p w:rsidR="00B6611C" w14:paraId="547FE1D7" w14:textId="77777777">
      <w:r>
        <w:continuationSeparator/>
      </w:r>
    </w:p>
  </w:footnote>
  <w:footnote w:id="2">
    <w:p w:rsidR="00731CCA" w:rsidRPr="00CB6623" w:rsidP="00731CCA" w14:paraId="30873E0E" w14:textId="77777777">
      <w:pPr>
        <w:pStyle w:val="FootnoteText"/>
      </w:pPr>
      <w:r w:rsidRPr="00CB6623">
        <w:rPr>
          <w:rStyle w:val="FootnoteReference"/>
        </w:rPr>
        <w:footnoteRef/>
      </w:r>
      <w:r w:rsidRPr="00CB6623">
        <w:t xml:space="preserve"> Application (Feb. 18, 2021) at ¶</w:t>
      </w:r>
      <w:r>
        <w:t>8</w:t>
      </w:r>
      <w:r w:rsidRPr="00CB6623">
        <w:t xml:space="preserve">. </w:t>
      </w:r>
    </w:p>
  </w:footnote>
  <w:footnote w:id="3">
    <w:p w:rsidR="007E1BFD" w:rsidRPr="00CB6623" w:rsidP="007E1BFD" w14:paraId="26956453" w14:textId="77777777">
      <w:pPr>
        <w:pStyle w:val="FootnoteText"/>
      </w:pPr>
      <w:r w:rsidRPr="00CB6623">
        <w:rPr>
          <w:rStyle w:val="FootnoteReference"/>
        </w:rPr>
        <w:footnoteRef/>
      </w:r>
      <w:r w:rsidRPr="00CB6623">
        <w:t xml:space="preserve"> O.A.C. 4901:1-21-06(D)(1)(h)(iii); O.A.C. 4901:1-29-06(D)(6)(b)(iii).</w:t>
      </w:r>
    </w:p>
  </w:footnote>
  <w:footnote w:id="4">
    <w:p w:rsidR="00CA592D" w14:paraId="6B90FE14" w14:textId="68455662">
      <w:pPr>
        <w:pStyle w:val="FootnoteText"/>
      </w:pPr>
      <w:r>
        <w:rPr>
          <w:rStyle w:val="FootnoteReference"/>
        </w:rPr>
        <w:footnoteRef/>
      </w:r>
      <w:r>
        <w:t xml:space="preserve"> Staff Comments at 4.</w:t>
      </w:r>
    </w:p>
  </w:footnote>
  <w:footnote w:id="5">
    <w:p w:rsidR="007E1BFD" w:rsidP="007E1BFD" w14:paraId="5944BDEF" w14:textId="182E5F51">
      <w:pPr>
        <w:pStyle w:val="FootnoteText"/>
      </w:pPr>
      <w:r>
        <w:rPr>
          <w:rStyle w:val="FootnoteReference"/>
        </w:rPr>
        <w:footnoteRef/>
      </w:r>
      <w:r>
        <w:t xml:space="preserve"> </w:t>
      </w:r>
      <w:r w:rsidRPr="00D57D08">
        <w:rPr>
          <w:i/>
          <w:iCs/>
        </w:rPr>
        <w:t>See</w:t>
      </w:r>
      <w:r>
        <w:t xml:space="preserve">, Consumer Advocates </w:t>
      </w:r>
      <w:r w:rsidR="00E57877">
        <w:t xml:space="preserve">Amended </w:t>
      </w:r>
      <w:r>
        <w:t>Comments</w:t>
      </w:r>
      <w:r w:rsidR="00E57877">
        <w:t xml:space="preserve"> (April 9, 2021)</w:t>
      </w:r>
      <w:r>
        <w:t>.</w:t>
      </w:r>
    </w:p>
  </w:footnote>
  <w:footnote w:id="6">
    <w:p w:rsidR="00D732EE" w:rsidP="00D732EE" w14:paraId="658CF3B1" w14:textId="77777777">
      <w:pPr>
        <w:pStyle w:val="FootnoteText"/>
      </w:pPr>
      <w:r>
        <w:rPr>
          <w:rStyle w:val="FootnoteReference"/>
        </w:rPr>
        <w:footnoteRef/>
      </w:r>
      <w:r>
        <w:t xml:space="preserve"> </w:t>
      </w:r>
      <w:r w:rsidRPr="009212D4">
        <w:rPr>
          <w:i/>
          <w:iCs/>
        </w:rPr>
        <w:t>See</w:t>
      </w:r>
      <w:r>
        <w:t>, Case Nos. 17-1843-EL-ORD and 17-1847-GA-ORD.</w:t>
      </w:r>
    </w:p>
  </w:footnote>
  <w:footnote w:id="7">
    <w:p w:rsidR="00D732EE" w:rsidP="00D732EE" w14:paraId="6B6DBB4B" w14:textId="0C596263">
      <w:pPr>
        <w:pStyle w:val="FootnoteText"/>
      </w:pPr>
      <w:r>
        <w:rPr>
          <w:rStyle w:val="FootnoteReference"/>
        </w:rPr>
        <w:footnoteRef/>
      </w:r>
      <w:r>
        <w:t xml:space="preserve"> </w:t>
      </w:r>
      <w:r w:rsidR="00E57877">
        <w:t>Staff Comments</w:t>
      </w:r>
      <w:r>
        <w:t xml:space="preserve"> at 3. </w:t>
      </w:r>
    </w:p>
  </w:footnote>
  <w:footnote w:id="8">
    <w:p w:rsidR="00C269C2" w:rsidP="00C269C2" w14:paraId="4ABD5C72" w14:textId="77777777">
      <w:pPr>
        <w:pStyle w:val="FootnoteText"/>
      </w:pPr>
      <w:r>
        <w:rPr>
          <w:rStyle w:val="FootnoteReference"/>
        </w:rPr>
        <w:footnoteRef/>
      </w:r>
      <w:r>
        <w:t xml:space="preserve"> </w:t>
      </w:r>
      <w:r w:rsidRPr="007677CE">
        <w:rPr>
          <w:i/>
          <w:iCs/>
        </w:rPr>
        <w:t>Id</w:t>
      </w:r>
      <w:r>
        <w:t>.</w:t>
      </w:r>
    </w:p>
  </w:footnote>
  <w:footnote w:id="9">
    <w:p w:rsidR="00E57877" w:rsidP="00E57877" w14:paraId="0CAE29AE" w14:textId="77777777">
      <w:pPr>
        <w:pStyle w:val="FootnoteText"/>
      </w:pPr>
      <w:r>
        <w:rPr>
          <w:rStyle w:val="FootnoteReference"/>
        </w:rPr>
        <w:footnoteRef/>
      </w:r>
      <w:r>
        <w:t xml:space="preserve"> </w:t>
      </w:r>
      <w:r w:rsidRPr="007677CE">
        <w:rPr>
          <w:i/>
          <w:iCs/>
        </w:rPr>
        <w:t>Id</w:t>
      </w:r>
      <w:r>
        <w:t>. at 4.</w:t>
      </w:r>
    </w:p>
  </w:footnote>
  <w:footnote w:id="10">
    <w:p w:rsidR="008D0850" w:rsidRPr="00CB6623" w:rsidP="008D0850" w14:paraId="0F418347" w14:textId="77777777">
      <w:pPr>
        <w:pStyle w:val="FootnoteText"/>
      </w:pPr>
      <w:r w:rsidRPr="00CB6623">
        <w:rPr>
          <w:rStyle w:val="FootnoteReference"/>
        </w:rPr>
        <w:footnoteRef/>
      </w:r>
      <w:r w:rsidRPr="00CB6623">
        <w:t xml:space="preserve"> O.A.C. 4901:1-21-02(C); O.A.C. 4901:1-29-02(C).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7E658AC"/>
    <w:lvl w:ilvl="0">
      <w:start w:val="1"/>
      <w:numFmt w:val="decimal"/>
      <w:lvlText w:val="%1."/>
      <w:lvlJc w:val="left"/>
      <w:pPr>
        <w:tabs>
          <w:tab w:val="num" w:pos="1800"/>
        </w:tabs>
        <w:ind w:left="1800" w:hanging="360"/>
      </w:pPr>
    </w:lvl>
  </w:abstractNum>
  <w:abstractNum w:abstractNumId="1">
    <w:nsid w:val="FFFFFF7D"/>
    <w:multiLevelType w:val="singleLevel"/>
    <w:tmpl w:val="A7D2C9F6"/>
    <w:lvl w:ilvl="0">
      <w:start w:val="1"/>
      <w:numFmt w:val="decimal"/>
      <w:lvlText w:val="%1."/>
      <w:lvlJc w:val="left"/>
      <w:pPr>
        <w:tabs>
          <w:tab w:val="num" w:pos="1440"/>
        </w:tabs>
        <w:ind w:left="1440" w:hanging="360"/>
      </w:pPr>
    </w:lvl>
  </w:abstractNum>
  <w:abstractNum w:abstractNumId="2">
    <w:nsid w:val="FFFFFF7E"/>
    <w:multiLevelType w:val="singleLevel"/>
    <w:tmpl w:val="43A469C2"/>
    <w:lvl w:ilvl="0">
      <w:start w:val="1"/>
      <w:numFmt w:val="decimal"/>
      <w:lvlText w:val="%1."/>
      <w:lvlJc w:val="left"/>
      <w:pPr>
        <w:tabs>
          <w:tab w:val="num" w:pos="1080"/>
        </w:tabs>
        <w:ind w:left="1080" w:hanging="360"/>
      </w:pPr>
    </w:lvl>
  </w:abstractNum>
  <w:abstractNum w:abstractNumId="3">
    <w:nsid w:val="FFFFFF7F"/>
    <w:multiLevelType w:val="singleLevel"/>
    <w:tmpl w:val="E2B02CCE"/>
    <w:lvl w:ilvl="0">
      <w:start w:val="1"/>
      <w:numFmt w:val="decimal"/>
      <w:lvlText w:val="%1."/>
      <w:lvlJc w:val="left"/>
      <w:pPr>
        <w:tabs>
          <w:tab w:val="num" w:pos="720"/>
        </w:tabs>
        <w:ind w:left="720" w:hanging="360"/>
      </w:pPr>
    </w:lvl>
  </w:abstractNum>
  <w:abstractNum w:abstractNumId="4">
    <w:nsid w:val="FFFFFF80"/>
    <w:multiLevelType w:val="singleLevel"/>
    <w:tmpl w:val="4DFC2E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9C009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B27F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90C9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66243E"/>
    <w:lvl w:ilvl="0">
      <w:start w:val="1"/>
      <w:numFmt w:val="decimal"/>
      <w:lvlText w:val="%1."/>
      <w:lvlJc w:val="left"/>
      <w:pPr>
        <w:tabs>
          <w:tab w:val="num" w:pos="360"/>
        </w:tabs>
        <w:ind w:left="360" w:hanging="360"/>
      </w:pPr>
    </w:lvl>
  </w:abstractNum>
  <w:abstractNum w:abstractNumId="9">
    <w:nsid w:val="FFFFFF89"/>
    <w:multiLevelType w:val="singleLevel"/>
    <w:tmpl w:val="BE66D47C"/>
    <w:lvl w:ilvl="0">
      <w:start w:val="1"/>
      <w:numFmt w:val="bullet"/>
      <w:lvlText w:val=""/>
      <w:lvlJc w:val="left"/>
      <w:pPr>
        <w:tabs>
          <w:tab w:val="num" w:pos="360"/>
        </w:tabs>
        <w:ind w:left="360" w:hanging="360"/>
      </w:pPr>
      <w:rPr>
        <w:rFonts w:ascii="Symbol" w:hAnsi="Symbol" w:hint="default"/>
      </w:rPr>
    </w:lvl>
  </w:abstractNum>
  <w:abstractNum w:abstractNumId="1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03D3481"/>
    <w:multiLevelType w:val="hybridMultilevel"/>
    <w:tmpl w:val="328C72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2725106"/>
    <w:multiLevelType w:val="hybridMultilevel"/>
    <w:tmpl w:val="D22EAB64"/>
    <w:lvl w:ilvl="0">
      <w:start w:val="1"/>
      <w:numFmt w:val="decimal"/>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3">
    <w:nsid w:val="163817A4"/>
    <w:multiLevelType w:val="hybridMultilevel"/>
    <w:tmpl w:val="76286C58"/>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73698D"/>
    <w:multiLevelType w:val="hybridMultilevel"/>
    <w:tmpl w:val="08BA49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E7207DA"/>
    <w:multiLevelType w:val="hybridMultilevel"/>
    <w:tmpl w:val="0A408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DB4128E"/>
    <w:multiLevelType w:val="hybridMultilevel"/>
    <w:tmpl w:val="E2D0E434"/>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640726B8"/>
    <w:multiLevelType w:val="hybridMultilevel"/>
    <w:tmpl w:val="1270B1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7"/>
  </w:num>
  <w:num w:numId="2">
    <w:abstractNumId w:val="16"/>
  </w:num>
  <w:num w:numId="3">
    <w:abstractNumId w:val="21"/>
  </w:num>
  <w:num w:numId="4">
    <w:abstractNumId w:val="19"/>
  </w:num>
  <w:num w:numId="5">
    <w:abstractNumId w:val="10"/>
  </w:num>
  <w:num w:numId="6">
    <w:abstractNumId w:val="2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2"/>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F6"/>
    <w:rsid w:val="00002B44"/>
    <w:rsid w:val="00003398"/>
    <w:rsid w:val="000049BF"/>
    <w:rsid w:val="00004B9E"/>
    <w:rsid w:val="00007533"/>
    <w:rsid w:val="000079A0"/>
    <w:rsid w:val="00011CC9"/>
    <w:rsid w:val="00027ED1"/>
    <w:rsid w:val="00036119"/>
    <w:rsid w:val="000412DA"/>
    <w:rsid w:val="00044FBE"/>
    <w:rsid w:val="0005537E"/>
    <w:rsid w:val="0006155E"/>
    <w:rsid w:val="000630BF"/>
    <w:rsid w:val="00070AE8"/>
    <w:rsid w:val="00075A2B"/>
    <w:rsid w:val="00085876"/>
    <w:rsid w:val="00085E3E"/>
    <w:rsid w:val="00090A31"/>
    <w:rsid w:val="000967BC"/>
    <w:rsid w:val="000A0CEA"/>
    <w:rsid w:val="000A1AEF"/>
    <w:rsid w:val="000A1FB6"/>
    <w:rsid w:val="000C21B1"/>
    <w:rsid w:val="000C316B"/>
    <w:rsid w:val="000C6AA1"/>
    <w:rsid w:val="000D22C5"/>
    <w:rsid w:val="000D4D55"/>
    <w:rsid w:val="000D5C7D"/>
    <w:rsid w:val="000F0E0A"/>
    <w:rsid w:val="000F4943"/>
    <w:rsid w:val="00100D16"/>
    <w:rsid w:val="00103C7F"/>
    <w:rsid w:val="00105FC7"/>
    <w:rsid w:val="001068CE"/>
    <w:rsid w:val="001131B7"/>
    <w:rsid w:val="0011749F"/>
    <w:rsid w:val="00117EE4"/>
    <w:rsid w:val="001316A5"/>
    <w:rsid w:val="00136782"/>
    <w:rsid w:val="00141DF2"/>
    <w:rsid w:val="001430A2"/>
    <w:rsid w:val="00150CFF"/>
    <w:rsid w:val="00155A51"/>
    <w:rsid w:val="00156B1A"/>
    <w:rsid w:val="00164B84"/>
    <w:rsid w:val="00175418"/>
    <w:rsid w:val="00181DBC"/>
    <w:rsid w:val="00195745"/>
    <w:rsid w:val="001B50D8"/>
    <w:rsid w:val="001C0048"/>
    <w:rsid w:val="001C7509"/>
    <w:rsid w:val="001C7C1B"/>
    <w:rsid w:val="001D67F0"/>
    <w:rsid w:val="001E0949"/>
    <w:rsid w:val="001E324B"/>
    <w:rsid w:val="001F3ADF"/>
    <w:rsid w:val="00204D85"/>
    <w:rsid w:val="00215BF1"/>
    <w:rsid w:val="00225E14"/>
    <w:rsid w:val="002278D2"/>
    <w:rsid w:val="00231F6C"/>
    <w:rsid w:val="002373B6"/>
    <w:rsid w:val="00240574"/>
    <w:rsid w:val="00244088"/>
    <w:rsid w:val="00245E20"/>
    <w:rsid w:val="00251DFC"/>
    <w:rsid w:val="00252386"/>
    <w:rsid w:val="00256F6C"/>
    <w:rsid w:val="00257BAB"/>
    <w:rsid w:val="0028136F"/>
    <w:rsid w:val="00281FA9"/>
    <w:rsid w:val="00282E93"/>
    <w:rsid w:val="00285635"/>
    <w:rsid w:val="002A0A45"/>
    <w:rsid w:val="002A691D"/>
    <w:rsid w:val="002C26B5"/>
    <w:rsid w:val="002D295A"/>
    <w:rsid w:val="002D79AE"/>
    <w:rsid w:val="002E2236"/>
    <w:rsid w:val="002E2592"/>
    <w:rsid w:val="002F42AB"/>
    <w:rsid w:val="002F4A72"/>
    <w:rsid w:val="002F4E6B"/>
    <w:rsid w:val="003158E0"/>
    <w:rsid w:val="003228BA"/>
    <w:rsid w:val="003253B3"/>
    <w:rsid w:val="00356C58"/>
    <w:rsid w:val="00366A26"/>
    <w:rsid w:val="00385951"/>
    <w:rsid w:val="00390CD4"/>
    <w:rsid w:val="003A275A"/>
    <w:rsid w:val="003A4F50"/>
    <w:rsid w:val="003A6B0D"/>
    <w:rsid w:val="003B321D"/>
    <w:rsid w:val="003C0B90"/>
    <w:rsid w:val="003C16FC"/>
    <w:rsid w:val="003C6A70"/>
    <w:rsid w:val="003D504E"/>
    <w:rsid w:val="003D6461"/>
    <w:rsid w:val="003E4FF3"/>
    <w:rsid w:val="00405156"/>
    <w:rsid w:val="0040527E"/>
    <w:rsid w:val="00407009"/>
    <w:rsid w:val="00424965"/>
    <w:rsid w:val="004249EE"/>
    <w:rsid w:val="00434ACF"/>
    <w:rsid w:val="00434BA4"/>
    <w:rsid w:val="00435821"/>
    <w:rsid w:val="00440049"/>
    <w:rsid w:val="00441817"/>
    <w:rsid w:val="00442BE3"/>
    <w:rsid w:val="00446D74"/>
    <w:rsid w:val="00447E6D"/>
    <w:rsid w:val="00457A17"/>
    <w:rsid w:val="00464216"/>
    <w:rsid w:val="00466B16"/>
    <w:rsid w:val="00472F2E"/>
    <w:rsid w:val="004834A4"/>
    <w:rsid w:val="00490440"/>
    <w:rsid w:val="004B3AA7"/>
    <w:rsid w:val="004B6405"/>
    <w:rsid w:val="004B6A79"/>
    <w:rsid w:val="004C1D65"/>
    <w:rsid w:val="004C3EBD"/>
    <w:rsid w:val="00515160"/>
    <w:rsid w:val="00521356"/>
    <w:rsid w:val="00526221"/>
    <w:rsid w:val="005424EF"/>
    <w:rsid w:val="00561138"/>
    <w:rsid w:val="00562262"/>
    <w:rsid w:val="00567E35"/>
    <w:rsid w:val="00570283"/>
    <w:rsid w:val="00572AEB"/>
    <w:rsid w:val="0058731E"/>
    <w:rsid w:val="00594618"/>
    <w:rsid w:val="005B4899"/>
    <w:rsid w:val="005B5008"/>
    <w:rsid w:val="005C31F2"/>
    <w:rsid w:val="005E2031"/>
    <w:rsid w:val="005F77E5"/>
    <w:rsid w:val="00612140"/>
    <w:rsid w:val="006131D4"/>
    <w:rsid w:val="006425E4"/>
    <w:rsid w:val="00651C1F"/>
    <w:rsid w:val="00652FD6"/>
    <w:rsid w:val="00654B5D"/>
    <w:rsid w:val="00681261"/>
    <w:rsid w:val="006851AA"/>
    <w:rsid w:val="0069712E"/>
    <w:rsid w:val="006A441E"/>
    <w:rsid w:val="006A7645"/>
    <w:rsid w:val="006C563E"/>
    <w:rsid w:val="006C7F85"/>
    <w:rsid w:val="006D10BF"/>
    <w:rsid w:val="006E0742"/>
    <w:rsid w:val="006E35BA"/>
    <w:rsid w:val="006E3ED6"/>
    <w:rsid w:val="006F2AAB"/>
    <w:rsid w:val="006F5DE1"/>
    <w:rsid w:val="00700015"/>
    <w:rsid w:val="0071082D"/>
    <w:rsid w:val="0071084F"/>
    <w:rsid w:val="0072113C"/>
    <w:rsid w:val="00724230"/>
    <w:rsid w:val="007250BF"/>
    <w:rsid w:val="00731BB6"/>
    <w:rsid w:val="00731CCA"/>
    <w:rsid w:val="00737441"/>
    <w:rsid w:val="00737683"/>
    <w:rsid w:val="00737A77"/>
    <w:rsid w:val="00737E97"/>
    <w:rsid w:val="00740250"/>
    <w:rsid w:val="00744324"/>
    <w:rsid w:val="00745D6B"/>
    <w:rsid w:val="00746825"/>
    <w:rsid w:val="007539CF"/>
    <w:rsid w:val="00762000"/>
    <w:rsid w:val="00766CD3"/>
    <w:rsid w:val="007677CE"/>
    <w:rsid w:val="00774B5F"/>
    <w:rsid w:val="00777BCD"/>
    <w:rsid w:val="00784129"/>
    <w:rsid w:val="00784865"/>
    <w:rsid w:val="007906C9"/>
    <w:rsid w:val="00790EEF"/>
    <w:rsid w:val="00792FCE"/>
    <w:rsid w:val="00795C6D"/>
    <w:rsid w:val="007A1B02"/>
    <w:rsid w:val="007A326F"/>
    <w:rsid w:val="007B7F68"/>
    <w:rsid w:val="007D2E97"/>
    <w:rsid w:val="007D68C7"/>
    <w:rsid w:val="007D712C"/>
    <w:rsid w:val="007E00BD"/>
    <w:rsid w:val="007E0778"/>
    <w:rsid w:val="007E1BFD"/>
    <w:rsid w:val="007E4D11"/>
    <w:rsid w:val="007F6958"/>
    <w:rsid w:val="00807DDD"/>
    <w:rsid w:val="008138E2"/>
    <w:rsid w:val="00817437"/>
    <w:rsid w:val="0082789C"/>
    <w:rsid w:val="00833FCC"/>
    <w:rsid w:val="00837BCC"/>
    <w:rsid w:val="00840E49"/>
    <w:rsid w:val="00846A9A"/>
    <w:rsid w:val="00846F49"/>
    <w:rsid w:val="00851EA1"/>
    <w:rsid w:val="008565A1"/>
    <w:rsid w:val="00862E1A"/>
    <w:rsid w:val="00866410"/>
    <w:rsid w:val="0087310B"/>
    <w:rsid w:val="008A226F"/>
    <w:rsid w:val="008A2D8B"/>
    <w:rsid w:val="008B2C0B"/>
    <w:rsid w:val="008B2F56"/>
    <w:rsid w:val="008B7C1D"/>
    <w:rsid w:val="008C1BBB"/>
    <w:rsid w:val="008C777C"/>
    <w:rsid w:val="008D0850"/>
    <w:rsid w:val="008D178C"/>
    <w:rsid w:val="008D28C5"/>
    <w:rsid w:val="008E2BBF"/>
    <w:rsid w:val="008E56FA"/>
    <w:rsid w:val="008F4A4A"/>
    <w:rsid w:val="00916E01"/>
    <w:rsid w:val="0091735E"/>
    <w:rsid w:val="009212D4"/>
    <w:rsid w:val="00931BF0"/>
    <w:rsid w:val="00934342"/>
    <w:rsid w:val="00936020"/>
    <w:rsid w:val="00943999"/>
    <w:rsid w:val="00943F7A"/>
    <w:rsid w:val="00944C6A"/>
    <w:rsid w:val="0094509A"/>
    <w:rsid w:val="0095367F"/>
    <w:rsid w:val="00963B63"/>
    <w:rsid w:val="009776BA"/>
    <w:rsid w:val="009800EF"/>
    <w:rsid w:val="009834D2"/>
    <w:rsid w:val="00993C8C"/>
    <w:rsid w:val="00994093"/>
    <w:rsid w:val="00997C4C"/>
    <w:rsid w:val="009A0271"/>
    <w:rsid w:val="009A1AD7"/>
    <w:rsid w:val="009B5E6C"/>
    <w:rsid w:val="009C5CE5"/>
    <w:rsid w:val="009D2240"/>
    <w:rsid w:val="009D75F9"/>
    <w:rsid w:val="009D7A93"/>
    <w:rsid w:val="009E25DA"/>
    <w:rsid w:val="00A044B5"/>
    <w:rsid w:val="00A21D2C"/>
    <w:rsid w:val="00A33CE8"/>
    <w:rsid w:val="00A42EB4"/>
    <w:rsid w:val="00A4370C"/>
    <w:rsid w:val="00A44DA6"/>
    <w:rsid w:val="00A458B2"/>
    <w:rsid w:val="00A5111C"/>
    <w:rsid w:val="00A57DB4"/>
    <w:rsid w:val="00A6083E"/>
    <w:rsid w:val="00A65C51"/>
    <w:rsid w:val="00A721A8"/>
    <w:rsid w:val="00A9026A"/>
    <w:rsid w:val="00A94E7A"/>
    <w:rsid w:val="00AA45F5"/>
    <w:rsid w:val="00AC1398"/>
    <w:rsid w:val="00AC6BFD"/>
    <w:rsid w:val="00AD03C5"/>
    <w:rsid w:val="00AD790F"/>
    <w:rsid w:val="00AE7D4D"/>
    <w:rsid w:val="00AF763C"/>
    <w:rsid w:val="00B1783E"/>
    <w:rsid w:val="00B24D7C"/>
    <w:rsid w:val="00B35EB5"/>
    <w:rsid w:val="00B36FE4"/>
    <w:rsid w:val="00B41A14"/>
    <w:rsid w:val="00B57020"/>
    <w:rsid w:val="00B6304F"/>
    <w:rsid w:val="00B64DC1"/>
    <w:rsid w:val="00B6611C"/>
    <w:rsid w:val="00B74C29"/>
    <w:rsid w:val="00B95BF5"/>
    <w:rsid w:val="00BB7483"/>
    <w:rsid w:val="00BC1AB2"/>
    <w:rsid w:val="00BC20E0"/>
    <w:rsid w:val="00BC7306"/>
    <w:rsid w:val="00BD6166"/>
    <w:rsid w:val="00C01C62"/>
    <w:rsid w:val="00C0657B"/>
    <w:rsid w:val="00C073F5"/>
    <w:rsid w:val="00C1020D"/>
    <w:rsid w:val="00C163B0"/>
    <w:rsid w:val="00C259B1"/>
    <w:rsid w:val="00C269C2"/>
    <w:rsid w:val="00C46EBE"/>
    <w:rsid w:val="00C56711"/>
    <w:rsid w:val="00C6427C"/>
    <w:rsid w:val="00C673EE"/>
    <w:rsid w:val="00C7093B"/>
    <w:rsid w:val="00C74081"/>
    <w:rsid w:val="00C93D09"/>
    <w:rsid w:val="00CA35B6"/>
    <w:rsid w:val="00CA592D"/>
    <w:rsid w:val="00CB1B54"/>
    <w:rsid w:val="00CB6623"/>
    <w:rsid w:val="00CC2ACD"/>
    <w:rsid w:val="00CC4A00"/>
    <w:rsid w:val="00CD39FA"/>
    <w:rsid w:val="00CD4AC7"/>
    <w:rsid w:val="00CE1A9D"/>
    <w:rsid w:val="00CF6AE2"/>
    <w:rsid w:val="00D04E76"/>
    <w:rsid w:val="00D17651"/>
    <w:rsid w:val="00D17EE7"/>
    <w:rsid w:val="00D3030E"/>
    <w:rsid w:val="00D30673"/>
    <w:rsid w:val="00D30E51"/>
    <w:rsid w:val="00D41C84"/>
    <w:rsid w:val="00D445A2"/>
    <w:rsid w:val="00D505F7"/>
    <w:rsid w:val="00D53247"/>
    <w:rsid w:val="00D54775"/>
    <w:rsid w:val="00D57D08"/>
    <w:rsid w:val="00D65D02"/>
    <w:rsid w:val="00D732EE"/>
    <w:rsid w:val="00D74BF6"/>
    <w:rsid w:val="00D861CD"/>
    <w:rsid w:val="00D91D39"/>
    <w:rsid w:val="00D94FD8"/>
    <w:rsid w:val="00D956EE"/>
    <w:rsid w:val="00DA48E2"/>
    <w:rsid w:val="00DA5861"/>
    <w:rsid w:val="00DB15B4"/>
    <w:rsid w:val="00DB57E1"/>
    <w:rsid w:val="00DC106F"/>
    <w:rsid w:val="00DD43CA"/>
    <w:rsid w:val="00DD7BB5"/>
    <w:rsid w:val="00DE4B0F"/>
    <w:rsid w:val="00DF1EAF"/>
    <w:rsid w:val="00DF5DA0"/>
    <w:rsid w:val="00DF7BDC"/>
    <w:rsid w:val="00E029F8"/>
    <w:rsid w:val="00E03718"/>
    <w:rsid w:val="00E06036"/>
    <w:rsid w:val="00E21476"/>
    <w:rsid w:val="00E22F4B"/>
    <w:rsid w:val="00E27D0C"/>
    <w:rsid w:val="00E314EA"/>
    <w:rsid w:val="00E34D54"/>
    <w:rsid w:val="00E4532F"/>
    <w:rsid w:val="00E57877"/>
    <w:rsid w:val="00E63E10"/>
    <w:rsid w:val="00E70F8E"/>
    <w:rsid w:val="00E737B4"/>
    <w:rsid w:val="00E75925"/>
    <w:rsid w:val="00E82064"/>
    <w:rsid w:val="00E8318F"/>
    <w:rsid w:val="00E95BC0"/>
    <w:rsid w:val="00EB41D7"/>
    <w:rsid w:val="00EB50EB"/>
    <w:rsid w:val="00EB7EDA"/>
    <w:rsid w:val="00EC49F6"/>
    <w:rsid w:val="00ED7FA5"/>
    <w:rsid w:val="00EE60B0"/>
    <w:rsid w:val="00EF464D"/>
    <w:rsid w:val="00F067A7"/>
    <w:rsid w:val="00F14169"/>
    <w:rsid w:val="00F21E31"/>
    <w:rsid w:val="00F25CEE"/>
    <w:rsid w:val="00F27BC7"/>
    <w:rsid w:val="00F33417"/>
    <w:rsid w:val="00F41ED6"/>
    <w:rsid w:val="00F54354"/>
    <w:rsid w:val="00F6438B"/>
    <w:rsid w:val="00F756EA"/>
    <w:rsid w:val="00F8176C"/>
    <w:rsid w:val="00FA23EC"/>
    <w:rsid w:val="00FB53D7"/>
    <w:rsid w:val="00FB5FC2"/>
    <w:rsid w:val="00FC0E8B"/>
    <w:rsid w:val="00FD13AB"/>
    <w:rsid w:val="00FD2852"/>
    <w:rsid w:val="00FF27E4"/>
    <w:rsid w:val="00FF4A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F5"/>
    <w:rPr>
      <w:sz w:val="24"/>
    </w:rPr>
  </w:style>
  <w:style w:type="paragraph" w:styleId="Heading1">
    <w:name w:val="heading 1"/>
    <w:basedOn w:val="Normal"/>
    <w:next w:val="Normal"/>
    <w:qFormat/>
    <w:rsid w:val="00862E1A"/>
    <w:pPr>
      <w:keepNext/>
      <w:spacing w:after="240"/>
      <w:ind w:left="720" w:hanging="720"/>
      <w:outlineLvl w:val="0"/>
    </w:pPr>
    <w:rPr>
      <w:rFonts w:ascii="Times New Roman Bold" w:hAnsi="Times New Roman Bold"/>
      <w:b/>
      <w:szCs w:val="24"/>
    </w:rPr>
  </w:style>
  <w:style w:type="paragraph" w:styleId="Heading2">
    <w:name w:val="heading 2"/>
    <w:basedOn w:val="Normal"/>
    <w:next w:val="Normal"/>
    <w:qFormat/>
    <w:rsid w:val="00CB6623"/>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qFormat/>
    <w:rsid w:val="00147521"/>
    <w:pPr>
      <w:spacing w:after="120"/>
    </w:pPr>
    <w:rPr>
      <w:sz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317EC2"/>
    <w:rPr>
      <w:color w:val="605E5C"/>
      <w:shd w:val="clear" w:color="auto" w:fill="E1DFDD"/>
    </w:rPr>
  </w:style>
  <w:style w:type="character" w:customStyle="1" w:styleId="BodyTextChar">
    <w:name w:val="Body Text Char"/>
    <w:link w:val="BodyText"/>
    <w:rsid w:val="00147521"/>
    <w:rPr>
      <w:sz w:val="24"/>
    </w:rPr>
  </w:style>
  <w:style w:type="character" w:customStyle="1" w:styleId="BodyTextIndentChar">
    <w:name w:val="Body Text Indent Char"/>
    <w:link w:val="BodyTextIndent"/>
    <w:rsid w:val="00147521"/>
    <w:rPr>
      <w:sz w:val="24"/>
    </w:rPr>
  </w:style>
  <w:style w:type="character" w:customStyle="1" w:styleId="UnresolvedMention2">
    <w:name w:val="Unresolved Mention2"/>
    <w:basedOn w:val="DefaultParagraphFont"/>
    <w:rsid w:val="007906C9"/>
    <w:rPr>
      <w:color w:val="605E5C"/>
      <w:shd w:val="clear" w:color="auto" w:fill="E1DFDD"/>
    </w:rPr>
  </w:style>
  <w:style w:type="character" w:styleId="Strong">
    <w:name w:val="Strong"/>
    <w:basedOn w:val="DefaultParagraphFont"/>
    <w:uiPriority w:val="22"/>
    <w:qFormat/>
    <w:rsid w:val="00FB53D7"/>
    <w:rPr>
      <w:b/>
      <w:bCs/>
    </w:rPr>
  </w:style>
  <w:style w:type="paragraph" w:styleId="ListParagraph">
    <w:name w:val="List Paragraph"/>
    <w:basedOn w:val="Normal"/>
    <w:uiPriority w:val="34"/>
    <w:qFormat/>
    <w:rsid w:val="00D65D02"/>
    <w:pPr>
      <w:ind w:left="720"/>
    </w:pPr>
    <w:rPr>
      <w:rFonts w:ascii="Calibri" w:hAnsi="Calibri" w:eastAsiaTheme="minorHAnsi" w:cs="Calibri"/>
      <w:sz w:val="22"/>
      <w:szCs w:val="22"/>
    </w:rPr>
  </w:style>
  <w:style w:type="character" w:customStyle="1" w:styleId="UnresolvedMention3">
    <w:name w:val="Unresolved Mention3"/>
    <w:basedOn w:val="DefaultParagraphFont"/>
    <w:rsid w:val="00FF4A2C"/>
    <w:rPr>
      <w:color w:val="605E5C"/>
      <w:shd w:val="clear" w:color="auto" w:fill="E1DFDD"/>
    </w:rPr>
  </w:style>
  <w:style w:type="character" w:customStyle="1" w:styleId="CommentTextChar">
    <w:name w:val="Comment Text Char"/>
    <w:basedOn w:val="DefaultParagraphFont"/>
    <w:link w:val="CommentText"/>
    <w:semiHidden/>
    <w:rsid w:val="00FD13AB"/>
    <w:rPr>
      <w:sz w:val="24"/>
      <w:szCs w:val="24"/>
    </w:rPr>
  </w:style>
  <w:style w:type="character" w:customStyle="1" w:styleId="HTMLPreformattedChar">
    <w:name w:val="HTML Preformatted Char"/>
    <w:basedOn w:val="DefaultParagraphFont"/>
    <w:link w:val="HTMLPreformatted"/>
    <w:rsid w:val="00E06036"/>
    <w:rPr>
      <w:rFonts w:ascii="Courier New" w:eastAsia="Courier New" w:hAnsi="Courier New" w:cs="Courier New"/>
    </w:rPr>
  </w:style>
  <w:style w:type="character" w:customStyle="1" w:styleId="FooterChar">
    <w:name w:val="Footer Char"/>
    <w:basedOn w:val="DefaultParagraphFont"/>
    <w:link w:val="Footer"/>
    <w:uiPriority w:val="99"/>
    <w:rsid w:val="00E06036"/>
  </w:style>
  <w:style w:type="paragraph" w:styleId="TOC1">
    <w:name w:val="toc 1"/>
    <w:basedOn w:val="Normal"/>
    <w:next w:val="Normal"/>
    <w:autoRedefine/>
    <w:uiPriority w:val="39"/>
    <w:rsid w:val="00E029F8"/>
    <w:pPr>
      <w:tabs>
        <w:tab w:val="decimal" w:leader="dot" w:pos="9360"/>
      </w:tabs>
      <w:spacing w:after="240"/>
      <w:ind w:left="720" w:hanging="720"/>
    </w:pPr>
  </w:style>
  <w:style w:type="paragraph" w:styleId="TOC2">
    <w:name w:val="toc 2"/>
    <w:basedOn w:val="Normal"/>
    <w:next w:val="Normal"/>
    <w:autoRedefine/>
    <w:uiPriority w:val="39"/>
    <w:rsid w:val="00E029F8"/>
    <w:pPr>
      <w:tabs>
        <w:tab w:val="decimal" w:leader="dot" w:pos="9360"/>
      </w:tabs>
      <w:spacing w:after="240"/>
      <w:ind w:left="1440" w:hanging="720"/>
    </w:pPr>
  </w:style>
  <w:style w:type="character" w:customStyle="1" w:styleId="FootnoteTextChar">
    <w:name w:val="Footnote Text Char"/>
    <w:link w:val="FootnoteText"/>
    <w:rsid w:val="00441817"/>
  </w:style>
  <w:style w:type="character" w:styleId="PlaceholderText">
    <w:name w:val="Placeholder Text"/>
    <w:basedOn w:val="DefaultParagraphFont"/>
    <w:uiPriority w:val="99"/>
    <w:semiHidden/>
    <w:rsid w:val="00204D85"/>
    <w:rPr>
      <w:color w:val="808080"/>
    </w:rPr>
  </w:style>
  <w:style w:type="paragraph" w:styleId="Revision">
    <w:name w:val="Revision"/>
    <w:hidden/>
    <w:uiPriority w:val="99"/>
    <w:semiHidden/>
    <w:rsid w:val="004358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walters@proseniors.org" TargetMode="External" /><Relationship Id="rId11" Type="http://schemas.openxmlformats.org/officeDocument/2006/relationships/hyperlink" Target="mailto:thomas.shepherd@ohioattorneygeneral.gov" TargetMode="External" /><Relationship Id="rId12" Type="http://schemas.openxmlformats.org/officeDocument/2006/relationships/hyperlink" Target="mailto:Thomas.lindgren@ohioattorneygeneral.gov" TargetMode="External" /><Relationship Id="rId13" Type="http://schemas.openxmlformats.org/officeDocument/2006/relationships/hyperlink" Target="mailto:Jacqueline.st.john@puco.ohio.gov" TargetMode="External" /><Relationship Id="rId14" Type="http://schemas.openxmlformats.org/officeDocument/2006/relationships/hyperlink" Target="mailto:whitt@whitt-sturtevant.com" TargetMode="External" /><Relationship Id="rId15" Type="http://schemas.openxmlformats.org/officeDocument/2006/relationships/hyperlink" Target="mailto:fykes@whitt-sturtevant.com" TargetMode="Externa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amy.botschner.obrien@occ.ohio.gov" TargetMode="External" /><Relationship Id="rId9" Type="http://schemas.openxmlformats.org/officeDocument/2006/relationships/hyperlink" Target="mailto:ambrosia.wilson@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4B36-9206-44B1-9877-A206D78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2021-04-22T21:06:47Z</dcterms:created>
  <dcterms:modified xsi:type="dcterms:W3CDTF">2021-04-22T21:06:47Z</dcterms:modified>
</cp:coreProperties>
</file>