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D51A7D" w:rsidRPr="009200C4" w:rsidP="00D51A7D" w14:paraId="755105D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9200C4">
        <w:rPr>
          <w:rFonts w:ascii="Times New Roman" w:hAnsi="Times New Roman" w:cs="Times New Roman"/>
          <w:b/>
          <w:bCs/>
          <w:sz w:val="24"/>
          <w:szCs w:val="24"/>
        </w:rPr>
        <w:t>BEFORE</w:t>
      </w:r>
    </w:p>
    <w:p w:rsidR="00D51A7D" w:rsidRPr="009200C4" w:rsidP="00D51A7D" w14:paraId="40591BA3" w14:textId="77777777">
      <w:pPr>
        <w:pStyle w:val="HTMLPreformatted"/>
        <w:jc w:val="center"/>
        <w:rPr>
          <w:rFonts w:ascii="Times New Roman" w:hAnsi="Times New Roman" w:cs="Times New Roman"/>
          <w:b/>
          <w:bCs/>
          <w:sz w:val="24"/>
          <w:szCs w:val="24"/>
        </w:rPr>
      </w:pPr>
      <w:r w:rsidRPr="009200C4">
        <w:rPr>
          <w:rFonts w:ascii="Times New Roman" w:hAnsi="Times New Roman" w:cs="Times New Roman"/>
          <w:b/>
          <w:bCs/>
          <w:sz w:val="24"/>
          <w:szCs w:val="24"/>
        </w:rPr>
        <w:t>THE PUBLIC UTILITIES COMMISSION OF OHIO</w:t>
      </w:r>
    </w:p>
    <w:p w:rsidR="00D51A7D" w:rsidRPr="009200C4" w:rsidP="00D51A7D" w14:paraId="35861E99" w14:textId="77777777">
      <w:pPr>
        <w:pStyle w:val="HTMLPreformatted"/>
        <w:jc w:val="center"/>
        <w:rPr>
          <w:rFonts w:ascii="Times New Roman" w:hAnsi="Times New Roman" w:cs="Times New Roman"/>
          <w:b/>
          <w:bCs/>
          <w:sz w:val="24"/>
          <w:szCs w:val="24"/>
        </w:rPr>
      </w:pPr>
    </w:p>
    <w:tbl>
      <w:tblPr>
        <w:tblW w:w="8838" w:type="dxa"/>
        <w:tblInd w:w="-108" w:type="dxa"/>
        <w:tblCellMar>
          <w:top w:w="0" w:type="dxa"/>
          <w:left w:w="108" w:type="dxa"/>
          <w:bottom w:w="0" w:type="dxa"/>
          <w:right w:w="108" w:type="dxa"/>
        </w:tblCellMar>
        <w:tblLook w:val="01E0"/>
      </w:tblPr>
      <w:tblGrid>
        <w:gridCol w:w="4237"/>
        <w:gridCol w:w="551"/>
        <w:gridCol w:w="4050"/>
      </w:tblGrid>
      <w:tr w14:paraId="0DB90AF6" w14:textId="77777777" w:rsidTr="0092723E">
        <w:tblPrEx>
          <w:tblW w:w="8838" w:type="dxa"/>
          <w:tblInd w:w="-108" w:type="dxa"/>
          <w:tblCellMar>
            <w:top w:w="0" w:type="dxa"/>
            <w:left w:w="108" w:type="dxa"/>
            <w:bottom w:w="0" w:type="dxa"/>
            <w:right w:w="108" w:type="dxa"/>
          </w:tblCellMar>
          <w:tblLook w:val="01E0"/>
        </w:tblPrEx>
        <w:trPr>
          <w:trHeight w:val="807"/>
        </w:trPr>
        <w:tc>
          <w:tcPr>
            <w:tcW w:w="4237" w:type="dxa"/>
            <w:shd w:val="clear" w:color="auto" w:fill="auto"/>
          </w:tcPr>
          <w:p w:rsidR="00BF3FDD" w:rsidP="0092723E" w14:paraId="33423618" w14:textId="77777777">
            <w:pPr>
              <w:adjustRightInd w:val="0"/>
              <w:spacing w:after="0" w:line="240" w:lineRule="auto"/>
              <w:rPr>
                <w:rFonts w:ascii="Times New Roman" w:hAnsi="Times New Roman" w:eastAsiaTheme="minorHAnsi" w:cstheme="minorBidi"/>
                <w:sz w:val="24"/>
                <w:szCs w:val="22"/>
                <w:lang w:val="en-US" w:eastAsia="en-US" w:bidi="ar-SA"/>
              </w:rPr>
            </w:pPr>
            <w:r>
              <w:rPr>
                <w:rFonts w:ascii="Times New Roman" w:hAnsi="Times New Roman" w:eastAsiaTheme="minorHAnsi" w:cstheme="minorBidi"/>
                <w:sz w:val="24"/>
                <w:szCs w:val="22"/>
                <w:lang w:val="en-US" w:eastAsia="en-US" w:bidi="ar-SA"/>
              </w:rPr>
              <w:t xml:space="preserve">In the Matter of the 2020 Review of the Delivery Capital Recovery Rider of Ohio Edison Company, the Cleveland Electric Illuminating Company, and the Toledo Edison Company. </w:t>
            </w:r>
          </w:p>
        </w:tc>
        <w:tc>
          <w:tcPr>
            <w:tcW w:w="551" w:type="dxa"/>
            <w:shd w:val="clear" w:color="auto" w:fill="auto"/>
          </w:tcPr>
          <w:p w:rsidR="00BF3FDD" w:rsidP="0092723E" w14:paraId="0E2216C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BF3FDD" w:rsidP="0092723E" w14:paraId="4CD0A4E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BF3FDD" w:rsidP="0092723E" w14:paraId="7B52751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BF3FDD" w:rsidP="0092723E" w14:paraId="2562473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BF3FDD" w:rsidP="0092723E" w14:paraId="4653302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tc>
        <w:tc>
          <w:tcPr>
            <w:tcW w:w="4050" w:type="dxa"/>
            <w:shd w:val="clear" w:color="auto" w:fill="auto"/>
          </w:tcPr>
          <w:p w:rsidR="00BF3FDD" w:rsidP="0092723E" w14:paraId="006ADE8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BF3FDD" w:rsidP="0092723E" w14:paraId="1EE68CE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Case No. 20-1629-EL-RDR</w:t>
            </w:r>
          </w:p>
        </w:tc>
      </w:tr>
    </w:tbl>
    <w:p w:rsidR="00D51A7D" w:rsidRPr="009200C4" w:rsidP="00D51A7D" w14:paraId="50A2A5EA" w14:textId="77777777">
      <w:pPr>
        <w:pStyle w:val="HTMLPreformatted"/>
        <w:jc w:val="center"/>
        <w:rPr>
          <w:rFonts w:ascii="Times New Roman" w:hAnsi="Times New Roman" w:cs="Times New Roman"/>
          <w:b/>
          <w:bCs/>
          <w:sz w:val="24"/>
          <w:szCs w:val="24"/>
        </w:rPr>
      </w:pPr>
    </w:p>
    <w:p w:rsidR="00D51A7D" w:rsidRPr="009200C4" w:rsidP="00D51A7D" w14:paraId="0AC3EDAF" w14:textId="77777777">
      <w:pPr>
        <w:pStyle w:val="HTMLPreformatted"/>
        <w:pBdr>
          <w:top w:val="single" w:sz="12" w:space="1" w:color="auto"/>
        </w:pBdr>
        <w:rPr>
          <w:rFonts w:ascii="Times New Roman" w:hAnsi="Times New Roman" w:cs="Times New Roman"/>
          <w:sz w:val="24"/>
          <w:szCs w:val="24"/>
        </w:rPr>
      </w:pPr>
    </w:p>
    <w:p w:rsidR="00D51A7D" w:rsidRPr="009200C4" w:rsidP="00D51A7D" w14:paraId="198206BA" w14:textId="77777777">
      <w:pPr>
        <w:widowControl w:val="0"/>
        <w:jc w:val="center"/>
        <w:rPr>
          <w:rFonts w:cs="Times New Roman"/>
          <w:b/>
          <w:szCs w:val="24"/>
        </w:rPr>
      </w:pPr>
      <w:r w:rsidRPr="009200C4">
        <w:rPr>
          <w:rFonts w:cs="Times New Roman"/>
          <w:b/>
          <w:szCs w:val="24"/>
        </w:rPr>
        <w:t xml:space="preserve">APPLICATION FOR REHEARING </w:t>
      </w:r>
    </w:p>
    <w:p w:rsidR="00D51A7D" w:rsidRPr="009200C4" w:rsidP="00D51A7D" w14:paraId="2C48D13B" w14:textId="77777777">
      <w:pPr>
        <w:widowControl w:val="0"/>
        <w:jc w:val="center"/>
        <w:rPr>
          <w:rFonts w:cs="Times New Roman"/>
          <w:b/>
          <w:szCs w:val="24"/>
        </w:rPr>
      </w:pPr>
      <w:r w:rsidRPr="009200C4">
        <w:rPr>
          <w:rFonts w:cs="Times New Roman"/>
          <w:b/>
          <w:szCs w:val="24"/>
        </w:rPr>
        <w:t>BY</w:t>
      </w:r>
    </w:p>
    <w:p w:rsidR="00D51A7D" w:rsidRPr="009200C4" w:rsidP="00D51A7D" w14:paraId="008F9F1A" w14:textId="77777777">
      <w:pPr>
        <w:jc w:val="center"/>
        <w:rPr>
          <w:rFonts w:cs="Times New Roman"/>
          <w:b/>
          <w:szCs w:val="24"/>
        </w:rPr>
      </w:pPr>
      <w:r w:rsidRPr="009200C4">
        <w:rPr>
          <w:rFonts w:cs="Times New Roman"/>
          <w:b/>
          <w:szCs w:val="24"/>
        </w:rPr>
        <w:t>OFFICE OF THE OHIO CONSUMERS’ COUNSEL</w:t>
      </w:r>
    </w:p>
    <w:p w:rsidR="00D51A7D" w:rsidRPr="009200C4" w:rsidP="00D51A7D" w14:paraId="20D753AE" w14:textId="77777777">
      <w:pPr>
        <w:pBdr>
          <w:bottom w:val="single" w:sz="12" w:space="1" w:color="auto"/>
        </w:pBdr>
        <w:autoSpaceDE w:val="0"/>
        <w:autoSpaceDN w:val="0"/>
        <w:adjustRightInd w:val="0"/>
        <w:jc w:val="center"/>
        <w:rPr>
          <w:rFonts w:eastAsia="Calibri" w:cs="Times New Roman"/>
          <w:b/>
          <w:bCs/>
          <w:szCs w:val="24"/>
        </w:rPr>
      </w:pPr>
    </w:p>
    <w:p w:rsidR="001A0CD2" w:rsidRPr="009200C4" w:rsidP="00104F2D" w14:paraId="62003CE7" w14:textId="77777777">
      <w:pPr>
        <w:rPr>
          <w:rFonts w:cs="Times New Roman"/>
          <w:szCs w:val="24"/>
        </w:rPr>
      </w:pPr>
    </w:p>
    <w:p w:rsidR="00E11E83" w:rsidRPr="009200C4" w:rsidP="00104F2D" w14:paraId="512C4AA8" w14:textId="77777777">
      <w:pPr>
        <w:rPr>
          <w:rFonts w:cs="Times New Roman"/>
          <w:szCs w:val="24"/>
        </w:rPr>
      </w:pPr>
    </w:p>
    <w:p w:rsidR="0040485B" w:rsidRPr="009200C4" w:rsidP="00700A3F" w14:paraId="1F0C4244" w14:textId="77777777">
      <w:pPr>
        <w:widowControl w:val="0"/>
        <w:ind w:left="4320"/>
        <w:rPr>
          <w:rFonts w:eastAsia="Calibri" w:cs="Times New Roman"/>
          <w:szCs w:val="24"/>
        </w:rPr>
      </w:pPr>
      <w:r w:rsidRPr="009200C4">
        <w:rPr>
          <w:rFonts w:eastAsia="Calibri" w:cs="Times New Roman"/>
          <w:szCs w:val="24"/>
        </w:rPr>
        <w:t xml:space="preserve">Maureen R. Willis (0020847) </w:t>
      </w:r>
    </w:p>
    <w:p w:rsidR="00104F2D" w:rsidRPr="009200C4" w:rsidP="00700A3F" w14:paraId="711FCE21" w14:textId="77777777">
      <w:pPr>
        <w:widowControl w:val="0"/>
        <w:ind w:left="4320"/>
        <w:rPr>
          <w:rFonts w:cs="Times New Roman"/>
          <w:szCs w:val="24"/>
        </w:rPr>
      </w:pPr>
      <w:r w:rsidRPr="009200C4">
        <w:rPr>
          <w:rFonts w:cs="Times New Roman"/>
          <w:szCs w:val="24"/>
        </w:rPr>
        <w:t>Ohio Consumers’ Counsel</w:t>
      </w:r>
    </w:p>
    <w:p w:rsidR="00104F2D" w:rsidRPr="009200C4" w:rsidP="00700A3F" w14:paraId="6C33B1A3" w14:textId="77777777">
      <w:pPr>
        <w:widowControl w:val="0"/>
        <w:ind w:left="4320"/>
        <w:rPr>
          <w:rFonts w:cs="Times New Roman"/>
          <w:szCs w:val="24"/>
        </w:rPr>
      </w:pPr>
      <w:r w:rsidRPr="009200C4">
        <w:rPr>
          <w:rFonts w:cs="Times New Roman"/>
          <w:szCs w:val="24"/>
        </w:rPr>
        <w:t xml:space="preserve"> </w:t>
      </w:r>
    </w:p>
    <w:p w:rsidR="00700A3F" w:rsidRPr="000B3D50" w:rsidP="00700A3F" w14:paraId="7950A5AE" w14:textId="77777777">
      <w:pPr>
        <w:ind w:left="4320"/>
        <w:rPr>
          <w:rFonts w:eastAsia="Calibri"/>
        </w:rPr>
      </w:pPr>
      <w:r w:rsidRPr="000B3D50">
        <w:rPr>
          <w:rFonts w:eastAsia="Calibri"/>
        </w:rPr>
        <w:t>William J. Michael (0070921)</w:t>
      </w:r>
    </w:p>
    <w:p w:rsidR="00700A3F" w:rsidRPr="000B3D50" w:rsidP="00700A3F" w14:paraId="25F0F73A" w14:textId="77777777">
      <w:pPr>
        <w:ind w:left="4320"/>
        <w:rPr>
          <w:rFonts w:eastAsia="Calibri"/>
        </w:rPr>
      </w:pPr>
      <w:r w:rsidRPr="000B3D50">
        <w:rPr>
          <w:rFonts w:eastAsia="Calibri"/>
        </w:rPr>
        <w:t xml:space="preserve">Counsel of Record </w:t>
      </w:r>
    </w:p>
    <w:p w:rsidR="00700A3F" w:rsidRPr="000B3D50" w:rsidP="00700A3F" w14:paraId="28493F05" w14:textId="77777777">
      <w:pPr>
        <w:ind w:left="4320"/>
        <w:rPr>
          <w:rFonts w:eastAsia="Calibri"/>
        </w:rPr>
      </w:pPr>
      <w:r w:rsidRPr="000B3D50">
        <w:rPr>
          <w:rFonts w:eastAsia="Calibri"/>
        </w:rPr>
        <w:t>Assistant Consumers’ Counsel</w:t>
      </w:r>
    </w:p>
    <w:p w:rsidR="00700A3F" w:rsidRPr="000B3D50" w:rsidP="00700A3F" w14:paraId="1D035938" w14:textId="77777777">
      <w:pPr>
        <w:suppressLineNumbers/>
        <w:tabs>
          <w:tab w:val="left" w:pos="2776"/>
        </w:tabs>
        <w:ind w:left="4320"/>
        <w:rPr>
          <w:rFonts w:eastAsia="Times New Roman"/>
        </w:rPr>
      </w:pPr>
      <w:r w:rsidRPr="000B3D50">
        <w:rPr>
          <w:rFonts w:eastAsia="Times New Roman"/>
        </w:rPr>
        <w:tab/>
      </w:r>
    </w:p>
    <w:p w:rsidR="00700A3F" w:rsidRPr="000B3D50" w:rsidP="00700A3F" w14:paraId="248267E0" w14:textId="77777777">
      <w:pPr>
        <w:suppressLineNumbers/>
        <w:tabs>
          <w:tab w:val="left" w:pos="2776"/>
        </w:tabs>
        <w:ind w:left="4320"/>
        <w:rPr>
          <w:rFonts w:eastAsia="Times New Roman"/>
          <w:b/>
        </w:rPr>
      </w:pPr>
      <w:r w:rsidRPr="000B3D50">
        <w:rPr>
          <w:rFonts w:eastAsia="Times New Roman"/>
          <w:b/>
        </w:rPr>
        <w:t>Office of the Ohio Consumers’ Counsel</w:t>
      </w:r>
    </w:p>
    <w:p w:rsidR="00700A3F" w:rsidRPr="000B3D50" w:rsidP="00700A3F" w14:paraId="39D7CE7F" w14:textId="77777777">
      <w:pPr>
        <w:suppressLineNumbers/>
        <w:tabs>
          <w:tab w:val="left" w:pos="2776"/>
        </w:tabs>
        <w:ind w:left="4320"/>
        <w:rPr>
          <w:rFonts w:eastAsia="Times New Roman"/>
          <w:bCs/>
        </w:rPr>
      </w:pPr>
      <w:r w:rsidRPr="000B3D50">
        <w:rPr>
          <w:rFonts w:eastAsia="Times New Roman"/>
        </w:rPr>
        <w:t>65 East State Street, Suite 700</w:t>
      </w:r>
    </w:p>
    <w:p w:rsidR="00700A3F" w:rsidRPr="000B3D50" w:rsidP="00700A3F" w14:paraId="2719BAFA" w14:textId="77777777">
      <w:pPr>
        <w:suppressLineNumbers/>
        <w:tabs>
          <w:tab w:val="left" w:pos="2776"/>
        </w:tabs>
        <w:ind w:left="4320"/>
        <w:rPr>
          <w:rFonts w:eastAsia="Times New Roman"/>
          <w:bCs/>
        </w:rPr>
      </w:pPr>
      <w:r w:rsidRPr="000B3D50">
        <w:rPr>
          <w:rFonts w:eastAsia="Times New Roman"/>
        </w:rPr>
        <w:t>Columbus, Ohio 43215</w:t>
      </w:r>
    </w:p>
    <w:p w:rsidR="00700A3F" w:rsidRPr="000B3D50" w:rsidP="00700A3F" w14:paraId="2126BE52" w14:textId="77777777">
      <w:pPr>
        <w:adjustRightInd w:val="0"/>
        <w:ind w:left="4320"/>
        <w:rPr>
          <w:rFonts w:eastAsia="Calibri"/>
        </w:rPr>
      </w:pPr>
      <w:r w:rsidRPr="000B3D50">
        <w:rPr>
          <w:rFonts w:eastAsia="Calibri"/>
        </w:rPr>
        <w:t>Telephone [Michael]: (614) 466-1291</w:t>
      </w:r>
    </w:p>
    <w:p w:rsidR="00700A3F" w:rsidRPr="000B3D50" w:rsidP="00700A3F" w14:paraId="66601DCA" w14:textId="77777777">
      <w:pPr>
        <w:adjustRightInd w:val="0"/>
        <w:ind w:left="4320"/>
        <w:rPr>
          <w:rFonts w:eastAsia="Calibri"/>
          <w:color w:val="0000FF"/>
        </w:rPr>
      </w:pPr>
      <w:hyperlink r:id="rId6" w:history="1">
        <w:r w:rsidRPr="00CC008C">
          <w:rPr>
            <w:rStyle w:val="Hyperlink"/>
            <w:rFonts w:eastAsia="Calibri"/>
            <w:color w:val="0000FF"/>
          </w:rPr>
          <w:t>w</w:t>
        </w:r>
        <w:r w:rsidRPr="000B3D50">
          <w:rPr>
            <w:rStyle w:val="Hyperlink"/>
            <w:rFonts w:eastAsia="Calibri"/>
            <w:color w:val="0000FF"/>
          </w:rPr>
          <w:t>illiam.</w:t>
        </w:r>
        <w:r w:rsidRPr="00CC008C">
          <w:rPr>
            <w:rStyle w:val="Hyperlink"/>
            <w:rFonts w:eastAsia="Calibri"/>
            <w:color w:val="0000FF"/>
          </w:rPr>
          <w:t>m</w:t>
        </w:r>
        <w:r w:rsidRPr="000B3D50">
          <w:rPr>
            <w:rStyle w:val="Hyperlink"/>
            <w:rFonts w:eastAsia="Calibri"/>
            <w:color w:val="0000FF"/>
          </w:rPr>
          <w:t>ichael@occ.ohio.gov</w:t>
        </w:r>
      </w:hyperlink>
    </w:p>
    <w:p w:rsidR="00104F2D" w:rsidRPr="009200C4" w:rsidP="00700A3F" w14:paraId="5C44EA32" w14:textId="47654D32">
      <w:pPr>
        <w:ind w:left="4320" w:hanging="4320"/>
        <w:rPr>
          <w:rFonts w:cs="Times New Roman"/>
          <w:szCs w:val="24"/>
        </w:rPr>
      </w:pPr>
      <w:r w:rsidRPr="009200C4">
        <w:rPr>
          <w:rFonts w:eastAsia="Calibri" w:cs="Times New Roman"/>
          <w:szCs w:val="24"/>
        </w:rPr>
        <w:t>November 17, 2023</w:t>
      </w:r>
      <w:r w:rsidRPr="009200C4">
        <w:rPr>
          <w:rFonts w:cs="Times New Roman"/>
          <w:szCs w:val="24"/>
        </w:rPr>
        <w:tab/>
      </w:r>
      <w:r w:rsidRPr="009200C4" w:rsidR="003F44AF">
        <w:rPr>
          <w:rFonts w:eastAsia="Calibri" w:cs="Times New Roman"/>
          <w:szCs w:val="24"/>
        </w:rPr>
        <w:t>(willing to accept service by email)</w:t>
      </w:r>
    </w:p>
    <w:p w:rsidR="001A0CD2" w:rsidRPr="009200C4" w:rsidP="00FE6F3F" w14:paraId="6441692C" w14:textId="77777777">
      <w:pPr>
        <w:ind w:left="4320" w:hanging="4320"/>
        <w:rPr>
          <w:rFonts w:eastAsia="Calibri" w:cs="Times New Roman"/>
          <w:szCs w:val="24"/>
        </w:rPr>
      </w:pPr>
    </w:p>
    <w:p w:rsidR="001A0CD2" w:rsidRPr="009200C4" w:rsidP="00FE6F3F" w14:paraId="30F65F61" w14:textId="77777777">
      <w:pPr>
        <w:ind w:left="4320" w:hanging="4320"/>
        <w:rPr>
          <w:rFonts w:eastAsia="Calibri" w:cs="Times New Roman"/>
          <w:szCs w:val="24"/>
        </w:rPr>
      </w:pPr>
    </w:p>
    <w:p w:rsidR="001A0CD2" w:rsidRPr="009200C4" w:rsidP="00FE6F3F" w14:paraId="3B3FBF53" w14:textId="77777777">
      <w:pPr>
        <w:ind w:left="4320" w:hanging="4320"/>
        <w:rPr>
          <w:rFonts w:eastAsia="Calibri" w:cs="Times New Roman"/>
          <w:szCs w:val="24"/>
        </w:rPr>
      </w:pPr>
    </w:p>
    <w:p w:rsidR="001A0CD2" w:rsidRPr="009200C4" w:rsidP="00FE6F3F" w14:paraId="4C144941" w14:textId="77777777">
      <w:pPr>
        <w:ind w:left="4320" w:hanging="4320"/>
        <w:rPr>
          <w:rFonts w:eastAsia="Calibri" w:cs="Times New Roman"/>
          <w:szCs w:val="24"/>
        </w:rPr>
      </w:pPr>
    </w:p>
    <w:p w:rsidR="00104F2D" w:rsidRPr="009200C4" w:rsidP="00104F2D" w14:paraId="376018D6" w14:textId="5AD976B3">
      <w:pPr>
        <w:tabs>
          <w:tab w:val="left" w:pos="4836"/>
        </w:tabs>
        <w:rPr>
          <w:rFonts w:eastAsia="Courier New" w:cs="Times New Roman"/>
          <w:b/>
          <w:bCs/>
          <w:szCs w:val="24"/>
        </w:rPr>
      </w:pPr>
    </w:p>
    <w:p w:rsidR="00104F2D" w:rsidRPr="009200C4" w:rsidP="00104F2D" w14:paraId="024A3E9F" w14:textId="0030DA4C">
      <w:pPr>
        <w:tabs>
          <w:tab w:val="left" w:pos="4836"/>
        </w:tabs>
        <w:rPr>
          <w:rFonts w:cs="Times New Roman"/>
          <w:szCs w:val="24"/>
        </w:rPr>
        <w:sectPr w:rsidSect="004521E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r w:rsidRPr="009200C4">
        <w:rPr>
          <w:rFonts w:cs="Times New Roman"/>
          <w:szCs w:val="24"/>
        </w:rPr>
        <w:tab/>
      </w:r>
    </w:p>
    <w:p w:rsidR="00AA2C9E" w:rsidRPr="009200C4" w:rsidP="00AA2C9E" w14:paraId="1EA41CAA"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9200C4">
        <w:rPr>
          <w:rFonts w:ascii="Times New Roman" w:hAnsi="Times New Roman" w:cs="Times New Roman"/>
          <w:b/>
          <w:bCs/>
          <w:sz w:val="24"/>
          <w:szCs w:val="24"/>
        </w:rPr>
        <w:t>BEFORE</w:t>
      </w:r>
    </w:p>
    <w:p w:rsidR="00AA2C9E" w:rsidRPr="009200C4" w:rsidP="00AA2C9E" w14:paraId="18EC71F6" w14:textId="77777777">
      <w:pPr>
        <w:pStyle w:val="HTMLPreformatted"/>
        <w:jc w:val="center"/>
        <w:rPr>
          <w:rFonts w:ascii="Times New Roman" w:hAnsi="Times New Roman" w:cs="Times New Roman"/>
          <w:b/>
          <w:bCs/>
          <w:sz w:val="24"/>
          <w:szCs w:val="24"/>
        </w:rPr>
      </w:pPr>
      <w:r w:rsidRPr="009200C4">
        <w:rPr>
          <w:rFonts w:ascii="Times New Roman" w:hAnsi="Times New Roman" w:cs="Times New Roman"/>
          <w:b/>
          <w:bCs/>
          <w:sz w:val="24"/>
          <w:szCs w:val="24"/>
        </w:rPr>
        <w:t>THE PUBLIC UTILITIES COMMISSION OF OHIO</w:t>
      </w:r>
    </w:p>
    <w:p w:rsidR="00AA2C9E" w:rsidRPr="009200C4" w:rsidP="00AA2C9E" w14:paraId="41DCB9CB" w14:textId="77777777">
      <w:pPr>
        <w:pStyle w:val="HTMLPreformatted"/>
        <w:jc w:val="center"/>
        <w:rPr>
          <w:rFonts w:ascii="Times New Roman" w:hAnsi="Times New Roman" w:cs="Times New Roman"/>
          <w:b/>
          <w:bCs/>
          <w:sz w:val="24"/>
          <w:szCs w:val="24"/>
        </w:rPr>
      </w:pPr>
    </w:p>
    <w:tbl>
      <w:tblPr>
        <w:tblW w:w="8838" w:type="dxa"/>
        <w:tblInd w:w="-108" w:type="dxa"/>
        <w:tblCellMar>
          <w:top w:w="0" w:type="dxa"/>
          <w:left w:w="108" w:type="dxa"/>
          <w:bottom w:w="0" w:type="dxa"/>
          <w:right w:w="108" w:type="dxa"/>
        </w:tblCellMar>
        <w:tblLook w:val="01E0"/>
      </w:tblPr>
      <w:tblGrid>
        <w:gridCol w:w="4237"/>
        <w:gridCol w:w="551"/>
        <w:gridCol w:w="4050"/>
      </w:tblGrid>
      <w:tr w14:paraId="308F4AD9" w14:textId="77777777" w:rsidTr="0092723E">
        <w:tblPrEx>
          <w:tblW w:w="8838" w:type="dxa"/>
          <w:tblInd w:w="-108" w:type="dxa"/>
          <w:tblCellMar>
            <w:top w:w="0" w:type="dxa"/>
            <w:left w:w="108" w:type="dxa"/>
            <w:bottom w:w="0" w:type="dxa"/>
            <w:right w:w="108" w:type="dxa"/>
          </w:tblCellMar>
          <w:tblLook w:val="01E0"/>
        </w:tblPrEx>
        <w:trPr>
          <w:trHeight w:val="807"/>
        </w:trPr>
        <w:tc>
          <w:tcPr>
            <w:tcW w:w="4237" w:type="dxa"/>
            <w:shd w:val="clear" w:color="auto" w:fill="auto"/>
          </w:tcPr>
          <w:p w:rsidR="00180325" w:rsidP="0092723E" w14:paraId="5ABBD434" w14:textId="77777777">
            <w:pPr>
              <w:adjustRightInd w:val="0"/>
              <w:spacing w:after="0" w:line="240" w:lineRule="auto"/>
              <w:rPr>
                <w:rFonts w:ascii="Times New Roman" w:hAnsi="Times New Roman" w:eastAsiaTheme="minorHAnsi" w:cstheme="minorBidi"/>
                <w:sz w:val="24"/>
                <w:szCs w:val="22"/>
                <w:lang w:val="en-US" w:eastAsia="en-US" w:bidi="ar-SA"/>
              </w:rPr>
            </w:pPr>
            <w:r>
              <w:rPr>
                <w:rFonts w:ascii="Times New Roman" w:hAnsi="Times New Roman" w:eastAsiaTheme="minorHAnsi" w:cstheme="minorBidi"/>
                <w:sz w:val="24"/>
                <w:szCs w:val="22"/>
                <w:lang w:val="en-US" w:eastAsia="en-US" w:bidi="ar-SA"/>
              </w:rPr>
              <w:t xml:space="preserve">In the Matter of the 2020 Review of the Delivery Capital Recovery Rider of Ohio Edison Company, the Cleveland Electric Illuminating Company, and the Toledo Edison Company. </w:t>
            </w:r>
          </w:p>
        </w:tc>
        <w:tc>
          <w:tcPr>
            <w:tcW w:w="551" w:type="dxa"/>
            <w:shd w:val="clear" w:color="auto" w:fill="auto"/>
          </w:tcPr>
          <w:p w:rsidR="00180325" w:rsidP="0092723E" w14:paraId="72C8BB7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180325" w:rsidP="0092723E" w14:paraId="19CC964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180325" w:rsidP="0092723E" w14:paraId="58ADF7B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180325" w:rsidP="0092723E" w14:paraId="2505CE4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180325" w:rsidP="0092723E" w14:paraId="6AC636C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tc>
        <w:tc>
          <w:tcPr>
            <w:tcW w:w="4050" w:type="dxa"/>
            <w:shd w:val="clear" w:color="auto" w:fill="auto"/>
          </w:tcPr>
          <w:p w:rsidR="00180325" w:rsidP="0092723E" w14:paraId="512F6B3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180325" w:rsidP="0092723E" w14:paraId="23312CC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Case No. 20-1629-EL-RDR</w:t>
            </w:r>
          </w:p>
        </w:tc>
      </w:tr>
    </w:tbl>
    <w:p w:rsidR="00AA2C9E" w:rsidRPr="009200C4" w:rsidP="00AA2C9E" w14:paraId="54D809CC" w14:textId="77777777">
      <w:pPr>
        <w:pStyle w:val="HTMLPreformatted"/>
        <w:jc w:val="center"/>
        <w:rPr>
          <w:rFonts w:ascii="Times New Roman" w:hAnsi="Times New Roman" w:cs="Times New Roman"/>
          <w:b/>
          <w:bCs/>
          <w:sz w:val="24"/>
          <w:szCs w:val="24"/>
        </w:rPr>
      </w:pPr>
    </w:p>
    <w:p w:rsidR="00AA2C9E" w:rsidRPr="009200C4" w:rsidP="00AA2C9E" w14:paraId="17CF80E3" w14:textId="77777777">
      <w:pPr>
        <w:pStyle w:val="HTMLPreformatted"/>
        <w:pBdr>
          <w:top w:val="single" w:sz="12" w:space="1" w:color="auto"/>
        </w:pBdr>
        <w:rPr>
          <w:rFonts w:ascii="Times New Roman" w:hAnsi="Times New Roman" w:cs="Times New Roman"/>
          <w:sz w:val="24"/>
          <w:szCs w:val="24"/>
        </w:rPr>
      </w:pPr>
    </w:p>
    <w:p w:rsidR="00820C7F" w:rsidRPr="009200C4" w:rsidP="00820C7F" w14:paraId="11ED5B27" w14:textId="77777777">
      <w:pPr>
        <w:widowControl w:val="0"/>
        <w:jc w:val="center"/>
        <w:rPr>
          <w:rFonts w:cs="Times New Roman"/>
          <w:b/>
          <w:szCs w:val="24"/>
        </w:rPr>
      </w:pPr>
      <w:r w:rsidRPr="009200C4">
        <w:rPr>
          <w:rFonts w:cs="Times New Roman"/>
          <w:b/>
          <w:szCs w:val="24"/>
        </w:rPr>
        <w:t xml:space="preserve">APPLICATION FOR REHEARING </w:t>
      </w:r>
    </w:p>
    <w:p w:rsidR="00AA2C9E" w:rsidRPr="009200C4" w:rsidP="00AA2C9E" w14:paraId="4D9F4BA5" w14:textId="77777777">
      <w:pPr>
        <w:widowControl w:val="0"/>
        <w:jc w:val="center"/>
        <w:rPr>
          <w:rFonts w:cs="Times New Roman"/>
          <w:b/>
          <w:szCs w:val="24"/>
        </w:rPr>
      </w:pPr>
      <w:r w:rsidRPr="009200C4">
        <w:rPr>
          <w:rFonts w:cs="Times New Roman"/>
          <w:b/>
          <w:szCs w:val="24"/>
        </w:rPr>
        <w:t>BY</w:t>
      </w:r>
    </w:p>
    <w:p w:rsidR="00AA2C9E" w:rsidRPr="009200C4" w:rsidP="00AA2C9E" w14:paraId="7325D94C" w14:textId="77777777">
      <w:pPr>
        <w:jc w:val="center"/>
        <w:rPr>
          <w:rFonts w:cs="Times New Roman"/>
          <w:b/>
          <w:szCs w:val="24"/>
        </w:rPr>
      </w:pPr>
      <w:r w:rsidRPr="009200C4">
        <w:rPr>
          <w:rFonts w:cs="Times New Roman"/>
          <w:b/>
          <w:szCs w:val="24"/>
        </w:rPr>
        <w:t>OFFICE OF THE OHIO CONSUMERS’ COUNSEL</w:t>
      </w:r>
    </w:p>
    <w:p w:rsidR="00AA2C9E" w:rsidRPr="009200C4" w:rsidP="00AA2C9E" w14:paraId="0E0E2915" w14:textId="77777777">
      <w:pPr>
        <w:pBdr>
          <w:bottom w:val="single" w:sz="12" w:space="1" w:color="auto"/>
        </w:pBdr>
        <w:autoSpaceDE w:val="0"/>
        <w:autoSpaceDN w:val="0"/>
        <w:adjustRightInd w:val="0"/>
        <w:jc w:val="center"/>
        <w:rPr>
          <w:rFonts w:eastAsia="Calibri" w:cs="Times New Roman"/>
          <w:b/>
          <w:bCs/>
          <w:szCs w:val="24"/>
        </w:rPr>
      </w:pPr>
    </w:p>
    <w:p w:rsidR="00AC4E56" w:rsidRPr="009200C4" w:rsidP="00AC4E56" w14:paraId="09185A00" w14:textId="77777777">
      <w:pPr>
        <w:kinsoku w:val="0"/>
        <w:overflowPunct w:val="0"/>
        <w:autoSpaceDE w:val="0"/>
        <w:autoSpaceDN w:val="0"/>
        <w:adjustRightInd w:val="0"/>
        <w:rPr>
          <w:rFonts w:cs="Times New Roman"/>
          <w:szCs w:val="24"/>
        </w:rPr>
      </w:pPr>
    </w:p>
    <w:p w:rsidR="00924A23" w:rsidRPr="009200C4" w:rsidP="00B62DF2" w14:paraId="286A3AB9" w14:textId="39D202F0">
      <w:pPr>
        <w:spacing w:line="480" w:lineRule="auto"/>
        <w:ind w:firstLine="720"/>
        <w:rPr>
          <w:rFonts w:cs="Times New Roman"/>
          <w:szCs w:val="24"/>
        </w:rPr>
      </w:pPr>
      <w:bookmarkStart w:id="0" w:name="_Toc128394973"/>
      <w:r w:rsidRPr="009200C4">
        <w:rPr>
          <w:rFonts w:cs="Times New Roman"/>
          <w:szCs w:val="24"/>
        </w:rPr>
        <w:t xml:space="preserve">On </w:t>
      </w:r>
      <w:r w:rsidRPr="009200C4" w:rsidR="003F44AF">
        <w:rPr>
          <w:rFonts w:cs="Times New Roman"/>
          <w:szCs w:val="24"/>
        </w:rPr>
        <w:t>October 18</w:t>
      </w:r>
      <w:r w:rsidRPr="009200C4">
        <w:rPr>
          <w:rFonts w:cs="Times New Roman"/>
          <w:szCs w:val="24"/>
        </w:rPr>
        <w:t xml:space="preserve">, 2023, the PUCO </w:t>
      </w:r>
      <w:r w:rsidRPr="009200C4" w:rsidR="003F44AF">
        <w:rPr>
          <w:rFonts w:cs="Times New Roman"/>
          <w:szCs w:val="24"/>
        </w:rPr>
        <w:t>denied OCC’s application for rehearing concerning</w:t>
      </w:r>
      <w:r w:rsidRPr="009200C4">
        <w:rPr>
          <w:rFonts w:cs="Times New Roman"/>
          <w:szCs w:val="24"/>
        </w:rPr>
        <w:t xml:space="preserve"> </w:t>
      </w:r>
      <w:r w:rsidRPr="009200C4" w:rsidR="00ED700D">
        <w:rPr>
          <w:rFonts w:cs="Times New Roman"/>
          <w:szCs w:val="24"/>
        </w:rPr>
        <w:t>a third</w:t>
      </w:r>
      <w:r w:rsidRPr="009200C4">
        <w:rPr>
          <w:rFonts w:cs="Times New Roman"/>
          <w:szCs w:val="24"/>
        </w:rPr>
        <w:t xml:space="preserve"> stay </w:t>
      </w:r>
      <w:r w:rsidRPr="009200C4" w:rsidR="007F69EB">
        <w:rPr>
          <w:rFonts w:cs="Times New Roman"/>
          <w:szCs w:val="24"/>
        </w:rPr>
        <w:t xml:space="preserve">it ordered </w:t>
      </w:r>
      <w:r w:rsidRPr="009200C4">
        <w:rPr>
          <w:rFonts w:cs="Times New Roman"/>
          <w:szCs w:val="24"/>
        </w:rPr>
        <w:t xml:space="preserve">of its </w:t>
      </w:r>
      <w:r w:rsidRPr="009200C4" w:rsidR="005D4E29">
        <w:rPr>
          <w:rFonts w:cs="Times New Roman"/>
          <w:szCs w:val="24"/>
        </w:rPr>
        <w:t xml:space="preserve">four FirstEnergy </w:t>
      </w:r>
      <w:r w:rsidRPr="009200C4">
        <w:rPr>
          <w:rFonts w:cs="Times New Roman"/>
          <w:szCs w:val="24"/>
        </w:rPr>
        <w:t>investigations</w:t>
      </w:r>
      <w:r w:rsidRPr="009200C4" w:rsidR="003C4762">
        <w:rPr>
          <w:rFonts w:cs="Times New Roman"/>
          <w:szCs w:val="24"/>
        </w:rPr>
        <w:t xml:space="preserve"> (</w:t>
      </w:r>
      <w:r w:rsidRPr="009200C4" w:rsidR="005D4E29">
        <w:rPr>
          <w:rFonts w:cs="Times New Roman"/>
          <w:szCs w:val="24"/>
        </w:rPr>
        <w:t xml:space="preserve">initiated largely in response to </w:t>
      </w:r>
      <w:r w:rsidRPr="009200C4" w:rsidR="004D0EED">
        <w:rPr>
          <w:rFonts w:cs="Times New Roman"/>
          <w:szCs w:val="24"/>
        </w:rPr>
        <w:t>OCC’s requests)</w:t>
      </w:r>
      <w:r w:rsidRPr="009200C4" w:rsidR="003A4819">
        <w:rPr>
          <w:rFonts w:cs="Times New Roman"/>
          <w:szCs w:val="24"/>
        </w:rPr>
        <w:t>.</w:t>
      </w:r>
      <w:r w:rsidRPr="009200C4">
        <w:rPr>
          <w:rFonts w:cs="Times New Roman"/>
          <w:szCs w:val="24"/>
        </w:rPr>
        <w:t xml:space="preserve"> With its </w:t>
      </w:r>
      <w:r w:rsidRPr="009200C4" w:rsidR="00D519C4">
        <w:rPr>
          <w:rFonts w:cs="Times New Roman"/>
          <w:szCs w:val="24"/>
        </w:rPr>
        <w:t>Entry</w:t>
      </w:r>
      <w:r w:rsidRPr="009200C4">
        <w:rPr>
          <w:rFonts w:cs="Times New Roman"/>
          <w:szCs w:val="24"/>
        </w:rPr>
        <w:t xml:space="preserve">, the PUCO will have </w:t>
      </w:r>
      <w:r w:rsidRPr="009200C4" w:rsidR="009118A9">
        <w:rPr>
          <w:rFonts w:cs="Times New Roman"/>
          <w:szCs w:val="24"/>
        </w:rPr>
        <w:t xml:space="preserve">denied </w:t>
      </w:r>
      <w:r w:rsidRPr="009200C4" w:rsidR="00D519C4">
        <w:rPr>
          <w:rFonts w:cs="Times New Roman"/>
          <w:szCs w:val="24"/>
        </w:rPr>
        <w:t xml:space="preserve">millions of Ohio utility </w:t>
      </w:r>
      <w:r w:rsidRPr="009200C4" w:rsidR="00F26073">
        <w:rPr>
          <w:rFonts w:cs="Times New Roman"/>
          <w:szCs w:val="24"/>
        </w:rPr>
        <w:t xml:space="preserve">consumers </w:t>
      </w:r>
      <w:r w:rsidRPr="009200C4">
        <w:rPr>
          <w:rFonts w:cs="Times New Roman"/>
          <w:szCs w:val="24"/>
        </w:rPr>
        <w:t>much</w:t>
      </w:r>
      <w:r w:rsidRPr="009200C4" w:rsidR="00D519C4">
        <w:rPr>
          <w:rFonts w:cs="Times New Roman"/>
          <w:szCs w:val="24"/>
        </w:rPr>
        <w:t>-</w:t>
      </w:r>
      <w:r w:rsidRPr="009200C4">
        <w:rPr>
          <w:rFonts w:cs="Times New Roman"/>
          <w:szCs w:val="24"/>
        </w:rPr>
        <w:t xml:space="preserve">needed answers from FirstEnergy </w:t>
      </w:r>
      <w:r w:rsidRPr="009200C4" w:rsidR="00F26073">
        <w:rPr>
          <w:rFonts w:cs="Times New Roman"/>
          <w:szCs w:val="24"/>
        </w:rPr>
        <w:t xml:space="preserve">(and others) </w:t>
      </w:r>
      <w:r w:rsidRPr="009200C4">
        <w:rPr>
          <w:rFonts w:cs="Times New Roman"/>
          <w:szCs w:val="24"/>
        </w:rPr>
        <w:t>for a year and a half.</w:t>
      </w:r>
      <w:r w:rsidRPr="009200C4" w:rsidR="00D82DE7">
        <w:rPr>
          <w:rFonts w:cs="Times New Roman"/>
          <w:szCs w:val="24"/>
        </w:rPr>
        <w:t xml:space="preserve"> </w:t>
      </w:r>
      <w:r w:rsidRPr="009200C4" w:rsidR="00D64780">
        <w:rPr>
          <w:rFonts w:cs="Times New Roman"/>
          <w:szCs w:val="24"/>
        </w:rPr>
        <w:t>OCC’s ability to investigate is stayed. But FirstEnergy’s ability to seek more rate increases is not stayed. The PUCO’s use of stays is asymmetrical, in favor of FirstEnergy and to the disfavor of consumers.</w:t>
      </w:r>
    </w:p>
    <w:p w:rsidR="00272299" w:rsidRPr="009200C4" w:rsidP="003A4819" w14:paraId="6406E24E" w14:textId="6AB0A436">
      <w:pPr>
        <w:spacing w:line="480" w:lineRule="auto"/>
        <w:ind w:firstLine="720"/>
        <w:rPr>
          <w:rFonts w:cs="Times New Roman"/>
          <w:szCs w:val="24"/>
        </w:rPr>
      </w:pPr>
      <w:r w:rsidRPr="009200C4">
        <w:rPr>
          <w:rFonts w:cs="Times New Roman"/>
          <w:szCs w:val="24"/>
        </w:rPr>
        <w:t xml:space="preserve">OCC </w:t>
      </w:r>
      <w:r w:rsidRPr="009200C4" w:rsidR="00833918">
        <w:rPr>
          <w:rFonts w:cs="Times New Roman"/>
          <w:szCs w:val="24"/>
        </w:rPr>
        <w:t>seeks</w:t>
      </w:r>
      <w:r w:rsidRPr="009200C4" w:rsidR="00EB04F5">
        <w:rPr>
          <w:rFonts w:cs="Times New Roman"/>
          <w:szCs w:val="24"/>
        </w:rPr>
        <w:t xml:space="preserve"> rehearing </w:t>
      </w:r>
      <w:r w:rsidRPr="009200C4" w:rsidR="00833918">
        <w:rPr>
          <w:rFonts w:cs="Times New Roman"/>
          <w:szCs w:val="24"/>
        </w:rPr>
        <w:t xml:space="preserve">of the PUCO’s </w:t>
      </w:r>
      <w:r w:rsidRPr="009200C4" w:rsidR="00EB04F5">
        <w:rPr>
          <w:rFonts w:cs="Times New Roman"/>
          <w:szCs w:val="24"/>
        </w:rPr>
        <w:t>Entry</w:t>
      </w:r>
      <w:r w:rsidRPr="009200C4">
        <w:rPr>
          <w:rFonts w:cs="Times New Roman"/>
          <w:szCs w:val="24"/>
        </w:rPr>
        <w:t xml:space="preserve"> </w:t>
      </w:r>
      <w:r w:rsidRPr="009200C4" w:rsidR="009F77A3">
        <w:rPr>
          <w:rFonts w:cs="Times New Roman"/>
          <w:szCs w:val="24"/>
        </w:rPr>
        <w:t xml:space="preserve">that </w:t>
      </w:r>
      <w:r w:rsidRPr="009200C4" w:rsidR="00D848AA">
        <w:rPr>
          <w:rFonts w:cs="Times New Roman"/>
          <w:szCs w:val="24"/>
        </w:rPr>
        <w:t>den</w:t>
      </w:r>
      <w:r w:rsidRPr="009200C4" w:rsidR="009F77A3">
        <w:rPr>
          <w:rFonts w:cs="Times New Roman"/>
          <w:szCs w:val="24"/>
        </w:rPr>
        <w:t xml:space="preserve">ied OCC’s alternative request that, if the PUCO continues to stay the FirstEnergy investigation, it should </w:t>
      </w:r>
      <w:r w:rsidRPr="009200C4" w:rsidR="00D848AA">
        <w:rPr>
          <w:rFonts w:cs="Times New Roman"/>
          <w:szCs w:val="24"/>
        </w:rPr>
        <w:t>stay FirstEnergy</w:t>
      </w:r>
      <w:r w:rsidRPr="009200C4" w:rsidR="009E7ABE">
        <w:rPr>
          <w:rFonts w:cs="Times New Roman"/>
          <w:szCs w:val="24"/>
        </w:rPr>
        <w:t>’s efforts to increase rates to consumers through its two grid modernization</w:t>
      </w:r>
      <w:r w:rsidRPr="009200C4" w:rsidR="009F09B8">
        <w:rPr>
          <w:rFonts w:cs="Times New Roman"/>
          <w:szCs w:val="24"/>
        </w:rPr>
        <w:t xml:space="preserve"> </w:t>
      </w:r>
      <w:r w:rsidRPr="009200C4" w:rsidR="000A38A5">
        <w:rPr>
          <w:rFonts w:cs="Times New Roman"/>
          <w:szCs w:val="24"/>
        </w:rPr>
        <w:t>cases</w:t>
      </w:r>
      <w:r w:rsidRPr="009200C4" w:rsidR="004C4DAE">
        <w:rPr>
          <w:rFonts w:cs="Times New Roman"/>
          <w:szCs w:val="24"/>
        </w:rPr>
        <w:t xml:space="preserve"> and its </w:t>
      </w:r>
      <w:r w:rsidRPr="009200C4" w:rsidR="009F77A3">
        <w:rPr>
          <w:rFonts w:cs="Times New Roman"/>
          <w:szCs w:val="24"/>
        </w:rPr>
        <w:t xml:space="preserve">fifth </w:t>
      </w:r>
      <w:r w:rsidRPr="009200C4" w:rsidR="004C4DAE">
        <w:rPr>
          <w:rFonts w:cs="Times New Roman"/>
          <w:szCs w:val="24"/>
        </w:rPr>
        <w:t>electric security plan</w:t>
      </w:r>
      <w:r w:rsidRPr="009200C4" w:rsidR="000A38A5">
        <w:rPr>
          <w:rFonts w:cs="Times New Roman"/>
          <w:szCs w:val="24"/>
        </w:rPr>
        <w:t>.</w:t>
      </w:r>
      <w:r w:rsidRPr="009200C4" w:rsidR="00F26073">
        <w:rPr>
          <w:rFonts w:cs="Times New Roman"/>
          <w:szCs w:val="24"/>
        </w:rPr>
        <w:t xml:space="preserve"> </w:t>
      </w:r>
      <w:r w:rsidRPr="009200C4" w:rsidR="009F77A3">
        <w:rPr>
          <w:rFonts w:cs="Times New Roman"/>
          <w:szCs w:val="24"/>
        </w:rPr>
        <w:t>T</w:t>
      </w:r>
      <w:r w:rsidRPr="009200C4" w:rsidR="00D30A64">
        <w:rPr>
          <w:rFonts w:cs="Times New Roman"/>
          <w:szCs w:val="24"/>
        </w:rPr>
        <w:t>he</w:t>
      </w:r>
      <w:r w:rsidRPr="009200C4" w:rsidR="00085141">
        <w:rPr>
          <w:rFonts w:cs="Times New Roman"/>
          <w:szCs w:val="24"/>
        </w:rPr>
        <w:t xml:space="preserve"> PUCO’s Entry</w:t>
      </w:r>
      <w:r w:rsidRPr="009200C4" w:rsidR="00D30A64">
        <w:rPr>
          <w:rFonts w:cs="Times New Roman"/>
          <w:szCs w:val="24"/>
        </w:rPr>
        <w:t xml:space="preserve"> is</w:t>
      </w:r>
      <w:r w:rsidRPr="009200C4" w:rsidR="00085141">
        <w:rPr>
          <w:rFonts w:cs="Times New Roman"/>
          <w:szCs w:val="24"/>
        </w:rPr>
        <w:t xml:space="preserve"> </w:t>
      </w:r>
      <w:r w:rsidRPr="009200C4" w:rsidR="00A62862">
        <w:rPr>
          <w:rFonts w:cs="Times New Roman"/>
          <w:szCs w:val="24"/>
        </w:rPr>
        <w:t xml:space="preserve">unjust, </w:t>
      </w:r>
      <w:r w:rsidRPr="009200C4" w:rsidR="00085141">
        <w:rPr>
          <w:rFonts w:cs="Times New Roman"/>
          <w:szCs w:val="24"/>
        </w:rPr>
        <w:t xml:space="preserve">unreasonable and unlawful in the following respects: </w:t>
      </w:r>
    </w:p>
    <w:p w:rsidR="00272299" w:rsidRPr="009200C4" w:rsidP="00EB04F5" w14:paraId="2ACB8B57" w14:textId="27B4F9AB">
      <w:pPr>
        <w:rPr>
          <w:rFonts w:cs="Times New Roman"/>
          <w:b/>
          <w:bCs/>
          <w:szCs w:val="24"/>
        </w:rPr>
      </w:pPr>
      <w:r w:rsidRPr="009200C4">
        <w:rPr>
          <w:rFonts w:cs="Times New Roman"/>
          <w:b/>
          <w:bCs/>
          <w:szCs w:val="24"/>
        </w:rPr>
        <w:t xml:space="preserve">ASSIGNMENT OF ERROR NO. </w:t>
      </w:r>
      <w:r w:rsidRPr="009200C4" w:rsidR="003F44AF">
        <w:rPr>
          <w:rFonts w:cs="Times New Roman"/>
          <w:b/>
          <w:bCs/>
          <w:szCs w:val="24"/>
        </w:rPr>
        <w:t>1</w:t>
      </w:r>
      <w:r w:rsidRPr="009200C4">
        <w:rPr>
          <w:rFonts w:cs="Times New Roman"/>
          <w:b/>
          <w:bCs/>
          <w:szCs w:val="24"/>
        </w:rPr>
        <w:t xml:space="preserve">: </w:t>
      </w:r>
      <w:r w:rsidRPr="009200C4" w:rsidR="0040485B">
        <w:rPr>
          <w:rFonts w:cs="Times New Roman"/>
          <w:b/>
          <w:bCs/>
          <w:szCs w:val="24"/>
        </w:rPr>
        <w:t xml:space="preserve">The PUCO </w:t>
      </w:r>
      <w:r w:rsidRPr="009200C4" w:rsidR="00952834">
        <w:rPr>
          <w:rFonts w:cs="Times New Roman"/>
          <w:b/>
          <w:bCs/>
          <w:szCs w:val="24"/>
        </w:rPr>
        <w:t xml:space="preserve">acted </w:t>
      </w:r>
      <w:r w:rsidRPr="009200C4" w:rsidR="009F77A3">
        <w:rPr>
          <w:rFonts w:cs="Times New Roman"/>
          <w:b/>
          <w:bCs/>
          <w:szCs w:val="24"/>
        </w:rPr>
        <w:t>unreasonably in</w:t>
      </w:r>
      <w:r w:rsidRPr="009200C4" w:rsidR="00952834">
        <w:rPr>
          <w:rFonts w:cs="Times New Roman"/>
          <w:b/>
          <w:bCs/>
          <w:szCs w:val="24"/>
        </w:rPr>
        <w:t xml:space="preserve"> </w:t>
      </w:r>
      <w:r w:rsidRPr="009200C4" w:rsidR="000A38A5">
        <w:rPr>
          <w:rFonts w:cs="Times New Roman"/>
          <w:b/>
          <w:bCs/>
          <w:szCs w:val="24"/>
        </w:rPr>
        <w:t xml:space="preserve">denying OCC’s request to stay </w:t>
      </w:r>
      <w:r w:rsidRPr="009200C4" w:rsidR="002D4833">
        <w:rPr>
          <w:rFonts w:cs="Times New Roman"/>
          <w:b/>
          <w:bCs/>
          <w:szCs w:val="24"/>
        </w:rPr>
        <w:t xml:space="preserve">FirstEnergy’s </w:t>
      </w:r>
      <w:r w:rsidRPr="009200C4" w:rsidR="00C539C7">
        <w:rPr>
          <w:rFonts w:cs="Times New Roman"/>
          <w:b/>
          <w:bCs/>
          <w:szCs w:val="24"/>
        </w:rPr>
        <w:t xml:space="preserve">fifth electric security plan case and </w:t>
      </w:r>
      <w:r w:rsidRPr="009200C4" w:rsidR="002D4833">
        <w:rPr>
          <w:rFonts w:cs="Times New Roman"/>
          <w:b/>
          <w:bCs/>
          <w:szCs w:val="24"/>
        </w:rPr>
        <w:t>grid modernization cases</w:t>
      </w:r>
      <w:r w:rsidRPr="009200C4" w:rsidR="00571C83">
        <w:rPr>
          <w:rFonts w:cs="Times New Roman"/>
          <w:b/>
          <w:bCs/>
          <w:szCs w:val="24"/>
        </w:rPr>
        <w:t xml:space="preserve"> based on</w:t>
      </w:r>
      <w:r w:rsidRPr="009200C4" w:rsidR="009F77A3">
        <w:rPr>
          <w:rFonts w:cs="Times New Roman"/>
          <w:b/>
          <w:bCs/>
          <w:szCs w:val="24"/>
        </w:rPr>
        <w:t xml:space="preserve"> its</w:t>
      </w:r>
      <w:r w:rsidRPr="009200C4" w:rsidR="00881BA7">
        <w:rPr>
          <w:rFonts w:cs="Times New Roman"/>
          <w:b/>
          <w:bCs/>
          <w:szCs w:val="24"/>
        </w:rPr>
        <w:t xml:space="preserve"> </w:t>
      </w:r>
      <w:r w:rsidRPr="009200C4" w:rsidR="00571C83">
        <w:rPr>
          <w:rFonts w:cs="Times New Roman"/>
          <w:b/>
          <w:bCs/>
          <w:szCs w:val="24"/>
        </w:rPr>
        <w:t xml:space="preserve">finding </w:t>
      </w:r>
      <w:r w:rsidRPr="009200C4" w:rsidR="00952834">
        <w:rPr>
          <w:rFonts w:cs="Times New Roman"/>
          <w:b/>
          <w:bCs/>
          <w:szCs w:val="24"/>
        </w:rPr>
        <w:t>that the</w:t>
      </w:r>
      <w:r w:rsidRPr="009200C4" w:rsidR="004C4DAE">
        <w:rPr>
          <w:rFonts w:cs="Times New Roman"/>
          <w:b/>
          <w:bCs/>
          <w:szCs w:val="24"/>
        </w:rPr>
        <w:t xml:space="preserve"> FirstEnergy ESP V and the </w:t>
      </w:r>
      <w:r w:rsidRPr="009200C4" w:rsidR="00952834">
        <w:rPr>
          <w:rFonts w:cs="Times New Roman"/>
          <w:b/>
          <w:bCs/>
          <w:szCs w:val="24"/>
        </w:rPr>
        <w:t>Grid Mod I and II cases “are completely unrelated to H.B. 6 and OCC presents no rational basis for a delay.”</w:t>
      </w:r>
      <w:r>
        <w:rPr>
          <w:rStyle w:val="FootnoteReference"/>
          <w:rFonts w:cs="Times New Roman"/>
          <w:b/>
          <w:bCs/>
          <w:szCs w:val="24"/>
        </w:rPr>
        <w:footnoteReference w:id="2"/>
      </w:r>
      <w:r w:rsidRPr="009200C4" w:rsidR="00952834">
        <w:rPr>
          <w:rFonts w:cs="Times New Roman"/>
          <w:szCs w:val="24"/>
        </w:rPr>
        <w:t xml:space="preserve"> </w:t>
      </w:r>
      <w:r w:rsidRPr="009200C4" w:rsidR="00FC22B4">
        <w:rPr>
          <w:rFonts w:cs="Times New Roman"/>
          <w:b/>
          <w:bCs/>
          <w:szCs w:val="24"/>
        </w:rPr>
        <w:t xml:space="preserve">The PUCO failed to </w:t>
      </w:r>
      <w:r w:rsidRPr="009200C4" w:rsidR="00881BA7">
        <w:rPr>
          <w:rFonts w:cs="Times New Roman"/>
          <w:b/>
          <w:bCs/>
          <w:szCs w:val="24"/>
        </w:rPr>
        <w:t>address OCC’s stay request under the six part balancing test applied earlier to the U.S. Attorney’s stay requests.</w:t>
      </w:r>
      <w:r w:rsidRPr="009200C4" w:rsidR="00D82DE7">
        <w:rPr>
          <w:rFonts w:cs="Times New Roman"/>
          <w:b/>
          <w:bCs/>
          <w:szCs w:val="24"/>
        </w:rPr>
        <w:t xml:space="preserve"> </w:t>
      </w:r>
    </w:p>
    <w:p w:rsidR="009B3ECF" w:rsidRPr="009200C4" w:rsidP="00EB04F5" w14:paraId="42D97F83" w14:textId="77777777">
      <w:pPr>
        <w:rPr>
          <w:rFonts w:cs="Times New Roman"/>
          <w:szCs w:val="24"/>
        </w:rPr>
      </w:pPr>
    </w:p>
    <w:p w:rsidR="009B3ECF" w:rsidRPr="009200C4" w:rsidP="00EB04F5" w14:paraId="6EE3D846" w14:textId="3BE07E21">
      <w:pPr>
        <w:rPr>
          <w:rFonts w:cs="Times New Roman"/>
          <w:b/>
          <w:bCs/>
          <w:szCs w:val="24"/>
        </w:rPr>
      </w:pPr>
      <w:r w:rsidRPr="009200C4">
        <w:rPr>
          <w:rFonts w:cs="Times New Roman"/>
          <w:b/>
          <w:bCs/>
          <w:szCs w:val="24"/>
        </w:rPr>
        <w:t>ASSIGNMENT OF ERROR NO. 2:</w:t>
      </w:r>
      <w:r w:rsidRPr="009200C4" w:rsidR="00D82DE7">
        <w:rPr>
          <w:rFonts w:cs="Times New Roman"/>
          <w:b/>
          <w:bCs/>
          <w:szCs w:val="24"/>
        </w:rPr>
        <w:t xml:space="preserve"> </w:t>
      </w:r>
      <w:r w:rsidRPr="009200C4">
        <w:rPr>
          <w:rFonts w:cs="Times New Roman"/>
          <w:b/>
          <w:bCs/>
          <w:szCs w:val="24"/>
        </w:rPr>
        <w:t xml:space="preserve">The PUCO acted unreasonably in concluding that delaying FirstEnergy’s ESP would be “highly improper and may ultimately harm the very customers of FirstEnergy represented by OCC.” </w:t>
      </w:r>
    </w:p>
    <w:p w:rsidR="000E0D98" w:rsidRPr="009200C4" w:rsidP="00EB04F5" w14:paraId="4658126C" w14:textId="77777777">
      <w:pPr>
        <w:rPr>
          <w:rFonts w:cs="Times New Roman"/>
          <w:szCs w:val="24"/>
        </w:rPr>
      </w:pPr>
    </w:p>
    <w:p w:rsidR="00924A23" w:rsidRPr="009200C4" w:rsidP="00924A23" w14:paraId="6A53BF1A" w14:textId="44C0CCC8">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OCC asks the PUCO to modify on rehearing its </w:t>
      </w:r>
      <w:r w:rsidRPr="009200C4" w:rsidR="003F44AF">
        <w:rPr>
          <w:rFonts w:cs="Times New Roman"/>
          <w:szCs w:val="24"/>
        </w:rPr>
        <w:t>October 18</w:t>
      </w:r>
      <w:r w:rsidRPr="009200C4">
        <w:rPr>
          <w:rFonts w:cs="Times New Roman"/>
          <w:szCs w:val="24"/>
        </w:rPr>
        <w:t>, 2023 Entry</w:t>
      </w:r>
      <w:r w:rsidRPr="009200C4" w:rsidR="00D82500">
        <w:rPr>
          <w:rFonts w:cs="Times New Roman"/>
          <w:szCs w:val="24"/>
        </w:rPr>
        <w:t xml:space="preserve">. The PUCO should </w:t>
      </w:r>
      <w:r w:rsidRPr="009200C4">
        <w:rPr>
          <w:rFonts w:cs="Times New Roman"/>
          <w:szCs w:val="24"/>
        </w:rPr>
        <w:t xml:space="preserve">stay FirstEnergy’s </w:t>
      </w:r>
      <w:r w:rsidRPr="009200C4" w:rsidR="00D82500">
        <w:rPr>
          <w:rFonts w:cs="Times New Roman"/>
          <w:szCs w:val="24"/>
        </w:rPr>
        <w:t xml:space="preserve">ESP V and its </w:t>
      </w:r>
      <w:r w:rsidRPr="009200C4">
        <w:rPr>
          <w:rFonts w:cs="Times New Roman"/>
          <w:szCs w:val="24"/>
        </w:rPr>
        <w:t>Grid Mod I and II cases</w:t>
      </w:r>
      <w:r w:rsidRPr="009200C4" w:rsidR="000035C4">
        <w:rPr>
          <w:rFonts w:cs="Times New Roman"/>
          <w:szCs w:val="24"/>
        </w:rPr>
        <w:t>,</w:t>
      </w:r>
      <w:r w:rsidRPr="009200C4" w:rsidR="00131857">
        <w:rPr>
          <w:rFonts w:cs="Times New Roman"/>
          <w:szCs w:val="24"/>
        </w:rPr>
        <w:t xml:space="preserve"> which are inextricably linked with the findings and the outcome of the four </w:t>
      </w:r>
      <w:r w:rsidRPr="009200C4" w:rsidR="009F77A3">
        <w:rPr>
          <w:rFonts w:cs="Times New Roman"/>
          <w:szCs w:val="24"/>
        </w:rPr>
        <w:t xml:space="preserve">stayed </w:t>
      </w:r>
      <w:r w:rsidRPr="009200C4" w:rsidR="00131857">
        <w:rPr>
          <w:rFonts w:cs="Times New Roman"/>
          <w:szCs w:val="24"/>
        </w:rPr>
        <w:t>HB</w:t>
      </w:r>
      <w:r w:rsidRPr="009200C4" w:rsidR="00D6661D">
        <w:rPr>
          <w:rFonts w:cs="Times New Roman"/>
          <w:szCs w:val="24"/>
        </w:rPr>
        <w:t xml:space="preserve"> </w:t>
      </w:r>
      <w:r w:rsidRPr="009200C4" w:rsidR="00131857">
        <w:rPr>
          <w:rFonts w:cs="Times New Roman"/>
          <w:szCs w:val="24"/>
        </w:rPr>
        <w:t>6 investigations</w:t>
      </w:r>
      <w:r w:rsidRPr="009200C4">
        <w:rPr>
          <w:rFonts w:cs="Times New Roman"/>
          <w:szCs w:val="24"/>
        </w:rPr>
        <w:t>.</w:t>
      </w:r>
      <w:r w:rsidRPr="009200C4" w:rsidR="00D6661D">
        <w:rPr>
          <w:rFonts w:cs="Times New Roman"/>
          <w:szCs w:val="24"/>
        </w:rPr>
        <w:t xml:space="preserve"> </w:t>
      </w:r>
    </w:p>
    <w:p w:rsidR="00EA521C" w:rsidRPr="009200C4" w:rsidP="00EA521C" w14:paraId="6946119B" w14:textId="77777777">
      <w:pPr>
        <w:pStyle w:val="BodyTextIndent3"/>
        <w:spacing w:line="480" w:lineRule="auto"/>
        <w:rPr>
          <w:szCs w:val="24"/>
        </w:rPr>
      </w:pPr>
      <w:r w:rsidRPr="009200C4">
        <w:rPr>
          <w:szCs w:val="24"/>
        </w:rPr>
        <w:t>OCC’s Application for Rehearing is more fully explained by the accompanying Memorandum in Support.</w:t>
      </w:r>
    </w:p>
    <w:p w:rsidR="00743827" w:rsidRPr="000B3D50" w:rsidP="00743827" w14:paraId="679CFA3B" w14:textId="77777777">
      <w:pPr>
        <w:spacing w:line="480" w:lineRule="auto"/>
        <w:ind w:left="4410"/>
        <w:rPr>
          <w:rFonts w:eastAsia="Calibri"/>
          <w:bCs/>
        </w:rPr>
      </w:pPr>
      <w:r w:rsidRPr="000B3D50">
        <w:rPr>
          <w:rFonts w:eastAsia="Calibri"/>
          <w:bCs/>
        </w:rPr>
        <w:t>Respectfully submitted,</w:t>
      </w:r>
    </w:p>
    <w:p w:rsidR="00743827" w:rsidP="00743827" w14:paraId="0C3896C2" w14:textId="77777777">
      <w:pPr>
        <w:tabs>
          <w:tab w:val="left" w:pos="2776"/>
        </w:tabs>
        <w:ind w:left="4410"/>
        <w:rPr>
          <w:rFonts w:eastAsia="Times New Roman"/>
        </w:rPr>
      </w:pPr>
      <w:r w:rsidRPr="00463286">
        <w:rPr>
          <w:rFonts w:eastAsia="Times New Roman"/>
        </w:rPr>
        <w:t>Maureen R. Willis (0020847)</w:t>
      </w:r>
    </w:p>
    <w:p w:rsidR="00743827" w:rsidRPr="000B3D50" w:rsidP="00743827" w14:paraId="71FC4479" w14:textId="77777777">
      <w:pPr>
        <w:tabs>
          <w:tab w:val="left" w:pos="2776"/>
        </w:tabs>
        <w:ind w:left="4410"/>
        <w:rPr>
          <w:rFonts w:eastAsia="Times New Roman"/>
        </w:rPr>
      </w:pPr>
      <w:r w:rsidRPr="000B3D50">
        <w:rPr>
          <w:rFonts w:eastAsia="Times New Roman"/>
        </w:rPr>
        <w:t>Ohio Consumers’ Counsel</w:t>
      </w:r>
    </w:p>
    <w:p w:rsidR="00743827" w:rsidRPr="000B3D50" w:rsidP="00743827" w14:paraId="75DBD867" w14:textId="77777777">
      <w:pPr>
        <w:tabs>
          <w:tab w:val="left" w:pos="2776"/>
        </w:tabs>
        <w:ind w:left="4410"/>
        <w:rPr>
          <w:rFonts w:eastAsia="Times New Roman"/>
        </w:rPr>
      </w:pPr>
      <w:r w:rsidRPr="000B3D50">
        <w:rPr>
          <w:rFonts w:eastAsia="Times New Roman"/>
        </w:rPr>
        <w:t xml:space="preserve"> </w:t>
      </w:r>
    </w:p>
    <w:p w:rsidR="00743827" w:rsidRPr="000B3D50" w:rsidP="00743827" w14:paraId="0E09F0C4" w14:textId="77777777">
      <w:pPr>
        <w:tabs>
          <w:tab w:val="left" w:pos="2776"/>
        </w:tabs>
        <w:ind w:left="4410"/>
        <w:rPr>
          <w:rFonts w:eastAsia="Times New Roman"/>
          <w:i/>
          <w:iCs/>
          <w:u w:val="single"/>
        </w:rPr>
      </w:pPr>
      <w:r w:rsidRPr="000B3D50">
        <w:rPr>
          <w:rFonts w:eastAsia="Times New Roman"/>
          <w:i/>
          <w:iCs/>
          <w:u w:val="single"/>
        </w:rPr>
        <w:t>/s/ William J. Michael</w:t>
      </w:r>
    </w:p>
    <w:p w:rsidR="00743827" w:rsidRPr="000B3D50" w:rsidP="00743827" w14:paraId="2E6640BB" w14:textId="77777777">
      <w:pPr>
        <w:ind w:left="4410"/>
        <w:rPr>
          <w:rFonts w:eastAsia="Calibri"/>
        </w:rPr>
      </w:pPr>
      <w:bookmarkStart w:id="1" w:name="_Hlk151127457"/>
      <w:r w:rsidRPr="000B3D50">
        <w:rPr>
          <w:rFonts w:eastAsia="Calibri"/>
        </w:rPr>
        <w:t>William J. Michael (0070921)</w:t>
      </w:r>
    </w:p>
    <w:p w:rsidR="00743827" w:rsidRPr="000B3D50" w:rsidP="00743827" w14:paraId="23CE223F" w14:textId="77777777">
      <w:pPr>
        <w:ind w:left="4410"/>
        <w:rPr>
          <w:rFonts w:eastAsia="Calibri"/>
        </w:rPr>
      </w:pPr>
      <w:r w:rsidRPr="000B3D50">
        <w:rPr>
          <w:rFonts w:eastAsia="Calibri"/>
        </w:rPr>
        <w:t xml:space="preserve">Counsel of Record </w:t>
      </w:r>
    </w:p>
    <w:p w:rsidR="00743827" w:rsidRPr="000B3D50" w:rsidP="00743827" w14:paraId="36049C56" w14:textId="77777777">
      <w:pPr>
        <w:ind w:left="4410"/>
        <w:rPr>
          <w:rFonts w:eastAsia="Calibri"/>
        </w:rPr>
      </w:pPr>
      <w:r w:rsidRPr="000B3D50">
        <w:rPr>
          <w:rFonts w:eastAsia="Calibri"/>
        </w:rPr>
        <w:t>Assistant Consumers’ Counsel</w:t>
      </w:r>
    </w:p>
    <w:p w:rsidR="00743827" w:rsidRPr="000B3D50" w:rsidP="00743827" w14:paraId="69EE53B9" w14:textId="77777777">
      <w:pPr>
        <w:suppressLineNumbers/>
        <w:tabs>
          <w:tab w:val="left" w:pos="2776"/>
        </w:tabs>
        <w:ind w:left="4410"/>
        <w:rPr>
          <w:rFonts w:eastAsia="Times New Roman"/>
        </w:rPr>
      </w:pPr>
      <w:r w:rsidRPr="000B3D50">
        <w:rPr>
          <w:rFonts w:eastAsia="Times New Roman"/>
        </w:rPr>
        <w:tab/>
      </w:r>
    </w:p>
    <w:p w:rsidR="00743827" w:rsidRPr="000B3D50" w:rsidP="00743827" w14:paraId="770EE128" w14:textId="77777777">
      <w:pPr>
        <w:suppressLineNumbers/>
        <w:tabs>
          <w:tab w:val="left" w:pos="2776"/>
        </w:tabs>
        <w:ind w:left="4410"/>
        <w:rPr>
          <w:rFonts w:eastAsia="Times New Roman"/>
          <w:b/>
        </w:rPr>
      </w:pPr>
      <w:r w:rsidRPr="000B3D50">
        <w:rPr>
          <w:rFonts w:eastAsia="Times New Roman"/>
          <w:b/>
        </w:rPr>
        <w:t>Office of the Ohio Consumers’ Counsel</w:t>
      </w:r>
    </w:p>
    <w:p w:rsidR="00743827" w:rsidRPr="000B3D50" w:rsidP="00743827" w14:paraId="10E0AC87" w14:textId="77777777">
      <w:pPr>
        <w:suppressLineNumbers/>
        <w:tabs>
          <w:tab w:val="left" w:pos="2776"/>
        </w:tabs>
        <w:ind w:left="4410"/>
        <w:rPr>
          <w:rFonts w:eastAsia="Times New Roman"/>
          <w:bCs/>
        </w:rPr>
      </w:pPr>
      <w:r w:rsidRPr="000B3D50">
        <w:rPr>
          <w:rFonts w:eastAsia="Times New Roman"/>
        </w:rPr>
        <w:t>65 East State Street, Suite 700</w:t>
      </w:r>
    </w:p>
    <w:p w:rsidR="00743827" w:rsidRPr="000B3D50" w:rsidP="00743827" w14:paraId="1647673A" w14:textId="77777777">
      <w:pPr>
        <w:suppressLineNumbers/>
        <w:tabs>
          <w:tab w:val="left" w:pos="2776"/>
        </w:tabs>
        <w:ind w:left="4410"/>
        <w:rPr>
          <w:rFonts w:eastAsia="Times New Roman"/>
          <w:bCs/>
        </w:rPr>
      </w:pPr>
      <w:r w:rsidRPr="000B3D50">
        <w:rPr>
          <w:rFonts w:eastAsia="Times New Roman"/>
        </w:rPr>
        <w:t>Columbus, Ohio 43215</w:t>
      </w:r>
    </w:p>
    <w:p w:rsidR="00743827" w:rsidRPr="000B3D50" w:rsidP="00743827" w14:paraId="4C4FC7AE" w14:textId="77777777">
      <w:pPr>
        <w:adjustRightInd w:val="0"/>
        <w:ind w:left="4410"/>
        <w:rPr>
          <w:rFonts w:eastAsia="Calibri"/>
        </w:rPr>
      </w:pPr>
      <w:r w:rsidRPr="000B3D50">
        <w:rPr>
          <w:rFonts w:eastAsia="Calibri"/>
        </w:rPr>
        <w:t>Telephone [Michael]: (614) 466-1291</w:t>
      </w:r>
    </w:p>
    <w:p w:rsidR="00743827" w:rsidRPr="000B3D50" w:rsidP="00743827" w14:paraId="2BAC2D1D" w14:textId="77777777">
      <w:pPr>
        <w:adjustRightInd w:val="0"/>
        <w:ind w:left="4410"/>
        <w:rPr>
          <w:rFonts w:eastAsia="Calibri"/>
          <w:color w:val="0000FF"/>
        </w:rPr>
      </w:pPr>
      <w:hyperlink r:id="rId6" w:history="1">
        <w:r w:rsidRPr="00CC008C">
          <w:rPr>
            <w:rStyle w:val="Hyperlink"/>
            <w:rFonts w:eastAsia="Calibri"/>
            <w:color w:val="0000FF"/>
          </w:rPr>
          <w:t>w</w:t>
        </w:r>
        <w:r w:rsidRPr="000B3D50">
          <w:rPr>
            <w:rStyle w:val="Hyperlink"/>
            <w:rFonts w:eastAsia="Calibri"/>
            <w:color w:val="0000FF"/>
          </w:rPr>
          <w:t>illiam.</w:t>
        </w:r>
        <w:r w:rsidRPr="00CC008C">
          <w:rPr>
            <w:rStyle w:val="Hyperlink"/>
            <w:rFonts w:eastAsia="Calibri"/>
            <w:color w:val="0000FF"/>
          </w:rPr>
          <w:t>m</w:t>
        </w:r>
        <w:r w:rsidRPr="000B3D50">
          <w:rPr>
            <w:rStyle w:val="Hyperlink"/>
            <w:rFonts w:eastAsia="Calibri"/>
            <w:color w:val="0000FF"/>
          </w:rPr>
          <w:t>ichael@occ.ohio.gov</w:t>
        </w:r>
      </w:hyperlink>
    </w:p>
    <w:bookmarkEnd w:id="1"/>
    <w:p w:rsidR="00743827" w:rsidP="00743827" w14:paraId="074B6F48" w14:textId="77777777">
      <w:pPr>
        <w:suppressLineNumbers/>
        <w:tabs>
          <w:tab w:val="left" w:pos="4303"/>
          <w:tab w:val="left" w:pos="4483"/>
        </w:tabs>
        <w:ind w:left="4410"/>
        <w:rPr>
          <w:rFonts w:eastAsia="Times New Roman"/>
        </w:rPr>
      </w:pPr>
      <w:r w:rsidRPr="000B3D50">
        <w:rPr>
          <w:rFonts w:eastAsia="Times New Roman"/>
        </w:rPr>
        <w:t>(willing to accept service by email)</w:t>
      </w:r>
    </w:p>
    <w:p w:rsidR="00D841A1" w:rsidRPr="009200C4" w:rsidP="00C0774A" w14:paraId="3AA73103" w14:textId="77777777">
      <w:pPr>
        <w:pStyle w:val="BodyTextIndent3"/>
        <w:spacing w:line="480" w:lineRule="auto"/>
        <w:ind w:firstLine="0"/>
        <w:rPr>
          <w:szCs w:val="24"/>
        </w:rPr>
        <w:sectPr w:rsidSect="00725CE8">
          <w:footerReference w:type="default" r:id="rId13"/>
          <w:pgSz w:w="12240" w:h="15840"/>
          <w:pgMar w:top="1440" w:right="1800" w:bottom="1440" w:left="1800" w:header="720" w:footer="720" w:gutter="0"/>
          <w:pgNumType w:start="1"/>
          <w:cols w:space="720"/>
          <w:docGrid w:linePitch="360"/>
        </w:sectPr>
      </w:pPr>
    </w:p>
    <w:p w:rsidR="00D841A1" w:rsidRPr="00054B6D" w:rsidP="00D841A1" w14:paraId="3440131A" w14:textId="77777777">
      <w:pPr>
        <w:jc w:val="center"/>
        <w:rPr>
          <w:rFonts w:eastAsia="Times New Roman" w:cs="Times New Roman"/>
          <w:b/>
          <w:bCs/>
          <w:szCs w:val="24"/>
          <w:u w:val="single"/>
        </w:rPr>
      </w:pPr>
      <w:r w:rsidRPr="00054B6D">
        <w:rPr>
          <w:rFonts w:eastAsia="Times New Roman" w:cs="Times New Roman"/>
          <w:b/>
          <w:bCs/>
          <w:szCs w:val="24"/>
          <w:u w:val="single"/>
        </w:rPr>
        <w:t>TABLE OF CONTENTS</w:t>
      </w:r>
    </w:p>
    <w:p w:rsidR="007157E6" w:rsidRPr="000F3795" w:rsidP="007157E6" w14:paraId="19299B7F" w14:textId="09C79FE3">
      <w:pPr>
        <w:jc w:val="right"/>
        <w:rPr>
          <w:rFonts w:eastAsia="Times New Roman" w:cs="Times New Roman"/>
          <w:b/>
          <w:bCs/>
          <w:szCs w:val="24"/>
        </w:rPr>
      </w:pP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9200C4">
        <w:rPr>
          <w:rFonts w:eastAsia="Times New Roman" w:cs="Times New Roman"/>
          <w:szCs w:val="24"/>
        </w:rPr>
        <w:tab/>
      </w:r>
      <w:r w:rsidRPr="000F3795" w:rsidR="00E50F15">
        <w:rPr>
          <w:rFonts w:eastAsia="Times New Roman" w:cs="Times New Roman"/>
          <w:b/>
          <w:bCs/>
          <w:szCs w:val="24"/>
        </w:rPr>
        <w:t>P</w:t>
      </w:r>
      <w:r w:rsidRPr="000F3795" w:rsidR="00E606E0">
        <w:rPr>
          <w:rFonts w:eastAsia="Times New Roman" w:cs="Times New Roman"/>
          <w:b/>
          <w:bCs/>
          <w:szCs w:val="24"/>
        </w:rPr>
        <w:t>AGE</w:t>
      </w:r>
    </w:p>
    <w:p w:rsidR="00E50F15" w:rsidRPr="009200C4" w:rsidP="00E50F15" w14:paraId="7755A70C" w14:textId="77777777">
      <w:pPr>
        <w:rPr>
          <w:rFonts w:eastAsia="Times New Roman" w:cs="Times New Roman"/>
          <w:szCs w:val="24"/>
        </w:rPr>
      </w:pPr>
    </w:p>
    <w:p w:rsidR="00913606" w14:paraId="2B3E42D7" w14:textId="69AAA551">
      <w:pPr>
        <w:pStyle w:val="TOC1"/>
        <w:rPr>
          <w:rFonts w:asciiTheme="minorHAnsi" w:eastAsiaTheme="minorEastAsia" w:hAnsiTheme="minorHAnsi"/>
          <w:caps w:val="0"/>
          <w:noProof/>
          <w:kern w:val="2"/>
          <w:sz w:val="22"/>
          <w14:ligatures w14:val="standardContextual"/>
        </w:rPr>
      </w:pPr>
      <w:r>
        <w:rPr>
          <w:rFonts w:eastAsia="Times New Roman" w:cs="Times New Roman"/>
          <w:caps w:val="0"/>
          <w:szCs w:val="24"/>
        </w:rPr>
        <w:fldChar w:fldCharType="begin"/>
      </w:r>
      <w:r>
        <w:rPr>
          <w:rFonts w:eastAsia="Times New Roman" w:cs="Times New Roman"/>
          <w:caps w:val="0"/>
          <w:szCs w:val="24"/>
        </w:rPr>
        <w:instrText xml:space="preserve"> TOC \o "1-4" \h \z \u </w:instrText>
      </w:r>
      <w:r>
        <w:rPr>
          <w:rFonts w:eastAsia="Times New Roman" w:cs="Times New Roman"/>
          <w:caps w:val="0"/>
          <w:szCs w:val="24"/>
        </w:rPr>
        <w:fldChar w:fldCharType="separate"/>
      </w:r>
      <w:hyperlink w:anchor="_Toc151125985" w:history="1">
        <w:r w:rsidRPr="000C1F3F">
          <w:rPr>
            <w:rStyle w:val="Hyperlink"/>
            <w:noProof/>
          </w:rPr>
          <w:t>I.</w:t>
        </w:r>
        <w:r>
          <w:rPr>
            <w:rFonts w:asciiTheme="minorHAnsi" w:eastAsiaTheme="minorEastAsia" w:hAnsiTheme="minorHAnsi"/>
            <w:caps w:val="0"/>
            <w:noProof/>
            <w:kern w:val="2"/>
            <w:sz w:val="22"/>
            <w14:ligatures w14:val="standardContextual"/>
          </w:rPr>
          <w:tab/>
        </w:r>
        <w:r w:rsidRPr="000C1F3F">
          <w:rPr>
            <w:rStyle w:val="Hyperlink"/>
            <w:noProof/>
          </w:rPr>
          <w:t>INTRODUCTION</w:t>
        </w:r>
        <w:r>
          <w:rPr>
            <w:noProof/>
            <w:webHidden/>
          </w:rPr>
          <w:tab/>
        </w:r>
        <w:r>
          <w:rPr>
            <w:noProof/>
            <w:webHidden/>
          </w:rPr>
          <w:fldChar w:fldCharType="begin"/>
        </w:r>
        <w:r>
          <w:rPr>
            <w:noProof/>
            <w:webHidden/>
          </w:rPr>
          <w:instrText xml:space="preserve"> PAGEREF _Toc151125985 \h </w:instrText>
        </w:r>
        <w:r>
          <w:rPr>
            <w:noProof/>
            <w:webHidden/>
          </w:rPr>
          <w:fldChar w:fldCharType="separate"/>
        </w:r>
        <w:r>
          <w:rPr>
            <w:noProof/>
            <w:webHidden/>
          </w:rPr>
          <w:t>1</w:t>
        </w:r>
        <w:r>
          <w:rPr>
            <w:noProof/>
            <w:webHidden/>
          </w:rPr>
          <w:fldChar w:fldCharType="end"/>
        </w:r>
      </w:hyperlink>
    </w:p>
    <w:p w:rsidR="00913606" w14:paraId="0E9707A4" w14:textId="07E9BCF6">
      <w:pPr>
        <w:pStyle w:val="TOC1"/>
        <w:rPr>
          <w:rFonts w:asciiTheme="minorHAnsi" w:eastAsiaTheme="minorEastAsia" w:hAnsiTheme="minorHAnsi"/>
          <w:caps w:val="0"/>
          <w:noProof/>
          <w:kern w:val="2"/>
          <w:sz w:val="22"/>
          <w14:ligatures w14:val="standardContextual"/>
        </w:rPr>
      </w:pPr>
      <w:hyperlink w:anchor="_Toc151125986" w:history="1">
        <w:r w:rsidRPr="000C1F3F">
          <w:rPr>
            <w:rStyle w:val="Hyperlink"/>
            <w:noProof/>
          </w:rPr>
          <w:t>II.</w:t>
        </w:r>
        <w:r>
          <w:rPr>
            <w:rFonts w:asciiTheme="minorHAnsi" w:eastAsiaTheme="minorEastAsia" w:hAnsiTheme="minorHAnsi"/>
            <w:caps w:val="0"/>
            <w:noProof/>
            <w:kern w:val="2"/>
            <w:sz w:val="22"/>
            <w14:ligatures w14:val="standardContextual"/>
          </w:rPr>
          <w:tab/>
        </w:r>
        <w:r w:rsidRPr="000C1F3F">
          <w:rPr>
            <w:rStyle w:val="Hyperlink"/>
            <w:noProof/>
          </w:rPr>
          <w:t>GROUNDS FOR REHEARING</w:t>
        </w:r>
        <w:r>
          <w:rPr>
            <w:noProof/>
            <w:webHidden/>
          </w:rPr>
          <w:tab/>
        </w:r>
        <w:r>
          <w:rPr>
            <w:noProof/>
            <w:webHidden/>
          </w:rPr>
          <w:fldChar w:fldCharType="begin"/>
        </w:r>
        <w:r>
          <w:rPr>
            <w:noProof/>
            <w:webHidden/>
          </w:rPr>
          <w:instrText xml:space="preserve"> PAGEREF _Toc151125986 \h </w:instrText>
        </w:r>
        <w:r>
          <w:rPr>
            <w:noProof/>
            <w:webHidden/>
          </w:rPr>
          <w:fldChar w:fldCharType="separate"/>
        </w:r>
        <w:r>
          <w:rPr>
            <w:noProof/>
            <w:webHidden/>
          </w:rPr>
          <w:t>3</w:t>
        </w:r>
        <w:r>
          <w:rPr>
            <w:noProof/>
            <w:webHidden/>
          </w:rPr>
          <w:fldChar w:fldCharType="end"/>
        </w:r>
      </w:hyperlink>
    </w:p>
    <w:p w:rsidR="00913606" w14:paraId="530CCC05" w14:textId="7E5B10DB">
      <w:pPr>
        <w:pStyle w:val="TOC2"/>
        <w:rPr>
          <w:rFonts w:asciiTheme="minorHAnsi" w:eastAsiaTheme="minorEastAsia" w:hAnsiTheme="minorHAnsi"/>
          <w:noProof/>
          <w:kern w:val="2"/>
          <w:sz w:val="22"/>
          <w14:ligatures w14:val="standardContextual"/>
        </w:rPr>
      </w:pPr>
      <w:hyperlink w:anchor="_Toc151125987" w:history="1">
        <w:r w:rsidRPr="000C1F3F">
          <w:rPr>
            <w:rStyle w:val="Hyperlink"/>
            <w:rFonts w:eastAsiaTheme="majorEastAsia"/>
            <w:caps/>
            <w:noProof/>
          </w:rPr>
          <w:t xml:space="preserve">ASSIGNMENT OF ERROR NO. 1: </w:t>
        </w:r>
        <w:r w:rsidRPr="000C1F3F">
          <w:rPr>
            <w:rStyle w:val="Hyperlink"/>
            <w:noProof/>
          </w:rPr>
          <w:t>The PUCO acted unreasonably in denying OCC’s request to stay FirstEnergy’s fifth electric security plan case and grid modernization cases based on its finding that the FirstEnergy ESP V and the Grid Mod I and II cases “are completely unrelated to H.B. 6 and OCC presents no rational basis for a delay.” The PUCO failed to address OCC’s stay request under the six part balancing test applied earlier to the U.S. Attorney’s stay requests.</w:t>
        </w:r>
        <w:r>
          <w:rPr>
            <w:noProof/>
            <w:webHidden/>
          </w:rPr>
          <w:tab/>
        </w:r>
        <w:r>
          <w:rPr>
            <w:noProof/>
            <w:webHidden/>
          </w:rPr>
          <w:fldChar w:fldCharType="begin"/>
        </w:r>
        <w:r>
          <w:rPr>
            <w:noProof/>
            <w:webHidden/>
          </w:rPr>
          <w:instrText xml:space="preserve"> PAGEREF _Toc151125987 \h </w:instrText>
        </w:r>
        <w:r>
          <w:rPr>
            <w:noProof/>
            <w:webHidden/>
          </w:rPr>
          <w:fldChar w:fldCharType="separate"/>
        </w:r>
        <w:r>
          <w:rPr>
            <w:noProof/>
            <w:webHidden/>
          </w:rPr>
          <w:t>3</w:t>
        </w:r>
        <w:r>
          <w:rPr>
            <w:noProof/>
            <w:webHidden/>
          </w:rPr>
          <w:fldChar w:fldCharType="end"/>
        </w:r>
      </w:hyperlink>
    </w:p>
    <w:p w:rsidR="00913606" w14:paraId="2CFBCF2C" w14:textId="6B3288C1">
      <w:pPr>
        <w:pStyle w:val="TOC3"/>
        <w:rPr>
          <w:rFonts w:asciiTheme="minorHAnsi" w:eastAsiaTheme="minorEastAsia" w:hAnsiTheme="minorHAnsi"/>
          <w:noProof/>
          <w:kern w:val="2"/>
          <w:sz w:val="22"/>
          <w14:ligatures w14:val="standardContextual"/>
        </w:rPr>
      </w:pPr>
      <w:hyperlink w:anchor="_Toc151125988" w:history="1">
        <w:r w:rsidRPr="000C1F3F">
          <w:rPr>
            <w:rStyle w:val="Hyperlink"/>
            <w:noProof/>
          </w:rPr>
          <w:t>A.</w:t>
        </w:r>
        <w:r>
          <w:rPr>
            <w:rFonts w:asciiTheme="minorHAnsi" w:eastAsiaTheme="minorEastAsia" w:hAnsiTheme="minorHAnsi"/>
            <w:noProof/>
            <w:kern w:val="2"/>
            <w:sz w:val="22"/>
            <w14:ligatures w14:val="standardContextual"/>
          </w:rPr>
          <w:tab/>
        </w:r>
        <w:r w:rsidRPr="000C1F3F">
          <w:rPr>
            <w:rStyle w:val="Hyperlink"/>
            <w:noProof/>
          </w:rPr>
          <w:t>The PUCO ruling denies OCC the opportunity to establish a rational basis for the very issues it faults OCC for not proving.</w:t>
        </w:r>
        <w:r>
          <w:rPr>
            <w:noProof/>
            <w:webHidden/>
          </w:rPr>
          <w:tab/>
        </w:r>
        <w:r>
          <w:rPr>
            <w:noProof/>
            <w:webHidden/>
          </w:rPr>
          <w:fldChar w:fldCharType="begin"/>
        </w:r>
        <w:r>
          <w:rPr>
            <w:noProof/>
            <w:webHidden/>
          </w:rPr>
          <w:instrText xml:space="preserve"> PAGEREF _Toc151125988 \h </w:instrText>
        </w:r>
        <w:r>
          <w:rPr>
            <w:noProof/>
            <w:webHidden/>
          </w:rPr>
          <w:fldChar w:fldCharType="separate"/>
        </w:r>
        <w:r>
          <w:rPr>
            <w:noProof/>
            <w:webHidden/>
          </w:rPr>
          <w:t>3</w:t>
        </w:r>
        <w:r>
          <w:rPr>
            <w:noProof/>
            <w:webHidden/>
          </w:rPr>
          <w:fldChar w:fldCharType="end"/>
        </w:r>
      </w:hyperlink>
    </w:p>
    <w:p w:rsidR="00913606" w14:paraId="534783A1" w14:textId="40E33ED6">
      <w:pPr>
        <w:pStyle w:val="TOC3"/>
        <w:rPr>
          <w:rFonts w:asciiTheme="minorHAnsi" w:eastAsiaTheme="minorEastAsia" w:hAnsiTheme="minorHAnsi"/>
          <w:noProof/>
          <w:kern w:val="2"/>
          <w:sz w:val="22"/>
          <w14:ligatures w14:val="standardContextual"/>
        </w:rPr>
      </w:pPr>
      <w:hyperlink w:anchor="_Toc151125989" w:history="1">
        <w:r w:rsidRPr="000C1F3F">
          <w:rPr>
            <w:rStyle w:val="Hyperlink"/>
            <w:noProof/>
          </w:rPr>
          <w:t>B.</w:t>
        </w:r>
        <w:r>
          <w:rPr>
            <w:rFonts w:asciiTheme="minorHAnsi" w:eastAsiaTheme="minorEastAsia" w:hAnsiTheme="minorHAnsi"/>
            <w:noProof/>
            <w:kern w:val="2"/>
            <w:sz w:val="22"/>
            <w14:ligatures w14:val="standardContextual"/>
          </w:rPr>
          <w:tab/>
        </w:r>
        <w:r w:rsidRPr="000C1F3F">
          <w:rPr>
            <w:rStyle w:val="Hyperlink"/>
            <w:noProof/>
          </w:rPr>
          <w:t>FirstEnergy’s ESP V and Grid Mod I and II cases are related to the four FirstEnergy investigations that have been stayed.</w:t>
        </w:r>
        <w:r>
          <w:rPr>
            <w:noProof/>
            <w:webHidden/>
          </w:rPr>
          <w:tab/>
        </w:r>
        <w:r>
          <w:rPr>
            <w:noProof/>
            <w:webHidden/>
          </w:rPr>
          <w:fldChar w:fldCharType="begin"/>
        </w:r>
        <w:r>
          <w:rPr>
            <w:noProof/>
            <w:webHidden/>
          </w:rPr>
          <w:instrText xml:space="preserve"> PAGEREF _Toc151125989 \h </w:instrText>
        </w:r>
        <w:r>
          <w:rPr>
            <w:noProof/>
            <w:webHidden/>
          </w:rPr>
          <w:fldChar w:fldCharType="separate"/>
        </w:r>
        <w:r>
          <w:rPr>
            <w:noProof/>
            <w:webHidden/>
          </w:rPr>
          <w:t>5</w:t>
        </w:r>
        <w:r>
          <w:rPr>
            <w:noProof/>
            <w:webHidden/>
          </w:rPr>
          <w:fldChar w:fldCharType="end"/>
        </w:r>
      </w:hyperlink>
    </w:p>
    <w:p w:rsidR="00913606" w14:paraId="79919D9D" w14:textId="71EB8654">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0" w:history="1">
        <w:r w:rsidRPr="000C1F3F">
          <w:rPr>
            <w:rStyle w:val="Hyperlink"/>
            <w:noProof/>
          </w:rPr>
          <w:t>1.</w:t>
        </w:r>
        <w:r>
          <w:rPr>
            <w:rFonts w:asciiTheme="minorHAnsi" w:eastAsiaTheme="minorEastAsia" w:hAnsiTheme="minorHAnsi"/>
            <w:noProof/>
            <w:kern w:val="2"/>
            <w:sz w:val="22"/>
            <w14:ligatures w14:val="standardContextual"/>
          </w:rPr>
          <w:tab/>
        </w:r>
        <w:r w:rsidRPr="000C1F3F">
          <w:rPr>
            <w:rStyle w:val="Hyperlink"/>
            <w:noProof/>
          </w:rPr>
          <w:t>FirstEnergy’s ESP V seeks increased charges from consumers for at least two riders which are related to the four FirstEnergy investigations that have been stayed.</w:t>
        </w:r>
        <w:r>
          <w:rPr>
            <w:noProof/>
            <w:webHidden/>
          </w:rPr>
          <w:tab/>
        </w:r>
        <w:r>
          <w:rPr>
            <w:noProof/>
            <w:webHidden/>
          </w:rPr>
          <w:fldChar w:fldCharType="begin"/>
        </w:r>
        <w:r>
          <w:rPr>
            <w:noProof/>
            <w:webHidden/>
          </w:rPr>
          <w:instrText xml:space="preserve"> PAGEREF _Toc151125990 \h </w:instrText>
        </w:r>
        <w:r>
          <w:rPr>
            <w:noProof/>
            <w:webHidden/>
          </w:rPr>
          <w:fldChar w:fldCharType="separate"/>
        </w:r>
        <w:r>
          <w:rPr>
            <w:noProof/>
            <w:webHidden/>
          </w:rPr>
          <w:t>5</w:t>
        </w:r>
        <w:r>
          <w:rPr>
            <w:noProof/>
            <w:webHidden/>
          </w:rPr>
          <w:fldChar w:fldCharType="end"/>
        </w:r>
      </w:hyperlink>
    </w:p>
    <w:p w:rsidR="00913606" w14:paraId="62587FFA" w14:textId="1B67F074">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1" w:history="1">
        <w:r w:rsidRPr="000C1F3F">
          <w:rPr>
            <w:rStyle w:val="Hyperlink"/>
            <w:noProof/>
          </w:rPr>
          <w:t>2.</w:t>
        </w:r>
        <w:r>
          <w:rPr>
            <w:rFonts w:asciiTheme="minorHAnsi" w:eastAsiaTheme="minorEastAsia" w:hAnsiTheme="minorHAnsi"/>
            <w:noProof/>
            <w:kern w:val="2"/>
            <w:sz w:val="22"/>
            <w14:ligatures w14:val="standardContextual"/>
          </w:rPr>
          <w:tab/>
        </w:r>
        <w:r w:rsidRPr="000C1F3F">
          <w:rPr>
            <w:rStyle w:val="Hyperlink"/>
            <w:noProof/>
          </w:rPr>
          <w:t>FirstEnergy’s Grid Mod I and II address issues related to the four PUCO investigations of FirstEnergy.</w:t>
        </w:r>
        <w:r>
          <w:rPr>
            <w:noProof/>
            <w:webHidden/>
          </w:rPr>
          <w:tab/>
        </w:r>
        <w:r>
          <w:rPr>
            <w:noProof/>
            <w:webHidden/>
          </w:rPr>
          <w:fldChar w:fldCharType="begin"/>
        </w:r>
        <w:r>
          <w:rPr>
            <w:noProof/>
            <w:webHidden/>
          </w:rPr>
          <w:instrText xml:space="preserve"> PAGEREF _Toc151125991 \h </w:instrText>
        </w:r>
        <w:r>
          <w:rPr>
            <w:noProof/>
            <w:webHidden/>
          </w:rPr>
          <w:fldChar w:fldCharType="separate"/>
        </w:r>
        <w:r>
          <w:rPr>
            <w:noProof/>
            <w:webHidden/>
          </w:rPr>
          <w:t>6</w:t>
        </w:r>
        <w:r>
          <w:rPr>
            <w:noProof/>
            <w:webHidden/>
          </w:rPr>
          <w:fldChar w:fldCharType="end"/>
        </w:r>
      </w:hyperlink>
    </w:p>
    <w:p w:rsidR="00913606" w14:paraId="7832820B" w14:textId="09457B52">
      <w:pPr>
        <w:pStyle w:val="TOC3"/>
        <w:rPr>
          <w:rFonts w:asciiTheme="minorHAnsi" w:eastAsiaTheme="minorEastAsia" w:hAnsiTheme="minorHAnsi"/>
          <w:noProof/>
          <w:kern w:val="2"/>
          <w:sz w:val="22"/>
          <w14:ligatures w14:val="standardContextual"/>
        </w:rPr>
      </w:pPr>
      <w:hyperlink w:anchor="_Toc151125992" w:history="1">
        <w:r w:rsidRPr="000C1F3F">
          <w:rPr>
            <w:rStyle w:val="Hyperlink"/>
            <w:noProof/>
          </w:rPr>
          <w:t>C.</w:t>
        </w:r>
        <w:r>
          <w:rPr>
            <w:rFonts w:asciiTheme="minorHAnsi" w:eastAsiaTheme="minorEastAsia" w:hAnsiTheme="minorHAnsi"/>
            <w:noProof/>
            <w:kern w:val="2"/>
            <w:sz w:val="22"/>
            <w14:ligatures w14:val="standardContextual"/>
          </w:rPr>
          <w:tab/>
        </w:r>
        <w:r w:rsidRPr="000C1F3F">
          <w:rPr>
            <w:rStyle w:val="Hyperlink"/>
            <w:noProof/>
          </w:rPr>
          <w:t>The rational basis for the delay OCC requests is established under the six-factor balancing test.</w:t>
        </w:r>
        <w:r>
          <w:rPr>
            <w:noProof/>
            <w:webHidden/>
          </w:rPr>
          <w:tab/>
        </w:r>
        <w:r>
          <w:rPr>
            <w:noProof/>
            <w:webHidden/>
          </w:rPr>
          <w:fldChar w:fldCharType="begin"/>
        </w:r>
        <w:r>
          <w:rPr>
            <w:noProof/>
            <w:webHidden/>
          </w:rPr>
          <w:instrText xml:space="preserve"> PAGEREF _Toc151125992 \h </w:instrText>
        </w:r>
        <w:r>
          <w:rPr>
            <w:noProof/>
            <w:webHidden/>
          </w:rPr>
          <w:fldChar w:fldCharType="separate"/>
        </w:r>
        <w:r>
          <w:rPr>
            <w:noProof/>
            <w:webHidden/>
          </w:rPr>
          <w:t>8</w:t>
        </w:r>
        <w:r>
          <w:rPr>
            <w:noProof/>
            <w:webHidden/>
          </w:rPr>
          <w:fldChar w:fldCharType="end"/>
        </w:r>
      </w:hyperlink>
    </w:p>
    <w:p w:rsidR="00913606" w14:paraId="44B3D33C" w14:textId="757E5987">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3" w:history="1">
        <w:r w:rsidRPr="000C1F3F">
          <w:rPr>
            <w:rStyle w:val="Hyperlink"/>
            <w:noProof/>
          </w:rPr>
          <w:t>1.</w:t>
        </w:r>
        <w:r>
          <w:rPr>
            <w:rFonts w:asciiTheme="minorHAnsi" w:eastAsiaTheme="minorEastAsia" w:hAnsiTheme="minorHAnsi"/>
            <w:noProof/>
            <w:kern w:val="2"/>
            <w:sz w:val="22"/>
            <w14:ligatures w14:val="standardContextual"/>
          </w:rPr>
          <w:tab/>
        </w:r>
        <w:r w:rsidRPr="000C1F3F">
          <w:rPr>
            <w:rStyle w:val="Hyperlink"/>
            <w:noProof/>
          </w:rPr>
          <w:t>There are overlapping issues that exist making a stay reasonable.</w:t>
        </w:r>
        <w:r>
          <w:rPr>
            <w:noProof/>
            <w:webHidden/>
          </w:rPr>
          <w:tab/>
        </w:r>
        <w:r>
          <w:rPr>
            <w:noProof/>
            <w:webHidden/>
          </w:rPr>
          <w:fldChar w:fldCharType="begin"/>
        </w:r>
        <w:r>
          <w:rPr>
            <w:noProof/>
            <w:webHidden/>
          </w:rPr>
          <w:instrText xml:space="preserve"> PAGEREF _Toc151125993 \h </w:instrText>
        </w:r>
        <w:r>
          <w:rPr>
            <w:noProof/>
            <w:webHidden/>
          </w:rPr>
          <w:fldChar w:fldCharType="separate"/>
        </w:r>
        <w:r>
          <w:rPr>
            <w:noProof/>
            <w:webHidden/>
          </w:rPr>
          <w:t>8</w:t>
        </w:r>
        <w:r>
          <w:rPr>
            <w:noProof/>
            <w:webHidden/>
          </w:rPr>
          <w:fldChar w:fldCharType="end"/>
        </w:r>
      </w:hyperlink>
    </w:p>
    <w:p w:rsidR="00913606" w14:paraId="41BB8CB9" w14:textId="0C277494">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4" w:history="1">
        <w:r w:rsidRPr="000C1F3F">
          <w:rPr>
            <w:rStyle w:val="Hyperlink"/>
            <w:noProof/>
          </w:rPr>
          <w:t>2.</w:t>
        </w:r>
        <w:r>
          <w:rPr>
            <w:rFonts w:asciiTheme="minorHAnsi" w:eastAsiaTheme="minorEastAsia" w:hAnsiTheme="minorHAnsi"/>
            <w:noProof/>
            <w:kern w:val="2"/>
            <w:sz w:val="22"/>
            <w14:ligatures w14:val="standardContextual"/>
          </w:rPr>
          <w:tab/>
        </w:r>
        <w:r w:rsidRPr="000C1F3F">
          <w:rPr>
            <w:rStyle w:val="Hyperlink"/>
            <w:noProof/>
          </w:rPr>
          <w:t>The status of the criminal proceeding weighs in favor of a stay of FirstEnergy’s ESP V.</w:t>
        </w:r>
        <w:r>
          <w:rPr>
            <w:noProof/>
            <w:webHidden/>
          </w:rPr>
          <w:tab/>
        </w:r>
        <w:r>
          <w:rPr>
            <w:noProof/>
            <w:webHidden/>
          </w:rPr>
          <w:fldChar w:fldCharType="begin"/>
        </w:r>
        <w:r>
          <w:rPr>
            <w:noProof/>
            <w:webHidden/>
          </w:rPr>
          <w:instrText xml:space="preserve"> PAGEREF _Toc151125994 \h </w:instrText>
        </w:r>
        <w:r>
          <w:rPr>
            <w:noProof/>
            <w:webHidden/>
          </w:rPr>
          <w:fldChar w:fldCharType="separate"/>
        </w:r>
        <w:r>
          <w:rPr>
            <w:noProof/>
            <w:webHidden/>
          </w:rPr>
          <w:t>10</w:t>
        </w:r>
        <w:r>
          <w:rPr>
            <w:noProof/>
            <w:webHidden/>
          </w:rPr>
          <w:fldChar w:fldCharType="end"/>
        </w:r>
      </w:hyperlink>
    </w:p>
    <w:p w:rsidR="00913606" w14:paraId="53126C93" w14:textId="0C815255">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5" w:history="1">
        <w:r w:rsidRPr="000C1F3F">
          <w:rPr>
            <w:rStyle w:val="Hyperlink"/>
            <w:noProof/>
          </w:rPr>
          <w:t>3.</w:t>
        </w:r>
        <w:r>
          <w:rPr>
            <w:rFonts w:asciiTheme="minorHAnsi" w:eastAsiaTheme="minorEastAsia" w:hAnsiTheme="minorHAnsi"/>
            <w:noProof/>
            <w:kern w:val="2"/>
            <w:sz w:val="22"/>
            <w14:ligatures w14:val="standardContextual"/>
          </w:rPr>
          <w:tab/>
        </w:r>
        <w:r w:rsidRPr="000C1F3F">
          <w:rPr>
            <w:rStyle w:val="Hyperlink"/>
            <w:noProof/>
          </w:rPr>
          <w:t>The interests of the PUCO weigh in favor of staying the FirstEnergy cases.</w:t>
        </w:r>
        <w:r>
          <w:rPr>
            <w:noProof/>
            <w:webHidden/>
          </w:rPr>
          <w:tab/>
        </w:r>
        <w:r>
          <w:rPr>
            <w:noProof/>
            <w:webHidden/>
          </w:rPr>
          <w:fldChar w:fldCharType="begin"/>
        </w:r>
        <w:r>
          <w:rPr>
            <w:noProof/>
            <w:webHidden/>
          </w:rPr>
          <w:instrText xml:space="preserve"> PAGEREF _Toc151125995 \h </w:instrText>
        </w:r>
        <w:r>
          <w:rPr>
            <w:noProof/>
            <w:webHidden/>
          </w:rPr>
          <w:fldChar w:fldCharType="separate"/>
        </w:r>
        <w:r>
          <w:rPr>
            <w:noProof/>
            <w:webHidden/>
          </w:rPr>
          <w:t>11</w:t>
        </w:r>
        <w:r>
          <w:rPr>
            <w:noProof/>
            <w:webHidden/>
          </w:rPr>
          <w:fldChar w:fldCharType="end"/>
        </w:r>
      </w:hyperlink>
    </w:p>
    <w:p w:rsidR="00913606" w14:paraId="04DC154E" w14:textId="4FF96931">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6" w:history="1">
        <w:r w:rsidRPr="000C1F3F">
          <w:rPr>
            <w:rStyle w:val="Hyperlink"/>
            <w:noProof/>
          </w:rPr>
          <w:t>4.</w:t>
        </w:r>
        <w:r>
          <w:rPr>
            <w:rFonts w:asciiTheme="minorHAnsi" w:eastAsiaTheme="minorEastAsia" w:hAnsiTheme="minorHAnsi"/>
            <w:noProof/>
            <w:kern w:val="2"/>
            <w:sz w:val="22"/>
            <w14:ligatures w14:val="standardContextual"/>
          </w:rPr>
          <w:tab/>
        </w:r>
        <w:r w:rsidRPr="000C1F3F">
          <w:rPr>
            <w:rStyle w:val="Hyperlink"/>
            <w:noProof/>
          </w:rPr>
          <w:t>The public interest weighs in favor of staying the PUCO’s consideration of FirstEnergy’s ESP V and its Grid Mod I and II.</w:t>
        </w:r>
        <w:r>
          <w:rPr>
            <w:noProof/>
            <w:webHidden/>
          </w:rPr>
          <w:tab/>
        </w:r>
        <w:r>
          <w:rPr>
            <w:noProof/>
            <w:webHidden/>
          </w:rPr>
          <w:fldChar w:fldCharType="begin"/>
        </w:r>
        <w:r>
          <w:rPr>
            <w:noProof/>
            <w:webHidden/>
          </w:rPr>
          <w:instrText xml:space="preserve"> PAGEREF _Toc151125996 \h </w:instrText>
        </w:r>
        <w:r>
          <w:rPr>
            <w:noProof/>
            <w:webHidden/>
          </w:rPr>
          <w:fldChar w:fldCharType="separate"/>
        </w:r>
        <w:r>
          <w:rPr>
            <w:noProof/>
            <w:webHidden/>
          </w:rPr>
          <w:t>11</w:t>
        </w:r>
        <w:r>
          <w:rPr>
            <w:noProof/>
            <w:webHidden/>
          </w:rPr>
          <w:fldChar w:fldCharType="end"/>
        </w:r>
      </w:hyperlink>
    </w:p>
    <w:p w:rsidR="00913606" w14:paraId="0A29F2E8" w14:textId="17FF45E5">
      <w:pPr>
        <w:pStyle w:val="TOC4"/>
        <w:tabs>
          <w:tab w:val="left" w:pos="2160"/>
          <w:tab w:val="right" w:leader="dot" w:pos="8630"/>
        </w:tabs>
        <w:rPr>
          <w:rFonts w:asciiTheme="minorHAnsi" w:eastAsiaTheme="minorEastAsia" w:hAnsiTheme="minorHAnsi"/>
          <w:noProof/>
          <w:kern w:val="2"/>
          <w:sz w:val="22"/>
          <w14:ligatures w14:val="standardContextual"/>
        </w:rPr>
      </w:pPr>
      <w:hyperlink w:anchor="_Toc151125997" w:history="1">
        <w:r w:rsidRPr="000C1F3F">
          <w:rPr>
            <w:rStyle w:val="Hyperlink"/>
            <w:noProof/>
          </w:rPr>
          <w:t>5.</w:t>
        </w:r>
        <w:r>
          <w:rPr>
            <w:rFonts w:asciiTheme="minorHAnsi" w:eastAsiaTheme="minorEastAsia" w:hAnsiTheme="minorHAnsi"/>
            <w:noProof/>
            <w:kern w:val="2"/>
            <w:sz w:val="22"/>
            <w14:ligatures w14:val="standardContextual"/>
          </w:rPr>
          <w:tab/>
        </w:r>
        <w:r w:rsidRPr="000C1F3F">
          <w:rPr>
            <w:rStyle w:val="Hyperlink"/>
            <w:noProof/>
          </w:rPr>
          <w:t>The private interests of those impacted by the stay weigh in favor of staying the PUCO’s consideration of FirstEnergy’s ESP V and its Grid Mod I and II.</w:t>
        </w:r>
        <w:r>
          <w:rPr>
            <w:noProof/>
            <w:webHidden/>
          </w:rPr>
          <w:tab/>
        </w:r>
        <w:r>
          <w:rPr>
            <w:noProof/>
            <w:webHidden/>
          </w:rPr>
          <w:fldChar w:fldCharType="begin"/>
        </w:r>
        <w:r>
          <w:rPr>
            <w:noProof/>
            <w:webHidden/>
          </w:rPr>
          <w:instrText xml:space="preserve"> PAGEREF _Toc151125997 \h </w:instrText>
        </w:r>
        <w:r>
          <w:rPr>
            <w:noProof/>
            <w:webHidden/>
          </w:rPr>
          <w:fldChar w:fldCharType="separate"/>
        </w:r>
        <w:r>
          <w:rPr>
            <w:noProof/>
            <w:webHidden/>
          </w:rPr>
          <w:t>12</w:t>
        </w:r>
        <w:r>
          <w:rPr>
            <w:noProof/>
            <w:webHidden/>
          </w:rPr>
          <w:fldChar w:fldCharType="end"/>
        </w:r>
      </w:hyperlink>
    </w:p>
    <w:p w:rsidR="00913606" w14:paraId="06587026" w14:textId="2D09C956">
      <w:pPr>
        <w:pStyle w:val="TOC2"/>
        <w:rPr>
          <w:rFonts w:asciiTheme="minorHAnsi" w:eastAsiaTheme="minorEastAsia" w:hAnsiTheme="minorHAnsi"/>
          <w:noProof/>
          <w:kern w:val="2"/>
          <w:sz w:val="22"/>
          <w14:ligatures w14:val="standardContextual"/>
        </w:rPr>
      </w:pPr>
      <w:hyperlink w:anchor="_Toc151125998" w:history="1">
        <w:r w:rsidRPr="000C1F3F">
          <w:rPr>
            <w:rStyle w:val="Hyperlink"/>
            <w:noProof/>
          </w:rPr>
          <w:t>ASSIGNMENT OF ERROR NO. 2: The PUCO acted unreasonably in concluding that delaying FirstEnergy’s ESP would be “highly improper and may ultimately harm the very customers of FirstEnergy represented by OCC.”</w:t>
        </w:r>
        <w:r>
          <w:rPr>
            <w:noProof/>
            <w:webHidden/>
          </w:rPr>
          <w:tab/>
        </w:r>
        <w:r>
          <w:rPr>
            <w:noProof/>
            <w:webHidden/>
          </w:rPr>
          <w:fldChar w:fldCharType="begin"/>
        </w:r>
        <w:r>
          <w:rPr>
            <w:noProof/>
            <w:webHidden/>
          </w:rPr>
          <w:instrText xml:space="preserve"> PAGEREF _Toc151125998 \h </w:instrText>
        </w:r>
        <w:r>
          <w:rPr>
            <w:noProof/>
            <w:webHidden/>
          </w:rPr>
          <w:fldChar w:fldCharType="separate"/>
        </w:r>
        <w:r>
          <w:rPr>
            <w:noProof/>
            <w:webHidden/>
          </w:rPr>
          <w:t>13</w:t>
        </w:r>
        <w:r>
          <w:rPr>
            <w:noProof/>
            <w:webHidden/>
          </w:rPr>
          <w:fldChar w:fldCharType="end"/>
        </w:r>
      </w:hyperlink>
    </w:p>
    <w:p w:rsidR="00913606" w14:paraId="09D30852" w14:textId="0992FE55">
      <w:pPr>
        <w:pStyle w:val="TOC1"/>
        <w:rPr>
          <w:rFonts w:asciiTheme="minorHAnsi" w:eastAsiaTheme="minorEastAsia" w:hAnsiTheme="minorHAnsi"/>
          <w:caps w:val="0"/>
          <w:noProof/>
          <w:kern w:val="2"/>
          <w:sz w:val="22"/>
          <w14:ligatures w14:val="standardContextual"/>
        </w:rPr>
      </w:pPr>
      <w:hyperlink w:anchor="_Toc151125999" w:history="1">
        <w:r w:rsidRPr="000C1F3F">
          <w:rPr>
            <w:rStyle w:val="Hyperlink"/>
            <w:noProof/>
          </w:rPr>
          <w:t>III.</w:t>
        </w:r>
        <w:r>
          <w:rPr>
            <w:rFonts w:asciiTheme="minorHAnsi" w:eastAsiaTheme="minorEastAsia" w:hAnsiTheme="minorHAnsi"/>
            <w:caps w:val="0"/>
            <w:noProof/>
            <w:kern w:val="2"/>
            <w:sz w:val="22"/>
            <w14:ligatures w14:val="standardContextual"/>
          </w:rPr>
          <w:tab/>
        </w:r>
        <w:r w:rsidRPr="000C1F3F">
          <w:rPr>
            <w:rStyle w:val="Hyperlink"/>
            <w:noProof/>
          </w:rPr>
          <w:t>CONCLUSION</w:t>
        </w:r>
        <w:r>
          <w:rPr>
            <w:noProof/>
            <w:webHidden/>
          </w:rPr>
          <w:tab/>
        </w:r>
        <w:r>
          <w:rPr>
            <w:noProof/>
            <w:webHidden/>
          </w:rPr>
          <w:fldChar w:fldCharType="begin"/>
        </w:r>
        <w:r>
          <w:rPr>
            <w:noProof/>
            <w:webHidden/>
          </w:rPr>
          <w:instrText xml:space="preserve"> PAGEREF _Toc151125999 \h </w:instrText>
        </w:r>
        <w:r>
          <w:rPr>
            <w:noProof/>
            <w:webHidden/>
          </w:rPr>
          <w:fldChar w:fldCharType="separate"/>
        </w:r>
        <w:r>
          <w:rPr>
            <w:noProof/>
            <w:webHidden/>
          </w:rPr>
          <w:t>14</w:t>
        </w:r>
        <w:r>
          <w:rPr>
            <w:noProof/>
            <w:webHidden/>
          </w:rPr>
          <w:fldChar w:fldCharType="end"/>
        </w:r>
      </w:hyperlink>
    </w:p>
    <w:p w:rsidR="00E50F15" w:rsidRPr="009200C4" w:rsidP="00E50F15" w14:paraId="27C91DC1" w14:textId="7FF2F333">
      <w:pPr>
        <w:rPr>
          <w:rFonts w:eastAsia="Times New Roman" w:cs="Times New Roman"/>
          <w:szCs w:val="24"/>
        </w:rPr>
      </w:pPr>
      <w:r>
        <w:rPr>
          <w:rFonts w:eastAsia="Times New Roman" w:cs="Times New Roman"/>
          <w:caps/>
          <w:szCs w:val="24"/>
        </w:rPr>
        <w:fldChar w:fldCharType="end"/>
      </w:r>
    </w:p>
    <w:p w:rsidR="00E50F15" w:rsidRPr="009200C4" w:rsidP="00E50F15" w14:paraId="27FCB095" w14:textId="77777777">
      <w:pPr>
        <w:jc w:val="center"/>
        <w:rPr>
          <w:rFonts w:cs="Times New Roman"/>
          <w:b/>
          <w:bCs/>
          <w:szCs w:val="24"/>
        </w:rPr>
      </w:pPr>
    </w:p>
    <w:p w:rsidR="00D841A1" w:rsidRPr="009200C4" w:rsidP="00D841A1" w14:paraId="2834F9CB" w14:textId="23B9B208">
      <w:pPr>
        <w:pStyle w:val="BodyTextIndent3"/>
        <w:spacing w:line="480" w:lineRule="auto"/>
        <w:rPr>
          <w:b/>
          <w:bCs/>
          <w:szCs w:val="24"/>
        </w:rPr>
        <w:sectPr w:rsidSect="00E8714A">
          <w:footerReference w:type="default" r:id="rId14"/>
          <w:pgSz w:w="12240" w:h="15840"/>
          <w:pgMar w:top="1440" w:right="1800" w:bottom="1440" w:left="1800" w:header="720" w:footer="720" w:gutter="0"/>
          <w:pgNumType w:fmt="lowerRoman" w:start="1"/>
          <w:cols w:space="720"/>
          <w:docGrid w:linePitch="360"/>
        </w:sectPr>
      </w:pPr>
    </w:p>
    <w:p w:rsidR="00EA521C" w:rsidRPr="009200C4" w:rsidP="00EA521C" w14:paraId="0168221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9200C4">
        <w:rPr>
          <w:rFonts w:ascii="Times New Roman" w:hAnsi="Times New Roman" w:cs="Times New Roman"/>
          <w:b/>
          <w:bCs/>
          <w:sz w:val="24"/>
          <w:szCs w:val="24"/>
        </w:rPr>
        <w:t>BEFORE</w:t>
      </w:r>
    </w:p>
    <w:p w:rsidR="00EA521C" w:rsidRPr="009200C4" w:rsidP="00EA521C" w14:paraId="12F1188A" w14:textId="77777777">
      <w:pPr>
        <w:pStyle w:val="HTMLPreformatted"/>
        <w:jc w:val="center"/>
        <w:rPr>
          <w:rFonts w:ascii="Times New Roman" w:hAnsi="Times New Roman" w:cs="Times New Roman"/>
          <w:b/>
          <w:bCs/>
          <w:sz w:val="24"/>
          <w:szCs w:val="24"/>
        </w:rPr>
      </w:pPr>
      <w:r w:rsidRPr="009200C4">
        <w:rPr>
          <w:rFonts w:ascii="Times New Roman" w:hAnsi="Times New Roman" w:cs="Times New Roman"/>
          <w:b/>
          <w:bCs/>
          <w:sz w:val="24"/>
          <w:szCs w:val="24"/>
        </w:rPr>
        <w:t>THE PUBLIC UTILITIES COMMISSION OF OHIO</w:t>
      </w:r>
    </w:p>
    <w:p w:rsidR="00EA521C" w:rsidRPr="009200C4" w:rsidP="00EA521C" w14:paraId="4647187C" w14:textId="77777777">
      <w:pPr>
        <w:pStyle w:val="HTMLPreformatted"/>
        <w:jc w:val="center"/>
        <w:rPr>
          <w:rFonts w:ascii="Times New Roman" w:hAnsi="Times New Roman" w:cs="Times New Roman"/>
          <w:b/>
          <w:bCs/>
          <w:sz w:val="24"/>
          <w:szCs w:val="24"/>
        </w:rPr>
      </w:pPr>
    </w:p>
    <w:tbl>
      <w:tblPr>
        <w:tblW w:w="8838" w:type="dxa"/>
        <w:tblInd w:w="-108" w:type="dxa"/>
        <w:tblCellMar>
          <w:top w:w="0" w:type="dxa"/>
          <w:left w:w="108" w:type="dxa"/>
          <w:bottom w:w="0" w:type="dxa"/>
          <w:right w:w="108" w:type="dxa"/>
        </w:tblCellMar>
        <w:tblLook w:val="01E0"/>
      </w:tblPr>
      <w:tblGrid>
        <w:gridCol w:w="4237"/>
        <w:gridCol w:w="551"/>
        <w:gridCol w:w="4050"/>
      </w:tblGrid>
      <w:tr w14:paraId="03795188" w14:textId="77777777" w:rsidTr="0092723E">
        <w:tblPrEx>
          <w:tblW w:w="8838" w:type="dxa"/>
          <w:tblInd w:w="-108" w:type="dxa"/>
          <w:tblCellMar>
            <w:top w:w="0" w:type="dxa"/>
            <w:left w:w="108" w:type="dxa"/>
            <w:bottom w:w="0" w:type="dxa"/>
            <w:right w:w="108" w:type="dxa"/>
          </w:tblCellMar>
          <w:tblLook w:val="01E0"/>
        </w:tblPrEx>
        <w:trPr>
          <w:trHeight w:val="807"/>
        </w:trPr>
        <w:tc>
          <w:tcPr>
            <w:tcW w:w="4237" w:type="dxa"/>
            <w:shd w:val="clear" w:color="auto" w:fill="auto"/>
          </w:tcPr>
          <w:p w:rsidR="00180325" w:rsidP="0092723E" w14:paraId="679607FE" w14:textId="77777777">
            <w:pPr>
              <w:adjustRightInd w:val="0"/>
              <w:spacing w:after="0" w:line="240" w:lineRule="auto"/>
              <w:rPr>
                <w:rFonts w:ascii="Times New Roman" w:hAnsi="Times New Roman" w:eastAsiaTheme="minorHAnsi" w:cstheme="minorBidi"/>
                <w:sz w:val="24"/>
                <w:szCs w:val="22"/>
                <w:lang w:val="en-US" w:eastAsia="en-US" w:bidi="ar-SA"/>
              </w:rPr>
            </w:pPr>
            <w:r>
              <w:rPr>
                <w:rFonts w:ascii="Times New Roman" w:hAnsi="Times New Roman" w:eastAsiaTheme="minorHAnsi" w:cstheme="minorBidi"/>
                <w:sz w:val="24"/>
                <w:szCs w:val="22"/>
                <w:lang w:val="en-US" w:eastAsia="en-US" w:bidi="ar-SA"/>
              </w:rPr>
              <w:t xml:space="preserve">In the Matter of the 2020 Review of the Delivery Capital Recovery Rider of Ohio Edison Company, the Cleveland Electric Illuminating Company, and the Toledo Edison Company. </w:t>
            </w:r>
          </w:p>
        </w:tc>
        <w:tc>
          <w:tcPr>
            <w:tcW w:w="551" w:type="dxa"/>
            <w:shd w:val="clear" w:color="auto" w:fill="auto"/>
          </w:tcPr>
          <w:p w:rsidR="00180325" w:rsidP="0092723E" w14:paraId="01BD7A9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180325" w:rsidP="0092723E" w14:paraId="5D1481C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180325" w:rsidP="0092723E" w14:paraId="76C31BA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180325" w:rsidP="0092723E" w14:paraId="360922F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180325" w:rsidP="0092723E" w14:paraId="178F789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tc>
        <w:tc>
          <w:tcPr>
            <w:tcW w:w="4050" w:type="dxa"/>
            <w:shd w:val="clear" w:color="auto" w:fill="auto"/>
          </w:tcPr>
          <w:p w:rsidR="00180325" w:rsidP="0092723E" w14:paraId="7612BD7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180325" w:rsidP="0092723E" w14:paraId="47FB019A"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Case No. 20-1629-EL-RDR</w:t>
            </w:r>
          </w:p>
        </w:tc>
      </w:tr>
    </w:tbl>
    <w:p w:rsidR="00EA521C" w:rsidRPr="009200C4" w:rsidP="00EA521C" w14:paraId="36E7877F" w14:textId="77777777">
      <w:pPr>
        <w:pStyle w:val="HTMLPreformatted"/>
        <w:jc w:val="center"/>
        <w:rPr>
          <w:rFonts w:ascii="Times New Roman" w:hAnsi="Times New Roman" w:cs="Times New Roman"/>
          <w:b/>
          <w:bCs/>
          <w:sz w:val="24"/>
          <w:szCs w:val="24"/>
        </w:rPr>
      </w:pPr>
    </w:p>
    <w:p w:rsidR="00EA521C" w:rsidRPr="009200C4" w:rsidP="00EA521C" w14:paraId="6B45E149" w14:textId="77777777">
      <w:pPr>
        <w:pStyle w:val="HTMLPreformatted"/>
        <w:pBdr>
          <w:top w:val="single" w:sz="12" w:space="1" w:color="auto"/>
        </w:pBdr>
        <w:rPr>
          <w:rFonts w:ascii="Times New Roman" w:hAnsi="Times New Roman" w:cs="Times New Roman"/>
          <w:sz w:val="24"/>
          <w:szCs w:val="24"/>
        </w:rPr>
      </w:pPr>
    </w:p>
    <w:p w:rsidR="00EA521C" w:rsidRPr="009200C4" w:rsidP="00EA521C" w14:paraId="72E098AA" w14:textId="77777777">
      <w:pPr>
        <w:jc w:val="center"/>
        <w:rPr>
          <w:rFonts w:cs="Times New Roman"/>
          <w:b/>
          <w:szCs w:val="24"/>
        </w:rPr>
      </w:pPr>
      <w:r w:rsidRPr="009200C4">
        <w:rPr>
          <w:rFonts w:cs="Times New Roman"/>
          <w:b/>
          <w:szCs w:val="24"/>
        </w:rPr>
        <w:t>MEMORANDUM IN SUPPORT</w:t>
      </w:r>
    </w:p>
    <w:p w:rsidR="00EA521C" w:rsidRPr="009200C4" w:rsidP="00EA521C" w14:paraId="2D4DA85F" w14:textId="77777777">
      <w:pPr>
        <w:pBdr>
          <w:bottom w:val="single" w:sz="12" w:space="1" w:color="auto"/>
        </w:pBdr>
        <w:autoSpaceDE w:val="0"/>
        <w:autoSpaceDN w:val="0"/>
        <w:adjustRightInd w:val="0"/>
        <w:jc w:val="center"/>
        <w:rPr>
          <w:rFonts w:eastAsia="Calibri" w:cs="Times New Roman"/>
          <w:b/>
          <w:bCs/>
          <w:szCs w:val="24"/>
        </w:rPr>
      </w:pPr>
    </w:p>
    <w:p w:rsidR="00EA521C" w:rsidRPr="009200C4" w:rsidP="00EA521C" w14:paraId="699A3557" w14:textId="77777777">
      <w:pPr>
        <w:ind w:left="2880" w:firstLine="720"/>
        <w:rPr>
          <w:rFonts w:cs="Times New Roman"/>
          <w:szCs w:val="24"/>
        </w:rPr>
      </w:pPr>
    </w:p>
    <w:p w:rsidR="00AC4E56" w:rsidRPr="009200C4" w:rsidP="00E303E5" w14:paraId="064170DE" w14:textId="163F9C09">
      <w:pPr>
        <w:pStyle w:val="Heading1"/>
      </w:pPr>
      <w:bookmarkStart w:id="2" w:name="_Toc146293488"/>
      <w:bookmarkStart w:id="3" w:name="_Toc151125985"/>
      <w:r>
        <w:t>I.</w:t>
      </w:r>
      <w:r>
        <w:tab/>
      </w:r>
      <w:r w:rsidRPr="009200C4" w:rsidR="00085141">
        <w:t>INTRODUCTION</w:t>
      </w:r>
      <w:bookmarkEnd w:id="0"/>
      <w:bookmarkEnd w:id="2"/>
      <w:bookmarkEnd w:id="3"/>
    </w:p>
    <w:p w:rsidR="00131857" w:rsidRPr="009200C4" w:rsidP="003E1766" w14:paraId="329C951C" w14:textId="1E40B13E">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The PUCO has four investigations</w:t>
      </w:r>
      <w:r w:rsidRPr="009200C4" w:rsidR="000F2992">
        <w:rPr>
          <w:rFonts w:cs="Times New Roman"/>
          <w:szCs w:val="24"/>
        </w:rPr>
        <w:t>,</w:t>
      </w:r>
      <w:r>
        <w:rPr>
          <w:rStyle w:val="FootnoteReference"/>
          <w:rFonts w:cs="Times New Roman"/>
          <w:szCs w:val="24"/>
        </w:rPr>
        <w:footnoteReference w:id="3"/>
      </w:r>
      <w:r w:rsidRPr="009200C4">
        <w:rPr>
          <w:rFonts w:cs="Times New Roman"/>
          <w:szCs w:val="24"/>
        </w:rPr>
        <w:t xml:space="preserve"> initiated largely at OCC’s request, relating to the FirstEnergy House Bill 6 scandals. United States District Judge Algenon Marbley described the scandals as FirstEnergy’s “</w:t>
      </w:r>
      <w:r w:rsidRPr="009200C4">
        <w:rPr>
          <w:rFonts w:cs="Times New Roman"/>
          <w:i/>
          <w:iCs/>
          <w:szCs w:val="24"/>
        </w:rPr>
        <w:t>unparalleled corruption</w:t>
      </w:r>
      <w:r w:rsidRPr="009200C4">
        <w:rPr>
          <w:rFonts w:cs="Times New Roman"/>
          <w:szCs w:val="24"/>
        </w:rPr>
        <w:t xml:space="preserve"> of Ohio’s democratic process.”</w:t>
      </w:r>
      <w:r>
        <w:rPr>
          <w:rStyle w:val="FootnoteReference"/>
          <w:rFonts w:cs="Times New Roman"/>
          <w:szCs w:val="24"/>
        </w:rPr>
        <w:footnoteReference w:id="4"/>
      </w:r>
      <w:r w:rsidRPr="009200C4">
        <w:rPr>
          <w:rFonts w:cs="Times New Roman"/>
          <w:szCs w:val="24"/>
        </w:rPr>
        <w:t xml:space="preserve"> </w:t>
      </w:r>
      <w:r w:rsidRPr="009200C4" w:rsidR="004B57FC">
        <w:rPr>
          <w:rFonts w:cs="Times New Roman"/>
          <w:szCs w:val="24"/>
        </w:rPr>
        <w:t xml:space="preserve">On August 23, 2023, the PUCO approved the U.S. Attorney’s third </w:t>
      </w:r>
      <w:r w:rsidRPr="009200C4" w:rsidR="00CF05EC">
        <w:rPr>
          <w:rFonts w:cs="Times New Roman"/>
          <w:szCs w:val="24"/>
        </w:rPr>
        <w:t xml:space="preserve">six-month </w:t>
      </w:r>
      <w:r w:rsidRPr="009200C4" w:rsidR="004B57FC">
        <w:rPr>
          <w:rFonts w:cs="Times New Roman"/>
          <w:szCs w:val="24"/>
        </w:rPr>
        <w:t xml:space="preserve">request to stay </w:t>
      </w:r>
      <w:r w:rsidRPr="009200C4" w:rsidR="00ED1497">
        <w:rPr>
          <w:rFonts w:cs="Times New Roman"/>
          <w:szCs w:val="24"/>
        </w:rPr>
        <w:t>these investigations</w:t>
      </w:r>
      <w:r w:rsidRPr="009200C4" w:rsidR="004B57FC">
        <w:rPr>
          <w:rFonts w:cs="Times New Roman"/>
          <w:szCs w:val="24"/>
        </w:rPr>
        <w:t xml:space="preserve"> into the FirstEnergy House Bill 6 scandal. </w:t>
      </w:r>
      <w:r w:rsidRPr="009200C4" w:rsidR="00CF05EC">
        <w:rPr>
          <w:rFonts w:cs="Times New Roman"/>
          <w:szCs w:val="24"/>
        </w:rPr>
        <w:t>OCC respects the role of the U.S. Attorney.</w:t>
      </w:r>
      <w:r w:rsidRPr="009200C4" w:rsidR="006E03ED">
        <w:rPr>
          <w:rFonts w:cs="Times New Roman"/>
          <w:szCs w:val="24"/>
        </w:rPr>
        <w:t xml:space="preserve"> </w:t>
      </w:r>
    </w:p>
    <w:p w:rsidR="00E1265A" w:rsidRPr="009200C4" w:rsidP="003E1766" w14:paraId="7FF49092" w14:textId="1EED9B71">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But </w:t>
      </w:r>
      <w:r w:rsidRPr="009200C4" w:rsidR="00444A90">
        <w:rPr>
          <w:rFonts w:cs="Times New Roman"/>
          <w:szCs w:val="24"/>
        </w:rPr>
        <w:t>before paying billions of dollars more to FirstEnergy, c</w:t>
      </w:r>
      <w:r w:rsidRPr="009200C4" w:rsidR="00085141">
        <w:rPr>
          <w:rFonts w:cs="Times New Roman"/>
          <w:szCs w:val="24"/>
        </w:rPr>
        <w:t>onsumers have a right to know how deep the corruption runs</w:t>
      </w:r>
      <w:r w:rsidRPr="009200C4" w:rsidR="00CF05EC">
        <w:rPr>
          <w:rFonts w:cs="Times New Roman"/>
          <w:szCs w:val="24"/>
        </w:rPr>
        <w:t xml:space="preserve">, including </w:t>
      </w:r>
      <w:r w:rsidRPr="009200C4" w:rsidR="00242B2E">
        <w:rPr>
          <w:rFonts w:cs="Times New Roman"/>
          <w:szCs w:val="24"/>
        </w:rPr>
        <w:t xml:space="preserve">potentially into </w:t>
      </w:r>
      <w:r w:rsidRPr="009200C4" w:rsidR="004C4DAE">
        <w:rPr>
          <w:rFonts w:cs="Times New Roman"/>
          <w:szCs w:val="24"/>
        </w:rPr>
        <w:t xml:space="preserve">FirstEnergy’s ESP V and </w:t>
      </w:r>
      <w:r w:rsidRPr="009200C4" w:rsidR="00242B2E">
        <w:rPr>
          <w:rFonts w:cs="Times New Roman"/>
          <w:szCs w:val="24"/>
        </w:rPr>
        <w:t>Grid Mod I and II</w:t>
      </w:r>
      <w:r w:rsidRPr="009200C4" w:rsidR="00444A90">
        <w:rPr>
          <w:rFonts w:cs="Times New Roman"/>
          <w:szCs w:val="24"/>
        </w:rPr>
        <w:t xml:space="preserve">. That corruption potentially involves </w:t>
      </w:r>
      <w:r w:rsidRPr="009200C4" w:rsidR="00085141">
        <w:rPr>
          <w:rFonts w:cs="Times New Roman"/>
          <w:szCs w:val="24"/>
        </w:rPr>
        <w:t>FirstEnergy and its relationship with former PUCO Chair Randazzo.</w:t>
      </w:r>
      <w:r w:rsidRPr="009200C4" w:rsidR="00444A90">
        <w:rPr>
          <w:rFonts w:cs="Times New Roman"/>
          <w:szCs w:val="24"/>
        </w:rPr>
        <w:t xml:space="preserve"> </w:t>
      </w:r>
      <w:r w:rsidRPr="009200C4" w:rsidR="00286E25">
        <w:rPr>
          <w:rFonts w:cs="Times New Roman"/>
          <w:szCs w:val="24"/>
        </w:rPr>
        <w:t xml:space="preserve">Recall that FirstEnergy Corp. entered into a Deferred Prosecution Agreement with the Government under which it admitted that it </w:t>
      </w:r>
      <w:r w:rsidRPr="009200C4" w:rsidR="00286E25">
        <w:rPr>
          <w:rFonts w:cs="Times New Roman"/>
          <w:color w:val="000000" w:themeColor="text1"/>
          <w:szCs w:val="24"/>
        </w:rPr>
        <w:t>“</w:t>
      </w:r>
      <w:r w:rsidRPr="009200C4" w:rsidR="00286E25">
        <w:rPr>
          <w:rFonts w:cs="Times New Roman"/>
          <w:color w:val="000000" w:themeColor="text1"/>
          <w:szCs w:val="24"/>
          <w:shd w:val="clear" w:color="auto" w:fill="FFFFFF"/>
        </w:rPr>
        <w:t xml:space="preserve">paid $4.3 million dollars to [Randazzo] through his consulting company in return for [Randazzo] performing official action in his capacity as PUCO Chairman to further FirstEnergy Corp.’s interests relating to passage of nuclear legislation and </w:t>
      </w:r>
      <w:r w:rsidRPr="009200C4" w:rsidR="00286E25">
        <w:rPr>
          <w:rFonts w:cs="Times New Roman"/>
          <w:i/>
          <w:iCs/>
          <w:color w:val="000000" w:themeColor="text1"/>
          <w:szCs w:val="24"/>
          <w:shd w:val="clear" w:color="auto" w:fill="FFFFFF"/>
        </w:rPr>
        <w:t>other specific FirstEnergy Corp. legislative and regulatory priorities, as requested and as opportunities arose.”</w:t>
      </w:r>
      <w:r>
        <w:rPr>
          <w:rStyle w:val="FootnoteReference"/>
          <w:rFonts w:cs="Times New Roman"/>
          <w:color w:val="000000" w:themeColor="text1"/>
          <w:szCs w:val="24"/>
          <w:shd w:val="clear" w:color="auto" w:fill="FFFFFF"/>
        </w:rPr>
        <w:footnoteReference w:id="5"/>
      </w:r>
    </w:p>
    <w:p w:rsidR="003E1766" w:rsidRPr="009200C4" w:rsidP="003E1766" w14:paraId="0C4309CB" w14:textId="112C221B">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The PUCO has stayed its four investigations into the HB 6 scandal at the request of the U.S. Attorney.</w:t>
      </w:r>
      <w:r w:rsidRPr="009200C4" w:rsidR="00D82DE7">
        <w:rPr>
          <w:rFonts w:cs="Times New Roman"/>
          <w:szCs w:val="24"/>
        </w:rPr>
        <w:t xml:space="preserve"> </w:t>
      </w:r>
      <w:r w:rsidRPr="009200C4">
        <w:rPr>
          <w:rFonts w:cs="Times New Roman"/>
          <w:szCs w:val="24"/>
        </w:rPr>
        <w:t>While OCC opposed that decision,</w:t>
      </w:r>
      <w:r>
        <w:rPr>
          <w:rStyle w:val="FootnoteReference"/>
          <w:rFonts w:cs="Times New Roman"/>
          <w:szCs w:val="24"/>
        </w:rPr>
        <w:footnoteReference w:id="6"/>
      </w:r>
      <w:r w:rsidRPr="009200C4">
        <w:rPr>
          <w:rFonts w:cs="Times New Roman"/>
          <w:szCs w:val="24"/>
        </w:rPr>
        <w:t xml:space="preserve"> it offered a reasonable alternative to the PUCO</w:t>
      </w:r>
      <w:r w:rsidRPr="009200C4" w:rsidR="00FF3103">
        <w:rPr>
          <w:rFonts w:cs="Times New Roman"/>
          <w:szCs w:val="24"/>
        </w:rPr>
        <w:t>. I</w:t>
      </w:r>
      <w:r w:rsidRPr="009200C4">
        <w:rPr>
          <w:rFonts w:cs="Times New Roman"/>
          <w:szCs w:val="24"/>
        </w:rPr>
        <w:t xml:space="preserve">f a stay is ordered of the PUCO investigations of FirstEnergy, then it should stay pending FirstEnergy proceedings -- </w:t>
      </w:r>
      <w:r w:rsidRPr="009200C4" w:rsidR="00E83F2D">
        <w:rPr>
          <w:rFonts w:cs="Times New Roman"/>
          <w:szCs w:val="24"/>
        </w:rPr>
        <w:t xml:space="preserve">FirstEnergy’s </w:t>
      </w:r>
      <w:r w:rsidRPr="009200C4" w:rsidR="004C4DAE">
        <w:rPr>
          <w:rFonts w:cs="Times New Roman"/>
          <w:szCs w:val="24"/>
        </w:rPr>
        <w:t xml:space="preserve">ESP V and its </w:t>
      </w:r>
      <w:r w:rsidRPr="009200C4" w:rsidR="00E83F2D">
        <w:rPr>
          <w:rFonts w:cs="Times New Roman"/>
          <w:szCs w:val="24"/>
        </w:rPr>
        <w:t>Grid Mod (</w:t>
      </w:r>
      <w:r w:rsidRPr="009200C4" w:rsidR="009F77A3">
        <w:rPr>
          <w:rFonts w:cs="Times New Roman"/>
          <w:szCs w:val="24"/>
        </w:rPr>
        <w:t>P</w:t>
      </w:r>
      <w:r w:rsidRPr="009200C4" w:rsidR="00E83F2D">
        <w:rPr>
          <w:rFonts w:cs="Times New Roman"/>
          <w:szCs w:val="24"/>
        </w:rPr>
        <w:t xml:space="preserve">hase </w:t>
      </w:r>
      <w:r w:rsidRPr="009200C4" w:rsidR="00A62862">
        <w:rPr>
          <w:rFonts w:cs="Times New Roman"/>
          <w:szCs w:val="24"/>
        </w:rPr>
        <w:t>I</w:t>
      </w:r>
      <w:r w:rsidRPr="009200C4" w:rsidR="00E83F2D">
        <w:rPr>
          <w:rFonts w:cs="Times New Roman"/>
          <w:szCs w:val="24"/>
        </w:rPr>
        <w:t xml:space="preserve"> and </w:t>
      </w:r>
      <w:r w:rsidRPr="009200C4" w:rsidR="00A62862">
        <w:rPr>
          <w:rFonts w:cs="Times New Roman"/>
          <w:szCs w:val="24"/>
        </w:rPr>
        <w:t>II</w:t>
      </w:r>
      <w:r w:rsidRPr="009200C4" w:rsidR="00E83F2D">
        <w:rPr>
          <w:rFonts w:cs="Times New Roman"/>
          <w:szCs w:val="24"/>
        </w:rPr>
        <w:t>).</w:t>
      </w:r>
      <w:r>
        <w:rPr>
          <w:rStyle w:val="FootnoteReference"/>
          <w:rFonts w:cs="Times New Roman"/>
          <w:szCs w:val="24"/>
        </w:rPr>
        <w:footnoteReference w:id="7"/>
      </w:r>
      <w:r w:rsidRPr="009200C4" w:rsidR="00D6661D">
        <w:rPr>
          <w:rFonts w:cs="Times New Roman"/>
          <w:szCs w:val="24"/>
        </w:rPr>
        <w:t xml:space="preserve"> </w:t>
      </w:r>
      <w:r w:rsidRPr="009200C4" w:rsidR="00910C2E">
        <w:rPr>
          <w:rFonts w:cs="Times New Roman"/>
          <w:szCs w:val="24"/>
        </w:rPr>
        <w:t>That would create a fairness of balance and symmetry in PUCO regulation – something that is especially needed when it comes to FirstEnergy’s 2 million consumers.</w:t>
      </w:r>
      <w:r w:rsidRPr="009200C4" w:rsidR="00D82DE7">
        <w:rPr>
          <w:rFonts w:cs="Times New Roman"/>
          <w:szCs w:val="24"/>
        </w:rPr>
        <w:t xml:space="preserve"> </w:t>
      </w:r>
      <w:r w:rsidRPr="009200C4" w:rsidR="00131857">
        <w:rPr>
          <w:rFonts w:cs="Times New Roman"/>
          <w:szCs w:val="24"/>
        </w:rPr>
        <w:t xml:space="preserve">Going forward with these other </w:t>
      </w:r>
      <w:r w:rsidRPr="009200C4" w:rsidR="00A41834">
        <w:rPr>
          <w:rFonts w:cs="Times New Roman"/>
          <w:szCs w:val="24"/>
        </w:rPr>
        <w:t>proceedings</w:t>
      </w:r>
      <w:r w:rsidRPr="009200C4" w:rsidR="00131857">
        <w:rPr>
          <w:rFonts w:cs="Times New Roman"/>
          <w:szCs w:val="24"/>
        </w:rPr>
        <w:t xml:space="preserve"> </w:t>
      </w:r>
      <w:r w:rsidRPr="009200C4" w:rsidR="00910C2E">
        <w:rPr>
          <w:rFonts w:cs="Times New Roman"/>
          <w:szCs w:val="24"/>
        </w:rPr>
        <w:t>is also</w:t>
      </w:r>
      <w:r w:rsidRPr="009200C4" w:rsidR="00131857">
        <w:rPr>
          <w:rFonts w:cs="Times New Roman"/>
          <w:szCs w:val="24"/>
        </w:rPr>
        <w:t xml:space="preserve"> inefficient and prejudicial to consumers. </w:t>
      </w:r>
      <w:r w:rsidRPr="009200C4" w:rsidR="008253E9">
        <w:rPr>
          <w:rFonts w:cs="Times New Roman"/>
          <w:szCs w:val="24"/>
        </w:rPr>
        <w:t xml:space="preserve">As the PUCO acknowledged, the public has an interest in the efficient use of </w:t>
      </w:r>
      <w:r w:rsidRPr="009200C4" w:rsidR="009F77A3">
        <w:rPr>
          <w:rFonts w:cs="Times New Roman"/>
          <w:szCs w:val="24"/>
        </w:rPr>
        <w:t xml:space="preserve">government </w:t>
      </w:r>
      <w:r w:rsidRPr="009200C4" w:rsidR="008253E9">
        <w:rPr>
          <w:rFonts w:cs="Times New Roman"/>
          <w:szCs w:val="24"/>
        </w:rPr>
        <w:t>resources.</w:t>
      </w:r>
      <w:r>
        <w:rPr>
          <w:rStyle w:val="FootnoteReference"/>
          <w:rFonts w:cs="Times New Roman"/>
          <w:szCs w:val="24"/>
        </w:rPr>
        <w:footnoteReference w:id="8"/>
      </w:r>
      <w:r w:rsidRPr="009200C4" w:rsidR="00D6661D">
        <w:rPr>
          <w:rFonts w:cs="Times New Roman"/>
          <w:szCs w:val="24"/>
        </w:rPr>
        <w:t xml:space="preserve"> </w:t>
      </w:r>
    </w:p>
    <w:p w:rsidR="00910C2E" w:rsidRPr="009200C4" w:rsidP="003F44AF" w14:paraId="385FF264" w14:textId="5E6F92D9">
      <w:pPr>
        <w:kinsoku w:val="0"/>
        <w:overflowPunct w:val="0"/>
        <w:autoSpaceDE w:val="0"/>
        <w:autoSpaceDN w:val="0"/>
        <w:adjustRightInd w:val="0"/>
        <w:spacing w:line="480" w:lineRule="auto"/>
        <w:ind w:firstLine="720"/>
        <w:rPr>
          <w:rFonts w:cs="Times New Roman"/>
          <w:szCs w:val="24"/>
        </w:rPr>
      </w:pPr>
      <w:bookmarkStart w:id="4" w:name="_Hlk146287456"/>
      <w:r w:rsidRPr="009200C4">
        <w:rPr>
          <w:rFonts w:cs="Times New Roman"/>
          <w:szCs w:val="24"/>
        </w:rPr>
        <w:t>But the PUCO rejected OCC’s request to stay the pending FirstEnergy proceedings.</w:t>
      </w:r>
      <w:r w:rsidRPr="009200C4" w:rsidR="00D82DE7">
        <w:rPr>
          <w:rFonts w:cs="Times New Roman"/>
          <w:szCs w:val="24"/>
        </w:rPr>
        <w:t xml:space="preserve"> </w:t>
      </w:r>
      <w:r w:rsidRPr="009200C4">
        <w:rPr>
          <w:rFonts w:cs="Times New Roman"/>
          <w:szCs w:val="24"/>
        </w:rPr>
        <w:t xml:space="preserve">So FirstEnergy </w:t>
      </w:r>
      <w:r w:rsidRPr="009200C4" w:rsidR="00085141">
        <w:rPr>
          <w:rFonts w:cs="Times New Roman"/>
          <w:szCs w:val="24"/>
        </w:rPr>
        <w:t>consumers are being denied the fairness of balance and symmetry in regulation.</w:t>
      </w:r>
      <w:r w:rsidRPr="009200C4" w:rsidR="006E03ED">
        <w:rPr>
          <w:rFonts w:cs="Times New Roman"/>
          <w:szCs w:val="24"/>
        </w:rPr>
        <w:t xml:space="preserve"> </w:t>
      </w:r>
      <w:r w:rsidRPr="009200C4">
        <w:rPr>
          <w:rFonts w:cs="Times New Roman"/>
          <w:szCs w:val="24"/>
        </w:rPr>
        <w:t>T</w:t>
      </w:r>
      <w:r w:rsidRPr="009200C4" w:rsidR="00085141">
        <w:rPr>
          <w:rFonts w:cs="Times New Roman"/>
          <w:szCs w:val="24"/>
        </w:rPr>
        <w:t xml:space="preserve">he PUCO-initiated cases with potential outcomes adverse to FirstEnergy are stayed but cases that FirstEnergy initiated for charging consumers higher </w:t>
      </w:r>
      <w:r w:rsidRPr="009200C4" w:rsidR="00EC1469">
        <w:rPr>
          <w:rFonts w:cs="Times New Roman"/>
          <w:szCs w:val="24"/>
        </w:rPr>
        <w:t xml:space="preserve">rates are ongoing. </w:t>
      </w:r>
    </w:p>
    <w:p w:rsidR="00631510" w:rsidP="003F44AF" w14:paraId="22CAC5DF" w14:textId="1D113661">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Staying the pending FirstEnergy proceedings would be fair to FirstEnergy’s two million consumers.</w:t>
      </w:r>
      <w:bookmarkEnd w:id="4"/>
      <w:r w:rsidRPr="009200C4" w:rsidR="008D0B01">
        <w:rPr>
          <w:rFonts w:cs="Times New Roman"/>
          <w:szCs w:val="24"/>
        </w:rPr>
        <w:t xml:space="preserve"> Rehearing should be granted. </w:t>
      </w:r>
    </w:p>
    <w:p w:rsidR="008D14C8" w:rsidRPr="009200C4" w:rsidP="008D14C8" w14:paraId="15EAC7F4" w14:textId="77777777">
      <w:pPr>
        <w:kinsoku w:val="0"/>
        <w:overflowPunct w:val="0"/>
        <w:autoSpaceDE w:val="0"/>
        <w:autoSpaceDN w:val="0"/>
        <w:adjustRightInd w:val="0"/>
        <w:ind w:firstLine="720"/>
        <w:rPr>
          <w:rFonts w:cs="Times New Roman"/>
          <w:szCs w:val="24"/>
        </w:rPr>
      </w:pPr>
    </w:p>
    <w:p w:rsidR="00FA3F26" w:rsidRPr="009200C4" w:rsidP="00E303E5" w14:paraId="36D9257A" w14:textId="3604D020">
      <w:pPr>
        <w:pStyle w:val="Heading1"/>
      </w:pPr>
      <w:bookmarkStart w:id="5" w:name="_Toc146293489"/>
      <w:bookmarkStart w:id="6" w:name="_Toc151125986"/>
      <w:r>
        <w:t>II.</w:t>
      </w:r>
      <w:r>
        <w:tab/>
      </w:r>
      <w:r w:rsidRPr="009200C4" w:rsidR="00085141">
        <w:t>GROUNDS FOR REHEARING</w:t>
      </w:r>
      <w:bookmarkEnd w:id="5"/>
      <w:bookmarkEnd w:id="6"/>
    </w:p>
    <w:p w:rsidR="00881BA7" w:rsidRPr="009200C4" w:rsidP="00252514" w14:paraId="44A68BC7" w14:textId="6EDA793F">
      <w:pPr>
        <w:pStyle w:val="Heading2"/>
      </w:pPr>
      <w:bookmarkStart w:id="7" w:name="_Toc151125987"/>
      <w:bookmarkStart w:id="8" w:name="_Toc131764988"/>
      <w:r w:rsidRPr="006270B8">
        <w:rPr>
          <w:rStyle w:val="Heading1Char"/>
          <w:b/>
          <w:bCs w:val="0"/>
        </w:rPr>
        <w:t>ASSIGNMENT OF ERROR NO. 1:</w:t>
      </w:r>
      <w:r w:rsidRPr="006270B8" w:rsidR="00D82DE7">
        <w:rPr>
          <w:rStyle w:val="Heading1Char"/>
        </w:rPr>
        <w:t xml:space="preserve"> </w:t>
      </w:r>
      <w:r w:rsidRPr="006270B8" w:rsidR="001C57A8">
        <w:t>The PUCO acted unreasonably in denying OCC’s request to stay FirstEnergy’s</w:t>
      </w:r>
      <w:r w:rsidRPr="006270B8" w:rsidR="002057B1">
        <w:t xml:space="preserve"> fifth electric security plan case and</w:t>
      </w:r>
      <w:r w:rsidRPr="006270B8" w:rsidR="001C57A8">
        <w:t xml:space="preserve"> grid modernization cases based on </w:t>
      </w:r>
      <w:r w:rsidRPr="006270B8" w:rsidR="008D0B01">
        <w:t>its</w:t>
      </w:r>
      <w:r w:rsidRPr="006270B8" w:rsidR="001C57A8">
        <w:t xml:space="preserve"> finding that </w:t>
      </w:r>
      <w:r w:rsidR="00A37A39">
        <w:t xml:space="preserve">the </w:t>
      </w:r>
      <w:r w:rsidRPr="006270B8" w:rsidR="004C4DAE">
        <w:t xml:space="preserve">FirstEnergy ESP V and </w:t>
      </w:r>
      <w:r w:rsidRPr="006270B8" w:rsidR="001C57A8">
        <w:t>the Grid Mod I and II cases “are completely unrelated to H.B. 6 and OCC presents no rational basis for a delay.”</w:t>
      </w:r>
      <w:r>
        <w:rPr>
          <w:rStyle w:val="FootnoteReference"/>
        </w:rPr>
        <w:footnoteReference w:id="9"/>
      </w:r>
      <w:r w:rsidRPr="006270B8">
        <w:t xml:space="preserve"> The PUCO failed to address OCC’s stay request under the six part balancing test applied earlier to the U.S. Attorney’s stay requests.</w:t>
      </w:r>
      <w:bookmarkEnd w:id="7"/>
      <w:r w:rsidRPr="006270B8" w:rsidR="00D82DE7">
        <w:t xml:space="preserve"> </w:t>
      </w:r>
    </w:p>
    <w:p w:rsidR="00FF3103" w:rsidRPr="00252514" w:rsidP="003571CF" w14:paraId="6E6AB57C" w14:textId="15B7CEFB">
      <w:pPr>
        <w:pStyle w:val="Heading3"/>
      </w:pPr>
      <w:bookmarkStart w:id="9" w:name="_Toc151125988"/>
      <w:r>
        <w:t>A.</w:t>
      </w:r>
      <w:r>
        <w:tab/>
      </w:r>
      <w:r w:rsidRPr="009200C4" w:rsidR="009B3ECF">
        <w:t xml:space="preserve">The PUCO </w:t>
      </w:r>
      <w:r w:rsidRPr="009200C4" w:rsidR="00621CBF">
        <w:t>ruling denies OCC the opportunity to establish a rational basis for the very issues it faults OCC for not proving.</w:t>
      </w:r>
      <w:bookmarkEnd w:id="9"/>
      <w:r w:rsidRPr="009200C4" w:rsidR="00621CBF">
        <w:t xml:space="preserve"> </w:t>
      </w:r>
    </w:p>
    <w:p w:rsidR="007157E6" w:rsidRPr="009200C4" w:rsidP="00621CBF" w14:paraId="49DA9D2E" w14:textId="4EE3E665">
      <w:pPr>
        <w:pStyle w:val="BodyTextIndent3"/>
        <w:widowControl w:val="0"/>
        <w:spacing w:line="480" w:lineRule="auto"/>
        <w:rPr>
          <w:color w:val="000000" w:themeColor="text1"/>
          <w:szCs w:val="24"/>
        </w:rPr>
      </w:pPr>
      <w:r w:rsidRPr="009200C4">
        <w:rPr>
          <w:szCs w:val="24"/>
        </w:rPr>
        <w:t xml:space="preserve">The PUCO stayed the House Bill 6 investigations but has allowed FirstEnergy Utilities to go about business as usual – pushing their applications to collect more and more money from consumers. FirstEnergy’s </w:t>
      </w:r>
      <w:r w:rsidRPr="009200C4" w:rsidR="004C4DAE">
        <w:rPr>
          <w:szCs w:val="24"/>
        </w:rPr>
        <w:t xml:space="preserve">ESP V, and its </w:t>
      </w:r>
      <w:r w:rsidRPr="009200C4">
        <w:rPr>
          <w:szCs w:val="24"/>
        </w:rPr>
        <w:t>Grid Mod I</w:t>
      </w:r>
      <w:r>
        <w:rPr>
          <w:rStyle w:val="FootnoteReference"/>
          <w:szCs w:val="24"/>
        </w:rPr>
        <w:footnoteReference w:id="10"/>
      </w:r>
      <w:r w:rsidRPr="009200C4">
        <w:rPr>
          <w:szCs w:val="24"/>
        </w:rPr>
        <w:t xml:space="preserve"> and II are in the works as though the House Bill 6 scandal has been resolved and has no impact. But this is far from known. </w:t>
      </w:r>
    </w:p>
    <w:p w:rsidR="00737D97" w:rsidRPr="009200C4" w:rsidP="007157E6" w14:paraId="3E87CEE5" w14:textId="762EE9BE">
      <w:pPr>
        <w:autoSpaceDE w:val="0"/>
        <w:autoSpaceDN w:val="0"/>
        <w:adjustRightInd w:val="0"/>
        <w:spacing w:line="480" w:lineRule="auto"/>
        <w:ind w:firstLine="720"/>
        <w:rPr>
          <w:rFonts w:cs="Times New Roman"/>
          <w:color w:val="000000" w:themeColor="text1"/>
          <w:szCs w:val="24"/>
        </w:rPr>
      </w:pPr>
      <w:r w:rsidRPr="009200C4">
        <w:rPr>
          <w:rFonts w:cs="Times New Roman"/>
          <w:color w:val="000000" w:themeColor="text1"/>
          <w:szCs w:val="24"/>
        </w:rPr>
        <w:t>FirstEnergy Corp. admitted that it “</w:t>
      </w:r>
      <w:r w:rsidRPr="009200C4">
        <w:rPr>
          <w:rFonts w:cs="Times New Roman"/>
          <w:color w:val="000000" w:themeColor="text1"/>
          <w:szCs w:val="24"/>
          <w:shd w:val="clear" w:color="auto" w:fill="FFFFFF"/>
        </w:rPr>
        <w:t>paid $4.3 million dollars to [Randazzo] through his consulting company in return for [Randazzo] performing official action in his capacity as PUCO Chairman to further FirstEnergy Corp.’s interests relating to passage of nuclear legislation and other specific FirstEnergy Corp. legislative and regulatory priorities, as requested and as opportunities arose.”</w:t>
      </w:r>
      <w:r>
        <w:rPr>
          <w:rStyle w:val="FootnoteReference"/>
          <w:rFonts w:cs="Times New Roman"/>
          <w:color w:val="000000" w:themeColor="text1"/>
          <w:szCs w:val="24"/>
          <w:shd w:val="clear" w:color="auto" w:fill="FFFFFF"/>
        </w:rPr>
        <w:footnoteReference w:id="11"/>
      </w:r>
      <w:r w:rsidRPr="009200C4">
        <w:rPr>
          <w:rFonts w:cs="Times New Roman"/>
          <w:color w:val="000000" w:themeColor="text1"/>
          <w:szCs w:val="24"/>
        </w:rPr>
        <w:t xml:space="preserve"> </w:t>
      </w:r>
      <w:r w:rsidRPr="009200C4">
        <w:rPr>
          <w:rFonts w:cs="Times New Roman"/>
          <w:color w:val="000000" w:themeColor="text1"/>
          <w:szCs w:val="24"/>
        </w:rPr>
        <w:t xml:space="preserve">Certainly </w:t>
      </w:r>
      <w:r w:rsidRPr="009200C4" w:rsidR="00E11E21">
        <w:rPr>
          <w:rFonts w:cs="Times New Roman"/>
          <w:color w:val="000000" w:themeColor="text1"/>
          <w:szCs w:val="24"/>
        </w:rPr>
        <w:t>“</w:t>
      </w:r>
      <w:r w:rsidRPr="009200C4">
        <w:rPr>
          <w:rFonts w:cs="Times New Roman"/>
          <w:color w:val="000000" w:themeColor="text1"/>
          <w:szCs w:val="24"/>
        </w:rPr>
        <w:t>regulatory priorities</w:t>
      </w:r>
      <w:r w:rsidRPr="009200C4" w:rsidR="00E11E21">
        <w:rPr>
          <w:rFonts w:cs="Times New Roman"/>
          <w:color w:val="000000" w:themeColor="text1"/>
          <w:szCs w:val="24"/>
        </w:rPr>
        <w:t>”</w:t>
      </w:r>
      <w:r w:rsidRPr="009200C4" w:rsidR="00D82DE7">
        <w:rPr>
          <w:rFonts w:cs="Times New Roman"/>
          <w:color w:val="000000" w:themeColor="text1"/>
          <w:szCs w:val="24"/>
        </w:rPr>
        <w:t xml:space="preserve"> </w:t>
      </w:r>
      <w:r w:rsidRPr="009200C4">
        <w:rPr>
          <w:rFonts w:cs="Times New Roman"/>
          <w:color w:val="000000" w:themeColor="text1"/>
          <w:szCs w:val="24"/>
        </w:rPr>
        <w:t>for Fi</w:t>
      </w:r>
      <w:r w:rsidRPr="009200C4" w:rsidR="00E11E21">
        <w:rPr>
          <w:rFonts w:cs="Times New Roman"/>
          <w:color w:val="000000" w:themeColor="text1"/>
          <w:szCs w:val="24"/>
        </w:rPr>
        <w:t>rstEnergy would have included a $</w:t>
      </w:r>
      <w:r w:rsidRPr="009200C4" w:rsidR="00344819">
        <w:rPr>
          <w:rFonts w:cs="Times New Roman"/>
          <w:color w:val="000000" w:themeColor="text1"/>
          <w:szCs w:val="24"/>
        </w:rPr>
        <w:t>516 million</w:t>
      </w:r>
      <w:r w:rsidRPr="009200C4" w:rsidR="008D0B01">
        <w:rPr>
          <w:rFonts w:cs="Times New Roman"/>
          <w:color w:val="000000" w:themeColor="text1"/>
          <w:szCs w:val="24"/>
        </w:rPr>
        <w:t xml:space="preserve"> </w:t>
      </w:r>
      <w:r w:rsidRPr="009200C4" w:rsidR="00E11E21">
        <w:rPr>
          <w:rFonts w:cs="Times New Roman"/>
          <w:color w:val="000000" w:themeColor="text1"/>
          <w:szCs w:val="24"/>
        </w:rPr>
        <w:t>investment in grid modernization —an investment approved</w:t>
      </w:r>
      <w:r w:rsidRPr="009200C4" w:rsidR="008D0B01">
        <w:rPr>
          <w:rFonts w:cs="Times New Roman"/>
          <w:color w:val="000000" w:themeColor="text1"/>
          <w:szCs w:val="24"/>
        </w:rPr>
        <w:t xml:space="preserve"> for collection from consumers</w:t>
      </w:r>
      <w:r w:rsidRPr="009200C4" w:rsidR="00263BDB">
        <w:rPr>
          <w:rFonts w:cs="Times New Roman"/>
          <w:color w:val="000000" w:themeColor="text1"/>
          <w:szCs w:val="24"/>
        </w:rPr>
        <w:t xml:space="preserve"> while Mr. Randazzo chaired the PUCO.</w:t>
      </w:r>
      <w:r>
        <w:rPr>
          <w:rStyle w:val="FootnoteReference"/>
          <w:rFonts w:cs="Times New Roman"/>
          <w:color w:val="000000" w:themeColor="text1"/>
          <w:szCs w:val="24"/>
        </w:rPr>
        <w:footnoteReference w:id="12"/>
      </w:r>
      <w:r w:rsidRPr="009200C4" w:rsidR="00D82DE7">
        <w:rPr>
          <w:rFonts w:cs="Times New Roman"/>
          <w:color w:val="000000" w:themeColor="text1"/>
          <w:szCs w:val="24"/>
        </w:rPr>
        <w:t xml:space="preserve"> </w:t>
      </w:r>
      <w:r w:rsidRPr="009200C4" w:rsidR="004C4DAE">
        <w:rPr>
          <w:rFonts w:cs="Times New Roman"/>
          <w:color w:val="000000" w:themeColor="text1"/>
          <w:szCs w:val="24"/>
        </w:rPr>
        <w:t xml:space="preserve">And FirstEnergy’s interests and regulatory priorities would have extended to Rider DCR and Rider AMI, two of the riders </w:t>
      </w:r>
      <w:r w:rsidRPr="009200C4" w:rsidR="00910C2E">
        <w:rPr>
          <w:rFonts w:cs="Times New Roman"/>
          <w:color w:val="000000" w:themeColor="text1"/>
          <w:szCs w:val="24"/>
        </w:rPr>
        <w:t xml:space="preserve">FirstEnergy is seeking to </w:t>
      </w:r>
      <w:r w:rsidRPr="009200C4" w:rsidR="004C4DAE">
        <w:rPr>
          <w:rFonts w:cs="Times New Roman"/>
          <w:color w:val="000000" w:themeColor="text1"/>
          <w:szCs w:val="24"/>
        </w:rPr>
        <w:t>extend in FirstEnergy’s ESP V</w:t>
      </w:r>
      <w:r w:rsidRPr="009200C4" w:rsidR="008D0B01">
        <w:rPr>
          <w:rFonts w:cs="Times New Roman"/>
          <w:color w:val="000000" w:themeColor="text1"/>
          <w:szCs w:val="24"/>
        </w:rPr>
        <w:t>.</w:t>
      </w:r>
      <w:r w:rsidRPr="009200C4" w:rsidR="00D82DE7">
        <w:rPr>
          <w:rFonts w:cs="Times New Roman"/>
          <w:color w:val="000000" w:themeColor="text1"/>
          <w:szCs w:val="24"/>
        </w:rPr>
        <w:t xml:space="preserve"> </w:t>
      </w:r>
      <w:r w:rsidRPr="009200C4" w:rsidR="008D0B01">
        <w:rPr>
          <w:rFonts w:cs="Times New Roman"/>
          <w:color w:val="000000" w:themeColor="text1"/>
          <w:szCs w:val="24"/>
        </w:rPr>
        <w:t>Both of these riders were</w:t>
      </w:r>
      <w:r w:rsidRPr="009200C4" w:rsidR="00D82DE7">
        <w:rPr>
          <w:rFonts w:cs="Times New Roman"/>
          <w:color w:val="000000" w:themeColor="text1"/>
          <w:szCs w:val="24"/>
        </w:rPr>
        <w:t xml:space="preserve"> </w:t>
      </w:r>
      <w:r w:rsidRPr="009200C4" w:rsidR="00C539C7">
        <w:rPr>
          <w:rFonts w:cs="Times New Roman"/>
          <w:color w:val="000000" w:themeColor="text1"/>
          <w:szCs w:val="24"/>
        </w:rPr>
        <w:t xml:space="preserve">included in </w:t>
      </w:r>
      <w:r w:rsidRPr="009200C4" w:rsidR="00621CBF">
        <w:rPr>
          <w:rFonts w:cs="Times New Roman"/>
          <w:color w:val="000000" w:themeColor="text1"/>
          <w:szCs w:val="24"/>
        </w:rPr>
        <w:t xml:space="preserve">FirstEnergy’s ESP </w:t>
      </w:r>
      <w:r w:rsidRPr="009200C4" w:rsidR="00C539C7">
        <w:rPr>
          <w:rFonts w:cs="Times New Roman"/>
          <w:color w:val="000000" w:themeColor="text1"/>
          <w:szCs w:val="24"/>
        </w:rPr>
        <w:t>IV</w:t>
      </w:r>
      <w:r w:rsidRPr="009200C4" w:rsidR="00621CBF">
        <w:rPr>
          <w:rFonts w:cs="Times New Roman"/>
          <w:color w:val="000000" w:themeColor="text1"/>
          <w:szCs w:val="24"/>
        </w:rPr>
        <w:t xml:space="preserve">, which is </w:t>
      </w:r>
      <w:r w:rsidRPr="009200C4" w:rsidR="008D0B01">
        <w:rPr>
          <w:rFonts w:cs="Times New Roman"/>
          <w:color w:val="000000" w:themeColor="text1"/>
          <w:szCs w:val="24"/>
        </w:rPr>
        <w:t xml:space="preserve">under </w:t>
      </w:r>
      <w:r w:rsidRPr="009200C4" w:rsidR="00881BA7">
        <w:rPr>
          <w:rFonts w:cs="Times New Roman"/>
          <w:color w:val="000000" w:themeColor="text1"/>
          <w:szCs w:val="24"/>
        </w:rPr>
        <w:t>investigation for</w:t>
      </w:r>
      <w:r w:rsidRPr="009200C4" w:rsidR="00621CBF">
        <w:rPr>
          <w:rFonts w:cs="Times New Roman"/>
          <w:color w:val="000000" w:themeColor="text1"/>
          <w:szCs w:val="24"/>
        </w:rPr>
        <w:t xml:space="preserve"> among other things, side deals between the former PUCO </w:t>
      </w:r>
      <w:r w:rsidRPr="009200C4" w:rsidR="00C539C7">
        <w:rPr>
          <w:rFonts w:cs="Times New Roman"/>
          <w:color w:val="000000" w:themeColor="text1"/>
          <w:szCs w:val="24"/>
        </w:rPr>
        <w:t>C</w:t>
      </w:r>
      <w:r w:rsidRPr="009200C4" w:rsidR="00621CBF">
        <w:rPr>
          <w:rFonts w:cs="Times New Roman"/>
          <w:color w:val="000000" w:themeColor="text1"/>
          <w:szCs w:val="24"/>
        </w:rPr>
        <w:t>hair and FirstEnergy.</w:t>
      </w:r>
      <w:r w:rsidRPr="009200C4" w:rsidR="00D82DE7">
        <w:rPr>
          <w:rFonts w:cs="Times New Roman"/>
          <w:color w:val="000000" w:themeColor="text1"/>
          <w:szCs w:val="24"/>
        </w:rPr>
        <w:t xml:space="preserve"> </w:t>
      </w:r>
    </w:p>
    <w:p w:rsidR="00844836" w:rsidRPr="009200C4" w:rsidP="007157E6" w14:paraId="1D48F8C2" w14:textId="06F17762">
      <w:pPr>
        <w:autoSpaceDE w:val="0"/>
        <w:autoSpaceDN w:val="0"/>
        <w:adjustRightInd w:val="0"/>
        <w:spacing w:line="480" w:lineRule="auto"/>
        <w:ind w:firstLine="720"/>
        <w:rPr>
          <w:rFonts w:cs="Times New Roman"/>
          <w:color w:val="000000" w:themeColor="text1"/>
          <w:szCs w:val="24"/>
        </w:rPr>
      </w:pPr>
      <w:r w:rsidRPr="009200C4">
        <w:rPr>
          <w:rFonts w:cs="Times New Roman"/>
          <w:color w:val="000000" w:themeColor="text1"/>
          <w:szCs w:val="24"/>
        </w:rPr>
        <w:t xml:space="preserve">The PUCO asserts that there is no connection </w:t>
      </w:r>
      <w:r w:rsidRPr="009200C4" w:rsidR="008D0B01">
        <w:rPr>
          <w:rFonts w:cs="Times New Roman"/>
          <w:color w:val="000000" w:themeColor="text1"/>
          <w:szCs w:val="24"/>
        </w:rPr>
        <w:t>between these</w:t>
      </w:r>
      <w:r w:rsidRPr="009200C4" w:rsidR="004C4DAE">
        <w:rPr>
          <w:rFonts w:cs="Times New Roman"/>
          <w:color w:val="000000" w:themeColor="text1"/>
          <w:szCs w:val="24"/>
        </w:rPr>
        <w:t xml:space="preserve"> </w:t>
      </w:r>
      <w:r w:rsidRPr="009200C4" w:rsidR="008D0B01">
        <w:rPr>
          <w:rFonts w:cs="Times New Roman"/>
          <w:color w:val="000000" w:themeColor="text1"/>
          <w:szCs w:val="24"/>
        </w:rPr>
        <w:t xml:space="preserve">proceedings </w:t>
      </w:r>
      <w:r w:rsidRPr="009200C4">
        <w:rPr>
          <w:rFonts w:cs="Times New Roman"/>
          <w:color w:val="000000" w:themeColor="text1"/>
          <w:szCs w:val="24"/>
        </w:rPr>
        <w:t>and the FirstEnergy investigations.</w:t>
      </w:r>
      <w:r w:rsidRPr="009200C4" w:rsidR="00D82DE7">
        <w:rPr>
          <w:rFonts w:cs="Times New Roman"/>
          <w:color w:val="000000" w:themeColor="text1"/>
          <w:szCs w:val="24"/>
        </w:rPr>
        <w:t xml:space="preserve"> </w:t>
      </w:r>
      <w:r w:rsidRPr="009200C4" w:rsidR="00E97B9B">
        <w:rPr>
          <w:rFonts w:cs="Times New Roman"/>
          <w:color w:val="000000" w:themeColor="text1"/>
          <w:szCs w:val="24"/>
        </w:rPr>
        <w:t>According to the PUCO they are “</w:t>
      </w:r>
      <w:r w:rsidRPr="009200C4" w:rsidR="003B1B07">
        <w:rPr>
          <w:rFonts w:cs="Times New Roman"/>
          <w:color w:val="000000" w:themeColor="text1"/>
          <w:szCs w:val="24"/>
        </w:rPr>
        <w:t>completely unrelated.”</w:t>
      </w:r>
      <w:r w:rsidRPr="009200C4" w:rsidR="00D82DE7">
        <w:rPr>
          <w:rFonts w:cs="Times New Roman"/>
          <w:color w:val="000000" w:themeColor="text1"/>
          <w:szCs w:val="24"/>
        </w:rPr>
        <w:t xml:space="preserve"> </w:t>
      </w:r>
      <w:r w:rsidRPr="009200C4">
        <w:rPr>
          <w:rFonts w:cs="Times New Roman"/>
          <w:color w:val="000000" w:themeColor="text1"/>
          <w:szCs w:val="24"/>
        </w:rPr>
        <w:t xml:space="preserve">It asserts that OCC has produced no </w:t>
      </w:r>
      <w:r w:rsidRPr="009200C4" w:rsidR="004D41CA">
        <w:rPr>
          <w:rFonts w:cs="Times New Roman"/>
          <w:color w:val="000000" w:themeColor="text1"/>
          <w:szCs w:val="24"/>
        </w:rPr>
        <w:t>“rational basis</w:t>
      </w:r>
      <w:r w:rsidRPr="009200C4" w:rsidR="00F02AF5">
        <w:rPr>
          <w:rFonts w:cs="Times New Roman"/>
          <w:color w:val="000000" w:themeColor="text1"/>
          <w:szCs w:val="24"/>
        </w:rPr>
        <w:t>” for its request for a stay.</w:t>
      </w:r>
      <w:r>
        <w:rPr>
          <w:rStyle w:val="FootnoteReference"/>
          <w:rFonts w:cs="Times New Roman"/>
          <w:color w:val="000000" w:themeColor="text1"/>
          <w:szCs w:val="24"/>
        </w:rPr>
        <w:footnoteReference w:id="13"/>
      </w:r>
    </w:p>
    <w:p w:rsidR="00190ED3" w:rsidP="008D0B01" w14:paraId="62CCDBA1" w14:textId="37CC44B1">
      <w:pPr>
        <w:autoSpaceDE w:val="0"/>
        <w:autoSpaceDN w:val="0"/>
        <w:adjustRightInd w:val="0"/>
        <w:spacing w:line="480" w:lineRule="auto"/>
        <w:ind w:firstLine="720"/>
        <w:rPr>
          <w:rFonts w:cs="Times New Roman"/>
          <w:szCs w:val="24"/>
        </w:rPr>
      </w:pPr>
      <w:r w:rsidRPr="009200C4">
        <w:rPr>
          <w:rFonts w:cs="Times New Roman"/>
          <w:color w:val="000000" w:themeColor="text1"/>
          <w:szCs w:val="24"/>
        </w:rPr>
        <w:t>But the</w:t>
      </w:r>
      <w:r w:rsidRPr="009200C4" w:rsidR="000D4058">
        <w:rPr>
          <w:rFonts w:cs="Times New Roman"/>
          <w:color w:val="000000" w:themeColor="text1"/>
          <w:szCs w:val="24"/>
        </w:rPr>
        <w:t xml:space="preserve"> PUCO</w:t>
      </w:r>
      <w:r w:rsidRPr="009200C4" w:rsidR="006C3545">
        <w:rPr>
          <w:rFonts w:cs="Times New Roman"/>
          <w:color w:val="000000" w:themeColor="text1"/>
          <w:szCs w:val="24"/>
        </w:rPr>
        <w:t xml:space="preserve"> </w:t>
      </w:r>
      <w:r w:rsidRPr="009200C4" w:rsidR="00DE748B">
        <w:rPr>
          <w:rFonts w:cs="Times New Roman"/>
          <w:color w:val="000000" w:themeColor="text1"/>
          <w:szCs w:val="24"/>
        </w:rPr>
        <w:t xml:space="preserve">actions </w:t>
      </w:r>
      <w:r w:rsidRPr="009200C4" w:rsidR="006C3545">
        <w:rPr>
          <w:rFonts w:cs="Times New Roman"/>
          <w:color w:val="000000" w:themeColor="text1"/>
          <w:szCs w:val="24"/>
        </w:rPr>
        <w:t xml:space="preserve">would deny OCC the opportunity to </w:t>
      </w:r>
      <w:r w:rsidRPr="009200C4" w:rsidR="002B183B">
        <w:rPr>
          <w:rFonts w:cs="Times New Roman"/>
          <w:color w:val="000000" w:themeColor="text1"/>
          <w:szCs w:val="24"/>
        </w:rPr>
        <w:t xml:space="preserve">establish a rational basis </w:t>
      </w:r>
      <w:r w:rsidRPr="009200C4" w:rsidR="00DE748B">
        <w:rPr>
          <w:rFonts w:cs="Times New Roman"/>
          <w:color w:val="000000" w:themeColor="text1"/>
          <w:szCs w:val="24"/>
        </w:rPr>
        <w:t xml:space="preserve">for </w:t>
      </w:r>
      <w:r w:rsidRPr="009200C4" w:rsidR="008F3227">
        <w:rPr>
          <w:rFonts w:cs="Times New Roman"/>
          <w:color w:val="000000" w:themeColor="text1"/>
          <w:szCs w:val="24"/>
        </w:rPr>
        <w:t>th</w:t>
      </w:r>
      <w:r w:rsidRPr="009200C4" w:rsidR="003F410D">
        <w:rPr>
          <w:rFonts w:cs="Times New Roman"/>
          <w:color w:val="000000" w:themeColor="text1"/>
          <w:szCs w:val="24"/>
        </w:rPr>
        <w:t>e very issues it faults OCC for not proving.</w:t>
      </w:r>
      <w:r w:rsidRPr="009200C4" w:rsidR="00D82DE7">
        <w:rPr>
          <w:rFonts w:cs="Times New Roman"/>
          <w:color w:val="000000" w:themeColor="text1"/>
          <w:szCs w:val="24"/>
        </w:rPr>
        <w:t xml:space="preserve"> </w:t>
      </w:r>
      <w:r w:rsidRPr="009200C4" w:rsidR="003F410D">
        <w:rPr>
          <w:rFonts w:cs="Times New Roman"/>
          <w:color w:val="000000" w:themeColor="text1"/>
          <w:szCs w:val="24"/>
        </w:rPr>
        <w:t xml:space="preserve">This regulatory </w:t>
      </w:r>
      <w:r w:rsidRPr="009200C4" w:rsidR="00C539C7">
        <w:rPr>
          <w:rFonts w:cs="Times New Roman"/>
          <w:color w:val="000000" w:themeColor="text1"/>
          <w:szCs w:val="24"/>
        </w:rPr>
        <w:t>C</w:t>
      </w:r>
      <w:r w:rsidRPr="009200C4" w:rsidR="003F410D">
        <w:rPr>
          <w:rFonts w:cs="Times New Roman"/>
          <w:color w:val="000000" w:themeColor="text1"/>
          <w:szCs w:val="24"/>
        </w:rPr>
        <w:t>atch 22</w:t>
      </w:r>
      <w:r w:rsidRPr="009200C4" w:rsidR="00DE748B">
        <w:rPr>
          <w:rFonts w:cs="Times New Roman"/>
          <w:color w:val="000000" w:themeColor="text1"/>
          <w:szCs w:val="24"/>
        </w:rPr>
        <w:t xml:space="preserve"> is unfair to consumers who are caught in the middle of the regulatory morass </w:t>
      </w:r>
      <w:r w:rsidRPr="009200C4" w:rsidR="00D94A21">
        <w:rPr>
          <w:rFonts w:cs="Times New Roman"/>
          <w:color w:val="000000" w:themeColor="text1"/>
          <w:szCs w:val="24"/>
        </w:rPr>
        <w:t xml:space="preserve">that </w:t>
      </w:r>
      <w:r w:rsidRPr="009200C4" w:rsidR="005820F1">
        <w:rPr>
          <w:rFonts w:cs="Times New Roman"/>
          <w:color w:val="000000" w:themeColor="text1"/>
          <w:szCs w:val="24"/>
        </w:rPr>
        <w:t xml:space="preserve">surrounds the FirstEnergy scandal. </w:t>
      </w:r>
      <w:r w:rsidRPr="009200C4" w:rsidR="00952834">
        <w:rPr>
          <w:rFonts w:cs="Times New Roman"/>
          <w:szCs w:val="24"/>
        </w:rPr>
        <w:t xml:space="preserve">The PUCO acted unreasonably in concluding in its Entry on Rehearing that the </w:t>
      </w:r>
      <w:r w:rsidRPr="009200C4" w:rsidR="008D0B01">
        <w:rPr>
          <w:rFonts w:cs="Times New Roman"/>
          <w:szCs w:val="24"/>
        </w:rPr>
        <w:t>FirstEnergy</w:t>
      </w:r>
      <w:r w:rsidRPr="009200C4" w:rsidR="00952834">
        <w:rPr>
          <w:rFonts w:cs="Times New Roman"/>
          <w:szCs w:val="24"/>
        </w:rPr>
        <w:t xml:space="preserve"> cases “are completely unrelated to H.B. 6 and OCC presents no rational basis for a delay.”</w:t>
      </w:r>
      <w:r>
        <w:rPr>
          <w:rStyle w:val="FootnoteReference"/>
          <w:rFonts w:cs="Times New Roman"/>
          <w:szCs w:val="24"/>
        </w:rPr>
        <w:footnoteReference w:id="14"/>
      </w:r>
      <w:r w:rsidRPr="009200C4" w:rsidR="009B3ECF">
        <w:rPr>
          <w:rFonts w:cs="Times New Roman"/>
          <w:szCs w:val="24"/>
        </w:rPr>
        <w:t xml:space="preserve"> </w:t>
      </w:r>
    </w:p>
    <w:p w:rsidR="00190ED3" w14:paraId="3273FF16" w14:textId="77777777">
      <w:pPr>
        <w:spacing w:after="200" w:line="276" w:lineRule="auto"/>
        <w:rPr>
          <w:rFonts w:cs="Times New Roman"/>
          <w:szCs w:val="24"/>
        </w:rPr>
      </w:pPr>
      <w:r>
        <w:rPr>
          <w:rFonts w:cs="Times New Roman"/>
          <w:szCs w:val="24"/>
        </w:rPr>
        <w:br w:type="page"/>
      </w:r>
    </w:p>
    <w:p w:rsidR="009E6164" w:rsidRPr="00190ED3" w:rsidP="00190ED3" w14:paraId="3C28894E" w14:textId="062A6676">
      <w:pPr>
        <w:pStyle w:val="Heading3"/>
      </w:pPr>
      <w:r w:rsidRPr="009200C4">
        <w:t xml:space="preserve"> </w:t>
      </w:r>
      <w:bookmarkStart w:id="10" w:name="_Toc151125989"/>
      <w:r w:rsidR="00190ED3">
        <w:t>B.</w:t>
      </w:r>
      <w:r w:rsidR="00190ED3">
        <w:tab/>
      </w:r>
      <w:r w:rsidRPr="009200C4">
        <w:t xml:space="preserve">FirstEnergy’s ESP V and Grid Mod I and II </w:t>
      </w:r>
      <w:r w:rsidRPr="009200C4" w:rsidR="00C539C7">
        <w:t xml:space="preserve">cases </w:t>
      </w:r>
      <w:r w:rsidRPr="009200C4">
        <w:t>are related to the four FirstEnergy investigations that have been stayed.</w:t>
      </w:r>
      <w:bookmarkEnd w:id="10"/>
    </w:p>
    <w:p w:rsidR="007A2C34" w:rsidRPr="004A4E5C" w:rsidP="004A4E5C" w14:paraId="5DA8D0D0" w14:textId="1DE9968D">
      <w:pPr>
        <w:pStyle w:val="Heading4"/>
      </w:pPr>
      <w:bookmarkStart w:id="11" w:name="_Toc151125990"/>
      <w:r>
        <w:t>1.</w:t>
      </w:r>
      <w:r>
        <w:tab/>
      </w:r>
      <w:r w:rsidRPr="009200C4" w:rsidR="003D2B00">
        <w:t xml:space="preserve">FirstEnergy’s ESP </w:t>
      </w:r>
      <w:r w:rsidRPr="009200C4" w:rsidR="00C539C7">
        <w:t xml:space="preserve">V </w:t>
      </w:r>
      <w:r w:rsidRPr="009200C4" w:rsidR="003D2B00">
        <w:t>seeks increased charges from consumers for at least two riders which are related to the four FirstEnergy investigations that have been stayed</w:t>
      </w:r>
      <w:r w:rsidRPr="009200C4" w:rsidR="00936969">
        <w:t>.</w:t>
      </w:r>
      <w:bookmarkEnd w:id="11"/>
    </w:p>
    <w:p w:rsidR="00936969" w:rsidRPr="009200C4" w:rsidP="00936969" w14:paraId="2C0C2BD4" w14:textId="02B66189">
      <w:pPr>
        <w:spacing w:line="480" w:lineRule="auto"/>
        <w:rPr>
          <w:rFonts w:cs="Times New Roman"/>
          <w:szCs w:val="24"/>
        </w:rPr>
      </w:pPr>
      <w:r w:rsidRPr="009200C4">
        <w:rPr>
          <w:rFonts w:cs="Times New Roman"/>
          <w:szCs w:val="24"/>
        </w:rPr>
        <w:t xml:space="preserve"> </w:t>
      </w:r>
      <w:r w:rsidRPr="009200C4" w:rsidR="007A2C34">
        <w:rPr>
          <w:rFonts w:cs="Times New Roman"/>
          <w:szCs w:val="24"/>
        </w:rPr>
        <w:tab/>
      </w:r>
      <w:r w:rsidRPr="009200C4" w:rsidR="003D2B00">
        <w:rPr>
          <w:rFonts w:cs="Times New Roman"/>
          <w:szCs w:val="24"/>
        </w:rPr>
        <w:t>Under FirstEnergy’s fifth electric security plan</w:t>
      </w:r>
      <w:r w:rsidRPr="009200C4" w:rsidR="00C539C7">
        <w:rPr>
          <w:rFonts w:cs="Times New Roman"/>
          <w:szCs w:val="24"/>
        </w:rPr>
        <w:t>,</w:t>
      </w:r>
      <w:r w:rsidRPr="009200C4" w:rsidR="003D2B00">
        <w:rPr>
          <w:rFonts w:cs="Times New Roman"/>
          <w:szCs w:val="24"/>
        </w:rPr>
        <w:t xml:space="preserve"> it seeks to increase charges to consumers by $1.4 billion. Hearings are ongoing as of the writing of this motion.</w:t>
      </w:r>
      <w:r w:rsidRPr="009200C4">
        <w:rPr>
          <w:rFonts w:cs="Times New Roman"/>
          <w:szCs w:val="24"/>
        </w:rPr>
        <w:t xml:space="preserve"> </w:t>
      </w:r>
      <w:r w:rsidRPr="009200C4" w:rsidR="003D2B00">
        <w:rPr>
          <w:rFonts w:cs="Times New Roman"/>
          <w:szCs w:val="24"/>
        </w:rPr>
        <w:t xml:space="preserve">The commonality between the </w:t>
      </w:r>
      <w:r w:rsidRPr="009200C4">
        <w:rPr>
          <w:rFonts w:cs="Times New Roman"/>
          <w:szCs w:val="24"/>
        </w:rPr>
        <w:t xml:space="preserve">FirstEnergy </w:t>
      </w:r>
      <w:r w:rsidRPr="009200C4" w:rsidR="003D2B00">
        <w:rPr>
          <w:rFonts w:cs="Times New Roman"/>
          <w:szCs w:val="24"/>
        </w:rPr>
        <w:t xml:space="preserve">investigation cases and </w:t>
      </w:r>
      <w:r w:rsidRPr="009200C4">
        <w:rPr>
          <w:rFonts w:cs="Times New Roman"/>
          <w:szCs w:val="24"/>
        </w:rPr>
        <w:t xml:space="preserve">FirstEnergy </w:t>
      </w:r>
      <w:r w:rsidRPr="009200C4" w:rsidR="003D2B00">
        <w:rPr>
          <w:rFonts w:cs="Times New Roman"/>
          <w:szCs w:val="24"/>
        </w:rPr>
        <w:t xml:space="preserve">ESP V case is the distribution charges FirstEnergy seeks to collect from consumers </w:t>
      </w:r>
      <w:r w:rsidRPr="009200C4">
        <w:rPr>
          <w:rFonts w:cs="Times New Roman"/>
          <w:szCs w:val="24"/>
        </w:rPr>
        <w:t>under its</w:t>
      </w:r>
      <w:r w:rsidRPr="009200C4" w:rsidR="003D2B00">
        <w:rPr>
          <w:rFonts w:cs="Times New Roman"/>
          <w:szCs w:val="24"/>
        </w:rPr>
        <w:t xml:space="preserve"> </w:t>
      </w:r>
      <w:r w:rsidRPr="009200C4" w:rsidR="00C539C7">
        <w:rPr>
          <w:rFonts w:cs="Times New Roman"/>
          <w:szCs w:val="24"/>
        </w:rPr>
        <w:t xml:space="preserve">fifth electric </w:t>
      </w:r>
      <w:r w:rsidRPr="009200C4" w:rsidR="003D2B00">
        <w:rPr>
          <w:rFonts w:cs="Times New Roman"/>
          <w:szCs w:val="24"/>
        </w:rPr>
        <w:t>security plan (Rider DCR and Rider AMI). In its fifth electric security plan, FirstEnergy has asked to extend these riders for eight years.</w:t>
      </w:r>
      <w:r w:rsidRPr="009200C4">
        <w:rPr>
          <w:rFonts w:cs="Times New Roman"/>
          <w:szCs w:val="24"/>
        </w:rPr>
        <w:t xml:space="preserve"> </w:t>
      </w:r>
      <w:r w:rsidRPr="009200C4" w:rsidR="003D2B00">
        <w:rPr>
          <w:rFonts w:cs="Times New Roman"/>
          <w:szCs w:val="24"/>
        </w:rPr>
        <w:t>The PUCO’s conclusion that FirstEnergy’s ESP V is “completely unrelated to H.B.6” rings hollow.</w:t>
      </w:r>
      <w:r>
        <w:rPr>
          <w:rStyle w:val="FootnoteReference"/>
          <w:rFonts w:cs="Times New Roman"/>
          <w:szCs w:val="24"/>
        </w:rPr>
        <w:footnoteReference w:id="15"/>
      </w:r>
      <w:r w:rsidRPr="009200C4">
        <w:rPr>
          <w:rFonts w:cs="Times New Roman"/>
          <w:szCs w:val="24"/>
        </w:rPr>
        <w:t xml:space="preserve"> </w:t>
      </w:r>
    </w:p>
    <w:p w:rsidR="00936969" w:rsidRPr="009200C4" w:rsidP="00936969" w14:paraId="71B0C205" w14:textId="508B7BCE">
      <w:pPr>
        <w:spacing w:line="480" w:lineRule="auto"/>
        <w:ind w:firstLine="720"/>
        <w:rPr>
          <w:rFonts w:cs="Times New Roman"/>
          <w:bCs/>
          <w:szCs w:val="24"/>
        </w:rPr>
      </w:pPr>
      <w:r w:rsidRPr="009200C4">
        <w:rPr>
          <w:rFonts w:cs="Times New Roman"/>
          <w:bCs/>
          <w:szCs w:val="24"/>
        </w:rPr>
        <w:t>These are the very same riders that the Auditor in one of the PUCO investigation cases (Case No. 20-1629-EL-RDR) found cost misallocations related to FirstEnergy’s role in the House Bill 6 scandal. And the cost allocation issues are also a fundamental element of the other three FirstEnergy’s investigations.</w:t>
      </w:r>
      <w:r w:rsidRPr="009200C4" w:rsidR="00D82DE7">
        <w:rPr>
          <w:rFonts w:cs="Times New Roman"/>
          <w:bCs/>
          <w:szCs w:val="24"/>
        </w:rPr>
        <w:t xml:space="preserve"> </w:t>
      </w:r>
    </w:p>
    <w:p w:rsidR="0029028D" w:rsidRPr="009200C4" w:rsidP="00936969" w14:paraId="00A1EF75" w14:textId="4F8E3DB7">
      <w:pPr>
        <w:spacing w:line="480" w:lineRule="auto"/>
        <w:ind w:firstLine="720"/>
        <w:rPr>
          <w:rFonts w:cs="Times New Roman"/>
          <w:szCs w:val="24"/>
        </w:rPr>
      </w:pPr>
      <w:r w:rsidRPr="009200C4">
        <w:rPr>
          <w:rFonts w:cs="Times New Roman"/>
          <w:bCs/>
          <w:szCs w:val="24"/>
        </w:rPr>
        <w:t xml:space="preserve">And </w:t>
      </w:r>
      <w:r w:rsidRPr="009200C4" w:rsidR="00936969">
        <w:rPr>
          <w:rFonts w:cs="Times New Roman"/>
          <w:bCs/>
          <w:szCs w:val="24"/>
        </w:rPr>
        <w:t>further, FirstEnergy distribution costs were also investigated by FERC with some of the costs linked to HB 6 matters.</w:t>
      </w:r>
      <w:r w:rsidRPr="009200C4" w:rsidR="00D82DE7">
        <w:rPr>
          <w:rFonts w:cs="Times New Roman"/>
          <w:bCs/>
          <w:szCs w:val="24"/>
        </w:rPr>
        <w:t xml:space="preserve"> </w:t>
      </w:r>
      <w:r w:rsidRPr="009200C4" w:rsidR="00936969">
        <w:rPr>
          <w:rFonts w:cs="Times New Roman"/>
          <w:bCs/>
          <w:szCs w:val="24"/>
        </w:rPr>
        <w:t xml:space="preserve">FERC </w:t>
      </w:r>
      <w:r w:rsidRPr="009200C4">
        <w:rPr>
          <w:rFonts w:cs="Times New Roman"/>
          <w:bCs/>
          <w:szCs w:val="24"/>
        </w:rPr>
        <w:t xml:space="preserve">conducted a </w:t>
      </w:r>
      <w:r w:rsidRPr="009200C4" w:rsidR="0051412F">
        <w:rPr>
          <w:rFonts w:cs="Times New Roman"/>
          <w:bCs/>
          <w:szCs w:val="24"/>
        </w:rPr>
        <w:t>wide-ranging</w:t>
      </w:r>
      <w:r w:rsidRPr="009200C4">
        <w:rPr>
          <w:rFonts w:cs="Times New Roman"/>
          <w:bCs/>
          <w:szCs w:val="24"/>
        </w:rPr>
        <w:t xml:space="preserve"> audit of FirstEnergy that evaluated </w:t>
      </w:r>
      <w:r w:rsidRPr="009200C4" w:rsidR="0051412F">
        <w:rPr>
          <w:rFonts w:cs="Times New Roman"/>
          <w:bCs/>
          <w:szCs w:val="24"/>
        </w:rPr>
        <w:t>its</w:t>
      </w:r>
      <w:r w:rsidRPr="009200C4">
        <w:rPr>
          <w:rFonts w:cs="Times New Roman"/>
          <w:bCs/>
          <w:szCs w:val="24"/>
        </w:rPr>
        <w:t xml:space="preserve"> compliance with a number of areas including affiliate transactions</w:t>
      </w:r>
      <w:r w:rsidRPr="009200C4" w:rsidR="007A2C34">
        <w:rPr>
          <w:rFonts w:cs="Times New Roman"/>
          <w:bCs/>
          <w:szCs w:val="24"/>
        </w:rPr>
        <w:t>,</w:t>
      </w:r>
      <w:r w:rsidRPr="009200C4">
        <w:rPr>
          <w:rFonts w:cs="Times New Roman"/>
          <w:bCs/>
          <w:szCs w:val="24"/>
        </w:rPr>
        <w:t xml:space="preserve"> service company accounting, record keeping</w:t>
      </w:r>
      <w:r w:rsidRPr="009200C4" w:rsidR="007A2C34">
        <w:rPr>
          <w:rFonts w:cs="Times New Roman"/>
          <w:bCs/>
          <w:szCs w:val="24"/>
        </w:rPr>
        <w:t>,</w:t>
      </w:r>
      <w:r w:rsidRPr="009200C4">
        <w:rPr>
          <w:rFonts w:cs="Times New Roman"/>
          <w:bCs/>
          <w:szCs w:val="24"/>
        </w:rPr>
        <w:t xml:space="preserve"> and reporting requirements.</w:t>
      </w:r>
      <w:r w:rsidRPr="009200C4" w:rsidR="00D82DE7">
        <w:rPr>
          <w:rFonts w:cs="Times New Roman"/>
          <w:bCs/>
          <w:szCs w:val="24"/>
        </w:rPr>
        <w:t xml:space="preserve"> </w:t>
      </w:r>
      <w:r w:rsidRPr="009200C4">
        <w:rPr>
          <w:rFonts w:cs="Times New Roman"/>
          <w:bCs/>
          <w:szCs w:val="24"/>
        </w:rPr>
        <w:t xml:space="preserve">FERC issued seven findings of noncompliance and </w:t>
      </w:r>
      <w:r w:rsidRPr="009200C4" w:rsidR="007A2C34">
        <w:rPr>
          <w:rFonts w:cs="Times New Roman"/>
          <w:bCs/>
          <w:szCs w:val="24"/>
        </w:rPr>
        <w:t xml:space="preserve">thirty-eight </w:t>
      </w:r>
      <w:r w:rsidRPr="009200C4">
        <w:rPr>
          <w:rFonts w:cs="Times New Roman"/>
          <w:bCs/>
          <w:szCs w:val="24"/>
        </w:rPr>
        <w:t>recommendations that required FirstEnergy and its subsidiaries to take corrective action.</w:t>
      </w:r>
      <w:r>
        <w:rPr>
          <w:rStyle w:val="FootnoteReference"/>
          <w:rFonts w:cs="Times New Roman"/>
          <w:bCs/>
          <w:szCs w:val="24"/>
        </w:rPr>
        <w:footnoteReference w:id="16"/>
      </w:r>
      <w:r w:rsidRPr="009200C4" w:rsidR="00D82DE7">
        <w:rPr>
          <w:rFonts w:cs="Times New Roman"/>
          <w:bCs/>
          <w:szCs w:val="24"/>
        </w:rPr>
        <w:t xml:space="preserve"> </w:t>
      </w:r>
      <w:r w:rsidRPr="009200C4">
        <w:rPr>
          <w:rFonts w:cs="Times New Roman"/>
          <w:bCs/>
          <w:szCs w:val="24"/>
        </w:rPr>
        <w:t xml:space="preserve">Among the noncompliance findings were improper accounting for maintenance expenses </w:t>
      </w:r>
      <w:r w:rsidRPr="009200C4">
        <w:rPr>
          <w:rFonts w:cs="Times New Roman"/>
          <w:bCs/>
          <w:szCs w:val="24"/>
        </w:rPr>
        <w:t>incurred to remove vegetation, improper accounting for lobbying expenses, donations and other</w:t>
      </w:r>
      <w:r w:rsidRPr="009200C4">
        <w:rPr>
          <w:rFonts w:cs="Times New Roman"/>
          <w:b/>
          <w:szCs w:val="24"/>
        </w:rPr>
        <w:t xml:space="preserve"> </w:t>
      </w:r>
      <w:r w:rsidRPr="009200C4">
        <w:rPr>
          <w:rFonts w:cs="Times New Roman"/>
          <w:bCs/>
          <w:szCs w:val="24"/>
        </w:rPr>
        <w:t>costs, and improper accounting for service company allocated costs.</w:t>
      </w:r>
      <w:r>
        <w:rPr>
          <w:rStyle w:val="FootnoteReference"/>
          <w:rFonts w:cs="Times New Roman"/>
          <w:bCs/>
          <w:szCs w:val="24"/>
        </w:rPr>
        <w:footnoteReference w:id="17"/>
      </w:r>
      <w:r w:rsidRPr="009200C4">
        <w:rPr>
          <w:rFonts w:cs="Times New Roman"/>
          <w:bCs/>
          <w:szCs w:val="24"/>
        </w:rPr>
        <w:t xml:space="preserve"> </w:t>
      </w:r>
    </w:p>
    <w:p w:rsidR="0029028D" w:rsidRPr="009200C4" w:rsidP="00950A6F" w14:paraId="0A796D04" w14:textId="1F484DC9">
      <w:pPr>
        <w:spacing w:line="480" w:lineRule="auto"/>
        <w:ind w:firstLine="720"/>
        <w:rPr>
          <w:b/>
          <w:bCs/>
        </w:rPr>
      </w:pPr>
      <w:r w:rsidRPr="009200C4">
        <w:t xml:space="preserve">The PUCO, by its finding, would lead one to believe that the evidence accumulated to date about </w:t>
      </w:r>
      <w:r w:rsidRPr="009200C4">
        <w:t>misallocations</w:t>
      </w:r>
      <w:r w:rsidRPr="009200C4">
        <w:t>,</w:t>
      </w:r>
      <w:r w:rsidRPr="009200C4">
        <w:t xml:space="preserve"> improper accounting</w:t>
      </w:r>
      <w:r w:rsidRPr="009200C4">
        <w:t>, and HB</w:t>
      </w:r>
      <w:r w:rsidRPr="009200C4" w:rsidR="0051412F">
        <w:t xml:space="preserve"> </w:t>
      </w:r>
      <w:r w:rsidRPr="009200C4">
        <w:t>6 misdeeds</w:t>
      </w:r>
      <w:r w:rsidRPr="009200C4">
        <w:t xml:space="preserve"> are all behind us and that Rider DCR and Rider AMI are all on the up and up.</w:t>
      </w:r>
      <w:r w:rsidRPr="009200C4" w:rsidR="00D82DE7">
        <w:rPr>
          <w:b/>
          <w:bCs/>
        </w:rPr>
        <w:t xml:space="preserve"> </w:t>
      </w:r>
      <w:r w:rsidRPr="009200C4">
        <w:t>But if that is so, why not allow that information to be exposed to the light of day?</w:t>
      </w:r>
      <w:r w:rsidRPr="009200C4" w:rsidR="00D82DE7">
        <w:rPr>
          <w:b/>
          <w:bCs/>
        </w:rPr>
        <w:t xml:space="preserve"> </w:t>
      </w:r>
      <w:r w:rsidRPr="009200C4">
        <w:t xml:space="preserve">That can only be done when the stays on the four FirstEnergy investigations are </w:t>
      </w:r>
      <w:r w:rsidRPr="009200C4" w:rsidR="000B22A1">
        <w:t>lifted,</w:t>
      </w:r>
      <w:r w:rsidRPr="009200C4">
        <w:t xml:space="preserve"> and evidence is produced</w:t>
      </w:r>
      <w:r w:rsidRPr="009200C4">
        <w:t xml:space="preserve"> and considered in conjunction with FirstEnergy’s requests to collect more money from consumers in its three cases</w:t>
      </w:r>
      <w:r w:rsidRPr="009200C4">
        <w:t xml:space="preserve">. </w:t>
      </w:r>
      <w:r w:rsidRPr="009200C4" w:rsidR="001B1A25">
        <w:t>Rehearing should be granted.</w:t>
      </w:r>
    </w:p>
    <w:p w:rsidR="001B1A25" w:rsidRPr="006B7F03" w:rsidP="006B7F03" w14:paraId="2B865D82" w14:textId="5031854A">
      <w:pPr>
        <w:pStyle w:val="Heading4"/>
      </w:pPr>
      <w:bookmarkStart w:id="12" w:name="_Toc151125991"/>
      <w:r>
        <w:t>2.</w:t>
      </w:r>
      <w:r>
        <w:tab/>
      </w:r>
      <w:r w:rsidRPr="009200C4" w:rsidR="0029028D">
        <w:t>FirstEnergy’s Grid Mod I and II a</w:t>
      </w:r>
      <w:r w:rsidRPr="009200C4">
        <w:t>ddress issues related to the four PUCO</w:t>
      </w:r>
      <w:r w:rsidRPr="009200C4" w:rsidR="00D0371B">
        <w:t xml:space="preserve"> </w:t>
      </w:r>
      <w:r w:rsidRPr="009200C4">
        <w:t>investigations of FirstEnergy</w:t>
      </w:r>
      <w:r w:rsidRPr="009200C4" w:rsidR="007A2C34">
        <w:t>.</w:t>
      </w:r>
      <w:bookmarkEnd w:id="12"/>
    </w:p>
    <w:p w:rsidR="00C9237B" w:rsidRPr="009200C4" w:rsidP="00C9237B" w14:paraId="5356695A" w14:textId="201C1867">
      <w:pPr>
        <w:pStyle w:val="BodyTextIndent3"/>
        <w:widowControl w:val="0"/>
        <w:spacing w:line="480" w:lineRule="auto"/>
        <w:ind w:right="90"/>
        <w:rPr>
          <w:szCs w:val="24"/>
        </w:rPr>
      </w:pPr>
      <w:r w:rsidRPr="009200C4">
        <w:rPr>
          <w:szCs w:val="24"/>
        </w:rPr>
        <w:t>In FirstEnergy’s Grid Mod I case,</w:t>
      </w:r>
      <w:r>
        <w:rPr>
          <w:rStyle w:val="FootnoteReference"/>
          <w:szCs w:val="24"/>
        </w:rPr>
        <w:footnoteReference w:id="18"/>
      </w:r>
      <w:r w:rsidRPr="009200C4">
        <w:rPr>
          <w:szCs w:val="24"/>
        </w:rPr>
        <w:t xml:space="preserve"> FirstEnergy is charging consumers for $516 million related to its Grid Mod I program which was set in motion through a settlement in FirstEnergy</w:t>
      </w:r>
      <w:r w:rsidRPr="009200C4" w:rsidR="007A2C34">
        <w:rPr>
          <w:szCs w:val="24"/>
        </w:rPr>
        <w:t>’s</w:t>
      </w:r>
      <w:r w:rsidRPr="009200C4">
        <w:rPr>
          <w:szCs w:val="24"/>
        </w:rPr>
        <w:t xml:space="preserve"> ESP IV.</w:t>
      </w:r>
      <w:r>
        <w:rPr>
          <w:rStyle w:val="FootnoteReference"/>
          <w:szCs w:val="24"/>
        </w:rPr>
        <w:footnoteReference w:id="19"/>
      </w:r>
      <w:r w:rsidRPr="009200C4">
        <w:rPr>
          <w:szCs w:val="24"/>
        </w:rPr>
        <w:t xml:space="preserve"> In FirstEnergy’s ESP IV, FirstEnergy agreed to file a business plan for grid modernization.</w:t>
      </w:r>
      <w:r>
        <w:rPr>
          <w:rStyle w:val="FootnoteReference"/>
          <w:szCs w:val="24"/>
        </w:rPr>
        <w:footnoteReference w:id="20"/>
      </w:r>
      <w:r w:rsidRPr="009200C4">
        <w:rPr>
          <w:szCs w:val="24"/>
        </w:rPr>
        <w:t xml:space="preserve"> As part of the settlement, FirstEnergy agreed that, if the PUCO approved its plan, it would collect charges from consumers through a single-issue ratemaking charge. FirstEnergy’s ESP IV is presently under investigation, through Case No. 20-1629-EL-RDR, where the PUCO expanded the audit scope to include an investigation of whether FirstEnergy violated R.C. 4928.145.</w:t>
      </w:r>
      <w:r>
        <w:rPr>
          <w:rStyle w:val="FootnoteReference"/>
          <w:szCs w:val="24"/>
        </w:rPr>
        <w:footnoteReference w:id="21"/>
      </w:r>
    </w:p>
    <w:p w:rsidR="00C9237B" w:rsidRPr="009200C4" w:rsidP="00C9237B" w14:paraId="35147B9C" w14:textId="57CBB958">
      <w:pPr>
        <w:pStyle w:val="BodyTextIndent3"/>
        <w:widowControl w:val="0"/>
        <w:spacing w:line="480" w:lineRule="auto"/>
        <w:ind w:right="90"/>
        <w:rPr>
          <w:szCs w:val="24"/>
        </w:rPr>
      </w:pPr>
      <w:r w:rsidRPr="009200C4">
        <w:rPr>
          <w:szCs w:val="24"/>
        </w:rPr>
        <w:t xml:space="preserve">The PUCO, under the direction of former Chair Randazzo, later approved </w:t>
      </w:r>
      <w:r w:rsidRPr="009200C4" w:rsidR="00D7768F">
        <w:rPr>
          <w:szCs w:val="24"/>
        </w:rPr>
        <w:t xml:space="preserve">a specific grid modernization charge to consumers when it resolved a seemingly unrelated </w:t>
      </w:r>
      <w:r w:rsidRPr="009200C4">
        <w:rPr>
          <w:szCs w:val="24"/>
        </w:rPr>
        <w:t>tax savings case.</w:t>
      </w:r>
      <w:r>
        <w:rPr>
          <w:rStyle w:val="FootnoteReference"/>
          <w:szCs w:val="24"/>
        </w:rPr>
        <w:footnoteReference w:id="22"/>
      </w:r>
      <w:r w:rsidRPr="009200C4">
        <w:rPr>
          <w:szCs w:val="24"/>
        </w:rPr>
        <w:t xml:space="preserve"> </w:t>
      </w:r>
      <w:r w:rsidRPr="009200C4" w:rsidR="00D7768F">
        <w:rPr>
          <w:szCs w:val="24"/>
        </w:rPr>
        <w:t>Consumers who have been ordered to pay for Grid Mod I expenditures</w:t>
      </w:r>
      <w:r>
        <w:rPr>
          <w:rStyle w:val="FootnoteReference"/>
          <w:szCs w:val="24"/>
        </w:rPr>
        <w:footnoteReference w:id="23"/>
      </w:r>
      <w:r w:rsidRPr="009200C4">
        <w:rPr>
          <w:szCs w:val="24"/>
        </w:rPr>
        <w:t xml:space="preserve"> deserve to know whether Mr. Randazzo undertook “official action in his capacity as PUCO Chairman to further FirstEnergy Corp.’s interests” </w:t>
      </w:r>
      <w:r w:rsidRPr="009200C4" w:rsidR="00D7768F">
        <w:rPr>
          <w:szCs w:val="24"/>
        </w:rPr>
        <w:t xml:space="preserve">“as requested and as opportunities arose” </w:t>
      </w:r>
      <w:r w:rsidRPr="009200C4">
        <w:rPr>
          <w:szCs w:val="24"/>
        </w:rPr>
        <w:t xml:space="preserve">in securing approval for the Grid Mod I rider charge to consumers. </w:t>
      </w:r>
    </w:p>
    <w:p w:rsidR="009C32CE" w:rsidP="00C9237B" w14:paraId="456545A4" w14:textId="77777777">
      <w:pPr>
        <w:pStyle w:val="BodyTextIndent3"/>
        <w:widowControl w:val="0"/>
        <w:spacing w:line="480" w:lineRule="auto"/>
        <w:ind w:right="90"/>
        <w:rPr>
          <w:szCs w:val="24"/>
        </w:rPr>
      </w:pPr>
      <w:r w:rsidRPr="009200C4">
        <w:rPr>
          <w:szCs w:val="24"/>
        </w:rPr>
        <w:t>In FirstEnergy’s Grid Mod II, FirstEnergy is seeking approval to charge consumers for an additional $626 million grid modernization investment even though it hasn’t demonstrated the benefits it promised from Grid Mod I. FirstEnergy’s Grid Mod II case is premised on its Grid Mod business plan which relates back to FirstEnergy’s ESP IV a</w:t>
      </w:r>
      <w:r w:rsidRPr="009200C4" w:rsidR="00D7768F">
        <w:rPr>
          <w:szCs w:val="24"/>
        </w:rPr>
        <w:t>s well as former</w:t>
      </w:r>
      <w:r w:rsidRPr="009200C4">
        <w:rPr>
          <w:szCs w:val="24"/>
        </w:rPr>
        <w:t xml:space="preserve"> Chairman Randazzo’s approval of grid modernization charges </w:t>
      </w:r>
    </w:p>
    <w:p w:rsidR="009C32CE" w14:paraId="3ED3BD83" w14:textId="77777777">
      <w:pPr>
        <w:spacing w:after="200" w:line="276" w:lineRule="auto"/>
        <w:rPr>
          <w:rFonts w:eastAsia="Times New Roman" w:cs="Times New Roman"/>
          <w:szCs w:val="24"/>
        </w:rPr>
      </w:pPr>
      <w:r>
        <w:rPr>
          <w:szCs w:val="24"/>
        </w:rPr>
        <w:br w:type="page"/>
      </w:r>
    </w:p>
    <w:p w:rsidR="001B1A25" w:rsidRPr="0078138F" w:rsidP="0078138F" w14:paraId="04C60678" w14:textId="758B35E1">
      <w:pPr>
        <w:pStyle w:val="BodyTextIndent3"/>
        <w:widowControl w:val="0"/>
        <w:spacing w:line="480" w:lineRule="auto"/>
        <w:ind w:right="90" w:firstLine="0"/>
        <w:rPr>
          <w:szCs w:val="24"/>
        </w:rPr>
      </w:pPr>
      <w:r w:rsidRPr="009200C4">
        <w:rPr>
          <w:szCs w:val="24"/>
        </w:rPr>
        <w:t>to consumers through the tax savings case.</w:t>
      </w:r>
      <w:r w:rsidRPr="009200C4" w:rsidR="00D82DE7">
        <w:rPr>
          <w:szCs w:val="24"/>
        </w:rPr>
        <w:t xml:space="preserve"> </w:t>
      </w:r>
      <w:r w:rsidRPr="009200C4">
        <w:rPr>
          <w:szCs w:val="24"/>
        </w:rPr>
        <w:t>Grid Mod I and II cannot be separated</w:t>
      </w:r>
      <w:r w:rsidRPr="009200C4" w:rsidR="00D7768F">
        <w:rPr>
          <w:szCs w:val="24"/>
        </w:rPr>
        <w:t xml:space="preserve"> from the H</w:t>
      </w:r>
      <w:r w:rsidRPr="009200C4" w:rsidR="007A2C34">
        <w:rPr>
          <w:szCs w:val="24"/>
        </w:rPr>
        <w:t>B</w:t>
      </w:r>
      <w:r w:rsidRPr="009200C4" w:rsidR="00D7768F">
        <w:rPr>
          <w:szCs w:val="24"/>
        </w:rPr>
        <w:t xml:space="preserve"> 6 investigations</w:t>
      </w:r>
      <w:r w:rsidRPr="009200C4">
        <w:rPr>
          <w:szCs w:val="24"/>
        </w:rPr>
        <w:t xml:space="preserve">. </w:t>
      </w:r>
      <w:r w:rsidRPr="009200C4" w:rsidR="006044B7">
        <w:rPr>
          <w:szCs w:val="24"/>
        </w:rPr>
        <w:t xml:space="preserve">Rehearing should be granted. </w:t>
      </w:r>
    </w:p>
    <w:p w:rsidR="00D0371B" w:rsidRPr="009200C4" w:rsidP="0078138F" w14:paraId="16B51C56" w14:textId="2F44AED7">
      <w:pPr>
        <w:pStyle w:val="Heading3"/>
      </w:pPr>
      <w:bookmarkStart w:id="13" w:name="_Toc151125992"/>
      <w:r w:rsidRPr="009200C4">
        <w:t>C.</w:t>
      </w:r>
      <w:r w:rsidRPr="009200C4">
        <w:tab/>
        <w:t xml:space="preserve">The rational basis for the delay </w:t>
      </w:r>
      <w:r w:rsidRPr="009200C4" w:rsidR="0051412F">
        <w:t xml:space="preserve">OCC requests </w:t>
      </w:r>
      <w:r w:rsidRPr="009200C4">
        <w:t>is established under the six</w:t>
      </w:r>
      <w:r w:rsidRPr="009200C4" w:rsidR="00D8547F">
        <w:t>-</w:t>
      </w:r>
      <w:r w:rsidRPr="009200C4">
        <w:t>factor</w:t>
      </w:r>
      <w:r w:rsidRPr="009200C4" w:rsidR="00881BA7">
        <w:t xml:space="preserve"> balancing </w:t>
      </w:r>
      <w:r w:rsidRPr="009200C4">
        <w:t>test</w:t>
      </w:r>
      <w:r w:rsidRPr="009200C4" w:rsidR="007A2C34">
        <w:t>.</w:t>
      </w:r>
      <w:bookmarkEnd w:id="13"/>
      <w:r w:rsidRPr="009200C4">
        <w:t xml:space="preserve"> </w:t>
      </w:r>
    </w:p>
    <w:p w:rsidR="00881BA7" w:rsidRPr="009200C4" w:rsidP="00FC22B4" w14:paraId="11D6B487" w14:textId="524C3BB6">
      <w:pPr>
        <w:pStyle w:val="ListParagraph"/>
        <w:kinsoku w:val="0"/>
        <w:overflowPunct w:val="0"/>
        <w:autoSpaceDE w:val="0"/>
        <w:autoSpaceDN w:val="0"/>
        <w:adjustRightInd w:val="0"/>
        <w:spacing w:line="480" w:lineRule="auto"/>
        <w:ind w:left="0" w:firstLine="720"/>
        <w:rPr>
          <w:rFonts w:cs="Times New Roman"/>
          <w:szCs w:val="24"/>
        </w:rPr>
      </w:pPr>
      <w:r w:rsidRPr="009200C4">
        <w:rPr>
          <w:rFonts w:cs="Times New Roman"/>
          <w:szCs w:val="24"/>
        </w:rPr>
        <w:t xml:space="preserve">When the PUCO issued its initial Stay Entry in the House Bill 6 cases, the PUCO relied on </w:t>
      </w:r>
      <w:r w:rsidRPr="009200C4">
        <w:rPr>
          <w:rFonts w:cs="Times New Roman"/>
          <w:i/>
          <w:iCs/>
          <w:szCs w:val="24"/>
        </w:rPr>
        <w:t>F.T.C. v. E.M.A. Nationwide, Inc</w:t>
      </w:r>
      <w:r w:rsidRPr="009200C4">
        <w:rPr>
          <w:rFonts w:cs="Times New Roman"/>
          <w:szCs w:val="24"/>
        </w:rPr>
        <w:t>.</w:t>
      </w:r>
      <w:r>
        <w:rPr>
          <w:rStyle w:val="FootnoteReference"/>
          <w:rFonts w:cs="Times New Roman"/>
          <w:szCs w:val="24"/>
        </w:rPr>
        <w:footnoteReference w:id="24"/>
      </w:r>
      <w:r w:rsidRPr="009200C4">
        <w:rPr>
          <w:rFonts w:cs="Times New Roman"/>
          <w:szCs w:val="24"/>
        </w:rPr>
        <w:t xml:space="preserve"> and related cases, which use a balancing test to decide whether a civil case should be stayed due to a related criminal proceeding.</w:t>
      </w:r>
      <w:r>
        <w:rPr>
          <w:rStyle w:val="FootnoteReference"/>
          <w:rFonts w:cs="Times New Roman"/>
          <w:szCs w:val="24"/>
        </w:rPr>
        <w:footnoteReference w:id="25"/>
      </w:r>
      <w:r w:rsidRPr="009200C4" w:rsidR="00D82DE7">
        <w:rPr>
          <w:rFonts w:cs="Times New Roman"/>
          <w:szCs w:val="24"/>
        </w:rPr>
        <w:t xml:space="preserve"> </w:t>
      </w:r>
      <w:r w:rsidRPr="009200C4">
        <w:rPr>
          <w:rFonts w:cs="Times New Roman"/>
          <w:szCs w:val="24"/>
        </w:rPr>
        <w:t>OCC argued against a stay</w:t>
      </w:r>
      <w:r w:rsidRPr="009200C4" w:rsidR="007A2C34">
        <w:rPr>
          <w:rFonts w:cs="Times New Roman"/>
          <w:szCs w:val="24"/>
        </w:rPr>
        <w:t>,</w:t>
      </w:r>
      <w:r>
        <w:rPr>
          <w:rStyle w:val="FootnoteReference"/>
          <w:rFonts w:cs="Times New Roman"/>
          <w:szCs w:val="24"/>
        </w:rPr>
        <w:footnoteReference w:id="26"/>
      </w:r>
      <w:r w:rsidRPr="009200C4" w:rsidR="00D82DE7">
        <w:rPr>
          <w:rFonts w:cs="Times New Roman"/>
          <w:szCs w:val="24"/>
        </w:rPr>
        <w:t xml:space="preserve"> </w:t>
      </w:r>
      <w:r w:rsidRPr="009200C4">
        <w:rPr>
          <w:rFonts w:cs="Times New Roman"/>
          <w:szCs w:val="24"/>
        </w:rPr>
        <w:t xml:space="preserve">but the PUCO </w:t>
      </w:r>
      <w:r w:rsidRPr="009200C4" w:rsidR="00D0371B">
        <w:rPr>
          <w:rFonts w:cs="Times New Roman"/>
          <w:szCs w:val="24"/>
        </w:rPr>
        <w:t>rejected OCC’s arguments.</w:t>
      </w:r>
      <w:r>
        <w:rPr>
          <w:rStyle w:val="FootnoteReference"/>
          <w:rFonts w:cs="Times New Roman"/>
          <w:szCs w:val="24"/>
        </w:rPr>
        <w:footnoteReference w:id="27"/>
      </w:r>
      <w:r w:rsidRPr="009200C4">
        <w:rPr>
          <w:rFonts w:cs="Times New Roman"/>
          <w:szCs w:val="24"/>
        </w:rPr>
        <w:t xml:space="preserve"> </w:t>
      </w:r>
    </w:p>
    <w:p w:rsidR="007157E6" w:rsidRPr="009200C4" w:rsidP="00FC22B4" w14:paraId="19C8DD33" w14:textId="1ACA2317">
      <w:pPr>
        <w:pStyle w:val="ListParagraph"/>
        <w:kinsoku w:val="0"/>
        <w:overflowPunct w:val="0"/>
        <w:autoSpaceDE w:val="0"/>
        <w:autoSpaceDN w:val="0"/>
        <w:adjustRightInd w:val="0"/>
        <w:spacing w:line="480" w:lineRule="auto"/>
        <w:ind w:left="0" w:firstLine="720"/>
        <w:rPr>
          <w:rFonts w:cs="Times New Roman"/>
          <w:b/>
          <w:bCs/>
          <w:szCs w:val="24"/>
        </w:rPr>
      </w:pPr>
      <w:r w:rsidRPr="009200C4">
        <w:rPr>
          <w:rFonts w:cs="Times New Roman"/>
          <w:szCs w:val="24"/>
        </w:rPr>
        <w:t xml:space="preserve">Nonetheless, the PUCO should, consistent with </w:t>
      </w:r>
      <w:r w:rsidRPr="009200C4" w:rsidR="00FC22B4">
        <w:rPr>
          <w:rFonts w:cs="Times New Roman"/>
          <w:szCs w:val="24"/>
        </w:rPr>
        <w:t xml:space="preserve">earlier </w:t>
      </w:r>
      <w:r w:rsidRPr="009200C4">
        <w:rPr>
          <w:rFonts w:cs="Times New Roman"/>
          <w:szCs w:val="24"/>
        </w:rPr>
        <w:t>orders</w:t>
      </w:r>
      <w:r w:rsidRPr="009200C4" w:rsidR="006044B7">
        <w:rPr>
          <w:rFonts w:cs="Times New Roman"/>
          <w:szCs w:val="24"/>
        </w:rPr>
        <w:t xml:space="preserve"> approving the U.S. Attorney’s stay requests,</w:t>
      </w:r>
      <w:r w:rsidRPr="009200C4">
        <w:rPr>
          <w:rFonts w:cs="Times New Roman"/>
          <w:szCs w:val="24"/>
        </w:rPr>
        <w:t xml:space="preserve"> apply the </w:t>
      </w:r>
      <w:r w:rsidRPr="009200C4" w:rsidR="00881BA7">
        <w:rPr>
          <w:rFonts w:cs="Times New Roman"/>
          <w:szCs w:val="24"/>
        </w:rPr>
        <w:t>six-part</w:t>
      </w:r>
      <w:r w:rsidRPr="009200C4">
        <w:rPr>
          <w:rFonts w:cs="Times New Roman"/>
          <w:szCs w:val="24"/>
        </w:rPr>
        <w:t xml:space="preserve"> balancing request to OCC’s request for a stay. </w:t>
      </w:r>
      <w:r w:rsidRPr="009200C4" w:rsidR="00EB19D7">
        <w:rPr>
          <w:rFonts w:cs="Times New Roman"/>
          <w:szCs w:val="24"/>
        </w:rPr>
        <w:t>Under such an analy</w:t>
      </w:r>
      <w:r w:rsidRPr="009200C4" w:rsidR="00506F50">
        <w:rPr>
          <w:rFonts w:cs="Times New Roman"/>
          <w:szCs w:val="24"/>
        </w:rPr>
        <w:t xml:space="preserve">sis there is a rational basis for staying both FirstEnergy’s </w:t>
      </w:r>
      <w:r w:rsidRPr="009200C4" w:rsidR="00FC22B4">
        <w:rPr>
          <w:rFonts w:cs="Times New Roman"/>
          <w:szCs w:val="24"/>
        </w:rPr>
        <w:t>ESP</w:t>
      </w:r>
      <w:r w:rsidRPr="009200C4" w:rsidR="0051412F">
        <w:rPr>
          <w:rFonts w:cs="Times New Roman"/>
          <w:szCs w:val="24"/>
        </w:rPr>
        <w:t xml:space="preserve"> </w:t>
      </w:r>
      <w:r w:rsidRPr="009200C4" w:rsidR="00FC22B4">
        <w:rPr>
          <w:rFonts w:cs="Times New Roman"/>
          <w:szCs w:val="24"/>
        </w:rPr>
        <w:t xml:space="preserve">V and its </w:t>
      </w:r>
      <w:r w:rsidRPr="009200C4" w:rsidR="006044B7">
        <w:rPr>
          <w:rFonts w:cs="Times New Roman"/>
          <w:szCs w:val="24"/>
        </w:rPr>
        <w:t xml:space="preserve">two </w:t>
      </w:r>
      <w:r w:rsidRPr="009200C4" w:rsidR="00506F50">
        <w:rPr>
          <w:rFonts w:cs="Times New Roman"/>
          <w:szCs w:val="24"/>
        </w:rPr>
        <w:t>grid modernization cases.</w:t>
      </w:r>
      <w:r w:rsidRPr="009200C4" w:rsidR="00D82DE7">
        <w:rPr>
          <w:rFonts w:cs="Times New Roman"/>
          <w:szCs w:val="24"/>
        </w:rPr>
        <w:t xml:space="preserve"> </w:t>
      </w:r>
      <w:r w:rsidRPr="009200C4" w:rsidR="00FC22B4">
        <w:rPr>
          <w:rFonts w:cs="Times New Roman"/>
          <w:szCs w:val="24"/>
        </w:rPr>
        <w:t xml:space="preserve">The PUCO was wrong when it concluded </w:t>
      </w:r>
      <w:r w:rsidRPr="009200C4" w:rsidR="006044B7">
        <w:rPr>
          <w:rFonts w:cs="Times New Roman"/>
          <w:szCs w:val="24"/>
        </w:rPr>
        <w:t xml:space="preserve">that OCC had established no rational basis for the stay </w:t>
      </w:r>
      <w:r w:rsidRPr="009200C4" w:rsidR="00FC22B4">
        <w:rPr>
          <w:rFonts w:cs="Times New Roman"/>
          <w:szCs w:val="24"/>
        </w:rPr>
        <w:t xml:space="preserve">and failed to consider OCC’s arguments under the </w:t>
      </w:r>
      <w:r w:rsidRPr="009200C4" w:rsidR="00881BA7">
        <w:rPr>
          <w:rFonts w:cs="Times New Roman"/>
          <w:szCs w:val="24"/>
        </w:rPr>
        <w:t>six-part</w:t>
      </w:r>
      <w:r w:rsidRPr="009200C4" w:rsidR="00FC22B4">
        <w:rPr>
          <w:rFonts w:cs="Times New Roman"/>
          <w:szCs w:val="24"/>
        </w:rPr>
        <w:t xml:space="preserve"> balancing test.</w:t>
      </w:r>
      <w:r w:rsidRPr="009200C4" w:rsidR="00D82DE7">
        <w:rPr>
          <w:rFonts w:cs="Times New Roman"/>
          <w:szCs w:val="24"/>
        </w:rPr>
        <w:t xml:space="preserve"> </w:t>
      </w:r>
    </w:p>
    <w:p w:rsidR="00802340" w:rsidRPr="009200C4" w:rsidP="002624EC" w14:paraId="243FC83C" w14:textId="1C011DF7">
      <w:pPr>
        <w:pStyle w:val="Heading4"/>
      </w:pPr>
      <w:r w:rsidRPr="009200C4">
        <w:t xml:space="preserve"> </w:t>
      </w:r>
      <w:bookmarkStart w:id="14" w:name="_Toc151125993"/>
      <w:r w:rsidR="002624EC">
        <w:t>1.</w:t>
      </w:r>
      <w:r w:rsidR="002624EC">
        <w:tab/>
      </w:r>
      <w:r w:rsidRPr="009200C4">
        <w:t>There are overlapping issues that exist making a stay reasonable.</w:t>
      </w:r>
      <w:bookmarkEnd w:id="14"/>
    </w:p>
    <w:p w:rsidR="009741BC" w:rsidRPr="009200C4" w:rsidP="00802340" w14:paraId="2F1277C4" w14:textId="5665C596">
      <w:pPr>
        <w:pStyle w:val="BodyTextIndent3"/>
        <w:widowControl w:val="0"/>
        <w:spacing w:line="480" w:lineRule="auto"/>
        <w:ind w:right="90"/>
        <w:rPr>
          <w:szCs w:val="24"/>
        </w:rPr>
      </w:pPr>
      <w:r w:rsidRPr="009200C4">
        <w:rPr>
          <w:szCs w:val="24"/>
        </w:rPr>
        <w:t>The first factor in the PUCO’s balancing test is whether there is any overlap of the issues between the criminal case and the PUCO case.</w:t>
      </w:r>
      <w:r>
        <w:rPr>
          <w:rStyle w:val="FootnoteReference"/>
          <w:szCs w:val="24"/>
        </w:rPr>
        <w:footnoteReference w:id="28"/>
      </w:r>
      <w:r w:rsidRPr="009200C4" w:rsidR="00D82DE7">
        <w:rPr>
          <w:szCs w:val="24"/>
        </w:rPr>
        <w:t xml:space="preserve"> </w:t>
      </w:r>
      <w:r w:rsidRPr="009200C4">
        <w:rPr>
          <w:szCs w:val="24"/>
        </w:rPr>
        <w:t>The PUCO concluded that this factor weighed in favor of a stay due to “the similarities between the legal issues and subject matter such as the charges, fact issues, witnesses, and evidence.”</w:t>
      </w:r>
      <w:r>
        <w:rPr>
          <w:rStyle w:val="FootnoteReference"/>
          <w:szCs w:val="24"/>
        </w:rPr>
        <w:footnoteReference w:id="29"/>
      </w:r>
      <w:r w:rsidRPr="009200C4" w:rsidR="00D82DE7">
        <w:rPr>
          <w:szCs w:val="24"/>
        </w:rPr>
        <w:t xml:space="preserve"> </w:t>
      </w:r>
    </w:p>
    <w:p w:rsidR="004819BD" w:rsidRPr="009200C4" w:rsidP="00802340" w14:paraId="7BD122F8" w14:textId="7958B08B">
      <w:pPr>
        <w:pStyle w:val="BodyTextIndent3"/>
        <w:widowControl w:val="0"/>
        <w:spacing w:line="480" w:lineRule="auto"/>
        <w:ind w:right="90"/>
        <w:rPr>
          <w:szCs w:val="24"/>
        </w:rPr>
      </w:pPr>
      <w:r w:rsidRPr="009200C4">
        <w:rPr>
          <w:szCs w:val="24"/>
        </w:rPr>
        <w:t xml:space="preserve">This factor also weighs in favor of a stay of </w:t>
      </w:r>
      <w:r w:rsidRPr="009200C4" w:rsidR="00802340">
        <w:rPr>
          <w:szCs w:val="24"/>
        </w:rPr>
        <w:t xml:space="preserve">FirstEnergy cases </w:t>
      </w:r>
      <w:r w:rsidRPr="009200C4">
        <w:rPr>
          <w:szCs w:val="24"/>
        </w:rPr>
        <w:t xml:space="preserve">due to the similarities of the legal issues and subject matter. </w:t>
      </w:r>
      <w:r w:rsidRPr="009200C4" w:rsidR="007157E6">
        <w:rPr>
          <w:szCs w:val="24"/>
        </w:rPr>
        <w:t>In FirstEnergy’s Grid Mod I case,</w:t>
      </w:r>
      <w:r>
        <w:rPr>
          <w:rStyle w:val="FootnoteReference"/>
          <w:szCs w:val="24"/>
        </w:rPr>
        <w:footnoteReference w:id="30"/>
      </w:r>
      <w:r w:rsidRPr="009200C4" w:rsidR="007157E6">
        <w:rPr>
          <w:szCs w:val="24"/>
        </w:rPr>
        <w:t xml:space="preserve"> FirstEnergy is charging consumers for $516 million related to its Grid Mod I program which was set in motion through a settlement in FirstEnergy ESP IV.</w:t>
      </w:r>
      <w:r>
        <w:rPr>
          <w:rStyle w:val="FootnoteReference"/>
          <w:szCs w:val="24"/>
        </w:rPr>
        <w:footnoteReference w:id="31"/>
      </w:r>
      <w:r w:rsidRPr="009200C4" w:rsidR="007157E6">
        <w:rPr>
          <w:szCs w:val="24"/>
        </w:rPr>
        <w:t xml:space="preserve"> In FirstEnergy’s ESP IV, FirstEnergy agreed to file a business plan for grid modernization.</w:t>
      </w:r>
      <w:r>
        <w:rPr>
          <w:rStyle w:val="FootnoteReference"/>
          <w:szCs w:val="24"/>
        </w:rPr>
        <w:footnoteReference w:id="32"/>
      </w:r>
      <w:r w:rsidRPr="009200C4" w:rsidR="007157E6">
        <w:rPr>
          <w:szCs w:val="24"/>
        </w:rPr>
        <w:t xml:space="preserve"> As part of the settlement, FirstEnergy agreed that, if the PUCO approved its plan, it would collect charges from consumers through a single-issue ratemaking charge. </w:t>
      </w:r>
    </w:p>
    <w:p w:rsidR="007157E6" w:rsidRPr="009200C4" w:rsidP="007157E6" w14:paraId="21705D5E" w14:textId="2F08B33E">
      <w:pPr>
        <w:pStyle w:val="BodyTextIndent3"/>
        <w:widowControl w:val="0"/>
        <w:spacing w:line="480" w:lineRule="auto"/>
        <w:ind w:right="90"/>
        <w:rPr>
          <w:szCs w:val="24"/>
        </w:rPr>
      </w:pPr>
      <w:r w:rsidRPr="009200C4">
        <w:rPr>
          <w:szCs w:val="24"/>
        </w:rPr>
        <w:t>The PUCO, under the direction of former Chair Randazzo, later approved that single issue ratemaking charge in the tax savings case.</w:t>
      </w:r>
      <w:r>
        <w:rPr>
          <w:rStyle w:val="FootnoteReference"/>
          <w:szCs w:val="24"/>
        </w:rPr>
        <w:footnoteReference w:id="33"/>
      </w:r>
      <w:r w:rsidRPr="009200C4">
        <w:rPr>
          <w:szCs w:val="24"/>
        </w:rPr>
        <w:t xml:space="preserve"> Stakeholders deserve to know whether Mr. Randazzo undertook “official action in his capacity as PUCO Chairman to further FirstEnergy Corp.’s interests” in securing approval for the Grid Mod I rider charge to consumers. </w:t>
      </w:r>
    </w:p>
    <w:p w:rsidR="009741BC" w:rsidRPr="009200C4" w:rsidP="00A20BA7" w14:paraId="39E8B203" w14:textId="27A32C5B">
      <w:pPr>
        <w:pStyle w:val="BodyTextIndent3"/>
        <w:widowControl w:val="0"/>
        <w:spacing w:line="480" w:lineRule="auto"/>
        <w:ind w:right="90"/>
        <w:rPr>
          <w:szCs w:val="24"/>
        </w:rPr>
      </w:pPr>
      <w:r w:rsidRPr="009200C4">
        <w:rPr>
          <w:szCs w:val="24"/>
        </w:rPr>
        <w:t>In FirstEnergy’s Grid Mod II, FirstEnergy is seeking approval to charge consumers for an additional $626 million grid modernization investment even though it hasn’t demonstrated the benefits it promised from Grid Mod I. FirstEnergy’s Grid Mod II case is premised on its Grid Mod business plan which relates back to FirstEnergy’s ESP IV</w:t>
      </w:r>
      <w:r w:rsidRPr="009200C4" w:rsidR="0041465E">
        <w:rPr>
          <w:szCs w:val="24"/>
        </w:rPr>
        <w:t xml:space="preserve"> and Chairman Randazzo</w:t>
      </w:r>
      <w:r w:rsidRPr="009200C4" w:rsidR="00153AB2">
        <w:rPr>
          <w:szCs w:val="24"/>
        </w:rPr>
        <w:t>’s approval of grid modernization charges to consumers through the tax savings case</w:t>
      </w:r>
      <w:r w:rsidRPr="009200C4" w:rsidR="00423A87">
        <w:rPr>
          <w:szCs w:val="24"/>
        </w:rPr>
        <w:t>.</w:t>
      </w:r>
      <w:r w:rsidRPr="009200C4" w:rsidR="00D82DE7">
        <w:rPr>
          <w:szCs w:val="24"/>
        </w:rPr>
        <w:t xml:space="preserve"> </w:t>
      </w:r>
    </w:p>
    <w:p w:rsidR="009741BC" w:rsidRPr="009200C4" w:rsidP="009741BC" w14:paraId="01D4309E" w14:textId="4AA51A30">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In Case No. 20-1629-EL-RDR, the Auditor found cost misallocations related to House Bill 6.</w:t>
      </w:r>
      <w:r>
        <w:rPr>
          <w:rStyle w:val="FootnoteReference"/>
          <w:rFonts w:cs="Times New Roman"/>
          <w:szCs w:val="24"/>
        </w:rPr>
        <w:footnoteReference w:id="34"/>
      </w:r>
      <w:r w:rsidRPr="009200C4">
        <w:rPr>
          <w:rFonts w:cs="Times New Roman"/>
          <w:szCs w:val="24"/>
        </w:rPr>
        <w:t xml:space="preserve"> These cost allocation issues also permeate the corporate separation investigation</w:t>
      </w:r>
      <w:r>
        <w:rPr>
          <w:rStyle w:val="FootnoteReference"/>
          <w:rFonts w:cs="Times New Roman"/>
          <w:szCs w:val="24"/>
        </w:rPr>
        <w:footnoteReference w:id="35"/>
      </w:r>
      <w:r w:rsidRPr="009200C4">
        <w:rPr>
          <w:rFonts w:cs="Times New Roman"/>
          <w:szCs w:val="24"/>
        </w:rPr>
        <w:t xml:space="preserve"> and the political and charitable spending</w:t>
      </w:r>
      <w:r>
        <w:rPr>
          <w:rStyle w:val="FootnoteReference"/>
          <w:rFonts w:cs="Times New Roman"/>
          <w:szCs w:val="24"/>
        </w:rPr>
        <w:footnoteReference w:id="36"/>
      </w:r>
      <w:r w:rsidRPr="009200C4">
        <w:rPr>
          <w:rFonts w:cs="Times New Roman"/>
          <w:szCs w:val="24"/>
        </w:rPr>
        <w:t xml:space="preserve"> investigation. These cost misallocation issues are also intrinsic to Rider AMI and Rider DCR, both of which are being extended in FirstEnergy’s ESP V.</w:t>
      </w:r>
      <w:r w:rsidRPr="009200C4" w:rsidR="00D82DE7">
        <w:rPr>
          <w:rFonts w:cs="Times New Roman"/>
          <w:szCs w:val="24"/>
        </w:rPr>
        <w:t xml:space="preserve"> </w:t>
      </w:r>
    </w:p>
    <w:p w:rsidR="00324AB0" w:rsidRPr="009200C4" w:rsidP="00A20BA7" w14:paraId="374989A8" w14:textId="29BFB0A7">
      <w:pPr>
        <w:pStyle w:val="BodyTextIndent3"/>
        <w:widowControl w:val="0"/>
        <w:spacing w:line="480" w:lineRule="auto"/>
        <w:ind w:right="90"/>
        <w:rPr>
          <w:szCs w:val="24"/>
        </w:rPr>
      </w:pPr>
      <w:r w:rsidRPr="009200C4">
        <w:rPr>
          <w:szCs w:val="24"/>
        </w:rPr>
        <w:t xml:space="preserve">Thus, the first factor in the PUCO’s balancing test - whether there is any overlap of the issues between the criminal case and the PUCO case – weighs in favor of a stay. </w:t>
      </w:r>
    </w:p>
    <w:p w:rsidR="007A2C34" w:rsidRPr="009A6CBF" w:rsidP="009A6CBF" w14:paraId="12B783FE" w14:textId="2B7404C8">
      <w:pPr>
        <w:pStyle w:val="Heading4"/>
      </w:pPr>
      <w:bookmarkStart w:id="15" w:name="_Toc151125994"/>
      <w:r>
        <w:t>2.</w:t>
      </w:r>
      <w:r>
        <w:tab/>
      </w:r>
      <w:r w:rsidRPr="009200C4" w:rsidR="009741BC">
        <w:t>The status of the criminal proceeding weighs in favor of a stay of FirstEnergy’s ESP V</w:t>
      </w:r>
      <w:r w:rsidRPr="009200C4">
        <w:t>.</w:t>
      </w:r>
      <w:bookmarkEnd w:id="15"/>
    </w:p>
    <w:p w:rsidR="00324AB0" w:rsidRPr="009200C4" w:rsidP="009741BC" w14:paraId="1B32D5B0" w14:textId="6C8558FD">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The second factor is the status of the criminal proceeding.</w:t>
      </w:r>
      <w:r>
        <w:rPr>
          <w:rStyle w:val="FootnoteReference"/>
          <w:rFonts w:cs="Times New Roman"/>
          <w:szCs w:val="24"/>
        </w:rPr>
        <w:footnoteReference w:id="37"/>
      </w:r>
      <w:r w:rsidRPr="009200C4" w:rsidR="00D82DE7">
        <w:rPr>
          <w:rFonts w:cs="Times New Roman"/>
          <w:szCs w:val="24"/>
        </w:rPr>
        <w:t xml:space="preserve"> </w:t>
      </w:r>
      <w:r w:rsidRPr="009200C4">
        <w:rPr>
          <w:rFonts w:cs="Times New Roman"/>
          <w:szCs w:val="24"/>
        </w:rPr>
        <w:t>The PUCO concluded that the U.S. Attorney’s ongoing investigation into the House Bill 6 scandal is sufficient to satisfy this second factor.</w:t>
      </w:r>
      <w:r>
        <w:rPr>
          <w:rStyle w:val="FootnoteReference"/>
          <w:rFonts w:cs="Times New Roman"/>
          <w:szCs w:val="24"/>
        </w:rPr>
        <w:footnoteReference w:id="38"/>
      </w:r>
      <w:r w:rsidRPr="009200C4" w:rsidR="00D82DE7">
        <w:rPr>
          <w:rFonts w:cs="Times New Roman"/>
          <w:szCs w:val="24"/>
        </w:rPr>
        <w:t xml:space="preserve"> </w:t>
      </w:r>
      <w:r w:rsidRPr="009200C4">
        <w:rPr>
          <w:rFonts w:cs="Times New Roman"/>
          <w:szCs w:val="24"/>
        </w:rPr>
        <w:t xml:space="preserve">This factor also weights in favor of a stay of the Grid Mod </w:t>
      </w:r>
      <w:r w:rsidRPr="009200C4" w:rsidR="00A91FBB">
        <w:rPr>
          <w:rFonts w:cs="Times New Roman"/>
          <w:szCs w:val="24"/>
        </w:rPr>
        <w:t xml:space="preserve">and ESP V </w:t>
      </w:r>
      <w:r w:rsidRPr="009200C4">
        <w:rPr>
          <w:rFonts w:cs="Times New Roman"/>
          <w:szCs w:val="24"/>
        </w:rPr>
        <w:t>cases because the U.S. Attorney’s criminal investigation is still ongoing.</w:t>
      </w:r>
    </w:p>
    <w:p w:rsidR="007A2C34" w:rsidRPr="0071562B" w:rsidP="0071562B" w14:paraId="1B21E6E8" w14:textId="0BCF9C74">
      <w:pPr>
        <w:pStyle w:val="Heading4"/>
      </w:pPr>
      <w:bookmarkStart w:id="16" w:name="_Toc151125995"/>
      <w:r>
        <w:t>3.</w:t>
      </w:r>
      <w:r>
        <w:tab/>
      </w:r>
      <w:r w:rsidRPr="009200C4" w:rsidR="00A91FBB">
        <w:t>The interests of the PUCO weigh in favor of staying the FirstEnergy cases</w:t>
      </w:r>
      <w:r w:rsidRPr="009200C4">
        <w:t>.</w:t>
      </w:r>
      <w:bookmarkEnd w:id="16"/>
    </w:p>
    <w:p w:rsidR="00324AB0" w:rsidRPr="009200C4" w:rsidP="00A91FBB" w14:paraId="083C8ABF" w14:textId="1A8C8AA3">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The </w:t>
      </w:r>
      <w:r w:rsidRPr="009200C4" w:rsidR="003A546C">
        <w:rPr>
          <w:rFonts w:cs="Times New Roman"/>
          <w:szCs w:val="24"/>
        </w:rPr>
        <w:t xml:space="preserve">fifth </w:t>
      </w:r>
      <w:r w:rsidRPr="009200C4">
        <w:rPr>
          <w:rFonts w:cs="Times New Roman"/>
          <w:szCs w:val="24"/>
        </w:rPr>
        <w:t>factor is the interests of the PUCO.</w:t>
      </w:r>
      <w:r>
        <w:rPr>
          <w:rStyle w:val="FootnoteReference"/>
          <w:rFonts w:cs="Times New Roman"/>
          <w:szCs w:val="24"/>
        </w:rPr>
        <w:footnoteReference w:id="39"/>
      </w:r>
      <w:r w:rsidRPr="009200C4" w:rsidR="00D82DE7">
        <w:rPr>
          <w:rFonts w:cs="Times New Roman"/>
          <w:szCs w:val="24"/>
        </w:rPr>
        <w:t xml:space="preserve"> </w:t>
      </w:r>
      <w:r w:rsidRPr="009200C4">
        <w:rPr>
          <w:rFonts w:cs="Times New Roman"/>
          <w:szCs w:val="24"/>
        </w:rPr>
        <w:t>The PUCO concluded that this factor weighed in favor of staying the House Bill 6 cases to avoid the risk of interfering with the federal criminal investigation.</w:t>
      </w:r>
      <w:r>
        <w:rPr>
          <w:rStyle w:val="FootnoteReference"/>
          <w:rFonts w:cs="Times New Roman"/>
          <w:szCs w:val="24"/>
        </w:rPr>
        <w:footnoteReference w:id="40"/>
      </w:r>
      <w:r w:rsidRPr="009200C4" w:rsidR="00D82DE7">
        <w:rPr>
          <w:rFonts w:cs="Times New Roman"/>
          <w:szCs w:val="24"/>
        </w:rPr>
        <w:t xml:space="preserve"> </w:t>
      </w:r>
      <w:r w:rsidRPr="009200C4">
        <w:rPr>
          <w:rFonts w:cs="Times New Roman"/>
          <w:szCs w:val="24"/>
        </w:rPr>
        <w:t>If the</w:t>
      </w:r>
      <w:r w:rsidRPr="009200C4" w:rsidR="00A91FBB">
        <w:rPr>
          <w:rFonts w:cs="Times New Roman"/>
          <w:szCs w:val="24"/>
        </w:rPr>
        <w:t xml:space="preserve"> FirstEnergy ESP V, and </w:t>
      </w:r>
      <w:r w:rsidRPr="009200C4" w:rsidR="00881BA7">
        <w:rPr>
          <w:rFonts w:cs="Times New Roman"/>
          <w:szCs w:val="24"/>
        </w:rPr>
        <w:t xml:space="preserve">its </w:t>
      </w:r>
      <w:r w:rsidRPr="009200C4">
        <w:rPr>
          <w:rFonts w:cs="Times New Roman"/>
          <w:szCs w:val="24"/>
        </w:rPr>
        <w:t xml:space="preserve">Grid Mod I and II cases go forward, then this would also run the risk of interfering with the federal criminal investigation, given </w:t>
      </w:r>
      <w:r w:rsidRPr="009200C4" w:rsidR="00BC7852">
        <w:rPr>
          <w:rFonts w:cs="Times New Roman"/>
          <w:szCs w:val="24"/>
        </w:rPr>
        <w:t>potential misallocat</w:t>
      </w:r>
      <w:r w:rsidRPr="009200C4" w:rsidR="00881BA7">
        <w:rPr>
          <w:rFonts w:cs="Times New Roman"/>
          <w:szCs w:val="24"/>
        </w:rPr>
        <w:t>ion of costs that occurred</w:t>
      </w:r>
      <w:r w:rsidRPr="009200C4" w:rsidR="00BC7852">
        <w:rPr>
          <w:rFonts w:cs="Times New Roman"/>
          <w:szCs w:val="24"/>
        </w:rPr>
        <w:t xml:space="preserve"> as part of the </w:t>
      </w:r>
      <w:r w:rsidRPr="009200C4" w:rsidR="00952834">
        <w:rPr>
          <w:rFonts w:cs="Times New Roman"/>
          <w:szCs w:val="24"/>
        </w:rPr>
        <w:t>House Bill</w:t>
      </w:r>
      <w:r w:rsidRPr="009200C4" w:rsidR="00BC7852">
        <w:rPr>
          <w:rFonts w:cs="Times New Roman"/>
          <w:szCs w:val="24"/>
        </w:rPr>
        <w:t xml:space="preserve"> 6 scandal. This means </w:t>
      </w:r>
      <w:r w:rsidRPr="009200C4">
        <w:rPr>
          <w:rFonts w:cs="Times New Roman"/>
          <w:szCs w:val="24"/>
        </w:rPr>
        <w:t xml:space="preserve">common witnesses/subjects of the investigation </w:t>
      </w:r>
      <w:r w:rsidRPr="009200C4" w:rsidR="00BC7852">
        <w:rPr>
          <w:rFonts w:cs="Times New Roman"/>
          <w:szCs w:val="24"/>
        </w:rPr>
        <w:t xml:space="preserve">may be common to </w:t>
      </w:r>
      <w:r w:rsidRPr="009200C4" w:rsidR="00881BA7">
        <w:rPr>
          <w:rFonts w:cs="Times New Roman"/>
          <w:szCs w:val="24"/>
        </w:rPr>
        <w:t xml:space="preserve">the three </w:t>
      </w:r>
      <w:r w:rsidRPr="009200C4" w:rsidR="0080677E">
        <w:rPr>
          <w:rFonts w:cs="Times New Roman"/>
          <w:szCs w:val="24"/>
        </w:rPr>
        <w:t xml:space="preserve">pending </w:t>
      </w:r>
      <w:r w:rsidRPr="009200C4" w:rsidR="00881BA7">
        <w:rPr>
          <w:rFonts w:cs="Times New Roman"/>
          <w:szCs w:val="24"/>
        </w:rPr>
        <w:t>FirstEnergy</w:t>
      </w:r>
      <w:r w:rsidRPr="009200C4" w:rsidR="00BC7852">
        <w:rPr>
          <w:rFonts w:cs="Times New Roman"/>
          <w:szCs w:val="24"/>
        </w:rPr>
        <w:t xml:space="preserve"> proceedings</w:t>
      </w:r>
      <w:r w:rsidRPr="009200C4">
        <w:rPr>
          <w:rFonts w:cs="Times New Roman"/>
          <w:szCs w:val="24"/>
        </w:rPr>
        <w:t>.</w:t>
      </w:r>
      <w:r w:rsidRPr="009200C4" w:rsidR="00D82DE7">
        <w:rPr>
          <w:rFonts w:cs="Times New Roman"/>
          <w:szCs w:val="24"/>
        </w:rPr>
        <w:t xml:space="preserve"> </w:t>
      </w:r>
      <w:r w:rsidRPr="009200C4">
        <w:rPr>
          <w:rFonts w:cs="Times New Roman"/>
          <w:szCs w:val="24"/>
        </w:rPr>
        <w:t xml:space="preserve">This factor therefore also weighs in favor of a stay of </w:t>
      </w:r>
      <w:r w:rsidRPr="009200C4" w:rsidR="0080677E">
        <w:rPr>
          <w:rFonts w:cs="Times New Roman"/>
          <w:szCs w:val="24"/>
        </w:rPr>
        <w:t xml:space="preserve">FirstEnergy’s ESP V and its </w:t>
      </w:r>
      <w:r w:rsidRPr="009200C4">
        <w:rPr>
          <w:rFonts w:cs="Times New Roman"/>
          <w:szCs w:val="24"/>
        </w:rPr>
        <w:t>Grid Mod I and II cases.</w:t>
      </w:r>
    </w:p>
    <w:p w:rsidR="00A91FBB" w:rsidRPr="009854A0" w:rsidP="009854A0" w14:paraId="7952640E" w14:textId="15D9EFB4">
      <w:pPr>
        <w:pStyle w:val="Heading4"/>
      </w:pPr>
      <w:bookmarkStart w:id="17" w:name="_Toc151125996"/>
      <w:r>
        <w:t>4.</w:t>
      </w:r>
      <w:r>
        <w:tab/>
      </w:r>
      <w:r w:rsidRPr="009200C4">
        <w:t>The public interest weighs in favor of staying the PUCO’s consideration of FirstEnergy’s ESP V</w:t>
      </w:r>
      <w:r w:rsidRPr="009200C4" w:rsidR="0080677E">
        <w:t xml:space="preserve"> and its Grid Mod I and II</w:t>
      </w:r>
      <w:r w:rsidRPr="009200C4" w:rsidR="007A2C34">
        <w:t>.</w:t>
      </w:r>
      <w:bookmarkEnd w:id="17"/>
    </w:p>
    <w:p w:rsidR="00324AB0" w:rsidRPr="009200C4" w:rsidP="00A91FBB" w14:paraId="15A371A5" w14:textId="7C0596A6">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The </w:t>
      </w:r>
      <w:r w:rsidRPr="009200C4" w:rsidR="003A546C">
        <w:rPr>
          <w:rFonts w:cs="Times New Roman"/>
          <w:szCs w:val="24"/>
        </w:rPr>
        <w:t xml:space="preserve">sixth </w:t>
      </w:r>
      <w:r w:rsidRPr="009200C4">
        <w:rPr>
          <w:rFonts w:cs="Times New Roman"/>
          <w:szCs w:val="24"/>
        </w:rPr>
        <w:t>factor is the public interest.</w:t>
      </w:r>
      <w:r>
        <w:rPr>
          <w:rStyle w:val="FootnoteReference"/>
          <w:rFonts w:cs="Times New Roman"/>
          <w:szCs w:val="24"/>
        </w:rPr>
        <w:footnoteReference w:id="41"/>
      </w:r>
      <w:r w:rsidRPr="009200C4" w:rsidR="00D82DE7">
        <w:rPr>
          <w:rFonts w:cs="Times New Roman"/>
          <w:szCs w:val="24"/>
        </w:rPr>
        <w:t xml:space="preserve"> </w:t>
      </w:r>
      <w:r w:rsidRPr="009200C4">
        <w:rPr>
          <w:rFonts w:cs="Times New Roman"/>
          <w:szCs w:val="24"/>
        </w:rPr>
        <w:t>In the House Bill 6 cases, the PUCO viewed the public interest as broader than merely the interests of Ohio consumers and concluded that this factor weighted in favor of a stay.</w:t>
      </w:r>
      <w:r w:rsidRPr="009200C4" w:rsidR="00D82DE7">
        <w:rPr>
          <w:rFonts w:cs="Times New Roman"/>
          <w:szCs w:val="24"/>
        </w:rPr>
        <w:t xml:space="preserve"> </w:t>
      </w:r>
      <w:r w:rsidRPr="009200C4">
        <w:rPr>
          <w:rFonts w:cs="Times New Roman"/>
          <w:szCs w:val="24"/>
        </w:rPr>
        <w:t>The PUCO stated: “</w:t>
      </w:r>
      <w:r w:rsidRPr="009200C4" w:rsidR="00E00C4D">
        <w:rPr>
          <w:rFonts w:cs="Times New Roman"/>
          <w:szCs w:val="24"/>
        </w:rPr>
        <w:t>‘</w:t>
      </w:r>
      <w:r w:rsidRPr="009200C4">
        <w:rPr>
          <w:rFonts w:cs="Times New Roman"/>
          <w:szCs w:val="24"/>
        </w:rPr>
        <w:t>the public interest in effective criminal prosecution generally outweighs any existing civil interests.’”</w:t>
      </w:r>
      <w:r>
        <w:rPr>
          <w:rStyle w:val="FootnoteReference"/>
          <w:rFonts w:cs="Times New Roman"/>
          <w:szCs w:val="24"/>
        </w:rPr>
        <w:footnoteReference w:id="42"/>
      </w:r>
      <w:r w:rsidRPr="009200C4" w:rsidR="00D82DE7">
        <w:rPr>
          <w:rFonts w:cs="Times New Roman"/>
          <w:szCs w:val="24"/>
        </w:rPr>
        <w:t xml:space="preserve"> </w:t>
      </w:r>
      <w:r w:rsidRPr="009200C4">
        <w:rPr>
          <w:rFonts w:cs="Times New Roman"/>
          <w:szCs w:val="24"/>
        </w:rPr>
        <w:t xml:space="preserve">Applying this same broad view of the public interest, this factor weighs in favor of a stay of </w:t>
      </w:r>
      <w:r w:rsidRPr="009200C4" w:rsidR="00A91FBB">
        <w:rPr>
          <w:rFonts w:cs="Times New Roman"/>
          <w:szCs w:val="24"/>
        </w:rPr>
        <w:t xml:space="preserve">FirstEnergy’s ESP V and its Grid </w:t>
      </w:r>
      <w:r w:rsidRPr="009200C4">
        <w:rPr>
          <w:rFonts w:cs="Times New Roman"/>
          <w:szCs w:val="24"/>
        </w:rPr>
        <w:t>Mod I and II cases.</w:t>
      </w:r>
      <w:r w:rsidRPr="009200C4" w:rsidR="00D82DE7">
        <w:rPr>
          <w:rFonts w:cs="Times New Roman"/>
          <w:szCs w:val="24"/>
        </w:rPr>
        <w:t xml:space="preserve"> </w:t>
      </w:r>
      <w:r w:rsidRPr="009200C4">
        <w:rPr>
          <w:rFonts w:cs="Times New Roman"/>
          <w:szCs w:val="24"/>
        </w:rPr>
        <w:t xml:space="preserve">In both the House Bill 6 cases and in the </w:t>
      </w:r>
      <w:r w:rsidRPr="009200C4" w:rsidR="0080677E">
        <w:rPr>
          <w:rFonts w:cs="Times New Roman"/>
          <w:szCs w:val="24"/>
        </w:rPr>
        <w:t>pending FirstEnergy cases</w:t>
      </w:r>
      <w:r w:rsidRPr="009200C4">
        <w:rPr>
          <w:rFonts w:cs="Times New Roman"/>
          <w:szCs w:val="24"/>
        </w:rPr>
        <w:t>, the continued litigation of these cases while the criminal investigation is in progress could interfere with the criminal investigation.</w:t>
      </w:r>
    </w:p>
    <w:p w:rsidR="00184353" w:rsidRPr="009854A0" w:rsidP="009854A0" w14:paraId="0F0C81DD" w14:textId="0A0BA91E">
      <w:pPr>
        <w:pStyle w:val="Heading4"/>
      </w:pPr>
      <w:bookmarkStart w:id="18" w:name="_Toc151125997"/>
      <w:r>
        <w:t>5.</w:t>
      </w:r>
      <w:r>
        <w:tab/>
      </w:r>
      <w:r w:rsidRPr="009200C4">
        <w:t>The private interests of those impacted by the stay weigh in favor of staying the PUCO’s consideration of FirstEnergy’s ESP V</w:t>
      </w:r>
      <w:r w:rsidRPr="009200C4" w:rsidR="0080677E">
        <w:t xml:space="preserve"> and its Grid Mod I and II</w:t>
      </w:r>
      <w:r w:rsidRPr="009200C4" w:rsidR="003016EF">
        <w:t>.</w:t>
      </w:r>
      <w:bookmarkEnd w:id="18"/>
    </w:p>
    <w:p w:rsidR="0080677E" w:rsidRPr="009200C4" w:rsidP="00324AB0" w14:paraId="426C4CA4" w14:textId="5BDE7799">
      <w:pPr>
        <w:tabs>
          <w:tab w:val="right" w:pos="8640"/>
        </w:tabs>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The </w:t>
      </w:r>
      <w:r w:rsidRPr="009200C4" w:rsidR="003A546C">
        <w:rPr>
          <w:rFonts w:cs="Times New Roman"/>
          <w:szCs w:val="24"/>
        </w:rPr>
        <w:t xml:space="preserve">third and fourth </w:t>
      </w:r>
      <w:r w:rsidRPr="009200C4">
        <w:rPr>
          <w:rFonts w:cs="Times New Roman"/>
          <w:szCs w:val="24"/>
        </w:rPr>
        <w:t>factor</w:t>
      </w:r>
      <w:r w:rsidRPr="009200C4" w:rsidR="003A546C">
        <w:rPr>
          <w:rFonts w:cs="Times New Roman"/>
          <w:szCs w:val="24"/>
        </w:rPr>
        <w:t>s</w:t>
      </w:r>
      <w:r w:rsidRPr="009200C4">
        <w:rPr>
          <w:rFonts w:cs="Times New Roman"/>
          <w:szCs w:val="24"/>
        </w:rPr>
        <w:t xml:space="preserve"> </w:t>
      </w:r>
      <w:r w:rsidRPr="009200C4" w:rsidR="003A546C">
        <w:rPr>
          <w:rFonts w:cs="Times New Roman"/>
          <w:szCs w:val="24"/>
        </w:rPr>
        <w:t xml:space="preserve">involve </w:t>
      </w:r>
      <w:r w:rsidRPr="009200C4">
        <w:rPr>
          <w:rFonts w:cs="Times New Roman"/>
          <w:szCs w:val="24"/>
        </w:rPr>
        <w:t>balancing the private interests of those impacted by a stay.</w:t>
      </w:r>
      <w:r>
        <w:rPr>
          <w:rStyle w:val="FootnoteReference"/>
          <w:rFonts w:cs="Times New Roman"/>
          <w:szCs w:val="24"/>
        </w:rPr>
        <w:footnoteReference w:id="43"/>
      </w:r>
      <w:r w:rsidRPr="009200C4" w:rsidR="00D82DE7">
        <w:rPr>
          <w:rFonts w:cs="Times New Roman"/>
          <w:szCs w:val="24"/>
        </w:rPr>
        <w:t xml:space="preserve"> </w:t>
      </w:r>
      <w:r w:rsidRPr="009200C4">
        <w:rPr>
          <w:rFonts w:cs="Times New Roman"/>
          <w:szCs w:val="24"/>
        </w:rPr>
        <w:t>The PUCO concluded that these factors are “largely neutral” when evaluated separately in terms of the Department of Justice’s interest in the criminal investigation vs. consumers’ interests in fair rates.</w:t>
      </w:r>
      <w:r>
        <w:rPr>
          <w:rStyle w:val="FootnoteReference"/>
          <w:rFonts w:cs="Times New Roman"/>
          <w:szCs w:val="24"/>
        </w:rPr>
        <w:footnoteReference w:id="44"/>
      </w:r>
      <w:r w:rsidRPr="009200C4" w:rsidR="00D82DE7">
        <w:rPr>
          <w:rFonts w:cs="Times New Roman"/>
          <w:szCs w:val="24"/>
        </w:rPr>
        <w:t xml:space="preserve"> </w:t>
      </w:r>
    </w:p>
    <w:p w:rsidR="0080677E" w:rsidRPr="009200C4" w:rsidP="0080677E" w14:paraId="2BB4CE1B" w14:textId="204CA99F">
      <w:pPr>
        <w:tabs>
          <w:tab w:val="right" w:pos="8640"/>
        </w:tabs>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Unlike the House Bill 6 cases, this factor weighs in favor of a stay </w:t>
      </w:r>
      <w:r w:rsidRPr="009200C4">
        <w:rPr>
          <w:rFonts w:cs="Times New Roman"/>
          <w:szCs w:val="24"/>
        </w:rPr>
        <w:t>of the FirstEnergy ESP V and its Grid Mod I and II.</w:t>
      </w:r>
      <w:r w:rsidRPr="009200C4">
        <w:rPr>
          <w:rFonts w:cs="Times New Roman"/>
          <w:szCs w:val="24"/>
        </w:rPr>
        <w:t xml:space="preserve"> The public’s interest in fair rates would </w:t>
      </w:r>
      <w:r w:rsidRPr="009200C4" w:rsidR="001A42E8">
        <w:rPr>
          <w:rFonts w:cs="Times New Roman"/>
          <w:szCs w:val="24"/>
        </w:rPr>
        <w:t>be aided by</w:t>
      </w:r>
      <w:r w:rsidRPr="009200C4">
        <w:rPr>
          <w:rFonts w:cs="Times New Roman"/>
          <w:szCs w:val="24"/>
        </w:rPr>
        <w:t xml:space="preserve"> a full investigation</w:t>
      </w:r>
      <w:r w:rsidRPr="009200C4" w:rsidR="00A20BA7">
        <w:rPr>
          <w:rFonts w:cs="Times New Roman"/>
          <w:szCs w:val="24"/>
        </w:rPr>
        <w:t xml:space="preserve"> of H.B. 6 corruption</w:t>
      </w:r>
      <w:r w:rsidRPr="009200C4">
        <w:rPr>
          <w:rFonts w:cs="Times New Roman"/>
          <w:szCs w:val="24"/>
        </w:rPr>
        <w:t>.</w:t>
      </w:r>
      <w:r w:rsidRPr="009200C4" w:rsidR="00D82DE7">
        <w:rPr>
          <w:rFonts w:cs="Times New Roman"/>
          <w:szCs w:val="24"/>
        </w:rPr>
        <w:t xml:space="preserve"> </w:t>
      </w:r>
      <w:r w:rsidRPr="009200C4">
        <w:rPr>
          <w:rFonts w:cs="Times New Roman"/>
          <w:szCs w:val="24"/>
        </w:rPr>
        <w:t xml:space="preserve">The public’s interest </w:t>
      </w:r>
      <w:r w:rsidRPr="009200C4">
        <w:rPr>
          <w:rFonts w:cs="Times New Roman"/>
          <w:szCs w:val="24"/>
        </w:rPr>
        <w:t xml:space="preserve">greatly outweighs </w:t>
      </w:r>
      <w:r w:rsidRPr="009200C4" w:rsidR="007157E6">
        <w:rPr>
          <w:rFonts w:cs="Times New Roman"/>
          <w:szCs w:val="24"/>
        </w:rPr>
        <w:t xml:space="preserve">FirstEnergy’s interest in charging consumers for </w:t>
      </w:r>
      <w:r w:rsidRPr="009200C4" w:rsidR="00184353">
        <w:rPr>
          <w:rFonts w:cs="Times New Roman"/>
          <w:szCs w:val="24"/>
        </w:rPr>
        <w:t xml:space="preserve">$1.4 billion under FirstEnergy’s ESP V and </w:t>
      </w:r>
      <w:r w:rsidRPr="009200C4">
        <w:rPr>
          <w:rFonts w:cs="Times New Roman"/>
          <w:szCs w:val="24"/>
        </w:rPr>
        <w:t xml:space="preserve">a billion more through </w:t>
      </w:r>
      <w:r w:rsidRPr="009200C4" w:rsidR="00184353">
        <w:rPr>
          <w:rFonts w:cs="Times New Roman"/>
          <w:szCs w:val="24"/>
        </w:rPr>
        <w:t xml:space="preserve">its </w:t>
      </w:r>
      <w:r w:rsidRPr="009200C4" w:rsidR="007157E6">
        <w:rPr>
          <w:rFonts w:cs="Times New Roman"/>
          <w:szCs w:val="24"/>
        </w:rPr>
        <w:t>Grid Mod programs</w:t>
      </w:r>
      <w:r w:rsidRPr="009200C4">
        <w:rPr>
          <w:rFonts w:cs="Times New Roman"/>
          <w:szCs w:val="24"/>
        </w:rPr>
        <w:t>.</w:t>
      </w:r>
      <w:r w:rsidRPr="009200C4" w:rsidR="00D82DE7">
        <w:rPr>
          <w:rFonts w:cs="Times New Roman"/>
          <w:szCs w:val="24"/>
        </w:rPr>
        <w:t xml:space="preserve"> </w:t>
      </w:r>
      <w:r w:rsidRPr="009200C4">
        <w:rPr>
          <w:rFonts w:cs="Times New Roman"/>
          <w:szCs w:val="24"/>
        </w:rPr>
        <w:t>All of these cases may be tainted by the HB 6 scandal as part of the</w:t>
      </w:r>
      <w:r w:rsidRPr="009200C4" w:rsidR="00D82DE7">
        <w:rPr>
          <w:rFonts w:cs="Times New Roman"/>
          <w:szCs w:val="24"/>
        </w:rPr>
        <w:t xml:space="preserve"> </w:t>
      </w:r>
      <w:r w:rsidRPr="009200C4" w:rsidR="007157E6">
        <w:rPr>
          <w:rFonts w:cs="Times New Roman"/>
          <w:szCs w:val="24"/>
        </w:rPr>
        <w:t xml:space="preserve">“legislative and regulatory priorities” </w:t>
      </w:r>
      <w:r w:rsidRPr="009200C4" w:rsidR="00184353">
        <w:rPr>
          <w:rFonts w:cs="Times New Roman"/>
          <w:szCs w:val="24"/>
        </w:rPr>
        <w:t xml:space="preserve">former PUCO </w:t>
      </w:r>
      <w:r w:rsidRPr="009200C4" w:rsidR="007157E6">
        <w:rPr>
          <w:rFonts w:cs="Times New Roman"/>
          <w:szCs w:val="24"/>
        </w:rPr>
        <w:t>Chairman Randazzo undertook for FirstEnergy</w:t>
      </w:r>
      <w:r w:rsidRPr="009200C4">
        <w:rPr>
          <w:rFonts w:cs="Times New Roman"/>
          <w:szCs w:val="24"/>
        </w:rPr>
        <w:t xml:space="preserve"> “as requested and as opportunities arose</w:t>
      </w:r>
      <w:r w:rsidRPr="009200C4" w:rsidR="007157E6">
        <w:rPr>
          <w:rFonts w:cs="Times New Roman"/>
          <w:szCs w:val="24"/>
        </w:rPr>
        <w:t>.</w:t>
      </w:r>
      <w:r w:rsidRPr="009200C4">
        <w:rPr>
          <w:rFonts w:cs="Times New Roman"/>
          <w:szCs w:val="24"/>
        </w:rPr>
        <w:t>”</w:t>
      </w:r>
      <w:r w:rsidRPr="009200C4" w:rsidR="00D82DE7">
        <w:rPr>
          <w:rFonts w:cs="Times New Roman"/>
          <w:szCs w:val="24"/>
        </w:rPr>
        <w:t xml:space="preserve"> </w:t>
      </w:r>
    </w:p>
    <w:p w:rsidR="00324AB0" w:rsidRPr="009200C4" w:rsidP="00D82500" w14:paraId="53A5D10D" w14:textId="3DA32BB8">
      <w:pPr>
        <w:tabs>
          <w:tab w:val="right" w:pos="8640"/>
        </w:tabs>
        <w:kinsoku w:val="0"/>
        <w:overflowPunct w:val="0"/>
        <w:autoSpaceDE w:val="0"/>
        <w:autoSpaceDN w:val="0"/>
        <w:adjustRightInd w:val="0"/>
        <w:spacing w:line="480" w:lineRule="auto"/>
        <w:ind w:firstLine="720"/>
        <w:rPr>
          <w:rFonts w:cs="Times New Roman"/>
          <w:szCs w:val="24"/>
        </w:rPr>
      </w:pPr>
      <w:r w:rsidRPr="009200C4">
        <w:rPr>
          <w:rFonts w:cs="Times New Roman"/>
          <w:szCs w:val="24"/>
        </w:rPr>
        <w:tab/>
        <w:t>W</w:t>
      </w:r>
      <w:r w:rsidRPr="009200C4">
        <w:rPr>
          <w:rFonts w:cs="Times New Roman"/>
          <w:szCs w:val="24"/>
        </w:rPr>
        <w:t xml:space="preserve">hen all </w:t>
      </w:r>
      <w:r w:rsidRPr="009200C4" w:rsidR="003A546C">
        <w:rPr>
          <w:rFonts w:cs="Times New Roman"/>
          <w:szCs w:val="24"/>
        </w:rPr>
        <w:t xml:space="preserve">six </w:t>
      </w:r>
      <w:r w:rsidRPr="009200C4">
        <w:rPr>
          <w:rFonts w:cs="Times New Roman"/>
          <w:szCs w:val="24"/>
        </w:rPr>
        <w:t>factors of the PUCO’s balancing test are considered, the case for a stay is strong</w:t>
      </w:r>
      <w:r w:rsidRPr="009200C4" w:rsidR="00D82500">
        <w:rPr>
          <w:rFonts w:cs="Times New Roman"/>
          <w:szCs w:val="24"/>
        </w:rPr>
        <w:t>. It provides a rational basis for delaying any further consideration of FirstEnergy’s ESP V and its Grid Mod I and II.</w:t>
      </w:r>
      <w:r w:rsidRPr="009200C4" w:rsidR="00D82DE7">
        <w:rPr>
          <w:rFonts w:cs="Times New Roman"/>
          <w:szCs w:val="24"/>
        </w:rPr>
        <w:t xml:space="preserve"> </w:t>
      </w:r>
      <w:r w:rsidRPr="009200C4" w:rsidR="00D82500">
        <w:rPr>
          <w:rFonts w:cs="Times New Roman"/>
          <w:szCs w:val="24"/>
        </w:rPr>
        <w:t>But the PUCO failed to even address the merits of OCC’s claim other than to arbitrarily dismiss it.</w:t>
      </w:r>
      <w:r w:rsidRPr="009200C4" w:rsidR="00D82DE7">
        <w:rPr>
          <w:rFonts w:cs="Times New Roman"/>
          <w:szCs w:val="24"/>
        </w:rPr>
        <w:t xml:space="preserve"> </w:t>
      </w:r>
      <w:r w:rsidRPr="009200C4" w:rsidR="00D82500">
        <w:rPr>
          <w:rFonts w:cs="Times New Roman"/>
          <w:szCs w:val="24"/>
        </w:rPr>
        <w:t>T</w:t>
      </w:r>
      <w:r w:rsidRPr="009200C4">
        <w:rPr>
          <w:rFonts w:cs="Times New Roman"/>
          <w:szCs w:val="24"/>
        </w:rPr>
        <w:t xml:space="preserve">he PUCO should grant </w:t>
      </w:r>
      <w:r w:rsidRPr="009200C4" w:rsidR="00A20BA7">
        <w:rPr>
          <w:rFonts w:cs="Times New Roman"/>
          <w:szCs w:val="24"/>
        </w:rPr>
        <w:t xml:space="preserve">this application for rehearing </w:t>
      </w:r>
      <w:r w:rsidRPr="009200C4">
        <w:rPr>
          <w:rFonts w:cs="Times New Roman"/>
          <w:szCs w:val="24"/>
        </w:rPr>
        <w:t xml:space="preserve">and stay FirstEnergy’s </w:t>
      </w:r>
      <w:r w:rsidRPr="009200C4" w:rsidR="00D82500">
        <w:rPr>
          <w:rFonts w:cs="Times New Roman"/>
          <w:szCs w:val="24"/>
        </w:rPr>
        <w:t xml:space="preserve">ESP V and its </w:t>
      </w:r>
      <w:r w:rsidRPr="009200C4" w:rsidR="007157E6">
        <w:rPr>
          <w:rFonts w:cs="Times New Roman"/>
          <w:szCs w:val="24"/>
        </w:rPr>
        <w:t>Grid Mod I and II cases</w:t>
      </w:r>
      <w:r w:rsidRPr="009200C4">
        <w:rPr>
          <w:rFonts w:cs="Times New Roman"/>
          <w:szCs w:val="24"/>
        </w:rPr>
        <w:t>.</w:t>
      </w:r>
    </w:p>
    <w:p w:rsidR="00A91FBB" w:rsidRPr="009200C4" w:rsidP="008313AA" w14:paraId="19C00CD0" w14:textId="0559EE68">
      <w:pPr>
        <w:pStyle w:val="Heading2"/>
      </w:pPr>
      <w:bookmarkStart w:id="19" w:name="_Toc151125998"/>
      <w:r w:rsidRPr="009200C4">
        <w:t>ASSIGNMENT OF ERROR NO. 2:</w:t>
      </w:r>
      <w:r w:rsidRPr="009200C4" w:rsidR="00D82DE7">
        <w:t xml:space="preserve"> </w:t>
      </w:r>
      <w:r w:rsidR="0024444B">
        <w:t>T</w:t>
      </w:r>
      <w:r w:rsidRPr="009200C4" w:rsidR="0024444B">
        <w:t xml:space="preserve">he </w:t>
      </w:r>
      <w:r w:rsidR="0024444B">
        <w:t>PUCO</w:t>
      </w:r>
      <w:r w:rsidRPr="009200C4" w:rsidR="0024444B">
        <w:t xml:space="preserve"> acted unreasonably in concluding that delaying </w:t>
      </w:r>
      <w:r w:rsidR="0024444B">
        <w:t>F</w:t>
      </w:r>
      <w:r w:rsidRPr="009200C4" w:rsidR="0024444B">
        <w:t>irst</w:t>
      </w:r>
      <w:r w:rsidR="0024444B">
        <w:t>E</w:t>
      </w:r>
      <w:r w:rsidRPr="009200C4" w:rsidR="0024444B">
        <w:t xml:space="preserve">nergy’s </w:t>
      </w:r>
      <w:r w:rsidR="0024444B">
        <w:t>ESP</w:t>
      </w:r>
      <w:r w:rsidRPr="009200C4" w:rsidR="0024444B">
        <w:t xml:space="preserve"> would be “highly improper and may ultimately harm the very customers of </w:t>
      </w:r>
      <w:r w:rsidR="000311EF">
        <w:t>F</w:t>
      </w:r>
      <w:r w:rsidRPr="009200C4" w:rsidR="0024444B">
        <w:t>irst</w:t>
      </w:r>
      <w:r w:rsidR="000311EF">
        <w:t>E</w:t>
      </w:r>
      <w:r w:rsidRPr="009200C4" w:rsidR="0024444B">
        <w:t xml:space="preserve">nergy represented by </w:t>
      </w:r>
      <w:r w:rsidR="00FD435D">
        <w:t>OCC</w:t>
      </w:r>
      <w:r w:rsidRPr="009200C4" w:rsidR="0024444B">
        <w:t>.”</w:t>
      </w:r>
      <w:bookmarkEnd w:id="19"/>
      <w:r w:rsidRPr="009200C4" w:rsidR="0024444B">
        <w:t xml:space="preserve"> </w:t>
      </w:r>
    </w:p>
    <w:p w:rsidR="006D5FBB" w:rsidRPr="009200C4" w:rsidP="006D5FBB" w14:paraId="2EC0AAA9" w14:textId="231095BB">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The </w:t>
      </w:r>
      <w:r w:rsidRPr="009200C4" w:rsidR="00A91FBB">
        <w:rPr>
          <w:rFonts w:cs="Times New Roman"/>
          <w:szCs w:val="24"/>
        </w:rPr>
        <w:t>PUCO has noted that delaying this proceeding would be “highly improper and may ultimately harm the very customers of FirstEnergy represented by OCC”</w:t>
      </w:r>
      <w:r>
        <w:rPr>
          <w:rStyle w:val="FootnoteReference"/>
          <w:rFonts w:cs="Times New Roman"/>
          <w:szCs w:val="24"/>
        </w:rPr>
        <w:footnoteReference w:id="45"/>
      </w:r>
      <w:r w:rsidRPr="009200C4" w:rsidR="00A91FBB">
        <w:rPr>
          <w:rFonts w:cs="Times New Roman"/>
          <w:szCs w:val="24"/>
        </w:rPr>
        <w:t xml:space="preserve"> </w:t>
      </w:r>
      <w:r w:rsidRPr="009200C4">
        <w:rPr>
          <w:rFonts w:cs="Times New Roman"/>
          <w:szCs w:val="24"/>
        </w:rPr>
        <w:t>The PUCO’s ruling was mistaken and unreasonable.</w:t>
      </w:r>
    </w:p>
    <w:p w:rsidR="00476857" w:rsidRPr="009200C4" w:rsidP="006D5FBB" w14:paraId="4CE6584B" w14:textId="07CBF6CB">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There is nothing improper about delaying FirstEnergy’s electric security plan.</w:t>
      </w:r>
      <w:r w:rsidRPr="009200C4" w:rsidR="00D82DE7">
        <w:rPr>
          <w:rFonts w:cs="Times New Roman"/>
          <w:szCs w:val="24"/>
        </w:rPr>
        <w:t xml:space="preserve"> </w:t>
      </w:r>
      <w:r w:rsidRPr="009200C4">
        <w:rPr>
          <w:rFonts w:cs="Times New Roman"/>
          <w:szCs w:val="24"/>
        </w:rPr>
        <w:t>It is true that utilities</w:t>
      </w:r>
      <w:r w:rsidRPr="009200C4" w:rsidR="00A91FBB">
        <w:rPr>
          <w:rFonts w:cs="Times New Roman"/>
          <w:szCs w:val="24"/>
        </w:rPr>
        <w:t xml:space="preserve"> are required by law to maintain a standard service offer</w:t>
      </w:r>
      <w:r w:rsidRPr="009200C4">
        <w:rPr>
          <w:rFonts w:cs="Times New Roman"/>
          <w:szCs w:val="24"/>
        </w:rPr>
        <w:t>.</w:t>
      </w:r>
      <w:r w:rsidRPr="009200C4" w:rsidR="00D82DE7">
        <w:rPr>
          <w:rFonts w:cs="Times New Roman"/>
          <w:szCs w:val="24"/>
        </w:rPr>
        <w:t xml:space="preserve"> </w:t>
      </w:r>
      <w:r w:rsidRPr="009200C4">
        <w:rPr>
          <w:rFonts w:cs="Times New Roman"/>
          <w:szCs w:val="24"/>
        </w:rPr>
        <w:t>Yet that standard offer can be set by other means than an electric security plan.</w:t>
      </w:r>
      <w:r w:rsidRPr="009200C4" w:rsidR="00D82DE7">
        <w:rPr>
          <w:rFonts w:cs="Times New Roman"/>
          <w:szCs w:val="24"/>
        </w:rPr>
        <w:t xml:space="preserve"> </w:t>
      </w:r>
      <w:r w:rsidRPr="009200C4">
        <w:rPr>
          <w:rFonts w:cs="Times New Roman"/>
          <w:szCs w:val="24"/>
        </w:rPr>
        <w:t>Indeed, the law allows a utility to meet its standard service offer obligation through a market rate offer, under R.C. 4928.142.</w:t>
      </w:r>
      <w:r w:rsidRPr="009200C4" w:rsidR="00D82DE7">
        <w:rPr>
          <w:rFonts w:cs="Times New Roman"/>
          <w:szCs w:val="24"/>
        </w:rPr>
        <w:t xml:space="preserve"> </w:t>
      </w:r>
      <w:r w:rsidRPr="009200C4">
        <w:rPr>
          <w:rFonts w:cs="Times New Roman"/>
          <w:szCs w:val="24"/>
        </w:rPr>
        <w:t>There is nothing that stands in the way of implementing a market rate offer for FirstEnergy consumers by the time that the current ESP expires (May 2024).</w:t>
      </w:r>
    </w:p>
    <w:p w:rsidR="00A91FBB" w:rsidRPr="009200C4" w:rsidP="006D5FBB" w14:paraId="75C4D8F6" w14:textId="1EE4E449">
      <w:pPr>
        <w:kinsoku w:val="0"/>
        <w:overflowPunct w:val="0"/>
        <w:autoSpaceDE w:val="0"/>
        <w:autoSpaceDN w:val="0"/>
        <w:adjustRightInd w:val="0"/>
        <w:spacing w:line="480" w:lineRule="auto"/>
        <w:ind w:firstLine="720"/>
        <w:rPr>
          <w:rFonts w:cs="Times New Roman"/>
          <w:szCs w:val="24"/>
        </w:rPr>
      </w:pPr>
      <w:r w:rsidRPr="009200C4">
        <w:rPr>
          <w:rFonts w:cs="Times New Roman"/>
          <w:szCs w:val="24"/>
        </w:rPr>
        <w:t xml:space="preserve">The PUCO also has </w:t>
      </w:r>
      <w:r w:rsidRPr="009200C4" w:rsidR="00DF010F">
        <w:rPr>
          <w:rFonts w:cs="Times New Roman"/>
          <w:szCs w:val="24"/>
        </w:rPr>
        <w:t>allowed standard service offer auctions to proceed when a utility’s electric security plan is expiring and there is no subsequent PUCO approved electric security plan in place.</w:t>
      </w:r>
      <w:r w:rsidRPr="009200C4" w:rsidR="00D82DE7">
        <w:rPr>
          <w:rFonts w:cs="Times New Roman"/>
          <w:szCs w:val="24"/>
        </w:rPr>
        <w:t xml:space="preserve"> </w:t>
      </w:r>
      <w:r w:rsidRPr="009200C4" w:rsidR="00DF010F">
        <w:rPr>
          <w:rFonts w:cs="Times New Roman"/>
          <w:szCs w:val="24"/>
        </w:rPr>
        <w:t xml:space="preserve">For instance, the PUCO approved a competitive bidding process for Dayton Power and Light when its </w:t>
      </w:r>
      <w:r w:rsidRPr="009200C4" w:rsidR="00C35922">
        <w:rPr>
          <w:rFonts w:cs="Times New Roman"/>
          <w:szCs w:val="24"/>
        </w:rPr>
        <w:t>standard offer auction bidding process was about to expire without a</w:t>
      </w:r>
      <w:r w:rsidRPr="009200C4" w:rsidR="003A4819">
        <w:rPr>
          <w:rFonts w:cs="Times New Roman"/>
          <w:szCs w:val="24"/>
        </w:rPr>
        <w:t>nother PUCO approved electric security plan in place.</w:t>
      </w:r>
      <w:r>
        <w:rPr>
          <w:rStyle w:val="FootnoteReference"/>
          <w:rFonts w:cs="Times New Roman"/>
          <w:szCs w:val="24"/>
        </w:rPr>
        <w:footnoteReference w:id="46"/>
      </w:r>
      <w:r w:rsidRPr="009200C4" w:rsidR="00D82DE7">
        <w:rPr>
          <w:rFonts w:cs="Times New Roman"/>
          <w:szCs w:val="24"/>
        </w:rPr>
        <w:t xml:space="preserve"> </w:t>
      </w:r>
      <w:r w:rsidRPr="009200C4" w:rsidR="003A4819">
        <w:rPr>
          <w:rFonts w:cs="Times New Roman"/>
          <w:szCs w:val="24"/>
        </w:rPr>
        <w:t>The PUCO could do so here</w:t>
      </w:r>
      <w:r w:rsidRPr="009200C4" w:rsidR="006044B7">
        <w:rPr>
          <w:rFonts w:cs="Times New Roman"/>
          <w:szCs w:val="24"/>
        </w:rPr>
        <w:t>.</w:t>
      </w:r>
      <w:r w:rsidRPr="009200C4">
        <w:rPr>
          <w:rFonts w:cs="Times New Roman"/>
          <w:szCs w:val="24"/>
        </w:rPr>
        <w:t xml:space="preserve"> </w:t>
      </w:r>
      <w:r w:rsidRPr="009200C4" w:rsidR="006044B7">
        <w:rPr>
          <w:rFonts w:cs="Times New Roman"/>
          <w:szCs w:val="24"/>
        </w:rPr>
        <w:t xml:space="preserve">Rehearing should be </w:t>
      </w:r>
      <w:r w:rsidRPr="009200C4" w:rsidR="00174609">
        <w:rPr>
          <w:rFonts w:cs="Times New Roman"/>
          <w:szCs w:val="24"/>
        </w:rPr>
        <w:t>granted,</w:t>
      </w:r>
      <w:r w:rsidRPr="009200C4" w:rsidR="006044B7">
        <w:rPr>
          <w:rFonts w:cs="Times New Roman"/>
          <w:szCs w:val="24"/>
        </w:rPr>
        <w:t xml:space="preserve"> and the PUCO should order FirstEnergy to establish a market rate offer for establishing a standard offer to consumers in lieu of considering FirstEnergy’s ESP V.</w:t>
      </w:r>
      <w:r w:rsidRPr="009200C4" w:rsidR="00D82DE7">
        <w:rPr>
          <w:rFonts w:cs="Times New Roman"/>
          <w:szCs w:val="24"/>
        </w:rPr>
        <w:t xml:space="preserve"> </w:t>
      </w:r>
    </w:p>
    <w:p w:rsidR="00EB1608" w:rsidRPr="009200C4" w:rsidP="00BF0252" w14:paraId="52FF67D1" w14:textId="08E7679C">
      <w:pPr>
        <w:pStyle w:val="BodyTextIndent3"/>
        <w:widowControl w:val="0"/>
        <w:spacing w:line="240" w:lineRule="auto"/>
        <w:ind w:right="90" w:firstLine="0"/>
        <w:rPr>
          <w:szCs w:val="24"/>
        </w:rPr>
      </w:pPr>
    </w:p>
    <w:p w:rsidR="00A14044" w:rsidRPr="009200C4" w:rsidP="006B3D9C" w14:paraId="46A922B9" w14:textId="1D7AAC5F">
      <w:pPr>
        <w:pStyle w:val="Heading1"/>
      </w:pPr>
      <w:bookmarkStart w:id="20" w:name="_Toc534639773"/>
      <w:bookmarkStart w:id="21" w:name="_Toc53576259"/>
      <w:bookmarkStart w:id="22" w:name="_Toc53576324"/>
      <w:bookmarkStart w:id="23" w:name="_Toc92365892"/>
      <w:bookmarkStart w:id="24" w:name="_Toc114841923"/>
      <w:bookmarkStart w:id="25" w:name="_Toc131670024"/>
      <w:bookmarkStart w:id="26" w:name="_Toc131757452"/>
      <w:bookmarkStart w:id="27" w:name="_Toc131757648"/>
      <w:bookmarkStart w:id="28" w:name="_Toc131758002"/>
      <w:bookmarkStart w:id="29" w:name="_Toc131765015"/>
      <w:bookmarkStart w:id="30" w:name="_Toc131765129"/>
      <w:bookmarkStart w:id="31" w:name="_Toc131778843"/>
      <w:bookmarkStart w:id="32" w:name="_Toc146293498"/>
      <w:bookmarkStart w:id="33" w:name="_Toc151125999"/>
      <w:bookmarkEnd w:id="8"/>
      <w:r>
        <w:t>III.</w:t>
      </w:r>
      <w:r>
        <w:tab/>
      </w:r>
      <w:r w:rsidRPr="009200C4" w:rsidR="00085141">
        <w:t>CONCLUSION</w:t>
      </w:r>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9200C4" w:rsidR="00085141">
        <w:t xml:space="preserve"> </w:t>
      </w:r>
    </w:p>
    <w:p w:rsidR="00BF0252" w:rsidRPr="009200C4" w:rsidP="00C00BF2" w14:paraId="320169BC" w14:textId="516B3B5B">
      <w:pPr>
        <w:autoSpaceDE w:val="0"/>
        <w:autoSpaceDN w:val="0"/>
        <w:adjustRightInd w:val="0"/>
        <w:spacing w:line="480" w:lineRule="auto"/>
        <w:ind w:firstLine="720"/>
        <w:rPr>
          <w:rFonts w:cs="Times New Roman"/>
          <w:szCs w:val="24"/>
        </w:rPr>
      </w:pPr>
      <w:r w:rsidRPr="009200C4">
        <w:rPr>
          <w:rFonts w:cs="Times New Roman"/>
          <w:szCs w:val="24"/>
        </w:rPr>
        <w:t>To</w:t>
      </w:r>
      <w:r w:rsidRPr="009200C4" w:rsidR="000B5056">
        <w:rPr>
          <w:rFonts w:cs="Times New Roman"/>
          <w:szCs w:val="24"/>
        </w:rPr>
        <w:t xml:space="preserve"> protect </w:t>
      </w:r>
      <w:r w:rsidRPr="009200C4" w:rsidR="00F8387B">
        <w:rPr>
          <w:rFonts w:cs="Times New Roman"/>
          <w:szCs w:val="24"/>
        </w:rPr>
        <w:t xml:space="preserve">consumers, </w:t>
      </w:r>
      <w:r w:rsidRPr="009200C4">
        <w:rPr>
          <w:rFonts w:cs="Times New Roman"/>
          <w:szCs w:val="24"/>
        </w:rPr>
        <w:t>t</w:t>
      </w:r>
      <w:r w:rsidRPr="009200C4" w:rsidR="00FC1A1E">
        <w:rPr>
          <w:rFonts w:cs="Times New Roman"/>
          <w:szCs w:val="24"/>
        </w:rPr>
        <w:t xml:space="preserve">he PUCO should </w:t>
      </w:r>
      <w:r w:rsidRPr="009200C4" w:rsidR="00EA521C">
        <w:rPr>
          <w:rFonts w:cs="Times New Roman"/>
          <w:szCs w:val="24"/>
        </w:rPr>
        <w:t xml:space="preserve">grant rehearing on OCC’s assignments of error and modify or abrogate its Order as described above. </w:t>
      </w:r>
    </w:p>
    <w:p w:rsidR="00106D98" w:rsidRPr="000B3D50" w:rsidP="00106D98" w14:paraId="34B075CE" w14:textId="77777777">
      <w:pPr>
        <w:spacing w:line="480" w:lineRule="auto"/>
        <w:ind w:left="4410"/>
        <w:rPr>
          <w:rFonts w:eastAsia="Calibri"/>
          <w:bCs/>
        </w:rPr>
      </w:pPr>
      <w:r w:rsidRPr="000B3D50">
        <w:rPr>
          <w:rFonts w:eastAsia="Calibri"/>
          <w:bCs/>
        </w:rPr>
        <w:t>Respectfully submitted,</w:t>
      </w:r>
    </w:p>
    <w:p w:rsidR="00106D98" w:rsidP="00106D98" w14:paraId="70A429F0" w14:textId="77777777">
      <w:pPr>
        <w:tabs>
          <w:tab w:val="left" w:pos="2776"/>
        </w:tabs>
        <w:ind w:left="4410"/>
        <w:rPr>
          <w:rFonts w:eastAsia="Times New Roman"/>
        </w:rPr>
      </w:pPr>
      <w:r w:rsidRPr="00463286">
        <w:rPr>
          <w:rFonts w:eastAsia="Times New Roman"/>
        </w:rPr>
        <w:t>Maureen R. Willis (0020847)</w:t>
      </w:r>
    </w:p>
    <w:p w:rsidR="00106D98" w:rsidRPr="000B3D50" w:rsidP="00106D98" w14:paraId="64E9CEAD" w14:textId="77777777">
      <w:pPr>
        <w:tabs>
          <w:tab w:val="left" w:pos="2776"/>
        </w:tabs>
        <w:ind w:left="4410"/>
        <w:rPr>
          <w:rFonts w:eastAsia="Times New Roman"/>
        </w:rPr>
      </w:pPr>
      <w:r w:rsidRPr="000B3D50">
        <w:rPr>
          <w:rFonts w:eastAsia="Times New Roman"/>
        </w:rPr>
        <w:t>Ohio Consumers’ Counsel</w:t>
      </w:r>
    </w:p>
    <w:p w:rsidR="00106D98" w:rsidRPr="000B3D50" w:rsidP="00106D98" w14:paraId="78AAB1AA" w14:textId="77777777">
      <w:pPr>
        <w:tabs>
          <w:tab w:val="left" w:pos="2776"/>
        </w:tabs>
        <w:ind w:left="4410"/>
        <w:rPr>
          <w:rFonts w:eastAsia="Times New Roman"/>
        </w:rPr>
      </w:pPr>
      <w:r w:rsidRPr="000B3D50">
        <w:rPr>
          <w:rFonts w:eastAsia="Times New Roman"/>
        </w:rPr>
        <w:t xml:space="preserve"> </w:t>
      </w:r>
    </w:p>
    <w:p w:rsidR="00106D98" w:rsidRPr="000B3D50" w:rsidP="00106D98" w14:paraId="476EB966" w14:textId="77777777">
      <w:pPr>
        <w:tabs>
          <w:tab w:val="left" w:pos="2776"/>
        </w:tabs>
        <w:ind w:left="4410"/>
        <w:rPr>
          <w:rFonts w:eastAsia="Times New Roman"/>
          <w:i/>
          <w:iCs/>
          <w:u w:val="single"/>
        </w:rPr>
      </w:pPr>
      <w:r w:rsidRPr="000B3D50">
        <w:rPr>
          <w:rFonts w:eastAsia="Times New Roman"/>
          <w:i/>
          <w:iCs/>
          <w:u w:val="single"/>
        </w:rPr>
        <w:t>/s/ William J. Michael</w:t>
      </w:r>
    </w:p>
    <w:p w:rsidR="00106D98" w:rsidRPr="000B3D50" w:rsidP="00106D98" w14:paraId="7DCB5498" w14:textId="77777777">
      <w:pPr>
        <w:ind w:left="4410"/>
        <w:rPr>
          <w:rFonts w:eastAsia="Calibri"/>
        </w:rPr>
      </w:pPr>
      <w:r w:rsidRPr="000B3D50">
        <w:rPr>
          <w:rFonts w:eastAsia="Calibri"/>
        </w:rPr>
        <w:t>William J. Michael (0070921)</w:t>
      </w:r>
    </w:p>
    <w:p w:rsidR="00106D98" w:rsidRPr="000B3D50" w:rsidP="00106D98" w14:paraId="7C79438D" w14:textId="77777777">
      <w:pPr>
        <w:ind w:left="4410"/>
        <w:rPr>
          <w:rFonts w:eastAsia="Calibri"/>
        </w:rPr>
      </w:pPr>
      <w:r w:rsidRPr="000B3D50">
        <w:rPr>
          <w:rFonts w:eastAsia="Calibri"/>
        </w:rPr>
        <w:t xml:space="preserve">Counsel of Record </w:t>
      </w:r>
    </w:p>
    <w:p w:rsidR="00106D98" w:rsidRPr="000B3D50" w:rsidP="00106D98" w14:paraId="53216DA2" w14:textId="77777777">
      <w:pPr>
        <w:ind w:left="4410"/>
        <w:rPr>
          <w:rFonts w:eastAsia="Calibri"/>
        </w:rPr>
      </w:pPr>
      <w:r w:rsidRPr="000B3D50">
        <w:rPr>
          <w:rFonts w:eastAsia="Calibri"/>
        </w:rPr>
        <w:t>Assistant Consumers’ Counsel</w:t>
      </w:r>
    </w:p>
    <w:p w:rsidR="00106D98" w:rsidRPr="000B3D50" w:rsidP="00106D98" w14:paraId="4477D1F8" w14:textId="77777777">
      <w:pPr>
        <w:suppressLineNumbers/>
        <w:tabs>
          <w:tab w:val="left" w:pos="2776"/>
        </w:tabs>
        <w:ind w:left="4410"/>
        <w:rPr>
          <w:rFonts w:eastAsia="Times New Roman"/>
        </w:rPr>
      </w:pPr>
      <w:r w:rsidRPr="000B3D50">
        <w:rPr>
          <w:rFonts w:eastAsia="Times New Roman"/>
        </w:rPr>
        <w:tab/>
      </w:r>
    </w:p>
    <w:p w:rsidR="00106D98" w:rsidRPr="000B3D50" w:rsidP="00106D98" w14:paraId="43BEE312" w14:textId="77777777">
      <w:pPr>
        <w:suppressLineNumbers/>
        <w:tabs>
          <w:tab w:val="left" w:pos="2776"/>
        </w:tabs>
        <w:ind w:left="4410"/>
        <w:rPr>
          <w:rFonts w:eastAsia="Times New Roman"/>
          <w:b/>
        </w:rPr>
      </w:pPr>
      <w:r w:rsidRPr="000B3D50">
        <w:rPr>
          <w:rFonts w:eastAsia="Times New Roman"/>
          <w:b/>
        </w:rPr>
        <w:t>Office of the Ohio Consumers’ Counsel</w:t>
      </w:r>
    </w:p>
    <w:p w:rsidR="00106D98" w:rsidRPr="000B3D50" w:rsidP="00106D98" w14:paraId="0D1A0A6D" w14:textId="77777777">
      <w:pPr>
        <w:suppressLineNumbers/>
        <w:tabs>
          <w:tab w:val="left" w:pos="2776"/>
        </w:tabs>
        <w:ind w:left="4410"/>
        <w:rPr>
          <w:rFonts w:eastAsia="Times New Roman"/>
          <w:bCs/>
        </w:rPr>
      </w:pPr>
      <w:r w:rsidRPr="000B3D50">
        <w:rPr>
          <w:rFonts w:eastAsia="Times New Roman"/>
        </w:rPr>
        <w:t>65 East State Street, Suite 700</w:t>
      </w:r>
    </w:p>
    <w:p w:rsidR="00106D98" w:rsidRPr="000B3D50" w:rsidP="00106D98" w14:paraId="3B0EA5C1" w14:textId="77777777">
      <w:pPr>
        <w:suppressLineNumbers/>
        <w:tabs>
          <w:tab w:val="left" w:pos="2776"/>
        </w:tabs>
        <w:ind w:left="4410"/>
        <w:rPr>
          <w:rFonts w:eastAsia="Times New Roman"/>
          <w:bCs/>
        </w:rPr>
      </w:pPr>
      <w:r w:rsidRPr="000B3D50">
        <w:rPr>
          <w:rFonts w:eastAsia="Times New Roman"/>
        </w:rPr>
        <w:t>Columbus, Ohio 43215</w:t>
      </w:r>
    </w:p>
    <w:p w:rsidR="00106D98" w:rsidRPr="000B3D50" w:rsidP="00106D98" w14:paraId="3BF9B2C2" w14:textId="77777777">
      <w:pPr>
        <w:adjustRightInd w:val="0"/>
        <w:ind w:left="4410"/>
        <w:rPr>
          <w:rFonts w:eastAsia="Calibri"/>
        </w:rPr>
      </w:pPr>
      <w:r w:rsidRPr="000B3D50">
        <w:rPr>
          <w:rFonts w:eastAsia="Calibri"/>
        </w:rPr>
        <w:t>Telephone [Michael]: (614) 466-1291</w:t>
      </w:r>
    </w:p>
    <w:p w:rsidR="00106D98" w:rsidRPr="000B3D50" w:rsidP="00106D98" w14:paraId="754B878D" w14:textId="77777777">
      <w:pPr>
        <w:adjustRightInd w:val="0"/>
        <w:ind w:left="4410"/>
        <w:rPr>
          <w:rFonts w:eastAsia="Calibri"/>
          <w:color w:val="0000FF"/>
        </w:rPr>
      </w:pPr>
      <w:hyperlink r:id="rId6" w:history="1">
        <w:r w:rsidRPr="00CC008C">
          <w:rPr>
            <w:rStyle w:val="Hyperlink"/>
            <w:rFonts w:eastAsia="Calibri"/>
            <w:color w:val="0000FF"/>
          </w:rPr>
          <w:t>w</w:t>
        </w:r>
        <w:r w:rsidRPr="000B3D50">
          <w:rPr>
            <w:rStyle w:val="Hyperlink"/>
            <w:rFonts w:eastAsia="Calibri"/>
            <w:color w:val="0000FF"/>
          </w:rPr>
          <w:t>illiam.</w:t>
        </w:r>
        <w:r w:rsidRPr="00CC008C">
          <w:rPr>
            <w:rStyle w:val="Hyperlink"/>
            <w:rFonts w:eastAsia="Calibri"/>
            <w:color w:val="0000FF"/>
          </w:rPr>
          <w:t>m</w:t>
        </w:r>
        <w:r w:rsidRPr="000B3D50">
          <w:rPr>
            <w:rStyle w:val="Hyperlink"/>
            <w:rFonts w:eastAsia="Calibri"/>
            <w:color w:val="0000FF"/>
          </w:rPr>
          <w:t>ichael@occ.ohio.gov</w:t>
        </w:r>
      </w:hyperlink>
    </w:p>
    <w:p w:rsidR="00106D98" w:rsidP="00106D98" w14:paraId="6D9C2C93" w14:textId="77777777">
      <w:pPr>
        <w:suppressLineNumbers/>
        <w:tabs>
          <w:tab w:val="left" w:pos="4303"/>
          <w:tab w:val="left" w:pos="4483"/>
        </w:tabs>
        <w:ind w:left="4410"/>
        <w:rPr>
          <w:rFonts w:eastAsia="Times New Roman"/>
        </w:rPr>
      </w:pPr>
      <w:r w:rsidRPr="000B3D50">
        <w:rPr>
          <w:rFonts w:eastAsia="Times New Roman"/>
        </w:rPr>
        <w:t>(willing to accept service by email)</w:t>
      </w:r>
    </w:p>
    <w:p w:rsidR="00D052DB" w:rsidRPr="009200C4" w14:paraId="7577597E" w14:textId="5A7165ED">
      <w:pPr>
        <w:spacing w:after="200" w:line="276" w:lineRule="auto"/>
        <w:rPr>
          <w:rFonts w:cs="Times New Roman"/>
          <w:szCs w:val="24"/>
        </w:rPr>
      </w:pPr>
      <w:r w:rsidRPr="009200C4">
        <w:rPr>
          <w:rFonts w:cs="Times New Roman"/>
          <w:szCs w:val="24"/>
        </w:rPr>
        <w:br w:type="page"/>
      </w:r>
    </w:p>
    <w:p w:rsidR="00A14044" w:rsidRPr="009200C4" w:rsidP="00D853CD" w14:paraId="7EB12105" w14:textId="35ECA371">
      <w:pPr>
        <w:spacing w:line="480" w:lineRule="auto"/>
        <w:jc w:val="center"/>
        <w:rPr>
          <w:rFonts w:cs="Times New Roman"/>
          <w:b/>
          <w:bCs/>
          <w:szCs w:val="24"/>
          <w:u w:val="single"/>
        </w:rPr>
      </w:pPr>
      <w:r w:rsidRPr="009200C4">
        <w:rPr>
          <w:rFonts w:cs="Times New Roman"/>
          <w:b/>
          <w:bCs/>
          <w:szCs w:val="24"/>
          <w:u w:val="single"/>
        </w:rPr>
        <w:t>CE</w:t>
      </w:r>
      <w:r w:rsidRPr="009200C4" w:rsidR="00433AD9">
        <w:rPr>
          <w:rFonts w:cs="Times New Roman"/>
          <w:b/>
          <w:bCs/>
          <w:szCs w:val="24"/>
          <w:u w:val="single"/>
        </w:rPr>
        <w:t>RTIFICATE OF SERVICE</w:t>
      </w:r>
    </w:p>
    <w:p w:rsidR="00705919" w:rsidRPr="009200C4" w:rsidP="00D853CD" w14:paraId="15E7FB0A" w14:textId="6505DD81">
      <w:pPr>
        <w:spacing w:line="480" w:lineRule="auto"/>
        <w:rPr>
          <w:rFonts w:cs="Times New Roman"/>
          <w:szCs w:val="24"/>
        </w:rPr>
      </w:pPr>
      <w:r w:rsidRPr="009200C4">
        <w:rPr>
          <w:rFonts w:cs="Times New Roman"/>
          <w:szCs w:val="24"/>
        </w:rPr>
        <w:tab/>
        <w:t xml:space="preserve">I hereby certify that a copy of this </w:t>
      </w:r>
      <w:r w:rsidRPr="009200C4" w:rsidR="00D052DB">
        <w:rPr>
          <w:rFonts w:cs="Times New Roman"/>
          <w:szCs w:val="24"/>
        </w:rPr>
        <w:t>Application for Rehearing</w:t>
      </w:r>
      <w:r w:rsidRPr="009200C4" w:rsidR="00130D65">
        <w:rPr>
          <w:rFonts w:cs="Times New Roman"/>
          <w:szCs w:val="24"/>
        </w:rPr>
        <w:t xml:space="preserve"> </w:t>
      </w:r>
      <w:r w:rsidRPr="009200C4">
        <w:rPr>
          <w:rFonts w:cs="Times New Roman"/>
          <w:szCs w:val="24"/>
        </w:rPr>
        <w:t>was served on the persons stated below</w:t>
      </w:r>
      <w:r w:rsidRPr="009200C4">
        <w:rPr>
          <w:rFonts w:cs="Times New Roman"/>
          <w:iCs/>
          <w:szCs w:val="24"/>
        </w:rPr>
        <w:t xml:space="preserve"> via </w:t>
      </w:r>
      <w:r w:rsidRPr="009200C4">
        <w:rPr>
          <w:rFonts w:cs="Times New Roman"/>
          <w:szCs w:val="24"/>
        </w:rPr>
        <w:t>electronic transmission, this</w:t>
      </w:r>
      <w:r w:rsidRPr="009200C4" w:rsidR="00766B8A">
        <w:rPr>
          <w:rFonts w:cs="Times New Roman"/>
          <w:szCs w:val="24"/>
        </w:rPr>
        <w:t xml:space="preserve"> </w:t>
      </w:r>
      <w:r w:rsidRPr="009200C4" w:rsidR="00A20BA7">
        <w:rPr>
          <w:rFonts w:cs="Times New Roman"/>
          <w:szCs w:val="24"/>
        </w:rPr>
        <w:t>17</w:t>
      </w:r>
      <w:r w:rsidRPr="002003FF" w:rsidR="003F44AF">
        <w:rPr>
          <w:rFonts w:cs="Times New Roman"/>
          <w:szCs w:val="24"/>
          <w:vertAlign w:val="superscript"/>
        </w:rPr>
        <w:t>th</w:t>
      </w:r>
      <w:r w:rsidRPr="009200C4" w:rsidR="000001F1">
        <w:rPr>
          <w:rFonts w:cs="Times New Roman"/>
          <w:szCs w:val="24"/>
        </w:rPr>
        <w:t xml:space="preserve"> </w:t>
      </w:r>
      <w:r w:rsidRPr="009200C4">
        <w:rPr>
          <w:rFonts w:cs="Times New Roman"/>
          <w:szCs w:val="24"/>
        </w:rPr>
        <w:t xml:space="preserve">day of </w:t>
      </w:r>
      <w:r w:rsidRPr="009200C4" w:rsidR="00A20BA7">
        <w:rPr>
          <w:rFonts w:cs="Times New Roman"/>
          <w:szCs w:val="24"/>
        </w:rPr>
        <w:t>November</w:t>
      </w:r>
      <w:r w:rsidRPr="009200C4">
        <w:rPr>
          <w:rFonts w:cs="Times New Roman"/>
          <w:szCs w:val="24"/>
        </w:rPr>
        <w:t xml:space="preserve"> 202</w:t>
      </w:r>
      <w:r w:rsidRPr="009200C4" w:rsidR="00197483">
        <w:rPr>
          <w:rFonts w:cs="Times New Roman"/>
          <w:szCs w:val="24"/>
        </w:rPr>
        <w:t>3</w:t>
      </w:r>
      <w:r w:rsidRPr="009200C4">
        <w:rPr>
          <w:rFonts w:cs="Times New Roman"/>
          <w:szCs w:val="24"/>
        </w:rPr>
        <w:t>.</w:t>
      </w:r>
    </w:p>
    <w:p w:rsidR="00A14044" w:rsidRPr="009200C4" w14:paraId="60DC86CC" w14:textId="1E9EE42B">
      <w:pPr>
        <w:tabs>
          <w:tab w:val="left" w:pos="4320"/>
        </w:tabs>
        <w:rPr>
          <w:rFonts w:cs="Times New Roman"/>
          <w:i/>
          <w:iCs/>
          <w:szCs w:val="24"/>
          <w:u w:val="single"/>
        </w:rPr>
      </w:pPr>
      <w:r w:rsidRPr="009200C4">
        <w:rPr>
          <w:rFonts w:cs="Times New Roman"/>
          <w:szCs w:val="24"/>
        </w:rPr>
        <w:tab/>
      </w:r>
      <w:r w:rsidRPr="009200C4">
        <w:rPr>
          <w:rFonts w:cs="Times New Roman"/>
          <w:i/>
          <w:iCs/>
          <w:szCs w:val="24"/>
          <w:u w:val="single"/>
        </w:rPr>
        <w:t xml:space="preserve">/s/ </w:t>
      </w:r>
      <w:r w:rsidRPr="008C28F7" w:rsidR="00CA34C3">
        <w:rPr>
          <w:rFonts w:eastAsia="Times New Roman"/>
          <w:i/>
          <w:iCs/>
          <w:u w:val="single"/>
        </w:rPr>
        <w:t>William J. Michael</w:t>
      </w:r>
    </w:p>
    <w:p w:rsidR="00A14044" w:rsidRPr="009200C4" w14:paraId="072C31DB" w14:textId="530D4805">
      <w:pPr>
        <w:tabs>
          <w:tab w:val="left" w:pos="4320"/>
        </w:tabs>
        <w:rPr>
          <w:rFonts w:cs="Times New Roman"/>
          <w:szCs w:val="24"/>
        </w:rPr>
      </w:pPr>
      <w:r w:rsidRPr="009200C4">
        <w:rPr>
          <w:rFonts w:cs="Times New Roman"/>
          <w:szCs w:val="24"/>
        </w:rPr>
        <w:tab/>
      </w:r>
      <w:r w:rsidRPr="008C28F7" w:rsidR="00CA34C3">
        <w:rPr>
          <w:rFonts w:eastAsia="Times New Roman"/>
        </w:rPr>
        <w:t>William Michael</w:t>
      </w:r>
    </w:p>
    <w:p w:rsidR="00A14044" w:rsidRPr="009200C4" w:rsidP="00271490" w14:paraId="0BA846CB" w14:textId="5512B695">
      <w:pPr>
        <w:tabs>
          <w:tab w:val="left" w:pos="4320"/>
        </w:tabs>
        <w:rPr>
          <w:rFonts w:cs="Times New Roman"/>
          <w:szCs w:val="24"/>
        </w:rPr>
      </w:pPr>
      <w:r w:rsidRPr="009200C4">
        <w:rPr>
          <w:rFonts w:cs="Times New Roman"/>
          <w:szCs w:val="24"/>
        </w:rPr>
        <w:tab/>
      </w:r>
      <w:r w:rsidRPr="009200C4" w:rsidR="00A20BA7">
        <w:rPr>
          <w:rFonts w:cs="Times New Roman"/>
          <w:szCs w:val="24"/>
        </w:rPr>
        <w:t xml:space="preserve">Assistant Consumers’ Counsel </w:t>
      </w:r>
    </w:p>
    <w:p w:rsidR="00271490" w:rsidRPr="009200C4" w:rsidP="00271490" w14:paraId="0B1002CF" w14:textId="77777777">
      <w:pPr>
        <w:tabs>
          <w:tab w:val="left" w:pos="4320"/>
        </w:tabs>
        <w:rPr>
          <w:rFonts w:cs="Times New Roman"/>
          <w:szCs w:val="24"/>
        </w:rPr>
      </w:pPr>
    </w:p>
    <w:p w:rsidR="00A14044" w:rsidRPr="009200C4" w:rsidP="00271490" w14:paraId="7C12A1CA" w14:textId="27ACB862">
      <w:pPr>
        <w:rPr>
          <w:rFonts w:cs="Times New Roman"/>
          <w:szCs w:val="24"/>
        </w:rPr>
      </w:pPr>
      <w:r w:rsidRPr="009200C4">
        <w:rPr>
          <w:rFonts w:cs="Times New Roman"/>
          <w:szCs w:val="24"/>
        </w:rPr>
        <w:t>The PUCO’s e-filing system will electronically serve notice of the filing of this document on the following parties:</w:t>
      </w:r>
    </w:p>
    <w:p w:rsidR="00982C50" w:rsidRPr="009200C4" w:rsidP="00271490" w14:paraId="282A4FAF" w14:textId="77777777">
      <w:pPr>
        <w:rPr>
          <w:rFonts w:cs="Times New Roman"/>
          <w:szCs w:val="24"/>
        </w:rPr>
      </w:pPr>
    </w:p>
    <w:p w:rsidR="00A14044" w:rsidRPr="009200C4" w14:paraId="71D5CE1F" w14:textId="7B4503D6">
      <w:pPr>
        <w:pStyle w:val="CommentText"/>
        <w:jc w:val="center"/>
        <w:rPr>
          <w:rFonts w:cs="Times New Roman"/>
          <w:b/>
          <w:sz w:val="24"/>
          <w:szCs w:val="24"/>
          <w:u w:val="single"/>
        </w:rPr>
      </w:pPr>
      <w:bookmarkStart w:id="34" w:name="_Hlk89680211"/>
      <w:r w:rsidRPr="009200C4">
        <w:rPr>
          <w:rFonts w:cs="Times New Roman"/>
          <w:b/>
          <w:sz w:val="24"/>
          <w:szCs w:val="24"/>
          <w:u w:val="single"/>
        </w:rPr>
        <w:t>SERVICE LIST</w:t>
      </w:r>
    </w:p>
    <w:bookmarkEnd w:id="34"/>
    <w:p w:rsidR="002C2196" w:rsidRPr="009200C4" w:rsidP="00981321" w14:paraId="5584E2AC" w14:textId="77777777">
      <w:pPr>
        <w:pStyle w:val="CommentText"/>
        <w:rPr>
          <w:rFonts w:cs="Times New Roman"/>
          <w:b/>
          <w:bCs/>
          <w:sz w:val="24"/>
          <w:szCs w:val="24"/>
        </w:rPr>
      </w:pPr>
    </w:p>
    <w:tbl>
      <w:tblPr>
        <w:tblW w:w="0" w:type="auto"/>
        <w:tblInd w:w="-90" w:type="dxa"/>
        <w:tblCellMar>
          <w:top w:w="0" w:type="dxa"/>
          <w:left w:w="0" w:type="dxa"/>
          <w:bottom w:w="0" w:type="dxa"/>
          <w:right w:w="0" w:type="dxa"/>
        </w:tblCellMar>
        <w:tblLook w:val="04A0"/>
      </w:tblPr>
      <w:tblGrid>
        <w:gridCol w:w="4225"/>
        <w:gridCol w:w="4415"/>
      </w:tblGrid>
      <w:tr w14:paraId="7949A1DF" w14:textId="77777777" w:rsidTr="0092723E">
        <w:tblPrEx>
          <w:tblW w:w="0" w:type="auto"/>
          <w:tblInd w:w="-90" w:type="dxa"/>
          <w:tblCellMar>
            <w:top w:w="0" w:type="dxa"/>
            <w:left w:w="0" w:type="dxa"/>
            <w:bottom w:w="0" w:type="dxa"/>
            <w:right w:w="0" w:type="dxa"/>
          </w:tblCellMar>
          <w:tblLook w:val="04A0"/>
        </w:tblPrEx>
        <w:trPr>
          <w:trHeight w:val="864"/>
        </w:trPr>
        <w:tc>
          <w:tcPr>
            <w:tcW w:w="4225" w:type="dxa"/>
            <w:tcMar>
              <w:top w:w="0" w:type="dxa"/>
              <w:left w:w="108" w:type="dxa"/>
              <w:bottom w:w="0" w:type="dxa"/>
              <w:right w:w="108" w:type="dxa"/>
            </w:tcMar>
          </w:tcPr>
          <w:p w:rsidR="00FB009C" w:rsidRPr="0013330E" w:rsidP="0092723E" w14:paraId="3BECEA3D" w14:textId="77777777">
            <w:pPr>
              <w:spacing w:after="0" w:line="240" w:lineRule="auto"/>
              <w:rPr>
                <w:rFonts w:ascii="Times New Roman" w:eastAsia="Calibri" w:hAnsi="Times New Roman" w:cstheme="minorBidi"/>
                <w:color w:val="0000FF"/>
                <w:sz w:val="24"/>
                <w:szCs w:val="22"/>
                <w:u w:val="single"/>
                <w:lang w:val="en-US" w:eastAsia="en-US" w:bidi="ar-SA"/>
              </w:rPr>
            </w:pPr>
            <w:hyperlink r:id="rId15" w:history="1">
              <w:r w:rsidRPr="0013330E">
                <w:rPr>
                  <w:rFonts w:ascii="Times New Roman" w:eastAsia="Calibri" w:hAnsi="Times New Roman" w:cstheme="minorBidi"/>
                  <w:color w:val="0000FF"/>
                  <w:sz w:val="24"/>
                  <w:szCs w:val="22"/>
                  <w:u w:val="single"/>
                  <w:lang w:val="en-US" w:eastAsia="en-US" w:bidi="ar-SA"/>
                </w:rPr>
                <w:t>werner.margard@ohioAGO.gov</w:t>
              </w:r>
            </w:hyperlink>
          </w:p>
          <w:p w:rsidR="00FB009C" w:rsidRPr="0013330E" w:rsidP="0092723E" w14:paraId="0AE30326" w14:textId="77777777">
            <w:pPr>
              <w:spacing w:after="0" w:line="240" w:lineRule="auto"/>
              <w:rPr>
                <w:rFonts w:ascii="Times New Roman" w:eastAsia="Calibri" w:hAnsi="Times New Roman" w:cstheme="minorBidi"/>
                <w:color w:val="0000FF"/>
                <w:sz w:val="24"/>
                <w:szCs w:val="22"/>
                <w:u w:val="single"/>
                <w:lang w:val="en-US" w:eastAsia="en-US" w:bidi="ar-SA"/>
              </w:rPr>
            </w:pPr>
            <w:hyperlink r:id="rId16" w:history="1">
              <w:r w:rsidRPr="0013330E">
                <w:rPr>
                  <w:rFonts w:ascii="Times New Roman" w:eastAsia="Calibri" w:hAnsi="Times New Roman" w:cstheme="minorBidi"/>
                  <w:color w:val="0000FF"/>
                  <w:sz w:val="24"/>
                  <w:szCs w:val="22"/>
                  <w:u w:val="single"/>
                  <w:lang w:val="en-US" w:eastAsia="en-US" w:bidi="ar-SA"/>
                </w:rPr>
                <w:t>thomas.lindgren@ohioAGO.gov</w:t>
              </w:r>
            </w:hyperlink>
          </w:p>
          <w:p w:rsidR="00FB009C" w:rsidRPr="0013330E" w:rsidP="0092723E" w14:paraId="41FC8C3E" w14:textId="77777777">
            <w:pPr>
              <w:spacing w:after="0" w:line="240" w:lineRule="auto"/>
              <w:rPr>
                <w:rFonts w:ascii="Times New Roman" w:eastAsia="Calibri" w:hAnsi="Times New Roman" w:cstheme="minorBidi"/>
                <w:color w:val="0000FF"/>
                <w:sz w:val="24"/>
                <w:szCs w:val="22"/>
                <w:lang w:val="en-US" w:eastAsia="en-US" w:bidi="ar-SA"/>
              </w:rPr>
            </w:pPr>
            <w:hyperlink r:id="rId17" w:history="1">
              <w:r w:rsidRPr="0013330E">
                <w:rPr>
                  <w:rFonts w:ascii="Times New Roman" w:eastAsia="Calibri" w:hAnsi="Times New Roman" w:cstheme="minorBidi"/>
                  <w:color w:val="0000FF"/>
                  <w:sz w:val="24"/>
                  <w:szCs w:val="22"/>
                  <w:u w:val="single"/>
                  <w:lang w:val="en-US" w:eastAsia="en-US" w:bidi="ar-SA"/>
                </w:rPr>
                <w:t>Bojko@carpenterlipps.com</w:t>
              </w:r>
            </w:hyperlink>
          </w:p>
          <w:p w:rsidR="00FB009C" w:rsidRPr="0013330E" w:rsidP="0092723E" w14:paraId="109CEC49" w14:textId="77777777">
            <w:pPr>
              <w:spacing w:after="0" w:line="240" w:lineRule="auto"/>
              <w:rPr>
                <w:rFonts w:ascii="Times New Roman" w:eastAsia="Calibri" w:hAnsi="Times New Roman" w:cstheme="minorBidi"/>
                <w:color w:val="0563C1"/>
                <w:sz w:val="24"/>
                <w:szCs w:val="22"/>
                <w:u w:val="single"/>
                <w:lang w:val="en-US" w:eastAsia="en-US" w:bidi="ar-SA"/>
              </w:rPr>
            </w:pPr>
            <w:hyperlink r:id="rId18" w:history="1">
              <w:r w:rsidRPr="0013330E">
                <w:rPr>
                  <w:rFonts w:ascii="Times New Roman" w:eastAsia="Calibri" w:hAnsi="Times New Roman" w:cstheme="minorBidi"/>
                  <w:color w:val="0000FF"/>
                  <w:sz w:val="24"/>
                  <w:szCs w:val="22"/>
                  <w:u w:val="single"/>
                  <w:lang w:val="en-US" w:eastAsia="en-US" w:bidi="ar-SA"/>
                </w:rPr>
                <w:t>rlazer@elpc.org</w:t>
              </w:r>
            </w:hyperlink>
          </w:p>
          <w:p w:rsidR="00FB009C" w:rsidRPr="0013330E" w:rsidP="0092723E" w14:paraId="6F21641D" w14:textId="77777777">
            <w:pPr>
              <w:spacing w:after="0" w:line="240" w:lineRule="auto"/>
              <w:rPr>
                <w:rFonts w:ascii="Times New Roman" w:eastAsia="Calibri" w:hAnsi="Times New Roman" w:cstheme="minorBidi"/>
                <w:color w:val="0000FF"/>
                <w:sz w:val="24"/>
                <w:szCs w:val="22"/>
                <w:u w:val="single"/>
                <w:lang w:val="en-US" w:eastAsia="en-US" w:bidi="ar-SA"/>
              </w:rPr>
            </w:pPr>
            <w:hyperlink r:id="rId19" w:history="1">
              <w:r w:rsidRPr="0013330E">
                <w:rPr>
                  <w:rFonts w:ascii="Times New Roman" w:eastAsia="Calibri" w:hAnsi="Times New Roman" w:cstheme="minorBidi"/>
                  <w:color w:val="0000FF"/>
                  <w:sz w:val="24"/>
                  <w:szCs w:val="22"/>
                  <w:u w:val="single"/>
                  <w:lang w:val="en-US" w:eastAsia="en-US" w:bidi="ar-SA"/>
                </w:rPr>
                <w:t>jweber@elpc.org</w:t>
              </w:r>
            </w:hyperlink>
          </w:p>
          <w:p w:rsidR="00FB009C" w:rsidRPr="0013330E" w:rsidP="0092723E" w14:paraId="6F0AA431" w14:textId="77777777">
            <w:pPr>
              <w:spacing w:after="0" w:line="240" w:lineRule="auto"/>
              <w:rPr>
                <w:rFonts w:ascii="Times New Roman" w:eastAsia="Calibri" w:hAnsi="Times New Roman" w:cstheme="minorBidi"/>
                <w:color w:val="0000FF"/>
                <w:sz w:val="24"/>
                <w:szCs w:val="22"/>
                <w:u w:val="single"/>
                <w:lang w:val="en-US" w:eastAsia="en-US" w:bidi="ar-SA"/>
              </w:rPr>
            </w:pPr>
            <w:hyperlink r:id="rId20" w:history="1">
              <w:r w:rsidRPr="0013330E">
                <w:rPr>
                  <w:rFonts w:ascii="Times New Roman" w:eastAsia="Calibri" w:hAnsi="Times New Roman" w:cstheme="minorBidi"/>
                  <w:color w:val="0000FF"/>
                  <w:sz w:val="24"/>
                  <w:szCs w:val="22"/>
                  <w:u w:val="single"/>
                  <w:lang w:val="en-US" w:eastAsia="en-US" w:bidi="ar-SA"/>
                </w:rPr>
                <w:t>ctavenor@theOEC.org</w:t>
              </w:r>
            </w:hyperlink>
          </w:p>
          <w:p w:rsidR="00FB009C" w:rsidRPr="0013330E" w:rsidP="0092723E" w14:paraId="0649EF27" w14:textId="77777777">
            <w:pPr>
              <w:spacing w:after="0" w:line="240" w:lineRule="auto"/>
              <w:rPr>
                <w:rFonts w:ascii="Times New Roman" w:eastAsia="Calibri" w:hAnsi="Times New Roman" w:cstheme="minorBidi"/>
                <w:color w:val="0000FF"/>
                <w:sz w:val="24"/>
                <w:szCs w:val="22"/>
                <w:u w:val="single"/>
                <w:lang w:val="en-US" w:eastAsia="en-US" w:bidi="ar-SA"/>
              </w:rPr>
            </w:pPr>
            <w:hyperlink r:id="rId21" w:history="1">
              <w:r w:rsidRPr="0013330E">
                <w:rPr>
                  <w:rFonts w:ascii="Times New Roman" w:eastAsia="Calibri" w:hAnsi="Times New Roman" w:cstheme="minorBidi"/>
                  <w:color w:val="0000FF"/>
                  <w:sz w:val="24"/>
                  <w:szCs w:val="22"/>
                  <w:u w:val="single"/>
                  <w:lang w:val="en-US" w:eastAsia="en-US" w:bidi="ar-SA"/>
                </w:rPr>
                <w:t>knordstrom@theoec.org</w:t>
              </w:r>
            </w:hyperlink>
          </w:p>
          <w:p w:rsidR="00FB009C" w:rsidRPr="0013330E" w:rsidP="0092723E" w14:paraId="5D686EAD" w14:textId="77777777">
            <w:pPr>
              <w:spacing w:after="0" w:line="240" w:lineRule="auto"/>
              <w:rPr>
                <w:rFonts w:ascii="Times New Roman" w:eastAsia="Calibri" w:hAnsi="Times New Roman" w:cstheme="minorBidi"/>
                <w:color w:val="0000FF"/>
                <w:sz w:val="24"/>
                <w:szCs w:val="22"/>
                <w:u w:val="single"/>
                <w:lang w:val="en-US" w:eastAsia="en-US" w:bidi="ar-SA"/>
              </w:rPr>
            </w:pPr>
            <w:hyperlink r:id="rId22" w:history="1">
              <w:r w:rsidRPr="0013330E">
                <w:rPr>
                  <w:rFonts w:ascii="Times New Roman" w:eastAsia="Calibri" w:hAnsi="Times New Roman" w:cstheme="minorBidi"/>
                  <w:color w:val="0000FF"/>
                  <w:sz w:val="24"/>
                  <w:szCs w:val="22"/>
                  <w:u w:val="single"/>
                  <w:lang w:val="en-US" w:eastAsia="en-US" w:bidi="ar-SA"/>
                </w:rPr>
                <w:t>glpetrucci@vorys.com</w:t>
              </w:r>
            </w:hyperlink>
          </w:p>
          <w:p w:rsidR="00FB009C" w:rsidRPr="0013330E" w:rsidP="0092723E" w14:paraId="0A6AD5F1" w14:textId="77777777">
            <w:pPr>
              <w:spacing w:after="0" w:line="240" w:lineRule="auto"/>
              <w:ind w:left="-18"/>
              <w:rPr>
                <w:rFonts w:ascii="Times New Roman" w:eastAsia="Calibri" w:hAnsi="Times New Roman" w:cstheme="minorBidi"/>
                <w:color w:val="0000FF"/>
                <w:sz w:val="24"/>
                <w:szCs w:val="22"/>
                <w:lang w:val="en-US" w:eastAsia="en-US" w:bidi="ar-SA"/>
              </w:rPr>
            </w:pPr>
            <w:hyperlink r:id="rId23" w:history="1">
              <w:r w:rsidRPr="0013330E">
                <w:rPr>
                  <w:rFonts w:ascii="Times New Roman" w:eastAsia="Calibri" w:hAnsi="Times New Roman" w:cstheme="minorBidi"/>
                  <w:color w:val="0000FF"/>
                  <w:sz w:val="24"/>
                  <w:szCs w:val="22"/>
                  <w:u w:val="single"/>
                  <w:lang w:val="en-US" w:eastAsia="en-US" w:bidi="ar-SA"/>
                </w:rPr>
                <w:t>bethany.allen@igs.com</w:t>
              </w:r>
            </w:hyperlink>
          </w:p>
          <w:p w:rsidR="00FB009C" w:rsidRPr="0013330E" w:rsidP="0092723E" w14:paraId="3F9E3207" w14:textId="77777777">
            <w:pPr>
              <w:spacing w:after="0" w:line="240" w:lineRule="auto"/>
              <w:ind w:left="-18"/>
              <w:rPr>
                <w:rFonts w:ascii="Times New Roman" w:eastAsia="Calibri" w:hAnsi="Times New Roman" w:cstheme="minorBidi"/>
                <w:color w:val="0000FF"/>
                <w:sz w:val="24"/>
                <w:szCs w:val="22"/>
                <w:lang w:val="en-US" w:eastAsia="en-US" w:bidi="ar-SA"/>
              </w:rPr>
            </w:pPr>
            <w:hyperlink r:id="rId24" w:history="1">
              <w:r w:rsidRPr="0013330E">
                <w:rPr>
                  <w:rFonts w:ascii="Times New Roman" w:eastAsia="Calibri" w:hAnsi="Times New Roman" w:cstheme="minorBidi"/>
                  <w:color w:val="0000FF"/>
                  <w:sz w:val="24"/>
                  <w:szCs w:val="22"/>
                  <w:u w:val="single"/>
                  <w:lang w:val="en-US" w:eastAsia="en-US" w:bidi="ar-SA"/>
                </w:rPr>
                <w:t>joe.oliker@igs.com</w:t>
              </w:r>
            </w:hyperlink>
          </w:p>
          <w:p w:rsidR="00FB009C" w:rsidRPr="0013330E" w:rsidP="0092723E" w14:paraId="32F20837" w14:textId="77777777">
            <w:pPr>
              <w:spacing w:after="0" w:line="240" w:lineRule="auto"/>
              <w:rPr>
                <w:rFonts w:ascii="Times New Roman" w:eastAsia="Calibri" w:hAnsi="Times New Roman" w:cstheme="minorBidi"/>
                <w:color w:val="0000FF"/>
                <w:sz w:val="24"/>
                <w:szCs w:val="22"/>
                <w:lang w:val="en-US" w:eastAsia="en-US" w:bidi="ar-SA"/>
              </w:rPr>
            </w:pPr>
            <w:hyperlink r:id="rId25" w:history="1">
              <w:r w:rsidRPr="0013330E">
                <w:rPr>
                  <w:rFonts w:ascii="Times New Roman" w:eastAsia="Calibri" w:hAnsi="Times New Roman" w:cstheme="minorBidi"/>
                  <w:color w:val="0000FF"/>
                  <w:sz w:val="24"/>
                  <w:szCs w:val="22"/>
                  <w:u w:val="single"/>
                  <w:lang w:val="en-US" w:eastAsia="en-US" w:bidi="ar-SA"/>
                </w:rPr>
                <w:t>evan.betterton@igs.com</w:t>
              </w:r>
            </w:hyperlink>
          </w:p>
          <w:p w:rsidR="00FB009C" w:rsidRPr="0013330E" w:rsidP="0092723E" w14:paraId="0A31FF60" w14:textId="77777777">
            <w:pPr>
              <w:spacing w:after="0" w:line="240" w:lineRule="auto"/>
              <w:rPr>
                <w:rFonts w:ascii="Times New Roman" w:eastAsia="Calibri" w:hAnsi="Times New Roman" w:cstheme="minorBidi"/>
                <w:color w:val="0000FF"/>
                <w:sz w:val="24"/>
                <w:szCs w:val="22"/>
                <w:u w:val="single"/>
                <w:lang w:val="en-US" w:eastAsia="en-US" w:bidi="ar-SA"/>
              </w:rPr>
            </w:pPr>
          </w:p>
          <w:p w:rsidR="00FB009C" w:rsidRPr="0013330E" w:rsidP="0092723E" w14:paraId="3B1EADBD" w14:textId="77777777">
            <w:pPr>
              <w:spacing w:after="0" w:line="240" w:lineRule="auto"/>
              <w:rPr>
                <w:rFonts w:ascii="Times New Roman" w:eastAsia="Calibri" w:hAnsi="Times New Roman" w:cstheme="minorBidi"/>
                <w:sz w:val="24"/>
                <w:szCs w:val="22"/>
                <w:lang w:val="en-US" w:eastAsia="en-US" w:bidi="ar-SA"/>
              </w:rPr>
            </w:pPr>
            <w:r w:rsidRPr="0013330E">
              <w:rPr>
                <w:rFonts w:ascii="Times New Roman" w:eastAsia="Calibri" w:hAnsi="Times New Roman" w:cstheme="minorBidi"/>
                <w:sz w:val="24"/>
                <w:szCs w:val="22"/>
                <w:lang w:val="en-US" w:eastAsia="en-US" w:bidi="ar-SA"/>
              </w:rPr>
              <w:t>Attorney Examiners:</w:t>
            </w:r>
          </w:p>
          <w:p w:rsidR="00FB009C" w:rsidRPr="0013330E" w:rsidP="0092723E" w14:paraId="22FBF76A" w14:textId="77777777">
            <w:pPr>
              <w:spacing w:after="0" w:line="240" w:lineRule="auto"/>
              <w:rPr>
                <w:rFonts w:ascii="Times New Roman" w:eastAsia="Calibri" w:hAnsi="Times New Roman" w:cstheme="minorBidi"/>
                <w:color w:val="0000FF"/>
                <w:sz w:val="24"/>
                <w:szCs w:val="22"/>
                <w:lang w:val="en-US" w:eastAsia="en-US" w:bidi="ar-SA"/>
              </w:rPr>
            </w:pPr>
            <w:hyperlink r:id="rId26" w:history="1">
              <w:r w:rsidRPr="0013330E">
                <w:rPr>
                  <w:rFonts w:ascii="Times New Roman" w:eastAsia="Calibri" w:hAnsi="Times New Roman" w:cstheme="minorBidi"/>
                  <w:color w:val="0000FF"/>
                  <w:sz w:val="24"/>
                  <w:szCs w:val="22"/>
                  <w:u w:val="single"/>
                  <w:lang w:val="en-US" w:eastAsia="en-US" w:bidi="ar-SA"/>
                </w:rPr>
                <w:t>megan.addison@puco.ohio.gov</w:t>
              </w:r>
            </w:hyperlink>
          </w:p>
          <w:p w:rsidR="00FB009C" w:rsidRPr="0013330E" w:rsidP="0092723E" w14:paraId="374F697C" w14:textId="77777777">
            <w:pPr>
              <w:spacing w:after="0" w:line="240" w:lineRule="auto"/>
              <w:rPr>
                <w:rFonts w:ascii="Times New Roman" w:eastAsia="Calibri" w:hAnsi="Times New Roman" w:cstheme="minorBidi"/>
                <w:sz w:val="24"/>
                <w:szCs w:val="22"/>
                <w:lang w:val="en-US" w:eastAsia="en-US" w:bidi="ar-SA"/>
              </w:rPr>
            </w:pPr>
            <w:hyperlink r:id="rId27" w:history="1">
              <w:r w:rsidRPr="0013330E">
                <w:rPr>
                  <w:rFonts w:ascii="Times New Roman" w:eastAsia="Calibri" w:hAnsi="Times New Roman" w:cstheme="minorBidi"/>
                  <w:color w:val="0000FF"/>
                  <w:sz w:val="24"/>
                  <w:szCs w:val="22"/>
                  <w:u w:val="single"/>
                  <w:lang w:val="en-US" w:eastAsia="en-US" w:bidi="ar-SA"/>
                </w:rPr>
                <w:t>jacqueline.st.john@puco.ohio.gov</w:t>
              </w:r>
            </w:hyperlink>
          </w:p>
        </w:tc>
        <w:tc>
          <w:tcPr>
            <w:tcW w:w="4415" w:type="dxa"/>
            <w:tcMar>
              <w:top w:w="0" w:type="dxa"/>
              <w:left w:w="108" w:type="dxa"/>
              <w:bottom w:w="0" w:type="dxa"/>
              <w:right w:w="108" w:type="dxa"/>
            </w:tcMar>
          </w:tcPr>
          <w:p w:rsidR="00FB009C" w:rsidRPr="0013330E" w:rsidP="0092723E" w14:paraId="7C8E9AED" w14:textId="77777777">
            <w:pPr>
              <w:spacing w:after="0" w:line="240" w:lineRule="auto"/>
              <w:ind w:left="798"/>
              <w:rPr>
                <w:rFonts w:ascii="Times New Roman" w:eastAsia="Calibri" w:hAnsi="Times New Roman" w:cstheme="minorBidi"/>
                <w:color w:val="0000FF"/>
                <w:sz w:val="24"/>
                <w:szCs w:val="22"/>
                <w:u w:val="single"/>
                <w:lang w:val="en-US" w:eastAsia="en-US" w:bidi="ar-SA"/>
              </w:rPr>
            </w:pPr>
            <w:hyperlink r:id="rId28" w:history="1">
              <w:r w:rsidRPr="0013330E">
                <w:rPr>
                  <w:rFonts w:ascii="Times New Roman" w:eastAsia="Calibri" w:hAnsi="Times New Roman" w:cstheme="minorBidi"/>
                  <w:color w:val="0000FF"/>
                  <w:sz w:val="24"/>
                  <w:szCs w:val="22"/>
                  <w:u w:val="single"/>
                  <w:lang w:val="en-US" w:eastAsia="en-US" w:bidi="ar-SA"/>
                </w:rPr>
                <w:t>bknipe@firstenergycorp.com</w:t>
              </w:r>
            </w:hyperlink>
          </w:p>
          <w:p w:rsidR="00FB009C" w:rsidRPr="0013330E" w:rsidP="0092723E" w14:paraId="05DA70FC" w14:textId="77777777">
            <w:pPr>
              <w:spacing w:after="0" w:line="240" w:lineRule="auto"/>
              <w:ind w:left="798"/>
              <w:rPr>
                <w:rFonts w:ascii="Times New Roman" w:eastAsia="Calibri" w:hAnsi="Times New Roman" w:cstheme="minorBidi"/>
                <w:sz w:val="24"/>
                <w:szCs w:val="22"/>
                <w:lang w:val="en-US" w:eastAsia="en-US" w:bidi="ar-SA"/>
              </w:rPr>
            </w:pPr>
            <w:hyperlink r:id="rId29" w:history="1">
              <w:r w:rsidRPr="0013330E">
                <w:rPr>
                  <w:rFonts w:ascii="Times New Roman" w:eastAsia="Calibri" w:hAnsi="Times New Roman" w:cstheme="minorBidi"/>
                  <w:color w:val="0000FF"/>
                  <w:sz w:val="24"/>
                  <w:szCs w:val="22"/>
                  <w:u w:val="single"/>
                  <w:lang w:val="en-US" w:eastAsia="en-US" w:bidi="ar-SA"/>
                </w:rPr>
                <w:t>mrgladman@jonesday.com</w:t>
              </w:r>
            </w:hyperlink>
          </w:p>
          <w:p w:rsidR="00FB009C" w:rsidRPr="0013330E" w:rsidP="0092723E" w14:paraId="282D22D4" w14:textId="77777777">
            <w:pPr>
              <w:spacing w:after="0" w:line="240" w:lineRule="auto"/>
              <w:ind w:left="798"/>
              <w:rPr>
                <w:rFonts w:ascii="Times New Roman" w:eastAsia="Calibri" w:hAnsi="Times New Roman" w:cstheme="minorBidi"/>
                <w:sz w:val="24"/>
                <w:szCs w:val="22"/>
                <w:lang w:val="en-US" w:eastAsia="en-US" w:bidi="ar-SA"/>
              </w:rPr>
            </w:pPr>
            <w:hyperlink r:id="rId30" w:history="1">
              <w:r w:rsidRPr="0013330E">
                <w:rPr>
                  <w:rFonts w:ascii="Times New Roman" w:eastAsia="Calibri" w:hAnsi="Times New Roman" w:cstheme="minorBidi"/>
                  <w:color w:val="0000FF"/>
                  <w:sz w:val="24"/>
                  <w:szCs w:val="22"/>
                  <w:u w:val="single"/>
                  <w:lang w:val="en-US" w:eastAsia="en-US" w:bidi="ar-SA"/>
                </w:rPr>
                <w:t>mdengler@jonesday.com</w:t>
              </w:r>
            </w:hyperlink>
          </w:p>
          <w:p w:rsidR="00FB009C" w:rsidRPr="0013330E" w:rsidP="0092723E" w14:paraId="669DEA17" w14:textId="77777777">
            <w:pPr>
              <w:spacing w:after="0" w:line="240" w:lineRule="auto"/>
              <w:ind w:left="798"/>
              <w:rPr>
                <w:rFonts w:ascii="Times New Roman" w:eastAsia="Calibri" w:hAnsi="Times New Roman" w:cstheme="minorBidi"/>
                <w:color w:val="0000FF"/>
                <w:sz w:val="24"/>
                <w:szCs w:val="22"/>
                <w:u w:val="single"/>
                <w:lang w:val="en-US" w:eastAsia="en-US" w:bidi="ar-SA"/>
              </w:rPr>
            </w:pPr>
            <w:hyperlink r:id="rId31" w:history="1">
              <w:r w:rsidRPr="0013330E">
                <w:rPr>
                  <w:rFonts w:ascii="Times New Roman" w:eastAsia="Calibri" w:hAnsi="Times New Roman" w:cstheme="minorBidi"/>
                  <w:color w:val="0000FF"/>
                  <w:sz w:val="24"/>
                  <w:szCs w:val="22"/>
                  <w:u w:val="single"/>
                  <w:lang w:val="en-US" w:eastAsia="en-US" w:bidi="ar-SA"/>
                </w:rPr>
                <w:t>radoringo@jonesday.com</w:t>
              </w:r>
            </w:hyperlink>
          </w:p>
          <w:p w:rsidR="00FB009C" w:rsidRPr="0013330E" w:rsidP="0092723E" w14:paraId="532A74B5" w14:textId="77777777">
            <w:pPr>
              <w:spacing w:after="0" w:line="240" w:lineRule="auto"/>
              <w:ind w:left="798"/>
              <w:rPr>
                <w:rFonts w:ascii="Times New Roman" w:eastAsia="Calibri" w:hAnsi="Times New Roman" w:cstheme="minorBidi"/>
                <w:color w:val="0000FF"/>
                <w:sz w:val="24"/>
                <w:szCs w:val="22"/>
                <w:u w:val="single"/>
                <w:lang w:val="en-US" w:eastAsia="en-US" w:bidi="ar-SA"/>
              </w:rPr>
            </w:pPr>
            <w:hyperlink r:id="rId32" w:history="1">
              <w:r w:rsidRPr="0013330E">
                <w:rPr>
                  <w:rFonts w:ascii="Times New Roman" w:eastAsia="Calibri" w:hAnsi="Times New Roman" w:cstheme="minorBidi"/>
                  <w:color w:val="0000FF"/>
                  <w:sz w:val="24"/>
                  <w:szCs w:val="22"/>
                  <w:u w:val="single"/>
                  <w:lang w:val="en-US" w:eastAsia="en-US" w:bidi="ar-SA"/>
                </w:rPr>
                <w:t>calee@jonesday.com</w:t>
              </w:r>
            </w:hyperlink>
          </w:p>
          <w:p w:rsidR="00FB009C" w:rsidRPr="0013330E" w:rsidP="0092723E" w14:paraId="1ECC235D" w14:textId="77777777">
            <w:pPr>
              <w:spacing w:after="0" w:line="240" w:lineRule="auto"/>
              <w:ind w:left="798"/>
              <w:rPr>
                <w:rFonts w:ascii="Times New Roman" w:eastAsia="Calibri" w:hAnsi="Times New Roman" w:cstheme="minorBidi"/>
                <w:sz w:val="24"/>
                <w:szCs w:val="22"/>
                <w:lang w:val="en-US" w:eastAsia="en-US" w:bidi="ar-SA"/>
              </w:rPr>
            </w:pPr>
            <w:hyperlink r:id="rId33" w:history="1">
              <w:r w:rsidRPr="0013330E">
                <w:rPr>
                  <w:rFonts w:ascii="Times New Roman" w:eastAsia="Calibri" w:hAnsi="Times New Roman" w:cstheme="minorBidi"/>
                  <w:color w:val="0000FF"/>
                  <w:sz w:val="24"/>
                  <w:szCs w:val="22"/>
                  <w:u w:val="single"/>
                  <w:lang w:val="en-US" w:eastAsia="en-US" w:bidi="ar-SA"/>
                </w:rPr>
                <w:t>sgoyal@jonesday.com</w:t>
              </w:r>
            </w:hyperlink>
          </w:p>
          <w:p w:rsidR="00FB009C" w:rsidRPr="0013330E" w:rsidP="0092723E" w14:paraId="187577EF" w14:textId="77777777">
            <w:pPr>
              <w:spacing w:after="0" w:line="240" w:lineRule="auto"/>
              <w:ind w:left="798"/>
              <w:rPr>
                <w:rFonts w:ascii="Times New Roman" w:eastAsia="Calibri" w:hAnsi="Times New Roman" w:cstheme="minorBidi"/>
                <w:sz w:val="24"/>
                <w:szCs w:val="22"/>
                <w:lang w:val="en-US" w:eastAsia="en-US" w:bidi="ar-SA"/>
              </w:rPr>
            </w:pPr>
            <w:hyperlink r:id="rId34" w:history="1">
              <w:r w:rsidRPr="0013330E">
                <w:rPr>
                  <w:rFonts w:ascii="Times New Roman" w:eastAsia="Calibri" w:hAnsi="Times New Roman" w:cstheme="minorBidi"/>
                  <w:color w:val="0000FF"/>
                  <w:sz w:val="24"/>
                  <w:szCs w:val="22"/>
                  <w:u w:val="single"/>
                  <w:lang w:val="en-US" w:eastAsia="en-US" w:bidi="ar-SA"/>
                </w:rPr>
                <w:t>rdove@keglerbrown.com</w:t>
              </w:r>
            </w:hyperlink>
          </w:p>
          <w:p w:rsidR="00FB009C" w:rsidP="0092723E" w14:paraId="6D86DACC" w14:textId="77777777">
            <w:pPr>
              <w:spacing w:after="0" w:line="240" w:lineRule="auto"/>
              <w:ind w:left="798"/>
              <w:rPr>
                <w:rFonts w:ascii="Times New Roman" w:hAnsi="Times New Roman" w:eastAsiaTheme="minorHAnsi" w:cstheme="minorBidi"/>
                <w:sz w:val="24"/>
                <w:szCs w:val="22"/>
                <w:lang w:val="en-US" w:eastAsia="en-US" w:bidi="ar-SA"/>
              </w:rPr>
            </w:pPr>
            <w:hyperlink r:id="rId35" w:history="1">
              <w:r w:rsidRPr="007E15D6">
                <w:rPr>
                  <w:rStyle w:val="Hyperlink"/>
                  <w:rFonts w:ascii="Times New Roman" w:hAnsi="Times New Roman" w:eastAsiaTheme="minorHAnsi" w:cstheme="minorBidi"/>
                  <w:color w:val="0077CC"/>
                  <w:sz w:val="24"/>
                  <w:szCs w:val="22"/>
                  <w:u w:val="single"/>
                  <w:lang w:val="en-US" w:eastAsia="en-US" w:bidi="ar-SA"/>
                </w:rPr>
                <w:t>dparram@brickergraydon.com</w:t>
              </w:r>
            </w:hyperlink>
          </w:p>
          <w:p w:rsidR="00FB009C" w:rsidP="0092723E" w14:paraId="6984AF2E" w14:textId="77777777">
            <w:pPr>
              <w:spacing w:after="0" w:line="240" w:lineRule="auto"/>
              <w:ind w:left="798"/>
              <w:rPr>
                <w:rFonts w:ascii="Times New Roman" w:hAnsi="Times New Roman" w:eastAsiaTheme="minorHAnsi" w:cstheme="minorBidi"/>
                <w:sz w:val="24"/>
                <w:szCs w:val="22"/>
                <w:lang w:val="en-US" w:eastAsia="en-US" w:bidi="ar-SA"/>
              </w:rPr>
            </w:pPr>
            <w:hyperlink r:id="rId36" w:history="1">
              <w:r w:rsidRPr="007E15D6">
                <w:rPr>
                  <w:rStyle w:val="Hyperlink"/>
                  <w:rFonts w:ascii="Times New Roman" w:hAnsi="Times New Roman" w:eastAsiaTheme="minorHAnsi" w:cstheme="minorBidi"/>
                  <w:color w:val="0077CC"/>
                  <w:sz w:val="24"/>
                  <w:szCs w:val="22"/>
                  <w:u w:val="single"/>
                  <w:lang w:val="en-US" w:eastAsia="en-US" w:bidi="ar-SA"/>
                </w:rPr>
                <w:t>dborchers@brickergraydon.com</w:t>
              </w:r>
            </w:hyperlink>
          </w:p>
          <w:p w:rsidR="00FB009C" w:rsidP="0092723E" w14:paraId="22416748" w14:textId="77777777">
            <w:pPr>
              <w:spacing w:after="0" w:line="240" w:lineRule="auto"/>
              <w:ind w:left="798"/>
              <w:rPr>
                <w:rFonts w:ascii="Times New Roman" w:hAnsi="Times New Roman" w:eastAsiaTheme="minorHAnsi" w:cstheme="minorBidi"/>
                <w:sz w:val="24"/>
                <w:szCs w:val="22"/>
                <w:lang w:val="en-US" w:eastAsia="en-US" w:bidi="ar-SA"/>
              </w:rPr>
            </w:pPr>
            <w:hyperlink r:id="rId37" w:history="1">
              <w:r w:rsidRPr="007E15D6">
                <w:rPr>
                  <w:rStyle w:val="Hyperlink"/>
                  <w:rFonts w:ascii="Times New Roman" w:hAnsi="Times New Roman" w:eastAsiaTheme="minorHAnsi" w:cstheme="minorBidi"/>
                  <w:color w:val="0077CC"/>
                  <w:sz w:val="24"/>
                  <w:szCs w:val="22"/>
                  <w:u w:val="single"/>
                  <w:lang w:val="en-US" w:eastAsia="en-US" w:bidi="ar-SA"/>
                </w:rPr>
                <w:t>rmains@brickergraydon.com</w:t>
              </w:r>
            </w:hyperlink>
          </w:p>
          <w:p w:rsidR="00FB009C" w:rsidRPr="0013330E" w:rsidP="0092723E" w14:paraId="4223FA64" w14:textId="77777777">
            <w:pPr>
              <w:spacing w:after="0" w:line="240" w:lineRule="auto"/>
              <w:ind w:left="798"/>
              <w:rPr>
                <w:rFonts w:ascii="Times New Roman" w:eastAsia="Calibri" w:hAnsi="Times New Roman" w:cstheme="minorBidi"/>
                <w:b/>
                <w:bCs/>
                <w:sz w:val="24"/>
                <w:szCs w:val="22"/>
                <w:u w:val="single"/>
                <w:lang w:val="en-US" w:eastAsia="en-US" w:bidi="ar-SA"/>
              </w:rPr>
            </w:pPr>
          </w:p>
        </w:tc>
      </w:tr>
    </w:tbl>
    <w:p w:rsidR="00D1782F" w:rsidRPr="009200C4" w:rsidP="0098657A" w14:paraId="22A48B98" w14:textId="77777777">
      <w:pPr>
        <w:pStyle w:val="CommentText"/>
        <w:rPr>
          <w:rFonts w:cs="Times New Roman"/>
          <w:b/>
          <w:sz w:val="24"/>
          <w:szCs w:val="24"/>
        </w:rPr>
      </w:pPr>
    </w:p>
    <w:p w:rsidR="00D1782F" w:rsidRPr="009200C4" w14:paraId="22C53BFD" w14:textId="0DD89F46">
      <w:pPr>
        <w:spacing w:after="200" w:line="276" w:lineRule="auto"/>
        <w:rPr>
          <w:rFonts w:cs="Times New Roman"/>
          <w:b/>
          <w:szCs w:val="24"/>
        </w:rPr>
      </w:pPr>
    </w:p>
    <w:sectPr w:rsidSect="00725CE8">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28AB" w14:paraId="557E29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892" w14:paraId="4B3E1682" w14:textId="3802687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28AB" w14:paraId="495F2FD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0370939"/>
      <w:docPartObj>
        <w:docPartGallery w:val="Page Numbers (Bottom of Page)"/>
        <w:docPartUnique/>
      </w:docPartObj>
    </w:sdtPr>
    <w:sdtEndPr>
      <w:rPr>
        <w:noProof/>
      </w:rPr>
    </w:sdtEndPr>
    <w:sdtContent>
      <w:p w:rsidR="009E3892" w:rsidP="00AB7995" w14:paraId="46601812" w14:textId="2B7A49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6253859"/>
      <w:docPartObj>
        <w:docPartGallery w:val="Page Numbers (Bottom of Page)"/>
        <w:docPartUnique/>
      </w:docPartObj>
    </w:sdtPr>
    <w:sdtEndPr>
      <w:rPr>
        <w:noProof/>
      </w:rPr>
    </w:sdtEndPr>
    <w:sdtContent>
      <w:p w:rsidR="009E3892" w14:paraId="562961ED"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B5D06" w14:paraId="7C0FEB79" w14:textId="77777777">
      <w:r>
        <w:separator/>
      </w:r>
    </w:p>
  </w:footnote>
  <w:footnote w:type="continuationSeparator" w:id="1">
    <w:p w:rsidR="005B5D06" w14:paraId="1172BED2" w14:textId="77777777">
      <w:r>
        <w:continuationSeparator/>
      </w:r>
    </w:p>
  </w:footnote>
  <w:footnote w:id="2">
    <w:p w:rsidR="00952834" w:rsidRPr="00D82DE7" w:rsidP="00D82DE7" w14:paraId="5FB2DC31" w14:textId="4A3643D7">
      <w:pPr>
        <w:pStyle w:val="FootnoteText"/>
        <w:spacing w:after="120"/>
        <w:rPr>
          <w:rFonts w:cs="Times New Roman"/>
        </w:rPr>
      </w:pPr>
      <w:r w:rsidRPr="00D82DE7">
        <w:rPr>
          <w:rStyle w:val="FootnoteReference"/>
          <w:rFonts w:cs="Times New Roman"/>
        </w:rPr>
        <w:footnoteRef/>
      </w:r>
      <w:r w:rsidRPr="00D82DE7">
        <w:rPr>
          <w:rFonts w:cs="Times New Roman"/>
        </w:rPr>
        <w:t xml:space="preserve"> Entry on Rehearing at ¶ 29 (Oct. 18, 2023).</w:t>
      </w:r>
    </w:p>
  </w:footnote>
  <w:footnote w:id="3">
    <w:p w:rsidR="009E3892" w:rsidRPr="00D82DE7" w:rsidP="00D82DE7" w14:paraId="39EA3B54" w14:textId="37EB65AC">
      <w:pPr>
        <w:pStyle w:val="FootnoteText"/>
        <w:spacing w:after="120"/>
        <w:rPr>
          <w:rFonts w:cs="Times New Roman"/>
        </w:rPr>
      </w:pPr>
      <w:r w:rsidRPr="00D82DE7">
        <w:rPr>
          <w:rStyle w:val="FootnoteReference"/>
          <w:rFonts w:cs="Times New Roman"/>
        </w:rPr>
        <w:footnoteRef/>
      </w:r>
      <w:r w:rsidRPr="00D82DE7">
        <w:rPr>
          <w:rFonts w:cs="Times New Roman"/>
        </w:rPr>
        <w:t xml:space="preserve"> Case No</w:t>
      </w:r>
      <w:r w:rsidR="007D3515">
        <w:rPr>
          <w:rFonts w:cs="Times New Roman"/>
        </w:rPr>
        <w:t>s</w:t>
      </w:r>
      <w:r w:rsidRPr="00D82DE7">
        <w:rPr>
          <w:rFonts w:cs="Times New Roman"/>
        </w:rPr>
        <w:t xml:space="preserve">. 17-974-EL-UNC, 20-1502-EL-UNC, 17-2474-EL-RDR and 20-1629-EL-RDR. </w:t>
      </w:r>
    </w:p>
  </w:footnote>
  <w:footnote w:id="4">
    <w:p w:rsidR="009E3892" w:rsidRPr="00D82DE7" w:rsidP="00D82DE7" w14:paraId="6CBF9B40"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Emp. Retirement Sys. of City of St. Louis v. Jones, </w:t>
      </w:r>
      <w:r w:rsidRPr="00D82DE7">
        <w:rPr>
          <w:rFonts w:cs="Times New Roman"/>
        </w:rPr>
        <w:t>Case No. 2:20-cv-4813, Order of Final Settlement Approval at 17 (Aug. 23, 2022) (Emphasis added).</w:t>
      </w:r>
    </w:p>
  </w:footnote>
  <w:footnote w:id="5">
    <w:p w:rsidR="00286E25" w:rsidRPr="00D82DE7" w:rsidP="00D82DE7" w14:paraId="1782356D" w14:textId="55B728B5">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United States of America v. FirstEnergy Corp</w:t>
      </w:r>
      <w:r w:rsidRPr="00D82DE7">
        <w:rPr>
          <w:rFonts w:cs="Times New Roman"/>
        </w:rPr>
        <w:t>., Case No. 1:21-cr-86, Deferred Prosecution Agreement at 17 (July 20, 2021) (emphasis added).</w:t>
      </w:r>
    </w:p>
  </w:footnote>
  <w:footnote w:id="6">
    <w:p w:rsidR="003A546C" w:rsidRPr="00D82DE7" w:rsidP="00D82DE7" w14:paraId="022B447E" w14:textId="6C5BD816">
      <w:pPr>
        <w:shd w:val="clear" w:color="auto" w:fill="FFFFFF"/>
        <w:spacing w:after="120"/>
        <w:rPr>
          <w:rFonts w:eastAsia="Times New Roman" w:cs="Times New Roman"/>
          <w:color w:val="000000"/>
          <w:sz w:val="20"/>
          <w:szCs w:val="20"/>
        </w:rPr>
      </w:pPr>
      <w:r w:rsidRPr="00D82DE7">
        <w:rPr>
          <w:rStyle w:val="FootnoteReference"/>
          <w:rFonts w:cs="Times New Roman"/>
          <w:sz w:val="20"/>
          <w:szCs w:val="20"/>
        </w:rPr>
        <w:footnoteRef/>
      </w:r>
      <w:r w:rsidRPr="00D82DE7">
        <w:rPr>
          <w:rFonts w:cs="Times New Roman"/>
          <w:sz w:val="20"/>
          <w:szCs w:val="20"/>
        </w:rPr>
        <w:t xml:space="preserve"> </w:t>
      </w:r>
      <w:r w:rsidRPr="00D82DE7">
        <w:rPr>
          <w:rFonts w:cs="Times New Roman"/>
          <w:i/>
          <w:iCs/>
          <w:sz w:val="20"/>
          <w:szCs w:val="20"/>
        </w:rPr>
        <w:t xml:space="preserve">See also </w:t>
      </w:r>
      <w:r w:rsidRPr="00D82DE7">
        <w:rPr>
          <w:rFonts w:cs="Times New Roman"/>
          <w:sz w:val="20"/>
          <w:szCs w:val="20"/>
        </w:rPr>
        <w:t>“U.S. Attorney investigating FirstEnergy/HB 6 scandal needs to let ratepayer probes proceed,” Cleveland Plain Dealer (Oct</w:t>
      </w:r>
      <w:r w:rsidR="000E6DE7">
        <w:rPr>
          <w:rFonts w:cs="Times New Roman"/>
          <w:sz w:val="20"/>
          <w:szCs w:val="20"/>
        </w:rPr>
        <w:t>.</w:t>
      </w:r>
      <w:r w:rsidRPr="00D82DE7">
        <w:rPr>
          <w:rFonts w:cs="Times New Roman"/>
          <w:sz w:val="20"/>
          <w:szCs w:val="20"/>
        </w:rPr>
        <w:t xml:space="preserve"> 22, 2023), </w:t>
      </w:r>
      <w:hyperlink r:id="rId1" w:history="1">
        <w:r w:rsidRPr="00D82DE7" w:rsidR="0073451D">
          <w:rPr>
            <w:rStyle w:val="Hyperlink"/>
            <w:rFonts w:eastAsia="Times New Roman" w:cs="Times New Roman"/>
            <w:sz w:val="20"/>
            <w:szCs w:val="20"/>
          </w:rPr>
          <w:t>https://www.cleveland.com/opinion/2023/10/us-attorney-investigating-firstenergyhb-6-scandal-needs-to-let-ratepayer-probes-proceed-ashley-brown.html</w:t>
        </w:r>
      </w:hyperlink>
      <w:r w:rsidRPr="00D82DE7" w:rsidR="0073451D">
        <w:rPr>
          <w:rFonts w:eastAsia="Times New Roman" w:cs="Times New Roman"/>
          <w:color w:val="000000"/>
          <w:sz w:val="20"/>
          <w:szCs w:val="20"/>
        </w:rPr>
        <w:t>; “PUCO needs to do its duty by ratepayers and the U.S. attorney needs to get out of the way,” Cleveland Plain Dealer (Oct</w:t>
      </w:r>
      <w:r w:rsidR="000E6DE7">
        <w:rPr>
          <w:rFonts w:eastAsia="Times New Roman" w:cs="Times New Roman"/>
          <w:color w:val="000000"/>
          <w:sz w:val="20"/>
          <w:szCs w:val="20"/>
        </w:rPr>
        <w:t>.</w:t>
      </w:r>
      <w:r w:rsidRPr="00D82DE7" w:rsidR="0073451D">
        <w:rPr>
          <w:rFonts w:eastAsia="Times New Roman" w:cs="Times New Roman"/>
          <w:color w:val="000000"/>
          <w:sz w:val="20"/>
          <w:szCs w:val="20"/>
        </w:rPr>
        <w:t xml:space="preserve"> 27, 2023), </w:t>
      </w:r>
      <w:hyperlink r:id="rId2" w:tgtFrame="_blank" w:tooltip="Original URL: https://www.cleveland.com/opinion/2023/10/puco-needs-to-do-its-duty-by-ratepayers-and-the-us-attorney-needs-to-get-out-of-the-way-editorial.html. Click or tap if you trust this link." w:history="1">
        <w:r w:rsidRPr="00D82DE7" w:rsidR="0073451D">
          <w:rPr>
            <w:rStyle w:val="Hyperlink"/>
            <w:rFonts w:eastAsia="Times New Roman" w:cs="Times New Roman"/>
            <w:sz w:val="20"/>
            <w:szCs w:val="20"/>
          </w:rPr>
          <w:t>https://www.cleveland.com/opinion/2023/10/puco-needs-to-do-its-duty-by-ratepayers-and-the-us-attorney-needs-to-get-out-of-the-way-editorial.html</w:t>
        </w:r>
      </w:hyperlink>
      <w:r w:rsidRPr="00D82DE7" w:rsidR="0073451D">
        <w:rPr>
          <w:rFonts w:eastAsia="Times New Roman" w:cs="Times New Roman"/>
          <w:color w:val="000000"/>
          <w:sz w:val="20"/>
          <w:szCs w:val="20"/>
        </w:rPr>
        <w:t>.</w:t>
      </w:r>
    </w:p>
  </w:footnote>
  <w:footnote w:id="7">
    <w:p w:rsidR="009E3892" w:rsidRPr="00D82DE7" w:rsidP="00D82DE7" w14:paraId="383FC8B4" w14:textId="7F467538">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82DE7">
        <w:rPr>
          <w:rFonts w:cs="Times New Roman"/>
        </w:rPr>
        <w:t xml:space="preserve">Case No. 22-704-EL-UNC; </w:t>
      </w:r>
      <w:r w:rsidRPr="00D82DE7">
        <w:rPr>
          <w:rFonts w:cs="Times New Roman"/>
          <w:i/>
          <w:iCs/>
        </w:rPr>
        <w:t>In the Matter of the Filing by Ohio Edison Company, the Cleveland Electric Illuminating Company and the Toledo Edison Company of a Grid Modernization Business Plan</w:t>
      </w:r>
      <w:r w:rsidRPr="00D82DE7">
        <w:rPr>
          <w:rFonts w:cs="Times New Roman"/>
        </w:rPr>
        <w:t xml:space="preserve">, Case No. 16-481-EL-UNC. </w:t>
      </w:r>
    </w:p>
  </w:footnote>
  <w:footnote w:id="8">
    <w:p w:rsidR="009E3892" w:rsidRPr="00D82DE7" w:rsidP="00D82DE7" w14:paraId="10A6FCAB" w14:textId="1E9E6E65">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Review of Ohio Edison Company, the Cleveland Electric Illuminating Company, and the Toledo Edison Company’s Compliance with R.C. 4928.17 and Ohio Adm. Code Chapter</w:t>
      </w:r>
      <w:r w:rsidRPr="00D82DE7">
        <w:rPr>
          <w:rFonts w:cs="Times New Roman"/>
        </w:rPr>
        <w:t xml:space="preserve"> </w:t>
      </w:r>
      <w:r w:rsidRPr="00D82DE7">
        <w:rPr>
          <w:rFonts w:cs="Times New Roman"/>
          <w:i/>
          <w:iCs/>
        </w:rPr>
        <w:t>4901:1-37</w:t>
      </w:r>
      <w:r w:rsidRPr="00D82DE7">
        <w:rPr>
          <w:rFonts w:cs="Times New Roman"/>
        </w:rPr>
        <w:t xml:space="preserve">, Case No. 17-974-EL-UNC, Entry at ¶ 79 (Aug. 24, 2022). </w:t>
      </w:r>
    </w:p>
  </w:footnote>
  <w:footnote w:id="9">
    <w:p w:rsidR="001C57A8" w:rsidRPr="00D82DE7" w:rsidP="00D82DE7" w14:paraId="1C2EFC7C"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Entry on Rehearing at ¶ 29 (Oct. 18, 2023).</w:t>
      </w:r>
    </w:p>
  </w:footnote>
  <w:footnote w:id="10">
    <w:p w:rsidR="008D0B01" w:rsidRPr="00D82DE7" w:rsidP="00D82DE7" w14:paraId="180A7F38" w14:textId="0FB9F9DE">
      <w:pPr>
        <w:pStyle w:val="FootnoteText"/>
        <w:spacing w:after="120"/>
        <w:rPr>
          <w:rFonts w:cs="Times New Roman"/>
        </w:rPr>
      </w:pPr>
      <w:r w:rsidRPr="00D82DE7">
        <w:rPr>
          <w:rStyle w:val="FootnoteReference"/>
          <w:rFonts w:cs="Times New Roman"/>
        </w:rPr>
        <w:footnoteRef/>
      </w:r>
      <w:r w:rsidRPr="00D82DE7">
        <w:rPr>
          <w:rFonts w:cs="Times New Roman"/>
        </w:rPr>
        <w:t xml:space="preserve"> FirstEnergy’s Grid Mod 1 was approved yesterday and will likely be the subject of rehearing requests. </w:t>
      </w:r>
    </w:p>
  </w:footnote>
  <w:footnote w:id="11">
    <w:p w:rsidR="007157E6" w:rsidRPr="00D82DE7" w:rsidP="00D82DE7" w14:paraId="68129B3C"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United States of America v. FirstEnergy Corp</w:t>
      </w:r>
      <w:r w:rsidRPr="00D82DE7">
        <w:rPr>
          <w:rFonts w:cs="Times New Roman"/>
        </w:rPr>
        <w:t>., Case No. 1:21-cr-86, Deferred Prosecution Agreement at 17 (July 20, 2021).</w:t>
      </w:r>
    </w:p>
  </w:footnote>
  <w:footnote w:id="12">
    <w:p w:rsidR="00C755A8" w:rsidRPr="00D82DE7" w:rsidP="00D82DE7" w14:paraId="77F8FF14" w14:textId="1325B7EF">
      <w:pPr>
        <w:pStyle w:val="FootnoteText"/>
        <w:spacing w:after="120"/>
        <w:rPr>
          <w:rFonts w:cs="Times New Roman"/>
        </w:rPr>
      </w:pPr>
      <w:r w:rsidRPr="00D82DE7">
        <w:rPr>
          <w:rStyle w:val="FootnoteReference"/>
          <w:rFonts w:cs="Times New Roman"/>
        </w:rPr>
        <w:footnoteRef/>
      </w:r>
      <w:r w:rsidRPr="00D82DE7" w:rsidR="00D82DE7">
        <w:rPr>
          <w:rFonts w:cs="Times New Roman"/>
        </w:rPr>
        <w:t xml:space="preserve"> </w:t>
      </w:r>
      <w:r w:rsidRPr="00D82DE7" w:rsidR="008734BB">
        <w:rPr>
          <w:rFonts w:cs="Times New Roman"/>
          <w:i/>
          <w:iCs/>
        </w:rPr>
        <w:t xml:space="preserve">In the Matter of the Application of Ohio Edison Company, </w:t>
      </w:r>
      <w:r w:rsidR="007B2E6F">
        <w:rPr>
          <w:rFonts w:cs="Times New Roman"/>
          <w:i/>
          <w:iCs/>
        </w:rPr>
        <w:t>t</w:t>
      </w:r>
      <w:r w:rsidRPr="00D82DE7" w:rsidR="008734BB">
        <w:rPr>
          <w:rFonts w:cs="Times New Roman"/>
          <w:i/>
          <w:iCs/>
        </w:rPr>
        <w:t xml:space="preserve">he Cleveland Electric Illuminating Company and </w:t>
      </w:r>
      <w:r w:rsidR="007B2E6F">
        <w:rPr>
          <w:rFonts w:cs="Times New Roman"/>
          <w:i/>
          <w:iCs/>
        </w:rPr>
        <w:t>t</w:t>
      </w:r>
      <w:r w:rsidRPr="00D82DE7" w:rsidR="008734BB">
        <w:rPr>
          <w:rFonts w:cs="Times New Roman"/>
          <w:i/>
          <w:iCs/>
        </w:rPr>
        <w:t xml:space="preserve">he Toledo Edison Company to Implement Matters Relating to the Tax Cuts and Jobs Act of 2017, </w:t>
      </w:r>
      <w:r w:rsidRPr="00D82DE7" w:rsidR="008734BB">
        <w:rPr>
          <w:rFonts w:cs="Times New Roman"/>
        </w:rPr>
        <w:t>Case No. 18-1604-EL-UNC, Opinion and Order (July 17, 2019);</w:t>
      </w:r>
      <w:r w:rsidRPr="00D82DE7" w:rsidR="00D82DE7">
        <w:rPr>
          <w:rFonts w:cs="Times New Roman"/>
        </w:rPr>
        <w:t xml:space="preserve"> </w:t>
      </w:r>
      <w:r w:rsidRPr="00D82DE7" w:rsidR="008734BB">
        <w:rPr>
          <w:rFonts w:cs="Times New Roman"/>
          <w:i/>
          <w:iCs/>
        </w:rPr>
        <w:t xml:space="preserve">see also: </w:t>
      </w:r>
      <w:r w:rsidRPr="00D82DE7">
        <w:rPr>
          <w:rFonts w:cs="Times New Roman"/>
          <w:i/>
          <w:iCs/>
        </w:rPr>
        <w:t xml:space="preserve">In the Matter of Ohio Edison Company, </w:t>
      </w:r>
      <w:r w:rsidR="00D2566D">
        <w:rPr>
          <w:rFonts w:cs="Times New Roman"/>
          <w:i/>
          <w:iCs/>
        </w:rPr>
        <w:t>t</w:t>
      </w:r>
      <w:r w:rsidRPr="00D82DE7">
        <w:rPr>
          <w:rFonts w:cs="Times New Roman"/>
          <w:i/>
          <w:iCs/>
        </w:rPr>
        <w:t xml:space="preserve">he Cleveland Electric Illuminating Company, and </w:t>
      </w:r>
      <w:r w:rsidR="00D2566D">
        <w:rPr>
          <w:rFonts w:cs="Times New Roman"/>
          <w:i/>
          <w:iCs/>
        </w:rPr>
        <w:t>t</w:t>
      </w:r>
      <w:r w:rsidRPr="00D82DE7">
        <w:rPr>
          <w:rFonts w:cs="Times New Roman"/>
          <w:i/>
          <w:iCs/>
        </w:rPr>
        <w:t>he Toledo Edison Company for Authority to Provide for a Standard Service Offer Pursuant to Section 4928.143, Revised Code, in the Form of an Electric Security Plan</w:t>
      </w:r>
      <w:r w:rsidRPr="00D82DE7">
        <w:rPr>
          <w:rFonts w:cs="Times New Roman"/>
        </w:rPr>
        <w:t xml:space="preserve">, Case No. 12-1230-EL-SSO, Opinion and Order </w:t>
      </w:r>
      <w:r w:rsidRPr="00D82DE7" w:rsidR="008734BB">
        <w:rPr>
          <w:rFonts w:cs="Times New Roman"/>
        </w:rPr>
        <w:t>(July 18, 2012).</w:t>
      </w:r>
    </w:p>
  </w:footnote>
  <w:footnote w:id="13">
    <w:p w:rsidR="008734BB" w:rsidRPr="00D82DE7" w:rsidP="00D82DE7" w14:paraId="3E2860BA" w14:textId="7B0A132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sidR="00201032">
        <w:rPr>
          <w:rFonts w:cs="Times New Roman"/>
        </w:rPr>
        <w:t>Entry on Rehearing at ¶ 19 (Oct. 18, 2023).</w:t>
      </w:r>
    </w:p>
  </w:footnote>
  <w:footnote w:id="14">
    <w:p w:rsidR="00952834" w:rsidRPr="00D82DE7" w:rsidP="00D82DE7" w14:paraId="7A024286"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Entry on Rehearing at ¶ 29 (Oct. 18, 2023).</w:t>
      </w:r>
    </w:p>
  </w:footnote>
  <w:footnote w:id="15">
    <w:p w:rsidR="003D2B00" w:rsidRPr="00D82DE7" w:rsidP="00D82DE7" w14:paraId="560147DA" w14:textId="7BD62F6E">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1C72FD">
        <w:rPr>
          <w:rFonts w:cs="Times New Roman"/>
          <w:i/>
          <w:iCs/>
        </w:rPr>
        <w:t>See, e.g</w:t>
      </w:r>
      <w:r w:rsidRPr="00D82DE7">
        <w:rPr>
          <w:rFonts w:cs="Times New Roman"/>
        </w:rPr>
        <w:t xml:space="preserve">., </w:t>
      </w:r>
      <w:r w:rsidRPr="00D82DE7">
        <w:rPr>
          <w:rFonts w:cs="Times New Roman"/>
          <w:i/>
          <w:iCs/>
        </w:rPr>
        <w:t>In the Matter of the Ohio Edison Company, the Cleveland Electric Illuminating Company, and the Toledo Edison Company’s Compliance with R.C. 4928.17 and the Ohio Adm. Code Chapter 4901:1-37</w:t>
      </w:r>
      <w:r w:rsidRPr="00D82DE7">
        <w:rPr>
          <w:rFonts w:cs="Times New Roman"/>
        </w:rPr>
        <w:t>, Case No. 17-974-EL-UNC, Entry at ¶</w:t>
      </w:r>
      <w:r w:rsidR="00B660F0">
        <w:rPr>
          <w:rFonts w:cs="Times New Roman"/>
        </w:rPr>
        <w:t xml:space="preserve"> </w:t>
      </w:r>
      <w:r w:rsidRPr="00D82DE7">
        <w:rPr>
          <w:rFonts w:cs="Times New Roman"/>
        </w:rPr>
        <w:t>19 (Oct. 18, 2023).</w:t>
      </w:r>
    </w:p>
  </w:footnote>
  <w:footnote w:id="16">
    <w:p w:rsidR="003D2B00" w:rsidRPr="00D82DE7" w:rsidP="00D82DE7" w14:paraId="0BF2F6CA" w14:textId="52C5911D">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re: FirstEnergy Corp</w:t>
      </w:r>
      <w:r w:rsidRPr="00D82DE7">
        <w:rPr>
          <w:rFonts w:cs="Times New Roman"/>
        </w:rPr>
        <w:t>., Docket No. FA 19-1-000</w:t>
      </w:r>
      <w:r w:rsidRPr="00D82DE7" w:rsidR="0051412F">
        <w:rPr>
          <w:rFonts w:cs="Times New Roman"/>
        </w:rPr>
        <w:t xml:space="preserve">, Audit Report </w:t>
      </w:r>
      <w:r w:rsidRPr="00D82DE7">
        <w:rPr>
          <w:rFonts w:cs="Times New Roman"/>
        </w:rPr>
        <w:t>at 4-13 (Feb.</w:t>
      </w:r>
      <w:r w:rsidR="007358DC">
        <w:rPr>
          <w:rFonts w:cs="Times New Roman"/>
        </w:rPr>
        <w:t xml:space="preserve"> </w:t>
      </w:r>
      <w:r w:rsidRPr="00D82DE7">
        <w:rPr>
          <w:rFonts w:cs="Times New Roman"/>
        </w:rPr>
        <w:t>4, 2022)</w:t>
      </w:r>
      <w:r w:rsidR="00211E41">
        <w:rPr>
          <w:rFonts w:cs="Times New Roman"/>
        </w:rPr>
        <w:t>.</w:t>
      </w:r>
    </w:p>
  </w:footnote>
  <w:footnote w:id="17">
    <w:p w:rsidR="0029028D" w:rsidRPr="00D82DE7" w:rsidP="00D82DE7" w14:paraId="6C466FD2" w14:textId="37BE688C">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Id</w:t>
      </w:r>
      <w:r w:rsidRPr="00D82DE7">
        <w:rPr>
          <w:rFonts w:cs="Times New Roman"/>
        </w:rPr>
        <w:t>.</w:t>
      </w:r>
      <w:r w:rsidRPr="00D82DE7" w:rsidR="00D82DE7">
        <w:rPr>
          <w:rFonts w:cs="Times New Roman"/>
        </w:rPr>
        <w:t xml:space="preserve"> </w:t>
      </w:r>
    </w:p>
  </w:footnote>
  <w:footnote w:id="18">
    <w:p w:rsidR="00C9237B" w:rsidRPr="00D82DE7" w:rsidP="00D82DE7" w14:paraId="689B1A54"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82DE7">
        <w:rPr>
          <w:rFonts w:cs="Times New Roman"/>
        </w:rPr>
        <w:t xml:space="preserve">Case No. 22-704-EL-UNC; </w:t>
      </w:r>
      <w:r w:rsidRPr="00D82DE7">
        <w:rPr>
          <w:rFonts w:cs="Times New Roman"/>
          <w:i/>
          <w:iCs/>
        </w:rPr>
        <w:t>In the Matter of the Filing by Ohio Edison Company, the Cleveland Electric Illuminating Company and the Toledo Edison Company of a Grid Modernization Business Plan</w:t>
      </w:r>
      <w:r w:rsidRPr="00D82DE7">
        <w:rPr>
          <w:rFonts w:cs="Times New Roman"/>
        </w:rPr>
        <w:t>, Case No. 16-481-EL-UNC.</w:t>
      </w:r>
    </w:p>
  </w:footnote>
  <w:footnote w:id="19">
    <w:p w:rsidR="00C9237B" w:rsidRPr="00D82DE7" w:rsidP="00D82DE7" w14:paraId="214DFDA1"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82DE7">
        <w:rPr>
          <w:rFonts w:cs="Times New Roman"/>
        </w:rPr>
        <w:t xml:space="preserve">Case No. 22-704-EL-UNC; </w:t>
      </w:r>
      <w:r w:rsidRPr="00D82DE7">
        <w:rPr>
          <w:rFonts w:cs="Times New Roman"/>
          <w:i/>
          <w:iCs/>
        </w:rPr>
        <w:t>In the Matter of the Filing by Ohio Edison Company, the Cleveland Electric Illuminating Company and the Toledo Edison Company of a Grid Modernization Business Plan</w:t>
      </w:r>
      <w:r w:rsidRPr="00D82DE7">
        <w:rPr>
          <w:rFonts w:cs="Times New Roman"/>
        </w:rPr>
        <w:t>, Case No. 16-481-EL-UNC.</w:t>
      </w:r>
    </w:p>
  </w:footnote>
  <w:footnote w:id="20">
    <w:p w:rsidR="00C9237B" w:rsidRPr="00D82DE7" w:rsidP="00D82DE7" w14:paraId="4807DFA8"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Application of Ohio Edison Company, the Cleveland Electric Illuminating Company and the Toledo Edison Company for Authority to Provide a Standard Service Offer Pursuant to R.C. 4928.143 in the Form of an Electric Security Plan</w:t>
      </w:r>
      <w:r w:rsidRPr="00D82DE7">
        <w:rPr>
          <w:rFonts w:cs="Times New Roman"/>
        </w:rPr>
        <w:t xml:space="preserve">, Case No. 14-1297-EL-SSO, Third Supplemental Stipulation at 9-10 (Dec. 1, 2015). </w:t>
      </w:r>
    </w:p>
  </w:footnote>
  <w:footnote w:id="21">
    <w:p w:rsidR="00C9237B" w:rsidRPr="00D82DE7" w:rsidP="00D82DE7" w14:paraId="299DBEA1" w14:textId="699FBA89">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2020 Review of the Delivery Capital Recovery Rider of Ohio Edison Company, the Cleveland Electric Illuminating Company, and the Toledo Edison Company</w:t>
      </w:r>
      <w:r w:rsidRPr="00D82DE7">
        <w:rPr>
          <w:rFonts w:cs="Times New Roman"/>
        </w:rPr>
        <w:t>, Case No. 20-1629-EL-RDR, Entry (</w:t>
      </w:r>
      <w:r w:rsidRPr="00D82DE7" w:rsidR="00D7768F">
        <w:rPr>
          <w:rFonts w:cs="Times New Roman"/>
        </w:rPr>
        <w:t>Dec. 15, 2021</w:t>
      </w:r>
      <w:r w:rsidRPr="00D82DE7">
        <w:rPr>
          <w:rFonts w:cs="Times New Roman"/>
        </w:rPr>
        <w:t>).</w:t>
      </w:r>
    </w:p>
  </w:footnote>
  <w:footnote w:id="22">
    <w:p w:rsidR="00C9237B" w:rsidRPr="00D82DE7" w:rsidP="00D82DE7" w14:paraId="711C0586"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to Implement Matters Relating to the Tax Cuts and Jobs Act of 2017, </w:t>
      </w:r>
      <w:r w:rsidRPr="00D82DE7">
        <w:rPr>
          <w:rFonts w:cs="Times New Roman"/>
        </w:rPr>
        <w:t>Case No. 18-1604-EL-UNC, Opinion and Order (July 17, 2019).</w:t>
      </w:r>
    </w:p>
  </w:footnote>
  <w:footnote w:id="23">
    <w:p w:rsidR="00D7768F" w:rsidRPr="00D82DE7" w:rsidP="00D82DE7" w14:paraId="1E50E349" w14:textId="5773DB85">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sidR="00373B3E">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82DE7" w:rsidR="00373B3E">
        <w:rPr>
          <w:rFonts w:cs="Times New Roman"/>
        </w:rPr>
        <w:t xml:space="preserve">Case No. 22-704-EL-UNC; </w:t>
      </w:r>
      <w:r w:rsidRPr="00D82DE7" w:rsidR="00373B3E">
        <w:rPr>
          <w:rFonts w:cs="Times New Roman"/>
          <w:i/>
          <w:iCs/>
        </w:rPr>
        <w:t>In the Matter of the Filing by Ohio Edison Company, the Cleveland Electric Illuminating Company and the Toledo Edison Company of a Grid Modernization Business Plan</w:t>
      </w:r>
      <w:r w:rsidRPr="00D82DE7" w:rsidR="00373B3E">
        <w:rPr>
          <w:rFonts w:cs="Times New Roman"/>
        </w:rPr>
        <w:t xml:space="preserve">, Case No. 16-481-EL-UNC, Entry (Nov. 16, 2023). </w:t>
      </w:r>
    </w:p>
  </w:footnote>
  <w:footnote w:id="24">
    <w:p w:rsidR="007157E6" w:rsidRPr="00D82DE7" w:rsidP="00D82DE7" w14:paraId="4A6DF872" w14:textId="6AE47E38">
      <w:pPr>
        <w:pStyle w:val="FootnoteText"/>
        <w:spacing w:after="120"/>
        <w:rPr>
          <w:rFonts w:cs="Times New Roman"/>
        </w:rPr>
      </w:pPr>
      <w:r w:rsidRPr="00D82DE7">
        <w:rPr>
          <w:rStyle w:val="FootnoteReference"/>
          <w:rFonts w:cs="Times New Roman"/>
        </w:rPr>
        <w:footnoteRef/>
      </w:r>
      <w:r w:rsidRPr="00D82DE7">
        <w:rPr>
          <w:rFonts w:cs="Times New Roman"/>
        </w:rPr>
        <w:t xml:space="preserve"> 767 F.3d 611 (6th Cir.</w:t>
      </w:r>
      <w:r w:rsidR="009F703F">
        <w:rPr>
          <w:rFonts w:cs="Times New Roman"/>
        </w:rPr>
        <w:t xml:space="preserve"> </w:t>
      </w:r>
      <w:r w:rsidRPr="00D82DE7">
        <w:rPr>
          <w:rFonts w:cs="Times New Roman"/>
        </w:rPr>
        <w:t>2014).</w:t>
      </w:r>
    </w:p>
  </w:footnote>
  <w:footnote w:id="25">
    <w:p w:rsidR="007157E6" w:rsidRPr="00D82DE7" w:rsidP="00D82DE7" w14:paraId="77E111D1"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See, e.g., In the Matter of the Ohio Edison Company, the Cleveland Electric Illuminating Company, and the Toledo Edison Company’s Compliance with R.C. 4928.17 and the Ohio Adm. Code Chapter 4901:1-37</w:t>
      </w:r>
      <w:r w:rsidRPr="00D82DE7">
        <w:rPr>
          <w:rFonts w:cs="Times New Roman"/>
        </w:rPr>
        <w:t>, Case No. 17-974-EL-UNC, Entry (Aug. 2, 2022).</w:t>
      </w:r>
    </w:p>
  </w:footnote>
  <w:footnote w:id="26">
    <w:p w:rsidR="00D0371B" w:rsidRPr="00D82DE7" w:rsidP="00D82DE7" w14:paraId="3B38C198" w14:textId="370EDEA0">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Id., </w:t>
      </w:r>
      <w:r w:rsidRPr="00D82DE7">
        <w:rPr>
          <w:rFonts w:cs="Times New Roman"/>
        </w:rPr>
        <w:t xml:space="preserve">Application for Rehearing (Sept. 22, 2023); </w:t>
      </w:r>
      <w:r w:rsidRPr="00D82DE7">
        <w:rPr>
          <w:rFonts w:cs="Times New Roman"/>
          <w:i/>
          <w:iCs/>
        </w:rPr>
        <w:t xml:space="preserve">Id., </w:t>
      </w:r>
      <w:r w:rsidRPr="00D82DE7">
        <w:rPr>
          <w:rFonts w:cs="Times New Roman"/>
        </w:rPr>
        <w:t>Application for Rehearing (Apr</w:t>
      </w:r>
      <w:r w:rsidR="00A63736">
        <w:rPr>
          <w:rFonts w:cs="Times New Roman"/>
        </w:rPr>
        <w:t>il</w:t>
      </w:r>
      <w:r w:rsidRPr="00D82DE7">
        <w:rPr>
          <w:rFonts w:cs="Times New Roman"/>
        </w:rPr>
        <w:t xml:space="preserve"> 7, 2023); </w:t>
      </w:r>
      <w:r w:rsidRPr="00D82DE7">
        <w:rPr>
          <w:rFonts w:cs="Times New Roman"/>
          <w:i/>
          <w:iCs/>
        </w:rPr>
        <w:t xml:space="preserve">Id., </w:t>
      </w:r>
      <w:r w:rsidRPr="00D82DE7">
        <w:rPr>
          <w:rFonts w:cs="Times New Roman"/>
        </w:rPr>
        <w:t>Application for Rehearing (Sept. 23, 2022).</w:t>
      </w:r>
    </w:p>
  </w:footnote>
  <w:footnote w:id="27">
    <w:p w:rsidR="00D0371B" w:rsidRPr="00D82DE7" w:rsidP="00D82DE7" w14:paraId="00AD3C68" w14:textId="03400E29">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B77F85">
        <w:rPr>
          <w:rFonts w:cs="Times New Roman"/>
          <w:i/>
          <w:iCs/>
        </w:rPr>
        <w:t>See, e.g.</w:t>
      </w:r>
      <w:r w:rsidRPr="00D82DE7">
        <w:rPr>
          <w:rFonts w:cs="Times New Roman"/>
        </w:rPr>
        <w:t xml:space="preserve"> </w:t>
      </w:r>
      <w:r w:rsidRPr="00D82DE7">
        <w:rPr>
          <w:rFonts w:cs="Times New Roman"/>
          <w:i/>
          <w:iCs/>
        </w:rPr>
        <w:t>In the Matter of the Review of the Political and Charitable Spending by Ohio Edison Company, the Cleveland Electric Illuminating Company, and the Toledo Edison Company</w:t>
      </w:r>
      <w:r w:rsidRPr="00D82DE7">
        <w:rPr>
          <w:rFonts w:cs="Times New Roman"/>
        </w:rPr>
        <w:t>, Case No. 20-1502-EL-UNC, Entry (Oct. 18, 2023).</w:t>
      </w:r>
    </w:p>
  </w:footnote>
  <w:footnote w:id="28">
    <w:p w:rsidR="00324AB0" w:rsidRPr="00D82DE7" w:rsidP="00D82DE7" w14:paraId="4C933B0B" w14:textId="733B88DB">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Ohio Edison Company, the Cleveland Electric Illuminating Company, and the Toledo Edison Company’s Compliance with R.C. 4928.17 and the Ohio Adm. Code Chapter 4901:1-37</w:t>
      </w:r>
      <w:r w:rsidRPr="00D82DE7">
        <w:rPr>
          <w:rFonts w:cs="Times New Roman"/>
        </w:rPr>
        <w:t>, Case No. 17-974-EL-UNC, Entry at 19 (Aug. 2, 2022).</w:t>
      </w:r>
    </w:p>
  </w:footnote>
  <w:footnote w:id="29">
    <w:p w:rsidR="00324AB0" w:rsidRPr="00D82DE7" w:rsidP="00D82DE7" w14:paraId="474CF97A" w14:textId="682CFE4B">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Id.</w:t>
      </w:r>
      <w:r w:rsidR="004627E3">
        <w:rPr>
          <w:rFonts w:cs="Times New Roman"/>
          <w:i/>
          <w:iCs/>
        </w:rPr>
        <w:t xml:space="preserve"> </w:t>
      </w:r>
      <w:r w:rsidRPr="00D82DE7">
        <w:rPr>
          <w:rFonts w:cs="Times New Roman"/>
        </w:rPr>
        <w:t>at 19-20.</w:t>
      </w:r>
    </w:p>
  </w:footnote>
  <w:footnote w:id="30">
    <w:p w:rsidR="007157E6" w:rsidRPr="00D82DE7" w:rsidP="00D82DE7" w14:paraId="423BFA04"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82DE7">
        <w:rPr>
          <w:rFonts w:cs="Times New Roman"/>
        </w:rPr>
        <w:t xml:space="preserve">Case No. 22-704-EL-UNC; </w:t>
      </w:r>
      <w:r w:rsidRPr="00D82DE7">
        <w:rPr>
          <w:rFonts w:cs="Times New Roman"/>
          <w:i/>
          <w:iCs/>
        </w:rPr>
        <w:t>In the Matter of the Filing by Ohio Edison Company, the Cleveland Electric Illuminating Company and the Toledo Edison Company of a Grid Modernization Business Plan</w:t>
      </w:r>
      <w:r w:rsidRPr="00D82DE7">
        <w:rPr>
          <w:rFonts w:cs="Times New Roman"/>
        </w:rPr>
        <w:t>, Case No. 16-481-EL-UNC.</w:t>
      </w:r>
    </w:p>
  </w:footnote>
  <w:footnote w:id="31">
    <w:p w:rsidR="007157E6" w:rsidRPr="00D82DE7" w:rsidP="00D82DE7" w14:paraId="11F34824"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for Approval of Phase Two of Their Distribution Grid Modernization Plan, </w:t>
      </w:r>
      <w:r w:rsidRPr="00D82DE7">
        <w:rPr>
          <w:rFonts w:cs="Times New Roman"/>
        </w:rPr>
        <w:t xml:space="preserve">Case No. 22-704-EL-UNC; </w:t>
      </w:r>
      <w:r w:rsidRPr="00D82DE7">
        <w:rPr>
          <w:rFonts w:cs="Times New Roman"/>
          <w:i/>
          <w:iCs/>
        </w:rPr>
        <w:t>In the Matter of the Filing by Ohio Edison Company, the Cleveland Electric Illuminating Company and the Toledo Edison Company of a Grid Modernization Business Plan</w:t>
      </w:r>
      <w:r w:rsidRPr="00D82DE7">
        <w:rPr>
          <w:rFonts w:cs="Times New Roman"/>
        </w:rPr>
        <w:t>, Case No. 16-481-EL-UNC.</w:t>
      </w:r>
    </w:p>
  </w:footnote>
  <w:footnote w:id="32">
    <w:p w:rsidR="007157E6" w:rsidRPr="00D82DE7" w:rsidP="00D82DE7" w14:paraId="3D235B01"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Application of Ohio Edison Company, the Cleveland Electric Illuminating Company and the Toledo Edison Company for Authority to Provide a Standard Service Offer Pursuant to R.C. 4928.143 in the Form of an Electric Security Plan</w:t>
      </w:r>
      <w:r w:rsidRPr="00D82DE7">
        <w:rPr>
          <w:rFonts w:cs="Times New Roman"/>
        </w:rPr>
        <w:t xml:space="preserve">, Case No. 14-1297-EL-SSO, Third Supplemental Stipulation at 9-10 (Dec. 1, 2015). </w:t>
      </w:r>
    </w:p>
  </w:footnote>
  <w:footnote w:id="33">
    <w:p w:rsidR="007157E6" w:rsidRPr="00D82DE7" w:rsidP="00D82DE7" w14:paraId="10670B9C"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In the Matter of the Application of Ohio Edison Company, the Cleveland Electric Illuminating Company and the Toledo Edison Company to Implement Matters Relating to the Tax Cuts and Jobs Act of 2017, </w:t>
      </w:r>
      <w:r w:rsidRPr="00D82DE7">
        <w:rPr>
          <w:rFonts w:cs="Times New Roman"/>
        </w:rPr>
        <w:t>Case No. 18-1604-EL-UNC, Opinion and Order (July 17, 2019).</w:t>
      </w:r>
    </w:p>
  </w:footnote>
  <w:footnote w:id="34">
    <w:p w:rsidR="009741BC" w:rsidRPr="00D82DE7" w:rsidP="00D82DE7" w14:paraId="4459C8DB"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2020 Review of the Delivery Capital Recovery Rider of Ohio Edison Company, the Cleveland Electric Illuminating Company, and the Toledo Edison Company</w:t>
      </w:r>
      <w:r w:rsidRPr="00D82DE7">
        <w:rPr>
          <w:rFonts w:cs="Times New Roman"/>
        </w:rPr>
        <w:t>, Case No. 20-1629-EL-RDR, Audit Report, Expanded Scope (Aug. 3, 2021).</w:t>
      </w:r>
    </w:p>
  </w:footnote>
  <w:footnote w:id="35">
    <w:p w:rsidR="009741BC" w:rsidRPr="00D82DE7" w:rsidP="00D82DE7" w14:paraId="437B60E3" w14:textId="6BC0EFE1">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Review of Ohio Edison Company, the Cleveland Electric Illuminating Company, and the Toledo Edison Company’s Compliance with R.C. 4928.17 and Ohio Adm.</w:t>
      </w:r>
      <w:r w:rsidR="00893AA4">
        <w:rPr>
          <w:rFonts w:cs="Times New Roman"/>
          <w:i/>
          <w:iCs/>
        </w:rPr>
        <w:t xml:space="preserve"> </w:t>
      </w:r>
      <w:r w:rsidRPr="00D82DE7">
        <w:rPr>
          <w:rFonts w:cs="Times New Roman"/>
          <w:i/>
          <w:iCs/>
        </w:rPr>
        <w:t>Code Chapter 4901:1-37</w:t>
      </w:r>
      <w:r w:rsidRPr="00D82DE7">
        <w:rPr>
          <w:rFonts w:cs="Times New Roman"/>
        </w:rPr>
        <w:t>, Case No. 17-974-EL-UNC.</w:t>
      </w:r>
    </w:p>
  </w:footnote>
  <w:footnote w:id="36">
    <w:p w:rsidR="009741BC" w:rsidRPr="00D82DE7" w:rsidP="00D82DE7" w14:paraId="6F40C173"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Review of the Political and Charitable Spending by Ohio Edison Company, the Cleveland Electric Illuminating Company, and the Toledo Edison Company</w:t>
      </w:r>
      <w:r w:rsidRPr="00D82DE7">
        <w:rPr>
          <w:rFonts w:cs="Times New Roman"/>
        </w:rPr>
        <w:t>, Case No. 20-1502-EL-UNC.</w:t>
      </w:r>
    </w:p>
  </w:footnote>
  <w:footnote w:id="37">
    <w:p w:rsidR="00324AB0" w:rsidRPr="00D82DE7" w:rsidP="00D82DE7" w14:paraId="216DBFBB" w14:textId="66B0E8FD">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Ohio Edison Company, the Cleveland Electric Illuminating Company, and the Toledo Edison Company’s Compliance with R.C. 4928.17 and the Ohio Adm. Code Chapter 4901:1-37</w:t>
      </w:r>
      <w:r w:rsidRPr="00D82DE7">
        <w:rPr>
          <w:rFonts w:cs="Times New Roman"/>
        </w:rPr>
        <w:t>, Case No. 17-974-EL-UNC, Entry at 22 (Aug. 2, 2022).</w:t>
      </w:r>
    </w:p>
  </w:footnote>
  <w:footnote w:id="38">
    <w:p w:rsidR="00324AB0" w:rsidRPr="00D82DE7" w:rsidP="00D82DE7" w14:paraId="4B469169" w14:textId="2BE72860">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Id</w:t>
      </w:r>
      <w:r w:rsidRPr="00D82DE7">
        <w:rPr>
          <w:rFonts w:cs="Times New Roman"/>
        </w:rPr>
        <w:t>., Entry at 3-4 (Aug. 23, 2023).</w:t>
      </w:r>
    </w:p>
  </w:footnote>
  <w:footnote w:id="39">
    <w:p w:rsidR="00324AB0" w:rsidRPr="00D82DE7" w:rsidP="00D82DE7" w14:paraId="15302ED5" w14:textId="5E04A505">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Id., </w:t>
      </w:r>
      <w:r w:rsidRPr="00D82DE7">
        <w:rPr>
          <w:rFonts w:cs="Times New Roman"/>
        </w:rPr>
        <w:t>Entry at 23 (Aug. 2, 2022).</w:t>
      </w:r>
    </w:p>
  </w:footnote>
  <w:footnote w:id="40">
    <w:p w:rsidR="00324AB0" w:rsidRPr="00D82DE7" w:rsidP="00D82DE7" w14:paraId="74816E7A" w14:textId="6834B319">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Id. </w:t>
      </w:r>
      <w:r w:rsidRPr="00D82DE7">
        <w:rPr>
          <w:rFonts w:cs="Times New Roman"/>
        </w:rPr>
        <w:t>at 23-24.</w:t>
      </w:r>
      <w:r w:rsidRPr="00D82DE7" w:rsidR="00D82DE7">
        <w:rPr>
          <w:rFonts w:cs="Times New Roman"/>
        </w:rPr>
        <w:t xml:space="preserve"> </w:t>
      </w:r>
    </w:p>
  </w:footnote>
  <w:footnote w:id="41">
    <w:p w:rsidR="00324AB0" w:rsidRPr="00D82DE7" w:rsidP="00D82DE7" w14:paraId="24783B01"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Id. </w:t>
      </w:r>
      <w:r w:rsidRPr="00D82DE7">
        <w:rPr>
          <w:rFonts w:cs="Times New Roman"/>
        </w:rPr>
        <w:t>at 24.</w:t>
      </w:r>
    </w:p>
  </w:footnote>
  <w:footnote w:id="42">
    <w:p w:rsidR="00324AB0" w:rsidRPr="00D82DE7" w:rsidP="00D82DE7" w14:paraId="337C526E"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Id. </w:t>
      </w:r>
      <w:r w:rsidRPr="00D82DE7">
        <w:rPr>
          <w:rFonts w:cs="Times New Roman"/>
        </w:rPr>
        <w:t>at 25.</w:t>
      </w:r>
    </w:p>
  </w:footnote>
  <w:footnote w:id="43">
    <w:p w:rsidR="00324AB0" w:rsidRPr="00D82DE7" w:rsidP="00D82DE7" w14:paraId="43732139" w14:textId="77777777">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 xml:space="preserve">Id. </w:t>
      </w:r>
      <w:r w:rsidRPr="00D82DE7">
        <w:rPr>
          <w:rFonts w:cs="Times New Roman"/>
        </w:rPr>
        <w:t>at 26.</w:t>
      </w:r>
    </w:p>
  </w:footnote>
  <w:footnote w:id="44">
    <w:p w:rsidR="00324AB0" w:rsidRPr="00D82DE7" w:rsidP="00D82DE7" w14:paraId="32CE6AB0" w14:textId="77777777">
      <w:pPr>
        <w:pStyle w:val="FootnoteText"/>
        <w:spacing w:after="120"/>
        <w:rPr>
          <w:rFonts w:cs="Times New Roman"/>
          <w:i/>
          <w:iCs/>
        </w:rPr>
      </w:pPr>
      <w:r w:rsidRPr="00D82DE7">
        <w:rPr>
          <w:rStyle w:val="FootnoteReference"/>
          <w:rFonts w:cs="Times New Roman"/>
        </w:rPr>
        <w:footnoteRef/>
      </w:r>
      <w:r w:rsidRPr="00D82DE7">
        <w:rPr>
          <w:rFonts w:cs="Times New Roman"/>
        </w:rPr>
        <w:t xml:space="preserve"> </w:t>
      </w:r>
      <w:r w:rsidRPr="00D82DE7">
        <w:rPr>
          <w:rFonts w:cs="Times New Roman"/>
          <w:i/>
          <w:iCs/>
        </w:rPr>
        <w:t>Id.</w:t>
      </w:r>
    </w:p>
  </w:footnote>
  <w:footnote w:id="45">
    <w:p w:rsidR="00A91FBB" w:rsidRPr="00D82DE7" w:rsidP="00D82DE7" w14:paraId="0D18DAC1" w14:textId="1A727452">
      <w:pPr>
        <w:pStyle w:val="FootnoteText"/>
        <w:spacing w:after="120"/>
        <w:rPr>
          <w:rFonts w:cs="Times New Roman"/>
        </w:rPr>
      </w:pPr>
      <w:r w:rsidRPr="00D82DE7">
        <w:rPr>
          <w:rStyle w:val="FootnoteReference"/>
          <w:rFonts w:cs="Times New Roman"/>
        </w:rPr>
        <w:footnoteRef/>
      </w:r>
      <w:r w:rsidRPr="00D82DE7" w:rsidR="00D82DE7">
        <w:rPr>
          <w:rFonts w:cs="Times New Roman"/>
        </w:rPr>
        <w:t xml:space="preserve"> </w:t>
      </w:r>
      <w:r w:rsidRPr="00D82DE7">
        <w:rPr>
          <w:rFonts w:cs="Times New Roman"/>
          <w:i/>
          <w:iCs/>
        </w:rPr>
        <w:t>In the Matter of the Ohio Edison Company, the Cleveland Electric Illuminating Company, and the Toledo Edison Company’s Compliance with R.C. 4928.17 and the Ohio Adm. Code Chapter 4901:1-37</w:t>
      </w:r>
      <w:r w:rsidRPr="00D82DE7">
        <w:rPr>
          <w:rFonts w:cs="Times New Roman"/>
        </w:rPr>
        <w:t>, Case No. 17-974-EL-UNC, Entry at ¶</w:t>
      </w:r>
      <w:r w:rsidR="00B01772">
        <w:rPr>
          <w:rFonts w:cs="Times New Roman"/>
        </w:rPr>
        <w:t xml:space="preserve"> </w:t>
      </w:r>
      <w:r w:rsidRPr="00D82DE7">
        <w:rPr>
          <w:rFonts w:cs="Times New Roman"/>
        </w:rPr>
        <w:t>19 (Oct. 8, 2023).</w:t>
      </w:r>
    </w:p>
  </w:footnote>
  <w:footnote w:id="46">
    <w:p w:rsidR="003A4819" w:rsidRPr="00D82DE7" w:rsidP="00D82DE7" w14:paraId="1EAA8DB3" w14:textId="6F6BCB83">
      <w:pPr>
        <w:pStyle w:val="FootnoteText"/>
        <w:spacing w:after="120"/>
        <w:rPr>
          <w:rFonts w:cs="Times New Roman"/>
        </w:rPr>
      </w:pPr>
      <w:r w:rsidRPr="00D82DE7">
        <w:rPr>
          <w:rStyle w:val="FootnoteReference"/>
          <w:rFonts w:cs="Times New Roman"/>
        </w:rPr>
        <w:footnoteRef/>
      </w:r>
      <w:r w:rsidRPr="00D82DE7">
        <w:rPr>
          <w:rFonts w:cs="Times New Roman"/>
        </w:rPr>
        <w:t xml:space="preserve"> </w:t>
      </w:r>
      <w:r w:rsidRPr="00D82DE7">
        <w:rPr>
          <w:rFonts w:cs="Times New Roman"/>
          <w:i/>
          <w:iCs/>
        </w:rPr>
        <w:t>In the Matter of the Application of the Dayton Power and Light Company to establish a Standard Service Offer in the Form of an Electric Security Plan</w:t>
      </w:r>
      <w:r w:rsidRPr="00D82DE7">
        <w:rPr>
          <w:rFonts w:cs="Times New Roman"/>
        </w:rPr>
        <w:t>, Case No. 08-1094-EL-SSO, Entry (Mar</w:t>
      </w:r>
      <w:r w:rsidR="0059428A">
        <w:rPr>
          <w:rFonts w:cs="Times New Roman"/>
        </w:rPr>
        <w:t>ch</w:t>
      </w:r>
      <w:r w:rsidRPr="00D82DE7">
        <w:rPr>
          <w:rFonts w:cs="Times New Roman"/>
        </w:rPr>
        <w:t xml:space="preserve"> 22,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28AB" w14:paraId="688569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28AB" w14:paraId="3ABE16E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28AB" w14:paraId="5B7DE4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666DC6"/>
    <w:multiLevelType w:val="hybridMultilevel"/>
    <w:tmpl w:val="86389E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BD4EF8"/>
    <w:multiLevelType w:val="hybridMultilevel"/>
    <w:tmpl w:val="378ED3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A160D6"/>
    <w:multiLevelType w:val="hybridMultilevel"/>
    <w:tmpl w:val="D4565EBC"/>
    <w:lvl w:ilvl="0">
      <w:start w:val="2"/>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584187"/>
    <w:multiLevelType w:val="hybridMultilevel"/>
    <w:tmpl w:val="20A0EA22"/>
    <w:lvl w:ilvl="0">
      <w:start w:val="1"/>
      <w:numFmt w:val="upp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1593BE9"/>
    <w:multiLevelType w:val="hybridMultilevel"/>
    <w:tmpl w:val="0E342EE6"/>
    <w:lvl w:ilvl="0">
      <w:start w:val="1"/>
      <w:numFmt w:val="upperLetter"/>
      <w:lvlText w:val="%1."/>
      <w:lvlJc w:val="left"/>
      <w:pPr>
        <w:ind w:left="1080" w:hanging="360"/>
      </w:pPr>
      <w:rPr>
        <w:rFonts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9DB1329"/>
    <w:multiLevelType w:val="hybridMultilevel"/>
    <w:tmpl w:val="2054A77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B2426C"/>
    <w:multiLevelType w:val="hybridMultilevel"/>
    <w:tmpl w:val="B01A78C6"/>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23FC232D"/>
    <w:multiLevelType w:val="hybridMultilevel"/>
    <w:tmpl w:val="44D88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7A565C"/>
    <w:multiLevelType w:val="hybridMultilevel"/>
    <w:tmpl w:val="832494F4"/>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F231C1D"/>
    <w:multiLevelType w:val="hybridMultilevel"/>
    <w:tmpl w:val="CCC8AD8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2222A5"/>
    <w:multiLevelType w:val="hybridMultilevel"/>
    <w:tmpl w:val="A5869630"/>
    <w:lvl w:ilvl="0">
      <w:start w:val="2"/>
      <w:numFmt w:val="bullet"/>
      <w:lvlText w:val=""/>
      <w:lvlJc w:val="left"/>
      <w:pPr>
        <w:ind w:left="144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4A6E84"/>
    <w:multiLevelType w:val="hybridMultilevel"/>
    <w:tmpl w:val="315ADA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4D226C5"/>
    <w:multiLevelType w:val="hybridMultilevel"/>
    <w:tmpl w:val="681A24F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35C92425"/>
    <w:multiLevelType w:val="hybridMultilevel"/>
    <w:tmpl w:val="1F009BF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163436"/>
    <w:multiLevelType w:val="hybridMultilevel"/>
    <w:tmpl w:val="BB3A227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F33D17"/>
    <w:multiLevelType w:val="hybridMultilevel"/>
    <w:tmpl w:val="6626293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8261E93"/>
    <w:multiLevelType w:val="hybridMultilevel"/>
    <w:tmpl w:val="6DBC49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CEF3896"/>
    <w:multiLevelType w:val="hybridMultilevel"/>
    <w:tmpl w:val="617C289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E333E02"/>
    <w:multiLevelType w:val="hybridMultilevel"/>
    <w:tmpl w:val="1B944F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50D30664"/>
    <w:multiLevelType w:val="hybridMultilevel"/>
    <w:tmpl w:val="4DCAC25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50DB2E65"/>
    <w:multiLevelType w:val="hybridMultilevel"/>
    <w:tmpl w:val="B3600FE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26A74FB"/>
    <w:multiLevelType w:val="hybridMultilevel"/>
    <w:tmpl w:val="786AEDAC"/>
    <w:lvl w:ilvl="0">
      <w:start w:val="6"/>
      <w:numFmt w:val="decimal"/>
      <w:lvlText w:val="%1."/>
      <w:lvlJc w:val="left"/>
      <w:pPr>
        <w:ind w:left="1800" w:hanging="360"/>
      </w:pPr>
      <w:rPr>
        <w:rFonts w:hint="default"/>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22">
    <w:nsid w:val="55057856"/>
    <w:multiLevelType w:val="hybridMultilevel"/>
    <w:tmpl w:val="2A36C042"/>
    <w:lvl w:ilvl="0">
      <w:start w:val="1"/>
      <w:numFmt w:val="bullet"/>
      <w:lvlText w:val=""/>
      <w:lvlJc w:val="left"/>
      <w:pPr>
        <w:ind w:left="81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44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BC57FB"/>
    <w:multiLevelType w:val="hybridMultilevel"/>
    <w:tmpl w:val="0CE4EE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A280870"/>
    <w:multiLevelType w:val="hybridMultilevel"/>
    <w:tmpl w:val="151049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2BA3641"/>
    <w:multiLevelType w:val="hybridMultilevel"/>
    <w:tmpl w:val="8B1EA4E4"/>
    <w:lvl w:ilvl="0">
      <w:start w:val="1"/>
      <w:numFmt w:val="upp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76724D4"/>
    <w:multiLevelType w:val="hybridMultilevel"/>
    <w:tmpl w:val="A802EF26"/>
    <w:lvl w:ilvl="0">
      <w:start w:val="11"/>
      <w:numFmt w:val="decimal"/>
      <w:lvlText w:val="%1."/>
      <w:lvlJc w:val="left"/>
      <w:pPr>
        <w:ind w:left="1440" w:hanging="360"/>
      </w:pPr>
      <w:rPr>
        <w:rFonts w:eastAsiaTheme="minorHAnsi"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692A378C"/>
    <w:multiLevelType w:val="hybridMultilevel"/>
    <w:tmpl w:val="224E692E"/>
    <w:lvl w:ilvl="0">
      <w:start w:val="4"/>
      <w:numFmt w:val="decimal"/>
      <w:lvlText w:val="%1"/>
      <w:lvlJc w:val="left"/>
      <w:pPr>
        <w:ind w:left="1800" w:hanging="36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6B5438BC"/>
    <w:multiLevelType w:val="hybridMultilevel"/>
    <w:tmpl w:val="CDE2D7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42B57FF"/>
    <w:multiLevelType w:val="hybridMultilevel"/>
    <w:tmpl w:val="681A24F6"/>
    <w:lvl w:ilvl="0">
      <w:start w:val="1"/>
      <w:numFmt w:val="decimal"/>
      <w:lvlText w:val="%1."/>
      <w:lvlJc w:val="left"/>
      <w:pPr>
        <w:ind w:left="171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76C52BEE"/>
    <w:multiLevelType w:val="hybridMultilevel"/>
    <w:tmpl w:val="7E223FE0"/>
    <w:lvl w:ilvl="0">
      <w:start w:val="1"/>
      <w:numFmt w:val="upperLetter"/>
      <w:lvlText w:val="%1."/>
      <w:lvlJc w:val="left"/>
      <w:pPr>
        <w:ind w:left="1610" w:hanging="44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num w:numId="1">
    <w:abstractNumId w:val="5"/>
  </w:num>
  <w:num w:numId="2">
    <w:abstractNumId w:val="12"/>
  </w:num>
  <w:num w:numId="3">
    <w:abstractNumId w:val="21"/>
  </w:num>
  <w:num w:numId="4">
    <w:abstractNumId w:val="7"/>
  </w:num>
  <w:num w:numId="5">
    <w:abstractNumId w:val="24"/>
  </w:num>
  <w:num w:numId="6">
    <w:abstractNumId w:val="30"/>
  </w:num>
  <w:num w:numId="7">
    <w:abstractNumId w:val="27"/>
  </w:num>
  <w:num w:numId="8">
    <w:abstractNumId w:val="29"/>
  </w:num>
  <w:num w:numId="9">
    <w:abstractNumId w:val="9"/>
  </w:num>
  <w:num w:numId="10">
    <w:abstractNumId w:val="10"/>
  </w:num>
  <w:num w:numId="11">
    <w:abstractNumId w:val="3"/>
  </w:num>
  <w:num w:numId="12">
    <w:abstractNumId w:val="2"/>
  </w:num>
  <w:num w:numId="13">
    <w:abstractNumId w:val="26"/>
  </w:num>
  <w:num w:numId="14">
    <w:abstractNumId w:val="13"/>
  </w:num>
  <w:num w:numId="15">
    <w:abstractNumId w:val="25"/>
  </w:num>
  <w:num w:numId="16">
    <w:abstractNumId w:val="17"/>
  </w:num>
  <w:num w:numId="17">
    <w:abstractNumId w:val="19"/>
  </w:num>
  <w:num w:numId="18">
    <w:abstractNumId w:val="6"/>
  </w:num>
  <w:num w:numId="19">
    <w:abstractNumId w:val="22"/>
  </w:num>
  <w:num w:numId="20">
    <w:abstractNumId w:val="16"/>
  </w:num>
  <w:num w:numId="21">
    <w:abstractNumId w:val="23"/>
  </w:num>
  <w:num w:numId="22">
    <w:abstractNumId w:val="0"/>
  </w:num>
  <w:num w:numId="23">
    <w:abstractNumId w:val="14"/>
  </w:num>
  <w:num w:numId="24">
    <w:abstractNumId w:val="15"/>
  </w:num>
  <w:num w:numId="25">
    <w:abstractNumId w:val="18"/>
  </w:num>
  <w:num w:numId="26">
    <w:abstractNumId w:val="11"/>
  </w:num>
  <w:num w:numId="27">
    <w:abstractNumId w:val="1"/>
  </w:num>
  <w:num w:numId="28">
    <w:abstractNumId w:val="4"/>
  </w:num>
  <w:num w:numId="29">
    <w:abstractNumId w:val="20"/>
  </w:num>
  <w:num w:numId="30">
    <w:abstractNumId w:val="28"/>
  </w:num>
  <w:num w:numId="3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044"/>
    <w:rsid w:val="000001F1"/>
    <w:rsid w:val="00001C28"/>
    <w:rsid w:val="00002264"/>
    <w:rsid w:val="000029A2"/>
    <w:rsid w:val="00002A94"/>
    <w:rsid w:val="00003380"/>
    <w:rsid w:val="000035C4"/>
    <w:rsid w:val="0000398E"/>
    <w:rsid w:val="00003BE9"/>
    <w:rsid w:val="000059A5"/>
    <w:rsid w:val="00005F15"/>
    <w:rsid w:val="00006734"/>
    <w:rsid w:val="00010C71"/>
    <w:rsid w:val="00012BB0"/>
    <w:rsid w:val="00012FE2"/>
    <w:rsid w:val="000133DB"/>
    <w:rsid w:val="00013A44"/>
    <w:rsid w:val="00013A5C"/>
    <w:rsid w:val="00014749"/>
    <w:rsid w:val="000149F4"/>
    <w:rsid w:val="00015659"/>
    <w:rsid w:val="0001723E"/>
    <w:rsid w:val="000172A0"/>
    <w:rsid w:val="000178A2"/>
    <w:rsid w:val="00017A00"/>
    <w:rsid w:val="00020CFD"/>
    <w:rsid w:val="00021312"/>
    <w:rsid w:val="00021B9D"/>
    <w:rsid w:val="00023FFB"/>
    <w:rsid w:val="000243BF"/>
    <w:rsid w:val="000264A2"/>
    <w:rsid w:val="000267D5"/>
    <w:rsid w:val="00027241"/>
    <w:rsid w:val="00030948"/>
    <w:rsid w:val="00030D0A"/>
    <w:rsid w:val="000311EF"/>
    <w:rsid w:val="0003268C"/>
    <w:rsid w:val="00034D4F"/>
    <w:rsid w:val="00034FAA"/>
    <w:rsid w:val="0003517C"/>
    <w:rsid w:val="00035D16"/>
    <w:rsid w:val="000363B8"/>
    <w:rsid w:val="00036E57"/>
    <w:rsid w:val="00037415"/>
    <w:rsid w:val="0003775C"/>
    <w:rsid w:val="000379DB"/>
    <w:rsid w:val="00037AEC"/>
    <w:rsid w:val="00037B3D"/>
    <w:rsid w:val="000413EE"/>
    <w:rsid w:val="0004235F"/>
    <w:rsid w:val="000425E4"/>
    <w:rsid w:val="000430A4"/>
    <w:rsid w:val="00043754"/>
    <w:rsid w:val="00044975"/>
    <w:rsid w:val="0004777E"/>
    <w:rsid w:val="000510E5"/>
    <w:rsid w:val="000516B8"/>
    <w:rsid w:val="0005252C"/>
    <w:rsid w:val="0005327D"/>
    <w:rsid w:val="00053FF4"/>
    <w:rsid w:val="00054B6D"/>
    <w:rsid w:val="00056437"/>
    <w:rsid w:val="00056565"/>
    <w:rsid w:val="00057A10"/>
    <w:rsid w:val="00062290"/>
    <w:rsid w:val="00062939"/>
    <w:rsid w:val="0006418D"/>
    <w:rsid w:val="00065CFF"/>
    <w:rsid w:val="000677B7"/>
    <w:rsid w:val="000710A6"/>
    <w:rsid w:val="00071383"/>
    <w:rsid w:val="00071829"/>
    <w:rsid w:val="00072381"/>
    <w:rsid w:val="0007299A"/>
    <w:rsid w:val="00080458"/>
    <w:rsid w:val="0008165C"/>
    <w:rsid w:val="000816F9"/>
    <w:rsid w:val="00083E1F"/>
    <w:rsid w:val="00085141"/>
    <w:rsid w:val="00086D55"/>
    <w:rsid w:val="00087E1E"/>
    <w:rsid w:val="0009211D"/>
    <w:rsid w:val="000923BD"/>
    <w:rsid w:val="00092ADB"/>
    <w:rsid w:val="00093A54"/>
    <w:rsid w:val="0009416F"/>
    <w:rsid w:val="00095D47"/>
    <w:rsid w:val="00096574"/>
    <w:rsid w:val="00096B4F"/>
    <w:rsid w:val="000A0C7F"/>
    <w:rsid w:val="000A27E9"/>
    <w:rsid w:val="000A3790"/>
    <w:rsid w:val="000A38A5"/>
    <w:rsid w:val="000A46A0"/>
    <w:rsid w:val="000A483B"/>
    <w:rsid w:val="000A4C4C"/>
    <w:rsid w:val="000A546E"/>
    <w:rsid w:val="000A6FE0"/>
    <w:rsid w:val="000A72F9"/>
    <w:rsid w:val="000B185F"/>
    <w:rsid w:val="000B1E2D"/>
    <w:rsid w:val="000B2048"/>
    <w:rsid w:val="000B22A1"/>
    <w:rsid w:val="000B3D50"/>
    <w:rsid w:val="000B5056"/>
    <w:rsid w:val="000B5B67"/>
    <w:rsid w:val="000B5DB7"/>
    <w:rsid w:val="000B67FB"/>
    <w:rsid w:val="000C1C45"/>
    <w:rsid w:val="000C1C70"/>
    <w:rsid w:val="000C1F3F"/>
    <w:rsid w:val="000C2BA3"/>
    <w:rsid w:val="000C3AC1"/>
    <w:rsid w:val="000C441A"/>
    <w:rsid w:val="000C572D"/>
    <w:rsid w:val="000C5BD6"/>
    <w:rsid w:val="000C71F4"/>
    <w:rsid w:val="000C73D1"/>
    <w:rsid w:val="000D258E"/>
    <w:rsid w:val="000D4058"/>
    <w:rsid w:val="000D4813"/>
    <w:rsid w:val="000D5731"/>
    <w:rsid w:val="000E0D98"/>
    <w:rsid w:val="000E6AC0"/>
    <w:rsid w:val="000E6DE7"/>
    <w:rsid w:val="000F1537"/>
    <w:rsid w:val="000F1B92"/>
    <w:rsid w:val="000F28B1"/>
    <w:rsid w:val="000F2992"/>
    <w:rsid w:val="000F2D24"/>
    <w:rsid w:val="000F310E"/>
    <w:rsid w:val="000F341F"/>
    <w:rsid w:val="000F3795"/>
    <w:rsid w:val="000F3C65"/>
    <w:rsid w:val="000F5BBD"/>
    <w:rsid w:val="000F633D"/>
    <w:rsid w:val="00100986"/>
    <w:rsid w:val="00101228"/>
    <w:rsid w:val="0010181F"/>
    <w:rsid w:val="00101E9A"/>
    <w:rsid w:val="00103F9E"/>
    <w:rsid w:val="00104894"/>
    <w:rsid w:val="00104F2D"/>
    <w:rsid w:val="00105590"/>
    <w:rsid w:val="00106D98"/>
    <w:rsid w:val="00107167"/>
    <w:rsid w:val="0011080A"/>
    <w:rsid w:val="001126EA"/>
    <w:rsid w:val="00113303"/>
    <w:rsid w:val="00113775"/>
    <w:rsid w:val="001137DB"/>
    <w:rsid w:val="00114EFF"/>
    <w:rsid w:val="0011709B"/>
    <w:rsid w:val="00117DC7"/>
    <w:rsid w:val="0012060F"/>
    <w:rsid w:val="00120AE8"/>
    <w:rsid w:val="00122653"/>
    <w:rsid w:val="0012270A"/>
    <w:rsid w:val="00125261"/>
    <w:rsid w:val="00127899"/>
    <w:rsid w:val="0013064C"/>
    <w:rsid w:val="00130A78"/>
    <w:rsid w:val="00130D65"/>
    <w:rsid w:val="00130F38"/>
    <w:rsid w:val="00131857"/>
    <w:rsid w:val="00132B9F"/>
    <w:rsid w:val="00132C09"/>
    <w:rsid w:val="00133067"/>
    <w:rsid w:val="0013330E"/>
    <w:rsid w:val="0013607A"/>
    <w:rsid w:val="00136359"/>
    <w:rsid w:val="001371CB"/>
    <w:rsid w:val="00137FDD"/>
    <w:rsid w:val="00140586"/>
    <w:rsid w:val="0014151F"/>
    <w:rsid w:val="00141772"/>
    <w:rsid w:val="00142FAA"/>
    <w:rsid w:val="00143074"/>
    <w:rsid w:val="00146FB0"/>
    <w:rsid w:val="001502CC"/>
    <w:rsid w:val="0015074C"/>
    <w:rsid w:val="00151955"/>
    <w:rsid w:val="00153065"/>
    <w:rsid w:val="00153869"/>
    <w:rsid w:val="00153AB2"/>
    <w:rsid w:val="00154F84"/>
    <w:rsid w:val="00155299"/>
    <w:rsid w:val="00155914"/>
    <w:rsid w:val="0015642B"/>
    <w:rsid w:val="00156874"/>
    <w:rsid w:val="001601F5"/>
    <w:rsid w:val="00160B8B"/>
    <w:rsid w:val="00162321"/>
    <w:rsid w:val="00163159"/>
    <w:rsid w:val="001647E8"/>
    <w:rsid w:val="00165997"/>
    <w:rsid w:val="00165A59"/>
    <w:rsid w:val="0016705A"/>
    <w:rsid w:val="00170820"/>
    <w:rsid w:val="00172D0E"/>
    <w:rsid w:val="00174609"/>
    <w:rsid w:val="0017578C"/>
    <w:rsid w:val="00175A1D"/>
    <w:rsid w:val="001769B2"/>
    <w:rsid w:val="0017709A"/>
    <w:rsid w:val="001771F7"/>
    <w:rsid w:val="00177821"/>
    <w:rsid w:val="00180325"/>
    <w:rsid w:val="00183AC7"/>
    <w:rsid w:val="00184353"/>
    <w:rsid w:val="001860BB"/>
    <w:rsid w:val="00190ED3"/>
    <w:rsid w:val="001913A3"/>
    <w:rsid w:val="001918D1"/>
    <w:rsid w:val="0019335F"/>
    <w:rsid w:val="00193A4D"/>
    <w:rsid w:val="00194E48"/>
    <w:rsid w:val="0019538D"/>
    <w:rsid w:val="00195859"/>
    <w:rsid w:val="0019648B"/>
    <w:rsid w:val="00197483"/>
    <w:rsid w:val="001A043E"/>
    <w:rsid w:val="001A0CD2"/>
    <w:rsid w:val="001A0E31"/>
    <w:rsid w:val="001A189A"/>
    <w:rsid w:val="001A1B57"/>
    <w:rsid w:val="001A314C"/>
    <w:rsid w:val="001A3C37"/>
    <w:rsid w:val="001A417C"/>
    <w:rsid w:val="001A42E8"/>
    <w:rsid w:val="001A45CC"/>
    <w:rsid w:val="001A4698"/>
    <w:rsid w:val="001A7237"/>
    <w:rsid w:val="001B0832"/>
    <w:rsid w:val="001B0EB8"/>
    <w:rsid w:val="001B1A25"/>
    <w:rsid w:val="001B286E"/>
    <w:rsid w:val="001B3A89"/>
    <w:rsid w:val="001B43E7"/>
    <w:rsid w:val="001B58CF"/>
    <w:rsid w:val="001B6E61"/>
    <w:rsid w:val="001C1055"/>
    <w:rsid w:val="001C22FA"/>
    <w:rsid w:val="001C262E"/>
    <w:rsid w:val="001C3E47"/>
    <w:rsid w:val="001C57A8"/>
    <w:rsid w:val="001C648B"/>
    <w:rsid w:val="001C699D"/>
    <w:rsid w:val="001C72FD"/>
    <w:rsid w:val="001D1FD9"/>
    <w:rsid w:val="001D1FF6"/>
    <w:rsid w:val="001D7AF8"/>
    <w:rsid w:val="001E020B"/>
    <w:rsid w:val="001E2C12"/>
    <w:rsid w:val="001E3B8D"/>
    <w:rsid w:val="001E402F"/>
    <w:rsid w:val="001E6992"/>
    <w:rsid w:val="001E7830"/>
    <w:rsid w:val="001E78F2"/>
    <w:rsid w:val="001F06DE"/>
    <w:rsid w:val="001F107E"/>
    <w:rsid w:val="001F1C8B"/>
    <w:rsid w:val="001F31ED"/>
    <w:rsid w:val="001F4D50"/>
    <w:rsid w:val="001F5E35"/>
    <w:rsid w:val="001F603E"/>
    <w:rsid w:val="001F6315"/>
    <w:rsid w:val="002003FF"/>
    <w:rsid w:val="00201032"/>
    <w:rsid w:val="002028AB"/>
    <w:rsid w:val="0020499A"/>
    <w:rsid w:val="00204B7E"/>
    <w:rsid w:val="002057B1"/>
    <w:rsid w:val="00205AA6"/>
    <w:rsid w:val="00207247"/>
    <w:rsid w:val="00207DAB"/>
    <w:rsid w:val="00211508"/>
    <w:rsid w:val="00211A64"/>
    <w:rsid w:val="00211E41"/>
    <w:rsid w:val="00213925"/>
    <w:rsid w:val="00216C2D"/>
    <w:rsid w:val="00217035"/>
    <w:rsid w:val="00217239"/>
    <w:rsid w:val="0022000B"/>
    <w:rsid w:val="00221A62"/>
    <w:rsid w:val="00221A94"/>
    <w:rsid w:val="00224D48"/>
    <w:rsid w:val="0022758A"/>
    <w:rsid w:val="00232B0C"/>
    <w:rsid w:val="00242B2E"/>
    <w:rsid w:val="0024444B"/>
    <w:rsid w:val="00245565"/>
    <w:rsid w:val="00247115"/>
    <w:rsid w:val="002501DE"/>
    <w:rsid w:val="0025023B"/>
    <w:rsid w:val="00250260"/>
    <w:rsid w:val="00251160"/>
    <w:rsid w:val="00252514"/>
    <w:rsid w:val="00253764"/>
    <w:rsid w:val="0025376D"/>
    <w:rsid w:val="002546AF"/>
    <w:rsid w:val="00260E0D"/>
    <w:rsid w:val="00261D71"/>
    <w:rsid w:val="002620BA"/>
    <w:rsid w:val="002624EC"/>
    <w:rsid w:val="00263BDB"/>
    <w:rsid w:val="002652FE"/>
    <w:rsid w:val="002654E3"/>
    <w:rsid w:val="00266199"/>
    <w:rsid w:val="0026633B"/>
    <w:rsid w:val="00266352"/>
    <w:rsid w:val="002666BB"/>
    <w:rsid w:val="0026738E"/>
    <w:rsid w:val="00271490"/>
    <w:rsid w:val="00272299"/>
    <w:rsid w:val="00273163"/>
    <w:rsid w:val="00275710"/>
    <w:rsid w:val="00277C23"/>
    <w:rsid w:val="0028071B"/>
    <w:rsid w:val="00282F49"/>
    <w:rsid w:val="00286E25"/>
    <w:rsid w:val="00287765"/>
    <w:rsid w:val="0029028D"/>
    <w:rsid w:val="00291222"/>
    <w:rsid w:val="002931AE"/>
    <w:rsid w:val="00293EB6"/>
    <w:rsid w:val="00295C2B"/>
    <w:rsid w:val="002975EA"/>
    <w:rsid w:val="002A1592"/>
    <w:rsid w:val="002A3256"/>
    <w:rsid w:val="002A325E"/>
    <w:rsid w:val="002A3565"/>
    <w:rsid w:val="002A3DD9"/>
    <w:rsid w:val="002A4674"/>
    <w:rsid w:val="002B0887"/>
    <w:rsid w:val="002B183B"/>
    <w:rsid w:val="002B3419"/>
    <w:rsid w:val="002B49F1"/>
    <w:rsid w:val="002B6439"/>
    <w:rsid w:val="002B6D3E"/>
    <w:rsid w:val="002B76EC"/>
    <w:rsid w:val="002C0605"/>
    <w:rsid w:val="002C0A53"/>
    <w:rsid w:val="002C1AE1"/>
    <w:rsid w:val="002C2196"/>
    <w:rsid w:val="002C29DA"/>
    <w:rsid w:val="002C68F7"/>
    <w:rsid w:val="002C77CC"/>
    <w:rsid w:val="002C7F09"/>
    <w:rsid w:val="002D0163"/>
    <w:rsid w:val="002D0E34"/>
    <w:rsid w:val="002D1A3E"/>
    <w:rsid w:val="002D2E3B"/>
    <w:rsid w:val="002D4304"/>
    <w:rsid w:val="002D4833"/>
    <w:rsid w:val="002D6B2C"/>
    <w:rsid w:val="002D7C79"/>
    <w:rsid w:val="002E0C24"/>
    <w:rsid w:val="002E0C26"/>
    <w:rsid w:val="002E0EE8"/>
    <w:rsid w:val="002E1899"/>
    <w:rsid w:val="002E2237"/>
    <w:rsid w:val="002E2756"/>
    <w:rsid w:val="002E46DE"/>
    <w:rsid w:val="002E48B7"/>
    <w:rsid w:val="002E49C0"/>
    <w:rsid w:val="002E4AB2"/>
    <w:rsid w:val="002E58D0"/>
    <w:rsid w:val="002E5AAB"/>
    <w:rsid w:val="002E685E"/>
    <w:rsid w:val="002E6F74"/>
    <w:rsid w:val="002E7F24"/>
    <w:rsid w:val="002F1E01"/>
    <w:rsid w:val="002F223E"/>
    <w:rsid w:val="002F48DC"/>
    <w:rsid w:val="002F4CE6"/>
    <w:rsid w:val="002F515A"/>
    <w:rsid w:val="002F5A3E"/>
    <w:rsid w:val="002F5EC5"/>
    <w:rsid w:val="002F64AB"/>
    <w:rsid w:val="002F72AB"/>
    <w:rsid w:val="002F7AE2"/>
    <w:rsid w:val="003016EF"/>
    <w:rsid w:val="003025AA"/>
    <w:rsid w:val="00302D8E"/>
    <w:rsid w:val="003047D2"/>
    <w:rsid w:val="00304A18"/>
    <w:rsid w:val="00304CCA"/>
    <w:rsid w:val="00305868"/>
    <w:rsid w:val="003064CA"/>
    <w:rsid w:val="003065B8"/>
    <w:rsid w:val="0030724D"/>
    <w:rsid w:val="00307778"/>
    <w:rsid w:val="00310D2C"/>
    <w:rsid w:val="00311540"/>
    <w:rsid w:val="00311F1E"/>
    <w:rsid w:val="00313478"/>
    <w:rsid w:val="003147CC"/>
    <w:rsid w:val="00315BC0"/>
    <w:rsid w:val="00321178"/>
    <w:rsid w:val="0032167C"/>
    <w:rsid w:val="0032483B"/>
    <w:rsid w:val="00324AB0"/>
    <w:rsid w:val="00324C02"/>
    <w:rsid w:val="00325235"/>
    <w:rsid w:val="00325E4E"/>
    <w:rsid w:val="00327419"/>
    <w:rsid w:val="00330DAA"/>
    <w:rsid w:val="0033481F"/>
    <w:rsid w:val="00334FA3"/>
    <w:rsid w:val="00335BEE"/>
    <w:rsid w:val="00335C83"/>
    <w:rsid w:val="00336D01"/>
    <w:rsid w:val="003370EE"/>
    <w:rsid w:val="00337DBC"/>
    <w:rsid w:val="00337F38"/>
    <w:rsid w:val="003403F6"/>
    <w:rsid w:val="0034210B"/>
    <w:rsid w:val="0034294C"/>
    <w:rsid w:val="00342A12"/>
    <w:rsid w:val="00344819"/>
    <w:rsid w:val="00346702"/>
    <w:rsid w:val="0034692C"/>
    <w:rsid w:val="0035020F"/>
    <w:rsid w:val="00350DC3"/>
    <w:rsid w:val="003512D9"/>
    <w:rsid w:val="003531A5"/>
    <w:rsid w:val="00353BA1"/>
    <w:rsid w:val="00355932"/>
    <w:rsid w:val="003571CF"/>
    <w:rsid w:val="00357B88"/>
    <w:rsid w:val="00362480"/>
    <w:rsid w:val="0036645A"/>
    <w:rsid w:val="0037143D"/>
    <w:rsid w:val="00371C3D"/>
    <w:rsid w:val="003735BB"/>
    <w:rsid w:val="00373B3E"/>
    <w:rsid w:val="00373E6E"/>
    <w:rsid w:val="003743BD"/>
    <w:rsid w:val="0037452A"/>
    <w:rsid w:val="003763FF"/>
    <w:rsid w:val="003804E0"/>
    <w:rsid w:val="003805DA"/>
    <w:rsid w:val="003833B6"/>
    <w:rsid w:val="00384BB7"/>
    <w:rsid w:val="00384D20"/>
    <w:rsid w:val="003851AD"/>
    <w:rsid w:val="00385FB5"/>
    <w:rsid w:val="003863B8"/>
    <w:rsid w:val="00386727"/>
    <w:rsid w:val="00386776"/>
    <w:rsid w:val="003922C8"/>
    <w:rsid w:val="003934F5"/>
    <w:rsid w:val="00394E20"/>
    <w:rsid w:val="00395724"/>
    <w:rsid w:val="003A04C5"/>
    <w:rsid w:val="003A0861"/>
    <w:rsid w:val="003A1A5A"/>
    <w:rsid w:val="003A4819"/>
    <w:rsid w:val="003A4F28"/>
    <w:rsid w:val="003A546C"/>
    <w:rsid w:val="003A5C1F"/>
    <w:rsid w:val="003A6F8A"/>
    <w:rsid w:val="003A6FF8"/>
    <w:rsid w:val="003A7A9C"/>
    <w:rsid w:val="003B02D5"/>
    <w:rsid w:val="003B1B07"/>
    <w:rsid w:val="003B1DED"/>
    <w:rsid w:val="003B215C"/>
    <w:rsid w:val="003B2407"/>
    <w:rsid w:val="003B3213"/>
    <w:rsid w:val="003B33A4"/>
    <w:rsid w:val="003B4556"/>
    <w:rsid w:val="003B6002"/>
    <w:rsid w:val="003C129B"/>
    <w:rsid w:val="003C1927"/>
    <w:rsid w:val="003C1A6E"/>
    <w:rsid w:val="003C431C"/>
    <w:rsid w:val="003C4762"/>
    <w:rsid w:val="003C5464"/>
    <w:rsid w:val="003C54A1"/>
    <w:rsid w:val="003C7C71"/>
    <w:rsid w:val="003D012E"/>
    <w:rsid w:val="003D0818"/>
    <w:rsid w:val="003D1311"/>
    <w:rsid w:val="003D2B00"/>
    <w:rsid w:val="003D35B9"/>
    <w:rsid w:val="003D5747"/>
    <w:rsid w:val="003D7AE8"/>
    <w:rsid w:val="003E147C"/>
    <w:rsid w:val="003E1766"/>
    <w:rsid w:val="003E2063"/>
    <w:rsid w:val="003E5150"/>
    <w:rsid w:val="003E58F6"/>
    <w:rsid w:val="003E5943"/>
    <w:rsid w:val="003E63CD"/>
    <w:rsid w:val="003E7D64"/>
    <w:rsid w:val="003F1C05"/>
    <w:rsid w:val="003F4068"/>
    <w:rsid w:val="003F410D"/>
    <w:rsid w:val="003F44A2"/>
    <w:rsid w:val="003F44AF"/>
    <w:rsid w:val="003F4715"/>
    <w:rsid w:val="003F6E11"/>
    <w:rsid w:val="00401176"/>
    <w:rsid w:val="004015D1"/>
    <w:rsid w:val="00402DDB"/>
    <w:rsid w:val="0040485B"/>
    <w:rsid w:val="00404FB2"/>
    <w:rsid w:val="0040622F"/>
    <w:rsid w:val="00407323"/>
    <w:rsid w:val="004110C9"/>
    <w:rsid w:val="0041181D"/>
    <w:rsid w:val="00413096"/>
    <w:rsid w:val="00413D31"/>
    <w:rsid w:val="0041465E"/>
    <w:rsid w:val="0041529D"/>
    <w:rsid w:val="00415533"/>
    <w:rsid w:val="00421609"/>
    <w:rsid w:val="00421700"/>
    <w:rsid w:val="00423A87"/>
    <w:rsid w:val="0042524E"/>
    <w:rsid w:val="00430530"/>
    <w:rsid w:val="00430D27"/>
    <w:rsid w:val="00431C55"/>
    <w:rsid w:val="00432299"/>
    <w:rsid w:val="00433338"/>
    <w:rsid w:val="00433AD9"/>
    <w:rsid w:val="00434F3E"/>
    <w:rsid w:val="0043603C"/>
    <w:rsid w:val="0044004C"/>
    <w:rsid w:val="004405D6"/>
    <w:rsid w:val="00440A61"/>
    <w:rsid w:val="00442361"/>
    <w:rsid w:val="00444A90"/>
    <w:rsid w:val="00445294"/>
    <w:rsid w:val="004462F1"/>
    <w:rsid w:val="0044689F"/>
    <w:rsid w:val="00450E91"/>
    <w:rsid w:val="00452001"/>
    <w:rsid w:val="004521E3"/>
    <w:rsid w:val="004536C7"/>
    <w:rsid w:val="00454F32"/>
    <w:rsid w:val="00456555"/>
    <w:rsid w:val="00457DEF"/>
    <w:rsid w:val="00461DEB"/>
    <w:rsid w:val="004627E3"/>
    <w:rsid w:val="00463203"/>
    <w:rsid w:val="00463286"/>
    <w:rsid w:val="0046334A"/>
    <w:rsid w:val="00463E71"/>
    <w:rsid w:val="00464C7C"/>
    <w:rsid w:val="00466566"/>
    <w:rsid w:val="00466701"/>
    <w:rsid w:val="0047059F"/>
    <w:rsid w:val="0047074C"/>
    <w:rsid w:val="00471D82"/>
    <w:rsid w:val="00475AF6"/>
    <w:rsid w:val="0047609E"/>
    <w:rsid w:val="00476857"/>
    <w:rsid w:val="00476AB8"/>
    <w:rsid w:val="00476C76"/>
    <w:rsid w:val="00476D87"/>
    <w:rsid w:val="0047762C"/>
    <w:rsid w:val="00480476"/>
    <w:rsid w:val="004819BD"/>
    <w:rsid w:val="0048292F"/>
    <w:rsid w:val="00482E9F"/>
    <w:rsid w:val="00483779"/>
    <w:rsid w:val="00483CD1"/>
    <w:rsid w:val="00484376"/>
    <w:rsid w:val="0048489F"/>
    <w:rsid w:val="004853D9"/>
    <w:rsid w:val="00485F3A"/>
    <w:rsid w:val="004862A5"/>
    <w:rsid w:val="00486ABA"/>
    <w:rsid w:val="00487A7B"/>
    <w:rsid w:val="004918EE"/>
    <w:rsid w:val="004935AA"/>
    <w:rsid w:val="0049385C"/>
    <w:rsid w:val="00493911"/>
    <w:rsid w:val="00493A4F"/>
    <w:rsid w:val="004A178A"/>
    <w:rsid w:val="004A178B"/>
    <w:rsid w:val="004A284C"/>
    <w:rsid w:val="004A4E5C"/>
    <w:rsid w:val="004A6E34"/>
    <w:rsid w:val="004A7535"/>
    <w:rsid w:val="004A7D34"/>
    <w:rsid w:val="004B0C6E"/>
    <w:rsid w:val="004B0EC4"/>
    <w:rsid w:val="004B28A1"/>
    <w:rsid w:val="004B3B95"/>
    <w:rsid w:val="004B4671"/>
    <w:rsid w:val="004B5653"/>
    <w:rsid w:val="004B57FC"/>
    <w:rsid w:val="004B7883"/>
    <w:rsid w:val="004C06FF"/>
    <w:rsid w:val="004C1146"/>
    <w:rsid w:val="004C1B6F"/>
    <w:rsid w:val="004C337C"/>
    <w:rsid w:val="004C3761"/>
    <w:rsid w:val="004C4C05"/>
    <w:rsid w:val="004C4DAE"/>
    <w:rsid w:val="004C54A6"/>
    <w:rsid w:val="004C5777"/>
    <w:rsid w:val="004C5BCA"/>
    <w:rsid w:val="004C6AB7"/>
    <w:rsid w:val="004C6B03"/>
    <w:rsid w:val="004C7168"/>
    <w:rsid w:val="004C731B"/>
    <w:rsid w:val="004D0EED"/>
    <w:rsid w:val="004D0F17"/>
    <w:rsid w:val="004D2987"/>
    <w:rsid w:val="004D41CA"/>
    <w:rsid w:val="004D4EB5"/>
    <w:rsid w:val="004E01EE"/>
    <w:rsid w:val="004E05C3"/>
    <w:rsid w:val="004E2023"/>
    <w:rsid w:val="004E3506"/>
    <w:rsid w:val="004E4283"/>
    <w:rsid w:val="004E4FF0"/>
    <w:rsid w:val="004E55DD"/>
    <w:rsid w:val="004E5676"/>
    <w:rsid w:val="004E56C6"/>
    <w:rsid w:val="004E6D9D"/>
    <w:rsid w:val="004E7A75"/>
    <w:rsid w:val="004E7D65"/>
    <w:rsid w:val="004F067F"/>
    <w:rsid w:val="004F0DB1"/>
    <w:rsid w:val="004F4D39"/>
    <w:rsid w:val="004F68DE"/>
    <w:rsid w:val="005004B6"/>
    <w:rsid w:val="00501FE8"/>
    <w:rsid w:val="0050269E"/>
    <w:rsid w:val="00506949"/>
    <w:rsid w:val="00506F50"/>
    <w:rsid w:val="00507E45"/>
    <w:rsid w:val="0051050E"/>
    <w:rsid w:val="005114A6"/>
    <w:rsid w:val="00511876"/>
    <w:rsid w:val="00512A1A"/>
    <w:rsid w:val="00512E75"/>
    <w:rsid w:val="005137BF"/>
    <w:rsid w:val="0051412F"/>
    <w:rsid w:val="005147ED"/>
    <w:rsid w:val="00515C0A"/>
    <w:rsid w:val="005167E7"/>
    <w:rsid w:val="005171F4"/>
    <w:rsid w:val="00517F8B"/>
    <w:rsid w:val="0052126A"/>
    <w:rsid w:val="00521A4E"/>
    <w:rsid w:val="00521AF7"/>
    <w:rsid w:val="00523451"/>
    <w:rsid w:val="00524BBE"/>
    <w:rsid w:val="005259E6"/>
    <w:rsid w:val="00526B35"/>
    <w:rsid w:val="00526F7E"/>
    <w:rsid w:val="005272B8"/>
    <w:rsid w:val="00527380"/>
    <w:rsid w:val="00527C86"/>
    <w:rsid w:val="0053022E"/>
    <w:rsid w:val="005319E4"/>
    <w:rsid w:val="00533B8B"/>
    <w:rsid w:val="00534560"/>
    <w:rsid w:val="0053535B"/>
    <w:rsid w:val="0053537B"/>
    <w:rsid w:val="00537258"/>
    <w:rsid w:val="005403BA"/>
    <w:rsid w:val="005419B9"/>
    <w:rsid w:val="0054214C"/>
    <w:rsid w:val="00543A34"/>
    <w:rsid w:val="0054473D"/>
    <w:rsid w:val="005454D3"/>
    <w:rsid w:val="00545B5C"/>
    <w:rsid w:val="00545F13"/>
    <w:rsid w:val="005500BB"/>
    <w:rsid w:val="005504A6"/>
    <w:rsid w:val="00550F8A"/>
    <w:rsid w:val="00553172"/>
    <w:rsid w:val="0055330E"/>
    <w:rsid w:val="00555AB1"/>
    <w:rsid w:val="00556BA8"/>
    <w:rsid w:val="005575F8"/>
    <w:rsid w:val="00562770"/>
    <w:rsid w:val="00565C4F"/>
    <w:rsid w:val="0056722E"/>
    <w:rsid w:val="00567890"/>
    <w:rsid w:val="00570FDE"/>
    <w:rsid w:val="0057188E"/>
    <w:rsid w:val="00571C83"/>
    <w:rsid w:val="005726BC"/>
    <w:rsid w:val="00572CA2"/>
    <w:rsid w:val="00575CF9"/>
    <w:rsid w:val="00576246"/>
    <w:rsid w:val="00576CCB"/>
    <w:rsid w:val="005777D0"/>
    <w:rsid w:val="005820F1"/>
    <w:rsid w:val="00582E38"/>
    <w:rsid w:val="00586F34"/>
    <w:rsid w:val="00586F8D"/>
    <w:rsid w:val="00590DDA"/>
    <w:rsid w:val="00591DEA"/>
    <w:rsid w:val="00591E3D"/>
    <w:rsid w:val="0059428A"/>
    <w:rsid w:val="00595EC8"/>
    <w:rsid w:val="005A2785"/>
    <w:rsid w:val="005A329C"/>
    <w:rsid w:val="005A40A3"/>
    <w:rsid w:val="005A53DD"/>
    <w:rsid w:val="005A6C19"/>
    <w:rsid w:val="005B20E3"/>
    <w:rsid w:val="005B2F06"/>
    <w:rsid w:val="005B3113"/>
    <w:rsid w:val="005B355B"/>
    <w:rsid w:val="005B4B87"/>
    <w:rsid w:val="005B5942"/>
    <w:rsid w:val="005B5D06"/>
    <w:rsid w:val="005B5F08"/>
    <w:rsid w:val="005C0220"/>
    <w:rsid w:val="005C3003"/>
    <w:rsid w:val="005C58E8"/>
    <w:rsid w:val="005C65DE"/>
    <w:rsid w:val="005C6617"/>
    <w:rsid w:val="005C6D20"/>
    <w:rsid w:val="005C7371"/>
    <w:rsid w:val="005C794E"/>
    <w:rsid w:val="005D084F"/>
    <w:rsid w:val="005D2801"/>
    <w:rsid w:val="005D4549"/>
    <w:rsid w:val="005D4E29"/>
    <w:rsid w:val="005D6284"/>
    <w:rsid w:val="005E0264"/>
    <w:rsid w:val="005E1810"/>
    <w:rsid w:val="005E19E4"/>
    <w:rsid w:val="005E1FAF"/>
    <w:rsid w:val="005E2762"/>
    <w:rsid w:val="005E29E2"/>
    <w:rsid w:val="005E6344"/>
    <w:rsid w:val="005E68C4"/>
    <w:rsid w:val="005E7D73"/>
    <w:rsid w:val="005F1251"/>
    <w:rsid w:val="005F29FE"/>
    <w:rsid w:val="005F7027"/>
    <w:rsid w:val="005F74ED"/>
    <w:rsid w:val="00600CFE"/>
    <w:rsid w:val="0060207D"/>
    <w:rsid w:val="006025C5"/>
    <w:rsid w:val="006044B7"/>
    <w:rsid w:val="00606C02"/>
    <w:rsid w:val="00606C2D"/>
    <w:rsid w:val="006070F4"/>
    <w:rsid w:val="0060727D"/>
    <w:rsid w:val="00613C46"/>
    <w:rsid w:val="00616182"/>
    <w:rsid w:val="00616CCC"/>
    <w:rsid w:val="00617FB8"/>
    <w:rsid w:val="00620C2E"/>
    <w:rsid w:val="00621CBF"/>
    <w:rsid w:val="00624021"/>
    <w:rsid w:val="00624C6C"/>
    <w:rsid w:val="006270B8"/>
    <w:rsid w:val="00630DDD"/>
    <w:rsid w:val="00631510"/>
    <w:rsid w:val="00633B85"/>
    <w:rsid w:val="0063456F"/>
    <w:rsid w:val="0063667C"/>
    <w:rsid w:val="00637296"/>
    <w:rsid w:val="006412D5"/>
    <w:rsid w:val="0064320A"/>
    <w:rsid w:val="00652743"/>
    <w:rsid w:val="006538D3"/>
    <w:rsid w:val="00654E05"/>
    <w:rsid w:val="006567E6"/>
    <w:rsid w:val="00657082"/>
    <w:rsid w:val="0065777F"/>
    <w:rsid w:val="00663997"/>
    <w:rsid w:val="00664BE3"/>
    <w:rsid w:val="00664E27"/>
    <w:rsid w:val="006666FE"/>
    <w:rsid w:val="006667AB"/>
    <w:rsid w:val="00666EF2"/>
    <w:rsid w:val="0066728E"/>
    <w:rsid w:val="00670EAC"/>
    <w:rsid w:val="006715D6"/>
    <w:rsid w:val="006717E8"/>
    <w:rsid w:val="00671EE8"/>
    <w:rsid w:val="00672449"/>
    <w:rsid w:val="00674034"/>
    <w:rsid w:val="0067467A"/>
    <w:rsid w:val="0067703A"/>
    <w:rsid w:val="00680302"/>
    <w:rsid w:val="0068030D"/>
    <w:rsid w:val="00680652"/>
    <w:rsid w:val="0068190F"/>
    <w:rsid w:val="00682599"/>
    <w:rsid w:val="00682BA9"/>
    <w:rsid w:val="00684ACE"/>
    <w:rsid w:val="00684B8A"/>
    <w:rsid w:val="00684BDA"/>
    <w:rsid w:val="00684D26"/>
    <w:rsid w:val="006856D6"/>
    <w:rsid w:val="00686601"/>
    <w:rsid w:val="00686669"/>
    <w:rsid w:val="00686B35"/>
    <w:rsid w:val="00686D5F"/>
    <w:rsid w:val="00687BE5"/>
    <w:rsid w:val="00690453"/>
    <w:rsid w:val="00691E0A"/>
    <w:rsid w:val="00692A35"/>
    <w:rsid w:val="00692F2D"/>
    <w:rsid w:val="006933A3"/>
    <w:rsid w:val="00697113"/>
    <w:rsid w:val="00697E9F"/>
    <w:rsid w:val="006A0735"/>
    <w:rsid w:val="006A1AC5"/>
    <w:rsid w:val="006A24F1"/>
    <w:rsid w:val="006A2AF2"/>
    <w:rsid w:val="006A3860"/>
    <w:rsid w:val="006A6B92"/>
    <w:rsid w:val="006B08C8"/>
    <w:rsid w:val="006B0D9B"/>
    <w:rsid w:val="006B195B"/>
    <w:rsid w:val="006B3D9C"/>
    <w:rsid w:val="006B49CE"/>
    <w:rsid w:val="006B67F4"/>
    <w:rsid w:val="006B6A39"/>
    <w:rsid w:val="006B7F03"/>
    <w:rsid w:val="006C003E"/>
    <w:rsid w:val="006C03BB"/>
    <w:rsid w:val="006C0743"/>
    <w:rsid w:val="006C1B7A"/>
    <w:rsid w:val="006C3545"/>
    <w:rsid w:val="006C50BC"/>
    <w:rsid w:val="006C53D3"/>
    <w:rsid w:val="006C7606"/>
    <w:rsid w:val="006C775D"/>
    <w:rsid w:val="006D145D"/>
    <w:rsid w:val="006D16EA"/>
    <w:rsid w:val="006D1A27"/>
    <w:rsid w:val="006D1BC6"/>
    <w:rsid w:val="006D2B90"/>
    <w:rsid w:val="006D4D12"/>
    <w:rsid w:val="006D5FBB"/>
    <w:rsid w:val="006D6A33"/>
    <w:rsid w:val="006E03ED"/>
    <w:rsid w:val="006E0D44"/>
    <w:rsid w:val="006E21FD"/>
    <w:rsid w:val="006E34B4"/>
    <w:rsid w:val="006E4163"/>
    <w:rsid w:val="006E5AD3"/>
    <w:rsid w:val="006E6099"/>
    <w:rsid w:val="006E73C2"/>
    <w:rsid w:val="006F0249"/>
    <w:rsid w:val="006F0583"/>
    <w:rsid w:val="006F1126"/>
    <w:rsid w:val="006F2A1F"/>
    <w:rsid w:val="006F3D56"/>
    <w:rsid w:val="006F5519"/>
    <w:rsid w:val="006F58D1"/>
    <w:rsid w:val="006F5FE1"/>
    <w:rsid w:val="0070084D"/>
    <w:rsid w:val="00700A3F"/>
    <w:rsid w:val="0070319C"/>
    <w:rsid w:val="007042A2"/>
    <w:rsid w:val="00704BC6"/>
    <w:rsid w:val="007051A8"/>
    <w:rsid w:val="00705919"/>
    <w:rsid w:val="00706F28"/>
    <w:rsid w:val="00711F60"/>
    <w:rsid w:val="0071206B"/>
    <w:rsid w:val="007126E3"/>
    <w:rsid w:val="0071305B"/>
    <w:rsid w:val="0071328F"/>
    <w:rsid w:val="00713F8B"/>
    <w:rsid w:val="007141DB"/>
    <w:rsid w:val="0071562B"/>
    <w:rsid w:val="007157E6"/>
    <w:rsid w:val="00717675"/>
    <w:rsid w:val="007201A4"/>
    <w:rsid w:val="00721000"/>
    <w:rsid w:val="007240C8"/>
    <w:rsid w:val="00725CE8"/>
    <w:rsid w:val="00726F6E"/>
    <w:rsid w:val="0073083E"/>
    <w:rsid w:val="007310D4"/>
    <w:rsid w:val="0073154F"/>
    <w:rsid w:val="0073451D"/>
    <w:rsid w:val="007349FC"/>
    <w:rsid w:val="007358DC"/>
    <w:rsid w:val="00736CF3"/>
    <w:rsid w:val="00737511"/>
    <w:rsid w:val="00737D97"/>
    <w:rsid w:val="00742D8C"/>
    <w:rsid w:val="00742E76"/>
    <w:rsid w:val="00743827"/>
    <w:rsid w:val="00743A26"/>
    <w:rsid w:val="007442E4"/>
    <w:rsid w:val="00744337"/>
    <w:rsid w:val="007444B8"/>
    <w:rsid w:val="00744AD2"/>
    <w:rsid w:val="00745D0C"/>
    <w:rsid w:val="00746725"/>
    <w:rsid w:val="00747F76"/>
    <w:rsid w:val="007503D8"/>
    <w:rsid w:val="00750645"/>
    <w:rsid w:val="00754AA9"/>
    <w:rsid w:val="0075702B"/>
    <w:rsid w:val="007634EF"/>
    <w:rsid w:val="00764224"/>
    <w:rsid w:val="00764C25"/>
    <w:rsid w:val="00765C17"/>
    <w:rsid w:val="00765E28"/>
    <w:rsid w:val="00766703"/>
    <w:rsid w:val="00766B8A"/>
    <w:rsid w:val="0076735B"/>
    <w:rsid w:val="00770D26"/>
    <w:rsid w:val="007721F3"/>
    <w:rsid w:val="00775201"/>
    <w:rsid w:val="00775F1C"/>
    <w:rsid w:val="0077746B"/>
    <w:rsid w:val="0078138F"/>
    <w:rsid w:val="00781A55"/>
    <w:rsid w:val="00784B2B"/>
    <w:rsid w:val="00784BB5"/>
    <w:rsid w:val="00785F14"/>
    <w:rsid w:val="0078626D"/>
    <w:rsid w:val="00786A6B"/>
    <w:rsid w:val="00787DD2"/>
    <w:rsid w:val="00790F0B"/>
    <w:rsid w:val="00792074"/>
    <w:rsid w:val="00792AA4"/>
    <w:rsid w:val="0079356F"/>
    <w:rsid w:val="0079503C"/>
    <w:rsid w:val="00795D58"/>
    <w:rsid w:val="00796B59"/>
    <w:rsid w:val="007A1B85"/>
    <w:rsid w:val="007A2C34"/>
    <w:rsid w:val="007A7179"/>
    <w:rsid w:val="007B0702"/>
    <w:rsid w:val="007B10CD"/>
    <w:rsid w:val="007B2E6F"/>
    <w:rsid w:val="007B3B9A"/>
    <w:rsid w:val="007B4145"/>
    <w:rsid w:val="007B4553"/>
    <w:rsid w:val="007B4A53"/>
    <w:rsid w:val="007B4F35"/>
    <w:rsid w:val="007B55C0"/>
    <w:rsid w:val="007B5E14"/>
    <w:rsid w:val="007B7E76"/>
    <w:rsid w:val="007C00F6"/>
    <w:rsid w:val="007C125B"/>
    <w:rsid w:val="007C7E38"/>
    <w:rsid w:val="007D0380"/>
    <w:rsid w:val="007D148D"/>
    <w:rsid w:val="007D3515"/>
    <w:rsid w:val="007D3A33"/>
    <w:rsid w:val="007D4A10"/>
    <w:rsid w:val="007E1026"/>
    <w:rsid w:val="007E1454"/>
    <w:rsid w:val="007E15D6"/>
    <w:rsid w:val="007E2042"/>
    <w:rsid w:val="007E3883"/>
    <w:rsid w:val="007F20D9"/>
    <w:rsid w:val="007F2623"/>
    <w:rsid w:val="007F28FE"/>
    <w:rsid w:val="007F2A85"/>
    <w:rsid w:val="007F2C61"/>
    <w:rsid w:val="007F6619"/>
    <w:rsid w:val="007F69EB"/>
    <w:rsid w:val="007F7BF5"/>
    <w:rsid w:val="00800FA9"/>
    <w:rsid w:val="008012DB"/>
    <w:rsid w:val="00802340"/>
    <w:rsid w:val="00804002"/>
    <w:rsid w:val="0080492A"/>
    <w:rsid w:val="00804D76"/>
    <w:rsid w:val="0080580F"/>
    <w:rsid w:val="008066F8"/>
    <w:rsid w:val="0080677E"/>
    <w:rsid w:val="00807E3E"/>
    <w:rsid w:val="008103AA"/>
    <w:rsid w:val="00810526"/>
    <w:rsid w:val="00810A08"/>
    <w:rsid w:val="00811A84"/>
    <w:rsid w:val="00812380"/>
    <w:rsid w:val="008139C1"/>
    <w:rsid w:val="008140E5"/>
    <w:rsid w:val="00814EAC"/>
    <w:rsid w:val="00816132"/>
    <w:rsid w:val="0081721A"/>
    <w:rsid w:val="00817E07"/>
    <w:rsid w:val="00820238"/>
    <w:rsid w:val="008207A2"/>
    <w:rsid w:val="00820C7F"/>
    <w:rsid w:val="0082114B"/>
    <w:rsid w:val="00821416"/>
    <w:rsid w:val="0082188F"/>
    <w:rsid w:val="0082203B"/>
    <w:rsid w:val="008221F5"/>
    <w:rsid w:val="008253E9"/>
    <w:rsid w:val="00827B75"/>
    <w:rsid w:val="008313AA"/>
    <w:rsid w:val="0083154C"/>
    <w:rsid w:val="00831EC7"/>
    <w:rsid w:val="00833918"/>
    <w:rsid w:val="008359FE"/>
    <w:rsid w:val="00835F56"/>
    <w:rsid w:val="00837093"/>
    <w:rsid w:val="0083768E"/>
    <w:rsid w:val="00840E8E"/>
    <w:rsid w:val="00842299"/>
    <w:rsid w:val="00842C82"/>
    <w:rsid w:val="00843501"/>
    <w:rsid w:val="008446AA"/>
    <w:rsid w:val="00844836"/>
    <w:rsid w:val="00844CCA"/>
    <w:rsid w:val="008462CE"/>
    <w:rsid w:val="00850994"/>
    <w:rsid w:val="00853727"/>
    <w:rsid w:val="0085401E"/>
    <w:rsid w:val="00854921"/>
    <w:rsid w:val="0086156A"/>
    <w:rsid w:val="008639E7"/>
    <w:rsid w:val="00863B81"/>
    <w:rsid w:val="00864063"/>
    <w:rsid w:val="008649B4"/>
    <w:rsid w:val="00864A37"/>
    <w:rsid w:val="008654E8"/>
    <w:rsid w:val="00871188"/>
    <w:rsid w:val="008718C2"/>
    <w:rsid w:val="00871CFA"/>
    <w:rsid w:val="00871F8E"/>
    <w:rsid w:val="008734BB"/>
    <w:rsid w:val="00876488"/>
    <w:rsid w:val="00876A38"/>
    <w:rsid w:val="008771D7"/>
    <w:rsid w:val="008773C9"/>
    <w:rsid w:val="00880A7E"/>
    <w:rsid w:val="00881BA7"/>
    <w:rsid w:val="00883F00"/>
    <w:rsid w:val="0088451A"/>
    <w:rsid w:val="0088473C"/>
    <w:rsid w:val="0088611E"/>
    <w:rsid w:val="00887030"/>
    <w:rsid w:val="00887C4D"/>
    <w:rsid w:val="008904A7"/>
    <w:rsid w:val="00891CBF"/>
    <w:rsid w:val="00892549"/>
    <w:rsid w:val="00893567"/>
    <w:rsid w:val="00893AA4"/>
    <w:rsid w:val="00897168"/>
    <w:rsid w:val="008A0E42"/>
    <w:rsid w:val="008A2A4F"/>
    <w:rsid w:val="008A4658"/>
    <w:rsid w:val="008A4DFB"/>
    <w:rsid w:val="008A6227"/>
    <w:rsid w:val="008A7E24"/>
    <w:rsid w:val="008A7FF0"/>
    <w:rsid w:val="008B03BC"/>
    <w:rsid w:val="008B0CB9"/>
    <w:rsid w:val="008B1C6B"/>
    <w:rsid w:val="008B2366"/>
    <w:rsid w:val="008B3C86"/>
    <w:rsid w:val="008B4708"/>
    <w:rsid w:val="008B735D"/>
    <w:rsid w:val="008C26E8"/>
    <w:rsid w:val="008C28F7"/>
    <w:rsid w:val="008C2917"/>
    <w:rsid w:val="008C5BF3"/>
    <w:rsid w:val="008C655D"/>
    <w:rsid w:val="008C7330"/>
    <w:rsid w:val="008D0B01"/>
    <w:rsid w:val="008D14C8"/>
    <w:rsid w:val="008D2A40"/>
    <w:rsid w:val="008D72CF"/>
    <w:rsid w:val="008E1137"/>
    <w:rsid w:val="008E2739"/>
    <w:rsid w:val="008E2F81"/>
    <w:rsid w:val="008E4061"/>
    <w:rsid w:val="008E47D8"/>
    <w:rsid w:val="008F071F"/>
    <w:rsid w:val="008F1FF1"/>
    <w:rsid w:val="008F3227"/>
    <w:rsid w:val="008F36A7"/>
    <w:rsid w:val="008F4021"/>
    <w:rsid w:val="008F49DA"/>
    <w:rsid w:val="008F6376"/>
    <w:rsid w:val="00901DFB"/>
    <w:rsid w:val="0090248E"/>
    <w:rsid w:val="00902A94"/>
    <w:rsid w:val="0090315B"/>
    <w:rsid w:val="00903684"/>
    <w:rsid w:val="009052E9"/>
    <w:rsid w:val="00906036"/>
    <w:rsid w:val="00907E9F"/>
    <w:rsid w:val="00910A74"/>
    <w:rsid w:val="00910C2E"/>
    <w:rsid w:val="009118A9"/>
    <w:rsid w:val="00911D44"/>
    <w:rsid w:val="00911E5F"/>
    <w:rsid w:val="00913606"/>
    <w:rsid w:val="00914352"/>
    <w:rsid w:val="00914F4B"/>
    <w:rsid w:val="009200C4"/>
    <w:rsid w:val="009204F2"/>
    <w:rsid w:val="00920716"/>
    <w:rsid w:val="00920889"/>
    <w:rsid w:val="00920960"/>
    <w:rsid w:val="0092145F"/>
    <w:rsid w:val="00922FC0"/>
    <w:rsid w:val="00924A23"/>
    <w:rsid w:val="00924F9E"/>
    <w:rsid w:val="0092723E"/>
    <w:rsid w:val="00931767"/>
    <w:rsid w:val="00936969"/>
    <w:rsid w:val="00937799"/>
    <w:rsid w:val="00937CF4"/>
    <w:rsid w:val="0094057A"/>
    <w:rsid w:val="009437E1"/>
    <w:rsid w:val="00943CF6"/>
    <w:rsid w:val="00945391"/>
    <w:rsid w:val="009459DB"/>
    <w:rsid w:val="00946758"/>
    <w:rsid w:val="00946A1E"/>
    <w:rsid w:val="00950677"/>
    <w:rsid w:val="00950A6F"/>
    <w:rsid w:val="00952834"/>
    <w:rsid w:val="0095293D"/>
    <w:rsid w:val="00952AAA"/>
    <w:rsid w:val="00953597"/>
    <w:rsid w:val="0095398C"/>
    <w:rsid w:val="00955E5E"/>
    <w:rsid w:val="009564A5"/>
    <w:rsid w:val="009564C6"/>
    <w:rsid w:val="00960831"/>
    <w:rsid w:val="00961B26"/>
    <w:rsid w:val="00961C78"/>
    <w:rsid w:val="00962F02"/>
    <w:rsid w:val="00964DDD"/>
    <w:rsid w:val="00965AD4"/>
    <w:rsid w:val="00970769"/>
    <w:rsid w:val="0097184A"/>
    <w:rsid w:val="009739C4"/>
    <w:rsid w:val="009741BA"/>
    <w:rsid w:val="009741BC"/>
    <w:rsid w:val="009744E7"/>
    <w:rsid w:val="00977410"/>
    <w:rsid w:val="00981321"/>
    <w:rsid w:val="00981A0B"/>
    <w:rsid w:val="00982C50"/>
    <w:rsid w:val="009831EE"/>
    <w:rsid w:val="00983747"/>
    <w:rsid w:val="009854A0"/>
    <w:rsid w:val="00985AFB"/>
    <w:rsid w:val="00985F91"/>
    <w:rsid w:val="0098657A"/>
    <w:rsid w:val="00986A09"/>
    <w:rsid w:val="00986F21"/>
    <w:rsid w:val="00990BF2"/>
    <w:rsid w:val="00993514"/>
    <w:rsid w:val="009936A6"/>
    <w:rsid w:val="00993FF1"/>
    <w:rsid w:val="009979E2"/>
    <w:rsid w:val="009A08DF"/>
    <w:rsid w:val="009A1B4A"/>
    <w:rsid w:val="009A404E"/>
    <w:rsid w:val="009A504A"/>
    <w:rsid w:val="009A5222"/>
    <w:rsid w:val="009A6CBF"/>
    <w:rsid w:val="009B1D02"/>
    <w:rsid w:val="009B347D"/>
    <w:rsid w:val="009B3DC2"/>
    <w:rsid w:val="009B3ECF"/>
    <w:rsid w:val="009B4354"/>
    <w:rsid w:val="009B440C"/>
    <w:rsid w:val="009B4769"/>
    <w:rsid w:val="009B4F1A"/>
    <w:rsid w:val="009B6D93"/>
    <w:rsid w:val="009C13DE"/>
    <w:rsid w:val="009C177C"/>
    <w:rsid w:val="009C2784"/>
    <w:rsid w:val="009C28A0"/>
    <w:rsid w:val="009C32CE"/>
    <w:rsid w:val="009C3E1B"/>
    <w:rsid w:val="009C4274"/>
    <w:rsid w:val="009C4737"/>
    <w:rsid w:val="009C5009"/>
    <w:rsid w:val="009C74FC"/>
    <w:rsid w:val="009D1D7D"/>
    <w:rsid w:val="009D53E2"/>
    <w:rsid w:val="009D740D"/>
    <w:rsid w:val="009E0813"/>
    <w:rsid w:val="009E3892"/>
    <w:rsid w:val="009E40C4"/>
    <w:rsid w:val="009E4E1D"/>
    <w:rsid w:val="009E5192"/>
    <w:rsid w:val="009E6164"/>
    <w:rsid w:val="009E66F9"/>
    <w:rsid w:val="009E702E"/>
    <w:rsid w:val="009E7ABE"/>
    <w:rsid w:val="009E7ED4"/>
    <w:rsid w:val="009F09B8"/>
    <w:rsid w:val="009F10EB"/>
    <w:rsid w:val="009F3821"/>
    <w:rsid w:val="009F3EE2"/>
    <w:rsid w:val="009F42BD"/>
    <w:rsid w:val="009F4963"/>
    <w:rsid w:val="009F51DA"/>
    <w:rsid w:val="009F6A0F"/>
    <w:rsid w:val="009F703F"/>
    <w:rsid w:val="009F77A3"/>
    <w:rsid w:val="00A010D7"/>
    <w:rsid w:val="00A01173"/>
    <w:rsid w:val="00A011D9"/>
    <w:rsid w:val="00A02573"/>
    <w:rsid w:val="00A14044"/>
    <w:rsid w:val="00A149C8"/>
    <w:rsid w:val="00A14DF7"/>
    <w:rsid w:val="00A15152"/>
    <w:rsid w:val="00A1662C"/>
    <w:rsid w:val="00A172D9"/>
    <w:rsid w:val="00A175FD"/>
    <w:rsid w:val="00A20BA7"/>
    <w:rsid w:val="00A21C0B"/>
    <w:rsid w:val="00A26FC5"/>
    <w:rsid w:val="00A27912"/>
    <w:rsid w:val="00A27C90"/>
    <w:rsid w:val="00A30973"/>
    <w:rsid w:val="00A30E62"/>
    <w:rsid w:val="00A310C9"/>
    <w:rsid w:val="00A3164A"/>
    <w:rsid w:val="00A3166A"/>
    <w:rsid w:val="00A35495"/>
    <w:rsid w:val="00A357F4"/>
    <w:rsid w:val="00A36A1F"/>
    <w:rsid w:val="00A37A39"/>
    <w:rsid w:val="00A37E59"/>
    <w:rsid w:val="00A4055D"/>
    <w:rsid w:val="00A40B62"/>
    <w:rsid w:val="00A4117A"/>
    <w:rsid w:val="00A41834"/>
    <w:rsid w:val="00A418D5"/>
    <w:rsid w:val="00A42078"/>
    <w:rsid w:val="00A43F98"/>
    <w:rsid w:val="00A45456"/>
    <w:rsid w:val="00A47C19"/>
    <w:rsid w:val="00A50119"/>
    <w:rsid w:val="00A503F6"/>
    <w:rsid w:val="00A508D2"/>
    <w:rsid w:val="00A511E0"/>
    <w:rsid w:val="00A519FB"/>
    <w:rsid w:val="00A53B3B"/>
    <w:rsid w:val="00A54B0D"/>
    <w:rsid w:val="00A55267"/>
    <w:rsid w:val="00A5586B"/>
    <w:rsid w:val="00A565F1"/>
    <w:rsid w:val="00A57C2F"/>
    <w:rsid w:val="00A62862"/>
    <w:rsid w:val="00A636FC"/>
    <w:rsid w:val="00A63736"/>
    <w:rsid w:val="00A63FEB"/>
    <w:rsid w:val="00A64FF5"/>
    <w:rsid w:val="00A65A7C"/>
    <w:rsid w:val="00A66F23"/>
    <w:rsid w:val="00A67A9E"/>
    <w:rsid w:val="00A7171C"/>
    <w:rsid w:val="00A7224D"/>
    <w:rsid w:val="00A739E2"/>
    <w:rsid w:val="00A747E6"/>
    <w:rsid w:val="00A761DE"/>
    <w:rsid w:val="00A771AA"/>
    <w:rsid w:val="00A8163B"/>
    <w:rsid w:val="00A8208D"/>
    <w:rsid w:val="00A828A4"/>
    <w:rsid w:val="00A82A40"/>
    <w:rsid w:val="00A8320B"/>
    <w:rsid w:val="00A84D80"/>
    <w:rsid w:val="00A85609"/>
    <w:rsid w:val="00A858A9"/>
    <w:rsid w:val="00A91AD4"/>
    <w:rsid w:val="00A91FBB"/>
    <w:rsid w:val="00A957C3"/>
    <w:rsid w:val="00A96258"/>
    <w:rsid w:val="00A96A60"/>
    <w:rsid w:val="00A96A7D"/>
    <w:rsid w:val="00AA120E"/>
    <w:rsid w:val="00AA2C0A"/>
    <w:rsid w:val="00AA2C9E"/>
    <w:rsid w:val="00AA3FAD"/>
    <w:rsid w:val="00AA4E08"/>
    <w:rsid w:val="00AA56D8"/>
    <w:rsid w:val="00AB173C"/>
    <w:rsid w:val="00AB2DF7"/>
    <w:rsid w:val="00AB5E06"/>
    <w:rsid w:val="00AB6248"/>
    <w:rsid w:val="00AB6546"/>
    <w:rsid w:val="00AB6995"/>
    <w:rsid w:val="00AB7064"/>
    <w:rsid w:val="00AB7995"/>
    <w:rsid w:val="00AC034B"/>
    <w:rsid w:val="00AC1C78"/>
    <w:rsid w:val="00AC2558"/>
    <w:rsid w:val="00AC2931"/>
    <w:rsid w:val="00AC2B80"/>
    <w:rsid w:val="00AC49DC"/>
    <w:rsid w:val="00AC4E56"/>
    <w:rsid w:val="00AC6114"/>
    <w:rsid w:val="00AC63F7"/>
    <w:rsid w:val="00AD07D4"/>
    <w:rsid w:val="00AD1CDA"/>
    <w:rsid w:val="00AD2D85"/>
    <w:rsid w:val="00AD311D"/>
    <w:rsid w:val="00AD77CD"/>
    <w:rsid w:val="00AE007A"/>
    <w:rsid w:val="00AE2A16"/>
    <w:rsid w:val="00AE3A1B"/>
    <w:rsid w:val="00AE3BD8"/>
    <w:rsid w:val="00AE4B9F"/>
    <w:rsid w:val="00AE5356"/>
    <w:rsid w:val="00AE5E7B"/>
    <w:rsid w:val="00AE6250"/>
    <w:rsid w:val="00AE62D9"/>
    <w:rsid w:val="00AE76F5"/>
    <w:rsid w:val="00AF0DF1"/>
    <w:rsid w:val="00AF21B0"/>
    <w:rsid w:val="00AF3366"/>
    <w:rsid w:val="00AF34EB"/>
    <w:rsid w:val="00AF4D7E"/>
    <w:rsid w:val="00AF73AC"/>
    <w:rsid w:val="00AF7459"/>
    <w:rsid w:val="00B0110E"/>
    <w:rsid w:val="00B0161E"/>
    <w:rsid w:val="00B01772"/>
    <w:rsid w:val="00B04831"/>
    <w:rsid w:val="00B04F63"/>
    <w:rsid w:val="00B04F8E"/>
    <w:rsid w:val="00B05C49"/>
    <w:rsid w:val="00B06371"/>
    <w:rsid w:val="00B07DBF"/>
    <w:rsid w:val="00B112B3"/>
    <w:rsid w:val="00B1147B"/>
    <w:rsid w:val="00B12D07"/>
    <w:rsid w:val="00B13232"/>
    <w:rsid w:val="00B13BFA"/>
    <w:rsid w:val="00B1456C"/>
    <w:rsid w:val="00B15380"/>
    <w:rsid w:val="00B15F35"/>
    <w:rsid w:val="00B21E4C"/>
    <w:rsid w:val="00B21F70"/>
    <w:rsid w:val="00B22518"/>
    <w:rsid w:val="00B24650"/>
    <w:rsid w:val="00B2543E"/>
    <w:rsid w:val="00B26BEA"/>
    <w:rsid w:val="00B31731"/>
    <w:rsid w:val="00B321AE"/>
    <w:rsid w:val="00B33318"/>
    <w:rsid w:val="00B37137"/>
    <w:rsid w:val="00B371BB"/>
    <w:rsid w:val="00B4258F"/>
    <w:rsid w:val="00B44192"/>
    <w:rsid w:val="00B47EC8"/>
    <w:rsid w:val="00B52B61"/>
    <w:rsid w:val="00B53A58"/>
    <w:rsid w:val="00B53D9E"/>
    <w:rsid w:val="00B5684A"/>
    <w:rsid w:val="00B573D5"/>
    <w:rsid w:val="00B60CCF"/>
    <w:rsid w:val="00B62046"/>
    <w:rsid w:val="00B62DF2"/>
    <w:rsid w:val="00B660F0"/>
    <w:rsid w:val="00B6685F"/>
    <w:rsid w:val="00B709DC"/>
    <w:rsid w:val="00B72419"/>
    <w:rsid w:val="00B7585A"/>
    <w:rsid w:val="00B77F85"/>
    <w:rsid w:val="00B80168"/>
    <w:rsid w:val="00B8368D"/>
    <w:rsid w:val="00B83B5C"/>
    <w:rsid w:val="00B8508B"/>
    <w:rsid w:val="00B85AB7"/>
    <w:rsid w:val="00B86887"/>
    <w:rsid w:val="00B87425"/>
    <w:rsid w:val="00B9222C"/>
    <w:rsid w:val="00B9323A"/>
    <w:rsid w:val="00B93F66"/>
    <w:rsid w:val="00B93FF1"/>
    <w:rsid w:val="00B9704C"/>
    <w:rsid w:val="00BA056F"/>
    <w:rsid w:val="00BA1620"/>
    <w:rsid w:val="00BA593F"/>
    <w:rsid w:val="00BB10EC"/>
    <w:rsid w:val="00BB36BC"/>
    <w:rsid w:val="00BB5285"/>
    <w:rsid w:val="00BB6166"/>
    <w:rsid w:val="00BB6B2D"/>
    <w:rsid w:val="00BB7617"/>
    <w:rsid w:val="00BC05BA"/>
    <w:rsid w:val="00BC2AA5"/>
    <w:rsid w:val="00BC2C69"/>
    <w:rsid w:val="00BC33D5"/>
    <w:rsid w:val="00BC33F4"/>
    <w:rsid w:val="00BC42C1"/>
    <w:rsid w:val="00BC4B48"/>
    <w:rsid w:val="00BC4C8E"/>
    <w:rsid w:val="00BC5718"/>
    <w:rsid w:val="00BC5948"/>
    <w:rsid w:val="00BC6977"/>
    <w:rsid w:val="00BC77C7"/>
    <w:rsid w:val="00BC7852"/>
    <w:rsid w:val="00BC7948"/>
    <w:rsid w:val="00BD2470"/>
    <w:rsid w:val="00BD65E7"/>
    <w:rsid w:val="00BD66C0"/>
    <w:rsid w:val="00BD6CA7"/>
    <w:rsid w:val="00BD7B14"/>
    <w:rsid w:val="00BD7CF6"/>
    <w:rsid w:val="00BE0B93"/>
    <w:rsid w:val="00BE3A51"/>
    <w:rsid w:val="00BF0252"/>
    <w:rsid w:val="00BF1254"/>
    <w:rsid w:val="00BF363E"/>
    <w:rsid w:val="00BF3FDD"/>
    <w:rsid w:val="00BF615C"/>
    <w:rsid w:val="00BF7D23"/>
    <w:rsid w:val="00C00031"/>
    <w:rsid w:val="00C00BF2"/>
    <w:rsid w:val="00C01E3E"/>
    <w:rsid w:val="00C02016"/>
    <w:rsid w:val="00C023FB"/>
    <w:rsid w:val="00C02FEB"/>
    <w:rsid w:val="00C0336C"/>
    <w:rsid w:val="00C04123"/>
    <w:rsid w:val="00C06927"/>
    <w:rsid w:val="00C0774A"/>
    <w:rsid w:val="00C125C9"/>
    <w:rsid w:val="00C12F79"/>
    <w:rsid w:val="00C13EB5"/>
    <w:rsid w:val="00C1584B"/>
    <w:rsid w:val="00C15DD2"/>
    <w:rsid w:val="00C166DC"/>
    <w:rsid w:val="00C20459"/>
    <w:rsid w:val="00C21EC3"/>
    <w:rsid w:val="00C226D8"/>
    <w:rsid w:val="00C23070"/>
    <w:rsid w:val="00C24F60"/>
    <w:rsid w:val="00C270C8"/>
    <w:rsid w:val="00C30263"/>
    <w:rsid w:val="00C31844"/>
    <w:rsid w:val="00C319C2"/>
    <w:rsid w:val="00C35784"/>
    <w:rsid w:val="00C357DD"/>
    <w:rsid w:val="00C35922"/>
    <w:rsid w:val="00C35D43"/>
    <w:rsid w:val="00C36499"/>
    <w:rsid w:val="00C36FAA"/>
    <w:rsid w:val="00C37984"/>
    <w:rsid w:val="00C40FB0"/>
    <w:rsid w:val="00C4121D"/>
    <w:rsid w:val="00C42096"/>
    <w:rsid w:val="00C4228B"/>
    <w:rsid w:val="00C46026"/>
    <w:rsid w:val="00C462B7"/>
    <w:rsid w:val="00C469DB"/>
    <w:rsid w:val="00C47905"/>
    <w:rsid w:val="00C522DB"/>
    <w:rsid w:val="00C53123"/>
    <w:rsid w:val="00C539C7"/>
    <w:rsid w:val="00C54BA1"/>
    <w:rsid w:val="00C558A3"/>
    <w:rsid w:val="00C5681F"/>
    <w:rsid w:val="00C57284"/>
    <w:rsid w:val="00C60DA2"/>
    <w:rsid w:val="00C612C3"/>
    <w:rsid w:val="00C629FD"/>
    <w:rsid w:val="00C641D0"/>
    <w:rsid w:val="00C655A0"/>
    <w:rsid w:val="00C6631D"/>
    <w:rsid w:val="00C67933"/>
    <w:rsid w:val="00C70521"/>
    <w:rsid w:val="00C70E76"/>
    <w:rsid w:val="00C71BB2"/>
    <w:rsid w:val="00C73062"/>
    <w:rsid w:val="00C73A37"/>
    <w:rsid w:val="00C755A8"/>
    <w:rsid w:val="00C761F0"/>
    <w:rsid w:val="00C76A95"/>
    <w:rsid w:val="00C76E2A"/>
    <w:rsid w:val="00C7754D"/>
    <w:rsid w:val="00C80E61"/>
    <w:rsid w:val="00C8406C"/>
    <w:rsid w:val="00C84B74"/>
    <w:rsid w:val="00C859D7"/>
    <w:rsid w:val="00C86E2E"/>
    <w:rsid w:val="00C9237B"/>
    <w:rsid w:val="00C926F9"/>
    <w:rsid w:val="00C93254"/>
    <w:rsid w:val="00C9369D"/>
    <w:rsid w:val="00C9789B"/>
    <w:rsid w:val="00CA0934"/>
    <w:rsid w:val="00CA10E1"/>
    <w:rsid w:val="00CA1AA5"/>
    <w:rsid w:val="00CA34C3"/>
    <w:rsid w:val="00CA5434"/>
    <w:rsid w:val="00CA648E"/>
    <w:rsid w:val="00CA66DD"/>
    <w:rsid w:val="00CA72CA"/>
    <w:rsid w:val="00CB2B63"/>
    <w:rsid w:val="00CB32C5"/>
    <w:rsid w:val="00CB60A6"/>
    <w:rsid w:val="00CC008C"/>
    <w:rsid w:val="00CC2CF9"/>
    <w:rsid w:val="00CC2EB3"/>
    <w:rsid w:val="00CC425C"/>
    <w:rsid w:val="00CC55A8"/>
    <w:rsid w:val="00CC6EE9"/>
    <w:rsid w:val="00CD205F"/>
    <w:rsid w:val="00CD3A1D"/>
    <w:rsid w:val="00CD48DA"/>
    <w:rsid w:val="00CD730C"/>
    <w:rsid w:val="00CE298B"/>
    <w:rsid w:val="00CE3747"/>
    <w:rsid w:val="00CE37D9"/>
    <w:rsid w:val="00CE65B3"/>
    <w:rsid w:val="00CF05EC"/>
    <w:rsid w:val="00CF0EE1"/>
    <w:rsid w:val="00CF1AC1"/>
    <w:rsid w:val="00CF3391"/>
    <w:rsid w:val="00CF392B"/>
    <w:rsid w:val="00CF3C0C"/>
    <w:rsid w:val="00CF6004"/>
    <w:rsid w:val="00CF6A1D"/>
    <w:rsid w:val="00CF6C30"/>
    <w:rsid w:val="00CF6F2C"/>
    <w:rsid w:val="00CF70DA"/>
    <w:rsid w:val="00CF7926"/>
    <w:rsid w:val="00D01382"/>
    <w:rsid w:val="00D02F49"/>
    <w:rsid w:val="00D0371B"/>
    <w:rsid w:val="00D052DB"/>
    <w:rsid w:val="00D054BF"/>
    <w:rsid w:val="00D077BE"/>
    <w:rsid w:val="00D10C7C"/>
    <w:rsid w:val="00D11BB5"/>
    <w:rsid w:val="00D139F6"/>
    <w:rsid w:val="00D162C6"/>
    <w:rsid w:val="00D1782F"/>
    <w:rsid w:val="00D21CF9"/>
    <w:rsid w:val="00D2566D"/>
    <w:rsid w:val="00D262FB"/>
    <w:rsid w:val="00D30071"/>
    <w:rsid w:val="00D30A64"/>
    <w:rsid w:val="00D345B0"/>
    <w:rsid w:val="00D37B91"/>
    <w:rsid w:val="00D4024A"/>
    <w:rsid w:val="00D40F88"/>
    <w:rsid w:val="00D445D6"/>
    <w:rsid w:val="00D455D9"/>
    <w:rsid w:val="00D519C4"/>
    <w:rsid w:val="00D51A7D"/>
    <w:rsid w:val="00D54E69"/>
    <w:rsid w:val="00D60917"/>
    <w:rsid w:val="00D60A49"/>
    <w:rsid w:val="00D646EE"/>
    <w:rsid w:val="00D64780"/>
    <w:rsid w:val="00D6661D"/>
    <w:rsid w:val="00D704CC"/>
    <w:rsid w:val="00D70617"/>
    <w:rsid w:val="00D720B0"/>
    <w:rsid w:val="00D73231"/>
    <w:rsid w:val="00D73FD4"/>
    <w:rsid w:val="00D7517F"/>
    <w:rsid w:val="00D758AC"/>
    <w:rsid w:val="00D7739A"/>
    <w:rsid w:val="00D7768F"/>
    <w:rsid w:val="00D82500"/>
    <w:rsid w:val="00D8256D"/>
    <w:rsid w:val="00D82DE7"/>
    <w:rsid w:val="00D8332C"/>
    <w:rsid w:val="00D8365F"/>
    <w:rsid w:val="00D83B73"/>
    <w:rsid w:val="00D841A1"/>
    <w:rsid w:val="00D848AA"/>
    <w:rsid w:val="00D853CD"/>
    <w:rsid w:val="00D8547F"/>
    <w:rsid w:val="00D878CA"/>
    <w:rsid w:val="00D90D72"/>
    <w:rsid w:val="00D92DE5"/>
    <w:rsid w:val="00D939E1"/>
    <w:rsid w:val="00D94A21"/>
    <w:rsid w:val="00D95729"/>
    <w:rsid w:val="00D959B4"/>
    <w:rsid w:val="00D97140"/>
    <w:rsid w:val="00D97514"/>
    <w:rsid w:val="00D978C8"/>
    <w:rsid w:val="00D97ADF"/>
    <w:rsid w:val="00DA2F22"/>
    <w:rsid w:val="00DA5801"/>
    <w:rsid w:val="00DA706F"/>
    <w:rsid w:val="00DA79A4"/>
    <w:rsid w:val="00DB22A5"/>
    <w:rsid w:val="00DB3112"/>
    <w:rsid w:val="00DC19DE"/>
    <w:rsid w:val="00DC3134"/>
    <w:rsid w:val="00DC3D7B"/>
    <w:rsid w:val="00DC4093"/>
    <w:rsid w:val="00DC63A9"/>
    <w:rsid w:val="00DC6620"/>
    <w:rsid w:val="00DC7271"/>
    <w:rsid w:val="00DC74C4"/>
    <w:rsid w:val="00DD100A"/>
    <w:rsid w:val="00DD19FC"/>
    <w:rsid w:val="00DD273B"/>
    <w:rsid w:val="00DD3114"/>
    <w:rsid w:val="00DD3A5A"/>
    <w:rsid w:val="00DD3CE3"/>
    <w:rsid w:val="00DD417D"/>
    <w:rsid w:val="00DD4E1A"/>
    <w:rsid w:val="00DD4F92"/>
    <w:rsid w:val="00DD6ECF"/>
    <w:rsid w:val="00DD7A2B"/>
    <w:rsid w:val="00DE2DA6"/>
    <w:rsid w:val="00DE2F23"/>
    <w:rsid w:val="00DE49BD"/>
    <w:rsid w:val="00DE630F"/>
    <w:rsid w:val="00DE67C5"/>
    <w:rsid w:val="00DE69A1"/>
    <w:rsid w:val="00DE748B"/>
    <w:rsid w:val="00DE7C07"/>
    <w:rsid w:val="00DF010F"/>
    <w:rsid w:val="00DF0909"/>
    <w:rsid w:val="00DF4984"/>
    <w:rsid w:val="00DF6C31"/>
    <w:rsid w:val="00DF7FE5"/>
    <w:rsid w:val="00E00C4D"/>
    <w:rsid w:val="00E01B27"/>
    <w:rsid w:val="00E02D27"/>
    <w:rsid w:val="00E02F35"/>
    <w:rsid w:val="00E03039"/>
    <w:rsid w:val="00E0310C"/>
    <w:rsid w:val="00E041BA"/>
    <w:rsid w:val="00E04E8F"/>
    <w:rsid w:val="00E05509"/>
    <w:rsid w:val="00E07294"/>
    <w:rsid w:val="00E10155"/>
    <w:rsid w:val="00E106D0"/>
    <w:rsid w:val="00E1089F"/>
    <w:rsid w:val="00E1136A"/>
    <w:rsid w:val="00E11E21"/>
    <w:rsid w:val="00E11E83"/>
    <w:rsid w:val="00E123B9"/>
    <w:rsid w:val="00E1265A"/>
    <w:rsid w:val="00E12FB4"/>
    <w:rsid w:val="00E16D83"/>
    <w:rsid w:val="00E2080E"/>
    <w:rsid w:val="00E2141F"/>
    <w:rsid w:val="00E2220F"/>
    <w:rsid w:val="00E226E5"/>
    <w:rsid w:val="00E22F9F"/>
    <w:rsid w:val="00E250D8"/>
    <w:rsid w:val="00E303E5"/>
    <w:rsid w:val="00E30A5A"/>
    <w:rsid w:val="00E32E8C"/>
    <w:rsid w:val="00E34BA7"/>
    <w:rsid w:val="00E357F9"/>
    <w:rsid w:val="00E4039B"/>
    <w:rsid w:val="00E4265A"/>
    <w:rsid w:val="00E44CFA"/>
    <w:rsid w:val="00E45EE4"/>
    <w:rsid w:val="00E46811"/>
    <w:rsid w:val="00E47AC4"/>
    <w:rsid w:val="00E47BBE"/>
    <w:rsid w:val="00E50F15"/>
    <w:rsid w:val="00E51A15"/>
    <w:rsid w:val="00E5332F"/>
    <w:rsid w:val="00E54702"/>
    <w:rsid w:val="00E553C9"/>
    <w:rsid w:val="00E55739"/>
    <w:rsid w:val="00E56235"/>
    <w:rsid w:val="00E573E0"/>
    <w:rsid w:val="00E57CEC"/>
    <w:rsid w:val="00E606E0"/>
    <w:rsid w:val="00E62A0B"/>
    <w:rsid w:val="00E633B8"/>
    <w:rsid w:val="00E64723"/>
    <w:rsid w:val="00E6530A"/>
    <w:rsid w:val="00E655AB"/>
    <w:rsid w:val="00E65C23"/>
    <w:rsid w:val="00E670F8"/>
    <w:rsid w:val="00E705C7"/>
    <w:rsid w:val="00E70C33"/>
    <w:rsid w:val="00E70D73"/>
    <w:rsid w:val="00E716EF"/>
    <w:rsid w:val="00E72326"/>
    <w:rsid w:val="00E72A6A"/>
    <w:rsid w:val="00E75519"/>
    <w:rsid w:val="00E757C0"/>
    <w:rsid w:val="00E817B7"/>
    <w:rsid w:val="00E81C8B"/>
    <w:rsid w:val="00E81D65"/>
    <w:rsid w:val="00E83110"/>
    <w:rsid w:val="00E83F2D"/>
    <w:rsid w:val="00E84AAC"/>
    <w:rsid w:val="00E84EC0"/>
    <w:rsid w:val="00E850A8"/>
    <w:rsid w:val="00E8608C"/>
    <w:rsid w:val="00E864C0"/>
    <w:rsid w:val="00E8714A"/>
    <w:rsid w:val="00E87A2A"/>
    <w:rsid w:val="00E926DD"/>
    <w:rsid w:val="00E94658"/>
    <w:rsid w:val="00E94B62"/>
    <w:rsid w:val="00E950EF"/>
    <w:rsid w:val="00E9641E"/>
    <w:rsid w:val="00E97B9B"/>
    <w:rsid w:val="00EA3D7A"/>
    <w:rsid w:val="00EA46C6"/>
    <w:rsid w:val="00EA4CF9"/>
    <w:rsid w:val="00EA521C"/>
    <w:rsid w:val="00EA5858"/>
    <w:rsid w:val="00EA6F0C"/>
    <w:rsid w:val="00EA7F1D"/>
    <w:rsid w:val="00EB04F5"/>
    <w:rsid w:val="00EB1608"/>
    <w:rsid w:val="00EB19D7"/>
    <w:rsid w:val="00EB40CE"/>
    <w:rsid w:val="00EB4FD8"/>
    <w:rsid w:val="00EB624A"/>
    <w:rsid w:val="00EC134C"/>
    <w:rsid w:val="00EC1469"/>
    <w:rsid w:val="00EC18EA"/>
    <w:rsid w:val="00EC202A"/>
    <w:rsid w:val="00EC219E"/>
    <w:rsid w:val="00EC333D"/>
    <w:rsid w:val="00EC3CBA"/>
    <w:rsid w:val="00EC5726"/>
    <w:rsid w:val="00ED1179"/>
    <w:rsid w:val="00ED1497"/>
    <w:rsid w:val="00ED1835"/>
    <w:rsid w:val="00ED4459"/>
    <w:rsid w:val="00ED4778"/>
    <w:rsid w:val="00ED700D"/>
    <w:rsid w:val="00ED7BBB"/>
    <w:rsid w:val="00EE15CD"/>
    <w:rsid w:val="00EE182C"/>
    <w:rsid w:val="00EE4378"/>
    <w:rsid w:val="00EE43BD"/>
    <w:rsid w:val="00EE4AF4"/>
    <w:rsid w:val="00EE5391"/>
    <w:rsid w:val="00EF05C1"/>
    <w:rsid w:val="00EF0C9F"/>
    <w:rsid w:val="00EF160F"/>
    <w:rsid w:val="00EF1651"/>
    <w:rsid w:val="00EF3C7E"/>
    <w:rsid w:val="00EF4529"/>
    <w:rsid w:val="00EF4626"/>
    <w:rsid w:val="00EF580D"/>
    <w:rsid w:val="00EF59C0"/>
    <w:rsid w:val="00EF5E08"/>
    <w:rsid w:val="00F01513"/>
    <w:rsid w:val="00F0179C"/>
    <w:rsid w:val="00F02AF5"/>
    <w:rsid w:val="00F0662A"/>
    <w:rsid w:val="00F06704"/>
    <w:rsid w:val="00F115C7"/>
    <w:rsid w:val="00F121A2"/>
    <w:rsid w:val="00F1225B"/>
    <w:rsid w:val="00F12343"/>
    <w:rsid w:val="00F137BE"/>
    <w:rsid w:val="00F14576"/>
    <w:rsid w:val="00F158C0"/>
    <w:rsid w:val="00F172E0"/>
    <w:rsid w:val="00F17E3C"/>
    <w:rsid w:val="00F21231"/>
    <w:rsid w:val="00F217DB"/>
    <w:rsid w:val="00F21B72"/>
    <w:rsid w:val="00F226B6"/>
    <w:rsid w:val="00F22C4A"/>
    <w:rsid w:val="00F2338E"/>
    <w:rsid w:val="00F233A8"/>
    <w:rsid w:val="00F23A10"/>
    <w:rsid w:val="00F245B9"/>
    <w:rsid w:val="00F26073"/>
    <w:rsid w:val="00F27D5E"/>
    <w:rsid w:val="00F30D86"/>
    <w:rsid w:val="00F31069"/>
    <w:rsid w:val="00F316FC"/>
    <w:rsid w:val="00F34C9C"/>
    <w:rsid w:val="00F35E70"/>
    <w:rsid w:val="00F371BC"/>
    <w:rsid w:val="00F40C54"/>
    <w:rsid w:val="00F4684F"/>
    <w:rsid w:val="00F47804"/>
    <w:rsid w:val="00F479FB"/>
    <w:rsid w:val="00F52070"/>
    <w:rsid w:val="00F53DD1"/>
    <w:rsid w:val="00F5458F"/>
    <w:rsid w:val="00F546BA"/>
    <w:rsid w:val="00F5542F"/>
    <w:rsid w:val="00F56195"/>
    <w:rsid w:val="00F5698F"/>
    <w:rsid w:val="00F56AC2"/>
    <w:rsid w:val="00F57ACC"/>
    <w:rsid w:val="00F60263"/>
    <w:rsid w:val="00F60360"/>
    <w:rsid w:val="00F62ED9"/>
    <w:rsid w:val="00F632D9"/>
    <w:rsid w:val="00F6375A"/>
    <w:rsid w:val="00F6477C"/>
    <w:rsid w:val="00F64B50"/>
    <w:rsid w:val="00F64F82"/>
    <w:rsid w:val="00F6516B"/>
    <w:rsid w:val="00F65840"/>
    <w:rsid w:val="00F72990"/>
    <w:rsid w:val="00F740CD"/>
    <w:rsid w:val="00F75DF9"/>
    <w:rsid w:val="00F76790"/>
    <w:rsid w:val="00F77910"/>
    <w:rsid w:val="00F805FF"/>
    <w:rsid w:val="00F80CE9"/>
    <w:rsid w:val="00F81FBB"/>
    <w:rsid w:val="00F8307B"/>
    <w:rsid w:val="00F8387B"/>
    <w:rsid w:val="00F84630"/>
    <w:rsid w:val="00F85FCC"/>
    <w:rsid w:val="00F8759F"/>
    <w:rsid w:val="00F910A7"/>
    <w:rsid w:val="00F9126B"/>
    <w:rsid w:val="00F93027"/>
    <w:rsid w:val="00F93962"/>
    <w:rsid w:val="00F93AA6"/>
    <w:rsid w:val="00F94ECE"/>
    <w:rsid w:val="00F965C6"/>
    <w:rsid w:val="00F96883"/>
    <w:rsid w:val="00FA1014"/>
    <w:rsid w:val="00FA35EF"/>
    <w:rsid w:val="00FA3C47"/>
    <w:rsid w:val="00FA3F26"/>
    <w:rsid w:val="00FA55B9"/>
    <w:rsid w:val="00FA69D8"/>
    <w:rsid w:val="00FA7135"/>
    <w:rsid w:val="00FA7850"/>
    <w:rsid w:val="00FA7A4D"/>
    <w:rsid w:val="00FB009C"/>
    <w:rsid w:val="00FB0592"/>
    <w:rsid w:val="00FB252A"/>
    <w:rsid w:val="00FB3BC1"/>
    <w:rsid w:val="00FB5C61"/>
    <w:rsid w:val="00FB7CD1"/>
    <w:rsid w:val="00FB7D37"/>
    <w:rsid w:val="00FC05CA"/>
    <w:rsid w:val="00FC1A1E"/>
    <w:rsid w:val="00FC1D38"/>
    <w:rsid w:val="00FC1FF8"/>
    <w:rsid w:val="00FC22B4"/>
    <w:rsid w:val="00FC5F2D"/>
    <w:rsid w:val="00FC6A4F"/>
    <w:rsid w:val="00FC7FAB"/>
    <w:rsid w:val="00FD2C06"/>
    <w:rsid w:val="00FD35BF"/>
    <w:rsid w:val="00FD435D"/>
    <w:rsid w:val="00FD53AD"/>
    <w:rsid w:val="00FD65D7"/>
    <w:rsid w:val="00FE0FC9"/>
    <w:rsid w:val="00FE5969"/>
    <w:rsid w:val="00FE6113"/>
    <w:rsid w:val="00FE6D1C"/>
    <w:rsid w:val="00FE6F3F"/>
    <w:rsid w:val="00FF21CE"/>
    <w:rsid w:val="00FF222E"/>
    <w:rsid w:val="00FF3103"/>
    <w:rsid w:val="00FF4A47"/>
    <w:rsid w:val="00FF62A7"/>
    <w:rsid w:val="00FF6415"/>
    <w:rsid w:val="00FF6860"/>
    <w:rsid w:val="00FF6EA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DF6CB35"/>
  <w15:docId w15:val="{F523FDA8-FCEE-4121-AA79-C602A9D0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21"/>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816132"/>
    <w:pPr>
      <w:keepNext/>
      <w:keepLines/>
      <w:spacing w:after="240"/>
      <w:ind w:left="720" w:hanging="720"/>
      <w:outlineLvl w:val="0"/>
    </w:pPr>
    <w:rPr>
      <w:rFonts w:eastAsiaTheme="majorEastAsia" w:cs="Times New Roman"/>
      <w:b/>
      <w:caps/>
      <w:szCs w:val="24"/>
    </w:rPr>
  </w:style>
  <w:style w:type="paragraph" w:styleId="Heading2">
    <w:name w:val="heading 2"/>
    <w:basedOn w:val="Normal"/>
    <w:next w:val="Normal"/>
    <w:link w:val="Heading2Char"/>
    <w:unhideWhenUsed/>
    <w:qFormat/>
    <w:rsid w:val="00250260"/>
    <w:pPr>
      <w:keepNext/>
      <w:keepLines/>
      <w:spacing w:after="240"/>
      <w:outlineLvl w:val="1"/>
    </w:pPr>
    <w:rPr>
      <w:rFonts w:eastAsia="Times New Roman" w:cs="Times New Roman"/>
      <w:b/>
      <w:bCs/>
      <w:szCs w:val="24"/>
    </w:rPr>
  </w:style>
  <w:style w:type="paragraph" w:styleId="Heading3">
    <w:name w:val="heading 3"/>
    <w:basedOn w:val="BodyTextIndent3"/>
    <w:next w:val="Normal"/>
    <w:link w:val="Heading3Char"/>
    <w:autoRedefine/>
    <w:uiPriority w:val="9"/>
    <w:unhideWhenUsed/>
    <w:qFormat/>
    <w:rsid w:val="003571CF"/>
    <w:pPr>
      <w:widowControl w:val="0"/>
      <w:spacing w:after="240" w:line="240" w:lineRule="auto"/>
      <w:ind w:left="1440" w:hanging="720"/>
      <w:outlineLvl w:val="2"/>
    </w:pPr>
    <w:rPr>
      <w:b/>
      <w:bCs/>
      <w:szCs w:val="24"/>
    </w:rPr>
  </w:style>
  <w:style w:type="paragraph" w:styleId="Heading4">
    <w:name w:val="heading 4"/>
    <w:basedOn w:val="Normal"/>
    <w:next w:val="Normal"/>
    <w:link w:val="Heading4Char"/>
    <w:uiPriority w:val="9"/>
    <w:unhideWhenUsed/>
    <w:qFormat/>
    <w:rsid w:val="00190ED3"/>
    <w:pPr>
      <w:keepNext/>
      <w:keepLines/>
      <w:spacing w:after="240"/>
      <w:ind w:left="2160" w:hanging="720"/>
      <w:outlineLvl w:val="3"/>
    </w:pPr>
    <w:rPr>
      <w:rFonts w:eastAsiaTheme="majorEastAsia" w:cs="Times New Roman"/>
      <w:b/>
      <w:iCs/>
    </w:rPr>
  </w:style>
  <w:style w:type="paragraph" w:styleId="Heading5">
    <w:name w:val="heading 5"/>
    <w:basedOn w:val="Normal"/>
    <w:next w:val="Normal"/>
    <w:link w:val="Heading5Char"/>
    <w:autoRedefine/>
    <w:uiPriority w:val="9"/>
    <w:unhideWhenUsed/>
    <w:qFormat/>
    <w:pPr>
      <w:keepNext/>
      <w:keepLines/>
      <w:spacing w:after="240"/>
      <w:ind w:left="3600" w:right="720" w:hanging="7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77CC"/>
      <w:u w:val="single"/>
    </w:rPr>
  </w:style>
  <w:style w:type="character" w:customStyle="1" w:styleId="ssrfcpassagedeactivated">
    <w:name w:val="ss_rfcpassage_deactivated"/>
    <w:basedOn w:val="DefaultParagraphFont"/>
  </w:style>
  <w:style w:type="character" w:customStyle="1" w:styleId="ssit1">
    <w:name w:val="ss_it1"/>
    <w:basedOn w:val="DefaultParagraphFont"/>
    <w:rPr>
      <w:i/>
      <w:iCs/>
    </w:rPr>
  </w:style>
  <w:style w:type="character" w:customStyle="1" w:styleId="ssib1">
    <w:name w:val="ss_ib1"/>
    <w:basedOn w:val="DefaultParagraphFont"/>
    <w:rPr>
      <w:b/>
      <w:bCs/>
      <w:i/>
      <w:i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sid w:val="00250260"/>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customStyle="1" w:styleId="ssleftalign">
    <w:name w:val="ss_leftalign"/>
    <w:basedOn w:val="DefaultParagraphFont"/>
  </w:style>
  <w:style w:type="character" w:customStyle="1" w:styleId="sssh">
    <w:name w:val="ss_sh"/>
    <w:basedOn w:val="DefaultParagraphFont"/>
  </w:style>
  <w:style w:type="character" w:customStyle="1" w:styleId="ssib">
    <w:name w:val="ss_ib"/>
    <w:basedOn w:val="DefaultParagraphFont"/>
  </w:style>
  <w:style w:type="character" w:customStyle="1" w:styleId="ssit">
    <w:name w:val="ss_it"/>
    <w:basedOn w:val="DefaultParagraphFont"/>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6132"/>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3571C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90ED3"/>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F30D86"/>
    <w:pPr>
      <w:tabs>
        <w:tab w:val="decimal" w:leader="dot" w:pos="9360"/>
      </w:tabs>
      <w:spacing w:after="240"/>
      <w:ind w:left="720" w:hanging="720"/>
      <w:outlineLvl w:val="0"/>
    </w:pPr>
    <w:rPr>
      <w:caps/>
    </w:rPr>
  </w:style>
  <w:style w:type="paragraph" w:styleId="TOC2">
    <w:name w:val="toc 2"/>
    <w:basedOn w:val="Normal"/>
    <w:next w:val="Normal"/>
    <w:autoRedefine/>
    <w:uiPriority w:val="39"/>
    <w:unhideWhenUsed/>
    <w:qFormat/>
    <w:rsid w:val="00F30D86"/>
    <w:pPr>
      <w:tabs>
        <w:tab w:val="left" w:pos="720"/>
        <w:tab w:val="decimal" w:leader="dot" w:pos="9360"/>
      </w:tabs>
      <w:spacing w:after="240"/>
      <w:outlineLvl w:val="1"/>
    </w:pPr>
  </w:style>
  <w:style w:type="paragraph" w:styleId="TOC3">
    <w:name w:val="toc 3"/>
    <w:basedOn w:val="Normal"/>
    <w:next w:val="Normal"/>
    <w:autoRedefine/>
    <w:uiPriority w:val="39"/>
    <w:unhideWhenUsed/>
    <w:rsid w:val="00F30D86"/>
    <w:pPr>
      <w:tabs>
        <w:tab w:val="left" w:pos="720"/>
        <w:tab w:val="left" w:pos="1440"/>
        <w:tab w:val="decimal" w:leader="dot" w:pos="9360"/>
      </w:tabs>
      <w:spacing w:after="240"/>
      <w:ind w:left="1440" w:hanging="720"/>
    </w:pPr>
  </w:style>
  <w:style w:type="paragraph" w:styleId="TOC4">
    <w:name w:val="toc 4"/>
    <w:basedOn w:val="Normal"/>
    <w:next w:val="Normal"/>
    <w:autoRedefine/>
    <w:uiPriority w:val="39"/>
    <w:unhideWhenUsed/>
    <w:rsid w:val="00F30D86"/>
    <w:pPr>
      <w:spacing w:after="240"/>
      <w:ind w:left="2160" w:hanging="720"/>
    </w:pPr>
  </w:style>
  <w:style w:type="character" w:customStyle="1" w:styleId="Heading5Char">
    <w:name w:val="Heading 5 Char"/>
    <w:basedOn w:val="DefaultParagraphFont"/>
    <w:link w:val="Heading5"/>
    <w:uiPriority w:val="9"/>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 Char Char2,Footnote Text Char Char1 Char1,Footnote Text Char1,Footnote Text Char1 Char Char1 Char Char Char Char1,Footnote Text Char1 Char Char1 Char1"/>
    <w:uiPriority w:val="99"/>
    <w:locked/>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Indent3">
    <w:name w:val="Body Text Indent 3"/>
    <w:basedOn w:val="Normal"/>
    <w:link w:val="BodyTextIndent3Char"/>
    <w:pPr>
      <w:spacing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2">
    <w:name w:val="Unresolved Mention2"/>
    <w:basedOn w:val="DefaultParagraphFont"/>
    <w:uiPriority w:val="99"/>
    <w:rPr>
      <w:color w:val="605E5C"/>
      <w:shd w:val="clear" w:color="auto" w:fill="E1DFDD"/>
    </w:rPr>
  </w:style>
  <w:style w:type="character" w:customStyle="1" w:styleId="AnswerChar">
    <w:name w:val="Answer Char"/>
    <w:link w:val="Answer"/>
    <w:lock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pPr>
      <w:spacing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pPr>
      <w:ind w:left="720" w:hanging="360"/>
      <w:contextualSpacing/>
    </w:pPr>
  </w:style>
  <w:style w:type="character" w:customStyle="1" w:styleId="UnresolvedMention3">
    <w:name w:val="Unresolved Mention3"/>
    <w:basedOn w:val="DefaultParagraphFont"/>
    <w:uiPriority w:val="99"/>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Revision">
    <w:name w:val="Revision"/>
    <w:hidden/>
    <w:uiPriority w:val="99"/>
    <w:semiHidden/>
    <w:pPr>
      <w:spacing w:after="0" w:line="240" w:lineRule="auto"/>
    </w:pPr>
  </w:style>
  <w:style w:type="paragraph" w:customStyle="1" w:styleId="xmsonormal">
    <w:name w:val="x_msonormal"/>
    <w:basedOn w:val="Normal"/>
    <w:rPr>
      <w:rFonts w:ascii="Verdana" w:hAnsi="Verdana" w:cs="Calibri"/>
      <w:color w:val="00277A"/>
      <w:szCs w:val="24"/>
    </w:rPr>
  </w:style>
  <w:style w:type="character" w:customStyle="1" w:styleId="xmsofootnotereference">
    <w:name w:val="x_msofootnotereference"/>
    <w:basedOn w:val="DefaultParagraphFont"/>
    <w:rPr>
      <w:vertAlign w:val="superscript"/>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character" w:styleId="PlaceholderText">
    <w:name w:val="Placeholder Text"/>
    <w:basedOn w:val="DefaultParagraphFont"/>
    <w:uiPriority w:val="99"/>
    <w:semiHidden/>
    <w:rsid w:val="006667AB"/>
    <w:rPr>
      <w:color w:val="808080"/>
    </w:rPr>
  </w:style>
  <w:style w:type="paragraph" w:styleId="NormalWeb">
    <w:name w:val="Normal (Web)"/>
    <w:basedOn w:val="Normal"/>
    <w:uiPriority w:val="99"/>
    <w:unhideWhenUsed/>
    <w:rsid w:val="00386776"/>
    <w:pPr>
      <w:spacing w:before="100" w:beforeAutospacing="1" w:after="100" w:afterAutospacing="1"/>
    </w:pPr>
    <w:rPr>
      <w:rFonts w:eastAsia="Times New Roman" w:cs="Times New Roman"/>
      <w:szCs w:val="24"/>
    </w:rPr>
  </w:style>
  <w:style w:type="character" w:customStyle="1" w:styleId="UnresolvedMention4">
    <w:name w:val="Unresolved Mention4"/>
    <w:basedOn w:val="DefaultParagraphFont"/>
    <w:uiPriority w:val="99"/>
    <w:rsid w:val="005C0220"/>
    <w:rPr>
      <w:color w:val="605E5C"/>
      <w:shd w:val="clear" w:color="auto" w:fill="E1DFDD"/>
    </w:rPr>
  </w:style>
  <w:style w:type="character" w:customStyle="1" w:styleId="UnresolvedMention5">
    <w:name w:val="Unresolved Mention5"/>
    <w:basedOn w:val="DefaultParagraphFont"/>
    <w:uiPriority w:val="99"/>
    <w:rsid w:val="00F85FCC"/>
    <w:rPr>
      <w:color w:val="605E5C"/>
      <w:shd w:val="clear" w:color="auto" w:fill="E1DFDD"/>
    </w:rPr>
  </w:style>
  <w:style w:type="character" w:customStyle="1" w:styleId="apple-converted-space">
    <w:name w:val="apple-converted-space"/>
    <w:basedOn w:val="DefaultParagraphFont"/>
    <w:rsid w:val="003F4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yperlink" Target="mailto:werner.margard@ohioAGO.gov" TargetMode="External" /><Relationship Id="rId16" Type="http://schemas.openxmlformats.org/officeDocument/2006/relationships/hyperlink" Target="mailto:thomas.lindgren@ohioAGO.gov" TargetMode="External" /><Relationship Id="rId17" Type="http://schemas.openxmlformats.org/officeDocument/2006/relationships/hyperlink" Target="mailto:Bojko@carpenterlipps.com" TargetMode="External" /><Relationship Id="rId18" Type="http://schemas.openxmlformats.org/officeDocument/2006/relationships/hyperlink" Target="mailto:rlazer@elpc.org" TargetMode="External" /><Relationship Id="rId19" Type="http://schemas.openxmlformats.org/officeDocument/2006/relationships/hyperlink" Target="mailto:jweber@elpc.org" TargetMode="External" /><Relationship Id="rId2" Type="http://schemas.openxmlformats.org/officeDocument/2006/relationships/settings" Target="settings.xml" /><Relationship Id="rId20" Type="http://schemas.openxmlformats.org/officeDocument/2006/relationships/hyperlink" Target="mailto:ctavenor@theOEC.org" TargetMode="External" /><Relationship Id="rId21" Type="http://schemas.openxmlformats.org/officeDocument/2006/relationships/hyperlink" Target="mailto:knordstrom@theoec.org" TargetMode="External" /><Relationship Id="rId22" Type="http://schemas.openxmlformats.org/officeDocument/2006/relationships/hyperlink" Target="mailto:glpetrucci@vorys.com" TargetMode="External" /><Relationship Id="rId23" Type="http://schemas.openxmlformats.org/officeDocument/2006/relationships/hyperlink" Target="mailto:bethany.allen@igs.com" TargetMode="External" /><Relationship Id="rId24" Type="http://schemas.openxmlformats.org/officeDocument/2006/relationships/hyperlink" Target="mailto:joe.oliker@igs.com" TargetMode="External" /><Relationship Id="rId25" Type="http://schemas.openxmlformats.org/officeDocument/2006/relationships/hyperlink" Target="mailto:evan.betterton@igs.com" TargetMode="External" /><Relationship Id="rId26" Type="http://schemas.openxmlformats.org/officeDocument/2006/relationships/hyperlink" Target="mailto:megan.addison@puco.ohio.gov" TargetMode="External" /><Relationship Id="rId27" Type="http://schemas.openxmlformats.org/officeDocument/2006/relationships/hyperlink" Target="mailto:jacqueline.st.john@puco.ohio.gov" TargetMode="External" /><Relationship Id="rId28" Type="http://schemas.openxmlformats.org/officeDocument/2006/relationships/hyperlink" Target="mailto:bknipe@firstenergycorp.com" TargetMode="External" /><Relationship Id="rId29" Type="http://schemas.openxmlformats.org/officeDocument/2006/relationships/hyperlink" Target="mailto:mrgladman@jonesday.com" TargetMode="External" /><Relationship Id="rId3" Type="http://schemas.openxmlformats.org/officeDocument/2006/relationships/webSettings" Target="webSettings.xml" /><Relationship Id="rId30" Type="http://schemas.openxmlformats.org/officeDocument/2006/relationships/hyperlink" Target="mailto:mdengler@jonesday.com" TargetMode="External" /><Relationship Id="rId31" Type="http://schemas.openxmlformats.org/officeDocument/2006/relationships/hyperlink" Target="mailto:radoringo@jonesday.com" TargetMode="External" /><Relationship Id="rId32" Type="http://schemas.openxmlformats.org/officeDocument/2006/relationships/hyperlink" Target="mailto:calee@jonesday.com" TargetMode="External" /><Relationship Id="rId33" Type="http://schemas.openxmlformats.org/officeDocument/2006/relationships/hyperlink" Target="mailto:sgoyal@jonesday.com" TargetMode="External" /><Relationship Id="rId34" Type="http://schemas.openxmlformats.org/officeDocument/2006/relationships/hyperlink" Target="mailto:rdove@keglerbrown.com" TargetMode="External" /><Relationship Id="rId35" Type="http://schemas.openxmlformats.org/officeDocument/2006/relationships/hyperlink" Target="mailto:dparram@brickergraydon.com" TargetMode="External" /><Relationship Id="rId36" Type="http://schemas.openxmlformats.org/officeDocument/2006/relationships/hyperlink" Target="mailto:dborchers@brickergraydon.com" TargetMode="External" /><Relationship Id="rId37" Type="http://schemas.openxmlformats.org/officeDocument/2006/relationships/hyperlink" Target="mailto:rmains@brickergraydon.com" TargetMode="Externa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fontTable" Target="fontTable.xml" /><Relationship Id="rId40"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gcc02.safelinks.protection.outlook.com/?url=https%3A%2F%2Fwww.cleveland.com%2Fopinion%2F2023%2F10%2Fus-attorney-investigating-firstenergyhb-6-scandal-needs-to-let-ratepayer-probes-proceed-ashley-brown.html&amp;data=05%7C01%7CAngela.OBrien%40occ.ohio.gov%7C3e667091252f4e7b531208dbe796e06d%7C50f8fcc494d84f0784eb36ed57c7c8a2%7C0%7C0%7C638358407414547917%7CUnknown%7CTWFpbGZsb3d8eyJWIjoiMC4wLjAwMDAiLCJQIjoiV2luMzIiLCJBTiI6Ik1haWwiLCJXVCI6Mn0%3D%7C3000%7C%7C%7C&amp;sdata=O8V095U3hxkoXx%2BjZQeJLz1%2FCVT7gH2YpSzuiZ0s64c%3D&amp;reserved=0" TargetMode="External" /><Relationship Id="rId2" Type="http://schemas.openxmlformats.org/officeDocument/2006/relationships/hyperlink" Target="https://gcc02.safelinks.protection.outlook.com/?url=https%3A%2F%2Fwww.cleveland.com%2Fopinion%2F2023%2F10%2Fpuco-needs-to-do-its-duty-by-ratepayers-and-the-us-attorney-needs-to-get-out-of-the-way-editorial.html&amp;data=05%7C01%7CAngela.OBrien%40occ.ohio.gov%7C3e667091252f4e7b531208dbe796e06d%7C50f8fcc494d84f0784eb36ed57c7c8a2%7C0%7C0%7C638358407414547917%7CUnknown%7CTWFpbGZsb3d8eyJWIjoiMC4wLjAwMDAiLCJQIjoiV2luMzIiLCJBTiI6Ik1haWwiLCJXVCI6Mn0%3D%7C3000%7C%7C%7C&amp;sdata=G3XqwolnrV3HgNRopbb0HLkMJoNUgVIzeCNWstsm18g%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8FE-6C55-4D09-89C8-7EF242A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2023-11-17T21:12:57Z</dcterms:created>
  <dcterms:modified xsi:type="dcterms:W3CDTF">2023-11-17T21:12:57Z</dcterms:modified>
</cp:coreProperties>
</file>