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AE37" w14:textId="77777777" w:rsidR="0033111B" w:rsidRPr="009E5460" w:rsidRDefault="0033111B" w:rsidP="0033111B">
      <w:pPr>
        <w:pStyle w:val="Title"/>
        <w:rPr>
          <w:rFonts w:ascii="Calibri" w:hAnsi="Calibri"/>
        </w:rPr>
      </w:pPr>
      <w:r w:rsidRPr="009E5460">
        <w:rPr>
          <w:rFonts w:ascii="Calibri" w:hAnsi="Calibri"/>
        </w:rPr>
        <w:t>BEFORE</w:t>
      </w:r>
    </w:p>
    <w:p w14:paraId="259146C7" w14:textId="77777777" w:rsidR="0033111B" w:rsidRPr="009E5460" w:rsidRDefault="0033111B" w:rsidP="0033111B">
      <w:pPr>
        <w:jc w:val="center"/>
        <w:rPr>
          <w:rFonts w:ascii="Calibri" w:hAnsi="Calibri"/>
          <w:b/>
        </w:rPr>
      </w:pPr>
      <w:r w:rsidRPr="009E5460">
        <w:rPr>
          <w:rFonts w:ascii="Calibri" w:hAnsi="Calibri"/>
          <w:b/>
        </w:rPr>
        <w:t>THE PUBLIC UTILITIES COMMISSION OF OHIO</w:t>
      </w:r>
    </w:p>
    <w:p w14:paraId="51550F1E" w14:textId="77777777" w:rsidR="0033111B" w:rsidRPr="009E5460" w:rsidRDefault="0033111B" w:rsidP="0033111B">
      <w:pPr>
        <w:rPr>
          <w:rFonts w:ascii="Calibri" w:hAnsi="Calibri"/>
          <w:b/>
        </w:rPr>
      </w:pPr>
    </w:p>
    <w:p w14:paraId="4731CF09" w14:textId="77777777" w:rsidR="0033111B" w:rsidRPr="009E5460" w:rsidRDefault="0033111B" w:rsidP="0033111B">
      <w:pPr>
        <w:rPr>
          <w:rFonts w:ascii="Calibri" w:hAnsi="Calibri"/>
        </w:rPr>
      </w:pPr>
    </w:p>
    <w:p w14:paraId="5CE05DA4" w14:textId="77777777" w:rsidR="0033111B" w:rsidRPr="00FF18E1" w:rsidRDefault="0033111B" w:rsidP="0033111B">
      <w:pPr>
        <w:tabs>
          <w:tab w:val="left" w:pos="5040"/>
          <w:tab w:val="left" w:pos="5797"/>
          <w:tab w:val="left" w:pos="6919"/>
        </w:tabs>
        <w:rPr>
          <w:rFonts w:ascii="Calibri" w:hAnsi="Calibri"/>
        </w:rPr>
      </w:pPr>
      <w:r w:rsidRPr="00FF18E1">
        <w:rPr>
          <w:rFonts w:ascii="Calibri" w:hAnsi="Calibri"/>
        </w:rPr>
        <w:t xml:space="preserve">In the Matter of the Application of </w:t>
      </w:r>
      <w:smartTag w:uri="urn:schemas-microsoft-com:office:smarttags" w:element="State">
        <w:r w:rsidRPr="00FF18E1">
          <w:rPr>
            <w:rFonts w:ascii="Calibri" w:hAnsi="Calibri"/>
          </w:rPr>
          <w:t>Ohio</w:t>
        </w:r>
      </w:smartTag>
      <w:r w:rsidRPr="00FF18E1">
        <w:rPr>
          <w:rFonts w:ascii="Calibri" w:hAnsi="Calibri"/>
        </w:rPr>
        <w:t xml:space="preserve"> </w:t>
      </w:r>
      <w:smartTag w:uri="urn:schemas-microsoft-com:office:smarttags" w:element="place">
        <w:r w:rsidRPr="00FF18E1">
          <w:rPr>
            <w:rFonts w:ascii="Calibri" w:hAnsi="Calibri"/>
          </w:rPr>
          <w:t>Edison</w:t>
        </w:r>
      </w:smartTag>
      <w:r>
        <w:rPr>
          <w:rFonts w:ascii="Calibri" w:hAnsi="Calibri"/>
        </w:rPr>
        <w:tab/>
      </w:r>
      <w:r w:rsidRPr="00FF18E1">
        <w:rPr>
          <w:rFonts w:ascii="Calibri" w:hAnsi="Calibri"/>
        </w:rPr>
        <w:t>)</w:t>
      </w:r>
    </w:p>
    <w:p w14:paraId="26754076" w14:textId="77777777" w:rsidR="0033111B" w:rsidRPr="00FF18E1" w:rsidRDefault="0033111B" w:rsidP="0033111B">
      <w:pPr>
        <w:tabs>
          <w:tab w:val="left" w:pos="5040"/>
          <w:tab w:val="left" w:pos="5797"/>
          <w:tab w:val="left" w:pos="6919"/>
        </w:tabs>
        <w:rPr>
          <w:rFonts w:ascii="Calibri" w:hAnsi="Calibri"/>
        </w:rPr>
      </w:pPr>
      <w:r w:rsidRPr="00FF18E1">
        <w:rPr>
          <w:rFonts w:ascii="Calibri" w:hAnsi="Calibri"/>
        </w:rPr>
        <w:t xml:space="preserve">Company, The </w:t>
      </w:r>
      <w:smartTag w:uri="urn:schemas-microsoft-com:office:smarttags" w:element="place">
        <w:smartTag w:uri="urn:schemas-microsoft-com:office:smarttags" w:element="City">
          <w:r w:rsidRPr="00FF18E1">
            <w:rPr>
              <w:rFonts w:ascii="Calibri" w:hAnsi="Calibri"/>
            </w:rPr>
            <w:t>Cleveland</w:t>
          </w:r>
        </w:smartTag>
      </w:smartTag>
      <w:r w:rsidRPr="00FF18E1">
        <w:rPr>
          <w:rFonts w:ascii="Calibri" w:hAnsi="Calibri"/>
        </w:rPr>
        <w:t xml:space="preserve"> Electric Illuminating </w:t>
      </w:r>
      <w:r w:rsidRPr="00FF18E1">
        <w:rPr>
          <w:rFonts w:ascii="Calibri" w:hAnsi="Calibri"/>
        </w:rPr>
        <w:tab/>
        <w:t>)</w:t>
      </w:r>
    </w:p>
    <w:p w14:paraId="7B36A736" w14:textId="77777777" w:rsidR="0033111B" w:rsidRPr="00FF18E1" w:rsidRDefault="0033111B" w:rsidP="0033111B">
      <w:pPr>
        <w:tabs>
          <w:tab w:val="left" w:pos="5040"/>
          <w:tab w:val="left" w:pos="5797"/>
          <w:tab w:val="left" w:pos="6919"/>
        </w:tabs>
        <w:rPr>
          <w:rFonts w:ascii="Calibri" w:hAnsi="Calibri"/>
        </w:rPr>
      </w:pPr>
      <w:r w:rsidRPr="00FF18E1">
        <w:rPr>
          <w:rFonts w:ascii="Calibri" w:hAnsi="Calibri"/>
        </w:rPr>
        <w:t>Company and The Toledo Edison Company for</w:t>
      </w:r>
      <w:r w:rsidRPr="00FF18E1">
        <w:rPr>
          <w:rFonts w:ascii="Calibri" w:hAnsi="Calibri"/>
        </w:rPr>
        <w:tab/>
        <w:t>)</w:t>
      </w:r>
      <w:r>
        <w:rPr>
          <w:rFonts w:ascii="Calibri" w:hAnsi="Calibri"/>
        </w:rPr>
        <w:tab/>
      </w:r>
      <w:r w:rsidRPr="00FF18E1">
        <w:rPr>
          <w:rFonts w:ascii="Calibri" w:hAnsi="Calibri"/>
        </w:rPr>
        <w:t>Case No.</w:t>
      </w:r>
      <w:r>
        <w:rPr>
          <w:rFonts w:ascii="Calibri" w:hAnsi="Calibri"/>
        </w:rPr>
        <w:t xml:space="preserve"> 23-301-EL-SSO</w:t>
      </w:r>
    </w:p>
    <w:p w14:paraId="7AB9B33B" w14:textId="77777777" w:rsidR="0033111B" w:rsidRPr="00FF18E1" w:rsidRDefault="0033111B" w:rsidP="0033111B">
      <w:pPr>
        <w:tabs>
          <w:tab w:val="left" w:pos="5040"/>
          <w:tab w:val="left" w:pos="5797"/>
          <w:tab w:val="left" w:pos="6919"/>
        </w:tabs>
        <w:rPr>
          <w:rFonts w:ascii="Calibri" w:hAnsi="Calibri"/>
        </w:rPr>
      </w:pPr>
      <w:r>
        <w:rPr>
          <w:rFonts w:ascii="Calibri" w:hAnsi="Calibri"/>
        </w:rPr>
        <w:t>Authority to Establish a Standard Service Offer</w:t>
      </w:r>
      <w:r w:rsidRPr="00FF18E1">
        <w:rPr>
          <w:rFonts w:ascii="Calibri" w:hAnsi="Calibri"/>
        </w:rPr>
        <w:tab/>
        <w:t>)</w:t>
      </w:r>
      <w:r>
        <w:rPr>
          <w:rFonts w:ascii="Calibri" w:hAnsi="Calibri"/>
        </w:rPr>
        <w:tab/>
      </w:r>
      <w:r>
        <w:rPr>
          <w:rFonts w:ascii="Calibri" w:hAnsi="Calibri"/>
        </w:rPr>
        <w:tab/>
      </w:r>
    </w:p>
    <w:p w14:paraId="411DDEF0" w14:textId="77777777" w:rsidR="0033111B" w:rsidRPr="00FF18E1" w:rsidRDefault="0033111B" w:rsidP="0033111B">
      <w:pPr>
        <w:tabs>
          <w:tab w:val="left" w:pos="5040"/>
          <w:tab w:val="left" w:pos="5797"/>
          <w:tab w:val="left" w:pos="6919"/>
        </w:tabs>
        <w:rPr>
          <w:rFonts w:ascii="Calibri" w:hAnsi="Calibri"/>
        </w:rPr>
      </w:pPr>
      <w:r>
        <w:rPr>
          <w:rFonts w:ascii="Calibri" w:hAnsi="Calibri"/>
        </w:rPr>
        <w:t>Pursuant to R.C. § 4928.143 in the Form of an</w:t>
      </w:r>
      <w:r w:rsidRPr="00FF18E1">
        <w:rPr>
          <w:rFonts w:ascii="Calibri" w:hAnsi="Calibri"/>
        </w:rPr>
        <w:tab/>
        <w:t>)</w:t>
      </w:r>
      <w:r>
        <w:rPr>
          <w:rFonts w:ascii="Calibri" w:hAnsi="Calibri"/>
        </w:rPr>
        <w:tab/>
      </w:r>
      <w:r>
        <w:rPr>
          <w:rFonts w:ascii="Calibri" w:hAnsi="Calibri"/>
        </w:rPr>
        <w:tab/>
      </w:r>
    </w:p>
    <w:p w14:paraId="31FE6472" w14:textId="77777777" w:rsidR="0033111B" w:rsidRPr="00FF18E1" w:rsidRDefault="0033111B" w:rsidP="0033111B">
      <w:pPr>
        <w:tabs>
          <w:tab w:val="left" w:pos="5040"/>
          <w:tab w:val="left" w:pos="5797"/>
          <w:tab w:val="left" w:pos="6919"/>
        </w:tabs>
        <w:rPr>
          <w:rFonts w:ascii="Calibri" w:hAnsi="Calibri"/>
        </w:rPr>
      </w:pPr>
      <w:r>
        <w:rPr>
          <w:rFonts w:ascii="Calibri" w:hAnsi="Calibri"/>
        </w:rPr>
        <w:t>Electric Security Plan</w:t>
      </w:r>
      <w:r w:rsidRPr="00FF18E1">
        <w:rPr>
          <w:rFonts w:ascii="Calibri" w:hAnsi="Calibri"/>
        </w:rPr>
        <w:tab/>
        <w:t>)</w:t>
      </w:r>
    </w:p>
    <w:p w14:paraId="0760394B" w14:textId="77777777" w:rsidR="0033111B" w:rsidRPr="00D74A58" w:rsidRDefault="0033111B" w:rsidP="0033111B">
      <w:pPr>
        <w:tabs>
          <w:tab w:val="left" w:pos="6358"/>
          <w:tab w:val="left" w:pos="7667"/>
        </w:tabs>
        <w:rPr>
          <w:rFonts w:ascii="Calibri" w:hAnsi="Calibri"/>
        </w:rPr>
      </w:pPr>
    </w:p>
    <w:p w14:paraId="1182977D" w14:textId="77777777" w:rsidR="0033111B" w:rsidRDefault="0033111B" w:rsidP="0033111B">
      <w:pPr>
        <w:pBdr>
          <w:bottom w:val="single" w:sz="12" w:space="1" w:color="auto"/>
        </w:pBdr>
        <w:jc w:val="center"/>
        <w:rPr>
          <w:rFonts w:ascii="Calibri" w:hAnsi="Calibri"/>
        </w:rPr>
      </w:pPr>
    </w:p>
    <w:p w14:paraId="59FA5473" w14:textId="77777777" w:rsidR="0033111B" w:rsidRPr="009E5460" w:rsidRDefault="0033111B" w:rsidP="0033111B">
      <w:pPr>
        <w:pBdr>
          <w:bottom w:val="single" w:sz="12" w:space="1" w:color="auto"/>
        </w:pBdr>
        <w:jc w:val="center"/>
        <w:rPr>
          <w:rFonts w:ascii="Calibri" w:hAnsi="Calibri"/>
        </w:rPr>
      </w:pPr>
    </w:p>
    <w:p w14:paraId="7386A8E6" w14:textId="77777777" w:rsidR="0033111B" w:rsidRPr="009E5460" w:rsidRDefault="0033111B" w:rsidP="0033111B">
      <w:pPr>
        <w:jc w:val="center"/>
        <w:rPr>
          <w:rFonts w:ascii="Calibri" w:hAnsi="Calibri"/>
        </w:rPr>
      </w:pPr>
    </w:p>
    <w:p w14:paraId="100A79B1" w14:textId="7B9522A5" w:rsidR="0033111B" w:rsidRPr="009E5460" w:rsidRDefault="0033111B" w:rsidP="0033111B">
      <w:pPr>
        <w:jc w:val="center"/>
        <w:rPr>
          <w:rFonts w:ascii="Calibri" w:hAnsi="Calibri"/>
          <w:b/>
          <w:bCs/>
        </w:rPr>
      </w:pPr>
      <w:r>
        <w:rPr>
          <w:rFonts w:ascii="Calibri" w:hAnsi="Calibri"/>
          <w:b/>
          <w:bCs/>
        </w:rPr>
        <w:t xml:space="preserve">REPLY BRIEF OF </w:t>
      </w:r>
      <w:r w:rsidRPr="009E5460">
        <w:rPr>
          <w:rFonts w:ascii="Calibri" w:hAnsi="Calibri"/>
          <w:b/>
          <w:bCs/>
        </w:rPr>
        <w:t>NUCOR STEEL MARION, INC.</w:t>
      </w:r>
    </w:p>
    <w:p w14:paraId="7CEB31C5" w14:textId="77777777" w:rsidR="0033111B" w:rsidRPr="009E5460" w:rsidRDefault="0033111B" w:rsidP="0033111B">
      <w:pPr>
        <w:pBdr>
          <w:bottom w:val="single" w:sz="12" w:space="1" w:color="auto"/>
        </w:pBdr>
        <w:tabs>
          <w:tab w:val="left" w:pos="6461"/>
        </w:tabs>
        <w:rPr>
          <w:rFonts w:ascii="Calibri" w:hAnsi="Calibri"/>
        </w:rPr>
      </w:pPr>
      <w:r w:rsidRPr="009E5460">
        <w:rPr>
          <w:rFonts w:ascii="Calibri" w:hAnsi="Calibri"/>
        </w:rPr>
        <w:tab/>
      </w:r>
    </w:p>
    <w:p w14:paraId="65E154CA" w14:textId="77777777" w:rsidR="0033111B" w:rsidRPr="009E5460" w:rsidRDefault="0033111B" w:rsidP="0033111B">
      <w:pPr>
        <w:rPr>
          <w:rFonts w:ascii="Calibri" w:hAnsi="Calibri"/>
        </w:rPr>
      </w:pPr>
    </w:p>
    <w:p w14:paraId="107EBDE6" w14:textId="77777777" w:rsidR="0033111B" w:rsidRPr="009E5460" w:rsidRDefault="0033111B" w:rsidP="0033111B">
      <w:pPr>
        <w:rPr>
          <w:rFonts w:ascii="Calibri" w:hAnsi="Calibri"/>
        </w:rPr>
      </w:pPr>
    </w:p>
    <w:p w14:paraId="6947E556" w14:textId="77777777" w:rsidR="0033111B" w:rsidRPr="009E5460" w:rsidRDefault="0033111B" w:rsidP="0033111B">
      <w:pPr>
        <w:jc w:val="both"/>
        <w:rPr>
          <w:rFonts w:ascii="Calibri" w:hAnsi="Calibri"/>
        </w:rPr>
      </w:pPr>
    </w:p>
    <w:p w14:paraId="06360AB5" w14:textId="77777777" w:rsidR="0033111B" w:rsidRDefault="0033111B" w:rsidP="0033111B">
      <w:pPr>
        <w:jc w:val="both"/>
        <w:rPr>
          <w:rFonts w:ascii="Calibri" w:hAnsi="Calibri"/>
        </w:rPr>
      </w:pP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t xml:space="preserve">Michael K. Lavanga </w:t>
      </w:r>
    </w:p>
    <w:p w14:paraId="62457BE6" w14:textId="77777777" w:rsidR="0033111B" w:rsidRDefault="0033111B" w:rsidP="0033111B">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Counsel of Record </w:t>
      </w:r>
    </w:p>
    <w:p w14:paraId="1EAEFE99" w14:textId="0AFE5773" w:rsidR="0033111B" w:rsidRPr="009E5460" w:rsidRDefault="0033111B" w:rsidP="0033111B">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PHV #1014-202</w:t>
      </w:r>
      <w:r w:rsidR="009A6CB1">
        <w:rPr>
          <w:rFonts w:ascii="Calibri" w:hAnsi="Calibri"/>
        </w:rPr>
        <w:t>4</w:t>
      </w:r>
      <w:r w:rsidRPr="009E5460">
        <w:rPr>
          <w:rFonts w:ascii="Calibri" w:hAnsi="Calibri"/>
        </w:rPr>
        <w:t xml:space="preserve"> </w:t>
      </w:r>
    </w:p>
    <w:p w14:paraId="3A69F778" w14:textId="77777777" w:rsidR="0033111B" w:rsidRPr="009E5460" w:rsidRDefault="0033111B" w:rsidP="0033111B">
      <w:pPr>
        <w:jc w:val="both"/>
        <w:rPr>
          <w:rFonts w:ascii="Calibri" w:hAnsi="Calibri"/>
        </w:rPr>
      </w:pP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t xml:space="preserve">E-Mail: </w:t>
      </w:r>
      <w:hyperlink r:id="rId8" w:history="1">
        <w:r w:rsidRPr="003F6290">
          <w:rPr>
            <w:rStyle w:val="Hyperlink"/>
            <w:rFonts w:ascii="Calibri" w:hAnsi="Calibri"/>
          </w:rPr>
          <w:t>mkl@smxblaw.com</w:t>
        </w:r>
      </w:hyperlink>
      <w:r w:rsidRPr="009E5460">
        <w:rPr>
          <w:rFonts w:ascii="Calibri" w:hAnsi="Calibri"/>
        </w:rPr>
        <w:t xml:space="preserve"> </w:t>
      </w:r>
    </w:p>
    <w:p w14:paraId="0E477FCD" w14:textId="77777777" w:rsidR="0033111B" w:rsidRDefault="0033111B" w:rsidP="0033111B">
      <w:pPr>
        <w:jc w:val="both"/>
        <w:rPr>
          <w:rFonts w:ascii="Calibri" w:hAnsi="Calibri"/>
        </w:rPr>
      </w:pP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Pr>
          <w:rFonts w:ascii="Calibri" w:hAnsi="Calibri"/>
        </w:rPr>
        <w:t>Joseph A. Briscar</w:t>
      </w:r>
    </w:p>
    <w:p w14:paraId="67FEA0B4" w14:textId="37FBCA2C" w:rsidR="0033111B" w:rsidRDefault="0033111B" w:rsidP="0033111B">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PHV #21216-202</w:t>
      </w:r>
      <w:r w:rsidR="009A6CB1">
        <w:rPr>
          <w:rFonts w:ascii="Calibri" w:hAnsi="Calibri"/>
        </w:rPr>
        <w:t>4</w:t>
      </w:r>
    </w:p>
    <w:p w14:paraId="2E68134D" w14:textId="77777777" w:rsidR="0033111B" w:rsidRDefault="0033111B" w:rsidP="0033111B">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E-Mail: </w:t>
      </w:r>
      <w:hyperlink r:id="rId9" w:history="1">
        <w:r w:rsidRPr="00BA0573">
          <w:rPr>
            <w:rStyle w:val="Hyperlink"/>
            <w:rFonts w:ascii="Calibri" w:hAnsi="Calibri"/>
          </w:rPr>
          <w:t>jrb@smxblaw.com</w:t>
        </w:r>
      </w:hyperlink>
    </w:p>
    <w:p w14:paraId="69B938C0" w14:textId="77777777" w:rsidR="0033111B" w:rsidRPr="009E5460" w:rsidRDefault="0033111B" w:rsidP="0033111B">
      <w:pPr>
        <w:ind w:left="2880" w:firstLine="720"/>
        <w:jc w:val="both"/>
        <w:rPr>
          <w:rFonts w:ascii="Calibri" w:hAnsi="Calibri"/>
        </w:rPr>
      </w:pPr>
      <w:r>
        <w:rPr>
          <w:rFonts w:ascii="Calibri" w:hAnsi="Calibri"/>
        </w:rPr>
        <w:t>Stone Mattheis Xenopoulos &amp; Brew</w:t>
      </w:r>
      <w:r w:rsidRPr="009E5460">
        <w:rPr>
          <w:rFonts w:ascii="Calibri" w:hAnsi="Calibri"/>
        </w:rPr>
        <w:t>, PC</w:t>
      </w:r>
    </w:p>
    <w:p w14:paraId="01C31E68" w14:textId="77777777" w:rsidR="0033111B" w:rsidRPr="009E5460" w:rsidRDefault="0033111B" w:rsidP="0033111B">
      <w:pPr>
        <w:jc w:val="both"/>
        <w:rPr>
          <w:rFonts w:ascii="Calibri" w:hAnsi="Calibri"/>
        </w:rPr>
      </w:pP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t xml:space="preserve">1025 Thomas Jefferson Street, </w:t>
      </w:r>
      <w:r>
        <w:rPr>
          <w:rFonts w:ascii="Calibri" w:hAnsi="Calibri"/>
        </w:rPr>
        <w:t>NW</w:t>
      </w:r>
    </w:p>
    <w:p w14:paraId="35722A8A" w14:textId="77777777" w:rsidR="0033111B" w:rsidRPr="009E5460" w:rsidRDefault="0033111B" w:rsidP="0033111B">
      <w:pPr>
        <w:jc w:val="both"/>
        <w:rPr>
          <w:rFonts w:ascii="Calibri" w:hAnsi="Calibri"/>
        </w:rPr>
      </w:pP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t>8</w:t>
      </w:r>
      <w:r w:rsidRPr="009E5460">
        <w:rPr>
          <w:rFonts w:ascii="Calibri" w:hAnsi="Calibri"/>
          <w:vertAlign w:val="superscript"/>
        </w:rPr>
        <w:t>th</w:t>
      </w:r>
      <w:r w:rsidRPr="009E5460">
        <w:rPr>
          <w:rFonts w:ascii="Calibri" w:hAnsi="Calibri"/>
        </w:rPr>
        <w:t xml:space="preserve"> Floor, </w:t>
      </w:r>
      <w:smartTag w:uri="urn:schemas-microsoft-com:office:smarttags" w:element="place">
        <w:smartTag w:uri="urn:schemas-microsoft-com:office:smarttags" w:element="PlaceName">
          <w:r w:rsidRPr="009E5460">
            <w:rPr>
              <w:rFonts w:ascii="Calibri" w:hAnsi="Calibri"/>
            </w:rPr>
            <w:t>West</w:t>
          </w:r>
        </w:smartTag>
        <w:r w:rsidRPr="009E5460">
          <w:rPr>
            <w:rFonts w:ascii="Calibri" w:hAnsi="Calibri"/>
          </w:rPr>
          <w:t xml:space="preserve"> </w:t>
        </w:r>
        <w:smartTag w:uri="urn:schemas-microsoft-com:office:smarttags" w:element="PlaceType">
          <w:r w:rsidRPr="009E5460">
            <w:rPr>
              <w:rFonts w:ascii="Calibri" w:hAnsi="Calibri"/>
            </w:rPr>
            <w:t>Tower</w:t>
          </w:r>
        </w:smartTag>
      </w:smartTag>
    </w:p>
    <w:p w14:paraId="77D6B0CC" w14:textId="77777777" w:rsidR="0033111B" w:rsidRPr="009E5460" w:rsidRDefault="0033111B" w:rsidP="0033111B">
      <w:pPr>
        <w:jc w:val="both"/>
        <w:rPr>
          <w:rFonts w:ascii="Calibri" w:hAnsi="Calibri"/>
        </w:rPr>
      </w:pP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t xml:space="preserve">Washington, </w:t>
      </w:r>
      <w:r>
        <w:rPr>
          <w:rFonts w:ascii="Calibri" w:hAnsi="Calibri"/>
        </w:rPr>
        <w:t>DC</w:t>
      </w:r>
      <w:r w:rsidRPr="009E5460">
        <w:rPr>
          <w:rFonts w:ascii="Calibri" w:hAnsi="Calibri"/>
        </w:rPr>
        <w:t xml:space="preserve"> 20007</w:t>
      </w:r>
    </w:p>
    <w:p w14:paraId="02496997" w14:textId="77777777" w:rsidR="0033111B" w:rsidRPr="009E5460" w:rsidRDefault="0033111B" w:rsidP="0033111B">
      <w:pPr>
        <w:jc w:val="both"/>
        <w:rPr>
          <w:rFonts w:ascii="Calibri" w:hAnsi="Calibri"/>
        </w:rPr>
      </w:pP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t>(202) 342-0800 (Main Number)</w:t>
      </w:r>
    </w:p>
    <w:p w14:paraId="5564737C" w14:textId="77777777" w:rsidR="0033111B" w:rsidRPr="009E5460" w:rsidRDefault="0033111B" w:rsidP="0033111B">
      <w:pPr>
        <w:jc w:val="both"/>
        <w:rPr>
          <w:rFonts w:ascii="Calibri" w:hAnsi="Calibri"/>
        </w:rPr>
      </w:pP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t>(202) 342-080</w:t>
      </w:r>
      <w:r>
        <w:rPr>
          <w:rFonts w:ascii="Calibri" w:hAnsi="Calibri"/>
        </w:rPr>
        <w:t>7</w:t>
      </w:r>
      <w:r w:rsidRPr="009E5460">
        <w:rPr>
          <w:rFonts w:ascii="Calibri" w:hAnsi="Calibri"/>
        </w:rPr>
        <w:t xml:space="preserve"> (Facsimile)</w:t>
      </w:r>
    </w:p>
    <w:p w14:paraId="09AF4DA5" w14:textId="77777777" w:rsidR="0033111B" w:rsidRPr="009E5460" w:rsidRDefault="0033111B" w:rsidP="0033111B">
      <w:pPr>
        <w:jc w:val="both"/>
        <w:rPr>
          <w:rFonts w:ascii="Calibri" w:hAnsi="Calibri"/>
        </w:rPr>
      </w:pP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p>
    <w:p w14:paraId="25426525" w14:textId="77777777" w:rsidR="0033111B" w:rsidRPr="009E5460" w:rsidRDefault="0033111B" w:rsidP="0033111B">
      <w:pPr>
        <w:ind w:left="3600"/>
        <w:rPr>
          <w:rFonts w:ascii="Calibri" w:hAnsi="Calibri"/>
        </w:rPr>
      </w:pPr>
      <w:r w:rsidRPr="009E5460">
        <w:rPr>
          <w:rFonts w:ascii="Calibri" w:hAnsi="Calibri"/>
          <w:b/>
          <w:bCs/>
        </w:rPr>
        <w:t>Attorneys for Nucor Steel Marion, Inc.</w:t>
      </w:r>
    </w:p>
    <w:p w14:paraId="7F2F0ABD" w14:textId="77777777" w:rsidR="0033111B" w:rsidRDefault="0033111B" w:rsidP="0033111B">
      <w:pPr>
        <w:jc w:val="center"/>
        <w:rPr>
          <w:rFonts w:ascii="Calibri" w:hAnsi="Calibri"/>
          <w:b/>
          <w:bCs/>
        </w:rPr>
      </w:pPr>
    </w:p>
    <w:p w14:paraId="5E4EA17C" w14:textId="77777777" w:rsidR="007926CC" w:rsidRDefault="007926CC" w:rsidP="0033111B">
      <w:pPr>
        <w:jc w:val="center"/>
        <w:rPr>
          <w:rFonts w:ascii="Calibri" w:hAnsi="Calibri"/>
          <w:b/>
          <w:bCs/>
        </w:rPr>
        <w:sectPr w:rsidR="007926CC" w:rsidSect="00655EE0">
          <w:footerReference w:type="default" r:id="rId10"/>
          <w:pgSz w:w="12240" w:h="15840"/>
          <w:pgMar w:top="1440" w:right="1440" w:bottom="1440" w:left="1440" w:header="720" w:footer="720" w:gutter="0"/>
          <w:cols w:space="720"/>
          <w:docGrid w:linePitch="360"/>
        </w:sectPr>
      </w:pPr>
    </w:p>
    <w:sdt>
      <w:sdtPr>
        <w:rPr>
          <w:rFonts w:asciiTheme="minorHAnsi" w:eastAsia="Times New Roman" w:hAnsiTheme="minorHAnsi" w:cstheme="minorHAnsi"/>
          <w:b/>
          <w:bCs/>
          <w:color w:val="auto"/>
          <w:sz w:val="24"/>
          <w:szCs w:val="24"/>
          <w:u w:val="single"/>
        </w:rPr>
        <w:id w:val="-1262683398"/>
        <w:docPartObj>
          <w:docPartGallery w:val="Table of Contents"/>
          <w:docPartUnique/>
        </w:docPartObj>
      </w:sdtPr>
      <w:sdtEndPr>
        <w:rPr>
          <w:rFonts w:ascii="Times New Roman" w:hAnsi="Times New Roman" w:cs="Times New Roman"/>
          <w:noProof/>
          <w:szCs w:val="20"/>
          <w:u w:val="none"/>
        </w:rPr>
      </w:sdtEndPr>
      <w:sdtContent>
        <w:p w14:paraId="3F87B48C" w14:textId="28749E8B" w:rsidR="002B6DAC" w:rsidRPr="002B6DAC" w:rsidRDefault="002B6DAC" w:rsidP="002B6DAC">
          <w:pPr>
            <w:pStyle w:val="TOCHeading"/>
            <w:jc w:val="center"/>
            <w:rPr>
              <w:rFonts w:asciiTheme="minorHAnsi" w:hAnsiTheme="minorHAnsi" w:cstheme="minorHAnsi"/>
              <w:b/>
              <w:bCs/>
              <w:color w:val="auto"/>
              <w:sz w:val="24"/>
              <w:szCs w:val="24"/>
              <w:u w:val="single"/>
            </w:rPr>
          </w:pPr>
          <w:r w:rsidRPr="002B6DAC">
            <w:rPr>
              <w:rFonts w:asciiTheme="minorHAnsi" w:hAnsiTheme="minorHAnsi" w:cstheme="minorHAnsi"/>
              <w:b/>
              <w:bCs/>
              <w:color w:val="auto"/>
              <w:sz w:val="24"/>
              <w:szCs w:val="24"/>
              <w:u w:val="single"/>
            </w:rPr>
            <w:t>TABLE OF CONTENTS</w:t>
          </w:r>
        </w:p>
        <w:p w14:paraId="2F7E7AED" w14:textId="105E9F0F" w:rsidR="001E5CC5" w:rsidRDefault="002B6DAC">
          <w:pPr>
            <w:pStyle w:val="TOC1"/>
            <w:tabs>
              <w:tab w:val="right" w:leader="dot" w:pos="9350"/>
            </w:tabs>
            <w:rPr>
              <w:rFonts w:asciiTheme="minorHAnsi" w:eastAsiaTheme="minorEastAsia" w:hAnsiTheme="minorHAnsi" w:cstheme="minorBidi"/>
              <w:b w:val="0"/>
              <w:noProof/>
              <w:kern w:val="2"/>
              <w:szCs w:val="24"/>
              <w14:ligatures w14:val="standardContextual"/>
            </w:rPr>
          </w:pPr>
          <w:r>
            <w:rPr>
              <w:b w:val="0"/>
            </w:rPr>
            <w:fldChar w:fldCharType="begin"/>
          </w:r>
          <w:r>
            <w:rPr>
              <w:b w:val="0"/>
            </w:rPr>
            <w:instrText xml:space="preserve"> TOC \o "1-4" \h \z \u </w:instrText>
          </w:r>
          <w:r>
            <w:rPr>
              <w:b w:val="0"/>
            </w:rPr>
            <w:fldChar w:fldCharType="separate"/>
          </w:r>
          <w:hyperlink w:anchor="_Toc158363480" w:history="1">
            <w:r w:rsidR="001E5CC5" w:rsidRPr="003E33D4">
              <w:rPr>
                <w:rStyle w:val="Hyperlink"/>
                <w:noProof/>
              </w:rPr>
              <w:t>I.</w:t>
            </w:r>
            <w:r w:rsidR="001E5CC5">
              <w:rPr>
                <w:rFonts w:asciiTheme="minorHAnsi" w:eastAsiaTheme="minorEastAsia" w:hAnsiTheme="minorHAnsi" w:cstheme="minorBidi"/>
                <w:b w:val="0"/>
                <w:noProof/>
                <w:kern w:val="2"/>
                <w:szCs w:val="24"/>
                <w14:ligatures w14:val="standardContextual"/>
              </w:rPr>
              <w:tab/>
            </w:r>
            <w:r w:rsidR="001E5CC5" w:rsidRPr="003E33D4">
              <w:rPr>
                <w:rStyle w:val="Hyperlink"/>
                <w:noProof/>
              </w:rPr>
              <w:t>INTRODUCTION</w:t>
            </w:r>
            <w:r w:rsidR="001E5CC5">
              <w:rPr>
                <w:noProof/>
                <w:webHidden/>
              </w:rPr>
              <w:tab/>
            </w:r>
            <w:r w:rsidR="001E5CC5">
              <w:rPr>
                <w:noProof/>
                <w:webHidden/>
              </w:rPr>
              <w:fldChar w:fldCharType="begin"/>
            </w:r>
            <w:r w:rsidR="001E5CC5">
              <w:rPr>
                <w:noProof/>
                <w:webHidden/>
              </w:rPr>
              <w:instrText xml:space="preserve"> PAGEREF _Toc158363480 \h </w:instrText>
            </w:r>
            <w:r w:rsidR="001E5CC5">
              <w:rPr>
                <w:noProof/>
                <w:webHidden/>
              </w:rPr>
            </w:r>
            <w:r w:rsidR="001E5CC5">
              <w:rPr>
                <w:noProof/>
                <w:webHidden/>
              </w:rPr>
              <w:fldChar w:fldCharType="separate"/>
            </w:r>
            <w:r w:rsidR="007918A4">
              <w:rPr>
                <w:noProof/>
                <w:webHidden/>
              </w:rPr>
              <w:t>1</w:t>
            </w:r>
            <w:r w:rsidR="001E5CC5">
              <w:rPr>
                <w:noProof/>
                <w:webHidden/>
              </w:rPr>
              <w:fldChar w:fldCharType="end"/>
            </w:r>
          </w:hyperlink>
        </w:p>
        <w:p w14:paraId="223EA2D4" w14:textId="7F6D7556" w:rsidR="001E5CC5" w:rsidRDefault="007918A4">
          <w:pPr>
            <w:pStyle w:val="TOC1"/>
            <w:tabs>
              <w:tab w:val="right" w:leader="dot" w:pos="9350"/>
            </w:tabs>
            <w:rPr>
              <w:rFonts w:asciiTheme="minorHAnsi" w:eastAsiaTheme="minorEastAsia" w:hAnsiTheme="minorHAnsi" w:cstheme="minorBidi"/>
              <w:b w:val="0"/>
              <w:noProof/>
              <w:kern w:val="2"/>
              <w:szCs w:val="24"/>
              <w14:ligatures w14:val="standardContextual"/>
            </w:rPr>
          </w:pPr>
          <w:hyperlink w:anchor="_Toc158363481" w:history="1">
            <w:r w:rsidR="001E5CC5" w:rsidRPr="003E33D4">
              <w:rPr>
                <w:rStyle w:val="Hyperlink"/>
                <w:noProof/>
              </w:rPr>
              <w:t>II.</w:t>
            </w:r>
            <w:r w:rsidR="001E5CC5">
              <w:rPr>
                <w:rFonts w:asciiTheme="minorHAnsi" w:eastAsiaTheme="minorEastAsia" w:hAnsiTheme="minorHAnsi" w:cstheme="minorBidi"/>
                <w:b w:val="0"/>
                <w:noProof/>
                <w:kern w:val="2"/>
                <w:szCs w:val="24"/>
                <w14:ligatures w14:val="standardContextual"/>
              </w:rPr>
              <w:tab/>
            </w:r>
            <w:r w:rsidR="001E5CC5" w:rsidRPr="003E33D4">
              <w:rPr>
                <w:rStyle w:val="Hyperlink"/>
                <w:noProof/>
              </w:rPr>
              <w:t>ARGUMENT</w:t>
            </w:r>
            <w:r w:rsidR="001E5CC5">
              <w:rPr>
                <w:noProof/>
                <w:webHidden/>
              </w:rPr>
              <w:tab/>
            </w:r>
            <w:r w:rsidR="001E5CC5">
              <w:rPr>
                <w:noProof/>
                <w:webHidden/>
              </w:rPr>
              <w:fldChar w:fldCharType="begin"/>
            </w:r>
            <w:r w:rsidR="001E5CC5">
              <w:rPr>
                <w:noProof/>
                <w:webHidden/>
              </w:rPr>
              <w:instrText xml:space="preserve"> PAGEREF _Toc158363481 \h </w:instrText>
            </w:r>
            <w:r w:rsidR="001E5CC5">
              <w:rPr>
                <w:noProof/>
                <w:webHidden/>
              </w:rPr>
            </w:r>
            <w:r w:rsidR="001E5CC5">
              <w:rPr>
                <w:noProof/>
                <w:webHidden/>
              </w:rPr>
              <w:fldChar w:fldCharType="separate"/>
            </w:r>
            <w:r>
              <w:rPr>
                <w:noProof/>
                <w:webHidden/>
              </w:rPr>
              <w:t>2</w:t>
            </w:r>
            <w:r w:rsidR="001E5CC5">
              <w:rPr>
                <w:noProof/>
                <w:webHidden/>
              </w:rPr>
              <w:fldChar w:fldCharType="end"/>
            </w:r>
          </w:hyperlink>
        </w:p>
        <w:p w14:paraId="57F9527D" w14:textId="4B82CF8E" w:rsidR="001E5CC5" w:rsidRDefault="007918A4">
          <w:pPr>
            <w:pStyle w:val="TOC2"/>
            <w:tabs>
              <w:tab w:val="left" w:pos="1440"/>
              <w:tab w:val="right" w:leader="dot" w:pos="9350"/>
            </w:tabs>
            <w:rPr>
              <w:rFonts w:asciiTheme="minorHAnsi" w:eastAsiaTheme="minorEastAsia" w:hAnsiTheme="minorHAnsi" w:cstheme="minorBidi"/>
              <w:b w:val="0"/>
              <w:noProof/>
              <w:kern w:val="2"/>
              <w:szCs w:val="24"/>
              <w14:ligatures w14:val="standardContextual"/>
            </w:rPr>
          </w:pPr>
          <w:hyperlink w:anchor="_Toc158363482" w:history="1">
            <w:r w:rsidR="001E5CC5" w:rsidRPr="003E33D4">
              <w:rPr>
                <w:rStyle w:val="Hyperlink"/>
                <w:noProof/>
              </w:rPr>
              <w:t>A.</w:t>
            </w:r>
            <w:r w:rsidR="001E5CC5">
              <w:rPr>
                <w:rFonts w:asciiTheme="minorHAnsi" w:eastAsiaTheme="minorEastAsia" w:hAnsiTheme="minorHAnsi" w:cstheme="minorBidi"/>
                <w:b w:val="0"/>
                <w:noProof/>
                <w:kern w:val="2"/>
                <w:szCs w:val="24"/>
                <w14:ligatures w14:val="standardContextual"/>
              </w:rPr>
              <w:tab/>
            </w:r>
            <w:r w:rsidR="001E5CC5" w:rsidRPr="003E33D4">
              <w:rPr>
                <w:rStyle w:val="Hyperlink"/>
                <w:noProof/>
              </w:rPr>
              <w:t>Rider ELR</w:t>
            </w:r>
            <w:r w:rsidR="001E5CC5">
              <w:rPr>
                <w:noProof/>
                <w:webHidden/>
              </w:rPr>
              <w:tab/>
            </w:r>
            <w:r w:rsidR="001E5CC5">
              <w:rPr>
                <w:noProof/>
                <w:webHidden/>
              </w:rPr>
              <w:fldChar w:fldCharType="begin"/>
            </w:r>
            <w:r w:rsidR="001E5CC5">
              <w:rPr>
                <w:noProof/>
                <w:webHidden/>
              </w:rPr>
              <w:instrText xml:space="preserve"> PAGEREF _Toc158363482 \h </w:instrText>
            </w:r>
            <w:r w:rsidR="001E5CC5">
              <w:rPr>
                <w:noProof/>
                <w:webHidden/>
              </w:rPr>
            </w:r>
            <w:r w:rsidR="001E5CC5">
              <w:rPr>
                <w:noProof/>
                <w:webHidden/>
              </w:rPr>
              <w:fldChar w:fldCharType="separate"/>
            </w:r>
            <w:r>
              <w:rPr>
                <w:noProof/>
                <w:webHidden/>
              </w:rPr>
              <w:t>2</w:t>
            </w:r>
            <w:r w:rsidR="001E5CC5">
              <w:rPr>
                <w:noProof/>
                <w:webHidden/>
              </w:rPr>
              <w:fldChar w:fldCharType="end"/>
            </w:r>
          </w:hyperlink>
        </w:p>
        <w:p w14:paraId="12DE7D73" w14:textId="59EEC9FC" w:rsidR="001E5CC5" w:rsidRDefault="007918A4">
          <w:pPr>
            <w:pStyle w:val="TOC3"/>
            <w:rPr>
              <w:rFonts w:asciiTheme="minorHAnsi" w:eastAsiaTheme="minorEastAsia" w:hAnsiTheme="minorHAnsi" w:cstheme="minorBidi"/>
              <w:b w:val="0"/>
              <w:noProof/>
              <w:kern w:val="2"/>
              <w:szCs w:val="24"/>
              <w14:ligatures w14:val="standardContextual"/>
            </w:rPr>
          </w:pPr>
          <w:hyperlink w:anchor="_Toc158363483" w:history="1">
            <w:r w:rsidR="001E5CC5" w:rsidRPr="003E33D4">
              <w:rPr>
                <w:rStyle w:val="Hyperlink"/>
                <w:noProof/>
              </w:rPr>
              <w:t>1.</w:t>
            </w:r>
            <w:r w:rsidR="001E5CC5">
              <w:rPr>
                <w:rFonts w:asciiTheme="minorHAnsi" w:eastAsiaTheme="minorEastAsia" w:hAnsiTheme="minorHAnsi" w:cstheme="minorBidi"/>
                <w:b w:val="0"/>
                <w:noProof/>
                <w:kern w:val="2"/>
                <w:szCs w:val="24"/>
                <w14:ligatures w14:val="standardContextual"/>
              </w:rPr>
              <w:tab/>
            </w:r>
            <w:r w:rsidR="001E5CC5" w:rsidRPr="003E33D4">
              <w:rPr>
                <w:rStyle w:val="Hyperlink"/>
                <w:noProof/>
              </w:rPr>
              <w:t>Nucor’s proposal best preserves the benefits of Rider ELR</w:t>
            </w:r>
            <w:r w:rsidR="001E5CC5">
              <w:rPr>
                <w:noProof/>
                <w:webHidden/>
              </w:rPr>
              <w:tab/>
            </w:r>
            <w:r w:rsidR="001E5CC5">
              <w:rPr>
                <w:noProof/>
                <w:webHidden/>
              </w:rPr>
              <w:fldChar w:fldCharType="begin"/>
            </w:r>
            <w:r w:rsidR="001E5CC5">
              <w:rPr>
                <w:noProof/>
                <w:webHidden/>
              </w:rPr>
              <w:instrText xml:space="preserve"> PAGEREF _Toc158363483 \h </w:instrText>
            </w:r>
            <w:r w:rsidR="001E5CC5">
              <w:rPr>
                <w:noProof/>
                <w:webHidden/>
              </w:rPr>
            </w:r>
            <w:r w:rsidR="001E5CC5">
              <w:rPr>
                <w:noProof/>
                <w:webHidden/>
              </w:rPr>
              <w:fldChar w:fldCharType="separate"/>
            </w:r>
            <w:r>
              <w:rPr>
                <w:noProof/>
                <w:webHidden/>
              </w:rPr>
              <w:t>2</w:t>
            </w:r>
            <w:r w:rsidR="001E5CC5">
              <w:rPr>
                <w:noProof/>
                <w:webHidden/>
              </w:rPr>
              <w:fldChar w:fldCharType="end"/>
            </w:r>
          </w:hyperlink>
        </w:p>
        <w:p w14:paraId="7C7F57CD" w14:textId="4F28FD2D" w:rsidR="001E5CC5" w:rsidRDefault="007918A4">
          <w:pPr>
            <w:pStyle w:val="TOC3"/>
            <w:rPr>
              <w:rFonts w:asciiTheme="minorHAnsi" w:eastAsiaTheme="minorEastAsia" w:hAnsiTheme="minorHAnsi" w:cstheme="minorBidi"/>
              <w:b w:val="0"/>
              <w:noProof/>
              <w:kern w:val="2"/>
              <w:szCs w:val="24"/>
              <w14:ligatures w14:val="standardContextual"/>
            </w:rPr>
          </w:pPr>
          <w:hyperlink w:anchor="_Toc158363484" w:history="1">
            <w:r w:rsidR="001E5CC5" w:rsidRPr="003E33D4">
              <w:rPr>
                <w:rStyle w:val="Hyperlink"/>
                <w:noProof/>
              </w:rPr>
              <w:t>2.</w:t>
            </w:r>
            <w:r w:rsidR="001E5CC5">
              <w:rPr>
                <w:rFonts w:asciiTheme="minorHAnsi" w:eastAsiaTheme="minorEastAsia" w:hAnsiTheme="minorHAnsi" w:cstheme="minorBidi"/>
                <w:b w:val="0"/>
                <w:noProof/>
                <w:kern w:val="2"/>
                <w:szCs w:val="24"/>
                <w14:ligatures w14:val="standardContextual"/>
              </w:rPr>
              <w:tab/>
            </w:r>
            <w:r w:rsidR="001E5CC5" w:rsidRPr="003E33D4">
              <w:rPr>
                <w:rStyle w:val="Hyperlink"/>
                <w:noProof/>
              </w:rPr>
              <w:t>The evidence in this case supports the extension of Rider ELR</w:t>
            </w:r>
            <w:r w:rsidR="001E5CC5">
              <w:rPr>
                <w:noProof/>
                <w:webHidden/>
              </w:rPr>
              <w:tab/>
            </w:r>
            <w:r w:rsidR="001E5CC5">
              <w:rPr>
                <w:noProof/>
                <w:webHidden/>
              </w:rPr>
              <w:fldChar w:fldCharType="begin"/>
            </w:r>
            <w:r w:rsidR="001E5CC5">
              <w:rPr>
                <w:noProof/>
                <w:webHidden/>
              </w:rPr>
              <w:instrText xml:space="preserve"> PAGEREF _Toc158363484 \h </w:instrText>
            </w:r>
            <w:r w:rsidR="001E5CC5">
              <w:rPr>
                <w:noProof/>
                <w:webHidden/>
              </w:rPr>
            </w:r>
            <w:r w:rsidR="001E5CC5">
              <w:rPr>
                <w:noProof/>
                <w:webHidden/>
              </w:rPr>
              <w:fldChar w:fldCharType="separate"/>
            </w:r>
            <w:r>
              <w:rPr>
                <w:noProof/>
                <w:webHidden/>
              </w:rPr>
              <w:t>4</w:t>
            </w:r>
            <w:r w:rsidR="001E5CC5">
              <w:rPr>
                <w:noProof/>
                <w:webHidden/>
              </w:rPr>
              <w:fldChar w:fldCharType="end"/>
            </w:r>
          </w:hyperlink>
        </w:p>
        <w:p w14:paraId="3C584810" w14:textId="4C9024E4" w:rsidR="001E5CC5" w:rsidRDefault="007918A4">
          <w:pPr>
            <w:pStyle w:val="TOC4"/>
            <w:rPr>
              <w:rFonts w:asciiTheme="minorHAnsi" w:eastAsiaTheme="minorEastAsia" w:hAnsiTheme="minorHAnsi" w:cstheme="minorBidi"/>
              <w:b w:val="0"/>
              <w:noProof/>
              <w:kern w:val="2"/>
              <w:szCs w:val="24"/>
              <w14:ligatures w14:val="standardContextual"/>
            </w:rPr>
          </w:pPr>
          <w:hyperlink w:anchor="_Toc158363485" w:history="1">
            <w:r w:rsidR="001E5CC5" w:rsidRPr="003E33D4">
              <w:rPr>
                <w:rStyle w:val="Hyperlink"/>
                <w:noProof/>
              </w:rPr>
              <w:t>a.</w:t>
            </w:r>
            <w:r w:rsidR="001E5CC5">
              <w:rPr>
                <w:rFonts w:asciiTheme="minorHAnsi" w:eastAsiaTheme="minorEastAsia" w:hAnsiTheme="minorHAnsi" w:cstheme="minorBidi"/>
                <w:b w:val="0"/>
                <w:noProof/>
                <w:kern w:val="2"/>
                <w:szCs w:val="24"/>
                <w14:ligatures w14:val="standardContextual"/>
              </w:rPr>
              <w:tab/>
            </w:r>
            <w:r w:rsidR="001E5CC5" w:rsidRPr="003E33D4">
              <w:rPr>
                <w:rStyle w:val="Hyperlink"/>
                <w:noProof/>
              </w:rPr>
              <w:t>Rider ELR is not a subsidy</w:t>
            </w:r>
            <w:r w:rsidR="001E5CC5">
              <w:rPr>
                <w:noProof/>
                <w:webHidden/>
              </w:rPr>
              <w:tab/>
            </w:r>
            <w:r w:rsidR="001E5CC5">
              <w:rPr>
                <w:noProof/>
                <w:webHidden/>
              </w:rPr>
              <w:fldChar w:fldCharType="begin"/>
            </w:r>
            <w:r w:rsidR="001E5CC5">
              <w:rPr>
                <w:noProof/>
                <w:webHidden/>
              </w:rPr>
              <w:instrText xml:space="preserve"> PAGEREF _Toc158363485 \h </w:instrText>
            </w:r>
            <w:r w:rsidR="001E5CC5">
              <w:rPr>
                <w:noProof/>
                <w:webHidden/>
              </w:rPr>
            </w:r>
            <w:r w:rsidR="001E5CC5">
              <w:rPr>
                <w:noProof/>
                <w:webHidden/>
              </w:rPr>
              <w:fldChar w:fldCharType="separate"/>
            </w:r>
            <w:r>
              <w:rPr>
                <w:noProof/>
                <w:webHidden/>
              </w:rPr>
              <w:t>4</w:t>
            </w:r>
            <w:r w:rsidR="001E5CC5">
              <w:rPr>
                <w:noProof/>
                <w:webHidden/>
              </w:rPr>
              <w:fldChar w:fldCharType="end"/>
            </w:r>
          </w:hyperlink>
        </w:p>
        <w:p w14:paraId="21D15991" w14:textId="3DFB8AEC" w:rsidR="001E5CC5" w:rsidRDefault="007918A4">
          <w:pPr>
            <w:pStyle w:val="TOC4"/>
            <w:rPr>
              <w:rFonts w:asciiTheme="minorHAnsi" w:eastAsiaTheme="minorEastAsia" w:hAnsiTheme="minorHAnsi" w:cstheme="minorBidi"/>
              <w:b w:val="0"/>
              <w:noProof/>
              <w:kern w:val="2"/>
              <w:szCs w:val="24"/>
              <w14:ligatures w14:val="standardContextual"/>
            </w:rPr>
          </w:pPr>
          <w:hyperlink w:anchor="_Toc158363486" w:history="1">
            <w:r w:rsidR="001E5CC5" w:rsidRPr="003E33D4">
              <w:rPr>
                <w:rStyle w:val="Hyperlink"/>
                <w:noProof/>
              </w:rPr>
              <w:t>b.</w:t>
            </w:r>
            <w:r w:rsidR="001E5CC5">
              <w:rPr>
                <w:rFonts w:asciiTheme="minorHAnsi" w:eastAsiaTheme="minorEastAsia" w:hAnsiTheme="minorHAnsi" w:cstheme="minorBidi"/>
                <w:b w:val="0"/>
                <w:noProof/>
                <w:kern w:val="2"/>
                <w:szCs w:val="24"/>
                <w14:ligatures w14:val="standardContextual"/>
              </w:rPr>
              <w:tab/>
            </w:r>
            <w:r w:rsidR="001E5CC5" w:rsidRPr="003E33D4">
              <w:rPr>
                <w:rStyle w:val="Hyperlink"/>
                <w:noProof/>
              </w:rPr>
              <w:t>The value of Rider ELR is not dependent on how often ELR customers are interrupted</w:t>
            </w:r>
            <w:r w:rsidR="001E5CC5">
              <w:rPr>
                <w:noProof/>
                <w:webHidden/>
              </w:rPr>
              <w:tab/>
            </w:r>
            <w:r w:rsidR="001E5CC5">
              <w:rPr>
                <w:noProof/>
                <w:webHidden/>
              </w:rPr>
              <w:fldChar w:fldCharType="begin"/>
            </w:r>
            <w:r w:rsidR="001E5CC5">
              <w:rPr>
                <w:noProof/>
                <w:webHidden/>
              </w:rPr>
              <w:instrText xml:space="preserve"> PAGEREF _Toc158363486 \h </w:instrText>
            </w:r>
            <w:r w:rsidR="001E5CC5">
              <w:rPr>
                <w:noProof/>
                <w:webHidden/>
              </w:rPr>
            </w:r>
            <w:r w:rsidR="001E5CC5">
              <w:rPr>
                <w:noProof/>
                <w:webHidden/>
              </w:rPr>
              <w:fldChar w:fldCharType="separate"/>
            </w:r>
            <w:r>
              <w:rPr>
                <w:noProof/>
                <w:webHidden/>
              </w:rPr>
              <w:t>8</w:t>
            </w:r>
            <w:r w:rsidR="001E5CC5">
              <w:rPr>
                <w:noProof/>
                <w:webHidden/>
              </w:rPr>
              <w:fldChar w:fldCharType="end"/>
            </w:r>
          </w:hyperlink>
        </w:p>
        <w:p w14:paraId="7765DBA6" w14:textId="15D4900C" w:rsidR="001E5CC5" w:rsidRDefault="007918A4">
          <w:pPr>
            <w:pStyle w:val="TOC4"/>
            <w:rPr>
              <w:rFonts w:asciiTheme="minorHAnsi" w:eastAsiaTheme="minorEastAsia" w:hAnsiTheme="minorHAnsi" w:cstheme="minorBidi"/>
              <w:b w:val="0"/>
              <w:noProof/>
              <w:kern w:val="2"/>
              <w:szCs w:val="24"/>
              <w14:ligatures w14:val="standardContextual"/>
            </w:rPr>
          </w:pPr>
          <w:hyperlink w:anchor="_Toc158363487" w:history="1">
            <w:r w:rsidR="001E5CC5" w:rsidRPr="003E33D4">
              <w:rPr>
                <w:rStyle w:val="Hyperlink"/>
                <w:noProof/>
              </w:rPr>
              <w:t>c.</w:t>
            </w:r>
            <w:r w:rsidR="001E5CC5">
              <w:rPr>
                <w:rFonts w:asciiTheme="minorHAnsi" w:eastAsiaTheme="minorEastAsia" w:hAnsiTheme="minorHAnsi" w:cstheme="minorBidi"/>
                <w:b w:val="0"/>
                <w:noProof/>
                <w:kern w:val="2"/>
                <w:szCs w:val="24"/>
                <w14:ligatures w14:val="standardContextual"/>
              </w:rPr>
              <w:tab/>
            </w:r>
            <w:r w:rsidR="001E5CC5" w:rsidRPr="003E33D4">
              <w:rPr>
                <w:rStyle w:val="Hyperlink"/>
                <w:noProof/>
              </w:rPr>
              <w:t>Rider ELR is not limited to, and is not duplicative of, PJM demand response</w:t>
            </w:r>
            <w:r w:rsidR="001E5CC5">
              <w:rPr>
                <w:noProof/>
                <w:webHidden/>
              </w:rPr>
              <w:tab/>
            </w:r>
            <w:r w:rsidR="001E5CC5">
              <w:rPr>
                <w:noProof/>
                <w:webHidden/>
              </w:rPr>
              <w:fldChar w:fldCharType="begin"/>
            </w:r>
            <w:r w:rsidR="001E5CC5">
              <w:rPr>
                <w:noProof/>
                <w:webHidden/>
              </w:rPr>
              <w:instrText xml:space="preserve"> PAGEREF _Toc158363487 \h </w:instrText>
            </w:r>
            <w:r w:rsidR="001E5CC5">
              <w:rPr>
                <w:noProof/>
                <w:webHidden/>
              </w:rPr>
            </w:r>
            <w:r w:rsidR="001E5CC5">
              <w:rPr>
                <w:noProof/>
                <w:webHidden/>
              </w:rPr>
              <w:fldChar w:fldCharType="separate"/>
            </w:r>
            <w:r>
              <w:rPr>
                <w:noProof/>
                <w:webHidden/>
              </w:rPr>
              <w:t>10</w:t>
            </w:r>
            <w:r w:rsidR="001E5CC5">
              <w:rPr>
                <w:noProof/>
                <w:webHidden/>
              </w:rPr>
              <w:fldChar w:fldCharType="end"/>
            </w:r>
          </w:hyperlink>
        </w:p>
        <w:p w14:paraId="19A8768E" w14:textId="629F71E0" w:rsidR="001E5CC5" w:rsidRDefault="007918A4">
          <w:pPr>
            <w:pStyle w:val="TOC4"/>
            <w:rPr>
              <w:rFonts w:asciiTheme="minorHAnsi" w:eastAsiaTheme="minorEastAsia" w:hAnsiTheme="minorHAnsi" w:cstheme="minorBidi"/>
              <w:b w:val="0"/>
              <w:noProof/>
              <w:kern w:val="2"/>
              <w:szCs w:val="24"/>
              <w14:ligatures w14:val="standardContextual"/>
            </w:rPr>
          </w:pPr>
          <w:hyperlink w:anchor="_Toc158363488" w:history="1">
            <w:r w:rsidR="001E5CC5" w:rsidRPr="003E33D4">
              <w:rPr>
                <w:rStyle w:val="Hyperlink"/>
                <w:noProof/>
              </w:rPr>
              <w:t>d.</w:t>
            </w:r>
            <w:r w:rsidR="001E5CC5">
              <w:rPr>
                <w:rFonts w:asciiTheme="minorHAnsi" w:eastAsiaTheme="minorEastAsia" w:hAnsiTheme="minorHAnsi" w:cstheme="minorBidi"/>
                <w:b w:val="0"/>
                <w:noProof/>
                <w:kern w:val="2"/>
                <w:szCs w:val="24"/>
                <w14:ligatures w14:val="standardContextual"/>
              </w:rPr>
              <w:tab/>
            </w:r>
            <w:r w:rsidR="001E5CC5" w:rsidRPr="003E33D4">
              <w:rPr>
                <w:rStyle w:val="Hyperlink"/>
                <w:noProof/>
              </w:rPr>
              <w:t xml:space="preserve">Rider ELR’s participation limits are not discriminatory, and the Commission has various ways to allow more participation in the program and to promote economic development more </w:t>
            </w:r>
            <w:r w:rsidR="001E5CC5">
              <w:rPr>
                <w:rStyle w:val="Hyperlink"/>
                <w:noProof/>
              </w:rPr>
              <w:t xml:space="preserve"> </w:t>
            </w:r>
            <w:r w:rsidR="001E5CC5" w:rsidRPr="003E33D4">
              <w:rPr>
                <w:rStyle w:val="Hyperlink"/>
                <w:noProof/>
              </w:rPr>
              <w:t>generally</w:t>
            </w:r>
            <w:r w:rsidR="001E5CC5">
              <w:rPr>
                <w:noProof/>
                <w:webHidden/>
              </w:rPr>
              <w:tab/>
            </w:r>
            <w:r w:rsidR="001E5CC5">
              <w:rPr>
                <w:noProof/>
                <w:webHidden/>
              </w:rPr>
              <w:fldChar w:fldCharType="begin"/>
            </w:r>
            <w:r w:rsidR="001E5CC5">
              <w:rPr>
                <w:noProof/>
                <w:webHidden/>
              </w:rPr>
              <w:instrText xml:space="preserve"> PAGEREF _Toc158363488 \h </w:instrText>
            </w:r>
            <w:r w:rsidR="001E5CC5">
              <w:rPr>
                <w:noProof/>
                <w:webHidden/>
              </w:rPr>
            </w:r>
            <w:r w:rsidR="001E5CC5">
              <w:rPr>
                <w:noProof/>
                <w:webHidden/>
              </w:rPr>
              <w:fldChar w:fldCharType="separate"/>
            </w:r>
            <w:r>
              <w:rPr>
                <w:noProof/>
                <w:webHidden/>
              </w:rPr>
              <w:t>12</w:t>
            </w:r>
            <w:r w:rsidR="001E5CC5">
              <w:rPr>
                <w:noProof/>
                <w:webHidden/>
              </w:rPr>
              <w:fldChar w:fldCharType="end"/>
            </w:r>
          </w:hyperlink>
        </w:p>
        <w:p w14:paraId="6ED8D3D0" w14:textId="23E6E845" w:rsidR="001E5CC5" w:rsidRDefault="007918A4">
          <w:pPr>
            <w:pStyle w:val="TOC4"/>
            <w:rPr>
              <w:rFonts w:asciiTheme="minorHAnsi" w:eastAsiaTheme="minorEastAsia" w:hAnsiTheme="minorHAnsi" w:cstheme="minorBidi"/>
              <w:b w:val="0"/>
              <w:noProof/>
              <w:kern w:val="2"/>
              <w:szCs w:val="24"/>
              <w14:ligatures w14:val="standardContextual"/>
            </w:rPr>
          </w:pPr>
          <w:hyperlink w:anchor="_Toc158363489" w:history="1">
            <w:r w:rsidR="001E5CC5" w:rsidRPr="003E33D4">
              <w:rPr>
                <w:rStyle w:val="Hyperlink"/>
                <w:noProof/>
              </w:rPr>
              <w:t>e.</w:t>
            </w:r>
            <w:r w:rsidR="001E5CC5">
              <w:rPr>
                <w:rFonts w:asciiTheme="minorHAnsi" w:eastAsiaTheme="minorEastAsia" w:hAnsiTheme="minorHAnsi" w:cstheme="minorBidi"/>
                <w:b w:val="0"/>
                <w:noProof/>
                <w:kern w:val="2"/>
                <w:szCs w:val="24"/>
                <w14:ligatures w14:val="standardContextual"/>
              </w:rPr>
              <w:tab/>
            </w:r>
            <w:r w:rsidR="001E5CC5" w:rsidRPr="003E33D4">
              <w:rPr>
                <w:rStyle w:val="Hyperlink"/>
                <w:noProof/>
              </w:rPr>
              <w:t>That Duke and AES do not offer a program similar to Rider ELR is irrelevant</w:t>
            </w:r>
            <w:r w:rsidR="001E5CC5">
              <w:rPr>
                <w:noProof/>
                <w:webHidden/>
              </w:rPr>
              <w:tab/>
            </w:r>
            <w:r w:rsidR="001E5CC5">
              <w:rPr>
                <w:noProof/>
                <w:webHidden/>
              </w:rPr>
              <w:fldChar w:fldCharType="begin"/>
            </w:r>
            <w:r w:rsidR="001E5CC5">
              <w:rPr>
                <w:noProof/>
                <w:webHidden/>
              </w:rPr>
              <w:instrText xml:space="preserve"> PAGEREF _Toc158363489 \h </w:instrText>
            </w:r>
            <w:r w:rsidR="001E5CC5">
              <w:rPr>
                <w:noProof/>
                <w:webHidden/>
              </w:rPr>
            </w:r>
            <w:r w:rsidR="001E5CC5">
              <w:rPr>
                <w:noProof/>
                <w:webHidden/>
              </w:rPr>
              <w:fldChar w:fldCharType="separate"/>
            </w:r>
            <w:r>
              <w:rPr>
                <w:noProof/>
                <w:webHidden/>
              </w:rPr>
              <w:t>14</w:t>
            </w:r>
            <w:r w:rsidR="001E5CC5">
              <w:rPr>
                <w:noProof/>
                <w:webHidden/>
              </w:rPr>
              <w:fldChar w:fldCharType="end"/>
            </w:r>
          </w:hyperlink>
        </w:p>
        <w:p w14:paraId="0F42D58A" w14:textId="33201D42" w:rsidR="001E5CC5" w:rsidRDefault="007918A4">
          <w:pPr>
            <w:pStyle w:val="TOC3"/>
            <w:rPr>
              <w:rFonts w:asciiTheme="minorHAnsi" w:eastAsiaTheme="minorEastAsia" w:hAnsiTheme="minorHAnsi" w:cstheme="minorBidi"/>
              <w:b w:val="0"/>
              <w:noProof/>
              <w:kern w:val="2"/>
              <w:szCs w:val="24"/>
              <w14:ligatures w14:val="standardContextual"/>
            </w:rPr>
          </w:pPr>
          <w:hyperlink w:anchor="_Toc158363490" w:history="1">
            <w:r w:rsidR="001E5CC5" w:rsidRPr="003E33D4">
              <w:rPr>
                <w:rStyle w:val="Hyperlink"/>
                <w:noProof/>
              </w:rPr>
              <w:t>3.</w:t>
            </w:r>
            <w:r w:rsidR="001E5CC5">
              <w:rPr>
                <w:rFonts w:asciiTheme="minorHAnsi" w:eastAsiaTheme="minorEastAsia" w:hAnsiTheme="minorHAnsi" w:cstheme="minorBidi"/>
                <w:b w:val="0"/>
                <w:noProof/>
                <w:kern w:val="2"/>
                <w:szCs w:val="24"/>
                <w14:ligatures w14:val="standardContextual"/>
              </w:rPr>
              <w:tab/>
            </w:r>
            <w:r w:rsidR="001E5CC5" w:rsidRPr="003E33D4">
              <w:rPr>
                <w:rStyle w:val="Hyperlink"/>
                <w:noProof/>
              </w:rPr>
              <w:t>The Rider ELR credit should not be cut to the levels proposed by FirstEnergy and Staff</w:t>
            </w:r>
            <w:r w:rsidR="001E5CC5">
              <w:rPr>
                <w:noProof/>
                <w:webHidden/>
              </w:rPr>
              <w:tab/>
            </w:r>
            <w:r w:rsidR="001E5CC5">
              <w:rPr>
                <w:noProof/>
                <w:webHidden/>
              </w:rPr>
              <w:fldChar w:fldCharType="begin"/>
            </w:r>
            <w:r w:rsidR="001E5CC5">
              <w:rPr>
                <w:noProof/>
                <w:webHidden/>
              </w:rPr>
              <w:instrText xml:space="preserve"> PAGEREF _Toc158363490 \h </w:instrText>
            </w:r>
            <w:r w:rsidR="001E5CC5">
              <w:rPr>
                <w:noProof/>
                <w:webHidden/>
              </w:rPr>
            </w:r>
            <w:r w:rsidR="001E5CC5">
              <w:rPr>
                <w:noProof/>
                <w:webHidden/>
              </w:rPr>
              <w:fldChar w:fldCharType="separate"/>
            </w:r>
            <w:r>
              <w:rPr>
                <w:noProof/>
                <w:webHidden/>
              </w:rPr>
              <w:t>15</w:t>
            </w:r>
            <w:r w:rsidR="001E5CC5">
              <w:rPr>
                <w:noProof/>
                <w:webHidden/>
              </w:rPr>
              <w:fldChar w:fldCharType="end"/>
            </w:r>
          </w:hyperlink>
        </w:p>
        <w:p w14:paraId="1206D618" w14:textId="2513E62A" w:rsidR="001E5CC5" w:rsidRDefault="007918A4">
          <w:pPr>
            <w:pStyle w:val="TOC3"/>
            <w:rPr>
              <w:rFonts w:asciiTheme="minorHAnsi" w:eastAsiaTheme="minorEastAsia" w:hAnsiTheme="minorHAnsi" w:cstheme="minorBidi"/>
              <w:b w:val="0"/>
              <w:noProof/>
              <w:kern w:val="2"/>
              <w:szCs w:val="24"/>
              <w14:ligatures w14:val="standardContextual"/>
            </w:rPr>
          </w:pPr>
          <w:hyperlink w:anchor="_Toc158363491" w:history="1">
            <w:r w:rsidR="001E5CC5" w:rsidRPr="003E33D4">
              <w:rPr>
                <w:rStyle w:val="Hyperlink"/>
                <w:noProof/>
              </w:rPr>
              <w:t>4.</w:t>
            </w:r>
            <w:r w:rsidR="001E5CC5">
              <w:rPr>
                <w:rFonts w:asciiTheme="minorHAnsi" w:eastAsiaTheme="minorEastAsia" w:hAnsiTheme="minorHAnsi" w:cstheme="minorBidi"/>
                <w:b w:val="0"/>
                <w:noProof/>
                <w:kern w:val="2"/>
                <w:szCs w:val="24"/>
                <w14:ligatures w14:val="standardContextual"/>
              </w:rPr>
              <w:tab/>
            </w:r>
            <w:r w:rsidR="001E5CC5" w:rsidRPr="003E33D4">
              <w:rPr>
                <w:rStyle w:val="Hyperlink"/>
                <w:noProof/>
              </w:rPr>
              <w:t xml:space="preserve">If the Commission decides FirstEnergy should no longer serve as the CSP, then the OEG/OELC alternative proposal is a reasonable </w:t>
            </w:r>
            <w:r w:rsidR="001E5CC5">
              <w:rPr>
                <w:rStyle w:val="Hyperlink"/>
                <w:noProof/>
              </w:rPr>
              <w:t xml:space="preserve">    </w:t>
            </w:r>
            <w:r w:rsidR="001E5CC5" w:rsidRPr="003E33D4">
              <w:rPr>
                <w:rStyle w:val="Hyperlink"/>
                <w:noProof/>
              </w:rPr>
              <w:t>approach</w:t>
            </w:r>
            <w:r w:rsidR="001E5CC5">
              <w:rPr>
                <w:noProof/>
                <w:webHidden/>
              </w:rPr>
              <w:tab/>
            </w:r>
            <w:r w:rsidR="001E5CC5">
              <w:rPr>
                <w:noProof/>
                <w:webHidden/>
              </w:rPr>
              <w:fldChar w:fldCharType="begin"/>
            </w:r>
            <w:r w:rsidR="001E5CC5">
              <w:rPr>
                <w:noProof/>
                <w:webHidden/>
              </w:rPr>
              <w:instrText xml:space="preserve"> PAGEREF _Toc158363491 \h </w:instrText>
            </w:r>
            <w:r w:rsidR="001E5CC5">
              <w:rPr>
                <w:noProof/>
                <w:webHidden/>
              </w:rPr>
            </w:r>
            <w:r w:rsidR="001E5CC5">
              <w:rPr>
                <w:noProof/>
                <w:webHidden/>
              </w:rPr>
              <w:fldChar w:fldCharType="separate"/>
            </w:r>
            <w:r>
              <w:rPr>
                <w:noProof/>
                <w:webHidden/>
              </w:rPr>
              <w:t>20</w:t>
            </w:r>
            <w:r w:rsidR="001E5CC5">
              <w:rPr>
                <w:noProof/>
                <w:webHidden/>
              </w:rPr>
              <w:fldChar w:fldCharType="end"/>
            </w:r>
          </w:hyperlink>
        </w:p>
        <w:p w14:paraId="2B500AB8" w14:textId="633D415A" w:rsidR="001E5CC5" w:rsidRDefault="007918A4">
          <w:pPr>
            <w:pStyle w:val="TOC2"/>
            <w:tabs>
              <w:tab w:val="left" w:pos="1440"/>
              <w:tab w:val="right" w:leader="dot" w:pos="9350"/>
            </w:tabs>
            <w:rPr>
              <w:rFonts w:asciiTheme="minorHAnsi" w:eastAsiaTheme="minorEastAsia" w:hAnsiTheme="minorHAnsi" w:cstheme="minorBidi"/>
              <w:b w:val="0"/>
              <w:noProof/>
              <w:kern w:val="2"/>
              <w:szCs w:val="24"/>
              <w14:ligatures w14:val="standardContextual"/>
            </w:rPr>
          </w:pPr>
          <w:hyperlink w:anchor="_Toc158363492" w:history="1">
            <w:r w:rsidR="001E5CC5" w:rsidRPr="003E33D4">
              <w:rPr>
                <w:rStyle w:val="Hyperlink"/>
                <w:noProof/>
              </w:rPr>
              <w:t>B.</w:t>
            </w:r>
            <w:r w:rsidR="001E5CC5">
              <w:rPr>
                <w:rFonts w:asciiTheme="minorHAnsi" w:eastAsiaTheme="minorEastAsia" w:hAnsiTheme="minorHAnsi" w:cstheme="minorBidi"/>
                <w:b w:val="0"/>
                <w:noProof/>
                <w:kern w:val="2"/>
                <w:szCs w:val="24"/>
                <w14:ligatures w14:val="standardContextual"/>
              </w:rPr>
              <w:tab/>
            </w:r>
            <w:r w:rsidR="001E5CC5" w:rsidRPr="003E33D4">
              <w:rPr>
                <w:rStyle w:val="Hyperlink"/>
                <w:noProof/>
              </w:rPr>
              <w:t>Rider NMB</w:t>
            </w:r>
            <w:r w:rsidR="001E5CC5">
              <w:rPr>
                <w:noProof/>
                <w:webHidden/>
              </w:rPr>
              <w:tab/>
            </w:r>
            <w:r w:rsidR="001E5CC5">
              <w:rPr>
                <w:noProof/>
                <w:webHidden/>
              </w:rPr>
              <w:fldChar w:fldCharType="begin"/>
            </w:r>
            <w:r w:rsidR="001E5CC5">
              <w:rPr>
                <w:noProof/>
                <w:webHidden/>
              </w:rPr>
              <w:instrText xml:space="preserve"> PAGEREF _Toc158363492 \h </w:instrText>
            </w:r>
            <w:r w:rsidR="001E5CC5">
              <w:rPr>
                <w:noProof/>
                <w:webHidden/>
              </w:rPr>
            </w:r>
            <w:r w:rsidR="001E5CC5">
              <w:rPr>
                <w:noProof/>
                <w:webHidden/>
              </w:rPr>
              <w:fldChar w:fldCharType="separate"/>
            </w:r>
            <w:r>
              <w:rPr>
                <w:noProof/>
                <w:webHidden/>
              </w:rPr>
              <w:t>22</w:t>
            </w:r>
            <w:r w:rsidR="001E5CC5">
              <w:rPr>
                <w:noProof/>
                <w:webHidden/>
              </w:rPr>
              <w:fldChar w:fldCharType="end"/>
            </w:r>
          </w:hyperlink>
        </w:p>
        <w:p w14:paraId="38B810EE" w14:textId="46850085" w:rsidR="001E5CC5" w:rsidRDefault="007918A4">
          <w:pPr>
            <w:pStyle w:val="TOC3"/>
            <w:rPr>
              <w:rFonts w:asciiTheme="minorHAnsi" w:eastAsiaTheme="minorEastAsia" w:hAnsiTheme="minorHAnsi" w:cstheme="minorBidi"/>
              <w:b w:val="0"/>
              <w:noProof/>
              <w:kern w:val="2"/>
              <w:szCs w:val="24"/>
              <w14:ligatures w14:val="standardContextual"/>
            </w:rPr>
          </w:pPr>
          <w:hyperlink w:anchor="_Toc158363493" w:history="1">
            <w:r w:rsidR="001E5CC5" w:rsidRPr="003E33D4">
              <w:rPr>
                <w:rStyle w:val="Hyperlink"/>
                <w:noProof/>
              </w:rPr>
              <w:t>1.</w:t>
            </w:r>
            <w:r w:rsidR="001E5CC5">
              <w:rPr>
                <w:rFonts w:asciiTheme="minorHAnsi" w:eastAsiaTheme="minorEastAsia" w:hAnsiTheme="minorHAnsi" w:cstheme="minorBidi"/>
                <w:b w:val="0"/>
                <w:noProof/>
                <w:kern w:val="2"/>
                <w:szCs w:val="24"/>
                <w14:ligatures w14:val="standardContextual"/>
              </w:rPr>
              <w:tab/>
            </w:r>
            <w:r w:rsidR="001E5CC5" w:rsidRPr="003E33D4">
              <w:rPr>
                <w:rStyle w:val="Hyperlink"/>
                <w:noProof/>
              </w:rPr>
              <w:t>There is broad support for NSPL pricing for transmission cost recovery</w:t>
            </w:r>
            <w:r w:rsidR="001E5CC5">
              <w:rPr>
                <w:noProof/>
                <w:webHidden/>
              </w:rPr>
              <w:tab/>
            </w:r>
            <w:r w:rsidR="001E5CC5">
              <w:rPr>
                <w:noProof/>
                <w:webHidden/>
              </w:rPr>
              <w:fldChar w:fldCharType="begin"/>
            </w:r>
            <w:r w:rsidR="001E5CC5">
              <w:rPr>
                <w:noProof/>
                <w:webHidden/>
              </w:rPr>
              <w:instrText xml:space="preserve"> PAGEREF _Toc158363493 \h </w:instrText>
            </w:r>
            <w:r w:rsidR="001E5CC5">
              <w:rPr>
                <w:noProof/>
                <w:webHidden/>
              </w:rPr>
            </w:r>
            <w:r w:rsidR="001E5CC5">
              <w:rPr>
                <w:noProof/>
                <w:webHidden/>
              </w:rPr>
              <w:fldChar w:fldCharType="separate"/>
            </w:r>
            <w:r>
              <w:rPr>
                <w:noProof/>
                <w:webHidden/>
              </w:rPr>
              <w:t>22</w:t>
            </w:r>
            <w:r w:rsidR="001E5CC5">
              <w:rPr>
                <w:noProof/>
                <w:webHidden/>
              </w:rPr>
              <w:fldChar w:fldCharType="end"/>
            </w:r>
          </w:hyperlink>
        </w:p>
        <w:p w14:paraId="086E5D5F" w14:textId="4AAD4258" w:rsidR="001E5CC5" w:rsidRDefault="007918A4">
          <w:pPr>
            <w:pStyle w:val="TOC3"/>
            <w:rPr>
              <w:rFonts w:asciiTheme="minorHAnsi" w:eastAsiaTheme="minorEastAsia" w:hAnsiTheme="minorHAnsi" w:cstheme="minorBidi"/>
              <w:b w:val="0"/>
              <w:noProof/>
              <w:kern w:val="2"/>
              <w:szCs w:val="24"/>
              <w14:ligatures w14:val="standardContextual"/>
            </w:rPr>
          </w:pPr>
          <w:hyperlink w:anchor="_Toc158363494" w:history="1">
            <w:r w:rsidR="001E5CC5" w:rsidRPr="003E33D4">
              <w:rPr>
                <w:rStyle w:val="Hyperlink"/>
                <w:noProof/>
              </w:rPr>
              <w:t>2.</w:t>
            </w:r>
            <w:r w:rsidR="001E5CC5">
              <w:rPr>
                <w:rFonts w:asciiTheme="minorHAnsi" w:eastAsiaTheme="minorEastAsia" w:hAnsiTheme="minorHAnsi" w:cstheme="minorBidi"/>
                <w:b w:val="0"/>
                <w:noProof/>
                <w:kern w:val="2"/>
                <w:szCs w:val="24"/>
                <w14:ligatures w14:val="standardContextual"/>
              </w:rPr>
              <w:tab/>
            </w:r>
            <w:r w:rsidR="001E5CC5" w:rsidRPr="003E33D4">
              <w:rPr>
                <w:rStyle w:val="Hyperlink"/>
                <w:noProof/>
              </w:rPr>
              <w:t>As an alternative to FirstEnergy’s Rider NMB2 proposal, the Commission should extend the current Rider NMB Pilot Program</w:t>
            </w:r>
            <w:r w:rsidR="001E5CC5">
              <w:rPr>
                <w:noProof/>
                <w:webHidden/>
              </w:rPr>
              <w:tab/>
            </w:r>
            <w:r w:rsidR="001E5CC5">
              <w:rPr>
                <w:noProof/>
                <w:webHidden/>
              </w:rPr>
              <w:fldChar w:fldCharType="begin"/>
            </w:r>
            <w:r w:rsidR="001E5CC5">
              <w:rPr>
                <w:noProof/>
                <w:webHidden/>
              </w:rPr>
              <w:instrText xml:space="preserve"> PAGEREF _Toc158363494 \h </w:instrText>
            </w:r>
            <w:r w:rsidR="001E5CC5">
              <w:rPr>
                <w:noProof/>
                <w:webHidden/>
              </w:rPr>
            </w:r>
            <w:r w:rsidR="001E5CC5">
              <w:rPr>
                <w:noProof/>
                <w:webHidden/>
              </w:rPr>
              <w:fldChar w:fldCharType="separate"/>
            </w:r>
            <w:r>
              <w:rPr>
                <w:noProof/>
                <w:webHidden/>
              </w:rPr>
              <w:t>24</w:t>
            </w:r>
            <w:r w:rsidR="001E5CC5">
              <w:rPr>
                <w:noProof/>
                <w:webHidden/>
              </w:rPr>
              <w:fldChar w:fldCharType="end"/>
            </w:r>
          </w:hyperlink>
        </w:p>
        <w:p w14:paraId="0D00B000" w14:textId="4D7CC43F" w:rsidR="001E5CC5" w:rsidRDefault="007918A4">
          <w:pPr>
            <w:pStyle w:val="TOC1"/>
            <w:tabs>
              <w:tab w:val="right" w:leader="dot" w:pos="9350"/>
            </w:tabs>
            <w:rPr>
              <w:rFonts w:asciiTheme="minorHAnsi" w:eastAsiaTheme="minorEastAsia" w:hAnsiTheme="minorHAnsi" w:cstheme="minorBidi"/>
              <w:b w:val="0"/>
              <w:noProof/>
              <w:kern w:val="2"/>
              <w:szCs w:val="24"/>
              <w14:ligatures w14:val="standardContextual"/>
            </w:rPr>
          </w:pPr>
          <w:hyperlink w:anchor="_Toc158363495" w:history="1">
            <w:r w:rsidR="001E5CC5" w:rsidRPr="003E33D4">
              <w:rPr>
                <w:rStyle w:val="Hyperlink"/>
                <w:noProof/>
              </w:rPr>
              <w:t>III.</w:t>
            </w:r>
            <w:r w:rsidR="001E5CC5">
              <w:rPr>
                <w:rFonts w:asciiTheme="minorHAnsi" w:eastAsiaTheme="minorEastAsia" w:hAnsiTheme="minorHAnsi" w:cstheme="minorBidi"/>
                <w:b w:val="0"/>
                <w:noProof/>
                <w:kern w:val="2"/>
                <w:szCs w:val="24"/>
                <w14:ligatures w14:val="standardContextual"/>
              </w:rPr>
              <w:tab/>
            </w:r>
            <w:r w:rsidR="001E5CC5" w:rsidRPr="003E33D4">
              <w:rPr>
                <w:rStyle w:val="Hyperlink"/>
                <w:noProof/>
              </w:rPr>
              <w:t>CONCLUSION</w:t>
            </w:r>
            <w:r w:rsidR="001E5CC5">
              <w:rPr>
                <w:noProof/>
                <w:webHidden/>
              </w:rPr>
              <w:tab/>
            </w:r>
            <w:r w:rsidR="001E5CC5">
              <w:rPr>
                <w:noProof/>
                <w:webHidden/>
              </w:rPr>
              <w:fldChar w:fldCharType="begin"/>
            </w:r>
            <w:r w:rsidR="001E5CC5">
              <w:rPr>
                <w:noProof/>
                <w:webHidden/>
              </w:rPr>
              <w:instrText xml:space="preserve"> PAGEREF _Toc158363495 \h </w:instrText>
            </w:r>
            <w:r w:rsidR="001E5CC5">
              <w:rPr>
                <w:noProof/>
                <w:webHidden/>
              </w:rPr>
            </w:r>
            <w:r w:rsidR="001E5CC5">
              <w:rPr>
                <w:noProof/>
                <w:webHidden/>
              </w:rPr>
              <w:fldChar w:fldCharType="separate"/>
            </w:r>
            <w:r>
              <w:rPr>
                <w:noProof/>
                <w:webHidden/>
              </w:rPr>
              <w:t>27</w:t>
            </w:r>
            <w:r w:rsidR="001E5CC5">
              <w:rPr>
                <w:noProof/>
                <w:webHidden/>
              </w:rPr>
              <w:fldChar w:fldCharType="end"/>
            </w:r>
          </w:hyperlink>
        </w:p>
        <w:p w14:paraId="54263134" w14:textId="6E6CA319" w:rsidR="002B6DAC" w:rsidRDefault="002B6DAC">
          <w:r>
            <w:rPr>
              <w:rFonts w:ascii="Calibri" w:hAnsi="Calibri"/>
              <w:b/>
            </w:rPr>
            <w:fldChar w:fldCharType="end"/>
          </w:r>
        </w:p>
      </w:sdtContent>
    </w:sdt>
    <w:p w14:paraId="4C8DE402" w14:textId="77777777" w:rsidR="00EF58EF" w:rsidRDefault="00EF58EF" w:rsidP="00EF58EF">
      <w:pPr>
        <w:rPr>
          <w:rFonts w:asciiTheme="minorHAnsi" w:hAnsiTheme="minorHAnsi" w:cstheme="minorHAnsi"/>
          <w:b/>
          <w:bCs/>
        </w:rPr>
        <w:sectPr w:rsidR="00EF58EF" w:rsidSect="00655EE0">
          <w:pgSz w:w="12240" w:h="15840"/>
          <w:pgMar w:top="1440" w:right="1440" w:bottom="1440" w:left="1440" w:header="720" w:footer="720" w:gutter="0"/>
          <w:cols w:space="720"/>
          <w:docGrid w:linePitch="360"/>
        </w:sectPr>
      </w:pPr>
    </w:p>
    <w:p w14:paraId="5688D7C9" w14:textId="77777777" w:rsidR="009A6CB1" w:rsidRPr="009E5460" w:rsidRDefault="009A6CB1" w:rsidP="009A6CB1">
      <w:pPr>
        <w:jc w:val="center"/>
        <w:rPr>
          <w:rFonts w:ascii="Calibri" w:hAnsi="Calibri"/>
          <w:b/>
          <w:bCs/>
        </w:rPr>
      </w:pPr>
      <w:r w:rsidRPr="009E5460">
        <w:rPr>
          <w:rFonts w:ascii="Calibri" w:hAnsi="Calibri"/>
          <w:b/>
          <w:bCs/>
        </w:rPr>
        <w:lastRenderedPageBreak/>
        <w:t>BEFORE</w:t>
      </w:r>
    </w:p>
    <w:p w14:paraId="5ACB1F2C" w14:textId="77777777" w:rsidR="009A6CB1" w:rsidRPr="009E5460" w:rsidRDefault="009A6CB1" w:rsidP="009A6CB1">
      <w:pPr>
        <w:jc w:val="center"/>
        <w:rPr>
          <w:rFonts w:ascii="Calibri" w:hAnsi="Calibri"/>
          <w:b/>
        </w:rPr>
      </w:pPr>
      <w:r w:rsidRPr="009E5460">
        <w:rPr>
          <w:rFonts w:ascii="Calibri" w:hAnsi="Calibri"/>
          <w:b/>
        </w:rPr>
        <w:t xml:space="preserve">THE PUBLIC UTILITIES COMMISSION OF </w:t>
      </w:r>
      <w:smartTag w:uri="urn:schemas-microsoft-com:office:smarttags" w:element="place">
        <w:smartTag w:uri="urn:schemas-microsoft-com:office:smarttags" w:element="State">
          <w:r w:rsidRPr="009E5460">
            <w:rPr>
              <w:rFonts w:ascii="Calibri" w:hAnsi="Calibri"/>
              <w:b/>
            </w:rPr>
            <w:t>OHIO</w:t>
          </w:r>
        </w:smartTag>
      </w:smartTag>
    </w:p>
    <w:p w14:paraId="3D77BD11" w14:textId="77777777" w:rsidR="009A6CB1" w:rsidRPr="009E5460" w:rsidRDefault="009A6CB1" w:rsidP="009A6CB1">
      <w:pPr>
        <w:rPr>
          <w:rFonts w:ascii="Calibri" w:hAnsi="Calibri"/>
          <w:b/>
        </w:rPr>
      </w:pPr>
    </w:p>
    <w:p w14:paraId="359D0619" w14:textId="77777777" w:rsidR="009A6CB1" w:rsidRPr="009E5460" w:rsidRDefault="009A6CB1" w:rsidP="009A6CB1">
      <w:pPr>
        <w:rPr>
          <w:rFonts w:ascii="Calibri" w:hAnsi="Calibri"/>
          <w:b/>
        </w:rPr>
      </w:pPr>
    </w:p>
    <w:p w14:paraId="63FFCD83" w14:textId="77777777" w:rsidR="009A6CB1" w:rsidRPr="00FF18E1" w:rsidRDefault="009A6CB1" w:rsidP="009A6CB1">
      <w:pPr>
        <w:tabs>
          <w:tab w:val="left" w:pos="5040"/>
          <w:tab w:val="left" w:pos="5797"/>
          <w:tab w:val="left" w:pos="6919"/>
        </w:tabs>
        <w:rPr>
          <w:rFonts w:ascii="Calibri" w:hAnsi="Calibri"/>
        </w:rPr>
      </w:pPr>
      <w:r w:rsidRPr="00FF18E1">
        <w:rPr>
          <w:rFonts w:ascii="Calibri" w:hAnsi="Calibri"/>
        </w:rPr>
        <w:t xml:space="preserve">In the Matter of the Application of </w:t>
      </w:r>
      <w:smartTag w:uri="urn:schemas-microsoft-com:office:smarttags" w:element="State">
        <w:r w:rsidRPr="00FF18E1">
          <w:rPr>
            <w:rFonts w:ascii="Calibri" w:hAnsi="Calibri"/>
          </w:rPr>
          <w:t>Ohio</w:t>
        </w:r>
      </w:smartTag>
      <w:r w:rsidRPr="00FF18E1">
        <w:rPr>
          <w:rFonts w:ascii="Calibri" w:hAnsi="Calibri"/>
        </w:rPr>
        <w:t xml:space="preserve"> </w:t>
      </w:r>
      <w:smartTag w:uri="urn:schemas-microsoft-com:office:smarttags" w:element="place">
        <w:r w:rsidRPr="00FF18E1">
          <w:rPr>
            <w:rFonts w:ascii="Calibri" w:hAnsi="Calibri"/>
          </w:rPr>
          <w:t>Edison</w:t>
        </w:r>
      </w:smartTag>
      <w:r>
        <w:rPr>
          <w:rFonts w:ascii="Calibri" w:hAnsi="Calibri"/>
        </w:rPr>
        <w:tab/>
      </w:r>
      <w:r w:rsidRPr="00FF18E1">
        <w:rPr>
          <w:rFonts w:ascii="Calibri" w:hAnsi="Calibri"/>
        </w:rPr>
        <w:t>)</w:t>
      </w:r>
    </w:p>
    <w:p w14:paraId="677C1206" w14:textId="77777777" w:rsidR="009A6CB1" w:rsidRPr="00FF18E1" w:rsidRDefault="009A6CB1" w:rsidP="009A6CB1">
      <w:pPr>
        <w:tabs>
          <w:tab w:val="left" w:pos="5040"/>
          <w:tab w:val="left" w:pos="5797"/>
          <w:tab w:val="left" w:pos="6919"/>
        </w:tabs>
        <w:rPr>
          <w:rFonts w:ascii="Calibri" w:hAnsi="Calibri"/>
        </w:rPr>
      </w:pPr>
      <w:r w:rsidRPr="00FF18E1">
        <w:rPr>
          <w:rFonts w:ascii="Calibri" w:hAnsi="Calibri"/>
        </w:rPr>
        <w:t xml:space="preserve">Company, The </w:t>
      </w:r>
      <w:smartTag w:uri="urn:schemas-microsoft-com:office:smarttags" w:element="place">
        <w:smartTag w:uri="urn:schemas-microsoft-com:office:smarttags" w:element="City">
          <w:r w:rsidRPr="00FF18E1">
            <w:rPr>
              <w:rFonts w:ascii="Calibri" w:hAnsi="Calibri"/>
            </w:rPr>
            <w:t>Cleveland</w:t>
          </w:r>
        </w:smartTag>
      </w:smartTag>
      <w:r w:rsidRPr="00FF18E1">
        <w:rPr>
          <w:rFonts w:ascii="Calibri" w:hAnsi="Calibri"/>
        </w:rPr>
        <w:t xml:space="preserve"> Electric Illuminating </w:t>
      </w:r>
      <w:r w:rsidRPr="00FF18E1">
        <w:rPr>
          <w:rFonts w:ascii="Calibri" w:hAnsi="Calibri"/>
        </w:rPr>
        <w:tab/>
        <w:t>)</w:t>
      </w:r>
    </w:p>
    <w:p w14:paraId="1DCC5E8D" w14:textId="77777777" w:rsidR="009A6CB1" w:rsidRPr="00FF18E1" w:rsidRDefault="009A6CB1" w:rsidP="009A6CB1">
      <w:pPr>
        <w:tabs>
          <w:tab w:val="left" w:pos="5040"/>
          <w:tab w:val="left" w:pos="5797"/>
          <w:tab w:val="left" w:pos="6919"/>
        </w:tabs>
        <w:rPr>
          <w:rFonts w:ascii="Calibri" w:hAnsi="Calibri"/>
        </w:rPr>
      </w:pPr>
      <w:r w:rsidRPr="00FF18E1">
        <w:rPr>
          <w:rFonts w:ascii="Calibri" w:hAnsi="Calibri"/>
        </w:rPr>
        <w:t>Company and The Toledo Edison Company for</w:t>
      </w:r>
      <w:r w:rsidRPr="00FF18E1">
        <w:rPr>
          <w:rFonts w:ascii="Calibri" w:hAnsi="Calibri"/>
        </w:rPr>
        <w:tab/>
        <w:t>)</w:t>
      </w:r>
      <w:r>
        <w:rPr>
          <w:rFonts w:ascii="Calibri" w:hAnsi="Calibri"/>
        </w:rPr>
        <w:tab/>
      </w:r>
      <w:r w:rsidRPr="00FF18E1">
        <w:rPr>
          <w:rFonts w:ascii="Calibri" w:hAnsi="Calibri"/>
        </w:rPr>
        <w:t>Case No.</w:t>
      </w:r>
      <w:r>
        <w:rPr>
          <w:rFonts w:ascii="Calibri" w:hAnsi="Calibri"/>
        </w:rPr>
        <w:t xml:space="preserve"> 23-301-EL-SSO</w:t>
      </w:r>
    </w:p>
    <w:p w14:paraId="4454100E" w14:textId="77777777" w:rsidR="009A6CB1" w:rsidRPr="00FF18E1" w:rsidRDefault="009A6CB1" w:rsidP="009A6CB1">
      <w:pPr>
        <w:tabs>
          <w:tab w:val="left" w:pos="5040"/>
          <w:tab w:val="left" w:pos="5797"/>
          <w:tab w:val="left" w:pos="6919"/>
        </w:tabs>
        <w:rPr>
          <w:rFonts w:ascii="Calibri" w:hAnsi="Calibri"/>
        </w:rPr>
      </w:pPr>
      <w:r>
        <w:rPr>
          <w:rFonts w:ascii="Calibri" w:hAnsi="Calibri"/>
        </w:rPr>
        <w:t>Authority to Establish a Standard Service Offer</w:t>
      </w:r>
      <w:r w:rsidRPr="00FF18E1">
        <w:rPr>
          <w:rFonts w:ascii="Calibri" w:hAnsi="Calibri"/>
        </w:rPr>
        <w:tab/>
        <w:t>)</w:t>
      </w:r>
      <w:r>
        <w:rPr>
          <w:rFonts w:ascii="Calibri" w:hAnsi="Calibri"/>
        </w:rPr>
        <w:tab/>
      </w:r>
      <w:r>
        <w:rPr>
          <w:rFonts w:ascii="Calibri" w:hAnsi="Calibri"/>
        </w:rPr>
        <w:tab/>
      </w:r>
    </w:p>
    <w:p w14:paraId="67F8B1D7" w14:textId="77777777" w:rsidR="009A6CB1" w:rsidRPr="00FF18E1" w:rsidRDefault="009A6CB1" w:rsidP="009A6CB1">
      <w:pPr>
        <w:tabs>
          <w:tab w:val="left" w:pos="5040"/>
          <w:tab w:val="left" w:pos="5797"/>
          <w:tab w:val="left" w:pos="6919"/>
        </w:tabs>
        <w:rPr>
          <w:rFonts w:ascii="Calibri" w:hAnsi="Calibri"/>
        </w:rPr>
      </w:pPr>
      <w:r>
        <w:rPr>
          <w:rFonts w:ascii="Calibri" w:hAnsi="Calibri"/>
        </w:rPr>
        <w:t>Pursuant to R.C. § 4928.143 in the Form of an</w:t>
      </w:r>
      <w:r w:rsidRPr="00FF18E1">
        <w:rPr>
          <w:rFonts w:ascii="Calibri" w:hAnsi="Calibri"/>
        </w:rPr>
        <w:tab/>
        <w:t>)</w:t>
      </w:r>
      <w:r>
        <w:rPr>
          <w:rFonts w:ascii="Calibri" w:hAnsi="Calibri"/>
        </w:rPr>
        <w:tab/>
      </w:r>
      <w:r>
        <w:rPr>
          <w:rFonts w:ascii="Calibri" w:hAnsi="Calibri"/>
        </w:rPr>
        <w:tab/>
      </w:r>
    </w:p>
    <w:p w14:paraId="4ACB6D41" w14:textId="77777777" w:rsidR="009A6CB1" w:rsidRPr="00FF18E1" w:rsidRDefault="009A6CB1" w:rsidP="009A6CB1">
      <w:pPr>
        <w:tabs>
          <w:tab w:val="left" w:pos="5040"/>
          <w:tab w:val="left" w:pos="5797"/>
          <w:tab w:val="left" w:pos="6919"/>
        </w:tabs>
        <w:rPr>
          <w:rFonts w:ascii="Calibri" w:hAnsi="Calibri"/>
        </w:rPr>
      </w:pPr>
      <w:r>
        <w:rPr>
          <w:rFonts w:ascii="Calibri" w:hAnsi="Calibri"/>
        </w:rPr>
        <w:t>Electric Security Plan</w:t>
      </w:r>
      <w:r w:rsidRPr="00FF18E1">
        <w:rPr>
          <w:rFonts w:ascii="Calibri" w:hAnsi="Calibri"/>
        </w:rPr>
        <w:tab/>
        <w:t>)</w:t>
      </w:r>
    </w:p>
    <w:p w14:paraId="792B42E2" w14:textId="77777777" w:rsidR="009A6CB1" w:rsidRPr="00D74A58" w:rsidRDefault="009A6CB1" w:rsidP="009A6CB1">
      <w:pPr>
        <w:tabs>
          <w:tab w:val="left" w:pos="6358"/>
          <w:tab w:val="left" w:pos="7667"/>
        </w:tabs>
        <w:rPr>
          <w:rFonts w:ascii="Calibri" w:hAnsi="Calibri"/>
        </w:rPr>
      </w:pPr>
    </w:p>
    <w:p w14:paraId="0BB1C400" w14:textId="77777777" w:rsidR="009A6CB1" w:rsidRPr="009E5460" w:rsidRDefault="009A6CB1" w:rsidP="009A6CB1">
      <w:pPr>
        <w:pBdr>
          <w:bottom w:val="single" w:sz="12" w:space="1" w:color="auto"/>
        </w:pBdr>
        <w:jc w:val="center"/>
        <w:rPr>
          <w:rFonts w:ascii="Calibri" w:hAnsi="Calibri"/>
        </w:rPr>
      </w:pPr>
    </w:p>
    <w:p w14:paraId="3DB8FD0E" w14:textId="77777777" w:rsidR="009A6CB1" w:rsidRPr="009E5460" w:rsidRDefault="009A6CB1" w:rsidP="009A6CB1">
      <w:pPr>
        <w:jc w:val="center"/>
        <w:rPr>
          <w:rFonts w:ascii="Calibri" w:hAnsi="Calibri"/>
        </w:rPr>
      </w:pPr>
    </w:p>
    <w:p w14:paraId="7CD0DFBE" w14:textId="39FD6200" w:rsidR="009A6CB1" w:rsidRPr="009E5460" w:rsidRDefault="009A6CB1" w:rsidP="009A6CB1">
      <w:pPr>
        <w:jc w:val="center"/>
        <w:rPr>
          <w:rFonts w:ascii="Calibri" w:hAnsi="Calibri"/>
          <w:b/>
        </w:rPr>
      </w:pPr>
      <w:r>
        <w:rPr>
          <w:rFonts w:ascii="Calibri" w:hAnsi="Calibri"/>
          <w:b/>
          <w:bCs/>
        </w:rPr>
        <w:t>REPLY</w:t>
      </w:r>
      <w:r w:rsidRPr="009E5460">
        <w:rPr>
          <w:rFonts w:ascii="Calibri" w:hAnsi="Calibri"/>
          <w:b/>
          <w:bCs/>
        </w:rPr>
        <w:t xml:space="preserve"> BRIEF </w:t>
      </w:r>
      <w:r>
        <w:rPr>
          <w:rFonts w:ascii="Calibri" w:hAnsi="Calibri"/>
          <w:b/>
          <w:bCs/>
        </w:rPr>
        <w:t>OF</w:t>
      </w:r>
      <w:r w:rsidRPr="009E5460">
        <w:rPr>
          <w:rFonts w:ascii="Calibri" w:hAnsi="Calibri"/>
          <w:b/>
          <w:bCs/>
        </w:rPr>
        <w:t xml:space="preserve"> NUCOR STEEL MARION, INC.</w:t>
      </w:r>
    </w:p>
    <w:p w14:paraId="74247E2C" w14:textId="77777777" w:rsidR="009A6CB1" w:rsidRPr="009E5460" w:rsidRDefault="009A6CB1" w:rsidP="009A6CB1">
      <w:pPr>
        <w:pBdr>
          <w:bottom w:val="single" w:sz="12" w:space="1" w:color="auto"/>
        </w:pBdr>
        <w:jc w:val="center"/>
        <w:rPr>
          <w:rFonts w:ascii="Calibri" w:hAnsi="Calibri"/>
        </w:rPr>
      </w:pPr>
    </w:p>
    <w:p w14:paraId="37094B75" w14:textId="77777777" w:rsidR="009A6CB1" w:rsidRPr="009E5460" w:rsidRDefault="009A6CB1" w:rsidP="009A6CB1">
      <w:pPr>
        <w:spacing w:line="480" w:lineRule="auto"/>
        <w:ind w:firstLine="720"/>
        <w:jc w:val="both"/>
        <w:rPr>
          <w:rFonts w:ascii="Calibri" w:hAnsi="Calibri"/>
        </w:rPr>
      </w:pPr>
    </w:p>
    <w:p w14:paraId="7AA08983" w14:textId="14F79D61" w:rsidR="009A6CB1" w:rsidRDefault="009A6CB1" w:rsidP="009A6CB1">
      <w:pPr>
        <w:spacing w:line="480" w:lineRule="auto"/>
        <w:ind w:firstLine="720"/>
        <w:jc w:val="both"/>
        <w:rPr>
          <w:rFonts w:ascii="Calibri" w:hAnsi="Calibri"/>
        </w:rPr>
      </w:pPr>
      <w:r w:rsidRPr="009E5460">
        <w:rPr>
          <w:rFonts w:ascii="Calibri" w:hAnsi="Calibri"/>
        </w:rPr>
        <w:t>Nucor Steel Marion, Inc.</w:t>
      </w:r>
      <w:r>
        <w:rPr>
          <w:rFonts w:ascii="Calibri" w:hAnsi="Calibri"/>
        </w:rPr>
        <w:t xml:space="preserve"> (“Nucor”)</w:t>
      </w:r>
      <w:r w:rsidRPr="009E5460">
        <w:rPr>
          <w:rFonts w:ascii="Calibri" w:hAnsi="Calibri"/>
        </w:rPr>
        <w:t xml:space="preserve"> hereby submits its </w:t>
      </w:r>
      <w:r w:rsidR="00721214">
        <w:rPr>
          <w:rFonts w:ascii="Calibri" w:hAnsi="Calibri"/>
        </w:rPr>
        <w:t>reply</w:t>
      </w:r>
      <w:r w:rsidRPr="009E5460">
        <w:rPr>
          <w:rFonts w:ascii="Calibri" w:hAnsi="Calibri"/>
        </w:rPr>
        <w:t xml:space="preserve"> brief </w:t>
      </w:r>
      <w:r>
        <w:rPr>
          <w:rFonts w:ascii="Calibri" w:hAnsi="Calibri"/>
        </w:rPr>
        <w:t xml:space="preserve">in the above-captioned proceeding, which is considering the application of </w:t>
      </w:r>
      <w:r w:rsidRPr="009E5460">
        <w:rPr>
          <w:rFonts w:ascii="Calibri" w:hAnsi="Calibri"/>
        </w:rPr>
        <w:t xml:space="preserve">Ohio Edison Company, </w:t>
      </w:r>
      <w:r>
        <w:rPr>
          <w:rFonts w:ascii="Calibri" w:hAnsi="Calibri"/>
        </w:rPr>
        <w:t>T</w:t>
      </w:r>
      <w:r w:rsidRPr="009E5460">
        <w:rPr>
          <w:rFonts w:ascii="Calibri" w:hAnsi="Calibri"/>
        </w:rPr>
        <w:t xml:space="preserve">he Cleveland Electric Illuminating Company, and </w:t>
      </w:r>
      <w:r>
        <w:rPr>
          <w:rFonts w:ascii="Calibri" w:hAnsi="Calibri"/>
        </w:rPr>
        <w:t>T</w:t>
      </w:r>
      <w:r w:rsidRPr="009E5460">
        <w:rPr>
          <w:rFonts w:ascii="Calibri" w:hAnsi="Calibri"/>
        </w:rPr>
        <w:t>he Toledo Edison Company</w:t>
      </w:r>
      <w:r>
        <w:rPr>
          <w:rFonts w:ascii="Calibri" w:hAnsi="Calibri"/>
        </w:rPr>
        <w:t xml:space="preserve"> (collectively, “FirstEnergy” or “Companies”) for approval of FirstEnergy’s fifth electric security plan (“ESP V”).  </w:t>
      </w:r>
    </w:p>
    <w:p w14:paraId="7BC867C3" w14:textId="6CFBF1D0" w:rsidR="009A6CB1" w:rsidRPr="00B334D0" w:rsidRDefault="009A6CB1" w:rsidP="00CC5E8C">
      <w:pPr>
        <w:pStyle w:val="Heading1"/>
        <w:rPr>
          <w:b w:val="0"/>
        </w:rPr>
      </w:pPr>
      <w:bookmarkStart w:id="0" w:name="_Toc158284290"/>
      <w:bookmarkStart w:id="1" w:name="_Toc158363480"/>
      <w:r w:rsidRPr="00B334D0">
        <w:t>I.</w:t>
      </w:r>
      <w:r w:rsidRPr="00B334D0">
        <w:tab/>
        <w:t>INTRODUCTION</w:t>
      </w:r>
      <w:bookmarkEnd w:id="0"/>
      <w:bookmarkEnd w:id="1"/>
      <w:r w:rsidR="007926CC">
        <w:rPr>
          <w:b w:val="0"/>
        </w:rPr>
        <w:fldChar w:fldCharType="begin"/>
      </w:r>
      <w:r w:rsidR="007926CC">
        <w:instrText xml:space="preserve"> TC "</w:instrText>
      </w:r>
      <w:bookmarkStart w:id="2" w:name="_Toc158207336"/>
      <w:r w:rsidR="007926CC" w:rsidRPr="0052262A">
        <w:instrText>I.</w:instrText>
      </w:r>
      <w:r w:rsidR="007926CC" w:rsidRPr="0052262A">
        <w:tab/>
        <w:instrText>INTRODUCTION</w:instrText>
      </w:r>
      <w:bookmarkEnd w:id="2"/>
      <w:r w:rsidR="007926CC">
        <w:instrText xml:space="preserve">" \f C \l "1" </w:instrText>
      </w:r>
      <w:r w:rsidR="007926CC">
        <w:rPr>
          <w:b w:val="0"/>
        </w:rPr>
        <w:fldChar w:fldCharType="end"/>
      </w:r>
    </w:p>
    <w:p w14:paraId="68F095E8" w14:textId="57C40EDB" w:rsidR="006A4F7A" w:rsidRDefault="009A6CB1" w:rsidP="00721214">
      <w:pPr>
        <w:spacing w:line="480" w:lineRule="auto"/>
        <w:ind w:firstLine="720"/>
        <w:jc w:val="both"/>
        <w:rPr>
          <w:rFonts w:ascii="Calibri" w:hAnsi="Calibri"/>
        </w:rPr>
      </w:pPr>
      <w:r>
        <w:rPr>
          <w:rFonts w:ascii="Calibri" w:hAnsi="Calibri"/>
        </w:rPr>
        <w:t xml:space="preserve">Nucor </w:t>
      </w:r>
      <w:r w:rsidR="00721214">
        <w:rPr>
          <w:rFonts w:ascii="Calibri" w:hAnsi="Calibri"/>
        </w:rPr>
        <w:t xml:space="preserve">supports the electric service plan framework for FirstEnergy’s standard service offer.  Nucor </w:t>
      </w:r>
      <w:r w:rsidR="006A4F7A">
        <w:rPr>
          <w:rFonts w:ascii="Calibri" w:hAnsi="Calibri"/>
        </w:rPr>
        <w:t xml:space="preserve">has </w:t>
      </w:r>
      <w:r w:rsidR="00721214">
        <w:rPr>
          <w:rFonts w:ascii="Calibri" w:hAnsi="Calibri"/>
        </w:rPr>
        <w:t>focused on two important issues in this case –</w:t>
      </w:r>
      <w:r w:rsidR="001E5CC5">
        <w:rPr>
          <w:rFonts w:ascii="Calibri" w:hAnsi="Calibri"/>
        </w:rPr>
        <w:t xml:space="preserve"> </w:t>
      </w:r>
      <w:r w:rsidR="00721214">
        <w:rPr>
          <w:rFonts w:ascii="Calibri" w:hAnsi="Calibri"/>
        </w:rPr>
        <w:t xml:space="preserve">Rider ELR and FirstEnergy’s proposed modifications to Rider NMB.  </w:t>
      </w:r>
      <w:r w:rsidR="00BB2714">
        <w:rPr>
          <w:rFonts w:ascii="Calibri" w:hAnsi="Calibri"/>
        </w:rPr>
        <w:t xml:space="preserve">At a high level, </w:t>
      </w:r>
      <w:r w:rsidR="006A4F7A">
        <w:rPr>
          <w:rFonts w:ascii="Calibri" w:hAnsi="Calibri"/>
        </w:rPr>
        <w:t>Nucor’s positions</w:t>
      </w:r>
      <w:r w:rsidR="00BB2714">
        <w:rPr>
          <w:rFonts w:ascii="Calibri" w:hAnsi="Calibri"/>
        </w:rPr>
        <w:t xml:space="preserve"> can be summarized</w:t>
      </w:r>
      <w:r w:rsidR="006A4F7A">
        <w:rPr>
          <w:rFonts w:ascii="Calibri" w:hAnsi="Calibri"/>
        </w:rPr>
        <w:t xml:space="preserve"> as follows: (i) Rider </w:t>
      </w:r>
      <w:r w:rsidR="00816F08">
        <w:rPr>
          <w:rFonts w:ascii="Calibri" w:hAnsi="Calibri"/>
        </w:rPr>
        <w:t>ELR</w:t>
      </w:r>
      <w:r w:rsidR="006A4F7A">
        <w:rPr>
          <w:rFonts w:ascii="Calibri" w:hAnsi="Calibri"/>
        </w:rPr>
        <w:t xml:space="preserve"> should be extended in its current form through the term of ESP V; and (ii) transmission rates for industrial and commercial customers should include at least an option for Network Service Peak Load (“NSPL”) pricing, either through FirstEnergy’s proposed NMB2 rate, or through the extension</w:t>
      </w:r>
      <w:r w:rsidR="00DD6BB2">
        <w:rPr>
          <w:rFonts w:ascii="Calibri" w:hAnsi="Calibri"/>
        </w:rPr>
        <w:t xml:space="preserve"> and expansion</w:t>
      </w:r>
      <w:r w:rsidR="006A4F7A">
        <w:rPr>
          <w:rFonts w:ascii="Calibri" w:hAnsi="Calibri"/>
        </w:rPr>
        <w:t xml:space="preserve"> of the current NMB Pilot Program.</w:t>
      </w:r>
      <w:r w:rsidR="00DD6BB2">
        <w:rPr>
          <w:rFonts w:ascii="Calibri" w:hAnsi="Calibri"/>
        </w:rPr>
        <w:t xml:space="preserve">  These positions, as </w:t>
      </w:r>
      <w:r w:rsidR="00DD6BB2">
        <w:rPr>
          <w:rFonts w:ascii="Calibri" w:hAnsi="Calibri"/>
        </w:rPr>
        <w:lastRenderedPageBreak/>
        <w:t xml:space="preserve">well as the evidence on the record supporting them, are </w:t>
      </w:r>
      <w:proofErr w:type="gramStart"/>
      <w:r w:rsidR="00DD6BB2">
        <w:rPr>
          <w:rFonts w:ascii="Calibri" w:hAnsi="Calibri"/>
        </w:rPr>
        <w:t>explained</w:t>
      </w:r>
      <w:proofErr w:type="gramEnd"/>
      <w:r w:rsidR="00DD6BB2">
        <w:rPr>
          <w:rFonts w:ascii="Calibri" w:hAnsi="Calibri"/>
        </w:rPr>
        <w:t xml:space="preserve"> and discussed in detail in Nucor’s initial brief.  </w:t>
      </w:r>
    </w:p>
    <w:p w14:paraId="3DD263FA" w14:textId="40897B69" w:rsidR="000A2D26" w:rsidRDefault="00721214" w:rsidP="00721214">
      <w:pPr>
        <w:spacing w:line="480" w:lineRule="auto"/>
        <w:ind w:firstLine="720"/>
        <w:jc w:val="both"/>
        <w:rPr>
          <w:rFonts w:ascii="Calibri" w:hAnsi="Calibri"/>
        </w:rPr>
      </w:pPr>
      <w:r>
        <w:rPr>
          <w:rFonts w:ascii="Calibri" w:hAnsi="Calibri"/>
        </w:rPr>
        <w:t>In this reply brief, we respond to certain a</w:t>
      </w:r>
      <w:r w:rsidR="006A4F7A">
        <w:rPr>
          <w:rFonts w:ascii="Calibri" w:hAnsi="Calibri"/>
        </w:rPr>
        <w:t>rg</w:t>
      </w:r>
      <w:r>
        <w:rPr>
          <w:rFonts w:ascii="Calibri" w:hAnsi="Calibri"/>
        </w:rPr>
        <w:t>uments made by other parties on Rider ELR and Rider NMB.  Our failure to respond to a particular argument or position should not be construed as agreement with that argument or position.</w:t>
      </w:r>
    </w:p>
    <w:p w14:paraId="2145A24F" w14:textId="22164FD1" w:rsidR="006A4F7A" w:rsidRPr="00BC466D" w:rsidRDefault="006A4F7A" w:rsidP="00CC5E8C">
      <w:pPr>
        <w:pStyle w:val="Heading1"/>
      </w:pPr>
      <w:bookmarkStart w:id="3" w:name="_Toc158284291"/>
      <w:bookmarkStart w:id="4" w:name="_Toc158363481"/>
      <w:r w:rsidRPr="00BC466D">
        <w:t>II.</w:t>
      </w:r>
      <w:r w:rsidRPr="00BC466D">
        <w:tab/>
      </w:r>
      <w:r w:rsidR="00990A3C" w:rsidRPr="00BC466D">
        <w:t>ARGUMENT</w:t>
      </w:r>
      <w:bookmarkEnd w:id="3"/>
      <w:bookmarkEnd w:id="4"/>
      <w:r w:rsidR="007926CC">
        <w:fldChar w:fldCharType="begin"/>
      </w:r>
      <w:r w:rsidR="007926CC">
        <w:instrText xml:space="preserve"> TC "</w:instrText>
      </w:r>
      <w:bookmarkStart w:id="5" w:name="_Toc158207337"/>
      <w:r w:rsidR="007926CC" w:rsidRPr="009F4262">
        <w:instrText>II.</w:instrText>
      </w:r>
      <w:r w:rsidR="007926CC" w:rsidRPr="009F4262">
        <w:tab/>
        <w:instrText>ARGUMENT</w:instrText>
      </w:r>
      <w:bookmarkEnd w:id="5"/>
      <w:r w:rsidR="007926CC">
        <w:instrText xml:space="preserve">" \f C \l "1" </w:instrText>
      </w:r>
      <w:r w:rsidR="007926CC">
        <w:fldChar w:fldCharType="end"/>
      </w:r>
    </w:p>
    <w:p w14:paraId="0B7F12DD" w14:textId="60604F5A" w:rsidR="00990A3C" w:rsidRPr="007926CC" w:rsidRDefault="007926CC" w:rsidP="00CC5E8C">
      <w:pPr>
        <w:pStyle w:val="Heading2"/>
        <w:ind w:firstLine="720"/>
        <w:rPr>
          <w:b w:val="0"/>
        </w:rPr>
      </w:pPr>
      <w:bookmarkStart w:id="6" w:name="_Toc158284292"/>
      <w:bookmarkStart w:id="7" w:name="_Toc158363482"/>
      <w:r>
        <w:t>A.</w:t>
      </w:r>
      <w:r>
        <w:tab/>
      </w:r>
      <w:r w:rsidR="00990A3C" w:rsidRPr="007926CC">
        <w:t>Rider ELR</w:t>
      </w:r>
      <w:bookmarkEnd w:id="6"/>
      <w:bookmarkEnd w:id="7"/>
      <w:r>
        <w:rPr>
          <w:b w:val="0"/>
        </w:rPr>
        <w:fldChar w:fldCharType="begin"/>
      </w:r>
      <w:r>
        <w:instrText xml:space="preserve"> TC "</w:instrText>
      </w:r>
      <w:bookmarkStart w:id="8" w:name="_Toc158207338"/>
      <w:r w:rsidRPr="00642819">
        <w:instrText>A.</w:instrText>
      </w:r>
      <w:r w:rsidRPr="00642819">
        <w:tab/>
        <w:instrText>Rider ELR</w:instrText>
      </w:r>
      <w:bookmarkEnd w:id="8"/>
      <w:r>
        <w:instrText xml:space="preserve">" \f C \l "2" </w:instrText>
      </w:r>
      <w:r>
        <w:rPr>
          <w:b w:val="0"/>
        </w:rPr>
        <w:fldChar w:fldCharType="end"/>
      </w:r>
    </w:p>
    <w:p w14:paraId="13E8391C" w14:textId="20027CE4" w:rsidR="00073D1A" w:rsidRPr="00073D1A" w:rsidRDefault="00073D1A" w:rsidP="00CC5E8C">
      <w:pPr>
        <w:pStyle w:val="Heading3"/>
        <w:ind w:left="1440"/>
        <w:rPr>
          <w:b w:val="0"/>
        </w:rPr>
      </w:pPr>
      <w:bookmarkStart w:id="9" w:name="_Toc158284293"/>
      <w:bookmarkStart w:id="10" w:name="_Toc158363483"/>
      <w:r>
        <w:t>1</w:t>
      </w:r>
      <w:r w:rsidRPr="00073D1A">
        <w:t>.</w:t>
      </w:r>
      <w:r w:rsidRPr="00073D1A">
        <w:tab/>
        <w:t>Nucor’s proposal best preserves the benefits of Rider ELR</w:t>
      </w:r>
      <w:bookmarkEnd w:id="9"/>
      <w:bookmarkEnd w:id="10"/>
      <w:r w:rsidR="007926CC">
        <w:rPr>
          <w:b w:val="0"/>
        </w:rPr>
        <w:fldChar w:fldCharType="begin"/>
      </w:r>
      <w:r w:rsidR="007926CC">
        <w:instrText xml:space="preserve"> TC "</w:instrText>
      </w:r>
      <w:bookmarkStart w:id="11" w:name="_Toc158207339"/>
      <w:r w:rsidR="007926CC" w:rsidRPr="007646E8">
        <w:instrText>1.</w:instrText>
      </w:r>
      <w:r w:rsidR="007926CC" w:rsidRPr="007646E8">
        <w:tab/>
        <w:instrText>Nucor’s proposal best preserves the benefits of Rider ELR</w:instrText>
      </w:r>
      <w:bookmarkEnd w:id="11"/>
      <w:r w:rsidR="007926CC">
        <w:instrText xml:space="preserve">" \f C \l "3" </w:instrText>
      </w:r>
      <w:r w:rsidR="007926CC">
        <w:rPr>
          <w:b w:val="0"/>
        </w:rPr>
        <w:fldChar w:fldCharType="end"/>
      </w:r>
    </w:p>
    <w:p w14:paraId="48547D8B" w14:textId="5C2909FA" w:rsidR="0034495B" w:rsidRDefault="00F959A5" w:rsidP="00063CEB">
      <w:pPr>
        <w:pStyle w:val="ListParagraph"/>
        <w:spacing w:line="480" w:lineRule="auto"/>
        <w:ind w:left="0" w:firstLine="720"/>
        <w:jc w:val="both"/>
        <w:rPr>
          <w:rFonts w:ascii="Calibri" w:hAnsi="Calibri"/>
        </w:rPr>
      </w:pPr>
      <w:r>
        <w:rPr>
          <w:rFonts w:ascii="Calibri" w:hAnsi="Calibri"/>
        </w:rPr>
        <w:t>As the initial briefs demonstrate, t</w:t>
      </w:r>
      <w:r w:rsidR="00117305">
        <w:rPr>
          <w:rFonts w:ascii="Calibri" w:hAnsi="Calibri"/>
        </w:rPr>
        <w:t xml:space="preserve">here is strong evidence </w:t>
      </w:r>
      <w:r w:rsidR="007E1C4F">
        <w:rPr>
          <w:rFonts w:ascii="Calibri" w:hAnsi="Calibri"/>
        </w:rPr>
        <w:t xml:space="preserve">in </w:t>
      </w:r>
      <w:r w:rsidR="00117305">
        <w:rPr>
          <w:rFonts w:ascii="Calibri" w:hAnsi="Calibri"/>
        </w:rPr>
        <w:t xml:space="preserve">the record and agreement among </w:t>
      </w:r>
      <w:r w:rsidR="00E5275C">
        <w:rPr>
          <w:rFonts w:ascii="Calibri" w:hAnsi="Calibri"/>
        </w:rPr>
        <w:t>many</w:t>
      </w:r>
      <w:r w:rsidR="00117305">
        <w:rPr>
          <w:rFonts w:ascii="Calibri" w:hAnsi="Calibri"/>
        </w:rPr>
        <w:t xml:space="preserve"> parties that </w:t>
      </w:r>
      <w:r>
        <w:rPr>
          <w:rFonts w:ascii="Calibri" w:hAnsi="Calibri"/>
        </w:rPr>
        <w:t>Rider ELR</w:t>
      </w:r>
      <w:r w:rsidR="00117305">
        <w:rPr>
          <w:rFonts w:ascii="Calibri" w:hAnsi="Calibri"/>
        </w:rPr>
        <w:t xml:space="preserve"> </w:t>
      </w:r>
      <w:r w:rsidR="00E5275C">
        <w:rPr>
          <w:rFonts w:ascii="Calibri" w:hAnsi="Calibri"/>
        </w:rPr>
        <w:t>is an important program that</w:t>
      </w:r>
      <w:r w:rsidR="00117305">
        <w:rPr>
          <w:rFonts w:ascii="Calibri" w:hAnsi="Calibri"/>
        </w:rPr>
        <w:t xml:space="preserve"> should be preserved</w:t>
      </w:r>
      <w:r>
        <w:rPr>
          <w:rFonts w:ascii="Calibri" w:hAnsi="Calibri"/>
        </w:rPr>
        <w:t xml:space="preserve"> in ESP V</w:t>
      </w:r>
      <w:r w:rsidR="00117305">
        <w:rPr>
          <w:rFonts w:ascii="Calibri" w:hAnsi="Calibri"/>
        </w:rPr>
        <w:t>.</w:t>
      </w:r>
      <w:r w:rsidR="006056E3">
        <w:rPr>
          <w:rStyle w:val="FootnoteReference"/>
          <w:rFonts w:ascii="Calibri" w:hAnsi="Calibri"/>
        </w:rPr>
        <w:footnoteReference w:id="1"/>
      </w:r>
      <w:r w:rsidR="00F9693B">
        <w:rPr>
          <w:rFonts w:ascii="Calibri" w:hAnsi="Calibri"/>
        </w:rPr>
        <w:t xml:space="preserve">  </w:t>
      </w:r>
      <w:r w:rsidRPr="00073D1A">
        <w:rPr>
          <w:rFonts w:ascii="Calibri" w:hAnsi="Calibri"/>
        </w:rPr>
        <w:t>Rider ELR is a major issue in this case,</w:t>
      </w:r>
      <w:r>
        <w:rPr>
          <w:rFonts w:ascii="Calibri" w:hAnsi="Calibri"/>
        </w:rPr>
        <w:t xml:space="preserve"> and </w:t>
      </w:r>
      <w:r w:rsidR="00073D1A" w:rsidRPr="00073D1A">
        <w:rPr>
          <w:rFonts w:ascii="Calibri" w:hAnsi="Calibri"/>
        </w:rPr>
        <w:t>there are numerous proposals for extending and redesigning the program for the Commission to consider.  Nucor</w:t>
      </w:r>
      <w:r w:rsidR="00E5275C">
        <w:rPr>
          <w:rFonts w:ascii="Calibri" w:hAnsi="Calibri"/>
        </w:rPr>
        <w:t xml:space="preserve">’s </w:t>
      </w:r>
      <w:r w:rsidR="00073D1A" w:rsidRPr="00073D1A">
        <w:rPr>
          <w:rFonts w:ascii="Calibri" w:hAnsi="Calibri"/>
        </w:rPr>
        <w:t>proposal is the simplest</w:t>
      </w:r>
      <w:r>
        <w:rPr>
          <w:rFonts w:ascii="Calibri" w:hAnsi="Calibri"/>
        </w:rPr>
        <w:t xml:space="preserve"> and most straightforward – </w:t>
      </w:r>
      <w:r w:rsidR="00E5275C">
        <w:rPr>
          <w:rFonts w:ascii="Calibri" w:hAnsi="Calibri"/>
        </w:rPr>
        <w:t xml:space="preserve">maintain the program as it is today for the term of ESP V.  </w:t>
      </w:r>
      <w:r w:rsidR="007E1C4F">
        <w:rPr>
          <w:rFonts w:ascii="Calibri" w:hAnsi="Calibri"/>
        </w:rPr>
        <w:t>The Commission should r</w:t>
      </w:r>
      <w:r>
        <w:rPr>
          <w:rFonts w:ascii="Calibri" w:hAnsi="Calibri"/>
        </w:rPr>
        <w:t>eject FirstEnergy’s propos</w:t>
      </w:r>
      <w:r w:rsidR="00E5275C">
        <w:rPr>
          <w:rFonts w:ascii="Calibri" w:hAnsi="Calibri"/>
        </w:rPr>
        <w:t>ed changes</w:t>
      </w:r>
      <w:r>
        <w:rPr>
          <w:rFonts w:ascii="Calibri" w:hAnsi="Calibri"/>
        </w:rPr>
        <w:t>, including the tariff changes reflected in Witness McMillen’s testimony</w:t>
      </w:r>
      <w:r w:rsidR="003438E1">
        <w:rPr>
          <w:rFonts w:ascii="Calibri" w:hAnsi="Calibri"/>
        </w:rPr>
        <w:t>, require that FirstEnergy</w:t>
      </w:r>
      <w:r>
        <w:rPr>
          <w:rFonts w:ascii="Calibri" w:hAnsi="Calibri"/>
        </w:rPr>
        <w:t xml:space="preserve"> continue in its role as CSP for ELR </w:t>
      </w:r>
      <w:r w:rsidR="007E1C4F">
        <w:rPr>
          <w:rFonts w:ascii="Calibri" w:hAnsi="Calibri"/>
        </w:rPr>
        <w:t xml:space="preserve">load </w:t>
      </w:r>
      <w:r>
        <w:rPr>
          <w:rFonts w:ascii="Calibri" w:hAnsi="Calibri"/>
        </w:rPr>
        <w:t>in the PJM capacity market</w:t>
      </w:r>
      <w:r w:rsidR="0034495B">
        <w:rPr>
          <w:rFonts w:ascii="Calibri" w:hAnsi="Calibri"/>
        </w:rPr>
        <w:t xml:space="preserve">, and </w:t>
      </w:r>
      <w:r w:rsidR="003438E1">
        <w:rPr>
          <w:rFonts w:ascii="Calibri" w:hAnsi="Calibri"/>
        </w:rPr>
        <w:t xml:space="preserve">keep </w:t>
      </w:r>
      <w:r w:rsidR="0034495B">
        <w:rPr>
          <w:rFonts w:ascii="Calibri" w:hAnsi="Calibri"/>
        </w:rPr>
        <w:t>the total Rider ELR credit at $10</w:t>
      </w:r>
      <w:r w:rsidR="007E1C4F">
        <w:rPr>
          <w:rFonts w:ascii="Calibri" w:hAnsi="Calibri"/>
        </w:rPr>
        <w:t>/kW</w:t>
      </w:r>
      <w:r w:rsidR="0088261E">
        <w:rPr>
          <w:rFonts w:ascii="Calibri" w:hAnsi="Calibri"/>
        </w:rPr>
        <w:t>-month</w:t>
      </w:r>
      <w:r w:rsidR="0034495B">
        <w:rPr>
          <w:rFonts w:ascii="Calibri" w:hAnsi="Calibri"/>
        </w:rPr>
        <w:t xml:space="preserve">.  If, however, the Commission determines that the credit </w:t>
      </w:r>
      <w:r w:rsidR="007E1C4F">
        <w:rPr>
          <w:rFonts w:ascii="Calibri" w:hAnsi="Calibri"/>
        </w:rPr>
        <w:t xml:space="preserve">must </w:t>
      </w:r>
      <w:r w:rsidR="0034495B">
        <w:rPr>
          <w:rFonts w:ascii="Calibri" w:hAnsi="Calibri"/>
        </w:rPr>
        <w:t xml:space="preserve">be reduced, it should be reduced to no less than </w:t>
      </w:r>
      <w:r w:rsidR="0034495B">
        <w:rPr>
          <w:rFonts w:ascii="Calibri" w:hAnsi="Calibri"/>
        </w:rPr>
        <w:lastRenderedPageBreak/>
        <w:t>$8</w:t>
      </w:r>
      <w:r w:rsidR="007E1C4F">
        <w:rPr>
          <w:rFonts w:ascii="Calibri" w:hAnsi="Calibri"/>
        </w:rPr>
        <w:t>/kW</w:t>
      </w:r>
      <w:r w:rsidR="0088261E">
        <w:rPr>
          <w:rFonts w:ascii="Calibri" w:hAnsi="Calibri"/>
        </w:rPr>
        <w:t>-month</w:t>
      </w:r>
      <w:r w:rsidR="0034495B">
        <w:rPr>
          <w:rFonts w:ascii="Calibri" w:hAnsi="Calibri"/>
        </w:rPr>
        <w:t xml:space="preserve">, </w:t>
      </w:r>
      <w:r w:rsidR="0034495B" w:rsidRPr="000F63B8">
        <w:rPr>
          <w:rFonts w:ascii="Calibri" w:hAnsi="Calibri"/>
        </w:rPr>
        <w:t>subject to</w:t>
      </w:r>
      <w:r w:rsidR="00CE3F23" w:rsidRPr="000F63B8">
        <w:rPr>
          <w:rFonts w:ascii="Calibri" w:hAnsi="Calibri"/>
        </w:rPr>
        <w:t xml:space="preserve"> a requirement that the aggregate credit for each delivery year should remain at least equal to 80% of the capacity auction clearing price for the relevant delivery year</w:t>
      </w:r>
      <w:r w:rsidR="0034495B">
        <w:rPr>
          <w:rFonts w:ascii="Calibri" w:hAnsi="Calibri"/>
        </w:rPr>
        <w:t>.  For the following reasons, Nucor’s proposal best preserves the features that have made the ELR program successful and effective:</w:t>
      </w:r>
    </w:p>
    <w:p w14:paraId="34643081" w14:textId="012E66E4" w:rsidR="00B33DA5" w:rsidRPr="003C6A23" w:rsidRDefault="00B33DA5" w:rsidP="00063CEB">
      <w:pPr>
        <w:pStyle w:val="ListParagraph"/>
        <w:numPr>
          <w:ilvl w:val="0"/>
          <w:numId w:val="2"/>
        </w:numPr>
        <w:ind w:left="994"/>
        <w:jc w:val="both"/>
        <w:rPr>
          <w:rFonts w:ascii="Calibri" w:hAnsi="Calibri"/>
          <w:b/>
          <w:bCs/>
        </w:rPr>
      </w:pPr>
      <w:r>
        <w:rPr>
          <w:rFonts w:ascii="Calibri" w:hAnsi="Calibri"/>
        </w:rPr>
        <w:t>By ensuring the continued participation of Rider ELR load in the PJM capacity market, Rider ELR customers will continue to be an important resource for helping to address emergencies and protect regional reliability.</w:t>
      </w:r>
    </w:p>
    <w:p w14:paraId="0ED04B21" w14:textId="77777777" w:rsidR="003C6A23" w:rsidRPr="00B33DA5" w:rsidRDefault="003C6A23" w:rsidP="00063CEB">
      <w:pPr>
        <w:pStyle w:val="ListParagraph"/>
        <w:ind w:left="994"/>
        <w:jc w:val="both"/>
        <w:rPr>
          <w:rFonts w:ascii="Calibri" w:hAnsi="Calibri"/>
          <w:b/>
          <w:bCs/>
        </w:rPr>
      </w:pPr>
    </w:p>
    <w:p w14:paraId="35CFC08A" w14:textId="0971ED64" w:rsidR="00B33DA5" w:rsidRPr="003C6A23" w:rsidRDefault="000C4042" w:rsidP="00063CEB">
      <w:pPr>
        <w:pStyle w:val="ListParagraph"/>
        <w:numPr>
          <w:ilvl w:val="0"/>
          <w:numId w:val="2"/>
        </w:numPr>
        <w:ind w:left="994"/>
        <w:jc w:val="both"/>
        <w:rPr>
          <w:rFonts w:ascii="Calibri" w:hAnsi="Calibri"/>
          <w:b/>
          <w:bCs/>
        </w:rPr>
      </w:pPr>
      <w:r>
        <w:rPr>
          <w:rFonts w:ascii="Calibri" w:hAnsi="Calibri"/>
        </w:rPr>
        <w:t xml:space="preserve">FirstEnergy would continue in its current role as the </w:t>
      </w:r>
      <w:r w:rsidR="00241CF1">
        <w:rPr>
          <w:rFonts w:ascii="Calibri" w:hAnsi="Calibri"/>
        </w:rPr>
        <w:t>curtailment service provider (“</w:t>
      </w:r>
      <w:r>
        <w:rPr>
          <w:rFonts w:ascii="Calibri" w:hAnsi="Calibri"/>
        </w:rPr>
        <w:t>CSP</w:t>
      </w:r>
      <w:r w:rsidR="00241CF1">
        <w:rPr>
          <w:rFonts w:ascii="Calibri" w:hAnsi="Calibri"/>
        </w:rPr>
        <w:t>”)</w:t>
      </w:r>
      <w:r>
        <w:rPr>
          <w:rFonts w:ascii="Calibri" w:hAnsi="Calibri"/>
        </w:rPr>
        <w:t xml:space="preserve"> for the Rider ELR program, bidding the ELR load into the PJM capacity market and receiving payments in return that are then passed back to other non-ELR customers to mitigate the cost of the ELR credits.  Additional cost savings for customers may be achieved to the extent ELR load displaces higher cost resources in the PJM capacity market, thereby lowering capacity prices.</w:t>
      </w:r>
    </w:p>
    <w:p w14:paraId="6D718A76" w14:textId="77777777" w:rsidR="003C6A23" w:rsidRPr="003C6A23" w:rsidRDefault="003C6A23" w:rsidP="00063CEB">
      <w:pPr>
        <w:pStyle w:val="ListParagraph"/>
        <w:jc w:val="both"/>
        <w:rPr>
          <w:rFonts w:ascii="Calibri" w:hAnsi="Calibri"/>
          <w:b/>
          <w:bCs/>
        </w:rPr>
      </w:pPr>
    </w:p>
    <w:p w14:paraId="3CAE49C3" w14:textId="3858BB54" w:rsidR="003C6A23" w:rsidRPr="003C6A23" w:rsidRDefault="000C4042" w:rsidP="00063CEB">
      <w:pPr>
        <w:pStyle w:val="ListParagraph"/>
        <w:numPr>
          <w:ilvl w:val="0"/>
          <w:numId w:val="2"/>
        </w:numPr>
        <w:ind w:left="994"/>
        <w:jc w:val="both"/>
        <w:rPr>
          <w:rFonts w:ascii="Calibri" w:hAnsi="Calibri"/>
          <w:b/>
          <w:bCs/>
        </w:rPr>
      </w:pPr>
      <w:r w:rsidRPr="003C6A23">
        <w:rPr>
          <w:rFonts w:ascii="Calibri" w:hAnsi="Calibri"/>
        </w:rPr>
        <w:t>Since FirstEnergy utilities will continue to have broad discretion to curtail Rider ELR customers themselves, Rider ELR will continue to be an important resource for addressing local reliability emergencies that PJM does not address.</w:t>
      </w:r>
    </w:p>
    <w:p w14:paraId="063BBC2A" w14:textId="77777777" w:rsidR="003C6A23" w:rsidRPr="000C4042" w:rsidRDefault="003C6A23" w:rsidP="00063CEB">
      <w:pPr>
        <w:pStyle w:val="ListParagraph"/>
        <w:ind w:left="994"/>
        <w:jc w:val="both"/>
        <w:rPr>
          <w:rFonts w:ascii="Calibri" w:hAnsi="Calibri"/>
          <w:b/>
          <w:bCs/>
        </w:rPr>
      </w:pPr>
    </w:p>
    <w:p w14:paraId="047F5A51" w14:textId="6709395D" w:rsidR="00BD2607" w:rsidRPr="00BD2607" w:rsidRDefault="00F9693B" w:rsidP="00063CEB">
      <w:pPr>
        <w:pStyle w:val="ListParagraph"/>
        <w:numPr>
          <w:ilvl w:val="0"/>
          <w:numId w:val="2"/>
        </w:numPr>
        <w:ind w:left="994"/>
        <w:jc w:val="both"/>
        <w:rPr>
          <w:rFonts w:ascii="Calibri" w:hAnsi="Calibri"/>
          <w:b/>
          <w:bCs/>
        </w:rPr>
      </w:pPr>
      <w:r w:rsidRPr="00BD2607">
        <w:rPr>
          <w:rFonts w:ascii="Calibri" w:hAnsi="Calibri"/>
        </w:rPr>
        <w:t xml:space="preserve">Maintaining the total Rider ELR credits at their current level </w:t>
      </w:r>
      <w:r w:rsidRPr="000F63B8">
        <w:rPr>
          <w:rFonts w:ascii="Calibri" w:hAnsi="Calibri"/>
        </w:rPr>
        <w:t>(or, alternatively, lowering the credits to no less than $8</w:t>
      </w:r>
      <w:r w:rsidR="0088261E">
        <w:rPr>
          <w:rFonts w:ascii="Calibri" w:hAnsi="Calibri"/>
        </w:rPr>
        <w:t>/kW-month</w:t>
      </w:r>
      <w:r w:rsidRPr="000F63B8">
        <w:rPr>
          <w:rFonts w:ascii="Calibri" w:hAnsi="Calibri"/>
        </w:rPr>
        <w:t>)</w:t>
      </w:r>
      <w:r w:rsidRPr="00BD2607">
        <w:rPr>
          <w:rFonts w:ascii="Calibri" w:hAnsi="Calibri"/>
        </w:rPr>
        <w:t xml:space="preserve"> would ensure that the program continues to</w:t>
      </w:r>
      <w:r w:rsidR="003C6A23" w:rsidRPr="00BD2607">
        <w:rPr>
          <w:rFonts w:ascii="Calibri" w:hAnsi="Calibri"/>
        </w:rPr>
        <w:t xml:space="preserve"> support </w:t>
      </w:r>
      <w:r w:rsidRPr="00BD2607">
        <w:rPr>
          <w:rFonts w:ascii="Calibri" w:hAnsi="Calibri"/>
        </w:rPr>
        <w:t>economic development/job retention</w:t>
      </w:r>
      <w:r w:rsidR="003C6A23" w:rsidRPr="00BD2607">
        <w:rPr>
          <w:rFonts w:ascii="Calibri" w:hAnsi="Calibri"/>
        </w:rPr>
        <w:t>, benefiting the customers in the program, the communities where these large manufacturers are located, and the state of Ohio overall by helping to “facilitate the state’s effectiveness in the global economy.”</w:t>
      </w:r>
      <w:r w:rsidR="00241CF1">
        <w:rPr>
          <w:rStyle w:val="FootnoteReference"/>
          <w:rFonts w:ascii="Calibri" w:hAnsi="Calibri"/>
        </w:rPr>
        <w:footnoteReference w:id="2"/>
      </w:r>
      <w:r w:rsidR="003C6A23" w:rsidRPr="00BD2607">
        <w:rPr>
          <w:rFonts w:ascii="Calibri" w:hAnsi="Calibri"/>
        </w:rPr>
        <w:t xml:space="preserve">  </w:t>
      </w:r>
      <w:r w:rsidRPr="00BD2607">
        <w:rPr>
          <w:rFonts w:ascii="Calibri" w:hAnsi="Calibri"/>
        </w:rPr>
        <w:t>Keeping the credits at this level also makes it more likely that customers will remain in the program for the full term of ESP V and would avoid the rate shock</w:t>
      </w:r>
      <w:r w:rsidR="003C6A23" w:rsidRPr="00BD2607">
        <w:rPr>
          <w:rFonts w:ascii="Calibri" w:hAnsi="Calibri"/>
        </w:rPr>
        <w:t xml:space="preserve"> associated with proposals for more drastic cuts in the credits.</w:t>
      </w:r>
    </w:p>
    <w:p w14:paraId="65DA586E" w14:textId="77777777" w:rsidR="00BD2607" w:rsidRPr="00B33DA5" w:rsidRDefault="00BD2607" w:rsidP="00063CEB">
      <w:pPr>
        <w:pStyle w:val="ListParagraph"/>
        <w:ind w:left="994"/>
        <w:jc w:val="both"/>
        <w:rPr>
          <w:rFonts w:ascii="Calibri" w:hAnsi="Calibri"/>
          <w:b/>
          <w:bCs/>
        </w:rPr>
      </w:pPr>
    </w:p>
    <w:p w14:paraId="777F361C" w14:textId="2451C238" w:rsidR="00073D1A" w:rsidRPr="000C4042" w:rsidRDefault="00EE0517" w:rsidP="00063CEB">
      <w:pPr>
        <w:spacing w:line="480" w:lineRule="auto"/>
        <w:ind w:firstLine="636"/>
        <w:jc w:val="both"/>
        <w:rPr>
          <w:rFonts w:ascii="Calibri" w:hAnsi="Calibri"/>
          <w:b/>
          <w:bCs/>
        </w:rPr>
      </w:pPr>
      <w:r>
        <w:rPr>
          <w:rFonts w:ascii="Calibri" w:hAnsi="Calibri"/>
        </w:rPr>
        <w:t>In summary, the current Rider ELR program can be viewed as a three-legged stool, providing: (i) regional</w:t>
      </w:r>
      <w:r w:rsidR="00BD2607">
        <w:rPr>
          <w:rFonts w:ascii="Calibri" w:hAnsi="Calibri"/>
        </w:rPr>
        <w:t xml:space="preserve"> PJM</w:t>
      </w:r>
      <w:r>
        <w:rPr>
          <w:rFonts w:ascii="Calibri" w:hAnsi="Calibri"/>
        </w:rPr>
        <w:t xml:space="preserve"> reliability and capacity market benefits, (ii) local reliability benefits, and (iii) economic development and job retention benefits.  </w:t>
      </w:r>
      <w:r w:rsidR="000C4042">
        <w:rPr>
          <w:rFonts w:ascii="Calibri" w:hAnsi="Calibri"/>
        </w:rPr>
        <w:t xml:space="preserve">Nucor’s proposal would </w:t>
      </w:r>
      <w:r>
        <w:rPr>
          <w:rFonts w:ascii="Calibri" w:hAnsi="Calibri"/>
        </w:rPr>
        <w:t xml:space="preserve">preserve all </w:t>
      </w:r>
      <w:r>
        <w:rPr>
          <w:rFonts w:ascii="Calibri" w:hAnsi="Calibri"/>
        </w:rPr>
        <w:lastRenderedPageBreak/>
        <w:t>these facets of the ELR program and ensure that the program remains stable and effective for the term of ESP V.</w:t>
      </w:r>
    </w:p>
    <w:p w14:paraId="624651BD" w14:textId="1E0F56EB" w:rsidR="00816F08" w:rsidRPr="00816F08" w:rsidRDefault="00073D1A" w:rsidP="00CC5E8C">
      <w:pPr>
        <w:pStyle w:val="Heading3"/>
        <w:ind w:left="1440"/>
      </w:pPr>
      <w:bookmarkStart w:id="12" w:name="_Toc158284294"/>
      <w:bookmarkStart w:id="13" w:name="_Toc158363484"/>
      <w:r>
        <w:t>2</w:t>
      </w:r>
      <w:r w:rsidR="00816F08" w:rsidRPr="00816F08">
        <w:t>.</w:t>
      </w:r>
      <w:r w:rsidR="00816F08" w:rsidRPr="00816F08">
        <w:tab/>
        <w:t xml:space="preserve">The evidence in this case supports </w:t>
      </w:r>
      <w:r w:rsidR="00B073D2">
        <w:t xml:space="preserve">the extension of </w:t>
      </w:r>
      <w:r w:rsidR="00816F08" w:rsidRPr="00816F08">
        <w:t>Rider ELR</w:t>
      </w:r>
      <w:bookmarkEnd w:id="12"/>
      <w:bookmarkEnd w:id="13"/>
      <w:r w:rsidR="007926CC">
        <w:fldChar w:fldCharType="begin"/>
      </w:r>
      <w:r w:rsidR="007926CC">
        <w:instrText xml:space="preserve"> TC "</w:instrText>
      </w:r>
      <w:bookmarkStart w:id="14" w:name="_Toc158207340"/>
      <w:r w:rsidR="007926CC" w:rsidRPr="00457975">
        <w:instrText>2.</w:instrText>
      </w:r>
      <w:r w:rsidR="007926CC" w:rsidRPr="00457975">
        <w:tab/>
        <w:instrText>The evidence in this case supports the extension of Rider ELR</w:instrText>
      </w:r>
      <w:bookmarkEnd w:id="14"/>
      <w:r w:rsidR="007926CC">
        <w:instrText xml:space="preserve">" \f C \l "3" </w:instrText>
      </w:r>
      <w:r w:rsidR="007926CC">
        <w:fldChar w:fldCharType="end"/>
      </w:r>
    </w:p>
    <w:p w14:paraId="21083BBC" w14:textId="08183E6D" w:rsidR="00816F08" w:rsidRDefault="00B073D2" w:rsidP="00816F08">
      <w:pPr>
        <w:spacing w:line="480" w:lineRule="auto"/>
        <w:ind w:firstLine="720"/>
        <w:jc w:val="both"/>
        <w:rPr>
          <w:rFonts w:ascii="Calibri" w:hAnsi="Calibri"/>
        </w:rPr>
      </w:pPr>
      <w:r>
        <w:rPr>
          <w:rFonts w:ascii="Calibri" w:hAnsi="Calibri"/>
        </w:rPr>
        <w:t>As noted above, s</w:t>
      </w:r>
      <w:r w:rsidR="00816F08">
        <w:rPr>
          <w:rFonts w:ascii="Calibri" w:hAnsi="Calibri"/>
        </w:rPr>
        <w:t xml:space="preserve">everal parties in this case acknowledge the benefits Rider ELR provides and recommend that it be extended in ESP V.  </w:t>
      </w:r>
      <w:r>
        <w:rPr>
          <w:rFonts w:ascii="Calibri" w:hAnsi="Calibri"/>
        </w:rPr>
        <w:t xml:space="preserve">Out of </w:t>
      </w:r>
      <w:r w:rsidR="00D56D93">
        <w:rPr>
          <w:rFonts w:ascii="Calibri" w:hAnsi="Calibri"/>
        </w:rPr>
        <w:t xml:space="preserve">more than twenty </w:t>
      </w:r>
      <w:r>
        <w:rPr>
          <w:rFonts w:ascii="Calibri" w:hAnsi="Calibri"/>
        </w:rPr>
        <w:t>parties</w:t>
      </w:r>
      <w:r w:rsidR="00D56D93">
        <w:rPr>
          <w:rFonts w:ascii="Calibri" w:hAnsi="Calibri"/>
        </w:rPr>
        <w:t xml:space="preserve"> that filed initial briefs in this case</w:t>
      </w:r>
      <w:r>
        <w:rPr>
          <w:rFonts w:ascii="Calibri" w:hAnsi="Calibri"/>
        </w:rPr>
        <w:t>, o</w:t>
      </w:r>
      <w:r w:rsidR="00816F08">
        <w:rPr>
          <w:rFonts w:ascii="Calibri" w:hAnsi="Calibri"/>
        </w:rPr>
        <w:t xml:space="preserve">nly two parties – </w:t>
      </w:r>
      <w:r w:rsidR="005836CB">
        <w:rPr>
          <w:rFonts w:ascii="Calibri" w:hAnsi="Calibri"/>
        </w:rPr>
        <w:t xml:space="preserve">the Office of the Ohio </w:t>
      </w:r>
      <w:r w:rsidR="00241CF1">
        <w:rPr>
          <w:rFonts w:ascii="Calibri" w:hAnsi="Calibri"/>
        </w:rPr>
        <w:t xml:space="preserve">Consumers’ </w:t>
      </w:r>
      <w:r w:rsidR="005836CB">
        <w:rPr>
          <w:rFonts w:ascii="Calibri" w:hAnsi="Calibri"/>
        </w:rPr>
        <w:t>Counsel (“OCC”) and the Northwest Ohio Aggregation Coalition (“NOAC”)</w:t>
      </w:r>
      <w:r w:rsidR="00816F08">
        <w:rPr>
          <w:rFonts w:ascii="Calibri" w:hAnsi="Calibri"/>
        </w:rPr>
        <w:t xml:space="preserve"> – </w:t>
      </w:r>
      <w:r>
        <w:rPr>
          <w:rFonts w:ascii="Calibri" w:hAnsi="Calibri"/>
        </w:rPr>
        <w:t xml:space="preserve">unequivocally </w:t>
      </w:r>
      <w:r w:rsidR="00816F08">
        <w:rPr>
          <w:rFonts w:ascii="Calibri" w:hAnsi="Calibri"/>
        </w:rPr>
        <w:t>recommend that Rider ELR should be eliminated.</w:t>
      </w:r>
      <w:r w:rsidR="007208EF">
        <w:rPr>
          <w:rStyle w:val="FootnoteReference"/>
          <w:rFonts w:ascii="Calibri" w:hAnsi="Calibri"/>
        </w:rPr>
        <w:footnoteReference w:id="3"/>
      </w:r>
      <w:r w:rsidR="00816F08">
        <w:rPr>
          <w:rFonts w:ascii="Calibri" w:hAnsi="Calibri"/>
        </w:rPr>
        <w:t xml:space="preserve">  </w:t>
      </w:r>
      <w:r w:rsidR="005836CB">
        <w:rPr>
          <w:rFonts w:ascii="Calibri" w:hAnsi="Calibri"/>
        </w:rPr>
        <w:t xml:space="preserve">The Ohio </w:t>
      </w:r>
      <w:r w:rsidR="00241CF1">
        <w:rPr>
          <w:rFonts w:ascii="Calibri" w:hAnsi="Calibri"/>
        </w:rPr>
        <w:t xml:space="preserve">Manufacturers’ </w:t>
      </w:r>
      <w:r w:rsidR="005836CB">
        <w:rPr>
          <w:rFonts w:ascii="Calibri" w:hAnsi="Calibri"/>
        </w:rPr>
        <w:t>Association Energy Group (“</w:t>
      </w:r>
      <w:r w:rsidR="00816F08">
        <w:rPr>
          <w:rFonts w:ascii="Calibri" w:hAnsi="Calibri"/>
        </w:rPr>
        <w:t>OMAEG</w:t>
      </w:r>
      <w:r w:rsidR="005836CB">
        <w:rPr>
          <w:rFonts w:ascii="Calibri" w:hAnsi="Calibri"/>
        </w:rPr>
        <w:t>”)</w:t>
      </w:r>
      <w:r w:rsidR="00816F08">
        <w:rPr>
          <w:rFonts w:ascii="Calibri" w:hAnsi="Calibri"/>
        </w:rPr>
        <w:t xml:space="preserve"> argues that </w:t>
      </w:r>
      <w:r w:rsidR="007208EF">
        <w:rPr>
          <w:rFonts w:ascii="Calibri" w:hAnsi="Calibri"/>
        </w:rPr>
        <w:t xml:space="preserve">if Rider ELR is to continue, </w:t>
      </w:r>
      <w:r w:rsidR="00816F08">
        <w:rPr>
          <w:rFonts w:ascii="Calibri" w:hAnsi="Calibri"/>
        </w:rPr>
        <w:t xml:space="preserve">it should be </w:t>
      </w:r>
      <w:r>
        <w:rPr>
          <w:rFonts w:ascii="Calibri" w:hAnsi="Calibri"/>
        </w:rPr>
        <w:t xml:space="preserve">revamped and </w:t>
      </w:r>
      <w:r w:rsidR="00816F08">
        <w:rPr>
          <w:rFonts w:ascii="Calibri" w:hAnsi="Calibri"/>
        </w:rPr>
        <w:t>expanded</w:t>
      </w:r>
      <w:r w:rsidR="0045162D">
        <w:rPr>
          <w:rFonts w:ascii="Calibri" w:hAnsi="Calibri"/>
        </w:rPr>
        <w:t>, otherwise it should be eliminated</w:t>
      </w:r>
      <w:r w:rsidR="00816F08">
        <w:rPr>
          <w:rFonts w:ascii="Calibri" w:hAnsi="Calibri"/>
        </w:rPr>
        <w:t>.</w:t>
      </w:r>
      <w:r w:rsidR="007208EF">
        <w:rPr>
          <w:rStyle w:val="FootnoteReference"/>
          <w:rFonts w:ascii="Calibri" w:hAnsi="Calibri"/>
        </w:rPr>
        <w:footnoteReference w:id="4"/>
      </w:r>
      <w:r>
        <w:rPr>
          <w:rFonts w:ascii="Calibri" w:hAnsi="Calibri"/>
        </w:rPr>
        <w:t xml:space="preserve">  </w:t>
      </w:r>
      <w:r w:rsidR="00D56D93">
        <w:rPr>
          <w:rFonts w:ascii="Calibri" w:hAnsi="Calibri"/>
        </w:rPr>
        <w:t xml:space="preserve">The various </w:t>
      </w:r>
      <w:r w:rsidR="00B666F9">
        <w:rPr>
          <w:rFonts w:ascii="Calibri" w:hAnsi="Calibri"/>
        </w:rPr>
        <w:t>arguments</w:t>
      </w:r>
      <w:r w:rsidR="004B6B04">
        <w:rPr>
          <w:rFonts w:ascii="Calibri" w:hAnsi="Calibri"/>
        </w:rPr>
        <w:t xml:space="preserve"> against </w:t>
      </w:r>
      <w:r w:rsidR="00D56D93">
        <w:rPr>
          <w:rFonts w:ascii="Calibri" w:hAnsi="Calibri"/>
        </w:rPr>
        <w:t xml:space="preserve">Rider ELR </w:t>
      </w:r>
      <w:r w:rsidR="00B666F9">
        <w:rPr>
          <w:rFonts w:ascii="Calibri" w:hAnsi="Calibri"/>
        </w:rPr>
        <w:t xml:space="preserve">made </w:t>
      </w:r>
      <w:r w:rsidR="00D56D93">
        <w:rPr>
          <w:rFonts w:ascii="Calibri" w:hAnsi="Calibri"/>
        </w:rPr>
        <w:t xml:space="preserve">by these and other parties in their initial briefs </w:t>
      </w:r>
      <w:r>
        <w:rPr>
          <w:rFonts w:ascii="Calibri" w:hAnsi="Calibri"/>
        </w:rPr>
        <w:t>are addressed below.</w:t>
      </w:r>
    </w:p>
    <w:p w14:paraId="5CE8CB06" w14:textId="51E1955C" w:rsidR="00DC4D5A" w:rsidRPr="001E72D6" w:rsidRDefault="00DC4D5A" w:rsidP="00CC5E8C">
      <w:pPr>
        <w:pStyle w:val="Heading4"/>
        <w:ind w:left="1440" w:firstLine="720"/>
        <w:rPr>
          <w:b w:val="0"/>
        </w:rPr>
      </w:pPr>
      <w:bookmarkStart w:id="15" w:name="_Toc158284295"/>
      <w:bookmarkStart w:id="16" w:name="_Toc158363485"/>
      <w:r w:rsidRPr="001E72D6">
        <w:t>a.</w:t>
      </w:r>
      <w:r w:rsidRPr="001E72D6">
        <w:tab/>
      </w:r>
      <w:r w:rsidR="001E72D6" w:rsidRPr="001E72D6">
        <w:t xml:space="preserve">Rider ELR </w:t>
      </w:r>
      <w:r w:rsidR="000F63B8">
        <w:t>is not</w:t>
      </w:r>
      <w:r w:rsidR="000F63B8" w:rsidRPr="001E72D6">
        <w:t xml:space="preserve"> </w:t>
      </w:r>
      <w:r w:rsidR="001E72D6" w:rsidRPr="001E72D6">
        <w:t>a subsidy</w:t>
      </w:r>
      <w:bookmarkEnd w:id="15"/>
      <w:bookmarkEnd w:id="16"/>
      <w:r w:rsidR="007926CC">
        <w:rPr>
          <w:b w:val="0"/>
        </w:rPr>
        <w:fldChar w:fldCharType="begin"/>
      </w:r>
      <w:r w:rsidR="007926CC">
        <w:instrText xml:space="preserve"> TC "</w:instrText>
      </w:r>
      <w:bookmarkStart w:id="17" w:name="_Toc158207341"/>
      <w:r w:rsidR="007926CC" w:rsidRPr="00206CF2">
        <w:instrText>a.</w:instrText>
      </w:r>
      <w:r w:rsidR="007926CC" w:rsidRPr="00206CF2">
        <w:tab/>
        <w:instrText>Rider ELR is not a subsidy</w:instrText>
      </w:r>
      <w:bookmarkEnd w:id="17"/>
      <w:r w:rsidR="007926CC">
        <w:instrText xml:space="preserve">" \f C \l "4" </w:instrText>
      </w:r>
      <w:r w:rsidR="007926CC">
        <w:rPr>
          <w:b w:val="0"/>
        </w:rPr>
        <w:fldChar w:fldCharType="end"/>
      </w:r>
    </w:p>
    <w:p w14:paraId="3067A5B0" w14:textId="0DBABC0E" w:rsidR="00150EBB" w:rsidRDefault="001E72D6" w:rsidP="00DC4D5A">
      <w:pPr>
        <w:spacing w:line="480" w:lineRule="auto"/>
        <w:jc w:val="both"/>
        <w:rPr>
          <w:rFonts w:ascii="Calibri" w:hAnsi="Calibri"/>
        </w:rPr>
      </w:pPr>
      <w:r>
        <w:rPr>
          <w:rFonts w:ascii="Calibri" w:hAnsi="Calibri"/>
        </w:rPr>
        <w:tab/>
        <w:t>S</w:t>
      </w:r>
      <w:r w:rsidR="00813F9C">
        <w:rPr>
          <w:rFonts w:ascii="Calibri" w:hAnsi="Calibri"/>
        </w:rPr>
        <w:t>ome</w:t>
      </w:r>
      <w:r>
        <w:rPr>
          <w:rFonts w:ascii="Calibri" w:hAnsi="Calibri"/>
        </w:rPr>
        <w:t xml:space="preserve"> parties </w:t>
      </w:r>
      <w:r w:rsidR="001E44CF">
        <w:rPr>
          <w:rFonts w:ascii="Calibri" w:hAnsi="Calibri"/>
        </w:rPr>
        <w:t>characterize</w:t>
      </w:r>
      <w:r>
        <w:rPr>
          <w:rFonts w:ascii="Calibri" w:hAnsi="Calibri"/>
        </w:rPr>
        <w:t xml:space="preserve"> Rider ELR </w:t>
      </w:r>
      <w:r w:rsidR="001E44CF">
        <w:rPr>
          <w:rFonts w:ascii="Calibri" w:hAnsi="Calibri"/>
        </w:rPr>
        <w:t>as</w:t>
      </w:r>
      <w:r>
        <w:rPr>
          <w:rFonts w:ascii="Calibri" w:hAnsi="Calibri"/>
        </w:rPr>
        <w:t xml:space="preserve"> a “subsidy” because the </w:t>
      </w:r>
      <w:r w:rsidR="00813F9C">
        <w:rPr>
          <w:rFonts w:ascii="Calibri" w:hAnsi="Calibri"/>
        </w:rPr>
        <w:t xml:space="preserve">current </w:t>
      </w:r>
      <w:r>
        <w:rPr>
          <w:rFonts w:ascii="Calibri" w:hAnsi="Calibri"/>
        </w:rPr>
        <w:t>credits are higher than the</w:t>
      </w:r>
      <w:r w:rsidR="00813F9C">
        <w:rPr>
          <w:rFonts w:ascii="Calibri" w:hAnsi="Calibri"/>
        </w:rPr>
        <w:t xml:space="preserve"> current</w:t>
      </w:r>
      <w:r>
        <w:rPr>
          <w:rFonts w:ascii="Calibri" w:hAnsi="Calibri"/>
        </w:rPr>
        <w:t xml:space="preserve"> PJM market</w:t>
      </w:r>
      <w:r w:rsidR="001E29E9">
        <w:rPr>
          <w:rFonts w:ascii="Calibri" w:hAnsi="Calibri"/>
        </w:rPr>
        <w:t xml:space="preserve"> capacity</w:t>
      </w:r>
      <w:r>
        <w:rPr>
          <w:rFonts w:ascii="Calibri" w:hAnsi="Calibri"/>
        </w:rPr>
        <w:t xml:space="preserve"> price.</w:t>
      </w:r>
      <w:r w:rsidR="00813F9C">
        <w:rPr>
          <w:rFonts w:ascii="Calibri" w:hAnsi="Calibri"/>
        </w:rPr>
        <w:t xml:space="preserve">  For example, Staff states that the current</w:t>
      </w:r>
      <w:r w:rsidR="00BB2714">
        <w:rPr>
          <w:rFonts w:ascii="Calibri" w:hAnsi="Calibri"/>
        </w:rPr>
        <w:t xml:space="preserve"> total</w:t>
      </w:r>
      <w:r w:rsidR="00813F9C">
        <w:rPr>
          <w:rFonts w:ascii="Calibri" w:hAnsi="Calibri"/>
        </w:rPr>
        <w:t xml:space="preserve"> $10/kW-month credit “if continued, would result in undue subsidies paid by nonparticipating customers.”</w:t>
      </w:r>
      <w:r w:rsidR="00813F9C">
        <w:rPr>
          <w:rStyle w:val="FootnoteReference"/>
          <w:rFonts w:ascii="Calibri" w:hAnsi="Calibri"/>
        </w:rPr>
        <w:footnoteReference w:id="5"/>
      </w:r>
      <w:r w:rsidR="00813F9C">
        <w:rPr>
          <w:rFonts w:ascii="Calibri" w:hAnsi="Calibri"/>
        </w:rPr>
        <w:t xml:space="preserve">  Staff comes to this conclusion by comparing the current credit to </w:t>
      </w:r>
      <w:r w:rsidR="00D83BF5">
        <w:rPr>
          <w:rFonts w:ascii="Calibri" w:hAnsi="Calibri"/>
        </w:rPr>
        <w:t xml:space="preserve">the approximate average of annual PJM market capacity prices over the past decade, </w:t>
      </w:r>
      <w:r w:rsidR="00150EBB">
        <w:rPr>
          <w:rFonts w:ascii="Calibri" w:hAnsi="Calibri"/>
        </w:rPr>
        <w:t>$3.40/kW-month.</w:t>
      </w:r>
      <w:r w:rsidR="00150EBB">
        <w:rPr>
          <w:rStyle w:val="FootnoteReference"/>
          <w:rFonts w:ascii="Calibri" w:hAnsi="Calibri"/>
        </w:rPr>
        <w:footnoteReference w:id="6"/>
      </w:r>
      <w:r w:rsidR="00150EBB">
        <w:rPr>
          <w:rFonts w:ascii="Calibri" w:hAnsi="Calibri"/>
        </w:rPr>
        <w:t xml:space="preserve">  </w:t>
      </w:r>
      <w:r w:rsidR="00150EBB">
        <w:rPr>
          <w:rFonts w:ascii="Calibri" w:hAnsi="Calibri"/>
        </w:rPr>
        <w:lastRenderedPageBreak/>
        <w:t>Apparently, Staff’s view is that the difference between $10/kW-month and $3.40/kW-month constitutes an “undue subsidy.”</w:t>
      </w:r>
      <w:r w:rsidR="001E44CF">
        <w:rPr>
          <w:rFonts w:ascii="Calibri" w:hAnsi="Calibri"/>
        </w:rPr>
        <w:t xml:space="preserve">  </w:t>
      </w:r>
    </w:p>
    <w:p w14:paraId="41A89711" w14:textId="60DD5111" w:rsidR="00B3328A" w:rsidRDefault="000A1613" w:rsidP="00DC4D5A">
      <w:pPr>
        <w:spacing w:line="480" w:lineRule="auto"/>
        <w:jc w:val="both"/>
        <w:rPr>
          <w:rFonts w:ascii="Calibri" w:hAnsi="Calibri"/>
        </w:rPr>
      </w:pPr>
      <w:r>
        <w:rPr>
          <w:rFonts w:ascii="Calibri" w:hAnsi="Calibri"/>
        </w:rPr>
        <w:tab/>
        <w:t xml:space="preserve">The problem with the subsidy claim is that it is based on just one </w:t>
      </w:r>
      <w:r w:rsidR="003438E1">
        <w:rPr>
          <w:rFonts w:ascii="Calibri" w:hAnsi="Calibri"/>
        </w:rPr>
        <w:t>element</w:t>
      </w:r>
      <w:r>
        <w:rPr>
          <w:rFonts w:ascii="Calibri" w:hAnsi="Calibri"/>
        </w:rPr>
        <w:t xml:space="preserve"> of Rider ELR</w:t>
      </w:r>
      <w:r w:rsidR="006A158E">
        <w:rPr>
          <w:rFonts w:ascii="Calibri" w:hAnsi="Calibri"/>
        </w:rPr>
        <w:t xml:space="preserve">, namely the participation </w:t>
      </w:r>
      <w:r w:rsidR="00241CF1">
        <w:rPr>
          <w:rFonts w:ascii="Calibri" w:hAnsi="Calibri"/>
        </w:rPr>
        <w:t xml:space="preserve">of </w:t>
      </w:r>
      <w:r w:rsidR="006A158E">
        <w:rPr>
          <w:rFonts w:ascii="Calibri" w:hAnsi="Calibri"/>
        </w:rPr>
        <w:t xml:space="preserve">the ELR load in the PJM capacity market.  The participation of the ELR load in PJM certainly provides significant capacity market and </w:t>
      </w:r>
      <w:r w:rsidR="00B3328A">
        <w:rPr>
          <w:rFonts w:ascii="Calibri" w:hAnsi="Calibri"/>
        </w:rPr>
        <w:t xml:space="preserve">regional </w:t>
      </w:r>
      <w:r w:rsidR="006A158E">
        <w:rPr>
          <w:rFonts w:ascii="Calibri" w:hAnsi="Calibri"/>
        </w:rPr>
        <w:t>reliability benefits.  However, in addition to PJM demand response, Rider ELR provides enhanced reliability benefits because a FirstEnergy utility can call on the Rider ELR load to address local reliability issues that PJM will not address.</w:t>
      </w:r>
      <w:r w:rsidR="006A158E">
        <w:rPr>
          <w:rStyle w:val="FootnoteReference"/>
          <w:rFonts w:ascii="Calibri" w:hAnsi="Calibri"/>
        </w:rPr>
        <w:footnoteReference w:id="7"/>
      </w:r>
      <w:r w:rsidR="00676312">
        <w:rPr>
          <w:rFonts w:ascii="Calibri" w:hAnsi="Calibri"/>
        </w:rPr>
        <w:t xml:space="preserve">  Rider ELR also provides economic development and job retention benefits that the Commission has </w:t>
      </w:r>
      <w:r w:rsidR="00B3328A">
        <w:rPr>
          <w:rFonts w:ascii="Calibri" w:hAnsi="Calibri"/>
        </w:rPr>
        <w:t xml:space="preserve">consistently </w:t>
      </w:r>
      <w:r w:rsidR="00676312">
        <w:rPr>
          <w:rFonts w:ascii="Calibri" w:hAnsi="Calibri"/>
        </w:rPr>
        <w:t xml:space="preserve">recognized are a key feature of </w:t>
      </w:r>
      <w:r w:rsidR="006E0C24">
        <w:rPr>
          <w:rFonts w:ascii="Calibri" w:hAnsi="Calibri"/>
        </w:rPr>
        <w:t>the program</w:t>
      </w:r>
      <w:r w:rsidR="00676312">
        <w:rPr>
          <w:rFonts w:ascii="Calibri" w:hAnsi="Calibri"/>
        </w:rPr>
        <w:t>.</w:t>
      </w:r>
      <w:r w:rsidR="00676312">
        <w:rPr>
          <w:rStyle w:val="FootnoteReference"/>
          <w:rFonts w:ascii="Calibri" w:hAnsi="Calibri"/>
        </w:rPr>
        <w:footnoteReference w:id="8"/>
      </w:r>
      <w:r w:rsidR="00D847CB">
        <w:rPr>
          <w:rFonts w:ascii="Calibri" w:hAnsi="Calibri"/>
        </w:rPr>
        <w:t xml:space="preserve">  The PJM capacity market price does not capture these local reliability and economic development benefits</w:t>
      </w:r>
      <w:r w:rsidR="003438E1">
        <w:rPr>
          <w:rFonts w:ascii="Calibri" w:hAnsi="Calibri"/>
        </w:rPr>
        <w:t xml:space="preserve">.  Nor, for that matter, does it capture the economic value in avoiding rolling blackouts or other system disruptions when Rider ELR customers </w:t>
      </w:r>
      <w:proofErr w:type="gramStart"/>
      <w:r w:rsidR="003438E1">
        <w:rPr>
          <w:rFonts w:ascii="Calibri" w:hAnsi="Calibri"/>
        </w:rPr>
        <w:t>are actually called</w:t>
      </w:r>
      <w:proofErr w:type="gramEnd"/>
      <w:r w:rsidR="003438E1">
        <w:rPr>
          <w:rFonts w:ascii="Calibri" w:hAnsi="Calibri"/>
        </w:rPr>
        <w:t xml:space="preserve"> to curtail in response to a PJM emergency event.</w:t>
      </w:r>
      <w:r w:rsidR="00475609">
        <w:rPr>
          <w:rStyle w:val="FootnoteReference"/>
          <w:rFonts w:ascii="Calibri" w:hAnsi="Calibri"/>
        </w:rPr>
        <w:footnoteReference w:id="9"/>
      </w:r>
      <w:r w:rsidR="003438E1">
        <w:rPr>
          <w:rFonts w:ascii="Calibri" w:hAnsi="Calibri"/>
        </w:rPr>
        <w:t xml:space="preserve">  T</w:t>
      </w:r>
      <w:r w:rsidR="00D847CB">
        <w:rPr>
          <w:rFonts w:ascii="Calibri" w:hAnsi="Calibri"/>
        </w:rPr>
        <w:t>herefore</w:t>
      </w:r>
      <w:r w:rsidR="003438E1">
        <w:rPr>
          <w:rFonts w:ascii="Calibri" w:hAnsi="Calibri"/>
        </w:rPr>
        <w:t xml:space="preserve">, there is no support in the record for the </w:t>
      </w:r>
      <w:r w:rsidR="00D847CB">
        <w:rPr>
          <w:rFonts w:ascii="Calibri" w:hAnsi="Calibri"/>
        </w:rPr>
        <w:t xml:space="preserve">claim that a credit for Rider ELR customers above the short-run cost of capacity in PJM constitutes an </w:t>
      </w:r>
      <w:r w:rsidR="000D30D9">
        <w:rPr>
          <w:rFonts w:ascii="Calibri" w:hAnsi="Calibri"/>
        </w:rPr>
        <w:t>“</w:t>
      </w:r>
      <w:r w:rsidR="00D847CB">
        <w:rPr>
          <w:rFonts w:ascii="Calibri" w:hAnsi="Calibri"/>
        </w:rPr>
        <w:t>undue subsidy.</w:t>
      </w:r>
      <w:r w:rsidR="000D30D9">
        <w:rPr>
          <w:rFonts w:ascii="Calibri" w:hAnsi="Calibri"/>
        </w:rPr>
        <w:t>”</w:t>
      </w:r>
    </w:p>
    <w:p w14:paraId="5DA29B56" w14:textId="48C34AE9" w:rsidR="006B0F7E" w:rsidRDefault="00B3328A" w:rsidP="00DC4D5A">
      <w:pPr>
        <w:spacing w:line="480" w:lineRule="auto"/>
        <w:jc w:val="both"/>
        <w:rPr>
          <w:rFonts w:ascii="Calibri" w:hAnsi="Calibri"/>
        </w:rPr>
      </w:pPr>
      <w:r>
        <w:rPr>
          <w:rFonts w:ascii="Calibri" w:hAnsi="Calibri"/>
        </w:rPr>
        <w:tab/>
        <w:t xml:space="preserve">Another problem with benchmarking the ELR credit against PJM market capacity prices </w:t>
      </w:r>
      <w:r w:rsidR="00395412">
        <w:rPr>
          <w:rFonts w:ascii="Calibri" w:hAnsi="Calibri"/>
        </w:rPr>
        <w:t xml:space="preserve">is that annual capacity prices are highly volatile and unpredictable.  While recent base residual auction prices have been very low </w:t>
      </w:r>
      <w:r w:rsidR="00B953CE">
        <w:rPr>
          <w:rFonts w:ascii="Calibri" w:hAnsi="Calibri"/>
        </w:rPr>
        <w:t xml:space="preserve"> –</w:t>
      </w:r>
      <w:r w:rsidR="00395412">
        <w:rPr>
          <w:rFonts w:ascii="Calibri" w:hAnsi="Calibri"/>
        </w:rPr>
        <w:t xml:space="preserve"> $</w:t>
      </w:r>
      <w:r w:rsidR="006A68A0">
        <w:rPr>
          <w:rFonts w:ascii="Calibri" w:hAnsi="Calibri"/>
        </w:rPr>
        <w:t>34.13</w:t>
      </w:r>
      <w:r w:rsidR="00395412">
        <w:rPr>
          <w:rFonts w:ascii="Calibri" w:hAnsi="Calibri"/>
        </w:rPr>
        <w:t>/MW-day for the 2023/</w:t>
      </w:r>
      <w:r w:rsidR="006A68A0">
        <w:rPr>
          <w:rFonts w:ascii="Calibri" w:hAnsi="Calibri"/>
        </w:rPr>
        <w:t>24</w:t>
      </w:r>
      <w:r w:rsidR="00395412">
        <w:rPr>
          <w:rFonts w:ascii="Calibri" w:hAnsi="Calibri"/>
        </w:rPr>
        <w:t xml:space="preserve"> BRA and $28.92/MW-day </w:t>
      </w:r>
      <w:r w:rsidR="00395412">
        <w:rPr>
          <w:rFonts w:ascii="Calibri" w:hAnsi="Calibri"/>
        </w:rPr>
        <w:lastRenderedPageBreak/>
        <w:t>for the 2024/25 BRA – capacity prices were $171.33/MW-day</w:t>
      </w:r>
      <w:r w:rsidR="00245988">
        <w:rPr>
          <w:rFonts w:ascii="Calibri" w:hAnsi="Calibri"/>
        </w:rPr>
        <w:t xml:space="preserve"> as recently as 2021/22</w:t>
      </w:r>
      <w:r w:rsidR="00D2305B">
        <w:rPr>
          <w:rFonts w:ascii="Calibri" w:hAnsi="Calibri"/>
        </w:rPr>
        <w:t>.</w:t>
      </w:r>
      <w:r w:rsidR="00245988">
        <w:rPr>
          <w:rStyle w:val="FootnoteReference"/>
          <w:rFonts w:ascii="Calibri" w:hAnsi="Calibri"/>
        </w:rPr>
        <w:footnoteReference w:id="10"/>
      </w:r>
      <w:r w:rsidR="00245988">
        <w:rPr>
          <w:rFonts w:ascii="Calibri" w:hAnsi="Calibri"/>
        </w:rPr>
        <w:t xml:space="preserve">  Excluding the last two delivery years of ESP IV, the average capacity price was around $124/MW-day</w:t>
      </w:r>
      <w:r w:rsidR="006B0F7E">
        <w:rPr>
          <w:rFonts w:ascii="Calibri" w:hAnsi="Calibri"/>
        </w:rPr>
        <w:t>.</w:t>
      </w:r>
      <w:r w:rsidR="006B0F7E">
        <w:rPr>
          <w:rStyle w:val="FootnoteReference"/>
          <w:rFonts w:ascii="Calibri" w:hAnsi="Calibri"/>
        </w:rPr>
        <w:footnoteReference w:id="11"/>
      </w:r>
      <w:r w:rsidR="006B0F7E">
        <w:rPr>
          <w:rFonts w:ascii="Calibri" w:hAnsi="Calibri"/>
        </w:rPr>
        <w:t xml:space="preserve">  Further, Nucor Witness Dr. Goins testified that recent PJM capacity prices have “significantly diverged from the level indicated by the net cost of new entry (Net CONE) required to sustain a robust and reliable capacity resource base.”</w:t>
      </w:r>
      <w:r w:rsidR="006B0F7E">
        <w:rPr>
          <w:rStyle w:val="FootnoteReference"/>
          <w:rFonts w:ascii="Calibri" w:hAnsi="Calibri"/>
        </w:rPr>
        <w:footnoteReference w:id="12"/>
      </w:r>
      <w:r w:rsidR="006B0F7E">
        <w:rPr>
          <w:rFonts w:ascii="Calibri" w:hAnsi="Calibri"/>
        </w:rPr>
        <w:t xml:space="preserve">  Following are the </w:t>
      </w:r>
      <w:r w:rsidR="007A1E42">
        <w:rPr>
          <w:rFonts w:ascii="Calibri" w:hAnsi="Calibri"/>
        </w:rPr>
        <w:t xml:space="preserve">ATSI </w:t>
      </w:r>
      <w:r w:rsidR="006B0F7E">
        <w:rPr>
          <w:rFonts w:ascii="Calibri" w:hAnsi="Calibri"/>
        </w:rPr>
        <w:t>Net CONE values for the last four base residual auctions:</w:t>
      </w:r>
      <w:r w:rsidR="007A1E42">
        <w:rPr>
          <w:rStyle w:val="FootnoteReference"/>
          <w:rFonts w:ascii="Calibri" w:hAnsi="Calibri"/>
        </w:rPr>
        <w:footnoteReference w:id="13"/>
      </w:r>
    </w:p>
    <w:tbl>
      <w:tblPr>
        <w:tblStyle w:val="TableGrid"/>
        <w:tblW w:w="0" w:type="auto"/>
        <w:tblInd w:w="1165" w:type="dxa"/>
        <w:tblLook w:val="04A0" w:firstRow="1" w:lastRow="0" w:firstColumn="1" w:lastColumn="0" w:noHBand="0" w:noVBand="1"/>
      </w:tblPr>
      <w:tblGrid>
        <w:gridCol w:w="1951"/>
        <w:gridCol w:w="2459"/>
        <w:gridCol w:w="2430"/>
      </w:tblGrid>
      <w:tr w:rsidR="00986AAF" w14:paraId="602197BA" w14:textId="77777777" w:rsidTr="00792EF7">
        <w:tc>
          <w:tcPr>
            <w:tcW w:w="1951" w:type="dxa"/>
          </w:tcPr>
          <w:p w14:paraId="2A02512D" w14:textId="77777777" w:rsidR="00986AAF" w:rsidRPr="00792EF7" w:rsidRDefault="00986AAF" w:rsidP="00986AAF">
            <w:pPr>
              <w:jc w:val="both"/>
              <w:rPr>
                <w:rFonts w:ascii="Calibri" w:hAnsi="Calibri"/>
                <w:b/>
                <w:bCs/>
              </w:rPr>
            </w:pPr>
          </w:p>
        </w:tc>
        <w:tc>
          <w:tcPr>
            <w:tcW w:w="4889" w:type="dxa"/>
            <w:gridSpan w:val="2"/>
          </w:tcPr>
          <w:p w14:paraId="79558022" w14:textId="190AE53A" w:rsidR="00986AAF" w:rsidRPr="00792EF7" w:rsidRDefault="00986AAF" w:rsidP="00986AAF">
            <w:pPr>
              <w:jc w:val="center"/>
              <w:rPr>
                <w:rFonts w:ascii="Calibri" w:hAnsi="Calibri"/>
                <w:b/>
                <w:bCs/>
              </w:rPr>
            </w:pPr>
            <w:r w:rsidRPr="00792EF7">
              <w:rPr>
                <w:rFonts w:ascii="Calibri" w:hAnsi="Calibri"/>
                <w:b/>
                <w:bCs/>
              </w:rPr>
              <w:t>Net CONE Values</w:t>
            </w:r>
          </w:p>
        </w:tc>
      </w:tr>
      <w:tr w:rsidR="00986AAF" w14:paraId="20A44CEB" w14:textId="77777777" w:rsidTr="00792EF7">
        <w:tc>
          <w:tcPr>
            <w:tcW w:w="1951" w:type="dxa"/>
          </w:tcPr>
          <w:p w14:paraId="3725218A" w14:textId="68654FD3" w:rsidR="00986AAF" w:rsidRPr="00792EF7" w:rsidRDefault="00986AAF" w:rsidP="007A1E42">
            <w:pPr>
              <w:jc w:val="center"/>
              <w:rPr>
                <w:rFonts w:ascii="Calibri" w:hAnsi="Calibri"/>
                <w:b/>
                <w:bCs/>
              </w:rPr>
            </w:pPr>
            <w:r w:rsidRPr="00792EF7">
              <w:rPr>
                <w:rFonts w:ascii="Calibri" w:hAnsi="Calibri"/>
                <w:b/>
                <w:bCs/>
              </w:rPr>
              <w:t>BRA Auction</w:t>
            </w:r>
          </w:p>
        </w:tc>
        <w:tc>
          <w:tcPr>
            <w:tcW w:w="2459" w:type="dxa"/>
          </w:tcPr>
          <w:p w14:paraId="26847636" w14:textId="2D143CBB" w:rsidR="00986AAF" w:rsidRPr="00792EF7" w:rsidRDefault="00986AAF" w:rsidP="007A1E42">
            <w:pPr>
              <w:jc w:val="center"/>
              <w:rPr>
                <w:rFonts w:ascii="Calibri" w:hAnsi="Calibri"/>
                <w:b/>
                <w:bCs/>
              </w:rPr>
            </w:pPr>
            <w:r w:rsidRPr="00792EF7">
              <w:rPr>
                <w:rFonts w:ascii="Calibri" w:hAnsi="Calibri"/>
                <w:b/>
                <w:bCs/>
              </w:rPr>
              <w:t>Dollars Per MW-day</w:t>
            </w:r>
          </w:p>
        </w:tc>
        <w:tc>
          <w:tcPr>
            <w:tcW w:w="2430" w:type="dxa"/>
          </w:tcPr>
          <w:p w14:paraId="42B7CF9B" w14:textId="5F596DE6" w:rsidR="00986AAF" w:rsidRPr="00792EF7" w:rsidRDefault="00986AAF" w:rsidP="007A1E42">
            <w:pPr>
              <w:jc w:val="center"/>
              <w:rPr>
                <w:rFonts w:ascii="Calibri" w:hAnsi="Calibri"/>
                <w:b/>
                <w:bCs/>
              </w:rPr>
            </w:pPr>
            <w:r w:rsidRPr="00792EF7">
              <w:rPr>
                <w:rFonts w:ascii="Calibri" w:hAnsi="Calibri"/>
                <w:b/>
                <w:bCs/>
              </w:rPr>
              <w:t>Dollars per kW-month</w:t>
            </w:r>
          </w:p>
        </w:tc>
      </w:tr>
      <w:tr w:rsidR="007A1E42" w14:paraId="113752B8" w14:textId="77777777" w:rsidTr="00792EF7">
        <w:tc>
          <w:tcPr>
            <w:tcW w:w="1951" w:type="dxa"/>
          </w:tcPr>
          <w:p w14:paraId="041C01F5" w14:textId="7622250E" w:rsidR="007A1E42" w:rsidRDefault="007A1E42" w:rsidP="007A1E42">
            <w:pPr>
              <w:jc w:val="right"/>
              <w:rPr>
                <w:rFonts w:ascii="Calibri" w:hAnsi="Calibri"/>
              </w:rPr>
            </w:pPr>
            <w:r>
              <w:rPr>
                <w:rFonts w:ascii="Calibri" w:hAnsi="Calibri"/>
              </w:rPr>
              <w:t>2021-22</w:t>
            </w:r>
          </w:p>
        </w:tc>
        <w:tc>
          <w:tcPr>
            <w:tcW w:w="2459" w:type="dxa"/>
          </w:tcPr>
          <w:p w14:paraId="4183C95A" w14:textId="3E5AA68C" w:rsidR="007A1E42" w:rsidRDefault="00792EF7" w:rsidP="00792EF7">
            <w:pPr>
              <w:jc w:val="right"/>
              <w:rPr>
                <w:rFonts w:ascii="Calibri" w:hAnsi="Calibri"/>
              </w:rPr>
            </w:pPr>
            <w:r>
              <w:rPr>
                <w:rFonts w:ascii="Calibri" w:hAnsi="Calibri"/>
              </w:rPr>
              <w:t>$306.87</w:t>
            </w:r>
          </w:p>
        </w:tc>
        <w:tc>
          <w:tcPr>
            <w:tcW w:w="2430" w:type="dxa"/>
          </w:tcPr>
          <w:p w14:paraId="77D0681F" w14:textId="32C6508A" w:rsidR="007A1E42" w:rsidRDefault="00792EF7" w:rsidP="00792EF7">
            <w:pPr>
              <w:jc w:val="right"/>
              <w:rPr>
                <w:rFonts w:ascii="Calibri" w:hAnsi="Calibri"/>
              </w:rPr>
            </w:pPr>
            <w:r>
              <w:rPr>
                <w:rFonts w:ascii="Calibri" w:hAnsi="Calibri"/>
              </w:rPr>
              <w:t>$9.33</w:t>
            </w:r>
            <w:r w:rsidR="00BF7F5C">
              <w:rPr>
                <w:rStyle w:val="FootnoteReference"/>
                <w:rFonts w:ascii="Calibri" w:hAnsi="Calibri"/>
              </w:rPr>
              <w:footnoteReference w:id="14"/>
            </w:r>
          </w:p>
        </w:tc>
      </w:tr>
      <w:tr w:rsidR="007A1E42" w14:paraId="6D4AD26D" w14:textId="77777777" w:rsidTr="00792EF7">
        <w:tc>
          <w:tcPr>
            <w:tcW w:w="1951" w:type="dxa"/>
          </w:tcPr>
          <w:p w14:paraId="0C2D86E0" w14:textId="32387807" w:rsidR="007A1E42" w:rsidRDefault="007A1E42" w:rsidP="007A1E42">
            <w:pPr>
              <w:jc w:val="right"/>
              <w:rPr>
                <w:rFonts w:ascii="Calibri" w:hAnsi="Calibri"/>
              </w:rPr>
            </w:pPr>
            <w:r>
              <w:rPr>
                <w:rFonts w:ascii="Calibri" w:hAnsi="Calibri"/>
              </w:rPr>
              <w:t>2022-23</w:t>
            </w:r>
          </w:p>
        </w:tc>
        <w:tc>
          <w:tcPr>
            <w:tcW w:w="2459" w:type="dxa"/>
          </w:tcPr>
          <w:p w14:paraId="499BF553" w14:textId="1CF1D34F" w:rsidR="007A1E42" w:rsidRDefault="00792EF7" w:rsidP="00792EF7">
            <w:pPr>
              <w:jc w:val="right"/>
              <w:rPr>
                <w:rFonts w:ascii="Calibri" w:hAnsi="Calibri"/>
              </w:rPr>
            </w:pPr>
            <w:r>
              <w:rPr>
                <w:rFonts w:ascii="Calibri" w:hAnsi="Calibri"/>
              </w:rPr>
              <w:t>$230.50</w:t>
            </w:r>
          </w:p>
        </w:tc>
        <w:tc>
          <w:tcPr>
            <w:tcW w:w="2430" w:type="dxa"/>
          </w:tcPr>
          <w:p w14:paraId="7F1F4299" w14:textId="10BB2D3A" w:rsidR="007A1E42" w:rsidRDefault="00792EF7" w:rsidP="00792EF7">
            <w:pPr>
              <w:jc w:val="right"/>
              <w:rPr>
                <w:rFonts w:ascii="Calibri" w:hAnsi="Calibri"/>
              </w:rPr>
            </w:pPr>
            <w:r>
              <w:rPr>
                <w:rFonts w:ascii="Calibri" w:hAnsi="Calibri"/>
              </w:rPr>
              <w:t>$7.01</w:t>
            </w:r>
            <w:r w:rsidR="00BF7F5C">
              <w:rPr>
                <w:rStyle w:val="FootnoteReference"/>
                <w:rFonts w:ascii="Calibri" w:hAnsi="Calibri"/>
              </w:rPr>
              <w:footnoteReference w:id="15"/>
            </w:r>
          </w:p>
        </w:tc>
      </w:tr>
      <w:tr w:rsidR="007A1E42" w14:paraId="5127306C" w14:textId="77777777" w:rsidTr="00792EF7">
        <w:tc>
          <w:tcPr>
            <w:tcW w:w="1951" w:type="dxa"/>
          </w:tcPr>
          <w:p w14:paraId="7B5F6577" w14:textId="045C5B2B" w:rsidR="007A1E42" w:rsidRDefault="007A1E42" w:rsidP="007A1E42">
            <w:pPr>
              <w:jc w:val="right"/>
              <w:rPr>
                <w:rFonts w:ascii="Calibri" w:hAnsi="Calibri"/>
              </w:rPr>
            </w:pPr>
            <w:r>
              <w:rPr>
                <w:rFonts w:ascii="Calibri" w:hAnsi="Calibri"/>
              </w:rPr>
              <w:t>2023-24</w:t>
            </w:r>
          </w:p>
        </w:tc>
        <w:tc>
          <w:tcPr>
            <w:tcW w:w="2459" w:type="dxa"/>
          </w:tcPr>
          <w:p w14:paraId="15C47BCC" w14:textId="3987B9BB" w:rsidR="007A1E42" w:rsidRDefault="00792EF7" w:rsidP="00792EF7">
            <w:pPr>
              <w:jc w:val="right"/>
              <w:rPr>
                <w:rFonts w:ascii="Calibri" w:hAnsi="Calibri"/>
              </w:rPr>
            </w:pPr>
            <w:r>
              <w:rPr>
                <w:rFonts w:ascii="Calibri" w:hAnsi="Calibri"/>
              </w:rPr>
              <w:t>$263.07</w:t>
            </w:r>
          </w:p>
        </w:tc>
        <w:tc>
          <w:tcPr>
            <w:tcW w:w="2430" w:type="dxa"/>
          </w:tcPr>
          <w:p w14:paraId="2DCDF470" w14:textId="7907A730" w:rsidR="007A1E42" w:rsidRDefault="00792EF7" w:rsidP="00792EF7">
            <w:pPr>
              <w:jc w:val="right"/>
              <w:rPr>
                <w:rFonts w:ascii="Calibri" w:hAnsi="Calibri"/>
              </w:rPr>
            </w:pPr>
            <w:r>
              <w:rPr>
                <w:rFonts w:ascii="Calibri" w:hAnsi="Calibri"/>
              </w:rPr>
              <w:t>$8.00</w:t>
            </w:r>
            <w:r w:rsidR="00BF7F5C">
              <w:rPr>
                <w:rStyle w:val="FootnoteReference"/>
                <w:rFonts w:ascii="Calibri" w:hAnsi="Calibri"/>
              </w:rPr>
              <w:footnoteReference w:id="16"/>
            </w:r>
          </w:p>
        </w:tc>
      </w:tr>
      <w:tr w:rsidR="007A1E42" w14:paraId="2CC04431" w14:textId="77777777" w:rsidTr="00792EF7">
        <w:tc>
          <w:tcPr>
            <w:tcW w:w="1951" w:type="dxa"/>
          </w:tcPr>
          <w:p w14:paraId="00872546" w14:textId="7D92A6A2" w:rsidR="007A1E42" w:rsidRDefault="007A1E42" w:rsidP="007A1E42">
            <w:pPr>
              <w:jc w:val="right"/>
              <w:rPr>
                <w:rFonts w:ascii="Calibri" w:hAnsi="Calibri"/>
              </w:rPr>
            </w:pPr>
            <w:r>
              <w:rPr>
                <w:rFonts w:ascii="Calibri" w:hAnsi="Calibri"/>
              </w:rPr>
              <w:t>2024-25</w:t>
            </w:r>
          </w:p>
        </w:tc>
        <w:tc>
          <w:tcPr>
            <w:tcW w:w="2459" w:type="dxa"/>
          </w:tcPr>
          <w:p w14:paraId="5BAD9517" w14:textId="10CD0CCC" w:rsidR="007A1E42" w:rsidRDefault="00792EF7" w:rsidP="00792EF7">
            <w:pPr>
              <w:jc w:val="right"/>
              <w:rPr>
                <w:rFonts w:ascii="Calibri" w:hAnsi="Calibri"/>
              </w:rPr>
            </w:pPr>
            <w:r>
              <w:rPr>
                <w:rFonts w:ascii="Calibri" w:hAnsi="Calibri"/>
              </w:rPr>
              <w:t>$279.35</w:t>
            </w:r>
          </w:p>
        </w:tc>
        <w:tc>
          <w:tcPr>
            <w:tcW w:w="2430" w:type="dxa"/>
          </w:tcPr>
          <w:p w14:paraId="2D3D8912" w14:textId="77F76314" w:rsidR="007A1E42" w:rsidRDefault="00792EF7" w:rsidP="00792EF7">
            <w:pPr>
              <w:jc w:val="right"/>
              <w:rPr>
                <w:rFonts w:ascii="Calibri" w:hAnsi="Calibri"/>
              </w:rPr>
            </w:pPr>
            <w:r>
              <w:rPr>
                <w:rFonts w:ascii="Calibri" w:hAnsi="Calibri"/>
              </w:rPr>
              <w:t>$8.50</w:t>
            </w:r>
            <w:r w:rsidR="00BF7F5C">
              <w:rPr>
                <w:rStyle w:val="FootnoteReference"/>
                <w:rFonts w:ascii="Calibri" w:hAnsi="Calibri"/>
              </w:rPr>
              <w:footnoteReference w:id="17"/>
            </w:r>
          </w:p>
        </w:tc>
      </w:tr>
    </w:tbl>
    <w:p w14:paraId="38BEB5D9" w14:textId="77777777" w:rsidR="007A1E42" w:rsidRDefault="007A1E42" w:rsidP="00DC4D5A">
      <w:pPr>
        <w:spacing w:line="480" w:lineRule="auto"/>
        <w:jc w:val="both"/>
        <w:rPr>
          <w:rFonts w:ascii="Calibri" w:hAnsi="Calibri"/>
        </w:rPr>
      </w:pPr>
    </w:p>
    <w:p w14:paraId="4F551371" w14:textId="1B23395E" w:rsidR="00154580" w:rsidRDefault="006B0F7E" w:rsidP="00DC4D5A">
      <w:pPr>
        <w:spacing w:line="480" w:lineRule="auto"/>
        <w:jc w:val="both"/>
        <w:rPr>
          <w:rFonts w:ascii="Calibri" w:hAnsi="Calibri"/>
        </w:rPr>
      </w:pPr>
      <w:r>
        <w:rPr>
          <w:rFonts w:ascii="Calibri" w:hAnsi="Calibri"/>
        </w:rPr>
        <w:t xml:space="preserve">Capacity prices could go as high as these Net CONE values, which are close to the total current Rider ELR credit without even </w:t>
      </w:r>
      <w:proofErr w:type="gramStart"/>
      <w:r>
        <w:rPr>
          <w:rFonts w:ascii="Calibri" w:hAnsi="Calibri"/>
        </w:rPr>
        <w:t>taking into account</w:t>
      </w:r>
      <w:proofErr w:type="gramEnd"/>
      <w:r>
        <w:rPr>
          <w:rFonts w:ascii="Calibri" w:hAnsi="Calibri"/>
        </w:rPr>
        <w:t xml:space="preserve"> the local reliability and economic development benefits.</w:t>
      </w:r>
      <w:r w:rsidR="007877E0">
        <w:rPr>
          <w:rFonts w:ascii="Calibri" w:hAnsi="Calibri"/>
        </w:rPr>
        <w:t xml:space="preserve">  In fact, several witnesses in this case testified that they expect capacity prices to rise significantly higher due to a number of factors, including the</w:t>
      </w:r>
      <w:r w:rsidR="00C95A6D">
        <w:rPr>
          <w:rFonts w:ascii="Calibri" w:hAnsi="Calibri"/>
        </w:rPr>
        <w:t xml:space="preserve"> rapid retirement of dispatchable carbon-based energy resources, the replacement of these resources with non-dispatchable intermittent non-thermal resources, increased demands due to electrification, and</w:t>
      </w:r>
      <w:r w:rsidR="00D51925">
        <w:rPr>
          <w:rFonts w:ascii="Calibri" w:hAnsi="Calibri"/>
        </w:rPr>
        <w:t xml:space="preserve"> the impacts of severe weather</w:t>
      </w:r>
      <w:r w:rsidR="007877E0">
        <w:rPr>
          <w:rFonts w:ascii="Calibri" w:hAnsi="Calibri"/>
        </w:rPr>
        <w:t>.</w:t>
      </w:r>
      <w:r w:rsidR="00D40FCF">
        <w:rPr>
          <w:rStyle w:val="FootnoteReference"/>
          <w:rFonts w:ascii="Calibri" w:hAnsi="Calibri"/>
        </w:rPr>
        <w:footnoteReference w:id="18"/>
      </w:r>
    </w:p>
    <w:p w14:paraId="7D786C10" w14:textId="350E2C06" w:rsidR="000A1613" w:rsidRDefault="00154580" w:rsidP="00DC4D5A">
      <w:pPr>
        <w:spacing w:line="480" w:lineRule="auto"/>
        <w:jc w:val="both"/>
        <w:rPr>
          <w:rFonts w:ascii="Calibri" w:hAnsi="Calibri"/>
        </w:rPr>
      </w:pPr>
      <w:r>
        <w:rPr>
          <w:rFonts w:ascii="Calibri" w:hAnsi="Calibri"/>
        </w:rPr>
        <w:lastRenderedPageBreak/>
        <w:tab/>
      </w:r>
      <w:r w:rsidR="005836CB">
        <w:rPr>
          <w:rFonts w:ascii="Calibri" w:hAnsi="Calibri"/>
        </w:rPr>
        <w:t xml:space="preserve">OCC and NOAC </w:t>
      </w:r>
      <w:r>
        <w:rPr>
          <w:rFonts w:ascii="Calibri" w:hAnsi="Calibri"/>
        </w:rPr>
        <w:t>also describe Rider ELR as a subsidy.</w:t>
      </w:r>
      <w:r>
        <w:rPr>
          <w:rStyle w:val="FootnoteReference"/>
          <w:rFonts w:ascii="Calibri" w:hAnsi="Calibri"/>
        </w:rPr>
        <w:footnoteReference w:id="19"/>
      </w:r>
      <w:r>
        <w:rPr>
          <w:rFonts w:ascii="Calibri" w:hAnsi="Calibri"/>
        </w:rPr>
        <w:t xml:space="preserve">  This characterization is not surprising, </w:t>
      </w:r>
      <w:r w:rsidR="00E165C0">
        <w:rPr>
          <w:rFonts w:ascii="Calibri" w:hAnsi="Calibri"/>
        </w:rPr>
        <w:t>given that</w:t>
      </w:r>
      <w:r>
        <w:rPr>
          <w:rFonts w:ascii="Calibri" w:hAnsi="Calibri"/>
        </w:rPr>
        <w:t xml:space="preserve"> these parties refuse to acknowledge that Rider ELR provides </w:t>
      </w:r>
      <w:r w:rsidRPr="00154580">
        <w:rPr>
          <w:rFonts w:ascii="Calibri" w:hAnsi="Calibri"/>
          <w:i/>
          <w:iCs/>
        </w:rPr>
        <w:t>any</w:t>
      </w:r>
      <w:r>
        <w:rPr>
          <w:rFonts w:ascii="Calibri" w:hAnsi="Calibri"/>
        </w:rPr>
        <w:t xml:space="preserve"> benefits at all.</w:t>
      </w:r>
      <w:r w:rsidR="00E165C0">
        <w:rPr>
          <w:rFonts w:ascii="Calibri" w:hAnsi="Calibri"/>
        </w:rPr>
        <w:t xml:space="preserve">  </w:t>
      </w:r>
      <w:r w:rsidR="00815E74">
        <w:rPr>
          <w:rFonts w:ascii="Calibri" w:hAnsi="Calibri"/>
        </w:rPr>
        <w:t xml:space="preserve">OCC tries to bolster its subsidy claim by </w:t>
      </w:r>
      <w:r w:rsidR="00841DDC">
        <w:rPr>
          <w:rFonts w:ascii="Calibri" w:hAnsi="Calibri"/>
        </w:rPr>
        <w:t>noting that total annual credits under the ELR program were between $55.1 million and $67.5 million each year.</w:t>
      </w:r>
      <w:r w:rsidR="00841DDC">
        <w:rPr>
          <w:rStyle w:val="FootnoteReference"/>
          <w:rFonts w:ascii="Calibri" w:hAnsi="Calibri"/>
        </w:rPr>
        <w:footnoteReference w:id="20"/>
      </w:r>
      <w:r w:rsidR="00841DDC">
        <w:rPr>
          <w:rFonts w:ascii="Calibri" w:hAnsi="Calibri"/>
        </w:rPr>
        <w:t xml:space="preserve">  However, looking at the overall credits each year does not tell the full story, including the rate impact on customers from the program.  As demonstrated at the hearing, the cost of the Rider ELR program</w:t>
      </w:r>
      <w:r w:rsidR="00314F74">
        <w:rPr>
          <w:rFonts w:ascii="Calibri" w:hAnsi="Calibri"/>
        </w:rPr>
        <w:t xml:space="preserve"> (as recovered through the </w:t>
      </w:r>
      <w:r w:rsidR="00EC49A1">
        <w:rPr>
          <w:rFonts w:ascii="Calibri" w:hAnsi="Calibri"/>
        </w:rPr>
        <w:t xml:space="preserve">Demand Side Management and Energy Efficiency Rider (“Rider </w:t>
      </w:r>
      <w:r w:rsidR="00314F74">
        <w:rPr>
          <w:rFonts w:ascii="Calibri" w:hAnsi="Calibri"/>
        </w:rPr>
        <w:t>DSE</w:t>
      </w:r>
      <w:r w:rsidR="00EC49A1">
        <w:rPr>
          <w:rFonts w:ascii="Calibri" w:hAnsi="Calibri"/>
        </w:rPr>
        <w:t>”)</w:t>
      </w:r>
      <w:r w:rsidR="00314F74">
        <w:rPr>
          <w:rFonts w:ascii="Calibri" w:hAnsi="Calibri"/>
        </w:rPr>
        <w:t xml:space="preserve"> and </w:t>
      </w:r>
      <w:r w:rsidR="00EC49A1">
        <w:rPr>
          <w:rFonts w:ascii="Calibri" w:hAnsi="Calibri"/>
        </w:rPr>
        <w:t xml:space="preserve">the Economic Development Rider (“Rider </w:t>
      </w:r>
      <w:r w:rsidR="00314F74">
        <w:rPr>
          <w:rFonts w:ascii="Calibri" w:hAnsi="Calibri"/>
        </w:rPr>
        <w:t>EDR</w:t>
      </w:r>
      <w:r w:rsidR="00EC49A1">
        <w:rPr>
          <w:rFonts w:ascii="Calibri" w:hAnsi="Calibri"/>
        </w:rPr>
        <w:t>”)</w:t>
      </w:r>
      <w:r w:rsidR="00314F74">
        <w:rPr>
          <w:rFonts w:ascii="Calibri" w:hAnsi="Calibri"/>
        </w:rPr>
        <w:t>)</w:t>
      </w:r>
      <w:r w:rsidR="00841DDC">
        <w:rPr>
          <w:rFonts w:ascii="Calibri" w:hAnsi="Calibri"/>
        </w:rPr>
        <w:t xml:space="preserve"> for an average</w:t>
      </w:r>
      <w:r w:rsidR="00314F74">
        <w:rPr>
          <w:rFonts w:ascii="Calibri" w:hAnsi="Calibri"/>
        </w:rPr>
        <w:t xml:space="preserve"> Ohio Edison</w:t>
      </w:r>
      <w:r w:rsidR="00841DDC">
        <w:rPr>
          <w:rFonts w:ascii="Calibri" w:hAnsi="Calibri"/>
        </w:rPr>
        <w:t xml:space="preserve"> residential customer using 750 </w:t>
      </w:r>
      <w:proofErr w:type="spellStart"/>
      <w:r w:rsidR="00841DDC">
        <w:rPr>
          <w:rFonts w:ascii="Calibri" w:hAnsi="Calibri"/>
        </w:rPr>
        <w:t>kWhs</w:t>
      </w:r>
      <w:proofErr w:type="spellEnd"/>
      <w:r w:rsidR="00841DDC">
        <w:rPr>
          <w:rFonts w:ascii="Calibri" w:hAnsi="Calibri"/>
        </w:rPr>
        <w:t xml:space="preserve"> of electricity a mont</w:t>
      </w:r>
      <w:r w:rsidR="00314F74">
        <w:rPr>
          <w:rFonts w:ascii="Calibri" w:hAnsi="Calibri"/>
        </w:rPr>
        <w:t>h was around 25 cents per month.</w:t>
      </w:r>
      <w:r w:rsidR="00314F74">
        <w:rPr>
          <w:rStyle w:val="FootnoteReference"/>
          <w:rFonts w:ascii="Calibri" w:hAnsi="Calibri"/>
        </w:rPr>
        <w:footnoteReference w:id="21"/>
      </w:r>
      <w:r w:rsidR="00314F74">
        <w:rPr>
          <w:rFonts w:ascii="Calibri" w:hAnsi="Calibri"/>
        </w:rPr>
        <w:t xml:space="preserve">  </w:t>
      </w:r>
      <w:r w:rsidR="00D57756">
        <w:rPr>
          <w:rFonts w:ascii="Calibri" w:hAnsi="Calibri"/>
        </w:rPr>
        <w:t>As a result, while the total annual credit amounts look large, when spread across the entire FirstEnergy system, the program accounts for only a very small percentage of the average residential customer’s bill.</w:t>
      </w:r>
      <w:r w:rsidR="00B346B9">
        <w:rPr>
          <w:rFonts w:ascii="Calibri" w:hAnsi="Calibri"/>
        </w:rPr>
        <w:t xml:space="preserve">  </w:t>
      </w:r>
      <w:r w:rsidR="00521F53">
        <w:rPr>
          <w:rFonts w:ascii="Calibri" w:hAnsi="Calibri"/>
        </w:rPr>
        <w:t xml:space="preserve">For any residential customer that has experienced the hassle and misery of an extended electricity outage, paying such a small </w:t>
      </w:r>
      <w:r w:rsidR="00686CC0">
        <w:rPr>
          <w:rFonts w:ascii="Calibri" w:hAnsi="Calibri"/>
        </w:rPr>
        <w:t>portion of one’s monthly power bill</w:t>
      </w:r>
      <w:r w:rsidR="0026292C">
        <w:rPr>
          <w:rFonts w:ascii="Calibri" w:hAnsi="Calibri"/>
        </w:rPr>
        <w:t xml:space="preserve"> </w:t>
      </w:r>
      <w:r w:rsidR="00B346B9">
        <w:rPr>
          <w:rFonts w:ascii="Calibri" w:hAnsi="Calibri"/>
        </w:rPr>
        <w:t>for a reliability resource</w:t>
      </w:r>
      <w:r w:rsidR="00B953CE">
        <w:rPr>
          <w:rFonts w:ascii="Calibri" w:hAnsi="Calibri"/>
        </w:rPr>
        <w:t xml:space="preserve"> that is</w:t>
      </w:r>
      <w:r w:rsidR="0026292C">
        <w:rPr>
          <w:rFonts w:ascii="Calibri" w:hAnsi="Calibri"/>
        </w:rPr>
        <w:t xml:space="preserve"> available 24/7 and</w:t>
      </w:r>
      <w:r w:rsidR="00B346B9">
        <w:rPr>
          <w:rFonts w:ascii="Calibri" w:hAnsi="Calibri"/>
        </w:rPr>
        <w:t xml:space="preserve"> under the direct control of </w:t>
      </w:r>
      <w:r w:rsidR="0026292C">
        <w:rPr>
          <w:rFonts w:ascii="Calibri" w:hAnsi="Calibri"/>
        </w:rPr>
        <w:t xml:space="preserve">the </w:t>
      </w:r>
      <w:r w:rsidR="00B346B9">
        <w:rPr>
          <w:rFonts w:ascii="Calibri" w:hAnsi="Calibri"/>
        </w:rPr>
        <w:t>local utility that can help avoid blackouts and other system disruptions</w:t>
      </w:r>
      <w:r w:rsidR="0026292C">
        <w:rPr>
          <w:rFonts w:ascii="Calibri" w:hAnsi="Calibri"/>
        </w:rPr>
        <w:t xml:space="preserve"> </w:t>
      </w:r>
      <w:r w:rsidR="00686CC0">
        <w:rPr>
          <w:rFonts w:ascii="Calibri" w:hAnsi="Calibri"/>
        </w:rPr>
        <w:t>likely would be considered a good value</w:t>
      </w:r>
      <w:r w:rsidR="00B346B9">
        <w:rPr>
          <w:rFonts w:ascii="Calibri" w:hAnsi="Calibri"/>
        </w:rPr>
        <w:t>.</w:t>
      </w:r>
      <w:r w:rsidR="00D57756">
        <w:rPr>
          <w:rFonts w:ascii="Calibri" w:hAnsi="Calibri"/>
        </w:rPr>
        <w:t xml:space="preserve">   </w:t>
      </w:r>
      <w:r w:rsidR="00314F74">
        <w:rPr>
          <w:rFonts w:ascii="Calibri" w:hAnsi="Calibri"/>
        </w:rPr>
        <w:t xml:space="preserve">  </w:t>
      </w:r>
      <w:r>
        <w:rPr>
          <w:rFonts w:ascii="Calibri" w:hAnsi="Calibri"/>
        </w:rPr>
        <w:t xml:space="preserve">  </w:t>
      </w:r>
      <w:r w:rsidR="00245988">
        <w:rPr>
          <w:rFonts w:ascii="Calibri" w:hAnsi="Calibri"/>
        </w:rPr>
        <w:t xml:space="preserve"> </w:t>
      </w:r>
      <w:r w:rsidR="00D847CB">
        <w:rPr>
          <w:rFonts w:ascii="Calibri" w:hAnsi="Calibri"/>
        </w:rPr>
        <w:t xml:space="preserve"> </w:t>
      </w:r>
    </w:p>
    <w:p w14:paraId="499577B6" w14:textId="79022FFA" w:rsidR="00746712" w:rsidRPr="00746712" w:rsidRDefault="00746712" w:rsidP="002B6DAC">
      <w:pPr>
        <w:pStyle w:val="Heading4"/>
        <w:ind w:left="2880" w:hanging="720"/>
      </w:pPr>
      <w:bookmarkStart w:id="18" w:name="_Toc158284296"/>
      <w:bookmarkStart w:id="19" w:name="_Toc158363486"/>
      <w:r w:rsidRPr="00746712">
        <w:lastRenderedPageBreak/>
        <w:t>b.</w:t>
      </w:r>
      <w:r w:rsidRPr="00746712">
        <w:tab/>
        <w:t>The value of Rider ELR is not dependent on how often ELR customers are interrupted</w:t>
      </w:r>
      <w:bookmarkEnd w:id="18"/>
      <w:bookmarkEnd w:id="19"/>
      <w:r w:rsidR="007926CC">
        <w:fldChar w:fldCharType="begin"/>
      </w:r>
      <w:r w:rsidR="007926CC">
        <w:instrText xml:space="preserve"> TC "</w:instrText>
      </w:r>
      <w:bookmarkStart w:id="20" w:name="_Toc158207342"/>
      <w:r w:rsidR="007926CC" w:rsidRPr="00245754">
        <w:instrText>b.</w:instrText>
      </w:r>
      <w:r w:rsidR="007926CC" w:rsidRPr="00245754">
        <w:tab/>
        <w:instrText>The value of Rider ELR is not dependent on how often ELR customers are interrupted</w:instrText>
      </w:r>
      <w:bookmarkEnd w:id="20"/>
      <w:r w:rsidR="007926CC">
        <w:instrText xml:space="preserve">" \f C \l "4" </w:instrText>
      </w:r>
      <w:r w:rsidR="007926CC">
        <w:fldChar w:fldCharType="end"/>
      </w:r>
    </w:p>
    <w:p w14:paraId="34497E4D" w14:textId="1AF60E53" w:rsidR="00746712" w:rsidRDefault="00746712" w:rsidP="00DC4D5A">
      <w:pPr>
        <w:spacing w:line="480" w:lineRule="auto"/>
        <w:jc w:val="both"/>
        <w:rPr>
          <w:rFonts w:ascii="Calibri" w:hAnsi="Calibri"/>
        </w:rPr>
      </w:pPr>
      <w:r>
        <w:rPr>
          <w:rFonts w:ascii="Calibri" w:hAnsi="Calibri"/>
        </w:rPr>
        <w:tab/>
      </w:r>
      <w:r w:rsidR="00152CB5">
        <w:rPr>
          <w:rFonts w:ascii="Calibri" w:hAnsi="Calibri"/>
        </w:rPr>
        <w:t xml:space="preserve">In opposing Rider ELR, OCC </w:t>
      </w:r>
      <w:r w:rsidR="00402B74">
        <w:rPr>
          <w:rFonts w:ascii="Calibri" w:hAnsi="Calibri"/>
        </w:rPr>
        <w:t>and NOAC assert that Rider ELR customers are never or rarely interrupted.</w:t>
      </w:r>
      <w:r w:rsidR="00402B74">
        <w:rPr>
          <w:rStyle w:val="FootnoteReference"/>
          <w:rFonts w:ascii="Calibri" w:hAnsi="Calibri"/>
        </w:rPr>
        <w:footnoteReference w:id="22"/>
      </w:r>
      <w:r w:rsidR="00402B74">
        <w:rPr>
          <w:rFonts w:ascii="Calibri" w:hAnsi="Calibri"/>
        </w:rPr>
        <w:t xml:space="preserve">  </w:t>
      </w:r>
      <w:r>
        <w:rPr>
          <w:rFonts w:ascii="Calibri" w:hAnsi="Calibri"/>
        </w:rPr>
        <w:t xml:space="preserve">However, Rider ELR provides an important reliability benefit even if customers are </w:t>
      </w:r>
      <w:r w:rsidR="0077325C">
        <w:rPr>
          <w:rFonts w:ascii="Calibri" w:hAnsi="Calibri"/>
        </w:rPr>
        <w:t>never</w:t>
      </w:r>
      <w:r>
        <w:rPr>
          <w:rFonts w:ascii="Calibri" w:hAnsi="Calibri"/>
        </w:rPr>
        <w:t xml:space="preserve"> interrupted.  As Nucor Witness Dr. Goins testifie</w:t>
      </w:r>
      <w:r w:rsidR="00773A99">
        <w:rPr>
          <w:rFonts w:ascii="Calibri" w:hAnsi="Calibri"/>
        </w:rPr>
        <w:t>d</w:t>
      </w:r>
      <w:r w:rsidR="00402B74">
        <w:rPr>
          <w:rFonts w:ascii="Calibri" w:hAnsi="Calibri"/>
        </w:rPr>
        <w:t>:</w:t>
      </w:r>
    </w:p>
    <w:p w14:paraId="1C520D68" w14:textId="39FCA51A" w:rsidR="00773A99" w:rsidRDefault="00773A99" w:rsidP="00773A99">
      <w:pPr>
        <w:ind w:left="720" w:right="720"/>
        <w:jc w:val="both"/>
        <w:rPr>
          <w:rFonts w:ascii="Calibri" w:hAnsi="Calibri"/>
        </w:rPr>
      </w:pPr>
      <w:r>
        <w:rPr>
          <w:rFonts w:ascii="Calibri" w:hAnsi="Calibri"/>
        </w:rPr>
        <w:t xml:space="preserve">Even if interruptible load is never called, or </w:t>
      </w:r>
      <w:r w:rsidR="00D409BD">
        <w:rPr>
          <w:rFonts w:ascii="Calibri" w:hAnsi="Calibri"/>
        </w:rPr>
        <w:t xml:space="preserve">is </w:t>
      </w:r>
      <w:r>
        <w:rPr>
          <w:rFonts w:ascii="Calibri" w:hAnsi="Calibri"/>
        </w:rPr>
        <w:t>called infrequently, it still provides a necessary and important reliability benefit.  Interruptible load is similar to insurance.  People who buy homeowner’s insurance hope to never have to use it.  But homeowners are willing to pay for this product because they do not want to be without insurance if it is needed.  Interruptible load provides a similar insurance benefit to help deal with unplanned local or region-wide emergency events.</w:t>
      </w:r>
      <w:r>
        <w:rPr>
          <w:rStyle w:val="FootnoteReference"/>
          <w:rFonts w:ascii="Calibri" w:hAnsi="Calibri"/>
        </w:rPr>
        <w:footnoteReference w:id="23"/>
      </w:r>
    </w:p>
    <w:p w14:paraId="7ACB21BC" w14:textId="77777777" w:rsidR="00773A99" w:rsidRDefault="00773A99" w:rsidP="00773A99">
      <w:pPr>
        <w:ind w:left="720" w:right="720"/>
        <w:jc w:val="both"/>
        <w:rPr>
          <w:rFonts w:ascii="Calibri" w:hAnsi="Calibri"/>
        </w:rPr>
      </w:pPr>
    </w:p>
    <w:p w14:paraId="26252FBD" w14:textId="1A94168E" w:rsidR="00402B74" w:rsidRDefault="00402B74" w:rsidP="00DC4D5A">
      <w:pPr>
        <w:spacing w:line="480" w:lineRule="auto"/>
        <w:jc w:val="both"/>
        <w:rPr>
          <w:rFonts w:ascii="Calibri" w:hAnsi="Calibri"/>
        </w:rPr>
      </w:pPr>
      <w:r>
        <w:rPr>
          <w:rFonts w:ascii="Calibri" w:hAnsi="Calibri"/>
        </w:rPr>
        <w:t>In other words, the value of Rider ELR is having the interruptible load available when and if it is needed.  Even if Rider ELR customers are never called to interrupt for one year or even several years,</w:t>
      </w:r>
      <w:r w:rsidR="00880B5C">
        <w:rPr>
          <w:rFonts w:ascii="Calibri" w:hAnsi="Calibri"/>
        </w:rPr>
        <w:t xml:space="preserve"> there may</w:t>
      </w:r>
      <w:r>
        <w:rPr>
          <w:rFonts w:ascii="Calibri" w:hAnsi="Calibri"/>
        </w:rPr>
        <w:t xml:space="preserve"> be a time in the future when interruptions are needed more frequently to address reliability issues, particularly over the term of an ESP lasting four, six</w:t>
      </w:r>
      <w:r w:rsidR="00880B5C">
        <w:rPr>
          <w:rFonts w:ascii="Calibri" w:hAnsi="Calibri"/>
        </w:rPr>
        <w:t>,</w:t>
      </w:r>
      <w:r>
        <w:rPr>
          <w:rFonts w:ascii="Calibri" w:hAnsi="Calibri"/>
        </w:rPr>
        <w:t xml:space="preserve"> or eight years.</w:t>
      </w:r>
      <w:r w:rsidR="009A7A7D">
        <w:rPr>
          <w:rStyle w:val="FootnoteReference"/>
          <w:rFonts w:ascii="Calibri" w:hAnsi="Calibri"/>
        </w:rPr>
        <w:footnoteReference w:id="24"/>
      </w:r>
      <w:r w:rsidR="00773A99">
        <w:rPr>
          <w:rFonts w:ascii="Calibri" w:hAnsi="Calibri"/>
        </w:rPr>
        <w:t xml:space="preserve">  The energy transition occurring in the PJM region, in fact, may make reliability issues more likely in the near future than they have been in the past</w:t>
      </w:r>
      <w:r w:rsidR="0077325C">
        <w:rPr>
          <w:rFonts w:ascii="Calibri" w:hAnsi="Calibri"/>
        </w:rPr>
        <w:t>, making the need for stable and dependable interruptible resources all the more important</w:t>
      </w:r>
      <w:r w:rsidR="00773A99">
        <w:rPr>
          <w:rFonts w:ascii="Calibri" w:hAnsi="Calibri"/>
        </w:rPr>
        <w:t>.</w:t>
      </w:r>
      <w:r w:rsidR="00773A99">
        <w:rPr>
          <w:rStyle w:val="FootnoteReference"/>
          <w:rFonts w:ascii="Calibri" w:hAnsi="Calibri"/>
        </w:rPr>
        <w:footnoteReference w:id="25"/>
      </w:r>
    </w:p>
    <w:p w14:paraId="1E0202DB" w14:textId="07B445AC" w:rsidR="0077325C" w:rsidRDefault="0077325C" w:rsidP="0077325C">
      <w:pPr>
        <w:spacing w:line="480" w:lineRule="auto"/>
        <w:ind w:firstLine="720"/>
        <w:jc w:val="both"/>
        <w:rPr>
          <w:rFonts w:ascii="Calibri" w:hAnsi="Calibri"/>
        </w:rPr>
      </w:pPr>
      <w:r>
        <w:rPr>
          <w:rFonts w:ascii="Calibri" w:hAnsi="Calibri"/>
        </w:rPr>
        <w:t xml:space="preserve">Aside from the reliability benefits of having interruptible load available when needed, there are additional benefits associated with Rider ELR load participating in PJM.  If FirstEnergy remains the CSP for Rider ELR customers as is the case today, capacity payments would be passed </w:t>
      </w:r>
      <w:r>
        <w:rPr>
          <w:rFonts w:ascii="Calibri" w:hAnsi="Calibri"/>
        </w:rPr>
        <w:lastRenderedPageBreak/>
        <w:t>back to non-ELR customers to offset the cost of the credits.</w:t>
      </w:r>
      <w:r>
        <w:rPr>
          <w:rStyle w:val="FootnoteReference"/>
          <w:rFonts w:ascii="Calibri" w:hAnsi="Calibri"/>
        </w:rPr>
        <w:footnoteReference w:id="26"/>
      </w:r>
      <w:r>
        <w:rPr>
          <w:rFonts w:ascii="Calibri" w:hAnsi="Calibri"/>
        </w:rPr>
        <w:t xml:space="preserve">  And, bidding Rider ELR load into the capacity market could displace higher-cost capacity resources, resulting in lower capacity costs for all customers.</w:t>
      </w:r>
      <w:r>
        <w:rPr>
          <w:rStyle w:val="FootnoteReference"/>
          <w:rFonts w:ascii="Calibri" w:hAnsi="Calibri"/>
        </w:rPr>
        <w:footnoteReference w:id="27"/>
      </w:r>
      <w:r>
        <w:rPr>
          <w:rFonts w:ascii="Calibri" w:hAnsi="Calibri"/>
        </w:rPr>
        <w:t xml:space="preserve">  </w:t>
      </w:r>
      <w:r w:rsidR="00D409BD">
        <w:rPr>
          <w:rFonts w:ascii="Calibri" w:hAnsi="Calibri"/>
        </w:rPr>
        <w:t xml:space="preserve">Rider </w:t>
      </w:r>
      <w:r>
        <w:rPr>
          <w:rFonts w:ascii="Calibri" w:hAnsi="Calibri"/>
        </w:rPr>
        <w:t>ELR can produce these benefits even if customers are never interrupted.</w:t>
      </w:r>
    </w:p>
    <w:p w14:paraId="7C060403" w14:textId="68AE6E0E" w:rsidR="000568F0" w:rsidRDefault="002B3A0C" w:rsidP="0077325C">
      <w:pPr>
        <w:spacing w:line="480" w:lineRule="auto"/>
        <w:ind w:firstLine="720"/>
        <w:jc w:val="both"/>
        <w:rPr>
          <w:rFonts w:ascii="Calibri" w:hAnsi="Calibri"/>
        </w:rPr>
      </w:pPr>
      <w:r>
        <w:rPr>
          <w:rFonts w:ascii="Calibri" w:hAnsi="Calibri"/>
        </w:rPr>
        <w:t>Further, e</w:t>
      </w:r>
      <w:r w:rsidR="0077325C">
        <w:rPr>
          <w:rFonts w:ascii="Calibri" w:hAnsi="Calibri"/>
        </w:rPr>
        <w:t>ven though ELR customers do not have to be interrupted to provide benefits, the claims that Rider ELR customers are “never” or “rarely” called to interrupt are overstated and misleading.</w:t>
      </w:r>
      <w:r w:rsidR="000568F0">
        <w:rPr>
          <w:rFonts w:ascii="Calibri" w:hAnsi="Calibri"/>
        </w:rPr>
        <w:t xml:space="preserve">  OCC states that “Rider ELR might be worthwhile if FirstEnergy ever needed to actually interrupt service to these 24 large industrial customers in the event of an emergency,” but “FirstEnergy never actually interrupted service during the entire term of ESP IV except once per year to comply with PJM’s testing requirement.”</w:t>
      </w:r>
      <w:r w:rsidR="000568F0">
        <w:rPr>
          <w:rStyle w:val="FootnoteReference"/>
          <w:rFonts w:ascii="Calibri" w:hAnsi="Calibri"/>
        </w:rPr>
        <w:footnoteReference w:id="28"/>
      </w:r>
      <w:r w:rsidR="000568F0">
        <w:rPr>
          <w:rFonts w:ascii="Calibri" w:hAnsi="Calibri"/>
        </w:rPr>
        <w:t xml:space="preserve">  It is not true that FirstEnergy never interrupted service during ESP IV except for PJM testing events.  FirstEnergy required all ELR customers to curtail on December 24, 2022 to </w:t>
      </w:r>
      <w:r w:rsidR="000B4197">
        <w:rPr>
          <w:rFonts w:ascii="Calibri" w:hAnsi="Calibri"/>
        </w:rPr>
        <w:t>help address a regional reliability emergency in P</w:t>
      </w:r>
      <w:r w:rsidR="000568F0">
        <w:rPr>
          <w:rFonts w:ascii="Calibri" w:hAnsi="Calibri"/>
        </w:rPr>
        <w:t>JM</w:t>
      </w:r>
      <w:r>
        <w:rPr>
          <w:rFonts w:ascii="Calibri" w:hAnsi="Calibri"/>
        </w:rPr>
        <w:t xml:space="preserve"> resulting from Winter Storm Elliott</w:t>
      </w:r>
      <w:r w:rsidR="000568F0">
        <w:rPr>
          <w:rFonts w:ascii="Calibri" w:hAnsi="Calibri"/>
        </w:rPr>
        <w:t>.</w:t>
      </w:r>
      <w:r w:rsidR="00543831">
        <w:rPr>
          <w:rStyle w:val="FootnoteReference"/>
          <w:rFonts w:ascii="Calibri" w:hAnsi="Calibri"/>
        </w:rPr>
        <w:footnoteReference w:id="29"/>
      </w:r>
      <w:r w:rsidR="009D5D8D">
        <w:rPr>
          <w:rFonts w:ascii="Calibri" w:hAnsi="Calibri"/>
        </w:rPr>
        <w:t xml:space="preserve">  Other interruptions of Rider ELR customers occurred during the Polar Vortex events in 2014 and 2011.</w:t>
      </w:r>
      <w:r w:rsidR="009D5D8D">
        <w:rPr>
          <w:rStyle w:val="FootnoteReference"/>
          <w:rFonts w:ascii="Calibri" w:hAnsi="Calibri"/>
        </w:rPr>
        <w:footnoteReference w:id="30"/>
      </w:r>
      <w:r w:rsidR="000B4197">
        <w:rPr>
          <w:rFonts w:ascii="Calibri" w:hAnsi="Calibri"/>
        </w:rPr>
        <w:t xml:space="preserve">  Prior to the establishment of Rider ELR, FirstEnergy called interruptions in several years, including multiple interruptions in 1998, 2003, and 2006.</w:t>
      </w:r>
      <w:r w:rsidR="000B4197">
        <w:rPr>
          <w:rStyle w:val="FootnoteReference"/>
          <w:rFonts w:ascii="Calibri" w:hAnsi="Calibri"/>
        </w:rPr>
        <w:footnoteReference w:id="31"/>
      </w:r>
      <w:r w:rsidR="000B4197">
        <w:rPr>
          <w:rFonts w:ascii="Calibri" w:hAnsi="Calibri"/>
        </w:rPr>
        <w:t xml:space="preserve">  </w:t>
      </w:r>
      <w:r>
        <w:rPr>
          <w:rFonts w:ascii="Calibri" w:hAnsi="Calibri"/>
        </w:rPr>
        <w:t>T</w:t>
      </w:r>
      <w:r w:rsidR="000B4197">
        <w:rPr>
          <w:rFonts w:ascii="Calibri" w:hAnsi="Calibri"/>
        </w:rPr>
        <w:t xml:space="preserve">his evidence demonstrates that </w:t>
      </w:r>
      <w:r>
        <w:rPr>
          <w:rFonts w:ascii="Calibri" w:hAnsi="Calibri"/>
        </w:rPr>
        <w:t>circumstances do arise when FirstEnergy needs to call on interruptible load, even if there are stretches of time when there are no interruptions.</w:t>
      </w:r>
      <w:r w:rsidR="000B4197">
        <w:rPr>
          <w:rFonts w:ascii="Calibri" w:hAnsi="Calibri"/>
        </w:rPr>
        <w:t xml:space="preserve"> </w:t>
      </w:r>
    </w:p>
    <w:p w14:paraId="2E33D8E8" w14:textId="3CDAC83F" w:rsidR="00C66E0D" w:rsidRDefault="002B3A0C" w:rsidP="00DD2677">
      <w:pPr>
        <w:spacing w:line="480" w:lineRule="auto"/>
        <w:ind w:firstLine="720"/>
        <w:jc w:val="both"/>
        <w:rPr>
          <w:rFonts w:ascii="Calibri" w:hAnsi="Calibri"/>
        </w:rPr>
      </w:pPr>
      <w:r>
        <w:rPr>
          <w:rFonts w:ascii="Calibri" w:hAnsi="Calibri"/>
        </w:rPr>
        <w:t>Finally, it is important to recognize that</w:t>
      </w:r>
      <w:r w:rsidR="0067082F">
        <w:rPr>
          <w:rFonts w:ascii="Calibri" w:hAnsi="Calibri"/>
        </w:rPr>
        <w:t xml:space="preserve"> there is no limit on the number and length of interruptions that may be called under Rider ELR, so</w:t>
      </w:r>
      <w:r>
        <w:rPr>
          <w:rFonts w:ascii="Calibri" w:hAnsi="Calibri"/>
        </w:rPr>
        <w:t xml:space="preserve"> when interruptions are called, they can be </w:t>
      </w:r>
      <w:r w:rsidR="0067082F">
        <w:rPr>
          <w:rFonts w:ascii="Calibri" w:hAnsi="Calibri"/>
        </w:rPr>
        <w:lastRenderedPageBreak/>
        <w:t>prolonged</w:t>
      </w:r>
      <w:r>
        <w:rPr>
          <w:rFonts w:ascii="Calibri" w:hAnsi="Calibri"/>
        </w:rPr>
        <w:t xml:space="preserve"> and </w:t>
      </w:r>
      <w:r w:rsidR="0067082F">
        <w:rPr>
          <w:rFonts w:ascii="Calibri" w:hAnsi="Calibri"/>
        </w:rPr>
        <w:t>challenging</w:t>
      </w:r>
      <w:r>
        <w:rPr>
          <w:rFonts w:ascii="Calibri" w:hAnsi="Calibri"/>
        </w:rPr>
        <w:t>.  The Winter Storm Elliott interruption, for example, lasted almost 10 hours.</w:t>
      </w:r>
      <w:r>
        <w:rPr>
          <w:rStyle w:val="FootnoteReference"/>
          <w:rFonts w:ascii="Calibri" w:hAnsi="Calibri"/>
        </w:rPr>
        <w:footnoteReference w:id="32"/>
      </w:r>
      <w:r>
        <w:rPr>
          <w:rFonts w:ascii="Calibri" w:hAnsi="Calibri"/>
        </w:rPr>
        <w:t xml:space="preserve">  Similarly, the interruption at W</w:t>
      </w:r>
      <w:r w:rsidR="00B063B8">
        <w:rPr>
          <w:rFonts w:ascii="Calibri" w:hAnsi="Calibri"/>
        </w:rPr>
        <w:t>C</w:t>
      </w:r>
      <w:r>
        <w:rPr>
          <w:rFonts w:ascii="Calibri" w:hAnsi="Calibri"/>
        </w:rPr>
        <w:t xml:space="preserve">I Steel described by FirstEnergy Witness Stein at the hearing lasted approximately </w:t>
      </w:r>
      <w:r w:rsidR="00B063B8">
        <w:rPr>
          <w:rFonts w:ascii="Calibri" w:hAnsi="Calibri"/>
        </w:rPr>
        <w:t>36 to 38</w:t>
      </w:r>
      <w:r>
        <w:rPr>
          <w:rFonts w:ascii="Calibri" w:hAnsi="Calibri"/>
        </w:rPr>
        <w:t xml:space="preserve"> hours, and</w:t>
      </w:r>
      <w:r w:rsidR="0011494E">
        <w:rPr>
          <w:rFonts w:ascii="Calibri" w:hAnsi="Calibri"/>
        </w:rPr>
        <w:t>, not surprisingly,</w:t>
      </w:r>
      <w:r>
        <w:rPr>
          <w:rFonts w:ascii="Calibri" w:hAnsi="Calibri"/>
        </w:rPr>
        <w:t xml:space="preserve"> resulted in lost production costs for the steel mill.</w:t>
      </w:r>
      <w:r>
        <w:rPr>
          <w:rStyle w:val="FootnoteReference"/>
          <w:rFonts w:ascii="Calibri" w:hAnsi="Calibri"/>
        </w:rPr>
        <w:footnoteReference w:id="33"/>
      </w:r>
      <w:r w:rsidR="0067082F">
        <w:rPr>
          <w:rFonts w:ascii="Calibri" w:hAnsi="Calibri"/>
        </w:rPr>
        <w:t xml:space="preserve">  As a result, even if interruptions are called infrequently, the interruptions that are called could end up being lengthy, disruptive, and costly to the Rider ELR customers that are interrupting their operations </w:t>
      </w:r>
      <w:r w:rsidR="00475609">
        <w:rPr>
          <w:rFonts w:ascii="Calibri" w:hAnsi="Calibri"/>
        </w:rPr>
        <w:t xml:space="preserve">in order </w:t>
      </w:r>
      <w:r w:rsidR="0067082F">
        <w:rPr>
          <w:rFonts w:ascii="Calibri" w:hAnsi="Calibri"/>
        </w:rPr>
        <w:t xml:space="preserve">to help preserve </w:t>
      </w:r>
      <w:r w:rsidR="00475609">
        <w:rPr>
          <w:rFonts w:ascii="Calibri" w:hAnsi="Calibri"/>
        </w:rPr>
        <w:t>system reliability and avoid rolling blackouts or other service disruptions for FirstEnergy’s customers</w:t>
      </w:r>
      <w:r w:rsidR="0067082F">
        <w:rPr>
          <w:rFonts w:ascii="Calibri" w:hAnsi="Calibri"/>
        </w:rPr>
        <w:t>.</w:t>
      </w:r>
      <w:r>
        <w:rPr>
          <w:rFonts w:ascii="Calibri" w:hAnsi="Calibri"/>
        </w:rPr>
        <w:t xml:space="preserve">  </w:t>
      </w:r>
    </w:p>
    <w:p w14:paraId="7D5D8468" w14:textId="6F83B79B" w:rsidR="00687B20" w:rsidRPr="00687B20" w:rsidRDefault="00687B20" w:rsidP="002B6DAC">
      <w:pPr>
        <w:pStyle w:val="Heading4"/>
        <w:ind w:left="2880" w:hanging="720"/>
      </w:pPr>
      <w:bookmarkStart w:id="21" w:name="_Toc158284297"/>
      <w:bookmarkStart w:id="22" w:name="_Toc158363487"/>
      <w:r w:rsidRPr="00687B20">
        <w:t>c.</w:t>
      </w:r>
      <w:r w:rsidRPr="00687B20">
        <w:tab/>
      </w:r>
      <w:r w:rsidR="007E1B8A">
        <w:t>Rider ELR is not limited to, and is not duplicative of, PJM demand response</w:t>
      </w:r>
      <w:bookmarkEnd w:id="21"/>
      <w:bookmarkEnd w:id="22"/>
      <w:r w:rsidR="007926CC">
        <w:fldChar w:fldCharType="begin"/>
      </w:r>
      <w:r w:rsidR="007926CC">
        <w:instrText xml:space="preserve"> TC "</w:instrText>
      </w:r>
      <w:bookmarkStart w:id="23" w:name="_Toc158207343"/>
      <w:r w:rsidR="007926CC" w:rsidRPr="006B582A">
        <w:instrText>c.</w:instrText>
      </w:r>
      <w:r w:rsidR="007926CC" w:rsidRPr="006B582A">
        <w:tab/>
        <w:instrText>Rider ELR is not limited to, and is not duplicative of, PJM demand response</w:instrText>
      </w:r>
      <w:bookmarkEnd w:id="23"/>
      <w:r w:rsidR="007926CC">
        <w:instrText xml:space="preserve">" \f C \l "4" </w:instrText>
      </w:r>
      <w:r w:rsidR="007926CC">
        <w:fldChar w:fldCharType="end"/>
      </w:r>
    </w:p>
    <w:p w14:paraId="6286DAD3" w14:textId="0AFDC63C" w:rsidR="003A7BF9" w:rsidRDefault="00687B20" w:rsidP="00DC4D5A">
      <w:pPr>
        <w:spacing w:line="480" w:lineRule="auto"/>
        <w:jc w:val="both"/>
        <w:rPr>
          <w:rFonts w:ascii="Calibri" w:hAnsi="Calibri"/>
        </w:rPr>
      </w:pPr>
      <w:r>
        <w:rPr>
          <w:rFonts w:ascii="Calibri" w:hAnsi="Calibri"/>
        </w:rPr>
        <w:tab/>
        <w:t xml:space="preserve">OCC </w:t>
      </w:r>
      <w:r w:rsidR="00FB1849">
        <w:rPr>
          <w:rFonts w:ascii="Calibri" w:hAnsi="Calibri"/>
        </w:rPr>
        <w:t>states that “[i]t is the responsibility of PJM, not FirstEnergy, to curtail service in the event of electric emergencies.”</w:t>
      </w:r>
      <w:r w:rsidR="00FB1849">
        <w:rPr>
          <w:rStyle w:val="FootnoteReference"/>
          <w:rFonts w:ascii="Calibri" w:hAnsi="Calibri"/>
        </w:rPr>
        <w:footnoteReference w:id="34"/>
      </w:r>
      <w:r w:rsidR="00FB1849">
        <w:rPr>
          <w:rFonts w:ascii="Calibri" w:hAnsi="Calibri"/>
        </w:rPr>
        <w:t xml:space="preserve">  OCC also observes that FirstEnergy, as a</w:t>
      </w:r>
      <w:r w:rsidR="004E06E2">
        <w:rPr>
          <w:rFonts w:ascii="Calibri" w:hAnsi="Calibri"/>
        </w:rPr>
        <w:t xml:space="preserve"> PJM member, </w:t>
      </w:r>
      <w:r w:rsidR="006568B5">
        <w:rPr>
          <w:rFonts w:ascii="Calibri" w:hAnsi="Calibri"/>
        </w:rPr>
        <w:t xml:space="preserve">must </w:t>
      </w:r>
      <w:r w:rsidR="004E06E2">
        <w:rPr>
          <w:rFonts w:ascii="Calibri" w:hAnsi="Calibri"/>
        </w:rPr>
        <w:t>follow PJM’s Reliability Assurance Agreement, which includes certain provisions on how to respond to system emergencies.</w:t>
      </w:r>
      <w:r w:rsidR="004E06E2">
        <w:rPr>
          <w:rStyle w:val="FootnoteReference"/>
          <w:rFonts w:ascii="Calibri" w:hAnsi="Calibri"/>
        </w:rPr>
        <w:footnoteReference w:id="35"/>
      </w:r>
      <w:r w:rsidR="004E06E2">
        <w:rPr>
          <w:rFonts w:ascii="Calibri" w:hAnsi="Calibri"/>
        </w:rPr>
        <w:t xml:space="preserve">  OCC </w:t>
      </w:r>
      <w:r w:rsidR="003A7BF9">
        <w:rPr>
          <w:rFonts w:ascii="Calibri" w:hAnsi="Calibri"/>
        </w:rPr>
        <w:t xml:space="preserve">seems to suggest that since PJM has the responsibility to address emergency situations at a regional level, that FirstEnergy cannot (or may not) address emergency situations that arise at a local level, such as on a FirstEnergy utility’s distribution system.  But OCC cites no evidence to show that PJM and FirstEnergy may not </w:t>
      </w:r>
      <w:r w:rsidR="003A7BF9" w:rsidRPr="000B40FA">
        <w:rPr>
          <w:rFonts w:ascii="Calibri" w:hAnsi="Calibri"/>
          <w:i/>
          <w:iCs/>
        </w:rPr>
        <w:t>both</w:t>
      </w:r>
      <w:r w:rsidR="003A7BF9">
        <w:rPr>
          <w:rFonts w:ascii="Calibri" w:hAnsi="Calibri"/>
        </w:rPr>
        <w:t xml:space="preserve"> address emergency situations with tools such as curtailable load.</w:t>
      </w:r>
    </w:p>
    <w:p w14:paraId="7D0FD7C4" w14:textId="3E64EC8B" w:rsidR="000C5B5D" w:rsidRDefault="003A7BF9" w:rsidP="003A7BF9">
      <w:pPr>
        <w:spacing w:line="480" w:lineRule="auto"/>
        <w:ind w:firstLine="720"/>
        <w:jc w:val="both"/>
        <w:rPr>
          <w:rFonts w:ascii="Calibri" w:hAnsi="Calibri"/>
        </w:rPr>
      </w:pPr>
      <w:r>
        <w:rPr>
          <w:rFonts w:ascii="Calibri" w:hAnsi="Calibri"/>
        </w:rPr>
        <w:t xml:space="preserve">The evidence demonstrates that FirstEnergy has, in fact, called on Rider ELR customers to interrupt </w:t>
      </w:r>
      <w:r w:rsidR="000B40FA">
        <w:rPr>
          <w:rFonts w:ascii="Calibri" w:hAnsi="Calibri"/>
        </w:rPr>
        <w:t>in response to</w:t>
      </w:r>
      <w:r>
        <w:rPr>
          <w:rFonts w:ascii="Calibri" w:hAnsi="Calibri"/>
        </w:rPr>
        <w:t xml:space="preserve"> local reliability </w:t>
      </w:r>
      <w:r w:rsidR="003B66FB">
        <w:rPr>
          <w:rFonts w:ascii="Calibri" w:hAnsi="Calibri"/>
        </w:rPr>
        <w:t>emergencies</w:t>
      </w:r>
      <w:r>
        <w:rPr>
          <w:rFonts w:ascii="Calibri" w:hAnsi="Calibri"/>
        </w:rPr>
        <w:t xml:space="preserve"> that were not addressed by PJM.  In 2011, </w:t>
      </w:r>
      <w:r>
        <w:rPr>
          <w:rFonts w:ascii="Calibri" w:hAnsi="Calibri"/>
        </w:rPr>
        <w:lastRenderedPageBreak/>
        <w:t>Ohio Edison curtailed a subset of Rider ELR customers to address a local reliability emergency.</w:t>
      </w:r>
      <w:r>
        <w:rPr>
          <w:rStyle w:val="FootnoteReference"/>
          <w:rFonts w:ascii="Calibri" w:hAnsi="Calibri"/>
        </w:rPr>
        <w:footnoteReference w:id="36"/>
      </w:r>
      <w:r>
        <w:rPr>
          <w:rFonts w:ascii="Calibri" w:hAnsi="Calibri"/>
        </w:rPr>
        <w:t xml:space="preserve">  During the 2014 Polar Vortex, in addition to a curtailment called by PJM, </w:t>
      </w:r>
      <w:r w:rsidR="00D00E8C">
        <w:rPr>
          <w:rFonts w:ascii="Calibri" w:hAnsi="Calibri"/>
        </w:rPr>
        <w:t>FirstEnergy also separately asked Rider ELR customers to curtail to help maintain the reliability of the distribution system.</w:t>
      </w:r>
      <w:r w:rsidR="00D00E8C">
        <w:rPr>
          <w:rStyle w:val="FootnoteReference"/>
          <w:rFonts w:ascii="Calibri" w:hAnsi="Calibri"/>
        </w:rPr>
        <w:footnoteReference w:id="37"/>
      </w:r>
      <w:r w:rsidR="00D00E8C">
        <w:rPr>
          <w:rFonts w:ascii="Calibri" w:hAnsi="Calibri"/>
        </w:rPr>
        <w:t xml:space="preserve">  </w:t>
      </w:r>
      <w:r w:rsidR="00687B20">
        <w:rPr>
          <w:rFonts w:ascii="Calibri" w:hAnsi="Calibri"/>
        </w:rPr>
        <w:t xml:space="preserve">The ability of FirstEnergy utilities to interrupt is complementary to PJM operations and ensures that the Rider ELR interruptible program – which </w:t>
      </w:r>
      <w:r w:rsidR="00D00E8C">
        <w:rPr>
          <w:rFonts w:ascii="Calibri" w:hAnsi="Calibri"/>
        </w:rPr>
        <w:t>provides</w:t>
      </w:r>
      <w:r w:rsidR="00687B20">
        <w:rPr>
          <w:rFonts w:ascii="Calibri" w:hAnsi="Calibri"/>
        </w:rPr>
        <w:t xml:space="preserve"> both </w:t>
      </w:r>
      <w:r w:rsidR="00D00E8C">
        <w:rPr>
          <w:rFonts w:ascii="Calibri" w:hAnsi="Calibri"/>
        </w:rPr>
        <w:t xml:space="preserve">regional </w:t>
      </w:r>
      <w:r w:rsidR="00687B20">
        <w:rPr>
          <w:rFonts w:ascii="Calibri" w:hAnsi="Calibri"/>
        </w:rPr>
        <w:t xml:space="preserve">PJM and local reliability benefits – is more comprehensive and valuable than </w:t>
      </w:r>
      <w:r w:rsidR="00760EAE">
        <w:rPr>
          <w:rFonts w:ascii="Calibri" w:hAnsi="Calibri"/>
        </w:rPr>
        <w:t>simply a PJM program or a local reliability program alone.</w:t>
      </w:r>
    </w:p>
    <w:p w14:paraId="269D09D7" w14:textId="348F3C55" w:rsidR="00AF3461" w:rsidRDefault="007E1B8A" w:rsidP="00D00E8C">
      <w:pPr>
        <w:spacing w:line="480" w:lineRule="auto"/>
        <w:ind w:firstLine="720"/>
        <w:jc w:val="both"/>
        <w:rPr>
          <w:rFonts w:ascii="Calibri" w:hAnsi="Calibri"/>
        </w:rPr>
      </w:pPr>
      <w:r>
        <w:rPr>
          <w:rFonts w:ascii="Calibri" w:hAnsi="Calibri"/>
        </w:rPr>
        <w:t>OMAEG recognizes the value of interruptible programs but argues that Rider ELR should be rejected because it is duplicative of programs already available in the competitive market.</w:t>
      </w:r>
      <w:r>
        <w:rPr>
          <w:rStyle w:val="FootnoteReference"/>
          <w:rFonts w:ascii="Calibri" w:hAnsi="Calibri"/>
        </w:rPr>
        <w:footnoteReference w:id="38"/>
      </w:r>
      <w:r w:rsidR="00A062F4">
        <w:rPr>
          <w:rFonts w:ascii="Calibri" w:hAnsi="Calibri"/>
        </w:rPr>
        <w:t xml:space="preserve">  OMAEG further argues that there is no reason for FirstEnergy to be involved in PJM’s demand response programs since customers can participate in those programs on their own.</w:t>
      </w:r>
      <w:r w:rsidR="00A062F4">
        <w:rPr>
          <w:rStyle w:val="FootnoteReference"/>
          <w:rFonts w:ascii="Calibri" w:hAnsi="Calibri"/>
        </w:rPr>
        <w:footnoteReference w:id="39"/>
      </w:r>
      <w:r w:rsidR="00A062F4">
        <w:rPr>
          <w:rFonts w:ascii="Calibri" w:hAnsi="Calibri"/>
        </w:rPr>
        <w:t xml:space="preserve">  As discussed above, </w:t>
      </w:r>
      <w:r w:rsidR="005A2B95">
        <w:rPr>
          <w:rFonts w:ascii="Calibri" w:hAnsi="Calibri"/>
        </w:rPr>
        <w:t xml:space="preserve">the ELR program </w:t>
      </w:r>
      <w:r w:rsidR="003C6C95">
        <w:rPr>
          <w:rFonts w:ascii="Calibri" w:hAnsi="Calibri"/>
        </w:rPr>
        <w:t>is not duplicative of PJM demand response.  Participants on Rider ELR provide both regional reliability benefits through participation in PJM, and local reliability benefits as a result of FirstEnergy’s ability to curtail these customers separate and apart from PJM.  Therefore, Rider ELR provides a more comprehensive reliability benefit than PJM demand response alone.</w:t>
      </w:r>
    </w:p>
    <w:p w14:paraId="7A829240" w14:textId="57590F01" w:rsidR="00856759" w:rsidRDefault="00AF3461" w:rsidP="00D00E8C">
      <w:pPr>
        <w:spacing w:line="480" w:lineRule="auto"/>
        <w:ind w:firstLine="720"/>
        <w:jc w:val="both"/>
        <w:rPr>
          <w:rFonts w:ascii="Calibri" w:hAnsi="Calibri"/>
        </w:rPr>
      </w:pPr>
      <w:r>
        <w:rPr>
          <w:rFonts w:ascii="Calibri" w:hAnsi="Calibri"/>
        </w:rPr>
        <w:t xml:space="preserve">OMAEG’s view that there is no reason for FirstEnergy to be involved in PJM’s demand response programs since customers can participate in these programs on their own also does not recognize that, if not for the ELR program, some customers currently on Rider ELR might choose </w:t>
      </w:r>
      <w:r>
        <w:rPr>
          <w:rFonts w:ascii="Calibri" w:hAnsi="Calibri"/>
        </w:rPr>
        <w:lastRenderedPageBreak/>
        <w:t>not to participate in PJM at all.</w:t>
      </w:r>
      <w:r w:rsidR="007E1B8A">
        <w:rPr>
          <w:rFonts w:ascii="Calibri" w:hAnsi="Calibri"/>
        </w:rPr>
        <w:t xml:space="preserve">  </w:t>
      </w:r>
      <w:r w:rsidR="00923C31">
        <w:rPr>
          <w:rFonts w:ascii="Calibri" w:hAnsi="Calibri"/>
        </w:rPr>
        <w:t xml:space="preserve">In other words, it should not be assumed that customers currently participating </w:t>
      </w:r>
      <w:r w:rsidR="000E382B">
        <w:rPr>
          <w:rFonts w:ascii="Calibri" w:hAnsi="Calibri"/>
        </w:rPr>
        <w:t xml:space="preserve">in </w:t>
      </w:r>
      <w:r w:rsidR="00923C31">
        <w:rPr>
          <w:rFonts w:ascii="Calibri" w:hAnsi="Calibri"/>
        </w:rPr>
        <w:t>Rider ELR would elect to participate in PJM programs if the ELR program were eliminated.  Rider ELR, if properly designed, is in an inducement for customers to provide both regional reliability benefits by requiring participation in PJM and local reliability benefits, and helps ensure that the supply of interruptible load available for both of these purposes will be stable through the term of the ESP</w:t>
      </w:r>
      <w:r w:rsidR="00856759">
        <w:rPr>
          <w:rFonts w:ascii="Calibri" w:hAnsi="Calibri"/>
        </w:rPr>
        <w:t>.</w:t>
      </w:r>
    </w:p>
    <w:p w14:paraId="6D8B5A85" w14:textId="531BECA3" w:rsidR="00D109E6" w:rsidRDefault="00760EAE" w:rsidP="00DC4D5A">
      <w:pPr>
        <w:spacing w:line="480" w:lineRule="auto"/>
        <w:jc w:val="both"/>
        <w:rPr>
          <w:rFonts w:ascii="Calibri" w:hAnsi="Calibri"/>
        </w:rPr>
      </w:pPr>
      <w:r>
        <w:rPr>
          <w:rFonts w:ascii="Calibri" w:hAnsi="Calibri"/>
        </w:rPr>
        <w:tab/>
      </w:r>
      <w:r w:rsidR="00923C31">
        <w:rPr>
          <w:rFonts w:ascii="Calibri" w:hAnsi="Calibri"/>
        </w:rPr>
        <w:t xml:space="preserve">Finally, </w:t>
      </w:r>
      <w:r>
        <w:rPr>
          <w:rFonts w:ascii="Calibri" w:hAnsi="Calibri"/>
        </w:rPr>
        <w:t xml:space="preserve">OMAEG also suggests that Rider ELR should be revamped to </w:t>
      </w:r>
      <w:r w:rsidR="004C2CF0">
        <w:rPr>
          <w:rFonts w:ascii="Calibri" w:hAnsi="Calibri"/>
        </w:rPr>
        <w:t>become a program that responds to curtailable events based on transmission facility overloading.</w:t>
      </w:r>
      <w:r w:rsidR="004C2CF0">
        <w:rPr>
          <w:rStyle w:val="FootnoteReference"/>
          <w:rFonts w:ascii="Calibri" w:hAnsi="Calibri"/>
        </w:rPr>
        <w:footnoteReference w:id="40"/>
      </w:r>
      <w:r w:rsidR="004C2CF0">
        <w:rPr>
          <w:rFonts w:ascii="Calibri" w:hAnsi="Calibri"/>
        </w:rPr>
        <w:t xml:space="preserve">  </w:t>
      </w:r>
      <w:r w:rsidR="00135FCF">
        <w:rPr>
          <w:rFonts w:ascii="Calibri" w:hAnsi="Calibri"/>
        </w:rPr>
        <w:t>A</w:t>
      </w:r>
      <w:r>
        <w:rPr>
          <w:rFonts w:ascii="Calibri" w:hAnsi="Calibri"/>
        </w:rPr>
        <w:t>s noted above, FirstEnergy already has broad discretion to use Rider ELR to address reliability issues.</w:t>
      </w:r>
      <w:r w:rsidR="00B37539">
        <w:rPr>
          <w:rStyle w:val="FootnoteReference"/>
          <w:rFonts w:ascii="Calibri" w:hAnsi="Calibri"/>
        </w:rPr>
        <w:footnoteReference w:id="41"/>
      </w:r>
      <w:r>
        <w:rPr>
          <w:rFonts w:ascii="Calibri" w:hAnsi="Calibri"/>
        </w:rPr>
        <w:t xml:space="preserve">  Therefore, to the extent that a</w:t>
      </w:r>
      <w:r w:rsidR="00B37539">
        <w:rPr>
          <w:rFonts w:ascii="Calibri" w:hAnsi="Calibri"/>
        </w:rPr>
        <w:t xml:space="preserve"> transmission facility overloading issue leads to an emergency that threatens the reliability of the system</w:t>
      </w:r>
      <w:r>
        <w:rPr>
          <w:rFonts w:ascii="Calibri" w:hAnsi="Calibri"/>
        </w:rPr>
        <w:t>, FirstEnergy can already use Rider ELR to address the problem.</w:t>
      </w:r>
    </w:p>
    <w:p w14:paraId="5A649820" w14:textId="37233C3F" w:rsidR="00D109E6" w:rsidRPr="00D109E6" w:rsidRDefault="00D109E6" w:rsidP="002B6DAC">
      <w:pPr>
        <w:pStyle w:val="Heading4"/>
        <w:ind w:left="2880" w:hanging="720"/>
      </w:pPr>
      <w:bookmarkStart w:id="24" w:name="_Toc158284298"/>
      <w:bookmarkStart w:id="25" w:name="_Toc158363488"/>
      <w:r w:rsidRPr="00D109E6">
        <w:t>d.</w:t>
      </w:r>
      <w:r w:rsidRPr="00D109E6">
        <w:tab/>
        <w:t xml:space="preserve">Rider ELR’s participation limits are not discriminatory, </w:t>
      </w:r>
      <w:r w:rsidR="00A82827">
        <w:t>and the Commission has various ways to allow more participation in the program and to promote economic development more generally</w:t>
      </w:r>
      <w:bookmarkEnd w:id="24"/>
      <w:bookmarkEnd w:id="25"/>
      <w:r w:rsidR="007926CC">
        <w:fldChar w:fldCharType="begin"/>
      </w:r>
      <w:r w:rsidR="007926CC">
        <w:instrText xml:space="preserve"> TC "</w:instrText>
      </w:r>
      <w:bookmarkStart w:id="26" w:name="_Toc158207344"/>
      <w:r w:rsidR="007926CC" w:rsidRPr="00E82E78">
        <w:instrText>d.</w:instrText>
      </w:r>
      <w:r w:rsidR="007926CC" w:rsidRPr="00E82E78">
        <w:tab/>
        <w:instrText>Rider ELR’s participation limits are not discriminatory, and the Commission has various ways to allow more participation in the program and to promote economic development more generally</w:instrText>
      </w:r>
      <w:bookmarkEnd w:id="26"/>
      <w:r w:rsidR="007926CC">
        <w:instrText xml:space="preserve">" \f C \l "4" </w:instrText>
      </w:r>
      <w:r w:rsidR="007926CC">
        <w:fldChar w:fldCharType="end"/>
      </w:r>
    </w:p>
    <w:p w14:paraId="33DA835D" w14:textId="7CD031C3" w:rsidR="00BB1D2D" w:rsidRDefault="00D109E6" w:rsidP="00DC4D5A">
      <w:pPr>
        <w:spacing w:line="480" w:lineRule="auto"/>
        <w:jc w:val="both"/>
        <w:rPr>
          <w:rFonts w:ascii="Calibri" w:hAnsi="Calibri"/>
        </w:rPr>
      </w:pPr>
      <w:r>
        <w:rPr>
          <w:rFonts w:ascii="Calibri" w:hAnsi="Calibri"/>
        </w:rPr>
        <w:tab/>
      </w:r>
      <w:r w:rsidR="000672F9">
        <w:rPr>
          <w:rFonts w:ascii="Calibri" w:hAnsi="Calibri"/>
        </w:rPr>
        <w:t>OCC and OMAEG argue that Rider ELR is discriminatory because, as proposed, the program is limited to 24 large industrial customers.</w:t>
      </w:r>
      <w:r w:rsidR="000672F9">
        <w:rPr>
          <w:rStyle w:val="FootnoteReference"/>
          <w:rFonts w:ascii="Calibri" w:hAnsi="Calibri"/>
        </w:rPr>
        <w:footnoteReference w:id="42"/>
      </w:r>
      <w:r w:rsidR="000672F9">
        <w:rPr>
          <w:rFonts w:ascii="Calibri" w:hAnsi="Calibri"/>
        </w:rPr>
        <w:t xml:space="preserve"> </w:t>
      </w:r>
      <w:r w:rsidR="00BB1D2D">
        <w:rPr>
          <w:rFonts w:ascii="Calibri" w:hAnsi="Calibri"/>
        </w:rPr>
        <w:t xml:space="preserve"> This limitation on participation in the Rider ELR program is not new; it </w:t>
      </w:r>
      <w:r w:rsidR="00892DED">
        <w:rPr>
          <w:rFonts w:ascii="Calibri" w:hAnsi="Calibri"/>
        </w:rPr>
        <w:t xml:space="preserve">has been </w:t>
      </w:r>
      <w:r w:rsidR="00BB1D2D">
        <w:rPr>
          <w:rFonts w:ascii="Calibri" w:hAnsi="Calibri"/>
        </w:rPr>
        <w:t xml:space="preserve">a feature of the program since Rider ELR was approved as part of FirstEnergy’s first ESP, and the Commission has consistently found the restriction to be reasonable.  The evidence in this case demonstrates that Rider ELR customers are large industrial </w:t>
      </w:r>
      <w:r w:rsidR="00BB1D2D">
        <w:rPr>
          <w:rFonts w:ascii="Calibri" w:hAnsi="Calibri"/>
        </w:rPr>
        <w:lastRenderedPageBreak/>
        <w:t>customers that face stiff competition for their products, and that the economic development</w:t>
      </w:r>
      <w:r w:rsidR="009D03A2">
        <w:rPr>
          <w:rFonts w:ascii="Calibri" w:hAnsi="Calibri"/>
        </w:rPr>
        <w:t xml:space="preserve"> and </w:t>
      </w:r>
      <w:r w:rsidR="00BB1D2D">
        <w:rPr>
          <w:rFonts w:ascii="Calibri" w:hAnsi="Calibri"/>
        </w:rPr>
        <w:t>job retention benefits of the program are of critical importance.</w:t>
      </w:r>
      <w:r w:rsidR="00BB1D2D">
        <w:rPr>
          <w:rStyle w:val="FootnoteReference"/>
          <w:rFonts w:ascii="Calibri" w:hAnsi="Calibri"/>
        </w:rPr>
        <w:footnoteReference w:id="43"/>
      </w:r>
    </w:p>
    <w:p w14:paraId="45611501" w14:textId="74C2735A" w:rsidR="00746712" w:rsidRDefault="00DF206F" w:rsidP="00BB1D2D">
      <w:pPr>
        <w:spacing w:line="480" w:lineRule="auto"/>
        <w:ind w:firstLine="720"/>
        <w:jc w:val="both"/>
        <w:rPr>
          <w:rFonts w:ascii="Calibri" w:hAnsi="Calibri"/>
        </w:rPr>
      </w:pPr>
      <w:r>
        <w:rPr>
          <w:rFonts w:ascii="Calibri" w:hAnsi="Calibri"/>
        </w:rPr>
        <w:t xml:space="preserve">It is also important to recognize that Rider ELR is not the only mechanism for providing economic development and job retention </w:t>
      </w:r>
      <w:r w:rsidR="00135FCF">
        <w:rPr>
          <w:rFonts w:ascii="Calibri" w:hAnsi="Calibri"/>
        </w:rPr>
        <w:t>opportunities</w:t>
      </w:r>
      <w:r>
        <w:rPr>
          <w:rFonts w:ascii="Calibri" w:hAnsi="Calibri"/>
        </w:rPr>
        <w:t>.  FirstEnergy currently has a reasonable arrangement rider that allows for the negotiation of special rates.</w:t>
      </w:r>
      <w:r w:rsidR="009A49C7">
        <w:rPr>
          <w:rStyle w:val="FootnoteReference"/>
          <w:rFonts w:ascii="Calibri" w:hAnsi="Calibri"/>
        </w:rPr>
        <w:footnoteReference w:id="44"/>
      </w:r>
      <w:r w:rsidR="009A49C7">
        <w:rPr>
          <w:rFonts w:ascii="Calibri" w:hAnsi="Calibri"/>
        </w:rPr>
        <w:t xml:space="preserve">  </w:t>
      </w:r>
      <w:r>
        <w:rPr>
          <w:rFonts w:ascii="Calibri" w:hAnsi="Calibri"/>
        </w:rPr>
        <w:t>A customer in need of an economic development rate could avail itself of this rider to negotiate a reasonable arrangement.  Similarly, a customer could possibly use the reasonable arrangement mechanism to develop an interruptible rate.</w:t>
      </w:r>
      <w:r w:rsidR="000F529B">
        <w:rPr>
          <w:rFonts w:ascii="Calibri" w:hAnsi="Calibri"/>
        </w:rPr>
        <w:t xml:space="preserve"> At the hearing, FirstEnergy Witness McMillen agreed that if the Commission ordered, it could allow a customer to participate in Rider ELR through a reasonable arrangement.</w:t>
      </w:r>
      <w:r w:rsidR="000F529B">
        <w:rPr>
          <w:rStyle w:val="FootnoteReference"/>
          <w:rFonts w:ascii="Calibri" w:hAnsi="Calibri"/>
        </w:rPr>
        <w:footnoteReference w:id="45"/>
      </w:r>
      <w:r w:rsidR="00746712">
        <w:rPr>
          <w:rFonts w:ascii="Calibri" w:hAnsi="Calibri"/>
        </w:rPr>
        <w:t xml:space="preserve"> </w:t>
      </w:r>
    </w:p>
    <w:p w14:paraId="1FEAC8A7" w14:textId="6C4D9152" w:rsidR="00652268" w:rsidRDefault="00652268" w:rsidP="00652268">
      <w:pPr>
        <w:spacing w:line="480" w:lineRule="auto"/>
        <w:jc w:val="both"/>
        <w:rPr>
          <w:rFonts w:ascii="Calibri" w:hAnsi="Calibri"/>
        </w:rPr>
      </w:pPr>
      <w:r>
        <w:rPr>
          <w:rFonts w:ascii="Calibri" w:hAnsi="Calibri"/>
        </w:rPr>
        <w:tab/>
        <w:t xml:space="preserve">While limiting the Rider ELR program </w:t>
      </w:r>
      <w:r w:rsidR="00A65ABD">
        <w:rPr>
          <w:rFonts w:ascii="Calibri" w:hAnsi="Calibri"/>
        </w:rPr>
        <w:t xml:space="preserve">to </w:t>
      </w:r>
      <w:r>
        <w:rPr>
          <w:rFonts w:ascii="Calibri" w:hAnsi="Calibri"/>
        </w:rPr>
        <w:t>the current 24 customers is reasonable, Nucor believes it would also be reasonable to open the program to additional participation.</w:t>
      </w:r>
      <w:r w:rsidR="00785D76">
        <w:rPr>
          <w:rFonts w:ascii="Calibri" w:hAnsi="Calibri"/>
        </w:rPr>
        <w:t xml:space="preserve">  After all, participation in Rider ELR has not been static </w:t>
      </w:r>
      <w:r w:rsidR="006E2222">
        <w:rPr>
          <w:rFonts w:ascii="Calibri" w:hAnsi="Calibri"/>
        </w:rPr>
        <w:t xml:space="preserve">throughout </w:t>
      </w:r>
      <w:r w:rsidR="00785D76">
        <w:rPr>
          <w:rFonts w:ascii="Calibri" w:hAnsi="Calibri"/>
        </w:rPr>
        <w:t>the history of the program.  In ESP IV, Rider ELR was open to 75 MW of new load.</w:t>
      </w:r>
      <w:r w:rsidR="00785D76">
        <w:rPr>
          <w:rStyle w:val="FootnoteReference"/>
          <w:rFonts w:ascii="Calibri" w:hAnsi="Calibri"/>
        </w:rPr>
        <w:footnoteReference w:id="46"/>
      </w:r>
      <w:r w:rsidR="00785D76">
        <w:rPr>
          <w:rFonts w:ascii="Calibri" w:hAnsi="Calibri"/>
        </w:rPr>
        <w:t xml:space="preserve">  And over the course of ESP IV, two customers have left the program.</w:t>
      </w:r>
      <w:r w:rsidR="00785D76">
        <w:rPr>
          <w:rStyle w:val="FootnoteReference"/>
          <w:rFonts w:ascii="Calibri" w:hAnsi="Calibri"/>
        </w:rPr>
        <w:footnoteReference w:id="47"/>
      </w:r>
      <w:r w:rsidR="00785D76">
        <w:rPr>
          <w:rFonts w:ascii="Calibri" w:hAnsi="Calibri"/>
        </w:rPr>
        <w:t xml:space="preserve">  OMAEG states that it is “not proposing that there be </w:t>
      </w:r>
      <w:r w:rsidR="00785D76" w:rsidRPr="00785D76">
        <w:rPr>
          <w:rFonts w:ascii="Calibri" w:hAnsi="Calibri"/>
          <w:i/>
          <w:iCs/>
        </w:rPr>
        <w:t>no</w:t>
      </w:r>
      <w:r w:rsidR="00785D76">
        <w:rPr>
          <w:rFonts w:ascii="Calibri" w:hAnsi="Calibri"/>
        </w:rPr>
        <w:t xml:space="preserve"> participation caps, only that all C&amp;I customers should be </w:t>
      </w:r>
      <w:r w:rsidR="00785D76" w:rsidRPr="00785D76">
        <w:rPr>
          <w:rFonts w:ascii="Calibri" w:hAnsi="Calibri"/>
          <w:i/>
          <w:iCs/>
        </w:rPr>
        <w:t>eligible</w:t>
      </w:r>
      <w:r w:rsidR="00785D76">
        <w:rPr>
          <w:rFonts w:ascii="Calibri" w:hAnsi="Calibri"/>
        </w:rPr>
        <w:t xml:space="preserve"> to participate.”</w:t>
      </w:r>
      <w:r w:rsidR="00785D76">
        <w:rPr>
          <w:rStyle w:val="FootnoteReference"/>
          <w:rFonts w:ascii="Calibri" w:hAnsi="Calibri"/>
        </w:rPr>
        <w:footnoteReference w:id="48"/>
      </w:r>
      <w:r w:rsidR="00785D76">
        <w:rPr>
          <w:rFonts w:ascii="Calibri" w:hAnsi="Calibri"/>
        </w:rPr>
        <w:t xml:space="preserve">  </w:t>
      </w:r>
      <w:r w:rsidR="009A53D7">
        <w:rPr>
          <w:rFonts w:ascii="Calibri" w:hAnsi="Calibri"/>
        </w:rPr>
        <w:t>If the Commission agrees that the program should be made available to more customers, t</w:t>
      </w:r>
      <w:r w:rsidR="00785D76">
        <w:rPr>
          <w:rFonts w:ascii="Calibri" w:hAnsi="Calibri"/>
        </w:rPr>
        <w:t xml:space="preserve">he Commission should consider increasing the cap on participation in Rider ELR by a reasonable amount (such as </w:t>
      </w:r>
      <w:r w:rsidR="009B27A9">
        <w:rPr>
          <w:rFonts w:ascii="Calibri" w:hAnsi="Calibri"/>
        </w:rPr>
        <w:t xml:space="preserve">between </w:t>
      </w:r>
      <w:r w:rsidR="00785D76">
        <w:rPr>
          <w:rFonts w:ascii="Calibri" w:hAnsi="Calibri"/>
        </w:rPr>
        <w:t xml:space="preserve">50 MW </w:t>
      </w:r>
      <w:r w:rsidR="009B27A9">
        <w:rPr>
          <w:rFonts w:ascii="Calibri" w:hAnsi="Calibri"/>
        </w:rPr>
        <w:lastRenderedPageBreak/>
        <w:t>and</w:t>
      </w:r>
      <w:r w:rsidR="00785D76">
        <w:rPr>
          <w:rFonts w:ascii="Calibri" w:hAnsi="Calibri"/>
        </w:rPr>
        <w:t xml:space="preserve"> 75 MW)</w:t>
      </w:r>
      <w:r w:rsidR="009B27A9">
        <w:rPr>
          <w:rFonts w:ascii="Calibri" w:hAnsi="Calibri"/>
        </w:rPr>
        <w:t xml:space="preserve"> and </w:t>
      </w:r>
      <w:r w:rsidR="009D4B22">
        <w:rPr>
          <w:rFonts w:ascii="Calibri" w:hAnsi="Calibri"/>
        </w:rPr>
        <w:t xml:space="preserve">making that amount available first to customers </w:t>
      </w:r>
      <w:r w:rsidR="009B27A9">
        <w:rPr>
          <w:rFonts w:ascii="Calibri" w:hAnsi="Calibri"/>
        </w:rPr>
        <w:t xml:space="preserve">currently not participating in the program. </w:t>
      </w:r>
    </w:p>
    <w:p w14:paraId="1EBC4C4B" w14:textId="20AD183D" w:rsidR="00D54D6C" w:rsidRPr="00D54D6C" w:rsidRDefault="00D54D6C" w:rsidP="002B6DAC">
      <w:pPr>
        <w:pStyle w:val="Heading4"/>
        <w:ind w:left="2880" w:hanging="720"/>
      </w:pPr>
      <w:bookmarkStart w:id="27" w:name="_Toc158284299"/>
      <w:bookmarkStart w:id="28" w:name="_Toc158363489"/>
      <w:r w:rsidRPr="00D54D6C">
        <w:t>e.</w:t>
      </w:r>
      <w:r w:rsidRPr="00D54D6C">
        <w:tab/>
        <w:t>That Duke and AES do not offer a program similar to Rider ELR is irrelevant</w:t>
      </w:r>
      <w:bookmarkEnd w:id="27"/>
      <w:bookmarkEnd w:id="28"/>
      <w:r w:rsidR="007926CC">
        <w:fldChar w:fldCharType="begin"/>
      </w:r>
      <w:r w:rsidR="007926CC">
        <w:instrText xml:space="preserve"> TC "</w:instrText>
      </w:r>
      <w:bookmarkStart w:id="29" w:name="_Toc158207345"/>
      <w:r w:rsidR="007926CC" w:rsidRPr="00CA7DA9">
        <w:instrText>e.</w:instrText>
      </w:r>
      <w:r w:rsidR="007926CC" w:rsidRPr="00CA7DA9">
        <w:tab/>
        <w:instrText>That Duke and AES do not offer a program similar to Rider ELR is irrelevant</w:instrText>
      </w:r>
      <w:bookmarkEnd w:id="29"/>
      <w:r w:rsidR="007926CC">
        <w:instrText xml:space="preserve">" \f C \l "4" </w:instrText>
      </w:r>
      <w:r w:rsidR="007926CC">
        <w:fldChar w:fldCharType="end"/>
      </w:r>
    </w:p>
    <w:p w14:paraId="6D4713D8" w14:textId="02592FA8" w:rsidR="007E634D" w:rsidRDefault="00D54D6C" w:rsidP="00DC4D5A">
      <w:pPr>
        <w:spacing w:line="480" w:lineRule="auto"/>
        <w:jc w:val="both"/>
        <w:rPr>
          <w:rFonts w:ascii="Calibri" w:hAnsi="Calibri"/>
        </w:rPr>
      </w:pPr>
      <w:r>
        <w:rPr>
          <w:rFonts w:ascii="Calibri" w:hAnsi="Calibri"/>
        </w:rPr>
        <w:tab/>
        <w:t xml:space="preserve">OCC </w:t>
      </w:r>
      <w:r w:rsidR="009A53D7">
        <w:rPr>
          <w:rFonts w:ascii="Calibri" w:hAnsi="Calibri"/>
        </w:rPr>
        <w:t xml:space="preserve">and NOAC </w:t>
      </w:r>
      <w:r>
        <w:rPr>
          <w:rFonts w:ascii="Calibri" w:hAnsi="Calibri"/>
        </w:rPr>
        <w:t>a</w:t>
      </w:r>
      <w:r w:rsidR="00BE26E1">
        <w:rPr>
          <w:rFonts w:ascii="Calibri" w:hAnsi="Calibri"/>
        </w:rPr>
        <w:t>ssert</w:t>
      </w:r>
      <w:r>
        <w:rPr>
          <w:rFonts w:ascii="Calibri" w:hAnsi="Calibri"/>
        </w:rPr>
        <w:t xml:space="preserve"> that Rider ELR should not be extended because Duke and AES do not offer a similar program</w:t>
      </w:r>
      <w:r w:rsidR="00BE26E1">
        <w:rPr>
          <w:rFonts w:ascii="Calibri" w:hAnsi="Calibri"/>
        </w:rPr>
        <w:t>, and those utilities provide safe and reliable service to their customers</w:t>
      </w:r>
      <w:r>
        <w:rPr>
          <w:rFonts w:ascii="Calibri" w:hAnsi="Calibri"/>
        </w:rPr>
        <w:t>.</w:t>
      </w:r>
      <w:r w:rsidR="009A53D7">
        <w:rPr>
          <w:rStyle w:val="FootnoteReference"/>
          <w:rFonts w:ascii="Calibri" w:hAnsi="Calibri"/>
        </w:rPr>
        <w:footnoteReference w:id="49"/>
      </w:r>
      <w:r w:rsidR="00BE26E1">
        <w:rPr>
          <w:rFonts w:ascii="Calibri" w:hAnsi="Calibri"/>
        </w:rPr>
        <w:t xml:space="preserve">  All utilities are not alike – Duke</w:t>
      </w:r>
      <w:r w:rsidR="007E634D">
        <w:rPr>
          <w:rFonts w:ascii="Calibri" w:hAnsi="Calibri"/>
        </w:rPr>
        <w:t xml:space="preserve">, </w:t>
      </w:r>
      <w:r w:rsidR="00BE26E1">
        <w:rPr>
          <w:rFonts w:ascii="Calibri" w:hAnsi="Calibri"/>
        </w:rPr>
        <w:t>AES</w:t>
      </w:r>
      <w:r w:rsidR="007E634D">
        <w:rPr>
          <w:rFonts w:ascii="Calibri" w:hAnsi="Calibri"/>
        </w:rPr>
        <w:t>, and FirstEnergy</w:t>
      </w:r>
      <w:r w:rsidR="00BE26E1">
        <w:rPr>
          <w:rFonts w:ascii="Calibri" w:hAnsi="Calibri"/>
        </w:rPr>
        <w:t xml:space="preserve"> are</w:t>
      </w:r>
      <w:r w:rsidR="007E634D">
        <w:rPr>
          <w:rFonts w:ascii="Calibri" w:hAnsi="Calibri"/>
        </w:rPr>
        <w:t xml:space="preserve"> all</w:t>
      </w:r>
      <w:r w:rsidR="00BE26E1">
        <w:rPr>
          <w:rFonts w:ascii="Calibri" w:hAnsi="Calibri"/>
        </w:rPr>
        <w:t xml:space="preserve"> different utilities with different</w:t>
      </w:r>
      <w:r w:rsidR="007E634D">
        <w:rPr>
          <w:rFonts w:ascii="Calibri" w:hAnsi="Calibri"/>
        </w:rPr>
        <w:t xml:space="preserve"> service territories,</w:t>
      </w:r>
      <w:r w:rsidR="00BE26E1">
        <w:rPr>
          <w:rFonts w:ascii="Calibri" w:hAnsi="Calibri"/>
        </w:rPr>
        <w:t xml:space="preserve"> rate</w:t>
      </w:r>
      <w:r w:rsidR="007E634D">
        <w:rPr>
          <w:rFonts w:ascii="Calibri" w:hAnsi="Calibri"/>
        </w:rPr>
        <w:t xml:space="preserve"> </w:t>
      </w:r>
      <w:r w:rsidR="00BE26E1">
        <w:rPr>
          <w:rFonts w:ascii="Calibri" w:hAnsi="Calibri"/>
        </w:rPr>
        <w:t>s</w:t>
      </w:r>
      <w:r w:rsidR="007E634D">
        <w:rPr>
          <w:rFonts w:ascii="Calibri" w:hAnsi="Calibri"/>
        </w:rPr>
        <w:t>tructures</w:t>
      </w:r>
      <w:r w:rsidR="00BE26E1">
        <w:rPr>
          <w:rFonts w:ascii="Calibri" w:hAnsi="Calibri"/>
        </w:rPr>
        <w:t xml:space="preserve">, operating </w:t>
      </w:r>
      <w:r w:rsidR="007E634D">
        <w:rPr>
          <w:rFonts w:ascii="Calibri" w:hAnsi="Calibri"/>
        </w:rPr>
        <w:t>procedures</w:t>
      </w:r>
      <w:r w:rsidR="00BE26E1">
        <w:rPr>
          <w:rFonts w:ascii="Calibri" w:hAnsi="Calibri"/>
        </w:rPr>
        <w:t xml:space="preserve">, </w:t>
      </w:r>
      <w:r w:rsidR="007E634D">
        <w:rPr>
          <w:rFonts w:ascii="Calibri" w:hAnsi="Calibri"/>
        </w:rPr>
        <w:t xml:space="preserve">and </w:t>
      </w:r>
      <w:r w:rsidR="00BE26E1">
        <w:rPr>
          <w:rFonts w:ascii="Calibri" w:hAnsi="Calibri"/>
        </w:rPr>
        <w:t>customer mixes</w:t>
      </w:r>
      <w:r w:rsidR="007E634D">
        <w:rPr>
          <w:rFonts w:ascii="Calibri" w:hAnsi="Calibri"/>
        </w:rPr>
        <w:t>.  The mere fact that Duke and AES do not have a program similar to Rider ELR does not prove anything about the value of the ELR program in the FirstEnergy service territory.</w:t>
      </w:r>
    </w:p>
    <w:p w14:paraId="5A4F4820" w14:textId="303EC0E8" w:rsidR="00EF4A24" w:rsidRDefault="007E634D" w:rsidP="00DC4D5A">
      <w:pPr>
        <w:spacing w:line="480" w:lineRule="auto"/>
        <w:jc w:val="both"/>
        <w:rPr>
          <w:rFonts w:ascii="Calibri" w:hAnsi="Calibri"/>
        </w:rPr>
      </w:pPr>
      <w:r>
        <w:rPr>
          <w:rFonts w:ascii="Calibri" w:hAnsi="Calibri"/>
        </w:rPr>
        <w:tab/>
        <w:t>OCC states that all three utilities are mem</w:t>
      </w:r>
      <w:r w:rsidR="00C1138E">
        <w:rPr>
          <w:rFonts w:ascii="Calibri" w:hAnsi="Calibri"/>
        </w:rPr>
        <w:t>ber</w:t>
      </w:r>
      <w:r w:rsidR="003374AA">
        <w:rPr>
          <w:rFonts w:ascii="Calibri" w:hAnsi="Calibri"/>
        </w:rPr>
        <w:t>s</w:t>
      </w:r>
      <w:r w:rsidR="00C1138E">
        <w:rPr>
          <w:rFonts w:ascii="Calibri" w:hAnsi="Calibri"/>
        </w:rPr>
        <w:t xml:space="preserve"> of PJM, and that “PJM is the reliability coordinator for its member utilities, meaning that PJM is the entity responsible for balancing supply and load and managing emergency electric events.”</w:t>
      </w:r>
      <w:r w:rsidR="00C1138E">
        <w:rPr>
          <w:rStyle w:val="FootnoteReference"/>
          <w:rFonts w:ascii="Calibri" w:hAnsi="Calibri"/>
        </w:rPr>
        <w:footnoteReference w:id="50"/>
      </w:r>
      <w:r w:rsidR="00860370">
        <w:rPr>
          <w:rFonts w:ascii="Calibri" w:hAnsi="Calibri"/>
        </w:rPr>
        <w:t xml:space="preserve">  Again, this statement proves nothing about the value of Rider ELR, or refutes the evidence on the record that demonstrates that Rider ELR has been deployed to help address both local and regional emergencies.  In fact, OCC ignore</w:t>
      </w:r>
      <w:r w:rsidR="00EF4A24">
        <w:rPr>
          <w:rFonts w:ascii="Calibri" w:hAnsi="Calibri"/>
        </w:rPr>
        <w:t>s</w:t>
      </w:r>
      <w:r w:rsidR="00860370">
        <w:rPr>
          <w:rFonts w:ascii="Calibri" w:hAnsi="Calibri"/>
        </w:rPr>
        <w:t xml:space="preserve"> the possibility that, since all three utilities are in PJM,</w:t>
      </w:r>
      <w:r w:rsidR="00EF4A24">
        <w:rPr>
          <w:rFonts w:ascii="Calibri" w:hAnsi="Calibri"/>
        </w:rPr>
        <w:t xml:space="preserve"> the customers of Duke and AES may have benefited from PJM’s deployment of interruptible resources – including ELR load – during system emergencies that arose from extreme weather events such as Winter Storm Elliott.</w:t>
      </w:r>
    </w:p>
    <w:p w14:paraId="1F0976EA" w14:textId="3EC293C2" w:rsidR="005C1C39" w:rsidRDefault="00EF4A24" w:rsidP="00DC4D5A">
      <w:pPr>
        <w:spacing w:line="480" w:lineRule="auto"/>
        <w:jc w:val="both"/>
        <w:rPr>
          <w:rFonts w:ascii="Calibri" w:hAnsi="Calibri"/>
        </w:rPr>
      </w:pPr>
      <w:r>
        <w:rPr>
          <w:rFonts w:ascii="Calibri" w:hAnsi="Calibri"/>
        </w:rPr>
        <w:lastRenderedPageBreak/>
        <w:tab/>
        <w:t xml:space="preserve">OCC further argues that since Duke </w:t>
      </w:r>
      <w:r w:rsidR="00463147">
        <w:rPr>
          <w:rFonts w:ascii="Calibri" w:hAnsi="Calibri"/>
        </w:rPr>
        <w:t xml:space="preserve">and </w:t>
      </w:r>
      <w:r>
        <w:rPr>
          <w:rFonts w:ascii="Calibri" w:hAnsi="Calibri"/>
        </w:rPr>
        <w:t>AES have storm cost recovery riders and vegetation management riders, if FirstEnergy’s proposed Rider SCR and Rider VCM are approved in this case, FirstEnergy will be “similarly situated as to their ability to provide reliable service” and Rider ELR therefore should be rejected.</w:t>
      </w:r>
      <w:r>
        <w:rPr>
          <w:rStyle w:val="FootnoteReference"/>
          <w:rFonts w:ascii="Calibri" w:hAnsi="Calibri"/>
        </w:rPr>
        <w:footnoteReference w:id="51"/>
      </w:r>
      <w:r w:rsidR="00327D31">
        <w:rPr>
          <w:rFonts w:ascii="Calibri" w:hAnsi="Calibri"/>
        </w:rPr>
        <w:t xml:space="preserve">  To support this argument, OCC cites an exchange between OCC counsel and Staff Witness Healey at the hearing, where Witness Healey agreed th</w:t>
      </w:r>
      <w:r w:rsidR="007B1AA6">
        <w:rPr>
          <w:rFonts w:ascii="Calibri" w:hAnsi="Calibri"/>
        </w:rPr>
        <w:t>at a vegetation management rider and storm cost recovery rider are resources that may help a utility maintain reliable service.</w:t>
      </w:r>
      <w:r w:rsidR="007B1AA6">
        <w:rPr>
          <w:rStyle w:val="FootnoteReference"/>
          <w:rFonts w:ascii="Calibri" w:hAnsi="Calibri"/>
        </w:rPr>
        <w:footnoteReference w:id="52"/>
      </w:r>
      <w:r w:rsidR="00E0150C">
        <w:rPr>
          <w:rFonts w:ascii="Calibri" w:hAnsi="Calibri"/>
        </w:rPr>
        <w:t xml:space="preserve">  </w:t>
      </w:r>
      <w:r w:rsidR="009D4B22">
        <w:rPr>
          <w:rFonts w:ascii="Calibri" w:hAnsi="Calibri"/>
        </w:rPr>
        <w:t>But</w:t>
      </w:r>
      <w:r w:rsidR="00E0150C">
        <w:rPr>
          <w:rFonts w:ascii="Calibri" w:hAnsi="Calibri"/>
        </w:rPr>
        <w:t xml:space="preserve"> Witness Healey never agreed that if a vegetation management rider and a storm cost recovery rider are approved, the Rider ELR program </w:t>
      </w:r>
      <w:r w:rsidR="00E443B4">
        <w:rPr>
          <w:rFonts w:ascii="Calibri" w:hAnsi="Calibri"/>
        </w:rPr>
        <w:t>should not be approved</w:t>
      </w:r>
      <w:r w:rsidR="00E0150C">
        <w:rPr>
          <w:rFonts w:ascii="Calibri" w:hAnsi="Calibri"/>
        </w:rPr>
        <w:t>.  In fact, while Witness Healey testified that “vegetation management at the very least does contribute to reliability,”</w:t>
      </w:r>
      <w:r w:rsidR="00E443B4">
        <w:rPr>
          <w:rStyle w:val="FootnoteReference"/>
          <w:rFonts w:ascii="Calibri" w:hAnsi="Calibri"/>
        </w:rPr>
        <w:footnoteReference w:id="53"/>
      </w:r>
      <w:r w:rsidR="00E0150C">
        <w:rPr>
          <w:rFonts w:ascii="Calibri" w:hAnsi="Calibri"/>
        </w:rPr>
        <w:t xml:space="preserve"> he </w:t>
      </w:r>
      <w:r w:rsidR="00E443B4">
        <w:rPr>
          <w:rFonts w:ascii="Calibri" w:hAnsi="Calibri"/>
        </w:rPr>
        <w:t>confirmed</w:t>
      </w:r>
      <w:r w:rsidR="00E0150C">
        <w:rPr>
          <w:rFonts w:ascii="Calibri" w:hAnsi="Calibri"/>
        </w:rPr>
        <w:t xml:space="preserve"> that </w:t>
      </w:r>
      <w:r w:rsidR="00E443B4">
        <w:rPr>
          <w:rFonts w:ascii="Calibri" w:hAnsi="Calibri"/>
        </w:rPr>
        <w:t xml:space="preserve">he was not testifying that if a vegetation management rider gets approved, an interruptible tariff </w:t>
      </w:r>
      <w:r w:rsidR="00EC648C">
        <w:rPr>
          <w:rFonts w:ascii="Calibri" w:hAnsi="Calibri"/>
        </w:rPr>
        <w:t xml:space="preserve">would </w:t>
      </w:r>
      <w:r w:rsidR="00E443B4">
        <w:rPr>
          <w:rFonts w:ascii="Calibri" w:hAnsi="Calibri"/>
        </w:rPr>
        <w:t>be unnecessary.</w:t>
      </w:r>
      <w:r w:rsidR="00E443B4">
        <w:rPr>
          <w:rStyle w:val="FootnoteReference"/>
          <w:rFonts w:ascii="Calibri" w:hAnsi="Calibri"/>
        </w:rPr>
        <w:footnoteReference w:id="54"/>
      </w:r>
      <w:r w:rsidR="00E443B4">
        <w:rPr>
          <w:rFonts w:ascii="Calibri" w:hAnsi="Calibri"/>
        </w:rPr>
        <w:t xml:space="preserve">  Witness Healey also </w:t>
      </w:r>
      <w:r w:rsidR="00EC648C">
        <w:rPr>
          <w:rFonts w:ascii="Calibri" w:hAnsi="Calibri"/>
        </w:rPr>
        <w:t>agreed</w:t>
      </w:r>
      <w:r w:rsidR="00E443B4">
        <w:rPr>
          <w:rFonts w:ascii="Calibri" w:hAnsi="Calibri"/>
        </w:rPr>
        <w:t xml:space="preserve"> that there are certain</w:t>
      </w:r>
      <w:r w:rsidR="00EC648C">
        <w:rPr>
          <w:rFonts w:ascii="Calibri" w:hAnsi="Calibri"/>
        </w:rPr>
        <w:t xml:space="preserve"> benefits of the ELR program that would not be covered by vegetation management.</w:t>
      </w:r>
      <w:r w:rsidR="00EC648C">
        <w:rPr>
          <w:rStyle w:val="FootnoteReference"/>
          <w:rFonts w:ascii="Calibri" w:hAnsi="Calibri"/>
        </w:rPr>
        <w:footnoteReference w:id="55"/>
      </w:r>
    </w:p>
    <w:p w14:paraId="0B3AA79F" w14:textId="06757B22" w:rsidR="00C66E0D" w:rsidRPr="000C5B5D" w:rsidRDefault="00073D1A" w:rsidP="002B6DAC">
      <w:pPr>
        <w:pStyle w:val="Heading3"/>
        <w:ind w:left="2160" w:hanging="720"/>
      </w:pPr>
      <w:bookmarkStart w:id="30" w:name="_Toc158284300"/>
      <w:bookmarkStart w:id="31" w:name="_Toc158363490"/>
      <w:r>
        <w:t>3</w:t>
      </w:r>
      <w:r w:rsidR="00C66E0D" w:rsidRPr="000C5B5D">
        <w:t>.</w:t>
      </w:r>
      <w:r w:rsidR="00C66E0D" w:rsidRPr="000C5B5D">
        <w:tab/>
      </w:r>
      <w:r w:rsidR="00DE7703" w:rsidRPr="000C5B5D">
        <w:t xml:space="preserve">The Rider ELR credit should not be cut to the levels proposed by </w:t>
      </w:r>
      <w:r w:rsidR="000B2C7F" w:rsidRPr="000C5B5D">
        <w:t xml:space="preserve">FirstEnergy and </w:t>
      </w:r>
      <w:r w:rsidR="00DE7703" w:rsidRPr="000C5B5D">
        <w:t>Staff</w:t>
      </w:r>
      <w:bookmarkEnd w:id="30"/>
      <w:bookmarkEnd w:id="31"/>
      <w:r w:rsidR="007926CC">
        <w:fldChar w:fldCharType="begin"/>
      </w:r>
      <w:r w:rsidR="007926CC">
        <w:instrText xml:space="preserve"> TC "</w:instrText>
      </w:r>
      <w:bookmarkStart w:id="32" w:name="_Toc158207346"/>
      <w:r w:rsidR="007926CC" w:rsidRPr="00297BFF">
        <w:instrText>3.</w:instrText>
      </w:r>
      <w:r w:rsidR="007926CC" w:rsidRPr="00297BFF">
        <w:tab/>
        <w:instrText>The Rider ELR credit should not be cut to the levels proposed by FirstEnergy and Staff</w:instrText>
      </w:r>
      <w:bookmarkEnd w:id="32"/>
      <w:r w:rsidR="007926CC">
        <w:instrText xml:space="preserve">" \f C \l "4" </w:instrText>
      </w:r>
      <w:r w:rsidR="007926CC">
        <w:fldChar w:fldCharType="end"/>
      </w:r>
    </w:p>
    <w:p w14:paraId="50D59937" w14:textId="4D2186B7" w:rsidR="000B2C7F" w:rsidRDefault="000B2C7F" w:rsidP="00DC4D5A">
      <w:pPr>
        <w:spacing w:line="480" w:lineRule="auto"/>
        <w:jc w:val="both"/>
        <w:rPr>
          <w:rFonts w:ascii="Calibri" w:hAnsi="Calibri"/>
        </w:rPr>
      </w:pPr>
      <w:r>
        <w:rPr>
          <w:rFonts w:ascii="Calibri" w:hAnsi="Calibri"/>
        </w:rPr>
        <w:tab/>
        <w:t xml:space="preserve">FirstEnergy proposes to reduce the total Rider ELR credits by one dollar each year </w:t>
      </w:r>
      <w:proofErr w:type="gramStart"/>
      <w:r>
        <w:rPr>
          <w:rFonts w:ascii="Calibri" w:hAnsi="Calibri"/>
        </w:rPr>
        <w:t>of</w:t>
      </w:r>
      <w:proofErr w:type="gramEnd"/>
      <w:r>
        <w:rPr>
          <w:rFonts w:ascii="Calibri" w:hAnsi="Calibri"/>
        </w:rPr>
        <w:t xml:space="preserve"> the ESP V</w:t>
      </w:r>
      <w:r w:rsidR="000C5B5D">
        <w:rPr>
          <w:rFonts w:ascii="Calibri" w:hAnsi="Calibri"/>
        </w:rPr>
        <w:t>, until the credit is $3</w:t>
      </w:r>
      <w:r w:rsidR="00030A38">
        <w:rPr>
          <w:rFonts w:ascii="Calibri" w:hAnsi="Calibri"/>
        </w:rPr>
        <w:t>/kW</w:t>
      </w:r>
      <w:r w:rsidR="0088261E">
        <w:rPr>
          <w:rFonts w:ascii="Calibri" w:hAnsi="Calibri"/>
        </w:rPr>
        <w:t>-month</w:t>
      </w:r>
      <w:r w:rsidR="000C5B5D">
        <w:rPr>
          <w:rFonts w:ascii="Calibri" w:hAnsi="Calibri"/>
        </w:rPr>
        <w:t xml:space="preserve"> in the final year of FirstEnergy’s proposed eight-year ESP.  Staff’s credits would end up in the same place – a </w:t>
      </w:r>
      <w:r w:rsidR="004017A5">
        <w:rPr>
          <w:rFonts w:ascii="Calibri" w:hAnsi="Calibri"/>
        </w:rPr>
        <w:t xml:space="preserve">drastically-reduced </w:t>
      </w:r>
      <w:r w:rsidR="000C5B5D">
        <w:rPr>
          <w:rFonts w:ascii="Calibri" w:hAnsi="Calibri"/>
        </w:rPr>
        <w:t xml:space="preserve">$3 credit – but Staff proposes more </w:t>
      </w:r>
      <w:r w:rsidR="00A7096D">
        <w:rPr>
          <w:rFonts w:ascii="Calibri" w:hAnsi="Calibri"/>
        </w:rPr>
        <w:t>aggressive</w:t>
      </w:r>
      <w:r w:rsidR="000C5B5D">
        <w:rPr>
          <w:rFonts w:ascii="Calibri" w:hAnsi="Calibri"/>
        </w:rPr>
        <w:t xml:space="preserve"> cuts over a shorter proposed</w:t>
      </w:r>
      <w:r w:rsidR="00111E6E">
        <w:rPr>
          <w:rFonts w:ascii="Calibri" w:hAnsi="Calibri"/>
        </w:rPr>
        <w:t xml:space="preserve"> six-year</w:t>
      </w:r>
      <w:r w:rsidR="000C5B5D">
        <w:rPr>
          <w:rFonts w:ascii="Calibri" w:hAnsi="Calibri"/>
        </w:rPr>
        <w:t xml:space="preserve"> ESP.  Specifically, Staff proposes</w:t>
      </w:r>
      <w:r w:rsidR="00111E6E">
        <w:rPr>
          <w:rFonts w:ascii="Calibri" w:hAnsi="Calibri"/>
        </w:rPr>
        <w:t xml:space="preserve"> </w:t>
      </w:r>
      <w:r w:rsidR="00111E6E">
        <w:rPr>
          <w:rFonts w:ascii="Calibri" w:hAnsi="Calibri"/>
        </w:rPr>
        <w:lastRenderedPageBreak/>
        <w:t>that the credits be $5</w:t>
      </w:r>
      <w:r w:rsidR="00030A38">
        <w:rPr>
          <w:rFonts w:ascii="Calibri" w:hAnsi="Calibri"/>
        </w:rPr>
        <w:t>/kW</w:t>
      </w:r>
      <w:r w:rsidR="0088261E">
        <w:rPr>
          <w:rFonts w:ascii="Calibri" w:hAnsi="Calibri"/>
        </w:rPr>
        <w:t>-month</w:t>
      </w:r>
      <w:r w:rsidR="00111E6E">
        <w:rPr>
          <w:rFonts w:ascii="Calibri" w:hAnsi="Calibri"/>
        </w:rPr>
        <w:t xml:space="preserve"> for the first year of the ESP, $4</w:t>
      </w:r>
      <w:r w:rsidR="00030A38">
        <w:rPr>
          <w:rFonts w:ascii="Calibri" w:hAnsi="Calibri"/>
        </w:rPr>
        <w:t>/kW</w:t>
      </w:r>
      <w:r w:rsidR="0088261E">
        <w:rPr>
          <w:rFonts w:ascii="Calibri" w:hAnsi="Calibri"/>
        </w:rPr>
        <w:t>-month</w:t>
      </w:r>
      <w:r w:rsidR="00111E6E">
        <w:rPr>
          <w:rFonts w:ascii="Calibri" w:hAnsi="Calibri"/>
        </w:rPr>
        <w:t xml:space="preserve"> in years two through four, and $3</w:t>
      </w:r>
      <w:r w:rsidR="00030A38">
        <w:rPr>
          <w:rFonts w:ascii="Calibri" w:hAnsi="Calibri"/>
        </w:rPr>
        <w:t>/kW</w:t>
      </w:r>
      <w:r w:rsidR="0088261E">
        <w:rPr>
          <w:rFonts w:ascii="Calibri" w:hAnsi="Calibri"/>
        </w:rPr>
        <w:t>-month</w:t>
      </w:r>
      <w:r w:rsidR="00111E6E">
        <w:rPr>
          <w:rFonts w:ascii="Calibri" w:hAnsi="Calibri"/>
        </w:rPr>
        <w:t xml:space="preserve"> in years five and six.</w:t>
      </w:r>
      <w:r w:rsidR="00111E6E">
        <w:rPr>
          <w:rStyle w:val="FootnoteReference"/>
          <w:rFonts w:ascii="Calibri" w:hAnsi="Calibri"/>
        </w:rPr>
        <w:footnoteReference w:id="56"/>
      </w:r>
    </w:p>
    <w:p w14:paraId="4FBD22EA" w14:textId="7346B5F0" w:rsidR="000C5B5D" w:rsidRDefault="000C5B5D" w:rsidP="00DC4D5A">
      <w:pPr>
        <w:spacing w:line="480" w:lineRule="auto"/>
        <w:jc w:val="both"/>
        <w:rPr>
          <w:rFonts w:ascii="Calibri" w:hAnsi="Calibri"/>
        </w:rPr>
      </w:pPr>
      <w:r>
        <w:rPr>
          <w:rFonts w:ascii="Calibri" w:hAnsi="Calibri"/>
        </w:rPr>
        <w:tab/>
        <w:t>Both FirstEnergy and Staff tie their credit recommendations primarily to PJM market capacity prices.</w:t>
      </w:r>
      <w:r w:rsidR="00141811">
        <w:rPr>
          <w:rStyle w:val="FootnoteReference"/>
          <w:rFonts w:ascii="Calibri" w:hAnsi="Calibri"/>
        </w:rPr>
        <w:footnoteReference w:id="57"/>
      </w:r>
      <w:r w:rsidR="006A11F2">
        <w:rPr>
          <w:rFonts w:ascii="Calibri" w:hAnsi="Calibri"/>
        </w:rPr>
        <w:t xml:space="preserve">  Staff, for example, explains that the current $10 credit is nearly three times the average market price and around ten times the current market price.</w:t>
      </w:r>
      <w:r w:rsidR="006A11F2">
        <w:rPr>
          <w:rStyle w:val="FootnoteReference"/>
          <w:rFonts w:ascii="Calibri" w:hAnsi="Calibri"/>
        </w:rPr>
        <w:footnoteReference w:id="58"/>
      </w:r>
      <w:r w:rsidR="006A11F2">
        <w:rPr>
          <w:rFonts w:ascii="Calibri" w:hAnsi="Calibri"/>
        </w:rPr>
        <w:t xml:space="preserve">  But, as discussed above and in Nucor’s initial brief, market capacity prices are a poor benchmark for the Rider ELR credit because </w:t>
      </w:r>
      <w:r w:rsidR="00C3034A">
        <w:rPr>
          <w:rFonts w:ascii="Calibri" w:hAnsi="Calibri"/>
        </w:rPr>
        <w:t xml:space="preserve">market prices </w:t>
      </w:r>
      <w:r w:rsidR="006A11F2">
        <w:rPr>
          <w:rFonts w:ascii="Calibri" w:hAnsi="Calibri"/>
        </w:rPr>
        <w:t>change from year to year and are highly volatile.</w:t>
      </w:r>
      <w:r w:rsidR="006A11F2">
        <w:rPr>
          <w:rStyle w:val="FootnoteReference"/>
          <w:rFonts w:ascii="Calibri" w:hAnsi="Calibri"/>
        </w:rPr>
        <w:footnoteReference w:id="59"/>
      </w:r>
      <w:r w:rsidR="006A11F2">
        <w:rPr>
          <w:rFonts w:ascii="Calibri" w:hAnsi="Calibri"/>
        </w:rPr>
        <w:t xml:space="preserve">  Moreover, there is a </w:t>
      </w:r>
      <w:r w:rsidR="009D4B22">
        <w:rPr>
          <w:rFonts w:ascii="Calibri" w:hAnsi="Calibri"/>
        </w:rPr>
        <w:t>reasonable</w:t>
      </w:r>
      <w:r w:rsidR="006A11F2">
        <w:rPr>
          <w:rFonts w:ascii="Calibri" w:hAnsi="Calibri"/>
        </w:rPr>
        <w:t xml:space="preserve"> likelihood that market capacity prices will climb much higher over the term of </w:t>
      </w:r>
      <w:r w:rsidR="00133A9F">
        <w:rPr>
          <w:rFonts w:ascii="Calibri" w:hAnsi="Calibri"/>
        </w:rPr>
        <w:t>ESP V</w:t>
      </w:r>
      <w:r w:rsidR="006A11F2">
        <w:rPr>
          <w:rFonts w:ascii="Calibri" w:hAnsi="Calibri"/>
        </w:rPr>
        <w:t xml:space="preserve">, due in large part </w:t>
      </w:r>
      <w:r w:rsidR="00D11037">
        <w:rPr>
          <w:rFonts w:ascii="Calibri" w:hAnsi="Calibri"/>
        </w:rPr>
        <w:t xml:space="preserve">to </w:t>
      </w:r>
      <w:r w:rsidR="006A11F2">
        <w:rPr>
          <w:rFonts w:ascii="Calibri" w:hAnsi="Calibri"/>
        </w:rPr>
        <w:t>factors related to the energy transition.</w:t>
      </w:r>
    </w:p>
    <w:p w14:paraId="3C3551AF" w14:textId="24B33578" w:rsidR="003D1072" w:rsidRDefault="009D4B22" w:rsidP="009D4B22">
      <w:pPr>
        <w:spacing w:line="480" w:lineRule="auto"/>
        <w:ind w:firstLine="720"/>
        <w:jc w:val="both"/>
        <w:rPr>
          <w:rFonts w:ascii="Calibri" w:hAnsi="Calibri"/>
        </w:rPr>
      </w:pPr>
      <w:r>
        <w:rPr>
          <w:rFonts w:ascii="Calibri" w:hAnsi="Calibri"/>
        </w:rPr>
        <w:t xml:space="preserve">In developing </w:t>
      </w:r>
      <w:r w:rsidR="009B6364">
        <w:rPr>
          <w:rFonts w:ascii="Calibri" w:hAnsi="Calibri"/>
        </w:rPr>
        <w:t>its</w:t>
      </w:r>
      <w:r>
        <w:rPr>
          <w:rFonts w:ascii="Calibri" w:hAnsi="Calibri"/>
        </w:rPr>
        <w:t xml:space="preserve"> recommendation for the Rider ELR credit</w:t>
      </w:r>
      <w:r w:rsidR="009B6364">
        <w:rPr>
          <w:rFonts w:ascii="Calibri" w:hAnsi="Calibri"/>
        </w:rPr>
        <w:t>, Staff did not perform a cost/benefit analysis.</w:t>
      </w:r>
      <w:r w:rsidR="009B6364">
        <w:rPr>
          <w:rStyle w:val="FootnoteReference"/>
          <w:rFonts w:ascii="Calibri" w:hAnsi="Calibri"/>
        </w:rPr>
        <w:footnoteReference w:id="60"/>
      </w:r>
      <w:r w:rsidR="009B6364">
        <w:rPr>
          <w:rFonts w:ascii="Calibri" w:hAnsi="Calibri"/>
        </w:rPr>
        <w:t xml:space="preserve">  Staff did not evaluate the costs to Rider ELR customers of complying with the program’s requirements, such as costs associated with necessary equipment, processes, or training.</w:t>
      </w:r>
      <w:r w:rsidR="009B6364">
        <w:rPr>
          <w:rStyle w:val="FootnoteReference"/>
          <w:rFonts w:ascii="Calibri" w:hAnsi="Calibri"/>
        </w:rPr>
        <w:footnoteReference w:id="61"/>
      </w:r>
      <w:r w:rsidR="003D1072">
        <w:rPr>
          <w:rFonts w:ascii="Calibri" w:hAnsi="Calibri"/>
        </w:rPr>
        <w:t xml:space="preserve">  </w:t>
      </w:r>
      <w:r w:rsidR="003D2BEE">
        <w:rPr>
          <w:rFonts w:ascii="Calibri" w:hAnsi="Calibri"/>
        </w:rPr>
        <w:t>These challenges and risks of being interruptible are real; a</w:t>
      </w:r>
      <w:r w:rsidR="003D1072">
        <w:rPr>
          <w:rFonts w:ascii="Calibri" w:hAnsi="Calibri"/>
        </w:rPr>
        <w:t xml:space="preserve">t the hearing, FirstEnergy Witness Stein </w:t>
      </w:r>
      <w:r w:rsidR="003D2BEE">
        <w:rPr>
          <w:rFonts w:ascii="Calibri" w:hAnsi="Calibri"/>
        </w:rPr>
        <w:t>provided some flavor as to</w:t>
      </w:r>
      <w:r w:rsidR="003D1072">
        <w:rPr>
          <w:rFonts w:ascii="Calibri" w:hAnsi="Calibri"/>
        </w:rPr>
        <w:t xml:space="preserve"> the costs and complexities of adapting an industrial facility to be interruptible:</w:t>
      </w:r>
      <w:r w:rsidR="004017A5">
        <w:rPr>
          <w:rFonts w:ascii="Calibri" w:hAnsi="Calibri"/>
        </w:rPr>
        <w:t xml:space="preserve">  </w:t>
      </w:r>
    </w:p>
    <w:p w14:paraId="17648E86" w14:textId="2A89E157" w:rsidR="003D1072" w:rsidRDefault="003D1072" w:rsidP="00D02362">
      <w:pPr>
        <w:ind w:left="720" w:right="720"/>
        <w:jc w:val="both"/>
        <w:rPr>
          <w:rFonts w:ascii="Calibri" w:hAnsi="Calibri"/>
        </w:rPr>
      </w:pPr>
      <w:r w:rsidRPr="00B164E0">
        <w:rPr>
          <w:rFonts w:ascii="Calibri" w:hAnsi="Calibri"/>
          <w:b/>
          <w:bCs/>
        </w:rPr>
        <w:t>Q.</w:t>
      </w:r>
      <w:r>
        <w:rPr>
          <w:rFonts w:ascii="Calibri" w:hAnsi="Calibri"/>
        </w:rPr>
        <w:tab/>
        <w:t xml:space="preserve">Okay.  And to be on the interruptible program, not only </w:t>
      </w:r>
      <w:r w:rsidR="00D11037">
        <w:rPr>
          <w:rFonts w:ascii="Calibri" w:hAnsi="Calibri"/>
        </w:rPr>
        <w:t xml:space="preserve">do </w:t>
      </w:r>
      <w:r>
        <w:rPr>
          <w:rFonts w:ascii="Calibri" w:hAnsi="Calibri"/>
        </w:rPr>
        <w:t xml:space="preserve">you have to deal with lost production </w:t>
      </w:r>
      <w:proofErr w:type="gramStart"/>
      <w:r>
        <w:rPr>
          <w:rFonts w:ascii="Calibri" w:hAnsi="Calibri"/>
        </w:rPr>
        <w:t>times</w:t>
      </w:r>
      <w:proofErr w:type="gramEnd"/>
      <w:r>
        <w:rPr>
          <w:rFonts w:ascii="Calibri" w:hAnsi="Calibri"/>
        </w:rPr>
        <w:t xml:space="preserve"> but you also incur costs; isn’t that right?  You have to train your staff?</w:t>
      </w:r>
    </w:p>
    <w:p w14:paraId="3207482F" w14:textId="77777777" w:rsidR="003D1072" w:rsidRDefault="003D1072" w:rsidP="00D02362">
      <w:pPr>
        <w:ind w:left="720" w:right="720"/>
        <w:jc w:val="both"/>
        <w:rPr>
          <w:rFonts w:ascii="Calibri" w:hAnsi="Calibri"/>
        </w:rPr>
      </w:pPr>
    </w:p>
    <w:p w14:paraId="59BA3532" w14:textId="6C1E6E10" w:rsidR="00D02362" w:rsidRDefault="003D1072" w:rsidP="00D02362">
      <w:pPr>
        <w:ind w:left="720" w:right="720"/>
        <w:jc w:val="both"/>
        <w:rPr>
          <w:rFonts w:ascii="Calibri" w:hAnsi="Calibri"/>
        </w:rPr>
      </w:pPr>
      <w:r w:rsidRPr="00B164E0">
        <w:rPr>
          <w:rFonts w:ascii="Calibri" w:hAnsi="Calibri"/>
          <w:b/>
          <w:bCs/>
        </w:rPr>
        <w:t>A.</w:t>
      </w:r>
      <w:r>
        <w:rPr>
          <w:rFonts w:ascii="Calibri" w:hAnsi="Calibri"/>
        </w:rPr>
        <w:tab/>
        <w:t xml:space="preserve">I mean, there’s a lot – I mean, you don’t want to kill somebody, right, shutting things down?  To your point you have to train staff.  The campus I worked at was 2, almost 3 square miles.  Most of it I walked from place to place, so you had </w:t>
      </w:r>
      <w:proofErr w:type="gramStart"/>
      <w:r>
        <w:rPr>
          <w:rFonts w:ascii="Calibri" w:hAnsi="Calibri"/>
        </w:rPr>
        <w:t>install</w:t>
      </w:r>
      <w:proofErr w:type="gramEnd"/>
      <w:r>
        <w:rPr>
          <w:rFonts w:ascii="Calibri" w:hAnsi="Calibri"/>
        </w:rPr>
        <w:t xml:space="preserve"> communication that hit the lines so they knew to shut down and – and </w:t>
      </w:r>
      <w:r>
        <w:rPr>
          <w:rFonts w:ascii="Calibri" w:hAnsi="Calibri"/>
        </w:rPr>
        <w:lastRenderedPageBreak/>
        <w:t>the lines had to have procedures to shut down quickly if they needed to.</w:t>
      </w:r>
      <w:r w:rsidR="00D02362">
        <w:rPr>
          <w:rFonts w:ascii="Calibri" w:hAnsi="Calibri"/>
        </w:rPr>
        <w:t xml:space="preserve">  Like one – one particular instance was a </w:t>
      </w:r>
      <w:proofErr w:type="gramStart"/>
      <w:r w:rsidR="00D02362">
        <w:rPr>
          <w:rFonts w:ascii="Calibri" w:hAnsi="Calibri"/>
        </w:rPr>
        <w:t>gals</w:t>
      </w:r>
      <w:proofErr w:type="gramEnd"/>
      <w:r w:rsidR="00D02362">
        <w:rPr>
          <w:rFonts w:ascii="Calibri" w:hAnsi="Calibri"/>
        </w:rPr>
        <w:t xml:space="preserve"> line – I shouldn’t shorthand, a galvanized line, a galvanized coating line, you have got to put stringers in to make – you know, make sure you can restart the line when you come back.  There is just a lot of considerations.</w:t>
      </w:r>
      <w:r w:rsidR="00D02362">
        <w:rPr>
          <w:rStyle w:val="FootnoteReference"/>
          <w:rFonts w:ascii="Calibri" w:hAnsi="Calibri"/>
        </w:rPr>
        <w:footnoteReference w:id="62"/>
      </w:r>
    </w:p>
    <w:p w14:paraId="1AFD0B15" w14:textId="77777777" w:rsidR="00D02362" w:rsidRDefault="00D02362" w:rsidP="00D02362">
      <w:pPr>
        <w:jc w:val="both"/>
        <w:rPr>
          <w:rFonts w:ascii="Calibri" w:hAnsi="Calibri"/>
        </w:rPr>
      </w:pPr>
    </w:p>
    <w:p w14:paraId="0C03722A" w14:textId="3B351F4C" w:rsidR="003D1072" w:rsidRDefault="009B6364" w:rsidP="003D1072">
      <w:pPr>
        <w:spacing w:line="480" w:lineRule="auto"/>
        <w:jc w:val="both"/>
        <w:rPr>
          <w:rFonts w:ascii="Calibri" w:hAnsi="Calibri"/>
        </w:rPr>
      </w:pPr>
      <w:r>
        <w:rPr>
          <w:rFonts w:ascii="Calibri" w:hAnsi="Calibri"/>
        </w:rPr>
        <w:t xml:space="preserve">Staff also did not evaluate the lost production costs Rider ELR customers may experience from participating in the </w:t>
      </w:r>
      <w:proofErr w:type="gramStart"/>
      <w:r>
        <w:rPr>
          <w:rFonts w:ascii="Calibri" w:hAnsi="Calibri"/>
        </w:rPr>
        <w:t>program, and</w:t>
      </w:r>
      <w:proofErr w:type="gramEnd"/>
      <w:r>
        <w:rPr>
          <w:rFonts w:ascii="Calibri" w:hAnsi="Calibri"/>
        </w:rPr>
        <w:t xml:space="preserve"> did not consider the impacts of the economy at large of avoiding rolling blackouts.</w:t>
      </w:r>
      <w:r>
        <w:rPr>
          <w:rStyle w:val="FootnoteReference"/>
          <w:rFonts w:ascii="Calibri" w:hAnsi="Calibri"/>
        </w:rPr>
        <w:footnoteReference w:id="63"/>
      </w:r>
      <w:r w:rsidR="00D97734">
        <w:rPr>
          <w:rFonts w:ascii="Calibri" w:hAnsi="Calibri"/>
        </w:rPr>
        <w:t xml:space="preserve">  Finally, Staff did not analyze whether its proposal to immediately reduce the ELR credits to $5/kW-month would lead to sudden rate changes or rate shock to any ELR customers.</w:t>
      </w:r>
      <w:r w:rsidR="00D97734">
        <w:rPr>
          <w:rStyle w:val="FootnoteReference"/>
          <w:rFonts w:ascii="Calibri" w:hAnsi="Calibri"/>
        </w:rPr>
        <w:footnoteReference w:id="64"/>
      </w:r>
      <w:r w:rsidR="00A308F6">
        <w:rPr>
          <w:rFonts w:ascii="Calibri" w:hAnsi="Calibri"/>
        </w:rPr>
        <w:t xml:space="preserve">  </w:t>
      </w:r>
    </w:p>
    <w:p w14:paraId="3FDB55F9" w14:textId="6E4B7511" w:rsidR="001E1068" w:rsidRDefault="00A308F6" w:rsidP="009D4B22">
      <w:pPr>
        <w:spacing w:line="480" w:lineRule="auto"/>
        <w:ind w:firstLine="720"/>
        <w:jc w:val="both"/>
        <w:rPr>
          <w:rFonts w:ascii="Calibri" w:hAnsi="Calibri"/>
        </w:rPr>
      </w:pPr>
      <w:r>
        <w:rPr>
          <w:rFonts w:ascii="Calibri" w:hAnsi="Calibri"/>
        </w:rPr>
        <w:t>It its brief, Staff concedes that its credit proposal is no</w:t>
      </w:r>
      <w:r w:rsidR="003D2E8A">
        <w:rPr>
          <w:rFonts w:ascii="Calibri" w:hAnsi="Calibri"/>
        </w:rPr>
        <w:t>t</w:t>
      </w:r>
      <w:r>
        <w:rPr>
          <w:rFonts w:ascii="Calibri" w:hAnsi="Calibri"/>
        </w:rPr>
        <w:t xml:space="preserve"> derived from a strict quantitative analysis, but also notes that none of the other parties provide quantitative justification for their proposed credits.</w:t>
      </w:r>
      <w:r>
        <w:rPr>
          <w:rStyle w:val="FootnoteReference"/>
          <w:rFonts w:ascii="Calibri" w:hAnsi="Calibri"/>
        </w:rPr>
        <w:footnoteReference w:id="65"/>
      </w:r>
      <w:r w:rsidR="00421392">
        <w:rPr>
          <w:rFonts w:ascii="Calibri" w:hAnsi="Calibri"/>
        </w:rPr>
        <w:t xml:space="preserve">  Staff concludes that “[u]</w:t>
      </w:r>
      <w:proofErr w:type="spellStart"/>
      <w:r w:rsidR="00421392">
        <w:rPr>
          <w:rFonts w:ascii="Calibri" w:hAnsi="Calibri"/>
        </w:rPr>
        <w:t>ltimately</w:t>
      </w:r>
      <w:proofErr w:type="spellEnd"/>
      <w:r w:rsidR="00421392">
        <w:rPr>
          <w:rFonts w:ascii="Calibri" w:hAnsi="Calibri"/>
        </w:rPr>
        <w:t>, when deciding the appropriate level of credits, the Commission will need to rely on parties’ expert judgment and determine which party – Staff, the Companies, or intervenors – best balanced all the competing factors.”</w:t>
      </w:r>
      <w:r w:rsidR="00421392">
        <w:rPr>
          <w:rStyle w:val="FootnoteReference"/>
          <w:rFonts w:ascii="Calibri" w:hAnsi="Calibri"/>
        </w:rPr>
        <w:footnoteReference w:id="66"/>
      </w:r>
      <w:r w:rsidR="003D1072">
        <w:rPr>
          <w:rFonts w:ascii="Calibri" w:hAnsi="Calibri"/>
        </w:rPr>
        <w:t xml:space="preserve">  </w:t>
      </w:r>
      <w:r w:rsidR="001E1068">
        <w:rPr>
          <w:rFonts w:ascii="Calibri" w:hAnsi="Calibri"/>
        </w:rPr>
        <w:t xml:space="preserve">Nucor agrees with Staff that no party filed a detailed quantitative analysis supporting their credit recommendations, and that determining the appropriate level of credit will require the exercise of judgment.  But </w:t>
      </w:r>
      <w:r w:rsidR="0049223E">
        <w:rPr>
          <w:rFonts w:ascii="Calibri" w:hAnsi="Calibri"/>
        </w:rPr>
        <w:t>we</w:t>
      </w:r>
      <w:r w:rsidR="001E1068">
        <w:rPr>
          <w:rFonts w:ascii="Calibri" w:hAnsi="Calibri"/>
        </w:rPr>
        <w:t xml:space="preserve"> would note that our </w:t>
      </w:r>
      <w:r w:rsidR="00CB47F1">
        <w:rPr>
          <w:rFonts w:ascii="Calibri" w:hAnsi="Calibri"/>
        </w:rPr>
        <w:t xml:space="preserve">primary </w:t>
      </w:r>
      <w:r w:rsidR="001E1068">
        <w:rPr>
          <w:rFonts w:ascii="Calibri" w:hAnsi="Calibri"/>
        </w:rPr>
        <w:t>credit recommendation is to maintain the status quo</w:t>
      </w:r>
      <w:r w:rsidR="0049223E">
        <w:rPr>
          <w:rFonts w:ascii="Calibri" w:hAnsi="Calibri"/>
        </w:rPr>
        <w:t xml:space="preserve">; </w:t>
      </w:r>
      <w:r w:rsidR="0049223E" w:rsidRPr="0049223E">
        <w:rPr>
          <w:rFonts w:ascii="Calibri" w:hAnsi="Calibri"/>
          <w:i/>
          <w:iCs/>
        </w:rPr>
        <w:t>i.e.</w:t>
      </w:r>
      <w:r w:rsidR="0049223E">
        <w:rPr>
          <w:rFonts w:ascii="Calibri" w:hAnsi="Calibri"/>
        </w:rPr>
        <w:t xml:space="preserve">, </w:t>
      </w:r>
      <w:r w:rsidR="001E1068">
        <w:rPr>
          <w:rFonts w:ascii="Calibri" w:hAnsi="Calibri"/>
        </w:rPr>
        <w:t xml:space="preserve">approve the </w:t>
      </w:r>
      <w:r w:rsidR="00D02362">
        <w:rPr>
          <w:rFonts w:ascii="Calibri" w:hAnsi="Calibri"/>
        </w:rPr>
        <w:t xml:space="preserve">same </w:t>
      </w:r>
      <w:r w:rsidR="001E1068">
        <w:rPr>
          <w:rFonts w:ascii="Calibri" w:hAnsi="Calibri"/>
        </w:rPr>
        <w:t xml:space="preserve">level of credit that the Commission has approved in four prior ESPs.  </w:t>
      </w:r>
      <w:r w:rsidR="00D02362">
        <w:rPr>
          <w:rFonts w:ascii="Calibri" w:hAnsi="Calibri"/>
        </w:rPr>
        <w:t>T</w:t>
      </w:r>
      <w:r w:rsidR="001E1068">
        <w:rPr>
          <w:rFonts w:ascii="Calibri" w:hAnsi="Calibri"/>
        </w:rPr>
        <w:t xml:space="preserve">he parties that wish to drastically lower the credit </w:t>
      </w:r>
      <w:r w:rsidR="00D02362">
        <w:rPr>
          <w:rFonts w:ascii="Calibri" w:hAnsi="Calibri"/>
        </w:rPr>
        <w:t xml:space="preserve">should </w:t>
      </w:r>
      <w:r w:rsidR="001E1068">
        <w:rPr>
          <w:rFonts w:ascii="Calibri" w:hAnsi="Calibri"/>
        </w:rPr>
        <w:t xml:space="preserve">bear </w:t>
      </w:r>
      <w:r w:rsidR="00D02362">
        <w:rPr>
          <w:rFonts w:ascii="Calibri" w:hAnsi="Calibri"/>
        </w:rPr>
        <w:t>a</w:t>
      </w:r>
      <w:r w:rsidR="001E1068">
        <w:rPr>
          <w:rFonts w:ascii="Calibri" w:hAnsi="Calibri"/>
        </w:rPr>
        <w:t xml:space="preserve"> heavier burden to justify their proposals, particularly when there has been no demonstration that ELR is any less useful or </w:t>
      </w:r>
      <w:r w:rsidR="00CB47F1">
        <w:rPr>
          <w:rFonts w:ascii="Calibri" w:hAnsi="Calibri"/>
        </w:rPr>
        <w:lastRenderedPageBreak/>
        <w:t>beneficial</w:t>
      </w:r>
      <w:r w:rsidR="001E1068">
        <w:rPr>
          <w:rFonts w:ascii="Calibri" w:hAnsi="Calibri"/>
        </w:rPr>
        <w:t xml:space="preserve"> than in prior cases</w:t>
      </w:r>
      <w:r w:rsidR="00CB47F1">
        <w:rPr>
          <w:rFonts w:ascii="Calibri" w:hAnsi="Calibri"/>
        </w:rPr>
        <w:t>.  I</w:t>
      </w:r>
      <w:r w:rsidR="001E1068">
        <w:rPr>
          <w:rFonts w:ascii="Calibri" w:hAnsi="Calibri"/>
        </w:rPr>
        <w:t xml:space="preserve">n fact, the evidence </w:t>
      </w:r>
      <w:r w:rsidR="00CB47F1">
        <w:rPr>
          <w:rFonts w:ascii="Calibri" w:hAnsi="Calibri"/>
        </w:rPr>
        <w:t>in this case suggests</w:t>
      </w:r>
      <w:r w:rsidR="001E1068">
        <w:rPr>
          <w:rFonts w:ascii="Calibri" w:hAnsi="Calibri"/>
        </w:rPr>
        <w:t xml:space="preserve"> that </w:t>
      </w:r>
      <w:r w:rsidR="0049223E">
        <w:rPr>
          <w:rFonts w:ascii="Calibri" w:hAnsi="Calibri"/>
        </w:rPr>
        <w:t xml:space="preserve">maintaining </w:t>
      </w:r>
      <w:r w:rsidR="001E1068">
        <w:rPr>
          <w:rFonts w:ascii="Calibri" w:hAnsi="Calibri"/>
        </w:rPr>
        <w:t>a</w:t>
      </w:r>
      <w:r w:rsidR="0049223E">
        <w:rPr>
          <w:rFonts w:ascii="Calibri" w:hAnsi="Calibri"/>
        </w:rPr>
        <w:t xml:space="preserve"> strong</w:t>
      </w:r>
      <w:r w:rsidR="001E1068">
        <w:rPr>
          <w:rFonts w:ascii="Calibri" w:hAnsi="Calibri"/>
        </w:rPr>
        <w:t xml:space="preserve"> interruptible program may be even more important in the future than it has been in </w:t>
      </w:r>
      <w:r w:rsidR="00CB47F1">
        <w:rPr>
          <w:rFonts w:ascii="Calibri" w:hAnsi="Calibri"/>
        </w:rPr>
        <w:t>the past</w:t>
      </w:r>
      <w:r w:rsidR="001E1068">
        <w:rPr>
          <w:rFonts w:ascii="Calibri" w:hAnsi="Calibri"/>
        </w:rPr>
        <w:t>.</w:t>
      </w:r>
    </w:p>
    <w:p w14:paraId="29EFB74D" w14:textId="4626D7F7" w:rsidR="002763AB" w:rsidRDefault="00522078" w:rsidP="009D4B22">
      <w:pPr>
        <w:spacing w:line="480" w:lineRule="auto"/>
        <w:ind w:firstLine="720"/>
        <w:jc w:val="both"/>
        <w:rPr>
          <w:rFonts w:ascii="Calibri" w:hAnsi="Calibri"/>
        </w:rPr>
      </w:pPr>
      <w:r>
        <w:rPr>
          <w:rFonts w:ascii="Calibri" w:hAnsi="Calibri"/>
        </w:rPr>
        <w:t xml:space="preserve">Further, </w:t>
      </w:r>
      <w:r w:rsidR="002763AB">
        <w:rPr>
          <w:rFonts w:ascii="Calibri" w:hAnsi="Calibri"/>
        </w:rPr>
        <w:t>Staff downplays the risk of a significant decrease in the Rider ELR credits leading to customers leaving the program, noting that credits for AEP Ohio’s IRP-E program have been less than a dollar in recent years, yet the program remains highly subscribed.</w:t>
      </w:r>
      <w:r w:rsidR="002763AB">
        <w:rPr>
          <w:rStyle w:val="FootnoteReference"/>
          <w:rFonts w:ascii="Calibri" w:hAnsi="Calibri"/>
        </w:rPr>
        <w:footnoteReference w:id="67"/>
      </w:r>
      <w:r w:rsidR="002763AB">
        <w:rPr>
          <w:rFonts w:ascii="Calibri" w:hAnsi="Calibri"/>
        </w:rPr>
        <w:t xml:space="preserve">  AEP’s program, however, is a different program from Rider ELR, with different requirements, penalty provisions, and program objectives.</w:t>
      </w:r>
      <w:r w:rsidR="002763AB">
        <w:rPr>
          <w:rStyle w:val="FootnoteReference"/>
          <w:rFonts w:ascii="Calibri" w:hAnsi="Calibri"/>
        </w:rPr>
        <w:footnoteReference w:id="68"/>
      </w:r>
      <w:r w:rsidR="002763AB">
        <w:rPr>
          <w:rFonts w:ascii="Calibri" w:hAnsi="Calibri"/>
        </w:rPr>
        <w:t xml:space="preserve">  It cannot be assumed that the same level of sustained and robust participation in the Rider ELR program will continue if the credits are cut significantly, regardless of the recent experience with the AEP IRP-E program.</w:t>
      </w:r>
    </w:p>
    <w:p w14:paraId="614DFC46" w14:textId="0F5C5580" w:rsidR="000C064A" w:rsidRDefault="008904C8" w:rsidP="009D4B22">
      <w:pPr>
        <w:spacing w:line="480" w:lineRule="auto"/>
        <w:ind w:firstLine="720"/>
        <w:jc w:val="both"/>
        <w:rPr>
          <w:rFonts w:ascii="Calibri" w:hAnsi="Calibri"/>
        </w:rPr>
      </w:pPr>
      <w:r>
        <w:rPr>
          <w:rFonts w:ascii="Calibri" w:hAnsi="Calibri"/>
        </w:rPr>
        <w:t>Staff states that Nucor’s position on the credit is “rigid,”</w:t>
      </w:r>
      <w:r>
        <w:rPr>
          <w:rStyle w:val="FootnoteReference"/>
          <w:rFonts w:ascii="Calibri" w:hAnsi="Calibri"/>
        </w:rPr>
        <w:footnoteReference w:id="69"/>
      </w:r>
      <w:r>
        <w:rPr>
          <w:rFonts w:ascii="Calibri" w:hAnsi="Calibri"/>
        </w:rPr>
        <w:t xml:space="preserve"> but this is not a fair characterization.  Nucor recommends retention of the $10 credit and believes there is evidence to support this level of credit.  However, if the Commission decides that the credit should be reduced, Nucor </w:t>
      </w:r>
      <w:r w:rsidR="000C064A">
        <w:rPr>
          <w:rFonts w:ascii="Calibri" w:hAnsi="Calibri"/>
        </w:rPr>
        <w:t xml:space="preserve">alternatively </w:t>
      </w:r>
      <w:r>
        <w:rPr>
          <w:rFonts w:ascii="Calibri" w:hAnsi="Calibri"/>
        </w:rPr>
        <w:t>recommends that the credit be reduced over the course of ESP</w:t>
      </w:r>
      <w:r w:rsidR="000C064A">
        <w:rPr>
          <w:rFonts w:ascii="Calibri" w:hAnsi="Calibri"/>
        </w:rPr>
        <w:t xml:space="preserve"> V</w:t>
      </w:r>
      <w:r>
        <w:rPr>
          <w:rFonts w:ascii="Calibri" w:hAnsi="Calibri"/>
        </w:rPr>
        <w:t xml:space="preserve"> to no less than $8, a significant 20% decrease in the current credit.</w:t>
      </w:r>
      <w:r>
        <w:rPr>
          <w:rStyle w:val="FootnoteReference"/>
          <w:rFonts w:ascii="Calibri" w:hAnsi="Calibri"/>
        </w:rPr>
        <w:footnoteReference w:id="70"/>
      </w:r>
      <w:r>
        <w:rPr>
          <w:rFonts w:ascii="Calibri" w:hAnsi="Calibri"/>
        </w:rPr>
        <w:t xml:space="preserve">  </w:t>
      </w:r>
      <w:r w:rsidR="00D23801">
        <w:rPr>
          <w:rFonts w:ascii="Calibri" w:hAnsi="Calibri"/>
        </w:rPr>
        <w:t>Nucor’s recommendation, therefore, preserves all the current benefits of the ELR program while providing flexibility on the credit, while also protecting against a cut in the credit that</w:t>
      </w:r>
      <w:r>
        <w:rPr>
          <w:rFonts w:ascii="Calibri" w:hAnsi="Calibri"/>
        </w:rPr>
        <w:t xml:space="preserve"> is too drastic, could cause rate shock for the major industrial customers that are currently on Rider ELR, </w:t>
      </w:r>
      <w:r w:rsidR="00D23801">
        <w:rPr>
          <w:rFonts w:ascii="Calibri" w:hAnsi="Calibri"/>
        </w:rPr>
        <w:t xml:space="preserve">and </w:t>
      </w:r>
      <w:r>
        <w:rPr>
          <w:rFonts w:ascii="Calibri" w:hAnsi="Calibri"/>
        </w:rPr>
        <w:t xml:space="preserve">does not accurately reflect </w:t>
      </w:r>
      <w:r w:rsidR="003D1072">
        <w:rPr>
          <w:rFonts w:ascii="Calibri" w:hAnsi="Calibri"/>
        </w:rPr>
        <w:t xml:space="preserve">the costs for ELR customers to be interruptible or </w:t>
      </w:r>
      <w:r>
        <w:rPr>
          <w:rFonts w:ascii="Calibri" w:hAnsi="Calibri"/>
        </w:rPr>
        <w:t>the benefits Rider ELR provides.</w:t>
      </w:r>
    </w:p>
    <w:p w14:paraId="64AE4EAD" w14:textId="0E4256FD" w:rsidR="00141811" w:rsidRDefault="003D2E8A" w:rsidP="009D4B22">
      <w:pPr>
        <w:spacing w:line="480" w:lineRule="auto"/>
        <w:ind w:firstLine="720"/>
        <w:jc w:val="both"/>
        <w:rPr>
          <w:rFonts w:ascii="Calibri" w:hAnsi="Calibri"/>
        </w:rPr>
      </w:pPr>
      <w:r>
        <w:rPr>
          <w:rFonts w:ascii="Calibri" w:hAnsi="Calibri"/>
        </w:rPr>
        <w:lastRenderedPageBreak/>
        <w:t>F</w:t>
      </w:r>
      <w:r w:rsidR="00522078">
        <w:rPr>
          <w:rFonts w:ascii="Calibri" w:hAnsi="Calibri"/>
        </w:rPr>
        <w:t>inally</w:t>
      </w:r>
      <w:r w:rsidR="000C064A">
        <w:rPr>
          <w:rFonts w:ascii="Calibri" w:hAnsi="Calibri"/>
        </w:rPr>
        <w:t>, it is important to note a key underlying difference in the credit recommendations of Staff and Nucor.  Staff explains that while its proposed reduction “from $10/kW-month to $5/kW-month might seem large, this is not an apples-to-apples comparison.”</w:t>
      </w:r>
      <w:r w:rsidR="000C064A">
        <w:rPr>
          <w:rStyle w:val="FootnoteReference"/>
          <w:rFonts w:ascii="Calibri" w:hAnsi="Calibri"/>
        </w:rPr>
        <w:footnoteReference w:id="71"/>
      </w:r>
      <w:r w:rsidR="00E72B5E">
        <w:rPr>
          <w:rFonts w:ascii="Calibri" w:hAnsi="Calibri"/>
        </w:rPr>
        <w:t xml:space="preserve">  </w:t>
      </w:r>
      <w:r w:rsidR="005D1EBD">
        <w:rPr>
          <w:rFonts w:ascii="Calibri" w:hAnsi="Calibri"/>
        </w:rPr>
        <w:t>Staff’s perspective is based on their</w:t>
      </w:r>
      <w:r w:rsidR="00E72B5E">
        <w:rPr>
          <w:rFonts w:ascii="Calibri" w:hAnsi="Calibri"/>
        </w:rPr>
        <w:t xml:space="preserve"> </w:t>
      </w:r>
      <w:r w:rsidR="005D1EBD">
        <w:rPr>
          <w:rFonts w:ascii="Calibri" w:hAnsi="Calibri"/>
        </w:rPr>
        <w:t xml:space="preserve">support for </w:t>
      </w:r>
      <w:r w:rsidR="00E72B5E">
        <w:rPr>
          <w:rFonts w:ascii="Calibri" w:hAnsi="Calibri"/>
        </w:rPr>
        <w:t xml:space="preserve">FirstEnergy’s proposal to no longer serve as the CSP for Rider ELR customers, </w:t>
      </w:r>
      <w:r w:rsidR="005D1EBD">
        <w:rPr>
          <w:rFonts w:ascii="Calibri" w:hAnsi="Calibri"/>
        </w:rPr>
        <w:t xml:space="preserve">under </w:t>
      </w:r>
      <w:r w:rsidR="00E72B5E">
        <w:rPr>
          <w:rFonts w:ascii="Calibri" w:hAnsi="Calibri"/>
        </w:rPr>
        <w:t>which ELR customers would participate in PJM themselves and retain any revenue they receive from their participation.</w:t>
      </w:r>
      <w:r w:rsidR="00E72B5E">
        <w:rPr>
          <w:rStyle w:val="FootnoteReference"/>
          <w:rFonts w:ascii="Calibri" w:hAnsi="Calibri"/>
        </w:rPr>
        <w:footnoteReference w:id="72"/>
      </w:r>
      <w:r w:rsidR="00E72B5E">
        <w:rPr>
          <w:rFonts w:ascii="Calibri" w:hAnsi="Calibri"/>
        </w:rPr>
        <w:t xml:space="preserve">  Staff </w:t>
      </w:r>
      <w:r w:rsidR="005D1EBD">
        <w:rPr>
          <w:rFonts w:ascii="Calibri" w:hAnsi="Calibri"/>
        </w:rPr>
        <w:t xml:space="preserve">speculates </w:t>
      </w:r>
      <w:r w:rsidR="00E72B5E">
        <w:rPr>
          <w:rFonts w:ascii="Calibri" w:hAnsi="Calibri"/>
        </w:rPr>
        <w:t xml:space="preserve">that this new PJM revenue stream </w:t>
      </w:r>
      <w:r w:rsidR="0052659E">
        <w:rPr>
          <w:rFonts w:ascii="Calibri" w:hAnsi="Calibri"/>
        </w:rPr>
        <w:t>would make up some or even all of the difference between the current $10 credit and Staff’s recommended credits.</w:t>
      </w:r>
      <w:r w:rsidR="0052659E">
        <w:rPr>
          <w:rStyle w:val="FootnoteReference"/>
          <w:rFonts w:ascii="Calibri" w:hAnsi="Calibri"/>
        </w:rPr>
        <w:footnoteReference w:id="73"/>
      </w:r>
    </w:p>
    <w:p w14:paraId="5FA9270B" w14:textId="22DF1B46" w:rsidR="00041542" w:rsidRDefault="0052659E" w:rsidP="009D4B22">
      <w:pPr>
        <w:spacing w:line="480" w:lineRule="auto"/>
        <w:ind w:firstLine="720"/>
        <w:jc w:val="both"/>
        <w:rPr>
          <w:rFonts w:ascii="Calibri" w:hAnsi="Calibri"/>
        </w:rPr>
      </w:pPr>
      <w:r>
        <w:rPr>
          <w:rFonts w:ascii="Calibri" w:hAnsi="Calibri"/>
        </w:rPr>
        <w:t>Nucor’s recommendation, however, is for FirstEnergy to remain the CSP, and to pass PJM revenues back to</w:t>
      </w:r>
      <w:r w:rsidR="005D1EBD">
        <w:rPr>
          <w:rFonts w:ascii="Calibri" w:hAnsi="Calibri"/>
        </w:rPr>
        <w:t xml:space="preserve"> non-ELR</w:t>
      </w:r>
      <w:r>
        <w:rPr>
          <w:rFonts w:ascii="Calibri" w:hAnsi="Calibri"/>
        </w:rPr>
        <w:t xml:space="preserve"> customers to mitigate the cost of the credit.  Under this approach, the credit the ELR customer receives would be stable and </w:t>
      </w:r>
      <w:r w:rsidR="00BD03A8">
        <w:rPr>
          <w:rFonts w:ascii="Calibri" w:hAnsi="Calibri"/>
        </w:rPr>
        <w:t xml:space="preserve">known </w:t>
      </w:r>
      <w:r>
        <w:rPr>
          <w:rFonts w:ascii="Calibri" w:hAnsi="Calibri"/>
        </w:rPr>
        <w:t>for the full term of the ESP, while</w:t>
      </w:r>
      <w:r w:rsidR="00845EAC">
        <w:rPr>
          <w:rFonts w:ascii="Calibri" w:hAnsi="Calibri"/>
        </w:rPr>
        <w:t xml:space="preserve"> non-ELR customers would receive PJM revenues to mitigate the cost of the credit (and to the extent capacity market prices increase significantly, the credits back to non-ELR customers will increase significantly as well).</w:t>
      </w:r>
      <w:r w:rsidR="00B414EE">
        <w:rPr>
          <w:rStyle w:val="FootnoteReference"/>
          <w:rFonts w:ascii="Calibri" w:hAnsi="Calibri"/>
        </w:rPr>
        <w:footnoteReference w:id="74"/>
      </w:r>
      <w:r>
        <w:rPr>
          <w:rFonts w:ascii="Calibri" w:hAnsi="Calibri"/>
        </w:rPr>
        <w:t xml:space="preserve"> </w:t>
      </w:r>
      <w:r w:rsidR="00845EAC">
        <w:rPr>
          <w:rFonts w:ascii="Calibri" w:hAnsi="Calibri"/>
        </w:rPr>
        <w:t xml:space="preserve"> U</w:t>
      </w:r>
      <w:r>
        <w:rPr>
          <w:rFonts w:ascii="Calibri" w:hAnsi="Calibri"/>
        </w:rPr>
        <w:t xml:space="preserve">nder Staff’s preferred approach, a key piece of the compensation for participating in the Rider ELR program (the PJM revenues) </w:t>
      </w:r>
      <w:r w:rsidR="00845EAC">
        <w:rPr>
          <w:rFonts w:ascii="Calibri" w:hAnsi="Calibri"/>
        </w:rPr>
        <w:t>woul</w:t>
      </w:r>
      <w:r>
        <w:rPr>
          <w:rFonts w:ascii="Calibri" w:hAnsi="Calibri"/>
        </w:rPr>
        <w:t xml:space="preserve">d be variable and unknown from year to year, making it difficult for these customers to plan and budget.  </w:t>
      </w:r>
    </w:p>
    <w:p w14:paraId="7865DC86" w14:textId="52E2C682" w:rsidR="00856759" w:rsidRDefault="00041542" w:rsidP="00DC4D5A">
      <w:pPr>
        <w:spacing w:line="480" w:lineRule="auto"/>
        <w:jc w:val="both"/>
        <w:rPr>
          <w:rFonts w:ascii="Calibri" w:hAnsi="Calibri"/>
        </w:rPr>
      </w:pPr>
      <w:r>
        <w:rPr>
          <w:rFonts w:ascii="Calibri" w:hAnsi="Calibri"/>
        </w:rPr>
        <w:tab/>
        <w:t>Nucor’s view is that FirstEnergy serving as the CSP, which entails bidding the ELR load into PJM and flowing PJM revenue back to customers, is a separate and distinct benefit of Rider ELR</w:t>
      </w:r>
      <w:r w:rsidR="00F9316F">
        <w:rPr>
          <w:rFonts w:ascii="Calibri" w:hAnsi="Calibri"/>
        </w:rPr>
        <w:t xml:space="preserve"> </w:t>
      </w:r>
      <w:r>
        <w:rPr>
          <w:rFonts w:ascii="Calibri" w:hAnsi="Calibri"/>
        </w:rPr>
        <w:t xml:space="preserve">that justifies a higher credit.  At the hearing, Witness Healey agreed that he could see an </w:t>
      </w:r>
      <w:r>
        <w:rPr>
          <w:rFonts w:ascii="Calibri" w:hAnsi="Calibri"/>
        </w:rPr>
        <w:lastRenderedPageBreak/>
        <w:t>argument for increasing the ELR credits if FirstEnergy remained the CSP.</w:t>
      </w:r>
      <w:r>
        <w:rPr>
          <w:rStyle w:val="FootnoteReference"/>
          <w:rFonts w:ascii="Calibri" w:hAnsi="Calibri"/>
        </w:rPr>
        <w:footnoteReference w:id="75"/>
      </w:r>
      <w:r w:rsidR="009C0FE6">
        <w:rPr>
          <w:rFonts w:ascii="Calibri" w:hAnsi="Calibri"/>
        </w:rPr>
        <w:t xml:space="preserve">  This difference of opinion </w:t>
      </w:r>
      <w:r w:rsidR="004B2E1A">
        <w:rPr>
          <w:rFonts w:ascii="Calibri" w:hAnsi="Calibri"/>
        </w:rPr>
        <w:t>as to</w:t>
      </w:r>
      <w:r w:rsidR="009C0FE6">
        <w:rPr>
          <w:rFonts w:ascii="Calibri" w:hAnsi="Calibri"/>
        </w:rPr>
        <w:t xml:space="preserve"> whether FirstEnergy should continue to serve as the CSP, therefore, </w:t>
      </w:r>
      <w:r w:rsidR="003D2E8A">
        <w:rPr>
          <w:rFonts w:ascii="Calibri" w:hAnsi="Calibri"/>
        </w:rPr>
        <w:t>explains</w:t>
      </w:r>
      <w:r w:rsidR="009C0FE6">
        <w:rPr>
          <w:rFonts w:ascii="Calibri" w:hAnsi="Calibri"/>
        </w:rPr>
        <w:t xml:space="preserve"> at least some of the difference </w:t>
      </w:r>
      <w:r w:rsidR="00141811">
        <w:rPr>
          <w:rFonts w:ascii="Calibri" w:hAnsi="Calibri"/>
        </w:rPr>
        <w:t>between</w:t>
      </w:r>
      <w:r w:rsidR="009C0FE6">
        <w:rPr>
          <w:rFonts w:ascii="Calibri" w:hAnsi="Calibri"/>
        </w:rPr>
        <w:t xml:space="preserve"> Nucor’s and Staff’s respective credit recommendations.</w:t>
      </w:r>
      <w:r w:rsidR="003D2E8A">
        <w:rPr>
          <w:rFonts w:ascii="Calibri" w:hAnsi="Calibri"/>
        </w:rPr>
        <w:tab/>
      </w:r>
      <w:r>
        <w:rPr>
          <w:rFonts w:ascii="Calibri" w:hAnsi="Calibri"/>
        </w:rPr>
        <w:t xml:space="preserve">  </w:t>
      </w:r>
    </w:p>
    <w:p w14:paraId="0C668EE0" w14:textId="6E8EA836" w:rsidR="00073D1A" w:rsidRPr="003C55B9" w:rsidRDefault="00073D1A" w:rsidP="002B6DAC">
      <w:pPr>
        <w:pStyle w:val="Heading3"/>
        <w:ind w:left="2160" w:hanging="720"/>
      </w:pPr>
      <w:bookmarkStart w:id="33" w:name="_Toc158284301"/>
      <w:bookmarkStart w:id="34" w:name="_Toc158363491"/>
      <w:r w:rsidRPr="003C55B9">
        <w:t>4.</w:t>
      </w:r>
      <w:r w:rsidRPr="003C55B9">
        <w:tab/>
        <w:t>If the Commission decides FirstEnergy should no longer serve as the CSP, then the OEG/OELC alternative proposal is a reasonable approach</w:t>
      </w:r>
      <w:bookmarkEnd w:id="33"/>
      <w:bookmarkEnd w:id="34"/>
    </w:p>
    <w:p w14:paraId="664F8003" w14:textId="4AD4994B" w:rsidR="003C55B9" w:rsidRDefault="003C55B9" w:rsidP="00DC4D5A">
      <w:pPr>
        <w:spacing w:line="480" w:lineRule="auto"/>
        <w:jc w:val="both"/>
        <w:rPr>
          <w:rFonts w:ascii="Calibri" w:hAnsi="Calibri"/>
        </w:rPr>
      </w:pPr>
      <w:r>
        <w:rPr>
          <w:rFonts w:ascii="Calibri" w:hAnsi="Calibri"/>
        </w:rPr>
        <w:tab/>
        <w:t>Nucor’s position is that the Rider ELR program should be retained in its current form, with FirstEnergy continuing to serve as the CSP and the credit staying at $10</w:t>
      </w:r>
      <w:r w:rsidR="00B90228">
        <w:rPr>
          <w:rFonts w:ascii="Calibri" w:hAnsi="Calibri"/>
        </w:rPr>
        <w:t>/kW</w:t>
      </w:r>
      <w:r w:rsidR="0088261E">
        <w:rPr>
          <w:rFonts w:ascii="Calibri" w:hAnsi="Calibri"/>
        </w:rPr>
        <w:t>-month</w:t>
      </w:r>
      <w:r>
        <w:rPr>
          <w:rFonts w:ascii="Calibri" w:hAnsi="Calibri"/>
        </w:rPr>
        <w:t>, or to be reduced gradually to no less than $8</w:t>
      </w:r>
      <w:r w:rsidR="00B90228">
        <w:rPr>
          <w:rFonts w:ascii="Calibri" w:hAnsi="Calibri"/>
        </w:rPr>
        <w:t>/kW</w:t>
      </w:r>
      <w:r w:rsidR="0088261E">
        <w:rPr>
          <w:rFonts w:ascii="Calibri" w:hAnsi="Calibri"/>
        </w:rPr>
        <w:t>-month</w:t>
      </w:r>
      <w:r>
        <w:rPr>
          <w:rFonts w:ascii="Calibri" w:hAnsi="Calibri"/>
        </w:rPr>
        <w:t xml:space="preserve"> if the Commission determines that the credit </w:t>
      </w:r>
      <w:r w:rsidR="00AA0338">
        <w:rPr>
          <w:rFonts w:ascii="Calibri" w:hAnsi="Calibri"/>
        </w:rPr>
        <w:t xml:space="preserve">must </w:t>
      </w:r>
      <w:r>
        <w:rPr>
          <w:rFonts w:ascii="Calibri" w:hAnsi="Calibri"/>
        </w:rPr>
        <w:t xml:space="preserve">be reduced.  Nucor acknowledges, however, that several parties support FirstEnergy’s </w:t>
      </w:r>
      <w:r w:rsidR="00B90228">
        <w:rPr>
          <w:rFonts w:ascii="Calibri" w:hAnsi="Calibri"/>
        </w:rPr>
        <w:t xml:space="preserve">proposal </w:t>
      </w:r>
      <w:r>
        <w:rPr>
          <w:rFonts w:ascii="Calibri" w:hAnsi="Calibri"/>
        </w:rPr>
        <w:t xml:space="preserve">to step away from the CSP role.  If the Commission </w:t>
      </w:r>
      <w:r w:rsidR="002813AD">
        <w:rPr>
          <w:rFonts w:ascii="Calibri" w:hAnsi="Calibri"/>
        </w:rPr>
        <w:t xml:space="preserve">ultimately </w:t>
      </w:r>
      <w:r>
        <w:rPr>
          <w:rFonts w:ascii="Calibri" w:hAnsi="Calibri"/>
        </w:rPr>
        <w:t>agrees that FirstEnergy should no longer serve as the CSP, then Nucor would support the OEG/OELC alternative Rider ELR proposal.</w:t>
      </w:r>
      <w:r>
        <w:rPr>
          <w:rStyle w:val="FootnoteReference"/>
          <w:rFonts w:ascii="Calibri" w:hAnsi="Calibri"/>
        </w:rPr>
        <w:footnoteReference w:id="76"/>
      </w:r>
    </w:p>
    <w:p w14:paraId="55B53D81" w14:textId="099D02CC" w:rsidR="006D7935" w:rsidRDefault="006D7935" w:rsidP="00DC4D5A">
      <w:pPr>
        <w:spacing w:line="480" w:lineRule="auto"/>
        <w:jc w:val="both"/>
        <w:rPr>
          <w:rFonts w:ascii="Calibri" w:hAnsi="Calibri"/>
        </w:rPr>
      </w:pPr>
      <w:r>
        <w:rPr>
          <w:rFonts w:ascii="Calibri" w:hAnsi="Calibri"/>
        </w:rPr>
        <w:tab/>
        <w:t xml:space="preserve">The OEG/OELC alternative proposal includes several features that make the proposal a reasonable compromise among the various </w:t>
      </w:r>
      <w:r w:rsidR="00361713">
        <w:rPr>
          <w:rFonts w:ascii="Calibri" w:hAnsi="Calibri"/>
        </w:rPr>
        <w:t xml:space="preserve">positions </w:t>
      </w:r>
      <w:r>
        <w:rPr>
          <w:rFonts w:ascii="Calibri" w:hAnsi="Calibri"/>
        </w:rPr>
        <w:t>on Rider ELR in this case.  The ELR credit would be reduced by $1 in the first year of the ESP, providing immediate program cost savings.  Each year thereafter, the credit would be reduced by $1, until the credit reaches $7/kW-month in year four of the ESP.  From that point on, the credit would remain at $7/kW-month.</w:t>
      </w:r>
      <w:r w:rsidR="00361713">
        <w:rPr>
          <w:rStyle w:val="FootnoteReference"/>
          <w:rFonts w:ascii="Calibri" w:hAnsi="Calibri"/>
        </w:rPr>
        <w:footnoteReference w:id="77"/>
      </w:r>
      <w:r w:rsidR="0080668C">
        <w:rPr>
          <w:rFonts w:ascii="Calibri" w:hAnsi="Calibri"/>
        </w:rPr>
        <w:t xml:space="preserve">  This credit proposal would significantly mitigate rate shock</w:t>
      </w:r>
      <w:r w:rsidR="0036793C">
        <w:rPr>
          <w:rFonts w:ascii="Calibri" w:hAnsi="Calibri"/>
        </w:rPr>
        <w:t xml:space="preserve"> and program attrition</w:t>
      </w:r>
      <w:r w:rsidR="0080668C">
        <w:rPr>
          <w:rFonts w:ascii="Calibri" w:hAnsi="Calibri"/>
        </w:rPr>
        <w:t xml:space="preserve"> concerns associated with more drastic cuts in the credi</w:t>
      </w:r>
      <w:r w:rsidR="0036793C">
        <w:rPr>
          <w:rFonts w:ascii="Calibri" w:hAnsi="Calibri"/>
        </w:rPr>
        <w:t>t.</w:t>
      </w:r>
    </w:p>
    <w:p w14:paraId="49144FC1" w14:textId="6C830BF9" w:rsidR="006D7935" w:rsidRDefault="006D7935" w:rsidP="00DC4D5A">
      <w:pPr>
        <w:spacing w:line="480" w:lineRule="auto"/>
        <w:jc w:val="both"/>
        <w:rPr>
          <w:rFonts w:ascii="Calibri" w:hAnsi="Calibri"/>
        </w:rPr>
      </w:pPr>
      <w:r>
        <w:rPr>
          <w:rFonts w:ascii="Calibri" w:hAnsi="Calibri"/>
        </w:rPr>
        <w:lastRenderedPageBreak/>
        <w:tab/>
        <w:t>FirstEnergy would remain the CSP for the first year of ESP V, with 100% of any PJM revenue being credited back to customers.  After that, FirstEnergy would no longer serve as the CSP, and customers would have the option to participate in PJM.  This approach is reasonable because it would avoid complications associated with FirstEnergy immediately relinquishing the CSP role at the start of ESP V.</w:t>
      </w:r>
      <w:r>
        <w:rPr>
          <w:rStyle w:val="FootnoteReference"/>
          <w:rFonts w:ascii="Calibri" w:hAnsi="Calibri"/>
        </w:rPr>
        <w:footnoteReference w:id="78"/>
      </w:r>
      <w:r w:rsidR="00CE7092">
        <w:rPr>
          <w:rFonts w:ascii="Calibri" w:hAnsi="Calibri"/>
        </w:rPr>
        <w:t xml:space="preserve">  And the opportunity for ELR customers to participate directly in PJM and retain any associated PJM revenues could help mitigate the impact of the reduction in the ELR credits.</w:t>
      </w:r>
    </w:p>
    <w:p w14:paraId="3A6DD1AD" w14:textId="77777777" w:rsidR="00F273DD" w:rsidRDefault="00CE7092" w:rsidP="00DC4D5A">
      <w:pPr>
        <w:spacing w:line="480" w:lineRule="auto"/>
        <w:jc w:val="both"/>
        <w:rPr>
          <w:rFonts w:ascii="Calibri" w:hAnsi="Calibri"/>
        </w:rPr>
      </w:pPr>
      <w:r>
        <w:rPr>
          <w:rFonts w:ascii="Calibri" w:hAnsi="Calibri"/>
        </w:rPr>
        <w:tab/>
        <w:t>The OEG/OELC alternative recommendation provides for new customer expansion in each of the first five years of the ESP, opening the program to more participants and expanding the reliability and economic development/job retention benefits of the program.</w:t>
      </w:r>
      <w:r w:rsidR="00B171A0">
        <w:rPr>
          <w:rFonts w:ascii="Calibri" w:hAnsi="Calibri"/>
        </w:rPr>
        <w:t xml:space="preserve">  ELR customers would remain subject to unlimited interruptions for transmission and distribution emergencies, ensuring that FirstEnergy has maximum flexibility to use Rider ELR load as necessary to address reliability issues.</w:t>
      </w:r>
    </w:p>
    <w:p w14:paraId="17723863" w14:textId="46929E38" w:rsidR="0027453D" w:rsidRDefault="00DB47DE" w:rsidP="0027453D">
      <w:pPr>
        <w:spacing w:line="480" w:lineRule="auto"/>
        <w:ind w:firstLine="720"/>
        <w:jc w:val="both"/>
        <w:rPr>
          <w:rFonts w:ascii="Calibri" w:hAnsi="Calibri"/>
        </w:rPr>
      </w:pPr>
      <w:r>
        <w:rPr>
          <w:rFonts w:ascii="Calibri" w:hAnsi="Calibri"/>
        </w:rPr>
        <w:t>Aside from the ECE energy penalty,</w:t>
      </w:r>
      <w:r w:rsidR="0018656B" w:rsidRPr="0018656B">
        <w:rPr>
          <w:rStyle w:val="FootnoteReference"/>
          <w:rFonts w:ascii="Calibri" w:hAnsi="Calibri"/>
        </w:rPr>
        <w:t xml:space="preserve"> </w:t>
      </w:r>
      <w:r>
        <w:rPr>
          <w:rFonts w:ascii="Calibri" w:hAnsi="Calibri"/>
        </w:rPr>
        <w:t>the current non-compliance penalties would remain in place,</w:t>
      </w:r>
      <w:r w:rsidR="00F273DD">
        <w:rPr>
          <w:rFonts w:ascii="Calibri" w:hAnsi="Calibri"/>
        </w:rPr>
        <w:t xml:space="preserve"> and ELR customers would be subject to annual performance testing.  </w:t>
      </w:r>
      <w:r w:rsidR="008E608B">
        <w:rPr>
          <w:rFonts w:ascii="Calibri" w:hAnsi="Calibri"/>
        </w:rPr>
        <w:t>T</w:t>
      </w:r>
      <w:r w:rsidR="00F273DD">
        <w:rPr>
          <w:rFonts w:ascii="Calibri" w:hAnsi="Calibri"/>
        </w:rPr>
        <w:t>hese features would</w:t>
      </w:r>
      <w:r>
        <w:rPr>
          <w:rFonts w:ascii="Calibri" w:hAnsi="Calibri"/>
        </w:rPr>
        <w:t xml:space="preserve"> help to ensure that ELR customers </w:t>
      </w:r>
      <w:r w:rsidR="008E608B">
        <w:rPr>
          <w:rFonts w:ascii="Calibri" w:hAnsi="Calibri"/>
        </w:rPr>
        <w:t xml:space="preserve">receive timely notice of the need for an interruption, and that they will </w:t>
      </w:r>
      <w:r>
        <w:rPr>
          <w:rFonts w:ascii="Calibri" w:hAnsi="Calibri"/>
        </w:rPr>
        <w:t xml:space="preserve">respond when they </w:t>
      </w:r>
      <w:proofErr w:type="gramStart"/>
      <w:r>
        <w:rPr>
          <w:rFonts w:ascii="Calibri" w:hAnsi="Calibri"/>
        </w:rPr>
        <w:t>are called</w:t>
      </w:r>
      <w:proofErr w:type="gramEnd"/>
      <w:r>
        <w:rPr>
          <w:rFonts w:ascii="Calibri" w:hAnsi="Calibri"/>
        </w:rPr>
        <w:t xml:space="preserve"> upon to interrupt</w:t>
      </w:r>
      <w:r w:rsidR="008E608B">
        <w:rPr>
          <w:rFonts w:ascii="Calibri" w:hAnsi="Calibri"/>
        </w:rPr>
        <w:t xml:space="preserve"> in order to help address a system emergency</w:t>
      </w:r>
      <w:r>
        <w:rPr>
          <w:rFonts w:ascii="Calibri" w:hAnsi="Calibri"/>
        </w:rPr>
        <w:t>.</w:t>
      </w:r>
      <w:r w:rsidR="0018656B">
        <w:rPr>
          <w:rFonts w:ascii="Calibri" w:hAnsi="Calibri"/>
        </w:rPr>
        <w:t xml:space="preserve"> </w:t>
      </w:r>
      <w:r w:rsidR="0027453D">
        <w:rPr>
          <w:rFonts w:ascii="Calibri" w:hAnsi="Calibri"/>
        </w:rPr>
        <w:t xml:space="preserve">  </w:t>
      </w:r>
    </w:p>
    <w:p w14:paraId="7B3A5E48" w14:textId="40C83E6A" w:rsidR="0027453D" w:rsidRDefault="00F273DD" w:rsidP="0027453D">
      <w:pPr>
        <w:spacing w:line="480" w:lineRule="auto"/>
        <w:ind w:firstLine="720"/>
        <w:jc w:val="both"/>
        <w:rPr>
          <w:rFonts w:ascii="Calibri" w:hAnsi="Calibri"/>
        </w:rPr>
      </w:pPr>
      <w:r>
        <w:rPr>
          <w:rFonts w:ascii="Calibri" w:hAnsi="Calibri"/>
        </w:rPr>
        <w:t xml:space="preserve">Finally, the OEG/OELC proposal would </w:t>
      </w:r>
      <w:r w:rsidR="0027453D">
        <w:rPr>
          <w:rFonts w:ascii="Calibri" w:hAnsi="Calibri"/>
        </w:rPr>
        <w:t xml:space="preserve">adopt Staff’s proposed modification to the ELR credit cost recovery mechanism, consolidating cost recovery in Rider EDR and allowing for the </w:t>
      </w:r>
      <w:r w:rsidR="0027453D">
        <w:rPr>
          <w:rFonts w:ascii="Calibri" w:hAnsi="Calibri"/>
        </w:rPr>
        <w:lastRenderedPageBreak/>
        <w:t>elimination of Rider DSE</w:t>
      </w:r>
      <w:r w:rsidR="0018656B">
        <w:rPr>
          <w:rFonts w:ascii="Calibri" w:hAnsi="Calibri"/>
        </w:rPr>
        <w:t>, thereby simplifying FirstEnergy’s rate structure</w:t>
      </w:r>
      <w:r w:rsidR="0027453D">
        <w:rPr>
          <w:rFonts w:ascii="Calibri" w:hAnsi="Calibri"/>
        </w:rPr>
        <w:t xml:space="preserve">.  At the hearing, Witness Healey confirmed that the proposal to recover costs of the Rider ELR credits through Rider EDR was not intended to imply that Rider ELR provided only an economic development benefit and </w:t>
      </w:r>
      <w:r w:rsidR="008E608B">
        <w:rPr>
          <w:rFonts w:ascii="Calibri" w:hAnsi="Calibri"/>
        </w:rPr>
        <w:t>agreed</w:t>
      </w:r>
      <w:r w:rsidR="0027453D">
        <w:rPr>
          <w:rFonts w:ascii="Calibri" w:hAnsi="Calibri"/>
        </w:rPr>
        <w:t xml:space="preserve"> that Rider ELR provides reliability benefits as well.</w:t>
      </w:r>
      <w:r w:rsidR="0027453D">
        <w:rPr>
          <w:rStyle w:val="FootnoteReference"/>
          <w:rFonts w:ascii="Calibri" w:hAnsi="Calibri"/>
        </w:rPr>
        <w:footnoteReference w:id="79"/>
      </w:r>
    </w:p>
    <w:p w14:paraId="0393A652" w14:textId="48BD8448" w:rsidR="00420A79" w:rsidRDefault="0027453D" w:rsidP="0027453D">
      <w:pPr>
        <w:spacing w:line="480" w:lineRule="auto"/>
        <w:ind w:firstLine="720"/>
        <w:jc w:val="both"/>
        <w:rPr>
          <w:rFonts w:ascii="Calibri" w:hAnsi="Calibri"/>
        </w:rPr>
      </w:pPr>
      <w:r>
        <w:rPr>
          <w:rFonts w:ascii="Calibri" w:hAnsi="Calibri"/>
        </w:rPr>
        <w:t xml:space="preserve">In summary, the OEG/OELC proposal is </w:t>
      </w:r>
      <w:r w:rsidR="00916492">
        <w:rPr>
          <w:rFonts w:ascii="Calibri" w:hAnsi="Calibri"/>
        </w:rPr>
        <w:t xml:space="preserve">a </w:t>
      </w:r>
      <w:r>
        <w:rPr>
          <w:rFonts w:ascii="Calibri" w:hAnsi="Calibri"/>
        </w:rPr>
        <w:t>reasonable proposal that resolves all of the key issues concerning Rider ELR in this case and represents a fair compromise among the various positions in this case.</w:t>
      </w:r>
      <w:r w:rsidR="006A078B">
        <w:rPr>
          <w:rFonts w:ascii="Calibri" w:hAnsi="Calibri"/>
        </w:rPr>
        <w:t xml:space="preserve">  Assuming the Commission decides FirstEnergy should no longer serve as the CSP for the ELR program, Nucor would </w:t>
      </w:r>
      <w:r w:rsidR="00417F9E">
        <w:rPr>
          <w:rFonts w:ascii="Calibri" w:hAnsi="Calibri"/>
        </w:rPr>
        <w:t>support</w:t>
      </w:r>
      <w:r w:rsidR="006A078B">
        <w:rPr>
          <w:rFonts w:ascii="Calibri" w:hAnsi="Calibri"/>
        </w:rPr>
        <w:t xml:space="preserve"> the adoption of the OEG/OELC alternative proposal.</w:t>
      </w:r>
    </w:p>
    <w:p w14:paraId="17678526" w14:textId="5D0A9DD4" w:rsidR="00CE7092" w:rsidRPr="00420A79" w:rsidRDefault="00420A79" w:rsidP="002B6DAC">
      <w:pPr>
        <w:pStyle w:val="Heading2"/>
        <w:ind w:firstLine="720"/>
      </w:pPr>
      <w:bookmarkStart w:id="35" w:name="_Toc158284302"/>
      <w:bookmarkStart w:id="36" w:name="_Toc158363492"/>
      <w:r w:rsidRPr="00420A79">
        <w:t>B.</w:t>
      </w:r>
      <w:r w:rsidRPr="00420A79">
        <w:tab/>
        <w:t>Rider NMB</w:t>
      </w:r>
      <w:bookmarkEnd w:id="35"/>
      <w:bookmarkEnd w:id="36"/>
      <w:r w:rsidR="007926CC">
        <w:fldChar w:fldCharType="begin"/>
      </w:r>
      <w:r w:rsidR="007926CC">
        <w:instrText xml:space="preserve"> TC "</w:instrText>
      </w:r>
      <w:bookmarkStart w:id="37" w:name="_Toc158207347"/>
      <w:r w:rsidR="007926CC" w:rsidRPr="0097473B">
        <w:instrText>B.</w:instrText>
      </w:r>
      <w:r w:rsidR="007926CC" w:rsidRPr="0097473B">
        <w:tab/>
        <w:instrText>Rider NMB</w:instrText>
      </w:r>
      <w:bookmarkEnd w:id="37"/>
      <w:r w:rsidR="007926CC">
        <w:instrText xml:space="preserve">" \f C \l "2" </w:instrText>
      </w:r>
      <w:r w:rsidR="007926CC">
        <w:fldChar w:fldCharType="end"/>
      </w:r>
      <w:r w:rsidR="0027453D" w:rsidRPr="00420A79">
        <w:t xml:space="preserve"> </w:t>
      </w:r>
    </w:p>
    <w:p w14:paraId="6D111FE4" w14:textId="73C016A4" w:rsidR="00420A79" w:rsidRPr="00526B00" w:rsidRDefault="00420A79" w:rsidP="002B6DAC">
      <w:pPr>
        <w:pStyle w:val="Heading3"/>
        <w:ind w:left="2160" w:hanging="720"/>
      </w:pPr>
      <w:bookmarkStart w:id="38" w:name="_Toc158284303"/>
      <w:bookmarkStart w:id="39" w:name="_Toc158363493"/>
      <w:r w:rsidRPr="00526B00">
        <w:t>1.</w:t>
      </w:r>
      <w:r w:rsidRPr="00526B00">
        <w:tab/>
        <w:t>There is broad support for NSPL pricing for transmission</w:t>
      </w:r>
      <w:bookmarkEnd w:id="38"/>
      <w:r w:rsidR="006523DE">
        <w:t xml:space="preserve"> cost recovery</w:t>
      </w:r>
      <w:bookmarkEnd w:id="39"/>
      <w:r w:rsidR="007926CC">
        <w:fldChar w:fldCharType="begin"/>
      </w:r>
      <w:r w:rsidR="007926CC">
        <w:instrText xml:space="preserve"> TC "</w:instrText>
      </w:r>
      <w:bookmarkStart w:id="40" w:name="_Toc158207348"/>
      <w:r w:rsidR="007926CC" w:rsidRPr="00303F70">
        <w:instrText>1.</w:instrText>
      </w:r>
      <w:r w:rsidR="007926CC" w:rsidRPr="00303F70">
        <w:tab/>
        <w:instrText>There is broad support for at least an option for NSPL pricing for transmission</w:instrText>
      </w:r>
      <w:bookmarkEnd w:id="40"/>
      <w:r w:rsidR="007926CC">
        <w:instrText xml:space="preserve">" \f C \l "3" </w:instrText>
      </w:r>
      <w:r w:rsidR="007926CC">
        <w:fldChar w:fldCharType="end"/>
      </w:r>
    </w:p>
    <w:p w14:paraId="6376B42F" w14:textId="32B0F185" w:rsidR="00420A79" w:rsidRPr="00420A79" w:rsidRDefault="001E0185" w:rsidP="00420A79">
      <w:pPr>
        <w:spacing w:line="480" w:lineRule="auto"/>
        <w:ind w:firstLine="720"/>
        <w:jc w:val="both"/>
        <w:rPr>
          <w:rFonts w:asciiTheme="minorHAnsi" w:hAnsiTheme="minorHAnsi" w:cstheme="minorHAnsi"/>
          <w:szCs w:val="24"/>
        </w:rPr>
      </w:pPr>
      <w:r>
        <w:rPr>
          <w:rFonts w:asciiTheme="minorHAnsi" w:hAnsiTheme="minorHAnsi" w:cstheme="minorHAnsi"/>
          <w:szCs w:val="24"/>
        </w:rPr>
        <w:t xml:space="preserve">In defending </w:t>
      </w:r>
      <w:r w:rsidR="00CB0785">
        <w:rPr>
          <w:rFonts w:asciiTheme="minorHAnsi" w:hAnsiTheme="minorHAnsi" w:cstheme="minorHAnsi"/>
          <w:szCs w:val="24"/>
        </w:rPr>
        <w:t>its NMB</w:t>
      </w:r>
      <w:r w:rsidR="006523DE">
        <w:rPr>
          <w:rFonts w:asciiTheme="minorHAnsi" w:hAnsiTheme="minorHAnsi" w:cstheme="minorHAnsi"/>
          <w:szCs w:val="24"/>
        </w:rPr>
        <w:t xml:space="preserve"> </w:t>
      </w:r>
      <w:r w:rsidR="00CB0785">
        <w:rPr>
          <w:rFonts w:asciiTheme="minorHAnsi" w:hAnsiTheme="minorHAnsi" w:cstheme="minorHAnsi"/>
          <w:szCs w:val="24"/>
        </w:rPr>
        <w:t xml:space="preserve">2 proposal, </w:t>
      </w:r>
      <w:r w:rsidR="00420A79" w:rsidRPr="00420A79">
        <w:rPr>
          <w:rFonts w:asciiTheme="minorHAnsi" w:hAnsiTheme="minorHAnsi" w:cstheme="minorHAnsi"/>
          <w:szCs w:val="24"/>
        </w:rPr>
        <w:t xml:space="preserve">FirstEnergy highlights the benefits of NSPL pricing, which include the alignment of non-market-based services costs with cost causers, which promotes cost causation; consistency with how PJM assigns most non-market-based services costs; allowing customers the opportunity to manage their transmission costs by controlling their NSPLs, which could reduce overall transmission costs; </w:t>
      </w:r>
      <w:r w:rsidR="00A836E3" w:rsidRPr="00420A79">
        <w:rPr>
          <w:rFonts w:asciiTheme="minorHAnsi" w:hAnsiTheme="minorHAnsi" w:cstheme="minorHAnsi"/>
          <w:szCs w:val="24"/>
        </w:rPr>
        <w:t>incentiviz</w:t>
      </w:r>
      <w:r w:rsidR="00A836E3">
        <w:rPr>
          <w:rFonts w:asciiTheme="minorHAnsi" w:hAnsiTheme="minorHAnsi" w:cstheme="minorHAnsi"/>
          <w:szCs w:val="24"/>
        </w:rPr>
        <w:t>ing</w:t>
      </w:r>
      <w:r w:rsidR="00A836E3" w:rsidRPr="00420A79">
        <w:rPr>
          <w:rFonts w:asciiTheme="minorHAnsi" w:hAnsiTheme="minorHAnsi" w:cstheme="minorHAnsi"/>
          <w:szCs w:val="24"/>
        </w:rPr>
        <w:t xml:space="preserve"> </w:t>
      </w:r>
      <w:r w:rsidR="00420A79" w:rsidRPr="00420A79">
        <w:rPr>
          <w:rFonts w:asciiTheme="minorHAnsi" w:hAnsiTheme="minorHAnsi" w:cstheme="minorHAnsi"/>
          <w:szCs w:val="24"/>
        </w:rPr>
        <w:t>customers to reduce usage during peak periods; and providing greater flexibility by allowing customers to switch between generation supply shopping and returning to the SSO.</w:t>
      </w:r>
      <w:r w:rsidR="00420A79" w:rsidRPr="00420A79">
        <w:rPr>
          <w:rStyle w:val="FootnoteReference"/>
          <w:rFonts w:asciiTheme="minorHAnsi" w:hAnsiTheme="minorHAnsi" w:cstheme="minorHAnsi"/>
          <w:szCs w:val="24"/>
        </w:rPr>
        <w:footnoteReference w:id="80"/>
      </w:r>
    </w:p>
    <w:p w14:paraId="6FE2CAC9" w14:textId="3035D278" w:rsidR="00DB43EB" w:rsidRDefault="00CB0785" w:rsidP="00CB0785">
      <w:pPr>
        <w:spacing w:line="480" w:lineRule="auto"/>
        <w:ind w:firstLine="720"/>
        <w:jc w:val="both"/>
        <w:rPr>
          <w:rFonts w:asciiTheme="minorHAnsi" w:hAnsiTheme="minorHAnsi" w:cstheme="minorHAnsi"/>
          <w:szCs w:val="24"/>
        </w:rPr>
      </w:pPr>
      <w:r>
        <w:rPr>
          <w:rFonts w:asciiTheme="minorHAnsi" w:hAnsiTheme="minorHAnsi" w:cstheme="minorHAnsi"/>
          <w:szCs w:val="24"/>
        </w:rPr>
        <w:t>Although the parties have different positions on FirstEnergy’s NMB</w:t>
      </w:r>
      <w:r w:rsidR="005171EA">
        <w:rPr>
          <w:rFonts w:asciiTheme="minorHAnsi" w:hAnsiTheme="minorHAnsi" w:cstheme="minorHAnsi"/>
          <w:szCs w:val="24"/>
        </w:rPr>
        <w:t xml:space="preserve"> </w:t>
      </w:r>
      <w:r>
        <w:rPr>
          <w:rFonts w:asciiTheme="minorHAnsi" w:hAnsiTheme="minorHAnsi" w:cstheme="minorHAnsi"/>
          <w:szCs w:val="24"/>
        </w:rPr>
        <w:t xml:space="preserve">2 </w:t>
      </w:r>
      <w:proofErr w:type="gramStart"/>
      <w:r>
        <w:rPr>
          <w:rFonts w:asciiTheme="minorHAnsi" w:hAnsiTheme="minorHAnsi" w:cstheme="minorHAnsi"/>
          <w:szCs w:val="24"/>
        </w:rPr>
        <w:t>proposal</w:t>
      </w:r>
      <w:proofErr w:type="gramEnd"/>
      <w:r>
        <w:rPr>
          <w:rFonts w:asciiTheme="minorHAnsi" w:hAnsiTheme="minorHAnsi" w:cstheme="minorHAnsi"/>
          <w:szCs w:val="24"/>
        </w:rPr>
        <w:t xml:space="preserve">, there appears to be broad agreement among the parties about the benefits of NSPL pricing.  </w:t>
      </w:r>
      <w:r w:rsidR="00420A79" w:rsidRPr="00420A79">
        <w:rPr>
          <w:rFonts w:asciiTheme="minorHAnsi" w:hAnsiTheme="minorHAnsi" w:cstheme="minorHAnsi"/>
          <w:szCs w:val="24"/>
        </w:rPr>
        <w:t xml:space="preserve">The NRG </w:t>
      </w:r>
      <w:r w:rsidR="00420A79" w:rsidRPr="00420A79">
        <w:rPr>
          <w:rFonts w:asciiTheme="minorHAnsi" w:hAnsiTheme="minorHAnsi" w:cstheme="minorHAnsi"/>
          <w:szCs w:val="24"/>
        </w:rPr>
        <w:lastRenderedPageBreak/>
        <w:t>Retail Companies</w:t>
      </w:r>
      <w:r>
        <w:rPr>
          <w:rFonts w:asciiTheme="minorHAnsi" w:hAnsiTheme="minorHAnsi" w:cstheme="minorHAnsi"/>
          <w:szCs w:val="24"/>
        </w:rPr>
        <w:t>,</w:t>
      </w:r>
      <w:r w:rsidR="00420A79" w:rsidRPr="00420A79">
        <w:rPr>
          <w:rStyle w:val="FootnoteReference"/>
          <w:rFonts w:asciiTheme="minorHAnsi" w:hAnsiTheme="minorHAnsi" w:cstheme="minorHAnsi"/>
          <w:szCs w:val="24"/>
        </w:rPr>
        <w:footnoteReference w:id="81"/>
      </w:r>
      <w:r>
        <w:rPr>
          <w:rFonts w:asciiTheme="minorHAnsi" w:hAnsiTheme="minorHAnsi" w:cstheme="minorHAnsi"/>
          <w:szCs w:val="24"/>
        </w:rPr>
        <w:t xml:space="preserve"> for example,</w:t>
      </w:r>
      <w:r w:rsidR="00DB43EB">
        <w:rPr>
          <w:rFonts w:asciiTheme="minorHAnsi" w:hAnsiTheme="minorHAnsi" w:cstheme="minorHAnsi"/>
          <w:szCs w:val="24"/>
        </w:rPr>
        <w:t xml:space="preserve">  observe t</w:t>
      </w:r>
      <w:r w:rsidR="00420A79" w:rsidRPr="00420A79">
        <w:rPr>
          <w:rFonts w:asciiTheme="minorHAnsi" w:hAnsiTheme="minorHAnsi" w:cstheme="minorHAnsi"/>
          <w:szCs w:val="24"/>
        </w:rPr>
        <w:t xml:space="preserve">hat </w:t>
      </w:r>
      <w:r w:rsidR="00DB43EB">
        <w:rPr>
          <w:rFonts w:asciiTheme="minorHAnsi" w:hAnsiTheme="minorHAnsi" w:cstheme="minorHAnsi"/>
          <w:szCs w:val="24"/>
        </w:rPr>
        <w:t>NSPL pricing</w:t>
      </w:r>
      <w:r w:rsidR="00420A79" w:rsidRPr="00420A79">
        <w:rPr>
          <w:rFonts w:asciiTheme="minorHAnsi" w:hAnsiTheme="minorHAnsi" w:cstheme="minorHAnsi"/>
          <w:szCs w:val="24"/>
        </w:rPr>
        <w:t xml:space="preserve"> give</w:t>
      </w:r>
      <w:r w:rsidR="00DB43EB">
        <w:rPr>
          <w:rFonts w:asciiTheme="minorHAnsi" w:hAnsiTheme="minorHAnsi" w:cstheme="minorHAnsi"/>
          <w:szCs w:val="24"/>
        </w:rPr>
        <w:t>s</w:t>
      </w:r>
      <w:r w:rsidR="00420A79" w:rsidRPr="00420A79">
        <w:rPr>
          <w:rFonts w:asciiTheme="minorHAnsi" w:hAnsiTheme="minorHAnsi" w:cstheme="minorHAnsi"/>
          <w:szCs w:val="24"/>
        </w:rPr>
        <w:t xml:space="preserve"> customers better control over their usage and promotes cost causation principles.</w:t>
      </w:r>
      <w:r w:rsidR="00420A79" w:rsidRPr="00420A79">
        <w:rPr>
          <w:rStyle w:val="FootnoteReference"/>
          <w:rFonts w:asciiTheme="minorHAnsi" w:hAnsiTheme="minorHAnsi" w:cstheme="minorHAnsi"/>
          <w:szCs w:val="24"/>
        </w:rPr>
        <w:footnoteReference w:id="82"/>
      </w:r>
      <w:r w:rsidR="005171EA">
        <w:rPr>
          <w:rFonts w:asciiTheme="minorHAnsi" w:hAnsiTheme="minorHAnsi" w:cstheme="minorHAnsi"/>
          <w:szCs w:val="24"/>
        </w:rPr>
        <w:t xml:space="preserve"> </w:t>
      </w:r>
      <w:r w:rsidR="00420A79" w:rsidRPr="00420A79">
        <w:rPr>
          <w:rFonts w:asciiTheme="minorHAnsi" w:hAnsiTheme="minorHAnsi" w:cstheme="minorHAnsi"/>
          <w:szCs w:val="24"/>
        </w:rPr>
        <w:t xml:space="preserve"> OEG agrees that FirstEnergy’s Rider NMB proposal is “reasonable in concept” because Rider NMB rates would be set at the cost </w:t>
      </w:r>
      <w:r w:rsidR="00DB43EB">
        <w:rPr>
          <w:rFonts w:asciiTheme="minorHAnsi" w:hAnsiTheme="minorHAnsi" w:cstheme="minorHAnsi"/>
          <w:szCs w:val="24"/>
        </w:rPr>
        <w:t>FirstEnergy</w:t>
      </w:r>
      <w:r w:rsidR="00420A79" w:rsidRPr="00420A79">
        <w:rPr>
          <w:rFonts w:asciiTheme="minorHAnsi" w:hAnsiTheme="minorHAnsi" w:cstheme="minorHAnsi"/>
          <w:szCs w:val="24"/>
        </w:rPr>
        <w:t xml:space="preserve"> pay</w:t>
      </w:r>
      <w:r w:rsidR="00DB43EB">
        <w:rPr>
          <w:rFonts w:asciiTheme="minorHAnsi" w:hAnsiTheme="minorHAnsi" w:cstheme="minorHAnsi"/>
          <w:szCs w:val="24"/>
        </w:rPr>
        <w:t>s</w:t>
      </w:r>
      <w:r w:rsidR="00420A79" w:rsidRPr="00420A79">
        <w:rPr>
          <w:rFonts w:asciiTheme="minorHAnsi" w:hAnsiTheme="minorHAnsi" w:cstheme="minorHAnsi"/>
          <w:szCs w:val="24"/>
        </w:rPr>
        <w:t xml:space="preserve"> for transmission service for commercial and industrial customers with advanced or interval meters, who will be billed transmission service based on their individual NSPLs.</w:t>
      </w:r>
      <w:r w:rsidR="00420A79" w:rsidRPr="00420A79">
        <w:rPr>
          <w:rStyle w:val="FootnoteReference"/>
          <w:rFonts w:asciiTheme="minorHAnsi" w:hAnsiTheme="minorHAnsi" w:cstheme="minorHAnsi"/>
          <w:szCs w:val="24"/>
        </w:rPr>
        <w:footnoteReference w:id="83"/>
      </w:r>
      <w:r w:rsidR="00420A79" w:rsidRPr="00420A79">
        <w:rPr>
          <w:rFonts w:asciiTheme="minorHAnsi" w:hAnsiTheme="minorHAnsi" w:cstheme="minorHAnsi"/>
          <w:szCs w:val="24"/>
        </w:rPr>
        <w:t xml:space="preserve"> </w:t>
      </w:r>
      <w:r w:rsidR="00C44F71">
        <w:rPr>
          <w:rFonts w:asciiTheme="minorHAnsi" w:hAnsiTheme="minorHAnsi" w:cstheme="minorHAnsi"/>
          <w:szCs w:val="24"/>
        </w:rPr>
        <w:t xml:space="preserve"> </w:t>
      </w:r>
      <w:r w:rsidR="00420A79" w:rsidRPr="00420A79">
        <w:rPr>
          <w:rFonts w:asciiTheme="minorHAnsi" w:hAnsiTheme="minorHAnsi" w:cstheme="minorHAnsi"/>
          <w:szCs w:val="24"/>
        </w:rPr>
        <w:t xml:space="preserve">Billing based on NSPL sends appropriate price signals to participating customers, giving those customers the ability to adjust their usage to </w:t>
      </w:r>
      <w:r w:rsidR="000438B7">
        <w:rPr>
          <w:rFonts w:asciiTheme="minorHAnsi" w:hAnsiTheme="minorHAnsi" w:cstheme="minorHAnsi"/>
          <w:szCs w:val="24"/>
        </w:rPr>
        <w:t>respond</w:t>
      </w:r>
      <w:r w:rsidR="000438B7" w:rsidRPr="00420A79">
        <w:rPr>
          <w:rFonts w:asciiTheme="minorHAnsi" w:hAnsiTheme="minorHAnsi" w:cstheme="minorHAnsi"/>
          <w:szCs w:val="24"/>
        </w:rPr>
        <w:t xml:space="preserve"> </w:t>
      </w:r>
      <w:r w:rsidR="00420A79" w:rsidRPr="00420A79">
        <w:rPr>
          <w:rFonts w:asciiTheme="minorHAnsi" w:hAnsiTheme="minorHAnsi" w:cstheme="minorHAnsi"/>
          <w:szCs w:val="24"/>
        </w:rPr>
        <w:t>to price signals.</w:t>
      </w:r>
      <w:r w:rsidR="00420A79" w:rsidRPr="00420A79">
        <w:rPr>
          <w:rStyle w:val="FootnoteReference"/>
          <w:rFonts w:asciiTheme="minorHAnsi" w:hAnsiTheme="minorHAnsi" w:cstheme="minorHAnsi"/>
          <w:szCs w:val="24"/>
        </w:rPr>
        <w:footnoteReference w:id="84"/>
      </w:r>
    </w:p>
    <w:p w14:paraId="5BEB678F" w14:textId="7EFD6C2A" w:rsidR="00420A79" w:rsidRDefault="00DB43EB" w:rsidP="00CB0785">
      <w:pPr>
        <w:spacing w:line="480" w:lineRule="auto"/>
        <w:ind w:firstLine="720"/>
        <w:jc w:val="both"/>
        <w:rPr>
          <w:rFonts w:asciiTheme="minorHAnsi" w:hAnsiTheme="minorHAnsi" w:cstheme="minorHAnsi"/>
          <w:szCs w:val="24"/>
        </w:rPr>
      </w:pPr>
      <w:r>
        <w:rPr>
          <w:rFonts w:asciiTheme="minorHAnsi" w:hAnsiTheme="minorHAnsi" w:cstheme="minorHAnsi"/>
          <w:szCs w:val="24"/>
        </w:rPr>
        <w:t xml:space="preserve">Despite its </w:t>
      </w:r>
      <w:r w:rsidR="008A4C24">
        <w:rPr>
          <w:rFonts w:asciiTheme="minorHAnsi" w:hAnsiTheme="minorHAnsi" w:cstheme="minorHAnsi"/>
          <w:szCs w:val="24"/>
        </w:rPr>
        <w:t xml:space="preserve">objection to </w:t>
      </w:r>
      <w:r>
        <w:rPr>
          <w:rFonts w:asciiTheme="minorHAnsi" w:hAnsiTheme="minorHAnsi" w:cstheme="minorHAnsi"/>
          <w:szCs w:val="24"/>
        </w:rPr>
        <w:t>FirstEnergy’s NMB</w:t>
      </w:r>
      <w:r w:rsidR="005171EA">
        <w:rPr>
          <w:rFonts w:asciiTheme="minorHAnsi" w:hAnsiTheme="minorHAnsi" w:cstheme="minorHAnsi"/>
          <w:szCs w:val="24"/>
        </w:rPr>
        <w:t xml:space="preserve"> </w:t>
      </w:r>
      <w:r>
        <w:rPr>
          <w:rFonts w:asciiTheme="minorHAnsi" w:hAnsiTheme="minorHAnsi" w:cstheme="minorHAnsi"/>
          <w:szCs w:val="24"/>
        </w:rPr>
        <w:t>2 proposal,</w:t>
      </w:r>
      <w:r w:rsidR="00420A79" w:rsidRPr="00420A79">
        <w:rPr>
          <w:rFonts w:asciiTheme="minorHAnsi" w:hAnsiTheme="minorHAnsi" w:cstheme="minorHAnsi"/>
          <w:szCs w:val="24"/>
        </w:rPr>
        <w:t xml:space="preserve"> OELC also supports NSPL pricing, arguing that such pricing has the “potential to incentivize customers to reschedule, curtail, or otherwise minimize their load during the times when FirstEnergy’s ATSI transmission zone load is anticipated or forecasted to be one of the five highest hourly annual levels.”</w:t>
      </w:r>
      <w:r w:rsidR="00420A79" w:rsidRPr="00420A79">
        <w:rPr>
          <w:rStyle w:val="FootnoteReference"/>
          <w:rFonts w:asciiTheme="minorHAnsi" w:hAnsiTheme="minorHAnsi" w:cstheme="minorHAnsi"/>
          <w:szCs w:val="24"/>
        </w:rPr>
        <w:footnoteReference w:id="85"/>
      </w:r>
      <w:r w:rsidR="00420A79" w:rsidRPr="00420A79">
        <w:rPr>
          <w:rFonts w:asciiTheme="minorHAnsi" w:hAnsiTheme="minorHAnsi" w:cstheme="minorHAnsi"/>
          <w:szCs w:val="24"/>
        </w:rPr>
        <w:t xml:space="preserve"> </w:t>
      </w:r>
      <w:r w:rsidR="00C44F71">
        <w:rPr>
          <w:rFonts w:asciiTheme="minorHAnsi" w:hAnsiTheme="minorHAnsi" w:cstheme="minorHAnsi"/>
          <w:szCs w:val="24"/>
        </w:rPr>
        <w:t xml:space="preserve"> </w:t>
      </w:r>
      <w:r w:rsidR="00420A79" w:rsidRPr="00420A79">
        <w:rPr>
          <w:rFonts w:asciiTheme="minorHAnsi" w:hAnsiTheme="minorHAnsi" w:cstheme="minorHAnsi"/>
          <w:szCs w:val="24"/>
        </w:rPr>
        <w:t>In turn, these customer actions can help offset imbalances between load supply and demand, which helps increase the resilience and reliability of the grid.</w:t>
      </w:r>
      <w:r w:rsidR="00420A79" w:rsidRPr="00420A79">
        <w:rPr>
          <w:rStyle w:val="FootnoteReference"/>
          <w:rFonts w:asciiTheme="minorHAnsi" w:hAnsiTheme="minorHAnsi" w:cstheme="minorHAnsi"/>
          <w:szCs w:val="24"/>
        </w:rPr>
        <w:footnoteReference w:id="86"/>
      </w:r>
      <w:r w:rsidR="00420A79" w:rsidRPr="00420A79">
        <w:rPr>
          <w:rFonts w:asciiTheme="minorHAnsi" w:hAnsiTheme="minorHAnsi" w:cstheme="minorHAnsi"/>
          <w:szCs w:val="24"/>
        </w:rPr>
        <w:t xml:space="preserve"> </w:t>
      </w:r>
      <w:r w:rsidR="00C44F71">
        <w:rPr>
          <w:rFonts w:asciiTheme="minorHAnsi" w:hAnsiTheme="minorHAnsi" w:cstheme="minorHAnsi"/>
          <w:szCs w:val="24"/>
        </w:rPr>
        <w:t xml:space="preserve"> </w:t>
      </w:r>
      <w:r w:rsidR="00420A79" w:rsidRPr="00420A79">
        <w:rPr>
          <w:rFonts w:asciiTheme="minorHAnsi" w:hAnsiTheme="minorHAnsi" w:cstheme="minorHAnsi"/>
          <w:szCs w:val="24"/>
        </w:rPr>
        <w:t>RESA finds similar merit in NSPL pricing under Rider NMB, citing the alignment of cost with cost causation and the promotion of cost causation principles.</w:t>
      </w:r>
      <w:r w:rsidR="00420A79" w:rsidRPr="00420A79">
        <w:rPr>
          <w:rStyle w:val="FootnoteReference"/>
          <w:rFonts w:asciiTheme="minorHAnsi" w:hAnsiTheme="minorHAnsi" w:cstheme="minorHAnsi"/>
          <w:szCs w:val="24"/>
        </w:rPr>
        <w:footnoteReference w:id="87"/>
      </w:r>
      <w:r w:rsidR="00420A79" w:rsidRPr="00420A79">
        <w:rPr>
          <w:rFonts w:asciiTheme="minorHAnsi" w:hAnsiTheme="minorHAnsi" w:cstheme="minorHAnsi"/>
          <w:szCs w:val="24"/>
        </w:rPr>
        <w:t xml:space="preserve"> </w:t>
      </w:r>
      <w:r w:rsidR="00C44F71">
        <w:rPr>
          <w:rFonts w:asciiTheme="minorHAnsi" w:hAnsiTheme="minorHAnsi" w:cstheme="minorHAnsi"/>
          <w:szCs w:val="24"/>
        </w:rPr>
        <w:t xml:space="preserve"> </w:t>
      </w:r>
    </w:p>
    <w:p w14:paraId="50C0235C" w14:textId="136DC68C" w:rsidR="00D8049C" w:rsidRPr="00420A79" w:rsidRDefault="00D8049C" w:rsidP="002B6DAC">
      <w:pPr>
        <w:pStyle w:val="Heading3"/>
        <w:ind w:left="2160" w:hanging="720"/>
      </w:pPr>
      <w:bookmarkStart w:id="41" w:name="_Toc158284304"/>
      <w:bookmarkStart w:id="42" w:name="_Toc158363494"/>
      <w:r w:rsidRPr="00D8049C">
        <w:lastRenderedPageBreak/>
        <w:t>2.</w:t>
      </w:r>
      <w:r>
        <w:tab/>
      </w:r>
      <w:r w:rsidR="009B4D32">
        <w:t xml:space="preserve">As an alternative to </w:t>
      </w:r>
      <w:r w:rsidRPr="00420A79">
        <w:t>FirstEnergy’s Rider NMB</w:t>
      </w:r>
      <w:r w:rsidR="009B4D32">
        <w:t>2</w:t>
      </w:r>
      <w:r w:rsidRPr="00420A79">
        <w:t xml:space="preserve"> proposal, the Commission should </w:t>
      </w:r>
      <w:r w:rsidR="009B4D32">
        <w:t>extend the current Rider NMB Pilot Program</w:t>
      </w:r>
      <w:bookmarkEnd w:id="41"/>
      <w:bookmarkEnd w:id="42"/>
      <w:r w:rsidR="007926CC">
        <w:fldChar w:fldCharType="begin"/>
      </w:r>
      <w:r w:rsidR="007926CC">
        <w:instrText xml:space="preserve"> TC "</w:instrText>
      </w:r>
      <w:bookmarkStart w:id="43" w:name="_Toc158207349"/>
      <w:r w:rsidR="007926CC" w:rsidRPr="00434B90">
        <w:instrText>2.</w:instrText>
      </w:r>
      <w:r w:rsidR="007926CC" w:rsidRPr="00434B90">
        <w:tab/>
        <w:instrText>As an alternative to FirstEnergy’s Rider NMB2 proposal, the Commission should extend the current Rider NMB Pilot Program</w:instrText>
      </w:r>
      <w:bookmarkEnd w:id="43"/>
      <w:r w:rsidR="007926CC">
        <w:instrText xml:space="preserve">" \f C \l "3" </w:instrText>
      </w:r>
      <w:r w:rsidR="007926CC">
        <w:fldChar w:fldCharType="end"/>
      </w:r>
    </w:p>
    <w:p w14:paraId="53191BE7" w14:textId="0A543A0B" w:rsidR="001C7CA1" w:rsidRDefault="007F7E9B" w:rsidP="00420A79">
      <w:pPr>
        <w:spacing w:line="480" w:lineRule="auto"/>
        <w:ind w:firstLine="720"/>
        <w:jc w:val="both"/>
        <w:rPr>
          <w:rFonts w:asciiTheme="minorHAnsi" w:hAnsiTheme="minorHAnsi" w:cstheme="minorHAnsi"/>
          <w:szCs w:val="24"/>
        </w:rPr>
      </w:pPr>
      <w:r>
        <w:rPr>
          <w:rFonts w:asciiTheme="minorHAnsi" w:hAnsiTheme="minorHAnsi" w:cstheme="minorHAnsi"/>
          <w:szCs w:val="24"/>
        </w:rPr>
        <w:t xml:space="preserve">Like the parties referenced above, Nucor supports NSPL pricing for transmission </w:t>
      </w:r>
      <w:r w:rsidR="005171EA">
        <w:rPr>
          <w:rFonts w:asciiTheme="minorHAnsi" w:hAnsiTheme="minorHAnsi" w:cstheme="minorHAnsi"/>
          <w:szCs w:val="24"/>
        </w:rPr>
        <w:t xml:space="preserve">cost recovery </w:t>
      </w:r>
      <w:r w:rsidR="00B16492">
        <w:rPr>
          <w:rFonts w:asciiTheme="minorHAnsi" w:hAnsiTheme="minorHAnsi" w:cstheme="minorHAnsi"/>
          <w:szCs w:val="24"/>
        </w:rPr>
        <w:t>because it sends appropriate price signals, reflects cost causation, and provides customers the opportunity to respond to price signals and reduce their transmission costs.  Since FirstEnergy’s NMB</w:t>
      </w:r>
      <w:r w:rsidR="005171EA">
        <w:rPr>
          <w:rFonts w:asciiTheme="minorHAnsi" w:hAnsiTheme="minorHAnsi" w:cstheme="minorHAnsi"/>
          <w:szCs w:val="24"/>
        </w:rPr>
        <w:t xml:space="preserve"> </w:t>
      </w:r>
      <w:r w:rsidR="00B16492">
        <w:rPr>
          <w:rFonts w:asciiTheme="minorHAnsi" w:hAnsiTheme="minorHAnsi" w:cstheme="minorHAnsi"/>
          <w:szCs w:val="24"/>
        </w:rPr>
        <w:t>2 proposal incorporates the NSPL pricing approach currently employed in the Rider NMB Pilot Program, Nucor agrees with OEG that the NMB</w:t>
      </w:r>
      <w:r w:rsidR="005171EA">
        <w:rPr>
          <w:rFonts w:asciiTheme="minorHAnsi" w:hAnsiTheme="minorHAnsi" w:cstheme="minorHAnsi"/>
          <w:szCs w:val="24"/>
        </w:rPr>
        <w:t xml:space="preserve"> </w:t>
      </w:r>
      <w:r w:rsidR="00B16492">
        <w:rPr>
          <w:rFonts w:asciiTheme="minorHAnsi" w:hAnsiTheme="minorHAnsi" w:cstheme="minorHAnsi"/>
          <w:szCs w:val="24"/>
        </w:rPr>
        <w:t xml:space="preserve">2 proposal is “reasonable in concept.”  Nevertheless, Nucor recognizes </w:t>
      </w:r>
      <w:r w:rsidR="008A4C24">
        <w:rPr>
          <w:rFonts w:asciiTheme="minorHAnsi" w:hAnsiTheme="minorHAnsi" w:cstheme="minorHAnsi"/>
          <w:szCs w:val="24"/>
        </w:rPr>
        <w:t xml:space="preserve">that </w:t>
      </w:r>
      <w:r w:rsidR="005171EA">
        <w:rPr>
          <w:rFonts w:asciiTheme="minorHAnsi" w:hAnsiTheme="minorHAnsi" w:cstheme="minorHAnsi"/>
          <w:szCs w:val="24"/>
        </w:rPr>
        <w:t xml:space="preserve">certain parties have </w:t>
      </w:r>
      <w:r w:rsidR="008A4C24">
        <w:rPr>
          <w:rFonts w:asciiTheme="minorHAnsi" w:hAnsiTheme="minorHAnsi" w:cstheme="minorHAnsi"/>
          <w:szCs w:val="24"/>
        </w:rPr>
        <w:t>concerns</w:t>
      </w:r>
      <w:r w:rsidR="00B16492">
        <w:rPr>
          <w:rFonts w:asciiTheme="minorHAnsi" w:hAnsiTheme="minorHAnsi" w:cstheme="minorHAnsi"/>
          <w:szCs w:val="24"/>
        </w:rPr>
        <w:t xml:space="preserve"> in this case about the NMB</w:t>
      </w:r>
      <w:r w:rsidR="005171EA">
        <w:rPr>
          <w:rFonts w:asciiTheme="minorHAnsi" w:hAnsiTheme="minorHAnsi" w:cstheme="minorHAnsi"/>
          <w:szCs w:val="24"/>
        </w:rPr>
        <w:t xml:space="preserve"> </w:t>
      </w:r>
      <w:r w:rsidR="00B16492">
        <w:rPr>
          <w:rFonts w:asciiTheme="minorHAnsi" w:hAnsiTheme="minorHAnsi" w:cstheme="minorHAnsi"/>
          <w:szCs w:val="24"/>
        </w:rPr>
        <w:t>2 proposal</w:t>
      </w:r>
      <w:r w:rsidR="008A4C24">
        <w:rPr>
          <w:rFonts w:asciiTheme="minorHAnsi" w:hAnsiTheme="minorHAnsi" w:cstheme="minorHAnsi"/>
          <w:szCs w:val="24"/>
        </w:rPr>
        <w:t xml:space="preserve"> and possible customer rate impacts</w:t>
      </w:r>
      <w:r w:rsidR="001C7CA1">
        <w:rPr>
          <w:rFonts w:asciiTheme="minorHAnsi" w:hAnsiTheme="minorHAnsi" w:cstheme="minorHAnsi"/>
          <w:szCs w:val="24"/>
        </w:rPr>
        <w:t>.</w:t>
      </w:r>
    </w:p>
    <w:p w14:paraId="5D7ABBE1" w14:textId="4B2278DA" w:rsidR="00420A79" w:rsidRPr="00420A79" w:rsidRDefault="008A4C24" w:rsidP="00420A79">
      <w:pPr>
        <w:spacing w:line="480" w:lineRule="auto"/>
        <w:ind w:firstLine="720"/>
        <w:jc w:val="both"/>
        <w:rPr>
          <w:rFonts w:asciiTheme="minorHAnsi" w:hAnsiTheme="minorHAnsi" w:cstheme="minorHAnsi"/>
          <w:szCs w:val="24"/>
        </w:rPr>
      </w:pPr>
      <w:r>
        <w:rPr>
          <w:rFonts w:asciiTheme="minorHAnsi" w:hAnsiTheme="minorHAnsi" w:cstheme="minorHAnsi"/>
          <w:szCs w:val="24"/>
        </w:rPr>
        <w:t xml:space="preserve">Staff, for example, </w:t>
      </w:r>
      <w:r w:rsidR="00420A79" w:rsidRPr="00420A79">
        <w:rPr>
          <w:rFonts w:asciiTheme="minorHAnsi" w:hAnsiTheme="minorHAnsi" w:cstheme="minorHAnsi"/>
          <w:szCs w:val="24"/>
        </w:rPr>
        <w:t>argues that the Companies’ allocations under Rider NMB should follow PJM’s allocation, and any costs that cannot be directly billed should be allocated to each distribution utility, and each utility should allocate costs to customer classes using PJM’s allocation methods.</w:t>
      </w:r>
      <w:r w:rsidR="00420A79" w:rsidRPr="00420A79">
        <w:rPr>
          <w:rStyle w:val="FootnoteReference"/>
          <w:rFonts w:asciiTheme="minorHAnsi" w:hAnsiTheme="minorHAnsi" w:cstheme="minorHAnsi"/>
          <w:szCs w:val="24"/>
        </w:rPr>
        <w:footnoteReference w:id="88"/>
      </w:r>
      <w:r w:rsidR="00420A79" w:rsidRPr="00420A79">
        <w:rPr>
          <w:rFonts w:asciiTheme="minorHAnsi" w:hAnsiTheme="minorHAnsi" w:cstheme="minorHAnsi"/>
          <w:szCs w:val="24"/>
        </w:rPr>
        <w:t xml:space="preserve"> </w:t>
      </w:r>
      <w:r w:rsidR="00C44F71">
        <w:rPr>
          <w:rFonts w:asciiTheme="minorHAnsi" w:hAnsiTheme="minorHAnsi" w:cstheme="minorHAnsi"/>
          <w:szCs w:val="24"/>
        </w:rPr>
        <w:t xml:space="preserve"> </w:t>
      </w:r>
      <w:r w:rsidR="00420A79" w:rsidRPr="00420A79">
        <w:rPr>
          <w:rFonts w:asciiTheme="minorHAnsi" w:hAnsiTheme="minorHAnsi" w:cstheme="minorHAnsi"/>
          <w:szCs w:val="24"/>
        </w:rPr>
        <w:t>Staff argues that following PJM’s allocation will mitigate cost shifts among the distribution utilities and customer classes.</w:t>
      </w:r>
      <w:r w:rsidR="00420A79" w:rsidRPr="00420A79">
        <w:rPr>
          <w:rStyle w:val="FootnoteReference"/>
          <w:rFonts w:asciiTheme="minorHAnsi" w:hAnsiTheme="minorHAnsi" w:cstheme="minorHAnsi"/>
          <w:szCs w:val="24"/>
        </w:rPr>
        <w:footnoteReference w:id="89"/>
      </w:r>
      <w:r w:rsidR="00420A79" w:rsidRPr="00420A79">
        <w:rPr>
          <w:rFonts w:asciiTheme="minorHAnsi" w:hAnsiTheme="minorHAnsi" w:cstheme="minorHAnsi"/>
          <w:szCs w:val="24"/>
        </w:rPr>
        <w:t xml:space="preserve"> </w:t>
      </w:r>
      <w:r w:rsidR="00C44F71">
        <w:rPr>
          <w:rFonts w:asciiTheme="minorHAnsi" w:hAnsiTheme="minorHAnsi" w:cstheme="minorHAnsi"/>
          <w:szCs w:val="24"/>
        </w:rPr>
        <w:t xml:space="preserve"> </w:t>
      </w:r>
      <w:r w:rsidR="00420A79" w:rsidRPr="00420A79">
        <w:rPr>
          <w:rFonts w:asciiTheme="minorHAnsi" w:hAnsiTheme="minorHAnsi" w:cstheme="minorHAnsi"/>
          <w:szCs w:val="24"/>
        </w:rPr>
        <w:t>However, Staff caveats its recommendations, noting that Staff is uncertain how the revised allocation approach will impact customer bills.</w:t>
      </w:r>
      <w:r w:rsidR="00420A79" w:rsidRPr="00420A79">
        <w:rPr>
          <w:rStyle w:val="FootnoteReference"/>
          <w:rFonts w:asciiTheme="minorHAnsi" w:hAnsiTheme="minorHAnsi" w:cstheme="minorHAnsi"/>
          <w:szCs w:val="24"/>
        </w:rPr>
        <w:footnoteReference w:id="90"/>
      </w:r>
      <w:r w:rsidR="00420A79" w:rsidRPr="00420A79">
        <w:rPr>
          <w:rFonts w:asciiTheme="minorHAnsi" w:hAnsiTheme="minorHAnsi" w:cstheme="minorHAnsi"/>
          <w:szCs w:val="24"/>
        </w:rPr>
        <w:t xml:space="preserve"> Therefore, Staff recommends that the Companies calculate the bill impacts of Staff’s approach when the Companies make their compliance filing, and if the bill impacts are unreasonable, then the changes could be phased in over time.</w:t>
      </w:r>
      <w:r w:rsidR="00420A79" w:rsidRPr="00420A79">
        <w:rPr>
          <w:rStyle w:val="FootnoteReference"/>
          <w:rFonts w:asciiTheme="minorHAnsi" w:hAnsiTheme="minorHAnsi" w:cstheme="minorHAnsi"/>
          <w:szCs w:val="24"/>
        </w:rPr>
        <w:footnoteReference w:id="91"/>
      </w:r>
    </w:p>
    <w:p w14:paraId="1C75FB9F" w14:textId="678DD6B6" w:rsidR="00D8049C" w:rsidRDefault="00420A79" w:rsidP="00420A79">
      <w:pPr>
        <w:spacing w:line="480" w:lineRule="auto"/>
        <w:ind w:firstLine="720"/>
        <w:jc w:val="both"/>
        <w:rPr>
          <w:rFonts w:asciiTheme="minorHAnsi" w:hAnsiTheme="minorHAnsi" w:cstheme="minorHAnsi"/>
          <w:szCs w:val="24"/>
        </w:rPr>
      </w:pPr>
      <w:r w:rsidRPr="00420A79">
        <w:rPr>
          <w:rFonts w:asciiTheme="minorHAnsi" w:hAnsiTheme="minorHAnsi" w:cstheme="minorHAnsi"/>
          <w:szCs w:val="24"/>
        </w:rPr>
        <w:t xml:space="preserve">Staff </w:t>
      </w:r>
      <w:r w:rsidR="005171EA">
        <w:rPr>
          <w:rFonts w:asciiTheme="minorHAnsi" w:hAnsiTheme="minorHAnsi" w:cstheme="minorHAnsi"/>
          <w:szCs w:val="24"/>
        </w:rPr>
        <w:t xml:space="preserve">would also </w:t>
      </w:r>
      <w:r w:rsidRPr="00420A79">
        <w:rPr>
          <w:rFonts w:asciiTheme="minorHAnsi" w:hAnsiTheme="minorHAnsi" w:cstheme="minorHAnsi"/>
          <w:szCs w:val="24"/>
        </w:rPr>
        <w:t xml:space="preserve">support </w:t>
      </w:r>
      <w:r w:rsidR="005171EA">
        <w:rPr>
          <w:rFonts w:asciiTheme="minorHAnsi" w:hAnsiTheme="minorHAnsi" w:cstheme="minorHAnsi"/>
          <w:szCs w:val="24"/>
        </w:rPr>
        <w:t>eliminating</w:t>
      </w:r>
      <w:r w:rsidR="005171EA" w:rsidRPr="00420A79">
        <w:rPr>
          <w:rFonts w:asciiTheme="minorHAnsi" w:hAnsiTheme="minorHAnsi" w:cstheme="minorHAnsi"/>
          <w:szCs w:val="24"/>
        </w:rPr>
        <w:t xml:space="preserve"> </w:t>
      </w:r>
      <w:r w:rsidRPr="00420A79">
        <w:rPr>
          <w:rFonts w:asciiTheme="minorHAnsi" w:hAnsiTheme="minorHAnsi" w:cstheme="minorHAnsi"/>
          <w:szCs w:val="24"/>
        </w:rPr>
        <w:t>the Rider NMB Pilot</w:t>
      </w:r>
      <w:r w:rsidR="005171EA">
        <w:rPr>
          <w:rFonts w:asciiTheme="minorHAnsi" w:hAnsiTheme="minorHAnsi" w:cstheme="minorHAnsi"/>
          <w:szCs w:val="24"/>
        </w:rPr>
        <w:t>, but only</w:t>
      </w:r>
      <w:r w:rsidR="008A4C24">
        <w:rPr>
          <w:rFonts w:asciiTheme="minorHAnsi" w:hAnsiTheme="minorHAnsi" w:cstheme="minorHAnsi"/>
          <w:szCs w:val="24"/>
        </w:rPr>
        <w:t xml:space="preserve"> </w:t>
      </w:r>
      <w:r w:rsidR="005171EA">
        <w:rPr>
          <w:rFonts w:asciiTheme="minorHAnsi" w:hAnsiTheme="minorHAnsi" w:cstheme="minorHAnsi"/>
          <w:szCs w:val="24"/>
        </w:rPr>
        <w:t xml:space="preserve">if </w:t>
      </w:r>
      <w:r w:rsidR="008A4C24">
        <w:rPr>
          <w:rFonts w:asciiTheme="minorHAnsi" w:hAnsiTheme="minorHAnsi" w:cstheme="minorHAnsi"/>
          <w:szCs w:val="24"/>
        </w:rPr>
        <w:t xml:space="preserve">certain modifications are made to FirstEnergy’s proposed </w:t>
      </w:r>
      <w:r w:rsidRPr="00420A79">
        <w:rPr>
          <w:rFonts w:asciiTheme="minorHAnsi" w:hAnsiTheme="minorHAnsi" w:cstheme="minorHAnsi"/>
          <w:szCs w:val="24"/>
        </w:rPr>
        <w:t xml:space="preserve">NMB 2 </w:t>
      </w:r>
      <w:proofErr w:type="gramStart"/>
      <w:r w:rsidRPr="00420A79">
        <w:rPr>
          <w:rFonts w:asciiTheme="minorHAnsi" w:hAnsiTheme="minorHAnsi" w:cstheme="minorHAnsi"/>
          <w:szCs w:val="24"/>
        </w:rPr>
        <w:t>rate</w:t>
      </w:r>
      <w:proofErr w:type="gramEnd"/>
      <w:r w:rsidRPr="00420A79">
        <w:rPr>
          <w:rFonts w:asciiTheme="minorHAnsi" w:hAnsiTheme="minorHAnsi" w:cstheme="minorHAnsi"/>
          <w:szCs w:val="24"/>
        </w:rPr>
        <w:t xml:space="preserve">. </w:t>
      </w:r>
      <w:r w:rsidR="00C44F71">
        <w:rPr>
          <w:rFonts w:asciiTheme="minorHAnsi" w:hAnsiTheme="minorHAnsi" w:cstheme="minorHAnsi"/>
          <w:szCs w:val="24"/>
        </w:rPr>
        <w:t xml:space="preserve"> </w:t>
      </w:r>
      <w:r w:rsidR="008A4C24">
        <w:rPr>
          <w:rFonts w:asciiTheme="minorHAnsi" w:hAnsiTheme="minorHAnsi" w:cstheme="minorHAnsi"/>
          <w:szCs w:val="24"/>
        </w:rPr>
        <w:t xml:space="preserve">Specifically, </w:t>
      </w:r>
      <w:r w:rsidRPr="00420A79">
        <w:rPr>
          <w:rFonts w:asciiTheme="minorHAnsi" w:hAnsiTheme="minorHAnsi" w:cstheme="minorHAnsi"/>
          <w:szCs w:val="24"/>
        </w:rPr>
        <w:t xml:space="preserve">Staff proposes the following </w:t>
      </w:r>
      <w:r w:rsidRPr="00420A79">
        <w:rPr>
          <w:rFonts w:asciiTheme="minorHAnsi" w:hAnsiTheme="minorHAnsi" w:cstheme="minorHAnsi"/>
          <w:szCs w:val="24"/>
        </w:rPr>
        <w:lastRenderedPageBreak/>
        <w:t>modifications to NMB 2: (1) the Commission should not adopt a unified NMB 2 rate for all commercial and industrial customers and instead should calculate separate NMB 2 rates for each Company and each customer class</w:t>
      </w:r>
      <w:r w:rsidRPr="00420A79">
        <w:rPr>
          <w:rStyle w:val="FootnoteReference"/>
          <w:rFonts w:asciiTheme="minorHAnsi" w:hAnsiTheme="minorHAnsi" w:cstheme="minorHAnsi"/>
          <w:szCs w:val="24"/>
        </w:rPr>
        <w:footnoteReference w:id="92"/>
      </w:r>
      <w:r w:rsidR="00C44F71">
        <w:rPr>
          <w:rFonts w:asciiTheme="minorHAnsi" w:hAnsiTheme="minorHAnsi" w:cstheme="minorHAnsi"/>
          <w:szCs w:val="24"/>
        </w:rPr>
        <w:t>;</w:t>
      </w:r>
      <w:r w:rsidRPr="00420A79">
        <w:rPr>
          <w:rFonts w:asciiTheme="minorHAnsi" w:hAnsiTheme="minorHAnsi" w:cstheme="minorHAnsi"/>
          <w:szCs w:val="24"/>
        </w:rPr>
        <w:t xml:space="preserve"> (2) for the GS class, customers should have the ability to opt into the program</w:t>
      </w:r>
      <w:r w:rsidRPr="00420A79">
        <w:rPr>
          <w:rStyle w:val="FootnoteReference"/>
          <w:rFonts w:asciiTheme="minorHAnsi" w:hAnsiTheme="minorHAnsi" w:cstheme="minorHAnsi"/>
          <w:szCs w:val="24"/>
        </w:rPr>
        <w:footnoteReference w:id="93"/>
      </w:r>
      <w:r w:rsidR="00C44F71">
        <w:rPr>
          <w:rFonts w:asciiTheme="minorHAnsi" w:hAnsiTheme="minorHAnsi" w:cstheme="minorHAnsi"/>
          <w:szCs w:val="24"/>
        </w:rPr>
        <w:t>;</w:t>
      </w:r>
      <w:r w:rsidRPr="00420A79">
        <w:rPr>
          <w:rFonts w:asciiTheme="minorHAnsi" w:hAnsiTheme="minorHAnsi" w:cstheme="minorHAnsi"/>
          <w:szCs w:val="24"/>
        </w:rPr>
        <w:t xml:space="preserve"> (3) after a customer installs a new interval or smart meter, the switch to NMB 2 should not occur immediately, rather the switch should be made once a year in April to coincide with the annual rider review</w:t>
      </w:r>
      <w:r w:rsidRPr="00420A79">
        <w:rPr>
          <w:rStyle w:val="FootnoteReference"/>
          <w:rFonts w:asciiTheme="minorHAnsi" w:hAnsiTheme="minorHAnsi" w:cstheme="minorHAnsi"/>
          <w:szCs w:val="24"/>
        </w:rPr>
        <w:footnoteReference w:id="94"/>
      </w:r>
      <w:r w:rsidR="00C44F71">
        <w:rPr>
          <w:rFonts w:asciiTheme="minorHAnsi" w:hAnsiTheme="minorHAnsi" w:cstheme="minorHAnsi"/>
          <w:szCs w:val="24"/>
        </w:rPr>
        <w:t>;</w:t>
      </w:r>
      <w:r w:rsidRPr="00420A79">
        <w:rPr>
          <w:rFonts w:asciiTheme="minorHAnsi" w:hAnsiTheme="minorHAnsi" w:cstheme="minorHAnsi"/>
          <w:szCs w:val="24"/>
        </w:rPr>
        <w:t xml:space="preserve"> (4) the Companies should provide bill impacts that include actual NSPL data and Staff’s proposed allocation changes compared to current NMB rates</w:t>
      </w:r>
      <w:r w:rsidRPr="00420A79">
        <w:rPr>
          <w:rStyle w:val="FootnoteReference"/>
          <w:rFonts w:asciiTheme="minorHAnsi" w:hAnsiTheme="minorHAnsi" w:cstheme="minorHAnsi"/>
          <w:szCs w:val="24"/>
        </w:rPr>
        <w:footnoteReference w:id="95"/>
      </w:r>
      <w:r w:rsidR="00C44F71">
        <w:rPr>
          <w:rFonts w:asciiTheme="minorHAnsi" w:hAnsiTheme="minorHAnsi" w:cstheme="minorHAnsi"/>
          <w:szCs w:val="24"/>
        </w:rPr>
        <w:t>;</w:t>
      </w:r>
      <w:r w:rsidRPr="00420A79">
        <w:rPr>
          <w:rFonts w:asciiTheme="minorHAnsi" w:hAnsiTheme="minorHAnsi" w:cstheme="minorHAnsi"/>
          <w:szCs w:val="24"/>
        </w:rPr>
        <w:t xml:space="preserve"> and (5) the revised NMB 2 rates should begin in April 2025 after Staff has had an opportunity to work with the Companies to structure the mechanics of the rider before the annual filing is made.</w:t>
      </w:r>
      <w:r w:rsidRPr="00420A79">
        <w:rPr>
          <w:rStyle w:val="FootnoteReference"/>
          <w:rFonts w:asciiTheme="minorHAnsi" w:hAnsiTheme="minorHAnsi" w:cstheme="minorHAnsi"/>
          <w:szCs w:val="24"/>
        </w:rPr>
        <w:footnoteReference w:id="96"/>
      </w:r>
      <w:r w:rsidRPr="00420A79">
        <w:rPr>
          <w:rFonts w:asciiTheme="minorHAnsi" w:hAnsiTheme="minorHAnsi" w:cstheme="minorHAnsi"/>
          <w:szCs w:val="24"/>
        </w:rPr>
        <w:t xml:space="preserve"> </w:t>
      </w:r>
      <w:r w:rsidR="005171EA">
        <w:rPr>
          <w:rFonts w:asciiTheme="minorHAnsi" w:hAnsiTheme="minorHAnsi" w:cstheme="minorHAnsi"/>
          <w:szCs w:val="24"/>
        </w:rPr>
        <w:t xml:space="preserve"> If the Commission does not accept its proposed modifications, Staff recommends that the Rider NMB Pilot be continued.</w:t>
      </w:r>
      <w:r w:rsidR="005171EA">
        <w:rPr>
          <w:rStyle w:val="FootnoteReference"/>
          <w:rFonts w:asciiTheme="minorHAnsi" w:hAnsiTheme="minorHAnsi" w:cstheme="minorHAnsi"/>
          <w:szCs w:val="24"/>
        </w:rPr>
        <w:footnoteReference w:id="97"/>
      </w:r>
    </w:p>
    <w:p w14:paraId="73FE13BA" w14:textId="1D494416" w:rsidR="00997E4F" w:rsidRDefault="00420A79" w:rsidP="00420A79">
      <w:pPr>
        <w:spacing w:line="480" w:lineRule="auto"/>
        <w:ind w:firstLine="720"/>
        <w:jc w:val="both"/>
        <w:rPr>
          <w:rFonts w:asciiTheme="minorHAnsi" w:hAnsiTheme="minorHAnsi" w:cstheme="minorHAnsi"/>
          <w:szCs w:val="24"/>
        </w:rPr>
      </w:pPr>
      <w:r w:rsidRPr="00420A79">
        <w:rPr>
          <w:rFonts w:asciiTheme="minorHAnsi" w:hAnsiTheme="minorHAnsi" w:cstheme="minorHAnsi"/>
          <w:szCs w:val="24"/>
        </w:rPr>
        <w:t xml:space="preserve">OELC also </w:t>
      </w:r>
      <w:r w:rsidR="00997E4F">
        <w:rPr>
          <w:rFonts w:asciiTheme="minorHAnsi" w:hAnsiTheme="minorHAnsi" w:cstheme="minorHAnsi"/>
          <w:szCs w:val="24"/>
        </w:rPr>
        <w:t>raises concerns about the rate impacts of</w:t>
      </w:r>
      <w:r w:rsidRPr="00420A79">
        <w:rPr>
          <w:rFonts w:asciiTheme="minorHAnsi" w:hAnsiTheme="minorHAnsi" w:cstheme="minorHAnsi"/>
          <w:szCs w:val="24"/>
        </w:rPr>
        <w:t xml:space="preserve"> FirstEnergy’s NMB proposal</w:t>
      </w:r>
      <w:r w:rsidR="00997E4F">
        <w:rPr>
          <w:rFonts w:asciiTheme="minorHAnsi" w:hAnsiTheme="minorHAnsi" w:cstheme="minorHAnsi"/>
          <w:szCs w:val="24"/>
        </w:rPr>
        <w:t xml:space="preserve">, arguing that the </w:t>
      </w:r>
      <w:r w:rsidRPr="00420A79">
        <w:rPr>
          <w:rFonts w:asciiTheme="minorHAnsi" w:hAnsiTheme="minorHAnsi" w:cstheme="minorHAnsi"/>
          <w:szCs w:val="24"/>
        </w:rPr>
        <w:t>NMB 2 rate is “discriminatory, unreasonable, and would result in dramatic rate shock for many customers</w:t>
      </w:r>
      <w:r w:rsidR="00997E4F">
        <w:rPr>
          <w:rFonts w:asciiTheme="minorHAnsi" w:hAnsiTheme="minorHAnsi" w:cstheme="minorHAnsi"/>
          <w:szCs w:val="24"/>
        </w:rPr>
        <w:t>.</w:t>
      </w:r>
      <w:r w:rsidRPr="00420A79">
        <w:rPr>
          <w:rFonts w:asciiTheme="minorHAnsi" w:hAnsiTheme="minorHAnsi" w:cstheme="minorHAnsi"/>
          <w:szCs w:val="24"/>
        </w:rPr>
        <w:t>”</w:t>
      </w:r>
      <w:r w:rsidRPr="00420A79">
        <w:rPr>
          <w:rStyle w:val="FootnoteReference"/>
          <w:rFonts w:asciiTheme="minorHAnsi" w:hAnsiTheme="minorHAnsi" w:cstheme="minorHAnsi"/>
          <w:szCs w:val="24"/>
        </w:rPr>
        <w:footnoteReference w:id="98"/>
      </w:r>
      <w:r w:rsidRPr="00420A79">
        <w:rPr>
          <w:rFonts w:asciiTheme="minorHAnsi" w:hAnsiTheme="minorHAnsi" w:cstheme="minorHAnsi"/>
          <w:szCs w:val="24"/>
        </w:rPr>
        <w:t xml:space="preserve"> </w:t>
      </w:r>
      <w:r w:rsidR="00C44F71">
        <w:rPr>
          <w:rFonts w:asciiTheme="minorHAnsi" w:hAnsiTheme="minorHAnsi" w:cstheme="minorHAnsi"/>
          <w:szCs w:val="24"/>
        </w:rPr>
        <w:t xml:space="preserve"> </w:t>
      </w:r>
      <w:r w:rsidR="005308FE">
        <w:rPr>
          <w:rFonts w:asciiTheme="minorHAnsi" w:hAnsiTheme="minorHAnsi" w:cstheme="minorHAnsi"/>
          <w:szCs w:val="24"/>
        </w:rPr>
        <w:t xml:space="preserve">Unlike Staff, however, </w:t>
      </w:r>
      <w:r w:rsidR="000438B7">
        <w:rPr>
          <w:rFonts w:asciiTheme="minorHAnsi" w:hAnsiTheme="minorHAnsi" w:cstheme="minorHAnsi"/>
          <w:szCs w:val="24"/>
        </w:rPr>
        <w:t xml:space="preserve">OELC </w:t>
      </w:r>
      <w:r w:rsidR="005308FE">
        <w:rPr>
          <w:rFonts w:asciiTheme="minorHAnsi" w:hAnsiTheme="minorHAnsi" w:cstheme="minorHAnsi"/>
          <w:szCs w:val="24"/>
        </w:rPr>
        <w:t>does not propose modifications to the NMB</w:t>
      </w:r>
      <w:r w:rsidR="005171EA">
        <w:rPr>
          <w:rFonts w:asciiTheme="minorHAnsi" w:hAnsiTheme="minorHAnsi" w:cstheme="minorHAnsi"/>
          <w:szCs w:val="24"/>
        </w:rPr>
        <w:t xml:space="preserve"> </w:t>
      </w:r>
      <w:r w:rsidR="005308FE">
        <w:rPr>
          <w:rFonts w:asciiTheme="minorHAnsi" w:hAnsiTheme="minorHAnsi" w:cstheme="minorHAnsi"/>
          <w:szCs w:val="24"/>
        </w:rPr>
        <w:t>2 rate, but instead</w:t>
      </w:r>
      <w:r w:rsidR="003224C3">
        <w:rPr>
          <w:rFonts w:asciiTheme="minorHAnsi" w:hAnsiTheme="minorHAnsi" w:cstheme="minorHAnsi"/>
          <w:szCs w:val="24"/>
        </w:rPr>
        <w:t xml:space="preserve"> recommends rejecting the NMB</w:t>
      </w:r>
      <w:r w:rsidR="005171EA">
        <w:rPr>
          <w:rFonts w:asciiTheme="minorHAnsi" w:hAnsiTheme="minorHAnsi" w:cstheme="minorHAnsi"/>
          <w:szCs w:val="24"/>
        </w:rPr>
        <w:t xml:space="preserve"> </w:t>
      </w:r>
      <w:r w:rsidR="003224C3">
        <w:rPr>
          <w:rFonts w:asciiTheme="minorHAnsi" w:hAnsiTheme="minorHAnsi" w:cstheme="minorHAnsi"/>
          <w:szCs w:val="24"/>
        </w:rPr>
        <w:t>2 rate altogether, arguing that such rejection</w:t>
      </w:r>
      <w:r w:rsidR="005308FE">
        <w:rPr>
          <w:rFonts w:asciiTheme="minorHAnsi" w:hAnsiTheme="minorHAnsi" w:cstheme="minorHAnsi"/>
          <w:szCs w:val="24"/>
        </w:rPr>
        <w:t xml:space="preserve"> “is necessary to avoid significant rate shocks, disparate billing treatment, and considerable uncertainty that would surround a transition to NSPL-based billing at this juncture</w:t>
      </w:r>
      <w:r w:rsidRPr="00420A79">
        <w:rPr>
          <w:rFonts w:asciiTheme="minorHAnsi" w:hAnsiTheme="minorHAnsi" w:cstheme="minorHAnsi"/>
          <w:szCs w:val="24"/>
        </w:rPr>
        <w:t>.</w:t>
      </w:r>
      <w:r w:rsidR="005308FE">
        <w:rPr>
          <w:rFonts w:asciiTheme="minorHAnsi" w:hAnsiTheme="minorHAnsi" w:cstheme="minorHAnsi"/>
          <w:szCs w:val="24"/>
        </w:rPr>
        <w:t>”</w:t>
      </w:r>
      <w:r w:rsidRPr="00420A79">
        <w:rPr>
          <w:rStyle w:val="FootnoteReference"/>
          <w:rFonts w:asciiTheme="minorHAnsi" w:hAnsiTheme="minorHAnsi" w:cstheme="minorHAnsi"/>
          <w:szCs w:val="24"/>
        </w:rPr>
        <w:footnoteReference w:id="99"/>
      </w:r>
    </w:p>
    <w:p w14:paraId="6EFED165" w14:textId="2E6038F2" w:rsidR="00420A79" w:rsidRDefault="00420A79" w:rsidP="00420A79">
      <w:pPr>
        <w:spacing w:line="480" w:lineRule="auto"/>
        <w:ind w:firstLine="720"/>
        <w:jc w:val="both"/>
        <w:rPr>
          <w:rFonts w:asciiTheme="minorHAnsi" w:hAnsiTheme="minorHAnsi" w:cstheme="minorHAnsi"/>
          <w:szCs w:val="24"/>
        </w:rPr>
      </w:pPr>
      <w:r w:rsidRPr="00420A79">
        <w:rPr>
          <w:rFonts w:asciiTheme="minorHAnsi" w:hAnsiTheme="minorHAnsi" w:cstheme="minorHAnsi"/>
          <w:szCs w:val="24"/>
        </w:rPr>
        <w:lastRenderedPageBreak/>
        <w:t>While Nucor supports</w:t>
      </w:r>
      <w:r w:rsidR="00F15939">
        <w:rPr>
          <w:rFonts w:asciiTheme="minorHAnsi" w:hAnsiTheme="minorHAnsi" w:cstheme="minorHAnsi"/>
          <w:szCs w:val="24"/>
        </w:rPr>
        <w:t xml:space="preserve"> FirstEnergy’s</w:t>
      </w:r>
      <w:r w:rsidRPr="00420A79">
        <w:rPr>
          <w:rFonts w:asciiTheme="minorHAnsi" w:hAnsiTheme="minorHAnsi" w:cstheme="minorHAnsi"/>
          <w:szCs w:val="24"/>
        </w:rPr>
        <w:t xml:space="preserve"> NMB</w:t>
      </w:r>
      <w:r w:rsidR="005171EA">
        <w:rPr>
          <w:rFonts w:asciiTheme="minorHAnsi" w:hAnsiTheme="minorHAnsi" w:cstheme="minorHAnsi"/>
          <w:szCs w:val="24"/>
        </w:rPr>
        <w:t xml:space="preserve"> </w:t>
      </w:r>
      <w:r w:rsidRPr="00420A79">
        <w:rPr>
          <w:rFonts w:asciiTheme="minorHAnsi" w:hAnsiTheme="minorHAnsi" w:cstheme="minorHAnsi"/>
          <w:szCs w:val="24"/>
        </w:rPr>
        <w:t xml:space="preserve">2 </w:t>
      </w:r>
      <w:proofErr w:type="gramStart"/>
      <w:r w:rsidRPr="00420A79">
        <w:rPr>
          <w:rFonts w:asciiTheme="minorHAnsi" w:hAnsiTheme="minorHAnsi" w:cstheme="minorHAnsi"/>
          <w:szCs w:val="24"/>
        </w:rPr>
        <w:t>proposal</w:t>
      </w:r>
      <w:proofErr w:type="gramEnd"/>
      <w:r w:rsidR="003224C3">
        <w:rPr>
          <w:rFonts w:asciiTheme="minorHAnsi" w:hAnsiTheme="minorHAnsi" w:cstheme="minorHAnsi"/>
          <w:szCs w:val="24"/>
        </w:rPr>
        <w:t xml:space="preserve"> in concept</w:t>
      </w:r>
      <w:r w:rsidRPr="00420A79">
        <w:rPr>
          <w:rFonts w:asciiTheme="minorHAnsi" w:hAnsiTheme="minorHAnsi" w:cstheme="minorHAnsi"/>
          <w:szCs w:val="24"/>
        </w:rPr>
        <w:t xml:space="preserve">, Nucor </w:t>
      </w:r>
      <w:r w:rsidR="00F15939">
        <w:rPr>
          <w:rFonts w:asciiTheme="minorHAnsi" w:hAnsiTheme="minorHAnsi" w:cstheme="minorHAnsi"/>
          <w:szCs w:val="24"/>
        </w:rPr>
        <w:t>agrees that the modifications</w:t>
      </w:r>
      <w:r w:rsidR="00AD431B">
        <w:rPr>
          <w:rFonts w:asciiTheme="minorHAnsi" w:hAnsiTheme="minorHAnsi" w:cstheme="minorHAnsi"/>
          <w:szCs w:val="24"/>
        </w:rPr>
        <w:t xml:space="preserve"> proposed by Staff</w:t>
      </w:r>
      <w:r w:rsidR="00F15939">
        <w:rPr>
          <w:rFonts w:asciiTheme="minorHAnsi" w:hAnsiTheme="minorHAnsi" w:cstheme="minorHAnsi"/>
          <w:szCs w:val="24"/>
        </w:rPr>
        <w:t xml:space="preserve"> to the overall NMB rate are worth</w:t>
      </w:r>
      <w:r w:rsidR="00AD431B">
        <w:rPr>
          <w:rFonts w:asciiTheme="minorHAnsi" w:hAnsiTheme="minorHAnsi" w:cstheme="minorHAnsi"/>
          <w:szCs w:val="24"/>
        </w:rPr>
        <w:t>y of</w:t>
      </w:r>
      <w:r w:rsidR="00F15939">
        <w:rPr>
          <w:rFonts w:asciiTheme="minorHAnsi" w:hAnsiTheme="minorHAnsi" w:cstheme="minorHAnsi"/>
          <w:szCs w:val="24"/>
        </w:rPr>
        <w:t xml:space="preserve"> consideration.  However, given the concerns raised about </w:t>
      </w:r>
      <w:r w:rsidR="00AD431B">
        <w:rPr>
          <w:rFonts w:asciiTheme="minorHAnsi" w:hAnsiTheme="minorHAnsi" w:cstheme="minorHAnsi"/>
          <w:szCs w:val="24"/>
        </w:rPr>
        <w:t xml:space="preserve">the lack of adequate bill impact information, it would be difficult to assess the impacts of Staff’s recommendations based </w:t>
      </w:r>
      <w:r w:rsidR="000438B7">
        <w:rPr>
          <w:rFonts w:asciiTheme="minorHAnsi" w:hAnsiTheme="minorHAnsi" w:cstheme="minorHAnsi"/>
          <w:szCs w:val="24"/>
        </w:rPr>
        <w:t xml:space="preserve">on </w:t>
      </w:r>
      <w:r w:rsidR="00AD431B">
        <w:rPr>
          <w:rFonts w:asciiTheme="minorHAnsi" w:hAnsiTheme="minorHAnsi" w:cstheme="minorHAnsi"/>
          <w:szCs w:val="24"/>
        </w:rPr>
        <w:t>the record in this case.</w:t>
      </w:r>
      <w:r w:rsidR="005308FE">
        <w:rPr>
          <w:rFonts w:asciiTheme="minorHAnsi" w:hAnsiTheme="minorHAnsi" w:cstheme="minorHAnsi"/>
          <w:szCs w:val="24"/>
        </w:rPr>
        <w:t xml:space="preserve">  Further, </w:t>
      </w:r>
      <w:r w:rsidR="000438B7">
        <w:rPr>
          <w:rFonts w:asciiTheme="minorHAnsi" w:hAnsiTheme="minorHAnsi" w:cstheme="minorHAnsi"/>
          <w:szCs w:val="24"/>
        </w:rPr>
        <w:t xml:space="preserve">OELC </w:t>
      </w:r>
      <w:r w:rsidR="005308FE">
        <w:rPr>
          <w:rFonts w:asciiTheme="minorHAnsi" w:hAnsiTheme="minorHAnsi" w:cstheme="minorHAnsi"/>
          <w:szCs w:val="24"/>
        </w:rPr>
        <w:t>has raised legitimate concerns about implementing NMB</w:t>
      </w:r>
      <w:r w:rsidR="005171EA">
        <w:rPr>
          <w:rFonts w:asciiTheme="minorHAnsi" w:hAnsiTheme="minorHAnsi" w:cstheme="minorHAnsi"/>
          <w:szCs w:val="24"/>
        </w:rPr>
        <w:t xml:space="preserve"> </w:t>
      </w:r>
      <w:r w:rsidR="005308FE">
        <w:rPr>
          <w:rFonts w:asciiTheme="minorHAnsi" w:hAnsiTheme="minorHAnsi" w:cstheme="minorHAnsi"/>
          <w:szCs w:val="24"/>
        </w:rPr>
        <w:t>2</w:t>
      </w:r>
      <w:r w:rsidR="003224C3">
        <w:rPr>
          <w:rFonts w:asciiTheme="minorHAnsi" w:hAnsiTheme="minorHAnsi" w:cstheme="minorHAnsi"/>
          <w:szCs w:val="24"/>
        </w:rPr>
        <w:t xml:space="preserve"> prior to when there has been a broad-based conversion of all nonresidential customers to advanced or interval metering.</w:t>
      </w:r>
      <w:r w:rsidR="00AD431B">
        <w:rPr>
          <w:rFonts w:asciiTheme="minorHAnsi" w:hAnsiTheme="minorHAnsi" w:cstheme="minorHAnsi"/>
          <w:szCs w:val="24"/>
        </w:rPr>
        <w:t xml:space="preserve">  As a result, </w:t>
      </w:r>
      <w:r w:rsidR="00066A69">
        <w:rPr>
          <w:rFonts w:asciiTheme="minorHAnsi" w:hAnsiTheme="minorHAnsi" w:cstheme="minorHAnsi"/>
          <w:szCs w:val="24"/>
        </w:rPr>
        <w:t xml:space="preserve">if the Commission agrees with the concerns about NMB 2, </w:t>
      </w:r>
      <w:r w:rsidR="00AD431B">
        <w:rPr>
          <w:rFonts w:asciiTheme="minorHAnsi" w:hAnsiTheme="minorHAnsi" w:cstheme="minorHAnsi"/>
          <w:szCs w:val="24"/>
        </w:rPr>
        <w:t xml:space="preserve">the </w:t>
      </w:r>
      <w:r w:rsidR="003224C3">
        <w:rPr>
          <w:rFonts w:asciiTheme="minorHAnsi" w:hAnsiTheme="minorHAnsi" w:cstheme="minorHAnsi"/>
          <w:szCs w:val="24"/>
        </w:rPr>
        <w:t>most prudent</w:t>
      </w:r>
      <w:r w:rsidR="00AD431B">
        <w:rPr>
          <w:rFonts w:asciiTheme="minorHAnsi" w:hAnsiTheme="minorHAnsi" w:cstheme="minorHAnsi"/>
          <w:szCs w:val="24"/>
        </w:rPr>
        <w:t xml:space="preserve"> approach </w:t>
      </w:r>
      <w:r w:rsidR="003224C3">
        <w:rPr>
          <w:rFonts w:asciiTheme="minorHAnsi" w:hAnsiTheme="minorHAnsi" w:cstheme="minorHAnsi"/>
          <w:szCs w:val="24"/>
        </w:rPr>
        <w:t>in this case would be</w:t>
      </w:r>
      <w:r w:rsidR="00AD431B">
        <w:rPr>
          <w:rFonts w:asciiTheme="minorHAnsi" w:hAnsiTheme="minorHAnsi" w:cstheme="minorHAnsi"/>
          <w:szCs w:val="24"/>
        </w:rPr>
        <w:t xml:space="preserve"> to adopt Staff’s alternative recommendation to continue the current </w:t>
      </w:r>
      <w:r w:rsidR="00066A69">
        <w:rPr>
          <w:rFonts w:asciiTheme="minorHAnsi" w:hAnsiTheme="minorHAnsi" w:cstheme="minorHAnsi"/>
          <w:szCs w:val="24"/>
        </w:rPr>
        <w:t xml:space="preserve">Rider </w:t>
      </w:r>
      <w:r w:rsidR="00AD431B">
        <w:rPr>
          <w:rFonts w:asciiTheme="minorHAnsi" w:hAnsiTheme="minorHAnsi" w:cstheme="minorHAnsi"/>
          <w:szCs w:val="24"/>
        </w:rPr>
        <w:t>NMB Pilot Program.</w:t>
      </w:r>
      <w:r w:rsidR="00AD431B">
        <w:rPr>
          <w:rStyle w:val="FootnoteReference"/>
          <w:rFonts w:asciiTheme="minorHAnsi" w:hAnsiTheme="minorHAnsi" w:cstheme="minorHAnsi"/>
          <w:szCs w:val="24"/>
        </w:rPr>
        <w:footnoteReference w:id="100"/>
      </w:r>
      <w:r w:rsidR="00AD431B">
        <w:rPr>
          <w:rFonts w:asciiTheme="minorHAnsi" w:hAnsiTheme="minorHAnsi" w:cstheme="minorHAnsi"/>
          <w:szCs w:val="24"/>
        </w:rPr>
        <w:t xml:space="preserve">  This recommendation is consistent with </w:t>
      </w:r>
      <w:r w:rsidR="000438B7">
        <w:rPr>
          <w:rFonts w:asciiTheme="minorHAnsi" w:hAnsiTheme="minorHAnsi" w:cstheme="minorHAnsi"/>
          <w:szCs w:val="24"/>
        </w:rPr>
        <w:t xml:space="preserve">OELC’s </w:t>
      </w:r>
      <w:r w:rsidR="00AD431B">
        <w:rPr>
          <w:rFonts w:asciiTheme="minorHAnsi" w:hAnsiTheme="minorHAnsi" w:cstheme="minorHAnsi"/>
          <w:szCs w:val="24"/>
        </w:rPr>
        <w:t xml:space="preserve">recommendation that the </w:t>
      </w:r>
      <w:r w:rsidR="00066A69">
        <w:rPr>
          <w:rFonts w:asciiTheme="minorHAnsi" w:hAnsiTheme="minorHAnsi" w:cstheme="minorHAnsi"/>
          <w:szCs w:val="24"/>
        </w:rPr>
        <w:t xml:space="preserve">Rider </w:t>
      </w:r>
      <w:r w:rsidR="00AD431B">
        <w:rPr>
          <w:rFonts w:asciiTheme="minorHAnsi" w:hAnsiTheme="minorHAnsi" w:cstheme="minorHAnsi"/>
          <w:szCs w:val="24"/>
        </w:rPr>
        <w:t xml:space="preserve">NMB Pilot Program “should be maintained and expanded until such time as the deployment of interval or advanced meters in </w:t>
      </w:r>
      <w:r w:rsidR="005308FE">
        <w:rPr>
          <w:rFonts w:asciiTheme="minorHAnsi" w:hAnsiTheme="minorHAnsi" w:cstheme="minorHAnsi"/>
          <w:szCs w:val="24"/>
        </w:rPr>
        <w:t>FirstEnergy service territory has reached the stage that could potentially allow a reasonable and non-arbitrary transition to NSPL-based billing for transmission charges in FirstEnergy’s service territory.”</w:t>
      </w:r>
      <w:r w:rsidR="005308FE">
        <w:rPr>
          <w:rStyle w:val="FootnoteReference"/>
          <w:rFonts w:asciiTheme="minorHAnsi" w:hAnsiTheme="minorHAnsi" w:cstheme="minorHAnsi"/>
          <w:szCs w:val="24"/>
        </w:rPr>
        <w:footnoteReference w:id="101"/>
      </w:r>
      <w:r w:rsidR="009B4D32">
        <w:rPr>
          <w:rFonts w:asciiTheme="minorHAnsi" w:hAnsiTheme="minorHAnsi" w:cstheme="minorHAnsi"/>
          <w:szCs w:val="24"/>
        </w:rPr>
        <w:t xml:space="preserve">  This is the most straightforward approach to ensuring that NSPL billing is available to those customers who can and want to take advantage of it, while avoiding the possible disruptive effects of imposing NSPL billing more broadly before the impacts of such a transition are fully understood.</w:t>
      </w:r>
    </w:p>
    <w:p w14:paraId="70E83864" w14:textId="77777777" w:rsidR="007918A4" w:rsidRDefault="007918A4" w:rsidP="00420A79">
      <w:pPr>
        <w:spacing w:line="480" w:lineRule="auto"/>
        <w:ind w:firstLine="720"/>
        <w:jc w:val="both"/>
        <w:rPr>
          <w:rFonts w:asciiTheme="minorHAnsi" w:hAnsiTheme="minorHAnsi" w:cstheme="minorHAnsi"/>
          <w:szCs w:val="24"/>
        </w:rPr>
      </w:pPr>
    </w:p>
    <w:p w14:paraId="77CAC054" w14:textId="77777777" w:rsidR="007918A4" w:rsidRDefault="007918A4" w:rsidP="00420A79">
      <w:pPr>
        <w:spacing w:line="480" w:lineRule="auto"/>
        <w:ind w:firstLine="720"/>
        <w:jc w:val="both"/>
        <w:rPr>
          <w:rFonts w:asciiTheme="minorHAnsi" w:hAnsiTheme="minorHAnsi" w:cstheme="minorHAnsi"/>
          <w:szCs w:val="24"/>
        </w:rPr>
      </w:pPr>
    </w:p>
    <w:p w14:paraId="5447E286" w14:textId="4DE49325" w:rsidR="00526B00" w:rsidRDefault="00526B00" w:rsidP="002B6DAC">
      <w:pPr>
        <w:pStyle w:val="Heading1"/>
      </w:pPr>
      <w:bookmarkStart w:id="44" w:name="_Toc158284305"/>
      <w:bookmarkStart w:id="45" w:name="_Toc158363495"/>
      <w:r>
        <w:lastRenderedPageBreak/>
        <w:t>III.</w:t>
      </w:r>
      <w:r>
        <w:tab/>
      </w:r>
      <w:r w:rsidRPr="00514868">
        <w:t>CO</w:t>
      </w:r>
      <w:r>
        <w:t>NCLUSION</w:t>
      </w:r>
      <w:bookmarkEnd w:id="44"/>
      <w:bookmarkEnd w:id="45"/>
      <w:r w:rsidR="007926CC">
        <w:fldChar w:fldCharType="begin"/>
      </w:r>
      <w:r w:rsidR="007926CC">
        <w:instrText xml:space="preserve"> TC "</w:instrText>
      </w:r>
      <w:bookmarkStart w:id="46" w:name="_Toc158207350"/>
      <w:r w:rsidR="007926CC" w:rsidRPr="00F93261">
        <w:instrText>III.</w:instrText>
      </w:r>
      <w:r w:rsidR="007926CC" w:rsidRPr="00F93261">
        <w:tab/>
        <w:instrText>CONCLUSION</w:instrText>
      </w:r>
      <w:bookmarkEnd w:id="46"/>
      <w:r w:rsidR="007926CC">
        <w:instrText xml:space="preserve">" \f C \l "1" </w:instrText>
      </w:r>
      <w:r w:rsidR="007926CC">
        <w:fldChar w:fldCharType="end"/>
      </w:r>
    </w:p>
    <w:p w14:paraId="64CA0692" w14:textId="1FB83F72" w:rsidR="00526B00" w:rsidRDefault="00526B00" w:rsidP="007926CC">
      <w:pPr>
        <w:spacing w:line="480" w:lineRule="auto"/>
        <w:ind w:firstLine="720"/>
        <w:jc w:val="both"/>
        <w:rPr>
          <w:rFonts w:ascii="Calibri" w:hAnsi="Calibri"/>
        </w:rPr>
      </w:pPr>
      <w:r w:rsidRPr="00D74A58">
        <w:rPr>
          <w:rFonts w:ascii="Calibri" w:hAnsi="Calibri"/>
        </w:rPr>
        <w:t>Nucor respectfully requests th</w:t>
      </w:r>
      <w:r>
        <w:rPr>
          <w:rFonts w:ascii="Calibri" w:hAnsi="Calibri"/>
        </w:rPr>
        <w:t xml:space="preserve">at the </w:t>
      </w:r>
      <w:r w:rsidRPr="00D74A58">
        <w:rPr>
          <w:rFonts w:ascii="Calibri" w:hAnsi="Calibri"/>
        </w:rPr>
        <w:t xml:space="preserve">Commission </w:t>
      </w:r>
      <w:r>
        <w:rPr>
          <w:rFonts w:ascii="Calibri" w:hAnsi="Calibri"/>
        </w:rPr>
        <w:t xml:space="preserve">adopt the recommendations set forth above and in Nucor’s initial brief in this case.  </w:t>
      </w:r>
      <w:r w:rsidRPr="00D74A58">
        <w:rPr>
          <w:rFonts w:ascii="Calibri" w:hAnsi="Calibri"/>
        </w:rPr>
        <w:t xml:space="preserve">   </w:t>
      </w:r>
    </w:p>
    <w:p w14:paraId="52C59A01" w14:textId="77777777" w:rsidR="007918A4" w:rsidRDefault="007918A4" w:rsidP="007926CC">
      <w:pPr>
        <w:spacing w:line="480" w:lineRule="auto"/>
        <w:ind w:firstLine="720"/>
        <w:jc w:val="both"/>
        <w:rPr>
          <w:rFonts w:ascii="Calibri" w:hAnsi="Calibri"/>
        </w:rPr>
      </w:pPr>
    </w:p>
    <w:p w14:paraId="356AF6D1" w14:textId="77777777" w:rsidR="00526B00" w:rsidRPr="00BA1BB2" w:rsidRDefault="00526B00" w:rsidP="00526B00">
      <w:pPr>
        <w:widowControl w:val="0"/>
        <w:spacing w:line="480" w:lineRule="auto"/>
        <w:ind w:left="4320"/>
        <w:jc w:val="both"/>
        <w:rPr>
          <w:rFonts w:asciiTheme="minorHAnsi" w:hAnsiTheme="minorHAnsi" w:cstheme="minorHAnsi"/>
          <w:szCs w:val="24"/>
        </w:rPr>
      </w:pPr>
      <w:r w:rsidRPr="00BA1BB2">
        <w:rPr>
          <w:rFonts w:asciiTheme="minorHAnsi" w:hAnsiTheme="minorHAnsi" w:cstheme="minorHAnsi"/>
          <w:szCs w:val="24"/>
        </w:rPr>
        <w:t>Respectfully submitted,</w:t>
      </w:r>
    </w:p>
    <w:p w14:paraId="638B795B" w14:textId="77777777" w:rsidR="00526B00" w:rsidRPr="008E6EC0" w:rsidRDefault="00526B00" w:rsidP="00526B00">
      <w:pPr>
        <w:widowControl w:val="0"/>
        <w:tabs>
          <w:tab w:val="left" w:pos="7200"/>
          <w:tab w:val="left" w:pos="8190"/>
        </w:tabs>
        <w:spacing w:before="240"/>
        <w:ind w:left="4320"/>
        <w:jc w:val="both"/>
        <w:rPr>
          <w:rFonts w:asciiTheme="minorHAnsi" w:hAnsiTheme="minorHAnsi" w:cstheme="minorHAnsi"/>
          <w:i/>
          <w:iCs/>
          <w:szCs w:val="24"/>
          <w:u w:val="single"/>
        </w:rPr>
      </w:pPr>
      <w:r w:rsidRPr="008E6EC0">
        <w:rPr>
          <w:rFonts w:asciiTheme="minorHAnsi" w:hAnsiTheme="minorHAnsi" w:cstheme="minorHAnsi"/>
          <w:i/>
          <w:iCs/>
          <w:szCs w:val="24"/>
          <w:u w:val="single"/>
        </w:rPr>
        <w:t>/s/ Michael K. Lavanga</w:t>
      </w:r>
      <w:r w:rsidRPr="008E6EC0">
        <w:rPr>
          <w:rFonts w:asciiTheme="minorHAnsi" w:hAnsiTheme="minorHAnsi" w:cstheme="minorHAnsi"/>
          <w:i/>
          <w:iCs/>
          <w:szCs w:val="24"/>
          <w:u w:val="single"/>
        </w:rPr>
        <w:tab/>
      </w:r>
    </w:p>
    <w:p w14:paraId="78BB7232" w14:textId="77777777" w:rsidR="00526B00" w:rsidRDefault="00526B00" w:rsidP="00526B00">
      <w:pPr>
        <w:widowControl w:val="0"/>
        <w:tabs>
          <w:tab w:val="left" w:pos="9270"/>
        </w:tabs>
        <w:ind w:left="4320"/>
        <w:jc w:val="both"/>
        <w:rPr>
          <w:rFonts w:asciiTheme="minorHAnsi" w:hAnsiTheme="minorHAnsi" w:cstheme="minorHAnsi"/>
          <w:szCs w:val="24"/>
        </w:rPr>
      </w:pPr>
      <w:r>
        <w:rPr>
          <w:rFonts w:ascii="Calibri" w:hAnsi="Calibri"/>
        </w:rPr>
        <w:t>Michael K. Lavanga</w:t>
      </w:r>
    </w:p>
    <w:p w14:paraId="4A18D5B5" w14:textId="73F78F70" w:rsidR="00526B00" w:rsidRDefault="00526B00" w:rsidP="00526B00">
      <w:pPr>
        <w:widowControl w:val="0"/>
        <w:tabs>
          <w:tab w:val="left" w:pos="9270"/>
        </w:tabs>
        <w:spacing w:after="60"/>
        <w:ind w:left="4320"/>
        <w:jc w:val="both"/>
        <w:rPr>
          <w:rFonts w:asciiTheme="minorHAnsi" w:hAnsiTheme="minorHAnsi" w:cstheme="minorHAnsi"/>
          <w:szCs w:val="24"/>
        </w:rPr>
      </w:pPr>
      <w:r>
        <w:rPr>
          <w:rFonts w:asciiTheme="minorHAnsi" w:hAnsiTheme="minorHAnsi" w:cstheme="minorHAnsi"/>
          <w:szCs w:val="24"/>
        </w:rPr>
        <w:t>PHV #1014-2024</w:t>
      </w:r>
    </w:p>
    <w:p w14:paraId="35CB702C" w14:textId="77777777" w:rsidR="00526B00" w:rsidRPr="002D28B1" w:rsidRDefault="00526B00" w:rsidP="00526B00">
      <w:pPr>
        <w:widowControl w:val="0"/>
        <w:tabs>
          <w:tab w:val="left" w:pos="9270"/>
        </w:tabs>
        <w:spacing w:after="60"/>
        <w:ind w:left="4590"/>
        <w:jc w:val="both"/>
        <w:rPr>
          <w:rFonts w:asciiTheme="minorHAnsi" w:hAnsiTheme="minorHAnsi" w:cstheme="minorHAnsi"/>
          <w:i/>
          <w:szCs w:val="24"/>
        </w:rPr>
      </w:pPr>
      <w:r w:rsidRPr="002D28B1">
        <w:rPr>
          <w:rFonts w:asciiTheme="minorHAnsi" w:hAnsiTheme="minorHAnsi" w:cstheme="minorHAnsi"/>
          <w:i/>
          <w:szCs w:val="24"/>
        </w:rPr>
        <w:t>Counsel of Record</w:t>
      </w:r>
    </w:p>
    <w:p w14:paraId="589B25A5" w14:textId="77777777" w:rsidR="00526B00" w:rsidRDefault="00526B00" w:rsidP="00526B00">
      <w:pPr>
        <w:widowControl w:val="0"/>
        <w:spacing w:after="60"/>
        <w:ind w:left="2880" w:firstLine="720"/>
        <w:contextualSpacing/>
        <w:jc w:val="both"/>
        <w:rPr>
          <w:rFonts w:asciiTheme="minorHAnsi" w:hAnsiTheme="minorHAnsi" w:cstheme="minorHAnsi"/>
          <w:iCs/>
          <w:szCs w:val="24"/>
        </w:rPr>
      </w:pPr>
      <w:r>
        <w:rPr>
          <w:rFonts w:asciiTheme="minorHAnsi" w:hAnsiTheme="minorHAnsi" w:cstheme="minorHAnsi"/>
          <w:iCs/>
          <w:szCs w:val="24"/>
        </w:rPr>
        <w:tab/>
        <w:t>Joseph R. Briscar</w:t>
      </w:r>
    </w:p>
    <w:p w14:paraId="530006BA" w14:textId="64EA9CD4" w:rsidR="00526B00" w:rsidRDefault="00526B00" w:rsidP="00526B00">
      <w:pPr>
        <w:widowControl w:val="0"/>
        <w:tabs>
          <w:tab w:val="left" w:pos="9270"/>
        </w:tabs>
        <w:ind w:left="4320"/>
        <w:jc w:val="both"/>
        <w:rPr>
          <w:rFonts w:asciiTheme="minorHAnsi" w:hAnsiTheme="minorHAnsi" w:cstheme="minorHAnsi"/>
          <w:iCs/>
          <w:szCs w:val="24"/>
        </w:rPr>
      </w:pPr>
      <w:r>
        <w:rPr>
          <w:rFonts w:asciiTheme="minorHAnsi" w:hAnsiTheme="minorHAnsi" w:cstheme="minorHAnsi"/>
          <w:iCs/>
          <w:szCs w:val="24"/>
        </w:rPr>
        <w:t>PHV #</w:t>
      </w:r>
      <w:r w:rsidRPr="004D6E10">
        <w:rPr>
          <w:rFonts w:asciiTheme="minorHAnsi" w:hAnsiTheme="minorHAnsi" w:cstheme="minorHAnsi"/>
          <w:iCs/>
          <w:szCs w:val="24"/>
        </w:rPr>
        <w:t>21216-202</w:t>
      </w:r>
      <w:r>
        <w:rPr>
          <w:rFonts w:asciiTheme="minorHAnsi" w:hAnsiTheme="minorHAnsi" w:cstheme="minorHAnsi"/>
          <w:iCs/>
          <w:szCs w:val="24"/>
        </w:rPr>
        <w:t>4</w:t>
      </w:r>
    </w:p>
    <w:p w14:paraId="430EFAF7" w14:textId="77777777" w:rsidR="00526B00" w:rsidRDefault="00526B00" w:rsidP="00526B00">
      <w:pPr>
        <w:widowControl w:val="0"/>
        <w:tabs>
          <w:tab w:val="left" w:pos="9270"/>
        </w:tabs>
        <w:ind w:left="4320"/>
        <w:jc w:val="both"/>
        <w:rPr>
          <w:rFonts w:ascii="Calibri" w:hAnsi="Calibri"/>
        </w:rPr>
      </w:pPr>
    </w:p>
    <w:p w14:paraId="30BEB710" w14:textId="77777777" w:rsidR="00526B00" w:rsidRPr="00F019A8" w:rsidRDefault="00526B00" w:rsidP="00526B00">
      <w:pPr>
        <w:widowControl w:val="0"/>
        <w:tabs>
          <w:tab w:val="left" w:pos="9270"/>
        </w:tabs>
        <w:ind w:left="4320"/>
        <w:jc w:val="both"/>
        <w:rPr>
          <w:rFonts w:ascii="Calibri" w:hAnsi="Calibri"/>
        </w:rPr>
      </w:pPr>
      <w:r w:rsidRPr="00F019A8">
        <w:rPr>
          <w:rFonts w:ascii="Calibri" w:hAnsi="Calibri"/>
        </w:rPr>
        <w:t>Stone Mattheis Xenopoulos &amp; Brew, PC</w:t>
      </w:r>
    </w:p>
    <w:p w14:paraId="1F81B8C8" w14:textId="77777777" w:rsidR="00526B00" w:rsidRPr="00F019A8" w:rsidRDefault="00526B00" w:rsidP="00526B00">
      <w:pPr>
        <w:widowControl w:val="0"/>
        <w:tabs>
          <w:tab w:val="left" w:pos="9270"/>
        </w:tabs>
        <w:ind w:left="4320"/>
        <w:jc w:val="both"/>
        <w:rPr>
          <w:rFonts w:ascii="Calibri" w:hAnsi="Calibri"/>
        </w:rPr>
      </w:pPr>
      <w:r w:rsidRPr="00F019A8">
        <w:rPr>
          <w:rFonts w:ascii="Calibri" w:hAnsi="Calibri"/>
        </w:rPr>
        <w:t>1025 Thomas Jefferson Street, NW</w:t>
      </w:r>
    </w:p>
    <w:p w14:paraId="4E9A8D93" w14:textId="77777777" w:rsidR="00526B00" w:rsidRPr="00F019A8" w:rsidRDefault="00526B00" w:rsidP="00526B00">
      <w:pPr>
        <w:widowControl w:val="0"/>
        <w:tabs>
          <w:tab w:val="left" w:pos="9270"/>
        </w:tabs>
        <w:ind w:left="4320"/>
        <w:jc w:val="both"/>
        <w:rPr>
          <w:rFonts w:ascii="Calibri" w:hAnsi="Calibri"/>
        </w:rPr>
      </w:pPr>
      <w:r w:rsidRPr="00F019A8">
        <w:rPr>
          <w:rFonts w:ascii="Calibri" w:hAnsi="Calibri"/>
        </w:rPr>
        <w:t xml:space="preserve">Suite 800 West </w:t>
      </w:r>
    </w:p>
    <w:p w14:paraId="1A360DBB" w14:textId="77777777" w:rsidR="00526B00" w:rsidRPr="00D74A58" w:rsidRDefault="00526B00" w:rsidP="00526B00">
      <w:pPr>
        <w:widowControl w:val="0"/>
        <w:tabs>
          <w:tab w:val="left" w:pos="9270"/>
        </w:tabs>
        <w:ind w:left="4320"/>
        <w:jc w:val="both"/>
        <w:rPr>
          <w:rFonts w:ascii="Calibri" w:hAnsi="Calibri"/>
        </w:rPr>
      </w:pPr>
      <w:r w:rsidRPr="00F019A8">
        <w:rPr>
          <w:rFonts w:ascii="Calibri" w:hAnsi="Calibri"/>
        </w:rPr>
        <w:t>Washington, DC 20007</w:t>
      </w:r>
    </w:p>
    <w:p w14:paraId="26B983CB" w14:textId="77777777" w:rsidR="00526B00" w:rsidRPr="00D74A58" w:rsidRDefault="00526B00" w:rsidP="00526B00">
      <w:pPr>
        <w:widowControl w:val="0"/>
        <w:tabs>
          <w:tab w:val="left" w:pos="9270"/>
        </w:tabs>
        <w:ind w:left="4320"/>
        <w:jc w:val="both"/>
        <w:rPr>
          <w:rFonts w:ascii="Calibri" w:hAnsi="Calibri"/>
        </w:rPr>
      </w:pPr>
      <w:r w:rsidRPr="00D74A58">
        <w:rPr>
          <w:rFonts w:ascii="Calibri" w:hAnsi="Calibri"/>
        </w:rPr>
        <w:t>(202) 342-0800 (</w:t>
      </w:r>
      <w:r w:rsidRPr="0040750D">
        <w:rPr>
          <w:rFonts w:asciiTheme="minorHAnsi" w:hAnsiTheme="minorHAnsi" w:cstheme="minorHAnsi"/>
          <w:szCs w:val="24"/>
        </w:rPr>
        <w:t>Main</w:t>
      </w:r>
      <w:r w:rsidRPr="00D74A58">
        <w:rPr>
          <w:rFonts w:ascii="Calibri" w:hAnsi="Calibri"/>
        </w:rPr>
        <w:t xml:space="preserve"> Number)</w:t>
      </w:r>
    </w:p>
    <w:p w14:paraId="6EAD59A3" w14:textId="303128B4" w:rsidR="007918A4" w:rsidRDefault="00526B00" w:rsidP="001E5CC5">
      <w:pPr>
        <w:widowControl w:val="0"/>
        <w:tabs>
          <w:tab w:val="left" w:pos="9270"/>
        </w:tabs>
        <w:ind w:left="4320"/>
        <w:jc w:val="both"/>
        <w:rPr>
          <w:rFonts w:ascii="Calibri" w:hAnsi="Calibri"/>
        </w:rPr>
      </w:pPr>
      <w:r w:rsidRPr="00D74A58">
        <w:rPr>
          <w:rFonts w:ascii="Calibri" w:hAnsi="Calibri"/>
        </w:rPr>
        <w:t>(202) 342-080</w:t>
      </w:r>
      <w:r>
        <w:rPr>
          <w:rFonts w:ascii="Calibri" w:hAnsi="Calibri"/>
        </w:rPr>
        <w:t>7</w:t>
      </w:r>
      <w:r w:rsidRPr="00D74A58">
        <w:rPr>
          <w:rFonts w:ascii="Calibri" w:hAnsi="Calibri"/>
        </w:rPr>
        <w:t xml:space="preserve"> (Facsimile)</w:t>
      </w:r>
    </w:p>
    <w:p w14:paraId="68F34426" w14:textId="77777777" w:rsidR="007918A4" w:rsidRDefault="007918A4">
      <w:pPr>
        <w:spacing w:after="160" w:line="259" w:lineRule="auto"/>
        <w:rPr>
          <w:rFonts w:ascii="Calibri" w:hAnsi="Calibri"/>
        </w:rPr>
      </w:pPr>
      <w:r>
        <w:rPr>
          <w:rFonts w:ascii="Calibri" w:hAnsi="Calibri"/>
        </w:rPr>
        <w:br w:type="page"/>
      </w:r>
    </w:p>
    <w:p w14:paraId="5BA6B553" w14:textId="77777777" w:rsidR="007926CC" w:rsidRPr="003722A2" w:rsidRDefault="007926CC" w:rsidP="007926CC">
      <w:pPr>
        <w:widowControl w:val="0"/>
        <w:jc w:val="center"/>
        <w:rPr>
          <w:rFonts w:asciiTheme="minorHAnsi" w:hAnsiTheme="minorHAnsi" w:cstheme="minorHAnsi"/>
          <w:b/>
          <w:color w:val="000000"/>
          <w:szCs w:val="24"/>
          <w:u w:val="single"/>
        </w:rPr>
      </w:pPr>
      <w:r w:rsidRPr="003722A2">
        <w:rPr>
          <w:rFonts w:asciiTheme="minorHAnsi" w:hAnsiTheme="minorHAnsi" w:cstheme="minorHAnsi"/>
          <w:b/>
          <w:color w:val="000000"/>
          <w:szCs w:val="24"/>
          <w:u w:val="single"/>
        </w:rPr>
        <w:lastRenderedPageBreak/>
        <w:t>CERTIFICATE OF SERVICE</w:t>
      </w:r>
    </w:p>
    <w:p w14:paraId="258725AB" w14:textId="77777777" w:rsidR="007926CC" w:rsidRPr="003722A2" w:rsidRDefault="007926CC" w:rsidP="007926CC">
      <w:pPr>
        <w:widowControl w:val="0"/>
        <w:jc w:val="both"/>
        <w:rPr>
          <w:rFonts w:asciiTheme="minorHAnsi" w:hAnsiTheme="minorHAnsi" w:cstheme="minorHAnsi"/>
          <w:color w:val="000000"/>
          <w:szCs w:val="24"/>
        </w:rPr>
      </w:pPr>
    </w:p>
    <w:p w14:paraId="4CBCD5E8" w14:textId="40573183" w:rsidR="007926CC" w:rsidRPr="003722A2" w:rsidRDefault="007926CC" w:rsidP="007926CC">
      <w:pPr>
        <w:widowControl w:val="0"/>
        <w:ind w:firstLine="720"/>
        <w:jc w:val="both"/>
        <w:rPr>
          <w:rFonts w:asciiTheme="minorHAnsi" w:hAnsiTheme="minorHAnsi" w:cstheme="minorHAnsi"/>
          <w:color w:val="000000"/>
          <w:szCs w:val="24"/>
        </w:rPr>
      </w:pPr>
      <w:bookmarkStart w:id="47" w:name="_Hlk5345294"/>
      <w:r w:rsidRPr="003722A2">
        <w:rPr>
          <w:rFonts w:asciiTheme="minorHAnsi" w:hAnsiTheme="minorHAnsi" w:cstheme="minorHAnsi"/>
          <w:color w:val="000000"/>
          <w:szCs w:val="24"/>
        </w:rPr>
        <w:t xml:space="preserve">The Public Utilities Commission of Ohio’s e-filing system will electronically serve notice of the filing of this document on the parties who have electronically subscribed to this case. In addition, I hereby certify that a copy of the foregoing was served upon the following parties of record or as a courtesy, via electronic transmission on </w:t>
      </w:r>
      <w:r>
        <w:rPr>
          <w:rFonts w:asciiTheme="minorHAnsi" w:hAnsiTheme="minorHAnsi" w:cstheme="minorHAnsi"/>
          <w:color w:val="000000"/>
          <w:szCs w:val="24"/>
        </w:rPr>
        <w:t xml:space="preserve">February </w:t>
      </w:r>
      <w:r w:rsidRPr="003722A2">
        <w:rPr>
          <w:rFonts w:asciiTheme="minorHAnsi" w:hAnsiTheme="minorHAnsi" w:cstheme="minorHAnsi"/>
          <w:color w:val="000000"/>
          <w:szCs w:val="24"/>
        </w:rPr>
        <w:t>9, 2024.</w:t>
      </w:r>
    </w:p>
    <w:p w14:paraId="0366F562" w14:textId="77777777" w:rsidR="007926CC" w:rsidRPr="003722A2" w:rsidRDefault="007926CC" w:rsidP="007926CC">
      <w:pPr>
        <w:widowControl w:val="0"/>
        <w:jc w:val="both"/>
        <w:rPr>
          <w:rFonts w:asciiTheme="minorHAnsi" w:hAnsiTheme="minorHAnsi" w:cstheme="minorHAnsi"/>
          <w:color w:val="000000"/>
          <w:szCs w:val="24"/>
        </w:rPr>
      </w:pPr>
    </w:p>
    <w:p w14:paraId="1FE06AC0" w14:textId="77777777" w:rsidR="007926CC" w:rsidRPr="003722A2" w:rsidRDefault="007926CC" w:rsidP="007926CC">
      <w:pPr>
        <w:widowControl w:val="0"/>
        <w:tabs>
          <w:tab w:val="left" w:pos="6840"/>
          <w:tab w:val="left" w:pos="7920"/>
        </w:tabs>
        <w:ind w:left="5040"/>
        <w:jc w:val="both"/>
        <w:rPr>
          <w:rFonts w:asciiTheme="minorHAnsi" w:hAnsiTheme="minorHAnsi" w:cstheme="minorHAnsi"/>
          <w:i/>
          <w:iCs/>
          <w:szCs w:val="24"/>
          <w:u w:val="single"/>
        </w:rPr>
      </w:pPr>
      <w:r w:rsidRPr="003722A2">
        <w:rPr>
          <w:rFonts w:asciiTheme="minorHAnsi" w:hAnsiTheme="minorHAnsi" w:cstheme="minorHAnsi"/>
          <w:i/>
          <w:iCs/>
          <w:szCs w:val="24"/>
          <w:u w:val="single"/>
        </w:rPr>
        <w:t>/s/ Michael K. Lavanga</w:t>
      </w:r>
      <w:r w:rsidRPr="003722A2">
        <w:rPr>
          <w:rFonts w:asciiTheme="minorHAnsi" w:hAnsiTheme="minorHAnsi" w:cstheme="minorHAnsi"/>
          <w:i/>
          <w:iCs/>
          <w:szCs w:val="24"/>
          <w:u w:val="single"/>
        </w:rPr>
        <w:tab/>
      </w:r>
    </w:p>
    <w:p w14:paraId="7F6BF96D" w14:textId="77777777" w:rsidR="007926CC" w:rsidRPr="003722A2" w:rsidRDefault="007926CC" w:rsidP="007926CC">
      <w:pPr>
        <w:widowControl w:val="0"/>
        <w:jc w:val="both"/>
        <w:rPr>
          <w:rFonts w:asciiTheme="minorHAnsi" w:hAnsiTheme="minorHAnsi" w:cstheme="minorHAnsi"/>
          <w:color w:val="000000"/>
          <w:szCs w:val="24"/>
        </w:rPr>
      </w:pPr>
    </w:p>
    <w:p w14:paraId="6C4CB4D8" w14:textId="77777777" w:rsidR="007926CC" w:rsidRPr="003722A2" w:rsidRDefault="007918A4" w:rsidP="007926CC">
      <w:pPr>
        <w:ind w:left="2880"/>
        <w:rPr>
          <w:rFonts w:asciiTheme="minorHAnsi" w:hAnsiTheme="minorHAnsi" w:cstheme="minorHAnsi"/>
        </w:rPr>
      </w:pPr>
      <w:hyperlink r:id="rId11" w:history="1">
        <w:r w:rsidR="007926CC" w:rsidRPr="003722A2">
          <w:rPr>
            <w:rStyle w:val="Hyperlink"/>
            <w:rFonts w:asciiTheme="minorHAnsi" w:hAnsiTheme="minorHAnsi" w:cstheme="minorHAnsi"/>
          </w:rPr>
          <w:t>bknipe@firstenergycorp.com</w:t>
        </w:r>
      </w:hyperlink>
      <w:r w:rsidR="007926CC" w:rsidRPr="003722A2">
        <w:rPr>
          <w:rFonts w:asciiTheme="minorHAnsi" w:hAnsiTheme="minorHAnsi" w:cstheme="minorHAnsi"/>
        </w:rPr>
        <w:t xml:space="preserve"> </w:t>
      </w:r>
    </w:p>
    <w:p w14:paraId="55C2B230" w14:textId="77777777" w:rsidR="007926CC" w:rsidRPr="003722A2" w:rsidRDefault="007918A4" w:rsidP="007926CC">
      <w:pPr>
        <w:ind w:left="2880"/>
        <w:rPr>
          <w:rFonts w:asciiTheme="minorHAnsi" w:hAnsiTheme="minorHAnsi" w:cstheme="minorHAnsi"/>
        </w:rPr>
      </w:pPr>
      <w:hyperlink r:id="rId12" w:history="1">
        <w:r w:rsidR="007926CC" w:rsidRPr="003722A2">
          <w:rPr>
            <w:rStyle w:val="Hyperlink"/>
            <w:rFonts w:asciiTheme="minorHAnsi" w:hAnsiTheme="minorHAnsi" w:cstheme="minorHAnsi"/>
          </w:rPr>
          <w:t>cwatchorn@firstenergycorp.com</w:t>
        </w:r>
      </w:hyperlink>
    </w:p>
    <w:p w14:paraId="293AAEAF" w14:textId="77777777" w:rsidR="007926CC" w:rsidRPr="003722A2" w:rsidRDefault="007918A4" w:rsidP="007926CC">
      <w:pPr>
        <w:ind w:left="2880"/>
        <w:rPr>
          <w:rFonts w:asciiTheme="minorHAnsi" w:hAnsiTheme="minorHAnsi" w:cstheme="minorHAnsi"/>
        </w:rPr>
      </w:pPr>
      <w:hyperlink r:id="rId13" w:history="1">
        <w:r w:rsidR="007926CC" w:rsidRPr="003722A2">
          <w:rPr>
            <w:rStyle w:val="Hyperlink"/>
            <w:rFonts w:asciiTheme="minorHAnsi" w:hAnsiTheme="minorHAnsi" w:cstheme="minorHAnsi"/>
          </w:rPr>
          <w:t>talexander@beneschlaw.com</w:t>
        </w:r>
      </w:hyperlink>
      <w:r w:rsidR="007926CC" w:rsidRPr="003722A2">
        <w:rPr>
          <w:rFonts w:asciiTheme="minorHAnsi" w:hAnsiTheme="minorHAnsi" w:cstheme="minorHAnsi"/>
        </w:rPr>
        <w:t xml:space="preserve"> </w:t>
      </w:r>
    </w:p>
    <w:p w14:paraId="4B4C41D8" w14:textId="77777777" w:rsidR="007926CC" w:rsidRPr="003722A2" w:rsidRDefault="007918A4" w:rsidP="007926CC">
      <w:pPr>
        <w:ind w:left="2880"/>
        <w:rPr>
          <w:rFonts w:asciiTheme="minorHAnsi" w:hAnsiTheme="minorHAnsi" w:cstheme="minorHAnsi"/>
        </w:rPr>
      </w:pPr>
      <w:hyperlink r:id="rId14" w:history="1">
        <w:r w:rsidR="007926CC" w:rsidRPr="003722A2">
          <w:rPr>
            <w:rStyle w:val="Hyperlink"/>
            <w:rFonts w:asciiTheme="minorHAnsi" w:hAnsiTheme="minorHAnsi" w:cstheme="minorHAnsi"/>
          </w:rPr>
          <w:t>mkeaney@beneschlaw.com</w:t>
        </w:r>
      </w:hyperlink>
      <w:r w:rsidR="007926CC" w:rsidRPr="003722A2">
        <w:rPr>
          <w:rFonts w:asciiTheme="minorHAnsi" w:hAnsiTheme="minorHAnsi" w:cstheme="minorHAnsi"/>
        </w:rPr>
        <w:t xml:space="preserve"> </w:t>
      </w:r>
    </w:p>
    <w:p w14:paraId="4786E63E" w14:textId="77777777" w:rsidR="007926CC" w:rsidRPr="003722A2" w:rsidRDefault="007918A4" w:rsidP="007926CC">
      <w:pPr>
        <w:ind w:left="2880"/>
        <w:rPr>
          <w:rFonts w:asciiTheme="minorHAnsi" w:hAnsiTheme="minorHAnsi" w:cstheme="minorHAnsi"/>
        </w:rPr>
      </w:pPr>
      <w:hyperlink r:id="rId15" w:history="1">
        <w:r w:rsidR="007926CC" w:rsidRPr="003722A2">
          <w:rPr>
            <w:rStyle w:val="Hyperlink"/>
            <w:rFonts w:asciiTheme="minorHAnsi" w:hAnsiTheme="minorHAnsi" w:cstheme="minorHAnsi"/>
          </w:rPr>
          <w:t>khehmeyer@beneschlaw.com</w:t>
        </w:r>
      </w:hyperlink>
      <w:r w:rsidR="007926CC" w:rsidRPr="003722A2">
        <w:rPr>
          <w:rFonts w:asciiTheme="minorHAnsi" w:hAnsiTheme="minorHAnsi" w:cstheme="minorHAnsi"/>
        </w:rPr>
        <w:t xml:space="preserve"> </w:t>
      </w:r>
    </w:p>
    <w:p w14:paraId="1D3BAC25" w14:textId="77777777" w:rsidR="007926CC" w:rsidRPr="003722A2" w:rsidRDefault="007918A4" w:rsidP="007926CC">
      <w:pPr>
        <w:ind w:left="2880"/>
        <w:rPr>
          <w:rFonts w:asciiTheme="minorHAnsi" w:hAnsiTheme="minorHAnsi" w:cstheme="minorHAnsi"/>
        </w:rPr>
      </w:pPr>
      <w:hyperlink r:id="rId16" w:history="1">
        <w:r w:rsidR="007926CC" w:rsidRPr="003722A2">
          <w:rPr>
            <w:rStyle w:val="Hyperlink"/>
            <w:rFonts w:asciiTheme="minorHAnsi" w:hAnsiTheme="minorHAnsi" w:cstheme="minorHAnsi"/>
          </w:rPr>
          <w:t>dromig@nationwideenergypartners.com</w:t>
        </w:r>
      </w:hyperlink>
    </w:p>
    <w:p w14:paraId="1547D632" w14:textId="77777777" w:rsidR="007926CC" w:rsidRPr="003722A2" w:rsidRDefault="007918A4" w:rsidP="007926CC">
      <w:pPr>
        <w:ind w:left="2880"/>
        <w:rPr>
          <w:rFonts w:asciiTheme="minorHAnsi" w:hAnsiTheme="minorHAnsi" w:cstheme="minorHAnsi"/>
        </w:rPr>
      </w:pPr>
      <w:hyperlink r:id="rId17" w:history="1">
        <w:r w:rsidR="007926CC" w:rsidRPr="003722A2">
          <w:rPr>
            <w:rStyle w:val="Hyperlink"/>
            <w:rFonts w:asciiTheme="minorHAnsi" w:hAnsiTheme="minorHAnsi" w:cstheme="minorHAnsi"/>
          </w:rPr>
          <w:t>brian.gibbs@nationwideenergypartners.com</w:t>
        </w:r>
      </w:hyperlink>
    </w:p>
    <w:p w14:paraId="7FF0EBF7" w14:textId="77777777" w:rsidR="007926CC" w:rsidRPr="003722A2" w:rsidRDefault="007918A4" w:rsidP="007926CC">
      <w:pPr>
        <w:ind w:left="2880"/>
        <w:rPr>
          <w:rFonts w:asciiTheme="minorHAnsi" w:hAnsiTheme="minorHAnsi" w:cstheme="minorHAnsi"/>
        </w:rPr>
      </w:pPr>
      <w:hyperlink r:id="rId18" w:history="1">
        <w:r w:rsidR="007926CC" w:rsidRPr="003722A2">
          <w:rPr>
            <w:rStyle w:val="Hyperlink"/>
            <w:rFonts w:asciiTheme="minorHAnsi" w:hAnsiTheme="minorHAnsi" w:cstheme="minorHAnsi"/>
          </w:rPr>
          <w:t>whitt@whitt-sturtevant.com</w:t>
        </w:r>
      </w:hyperlink>
    </w:p>
    <w:p w14:paraId="58995E96" w14:textId="77777777" w:rsidR="007926CC" w:rsidRPr="003722A2" w:rsidRDefault="007918A4" w:rsidP="007926CC">
      <w:pPr>
        <w:ind w:left="2880"/>
        <w:rPr>
          <w:rFonts w:asciiTheme="minorHAnsi" w:hAnsiTheme="minorHAnsi" w:cstheme="minorHAnsi"/>
        </w:rPr>
      </w:pPr>
      <w:hyperlink r:id="rId19" w:history="1">
        <w:r w:rsidR="007926CC" w:rsidRPr="003722A2">
          <w:rPr>
            <w:rStyle w:val="Hyperlink"/>
            <w:rFonts w:asciiTheme="minorHAnsi" w:hAnsiTheme="minorHAnsi" w:cstheme="minorHAnsi"/>
          </w:rPr>
          <w:t>josephmeissner@yahoo.com</w:t>
        </w:r>
      </w:hyperlink>
    </w:p>
    <w:p w14:paraId="0ECE8413" w14:textId="77777777" w:rsidR="007926CC" w:rsidRPr="003722A2" w:rsidRDefault="007918A4" w:rsidP="007926CC">
      <w:pPr>
        <w:ind w:left="2880"/>
        <w:rPr>
          <w:rFonts w:asciiTheme="minorHAnsi" w:hAnsiTheme="minorHAnsi" w:cstheme="minorHAnsi"/>
        </w:rPr>
      </w:pPr>
      <w:hyperlink r:id="rId20" w:history="1">
        <w:r w:rsidR="007926CC" w:rsidRPr="003722A2">
          <w:rPr>
            <w:rStyle w:val="Hyperlink"/>
            <w:rFonts w:asciiTheme="minorHAnsi" w:hAnsiTheme="minorHAnsi" w:cstheme="minorHAnsi"/>
          </w:rPr>
          <w:t>trent@hubaydougherty.com</w:t>
        </w:r>
      </w:hyperlink>
    </w:p>
    <w:p w14:paraId="23AD8FBE" w14:textId="77777777" w:rsidR="007926CC" w:rsidRPr="003722A2" w:rsidRDefault="007918A4" w:rsidP="007926CC">
      <w:pPr>
        <w:ind w:left="2880"/>
        <w:rPr>
          <w:rFonts w:asciiTheme="minorHAnsi" w:hAnsiTheme="minorHAnsi" w:cstheme="minorHAnsi"/>
        </w:rPr>
      </w:pPr>
      <w:hyperlink r:id="rId21" w:history="1">
        <w:r w:rsidR="007926CC" w:rsidRPr="003722A2">
          <w:rPr>
            <w:rStyle w:val="Hyperlink"/>
            <w:rFonts w:asciiTheme="minorHAnsi" w:hAnsiTheme="minorHAnsi" w:cstheme="minorHAnsi"/>
          </w:rPr>
          <w:t>mjsettineri@vorys.com</w:t>
        </w:r>
      </w:hyperlink>
    </w:p>
    <w:p w14:paraId="54702066" w14:textId="77777777" w:rsidR="007926CC" w:rsidRPr="003722A2" w:rsidRDefault="007918A4" w:rsidP="007926CC">
      <w:pPr>
        <w:ind w:left="2880"/>
        <w:rPr>
          <w:rFonts w:asciiTheme="minorHAnsi" w:hAnsiTheme="minorHAnsi" w:cstheme="minorHAnsi"/>
        </w:rPr>
      </w:pPr>
      <w:hyperlink r:id="rId22" w:history="1">
        <w:r w:rsidR="007926CC" w:rsidRPr="003722A2">
          <w:rPr>
            <w:rStyle w:val="Hyperlink"/>
            <w:rFonts w:asciiTheme="minorHAnsi" w:hAnsiTheme="minorHAnsi" w:cstheme="minorHAnsi"/>
          </w:rPr>
          <w:t>glpetrucci@vorys.com</w:t>
        </w:r>
      </w:hyperlink>
    </w:p>
    <w:p w14:paraId="6C97C19E" w14:textId="77777777" w:rsidR="007926CC" w:rsidRPr="003722A2" w:rsidRDefault="007918A4" w:rsidP="007926CC">
      <w:pPr>
        <w:ind w:left="2880"/>
        <w:rPr>
          <w:rFonts w:asciiTheme="minorHAnsi" w:hAnsiTheme="minorHAnsi" w:cstheme="minorHAnsi"/>
        </w:rPr>
      </w:pPr>
      <w:hyperlink r:id="rId23" w:history="1">
        <w:r w:rsidR="007926CC" w:rsidRPr="003722A2">
          <w:rPr>
            <w:rStyle w:val="Hyperlink"/>
            <w:rFonts w:asciiTheme="minorHAnsi" w:hAnsiTheme="minorHAnsi" w:cstheme="minorHAnsi"/>
          </w:rPr>
          <w:t>aasanyal@vorys.com</w:t>
        </w:r>
      </w:hyperlink>
    </w:p>
    <w:p w14:paraId="14EBBF11" w14:textId="77777777" w:rsidR="007926CC" w:rsidRPr="003722A2" w:rsidRDefault="007918A4" w:rsidP="007926CC">
      <w:pPr>
        <w:ind w:left="2880"/>
        <w:rPr>
          <w:rFonts w:asciiTheme="minorHAnsi" w:hAnsiTheme="minorHAnsi" w:cstheme="minorHAnsi"/>
        </w:rPr>
      </w:pPr>
      <w:hyperlink r:id="rId24" w:history="1">
        <w:r w:rsidR="007926CC" w:rsidRPr="003722A2">
          <w:rPr>
            <w:rStyle w:val="Hyperlink"/>
            <w:rFonts w:asciiTheme="minorHAnsi" w:hAnsiTheme="minorHAnsi" w:cstheme="minorHAnsi"/>
          </w:rPr>
          <w:t>cynthia.brady@constellation.com</w:t>
        </w:r>
      </w:hyperlink>
    </w:p>
    <w:p w14:paraId="330D9B9C" w14:textId="77777777" w:rsidR="007926CC" w:rsidRPr="003722A2" w:rsidRDefault="007918A4" w:rsidP="007926CC">
      <w:pPr>
        <w:ind w:left="2880"/>
        <w:rPr>
          <w:rFonts w:asciiTheme="minorHAnsi" w:hAnsiTheme="minorHAnsi" w:cstheme="minorHAnsi"/>
        </w:rPr>
      </w:pPr>
      <w:hyperlink r:id="rId25" w:history="1">
        <w:r w:rsidR="007926CC" w:rsidRPr="003722A2">
          <w:rPr>
            <w:rStyle w:val="Hyperlink"/>
            <w:rFonts w:asciiTheme="minorHAnsi" w:hAnsiTheme="minorHAnsi" w:cstheme="minorHAnsi"/>
          </w:rPr>
          <w:t>jesse.rodriguez@constellation.com</w:t>
        </w:r>
      </w:hyperlink>
    </w:p>
    <w:p w14:paraId="2C177E7F" w14:textId="77777777" w:rsidR="007926CC" w:rsidRPr="003722A2" w:rsidRDefault="007918A4" w:rsidP="007926CC">
      <w:pPr>
        <w:ind w:left="2880"/>
        <w:rPr>
          <w:rFonts w:asciiTheme="minorHAnsi" w:hAnsiTheme="minorHAnsi" w:cstheme="minorHAnsi"/>
        </w:rPr>
      </w:pPr>
      <w:hyperlink r:id="rId26" w:history="1">
        <w:r w:rsidR="007926CC" w:rsidRPr="003722A2">
          <w:rPr>
            <w:rStyle w:val="Hyperlink"/>
            <w:rFonts w:asciiTheme="minorHAnsi" w:hAnsiTheme="minorHAnsi" w:cstheme="minorHAnsi"/>
          </w:rPr>
          <w:t>mark.hayden@constellation.com</w:t>
        </w:r>
      </w:hyperlink>
    </w:p>
    <w:p w14:paraId="1C5CAB46" w14:textId="77777777" w:rsidR="007926CC" w:rsidRPr="003722A2" w:rsidRDefault="007918A4" w:rsidP="007926CC">
      <w:pPr>
        <w:ind w:left="2880"/>
        <w:rPr>
          <w:rFonts w:asciiTheme="minorHAnsi" w:hAnsiTheme="minorHAnsi" w:cstheme="minorHAnsi"/>
        </w:rPr>
      </w:pPr>
      <w:hyperlink r:id="rId27" w:history="1">
        <w:r w:rsidR="007926CC" w:rsidRPr="003722A2">
          <w:rPr>
            <w:rStyle w:val="Hyperlink"/>
            <w:rFonts w:asciiTheme="minorHAnsi" w:hAnsiTheme="minorHAnsi" w:cstheme="minorHAnsi"/>
          </w:rPr>
          <w:t>cpirik@dickinsonwright.com</w:t>
        </w:r>
      </w:hyperlink>
    </w:p>
    <w:p w14:paraId="2A236DCE" w14:textId="77777777" w:rsidR="007926CC" w:rsidRPr="003722A2" w:rsidRDefault="007918A4" w:rsidP="007926CC">
      <w:pPr>
        <w:ind w:left="2880"/>
        <w:rPr>
          <w:rFonts w:asciiTheme="minorHAnsi" w:hAnsiTheme="minorHAnsi" w:cstheme="minorHAnsi"/>
        </w:rPr>
      </w:pPr>
      <w:hyperlink r:id="rId28" w:history="1">
        <w:r w:rsidR="007926CC" w:rsidRPr="003722A2">
          <w:rPr>
            <w:rStyle w:val="Hyperlink"/>
            <w:rFonts w:asciiTheme="minorHAnsi" w:hAnsiTheme="minorHAnsi" w:cstheme="minorHAnsi"/>
          </w:rPr>
          <w:t>todonnell@dickinsonwright.com</w:t>
        </w:r>
      </w:hyperlink>
    </w:p>
    <w:p w14:paraId="2C38355B" w14:textId="77777777" w:rsidR="007926CC" w:rsidRPr="003722A2" w:rsidRDefault="007918A4" w:rsidP="007926CC">
      <w:pPr>
        <w:ind w:left="2880"/>
        <w:rPr>
          <w:rFonts w:asciiTheme="minorHAnsi" w:hAnsiTheme="minorHAnsi" w:cstheme="minorHAnsi"/>
        </w:rPr>
      </w:pPr>
      <w:hyperlink r:id="rId29" w:history="1">
        <w:r w:rsidR="007926CC" w:rsidRPr="003722A2">
          <w:rPr>
            <w:rStyle w:val="Hyperlink"/>
            <w:rFonts w:asciiTheme="minorHAnsi" w:hAnsiTheme="minorHAnsi" w:cstheme="minorHAnsi"/>
          </w:rPr>
          <w:t>kshimp@dickinsonwright.com</w:t>
        </w:r>
      </w:hyperlink>
    </w:p>
    <w:p w14:paraId="03639C69" w14:textId="77777777" w:rsidR="007926CC" w:rsidRPr="003722A2" w:rsidRDefault="007918A4" w:rsidP="007926CC">
      <w:pPr>
        <w:ind w:left="2880"/>
        <w:rPr>
          <w:rFonts w:asciiTheme="minorHAnsi" w:hAnsiTheme="minorHAnsi" w:cstheme="minorHAnsi"/>
        </w:rPr>
      </w:pPr>
      <w:hyperlink r:id="rId30" w:history="1">
        <w:r w:rsidR="007926CC" w:rsidRPr="003722A2">
          <w:rPr>
            <w:rStyle w:val="Hyperlink"/>
            <w:rFonts w:asciiTheme="minorHAnsi" w:hAnsiTheme="minorHAnsi" w:cstheme="minorHAnsi"/>
          </w:rPr>
          <w:t>emcconnell@elpc.org</w:t>
        </w:r>
      </w:hyperlink>
    </w:p>
    <w:p w14:paraId="1F740C0A" w14:textId="77777777" w:rsidR="007926CC" w:rsidRPr="003722A2" w:rsidRDefault="007918A4" w:rsidP="007926CC">
      <w:pPr>
        <w:ind w:left="2880"/>
        <w:rPr>
          <w:rFonts w:asciiTheme="minorHAnsi" w:hAnsiTheme="minorHAnsi" w:cstheme="minorHAnsi"/>
        </w:rPr>
      </w:pPr>
      <w:hyperlink r:id="rId31" w:history="1">
        <w:r w:rsidR="007926CC" w:rsidRPr="003722A2">
          <w:rPr>
            <w:rStyle w:val="Hyperlink"/>
            <w:rFonts w:asciiTheme="minorHAnsi" w:hAnsiTheme="minorHAnsi" w:cstheme="minorHAnsi"/>
          </w:rPr>
          <w:t>RKelter@elpc.org</w:t>
        </w:r>
      </w:hyperlink>
    </w:p>
    <w:p w14:paraId="41FE8F55" w14:textId="77777777" w:rsidR="007926CC" w:rsidRPr="003722A2" w:rsidRDefault="007918A4" w:rsidP="007926CC">
      <w:pPr>
        <w:ind w:left="2880"/>
        <w:rPr>
          <w:rFonts w:asciiTheme="minorHAnsi" w:hAnsiTheme="minorHAnsi" w:cstheme="minorHAnsi"/>
        </w:rPr>
      </w:pPr>
      <w:hyperlink r:id="rId32" w:history="1">
        <w:r w:rsidR="007926CC" w:rsidRPr="003722A2">
          <w:rPr>
            <w:rStyle w:val="Hyperlink"/>
            <w:rFonts w:asciiTheme="minorHAnsi" w:hAnsiTheme="minorHAnsi" w:cstheme="minorHAnsi"/>
          </w:rPr>
          <w:t>NWallace@elpc.org</w:t>
        </w:r>
      </w:hyperlink>
    </w:p>
    <w:p w14:paraId="5DCD9674" w14:textId="77777777" w:rsidR="007926CC" w:rsidRPr="003722A2" w:rsidRDefault="007918A4" w:rsidP="007926CC">
      <w:pPr>
        <w:ind w:left="2880"/>
        <w:rPr>
          <w:rFonts w:asciiTheme="minorHAnsi" w:hAnsiTheme="minorHAnsi" w:cstheme="minorHAnsi"/>
        </w:rPr>
      </w:pPr>
      <w:hyperlink r:id="rId33" w:history="1">
        <w:r w:rsidR="007926CC" w:rsidRPr="003722A2">
          <w:rPr>
            <w:rStyle w:val="Hyperlink"/>
            <w:rFonts w:asciiTheme="minorHAnsi" w:hAnsiTheme="minorHAnsi" w:cstheme="minorHAnsi"/>
          </w:rPr>
          <w:t>Stacie.Cathcart@igs.com</w:t>
        </w:r>
      </w:hyperlink>
    </w:p>
    <w:p w14:paraId="3311D388" w14:textId="77777777" w:rsidR="007926CC" w:rsidRPr="003722A2" w:rsidRDefault="007918A4" w:rsidP="007926CC">
      <w:pPr>
        <w:ind w:left="2880"/>
        <w:rPr>
          <w:rFonts w:asciiTheme="minorHAnsi" w:hAnsiTheme="minorHAnsi" w:cstheme="minorHAnsi"/>
        </w:rPr>
      </w:pPr>
      <w:hyperlink r:id="rId34" w:history="1">
        <w:r w:rsidR="007926CC" w:rsidRPr="003722A2">
          <w:rPr>
            <w:rStyle w:val="Hyperlink"/>
            <w:rFonts w:asciiTheme="minorHAnsi" w:hAnsiTheme="minorHAnsi" w:cstheme="minorHAnsi"/>
          </w:rPr>
          <w:t>michael.nugent@igs.com</w:t>
        </w:r>
      </w:hyperlink>
    </w:p>
    <w:p w14:paraId="4DECD7C1" w14:textId="77777777" w:rsidR="007926CC" w:rsidRPr="003722A2" w:rsidRDefault="007918A4" w:rsidP="007926CC">
      <w:pPr>
        <w:ind w:left="2880"/>
        <w:rPr>
          <w:rFonts w:asciiTheme="minorHAnsi" w:hAnsiTheme="minorHAnsi" w:cstheme="minorHAnsi"/>
        </w:rPr>
      </w:pPr>
      <w:hyperlink r:id="rId35" w:history="1">
        <w:r w:rsidR="007926CC" w:rsidRPr="003722A2">
          <w:rPr>
            <w:rStyle w:val="Hyperlink"/>
            <w:rFonts w:asciiTheme="minorHAnsi" w:hAnsiTheme="minorHAnsi" w:cstheme="minorHAnsi"/>
          </w:rPr>
          <w:t>Joe.Oliker@igs.com</w:t>
        </w:r>
      </w:hyperlink>
    </w:p>
    <w:p w14:paraId="121DEEAB" w14:textId="77777777" w:rsidR="007926CC" w:rsidRPr="003722A2" w:rsidRDefault="007918A4" w:rsidP="007926CC">
      <w:pPr>
        <w:ind w:left="2880"/>
        <w:rPr>
          <w:rFonts w:asciiTheme="minorHAnsi" w:hAnsiTheme="minorHAnsi" w:cstheme="minorHAnsi"/>
        </w:rPr>
      </w:pPr>
      <w:hyperlink r:id="rId36" w:history="1">
        <w:r w:rsidR="007926CC" w:rsidRPr="003722A2">
          <w:rPr>
            <w:rStyle w:val="Hyperlink"/>
            <w:rFonts w:asciiTheme="minorHAnsi" w:hAnsiTheme="minorHAnsi" w:cstheme="minorHAnsi"/>
          </w:rPr>
          <w:t>jlang@calfee.com</w:t>
        </w:r>
      </w:hyperlink>
    </w:p>
    <w:p w14:paraId="2159CAA6" w14:textId="77777777" w:rsidR="007926CC" w:rsidRPr="003722A2" w:rsidRDefault="007918A4" w:rsidP="007926CC">
      <w:pPr>
        <w:ind w:left="2880"/>
        <w:rPr>
          <w:rFonts w:asciiTheme="minorHAnsi" w:hAnsiTheme="minorHAnsi" w:cstheme="minorHAnsi"/>
        </w:rPr>
      </w:pPr>
      <w:hyperlink r:id="rId37" w:history="1">
        <w:r w:rsidR="007926CC" w:rsidRPr="003722A2">
          <w:rPr>
            <w:rStyle w:val="Hyperlink"/>
            <w:rFonts w:asciiTheme="minorHAnsi" w:hAnsiTheme="minorHAnsi" w:cstheme="minorHAnsi"/>
          </w:rPr>
          <w:t>mbarbara@calfee.com</w:t>
        </w:r>
      </w:hyperlink>
    </w:p>
    <w:p w14:paraId="0CC00272" w14:textId="77777777" w:rsidR="007926CC" w:rsidRPr="003722A2" w:rsidRDefault="007918A4" w:rsidP="007926CC">
      <w:pPr>
        <w:ind w:left="2880"/>
        <w:rPr>
          <w:rFonts w:asciiTheme="minorHAnsi" w:hAnsiTheme="minorHAnsi" w:cstheme="minorHAnsi"/>
        </w:rPr>
      </w:pPr>
      <w:hyperlink r:id="rId38" w:history="1">
        <w:r w:rsidR="007926CC" w:rsidRPr="003722A2">
          <w:rPr>
            <w:rStyle w:val="Hyperlink"/>
            <w:rFonts w:asciiTheme="minorHAnsi" w:hAnsiTheme="minorHAnsi" w:cstheme="minorHAnsi"/>
          </w:rPr>
          <w:t>Paul@carpenterlipps.com</w:t>
        </w:r>
      </w:hyperlink>
    </w:p>
    <w:p w14:paraId="3D2A9579" w14:textId="77777777" w:rsidR="007926CC" w:rsidRPr="003722A2" w:rsidRDefault="007918A4" w:rsidP="007926CC">
      <w:pPr>
        <w:ind w:left="2880"/>
        <w:rPr>
          <w:rFonts w:asciiTheme="minorHAnsi" w:hAnsiTheme="minorHAnsi" w:cstheme="minorHAnsi"/>
        </w:rPr>
      </w:pPr>
      <w:hyperlink r:id="rId39" w:history="1">
        <w:r w:rsidR="007926CC" w:rsidRPr="003722A2">
          <w:rPr>
            <w:rStyle w:val="Hyperlink"/>
            <w:rFonts w:asciiTheme="minorHAnsi" w:hAnsiTheme="minorHAnsi" w:cstheme="minorHAnsi"/>
          </w:rPr>
          <w:t>cadieux@carpenterlipps.com</w:t>
        </w:r>
      </w:hyperlink>
    </w:p>
    <w:p w14:paraId="25B5166E" w14:textId="77777777" w:rsidR="007926CC" w:rsidRPr="003722A2" w:rsidRDefault="007918A4" w:rsidP="007926CC">
      <w:pPr>
        <w:ind w:left="2880"/>
        <w:rPr>
          <w:rFonts w:asciiTheme="minorHAnsi" w:hAnsiTheme="minorHAnsi" w:cstheme="minorHAnsi"/>
        </w:rPr>
      </w:pPr>
      <w:hyperlink r:id="rId40" w:history="1">
        <w:r w:rsidR="007926CC" w:rsidRPr="003722A2">
          <w:rPr>
            <w:rStyle w:val="Hyperlink"/>
            <w:rFonts w:asciiTheme="minorHAnsi" w:hAnsiTheme="minorHAnsi" w:cstheme="minorHAnsi"/>
          </w:rPr>
          <w:t>dstinson@brickergraydon.com</w:t>
        </w:r>
      </w:hyperlink>
    </w:p>
    <w:p w14:paraId="2F2A3AC6" w14:textId="77777777" w:rsidR="007926CC" w:rsidRPr="003722A2" w:rsidRDefault="007918A4" w:rsidP="007926CC">
      <w:pPr>
        <w:ind w:left="2880"/>
        <w:rPr>
          <w:rFonts w:asciiTheme="minorHAnsi" w:hAnsiTheme="minorHAnsi" w:cstheme="minorHAnsi"/>
        </w:rPr>
      </w:pPr>
      <w:hyperlink r:id="rId41" w:history="1">
        <w:r w:rsidR="007926CC" w:rsidRPr="003722A2">
          <w:rPr>
            <w:rStyle w:val="Hyperlink"/>
            <w:rFonts w:asciiTheme="minorHAnsi" w:hAnsiTheme="minorHAnsi" w:cstheme="minorHAnsi"/>
          </w:rPr>
          <w:t>gkrassen@nopec.org</w:t>
        </w:r>
      </w:hyperlink>
    </w:p>
    <w:p w14:paraId="021D9C58" w14:textId="77777777" w:rsidR="007926CC" w:rsidRPr="003722A2" w:rsidRDefault="007918A4" w:rsidP="007926CC">
      <w:pPr>
        <w:ind w:left="2880"/>
        <w:rPr>
          <w:rFonts w:asciiTheme="minorHAnsi" w:hAnsiTheme="minorHAnsi" w:cstheme="minorHAnsi"/>
        </w:rPr>
      </w:pPr>
      <w:hyperlink r:id="rId42" w:history="1">
        <w:r w:rsidR="007926CC" w:rsidRPr="003722A2">
          <w:rPr>
            <w:rStyle w:val="Hyperlink"/>
            <w:rFonts w:asciiTheme="minorHAnsi" w:hAnsiTheme="minorHAnsi" w:cstheme="minorHAnsi"/>
          </w:rPr>
          <w:t>trhayslaw@gmail.com</w:t>
        </w:r>
      </w:hyperlink>
    </w:p>
    <w:p w14:paraId="45038A59" w14:textId="77777777" w:rsidR="007926CC" w:rsidRPr="003722A2" w:rsidRDefault="007918A4" w:rsidP="007926CC">
      <w:pPr>
        <w:ind w:left="2880"/>
        <w:rPr>
          <w:rFonts w:asciiTheme="minorHAnsi" w:hAnsiTheme="minorHAnsi" w:cstheme="minorHAnsi"/>
        </w:rPr>
      </w:pPr>
      <w:hyperlink r:id="rId43" w:history="1">
        <w:r w:rsidR="007926CC" w:rsidRPr="003722A2">
          <w:rPr>
            <w:rStyle w:val="Hyperlink"/>
            <w:rFonts w:asciiTheme="minorHAnsi" w:hAnsiTheme="minorHAnsi" w:cstheme="minorHAnsi"/>
          </w:rPr>
          <w:t>leslie.kovacik@toledo.oh.gov</w:t>
        </w:r>
      </w:hyperlink>
    </w:p>
    <w:p w14:paraId="33DF62E2" w14:textId="77777777" w:rsidR="007926CC" w:rsidRPr="003722A2" w:rsidRDefault="007918A4" w:rsidP="007926CC">
      <w:pPr>
        <w:ind w:left="2880"/>
        <w:rPr>
          <w:rFonts w:asciiTheme="minorHAnsi" w:hAnsiTheme="minorHAnsi" w:cstheme="minorHAnsi"/>
        </w:rPr>
      </w:pPr>
      <w:hyperlink r:id="rId44" w:history="1">
        <w:r w:rsidR="007926CC" w:rsidRPr="003722A2">
          <w:rPr>
            <w:rStyle w:val="Hyperlink"/>
            <w:rFonts w:asciiTheme="minorHAnsi" w:hAnsiTheme="minorHAnsi" w:cstheme="minorHAnsi"/>
          </w:rPr>
          <w:t>john.finnigan@occ.ohio.gov</w:t>
        </w:r>
      </w:hyperlink>
    </w:p>
    <w:p w14:paraId="1BE14DD2" w14:textId="77777777" w:rsidR="007926CC" w:rsidRPr="003722A2" w:rsidRDefault="007918A4" w:rsidP="007926CC">
      <w:pPr>
        <w:ind w:left="2880"/>
        <w:rPr>
          <w:rFonts w:asciiTheme="minorHAnsi" w:hAnsiTheme="minorHAnsi" w:cstheme="minorHAnsi"/>
        </w:rPr>
      </w:pPr>
      <w:hyperlink r:id="rId45" w:history="1">
        <w:r w:rsidR="007926CC" w:rsidRPr="003722A2">
          <w:rPr>
            <w:rStyle w:val="Hyperlink"/>
            <w:rFonts w:asciiTheme="minorHAnsi" w:hAnsiTheme="minorHAnsi" w:cstheme="minorHAnsi"/>
          </w:rPr>
          <w:t>robert.eubanks@occ.ohio.gov</w:t>
        </w:r>
      </w:hyperlink>
    </w:p>
    <w:p w14:paraId="2D734356" w14:textId="77777777" w:rsidR="007926CC" w:rsidRPr="003722A2" w:rsidRDefault="007918A4" w:rsidP="007926CC">
      <w:pPr>
        <w:ind w:left="2880"/>
        <w:rPr>
          <w:rFonts w:asciiTheme="minorHAnsi" w:hAnsiTheme="minorHAnsi" w:cstheme="minorHAnsi"/>
        </w:rPr>
      </w:pPr>
      <w:hyperlink r:id="rId46" w:history="1">
        <w:r w:rsidR="007926CC" w:rsidRPr="003722A2">
          <w:rPr>
            <w:rStyle w:val="Hyperlink"/>
            <w:rFonts w:asciiTheme="minorHAnsi" w:hAnsiTheme="minorHAnsi" w:cstheme="minorHAnsi"/>
          </w:rPr>
          <w:t>william.michael@occ.ohio.gov</w:t>
        </w:r>
      </w:hyperlink>
    </w:p>
    <w:p w14:paraId="39EB101C" w14:textId="77777777" w:rsidR="007926CC" w:rsidRPr="003722A2" w:rsidRDefault="007918A4" w:rsidP="007926CC">
      <w:pPr>
        <w:ind w:left="2880"/>
        <w:rPr>
          <w:rFonts w:asciiTheme="minorHAnsi" w:hAnsiTheme="minorHAnsi" w:cstheme="minorHAnsi"/>
        </w:rPr>
      </w:pPr>
      <w:hyperlink r:id="rId47" w:history="1">
        <w:r w:rsidR="007926CC" w:rsidRPr="003722A2">
          <w:rPr>
            <w:rStyle w:val="Hyperlink"/>
            <w:rFonts w:asciiTheme="minorHAnsi" w:hAnsiTheme="minorHAnsi" w:cstheme="minorHAnsi"/>
          </w:rPr>
          <w:t>alex.hickey@occ.ohio.gov</w:t>
        </w:r>
      </w:hyperlink>
    </w:p>
    <w:p w14:paraId="09D5E229" w14:textId="77777777" w:rsidR="007926CC" w:rsidRPr="003722A2" w:rsidRDefault="007918A4" w:rsidP="007926CC">
      <w:pPr>
        <w:ind w:left="2880"/>
        <w:rPr>
          <w:rFonts w:asciiTheme="minorHAnsi" w:hAnsiTheme="minorHAnsi" w:cstheme="minorHAnsi"/>
        </w:rPr>
      </w:pPr>
      <w:hyperlink r:id="rId48" w:history="1">
        <w:r w:rsidR="007926CC" w:rsidRPr="003722A2">
          <w:rPr>
            <w:rStyle w:val="Hyperlink"/>
            <w:rFonts w:asciiTheme="minorHAnsi" w:hAnsiTheme="minorHAnsi" w:cstheme="minorHAnsi"/>
          </w:rPr>
          <w:t>thomas.zuehlke@occ.ohio.gov</w:t>
        </w:r>
      </w:hyperlink>
    </w:p>
    <w:p w14:paraId="6D51E628" w14:textId="77777777" w:rsidR="007926CC" w:rsidRPr="003722A2" w:rsidRDefault="007918A4" w:rsidP="007926CC">
      <w:pPr>
        <w:ind w:left="2880"/>
        <w:rPr>
          <w:rFonts w:asciiTheme="minorHAnsi" w:hAnsiTheme="minorHAnsi" w:cstheme="minorHAnsi"/>
        </w:rPr>
      </w:pPr>
      <w:hyperlink r:id="rId49" w:history="1">
        <w:r w:rsidR="007926CC" w:rsidRPr="003722A2">
          <w:rPr>
            <w:rStyle w:val="Hyperlink"/>
            <w:rFonts w:asciiTheme="minorHAnsi" w:hAnsiTheme="minorHAnsi" w:cstheme="minorHAnsi"/>
          </w:rPr>
          <w:t>mkurtz@BKLlawfirm.com</w:t>
        </w:r>
      </w:hyperlink>
    </w:p>
    <w:p w14:paraId="79F76D43" w14:textId="77777777" w:rsidR="007926CC" w:rsidRPr="003722A2" w:rsidRDefault="007918A4" w:rsidP="007926CC">
      <w:pPr>
        <w:ind w:left="2880"/>
        <w:rPr>
          <w:rFonts w:asciiTheme="minorHAnsi" w:hAnsiTheme="minorHAnsi" w:cstheme="minorHAnsi"/>
        </w:rPr>
      </w:pPr>
      <w:hyperlink r:id="rId50" w:history="1">
        <w:r w:rsidR="007926CC" w:rsidRPr="003722A2">
          <w:rPr>
            <w:rStyle w:val="Hyperlink"/>
            <w:rFonts w:asciiTheme="minorHAnsi" w:hAnsiTheme="minorHAnsi" w:cstheme="minorHAnsi"/>
          </w:rPr>
          <w:t>jkylercohn@BKLlawfirm.com</w:t>
        </w:r>
      </w:hyperlink>
      <w:r w:rsidR="007926CC" w:rsidRPr="003722A2">
        <w:rPr>
          <w:rFonts w:asciiTheme="minorHAnsi" w:hAnsiTheme="minorHAnsi" w:cstheme="minorHAnsi"/>
        </w:rPr>
        <w:t xml:space="preserve"> </w:t>
      </w:r>
    </w:p>
    <w:p w14:paraId="2427905D" w14:textId="77777777" w:rsidR="007926CC" w:rsidRPr="003722A2" w:rsidRDefault="007918A4" w:rsidP="007926CC">
      <w:pPr>
        <w:ind w:left="2880"/>
        <w:rPr>
          <w:rFonts w:asciiTheme="minorHAnsi" w:hAnsiTheme="minorHAnsi" w:cstheme="minorHAnsi"/>
        </w:rPr>
      </w:pPr>
      <w:hyperlink r:id="rId51" w:history="1">
        <w:r w:rsidR="007926CC" w:rsidRPr="003722A2">
          <w:rPr>
            <w:rStyle w:val="Hyperlink"/>
            <w:rFonts w:asciiTheme="minorHAnsi" w:hAnsiTheme="minorHAnsi" w:cstheme="minorHAnsi"/>
          </w:rPr>
          <w:t>dproano@bakerlaw.com</w:t>
        </w:r>
      </w:hyperlink>
    </w:p>
    <w:p w14:paraId="1CD9FE5A" w14:textId="77777777" w:rsidR="007926CC" w:rsidRPr="003722A2" w:rsidRDefault="007918A4" w:rsidP="007926CC">
      <w:pPr>
        <w:ind w:left="2880"/>
        <w:rPr>
          <w:rFonts w:asciiTheme="minorHAnsi" w:hAnsiTheme="minorHAnsi" w:cstheme="minorHAnsi"/>
        </w:rPr>
      </w:pPr>
      <w:hyperlink r:id="rId52" w:history="1">
        <w:r w:rsidR="007926CC" w:rsidRPr="003722A2">
          <w:rPr>
            <w:rStyle w:val="Hyperlink"/>
            <w:rFonts w:asciiTheme="minorHAnsi" w:hAnsiTheme="minorHAnsi" w:cstheme="minorHAnsi"/>
          </w:rPr>
          <w:t>ahaque@bakerlaw.com</w:t>
        </w:r>
      </w:hyperlink>
    </w:p>
    <w:p w14:paraId="71FF8FDE" w14:textId="77777777" w:rsidR="007926CC" w:rsidRPr="003722A2" w:rsidRDefault="007918A4" w:rsidP="007926CC">
      <w:pPr>
        <w:ind w:left="2880"/>
        <w:rPr>
          <w:rFonts w:asciiTheme="minorHAnsi" w:hAnsiTheme="minorHAnsi" w:cstheme="minorHAnsi"/>
        </w:rPr>
      </w:pPr>
      <w:hyperlink r:id="rId53" w:history="1">
        <w:r w:rsidR="007926CC" w:rsidRPr="003722A2">
          <w:rPr>
            <w:rStyle w:val="Hyperlink"/>
            <w:rFonts w:asciiTheme="minorHAnsi" w:hAnsiTheme="minorHAnsi" w:cstheme="minorHAnsi"/>
          </w:rPr>
          <w:t>eprouty@bakerlaw.com</w:t>
        </w:r>
      </w:hyperlink>
    </w:p>
    <w:p w14:paraId="743F3B4B" w14:textId="77777777" w:rsidR="007926CC" w:rsidRPr="003722A2" w:rsidRDefault="007918A4" w:rsidP="007926CC">
      <w:pPr>
        <w:ind w:left="2880"/>
        <w:rPr>
          <w:rFonts w:asciiTheme="minorHAnsi" w:hAnsiTheme="minorHAnsi" w:cstheme="minorHAnsi"/>
        </w:rPr>
      </w:pPr>
      <w:hyperlink r:id="rId54" w:history="1">
        <w:r w:rsidR="007926CC" w:rsidRPr="003722A2">
          <w:rPr>
            <w:rStyle w:val="Hyperlink"/>
            <w:rFonts w:asciiTheme="minorHAnsi" w:hAnsiTheme="minorHAnsi" w:cstheme="minorHAnsi"/>
          </w:rPr>
          <w:t>pwillison@bakerlaw.com</w:t>
        </w:r>
      </w:hyperlink>
    </w:p>
    <w:p w14:paraId="38D2B1FE" w14:textId="77777777" w:rsidR="007926CC" w:rsidRPr="003722A2" w:rsidRDefault="007918A4" w:rsidP="007926CC">
      <w:pPr>
        <w:ind w:left="2880"/>
        <w:rPr>
          <w:rFonts w:asciiTheme="minorHAnsi" w:hAnsiTheme="minorHAnsi" w:cstheme="minorHAnsi"/>
        </w:rPr>
      </w:pPr>
      <w:hyperlink r:id="rId55" w:history="1">
        <w:r w:rsidR="007926CC" w:rsidRPr="003722A2">
          <w:rPr>
            <w:rStyle w:val="Hyperlink"/>
            <w:rFonts w:asciiTheme="minorHAnsi" w:hAnsiTheme="minorHAnsi" w:cstheme="minorHAnsi"/>
          </w:rPr>
          <w:t>knordstrom@theOEC.org</w:t>
        </w:r>
      </w:hyperlink>
    </w:p>
    <w:p w14:paraId="06033FF5" w14:textId="77777777" w:rsidR="007926CC" w:rsidRPr="003722A2" w:rsidRDefault="007918A4" w:rsidP="007926CC">
      <w:pPr>
        <w:ind w:left="2880"/>
        <w:rPr>
          <w:rFonts w:asciiTheme="minorHAnsi" w:hAnsiTheme="minorHAnsi" w:cstheme="minorHAnsi"/>
        </w:rPr>
      </w:pPr>
      <w:hyperlink r:id="rId56" w:history="1">
        <w:r w:rsidR="007926CC" w:rsidRPr="003722A2">
          <w:rPr>
            <w:rStyle w:val="Hyperlink"/>
            <w:rFonts w:asciiTheme="minorHAnsi" w:hAnsiTheme="minorHAnsi" w:cstheme="minorHAnsi"/>
          </w:rPr>
          <w:t>ctavenor@theOEC.org</w:t>
        </w:r>
      </w:hyperlink>
    </w:p>
    <w:p w14:paraId="45B955F2" w14:textId="77777777" w:rsidR="007926CC" w:rsidRPr="003722A2" w:rsidRDefault="007918A4" w:rsidP="007926CC">
      <w:pPr>
        <w:ind w:left="2880"/>
        <w:rPr>
          <w:rFonts w:asciiTheme="minorHAnsi" w:hAnsiTheme="minorHAnsi" w:cstheme="minorHAnsi"/>
        </w:rPr>
      </w:pPr>
      <w:hyperlink r:id="rId57" w:history="1">
        <w:r w:rsidR="007926CC" w:rsidRPr="003722A2">
          <w:rPr>
            <w:rStyle w:val="Hyperlink"/>
            <w:rFonts w:asciiTheme="minorHAnsi" w:hAnsiTheme="minorHAnsi" w:cstheme="minorHAnsi"/>
          </w:rPr>
          <w:t>dparram@brickergraydon.com</w:t>
        </w:r>
      </w:hyperlink>
    </w:p>
    <w:p w14:paraId="72230ABD" w14:textId="77777777" w:rsidR="007926CC" w:rsidRPr="003722A2" w:rsidRDefault="007918A4" w:rsidP="007926CC">
      <w:pPr>
        <w:ind w:left="2880"/>
        <w:rPr>
          <w:rFonts w:asciiTheme="minorHAnsi" w:hAnsiTheme="minorHAnsi" w:cstheme="minorHAnsi"/>
        </w:rPr>
      </w:pPr>
      <w:hyperlink r:id="rId58" w:history="1">
        <w:r w:rsidR="007926CC" w:rsidRPr="003722A2">
          <w:rPr>
            <w:rStyle w:val="Hyperlink"/>
            <w:rFonts w:asciiTheme="minorHAnsi" w:hAnsiTheme="minorHAnsi" w:cstheme="minorHAnsi"/>
          </w:rPr>
          <w:t>rmains@brickergraydon.com</w:t>
        </w:r>
      </w:hyperlink>
    </w:p>
    <w:p w14:paraId="455FEF18" w14:textId="77777777" w:rsidR="007926CC" w:rsidRPr="003722A2" w:rsidRDefault="007918A4" w:rsidP="007926CC">
      <w:pPr>
        <w:ind w:left="2880"/>
        <w:rPr>
          <w:rFonts w:asciiTheme="minorHAnsi" w:hAnsiTheme="minorHAnsi" w:cstheme="minorHAnsi"/>
        </w:rPr>
      </w:pPr>
      <w:hyperlink r:id="rId59" w:history="1">
        <w:r w:rsidR="007926CC" w:rsidRPr="003722A2">
          <w:rPr>
            <w:rStyle w:val="Hyperlink"/>
            <w:rFonts w:asciiTheme="minorHAnsi" w:hAnsiTheme="minorHAnsi" w:cstheme="minorHAnsi"/>
          </w:rPr>
          <w:t>bojko@carpenterlipps.com</w:t>
        </w:r>
      </w:hyperlink>
    </w:p>
    <w:p w14:paraId="0C643E12" w14:textId="77777777" w:rsidR="007926CC" w:rsidRPr="003722A2" w:rsidRDefault="007918A4" w:rsidP="007926CC">
      <w:pPr>
        <w:ind w:left="2880"/>
        <w:rPr>
          <w:rFonts w:asciiTheme="minorHAnsi" w:hAnsiTheme="minorHAnsi" w:cstheme="minorHAnsi"/>
        </w:rPr>
      </w:pPr>
      <w:hyperlink r:id="rId60" w:history="1">
        <w:r w:rsidR="007926CC" w:rsidRPr="003722A2">
          <w:rPr>
            <w:rStyle w:val="Hyperlink"/>
            <w:rFonts w:asciiTheme="minorHAnsi" w:hAnsiTheme="minorHAnsi" w:cstheme="minorHAnsi"/>
          </w:rPr>
          <w:t>easley@carpenterlipps.com</w:t>
        </w:r>
      </w:hyperlink>
    </w:p>
    <w:p w14:paraId="7CADDD8D" w14:textId="77777777" w:rsidR="007926CC" w:rsidRPr="003722A2" w:rsidRDefault="007918A4" w:rsidP="007926CC">
      <w:pPr>
        <w:ind w:left="2880"/>
        <w:rPr>
          <w:rFonts w:asciiTheme="minorHAnsi" w:hAnsiTheme="minorHAnsi" w:cstheme="minorHAnsi"/>
        </w:rPr>
      </w:pPr>
      <w:hyperlink r:id="rId61" w:history="1">
        <w:r w:rsidR="007926CC" w:rsidRPr="003722A2">
          <w:rPr>
            <w:rStyle w:val="Hyperlink"/>
            <w:rFonts w:asciiTheme="minorHAnsi" w:hAnsiTheme="minorHAnsi" w:cstheme="minorHAnsi"/>
          </w:rPr>
          <w:t>rdove@keglerbrown.com</w:t>
        </w:r>
      </w:hyperlink>
    </w:p>
    <w:p w14:paraId="35196016" w14:textId="77777777" w:rsidR="007926CC" w:rsidRPr="003722A2" w:rsidRDefault="007918A4" w:rsidP="007926CC">
      <w:pPr>
        <w:ind w:left="2880"/>
        <w:rPr>
          <w:rFonts w:asciiTheme="minorHAnsi" w:hAnsiTheme="minorHAnsi" w:cstheme="minorHAnsi"/>
        </w:rPr>
      </w:pPr>
      <w:hyperlink r:id="rId62" w:history="1">
        <w:r w:rsidR="007926CC" w:rsidRPr="003722A2">
          <w:rPr>
            <w:rStyle w:val="Hyperlink"/>
            <w:rFonts w:asciiTheme="minorHAnsi" w:hAnsiTheme="minorHAnsi" w:cstheme="minorHAnsi"/>
          </w:rPr>
          <w:t>nbobb@keglerbrown.com</w:t>
        </w:r>
      </w:hyperlink>
    </w:p>
    <w:p w14:paraId="2987FB31" w14:textId="77777777" w:rsidR="007926CC" w:rsidRPr="003722A2" w:rsidRDefault="007918A4" w:rsidP="007926CC">
      <w:pPr>
        <w:ind w:left="2880"/>
        <w:rPr>
          <w:rFonts w:asciiTheme="minorHAnsi" w:hAnsiTheme="minorHAnsi" w:cstheme="minorHAnsi"/>
        </w:rPr>
      </w:pPr>
      <w:hyperlink r:id="rId63" w:history="1">
        <w:r w:rsidR="007926CC" w:rsidRPr="003722A2">
          <w:rPr>
            <w:rStyle w:val="Hyperlink"/>
            <w:rFonts w:asciiTheme="minorHAnsi" w:hAnsiTheme="minorHAnsi" w:cstheme="minorHAnsi"/>
          </w:rPr>
          <w:t>little@litohio.com</w:t>
        </w:r>
      </w:hyperlink>
    </w:p>
    <w:p w14:paraId="60BC606A" w14:textId="77777777" w:rsidR="007926CC" w:rsidRPr="003722A2" w:rsidRDefault="007918A4" w:rsidP="007926CC">
      <w:pPr>
        <w:ind w:left="2880"/>
        <w:rPr>
          <w:rFonts w:asciiTheme="minorHAnsi" w:hAnsiTheme="minorHAnsi" w:cstheme="minorHAnsi"/>
        </w:rPr>
      </w:pPr>
      <w:hyperlink r:id="rId64" w:history="1">
        <w:r w:rsidR="007926CC" w:rsidRPr="003722A2">
          <w:rPr>
            <w:rStyle w:val="Hyperlink"/>
            <w:rFonts w:asciiTheme="minorHAnsi" w:hAnsiTheme="minorHAnsi" w:cstheme="minorHAnsi"/>
          </w:rPr>
          <w:t>hogan@litohio.com</w:t>
        </w:r>
      </w:hyperlink>
    </w:p>
    <w:p w14:paraId="35CBA5A4" w14:textId="77777777" w:rsidR="007926CC" w:rsidRPr="003722A2" w:rsidRDefault="007918A4" w:rsidP="007926CC">
      <w:pPr>
        <w:ind w:left="2880"/>
        <w:rPr>
          <w:rFonts w:asciiTheme="minorHAnsi" w:hAnsiTheme="minorHAnsi" w:cstheme="minorHAnsi"/>
        </w:rPr>
      </w:pPr>
      <w:hyperlink r:id="rId65" w:history="1">
        <w:r w:rsidR="007926CC" w:rsidRPr="003722A2">
          <w:rPr>
            <w:rStyle w:val="Hyperlink"/>
            <w:rFonts w:asciiTheme="minorHAnsi" w:hAnsiTheme="minorHAnsi" w:cstheme="minorHAnsi"/>
          </w:rPr>
          <w:t>ktreadway@oneenergyllc.com</w:t>
        </w:r>
      </w:hyperlink>
    </w:p>
    <w:p w14:paraId="609E43F7" w14:textId="77777777" w:rsidR="007926CC" w:rsidRPr="003722A2" w:rsidRDefault="007918A4" w:rsidP="007926CC">
      <w:pPr>
        <w:ind w:left="2880"/>
        <w:rPr>
          <w:rFonts w:asciiTheme="minorHAnsi" w:hAnsiTheme="minorHAnsi" w:cstheme="minorHAnsi"/>
        </w:rPr>
      </w:pPr>
      <w:hyperlink r:id="rId66" w:history="1">
        <w:r w:rsidR="007926CC" w:rsidRPr="003722A2">
          <w:rPr>
            <w:rStyle w:val="Hyperlink"/>
            <w:rFonts w:asciiTheme="minorHAnsi" w:hAnsiTheme="minorHAnsi" w:cstheme="minorHAnsi"/>
          </w:rPr>
          <w:t>jdunn@oneenergyllc.com</w:t>
        </w:r>
      </w:hyperlink>
    </w:p>
    <w:p w14:paraId="32A24E32" w14:textId="77777777" w:rsidR="007926CC" w:rsidRPr="003722A2" w:rsidRDefault="007918A4" w:rsidP="007926CC">
      <w:pPr>
        <w:ind w:left="2880"/>
        <w:rPr>
          <w:rFonts w:asciiTheme="minorHAnsi" w:hAnsiTheme="minorHAnsi" w:cstheme="minorHAnsi"/>
        </w:rPr>
      </w:pPr>
      <w:hyperlink r:id="rId67" w:history="1">
        <w:r w:rsidR="007926CC" w:rsidRPr="003722A2">
          <w:rPr>
            <w:rStyle w:val="Hyperlink"/>
            <w:rFonts w:asciiTheme="minorHAnsi" w:hAnsiTheme="minorHAnsi" w:cstheme="minorHAnsi"/>
          </w:rPr>
          <w:t>mpritchard@mcneeslaw.com</w:t>
        </w:r>
      </w:hyperlink>
    </w:p>
    <w:p w14:paraId="179EAA7C" w14:textId="77777777" w:rsidR="007926CC" w:rsidRPr="003722A2" w:rsidRDefault="007918A4" w:rsidP="007926CC">
      <w:pPr>
        <w:ind w:left="2880"/>
        <w:rPr>
          <w:rFonts w:asciiTheme="minorHAnsi" w:hAnsiTheme="minorHAnsi" w:cstheme="minorHAnsi"/>
        </w:rPr>
      </w:pPr>
      <w:hyperlink r:id="rId68" w:history="1">
        <w:r w:rsidR="007926CC" w:rsidRPr="003722A2">
          <w:rPr>
            <w:rStyle w:val="Hyperlink"/>
            <w:rFonts w:asciiTheme="minorHAnsi" w:hAnsiTheme="minorHAnsi" w:cstheme="minorHAnsi"/>
          </w:rPr>
          <w:t>awalke@mcneeslaw.com</w:t>
        </w:r>
      </w:hyperlink>
    </w:p>
    <w:p w14:paraId="3CFF141D" w14:textId="77777777" w:rsidR="007926CC" w:rsidRPr="003722A2" w:rsidRDefault="007918A4" w:rsidP="007926CC">
      <w:pPr>
        <w:ind w:left="2880"/>
        <w:rPr>
          <w:rFonts w:asciiTheme="minorHAnsi" w:hAnsiTheme="minorHAnsi" w:cstheme="minorHAnsi"/>
        </w:rPr>
      </w:pPr>
      <w:hyperlink r:id="rId69" w:history="1">
        <w:r w:rsidR="007926CC" w:rsidRPr="003722A2">
          <w:rPr>
            <w:rStyle w:val="Hyperlink"/>
            <w:rFonts w:asciiTheme="minorHAnsi" w:hAnsiTheme="minorHAnsi" w:cstheme="minorHAnsi"/>
          </w:rPr>
          <w:t>tlong@mcneeslaw.com</w:t>
        </w:r>
      </w:hyperlink>
    </w:p>
    <w:p w14:paraId="20B377CD" w14:textId="77777777" w:rsidR="007926CC" w:rsidRPr="003722A2" w:rsidRDefault="007918A4" w:rsidP="007926CC">
      <w:pPr>
        <w:ind w:left="2880"/>
        <w:rPr>
          <w:rFonts w:asciiTheme="minorHAnsi" w:hAnsiTheme="minorHAnsi" w:cstheme="minorHAnsi"/>
        </w:rPr>
      </w:pPr>
      <w:hyperlink r:id="rId70" w:history="1">
        <w:r w:rsidR="007926CC" w:rsidRPr="003722A2">
          <w:rPr>
            <w:rStyle w:val="Hyperlink"/>
            <w:rFonts w:asciiTheme="minorHAnsi" w:hAnsiTheme="minorHAnsi" w:cstheme="minorHAnsi"/>
          </w:rPr>
          <w:t>eowoyt@vorys.com</w:t>
        </w:r>
      </w:hyperlink>
    </w:p>
    <w:p w14:paraId="2007B018" w14:textId="77777777" w:rsidR="007926CC" w:rsidRPr="003722A2" w:rsidRDefault="007918A4" w:rsidP="007926CC">
      <w:pPr>
        <w:ind w:left="2880"/>
        <w:rPr>
          <w:rFonts w:asciiTheme="minorHAnsi" w:hAnsiTheme="minorHAnsi" w:cstheme="minorHAnsi"/>
        </w:rPr>
      </w:pPr>
      <w:hyperlink r:id="rId71" w:history="1">
        <w:r w:rsidR="007926CC" w:rsidRPr="003722A2">
          <w:rPr>
            <w:rStyle w:val="Hyperlink"/>
            <w:rFonts w:asciiTheme="minorHAnsi" w:hAnsiTheme="minorHAnsi" w:cstheme="minorHAnsi"/>
          </w:rPr>
          <w:t>todd.schafer@outlook.com</w:t>
        </w:r>
      </w:hyperlink>
    </w:p>
    <w:p w14:paraId="61FB3A2B" w14:textId="77777777" w:rsidR="007926CC" w:rsidRPr="003722A2" w:rsidRDefault="007918A4" w:rsidP="007926CC">
      <w:pPr>
        <w:ind w:left="2880"/>
        <w:rPr>
          <w:rFonts w:asciiTheme="minorHAnsi" w:hAnsiTheme="minorHAnsi" w:cstheme="minorHAnsi"/>
        </w:rPr>
      </w:pPr>
      <w:hyperlink r:id="rId72" w:history="1">
        <w:r w:rsidR="007926CC" w:rsidRPr="003722A2">
          <w:rPr>
            <w:rStyle w:val="Hyperlink"/>
            <w:rFonts w:asciiTheme="minorHAnsi" w:hAnsiTheme="minorHAnsi" w:cstheme="minorHAnsi"/>
          </w:rPr>
          <w:t>cgrundmann@spilmanlaw.com</w:t>
        </w:r>
      </w:hyperlink>
    </w:p>
    <w:p w14:paraId="7DF37F53" w14:textId="77777777" w:rsidR="007926CC" w:rsidRPr="003722A2" w:rsidRDefault="007918A4" w:rsidP="007926CC">
      <w:pPr>
        <w:ind w:left="2880"/>
        <w:rPr>
          <w:rFonts w:asciiTheme="minorHAnsi" w:hAnsiTheme="minorHAnsi" w:cstheme="minorHAnsi"/>
        </w:rPr>
      </w:pPr>
      <w:hyperlink r:id="rId73" w:history="1">
        <w:r w:rsidR="007926CC" w:rsidRPr="003722A2">
          <w:rPr>
            <w:rStyle w:val="Hyperlink"/>
            <w:rFonts w:asciiTheme="minorHAnsi" w:hAnsiTheme="minorHAnsi" w:cstheme="minorHAnsi"/>
          </w:rPr>
          <w:t>dwilliamson@spilmanlaw.com</w:t>
        </w:r>
      </w:hyperlink>
    </w:p>
    <w:p w14:paraId="01688F17" w14:textId="77777777" w:rsidR="007926CC" w:rsidRPr="003722A2" w:rsidRDefault="007918A4" w:rsidP="007926CC">
      <w:pPr>
        <w:ind w:left="2880"/>
        <w:rPr>
          <w:rFonts w:asciiTheme="minorHAnsi" w:hAnsiTheme="minorHAnsi" w:cstheme="minorHAnsi"/>
        </w:rPr>
      </w:pPr>
      <w:hyperlink r:id="rId74" w:history="1">
        <w:r w:rsidR="007926CC" w:rsidRPr="003722A2">
          <w:rPr>
            <w:rStyle w:val="Hyperlink"/>
            <w:rFonts w:asciiTheme="minorHAnsi" w:hAnsiTheme="minorHAnsi" w:cstheme="minorHAnsi"/>
          </w:rPr>
          <w:t>slee@spilmanlaw.com</w:t>
        </w:r>
      </w:hyperlink>
    </w:p>
    <w:p w14:paraId="23460341" w14:textId="77777777" w:rsidR="007926CC" w:rsidRPr="003722A2" w:rsidRDefault="007918A4" w:rsidP="007926CC">
      <w:pPr>
        <w:ind w:left="2880"/>
        <w:rPr>
          <w:rFonts w:asciiTheme="minorHAnsi" w:hAnsiTheme="minorHAnsi" w:cstheme="minorHAnsi"/>
        </w:rPr>
      </w:pPr>
      <w:hyperlink r:id="rId75" w:history="1">
        <w:r w:rsidR="007926CC" w:rsidRPr="003722A2">
          <w:rPr>
            <w:rStyle w:val="Hyperlink"/>
            <w:rFonts w:asciiTheme="minorHAnsi" w:hAnsiTheme="minorHAnsi" w:cstheme="minorHAnsi"/>
          </w:rPr>
          <w:t>Alex.Kronauer@walmart.com</w:t>
        </w:r>
      </w:hyperlink>
    </w:p>
    <w:p w14:paraId="4FF79A4C" w14:textId="77777777" w:rsidR="007926CC" w:rsidRPr="003722A2" w:rsidRDefault="007918A4" w:rsidP="007926CC">
      <w:pPr>
        <w:ind w:left="2880"/>
        <w:rPr>
          <w:rFonts w:asciiTheme="minorHAnsi" w:hAnsiTheme="minorHAnsi" w:cstheme="minorHAnsi"/>
        </w:rPr>
      </w:pPr>
      <w:hyperlink r:id="rId76" w:history="1">
        <w:r w:rsidR="007926CC" w:rsidRPr="003722A2">
          <w:rPr>
            <w:rStyle w:val="Hyperlink"/>
            <w:rFonts w:asciiTheme="minorHAnsi" w:hAnsiTheme="minorHAnsi" w:cstheme="minorHAnsi"/>
          </w:rPr>
          <w:t>junger@spilmanlaw.com</w:t>
        </w:r>
      </w:hyperlink>
    </w:p>
    <w:p w14:paraId="68E7381A" w14:textId="77777777" w:rsidR="007926CC" w:rsidRPr="003722A2" w:rsidRDefault="007918A4" w:rsidP="007926CC">
      <w:pPr>
        <w:ind w:left="2880"/>
        <w:rPr>
          <w:rFonts w:asciiTheme="minorHAnsi" w:hAnsiTheme="minorHAnsi" w:cstheme="minorHAnsi"/>
        </w:rPr>
      </w:pPr>
      <w:hyperlink r:id="rId77" w:history="1">
        <w:r w:rsidR="007926CC" w:rsidRPr="003722A2">
          <w:rPr>
            <w:rStyle w:val="Hyperlink"/>
            <w:rFonts w:asciiTheme="minorHAnsi" w:hAnsiTheme="minorHAnsi" w:cstheme="minorHAnsi"/>
          </w:rPr>
          <w:t>megan.addison@puco.ohio.gov</w:t>
        </w:r>
      </w:hyperlink>
    </w:p>
    <w:p w14:paraId="0960218E" w14:textId="77777777" w:rsidR="007926CC" w:rsidRPr="003722A2" w:rsidRDefault="007918A4" w:rsidP="007926CC">
      <w:pPr>
        <w:ind w:left="2880"/>
        <w:rPr>
          <w:rFonts w:asciiTheme="minorHAnsi" w:hAnsiTheme="minorHAnsi" w:cstheme="minorHAnsi"/>
        </w:rPr>
      </w:pPr>
      <w:hyperlink r:id="rId78" w:history="1">
        <w:r w:rsidR="007926CC" w:rsidRPr="003722A2">
          <w:rPr>
            <w:rStyle w:val="Hyperlink"/>
            <w:rFonts w:asciiTheme="minorHAnsi" w:hAnsiTheme="minorHAnsi" w:cstheme="minorHAnsi"/>
          </w:rPr>
          <w:t>greg.price@puco.ohio.gov</w:t>
        </w:r>
      </w:hyperlink>
    </w:p>
    <w:p w14:paraId="47F3EB79" w14:textId="77777777" w:rsidR="007926CC" w:rsidRPr="003722A2" w:rsidRDefault="007918A4" w:rsidP="007926CC">
      <w:pPr>
        <w:ind w:left="2880"/>
        <w:rPr>
          <w:rFonts w:asciiTheme="minorHAnsi" w:hAnsiTheme="minorHAnsi" w:cstheme="minorHAnsi"/>
        </w:rPr>
      </w:pPr>
      <w:hyperlink r:id="rId79" w:history="1">
        <w:r w:rsidR="007926CC" w:rsidRPr="003722A2">
          <w:rPr>
            <w:rStyle w:val="Hyperlink"/>
            <w:rFonts w:asciiTheme="minorHAnsi" w:hAnsiTheme="minorHAnsi" w:cstheme="minorHAnsi"/>
          </w:rPr>
          <w:t>jacqueline.st.john@puco.ohio.gov</w:t>
        </w:r>
      </w:hyperlink>
    </w:p>
    <w:bookmarkEnd w:id="47"/>
    <w:p w14:paraId="739D6535" w14:textId="77777777" w:rsidR="007926CC" w:rsidRPr="003722A2" w:rsidRDefault="007926CC" w:rsidP="007926CC">
      <w:pPr>
        <w:ind w:left="2880"/>
        <w:rPr>
          <w:rFonts w:asciiTheme="minorHAnsi" w:hAnsiTheme="minorHAnsi" w:cstheme="minorHAnsi"/>
        </w:rPr>
      </w:pPr>
    </w:p>
    <w:p w14:paraId="65585107" w14:textId="77777777" w:rsidR="000A2D26" w:rsidRPr="000A2D26" w:rsidRDefault="000A2D26">
      <w:pPr>
        <w:rPr>
          <w:rFonts w:asciiTheme="minorHAnsi" w:hAnsiTheme="minorHAnsi" w:cstheme="minorHAnsi"/>
        </w:rPr>
      </w:pPr>
    </w:p>
    <w:sectPr w:rsidR="000A2D26" w:rsidRPr="000A2D26" w:rsidSect="00655EE0">
      <w:footerReference w:type="default" r:id="rId8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648F" w14:textId="77777777" w:rsidR="00655EE0" w:rsidRDefault="00655EE0" w:rsidP="00813F9C">
      <w:r>
        <w:separator/>
      </w:r>
    </w:p>
  </w:endnote>
  <w:endnote w:type="continuationSeparator" w:id="0">
    <w:p w14:paraId="43AEF332" w14:textId="77777777" w:rsidR="00655EE0" w:rsidRDefault="00655EE0" w:rsidP="0081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952B" w14:textId="03723BC7" w:rsidR="00EF58EF" w:rsidRPr="00EF58EF" w:rsidRDefault="00EF58EF">
    <w:pPr>
      <w:pStyle w:val="Footer"/>
      <w:jc w:val="cen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502474"/>
      <w:docPartObj>
        <w:docPartGallery w:val="Page Numbers (Bottom of Page)"/>
        <w:docPartUnique/>
      </w:docPartObj>
    </w:sdtPr>
    <w:sdtEndPr>
      <w:rPr>
        <w:rFonts w:asciiTheme="minorHAnsi" w:hAnsiTheme="minorHAnsi" w:cstheme="minorHAnsi"/>
        <w:noProof/>
      </w:rPr>
    </w:sdtEndPr>
    <w:sdtContent>
      <w:p w14:paraId="129DA83E" w14:textId="77777777" w:rsidR="00EF58EF" w:rsidRPr="00EF58EF" w:rsidRDefault="00EF58EF">
        <w:pPr>
          <w:pStyle w:val="Footer"/>
          <w:jc w:val="center"/>
          <w:rPr>
            <w:rFonts w:asciiTheme="minorHAnsi" w:hAnsiTheme="minorHAnsi" w:cstheme="minorHAnsi"/>
          </w:rPr>
        </w:pPr>
        <w:r w:rsidRPr="00EF58EF">
          <w:rPr>
            <w:rFonts w:asciiTheme="minorHAnsi" w:hAnsiTheme="minorHAnsi" w:cstheme="minorHAnsi"/>
          </w:rPr>
          <w:fldChar w:fldCharType="begin"/>
        </w:r>
        <w:r w:rsidRPr="00EF58EF">
          <w:rPr>
            <w:rFonts w:asciiTheme="minorHAnsi" w:hAnsiTheme="minorHAnsi" w:cstheme="minorHAnsi"/>
          </w:rPr>
          <w:instrText xml:space="preserve"> PAGE   \* MERGEFORMAT </w:instrText>
        </w:r>
        <w:r w:rsidRPr="00EF58EF">
          <w:rPr>
            <w:rFonts w:asciiTheme="minorHAnsi" w:hAnsiTheme="minorHAnsi" w:cstheme="minorHAnsi"/>
          </w:rPr>
          <w:fldChar w:fldCharType="separate"/>
        </w:r>
        <w:r w:rsidRPr="00EF58EF">
          <w:rPr>
            <w:rFonts w:asciiTheme="minorHAnsi" w:hAnsiTheme="minorHAnsi" w:cstheme="minorHAnsi"/>
            <w:noProof/>
          </w:rPr>
          <w:t>2</w:t>
        </w:r>
        <w:r w:rsidRPr="00EF58EF">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F1C2" w14:textId="77777777" w:rsidR="00655EE0" w:rsidRDefault="00655EE0" w:rsidP="00813F9C">
      <w:r>
        <w:separator/>
      </w:r>
    </w:p>
  </w:footnote>
  <w:footnote w:type="continuationSeparator" w:id="0">
    <w:p w14:paraId="6EF22732" w14:textId="77777777" w:rsidR="00655EE0" w:rsidRDefault="00655EE0" w:rsidP="00813F9C">
      <w:r>
        <w:continuationSeparator/>
      </w:r>
    </w:p>
  </w:footnote>
  <w:footnote w:id="1">
    <w:p w14:paraId="37BC4690" w14:textId="0DD2F1AB" w:rsidR="006056E3" w:rsidRPr="003D2BEE" w:rsidRDefault="006056E3">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00EC0520" w:rsidRPr="003D2BEE">
        <w:rPr>
          <w:rFonts w:asciiTheme="minorHAnsi" w:hAnsiTheme="minorHAnsi" w:cstheme="minorHAnsi"/>
          <w:i/>
          <w:iCs/>
        </w:rPr>
        <w:t>See</w:t>
      </w:r>
      <w:r w:rsidR="003D2BEE" w:rsidRPr="003D2BEE">
        <w:rPr>
          <w:rFonts w:asciiTheme="minorHAnsi" w:hAnsiTheme="minorHAnsi" w:cstheme="minorHAnsi"/>
          <w:i/>
          <w:iCs/>
        </w:rPr>
        <w:t>, e.g.,</w:t>
      </w:r>
      <w:r w:rsidR="00EC0520" w:rsidRPr="003D2BEE">
        <w:rPr>
          <w:rFonts w:asciiTheme="minorHAnsi" w:hAnsiTheme="minorHAnsi" w:cstheme="minorHAnsi"/>
        </w:rPr>
        <w:t xml:space="preserve"> </w:t>
      </w:r>
      <w:r w:rsidR="00E86BFC">
        <w:rPr>
          <w:rFonts w:asciiTheme="minorHAnsi" w:hAnsiTheme="minorHAnsi" w:cstheme="minorHAnsi"/>
        </w:rPr>
        <w:t>Post Hearing Brief of Ohio Edison Company, The Cleveland Electric Illuminating Company, and The Toledo Edison Company (“</w:t>
      </w:r>
      <w:r w:rsidR="00EC0520" w:rsidRPr="003D2BEE">
        <w:rPr>
          <w:rFonts w:asciiTheme="minorHAnsi" w:hAnsiTheme="minorHAnsi" w:cstheme="minorHAnsi"/>
        </w:rPr>
        <w:t>FirstEnergy Brief</w:t>
      </w:r>
      <w:r w:rsidR="00E86BFC">
        <w:rPr>
          <w:rFonts w:asciiTheme="minorHAnsi" w:hAnsiTheme="minorHAnsi" w:cstheme="minorHAnsi"/>
        </w:rPr>
        <w:t>”)</w:t>
      </w:r>
      <w:r w:rsidR="00EC0520" w:rsidRPr="003D2BEE">
        <w:rPr>
          <w:rFonts w:asciiTheme="minorHAnsi" w:hAnsiTheme="minorHAnsi" w:cstheme="minorHAnsi"/>
        </w:rPr>
        <w:t xml:space="preserve"> at 48 (</w:t>
      </w:r>
      <w:r w:rsidR="007B6290">
        <w:rPr>
          <w:rFonts w:asciiTheme="minorHAnsi" w:hAnsiTheme="minorHAnsi" w:cstheme="minorHAnsi"/>
        </w:rPr>
        <w:t>“</w:t>
      </w:r>
      <w:r w:rsidR="007E1C4F">
        <w:rPr>
          <w:rFonts w:asciiTheme="minorHAnsi" w:hAnsiTheme="minorHAnsi" w:cstheme="minorHAnsi"/>
        </w:rPr>
        <w:t>T</w:t>
      </w:r>
      <w:r w:rsidR="00EC0520" w:rsidRPr="003D2BEE">
        <w:rPr>
          <w:rFonts w:asciiTheme="minorHAnsi" w:hAnsiTheme="minorHAnsi" w:cstheme="minorHAnsi"/>
        </w:rPr>
        <w:t xml:space="preserve">he Companies’ Rider ELR program has a demonstrated record of providing substantial benefits to customers and the reliability of the Companies’ distribution system.”); </w:t>
      </w:r>
      <w:r w:rsidR="00E86BFC">
        <w:rPr>
          <w:rFonts w:asciiTheme="minorHAnsi" w:hAnsiTheme="minorHAnsi" w:cstheme="minorHAnsi"/>
        </w:rPr>
        <w:t>Initial Brief Submitted on Behalf of the Staff of the Public Utilities Commission of Ohio (“</w:t>
      </w:r>
      <w:r w:rsidR="00EC0520" w:rsidRPr="003D2BEE">
        <w:rPr>
          <w:rFonts w:asciiTheme="minorHAnsi" w:hAnsiTheme="minorHAnsi" w:cstheme="minorHAnsi"/>
        </w:rPr>
        <w:t>Staff Brief</w:t>
      </w:r>
      <w:r w:rsidR="00E86BFC">
        <w:rPr>
          <w:rFonts w:asciiTheme="minorHAnsi" w:hAnsiTheme="minorHAnsi" w:cstheme="minorHAnsi"/>
        </w:rPr>
        <w:t>”)</w:t>
      </w:r>
      <w:r w:rsidR="00EC0520" w:rsidRPr="003D2BEE">
        <w:rPr>
          <w:rFonts w:asciiTheme="minorHAnsi" w:hAnsiTheme="minorHAnsi" w:cstheme="minorHAnsi"/>
        </w:rPr>
        <w:t xml:space="preserve"> at 20 (noting that Staff “broadly agrees” that the ELR program provides reliability and economic development benefits);</w:t>
      </w:r>
      <w:r w:rsidR="00CE3F23" w:rsidRPr="003D2BEE">
        <w:rPr>
          <w:rFonts w:asciiTheme="minorHAnsi" w:hAnsiTheme="minorHAnsi" w:cstheme="minorHAnsi"/>
        </w:rPr>
        <w:t xml:space="preserve"> </w:t>
      </w:r>
      <w:r w:rsidR="00E86BFC">
        <w:rPr>
          <w:rFonts w:asciiTheme="minorHAnsi" w:hAnsiTheme="minorHAnsi" w:cstheme="minorHAnsi"/>
        </w:rPr>
        <w:t>Post-Hearing Brief of the Ohio Energy Group (“</w:t>
      </w:r>
      <w:r w:rsidR="00CE3F23" w:rsidRPr="003D2BEE">
        <w:rPr>
          <w:rFonts w:asciiTheme="minorHAnsi" w:hAnsiTheme="minorHAnsi" w:cstheme="minorHAnsi"/>
        </w:rPr>
        <w:t>OEG Brief</w:t>
      </w:r>
      <w:r w:rsidR="00E86BFC">
        <w:rPr>
          <w:rFonts w:asciiTheme="minorHAnsi" w:hAnsiTheme="minorHAnsi" w:cstheme="minorHAnsi"/>
        </w:rPr>
        <w:t>”)</w:t>
      </w:r>
      <w:r w:rsidR="00CE3F23" w:rsidRPr="003D2BEE">
        <w:rPr>
          <w:rFonts w:asciiTheme="minorHAnsi" w:hAnsiTheme="minorHAnsi" w:cstheme="minorHAnsi"/>
        </w:rPr>
        <w:t xml:space="preserve"> at 3 (“FirstEnergy’s long-standing interruptible rate program is a valuable system resource that should continue through the term of the Companies proposed ESP</w:t>
      </w:r>
      <w:r w:rsidR="006728C4">
        <w:rPr>
          <w:rFonts w:asciiTheme="minorHAnsi" w:hAnsiTheme="minorHAnsi" w:cstheme="minorHAnsi"/>
        </w:rPr>
        <w:t>.</w:t>
      </w:r>
      <w:r w:rsidR="00CE3F23" w:rsidRPr="003D2BEE">
        <w:rPr>
          <w:rFonts w:asciiTheme="minorHAnsi" w:hAnsiTheme="minorHAnsi" w:cstheme="minorHAnsi"/>
        </w:rPr>
        <w:t xml:space="preserve">”); </w:t>
      </w:r>
      <w:r w:rsidR="00E86BFC">
        <w:rPr>
          <w:rFonts w:asciiTheme="minorHAnsi" w:hAnsiTheme="minorHAnsi" w:cstheme="minorHAnsi"/>
        </w:rPr>
        <w:t>Initial Post-Hearing Brief of Ohio Energy Leadership Council (“</w:t>
      </w:r>
      <w:r w:rsidR="003D2BEE" w:rsidRPr="003D2BEE">
        <w:rPr>
          <w:rFonts w:asciiTheme="minorHAnsi" w:hAnsiTheme="minorHAnsi" w:cstheme="minorHAnsi"/>
        </w:rPr>
        <w:t>OELC Brief</w:t>
      </w:r>
      <w:r w:rsidR="00E86BFC">
        <w:rPr>
          <w:rFonts w:asciiTheme="minorHAnsi" w:hAnsiTheme="minorHAnsi" w:cstheme="minorHAnsi"/>
        </w:rPr>
        <w:t>”)</w:t>
      </w:r>
      <w:r w:rsidR="003D2BEE" w:rsidRPr="003D2BEE">
        <w:rPr>
          <w:rFonts w:asciiTheme="minorHAnsi" w:hAnsiTheme="minorHAnsi" w:cstheme="minorHAnsi"/>
        </w:rPr>
        <w:t xml:space="preserve"> at 29 (“FirstEnergy’s Rider ELR program . . . has proven critical to managing load during times when demand threatens to exceed the supply of power.”)</w:t>
      </w:r>
      <w:r w:rsidR="007E1C4F">
        <w:rPr>
          <w:rFonts w:asciiTheme="minorHAnsi" w:hAnsiTheme="minorHAnsi" w:cstheme="minorHAnsi"/>
        </w:rPr>
        <w:t>.</w:t>
      </w:r>
    </w:p>
  </w:footnote>
  <w:footnote w:id="2">
    <w:p w14:paraId="54CE72B6" w14:textId="06F96435" w:rsidR="00241CF1" w:rsidRPr="003D2BEE" w:rsidRDefault="00241CF1" w:rsidP="00241CF1">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Pr>
          <w:rFonts w:asciiTheme="minorHAnsi" w:hAnsiTheme="minorHAnsi" w:cstheme="minorHAnsi"/>
        </w:rPr>
        <w:t xml:space="preserve">Case No. 14-1297-EL-SSO, </w:t>
      </w:r>
      <w:r w:rsidRPr="006E0C24">
        <w:rPr>
          <w:rFonts w:asciiTheme="minorHAnsi" w:hAnsiTheme="minorHAnsi" w:cstheme="minorHAnsi"/>
          <w:i/>
          <w:iCs/>
        </w:rPr>
        <w:t>In the Matter of the Application of Ohio Edison Company, The Cleveland Electric Illuminating Company, and The Toledo Edison Company for Authority to Provide for a Standard Service Offer Pursuant to R.C. § 4928.143 in the Form of an Electric Security Plan</w:t>
      </w:r>
      <w:r>
        <w:rPr>
          <w:rFonts w:asciiTheme="minorHAnsi" w:hAnsiTheme="minorHAnsi" w:cstheme="minorHAnsi"/>
        </w:rPr>
        <w:t>, Opinion and Order at 94 (March 31, 2016).</w:t>
      </w:r>
    </w:p>
  </w:footnote>
  <w:footnote w:id="3">
    <w:p w14:paraId="2164C942" w14:textId="478AB4AB" w:rsidR="007208EF" w:rsidRPr="00CC5E8C" w:rsidRDefault="007208EF">
      <w:pPr>
        <w:pStyle w:val="FootnoteText"/>
        <w:rPr>
          <w:rFonts w:ascii="Calibri" w:hAnsi="Calibri" w:cs="Calibri"/>
        </w:rPr>
      </w:pPr>
      <w:r w:rsidRPr="00CC5E8C">
        <w:rPr>
          <w:rStyle w:val="FootnoteReference"/>
          <w:rFonts w:ascii="Calibri" w:hAnsi="Calibri" w:cs="Calibri"/>
        </w:rPr>
        <w:footnoteRef/>
      </w:r>
      <w:r w:rsidRPr="00CC5E8C">
        <w:rPr>
          <w:rFonts w:ascii="Calibri" w:hAnsi="Calibri" w:cs="Calibri"/>
        </w:rPr>
        <w:t xml:space="preserve"> </w:t>
      </w:r>
      <w:r w:rsidR="00241CF1" w:rsidRPr="0010307C">
        <w:rPr>
          <w:rFonts w:ascii="Calibri" w:hAnsi="Calibri" w:cs="Calibri"/>
        </w:rPr>
        <w:t>Initial Brief</w:t>
      </w:r>
      <w:r w:rsidR="0010307C" w:rsidRPr="0010307C">
        <w:rPr>
          <w:rFonts w:ascii="Calibri" w:hAnsi="Calibri" w:cs="Calibri"/>
        </w:rPr>
        <w:t xml:space="preserve"> for Consumer Protection by Office of the Ohio Consumers’ Counsel (“</w:t>
      </w:r>
      <w:r w:rsidRPr="00CC5E8C">
        <w:rPr>
          <w:rFonts w:ascii="Calibri" w:hAnsi="Calibri" w:cs="Calibri"/>
        </w:rPr>
        <w:t>OCC Brief</w:t>
      </w:r>
      <w:r w:rsidR="0010307C" w:rsidRPr="0010307C">
        <w:rPr>
          <w:rFonts w:ascii="Calibri" w:hAnsi="Calibri" w:cs="Calibri"/>
        </w:rPr>
        <w:t>”)</w:t>
      </w:r>
      <w:r w:rsidRPr="00CC5E8C">
        <w:rPr>
          <w:rFonts w:ascii="Calibri" w:hAnsi="Calibri" w:cs="Calibri"/>
        </w:rPr>
        <w:t xml:space="preserve"> at 37; </w:t>
      </w:r>
      <w:r w:rsidR="0010307C" w:rsidRPr="0010307C">
        <w:rPr>
          <w:rFonts w:ascii="Calibri" w:hAnsi="Calibri" w:cs="Calibri"/>
        </w:rPr>
        <w:t>Initial Brief of Northwest Ohio Aggregation Coalition (“</w:t>
      </w:r>
      <w:r w:rsidRPr="00CC5E8C">
        <w:rPr>
          <w:rFonts w:ascii="Calibri" w:hAnsi="Calibri" w:cs="Calibri"/>
        </w:rPr>
        <w:t>NOAC Brief</w:t>
      </w:r>
      <w:r w:rsidR="0010307C" w:rsidRPr="0010307C">
        <w:rPr>
          <w:rFonts w:ascii="Calibri" w:hAnsi="Calibri" w:cs="Calibri"/>
        </w:rPr>
        <w:t>”)</w:t>
      </w:r>
      <w:r w:rsidRPr="00CC5E8C">
        <w:rPr>
          <w:rFonts w:ascii="Calibri" w:hAnsi="Calibri" w:cs="Calibri"/>
        </w:rPr>
        <w:t xml:space="preserve"> at 7-8.</w:t>
      </w:r>
    </w:p>
  </w:footnote>
  <w:footnote w:id="4">
    <w:p w14:paraId="0A7BD8C1" w14:textId="550E23D6" w:rsidR="007208EF" w:rsidRPr="00B666F9" w:rsidRDefault="007208EF">
      <w:pPr>
        <w:pStyle w:val="FootnoteText"/>
        <w:rPr>
          <w:rFonts w:asciiTheme="minorHAnsi" w:hAnsiTheme="minorHAnsi" w:cstheme="minorHAnsi"/>
        </w:rPr>
      </w:pPr>
      <w:r w:rsidRPr="00B666F9">
        <w:rPr>
          <w:rStyle w:val="FootnoteReference"/>
          <w:rFonts w:asciiTheme="minorHAnsi" w:hAnsiTheme="minorHAnsi" w:cstheme="minorHAnsi"/>
        </w:rPr>
        <w:footnoteRef/>
      </w:r>
      <w:r w:rsidRPr="00B666F9">
        <w:rPr>
          <w:rFonts w:asciiTheme="minorHAnsi" w:hAnsiTheme="minorHAnsi" w:cstheme="minorHAnsi"/>
        </w:rPr>
        <w:t xml:space="preserve"> </w:t>
      </w:r>
      <w:r w:rsidR="0010307C">
        <w:rPr>
          <w:rFonts w:asciiTheme="minorHAnsi" w:hAnsiTheme="minorHAnsi" w:cstheme="minorHAnsi"/>
        </w:rPr>
        <w:t>Initial Post-Hearing Brief of The Ohio Manufacturers’ Association Energy Group (“</w:t>
      </w:r>
      <w:r w:rsidRPr="00B666F9">
        <w:rPr>
          <w:rFonts w:asciiTheme="minorHAnsi" w:hAnsiTheme="minorHAnsi" w:cstheme="minorHAnsi"/>
        </w:rPr>
        <w:t>OMAEG Brief</w:t>
      </w:r>
      <w:r w:rsidR="0010307C">
        <w:rPr>
          <w:rFonts w:asciiTheme="minorHAnsi" w:hAnsiTheme="minorHAnsi" w:cstheme="minorHAnsi"/>
        </w:rPr>
        <w:t>”)</w:t>
      </w:r>
      <w:r w:rsidRPr="00B666F9">
        <w:rPr>
          <w:rFonts w:asciiTheme="minorHAnsi" w:hAnsiTheme="minorHAnsi" w:cstheme="minorHAnsi"/>
        </w:rPr>
        <w:t xml:space="preserve"> at 45</w:t>
      </w:r>
      <w:r w:rsidR="001C38AA">
        <w:rPr>
          <w:rFonts w:asciiTheme="minorHAnsi" w:hAnsiTheme="minorHAnsi" w:cstheme="minorHAnsi"/>
        </w:rPr>
        <w:t>-46</w:t>
      </w:r>
      <w:r w:rsidRPr="00B666F9">
        <w:rPr>
          <w:rFonts w:asciiTheme="minorHAnsi" w:hAnsiTheme="minorHAnsi" w:cstheme="minorHAnsi"/>
        </w:rPr>
        <w:t>.</w:t>
      </w:r>
    </w:p>
  </w:footnote>
  <w:footnote w:id="5">
    <w:p w14:paraId="6B229BEB" w14:textId="6BC62CBC" w:rsidR="00813F9C" w:rsidRPr="003D2BEE" w:rsidRDefault="00813F9C">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Staff Brief at 18.</w:t>
      </w:r>
    </w:p>
  </w:footnote>
  <w:footnote w:id="6">
    <w:p w14:paraId="1658B0F0" w14:textId="32ABC863" w:rsidR="00150EBB" w:rsidRPr="003D2BEE" w:rsidRDefault="00150EBB">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Pr="003D2BEE">
        <w:rPr>
          <w:rFonts w:asciiTheme="minorHAnsi" w:hAnsiTheme="minorHAnsi" w:cstheme="minorHAnsi"/>
          <w:i/>
          <w:iCs/>
        </w:rPr>
        <w:t>Id</w:t>
      </w:r>
      <w:r w:rsidRPr="003D2BEE">
        <w:rPr>
          <w:rFonts w:asciiTheme="minorHAnsi" w:hAnsiTheme="minorHAnsi" w:cstheme="minorHAnsi"/>
        </w:rPr>
        <w:t>.</w:t>
      </w:r>
    </w:p>
  </w:footnote>
  <w:footnote w:id="7">
    <w:p w14:paraId="2750D22B" w14:textId="7E0B4469" w:rsidR="006A158E" w:rsidRPr="003D2BEE" w:rsidRDefault="006A158E">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00AA4E60" w:rsidRPr="00AA4E60">
        <w:rPr>
          <w:rFonts w:asciiTheme="minorHAnsi" w:hAnsiTheme="minorHAnsi" w:cstheme="minorHAnsi"/>
        </w:rPr>
        <w:t xml:space="preserve">Direct Testimony of Dennis W. Goins, PH.D. on behalf of Nucor Steel Marion, Inc., Nucor Ex. 1 </w:t>
      </w:r>
      <w:r w:rsidR="00AA4E60">
        <w:rPr>
          <w:rFonts w:asciiTheme="minorHAnsi" w:hAnsiTheme="minorHAnsi" w:cstheme="minorHAnsi"/>
        </w:rPr>
        <w:t>(“</w:t>
      </w:r>
      <w:r w:rsidR="001546C1">
        <w:rPr>
          <w:rFonts w:asciiTheme="minorHAnsi" w:hAnsiTheme="minorHAnsi" w:cstheme="minorHAnsi"/>
        </w:rPr>
        <w:t>Goins Testimony</w:t>
      </w:r>
      <w:r w:rsidR="00AA4E60">
        <w:rPr>
          <w:rFonts w:asciiTheme="minorHAnsi" w:hAnsiTheme="minorHAnsi" w:cstheme="minorHAnsi"/>
        </w:rPr>
        <w:t>”)</w:t>
      </w:r>
      <w:r w:rsidR="001546C1">
        <w:rPr>
          <w:rFonts w:asciiTheme="minorHAnsi" w:hAnsiTheme="minorHAnsi" w:cstheme="minorHAnsi"/>
        </w:rPr>
        <w:t xml:space="preserve"> at 9; </w:t>
      </w:r>
      <w:r w:rsidR="00AA4E60" w:rsidRPr="00AA4E60">
        <w:rPr>
          <w:rFonts w:asciiTheme="minorHAnsi" w:hAnsiTheme="minorHAnsi" w:cstheme="minorHAnsi"/>
        </w:rPr>
        <w:t xml:space="preserve">Direct Testimony of Matthew Brakey on Behalf of Ohio Energy Leadership Council, OELC Ex. 32 </w:t>
      </w:r>
      <w:r w:rsidR="00AA4E60">
        <w:rPr>
          <w:rFonts w:asciiTheme="minorHAnsi" w:hAnsiTheme="minorHAnsi" w:cstheme="minorHAnsi"/>
        </w:rPr>
        <w:t>(“</w:t>
      </w:r>
      <w:r w:rsidR="001546C1">
        <w:rPr>
          <w:rFonts w:asciiTheme="minorHAnsi" w:hAnsiTheme="minorHAnsi" w:cstheme="minorHAnsi"/>
        </w:rPr>
        <w:t>Brakey Testimony</w:t>
      </w:r>
      <w:r w:rsidR="00AA4E60">
        <w:rPr>
          <w:rFonts w:asciiTheme="minorHAnsi" w:hAnsiTheme="minorHAnsi" w:cstheme="minorHAnsi"/>
        </w:rPr>
        <w:t>”)</w:t>
      </w:r>
      <w:r w:rsidR="001546C1">
        <w:rPr>
          <w:rFonts w:asciiTheme="minorHAnsi" w:hAnsiTheme="minorHAnsi" w:cstheme="minorHAnsi"/>
        </w:rPr>
        <w:t xml:space="preserve"> at </w:t>
      </w:r>
      <w:r w:rsidR="006E0C24">
        <w:rPr>
          <w:rFonts w:asciiTheme="minorHAnsi" w:hAnsiTheme="minorHAnsi" w:cstheme="minorHAnsi"/>
        </w:rPr>
        <w:t>48.</w:t>
      </w:r>
    </w:p>
  </w:footnote>
  <w:footnote w:id="8">
    <w:p w14:paraId="5D8A27C7" w14:textId="78CCE980" w:rsidR="00676312" w:rsidRPr="003D2BEE" w:rsidRDefault="00676312">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006E0C24">
        <w:rPr>
          <w:rFonts w:asciiTheme="minorHAnsi" w:hAnsiTheme="minorHAnsi" w:cstheme="minorHAnsi"/>
        </w:rPr>
        <w:t>Goins Testimony at 9-10; Brakey Testimony at 51-53; Case No. 14-1297-EL-SSO, Opinion and Order at 94.</w:t>
      </w:r>
    </w:p>
  </w:footnote>
  <w:footnote w:id="9">
    <w:p w14:paraId="1A504430" w14:textId="66125292" w:rsidR="00475609" w:rsidRPr="003D2BEE" w:rsidRDefault="00475609">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Tr. Vol. XIV at 2576 (Witness Healey testified that in developing its recommendation for the Rider ELR credit, Staff did not attempt to quantify the impact on the economy at large of avoiding rolling blackouts).</w:t>
      </w:r>
    </w:p>
  </w:footnote>
  <w:footnote w:id="10">
    <w:p w14:paraId="0F920B8A" w14:textId="77777777" w:rsidR="00245988" w:rsidRPr="003D2BEE" w:rsidRDefault="00245988" w:rsidP="00245988">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Goins Testimony at 13.</w:t>
      </w:r>
    </w:p>
  </w:footnote>
  <w:footnote w:id="11">
    <w:p w14:paraId="10D3AD8A" w14:textId="4AC62257" w:rsidR="006B0F7E" w:rsidRPr="003D2BEE" w:rsidRDefault="006B0F7E">
      <w:pPr>
        <w:pStyle w:val="FootnoteText"/>
        <w:rPr>
          <w:rFonts w:asciiTheme="minorHAnsi" w:hAnsiTheme="minorHAnsi" w:cstheme="minorHAnsi"/>
        </w:rPr>
      </w:pPr>
      <w:r w:rsidRPr="003D2BEE">
        <w:rPr>
          <w:rStyle w:val="FootnoteReference"/>
          <w:rFonts w:asciiTheme="minorHAnsi" w:hAnsiTheme="minorHAnsi" w:cstheme="minorHAnsi"/>
        </w:rPr>
        <w:footnoteRef/>
      </w:r>
      <w:r w:rsidR="00862095">
        <w:rPr>
          <w:rFonts w:asciiTheme="minorHAnsi" w:hAnsiTheme="minorHAnsi" w:cstheme="minorHAnsi"/>
        </w:rPr>
        <w:t xml:space="preserve"> </w:t>
      </w:r>
      <w:r w:rsidR="00862095" w:rsidRPr="00CC5E8C">
        <w:rPr>
          <w:rFonts w:asciiTheme="minorHAnsi" w:hAnsiTheme="minorHAnsi" w:cstheme="minorHAnsi"/>
          <w:i/>
          <w:iCs/>
        </w:rPr>
        <w:t>Id</w:t>
      </w:r>
      <w:r w:rsidRPr="003D2BEE">
        <w:rPr>
          <w:rFonts w:asciiTheme="minorHAnsi" w:hAnsiTheme="minorHAnsi" w:cstheme="minorHAnsi"/>
        </w:rPr>
        <w:t>.</w:t>
      </w:r>
    </w:p>
  </w:footnote>
  <w:footnote w:id="12">
    <w:p w14:paraId="59C7F206" w14:textId="5A1C6C11" w:rsidR="006B0F7E" w:rsidRPr="003D2BEE" w:rsidRDefault="006B0F7E">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00862095" w:rsidRPr="00CC5E8C">
        <w:rPr>
          <w:rFonts w:asciiTheme="minorHAnsi" w:hAnsiTheme="minorHAnsi" w:cstheme="minorHAnsi"/>
          <w:i/>
          <w:iCs/>
        </w:rPr>
        <w:t>Id</w:t>
      </w:r>
      <w:r w:rsidR="00862095">
        <w:rPr>
          <w:rFonts w:asciiTheme="minorHAnsi" w:hAnsiTheme="minorHAnsi" w:cstheme="minorHAnsi"/>
        </w:rPr>
        <w:t xml:space="preserve">. </w:t>
      </w:r>
      <w:r w:rsidRPr="003D2BEE">
        <w:rPr>
          <w:rFonts w:asciiTheme="minorHAnsi" w:hAnsiTheme="minorHAnsi" w:cstheme="minorHAnsi"/>
        </w:rPr>
        <w:t>at 14.</w:t>
      </w:r>
    </w:p>
  </w:footnote>
  <w:footnote w:id="13">
    <w:p w14:paraId="5F000DBA" w14:textId="132B5447" w:rsidR="007A1E42" w:rsidRPr="003D2BEE" w:rsidRDefault="007A1E42">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Pr="003D2BEE">
        <w:rPr>
          <w:rFonts w:asciiTheme="minorHAnsi" w:hAnsiTheme="minorHAnsi" w:cstheme="minorHAnsi"/>
          <w:i/>
          <w:iCs/>
        </w:rPr>
        <w:t>Id</w:t>
      </w:r>
      <w:r w:rsidRPr="003D2BEE">
        <w:rPr>
          <w:rFonts w:asciiTheme="minorHAnsi" w:hAnsiTheme="minorHAnsi" w:cstheme="minorHAnsi"/>
        </w:rPr>
        <w:t xml:space="preserve">.  </w:t>
      </w:r>
    </w:p>
  </w:footnote>
  <w:footnote w:id="14">
    <w:p w14:paraId="7D0C8995" w14:textId="2E370B59" w:rsidR="00BF7F5C" w:rsidRPr="003D2BEE" w:rsidRDefault="00BF7F5C">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$306.87 x (365 ÷ 12) ÷ 1,000.</w:t>
      </w:r>
    </w:p>
  </w:footnote>
  <w:footnote w:id="15">
    <w:p w14:paraId="77C2C004" w14:textId="13492B1D" w:rsidR="00BF7F5C" w:rsidRPr="003D2BEE" w:rsidRDefault="00BF7F5C">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$230.50 x (365 ÷ 12) ÷ 1,000.</w:t>
      </w:r>
    </w:p>
  </w:footnote>
  <w:footnote w:id="16">
    <w:p w14:paraId="35A5CA5C" w14:textId="15EE747B" w:rsidR="00BF7F5C" w:rsidRPr="003D2BEE" w:rsidRDefault="00BF7F5C">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$263.07 x (365 ÷ 12) ÷ 1,000.</w:t>
      </w:r>
    </w:p>
  </w:footnote>
  <w:footnote w:id="17">
    <w:p w14:paraId="68A0F2A5" w14:textId="402E337F" w:rsidR="00BF7F5C" w:rsidRPr="003D2BEE" w:rsidRDefault="00BF7F5C">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$279.35 x (365 ÷ 12) ÷ 1,000.</w:t>
      </w:r>
    </w:p>
  </w:footnote>
  <w:footnote w:id="18">
    <w:p w14:paraId="315C910F" w14:textId="50151146" w:rsidR="00D40FCF" w:rsidRPr="00336723" w:rsidRDefault="00D40FCF">
      <w:pPr>
        <w:pStyle w:val="FootnoteText"/>
        <w:rPr>
          <w:rFonts w:asciiTheme="minorHAnsi" w:hAnsiTheme="minorHAnsi" w:cstheme="minorHAnsi"/>
        </w:rPr>
      </w:pPr>
      <w:r w:rsidRPr="00336723">
        <w:rPr>
          <w:rStyle w:val="FootnoteReference"/>
          <w:rFonts w:asciiTheme="minorHAnsi" w:hAnsiTheme="minorHAnsi" w:cstheme="minorHAnsi"/>
        </w:rPr>
        <w:footnoteRef/>
      </w:r>
      <w:r w:rsidRPr="00336723">
        <w:rPr>
          <w:rFonts w:asciiTheme="minorHAnsi" w:hAnsiTheme="minorHAnsi" w:cstheme="minorHAnsi"/>
        </w:rPr>
        <w:t xml:space="preserve"> </w:t>
      </w:r>
      <w:r w:rsidR="00EC49A1" w:rsidRPr="00EC49A1">
        <w:rPr>
          <w:rFonts w:asciiTheme="minorHAnsi" w:hAnsiTheme="minorHAnsi" w:cstheme="minorHAnsi"/>
        </w:rPr>
        <w:t xml:space="preserve">Direct Testimony of James F. Wilson on Behalf of the Office of the Ohio Consumers’ Counsel, </w:t>
      </w:r>
      <w:r w:rsidRPr="00336723">
        <w:rPr>
          <w:rFonts w:asciiTheme="minorHAnsi" w:hAnsiTheme="minorHAnsi" w:cstheme="minorHAnsi"/>
        </w:rPr>
        <w:t xml:space="preserve">OCC Ex. 2 at 9; Goins Testimony at </w:t>
      </w:r>
      <w:r w:rsidR="00EC49A1">
        <w:rPr>
          <w:rFonts w:asciiTheme="minorHAnsi" w:hAnsiTheme="minorHAnsi" w:cstheme="minorHAnsi"/>
        </w:rPr>
        <w:t>8, 14</w:t>
      </w:r>
      <w:r w:rsidRPr="00336723">
        <w:rPr>
          <w:rFonts w:asciiTheme="minorHAnsi" w:hAnsiTheme="minorHAnsi" w:cstheme="minorHAnsi"/>
        </w:rPr>
        <w:t>; Brakey Testimony at 50-51.</w:t>
      </w:r>
    </w:p>
  </w:footnote>
  <w:footnote w:id="19">
    <w:p w14:paraId="2063351B" w14:textId="77777777" w:rsidR="00154580" w:rsidRPr="003D2BEE" w:rsidRDefault="00154580" w:rsidP="00154580">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OCC Brief at 39; NOAC Brief at 8.</w:t>
      </w:r>
    </w:p>
  </w:footnote>
  <w:footnote w:id="20">
    <w:p w14:paraId="0C843C8D" w14:textId="69FEC0D4" w:rsidR="00841DDC" w:rsidRPr="003D2BEE" w:rsidRDefault="00841DDC">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OCC Brief at 39.</w:t>
      </w:r>
    </w:p>
  </w:footnote>
  <w:footnote w:id="21">
    <w:p w14:paraId="672FA001" w14:textId="7D54C2A0" w:rsidR="00314F74" w:rsidRPr="003D2BEE" w:rsidRDefault="00314F74">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Tr. Vol. III at 542</w:t>
      </w:r>
      <w:r w:rsidR="00EC49A1">
        <w:rPr>
          <w:rFonts w:asciiTheme="minorHAnsi" w:hAnsiTheme="minorHAnsi" w:cstheme="minorHAnsi"/>
        </w:rPr>
        <w:t>-43</w:t>
      </w:r>
      <w:r w:rsidRPr="003D2BEE">
        <w:rPr>
          <w:rFonts w:asciiTheme="minorHAnsi" w:hAnsiTheme="minorHAnsi" w:cstheme="minorHAnsi"/>
        </w:rPr>
        <w:t>.</w:t>
      </w:r>
      <w:r w:rsidR="00D57756" w:rsidRPr="003D2BEE">
        <w:rPr>
          <w:rFonts w:asciiTheme="minorHAnsi" w:hAnsiTheme="minorHAnsi" w:cstheme="minorHAnsi"/>
        </w:rPr>
        <w:t xml:space="preserve">  By comparison, FirstEnergy estimates that the average total bill for the first year of ESP V for an Ohio Edison residential customer using 750 kWh of electricity a month would be $143.99 a month.  Direct Testimony of Dhara Patel on Behalf of Ohio Edison Company, The Cleveland Electric Illuminating Company and the Toledo Edison Company, Companies Ex. 4 at 5.</w:t>
      </w:r>
    </w:p>
  </w:footnote>
  <w:footnote w:id="22">
    <w:p w14:paraId="718A1480" w14:textId="3E6A8A15" w:rsidR="00402B74" w:rsidRPr="003D2BEE" w:rsidRDefault="00402B74">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OCC Brief at 39, 45; NOAC Brief at 8.</w:t>
      </w:r>
    </w:p>
  </w:footnote>
  <w:footnote w:id="23">
    <w:p w14:paraId="23AB4637" w14:textId="08F504E5" w:rsidR="00773A99" w:rsidRPr="003D2BEE" w:rsidRDefault="00773A99">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Goins Testimony at 9.</w:t>
      </w:r>
    </w:p>
  </w:footnote>
  <w:footnote w:id="24">
    <w:p w14:paraId="684B4849" w14:textId="72C304B2" w:rsidR="009A7A7D" w:rsidRPr="003D2BEE" w:rsidRDefault="009A7A7D">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00336723" w:rsidRPr="00336723">
        <w:rPr>
          <w:rFonts w:asciiTheme="minorHAnsi" w:hAnsiTheme="minorHAnsi" w:cstheme="minorHAnsi"/>
          <w:i/>
          <w:iCs/>
        </w:rPr>
        <w:t>See</w:t>
      </w:r>
      <w:r w:rsidR="00336723">
        <w:rPr>
          <w:rFonts w:asciiTheme="minorHAnsi" w:hAnsiTheme="minorHAnsi" w:cstheme="minorHAnsi"/>
        </w:rPr>
        <w:t xml:space="preserve"> Brakey Testimony at 47 (noting that the Winter Storm Elliott events “are a clear indication that interruptible capacity resources have proven their ability to respond </w:t>
      </w:r>
      <w:r w:rsidR="00D409BD">
        <w:rPr>
          <w:rFonts w:asciiTheme="minorHAnsi" w:hAnsiTheme="minorHAnsi" w:cstheme="minorHAnsi"/>
        </w:rPr>
        <w:t xml:space="preserve">within </w:t>
      </w:r>
      <w:r w:rsidR="00336723">
        <w:rPr>
          <w:rFonts w:asciiTheme="minorHAnsi" w:hAnsiTheme="minorHAnsi" w:cstheme="minorHAnsi"/>
        </w:rPr>
        <w:t>30-120 minutes’ notice are becoming increasingly more important to preventing imbalances between supply and demand on the electric grid”).</w:t>
      </w:r>
    </w:p>
  </w:footnote>
  <w:footnote w:id="25">
    <w:p w14:paraId="7461A164" w14:textId="516B8A99" w:rsidR="00773A99" w:rsidRPr="003D2BEE" w:rsidRDefault="00773A99">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00336723" w:rsidRPr="00336723">
        <w:rPr>
          <w:rFonts w:asciiTheme="minorHAnsi" w:hAnsiTheme="minorHAnsi" w:cstheme="minorHAnsi"/>
          <w:i/>
          <w:iCs/>
        </w:rPr>
        <w:t>See</w:t>
      </w:r>
      <w:r w:rsidR="00336723">
        <w:rPr>
          <w:rFonts w:asciiTheme="minorHAnsi" w:hAnsiTheme="minorHAnsi" w:cstheme="minorHAnsi"/>
        </w:rPr>
        <w:t xml:space="preserve"> </w:t>
      </w:r>
      <w:r w:rsidR="004F62A6" w:rsidRPr="004F62A6">
        <w:rPr>
          <w:rFonts w:asciiTheme="minorHAnsi" w:hAnsiTheme="minorHAnsi" w:cstheme="minorHAnsi"/>
        </w:rPr>
        <w:t xml:space="preserve">Direct Testimony of Kevin M. Murray on Behalf of the Ohio Energy Group, OEG Ex. 3 </w:t>
      </w:r>
      <w:r w:rsidR="00336723">
        <w:rPr>
          <w:rFonts w:asciiTheme="minorHAnsi" w:hAnsiTheme="minorHAnsi" w:cstheme="minorHAnsi"/>
        </w:rPr>
        <w:t>at 7-16.</w:t>
      </w:r>
    </w:p>
  </w:footnote>
  <w:footnote w:id="26">
    <w:p w14:paraId="27021B4B" w14:textId="01812343" w:rsidR="0077325C" w:rsidRPr="003D2BEE" w:rsidRDefault="0077325C">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00336723">
        <w:rPr>
          <w:rFonts w:asciiTheme="minorHAnsi" w:hAnsiTheme="minorHAnsi" w:cstheme="minorHAnsi"/>
        </w:rPr>
        <w:t xml:space="preserve">Goins </w:t>
      </w:r>
      <w:r w:rsidR="006E2222">
        <w:rPr>
          <w:rFonts w:asciiTheme="minorHAnsi" w:hAnsiTheme="minorHAnsi" w:cstheme="minorHAnsi"/>
        </w:rPr>
        <w:t>T</w:t>
      </w:r>
      <w:r w:rsidR="00336723">
        <w:rPr>
          <w:rFonts w:asciiTheme="minorHAnsi" w:hAnsiTheme="minorHAnsi" w:cstheme="minorHAnsi"/>
        </w:rPr>
        <w:t>estimony at 18.</w:t>
      </w:r>
    </w:p>
  </w:footnote>
  <w:footnote w:id="27">
    <w:p w14:paraId="69B639A8" w14:textId="17BE386E" w:rsidR="0077325C" w:rsidRPr="003D2BEE" w:rsidRDefault="0077325C">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00407962">
        <w:rPr>
          <w:rFonts w:asciiTheme="minorHAnsi" w:hAnsiTheme="minorHAnsi" w:cstheme="minorHAnsi"/>
        </w:rPr>
        <w:t>Tr. Vol. VII at 1525.</w:t>
      </w:r>
    </w:p>
  </w:footnote>
  <w:footnote w:id="28">
    <w:p w14:paraId="32D376AB" w14:textId="1828C027" w:rsidR="000568F0" w:rsidRPr="003D2BEE" w:rsidRDefault="000568F0">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OCC Brief at 39-40.</w:t>
      </w:r>
    </w:p>
  </w:footnote>
  <w:footnote w:id="29">
    <w:p w14:paraId="559F1F27" w14:textId="1EEC98B6" w:rsidR="00543831" w:rsidRPr="003D2BEE" w:rsidRDefault="00543831">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00434D32">
        <w:rPr>
          <w:rFonts w:asciiTheme="minorHAnsi" w:hAnsiTheme="minorHAnsi" w:cstheme="minorHAnsi"/>
        </w:rPr>
        <w:t>Goins Testimony at 7-8; Brakey Testimony at 44-46.</w:t>
      </w:r>
    </w:p>
  </w:footnote>
  <w:footnote w:id="30">
    <w:p w14:paraId="6A6EF4F4" w14:textId="749EA8A9" w:rsidR="009D5D8D" w:rsidRPr="003D2BEE" w:rsidRDefault="009D5D8D">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00BE3D2F">
        <w:rPr>
          <w:rFonts w:asciiTheme="minorHAnsi" w:hAnsiTheme="minorHAnsi" w:cstheme="minorHAnsi"/>
        </w:rPr>
        <w:t>Goins Testimony at 7-9.</w:t>
      </w:r>
    </w:p>
  </w:footnote>
  <w:footnote w:id="31">
    <w:p w14:paraId="4A8A397D" w14:textId="3C3FFC70" w:rsidR="000B4197" w:rsidRPr="003D2BEE" w:rsidRDefault="000B4197">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000E382B">
        <w:rPr>
          <w:rFonts w:asciiTheme="minorHAnsi" w:hAnsiTheme="minorHAnsi" w:cstheme="minorHAnsi"/>
          <w:i/>
          <w:iCs/>
        </w:rPr>
        <w:t>Id.</w:t>
      </w:r>
      <w:r w:rsidRPr="003D2BEE">
        <w:rPr>
          <w:rFonts w:asciiTheme="minorHAnsi" w:hAnsiTheme="minorHAnsi" w:cstheme="minorHAnsi"/>
        </w:rPr>
        <w:t xml:space="preserve"> Exhibit DWG-2, Response to PUCO DR-006(h)(ii).</w:t>
      </w:r>
    </w:p>
  </w:footnote>
  <w:footnote w:id="32">
    <w:p w14:paraId="1779F48B" w14:textId="53DF9B0B" w:rsidR="002B3A0C" w:rsidRPr="003D2BEE" w:rsidRDefault="002B3A0C">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000E382B">
        <w:rPr>
          <w:rFonts w:asciiTheme="minorHAnsi" w:hAnsiTheme="minorHAnsi" w:cstheme="minorHAnsi"/>
          <w:i/>
          <w:iCs/>
        </w:rPr>
        <w:t xml:space="preserve">Id. </w:t>
      </w:r>
      <w:r w:rsidR="00D76AE9">
        <w:rPr>
          <w:rFonts w:asciiTheme="minorHAnsi" w:hAnsiTheme="minorHAnsi" w:cstheme="minorHAnsi"/>
        </w:rPr>
        <w:t>at 7.</w:t>
      </w:r>
    </w:p>
  </w:footnote>
  <w:footnote w:id="33">
    <w:p w14:paraId="5FAC47D2" w14:textId="3D0C96BC" w:rsidR="002B3A0C" w:rsidRPr="003D2BEE" w:rsidRDefault="002B3A0C">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00B063B8" w:rsidRPr="003D2BEE">
        <w:rPr>
          <w:rFonts w:asciiTheme="minorHAnsi" w:hAnsiTheme="minorHAnsi" w:cstheme="minorHAnsi"/>
        </w:rPr>
        <w:t xml:space="preserve">Tr. Vol. VII at </w:t>
      </w:r>
      <w:r w:rsidR="006568B5">
        <w:rPr>
          <w:rFonts w:asciiTheme="minorHAnsi" w:hAnsiTheme="minorHAnsi" w:cstheme="minorHAnsi"/>
        </w:rPr>
        <w:t>1519-20</w:t>
      </w:r>
      <w:r w:rsidR="00B063B8" w:rsidRPr="003D2BEE">
        <w:rPr>
          <w:rFonts w:asciiTheme="minorHAnsi" w:hAnsiTheme="minorHAnsi" w:cstheme="minorHAnsi"/>
        </w:rPr>
        <w:t>.</w:t>
      </w:r>
    </w:p>
  </w:footnote>
  <w:footnote w:id="34">
    <w:p w14:paraId="110E0A3E" w14:textId="2028E441" w:rsidR="00FB1849" w:rsidRPr="003D2BEE" w:rsidRDefault="00FB1849">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OCC Brief at 37.</w:t>
      </w:r>
    </w:p>
  </w:footnote>
  <w:footnote w:id="35">
    <w:p w14:paraId="65942F13" w14:textId="425C2017" w:rsidR="004E06E2" w:rsidRPr="003D2BEE" w:rsidRDefault="004E06E2">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Pr="003D2BEE">
        <w:rPr>
          <w:rFonts w:asciiTheme="minorHAnsi" w:hAnsiTheme="minorHAnsi" w:cstheme="minorHAnsi"/>
          <w:i/>
          <w:iCs/>
        </w:rPr>
        <w:t>Id</w:t>
      </w:r>
      <w:r w:rsidRPr="003D2BEE">
        <w:rPr>
          <w:rFonts w:asciiTheme="minorHAnsi" w:hAnsiTheme="minorHAnsi" w:cstheme="minorHAnsi"/>
        </w:rPr>
        <w:t>. at 40-41.</w:t>
      </w:r>
    </w:p>
  </w:footnote>
  <w:footnote w:id="36">
    <w:p w14:paraId="57E36FB7" w14:textId="5C5C87B7" w:rsidR="003A7BF9" w:rsidRPr="003D2BEE" w:rsidRDefault="003A7BF9">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Goins Testimony at 9; </w:t>
      </w:r>
      <w:r w:rsidR="0091791C" w:rsidRPr="0091791C">
        <w:rPr>
          <w:rFonts w:asciiTheme="minorHAnsi" w:hAnsiTheme="minorHAnsi" w:cstheme="minorHAnsi"/>
          <w:i/>
          <w:iCs/>
        </w:rPr>
        <w:t>see also,</w:t>
      </w:r>
      <w:r w:rsidR="0091791C">
        <w:rPr>
          <w:rFonts w:asciiTheme="minorHAnsi" w:hAnsiTheme="minorHAnsi" w:cstheme="minorHAnsi"/>
        </w:rPr>
        <w:t xml:space="preserve"> Case No. 14-1297-EL-SSO, Rebuttal Testimony of Eileen M. Mikkelsen, Company Ex. 146 at 19-20. </w:t>
      </w:r>
    </w:p>
  </w:footnote>
  <w:footnote w:id="37">
    <w:p w14:paraId="120FC3B0" w14:textId="4FB9F361" w:rsidR="00D00E8C" w:rsidRPr="003D2BEE" w:rsidRDefault="00D00E8C">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Goins Testimony at 9.</w:t>
      </w:r>
    </w:p>
  </w:footnote>
  <w:footnote w:id="38">
    <w:p w14:paraId="733528B3" w14:textId="59DCB2F6" w:rsidR="007E1B8A" w:rsidRPr="003D2BEE" w:rsidRDefault="007E1B8A">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OMAEG Brief at 45.</w:t>
      </w:r>
    </w:p>
  </w:footnote>
  <w:footnote w:id="39">
    <w:p w14:paraId="43D418F1" w14:textId="44AFA9C0" w:rsidR="00A062F4" w:rsidRPr="003D2BEE" w:rsidRDefault="00A062F4">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Pr="003D2BEE">
        <w:rPr>
          <w:rFonts w:asciiTheme="minorHAnsi" w:hAnsiTheme="minorHAnsi" w:cstheme="minorHAnsi"/>
          <w:i/>
          <w:iCs/>
        </w:rPr>
        <w:t>Id</w:t>
      </w:r>
      <w:r w:rsidRPr="003D2BEE">
        <w:rPr>
          <w:rFonts w:asciiTheme="minorHAnsi" w:hAnsiTheme="minorHAnsi" w:cstheme="minorHAnsi"/>
        </w:rPr>
        <w:t>. at 46.</w:t>
      </w:r>
    </w:p>
  </w:footnote>
  <w:footnote w:id="40">
    <w:p w14:paraId="51A07AB6" w14:textId="68E51AE1" w:rsidR="004C2CF0" w:rsidRPr="003D2BEE" w:rsidRDefault="004C2CF0">
      <w:pPr>
        <w:pStyle w:val="FootnoteText"/>
        <w:rPr>
          <w:rFonts w:asciiTheme="minorHAnsi" w:hAnsiTheme="minorHAnsi" w:cstheme="minorHAnsi"/>
        </w:rPr>
      </w:pPr>
      <w:r w:rsidRPr="003D2BEE">
        <w:rPr>
          <w:rStyle w:val="FootnoteReference"/>
          <w:rFonts w:asciiTheme="minorHAnsi" w:hAnsiTheme="minorHAnsi" w:cstheme="minorHAnsi"/>
        </w:rPr>
        <w:footnoteRef/>
      </w:r>
      <w:r w:rsidR="009D03A2">
        <w:rPr>
          <w:rFonts w:asciiTheme="minorHAnsi" w:hAnsiTheme="minorHAnsi" w:cstheme="minorHAnsi"/>
        </w:rPr>
        <w:t xml:space="preserve"> </w:t>
      </w:r>
      <w:r w:rsidR="009D03A2" w:rsidRPr="00CC5E8C">
        <w:rPr>
          <w:rFonts w:asciiTheme="minorHAnsi" w:hAnsiTheme="minorHAnsi" w:cstheme="minorHAnsi"/>
          <w:i/>
          <w:iCs/>
        </w:rPr>
        <w:t>Id</w:t>
      </w:r>
      <w:r w:rsidRPr="003D2BEE">
        <w:rPr>
          <w:rFonts w:asciiTheme="minorHAnsi" w:hAnsiTheme="minorHAnsi" w:cstheme="minorHAnsi"/>
        </w:rPr>
        <w:t>.</w:t>
      </w:r>
    </w:p>
  </w:footnote>
  <w:footnote w:id="41">
    <w:p w14:paraId="051D1024" w14:textId="1C2320A9" w:rsidR="00B37539" w:rsidRPr="003D2BEE" w:rsidRDefault="00B37539">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00D91E4B">
        <w:rPr>
          <w:rFonts w:asciiTheme="minorHAnsi" w:hAnsiTheme="minorHAnsi" w:cstheme="minorHAnsi"/>
        </w:rPr>
        <w:t xml:space="preserve">Tr. Vol. II at 346; </w:t>
      </w:r>
      <w:r w:rsidR="000B0663">
        <w:rPr>
          <w:rFonts w:asciiTheme="minorHAnsi" w:hAnsiTheme="minorHAnsi" w:cstheme="minorHAnsi"/>
        </w:rPr>
        <w:t>Tr. Vol. IX at 1761.</w:t>
      </w:r>
    </w:p>
  </w:footnote>
  <w:footnote w:id="42">
    <w:p w14:paraId="42090234" w14:textId="75E2D164" w:rsidR="000672F9" w:rsidRPr="003D2BEE" w:rsidRDefault="000672F9">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OCC Brief at 42; OMAEG Brief at 47.</w:t>
      </w:r>
    </w:p>
  </w:footnote>
  <w:footnote w:id="43">
    <w:p w14:paraId="1E8F2647" w14:textId="0A0D06D9" w:rsidR="00BB1D2D" w:rsidRPr="003D2BEE" w:rsidRDefault="00BB1D2D">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009A49C7" w:rsidRPr="009A49C7">
        <w:rPr>
          <w:rFonts w:asciiTheme="minorHAnsi" w:hAnsiTheme="minorHAnsi" w:cstheme="minorHAnsi"/>
          <w:i/>
          <w:iCs/>
        </w:rPr>
        <w:t>See</w:t>
      </w:r>
      <w:r w:rsidR="009A49C7">
        <w:rPr>
          <w:rFonts w:asciiTheme="minorHAnsi" w:hAnsiTheme="minorHAnsi" w:cstheme="minorHAnsi"/>
        </w:rPr>
        <w:t xml:space="preserve"> OELC Brief at 35-38 (discussing comments filed in the ESP V docket from current Rider ELR participants attesting to the economic development benefits provided by the program).</w:t>
      </w:r>
    </w:p>
  </w:footnote>
  <w:footnote w:id="44">
    <w:p w14:paraId="7178DEEB" w14:textId="6D5A53FB" w:rsidR="009A49C7" w:rsidRPr="009A49C7" w:rsidRDefault="009A49C7">
      <w:pPr>
        <w:pStyle w:val="FootnoteText"/>
        <w:rPr>
          <w:rFonts w:asciiTheme="minorHAnsi" w:hAnsiTheme="minorHAnsi" w:cstheme="minorHAnsi"/>
        </w:rPr>
      </w:pPr>
      <w:r w:rsidRPr="009A49C7">
        <w:rPr>
          <w:rStyle w:val="FootnoteReference"/>
          <w:rFonts w:asciiTheme="minorHAnsi" w:hAnsiTheme="minorHAnsi" w:cstheme="minorHAnsi"/>
        </w:rPr>
        <w:footnoteRef/>
      </w:r>
      <w:r w:rsidRPr="009A49C7">
        <w:rPr>
          <w:rFonts w:asciiTheme="minorHAnsi" w:hAnsiTheme="minorHAnsi" w:cstheme="minorHAnsi"/>
        </w:rPr>
        <w:t xml:space="preserve"> Tr. Vol. III at 544.</w:t>
      </w:r>
    </w:p>
  </w:footnote>
  <w:footnote w:id="45">
    <w:p w14:paraId="552F100F" w14:textId="10FABD9B" w:rsidR="000F529B" w:rsidRDefault="000F529B">
      <w:pPr>
        <w:pStyle w:val="FootnoteText"/>
      </w:pPr>
      <w:r>
        <w:rPr>
          <w:rStyle w:val="FootnoteReference"/>
        </w:rPr>
        <w:footnoteRef/>
      </w:r>
      <w:r>
        <w:t xml:space="preserve"> </w:t>
      </w:r>
      <w:r w:rsidRPr="009A49C7">
        <w:rPr>
          <w:rFonts w:asciiTheme="minorHAnsi" w:hAnsiTheme="minorHAnsi" w:cstheme="minorHAnsi"/>
        </w:rPr>
        <w:t>Tr. Vol. III at 54</w:t>
      </w:r>
      <w:r>
        <w:rPr>
          <w:rFonts w:asciiTheme="minorHAnsi" w:hAnsiTheme="minorHAnsi" w:cstheme="minorHAnsi"/>
        </w:rPr>
        <w:t>5</w:t>
      </w:r>
      <w:r w:rsidRPr="009A49C7">
        <w:rPr>
          <w:rFonts w:asciiTheme="minorHAnsi" w:hAnsiTheme="minorHAnsi" w:cstheme="minorHAnsi"/>
        </w:rPr>
        <w:t>.</w:t>
      </w:r>
    </w:p>
  </w:footnote>
  <w:footnote w:id="46">
    <w:p w14:paraId="2D81BF47" w14:textId="4620D77B" w:rsidR="00785D76" w:rsidRPr="003D2BEE" w:rsidRDefault="00785D76">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009D03A2" w:rsidRPr="009D03A2">
        <w:rPr>
          <w:rFonts w:asciiTheme="minorHAnsi" w:hAnsiTheme="minorHAnsi" w:cstheme="minorHAnsi"/>
        </w:rPr>
        <w:t xml:space="preserve">Case No. 14-1297-EL-SSO, </w:t>
      </w:r>
      <w:r w:rsidR="00B94302">
        <w:rPr>
          <w:rFonts w:asciiTheme="minorHAnsi" w:hAnsiTheme="minorHAnsi" w:cstheme="minorHAnsi"/>
        </w:rPr>
        <w:t xml:space="preserve">Opinion and Order at </w:t>
      </w:r>
      <w:r w:rsidR="009D03A2">
        <w:rPr>
          <w:rFonts w:asciiTheme="minorHAnsi" w:hAnsiTheme="minorHAnsi" w:cstheme="minorHAnsi"/>
        </w:rPr>
        <w:t>14</w:t>
      </w:r>
      <w:r w:rsidR="00B94302">
        <w:rPr>
          <w:rFonts w:asciiTheme="minorHAnsi" w:hAnsiTheme="minorHAnsi" w:cstheme="minorHAnsi"/>
        </w:rPr>
        <w:t>.</w:t>
      </w:r>
    </w:p>
  </w:footnote>
  <w:footnote w:id="47">
    <w:p w14:paraId="1196F9E9" w14:textId="034CA23D" w:rsidR="00785D76" w:rsidRPr="003D2BEE" w:rsidRDefault="00785D76">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00B94302">
        <w:rPr>
          <w:rFonts w:asciiTheme="minorHAnsi" w:hAnsiTheme="minorHAnsi" w:cstheme="minorHAnsi"/>
        </w:rPr>
        <w:t>Tr. Vol. II at 439-40.</w:t>
      </w:r>
    </w:p>
  </w:footnote>
  <w:footnote w:id="48">
    <w:p w14:paraId="2C0A617D" w14:textId="2C2DA7A0" w:rsidR="00785D76" w:rsidRPr="003D2BEE" w:rsidRDefault="00785D76">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OMAEG </w:t>
      </w:r>
      <w:r w:rsidR="009D03A2">
        <w:rPr>
          <w:rFonts w:asciiTheme="minorHAnsi" w:hAnsiTheme="minorHAnsi" w:cstheme="minorHAnsi"/>
        </w:rPr>
        <w:t xml:space="preserve">Brief </w:t>
      </w:r>
      <w:r w:rsidRPr="003D2BEE">
        <w:rPr>
          <w:rFonts w:asciiTheme="minorHAnsi" w:hAnsiTheme="minorHAnsi" w:cstheme="minorHAnsi"/>
        </w:rPr>
        <w:t>at 47.</w:t>
      </w:r>
    </w:p>
  </w:footnote>
  <w:footnote w:id="49">
    <w:p w14:paraId="46FA8002" w14:textId="7DD0CFB9" w:rsidR="009A53D7" w:rsidRPr="003D2BEE" w:rsidRDefault="009A53D7">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OCC Brief at </w:t>
      </w:r>
      <w:r w:rsidR="00BE26E1" w:rsidRPr="003D2BEE">
        <w:rPr>
          <w:rFonts w:asciiTheme="minorHAnsi" w:hAnsiTheme="minorHAnsi" w:cstheme="minorHAnsi"/>
        </w:rPr>
        <w:t>42-44; NOAC Brief at 8.</w:t>
      </w:r>
    </w:p>
  </w:footnote>
  <w:footnote w:id="50">
    <w:p w14:paraId="146934D3" w14:textId="1D81673A" w:rsidR="00C1138E" w:rsidRPr="003D2BEE" w:rsidRDefault="00C1138E">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OCC Brief at 42.</w:t>
      </w:r>
    </w:p>
  </w:footnote>
  <w:footnote w:id="51">
    <w:p w14:paraId="2D02C27F" w14:textId="6EA38CEB" w:rsidR="00EF4A24" w:rsidRPr="003D2BEE" w:rsidRDefault="00EF4A24">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00463147" w:rsidRPr="00CC5E8C">
        <w:rPr>
          <w:rFonts w:asciiTheme="minorHAnsi" w:hAnsiTheme="minorHAnsi" w:cstheme="minorHAnsi"/>
          <w:i/>
          <w:iCs/>
        </w:rPr>
        <w:t>Id</w:t>
      </w:r>
      <w:r w:rsidR="00463147">
        <w:rPr>
          <w:rFonts w:asciiTheme="minorHAnsi" w:hAnsiTheme="minorHAnsi" w:cstheme="minorHAnsi"/>
        </w:rPr>
        <w:t xml:space="preserve">. </w:t>
      </w:r>
      <w:r w:rsidR="00327D31" w:rsidRPr="003D2BEE">
        <w:rPr>
          <w:rFonts w:asciiTheme="minorHAnsi" w:hAnsiTheme="minorHAnsi" w:cstheme="minorHAnsi"/>
        </w:rPr>
        <w:t>at 42-44.</w:t>
      </w:r>
    </w:p>
  </w:footnote>
  <w:footnote w:id="52">
    <w:p w14:paraId="6C0E6E10" w14:textId="6B2CF0BA" w:rsidR="007B1AA6" w:rsidRPr="003D2BEE" w:rsidRDefault="007B1AA6">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Pr="003D2BEE">
        <w:rPr>
          <w:rFonts w:asciiTheme="minorHAnsi" w:hAnsiTheme="minorHAnsi" w:cstheme="minorHAnsi"/>
          <w:i/>
          <w:iCs/>
        </w:rPr>
        <w:t>Id</w:t>
      </w:r>
      <w:r w:rsidRPr="003D2BEE">
        <w:rPr>
          <w:rFonts w:asciiTheme="minorHAnsi" w:hAnsiTheme="minorHAnsi" w:cstheme="minorHAnsi"/>
        </w:rPr>
        <w:t>. at 42-43.</w:t>
      </w:r>
    </w:p>
  </w:footnote>
  <w:footnote w:id="53">
    <w:p w14:paraId="2DC413AB" w14:textId="385586D8" w:rsidR="00E443B4" w:rsidRPr="003D2BEE" w:rsidRDefault="00E443B4">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Tr. Vol. XIV at 2548.</w:t>
      </w:r>
    </w:p>
  </w:footnote>
  <w:footnote w:id="54">
    <w:p w14:paraId="37D6EB09" w14:textId="423E18E5" w:rsidR="00E443B4" w:rsidRPr="003D2BEE" w:rsidRDefault="00E443B4">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Pr="003D2BEE">
        <w:rPr>
          <w:rFonts w:asciiTheme="minorHAnsi" w:hAnsiTheme="minorHAnsi" w:cstheme="minorHAnsi"/>
          <w:i/>
          <w:iCs/>
        </w:rPr>
        <w:t>Id</w:t>
      </w:r>
      <w:r w:rsidRPr="003D2BEE">
        <w:rPr>
          <w:rFonts w:asciiTheme="minorHAnsi" w:hAnsiTheme="minorHAnsi" w:cstheme="minorHAnsi"/>
        </w:rPr>
        <w:t>. at 2571.</w:t>
      </w:r>
    </w:p>
  </w:footnote>
  <w:footnote w:id="55">
    <w:p w14:paraId="5A00B307" w14:textId="5545DFB2" w:rsidR="00EC648C" w:rsidRPr="003D2BEE" w:rsidRDefault="00EC648C">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Pr="003D2BEE">
        <w:rPr>
          <w:rFonts w:asciiTheme="minorHAnsi" w:hAnsiTheme="minorHAnsi" w:cstheme="minorHAnsi"/>
          <w:i/>
          <w:iCs/>
        </w:rPr>
        <w:t>Id</w:t>
      </w:r>
      <w:r w:rsidRPr="003D2BEE">
        <w:rPr>
          <w:rFonts w:asciiTheme="minorHAnsi" w:hAnsiTheme="minorHAnsi" w:cstheme="minorHAnsi"/>
        </w:rPr>
        <w:t>.</w:t>
      </w:r>
    </w:p>
  </w:footnote>
  <w:footnote w:id="56">
    <w:p w14:paraId="58D99002" w14:textId="1A3E29B1" w:rsidR="00111E6E" w:rsidRPr="003D2BEE" w:rsidRDefault="00111E6E">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Staff Brief at 17.</w:t>
      </w:r>
    </w:p>
  </w:footnote>
  <w:footnote w:id="57">
    <w:p w14:paraId="109A7237" w14:textId="4509394D" w:rsidR="00141811" w:rsidRPr="003D2BEE" w:rsidRDefault="00141811">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FirstEnergy Brief at 48; Staff Brief at</w:t>
      </w:r>
      <w:r w:rsidR="008D2E80">
        <w:rPr>
          <w:rFonts w:asciiTheme="minorHAnsi" w:hAnsiTheme="minorHAnsi" w:cstheme="minorHAnsi"/>
        </w:rPr>
        <w:t xml:space="preserve"> 18</w:t>
      </w:r>
      <w:r w:rsidRPr="003D2BEE">
        <w:rPr>
          <w:rFonts w:asciiTheme="minorHAnsi" w:hAnsiTheme="minorHAnsi" w:cstheme="minorHAnsi"/>
        </w:rPr>
        <w:t>.</w:t>
      </w:r>
    </w:p>
  </w:footnote>
  <w:footnote w:id="58">
    <w:p w14:paraId="6C2742D5" w14:textId="1D8C54D8" w:rsidR="006A11F2" w:rsidRPr="003D2BEE" w:rsidRDefault="006A11F2">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00D11037">
        <w:rPr>
          <w:rFonts w:asciiTheme="minorHAnsi" w:hAnsiTheme="minorHAnsi" w:cstheme="minorHAnsi"/>
        </w:rPr>
        <w:t xml:space="preserve">Staff Brief </w:t>
      </w:r>
      <w:r w:rsidRPr="003D2BEE">
        <w:rPr>
          <w:rFonts w:asciiTheme="minorHAnsi" w:hAnsiTheme="minorHAnsi" w:cstheme="minorHAnsi"/>
        </w:rPr>
        <w:t>at 18.</w:t>
      </w:r>
    </w:p>
  </w:footnote>
  <w:footnote w:id="59">
    <w:p w14:paraId="4B5898E9" w14:textId="775770C9" w:rsidR="006A11F2" w:rsidRPr="003D2BEE" w:rsidRDefault="006A11F2">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008D2E80" w:rsidRPr="008D2E80">
        <w:rPr>
          <w:rFonts w:asciiTheme="minorHAnsi" w:hAnsiTheme="minorHAnsi" w:cstheme="minorHAnsi"/>
          <w:i/>
          <w:iCs/>
        </w:rPr>
        <w:t>See, supra,</w:t>
      </w:r>
      <w:r w:rsidR="008D2E80">
        <w:rPr>
          <w:rFonts w:asciiTheme="minorHAnsi" w:hAnsiTheme="minorHAnsi" w:cstheme="minorHAnsi"/>
        </w:rPr>
        <w:t xml:space="preserve"> Section II.A</w:t>
      </w:r>
      <w:r w:rsidR="00D11037">
        <w:rPr>
          <w:rFonts w:asciiTheme="minorHAnsi" w:hAnsiTheme="minorHAnsi" w:cstheme="minorHAnsi"/>
        </w:rPr>
        <w:t>.</w:t>
      </w:r>
      <w:r w:rsidR="008D2E80">
        <w:rPr>
          <w:rFonts w:asciiTheme="minorHAnsi" w:hAnsiTheme="minorHAnsi" w:cstheme="minorHAnsi"/>
        </w:rPr>
        <w:t xml:space="preserve">2.a; </w:t>
      </w:r>
      <w:r w:rsidR="00D11037">
        <w:rPr>
          <w:rFonts w:asciiTheme="minorHAnsi" w:hAnsiTheme="minorHAnsi" w:cstheme="minorHAnsi"/>
        </w:rPr>
        <w:t xml:space="preserve">Initial Brief by Nucor Steel Marion, Inc. </w:t>
      </w:r>
      <w:r w:rsidR="008D2E80">
        <w:rPr>
          <w:rFonts w:asciiTheme="minorHAnsi" w:hAnsiTheme="minorHAnsi" w:cstheme="minorHAnsi"/>
        </w:rPr>
        <w:t>at 14-17.</w:t>
      </w:r>
    </w:p>
  </w:footnote>
  <w:footnote w:id="60">
    <w:p w14:paraId="3C48D183" w14:textId="6CE0217F" w:rsidR="009B6364" w:rsidRPr="003D2BEE" w:rsidRDefault="009B6364">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Tr. Vol. XIV at 2575.</w:t>
      </w:r>
    </w:p>
  </w:footnote>
  <w:footnote w:id="61">
    <w:p w14:paraId="4BBF3C4F" w14:textId="6514BA8E" w:rsidR="009B6364" w:rsidRPr="003D2BEE" w:rsidRDefault="009B6364">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Pr="003D2BEE">
        <w:rPr>
          <w:rFonts w:asciiTheme="minorHAnsi" w:hAnsiTheme="minorHAnsi" w:cstheme="minorHAnsi"/>
          <w:i/>
          <w:iCs/>
        </w:rPr>
        <w:t>Id</w:t>
      </w:r>
      <w:r w:rsidRPr="003D2BEE">
        <w:rPr>
          <w:rFonts w:asciiTheme="minorHAnsi" w:hAnsiTheme="minorHAnsi" w:cstheme="minorHAnsi"/>
        </w:rPr>
        <w:t>.</w:t>
      </w:r>
    </w:p>
  </w:footnote>
  <w:footnote w:id="62">
    <w:p w14:paraId="47DC4DE5" w14:textId="3BEA8772" w:rsidR="00D02362" w:rsidRPr="003D2BEE" w:rsidRDefault="00D02362">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Tr. Vol. VII at 1520-21.</w:t>
      </w:r>
    </w:p>
  </w:footnote>
  <w:footnote w:id="63">
    <w:p w14:paraId="7B33C87F" w14:textId="1C5924F3" w:rsidR="009B6364" w:rsidRPr="003D2BEE" w:rsidRDefault="009B6364">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00174A14">
        <w:rPr>
          <w:rFonts w:asciiTheme="minorHAnsi" w:hAnsiTheme="minorHAnsi" w:cstheme="minorHAnsi"/>
        </w:rPr>
        <w:t xml:space="preserve">Tr. Vol. XIV </w:t>
      </w:r>
      <w:r w:rsidRPr="003D2BEE">
        <w:rPr>
          <w:rFonts w:asciiTheme="minorHAnsi" w:hAnsiTheme="minorHAnsi" w:cstheme="minorHAnsi"/>
        </w:rPr>
        <w:t xml:space="preserve">at 2575-76. </w:t>
      </w:r>
    </w:p>
  </w:footnote>
  <w:footnote w:id="64">
    <w:p w14:paraId="7FFE81DE" w14:textId="79F5A0DD" w:rsidR="00D97734" w:rsidRPr="00D56FA4" w:rsidRDefault="00D97734">
      <w:pPr>
        <w:pStyle w:val="FootnoteText"/>
        <w:rPr>
          <w:rFonts w:asciiTheme="minorHAnsi" w:hAnsiTheme="minorHAnsi" w:cstheme="minorHAnsi"/>
        </w:rPr>
      </w:pPr>
      <w:r w:rsidRPr="00D56FA4">
        <w:rPr>
          <w:rStyle w:val="FootnoteReference"/>
          <w:rFonts w:asciiTheme="minorHAnsi" w:hAnsiTheme="minorHAnsi" w:cstheme="minorHAnsi"/>
        </w:rPr>
        <w:footnoteRef/>
      </w:r>
      <w:r w:rsidRPr="00D56FA4">
        <w:rPr>
          <w:rFonts w:asciiTheme="minorHAnsi" w:hAnsiTheme="minorHAnsi" w:cstheme="minorHAnsi"/>
        </w:rPr>
        <w:t xml:space="preserve"> </w:t>
      </w:r>
      <w:r w:rsidRPr="00D56FA4">
        <w:rPr>
          <w:rFonts w:asciiTheme="minorHAnsi" w:hAnsiTheme="minorHAnsi" w:cstheme="minorHAnsi"/>
          <w:i/>
          <w:iCs/>
        </w:rPr>
        <w:t>Id.</w:t>
      </w:r>
      <w:r w:rsidRPr="00D56FA4">
        <w:rPr>
          <w:rFonts w:asciiTheme="minorHAnsi" w:hAnsiTheme="minorHAnsi" w:cstheme="minorHAnsi"/>
        </w:rPr>
        <w:t xml:space="preserve"> at 2584-85.</w:t>
      </w:r>
    </w:p>
  </w:footnote>
  <w:footnote w:id="65">
    <w:p w14:paraId="62640CFE" w14:textId="089AD091" w:rsidR="00A308F6" w:rsidRPr="003D2BEE" w:rsidRDefault="00A308F6">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Staff Brief at 20.</w:t>
      </w:r>
    </w:p>
  </w:footnote>
  <w:footnote w:id="66">
    <w:p w14:paraId="45EF34FF" w14:textId="707A59AC" w:rsidR="00421392" w:rsidRPr="003D2BEE" w:rsidRDefault="00421392">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Pr="003D2BEE">
        <w:rPr>
          <w:rFonts w:asciiTheme="minorHAnsi" w:hAnsiTheme="minorHAnsi" w:cstheme="minorHAnsi"/>
          <w:i/>
          <w:iCs/>
        </w:rPr>
        <w:t>Id</w:t>
      </w:r>
      <w:r w:rsidRPr="003D2BEE">
        <w:rPr>
          <w:rFonts w:asciiTheme="minorHAnsi" w:hAnsiTheme="minorHAnsi" w:cstheme="minorHAnsi"/>
        </w:rPr>
        <w:t>. at 20-21.</w:t>
      </w:r>
    </w:p>
  </w:footnote>
  <w:footnote w:id="67">
    <w:p w14:paraId="7D45FA32" w14:textId="42E2C175" w:rsidR="002763AB" w:rsidRPr="00870FB1" w:rsidRDefault="002763AB" w:rsidP="002763AB">
      <w:pPr>
        <w:pStyle w:val="FootnoteText"/>
        <w:rPr>
          <w:rFonts w:asciiTheme="minorHAnsi" w:hAnsiTheme="minorHAnsi" w:cstheme="minorHAnsi"/>
        </w:rPr>
      </w:pPr>
      <w:r w:rsidRPr="00870FB1">
        <w:rPr>
          <w:rStyle w:val="FootnoteReference"/>
          <w:rFonts w:asciiTheme="minorHAnsi" w:hAnsiTheme="minorHAnsi" w:cstheme="minorHAnsi"/>
        </w:rPr>
        <w:footnoteRef/>
      </w:r>
      <w:r w:rsidRPr="00870FB1">
        <w:rPr>
          <w:rFonts w:asciiTheme="minorHAnsi" w:hAnsiTheme="minorHAnsi" w:cstheme="minorHAnsi"/>
        </w:rPr>
        <w:t xml:space="preserve"> </w:t>
      </w:r>
      <w:r w:rsidR="001D11D9" w:rsidRPr="00CC5E8C">
        <w:rPr>
          <w:rFonts w:asciiTheme="minorHAnsi" w:hAnsiTheme="minorHAnsi" w:cstheme="minorHAnsi"/>
          <w:i/>
          <w:iCs/>
        </w:rPr>
        <w:t>Id.</w:t>
      </w:r>
      <w:r w:rsidR="001D11D9">
        <w:rPr>
          <w:rFonts w:asciiTheme="minorHAnsi" w:hAnsiTheme="minorHAnsi" w:cstheme="minorHAnsi"/>
        </w:rPr>
        <w:t xml:space="preserve"> </w:t>
      </w:r>
      <w:r w:rsidRPr="00870FB1">
        <w:rPr>
          <w:rFonts w:asciiTheme="minorHAnsi" w:hAnsiTheme="minorHAnsi" w:cstheme="minorHAnsi"/>
        </w:rPr>
        <w:t>at 19.</w:t>
      </w:r>
    </w:p>
  </w:footnote>
  <w:footnote w:id="68">
    <w:p w14:paraId="009C42BC" w14:textId="77777777" w:rsidR="002763AB" w:rsidRPr="002763AB" w:rsidRDefault="002763AB" w:rsidP="002763AB">
      <w:pPr>
        <w:pStyle w:val="FootnoteText"/>
        <w:rPr>
          <w:rFonts w:asciiTheme="minorHAnsi" w:hAnsiTheme="minorHAnsi" w:cstheme="minorHAnsi"/>
        </w:rPr>
      </w:pPr>
      <w:r w:rsidRPr="002763AB">
        <w:rPr>
          <w:rStyle w:val="FootnoteReference"/>
          <w:rFonts w:asciiTheme="minorHAnsi" w:hAnsiTheme="minorHAnsi" w:cstheme="minorHAnsi"/>
        </w:rPr>
        <w:footnoteRef/>
      </w:r>
      <w:r w:rsidRPr="002763AB">
        <w:rPr>
          <w:rFonts w:asciiTheme="minorHAnsi" w:hAnsiTheme="minorHAnsi" w:cstheme="minorHAnsi"/>
        </w:rPr>
        <w:t xml:space="preserve"> Tr. Vol. XIV at 2588.</w:t>
      </w:r>
    </w:p>
  </w:footnote>
  <w:footnote w:id="69">
    <w:p w14:paraId="683E80AF" w14:textId="799C86D0" w:rsidR="008904C8" w:rsidRPr="003D2BEE" w:rsidRDefault="008904C8">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Staff Brief at 20.</w:t>
      </w:r>
    </w:p>
  </w:footnote>
  <w:footnote w:id="70">
    <w:p w14:paraId="2D5F6612" w14:textId="0DC875D8" w:rsidR="008904C8" w:rsidRPr="003D2BEE" w:rsidRDefault="008904C8">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007D5436">
        <w:rPr>
          <w:rFonts w:asciiTheme="minorHAnsi" w:hAnsiTheme="minorHAnsi" w:cstheme="minorHAnsi"/>
        </w:rPr>
        <w:t>Goins Testimony at 16.</w:t>
      </w:r>
    </w:p>
  </w:footnote>
  <w:footnote w:id="71">
    <w:p w14:paraId="6A6CBE20" w14:textId="34A2D25B" w:rsidR="000C064A" w:rsidRPr="003D2BEE" w:rsidRDefault="000C064A">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Staff Brief a</w:t>
      </w:r>
      <w:r w:rsidR="00E72B5E" w:rsidRPr="003D2BEE">
        <w:rPr>
          <w:rFonts w:asciiTheme="minorHAnsi" w:hAnsiTheme="minorHAnsi" w:cstheme="minorHAnsi"/>
        </w:rPr>
        <w:t>t</w:t>
      </w:r>
      <w:r w:rsidRPr="003D2BEE">
        <w:rPr>
          <w:rFonts w:asciiTheme="minorHAnsi" w:hAnsiTheme="minorHAnsi" w:cstheme="minorHAnsi"/>
        </w:rPr>
        <w:t xml:space="preserve"> 18.</w:t>
      </w:r>
    </w:p>
  </w:footnote>
  <w:footnote w:id="72">
    <w:p w14:paraId="32BA394B" w14:textId="1B15F69E" w:rsidR="00E72B5E" w:rsidRPr="003D2BEE" w:rsidRDefault="00E72B5E">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Pr="003D2BEE">
        <w:rPr>
          <w:rFonts w:asciiTheme="minorHAnsi" w:hAnsiTheme="minorHAnsi" w:cstheme="minorHAnsi"/>
          <w:i/>
          <w:iCs/>
        </w:rPr>
        <w:t>Id</w:t>
      </w:r>
      <w:r w:rsidRPr="003D2BEE">
        <w:rPr>
          <w:rFonts w:asciiTheme="minorHAnsi" w:hAnsiTheme="minorHAnsi" w:cstheme="minorHAnsi"/>
        </w:rPr>
        <w:t>. at 18-19.</w:t>
      </w:r>
    </w:p>
  </w:footnote>
  <w:footnote w:id="73">
    <w:p w14:paraId="6CB7073E" w14:textId="363B463D" w:rsidR="0052659E" w:rsidRPr="003D2BEE" w:rsidRDefault="0052659E">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Pr="003D2BEE">
        <w:rPr>
          <w:rFonts w:asciiTheme="minorHAnsi" w:hAnsiTheme="minorHAnsi" w:cstheme="minorHAnsi"/>
          <w:i/>
          <w:iCs/>
        </w:rPr>
        <w:t>Id</w:t>
      </w:r>
      <w:r w:rsidRPr="003D2BEE">
        <w:rPr>
          <w:rFonts w:asciiTheme="minorHAnsi" w:hAnsiTheme="minorHAnsi" w:cstheme="minorHAnsi"/>
        </w:rPr>
        <w:t>. at 19.</w:t>
      </w:r>
    </w:p>
  </w:footnote>
  <w:footnote w:id="74">
    <w:p w14:paraId="21494418" w14:textId="51C22022" w:rsidR="00B414EE" w:rsidRPr="00B414EE" w:rsidRDefault="00B414EE">
      <w:pPr>
        <w:pStyle w:val="FootnoteText"/>
        <w:rPr>
          <w:rFonts w:asciiTheme="minorHAnsi" w:hAnsiTheme="minorHAnsi" w:cstheme="minorHAnsi"/>
        </w:rPr>
      </w:pPr>
      <w:r w:rsidRPr="00B414EE">
        <w:rPr>
          <w:rStyle w:val="FootnoteReference"/>
          <w:rFonts w:asciiTheme="minorHAnsi" w:hAnsiTheme="minorHAnsi" w:cstheme="minorHAnsi"/>
        </w:rPr>
        <w:footnoteRef/>
      </w:r>
      <w:r w:rsidRPr="00B414EE">
        <w:rPr>
          <w:rFonts w:asciiTheme="minorHAnsi" w:hAnsiTheme="minorHAnsi" w:cstheme="minorHAnsi"/>
        </w:rPr>
        <w:t xml:space="preserve"> Tr. Vol. XIV at 2572-73.</w:t>
      </w:r>
    </w:p>
  </w:footnote>
  <w:footnote w:id="75">
    <w:p w14:paraId="48732C09" w14:textId="0BB4FCB4" w:rsidR="00041542" w:rsidRPr="003D2BEE" w:rsidRDefault="00041542">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00471702" w:rsidRPr="00CC5E8C">
        <w:rPr>
          <w:rFonts w:asciiTheme="minorHAnsi" w:hAnsiTheme="minorHAnsi" w:cstheme="minorHAnsi"/>
          <w:i/>
          <w:iCs/>
        </w:rPr>
        <w:t>Id</w:t>
      </w:r>
      <w:r w:rsidR="00471702">
        <w:rPr>
          <w:rFonts w:asciiTheme="minorHAnsi" w:hAnsiTheme="minorHAnsi" w:cstheme="minorHAnsi"/>
        </w:rPr>
        <w:t xml:space="preserve">. </w:t>
      </w:r>
      <w:r w:rsidRPr="003D2BEE">
        <w:rPr>
          <w:rFonts w:asciiTheme="minorHAnsi" w:hAnsiTheme="minorHAnsi" w:cstheme="minorHAnsi"/>
        </w:rPr>
        <w:t>at 2578.</w:t>
      </w:r>
    </w:p>
  </w:footnote>
  <w:footnote w:id="76">
    <w:p w14:paraId="75F696B3" w14:textId="7843B3ED" w:rsidR="003C55B9" w:rsidRPr="003D2BEE" w:rsidRDefault="003C55B9">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w:t>
      </w:r>
      <w:r w:rsidRPr="00420A79">
        <w:rPr>
          <w:rFonts w:asciiTheme="minorHAnsi" w:hAnsiTheme="minorHAnsi" w:cstheme="minorHAnsi"/>
          <w:i/>
          <w:iCs/>
        </w:rPr>
        <w:t>See</w:t>
      </w:r>
      <w:r w:rsidRPr="003D2BEE">
        <w:rPr>
          <w:rFonts w:asciiTheme="minorHAnsi" w:hAnsiTheme="minorHAnsi" w:cstheme="minorHAnsi"/>
        </w:rPr>
        <w:t xml:space="preserve"> OEG </w:t>
      </w:r>
      <w:r w:rsidR="00471702">
        <w:rPr>
          <w:rFonts w:asciiTheme="minorHAnsi" w:hAnsiTheme="minorHAnsi" w:cstheme="minorHAnsi"/>
        </w:rPr>
        <w:t>Brief</w:t>
      </w:r>
      <w:r w:rsidR="00471702" w:rsidRPr="003D2BEE">
        <w:rPr>
          <w:rFonts w:asciiTheme="minorHAnsi" w:hAnsiTheme="minorHAnsi" w:cstheme="minorHAnsi"/>
        </w:rPr>
        <w:t xml:space="preserve"> </w:t>
      </w:r>
      <w:r w:rsidRPr="003D2BEE">
        <w:rPr>
          <w:rFonts w:asciiTheme="minorHAnsi" w:hAnsiTheme="minorHAnsi" w:cstheme="minorHAnsi"/>
        </w:rPr>
        <w:t xml:space="preserve">at 20-22; OELC </w:t>
      </w:r>
      <w:r w:rsidR="00471702">
        <w:rPr>
          <w:rFonts w:asciiTheme="minorHAnsi" w:hAnsiTheme="minorHAnsi" w:cstheme="minorHAnsi"/>
        </w:rPr>
        <w:t>Brief</w:t>
      </w:r>
      <w:r w:rsidR="00471702" w:rsidRPr="003D2BEE">
        <w:rPr>
          <w:rFonts w:asciiTheme="minorHAnsi" w:hAnsiTheme="minorHAnsi" w:cstheme="minorHAnsi"/>
        </w:rPr>
        <w:t xml:space="preserve"> </w:t>
      </w:r>
      <w:r w:rsidRPr="003D2BEE">
        <w:rPr>
          <w:rFonts w:asciiTheme="minorHAnsi" w:hAnsiTheme="minorHAnsi" w:cstheme="minorHAnsi"/>
        </w:rPr>
        <w:t>at 42-</w:t>
      </w:r>
      <w:r w:rsidR="00471702">
        <w:rPr>
          <w:rFonts w:asciiTheme="minorHAnsi" w:hAnsiTheme="minorHAnsi" w:cstheme="minorHAnsi"/>
        </w:rPr>
        <w:t>45</w:t>
      </w:r>
      <w:r w:rsidRPr="003D2BEE">
        <w:rPr>
          <w:rFonts w:asciiTheme="minorHAnsi" w:hAnsiTheme="minorHAnsi" w:cstheme="minorHAnsi"/>
        </w:rPr>
        <w:t>.</w:t>
      </w:r>
    </w:p>
  </w:footnote>
  <w:footnote w:id="77">
    <w:p w14:paraId="21AF0E54" w14:textId="179B4D0B" w:rsidR="00361713" w:rsidRPr="003D2BEE" w:rsidRDefault="00361713" w:rsidP="00361713">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OEG </w:t>
      </w:r>
      <w:r>
        <w:rPr>
          <w:rFonts w:asciiTheme="minorHAnsi" w:hAnsiTheme="minorHAnsi" w:cstheme="minorHAnsi"/>
        </w:rPr>
        <w:t>Brief</w:t>
      </w:r>
      <w:r w:rsidRPr="003D2BEE">
        <w:rPr>
          <w:rFonts w:asciiTheme="minorHAnsi" w:hAnsiTheme="minorHAnsi" w:cstheme="minorHAnsi"/>
        </w:rPr>
        <w:t xml:space="preserve"> at </w:t>
      </w:r>
      <w:r>
        <w:rPr>
          <w:rFonts w:asciiTheme="minorHAnsi" w:hAnsiTheme="minorHAnsi" w:cstheme="minorHAnsi"/>
        </w:rPr>
        <w:t>21</w:t>
      </w:r>
      <w:r w:rsidRPr="003D2BEE">
        <w:rPr>
          <w:rFonts w:asciiTheme="minorHAnsi" w:hAnsiTheme="minorHAnsi" w:cstheme="minorHAnsi"/>
        </w:rPr>
        <w:t xml:space="preserve">; OELC </w:t>
      </w:r>
      <w:r>
        <w:rPr>
          <w:rFonts w:asciiTheme="minorHAnsi" w:hAnsiTheme="minorHAnsi" w:cstheme="minorHAnsi"/>
        </w:rPr>
        <w:t>Brief</w:t>
      </w:r>
      <w:r w:rsidRPr="003D2BEE">
        <w:rPr>
          <w:rFonts w:asciiTheme="minorHAnsi" w:hAnsiTheme="minorHAnsi" w:cstheme="minorHAnsi"/>
        </w:rPr>
        <w:t xml:space="preserve"> at </w:t>
      </w:r>
      <w:r>
        <w:rPr>
          <w:rFonts w:asciiTheme="minorHAnsi" w:hAnsiTheme="minorHAnsi" w:cstheme="minorHAnsi"/>
        </w:rPr>
        <w:t>44</w:t>
      </w:r>
      <w:r w:rsidRPr="003D2BEE">
        <w:rPr>
          <w:rFonts w:asciiTheme="minorHAnsi" w:hAnsiTheme="minorHAnsi" w:cstheme="minorHAnsi"/>
        </w:rPr>
        <w:t>.</w:t>
      </w:r>
    </w:p>
  </w:footnote>
  <w:footnote w:id="78">
    <w:p w14:paraId="37804CE7" w14:textId="2CD9F6DE" w:rsidR="006D7935" w:rsidRPr="003D2BEE" w:rsidRDefault="006D7935">
      <w:pPr>
        <w:pStyle w:val="FootnoteText"/>
        <w:rPr>
          <w:rFonts w:asciiTheme="minorHAnsi" w:hAnsiTheme="minorHAnsi" w:cstheme="minorHAnsi"/>
        </w:rPr>
      </w:pPr>
      <w:r w:rsidRPr="003D2BEE">
        <w:rPr>
          <w:rStyle w:val="FootnoteReference"/>
          <w:rFonts w:asciiTheme="minorHAnsi" w:hAnsiTheme="minorHAnsi" w:cstheme="minorHAnsi"/>
        </w:rPr>
        <w:footnoteRef/>
      </w:r>
      <w:r w:rsidRPr="003D2BEE">
        <w:rPr>
          <w:rFonts w:asciiTheme="minorHAnsi" w:hAnsiTheme="minorHAnsi" w:cstheme="minorHAnsi"/>
        </w:rPr>
        <w:t xml:space="preserve"> For example, OELC Witness </w:t>
      </w:r>
      <w:r w:rsidR="00CE7092" w:rsidRPr="003D2BEE">
        <w:rPr>
          <w:rFonts w:asciiTheme="minorHAnsi" w:hAnsiTheme="minorHAnsi" w:cstheme="minorHAnsi"/>
        </w:rPr>
        <w:t>Brakey testified that it would be difficult for ELR customers to sign up with a CSP in time to participate directly in PJM at the start of ESP V.</w:t>
      </w:r>
      <w:r w:rsidR="00916492">
        <w:rPr>
          <w:rFonts w:asciiTheme="minorHAnsi" w:hAnsiTheme="minorHAnsi" w:cstheme="minorHAnsi"/>
        </w:rPr>
        <w:t xml:space="preserve"> </w:t>
      </w:r>
      <w:r w:rsidR="00916492" w:rsidRPr="00CC5E8C">
        <w:rPr>
          <w:rFonts w:asciiTheme="minorHAnsi" w:hAnsiTheme="minorHAnsi" w:cstheme="minorHAnsi"/>
          <w:i/>
          <w:iCs/>
        </w:rPr>
        <w:t>See</w:t>
      </w:r>
      <w:r w:rsidR="00916492">
        <w:rPr>
          <w:rFonts w:asciiTheme="minorHAnsi" w:hAnsiTheme="minorHAnsi" w:cstheme="minorHAnsi"/>
        </w:rPr>
        <w:t xml:space="preserve"> Brakey Testimony at 54-55.</w:t>
      </w:r>
    </w:p>
  </w:footnote>
  <w:footnote w:id="79">
    <w:p w14:paraId="45290086" w14:textId="73496ACA" w:rsidR="0027453D" w:rsidRPr="00420A79" w:rsidRDefault="0027453D">
      <w:pPr>
        <w:pStyle w:val="FootnoteText"/>
        <w:rPr>
          <w:rFonts w:asciiTheme="minorHAnsi" w:hAnsiTheme="minorHAnsi" w:cstheme="minorHAnsi"/>
        </w:rPr>
      </w:pPr>
      <w:r w:rsidRPr="00420A79">
        <w:rPr>
          <w:rStyle w:val="FootnoteReference"/>
          <w:rFonts w:asciiTheme="minorHAnsi" w:hAnsiTheme="minorHAnsi" w:cstheme="minorHAnsi"/>
        </w:rPr>
        <w:footnoteRef/>
      </w:r>
      <w:r w:rsidRPr="00420A79">
        <w:rPr>
          <w:rFonts w:asciiTheme="minorHAnsi" w:hAnsiTheme="minorHAnsi" w:cstheme="minorHAnsi"/>
        </w:rPr>
        <w:t xml:space="preserve"> Tr. Vol. </w:t>
      </w:r>
      <w:r w:rsidR="003C01C3" w:rsidRPr="00420A79">
        <w:rPr>
          <w:rFonts w:asciiTheme="minorHAnsi" w:hAnsiTheme="minorHAnsi" w:cstheme="minorHAnsi"/>
        </w:rPr>
        <w:t>XIV at 2571-72.</w:t>
      </w:r>
    </w:p>
  </w:footnote>
  <w:footnote w:id="80">
    <w:p w14:paraId="1DC9CF79" w14:textId="63A97A9D" w:rsidR="00420A79" w:rsidRPr="00420A79" w:rsidRDefault="00420A79" w:rsidP="00420A79">
      <w:pPr>
        <w:pStyle w:val="FootnoteText"/>
        <w:rPr>
          <w:rFonts w:asciiTheme="minorHAnsi" w:hAnsiTheme="minorHAnsi" w:cstheme="minorHAnsi"/>
        </w:rPr>
      </w:pPr>
      <w:r w:rsidRPr="00420A79">
        <w:rPr>
          <w:rStyle w:val="FootnoteReference"/>
          <w:rFonts w:asciiTheme="minorHAnsi" w:hAnsiTheme="minorHAnsi" w:cstheme="minorHAnsi"/>
        </w:rPr>
        <w:footnoteRef/>
      </w:r>
      <w:r w:rsidRPr="00420A79">
        <w:rPr>
          <w:rFonts w:asciiTheme="minorHAnsi" w:hAnsiTheme="minorHAnsi" w:cstheme="minorHAnsi"/>
        </w:rPr>
        <w:t xml:space="preserve"> </w:t>
      </w:r>
      <w:r w:rsidR="00CB0785" w:rsidRPr="00CB0785">
        <w:rPr>
          <w:rFonts w:asciiTheme="minorHAnsi" w:hAnsiTheme="minorHAnsi" w:cstheme="minorHAnsi"/>
        </w:rPr>
        <w:t>FirstEnergy Brief</w:t>
      </w:r>
      <w:r w:rsidR="00CB0785" w:rsidRPr="00CB0785">
        <w:rPr>
          <w:rFonts w:asciiTheme="minorHAnsi" w:hAnsiTheme="minorHAnsi" w:cstheme="minorHAnsi"/>
          <w:i/>
          <w:iCs/>
        </w:rPr>
        <w:t xml:space="preserve"> </w:t>
      </w:r>
      <w:r w:rsidRPr="00420A79">
        <w:rPr>
          <w:rFonts w:asciiTheme="minorHAnsi" w:hAnsiTheme="minorHAnsi" w:cstheme="minorHAnsi"/>
        </w:rPr>
        <w:t>at 43-44.</w:t>
      </w:r>
    </w:p>
  </w:footnote>
  <w:footnote w:id="81">
    <w:p w14:paraId="62291EE9" w14:textId="77777777" w:rsidR="00420A79" w:rsidRPr="00420A79" w:rsidRDefault="00420A79" w:rsidP="00420A79">
      <w:pPr>
        <w:pStyle w:val="FootnoteText"/>
        <w:rPr>
          <w:rFonts w:asciiTheme="minorHAnsi" w:hAnsiTheme="minorHAnsi" w:cstheme="minorHAnsi"/>
        </w:rPr>
      </w:pPr>
      <w:r w:rsidRPr="00420A79">
        <w:rPr>
          <w:rStyle w:val="FootnoteReference"/>
          <w:rFonts w:asciiTheme="minorHAnsi" w:hAnsiTheme="minorHAnsi" w:cstheme="minorHAnsi"/>
        </w:rPr>
        <w:footnoteRef/>
      </w:r>
      <w:r w:rsidRPr="00420A79">
        <w:rPr>
          <w:rFonts w:asciiTheme="minorHAnsi" w:hAnsiTheme="minorHAnsi" w:cstheme="minorHAnsi"/>
        </w:rPr>
        <w:t xml:space="preserve"> Direct Energy Business LLC, Direct Energy Services LLC, Reliant Energy Northeast LLC dba NRG Home and NRG Business, Stream Ohio Gas &amp; Electric LLC, and XOOM Energy Ohio LLC.</w:t>
      </w:r>
    </w:p>
  </w:footnote>
  <w:footnote w:id="82">
    <w:p w14:paraId="5E93CC33" w14:textId="385D10EC" w:rsidR="00420A79" w:rsidRPr="00420A79" w:rsidRDefault="00420A79" w:rsidP="00420A79">
      <w:pPr>
        <w:pStyle w:val="FootnoteText"/>
        <w:rPr>
          <w:rFonts w:asciiTheme="minorHAnsi" w:hAnsiTheme="minorHAnsi" w:cstheme="minorHAnsi"/>
        </w:rPr>
      </w:pPr>
      <w:r w:rsidRPr="00420A79">
        <w:rPr>
          <w:rStyle w:val="FootnoteReference"/>
          <w:rFonts w:asciiTheme="minorHAnsi" w:hAnsiTheme="minorHAnsi" w:cstheme="minorHAnsi"/>
        </w:rPr>
        <w:footnoteRef/>
      </w:r>
      <w:r w:rsidRPr="00420A79">
        <w:rPr>
          <w:rFonts w:asciiTheme="minorHAnsi" w:hAnsiTheme="minorHAnsi" w:cstheme="minorHAnsi"/>
        </w:rPr>
        <w:t xml:space="preserve"> </w:t>
      </w:r>
      <w:r w:rsidR="00DB43EB" w:rsidRPr="00063CEB">
        <w:rPr>
          <w:rFonts w:asciiTheme="minorHAnsi" w:hAnsiTheme="minorHAnsi" w:cstheme="minorHAnsi"/>
        </w:rPr>
        <w:t xml:space="preserve">Initial </w:t>
      </w:r>
      <w:r w:rsidR="00366719">
        <w:rPr>
          <w:rFonts w:asciiTheme="minorHAnsi" w:hAnsiTheme="minorHAnsi" w:cstheme="minorHAnsi"/>
        </w:rPr>
        <w:t xml:space="preserve">Post </w:t>
      </w:r>
      <w:r w:rsidR="00DB43EB" w:rsidRPr="00063CEB">
        <w:rPr>
          <w:rFonts w:asciiTheme="minorHAnsi" w:hAnsiTheme="minorHAnsi" w:cstheme="minorHAnsi"/>
        </w:rPr>
        <w:t xml:space="preserve">Brief </w:t>
      </w:r>
      <w:r w:rsidR="00366719">
        <w:rPr>
          <w:rFonts w:asciiTheme="minorHAnsi" w:hAnsiTheme="minorHAnsi" w:cstheme="minorHAnsi"/>
        </w:rPr>
        <w:t xml:space="preserve">of </w:t>
      </w:r>
      <w:r w:rsidR="00366719" w:rsidRPr="00366719">
        <w:rPr>
          <w:rFonts w:asciiTheme="minorHAnsi" w:hAnsiTheme="minorHAnsi" w:cstheme="minorHAnsi"/>
        </w:rPr>
        <w:t xml:space="preserve">Direct Energy Business LLC, Direct Energy Services LLC, Reliant Energy Northeast LLC dba NRG Home and NRG Business, Stream Ohio Gas &amp; Electric LLC, and XOOM Energy Ohio LLC </w:t>
      </w:r>
      <w:r w:rsidR="00DB43EB" w:rsidRPr="00063CEB">
        <w:rPr>
          <w:rFonts w:asciiTheme="minorHAnsi" w:hAnsiTheme="minorHAnsi" w:cstheme="minorHAnsi"/>
        </w:rPr>
        <w:t>at 17.</w:t>
      </w:r>
      <w:r w:rsidRPr="00420A79">
        <w:rPr>
          <w:rFonts w:asciiTheme="minorHAnsi" w:hAnsiTheme="minorHAnsi" w:cstheme="minorHAnsi"/>
        </w:rPr>
        <w:t xml:space="preserve"> </w:t>
      </w:r>
    </w:p>
  </w:footnote>
  <w:footnote w:id="83">
    <w:p w14:paraId="670DAE85" w14:textId="41ADCF5A" w:rsidR="00420A79" w:rsidRPr="00420A79" w:rsidRDefault="00420A79" w:rsidP="00420A79">
      <w:pPr>
        <w:pStyle w:val="FootnoteText"/>
        <w:rPr>
          <w:rFonts w:asciiTheme="minorHAnsi" w:hAnsiTheme="minorHAnsi" w:cstheme="minorHAnsi"/>
        </w:rPr>
      </w:pPr>
      <w:r w:rsidRPr="00420A79">
        <w:rPr>
          <w:rStyle w:val="FootnoteReference"/>
          <w:rFonts w:asciiTheme="minorHAnsi" w:hAnsiTheme="minorHAnsi" w:cstheme="minorHAnsi"/>
        </w:rPr>
        <w:footnoteRef/>
      </w:r>
      <w:r w:rsidRPr="00420A79">
        <w:rPr>
          <w:rFonts w:asciiTheme="minorHAnsi" w:hAnsiTheme="minorHAnsi" w:cstheme="minorHAnsi"/>
        </w:rPr>
        <w:t xml:space="preserve"> OEG Brief at 24.</w:t>
      </w:r>
    </w:p>
  </w:footnote>
  <w:footnote w:id="84">
    <w:p w14:paraId="12ED1709" w14:textId="7AE2E49A" w:rsidR="00420A79" w:rsidRPr="00420A79" w:rsidRDefault="00420A79" w:rsidP="00420A79">
      <w:pPr>
        <w:pStyle w:val="FootnoteText"/>
        <w:rPr>
          <w:rFonts w:asciiTheme="minorHAnsi" w:hAnsiTheme="minorHAnsi" w:cstheme="minorHAnsi"/>
        </w:rPr>
      </w:pPr>
      <w:r w:rsidRPr="00420A79">
        <w:rPr>
          <w:rStyle w:val="FootnoteReference"/>
          <w:rFonts w:asciiTheme="minorHAnsi" w:hAnsiTheme="minorHAnsi" w:cstheme="minorHAnsi"/>
        </w:rPr>
        <w:footnoteRef/>
      </w:r>
      <w:r w:rsidRPr="00420A79">
        <w:rPr>
          <w:rFonts w:asciiTheme="minorHAnsi" w:hAnsiTheme="minorHAnsi" w:cstheme="minorHAnsi"/>
        </w:rPr>
        <w:t xml:space="preserve"> </w:t>
      </w:r>
      <w:r w:rsidR="007F7E9B" w:rsidRPr="007F7E9B">
        <w:rPr>
          <w:rFonts w:asciiTheme="minorHAnsi" w:hAnsiTheme="minorHAnsi" w:cstheme="minorHAnsi"/>
          <w:i/>
          <w:iCs/>
        </w:rPr>
        <w:t>Id</w:t>
      </w:r>
      <w:r w:rsidRPr="00420A79">
        <w:rPr>
          <w:rFonts w:asciiTheme="minorHAnsi" w:hAnsiTheme="minorHAnsi" w:cstheme="minorHAnsi"/>
        </w:rPr>
        <w:t>.</w:t>
      </w:r>
    </w:p>
  </w:footnote>
  <w:footnote w:id="85">
    <w:p w14:paraId="2C996B45" w14:textId="77079C02" w:rsidR="00420A79" w:rsidRPr="00420A79" w:rsidRDefault="00420A79" w:rsidP="00420A79">
      <w:pPr>
        <w:pStyle w:val="FootnoteText"/>
        <w:rPr>
          <w:rFonts w:asciiTheme="minorHAnsi" w:hAnsiTheme="minorHAnsi" w:cstheme="minorHAnsi"/>
        </w:rPr>
      </w:pPr>
      <w:r w:rsidRPr="00420A79">
        <w:rPr>
          <w:rStyle w:val="FootnoteReference"/>
          <w:rFonts w:asciiTheme="minorHAnsi" w:hAnsiTheme="minorHAnsi" w:cstheme="minorHAnsi"/>
        </w:rPr>
        <w:footnoteRef/>
      </w:r>
      <w:r w:rsidRPr="00420A79">
        <w:rPr>
          <w:rFonts w:asciiTheme="minorHAnsi" w:hAnsiTheme="minorHAnsi" w:cstheme="minorHAnsi"/>
        </w:rPr>
        <w:t xml:space="preserve"> OELC Brief at 10.</w:t>
      </w:r>
    </w:p>
  </w:footnote>
  <w:footnote w:id="86">
    <w:p w14:paraId="14B4F5FC" w14:textId="77777777" w:rsidR="00420A79" w:rsidRPr="00420A79" w:rsidRDefault="00420A79" w:rsidP="00420A79">
      <w:pPr>
        <w:pStyle w:val="FootnoteText"/>
        <w:rPr>
          <w:rFonts w:asciiTheme="minorHAnsi" w:hAnsiTheme="minorHAnsi" w:cstheme="minorHAnsi"/>
        </w:rPr>
      </w:pPr>
      <w:r w:rsidRPr="00420A79">
        <w:rPr>
          <w:rStyle w:val="FootnoteReference"/>
          <w:rFonts w:asciiTheme="minorHAnsi" w:hAnsiTheme="minorHAnsi" w:cstheme="minorHAnsi"/>
        </w:rPr>
        <w:footnoteRef/>
      </w:r>
      <w:r w:rsidRPr="00420A79">
        <w:rPr>
          <w:rFonts w:asciiTheme="minorHAnsi" w:hAnsiTheme="minorHAnsi" w:cstheme="minorHAnsi"/>
        </w:rPr>
        <w:t xml:space="preserve"> </w:t>
      </w:r>
      <w:r w:rsidRPr="00420A79">
        <w:rPr>
          <w:rFonts w:asciiTheme="minorHAnsi" w:hAnsiTheme="minorHAnsi" w:cstheme="minorHAnsi"/>
          <w:i/>
          <w:iCs/>
        </w:rPr>
        <w:t>Id.</w:t>
      </w:r>
    </w:p>
  </w:footnote>
  <w:footnote w:id="87">
    <w:p w14:paraId="7D4D75B2" w14:textId="74695D4F" w:rsidR="00420A79" w:rsidRPr="00420A79" w:rsidRDefault="00420A79" w:rsidP="00420A79">
      <w:pPr>
        <w:pStyle w:val="FootnoteText"/>
        <w:rPr>
          <w:rFonts w:asciiTheme="minorHAnsi" w:hAnsiTheme="minorHAnsi" w:cstheme="minorHAnsi"/>
        </w:rPr>
      </w:pPr>
      <w:r w:rsidRPr="00420A79">
        <w:rPr>
          <w:rStyle w:val="FootnoteReference"/>
          <w:rFonts w:asciiTheme="minorHAnsi" w:hAnsiTheme="minorHAnsi" w:cstheme="minorHAnsi"/>
        </w:rPr>
        <w:footnoteRef/>
      </w:r>
      <w:r w:rsidRPr="00420A79">
        <w:rPr>
          <w:rFonts w:asciiTheme="minorHAnsi" w:hAnsiTheme="minorHAnsi" w:cstheme="minorHAnsi"/>
        </w:rPr>
        <w:t xml:space="preserve"> Initial Brief </w:t>
      </w:r>
      <w:r w:rsidR="00366719">
        <w:rPr>
          <w:rFonts w:asciiTheme="minorHAnsi" w:hAnsiTheme="minorHAnsi" w:cstheme="minorHAnsi"/>
        </w:rPr>
        <w:t xml:space="preserve">of Retail Energy Supply Association </w:t>
      </w:r>
      <w:r w:rsidRPr="00420A79">
        <w:rPr>
          <w:rFonts w:asciiTheme="minorHAnsi" w:hAnsiTheme="minorHAnsi" w:cstheme="minorHAnsi"/>
        </w:rPr>
        <w:t>at 28-29.</w:t>
      </w:r>
    </w:p>
  </w:footnote>
  <w:footnote w:id="88">
    <w:p w14:paraId="3937650D" w14:textId="475EB041" w:rsidR="00420A79" w:rsidRPr="00420A79" w:rsidRDefault="00420A79" w:rsidP="00420A79">
      <w:pPr>
        <w:pStyle w:val="FootnoteText"/>
        <w:rPr>
          <w:rFonts w:asciiTheme="minorHAnsi" w:hAnsiTheme="minorHAnsi" w:cstheme="minorHAnsi"/>
        </w:rPr>
      </w:pPr>
      <w:r w:rsidRPr="00420A79">
        <w:rPr>
          <w:rStyle w:val="FootnoteReference"/>
          <w:rFonts w:asciiTheme="minorHAnsi" w:hAnsiTheme="minorHAnsi" w:cstheme="minorHAnsi"/>
        </w:rPr>
        <w:footnoteRef/>
      </w:r>
      <w:r w:rsidRPr="00420A79">
        <w:rPr>
          <w:rFonts w:asciiTheme="minorHAnsi" w:hAnsiTheme="minorHAnsi" w:cstheme="minorHAnsi"/>
        </w:rPr>
        <w:t xml:space="preserve"> Staff Brief at 38.</w:t>
      </w:r>
    </w:p>
  </w:footnote>
  <w:footnote w:id="89">
    <w:p w14:paraId="1D2C6D4E" w14:textId="77777777" w:rsidR="00420A79" w:rsidRPr="00420A79" w:rsidRDefault="00420A79" w:rsidP="00420A79">
      <w:pPr>
        <w:pStyle w:val="FootnoteText"/>
        <w:rPr>
          <w:rFonts w:asciiTheme="minorHAnsi" w:hAnsiTheme="minorHAnsi" w:cstheme="minorHAnsi"/>
        </w:rPr>
      </w:pPr>
      <w:r w:rsidRPr="00420A79">
        <w:rPr>
          <w:rStyle w:val="FootnoteReference"/>
          <w:rFonts w:asciiTheme="minorHAnsi" w:hAnsiTheme="minorHAnsi" w:cstheme="minorHAnsi"/>
        </w:rPr>
        <w:footnoteRef/>
      </w:r>
      <w:r w:rsidRPr="00420A79">
        <w:rPr>
          <w:rFonts w:asciiTheme="minorHAnsi" w:hAnsiTheme="minorHAnsi" w:cstheme="minorHAnsi"/>
        </w:rPr>
        <w:t xml:space="preserve"> </w:t>
      </w:r>
      <w:r w:rsidRPr="00420A79">
        <w:rPr>
          <w:rFonts w:asciiTheme="minorHAnsi" w:hAnsiTheme="minorHAnsi" w:cstheme="minorHAnsi"/>
          <w:i/>
          <w:iCs/>
        </w:rPr>
        <w:t>Id.</w:t>
      </w:r>
      <w:r w:rsidRPr="00420A79">
        <w:rPr>
          <w:rFonts w:asciiTheme="minorHAnsi" w:hAnsiTheme="minorHAnsi" w:cstheme="minorHAnsi"/>
        </w:rPr>
        <w:t xml:space="preserve"> at 39.</w:t>
      </w:r>
    </w:p>
  </w:footnote>
  <w:footnote w:id="90">
    <w:p w14:paraId="4C6A0B0C" w14:textId="77777777" w:rsidR="00420A79" w:rsidRPr="00420A79" w:rsidRDefault="00420A79" w:rsidP="00420A79">
      <w:pPr>
        <w:pStyle w:val="FootnoteText"/>
        <w:rPr>
          <w:rFonts w:asciiTheme="minorHAnsi" w:hAnsiTheme="minorHAnsi" w:cstheme="minorHAnsi"/>
        </w:rPr>
      </w:pPr>
      <w:r w:rsidRPr="00420A79">
        <w:rPr>
          <w:rStyle w:val="FootnoteReference"/>
          <w:rFonts w:asciiTheme="minorHAnsi" w:hAnsiTheme="minorHAnsi" w:cstheme="minorHAnsi"/>
        </w:rPr>
        <w:footnoteRef/>
      </w:r>
      <w:r w:rsidRPr="00420A79">
        <w:rPr>
          <w:rFonts w:asciiTheme="minorHAnsi" w:hAnsiTheme="minorHAnsi" w:cstheme="minorHAnsi"/>
        </w:rPr>
        <w:t xml:space="preserve"> </w:t>
      </w:r>
      <w:r w:rsidRPr="00420A79">
        <w:rPr>
          <w:rFonts w:asciiTheme="minorHAnsi" w:hAnsiTheme="minorHAnsi" w:cstheme="minorHAnsi"/>
          <w:i/>
          <w:iCs/>
        </w:rPr>
        <w:t>Id.</w:t>
      </w:r>
      <w:r w:rsidRPr="00420A79">
        <w:rPr>
          <w:rFonts w:asciiTheme="minorHAnsi" w:hAnsiTheme="minorHAnsi" w:cstheme="minorHAnsi"/>
        </w:rPr>
        <w:t xml:space="preserve"> </w:t>
      </w:r>
    </w:p>
  </w:footnote>
  <w:footnote w:id="91">
    <w:p w14:paraId="1B36B0AA" w14:textId="77777777" w:rsidR="00420A79" w:rsidRPr="00420A79" w:rsidRDefault="00420A79" w:rsidP="00420A79">
      <w:pPr>
        <w:pStyle w:val="FootnoteText"/>
        <w:rPr>
          <w:rFonts w:asciiTheme="minorHAnsi" w:hAnsiTheme="minorHAnsi" w:cstheme="minorHAnsi"/>
        </w:rPr>
      </w:pPr>
      <w:r w:rsidRPr="00420A79">
        <w:rPr>
          <w:rStyle w:val="FootnoteReference"/>
          <w:rFonts w:asciiTheme="minorHAnsi" w:hAnsiTheme="minorHAnsi" w:cstheme="minorHAnsi"/>
        </w:rPr>
        <w:footnoteRef/>
      </w:r>
      <w:r w:rsidRPr="00420A79">
        <w:rPr>
          <w:rFonts w:asciiTheme="minorHAnsi" w:hAnsiTheme="minorHAnsi" w:cstheme="minorHAnsi"/>
        </w:rPr>
        <w:t xml:space="preserve"> </w:t>
      </w:r>
      <w:r w:rsidRPr="00420A79">
        <w:rPr>
          <w:rFonts w:asciiTheme="minorHAnsi" w:hAnsiTheme="minorHAnsi" w:cstheme="minorHAnsi"/>
          <w:i/>
          <w:iCs/>
        </w:rPr>
        <w:t>Id.</w:t>
      </w:r>
      <w:r w:rsidRPr="00420A79">
        <w:rPr>
          <w:rFonts w:asciiTheme="minorHAnsi" w:hAnsiTheme="minorHAnsi" w:cstheme="minorHAnsi"/>
        </w:rPr>
        <w:t xml:space="preserve"> </w:t>
      </w:r>
    </w:p>
  </w:footnote>
  <w:footnote w:id="92">
    <w:p w14:paraId="1C24336A" w14:textId="77777777" w:rsidR="00420A79" w:rsidRPr="00420A79" w:rsidRDefault="00420A79" w:rsidP="00420A79">
      <w:pPr>
        <w:pStyle w:val="FootnoteText"/>
        <w:rPr>
          <w:rFonts w:asciiTheme="minorHAnsi" w:hAnsiTheme="minorHAnsi" w:cstheme="minorHAnsi"/>
        </w:rPr>
      </w:pPr>
      <w:r w:rsidRPr="00420A79">
        <w:rPr>
          <w:rStyle w:val="FootnoteReference"/>
          <w:rFonts w:asciiTheme="minorHAnsi" w:hAnsiTheme="minorHAnsi" w:cstheme="minorHAnsi"/>
        </w:rPr>
        <w:footnoteRef/>
      </w:r>
      <w:r w:rsidRPr="00420A79">
        <w:rPr>
          <w:rFonts w:asciiTheme="minorHAnsi" w:hAnsiTheme="minorHAnsi" w:cstheme="minorHAnsi"/>
        </w:rPr>
        <w:t xml:space="preserve"> </w:t>
      </w:r>
      <w:r w:rsidRPr="00420A79">
        <w:rPr>
          <w:rFonts w:asciiTheme="minorHAnsi" w:hAnsiTheme="minorHAnsi" w:cstheme="minorHAnsi"/>
          <w:i/>
          <w:iCs/>
        </w:rPr>
        <w:t>Id.</w:t>
      </w:r>
    </w:p>
  </w:footnote>
  <w:footnote w:id="93">
    <w:p w14:paraId="33D53230" w14:textId="77777777" w:rsidR="00420A79" w:rsidRPr="00420A79" w:rsidRDefault="00420A79" w:rsidP="00420A79">
      <w:pPr>
        <w:pStyle w:val="FootnoteText"/>
        <w:rPr>
          <w:rFonts w:asciiTheme="minorHAnsi" w:hAnsiTheme="minorHAnsi" w:cstheme="minorHAnsi"/>
        </w:rPr>
      </w:pPr>
      <w:r w:rsidRPr="00420A79">
        <w:rPr>
          <w:rStyle w:val="FootnoteReference"/>
          <w:rFonts w:asciiTheme="minorHAnsi" w:hAnsiTheme="minorHAnsi" w:cstheme="minorHAnsi"/>
        </w:rPr>
        <w:footnoteRef/>
      </w:r>
      <w:r w:rsidRPr="00420A79">
        <w:rPr>
          <w:rFonts w:asciiTheme="minorHAnsi" w:hAnsiTheme="minorHAnsi" w:cstheme="minorHAnsi"/>
        </w:rPr>
        <w:t xml:space="preserve"> </w:t>
      </w:r>
      <w:r w:rsidRPr="00420A79">
        <w:rPr>
          <w:rFonts w:asciiTheme="minorHAnsi" w:hAnsiTheme="minorHAnsi" w:cstheme="minorHAnsi"/>
          <w:i/>
          <w:iCs/>
        </w:rPr>
        <w:t>Id.</w:t>
      </w:r>
      <w:r w:rsidRPr="00420A79">
        <w:rPr>
          <w:rFonts w:asciiTheme="minorHAnsi" w:hAnsiTheme="minorHAnsi" w:cstheme="minorHAnsi"/>
        </w:rPr>
        <w:t xml:space="preserve"> at 40.</w:t>
      </w:r>
    </w:p>
  </w:footnote>
  <w:footnote w:id="94">
    <w:p w14:paraId="14F33C9F" w14:textId="77777777" w:rsidR="00420A79" w:rsidRPr="00420A79" w:rsidRDefault="00420A79" w:rsidP="00420A79">
      <w:pPr>
        <w:pStyle w:val="FootnoteText"/>
        <w:rPr>
          <w:rFonts w:asciiTheme="minorHAnsi" w:hAnsiTheme="minorHAnsi" w:cstheme="minorHAnsi"/>
        </w:rPr>
      </w:pPr>
      <w:r w:rsidRPr="00420A79">
        <w:rPr>
          <w:rStyle w:val="FootnoteReference"/>
          <w:rFonts w:asciiTheme="minorHAnsi" w:hAnsiTheme="minorHAnsi" w:cstheme="minorHAnsi"/>
        </w:rPr>
        <w:footnoteRef/>
      </w:r>
      <w:r w:rsidRPr="00420A79">
        <w:rPr>
          <w:rFonts w:asciiTheme="minorHAnsi" w:hAnsiTheme="minorHAnsi" w:cstheme="minorHAnsi"/>
        </w:rPr>
        <w:t xml:space="preserve"> </w:t>
      </w:r>
      <w:r w:rsidRPr="00420A79">
        <w:rPr>
          <w:rFonts w:asciiTheme="minorHAnsi" w:hAnsiTheme="minorHAnsi" w:cstheme="minorHAnsi"/>
          <w:i/>
          <w:iCs/>
        </w:rPr>
        <w:t>Id.</w:t>
      </w:r>
      <w:r w:rsidRPr="00420A79">
        <w:rPr>
          <w:rFonts w:asciiTheme="minorHAnsi" w:hAnsiTheme="minorHAnsi" w:cstheme="minorHAnsi"/>
        </w:rPr>
        <w:t xml:space="preserve"> </w:t>
      </w:r>
    </w:p>
  </w:footnote>
  <w:footnote w:id="95">
    <w:p w14:paraId="526969CA" w14:textId="77777777" w:rsidR="00420A79" w:rsidRPr="00420A79" w:rsidRDefault="00420A79" w:rsidP="00420A79">
      <w:pPr>
        <w:pStyle w:val="FootnoteText"/>
        <w:rPr>
          <w:rFonts w:asciiTheme="minorHAnsi" w:hAnsiTheme="minorHAnsi" w:cstheme="minorHAnsi"/>
        </w:rPr>
      </w:pPr>
      <w:r w:rsidRPr="00420A79">
        <w:rPr>
          <w:rStyle w:val="FootnoteReference"/>
          <w:rFonts w:asciiTheme="minorHAnsi" w:hAnsiTheme="minorHAnsi" w:cstheme="minorHAnsi"/>
        </w:rPr>
        <w:footnoteRef/>
      </w:r>
      <w:r w:rsidRPr="00420A79">
        <w:rPr>
          <w:rFonts w:asciiTheme="minorHAnsi" w:hAnsiTheme="minorHAnsi" w:cstheme="minorHAnsi"/>
        </w:rPr>
        <w:t xml:space="preserve"> </w:t>
      </w:r>
      <w:r w:rsidRPr="00420A79">
        <w:rPr>
          <w:rFonts w:asciiTheme="minorHAnsi" w:hAnsiTheme="minorHAnsi" w:cstheme="minorHAnsi"/>
          <w:i/>
          <w:iCs/>
        </w:rPr>
        <w:t>Id.</w:t>
      </w:r>
      <w:r w:rsidRPr="00420A79">
        <w:rPr>
          <w:rFonts w:asciiTheme="minorHAnsi" w:hAnsiTheme="minorHAnsi" w:cstheme="minorHAnsi"/>
        </w:rPr>
        <w:t xml:space="preserve"> </w:t>
      </w:r>
    </w:p>
  </w:footnote>
  <w:footnote w:id="96">
    <w:p w14:paraId="310C55E8" w14:textId="77777777" w:rsidR="00420A79" w:rsidRPr="00420A79" w:rsidRDefault="00420A79" w:rsidP="00420A79">
      <w:pPr>
        <w:pStyle w:val="FootnoteText"/>
        <w:rPr>
          <w:rFonts w:asciiTheme="minorHAnsi" w:hAnsiTheme="minorHAnsi" w:cstheme="minorHAnsi"/>
        </w:rPr>
      </w:pPr>
      <w:r w:rsidRPr="00420A79">
        <w:rPr>
          <w:rStyle w:val="FootnoteReference"/>
          <w:rFonts w:asciiTheme="minorHAnsi" w:hAnsiTheme="minorHAnsi" w:cstheme="minorHAnsi"/>
        </w:rPr>
        <w:footnoteRef/>
      </w:r>
      <w:r w:rsidRPr="00420A79">
        <w:rPr>
          <w:rFonts w:asciiTheme="minorHAnsi" w:hAnsiTheme="minorHAnsi" w:cstheme="minorHAnsi"/>
        </w:rPr>
        <w:t xml:space="preserve"> </w:t>
      </w:r>
      <w:r w:rsidRPr="00420A79">
        <w:rPr>
          <w:rFonts w:asciiTheme="minorHAnsi" w:hAnsiTheme="minorHAnsi" w:cstheme="minorHAnsi"/>
          <w:i/>
          <w:iCs/>
        </w:rPr>
        <w:t>Id.</w:t>
      </w:r>
      <w:r w:rsidRPr="00420A79">
        <w:rPr>
          <w:rFonts w:asciiTheme="minorHAnsi" w:hAnsiTheme="minorHAnsi" w:cstheme="minorHAnsi"/>
        </w:rPr>
        <w:t xml:space="preserve"> </w:t>
      </w:r>
    </w:p>
  </w:footnote>
  <w:footnote w:id="97">
    <w:p w14:paraId="35E1CEA2" w14:textId="3FFFBBD8" w:rsidR="005171EA" w:rsidRPr="001E5CC5" w:rsidRDefault="005171EA">
      <w:pPr>
        <w:pStyle w:val="FootnoteText"/>
        <w:rPr>
          <w:rFonts w:asciiTheme="minorHAnsi" w:hAnsiTheme="minorHAnsi" w:cstheme="minorHAnsi"/>
        </w:rPr>
      </w:pPr>
      <w:r w:rsidRPr="001E5CC5">
        <w:rPr>
          <w:rStyle w:val="FootnoteReference"/>
          <w:rFonts w:asciiTheme="minorHAnsi" w:hAnsiTheme="minorHAnsi" w:cstheme="minorHAnsi"/>
        </w:rPr>
        <w:footnoteRef/>
      </w:r>
      <w:r w:rsidRPr="001E5CC5">
        <w:rPr>
          <w:rFonts w:asciiTheme="minorHAnsi" w:hAnsiTheme="minorHAnsi" w:cstheme="minorHAnsi"/>
        </w:rPr>
        <w:t xml:space="preserve"> </w:t>
      </w:r>
      <w:r w:rsidR="00066A69" w:rsidRPr="001E5CC5">
        <w:rPr>
          <w:rFonts w:asciiTheme="minorHAnsi" w:hAnsiTheme="minorHAnsi" w:cstheme="minorHAnsi"/>
          <w:i/>
          <w:iCs/>
        </w:rPr>
        <w:t>Id.</w:t>
      </w:r>
      <w:r w:rsidR="00066A69" w:rsidRPr="001E5CC5">
        <w:rPr>
          <w:rFonts w:asciiTheme="minorHAnsi" w:hAnsiTheme="minorHAnsi" w:cstheme="minorHAnsi"/>
        </w:rPr>
        <w:t xml:space="preserve"> at 40.</w:t>
      </w:r>
    </w:p>
  </w:footnote>
  <w:footnote w:id="98">
    <w:p w14:paraId="1344D0D4" w14:textId="6DE57A71" w:rsidR="00420A79" w:rsidRPr="00420A79" w:rsidRDefault="00420A79" w:rsidP="00420A79">
      <w:pPr>
        <w:pStyle w:val="FootnoteText"/>
        <w:rPr>
          <w:rFonts w:asciiTheme="minorHAnsi" w:hAnsiTheme="minorHAnsi" w:cstheme="minorHAnsi"/>
        </w:rPr>
      </w:pPr>
      <w:r w:rsidRPr="00420A79">
        <w:rPr>
          <w:rStyle w:val="FootnoteReference"/>
          <w:rFonts w:asciiTheme="minorHAnsi" w:hAnsiTheme="minorHAnsi" w:cstheme="minorHAnsi"/>
        </w:rPr>
        <w:footnoteRef/>
      </w:r>
      <w:r w:rsidRPr="00420A79">
        <w:rPr>
          <w:rFonts w:asciiTheme="minorHAnsi" w:hAnsiTheme="minorHAnsi" w:cstheme="minorHAnsi"/>
        </w:rPr>
        <w:t xml:space="preserve"> OELC Brief at 11.</w:t>
      </w:r>
    </w:p>
  </w:footnote>
  <w:footnote w:id="99">
    <w:p w14:paraId="32B17B51" w14:textId="09701FA4" w:rsidR="00420A79" w:rsidRPr="00420A79" w:rsidRDefault="00420A79" w:rsidP="00420A79">
      <w:pPr>
        <w:pStyle w:val="FootnoteText"/>
        <w:rPr>
          <w:rFonts w:asciiTheme="minorHAnsi" w:hAnsiTheme="minorHAnsi" w:cstheme="minorHAnsi"/>
        </w:rPr>
      </w:pPr>
      <w:r w:rsidRPr="00420A79">
        <w:rPr>
          <w:rStyle w:val="FootnoteReference"/>
          <w:rFonts w:asciiTheme="minorHAnsi" w:hAnsiTheme="minorHAnsi" w:cstheme="minorHAnsi"/>
        </w:rPr>
        <w:footnoteRef/>
      </w:r>
      <w:r w:rsidRPr="00420A79">
        <w:rPr>
          <w:rFonts w:asciiTheme="minorHAnsi" w:hAnsiTheme="minorHAnsi" w:cstheme="minorHAnsi"/>
        </w:rPr>
        <w:t xml:space="preserve"> </w:t>
      </w:r>
      <w:r w:rsidRPr="00420A79">
        <w:rPr>
          <w:rFonts w:asciiTheme="minorHAnsi" w:hAnsiTheme="minorHAnsi" w:cstheme="minorHAnsi"/>
          <w:i/>
          <w:iCs/>
        </w:rPr>
        <w:t xml:space="preserve">Id. </w:t>
      </w:r>
      <w:r w:rsidRPr="00420A79">
        <w:rPr>
          <w:rFonts w:asciiTheme="minorHAnsi" w:hAnsiTheme="minorHAnsi" w:cstheme="minorHAnsi"/>
        </w:rPr>
        <w:t>at 25.</w:t>
      </w:r>
    </w:p>
  </w:footnote>
  <w:footnote w:id="100">
    <w:p w14:paraId="0F45E12A" w14:textId="04CDE059" w:rsidR="00AD431B" w:rsidRPr="00AD431B" w:rsidRDefault="00AD431B">
      <w:pPr>
        <w:pStyle w:val="FootnoteText"/>
        <w:rPr>
          <w:rFonts w:asciiTheme="minorHAnsi" w:hAnsiTheme="minorHAnsi" w:cstheme="minorHAnsi"/>
        </w:rPr>
      </w:pPr>
      <w:r w:rsidRPr="00AD431B">
        <w:rPr>
          <w:rStyle w:val="FootnoteReference"/>
          <w:rFonts w:asciiTheme="minorHAnsi" w:hAnsiTheme="minorHAnsi" w:cstheme="minorHAnsi"/>
        </w:rPr>
        <w:footnoteRef/>
      </w:r>
      <w:r w:rsidRPr="00AD431B">
        <w:rPr>
          <w:rFonts w:asciiTheme="minorHAnsi" w:hAnsiTheme="minorHAnsi" w:cstheme="minorHAnsi"/>
        </w:rPr>
        <w:t xml:space="preserve"> Staff Brief at 40.</w:t>
      </w:r>
    </w:p>
  </w:footnote>
  <w:footnote w:id="101">
    <w:p w14:paraId="09E106B0" w14:textId="11F9F737" w:rsidR="005308FE" w:rsidRDefault="005308FE">
      <w:pPr>
        <w:pStyle w:val="FootnoteText"/>
      </w:pPr>
      <w:r>
        <w:rPr>
          <w:rStyle w:val="FootnoteReference"/>
        </w:rPr>
        <w:footnoteRef/>
      </w:r>
      <w:r>
        <w:t xml:space="preserve"> </w:t>
      </w:r>
      <w:r w:rsidR="000438B7" w:rsidRPr="00CC5E8C">
        <w:rPr>
          <w:rFonts w:ascii="Calibri" w:hAnsi="Calibri" w:cs="Calibri"/>
        </w:rPr>
        <w:t xml:space="preserve">OELC </w:t>
      </w:r>
      <w:r w:rsidRPr="00CC5E8C">
        <w:rPr>
          <w:rFonts w:ascii="Calibri" w:hAnsi="Calibri" w:cs="Calibri"/>
        </w:rPr>
        <w:t>Brief at 26-27.</w:t>
      </w:r>
      <w:r>
        <w:t xml:space="preserve">  </w:t>
      </w:r>
      <w:r w:rsidRPr="00420A79">
        <w:rPr>
          <w:rFonts w:asciiTheme="minorHAnsi" w:hAnsiTheme="minorHAnsi" w:cstheme="minorHAnsi"/>
        </w:rPr>
        <w:t xml:space="preserve">OEG also supports Staff’s alternative Rider NMB proposal. </w:t>
      </w:r>
      <w:r w:rsidRPr="00420A79">
        <w:rPr>
          <w:rFonts w:asciiTheme="minorHAnsi" w:hAnsiTheme="minorHAnsi" w:cstheme="minorHAnsi"/>
          <w:i/>
          <w:iCs/>
        </w:rPr>
        <w:t>See</w:t>
      </w:r>
      <w:r w:rsidRPr="00420A79">
        <w:rPr>
          <w:rFonts w:asciiTheme="minorHAnsi" w:hAnsiTheme="minorHAnsi" w:cstheme="minorHAnsi"/>
        </w:rPr>
        <w:t xml:space="preserve"> OEG Brief at 24-25.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36224"/>
    <w:multiLevelType w:val="hybridMultilevel"/>
    <w:tmpl w:val="8ABE341C"/>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 w15:restartNumberingAfterBreak="0">
    <w:nsid w:val="3DD9645B"/>
    <w:multiLevelType w:val="hybridMultilevel"/>
    <w:tmpl w:val="81C612B2"/>
    <w:lvl w:ilvl="0" w:tplc="437C80E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6116122">
    <w:abstractNumId w:val="1"/>
  </w:num>
  <w:num w:numId="2" w16cid:durableId="1793358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1D"/>
    <w:rsid w:val="00030A38"/>
    <w:rsid w:val="00041542"/>
    <w:rsid w:val="000438B7"/>
    <w:rsid w:val="000568F0"/>
    <w:rsid w:val="00063CEB"/>
    <w:rsid w:val="00066A69"/>
    <w:rsid w:val="000672F9"/>
    <w:rsid w:val="000727C9"/>
    <w:rsid w:val="00073D1A"/>
    <w:rsid w:val="000A1613"/>
    <w:rsid w:val="000A2D26"/>
    <w:rsid w:val="000B0663"/>
    <w:rsid w:val="000B2C7F"/>
    <w:rsid w:val="000B40FA"/>
    <w:rsid w:val="000B4197"/>
    <w:rsid w:val="000C064A"/>
    <w:rsid w:val="000C1D89"/>
    <w:rsid w:val="000C4042"/>
    <w:rsid w:val="000C5B5D"/>
    <w:rsid w:val="000D30D9"/>
    <w:rsid w:val="000E382B"/>
    <w:rsid w:val="000E5A6F"/>
    <w:rsid w:val="000F529B"/>
    <w:rsid w:val="000F63B8"/>
    <w:rsid w:val="0010307C"/>
    <w:rsid w:val="00111E6E"/>
    <w:rsid w:val="0011494E"/>
    <w:rsid w:val="00117305"/>
    <w:rsid w:val="00133A9F"/>
    <w:rsid w:val="00135FCF"/>
    <w:rsid w:val="00141811"/>
    <w:rsid w:val="00150EBB"/>
    <w:rsid w:val="00152CB5"/>
    <w:rsid w:val="00154580"/>
    <w:rsid w:val="001546C1"/>
    <w:rsid w:val="00174A14"/>
    <w:rsid w:val="001814BC"/>
    <w:rsid w:val="0018656B"/>
    <w:rsid w:val="00192E89"/>
    <w:rsid w:val="001C38AA"/>
    <w:rsid w:val="001C7CA1"/>
    <w:rsid w:val="001D11D9"/>
    <w:rsid w:val="001E0185"/>
    <w:rsid w:val="001E1068"/>
    <w:rsid w:val="001E29E9"/>
    <w:rsid w:val="001E44CF"/>
    <w:rsid w:val="001E5CC5"/>
    <w:rsid w:val="001E72D6"/>
    <w:rsid w:val="002263E2"/>
    <w:rsid w:val="00241CF1"/>
    <w:rsid w:val="00245988"/>
    <w:rsid w:val="00261968"/>
    <w:rsid w:val="0026292C"/>
    <w:rsid w:val="0027453D"/>
    <w:rsid w:val="002763AB"/>
    <w:rsid w:val="002813AD"/>
    <w:rsid w:val="002B3A0C"/>
    <w:rsid w:val="002B6DAC"/>
    <w:rsid w:val="002D2892"/>
    <w:rsid w:val="00314F74"/>
    <w:rsid w:val="003224C3"/>
    <w:rsid w:val="00327D31"/>
    <w:rsid w:val="0033111B"/>
    <w:rsid w:val="00336723"/>
    <w:rsid w:val="003374AA"/>
    <w:rsid w:val="0034249A"/>
    <w:rsid w:val="003438E1"/>
    <w:rsid w:val="0034495B"/>
    <w:rsid w:val="00355208"/>
    <w:rsid w:val="003605AB"/>
    <w:rsid w:val="00361713"/>
    <w:rsid w:val="003651D8"/>
    <w:rsid w:val="00366719"/>
    <w:rsid w:val="0036793C"/>
    <w:rsid w:val="00381928"/>
    <w:rsid w:val="00395412"/>
    <w:rsid w:val="003A7BF9"/>
    <w:rsid w:val="003B66FB"/>
    <w:rsid w:val="003C01C3"/>
    <w:rsid w:val="003C55B9"/>
    <w:rsid w:val="003C6A23"/>
    <w:rsid w:val="003C6C95"/>
    <w:rsid w:val="003D1072"/>
    <w:rsid w:val="003D2BEE"/>
    <w:rsid w:val="003D2E8A"/>
    <w:rsid w:val="003F7D3E"/>
    <w:rsid w:val="004017A5"/>
    <w:rsid w:val="00402B74"/>
    <w:rsid w:val="00407962"/>
    <w:rsid w:val="00417F9E"/>
    <w:rsid w:val="00420A79"/>
    <w:rsid w:val="00420B93"/>
    <w:rsid w:val="00421392"/>
    <w:rsid w:val="00434D32"/>
    <w:rsid w:val="00443382"/>
    <w:rsid w:val="0045162D"/>
    <w:rsid w:val="00463147"/>
    <w:rsid w:val="00471702"/>
    <w:rsid w:val="00475609"/>
    <w:rsid w:val="0049223E"/>
    <w:rsid w:val="004B2E1A"/>
    <w:rsid w:val="004B6B04"/>
    <w:rsid w:val="004C2CF0"/>
    <w:rsid w:val="004E06E2"/>
    <w:rsid w:val="004F3665"/>
    <w:rsid w:val="004F4364"/>
    <w:rsid w:val="004F62A6"/>
    <w:rsid w:val="005171EA"/>
    <w:rsid w:val="00521F53"/>
    <w:rsid w:val="00522078"/>
    <w:rsid w:val="0052659E"/>
    <w:rsid w:val="00526B00"/>
    <w:rsid w:val="005308FE"/>
    <w:rsid w:val="00543831"/>
    <w:rsid w:val="005771B8"/>
    <w:rsid w:val="005836CB"/>
    <w:rsid w:val="005A2B95"/>
    <w:rsid w:val="005B74EB"/>
    <w:rsid w:val="005C1C39"/>
    <w:rsid w:val="005D1EBD"/>
    <w:rsid w:val="005D42B9"/>
    <w:rsid w:val="005D5810"/>
    <w:rsid w:val="00605074"/>
    <w:rsid w:val="006056E3"/>
    <w:rsid w:val="00615F4B"/>
    <w:rsid w:val="00621108"/>
    <w:rsid w:val="006505A0"/>
    <w:rsid w:val="00652268"/>
    <w:rsid w:val="006523DE"/>
    <w:rsid w:val="00655EE0"/>
    <w:rsid w:val="006568B5"/>
    <w:rsid w:val="00667C17"/>
    <w:rsid w:val="0067082F"/>
    <w:rsid w:val="006728C4"/>
    <w:rsid w:val="00676312"/>
    <w:rsid w:val="00686CC0"/>
    <w:rsid w:val="00687B20"/>
    <w:rsid w:val="00690639"/>
    <w:rsid w:val="0069459D"/>
    <w:rsid w:val="006A078B"/>
    <w:rsid w:val="006A11F2"/>
    <w:rsid w:val="006A158E"/>
    <w:rsid w:val="006A4F7A"/>
    <w:rsid w:val="006A68A0"/>
    <w:rsid w:val="006B0F7E"/>
    <w:rsid w:val="006D4B4E"/>
    <w:rsid w:val="006D7935"/>
    <w:rsid w:val="006E0C24"/>
    <w:rsid w:val="006E2222"/>
    <w:rsid w:val="007208EF"/>
    <w:rsid w:val="00721214"/>
    <w:rsid w:val="007220AC"/>
    <w:rsid w:val="007244C5"/>
    <w:rsid w:val="00727067"/>
    <w:rsid w:val="00746712"/>
    <w:rsid w:val="00760EAE"/>
    <w:rsid w:val="0077325C"/>
    <w:rsid w:val="00773A99"/>
    <w:rsid w:val="00780C81"/>
    <w:rsid w:val="00785D76"/>
    <w:rsid w:val="007877E0"/>
    <w:rsid w:val="007918A4"/>
    <w:rsid w:val="007926CC"/>
    <w:rsid w:val="00792EF7"/>
    <w:rsid w:val="007A1E42"/>
    <w:rsid w:val="007B1AA6"/>
    <w:rsid w:val="007B6290"/>
    <w:rsid w:val="007D5436"/>
    <w:rsid w:val="007E1B8A"/>
    <w:rsid w:val="007E1C4F"/>
    <w:rsid w:val="007E634D"/>
    <w:rsid w:val="007F7E9B"/>
    <w:rsid w:val="0080668C"/>
    <w:rsid w:val="00813F9C"/>
    <w:rsid w:val="00815E74"/>
    <w:rsid w:val="00816F08"/>
    <w:rsid w:val="00835F87"/>
    <w:rsid w:val="00841DDC"/>
    <w:rsid w:val="00845EAC"/>
    <w:rsid w:val="008466BF"/>
    <w:rsid w:val="00856759"/>
    <w:rsid w:val="00860370"/>
    <w:rsid w:val="00862095"/>
    <w:rsid w:val="00870FB1"/>
    <w:rsid w:val="00880B5C"/>
    <w:rsid w:val="0088261E"/>
    <w:rsid w:val="008904C8"/>
    <w:rsid w:val="00892DED"/>
    <w:rsid w:val="008A4C24"/>
    <w:rsid w:val="008D2E80"/>
    <w:rsid w:val="008E608B"/>
    <w:rsid w:val="00916492"/>
    <w:rsid w:val="0091791C"/>
    <w:rsid w:val="00923C31"/>
    <w:rsid w:val="0096455F"/>
    <w:rsid w:val="00986AAF"/>
    <w:rsid w:val="0099064C"/>
    <w:rsid w:val="00990A3C"/>
    <w:rsid w:val="00997E4F"/>
    <w:rsid w:val="009A49C7"/>
    <w:rsid w:val="009A53D7"/>
    <w:rsid w:val="009A6CB1"/>
    <w:rsid w:val="009A7A7D"/>
    <w:rsid w:val="009B27A9"/>
    <w:rsid w:val="009B4D32"/>
    <w:rsid w:val="009B6364"/>
    <w:rsid w:val="009C0FE6"/>
    <w:rsid w:val="009D03A2"/>
    <w:rsid w:val="009D4B22"/>
    <w:rsid w:val="009D5D8D"/>
    <w:rsid w:val="00A062F4"/>
    <w:rsid w:val="00A17781"/>
    <w:rsid w:val="00A26370"/>
    <w:rsid w:val="00A308F6"/>
    <w:rsid w:val="00A65ABD"/>
    <w:rsid w:val="00A7096D"/>
    <w:rsid w:val="00A82827"/>
    <w:rsid w:val="00A836E3"/>
    <w:rsid w:val="00A86DC6"/>
    <w:rsid w:val="00AA0338"/>
    <w:rsid w:val="00AA4E60"/>
    <w:rsid w:val="00AA7B24"/>
    <w:rsid w:val="00AC7B65"/>
    <w:rsid w:val="00AD431B"/>
    <w:rsid w:val="00AF3461"/>
    <w:rsid w:val="00B063B8"/>
    <w:rsid w:val="00B073D2"/>
    <w:rsid w:val="00B1313F"/>
    <w:rsid w:val="00B16492"/>
    <w:rsid w:val="00B164E0"/>
    <w:rsid w:val="00B171A0"/>
    <w:rsid w:val="00B3328A"/>
    <w:rsid w:val="00B33DA5"/>
    <w:rsid w:val="00B346B9"/>
    <w:rsid w:val="00B37539"/>
    <w:rsid w:val="00B414EE"/>
    <w:rsid w:val="00B55969"/>
    <w:rsid w:val="00B5600C"/>
    <w:rsid w:val="00B649E9"/>
    <w:rsid w:val="00B666F9"/>
    <w:rsid w:val="00B90228"/>
    <w:rsid w:val="00B94302"/>
    <w:rsid w:val="00B953CE"/>
    <w:rsid w:val="00BB1D2D"/>
    <w:rsid w:val="00BB2714"/>
    <w:rsid w:val="00BC466D"/>
    <w:rsid w:val="00BD03A8"/>
    <w:rsid w:val="00BD2607"/>
    <w:rsid w:val="00BE26E1"/>
    <w:rsid w:val="00BE353F"/>
    <w:rsid w:val="00BE3D2F"/>
    <w:rsid w:val="00BF7F5C"/>
    <w:rsid w:val="00C1138E"/>
    <w:rsid w:val="00C3034A"/>
    <w:rsid w:val="00C44F71"/>
    <w:rsid w:val="00C46048"/>
    <w:rsid w:val="00C66E0D"/>
    <w:rsid w:val="00C95A6D"/>
    <w:rsid w:val="00C96250"/>
    <w:rsid w:val="00CA5FB4"/>
    <w:rsid w:val="00CB0785"/>
    <w:rsid w:val="00CB47F1"/>
    <w:rsid w:val="00CC5E8C"/>
    <w:rsid w:val="00CD1DF9"/>
    <w:rsid w:val="00CE3F23"/>
    <w:rsid w:val="00CE7092"/>
    <w:rsid w:val="00D00E8C"/>
    <w:rsid w:val="00D02362"/>
    <w:rsid w:val="00D10266"/>
    <w:rsid w:val="00D109E6"/>
    <w:rsid w:val="00D11037"/>
    <w:rsid w:val="00D2305B"/>
    <w:rsid w:val="00D23801"/>
    <w:rsid w:val="00D409BD"/>
    <w:rsid w:val="00D40FCF"/>
    <w:rsid w:val="00D51925"/>
    <w:rsid w:val="00D54D6C"/>
    <w:rsid w:val="00D56D93"/>
    <w:rsid w:val="00D56FA4"/>
    <w:rsid w:val="00D57756"/>
    <w:rsid w:val="00D63BBD"/>
    <w:rsid w:val="00D76AE9"/>
    <w:rsid w:val="00D8049C"/>
    <w:rsid w:val="00D83BF5"/>
    <w:rsid w:val="00D847CB"/>
    <w:rsid w:val="00D91E4B"/>
    <w:rsid w:val="00D97734"/>
    <w:rsid w:val="00DB43EB"/>
    <w:rsid w:val="00DB47DE"/>
    <w:rsid w:val="00DC4D5A"/>
    <w:rsid w:val="00DD2677"/>
    <w:rsid w:val="00DD6BB2"/>
    <w:rsid w:val="00DD79EF"/>
    <w:rsid w:val="00DE7703"/>
    <w:rsid w:val="00DF206F"/>
    <w:rsid w:val="00DF21F2"/>
    <w:rsid w:val="00DF7A1D"/>
    <w:rsid w:val="00E0150C"/>
    <w:rsid w:val="00E11383"/>
    <w:rsid w:val="00E165C0"/>
    <w:rsid w:val="00E271BA"/>
    <w:rsid w:val="00E3581C"/>
    <w:rsid w:val="00E443B4"/>
    <w:rsid w:val="00E5275C"/>
    <w:rsid w:val="00E72B5E"/>
    <w:rsid w:val="00E86BFC"/>
    <w:rsid w:val="00E94F83"/>
    <w:rsid w:val="00EB3EA0"/>
    <w:rsid w:val="00EC0520"/>
    <w:rsid w:val="00EC49A1"/>
    <w:rsid w:val="00EC648C"/>
    <w:rsid w:val="00EE0517"/>
    <w:rsid w:val="00EF4A24"/>
    <w:rsid w:val="00EF58EF"/>
    <w:rsid w:val="00F15939"/>
    <w:rsid w:val="00F273DD"/>
    <w:rsid w:val="00F31234"/>
    <w:rsid w:val="00F81148"/>
    <w:rsid w:val="00F9316F"/>
    <w:rsid w:val="00F959A5"/>
    <w:rsid w:val="00F9693B"/>
    <w:rsid w:val="00FB1849"/>
    <w:rsid w:val="00FE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4D18F67"/>
  <w15:chartTrackingRefBased/>
  <w15:docId w15:val="{B703AFA8-312C-47AA-B381-656B39DA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11B"/>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uiPriority w:val="9"/>
    <w:qFormat/>
    <w:rsid w:val="002B6DAC"/>
    <w:pPr>
      <w:keepNext/>
      <w:keepLines/>
      <w:spacing w:before="240" w:after="240"/>
      <w:outlineLvl w:val="0"/>
    </w:pPr>
    <w:rPr>
      <w:rFonts w:asciiTheme="minorHAnsi" w:eastAsiaTheme="majorEastAsia" w:hAnsiTheme="minorHAnsi" w:cstheme="majorBidi"/>
      <w:b/>
      <w:szCs w:val="32"/>
    </w:rPr>
  </w:style>
  <w:style w:type="paragraph" w:styleId="Heading2">
    <w:name w:val="heading 2"/>
    <w:basedOn w:val="Normal"/>
    <w:next w:val="Normal"/>
    <w:link w:val="Heading2Char"/>
    <w:uiPriority w:val="9"/>
    <w:unhideWhenUsed/>
    <w:qFormat/>
    <w:rsid w:val="002B6DAC"/>
    <w:pPr>
      <w:keepNext/>
      <w:keepLines/>
      <w:spacing w:before="240" w:after="240"/>
      <w:outlineLvl w:val="1"/>
    </w:pPr>
    <w:rPr>
      <w:rFonts w:asciiTheme="minorHAnsi" w:eastAsiaTheme="majorEastAsia" w:hAnsiTheme="minorHAnsi" w:cstheme="majorBidi"/>
      <w:b/>
      <w:szCs w:val="26"/>
    </w:rPr>
  </w:style>
  <w:style w:type="paragraph" w:styleId="Heading3">
    <w:name w:val="heading 3"/>
    <w:basedOn w:val="Normal"/>
    <w:next w:val="Normal"/>
    <w:link w:val="Heading3Char"/>
    <w:uiPriority w:val="9"/>
    <w:unhideWhenUsed/>
    <w:qFormat/>
    <w:rsid w:val="002B6DAC"/>
    <w:pPr>
      <w:keepNext/>
      <w:keepLines/>
      <w:spacing w:before="240" w:after="240"/>
      <w:outlineLvl w:val="2"/>
    </w:pPr>
    <w:rPr>
      <w:rFonts w:asciiTheme="minorHAnsi" w:eastAsiaTheme="majorEastAsia" w:hAnsiTheme="minorHAnsi" w:cstheme="majorBidi"/>
      <w:b/>
      <w:szCs w:val="24"/>
    </w:rPr>
  </w:style>
  <w:style w:type="paragraph" w:styleId="Heading4">
    <w:name w:val="heading 4"/>
    <w:basedOn w:val="Normal"/>
    <w:next w:val="Normal"/>
    <w:link w:val="Heading4Char"/>
    <w:uiPriority w:val="9"/>
    <w:unhideWhenUsed/>
    <w:qFormat/>
    <w:rsid w:val="002B6DAC"/>
    <w:pPr>
      <w:keepNext/>
      <w:keepLines/>
      <w:spacing w:before="240" w:after="240"/>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3111B"/>
    <w:pPr>
      <w:jc w:val="center"/>
    </w:pPr>
    <w:rPr>
      <w:b/>
    </w:rPr>
  </w:style>
  <w:style w:type="character" w:customStyle="1" w:styleId="TitleChar">
    <w:name w:val="Title Char"/>
    <w:basedOn w:val="DefaultParagraphFont"/>
    <w:link w:val="Title"/>
    <w:rsid w:val="0033111B"/>
    <w:rPr>
      <w:rFonts w:ascii="Times New Roman" w:eastAsia="Times New Roman" w:hAnsi="Times New Roman" w:cs="Times New Roman"/>
      <w:b/>
      <w:kern w:val="0"/>
      <w:sz w:val="24"/>
      <w:szCs w:val="20"/>
      <w14:ligatures w14:val="none"/>
    </w:rPr>
  </w:style>
  <w:style w:type="character" w:styleId="Hyperlink">
    <w:name w:val="Hyperlink"/>
    <w:basedOn w:val="DefaultParagraphFont"/>
    <w:uiPriority w:val="99"/>
    <w:rsid w:val="0033111B"/>
    <w:rPr>
      <w:color w:val="0000FF"/>
      <w:u w:val="single"/>
    </w:rPr>
  </w:style>
  <w:style w:type="paragraph" w:styleId="ListParagraph">
    <w:name w:val="List Paragraph"/>
    <w:basedOn w:val="Normal"/>
    <w:uiPriority w:val="34"/>
    <w:qFormat/>
    <w:rsid w:val="00990A3C"/>
    <w:pPr>
      <w:ind w:left="720"/>
      <w:contextualSpacing/>
    </w:pPr>
  </w:style>
  <w:style w:type="paragraph" w:styleId="FootnoteText">
    <w:name w:val="footnote text"/>
    <w:basedOn w:val="Normal"/>
    <w:link w:val="FootnoteTextChar"/>
    <w:uiPriority w:val="99"/>
    <w:semiHidden/>
    <w:unhideWhenUsed/>
    <w:rsid w:val="00813F9C"/>
    <w:rPr>
      <w:sz w:val="20"/>
    </w:rPr>
  </w:style>
  <w:style w:type="character" w:customStyle="1" w:styleId="FootnoteTextChar">
    <w:name w:val="Footnote Text Char"/>
    <w:basedOn w:val="DefaultParagraphFont"/>
    <w:link w:val="FootnoteText"/>
    <w:uiPriority w:val="99"/>
    <w:semiHidden/>
    <w:rsid w:val="00813F9C"/>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813F9C"/>
    <w:rPr>
      <w:vertAlign w:val="superscript"/>
    </w:rPr>
  </w:style>
  <w:style w:type="table" w:styleId="TableGrid">
    <w:name w:val="Table Grid"/>
    <w:basedOn w:val="TableNormal"/>
    <w:uiPriority w:val="39"/>
    <w:rsid w:val="0098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0A79"/>
    <w:rPr>
      <w:sz w:val="16"/>
      <w:szCs w:val="16"/>
    </w:rPr>
  </w:style>
  <w:style w:type="paragraph" w:styleId="CommentText">
    <w:name w:val="annotation text"/>
    <w:basedOn w:val="Normal"/>
    <w:link w:val="CommentTextChar"/>
    <w:uiPriority w:val="99"/>
    <w:unhideWhenUsed/>
    <w:rsid w:val="00420A79"/>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420A79"/>
    <w:rPr>
      <w:kern w:val="0"/>
      <w:sz w:val="20"/>
      <w:szCs w:val="20"/>
      <w14:ligatures w14:val="none"/>
    </w:rPr>
  </w:style>
  <w:style w:type="paragraph" w:styleId="Revision">
    <w:name w:val="Revision"/>
    <w:hidden/>
    <w:uiPriority w:val="99"/>
    <w:semiHidden/>
    <w:rsid w:val="007E1C4F"/>
    <w:pPr>
      <w:spacing w:after="0" w:line="240" w:lineRule="auto"/>
    </w:pPr>
    <w:rPr>
      <w:rFonts w:ascii="Times New Roman" w:eastAsia="Times New Roman" w:hAnsi="Times New Roman" w:cs="Times New Roman"/>
      <w:kern w:val="0"/>
      <w:sz w:val="24"/>
      <w:szCs w:val="20"/>
      <w14:ligatures w14:val="none"/>
    </w:rPr>
  </w:style>
  <w:style w:type="paragraph" w:styleId="CommentSubject">
    <w:name w:val="annotation subject"/>
    <w:basedOn w:val="CommentText"/>
    <w:next w:val="CommentText"/>
    <w:link w:val="CommentSubjectChar"/>
    <w:uiPriority w:val="99"/>
    <w:semiHidden/>
    <w:unhideWhenUsed/>
    <w:rsid w:val="00D83BF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83BF5"/>
    <w:rPr>
      <w:rFonts w:ascii="Times New Roman" w:eastAsia="Times New Roman" w:hAnsi="Times New Roman" w:cs="Times New Roman"/>
      <w:b/>
      <w:bCs/>
      <w:kern w:val="0"/>
      <w:sz w:val="20"/>
      <w:szCs w:val="20"/>
      <w14:ligatures w14:val="none"/>
    </w:rPr>
  </w:style>
  <w:style w:type="paragraph" w:styleId="Header">
    <w:name w:val="header"/>
    <w:basedOn w:val="Normal"/>
    <w:link w:val="HeaderChar"/>
    <w:uiPriority w:val="99"/>
    <w:unhideWhenUsed/>
    <w:rsid w:val="00EF58EF"/>
    <w:pPr>
      <w:tabs>
        <w:tab w:val="center" w:pos="4680"/>
        <w:tab w:val="right" w:pos="9360"/>
      </w:tabs>
    </w:pPr>
  </w:style>
  <w:style w:type="character" w:customStyle="1" w:styleId="HeaderChar">
    <w:name w:val="Header Char"/>
    <w:basedOn w:val="DefaultParagraphFont"/>
    <w:link w:val="Header"/>
    <w:uiPriority w:val="99"/>
    <w:rsid w:val="00EF58EF"/>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EF58EF"/>
    <w:pPr>
      <w:tabs>
        <w:tab w:val="center" w:pos="4680"/>
        <w:tab w:val="right" w:pos="9360"/>
      </w:tabs>
    </w:pPr>
  </w:style>
  <w:style w:type="character" w:customStyle="1" w:styleId="FooterChar">
    <w:name w:val="Footer Char"/>
    <w:basedOn w:val="DefaultParagraphFont"/>
    <w:link w:val="Footer"/>
    <w:uiPriority w:val="99"/>
    <w:rsid w:val="00EF58EF"/>
    <w:rPr>
      <w:rFonts w:ascii="Times New Roman" w:eastAsia="Times New Roman" w:hAnsi="Times New Roman" w:cs="Times New Roman"/>
      <w:kern w:val="0"/>
      <w:sz w:val="24"/>
      <w:szCs w:val="20"/>
      <w14:ligatures w14:val="none"/>
    </w:rPr>
  </w:style>
  <w:style w:type="paragraph" w:styleId="TOC1">
    <w:name w:val="toc 1"/>
    <w:basedOn w:val="Normal"/>
    <w:next w:val="Normal"/>
    <w:autoRedefine/>
    <w:uiPriority w:val="39"/>
    <w:unhideWhenUsed/>
    <w:rsid w:val="00EF58EF"/>
    <w:pPr>
      <w:spacing w:after="240"/>
      <w:ind w:left="720" w:hanging="720"/>
    </w:pPr>
    <w:rPr>
      <w:rFonts w:ascii="Calibri" w:hAnsi="Calibri"/>
      <w:b/>
    </w:rPr>
  </w:style>
  <w:style w:type="paragraph" w:styleId="TOC2">
    <w:name w:val="toc 2"/>
    <w:basedOn w:val="Normal"/>
    <w:next w:val="Normal"/>
    <w:autoRedefine/>
    <w:uiPriority w:val="39"/>
    <w:unhideWhenUsed/>
    <w:rsid w:val="00EF58EF"/>
    <w:pPr>
      <w:spacing w:after="240"/>
      <w:ind w:left="1440" w:hanging="720"/>
    </w:pPr>
    <w:rPr>
      <w:rFonts w:ascii="Calibri" w:hAnsi="Calibri"/>
      <w:b/>
    </w:rPr>
  </w:style>
  <w:style w:type="paragraph" w:styleId="TOC3">
    <w:name w:val="toc 3"/>
    <w:basedOn w:val="Normal"/>
    <w:next w:val="Normal"/>
    <w:autoRedefine/>
    <w:uiPriority w:val="39"/>
    <w:unhideWhenUsed/>
    <w:rsid w:val="00CD1DF9"/>
    <w:pPr>
      <w:tabs>
        <w:tab w:val="left" w:pos="2160"/>
        <w:tab w:val="right" w:leader="dot" w:pos="9350"/>
      </w:tabs>
      <w:spacing w:after="240"/>
      <w:ind w:left="2160" w:hanging="720"/>
    </w:pPr>
    <w:rPr>
      <w:rFonts w:ascii="Calibri" w:hAnsi="Calibri"/>
      <w:b/>
    </w:rPr>
  </w:style>
  <w:style w:type="paragraph" w:styleId="TOC4">
    <w:name w:val="toc 4"/>
    <w:basedOn w:val="Normal"/>
    <w:next w:val="Normal"/>
    <w:autoRedefine/>
    <w:uiPriority w:val="39"/>
    <w:unhideWhenUsed/>
    <w:rsid w:val="003F7D3E"/>
    <w:pPr>
      <w:tabs>
        <w:tab w:val="left" w:pos="2880"/>
        <w:tab w:val="right" w:leader="dot" w:pos="9350"/>
      </w:tabs>
      <w:spacing w:after="240"/>
      <w:ind w:left="2880" w:hanging="720"/>
    </w:pPr>
    <w:rPr>
      <w:rFonts w:ascii="Calibri" w:hAnsi="Calibri"/>
      <w:b/>
    </w:rPr>
  </w:style>
  <w:style w:type="character" w:customStyle="1" w:styleId="Heading1Char">
    <w:name w:val="Heading 1 Char"/>
    <w:basedOn w:val="DefaultParagraphFont"/>
    <w:link w:val="Heading1"/>
    <w:uiPriority w:val="9"/>
    <w:rsid w:val="002B6DAC"/>
    <w:rPr>
      <w:rFonts w:eastAsiaTheme="majorEastAsia" w:cstheme="majorBidi"/>
      <w:b/>
      <w:kern w:val="0"/>
      <w:sz w:val="24"/>
      <w:szCs w:val="32"/>
      <w14:ligatures w14:val="none"/>
    </w:rPr>
  </w:style>
  <w:style w:type="character" w:customStyle="1" w:styleId="Heading2Char">
    <w:name w:val="Heading 2 Char"/>
    <w:basedOn w:val="DefaultParagraphFont"/>
    <w:link w:val="Heading2"/>
    <w:uiPriority w:val="9"/>
    <w:rsid w:val="002B6DAC"/>
    <w:rPr>
      <w:rFonts w:eastAsiaTheme="majorEastAsia" w:cstheme="majorBidi"/>
      <w:b/>
      <w:kern w:val="0"/>
      <w:sz w:val="24"/>
      <w:szCs w:val="26"/>
      <w14:ligatures w14:val="none"/>
    </w:rPr>
  </w:style>
  <w:style w:type="character" w:customStyle="1" w:styleId="Heading3Char">
    <w:name w:val="Heading 3 Char"/>
    <w:basedOn w:val="DefaultParagraphFont"/>
    <w:link w:val="Heading3"/>
    <w:uiPriority w:val="9"/>
    <w:rsid w:val="002B6DAC"/>
    <w:rPr>
      <w:rFonts w:eastAsiaTheme="majorEastAsia" w:cstheme="majorBidi"/>
      <w:b/>
      <w:kern w:val="0"/>
      <w:sz w:val="24"/>
      <w:szCs w:val="24"/>
      <w14:ligatures w14:val="none"/>
    </w:rPr>
  </w:style>
  <w:style w:type="character" w:customStyle="1" w:styleId="Heading4Char">
    <w:name w:val="Heading 4 Char"/>
    <w:basedOn w:val="DefaultParagraphFont"/>
    <w:link w:val="Heading4"/>
    <w:uiPriority w:val="9"/>
    <w:rsid w:val="002B6DAC"/>
    <w:rPr>
      <w:rFonts w:eastAsiaTheme="majorEastAsia" w:cstheme="majorBidi"/>
      <w:b/>
      <w:iCs/>
      <w:kern w:val="0"/>
      <w:sz w:val="24"/>
      <w:szCs w:val="20"/>
      <w14:ligatures w14:val="none"/>
    </w:rPr>
  </w:style>
  <w:style w:type="paragraph" w:styleId="TOCHeading">
    <w:name w:val="TOC Heading"/>
    <w:basedOn w:val="Heading1"/>
    <w:next w:val="Normal"/>
    <w:uiPriority w:val="39"/>
    <w:unhideWhenUsed/>
    <w:qFormat/>
    <w:rsid w:val="002B6DAC"/>
    <w:pPr>
      <w:spacing w:after="0" w:line="259" w:lineRule="auto"/>
      <w:outlineLvl w:val="9"/>
    </w:pPr>
    <w:rPr>
      <w:rFonts w:asciiTheme="majorHAnsi" w:hAnsiTheme="majorHAnsi"/>
      <w:b w:val="0"/>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rk.hayden@constellation.com" TargetMode="External"/><Relationship Id="rId21" Type="http://schemas.openxmlformats.org/officeDocument/2006/relationships/hyperlink" Target="mailto:mjsettineri@vorys.com" TargetMode="External"/><Relationship Id="rId42" Type="http://schemas.openxmlformats.org/officeDocument/2006/relationships/hyperlink" Target="mailto:trhayslaw@gmail.com" TargetMode="External"/><Relationship Id="rId47" Type="http://schemas.openxmlformats.org/officeDocument/2006/relationships/hyperlink" Target="mailto:alex.hickey@occ.ohio.gov" TargetMode="External"/><Relationship Id="rId63" Type="http://schemas.openxmlformats.org/officeDocument/2006/relationships/hyperlink" Target="mailto:little@litohio.com" TargetMode="External"/><Relationship Id="rId68" Type="http://schemas.openxmlformats.org/officeDocument/2006/relationships/hyperlink" Target="mailto:awalke@mcneeslaw.com" TargetMode="External"/><Relationship Id="rId16" Type="http://schemas.openxmlformats.org/officeDocument/2006/relationships/hyperlink" Target="mailto:dromig@nationwideenergypartners.com" TargetMode="External"/><Relationship Id="rId11" Type="http://schemas.openxmlformats.org/officeDocument/2006/relationships/hyperlink" Target="mailto:bknipe@firstenergycorp.com" TargetMode="External"/><Relationship Id="rId32" Type="http://schemas.openxmlformats.org/officeDocument/2006/relationships/hyperlink" Target="mailto:NWallace@elpc.org" TargetMode="External"/><Relationship Id="rId37" Type="http://schemas.openxmlformats.org/officeDocument/2006/relationships/hyperlink" Target="mailto:mbarbara@calfee.com" TargetMode="External"/><Relationship Id="rId53" Type="http://schemas.openxmlformats.org/officeDocument/2006/relationships/hyperlink" Target="mailto:eprouty@bakerlaw.com" TargetMode="External"/><Relationship Id="rId58" Type="http://schemas.openxmlformats.org/officeDocument/2006/relationships/hyperlink" Target="mailto:rmains@brickergraydon.com" TargetMode="External"/><Relationship Id="rId74" Type="http://schemas.openxmlformats.org/officeDocument/2006/relationships/hyperlink" Target="mailto:slee@spilmanlaw.com" TargetMode="External"/><Relationship Id="rId79" Type="http://schemas.openxmlformats.org/officeDocument/2006/relationships/hyperlink" Target="mailto:jacqueline.st.john@puco.ohio.gov" TargetMode="External"/><Relationship Id="rId5" Type="http://schemas.openxmlformats.org/officeDocument/2006/relationships/webSettings" Target="webSettings.xml"/><Relationship Id="rId61" Type="http://schemas.openxmlformats.org/officeDocument/2006/relationships/hyperlink" Target="mailto:rdove@keglerbrown.com" TargetMode="External"/><Relationship Id="rId82" Type="http://schemas.openxmlformats.org/officeDocument/2006/relationships/theme" Target="theme/theme1.xml"/><Relationship Id="rId19" Type="http://schemas.openxmlformats.org/officeDocument/2006/relationships/hyperlink" Target="mailto:josephmeissner@yahoo.com" TargetMode="External"/><Relationship Id="rId14" Type="http://schemas.openxmlformats.org/officeDocument/2006/relationships/hyperlink" Target="mailto:mkeaney@beneschlaw.com" TargetMode="External"/><Relationship Id="rId22" Type="http://schemas.openxmlformats.org/officeDocument/2006/relationships/hyperlink" Target="mailto:glpetrucci@vorys.com" TargetMode="External"/><Relationship Id="rId27" Type="http://schemas.openxmlformats.org/officeDocument/2006/relationships/hyperlink" Target="mailto:cpirik@dickinsonwright.com" TargetMode="External"/><Relationship Id="rId30" Type="http://schemas.openxmlformats.org/officeDocument/2006/relationships/hyperlink" Target="mailto:emcconnell@elpc.org" TargetMode="External"/><Relationship Id="rId35" Type="http://schemas.openxmlformats.org/officeDocument/2006/relationships/hyperlink" Target="mailto:Joe.Oliker@igs.com" TargetMode="External"/><Relationship Id="rId43" Type="http://schemas.openxmlformats.org/officeDocument/2006/relationships/hyperlink" Target="mailto:leslie.kovacik@toledo.oh.gov" TargetMode="External"/><Relationship Id="rId48" Type="http://schemas.openxmlformats.org/officeDocument/2006/relationships/hyperlink" Target="mailto:thomas.zuehlke@occ.ohio.gov" TargetMode="External"/><Relationship Id="rId56" Type="http://schemas.openxmlformats.org/officeDocument/2006/relationships/hyperlink" Target="mailto:ctavenor@theOEC.org" TargetMode="External"/><Relationship Id="rId64" Type="http://schemas.openxmlformats.org/officeDocument/2006/relationships/hyperlink" Target="mailto:hogan@litohio.com" TargetMode="External"/><Relationship Id="rId69" Type="http://schemas.openxmlformats.org/officeDocument/2006/relationships/hyperlink" Target="mailto:tlong@mcneeslaw.com" TargetMode="External"/><Relationship Id="rId77" Type="http://schemas.openxmlformats.org/officeDocument/2006/relationships/hyperlink" Target="mailto:megan.addison@puco.ohio.gov" TargetMode="External"/><Relationship Id="rId8" Type="http://schemas.openxmlformats.org/officeDocument/2006/relationships/hyperlink" Target="mailto:mkl@smxblaw.com" TargetMode="External"/><Relationship Id="rId51" Type="http://schemas.openxmlformats.org/officeDocument/2006/relationships/hyperlink" Target="mailto:dproano@bakerlaw.com" TargetMode="External"/><Relationship Id="rId72" Type="http://schemas.openxmlformats.org/officeDocument/2006/relationships/hyperlink" Target="mailto:cgrundmann@spilmanlaw.com"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cwatchorn@firstenergycorp.com" TargetMode="External"/><Relationship Id="rId17" Type="http://schemas.openxmlformats.org/officeDocument/2006/relationships/hyperlink" Target="mailto:brian.gibbs@nationwideenergypartners.com" TargetMode="External"/><Relationship Id="rId25" Type="http://schemas.openxmlformats.org/officeDocument/2006/relationships/hyperlink" Target="mailto:jesse.rodriguez@constellation.com" TargetMode="External"/><Relationship Id="rId33" Type="http://schemas.openxmlformats.org/officeDocument/2006/relationships/hyperlink" Target="mailto:Stacie.Cathcart@igs.com" TargetMode="External"/><Relationship Id="rId38" Type="http://schemas.openxmlformats.org/officeDocument/2006/relationships/hyperlink" Target="mailto:Paul@carpenterlipps.com" TargetMode="External"/><Relationship Id="rId46" Type="http://schemas.openxmlformats.org/officeDocument/2006/relationships/hyperlink" Target="mailto:william.michael@occ.ohio.gov" TargetMode="External"/><Relationship Id="rId59" Type="http://schemas.openxmlformats.org/officeDocument/2006/relationships/hyperlink" Target="mailto:bojko@carpenterlipps.com" TargetMode="External"/><Relationship Id="rId67" Type="http://schemas.openxmlformats.org/officeDocument/2006/relationships/hyperlink" Target="mailto:mpritchard@mcneeslaw.com" TargetMode="External"/><Relationship Id="rId20" Type="http://schemas.openxmlformats.org/officeDocument/2006/relationships/hyperlink" Target="mailto:trent@hubaydougherty.com" TargetMode="External"/><Relationship Id="rId41" Type="http://schemas.openxmlformats.org/officeDocument/2006/relationships/hyperlink" Target="mailto:gkrassen@nopec.org" TargetMode="External"/><Relationship Id="rId54" Type="http://schemas.openxmlformats.org/officeDocument/2006/relationships/hyperlink" Target="mailto:pwillison@bakerlaw.com" TargetMode="External"/><Relationship Id="rId62" Type="http://schemas.openxmlformats.org/officeDocument/2006/relationships/hyperlink" Target="mailto:nbobb@keglerbrown.com" TargetMode="External"/><Relationship Id="rId70" Type="http://schemas.openxmlformats.org/officeDocument/2006/relationships/hyperlink" Target="mailto:eowoyt@vorys.com" TargetMode="External"/><Relationship Id="rId75" Type="http://schemas.openxmlformats.org/officeDocument/2006/relationships/hyperlink" Target="mailto:Alex.Kronauer@walmart.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hehmeyer@beneschlaw.com" TargetMode="External"/><Relationship Id="rId23" Type="http://schemas.openxmlformats.org/officeDocument/2006/relationships/hyperlink" Target="mailto:aasanyal@vorys.com" TargetMode="External"/><Relationship Id="rId28" Type="http://schemas.openxmlformats.org/officeDocument/2006/relationships/hyperlink" Target="mailto:todonnell@dickinsonwright.com" TargetMode="External"/><Relationship Id="rId36" Type="http://schemas.openxmlformats.org/officeDocument/2006/relationships/hyperlink" Target="mailto:jlang@calfee.com" TargetMode="External"/><Relationship Id="rId49" Type="http://schemas.openxmlformats.org/officeDocument/2006/relationships/hyperlink" Target="mailto:mkurtz@BKLlawfirm.com" TargetMode="External"/><Relationship Id="rId57" Type="http://schemas.openxmlformats.org/officeDocument/2006/relationships/hyperlink" Target="mailto:dparram@brickergraydon.com" TargetMode="External"/><Relationship Id="rId10" Type="http://schemas.openxmlformats.org/officeDocument/2006/relationships/footer" Target="footer1.xml"/><Relationship Id="rId31" Type="http://schemas.openxmlformats.org/officeDocument/2006/relationships/hyperlink" Target="mailto:RKelter@elpc.org" TargetMode="External"/><Relationship Id="rId44" Type="http://schemas.openxmlformats.org/officeDocument/2006/relationships/hyperlink" Target="mailto:john.finnigan@occ.ohio.gov" TargetMode="External"/><Relationship Id="rId52" Type="http://schemas.openxmlformats.org/officeDocument/2006/relationships/hyperlink" Target="mailto:ahaque@bakerlaw.com" TargetMode="External"/><Relationship Id="rId60" Type="http://schemas.openxmlformats.org/officeDocument/2006/relationships/hyperlink" Target="mailto:easley@carpenterlipps.com" TargetMode="External"/><Relationship Id="rId65" Type="http://schemas.openxmlformats.org/officeDocument/2006/relationships/hyperlink" Target="mailto:ktreadway@oneenergyllc.com" TargetMode="External"/><Relationship Id="rId73" Type="http://schemas.openxmlformats.org/officeDocument/2006/relationships/hyperlink" Target="mailto:dwilliamson@spilmanlaw.com" TargetMode="External"/><Relationship Id="rId78" Type="http://schemas.openxmlformats.org/officeDocument/2006/relationships/hyperlink" Target="mailto:greg.price@puco.ohio.gov"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rb@smxblaw.com" TargetMode="External"/><Relationship Id="rId13" Type="http://schemas.openxmlformats.org/officeDocument/2006/relationships/hyperlink" Target="mailto:talexander@beneschlaw.com" TargetMode="External"/><Relationship Id="rId18" Type="http://schemas.openxmlformats.org/officeDocument/2006/relationships/hyperlink" Target="mailto:whitt@whitt-sturtevant.com" TargetMode="External"/><Relationship Id="rId39" Type="http://schemas.openxmlformats.org/officeDocument/2006/relationships/hyperlink" Target="mailto:cadieux@carpenterlipps.com" TargetMode="External"/><Relationship Id="rId34" Type="http://schemas.openxmlformats.org/officeDocument/2006/relationships/hyperlink" Target="mailto:michael.nugent@igs.com" TargetMode="External"/><Relationship Id="rId50" Type="http://schemas.openxmlformats.org/officeDocument/2006/relationships/hyperlink" Target="mailto:jkylercohn@BKLlawfirm.com" TargetMode="External"/><Relationship Id="rId55" Type="http://schemas.openxmlformats.org/officeDocument/2006/relationships/hyperlink" Target="mailto:knordstrom@theOEC.org" TargetMode="External"/><Relationship Id="rId76" Type="http://schemas.openxmlformats.org/officeDocument/2006/relationships/hyperlink" Target="mailto:junger@spilmanlaw.com" TargetMode="External"/><Relationship Id="rId7" Type="http://schemas.openxmlformats.org/officeDocument/2006/relationships/endnotes" Target="endnotes.xml"/><Relationship Id="rId71" Type="http://schemas.openxmlformats.org/officeDocument/2006/relationships/hyperlink" Target="mailto:todd.schafer@outlook.com" TargetMode="External"/><Relationship Id="rId2" Type="http://schemas.openxmlformats.org/officeDocument/2006/relationships/numbering" Target="numbering.xml"/><Relationship Id="rId29" Type="http://schemas.openxmlformats.org/officeDocument/2006/relationships/hyperlink" Target="mailto:kshimp@dickinsonwright.com" TargetMode="External"/><Relationship Id="rId24" Type="http://schemas.openxmlformats.org/officeDocument/2006/relationships/hyperlink" Target="mailto:cynthia.brady@constellation.com" TargetMode="External"/><Relationship Id="rId40" Type="http://schemas.openxmlformats.org/officeDocument/2006/relationships/hyperlink" Target="mailto:dstinson@brickergraydon.com" TargetMode="External"/><Relationship Id="rId45" Type="http://schemas.openxmlformats.org/officeDocument/2006/relationships/hyperlink" Target="mailto:robert.eubanks@occ.ohio.gov" TargetMode="External"/><Relationship Id="rId66" Type="http://schemas.openxmlformats.org/officeDocument/2006/relationships/hyperlink" Target="mailto:jdunn@oneenergy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7860C-C6B3-4984-84C7-377DDA57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7664</Words>
  <Characters>43685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Stone Mattheis Xenopoulos &amp; Brew, PC</Company>
  <LinksUpToDate>false</LinksUpToDate>
  <CharactersWithSpaces>51247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Lavanga</dc:creator>
  <cp:keywords/>
  <dc:description/>
  <cp:lastModifiedBy>Joseph R. Briscar</cp:lastModifiedBy>
  <cp:revision>3</cp:revision>
  <dcterms:created xsi:type="dcterms:W3CDTF">2024-02-09T17:38:00Z</dcterms:created>
  <dcterms:modified xsi:type="dcterms:W3CDTF">2024-02-09T19:41:00Z</dcterms:modified>
</cp:coreProperties>
</file>