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523E6" w14:textId="77777777" w:rsidR="009769C4" w:rsidRPr="002336BD" w:rsidRDefault="0090014E">
      <w:pPr>
        <w:pStyle w:val="BodyA"/>
        <w:ind w:left="4320" w:firstLine="720"/>
        <w:jc w:val="center"/>
        <w:rPr>
          <w:rFonts w:hAnsi="Times New Roman" w:cs="Times New Roman"/>
          <w:b/>
          <w:bCs/>
          <w:i/>
          <w:iCs/>
        </w:rPr>
      </w:pPr>
      <w:bookmarkStart w:id="0" w:name="_GoBack"/>
      <w:bookmarkEnd w:id="0"/>
      <w:r w:rsidRPr="002336BD">
        <w:rPr>
          <w:rFonts w:hAnsi="Times New Roman" w:cs="Times New Roman"/>
          <w:b/>
          <w:bCs/>
          <w:i/>
          <w:iCs/>
        </w:rPr>
        <w:t xml:space="preserve">             </w:t>
      </w:r>
      <w:r w:rsidR="00275B98" w:rsidRPr="002336BD">
        <w:rPr>
          <w:rFonts w:hAnsi="Times New Roman" w:cs="Times New Roman"/>
          <w:b/>
          <w:bCs/>
          <w:i/>
          <w:iCs/>
        </w:rPr>
        <w:t>OCC EXHIBIT NO. ______</w:t>
      </w:r>
    </w:p>
    <w:p w14:paraId="2FDF22B2" w14:textId="77777777" w:rsidR="009769C4" w:rsidRPr="002336BD" w:rsidRDefault="009769C4">
      <w:pPr>
        <w:pStyle w:val="BodyA"/>
        <w:jc w:val="center"/>
        <w:rPr>
          <w:rFonts w:hAnsi="Times New Roman" w:cs="Times New Roman"/>
          <w:b/>
          <w:bCs/>
        </w:rPr>
      </w:pPr>
    </w:p>
    <w:p w14:paraId="1E42CEF9" w14:textId="77777777" w:rsidR="0090014E" w:rsidRPr="002336BD" w:rsidRDefault="0090014E">
      <w:pPr>
        <w:pStyle w:val="BodyA"/>
        <w:jc w:val="center"/>
        <w:rPr>
          <w:rFonts w:hAnsi="Times New Roman" w:cs="Times New Roman"/>
          <w:b/>
          <w:bCs/>
        </w:rPr>
      </w:pPr>
    </w:p>
    <w:p w14:paraId="040AE4CD" w14:textId="77777777" w:rsidR="009769C4" w:rsidRPr="002336BD" w:rsidRDefault="00275B98">
      <w:pPr>
        <w:pStyle w:val="BodyA"/>
        <w:jc w:val="center"/>
        <w:rPr>
          <w:rFonts w:hAnsi="Times New Roman" w:cs="Times New Roman"/>
          <w:b/>
          <w:bCs/>
        </w:rPr>
      </w:pPr>
      <w:r w:rsidRPr="002336BD">
        <w:rPr>
          <w:rFonts w:hAnsi="Times New Roman" w:cs="Times New Roman"/>
          <w:b/>
          <w:bCs/>
        </w:rPr>
        <w:t>BEFORE</w:t>
      </w:r>
    </w:p>
    <w:p w14:paraId="30F844BF" w14:textId="77777777" w:rsidR="009769C4" w:rsidRPr="002336BD" w:rsidRDefault="00275B98">
      <w:pPr>
        <w:pStyle w:val="BodyA"/>
        <w:jc w:val="center"/>
        <w:rPr>
          <w:rFonts w:hAnsi="Times New Roman" w:cs="Times New Roman"/>
          <w:b/>
          <w:bCs/>
        </w:rPr>
      </w:pPr>
      <w:r w:rsidRPr="002336BD">
        <w:rPr>
          <w:rFonts w:hAnsi="Times New Roman" w:cs="Times New Roman"/>
          <w:b/>
          <w:bCs/>
        </w:rPr>
        <w:t>THE PUBLIC UTILITIES COMMISSION OF OHIO</w:t>
      </w:r>
    </w:p>
    <w:p w14:paraId="3F7216AC" w14:textId="77777777" w:rsidR="009769C4" w:rsidRPr="002336BD" w:rsidRDefault="009769C4">
      <w:pPr>
        <w:pStyle w:val="BodyA"/>
        <w:jc w:val="center"/>
        <w:rPr>
          <w:rFonts w:hAnsi="Times New Roman" w:cs="Times New Roman"/>
          <w:b/>
          <w:bCs/>
        </w:rPr>
      </w:pPr>
    </w:p>
    <w:p w14:paraId="16DCA2AC" w14:textId="77777777" w:rsidR="009769C4" w:rsidRPr="002336BD" w:rsidRDefault="009769C4">
      <w:pPr>
        <w:pStyle w:val="BodyA"/>
        <w:jc w:val="center"/>
        <w:rPr>
          <w:rFonts w:hAnsi="Times New Roman" w:cs="Times New Roman"/>
          <w:b/>
          <w:bCs/>
        </w:rPr>
      </w:pPr>
    </w:p>
    <w:tbl>
      <w:tblPr>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9"/>
        <w:gridCol w:w="369"/>
        <w:gridCol w:w="4470"/>
      </w:tblGrid>
      <w:tr w:rsidR="009769C4" w:rsidRPr="002336BD" w14:paraId="11476F0D" w14:textId="77777777" w:rsidTr="009A4CDE">
        <w:trPr>
          <w:trHeight w:val="1234"/>
          <w:jc w:val="center"/>
        </w:trPr>
        <w:tc>
          <w:tcPr>
            <w:tcW w:w="4659" w:type="dxa"/>
            <w:tcBorders>
              <w:top w:val="nil"/>
              <w:left w:val="nil"/>
              <w:bottom w:val="nil"/>
              <w:right w:val="nil"/>
            </w:tcBorders>
            <w:shd w:val="clear" w:color="auto" w:fill="auto"/>
            <w:tcMar>
              <w:top w:w="80" w:type="dxa"/>
              <w:left w:w="80" w:type="dxa"/>
              <w:bottom w:w="80" w:type="dxa"/>
              <w:right w:w="80" w:type="dxa"/>
            </w:tcMar>
          </w:tcPr>
          <w:p w14:paraId="29596053" w14:textId="77777777" w:rsidR="009769C4" w:rsidRPr="0032443E" w:rsidRDefault="00275B98" w:rsidP="00727DD8">
            <w:pPr>
              <w:pStyle w:val="BodyA"/>
              <w:contextualSpacing/>
              <w:rPr>
                <w:rFonts w:hAnsi="Times New Roman" w:cs="Times New Roman"/>
              </w:rPr>
            </w:pPr>
            <w:r w:rsidRPr="0032443E">
              <w:rPr>
                <w:rFonts w:hAnsi="Times New Roman" w:cs="Times New Roman"/>
              </w:rPr>
              <w:t xml:space="preserve">In The Matter Of The Application </w:t>
            </w:r>
            <w:r w:rsidR="00727DD8" w:rsidRPr="0032443E">
              <w:rPr>
                <w:rFonts w:hAnsi="Times New Roman" w:cs="Times New Roman"/>
              </w:rPr>
              <w:t>of</w:t>
            </w:r>
            <w:r w:rsidRPr="0032443E">
              <w:rPr>
                <w:rFonts w:hAnsi="Times New Roman" w:cs="Times New Roman"/>
              </w:rPr>
              <w:t xml:space="preserve"> </w:t>
            </w:r>
            <w:r w:rsidR="00727DD8" w:rsidRPr="0032443E">
              <w:rPr>
                <w:rFonts w:hAnsi="Times New Roman" w:cs="Times New Roman"/>
              </w:rPr>
              <w:t xml:space="preserve">TimkenSteel Corporation for Approval of a </w:t>
            </w:r>
            <w:r w:rsidRPr="0032443E">
              <w:rPr>
                <w:rFonts w:hAnsi="Times New Roman" w:cs="Times New Roman"/>
              </w:rPr>
              <w:t xml:space="preserve"> </w:t>
            </w:r>
            <w:r w:rsidR="00727DD8" w:rsidRPr="0032443E">
              <w:rPr>
                <w:rFonts w:hAnsi="Times New Roman" w:cs="Times New Roman"/>
              </w:rPr>
              <w:t xml:space="preserve">Unique </w:t>
            </w:r>
            <w:r w:rsidRPr="0032443E">
              <w:rPr>
                <w:rFonts w:hAnsi="Times New Roman" w:cs="Times New Roman"/>
              </w:rPr>
              <w:t xml:space="preserve">Arrangement </w:t>
            </w:r>
            <w:r w:rsidR="00727DD8" w:rsidRPr="0032443E">
              <w:rPr>
                <w:rFonts w:hAnsi="Times New Roman" w:cs="Times New Roman"/>
              </w:rPr>
              <w:t>for the TimkenSteel Corporation’s Stark County Facilities</w:t>
            </w:r>
          </w:p>
        </w:tc>
        <w:tc>
          <w:tcPr>
            <w:tcW w:w="369" w:type="dxa"/>
            <w:tcBorders>
              <w:top w:val="nil"/>
              <w:left w:val="nil"/>
              <w:bottom w:val="nil"/>
              <w:right w:val="nil"/>
            </w:tcBorders>
            <w:shd w:val="clear" w:color="auto" w:fill="auto"/>
            <w:tcMar>
              <w:top w:w="80" w:type="dxa"/>
              <w:left w:w="80" w:type="dxa"/>
              <w:bottom w:w="80" w:type="dxa"/>
              <w:right w:w="80" w:type="dxa"/>
            </w:tcMar>
          </w:tcPr>
          <w:p w14:paraId="64D120B3" w14:textId="77777777" w:rsidR="009769C4" w:rsidRPr="0032443E" w:rsidRDefault="00275B98" w:rsidP="00727DD8">
            <w:pPr>
              <w:pStyle w:val="BodyA"/>
              <w:jc w:val="center"/>
              <w:rPr>
                <w:rFonts w:hAnsi="Times New Roman" w:cs="Times New Roman"/>
              </w:rPr>
            </w:pPr>
            <w:r w:rsidRPr="0032443E">
              <w:rPr>
                <w:rFonts w:hAnsi="Times New Roman" w:cs="Times New Roman"/>
              </w:rPr>
              <w:t>)</w:t>
            </w:r>
          </w:p>
          <w:p w14:paraId="45E056FB" w14:textId="77777777" w:rsidR="009769C4" w:rsidRPr="0032443E" w:rsidRDefault="00275B98" w:rsidP="00727DD8">
            <w:pPr>
              <w:pStyle w:val="BodyA"/>
              <w:jc w:val="center"/>
              <w:rPr>
                <w:rFonts w:hAnsi="Times New Roman" w:cs="Times New Roman"/>
              </w:rPr>
            </w:pPr>
            <w:r w:rsidRPr="0032443E">
              <w:rPr>
                <w:rFonts w:hAnsi="Times New Roman" w:cs="Times New Roman"/>
              </w:rPr>
              <w:t>)</w:t>
            </w:r>
          </w:p>
          <w:p w14:paraId="4A75C0DC" w14:textId="77777777" w:rsidR="009769C4" w:rsidRPr="0032443E" w:rsidRDefault="00275B98" w:rsidP="00727DD8">
            <w:pPr>
              <w:pStyle w:val="BodyA"/>
              <w:jc w:val="center"/>
              <w:rPr>
                <w:rFonts w:hAnsi="Times New Roman" w:cs="Times New Roman"/>
              </w:rPr>
            </w:pPr>
            <w:r w:rsidRPr="0032443E">
              <w:rPr>
                <w:rFonts w:hAnsi="Times New Roman" w:cs="Times New Roman"/>
              </w:rPr>
              <w:t>)</w:t>
            </w:r>
          </w:p>
          <w:p w14:paraId="2274A46C" w14:textId="77777777" w:rsidR="009769C4" w:rsidRPr="0032443E" w:rsidRDefault="00275B98" w:rsidP="00727DD8">
            <w:pPr>
              <w:pStyle w:val="BodyA"/>
              <w:jc w:val="center"/>
              <w:rPr>
                <w:rFonts w:hAnsi="Times New Roman" w:cs="Times New Roman"/>
              </w:rPr>
            </w:pPr>
            <w:r w:rsidRPr="0032443E">
              <w:rPr>
                <w:rFonts w:hAnsi="Times New Roman" w:cs="Times New Roman"/>
              </w:rPr>
              <w:t>)</w:t>
            </w:r>
          </w:p>
        </w:tc>
        <w:tc>
          <w:tcPr>
            <w:tcW w:w="4470" w:type="dxa"/>
            <w:tcBorders>
              <w:top w:val="nil"/>
              <w:left w:val="nil"/>
              <w:bottom w:val="nil"/>
              <w:right w:val="nil"/>
            </w:tcBorders>
            <w:shd w:val="clear" w:color="auto" w:fill="auto"/>
            <w:tcMar>
              <w:top w:w="80" w:type="dxa"/>
              <w:left w:w="80" w:type="dxa"/>
              <w:bottom w:w="80" w:type="dxa"/>
              <w:right w:w="80" w:type="dxa"/>
            </w:tcMar>
          </w:tcPr>
          <w:p w14:paraId="6FD4774F" w14:textId="77777777" w:rsidR="009769C4" w:rsidRPr="0032443E" w:rsidRDefault="009769C4" w:rsidP="009A4CDE">
            <w:pPr>
              <w:pStyle w:val="BodyA"/>
              <w:jc w:val="center"/>
              <w:rPr>
                <w:rFonts w:hAnsi="Times New Roman" w:cs="Times New Roman"/>
              </w:rPr>
            </w:pPr>
          </w:p>
          <w:p w14:paraId="44F1F4C1" w14:textId="77777777" w:rsidR="009769C4" w:rsidRPr="0032443E" w:rsidRDefault="00275B98" w:rsidP="004C772E">
            <w:pPr>
              <w:pStyle w:val="BodyA"/>
              <w:rPr>
                <w:rFonts w:hAnsi="Times New Roman" w:cs="Times New Roman"/>
              </w:rPr>
            </w:pPr>
            <w:r w:rsidRPr="0032443E">
              <w:rPr>
                <w:rFonts w:hAnsi="Times New Roman" w:cs="Times New Roman"/>
              </w:rPr>
              <w:t xml:space="preserve">Case No. </w:t>
            </w:r>
            <w:r w:rsidR="004C772E" w:rsidRPr="0032443E">
              <w:rPr>
                <w:rFonts w:hAnsi="Times New Roman" w:cs="Times New Roman"/>
              </w:rPr>
              <w:t>15-1857-EL-AEC</w:t>
            </w:r>
          </w:p>
        </w:tc>
      </w:tr>
    </w:tbl>
    <w:p w14:paraId="7C7BFE84" w14:textId="77777777" w:rsidR="009769C4" w:rsidRPr="002336BD" w:rsidRDefault="009769C4" w:rsidP="009A4CDE">
      <w:pPr>
        <w:pStyle w:val="BodyA"/>
        <w:widowControl w:val="0"/>
        <w:tabs>
          <w:tab w:val="left" w:pos="5898"/>
        </w:tabs>
        <w:jc w:val="center"/>
        <w:rPr>
          <w:rFonts w:hAnsi="Times New Roman" w:cs="Times New Roman"/>
          <w:b/>
          <w:bCs/>
        </w:rPr>
      </w:pPr>
    </w:p>
    <w:p w14:paraId="3BE00205" w14:textId="77777777" w:rsidR="009769C4" w:rsidRPr="002336BD" w:rsidRDefault="009769C4">
      <w:pPr>
        <w:pStyle w:val="BodyA"/>
        <w:widowControl w:val="0"/>
        <w:tabs>
          <w:tab w:val="left" w:pos="5898"/>
        </w:tabs>
        <w:jc w:val="center"/>
        <w:rPr>
          <w:rFonts w:hAnsi="Times New Roman" w:cs="Times New Roman"/>
          <w:b/>
          <w:bCs/>
        </w:rPr>
      </w:pPr>
    </w:p>
    <w:p w14:paraId="1BBA3B3B" w14:textId="77777777" w:rsidR="009769C4" w:rsidRPr="002336BD" w:rsidRDefault="009769C4">
      <w:pPr>
        <w:pStyle w:val="BodyA"/>
        <w:jc w:val="center"/>
        <w:rPr>
          <w:rFonts w:hAnsi="Times New Roman" w:cs="Times New Roman"/>
          <w:b/>
          <w:bCs/>
        </w:rPr>
      </w:pPr>
    </w:p>
    <w:p w14:paraId="527F0FDD" w14:textId="77777777" w:rsidR="009769C4" w:rsidRPr="002336BD" w:rsidRDefault="009769C4">
      <w:pPr>
        <w:pStyle w:val="BodyA"/>
        <w:jc w:val="center"/>
        <w:rPr>
          <w:rFonts w:hAnsi="Times New Roman" w:cs="Times New Roman"/>
          <w:b/>
          <w:bCs/>
        </w:rPr>
      </w:pPr>
    </w:p>
    <w:p w14:paraId="6F906B6C" w14:textId="77777777" w:rsidR="009769C4" w:rsidRPr="002336BD" w:rsidRDefault="009769C4">
      <w:pPr>
        <w:pStyle w:val="BodyA"/>
        <w:jc w:val="center"/>
        <w:rPr>
          <w:rFonts w:hAnsi="Times New Roman" w:cs="Times New Roman"/>
          <w:b/>
          <w:bCs/>
        </w:rPr>
      </w:pPr>
    </w:p>
    <w:p w14:paraId="1275FBC8" w14:textId="77777777" w:rsidR="009769C4" w:rsidRPr="002336BD" w:rsidRDefault="009769C4">
      <w:pPr>
        <w:pStyle w:val="BodyA"/>
        <w:jc w:val="center"/>
        <w:rPr>
          <w:rFonts w:hAnsi="Times New Roman" w:cs="Times New Roman"/>
          <w:b/>
          <w:bCs/>
          <w:color w:val="000000" w:themeColor="text1"/>
          <w:u w:color="974706"/>
        </w:rPr>
      </w:pPr>
    </w:p>
    <w:p w14:paraId="5348F0B6" w14:textId="77777777" w:rsidR="009769C4" w:rsidRPr="002336BD" w:rsidRDefault="009769C4">
      <w:pPr>
        <w:pStyle w:val="BodyA"/>
        <w:jc w:val="center"/>
        <w:rPr>
          <w:rFonts w:hAnsi="Times New Roman" w:cs="Times New Roman"/>
          <w:b/>
          <w:bCs/>
          <w:color w:val="000000" w:themeColor="text1"/>
          <w:u w:color="974706"/>
        </w:rPr>
      </w:pPr>
    </w:p>
    <w:p w14:paraId="304753C7" w14:textId="77777777" w:rsidR="009769C4" w:rsidRPr="002336BD" w:rsidRDefault="005C276F">
      <w:pPr>
        <w:pStyle w:val="BodyA"/>
        <w:jc w:val="center"/>
        <w:rPr>
          <w:rFonts w:hAnsi="Times New Roman" w:cs="Times New Roman"/>
          <w:b/>
          <w:bCs/>
        </w:rPr>
      </w:pPr>
      <w:r w:rsidRPr="005C276F">
        <w:rPr>
          <w:rFonts w:ascii="Times New Roman Bold" w:hAnsi="Times New Roman Bold" w:cs="Times New Roman"/>
          <w:b/>
          <w:bCs/>
          <w:caps/>
        </w:rPr>
        <w:t>Supplemental</w:t>
      </w:r>
      <w:r w:rsidR="00D73173" w:rsidRPr="005C276F">
        <w:rPr>
          <w:rFonts w:ascii="Times New Roman Bold" w:hAnsi="Times New Roman Bold" w:cs="Times New Roman"/>
          <w:b/>
          <w:bCs/>
          <w:caps/>
        </w:rPr>
        <w:t xml:space="preserve"> </w:t>
      </w:r>
      <w:r w:rsidR="00D73173" w:rsidRPr="002336BD">
        <w:rPr>
          <w:rFonts w:hAnsi="Times New Roman" w:cs="Times New Roman"/>
          <w:b/>
          <w:bCs/>
        </w:rPr>
        <w:t>TESTIMONY</w:t>
      </w:r>
    </w:p>
    <w:p w14:paraId="3B65D515" w14:textId="77777777" w:rsidR="009769C4" w:rsidRPr="002336BD" w:rsidRDefault="00275B98">
      <w:pPr>
        <w:pStyle w:val="BodyA"/>
        <w:jc w:val="center"/>
        <w:rPr>
          <w:rFonts w:hAnsi="Times New Roman" w:cs="Times New Roman"/>
          <w:b/>
          <w:bCs/>
        </w:rPr>
      </w:pPr>
      <w:r w:rsidRPr="002336BD">
        <w:rPr>
          <w:rFonts w:hAnsi="Times New Roman" w:cs="Times New Roman"/>
          <w:b/>
          <w:bCs/>
        </w:rPr>
        <w:t>OF</w:t>
      </w:r>
    </w:p>
    <w:p w14:paraId="4CAC4DA9" w14:textId="77777777" w:rsidR="009769C4" w:rsidRPr="002336BD" w:rsidRDefault="00D73173">
      <w:pPr>
        <w:pStyle w:val="BodyA"/>
        <w:jc w:val="center"/>
        <w:rPr>
          <w:rFonts w:hAnsi="Times New Roman" w:cs="Times New Roman"/>
          <w:b/>
          <w:bCs/>
        </w:rPr>
      </w:pPr>
      <w:r w:rsidRPr="002336BD">
        <w:rPr>
          <w:rFonts w:hAnsi="Times New Roman" w:cs="Times New Roman"/>
          <w:b/>
          <w:bCs/>
        </w:rPr>
        <w:t>MICHAEL P. HAUGH</w:t>
      </w:r>
    </w:p>
    <w:p w14:paraId="092C2DBB" w14:textId="77777777" w:rsidR="009769C4" w:rsidRPr="002336BD" w:rsidRDefault="009769C4">
      <w:pPr>
        <w:pStyle w:val="BodyA"/>
        <w:jc w:val="center"/>
        <w:rPr>
          <w:rFonts w:hAnsi="Times New Roman" w:cs="Times New Roman"/>
          <w:b/>
          <w:bCs/>
        </w:rPr>
      </w:pPr>
    </w:p>
    <w:p w14:paraId="7EE31088" w14:textId="77777777" w:rsidR="009769C4" w:rsidRPr="002336BD" w:rsidRDefault="009769C4">
      <w:pPr>
        <w:pStyle w:val="BodyA"/>
        <w:jc w:val="center"/>
        <w:rPr>
          <w:rFonts w:hAnsi="Times New Roman" w:cs="Times New Roman"/>
          <w:b/>
          <w:bCs/>
        </w:rPr>
      </w:pPr>
    </w:p>
    <w:p w14:paraId="67FE3B0C" w14:textId="77777777" w:rsidR="009769C4" w:rsidRPr="002336BD" w:rsidRDefault="009769C4">
      <w:pPr>
        <w:pStyle w:val="BodyA"/>
        <w:jc w:val="center"/>
        <w:rPr>
          <w:rFonts w:hAnsi="Times New Roman" w:cs="Times New Roman"/>
          <w:b/>
          <w:bCs/>
        </w:rPr>
      </w:pPr>
    </w:p>
    <w:p w14:paraId="1F2C2F20" w14:textId="77777777" w:rsidR="009769C4" w:rsidRPr="002336BD" w:rsidRDefault="009769C4">
      <w:pPr>
        <w:pStyle w:val="BodyA"/>
        <w:jc w:val="center"/>
        <w:rPr>
          <w:rFonts w:hAnsi="Times New Roman" w:cs="Times New Roman"/>
          <w:b/>
          <w:bCs/>
        </w:rPr>
      </w:pPr>
    </w:p>
    <w:p w14:paraId="7D18AA73" w14:textId="77777777" w:rsidR="009769C4" w:rsidRPr="002336BD" w:rsidRDefault="00275B98">
      <w:pPr>
        <w:pStyle w:val="BodyA"/>
        <w:jc w:val="center"/>
        <w:rPr>
          <w:rFonts w:hAnsi="Times New Roman" w:cs="Times New Roman"/>
          <w:b/>
          <w:bCs/>
        </w:rPr>
      </w:pPr>
      <w:r w:rsidRPr="002336BD">
        <w:rPr>
          <w:rFonts w:hAnsi="Times New Roman" w:cs="Times New Roman"/>
          <w:b/>
          <w:bCs/>
        </w:rPr>
        <w:t>On Behalf of the</w:t>
      </w:r>
    </w:p>
    <w:p w14:paraId="364FF716" w14:textId="77777777" w:rsidR="009769C4" w:rsidRPr="002336BD" w:rsidRDefault="00275B98">
      <w:pPr>
        <w:pStyle w:val="BodyA"/>
        <w:jc w:val="center"/>
        <w:rPr>
          <w:rFonts w:hAnsi="Times New Roman" w:cs="Times New Roman"/>
          <w:b/>
          <w:bCs/>
        </w:rPr>
      </w:pPr>
      <w:r w:rsidRPr="002336BD">
        <w:rPr>
          <w:rFonts w:hAnsi="Times New Roman" w:cs="Times New Roman"/>
          <w:b/>
          <w:bCs/>
        </w:rPr>
        <w:t>The Office of the Ohio Consumers</w:t>
      </w:r>
      <w:r w:rsidRPr="002336BD">
        <w:rPr>
          <w:rFonts w:hAnsi="Times New Roman" w:cs="Times New Roman"/>
          <w:b/>
          <w:bCs/>
          <w:lang w:val="fr-FR"/>
        </w:rPr>
        <w:t xml:space="preserve">’ </w:t>
      </w:r>
      <w:r w:rsidRPr="002336BD">
        <w:rPr>
          <w:rFonts w:hAnsi="Times New Roman" w:cs="Times New Roman"/>
          <w:b/>
          <w:bCs/>
        </w:rPr>
        <w:t>Counsel</w:t>
      </w:r>
    </w:p>
    <w:p w14:paraId="34C6E3D4" w14:textId="77777777" w:rsidR="009769C4" w:rsidRPr="002336BD" w:rsidRDefault="00275B98">
      <w:pPr>
        <w:pStyle w:val="BodyA"/>
        <w:jc w:val="center"/>
        <w:rPr>
          <w:rFonts w:hAnsi="Times New Roman" w:cs="Times New Roman"/>
          <w:i/>
          <w:iCs/>
        </w:rPr>
      </w:pPr>
      <w:r w:rsidRPr="002336BD">
        <w:rPr>
          <w:rFonts w:hAnsi="Times New Roman" w:cs="Times New Roman"/>
          <w:i/>
          <w:iCs/>
        </w:rPr>
        <w:t>10 West Broad Street, Suite 1800</w:t>
      </w:r>
    </w:p>
    <w:p w14:paraId="4D1F17E1" w14:textId="77777777" w:rsidR="009769C4" w:rsidRPr="002336BD" w:rsidRDefault="00275B98">
      <w:pPr>
        <w:pStyle w:val="BodyA"/>
        <w:jc w:val="center"/>
        <w:rPr>
          <w:rFonts w:hAnsi="Times New Roman" w:cs="Times New Roman"/>
          <w:i/>
          <w:iCs/>
        </w:rPr>
      </w:pPr>
      <w:r w:rsidRPr="002336BD">
        <w:rPr>
          <w:rFonts w:hAnsi="Times New Roman" w:cs="Times New Roman"/>
          <w:i/>
          <w:iCs/>
        </w:rPr>
        <w:t>Columbus, Ohio 43215-3485</w:t>
      </w:r>
    </w:p>
    <w:p w14:paraId="3CE3E0BD" w14:textId="77777777" w:rsidR="009769C4" w:rsidRPr="002336BD" w:rsidRDefault="009769C4">
      <w:pPr>
        <w:pStyle w:val="BodyA"/>
        <w:jc w:val="center"/>
        <w:rPr>
          <w:rFonts w:hAnsi="Times New Roman" w:cs="Times New Roman"/>
          <w:b/>
          <w:bCs/>
        </w:rPr>
      </w:pPr>
    </w:p>
    <w:p w14:paraId="0D318FE0" w14:textId="77777777" w:rsidR="009769C4" w:rsidRPr="002336BD" w:rsidRDefault="009769C4">
      <w:pPr>
        <w:pStyle w:val="BodyA"/>
        <w:jc w:val="center"/>
        <w:rPr>
          <w:rFonts w:hAnsi="Times New Roman" w:cs="Times New Roman"/>
          <w:b/>
          <w:bCs/>
        </w:rPr>
      </w:pPr>
    </w:p>
    <w:p w14:paraId="4169365A" w14:textId="77777777" w:rsidR="009769C4" w:rsidRPr="002336BD" w:rsidRDefault="009769C4">
      <w:pPr>
        <w:pStyle w:val="BodyA"/>
        <w:jc w:val="center"/>
        <w:rPr>
          <w:rFonts w:hAnsi="Times New Roman" w:cs="Times New Roman"/>
          <w:b/>
          <w:bCs/>
        </w:rPr>
      </w:pPr>
    </w:p>
    <w:p w14:paraId="7C56FA73" w14:textId="77777777" w:rsidR="009769C4" w:rsidRPr="002336BD" w:rsidRDefault="009769C4">
      <w:pPr>
        <w:pStyle w:val="BodyA"/>
        <w:jc w:val="center"/>
        <w:rPr>
          <w:rFonts w:hAnsi="Times New Roman" w:cs="Times New Roman"/>
          <w:b/>
          <w:bCs/>
        </w:rPr>
      </w:pPr>
    </w:p>
    <w:p w14:paraId="2FD3133A" w14:textId="77777777" w:rsidR="009A4CDE" w:rsidRPr="002336BD" w:rsidRDefault="007F1318">
      <w:pPr>
        <w:pStyle w:val="BodyA"/>
        <w:jc w:val="center"/>
        <w:rPr>
          <w:rFonts w:hAnsi="Times New Roman" w:cs="Times New Roman"/>
          <w:b/>
          <w:bCs/>
          <w:caps/>
        </w:rPr>
        <w:sectPr w:rsidR="009A4CDE" w:rsidRPr="002336BD" w:rsidSect="002336BD">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360" w:footer="720" w:gutter="0"/>
          <w:cols w:space="720"/>
          <w:titlePg/>
          <w:docGrid w:linePitch="326"/>
        </w:sectPr>
      </w:pPr>
      <w:r>
        <w:rPr>
          <w:rFonts w:hAnsi="Times New Roman" w:cs="Times New Roman"/>
          <w:b/>
          <w:bCs/>
          <w:caps/>
        </w:rPr>
        <w:t>December 3, 2015</w:t>
      </w:r>
    </w:p>
    <w:p w14:paraId="3065AA2B" w14:textId="77777777" w:rsidR="009769C4" w:rsidRPr="00E85C9A" w:rsidRDefault="009A4CDE" w:rsidP="009A4CDE">
      <w:pPr>
        <w:pStyle w:val="DirectQuestion"/>
        <w:tabs>
          <w:tab w:val="clear" w:pos="1440"/>
        </w:tabs>
        <w:ind w:left="0" w:firstLine="0"/>
        <w:rPr>
          <w:rFonts w:hAnsi="Times New Roman" w:cs="Times New Roman"/>
        </w:rPr>
      </w:pPr>
      <w:r w:rsidRPr="00E85C9A">
        <w:rPr>
          <w:rFonts w:hAnsi="Times New Roman" w:cs="Times New Roman"/>
        </w:rPr>
        <w:lastRenderedPageBreak/>
        <w:t>Q1.</w:t>
      </w:r>
      <w:r w:rsidRPr="00E85C9A">
        <w:rPr>
          <w:rFonts w:hAnsi="Times New Roman" w:cs="Times New Roman"/>
        </w:rPr>
        <w:tab/>
      </w:r>
      <w:r w:rsidR="00275B98" w:rsidRPr="00E85C9A">
        <w:rPr>
          <w:rFonts w:hAnsi="Times New Roman" w:cs="Times New Roman"/>
        </w:rPr>
        <w:t>PLEASE STATE YOUR NAME, title, AND BUSINESS ADDRESS.</w:t>
      </w:r>
    </w:p>
    <w:p w14:paraId="473DF196" w14:textId="5FEB0C81" w:rsidR="009769C4" w:rsidRPr="00E85C9A" w:rsidRDefault="00275B98" w:rsidP="009A4CDE">
      <w:pPr>
        <w:pStyle w:val="BodyA"/>
        <w:spacing w:line="480" w:lineRule="auto"/>
        <w:ind w:left="720" w:hanging="720"/>
        <w:rPr>
          <w:rFonts w:hAnsi="Times New Roman" w:cs="Times New Roman"/>
        </w:rPr>
      </w:pPr>
      <w:r w:rsidRPr="00E85C9A">
        <w:rPr>
          <w:rFonts w:hAnsi="Times New Roman" w:cs="Times New Roman"/>
          <w:b/>
          <w:bCs/>
          <w:i/>
          <w:iCs/>
        </w:rPr>
        <w:t>A1.</w:t>
      </w:r>
      <w:r w:rsidRPr="00E85C9A">
        <w:rPr>
          <w:rFonts w:hAnsi="Times New Roman" w:cs="Times New Roman"/>
          <w:b/>
          <w:bCs/>
          <w:i/>
          <w:iCs/>
        </w:rPr>
        <w:tab/>
      </w:r>
      <w:r w:rsidRPr="00E85C9A">
        <w:rPr>
          <w:rFonts w:hAnsi="Times New Roman" w:cs="Times New Roman"/>
        </w:rPr>
        <w:t>My name is Michael P. Haugh.  I am employed as the Assistant Director of Analytical Services for the Office of the Ohio Consumers</w:t>
      </w:r>
      <w:r w:rsidRPr="00E85C9A">
        <w:rPr>
          <w:rFonts w:hAnsi="Times New Roman" w:cs="Times New Roman"/>
          <w:lang w:val="fr-FR"/>
        </w:rPr>
        <w:t xml:space="preserve">’ </w:t>
      </w:r>
      <w:r w:rsidRPr="00E85C9A">
        <w:rPr>
          <w:rFonts w:hAnsi="Times New Roman" w:cs="Times New Roman"/>
        </w:rPr>
        <w:t>Counsel (</w:t>
      </w:r>
      <w:r w:rsidR="000D219B">
        <w:rPr>
          <w:rFonts w:hAnsi="Times New Roman" w:cs="Times New Roman"/>
        </w:rPr>
        <w:t>“</w:t>
      </w:r>
      <w:r w:rsidRPr="00E85C9A">
        <w:rPr>
          <w:rFonts w:hAnsi="Times New Roman" w:cs="Times New Roman"/>
        </w:rPr>
        <w:t>OCC</w:t>
      </w:r>
      <w:r w:rsidR="000D219B">
        <w:rPr>
          <w:rFonts w:hAnsi="Times New Roman" w:cs="Times New Roman"/>
        </w:rPr>
        <w:t>”</w:t>
      </w:r>
      <w:r w:rsidRPr="00E85C9A">
        <w:rPr>
          <w:rFonts w:hAnsi="Times New Roman" w:cs="Times New Roman"/>
        </w:rPr>
        <w:t>).  My business address is 10 West Broad Street, Suite 1800, Columbus, Ohio 43215.</w:t>
      </w:r>
    </w:p>
    <w:p w14:paraId="2E69E9A6" w14:textId="77777777" w:rsidR="009769C4" w:rsidRPr="00E85C9A" w:rsidRDefault="009769C4" w:rsidP="009A4CDE">
      <w:pPr>
        <w:pStyle w:val="BodyA"/>
        <w:spacing w:line="480" w:lineRule="auto"/>
        <w:ind w:left="720" w:hanging="720"/>
        <w:rPr>
          <w:rFonts w:hAnsi="Times New Roman" w:cs="Times New Roman"/>
        </w:rPr>
      </w:pPr>
    </w:p>
    <w:p w14:paraId="30355D32" w14:textId="08BD8EA2" w:rsidR="009769C4" w:rsidRPr="00E85C9A" w:rsidRDefault="00275B98" w:rsidP="009A4CDE">
      <w:pPr>
        <w:pStyle w:val="BodyA"/>
        <w:spacing w:line="480" w:lineRule="auto"/>
        <w:ind w:left="720" w:hanging="720"/>
        <w:rPr>
          <w:rFonts w:hAnsi="Times New Roman" w:cs="Times New Roman"/>
          <w:b/>
          <w:bCs/>
          <w:i/>
          <w:iCs/>
        </w:rPr>
      </w:pPr>
      <w:r w:rsidRPr="00E85C9A">
        <w:rPr>
          <w:rFonts w:hAnsi="Times New Roman" w:cs="Times New Roman"/>
          <w:b/>
          <w:bCs/>
          <w:i/>
          <w:iCs/>
        </w:rPr>
        <w:t>Q2.</w:t>
      </w:r>
      <w:r w:rsidRPr="00E85C9A">
        <w:rPr>
          <w:rFonts w:hAnsi="Times New Roman" w:cs="Times New Roman"/>
          <w:b/>
          <w:bCs/>
          <w:i/>
          <w:iCs/>
        </w:rPr>
        <w:tab/>
      </w:r>
      <w:r w:rsidR="005C276F" w:rsidRPr="00E85C9A">
        <w:rPr>
          <w:rFonts w:hAnsi="Times New Roman" w:cs="Times New Roman"/>
          <w:b/>
          <w:bCs/>
          <w:i/>
          <w:iCs/>
          <w:caps/>
        </w:rPr>
        <w:t>have you previously submitted testimony in this case</w:t>
      </w:r>
      <w:r w:rsidR="005C276F" w:rsidRPr="00E85C9A">
        <w:rPr>
          <w:rFonts w:hAnsi="Times New Roman" w:cs="Times New Roman"/>
          <w:b/>
          <w:bCs/>
          <w:i/>
          <w:iCs/>
        </w:rPr>
        <w:t>?</w:t>
      </w:r>
    </w:p>
    <w:p w14:paraId="0A45237B" w14:textId="7D6586E6" w:rsidR="009769C4" w:rsidRPr="00E85C9A" w:rsidRDefault="00275B98" w:rsidP="009A4CDE">
      <w:pPr>
        <w:pStyle w:val="BodyA"/>
        <w:spacing w:line="480" w:lineRule="auto"/>
        <w:ind w:left="720" w:hanging="720"/>
        <w:rPr>
          <w:rFonts w:hAnsi="Times New Roman" w:cs="Times New Roman"/>
        </w:rPr>
      </w:pPr>
      <w:r w:rsidRPr="00E85C9A">
        <w:rPr>
          <w:rFonts w:hAnsi="Times New Roman" w:cs="Times New Roman"/>
          <w:b/>
          <w:bCs/>
          <w:i/>
          <w:iCs/>
        </w:rPr>
        <w:t xml:space="preserve">A2. </w:t>
      </w:r>
      <w:r w:rsidRPr="00E85C9A">
        <w:rPr>
          <w:rFonts w:hAnsi="Times New Roman" w:cs="Times New Roman"/>
          <w:b/>
          <w:bCs/>
          <w:i/>
          <w:iCs/>
        </w:rPr>
        <w:tab/>
      </w:r>
      <w:r w:rsidR="005C276F" w:rsidRPr="00E85C9A">
        <w:rPr>
          <w:rFonts w:hAnsi="Times New Roman" w:cs="Times New Roman"/>
        </w:rPr>
        <w:t>Yes, on November 27, 2015</w:t>
      </w:r>
      <w:r w:rsidR="002F0A20" w:rsidRPr="00E85C9A">
        <w:rPr>
          <w:rFonts w:hAnsi="Times New Roman" w:cs="Times New Roman"/>
        </w:rPr>
        <w:t>,</w:t>
      </w:r>
      <w:r w:rsidR="005C276F" w:rsidRPr="00E85C9A">
        <w:rPr>
          <w:rFonts w:hAnsi="Times New Roman" w:cs="Times New Roman"/>
        </w:rPr>
        <w:t xml:space="preserve"> I submitted </w:t>
      </w:r>
      <w:r w:rsidR="00FB56BE" w:rsidRPr="00E85C9A">
        <w:rPr>
          <w:rFonts w:hAnsi="Times New Roman" w:cs="Times New Roman"/>
        </w:rPr>
        <w:t>D</w:t>
      </w:r>
      <w:r w:rsidR="005C276F" w:rsidRPr="00E85C9A">
        <w:rPr>
          <w:rFonts w:hAnsi="Times New Roman" w:cs="Times New Roman"/>
        </w:rPr>
        <w:t xml:space="preserve">irect </w:t>
      </w:r>
      <w:r w:rsidR="00FB56BE" w:rsidRPr="00E85C9A">
        <w:rPr>
          <w:rFonts w:hAnsi="Times New Roman" w:cs="Times New Roman"/>
        </w:rPr>
        <w:t>T</w:t>
      </w:r>
      <w:r w:rsidR="005C276F" w:rsidRPr="00E85C9A">
        <w:rPr>
          <w:rFonts w:hAnsi="Times New Roman" w:cs="Times New Roman"/>
        </w:rPr>
        <w:t xml:space="preserve">estimony to </w:t>
      </w:r>
      <w:r w:rsidR="00684AAE" w:rsidRPr="00E85C9A">
        <w:rPr>
          <w:rFonts w:hAnsi="Times New Roman" w:cs="Times New Roman"/>
        </w:rPr>
        <w:t xml:space="preserve">make recommendations to the PUCO regarding </w:t>
      </w:r>
      <w:r w:rsidR="005C276F" w:rsidRPr="00E85C9A">
        <w:rPr>
          <w:rFonts w:hAnsi="Times New Roman" w:cs="Times New Roman"/>
        </w:rPr>
        <w:t xml:space="preserve">the Application of </w:t>
      </w:r>
      <w:r w:rsidR="00B4681A" w:rsidRPr="00E85C9A">
        <w:rPr>
          <w:rFonts w:hAnsi="Times New Roman" w:cs="Times New Roman"/>
        </w:rPr>
        <w:t>TimkenSteel Corporation (</w:t>
      </w:r>
      <w:r w:rsidR="000D219B">
        <w:rPr>
          <w:rFonts w:hAnsi="Times New Roman" w:cs="Times New Roman"/>
        </w:rPr>
        <w:t>“</w:t>
      </w:r>
      <w:r w:rsidR="00B4681A" w:rsidRPr="00E85C9A">
        <w:rPr>
          <w:rFonts w:hAnsi="Times New Roman" w:cs="Times New Roman"/>
        </w:rPr>
        <w:t>TimkenSteel</w:t>
      </w:r>
      <w:r w:rsidR="000D219B">
        <w:rPr>
          <w:rFonts w:hAnsi="Times New Roman" w:cs="Times New Roman"/>
        </w:rPr>
        <w:t>”</w:t>
      </w:r>
      <w:r w:rsidR="00626230" w:rsidRPr="00E85C9A">
        <w:rPr>
          <w:rFonts w:hAnsi="Times New Roman" w:cs="Times New Roman"/>
        </w:rPr>
        <w:t xml:space="preserve"> or </w:t>
      </w:r>
      <w:r w:rsidR="000D219B">
        <w:rPr>
          <w:rFonts w:hAnsi="Times New Roman" w:cs="Times New Roman"/>
        </w:rPr>
        <w:t>“</w:t>
      </w:r>
      <w:r w:rsidR="00626230" w:rsidRPr="00E85C9A">
        <w:rPr>
          <w:rFonts w:hAnsi="Times New Roman" w:cs="Times New Roman"/>
        </w:rPr>
        <w:t>Applicant</w:t>
      </w:r>
      <w:r w:rsidR="000D219B">
        <w:rPr>
          <w:rFonts w:hAnsi="Times New Roman" w:cs="Times New Roman"/>
        </w:rPr>
        <w:t>”</w:t>
      </w:r>
      <w:r w:rsidR="00B4681A" w:rsidRPr="00E85C9A">
        <w:rPr>
          <w:rFonts w:hAnsi="Times New Roman" w:cs="Times New Roman"/>
        </w:rPr>
        <w:t xml:space="preserve">) </w:t>
      </w:r>
      <w:r w:rsidR="005C276F" w:rsidRPr="00E85C9A">
        <w:rPr>
          <w:rFonts w:hAnsi="Times New Roman" w:cs="Times New Roman"/>
        </w:rPr>
        <w:t>for a unique arrangement.  That testimony includes a statement of my qualifications and a listing of my past testimony.</w:t>
      </w:r>
    </w:p>
    <w:p w14:paraId="196ED0C5" w14:textId="77777777" w:rsidR="005C276F" w:rsidRPr="00E85C9A" w:rsidRDefault="005C276F" w:rsidP="009A4CDE">
      <w:pPr>
        <w:pStyle w:val="BodyA"/>
        <w:spacing w:line="480" w:lineRule="auto"/>
        <w:ind w:left="720" w:hanging="720"/>
        <w:rPr>
          <w:rFonts w:hAnsi="Times New Roman" w:cs="Times New Roman"/>
        </w:rPr>
      </w:pPr>
    </w:p>
    <w:p w14:paraId="4B4BDA0D" w14:textId="0BFCEA57" w:rsidR="009769C4" w:rsidRPr="00E85C9A" w:rsidRDefault="00275B98" w:rsidP="00263688">
      <w:pPr>
        <w:pStyle w:val="BodyA"/>
        <w:spacing w:line="480" w:lineRule="auto"/>
        <w:ind w:left="720" w:hanging="720"/>
        <w:rPr>
          <w:rFonts w:hAnsi="Times New Roman" w:cs="Times New Roman"/>
          <w:b/>
          <w:bCs/>
          <w:i/>
          <w:iCs/>
        </w:rPr>
      </w:pPr>
      <w:r w:rsidRPr="00E85C9A">
        <w:rPr>
          <w:rFonts w:hAnsi="Times New Roman" w:cs="Times New Roman"/>
          <w:b/>
          <w:bCs/>
          <w:i/>
          <w:iCs/>
        </w:rPr>
        <w:t>Q</w:t>
      </w:r>
      <w:r w:rsidR="00E85C9A" w:rsidRPr="00E85C9A">
        <w:rPr>
          <w:rFonts w:hAnsi="Times New Roman" w:cs="Times New Roman"/>
          <w:b/>
          <w:bCs/>
          <w:i/>
          <w:iCs/>
        </w:rPr>
        <w:t>3</w:t>
      </w:r>
      <w:r w:rsidRPr="00E85C9A">
        <w:rPr>
          <w:rFonts w:hAnsi="Times New Roman" w:cs="Times New Roman"/>
          <w:b/>
          <w:bCs/>
          <w:i/>
          <w:iCs/>
        </w:rPr>
        <w:t>.</w:t>
      </w:r>
      <w:r w:rsidRPr="00E85C9A">
        <w:rPr>
          <w:rFonts w:hAnsi="Times New Roman" w:cs="Times New Roman"/>
          <w:b/>
          <w:bCs/>
          <w:i/>
          <w:iCs/>
        </w:rPr>
        <w:tab/>
      </w:r>
      <w:r w:rsidRPr="00E85C9A">
        <w:rPr>
          <w:rFonts w:hAnsi="Times New Roman" w:cs="Times New Roman"/>
          <w:b/>
          <w:bCs/>
          <w:i/>
          <w:iCs/>
          <w:caps/>
        </w:rPr>
        <w:t xml:space="preserve">What is the purpose of your </w:t>
      </w:r>
      <w:r w:rsidR="005C276F" w:rsidRPr="00E85C9A">
        <w:rPr>
          <w:rFonts w:hAnsi="Times New Roman" w:cs="Times New Roman"/>
          <w:b/>
          <w:bCs/>
          <w:i/>
          <w:iCs/>
          <w:caps/>
        </w:rPr>
        <w:t xml:space="preserve">SupplEmental </w:t>
      </w:r>
      <w:r w:rsidRPr="00E85C9A">
        <w:rPr>
          <w:rFonts w:hAnsi="Times New Roman" w:cs="Times New Roman"/>
          <w:b/>
          <w:bCs/>
          <w:i/>
          <w:iCs/>
          <w:caps/>
        </w:rPr>
        <w:t>testimony in this proceeding?</w:t>
      </w:r>
    </w:p>
    <w:p w14:paraId="66676AB0" w14:textId="11327BAA" w:rsidR="0089799C" w:rsidRPr="00E85C9A" w:rsidRDefault="00D73173" w:rsidP="009A4CDE">
      <w:pPr>
        <w:pStyle w:val="BodyA"/>
        <w:spacing w:line="480" w:lineRule="auto"/>
        <w:ind w:left="720" w:hanging="720"/>
        <w:rPr>
          <w:rFonts w:hAnsi="Times New Roman" w:cs="Times New Roman"/>
        </w:rPr>
      </w:pPr>
      <w:r w:rsidRPr="00E85C9A">
        <w:rPr>
          <w:rFonts w:hAnsi="Times New Roman" w:cs="Times New Roman"/>
          <w:b/>
          <w:bCs/>
          <w:i/>
          <w:iCs/>
        </w:rPr>
        <w:t>A</w:t>
      </w:r>
      <w:r w:rsidR="00E85C9A" w:rsidRPr="00E85C9A">
        <w:rPr>
          <w:rFonts w:hAnsi="Times New Roman" w:cs="Times New Roman"/>
          <w:b/>
          <w:bCs/>
          <w:i/>
          <w:iCs/>
        </w:rPr>
        <w:t>3</w:t>
      </w:r>
      <w:r w:rsidRPr="00E85C9A">
        <w:rPr>
          <w:rFonts w:hAnsi="Times New Roman" w:cs="Times New Roman"/>
          <w:b/>
          <w:bCs/>
          <w:i/>
          <w:iCs/>
        </w:rPr>
        <w:t>.</w:t>
      </w:r>
      <w:r w:rsidR="00275B98" w:rsidRPr="00E85C9A">
        <w:rPr>
          <w:rFonts w:hAnsi="Times New Roman" w:cs="Times New Roman"/>
          <w:b/>
          <w:bCs/>
          <w:i/>
          <w:iCs/>
        </w:rPr>
        <w:tab/>
      </w:r>
      <w:r w:rsidR="00342875" w:rsidRPr="00E85C9A">
        <w:rPr>
          <w:rFonts w:hAnsi="Times New Roman" w:cs="Times New Roman"/>
        </w:rPr>
        <w:t>The purpose of my Supplemental T</w:t>
      </w:r>
      <w:r w:rsidR="00D81F8F" w:rsidRPr="00E85C9A">
        <w:rPr>
          <w:rFonts w:hAnsi="Times New Roman" w:cs="Times New Roman"/>
        </w:rPr>
        <w:t xml:space="preserve">estimony is to </w:t>
      </w:r>
      <w:r w:rsidR="00342875" w:rsidRPr="00E85C9A">
        <w:rPr>
          <w:rFonts w:hAnsi="Times New Roman" w:cs="Times New Roman"/>
        </w:rPr>
        <w:t>express opinions regarding</w:t>
      </w:r>
      <w:r w:rsidR="00D81F8F" w:rsidRPr="00E85C9A">
        <w:rPr>
          <w:rFonts w:hAnsi="Times New Roman" w:cs="Times New Roman"/>
        </w:rPr>
        <w:t xml:space="preserve"> the PUCO’s three-pronged test as it relates to </w:t>
      </w:r>
      <w:r w:rsidR="004D18AC" w:rsidRPr="00E85C9A">
        <w:rPr>
          <w:rFonts w:hAnsi="Times New Roman" w:cs="Times New Roman"/>
        </w:rPr>
        <w:t>a</w:t>
      </w:r>
      <w:r w:rsidR="00D81F8F" w:rsidRPr="00E85C9A">
        <w:rPr>
          <w:rFonts w:hAnsi="Times New Roman" w:cs="Times New Roman"/>
        </w:rPr>
        <w:t xml:space="preserve"> Settlement.  </w:t>
      </w:r>
      <w:r w:rsidR="005C276F" w:rsidRPr="00E85C9A">
        <w:rPr>
          <w:rFonts w:hAnsi="Times New Roman" w:cs="Times New Roman"/>
        </w:rPr>
        <w:t xml:space="preserve">On December </w:t>
      </w:r>
      <w:r w:rsidR="005609C4" w:rsidRPr="00E85C9A">
        <w:rPr>
          <w:rFonts w:hAnsi="Times New Roman" w:cs="Times New Roman"/>
        </w:rPr>
        <w:t>3</w:t>
      </w:r>
      <w:r w:rsidR="005C276F" w:rsidRPr="00E85C9A">
        <w:rPr>
          <w:rFonts w:hAnsi="Times New Roman" w:cs="Times New Roman"/>
        </w:rPr>
        <w:t>, 2015</w:t>
      </w:r>
      <w:r w:rsidR="00176636" w:rsidRPr="00E85C9A">
        <w:rPr>
          <w:rFonts w:hAnsi="Times New Roman" w:cs="Times New Roman"/>
        </w:rPr>
        <w:t>,</w:t>
      </w:r>
      <w:r w:rsidR="005C276F" w:rsidRPr="00E85C9A">
        <w:rPr>
          <w:rFonts w:hAnsi="Times New Roman" w:cs="Times New Roman"/>
        </w:rPr>
        <w:t xml:space="preserve"> </w:t>
      </w:r>
      <w:r w:rsidR="00626230" w:rsidRPr="00E85C9A">
        <w:rPr>
          <w:rFonts w:hAnsi="Times New Roman" w:cs="Times New Roman"/>
        </w:rPr>
        <w:t xml:space="preserve">the </w:t>
      </w:r>
      <w:r w:rsidR="00CC7587" w:rsidRPr="00E85C9A">
        <w:rPr>
          <w:rFonts w:hAnsi="Times New Roman" w:cs="Times New Roman"/>
        </w:rPr>
        <w:t>Applicant filed</w:t>
      </w:r>
      <w:r w:rsidR="005C276F" w:rsidRPr="00E85C9A">
        <w:rPr>
          <w:rFonts w:hAnsi="Times New Roman" w:cs="Times New Roman"/>
        </w:rPr>
        <w:t xml:space="preserve"> a Stipulation</w:t>
      </w:r>
      <w:r w:rsidR="00E528AA" w:rsidRPr="00E85C9A">
        <w:rPr>
          <w:rFonts w:hAnsi="Times New Roman" w:cs="Times New Roman"/>
        </w:rPr>
        <w:t xml:space="preserve"> and Recommendation (</w:t>
      </w:r>
      <w:r w:rsidR="000D219B">
        <w:rPr>
          <w:rFonts w:hAnsi="Times New Roman" w:cs="Times New Roman"/>
        </w:rPr>
        <w:t>“</w:t>
      </w:r>
      <w:r w:rsidR="00E528AA" w:rsidRPr="00E85C9A">
        <w:rPr>
          <w:rFonts w:hAnsi="Times New Roman" w:cs="Times New Roman"/>
        </w:rPr>
        <w:t>S</w:t>
      </w:r>
      <w:r w:rsidR="005609C4" w:rsidRPr="00E85C9A">
        <w:rPr>
          <w:rFonts w:hAnsi="Times New Roman" w:cs="Times New Roman"/>
        </w:rPr>
        <w:t>ettlement</w:t>
      </w:r>
      <w:r w:rsidR="000D219B">
        <w:rPr>
          <w:rFonts w:hAnsi="Times New Roman" w:cs="Times New Roman"/>
        </w:rPr>
        <w:t>”</w:t>
      </w:r>
      <w:r w:rsidR="00E528AA" w:rsidRPr="00E85C9A">
        <w:rPr>
          <w:rFonts w:hAnsi="Times New Roman" w:cs="Times New Roman"/>
        </w:rPr>
        <w:t>)</w:t>
      </w:r>
      <w:r w:rsidR="002F0A20" w:rsidRPr="00E85C9A">
        <w:rPr>
          <w:rFonts w:hAnsi="Times New Roman" w:cs="Times New Roman"/>
        </w:rPr>
        <w:t>,</w:t>
      </w:r>
      <w:r w:rsidR="005C276F" w:rsidRPr="00E85C9A">
        <w:rPr>
          <w:rFonts w:hAnsi="Times New Roman" w:cs="Times New Roman"/>
        </w:rPr>
        <w:t xml:space="preserve"> which accepted the Application as filed.  </w:t>
      </w:r>
      <w:r w:rsidR="00626230" w:rsidRPr="00E85C9A">
        <w:rPr>
          <w:rFonts w:hAnsi="Times New Roman" w:cs="Times New Roman"/>
        </w:rPr>
        <w:t xml:space="preserve">Applicant </w:t>
      </w:r>
      <w:r w:rsidR="00B4681A" w:rsidRPr="00E85C9A">
        <w:rPr>
          <w:rFonts w:hAnsi="Times New Roman" w:cs="Times New Roman"/>
        </w:rPr>
        <w:t xml:space="preserve">and the </w:t>
      </w:r>
      <w:r w:rsidR="005C276F" w:rsidRPr="00E85C9A">
        <w:rPr>
          <w:rFonts w:hAnsi="Times New Roman" w:cs="Times New Roman"/>
        </w:rPr>
        <w:t>Staff of the Public Utilities Commission</w:t>
      </w:r>
      <w:r w:rsidR="00342875" w:rsidRPr="00E85C9A">
        <w:rPr>
          <w:rFonts w:hAnsi="Times New Roman" w:cs="Times New Roman"/>
        </w:rPr>
        <w:t xml:space="preserve"> of Ohio</w:t>
      </w:r>
      <w:r w:rsidR="005C276F" w:rsidRPr="00E85C9A">
        <w:rPr>
          <w:rFonts w:hAnsi="Times New Roman" w:cs="Times New Roman"/>
        </w:rPr>
        <w:t xml:space="preserve"> (</w:t>
      </w:r>
      <w:r w:rsidR="000D219B">
        <w:rPr>
          <w:rFonts w:hAnsi="Times New Roman" w:cs="Times New Roman"/>
        </w:rPr>
        <w:t>“</w:t>
      </w:r>
      <w:r w:rsidR="005C276F" w:rsidRPr="00E85C9A">
        <w:rPr>
          <w:rFonts w:hAnsi="Times New Roman" w:cs="Times New Roman"/>
        </w:rPr>
        <w:t>Staff</w:t>
      </w:r>
      <w:r w:rsidR="000D219B">
        <w:rPr>
          <w:rFonts w:hAnsi="Times New Roman" w:cs="Times New Roman"/>
        </w:rPr>
        <w:t>”</w:t>
      </w:r>
      <w:r w:rsidR="005C276F" w:rsidRPr="00E85C9A">
        <w:rPr>
          <w:rFonts w:hAnsi="Times New Roman" w:cs="Times New Roman"/>
        </w:rPr>
        <w:t xml:space="preserve">) </w:t>
      </w:r>
      <w:r w:rsidR="007E3788" w:rsidRPr="00E85C9A">
        <w:rPr>
          <w:rFonts w:hAnsi="Times New Roman" w:cs="Times New Roman"/>
        </w:rPr>
        <w:t>are</w:t>
      </w:r>
      <w:r w:rsidR="00B4681A" w:rsidRPr="00E85C9A">
        <w:rPr>
          <w:rFonts w:hAnsi="Times New Roman" w:cs="Times New Roman"/>
        </w:rPr>
        <w:t xml:space="preserve"> </w:t>
      </w:r>
      <w:r w:rsidR="005C276F" w:rsidRPr="00E85C9A">
        <w:rPr>
          <w:rFonts w:hAnsi="Times New Roman" w:cs="Times New Roman"/>
        </w:rPr>
        <w:t>the signatory part</w:t>
      </w:r>
      <w:r w:rsidR="00B4681A" w:rsidRPr="00E85C9A">
        <w:rPr>
          <w:rFonts w:hAnsi="Times New Roman" w:cs="Times New Roman"/>
        </w:rPr>
        <w:t>ies</w:t>
      </w:r>
      <w:r w:rsidR="005C276F" w:rsidRPr="00E85C9A">
        <w:rPr>
          <w:rFonts w:hAnsi="Times New Roman" w:cs="Times New Roman"/>
        </w:rPr>
        <w:t xml:space="preserve"> to the </w:t>
      </w:r>
      <w:r w:rsidR="005609C4" w:rsidRPr="00E85C9A">
        <w:rPr>
          <w:rFonts w:hAnsi="Times New Roman" w:cs="Times New Roman"/>
        </w:rPr>
        <w:t>Settlement</w:t>
      </w:r>
      <w:r w:rsidR="005C276F" w:rsidRPr="00E85C9A">
        <w:rPr>
          <w:rFonts w:hAnsi="Times New Roman" w:cs="Times New Roman"/>
        </w:rPr>
        <w:t>.</w:t>
      </w:r>
      <w:r w:rsidR="00E85C9A">
        <w:rPr>
          <w:rFonts w:hAnsi="Times New Roman" w:cs="Times New Roman"/>
        </w:rPr>
        <w:t xml:space="preserve"> </w:t>
      </w:r>
      <w:r w:rsidR="005C276F" w:rsidRPr="00E85C9A">
        <w:rPr>
          <w:rFonts w:hAnsi="Times New Roman" w:cs="Times New Roman"/>
        </w:rPr>
        <w:t xml:space="preserve"> This </w:t>
      </w:r>
      <w:r w:rsidR="00FB56BE" w:rsidRPr="00E85C9A">
        <w:rPr>
          <w:rFonts w:hAnsi="Times New Roman" w:cs="Times New Roman"/>
        </w:rPr>
        <w:t>S</w:t>
      </w:r>
      <w:r w:rsidR="005C276F" w:rsidRPr="00E85C9A">
        <w:rPr>
          <w:rFonts w:hAnsi="Times New Roman" w:cs="Times New Roman"/>
        </w:rPr>
        <w:t xml:space="preserve">upplemental </w:t>
      </w:r>
      <w:r w:rsidR="00FB56BE" w:rsidRPr="00E85C9A">
        <w:rPr>
          <w:rFonts w:hAnsi="Times New Roman" w:cs="Times New Roman"/>
        </w:rPr>
        <w:t>T</w:t>
      </w:r>
      <w:r w:rsidR="005C276F" w:rsidRPr="00E85C9A">
        <w:rPr>
          <w:rFonts w:hAnsi="Times New Roman" w:cs="Times New Roman"/>
        </w:rPr>
        <w:t xml:space="preserve">estimony </w:t>
      </w:r>
      <w:r w:rsidR="00342875" w:rsidRPr="00E85C9A">
        <w:rPr>
          <w:rFonts w:hAnsi="Times New Roman" w:cs="Times New Roman"/>
        </w:rPr>
        <w:t>contains my recommendations regarding the</w:t>
      </w:r>
      <w:r w:rsidR="00E528AA" w:rsidRPr="00E85C9A">
        <w:rPr>
          <w:rFonts w:hAnsi="Times New Roman" w:cs="Times New Roman"/>
        </w:rPr>
        <w:t xml:space="preserve"> </w:t>
      </w:r>
      <w:r w:rsidR="005609C4" w:rsidRPr="00E85C9A">
        <w:rPr>
          <w:rFonts w:hAnsi="Times New Roman" w:cs="Times New Roman"/>
        </w:rPr>
        <w:t xml:space="preserve">Settlement </w:t>
      </w:r>
      <w:r w:rsidR="00E528AA" w:rsidRPr="00E85C9A">
        <w:rPr>
          <w:rFonts w:hAnsi="Times New Roman" w:cs="Times New Roman"/>
        </w:rPr>
        <w:t>and whether it passes the three-pronged test</w:t>
      </w:r>
      <w:r w:rsidR="000E771C" w:rsidRPr="00E85C9A">
        <w:rPr>
          <w:rFonts w:hAnsi="Times New Roman" w:cs="Times New Roman"/>
        </w:rPr>
        <w:t xml:space="preserve"> of the Public Utilities Commission of Ohio’s (</w:t>
      </w:r>
      <w:r w:rsidR="000D219B">
        <w:rPr>
          <w:rFonts w:hAnsi="Times New Roman" w:cs="Times New Roman"/>
        </w:rPr>
        <w:t>“</w:t>
      </w:r>
      <w:r w:rsidR="000E771C" w:rsidRPr="00E85C9A">
        <w:rPr>
          <w:rFonts w:hAnsi="Times New Roman" w:cs="Times New Roman"/>
        </w:rPr>
        <w:t>PUCO</w:t>
      </w:r>
      <w:r w:rsidR="000D219B">
        <w:rPr>
          <w:rFonts w:hAnsi="Times New Roman" w:cs="Times New Roman"/>
        </w:rPr>
        <w:t>”</w:t>
      </w:r>
      <w:r w:rsidR="000E771C" w:rsidRPr="00E85C9A">
        <w:rPr>
          <w:rFonts w:hAnsi="Times New Roman" w:cs="Times New Roman"/>
        </w:rPr>
        <w:t>)</w:t>
      </w:r>
      <w:r w:rsidR="00E528AA" w:rsidRPr="00E85C9A">
        <w:rPr>
          <w:rFonts w:hAnsi="Times New Roman" w:cs="Times New Roman"/>
        </w:rPr>
        <w:t xml:space="preserve"> for evaluating the </w:t>
      </w:r>
      <w:r w:rsidR="009546A5" w:rsidRPr="00E85C9A">
        <w:rPr>
          <w:rFonts w:hAnsi="Times New Roman" w:cs="Times New Roman"/>
        </w:rPr>
        <w:t xml:space="preserve">reasonableness </w:t>
      </w:r>
      <w:r w:rsidR="00E85C9A">
        <w:rPr>
          <w:rFonts w:hAnsi="Times New Roman" w:cs="Times New Roman"/>
        </w:rPr>
        <w:t>of a proposed settlement.</w:t>
      </w:r>
    </w:p>
    <w:p w14:paraId="2874DED8" w14:textId="64294D85" w:rsidR="009546A5" w:rsidRPr="00E85C9A" w:rsidRDefault="00A031E2" w:rsidP="00E85C9A">
      <w:pPr>
        <w:pStyle w:val="BodyA"/>
        <w:spacing w:line="480" w:lineRule="auto"/>
        <w:ind w:left="720"/>
        <w:rPr>
          <w:rFonts w:hAnsi="Times New Roman" w:cs="Times New Roman"/>
        </w:rPr>
      </w:pPr>
      <w:r w:rsidRPr="00E85C9A">
        <w:rPr>
          <w:rFonts w:hAnsi="Times New Roman" w:cs="Times New Roman"/>
        </w:rPr>
        <w:lastRenderedPageBreak/>
        <w:t xml:space="preserve">The </w:t>
      </w:r>
      <w:r w:rsidR="000E771C" w:rsidRPr="00E85C9A">
        <w:rPr>
          <w:rFonts w:hAnsi="Times New Roman" w:cs="Times New Roman"/>
        </w:rPr>
        <w:t xml:space="preserve">Settlement </w:t>
      </w:r>
      <w:r w:rsidRPr="00E85C9A">
        <w:rPr>
          <w:rFonts w:hAnsi="Times New Roman" w:cs="Times New Roman"/>
        </w:rPr>
        <w:t>incorporates all of the provisions of the Application</w:t>
      </w:r>
      <w:r w:rsidR="001B1B33" w:rsidRPr="00E85C9A">
        <w:rPr>
          <w:rFonts w:hAnsi="Times New Roman" w:cs="Times New Roman"/>
        </w:rPr>
        <w:t xml:space="preserve">. </w:t>
      </w:r>
      <w:r w:rsidRPr="00E85C9A">
        <w:rPr>
          <w:rFonts w:hAnsi="Times New Roman" w:cs="Times New Roman"/>
        </w:rPr>
        <w:t xml:space="preserve"> </w:t>
      </w:r>
      <w:r w:rsidR="00452BDF" w:rsidRPr="00E85C9A">
        <w:rPr>
          <w:rFonts w:hAnsi="Times New Roman" w:cs="Times New Roman"/>
        </w:rPr>
        <w:t>As stated in my Direct Testimony, OCC appreciates TimkenSteel’s courtesy in discussing the Application, and that it has proposed caps on what consumers would pay among other things.  In addition, m</w:t>
      </w:r>
      <w:r w:rsidRPr="00E85C9A">
        <w:rPr>
          <w:rFonts w:hAnsi="Times New Roman" w:cs="Times New Roman"/>
        </w:rPr>
        <w:t>y</w:t>
      </w:r>
      <w:r w:rsidR="001B1B33" w:rsidRPr="00E85C9A">
        <w:rPr>
          <w:rFonts w:hAnsi="Times New Roman" w:cs="Times New Roman"/>
        </w:rPr>
        <w:t xml:space="preserve"> earlier filed</w:t>
      </w:r>
      <w:r w:rsidRPr="00E85C9A">
        <w:rPr>
          <w:rFonts w:hAnsi="Times New Roman" w:cs="Times New Roman"/>
        </w:rPr>
        <w:t xml:space="preserve"> Direct </w:t>
      </w:r>
      <w:r w:rsidR="00FB56BE" w:rsidRPr="00E85C9A">
        <w:rPr>
          <w:rFonts w:hAnsi="Times New Roman" w:cs="Times New Roman"/>
        </w:rPr>
        <w:t>T</w:t>
      </w:r>
      <w:r w:rsidRPr="00E85C9A">
        <w:rPr>
          <w:rFonts w:hAnsi="Times New Roman" w:cs="Times New Roman"/>
        </w:rPr>
        <w:t>estimony already addresse</w:t>
      </w:r>
      <w:r w:rsidR="002F0A20" w:rsidRPr="00E85C9A">
        <w:rPr>
          <w:rFonts w:hAnsi="Times New Roman" w:cs="Times New Roman"/>
        </w:rPr>
        <w:t>s</w:t>
      </w:r>
      <w:r w:rsidRPr="00E85C9A">
        <w:rPr>
          <w:rFonts w:hAnsi="Times New Roman" w:cs="Times New Roman"/>
        </w:rPr>
        <w:t xml:space="preserve"> my concerns</w:t>
      </w:r>
      <w:r w:rsidR="00342875" w:rsidRPr="00E85C9A">
        <w:rPr>
          <w:rFonts w:hAnsi="Times New Roman" w:cs="Times New Roman"/>
        </w:rPr>
        <w:t xml:space="preserve"> for consumers regarding</w:t>
      </w:r>
      <w:r w:rsidRPr="00E85C9A">
        <w:rPr>
          <w:rFonts w:hAnsi="Times New Roman" w:cs="Times New Roman"/>
        </w:rPr>
        <w:t xml:space="preserve"> the Application</w:t>
      </w:r>
      <w:r w:rsidR="001B1B33" w:rsidRPr="00E85C9A">
        <w:rPr>
          <w:rFonts w:hAnsi="Times New Roman" w:cs="Times New Roman"/>
        </w:rPr>
        <w:t xml:space="preserve"> and my recommendations to the PUCO</w:t>
      </w:r>
      <w:r w:rsidR="00D203E9" w:rsidRPr="00E85C9A">
        <w:rPr>
          <w:rFonts w:hAnsi="Times New Roman" w:cs="Times New Roman"/>
        </w:rPr>
        <w:t xml:space="preserve"> for consumer protection</w:t>
      </w:r>
      <w:r w:rsidR="009546A5" w:rsidRPr="00E85C9A">
        <w:rPr>
          <w:rFonts w:hAnsi="Times New Roman" w:cs="Times New Roman"/>
        </w:rPr>
        <w:t xml:space="preserve">. </w:t>
      </w:r>
      <w:r w:rsidR="00E85C9A">
        <w:rPr>
          <w:rFonts w:hAnsi="Times New Roman" w:cs="Times New Roman"/>
        </w:rPr>
        <w:t xml:space="preserve"> </w:t>
      </w:r>
      <w:r w:rsidR="009546A5" w:rsidRPr="00E85C9A">
        <w:rPr>
          <w:rFonts w:hAnsi="Times New Roman" w:cs="Times New Roman"/>
        </w:rPr>
        <w:t>My</w:t>
      </w:r>
      <w:r w:rsidRPr="00E85C9A">
        <w:rPr>
          <w:rFonts w:hAnsi="Times New Roman" w:cs="Times New Roman"/>
        </w:rPr>
        <w:t xml:space="preserve"> </w:t>
      </w:r>
      <w:r w:rsidR="001B1B33" w:rsidRPr="00E85C9A">
        <w:rPr>
          <w:rFonts w:hAnsi="Times New Roman" w:cs="Times New Roman"/>
        </w:rPr>
        <w:t>D</w:t>
      </w:r>
      <w:r w:rsidRPr="00E85C9A">
        <w:rPr>
          <w:rFonts w:hAnsi="Times New Roman" w:cs="Times New Roman"/>
        </w:rPr>
        <w:t xml:space="preserve">irect </w:t>
      </w:r>
      <w:r w:rsidR="001B1B33" w:rsidRPr="00E85C9A">
        <w:rPr>
          <w:rFonts w:hAnsi="Times New Roman" w:cs="Times New Roman"/>
        </w:rPr>
        <w:t>T</w:t>
      </w:r>
      <w:r w:rsidRPr="00E85C9A">
        <w:rPr>
          <w:rFonts w:hAnsi="Times New Roman" w:cs="Times New Roman"/>
        </w:rPr>
        <w:t xml:space="preserve">estimony </w:t>
      </w:r>
      <w:r w:rsidR="009546A5" w:rsidRPr="00E85C9A">
        <w:rPr>
          <w:rFonts w:hAnsi="Times New Roman" w:cs="Times New Roman"/>
        </w:rPr>
        <w:t xml:space="preserve">forms the foundation for my review of the </w:t>
      </w:r>
      <w:r w:rsidR="001B1B33" w:rsidRPr="00E85C9A">
        <w:rPr>
          <w:rFonts w:hAnsi="Times New Roman" w:cs="Times New Roman"/>
        </w:rPr>
        <w:t>Settlement</w:t>
      </w:r>
      <w:r w:rsidR="009546A5" w:rsidRPr="00E85C9A">
        <w:rPr>
          <w:rFonts w:hAnsi="Times New Roman" w:cs="Times New Roman"/>
        </w:rPr>
        <w:t xml:space="preserve"> and should thus be considered with and </w:t>
      </w:r>
      <w:r w:rsidRPr="00E85C9A">
        <w:rPr>
          <w:rFonts w:hAnsi="Times New Roman" w:cs="Times New Roman"/>
        </w:rPr>
        <w:t xml:space="preserve">incorporated as part of this </w:t>
      </w:r>
      <w:r w:rsidR="00DE3177" w:rsidRPr="00E85C9A">
        <w:rPr>
          <w:rFonts w:hAnsi="Times New Roman" w:cs="Times New Roman"/>
        </w:rPr>
        <w:t>S</w:t>
      </w:r>
      <w:r w:rsidRPr="00E85C9A">
        <w:rPr>
          <w:rFonts w:hAnsi="Times New Roman" w:cs="Times New Roman"/>
        </w:rPr>
        <w:t xml:space="preserve">upplemental </w:t>
      </w:r>
      <w:r w:rsidR="00DE3177" w:rsidRPr="00E85C9A">
        <w:rPr>
          <w:rFonts w:hAnsi="Times New Roman" w:cs="Times New Roman"/>
        </w:rPr>
        <w:t>T</w:t>
      </w:r>
      <w:r w:rsidRPr="00E85C9A">
        <w:rPr>
          <w:rFonts w:hAnsi="Times New Roman" w:cs="Times New Roman"/>
        </w:rPr>
        <w:t xml:space="preserve">estimony.  </w:t>
      </w:r>
      <w:r w:rsidR="009546A5" w:rsidRPr="00E85C9A">
        <w:rPr>
          <w:rFonts w:hAnsi="Times New Roman" w:cs="Times New Roman"/>
        </w:rPr>
        <w:t xml:space="preserve">For the </w:t>
      </w:r>
      <w:r w:rsidR="002F0A20" w:rsidRPr="00E85C9A">
        <w:rPr>
          <w:rFonts w:hAnsi="Times New Roman" w:cs="Times New Roman"/>
        </w:rPr>
        <w:t>PUCO’s</w:t>
      </w:r>
      <w:r w:rsidR="009546A5" w:rsidRPr="00E85C9A">
        <w:rPr>
          <w:rFonts w:hAnsi="Times New Roman" w:cs="Times New Roman"/>
        </w:rPr>
        <w:t xml:space="preserve"> convenience, I have attached </w:t>
      </w:r>
      <w:r w:rsidR="001B1B33" w:rsidRPr="00E85C9A">
        <w:rPr>
          <w:rFonts w:hAnsi="Times New Roman" w:cs="Times New Roman"/>
        </w:rPr>
        <w:t>my earlier Direct Testimony</w:t>
      </w:r>
      <w:r w:rsidR="009546A5" w:rsidRPr="00E85C9A">
        <w:rPr>
          <w:rFonts w:hAnsi="Times New Roman" w:cs="Times New Roman"/>
        </w:rPr>
        <w:t xml:space="preserve"> to this Supplemental testimony</w:t>
      </w:r>
      <w:r w:rsidR="00626230" w:rsidRPr="00E85C9A">
        <w:rPr>
          <w:rFonts w:hAnsi="Times New Roman" w:cs="Times New Roman"/>
        </w:rPr>
        <w:t xml:space="preserve"> </w:t>
      </w:r>
      <w:r w:rsidR="002F0A20" w:rsidRPr="00E85C9A">
        <w:rPr>
          <w:rFonts w:hAnsi="Times New Roman" w:cs="Times New Roman"/>
        </w:rPr>
        <w:t>(</w:t>
      </w:r>
      <w:r w:rsidR="00E85C9A">
        <w:rPr>
          <w:rFonts w:hAnsi="Times New Roman" w:cs="Times New Roman"/>
        </w:rPr>
        <w:t xml:space="preserve">Attachment </w:t>
      </w:r>
      <w:r w:rsidR="00816ECD">
        <w:rPr>
          <w:rFonts w:hAnsi="Times New Roman" w:cs="Times New Roman"/>
        </w:rPr>
        <w:t>1</w:t>
      </w:r>
      <w:r w:rsidR="002F0A20" w:rsidRPr="00E85C9A">
        <w:rPr>
          <w:rFonts w:hAnsi="Times New Roman" w:cs="Times New Roman"/>
        </w:rPr>
        <w:t>)</w:t>
      </w:r>
      <w:r w:rsidR="009546A5" w:rsidRPr="00E85C9A">
        <w:rPr>
          <w:rFonts w:hAnsi="Times New Roman" w:cs="Times New Roman"/>
        </w:rPr>
        <w:t>.</w:t>
      </w:r>
    </w:p>
    <w:p w14:paraId="2695D671" w14:textId="77777777" w:rsidR="009546A5" w:rsidRPr="00E85C9A" w:rsidRDefault="009546A5" w:rsidP="002336BD">
      <w:pPr>
        <w:pStyle w:val="BodyA"/>
        <w:spacing w:line="480" w:lineRule="auto"/>
        <w:ind w:left="720" w:hanging="720"/>
        <w:rPr>
          <w:rFonts w:hAnsi="Times New Roman" w:cs="Times New Roman"/>
        </w:rPr>
      </w:pPr>
    </w:p>
    <w:p w14:paraId="73AFFD61" w14:textId="6F9F31F7" w:rsidR="009546A5" w:rsidRPr="00E85C9A" w:rsidRDefault="0032443E" w:rsidP="002336BD">
      <w:pPr>
        <w:pStyle w:val="BodyA"/>
        <w:spacing w:line="480" w:lineRule="auto"/>
        <w:ind w:left="720" w:hanging="720"/>
        <w:rPr>
          <w:rFonts w:hAnsi="Times New Roman" w:cs="Times New Roman"/>
          <w:b/>
          <w:i/>
        </w:rPr>
      </w:pPr>
      <w:r w:rsidRPr="00E85C9A">
        <w:rPr>
          <w:rFonts w:hAnsi="Times New Roman" w:cs="Times New Roman"/>
          <w:b/>
          <w:i/>
        </w:rPr>
        <w:t>Q</w:t>
      </w:r>
      <w:r w:rsidR="00E85C9A" w:rsidRPr="00E85C9A">
        <w:rPr>
          <w:rFonts w:hAnsi="Times New Roman" w:cs="Times New Roman"/>
          <w:b/>
          <w:i/>
        </w:rPr>
        <w:t>4</w:t>
      </w:r>
      <w:r w:rsidRPr="00E85C9A">
        <w:rPr>
          <w:rFonts w:hAnsi="Times New Roman" w:cs="Times New Roman"/>
          <w:b/>
          <w:i/>
        </w:rPr>
        <w:t>.</w:t>
      </w:r>
      <w:r w:rsidR="009546A5" w:rsidRPr="00E85C9A">
        <w:rPr>
          <w:rFonts w:hAnsi="Times New Roman" w:cs="Times New Roman"/>
          <w:b/>
          <w:i/>
        </w:rPr>
        <w:tab/>
        <w:t xml:space="preserve">PLEASE SUMMARIZE YOUR </w:t>
      </w:r>
      <w:r w:rsidR="00AD073F" w:rsidRPr="00E85C9A">
        <w:rPr>
          <w:rFonts w:hAnsi="Times New Roman" w:cs="Times New Roman"/>
          <w:b/>
          <w:i/>
        </w:rPr>
        <w:t>OPINIONS</w:t>
      </w:r>
      <w:r w:rsidR="009546A5" w:rsidRPr="00E85C9A">
        <w:rPr>
          <w:rFonts w:hAnsi="Times New Roman" w:cs="Times New Roman"/>
          <w:b/>
          <w:i/>
        </w:rPr>
        <w:t xml:space="preserve"> </w:t>
      </w:r>
      <w:r w:rsidR="00AD073F" w:rsidRPr="00E85C9A">
        <w:rPr>
          <w:rFonts w:hAnsi="Times New Roman" w:cs="Times New Roman"/>
          <w:b/>
          <w:i/>
        </w:rPr>
        <w:t>REGARDING</w:t>
      </w:r>
      <w:r w:rsidR="009546A5" w:rsidRPr="00E85C9A">
        <w:rPr>
          <w:rFonts w:hAnsi="Times New Roman" w:cs="Times New Roman"/>
          <w:b/>
          <w:i/>
        </w:rPr>
        <w:t xml:space="preserve"> </w:t>
      </w:r>
      <w:r w:rsidR="00AD073F" w:rsidRPr="00E85C9A">
        <w:rPr>
          <w:rFonts w:hAnsi="Times New Roman" w:cs="Times New Roman"/>
          <w:b/>
          <w:i/>
        </w:rPr>
        <w:t>THE SETTLEMENT</w:t>
      </w:r>
      <w:r w:rsidR="009546A5" w:rsidRPr="00E85C9A">
        <w:rPr>
          <w:rFonts w:hAnsi="Times New Roman" w:cs="Times New Roman"/>
          <w:b/>
          <w:i/>
        </w:rPr>
        <w:t>.</w:t>
      </w:r>
    </w:p>
    <w:p w14:paraId="0E884087" w14:textId="5E656363" w:rsidR="00E528AA" w:rsidRPr="00E85C9A" w:rsidRDefault="00AD073F" w:rsidP="002336BD">
      <w:pPr>
        <w:pStyle w:val="BodyA"/>
        <w:spacing w:line="480" w:lineRule="auto"/>
        <w:ind w:left="720" w:hanging="720"/>
        <w:rPr>
          <w:rFonts w:hAnsi="Times New Roman" w:cs="Times New Roman"/>
        </w:rPr>
      </w:pPr>
      <w:r w:rsidRPr="00E85C9A">
        <w:rPr>
          <w:rFonts w:hAnsi="Times New Roman" w:cs="Times New Roman"/>
          <w:b/>
          <w:i/>
        </w:rPr>
        <w:t>A</w:t>
      </w:r>
      <w:r w:rsidR="00E85C9A" w:rsidRPr="00E85C9A">
        <w:rPr>
          <w:rFonts w:hAnsi="Times New Roman" w:cs="Times New Roman"/>
          <w:b/>
          <w:i/>
        </w:rPr>
        <w:t>4</w:t>
      </w:r>
      <w:r w:rsidR="009546A5" w:rsidRPr="00E85C9A">
        <w:rPr>
          <w:rFonts w:hAnsi="Times New Roman" w:cs="Times New Roman"/>
          <w:b/>
          <w:i/>
        </w:rPr>
        <w:t>.</w:t>
      </w:r>
      <w:r w:rsidR="009546A5" w:rsidRPr="00E85C9A">
        <w:rPr>
          <w:rFonts w:hAnsi="Times New Roman" w:cs="Times New Roman"/>
        </w:rPr>
        <w:tab/>
      </w:r>
      <w:r w:rsidRPr="00E85C9A">
        <w:rPr>
          <w:rFonts w:hAnsi="Times New Roman" w:cs="Times New Roman"/>
        </w:rPr>
        <w:t>T</w:t>
      </w:r>
      <w:r w:rsidR="00E528AA" w:rsidRPr="00E85C9A">
        <w:rPr>
          <w:rFonts w:hAnsi="Times New Roman" w:cs="Times New Roman"/>
        </w:rPr>
        <w:t xml:space="preserve">he </w:t>
      </w:r>
      <w:r w:rsidRPr="00E85C9A">
        <w:rPr>
          <w:rFonts w:hAnsi="Times New Roman" w:cs="Times New Roman"/>
        </w:rPr>
        <w:t xml:space="preserve">Settlement </w:t>
      </w:r>
      <w:r w:rsidR="00E528AA" w:rsidRPr="00E85C9A">
        <w:rPr>
          <w:rFonts w:hAnsi="Times New Roman" w:cs="Times New Roman"/>
        </w:rPr>
        <w:t>does not</w:t>
      </w:r>
      <w:r w:rsidR="00A031E2" w:rsidRPr="00E85C9A">
        <w:rPr>
          <w:rFonts w:hAnsi="Times New Roman" w:cs="Times New Roman"/>
        </w:rPr>
        <w:t xml:space="preserve"> fully</w:t>
      </w:r>
      <w:r w:rsidR="00E528AA" w:rsidRPr="00E85C9A">
        <w:rPr>
          <w:rFonts w:hAnsi="Times New Roman" w:cs="Times New Roman"/>
        </w:rPr>
        <w:t xml:space="preserve"> meet the </w:t>
      </w:r>
      <w:r w:rsidR="00FB56BE" w:rsidRPr="00E85C9A">
        <w:rPr>
          <w:rFonts w:hAnsi="Times New Roman" w:cs="Times New Roman"/>
        </w:rPr>
        <w:t xml:space="preserve">PUCO’s </w:t>
      </w:r>
      <w:r w:rsidR="00E528AA" w:rsidRPr="00E85C9A">
        <w:rPr>
          <w:rFonts w:hAnsi="Times New Roman" w:cs="Times New Roman"/>
        </w:rPr>
        <w:t>three</w:t>
      </w:r>
      <w:r w:rsidRPr="00E85C9A">
        <w:rPr>
          <w:rFonts w:hAnsi="Times New Roman" w:cs="Times New Roman"/>
        </w:rPr>
        <w:t>-</w:t>
      </w:r>
      <w:r w:rsidR="00E528AA" w:rsidRPr="00E85C9A">
        <w:rPr>
          <w:rFonts w:hAnsi="Times New Roman" w:cs="Times New Roman"/>
        </w:rPr>
        <w:t>pronged test</w:t>
      </w:r>
      <w:r w:rsidR="009546A5" w:rsidRPr="00E85C9A">
        <w:rPr>
          <w:rFonts w:hAnsi="Times New Roman" w:cs="Times New Roman"/>
        </w:rPr>
        <w:t xml:space="preserve">.  However, </w:t>
      </w:r>
      <w:r w:rsidR="00E528AA" w:rsidRPr="00E85C9A">
        <w:rPr>
          <w:rFonts w:hAnsi="Times New Roman" w:cs="Times New Roman"/>
        </w:rPr>
        <w:t xml:space="preserve">if </w:t>
      </w:r>
      <w:r w:rsidR="009546A5" w:rsidRPr="00E85C9A">
        <w:rPr>
          <w:rFonts w:hAnsi="Times New Roman" w:cs="Times New Roman"/>
        </w:rPr>
        <w:t>the r</w:t>
      </w:r>
      <w:r w:rsidR="00E528AA" w:rsidRPr="00E85C9A">
        <w:rPr>
          <w:rFonts w:hAnsi="Times New Roman" w:cs="Times New Roman"/>
        </w:rPr>
        <w:t xml:space="preserve">ecommendations </w:t>
      </w:r>
      <w:r w:rsidR="009546A5" w:rsidRPr="00E85C9A">
        <w:rPr>
          <w:rFonts w:hAnsi="Times New Roman" w:cs="Times New Roman"/>
        </w:rPr>
        <w:t xml:space="preserve">contained in my filed </w:t>
      </w:r>
      <w:r w:rsidR="00274949" w:rsidRPr="00E85C9A">
        <w:rPr>
          <w:rFonts w:hAnsi="Times New Roman" w:cs="Times New Roman"/>
        </w:rPr>
        <w:t>D</w:t>
      </w:r>
      <w:r w:rsidR="009546A5" w:rsidRPr="00E85C9A">
        <w:rPr>
          <w:rFonts w:hAnsi="Times New Roman" w:cs="Times New Roman"/>
        </w:rPr>
        <w:t xml:space="preserve">irect </w:t>
      </w:r>
      <w:r w:rsidR="00274949" w:rsidRPr="00E85C9A">
        <w:rPr>
          <w:rFonts w:hAnsi="Times New Roman" w:cs="Times New Roman"/>
        </w:rPr>
        <w:t>T</w:t>
      </w:r>
      <w:r w:rsidR="009546A5" w:rsidRPr="00E85C9A">
        <w:rPr>
          <w:rFonts w:hAnsi="Times New Roman" w:cs="Times New Roman"/>
        </w:rPr>
        <w:t xml:space="preserve">estimony </w:t>
      </w:r>
      <w:r w:rsidR="00E528AA" w:rsidRPr="00E85C9A">
        <w:rPr>
          <w:rFonts w:hAnsi="Times New Roman" w:cs="Times New Roman"/>
        </w:rPr>
        <w:t>are adopted</w:t>
      </w:r>
      <w:r w:rsidR="009546A5" w:rsidRPr="00E85C9A">
        <w:rPr>
          <w:rFonts w:hAnsi="Times New Roman" w:cs="Times New Roman"/>
        </w:rPr>
        <w:t xml:space="preserve">, then the </w:t>
      </w:r>
      <w:r w:rsidR="00DE3177" w:rsidRPr="00E85C9A">
        <w:rPr>
          <w:rFonts w:hAnsi="Times New Roman" w:cs="Times New Roman"/>
        </w:rPr>
        <w:t>Settlement</w:t>
      </w:r>
      <w:r w:rsidR="009546A5" w:rsidRPr="00E85C9A">
        <w:rPr>
          <w:rFonts w:hAnsi="Times New Roman" w:cs="Times New Roman"/>
        </w:rPr>
        <w:t xml:space="preserve"> could meet the PUCO's three</w:t>
      </w:r>
      <w:r w:rsidR="002F0A20" w:rsidRPr="00E85C9A">
        <w:rPr>
          <w:rFonts w:hAnsi="Times New Roman" w:cs="Times New Roman"/>
        </w:rPr>
        <w:t>-</w:t>
      </w:r>
      <w:r w:rsidR="009546A5" w:rsidRPr="00E85C9A">
        <w:rPr>
          <w:rFonts w:hAnsi="Times New Roman" w:cs="Times New Roman"/>
        </w:rPr>
        <w:t>prong</w:t>
      </w:r>
      <w:r w:rsidRPr="00E85C9A">
        <w:rPr>
          <w:rFonts w:hAnsi="Times New Roman" w:cs="Times New Roman"/>
        </w:rPr>
        <w:t>ed</w:t>
      </w:r>
      <w:r w:rsidR="009546A5" w:rsidRPr="00E85C9A">
        <w:rPr>
          <w:rFonts w:hAnsi="Times New Roman" w:cs="Times New Roman"/>
        </w:rPr>
        <w:t xml:space="preserve"> test</w:t>
      </w:r>
      <w:r w:rsidR="00274949" w:rsidRPr="00E85C9A">
        <w:rPr>
          <w:rFonts w:hAnsi="Times New Roman" w:cs="Times New Roman"/>
        </w:rPr>
        <w:t>.</w:t>
      </w:r>
    </w:p>
    <w:p w14:paraId="278AC48E" w14:textId="77777777" w:rsidR="00CC7587" w:rsidRPr="00E85C9A" w:rsidRDefault="00CC7587" w:rsidP="002336BD">
      <w:pPr>
        <w:pStyle w:val="BodyA"/>
        <w:spacing w:line="480" w:lineRule="auto"/>
        <w:ind w:left="720" w:hanging="720"/>
        <w:rPr>
          <w:rFonts w:hAnsi="Times New Roman" w:cs="Times New Roman"/>
        </w:rPr>
      </w:pPr>
    </w:p>
    <w:p w14:paraId="1C2036D7" w14:textId="0B598827" w:rsidR="009769C4" w:rsidRPr="00E85C9A" w:rsidRDefault="00275B98" w:rsidP="009A4CDE">
      <w:pPr>
        <w:pStyle w:val="DirectQuestion"/>
        <w:ind w:left="720" w:hanging="720"/>
        <w:rPr>
          <w:rFonts w:hAnsi="Times New Roman" w:cs="Times New Roman"/>
        </w:rPr>
      </w:pPr>
      <w:r w:rsidRPr="00E85C9A">
        <w:rPr>
          <w:rFonts w:hAnsi="Times New Roman" w:cs="Times New Roman"/>
        </w:rPr>
        <w:t>Q</w:t>
      </w:r>
      <w:r w:rsidR="00E85C9A" w:rsidRPr="00E85C9A">
        <w:rPr>
          <w:rFonts w:hAnsi="Times New Roman" w:cs="Times New Roman"/>
        </w:rPr>
        <w:t>5</w:t>
      </w:r>
      <w:r w:rsidRPr="00E85C9A">
        <w:rPr>
          <w:rFonts w:hAnsi="Times New Roman" w:cs="Times New Roman"/>
        </w:rPr>
        <w:t>.</w:t>
      </w:r>
      <w:r w:rsidRPr="00E85C9A">
        <w:rPr>
          <w:rFonts w:hAnsi="Times New Roman" w:cs="Times New Roman"/>
        </w:rPr>
        <w:tab/>
      </w:r>
      <w:r w:rsidR="00E528AA" w:rsidRPr="00E85C9A">
        <w:rPr>
          <w:rFonts w:hAnsi="Times New Roman" w:cs="Times New Roman"/>
        </w:rPr>
        <w:t>What ARE the PUCO’s standards of review for evaluating proposed settlements?</w:t>
      </w:r>
    </w:p>
    <w:p w14:paraId="1AE487A3" w14:textId="73C2ECEF" w:rsidR="00E528AA" w:rsidRPr="00E85C9A" w:rsidRDefault="00275B98" w:rsidP="00E528AA">
      <w:pPr>
        <w:pStyle w:val="DirectAnswer"/>
        <w:rPr>
          <w:rFonts w:hAnsi="Times New Roman" w:cs="Times New Roman"/>
        </w:rPr>
      </w:pPr>
      <w:r w:rsidRPr="00E85C9A">
        <w:rPr>
          <w:rFonts w:hAnsi="Times New Roman" w:cs="Times New Roman"/>
          <w:b/>
          <w:bCs/>
          <w:i/>
          <w:iCs/>
        </w:rPr>
        <w:t>A</w:t>
      </w:r>
      <w:r w:rsidR="00E85C9A" w:rsidRPr="00E85C9A">
        <w:rPr>
          <w:rFonts w:hAnsi="Times New Roman" w:cs="Times New Roman"/>
          <w:b/>
          <w:bCs/>
          <w:i/>
          <w:iCs/>
        </w:rPr>
        <w:t>5</w:t>
      </w:r>
      <w:r w:rsidRPr="00E85C9A">
        <w:rPr>
          <w:rFonts w:hAnsi="Times New Roman" w:cs="Times New Roman"/>
          <w:b/>
          <w:bCs/>
          <w:i/>
          <w:iCs/>
        </w:rPr>
        <w:t>.</w:t>
      </w:r>
      <w:r w:rsidRPr="00E85C9A">
        <w:rPr>
          <w:rFonts w:hAnsi="Times New Roman" w:cs="Times New Roman"/>
          <w:b/>
          <w:bCs/>
          <w:i/>
          <w:iCs/>
        </w:rPr>
        <w:tab/>
      </w:r>
      <w:r w:rsidR="00E528AA" w:rsidRPr="00E85C9A">
        <w:rPr>
          <w:rFonts w:hAnsi="Times New Roman" w:cs="Times New Roman"/>
        </w:rPr>
        <w:t>The PUCO uses these criteria for evaluating the reasonableness of a proposed settlement:</w:t>
      </w:r>
    </w:p>
    <w:p w14:paraId="4C342E2A" w14:textId="77777777" w:rsidR="00E528AA" w:rsidRPr="00E85C9A" w:rsidRDefault="00E528AA" w:rsidP="00E528AA">
      <w:pPr>
        <w:pStyle w:val="DirectNext"/>
        <w:numPr>
          <w:ilvl w:val="0"/>
          <w:numId w:val="6"/>
        </w:numPr>
        <w:tabs>
          <w:tab w:val="num" w:pos="2160"/>
        </w:tabs>
        <w:spacing w:line="480" w:lineRule="auto"/>
        <w:ind w:left="2160" w:right="720" w:hanging="720"/>
        <w:rPr>
          <w:rFonts w:hAnsi="Times New Roman" w:cs="Times New Roman"/>
        </w:rPr>
      </w:pPr>
      <w:r w:rsidRPr="00E85C9A">
        <w:rPr>
          <w:rFonts w:hAnsi="Times New Roman" w:cs="Times New Roman"/>
        </w:rPr>
        <w:t>Is the settlement a product of serious bargaining among capable, knowledgeable parties, where there is diversity of interests among the stipulating parties?</w:t>
      </w:r>
    </w:p>
    <w:p w14:paraId="08DBD2B5" w14:textId="77777777" w:rsidR="00E528AA" w:rsidRPr="00E85C9A" w:rsidRDefault="00E528AA" w:rsidP="00E528AA">
      <w:pPr>
        <w:pStyle w:val="DirectNext"/>
        <w:numPr>
          <w:ilvl w:val="0"/>
          <w:numId w:val="6"/>
        </w:numPr>
        <w:tabs>
          <w:tab w:val="num" w:pos="2160"/>
        </w:tabs>
        <w:spacing w:line="480" w:lineRule="auto"/>
        <w:ind w:left="2160" w:right="720" w:hanging="720"/>
        <w:rPr>
          <w:rFonts w:hAnsi="Times New Roman" w:cs="Times New Roman"/>
        </w:rPr>
      </w:pPr>
      <w:r w:rsidRPr="00E85C9A">
        <w:rPr>
          <w:rFonts w:hAnsi="Times New Roman" w:cs="Times New Roman"/>
        </w:rPr>
        <w:t>Does the settlement package violate any important regulatory principle or practice?</w:t>
      </w:r>
    </w:p>
    <w:p w14:paraId="01E498D7" w14:textId="402BA86C" w:rsidR="00CC7587" w:rsidRPr="00E85C9A" w:rsidRDefault="00CC7587" w:rsidP="00CC7587">
      <w:pPr>
        <w:pStyle w:val="ListParagraph"/>
        <w:numPr>
          <w:ilvl w:val="0"/>
          <w:numId w:val="6"/>
        </w:numPr>
        <w:tabs>
          <w:tab w:val="num" w:pos="2160"/>
        </w:tabs>
        <w:spacing w:line="480" w:lineRule="auto"/>
        <w:ind w:left="2160" w:right="720" w:hanging="720"/>
        <w:rPr>
          <w:rFonts w:hAnsi="Times New Roman" w:cs="Times New Roman"/>
        </w:rPr>
      </w:pPr>
      <w:r w:rsidRPr="00E85C9A">
        <w:rPr>
          <w:rFonts w:hAnsi="Times New Roman" w:cs="Times New Roman"/>
        </w:rPr>
        <w:t>Does the settlement, as a package, benefit customers and the public interest?</w:t>
      </w:r>
      <w:r w:rsidRPr="00E85C9A">
        <w:rPr>
          <w:rFonts w:hAnsi="Times New Roman" w:cs="Times New Roman"/>
          <w:vertAlign w:val="superscript"/>
        </w:rPr>
        <w:footnoteReference w:id="2"/>
      </w:r>
    </w:p>
    <w:p w14:paraId="323DE3A7" w14:textId="77777777" w:rsidR="0074183D" w:rsidRPr="00E85C9A" w:rsidRDefault="0074183D" w:rsidP="00263688">
      <w:pPr>
        <w:pStyle w:val="DirectQuestion"/>
        <w:ind w:left="720" w:hanging="720"/>
        <w:rPr>
          <w:rFonts w:hAnsi="Times New Roman" w:cs="Times New Roman"/>
        </w:rPr>
      </w:pPr>
    </w:p>
    <w:p w14:paraId="0B534B86" w14:textId="7AEF2529" w:rsidR="009769C4" w:rsidRPr="00E85C9A" w:rsidRDefault="00275B98" w:rsidP="00263688">
      <w:pPr>
        <w:pStyle w:val="DirectQuestion"/>
        <w:ind w:left="720" w:hanging="720"/>
        <w:rPr>
          <w:rFonts w:hAnsi="Times New Roman" w:cs="Times New Roman"/>
        </w:rPr>
      </w:pPr>
      <w:r w:rsidRPr="00E85C9A">
        <w:rPr>
          <w:rFonts w:hAnsi="Times New Roman" w:cs="Times New Roman"/>
        </w:rPr>
        <w:t>Q</w:t>
      </w:r>
      <w:r w:rsidR="00E85C9A" w:rsidRPr="00E85C9A">
        <w:rPr>
          <w:rFonts w:hAnsi="Times New Roman" w:cs="Times New Roman"/>
        </w:rPr>
        <w:t>6</w:t>
      </w:r>
      <w:r w:rsidRPr="00E85C9A">
        <w:rPr>
          <w:rFonts w:hAnsi="Times New Roman" w:cs="Times New Roman"/>
        </w:rPr>
        <w:t>.</w:t>
      </w:r>
      <w:r w:rsidRPr="00E85C9A">
        <w:rPr>
          <w:rFonts w:hAnsi="Times New Roman" w:cs="Times New Roman"/>
        </w:rPr>
        <w:tab/>
      </w:r>
      <w:r w:rsidR="00E528AA" w:rsidRPr="00E85C9A">
        <w:rPr>
          <w:rFonts w:hAnsi="Times New Roman" w:cs="Times New Roman"/>
        </w:rPr>
        <w:t>Does the settlement meet the first prong of the standard?</w:t>
      </w:r>
    </w:p>
    <w:p w14:paraId="1584FC98" w14:textId="7D5BCDB2" w:rsidR="00F27CC6" w:rsidRPr="00E85C9A" w:rsidRDefault="00275B98" w:rsidP="00E528AA">
      <w:pPr>
        <w:pStyle w:val="NoSpacing"/>
        <w:spacing w:line="480" w:lineRule="auto"/>
        <w:ind w:left="720" w:hanging="720"/>
      </w:pPr>
      <w:r w:rsidRPr="00E85C9A">
        <w:rPr>
          <w:b/>
          <w:i/>
        </w:rPr>
        <w:t>A</w:t>
      </w:r>
      <w:r w:rsidR="00E85C9A" w:rsidRPr="00E85C9A">
        <w:rPr>
          <w:b/>
          <w:i/>
        </w:rPr>
        <w:t>6</w:t>
      </w:r>
      <w:r w:rsidRPr="00E85C9A">
        <w:rPr>
          <w:b/>
          <w:i/>
        </w:rPr>
        <w:t>.</w:t>
      </w:r>
      <w:r w:rsidRPr="00E85C9A">
        <w:rPr>
          <w:b/>
          <w:i/>
        </w:rPr>
        <w:tab/>
      </w:r>
      <w:r w:rsidR="00787CC2" w:rsidRPr="00E85C9A">
        <w:t>No.</w:t>
      </w:r>
      <w:r w:rsidR="00E85C9A">
        <w:t xml:space="preserve"> </w:t>
      </w:r>
      <w:r w:rsidR="00787CC2" w:rsidRPr="00E85C9A">
        <w:rPr>
          <w:b/>
          <w:i/>
        </w:rPr>
        <w:t xml:space="preserve"> </w:t>
      </w:r>
      <w:r w:rsidR="00E528AA" w:rsidRPr="00E85C9A">
        <w:t>The settlement lacks diversity of interests</w:t>
      </w:r>
      <w:r w:rsidR="008E1737" w:rsidRPr="00E85C9A">
        <w:t>.  That</w:t>
      </w:r>
      <w:r w:rsidR="00E528AA" w:rsidRPr="00E85C9A">
        <w:t xml:space="preserve"> mean</w:t>
      </w:r>
      <w:r w:rsidR="008E1737" w:rsidRPr="00E85C9A">
        <w:t>s</w:t>
      </w:r>
      <w:r w:rsidR="00E528AA" w:rsidRPr="00E85C9A">
        <w:t xml:space="preserve"> customers</w:t>
      </w:r>
      <w:r w:rsidR="00274949" w:rsidRPr="00E85C9A">
        <w:t xml:space="preserve"> (including residential consumers)</w:t>
      </w:r>
      <w:r w:rsidR="00E528AA" w:rsidRPr="00E85C9A">
        <w:t xml:space="preserve"> who would pay</w:t>
      </w:r>
      <w:r w:rsidR="008E1737" w:rsidRPr="00E85C9A">
        <w:t xml:space="preserve"> a subsidy to</w:t>
      </w:r>
      <w:r w:rsidR="00274949" w:rsidRPr="00E85C9A">
        <w:t xml:space="preserve"> AEP Ohio for</w:t>
      </w:r>
      <w:r w:rsidR="00E528AA" w:rsidRPr="00E85C9A">
        <w:t xml:space="preserve"> </w:t>
      </w:r>
      <w:r w:rsidR="008E1737" w:rsidRPr="00E85C9A">
        <w:t xml:space="preserve">its </w:t>
      </w:r>
      <w:r w:rsidR="00E528AA" w:rsidRPr="00E85C9A">
        <w:t>discount</w:t>
      </w:r>
      <w:r w:rsidR="008E1737" w:rsidRPr="00E85C9A">
        <w:t xml:space="preserve">s to the Applicant’s rates </w:t>
      </w:r>
      <w:r w:rsidR="00E528AA" w:rsidRPr="00E85C9A">
        <w:t>are not signatories.</w:t>
      </w:r>
    </w:p>
    <w:p w14:paraId="29DB0D71" w14:textId="77777777" w:rsidR="002F745C" w:rsidRPr="00E85C9A" w:rsidRDefault="002F745C" w:rsidP="009A4CDE">
      <w:pPr>
        <w:pStyle w:val="DirectQuestion"/>
        <w:ind w:left="720" w:hanging="720"/>
        <w:rPr>
          <w:rFonts w:hAnsi="Times New Roman" w:cs="Times New Roman"/>
        </w:rPr>
      </w:pPr>
    </w:p>
    <w:p w14:paraId="539F60B2" w14:textId="6EA249A3" w:rsidR="009769C4" w:rsidRPr="00E85C9A" w:rsidRDefault="00275B98" w:rsidP="009A4CDE">
      <w:pPr>
        <w:pStyle w:val="DirectQuestion"/>
        <w:ind w:left="720" w:hanging="720"/>
        <w:rPr>
          <w:rFonts w:hAnsi="Times New Roman" w:cs="Times New Roman"/>
        </w:rPr>
      </w:pPr>
      <w:r w:rsidRPr="00E85C9A">
        <w:rPr>
          <w:rFonts w:hAnsi="Times New Roman" w:cs="Times New Roman"/>
        </w:rPr>
        <w:t>Q</w:t>
      </w:r>
      <w:r w:rsidR="00E85C9A" w:rsidRPr="00E85C9A">
        <w:rPr>
          <w:rFonts w:hAnsi="Times New Roman" w:cs="Times New Roman"/>
        </w:rPr>
        <w:t>7</w:t>
      </w:r>
      <w:r w:rsidRPr="00E85C9A">
        <w:rPr>
          <w:rFonts w:hAnsi="Times New Roman" w:cs="Times New Roman"/>
        </w:rPr>
        <w:t>.</w:t>
      </w:r>
      <w:r w:rsidRPr="00E85C9A">
        <w:rPr>
          <w:rFonts w:hAnsi="Times New Roman" w:cs="Times New Roman"/>
        </w:rPr>
        <w:tab/>
      </w:r>
      <w:r w:rsidR="00E7798E" w:rsidRPr="00E85C9A">
        <w:rPr>
          <w:rFonts w:hAnsi="Times New Roman" w:cs="Times New Roman"/>
        </w:rPr>
        <w:t>Does the settlement package violate any important regulatory principle or practice?</w:t>
      </w:r>
    </w:p>
    <w:p w14:paraId="4A399F53" w14:textId="48908F89" w:rsidR="004455C4" w:rsidRPr="00E85C9A" w:rsidRDefault="00275B98" w:rsidP="009A4CDE">
      <w:pPr>
        <w:pStyle w:val="BodyA"/>
        <w:spacing w:line="480" w:lineRule="auto"/>
        <w:ind w:left="720" w:hanging="720"/>
        <w:rPr>
          <w:rFonts w:hAnsi="Times New Roman" w:cs="Times New Roman"/>
        </w:rPr>
      </w:pPr>
      <w:r w:rsidRPr="00E85C9A">
        <w:rPr>
          <w:rFonts w:hAnsi="Times New Roman" w:cs="Times New Roman"/>
          <w:b/>
          <w:bCs/>
          <w:i/>
          <w:iCs/>
        </w:rPr>
        <w:t>A</w:t>
      </w:r>
      <w:r w:rsidR="00E85C9A" w:rsidRPr="00E85C9A">
        <w:rPr>
          <w:rFonts w:hAnsi="Times New Roman" w:cs="Times New Roman"/>
          <w:b/>
          <w:bCs/>
          <w:i/>
          <w:iCs/>
        </w:rPr>
        <w:t>7</w:t>
      </w:r>
      <w:r w:rsidRPr="00E85C9A">
        <w:rPr>
          <w:rFonts w:hAnsi="Times New Roman" w:cs="Times New Roman"/>
          <w:b/>
          <w:bCs/>
          <w:i/>
          <w:iCs/>
        </w:rPr>
        <w:t>.</w:t>
      </w:r>
      <w:r w:rsidRPr="00E85C9A">
        <w:rPr>
          <w:rFonts w:hAnsi="Times New Roman" w:cs="Times New Roman"/>
          <w:b/>
          <w:bCs/>
          <w:i/>
          <w:iCs/>
        </w:rPr>
        <w:tab/>
      </w:r>
      <w:r w:rsidR="00BF6C61" w:rsidRPr="00E85C9A">
        <w:rPr>
          <w:rFonts w:hAnsi="Times New Roman" w:cs="Times New Roman"/>
          <w:bCs/>
          <w:iCs/>
        </w:rPr>
        <w:t xml:space="preserve">Yes.  </w:t>
      </w:r>
      <w:r w:rsidR="0074183D" w:rsidRPr="00E85C9A">
        <w:rPr>
          <w:rFonts w:hAnsi="Times New Roman" w:cs="Times New Roman"/>
        </w:rPr>
        <w:t xml:space="preserve">Regulatory principles and practices should be served by </w:t>
      </w:r>
      <w:r w:rsidR="00B93FE4" w:rsidRPr="00E85C9A">
        <w:rPr>
          <w:rFonts w:hAnsi="Times New Roman" w:cs="Times New Roman"/>
        </w:rPr>
        <w:t xml:space="preserve">identifying </w:t>
      </w:r>
      <w:r w:rsidR="0074183D" w:rsidRPr="00E85C9A">
        <w:rPr>
          <w:rFonts w:hAnsi="Times New Roman" w:cs="Times New Roman"/>
        </w:rPr>
        <w:t xml:space="preserve">all </w:t>
      </w:r>
      <w:r w:rsidR="00D20DD0" w:rsidRPr="00E85C9A">
        <w:rPr>
          <w:rFonts w:hAnsi="Times New Roman" w:cs="Times New Roman"/>
        </w:rPr>
        <w:t xml:space="preserve">subsidy </w:t>
      </w:r>
      <w:r w:rsidR="00B93FE4" w:rsidRPr="00E85C9A">
        <w:rPr>
          <w:rFonts w:hAnsi="Times New Roman" w:cs="Times New Roman"/>
        </w:rPr>
        <w:t xml:space="preserve">amounts </w:t>
      </w:r>
      <w:r w:rsidR="00D20DD0" w:rsidRPr="00E85C9A">
        <w:rPr>
          <w:rFonts w:hAnsi="Times New Roman" w:cs="Times New Roman"/>
        </w:rPr>
        <w:t xml:space="preserve">that constitute the delta revenues electric </w:t>
      </w:r>
      <w:r w:rsidR="0074183D" w:rsidRPr="00E85C9A">
        <w:rPr>
          <w:rFonts w:hAnsi="Times New Roman" w:cs="Times New Roman"/>
        </w:rPr>
        <w:t>customers are</w:t>
      </w:r>
      <w:r w:rsidR="00D20DD0" w:rsidRPr="00E85C9A">
        <w:rPr>
          <w:rFonts w:hAnsi="Times New Roman" w:cs="Times New Roman"/>
        </w:rPr>
        <w:t xml:space="preserve"> asked to</w:t>
      </w:r>
      <w:r w:rsidR="0074183D" w:rsidRPr="00E85C9A">
        <w:rPr>
          <w:rFonts w:hAnsi="Times New Roman" w:cs="Times New Roman"/>
        </w:rPr>
        <w:t xml:space="preserve"> </w:t>
      </w:r>
      <w:r w:rsidR="00D20DD0" w:rsidRPr="00E85C9A">
        <w:rPr>
          <w:rFonts w:hAnsi="Times New Roman" w:cs="Times New Roman"/>
        </w:rPr>
        <w:t xml:space="preserve">pay to AEP Ohio </w:t>
      </w:r>
      <w:r w:rsidR="0044786F" w:rsidRPr="00E85C9A">
        <w:rPr>
          <w:rFonts w:hAnsi="Times New Roman" w:cs="Times New Roman"/>
        </w:rPr>
        <w:t>to fund</w:t>
      </w:r>
      <w:r w:rsidR="00D20DD0" w:rsidRPr="00E85C9A">
        <w:rPr>
          <w:rFonts w:hAnsi="Times New Roman" w:cs="Times New Roman"/>
        </w:rPr>
        <w:t xml:space="preserve"> </w:t>
      </w:r>
      <w:r w:rsidR="00B276AE" w:rsidRPr="00E85C9A">
        <w:rPr>
          <w:rFonts w:hAnsi="Times New Roman" w:cs="Times New Roman"/>
        </w:rPr>
        <w:t>an</w:t>
      </w:r>
      <w:r w:rsidR="00D20DD0" w:rsidRPr="00E85C9A">
        <w:rPr>
          <w:rFonts w:hAnsi="Times New Roman" w:cs="Times New Roman"/>
        </w:rPr>
        <w:t xml:space="preserve"> </w:t>
      </w:r>
      <w:r w:rsidR="00B276AE" w:rsidRPr="00E85C9A">
        <w:rPr>
          <w:rFonts w:hAnsi="Times New Roman" w:cs="Times New Roman"/>
        </w:rPr>
        <w:t>a</w:t>
      </w:r>
      <w:r w:rsidR="00D20DD0" w:rsidRPr="00E85C9A">
        <w:rPr>
          <w:rFonts w:hAnsi="Times New Roman" w:cs="Times New Roman"/>
        </w:rPr>
        <w:t>pplicant’s electricity discounts</w:t>
      </w:r>
      <w:r w:rsidR="0074183D" w:rsidRPr="00E85C9A">
        <w:rPr>
          <w:rFonts w:hAnsi="Times New Roman" w:cs="Times New Roman"/>
        </w:rPr>
        <w:t xml:space="preserve">.  As </w:t>
      </w:r>
      <w:r w:rsidR="00626230" w:rsidRPr="00E85C9A">
        <w:rPr>
          <w:rFonts w:hAnsi="Times New Roman" w:cs="Times New Roman"/>
        </w:rPr>
        <w:t xml:space="preserve">discussed </w:t>
      </w:r>
      <w:r w:rsidR="0074183D" w:rsidRPr="00E85C9A">
        <w:rPr>
          <w:rFonts w:hAnsi="Times New Roman" w:cs="Times New Roman"/>
        </w:rPr>
        <w:t xml:space="preserve">in my </w:t>
      </w:r>
      <w:r w:rsidR="0044786F" w:rsidRPr="00E85C9A">
        <w:rPr>
          <w:rFonts w:hAnsi="Times New Roman" w:cs="Times New Roman"/>
        </w:rPr>
        <w:t>D</w:t>
      </w:r>
      <w:r w:rsidR="0074183D" w:rsidRPr="00E85C9A">
        <w:rPr>
          <w:rFonts w:hAnsi="Times New Roman" w:cs="Times New Roman"/>
        </w:rPr>
        <w:t xml:space="preserve">irect </w:t>
      </w:r>
      <w:r w:rsidR="0044786F" w:rsidRPr="00E85C9A">
        <w:rPr>
          <w:rFonts w:hAnsi="Times New Roman" w:cs="Times New Roman"/>
        </w:rPr>
        <w:t>T</w:t>
      </w:r>
      <w:r w:rsidR="0074183D" w:rsidRPr="00E85C9A">
        <w:rPr>
          <w:rFonts w:hAnsi="Times New Roman" w:cs="Times New Roman"/>
        </w:rPr>
        <w:t>estimony</w:t>
      </w:r>
      <w:r w:rsidR="0044786F" w:rsidRPr="00E85C9A">
        <w:rPr>
          <w:rFonts w:hAnsi="Times New Roman" w:cs="Times New Roman"/>
        </w:rPr>
        <w:t>,</w:t>
      </w:r>
      <w:r w:rsidR="0074183D" w:rsidRPr="00E85C9A">
        <w:rPr>
          <w:rFonts w:hAnsi="Times New Roman" w:cs="Times New Roman"/>
        </w:rPr>
        <w:t xml:space="preserve"> the </w:t>
      </w:r>
      <w:r w:rsidR="00FB56BE" w:rsidRPr="00E85C9A">
        <w:rPr>
          <w:rFonts w:hAnsi="Times New Roman" w:cs="Times New Roman"/>
        </w:rPr>
        <w:t xml:space="preserve">PUCO </w:t>
      </w:r>
      <w:r w:rsidR="0074183D" w:rsidRPr="00E85C9A">
        <w:rPr>
          <w:rFonts w:hAnsi="Times New Roman" w:cs="Times New Roman"/>
        </w:rPr>
        <w:t xml:space="preserve">should </w:t>
      </w:r>
      <w:r w:rsidR="00B4681A" w:rsidRPr="00E85C9A">
        <w:rPr>
          <w:rFonts w:hAnsi="Times New Roman" w:cs="Times New Roman"/>
        </w:rPr>
        <w:t>count</w:t>
      </w:r>
      <w:r w:rsidR="00DE3177" w:rsidRPr="00E85C9A">
        <w:rPr>
          <w:rFonts w:hAnsi="Times New Roman" w:cs="Times New Roman"/>
        </w:rPr>
        <w:t xml:space="preserve"> in delta revenues</w:t>
      </w:r>
      <w:r w:rsidR="00187359" w:rsidRPr="00E85C9A">
        <w:rPr>
          <w:rFonts w:hAnsi="Times New Roman" w:cs="Times New Roman"/>
        </w:rPr>
        <w:t>--</w:t>
      </w:r>
      <w:r w:rsidR="0044786F" w:rsidRPr="00E85C9A">
        <w:rPr>
          <w:rFonts w:hAnsi="Times New Roman" w:cs="Times New Roman"/>
        </w:rPr>
        <w:t xml:space="preserve">for purposes of calculating a cap </w:t>
      </w:r>
      <w:r w:rsidR="00AD3F04" w:rsidRPr="00E85C9A">
        <w:rPr>
          <w:rFonts w:hAnsi="Times New Roman" w:cs="Times New Roman"/>
        </w:rPr>
        <w:t>to limit</w:t>
      </w:r>
      <w:r w:rsidR="0044786F" w:rsidRPr="00E85C9A">
        <w:rPr>
          <w:rFonts w:hAnsi="Times New Roman" w:cs="Times New Roman"/>
        </w:rPr>
        <w:t xml:space="preserve"> what consumers will be asked to subsidize in delta revenues</w:t>
      </w:r>
      <w:r w:rsidR="00187359" w:rsidRPr="00E85C9A">
        <w:rPr>
          <w:rFonts w:hAnsi="Times New Roman" w:cs="Times New Roman"/>
        </w:rPr>
        <w:t>--</w:t>
      </w:r>
      <w:r w:rsidR="00B4681A" w:rsidRPr="00E85C9A">
        <w:rPr>
          <w:rFonts w:hAnsi="Times New Roman" w:cs="Times New Roman"/>
        </w:rPr>
        <w:t xml:space="preserve">any </w:t>
      </w:r>
      <w:r w:rsidR="0044786F" w:rsidRPr="00E85C9A">
        <w:rPr>
          <w:rFonts w:hAnsi="Times New Roman" w:cs="Times New Roman"/>
        </w:rPr>
        <w:t>amounts that</w:t>
      </w:r>
      <w:r w:rsidR="00B4681A" w:rsidRPr="00E85C9A">
        <w:rPr>
          <w:rFonts w:hAnsi="Times New Roman" w:cs="Times New Roman"/>
        </w:rPr>
        <w:t xml:space="preserve"> customers </w:t>
      </w:r>
      <w:r w:rsidR="0044786F" w:rsidRPr="00E85C9A">
        <w:rPr>
          <w:rFonts w:hAnsi="Times New Roman" w:cs="Times New Roman"/>
        </w:rPr>
        <w:t>are asked to pay as a result of</w:t>
      </w:r>
      <w:r w:rsidR="00AD3F04" w:rsidRPr="00E85C9A">
        <w:rPr>
          <w:rFonts w:hAnsi="Times New Roman" w:cs="Times New Roman"/>
        </w:rPr>
        <w:t xml:space="preserve"> </w:t>
      </w:r>
      <w:r w:rsidR="0074183D" w:rsidRPr="00E85C9A">
        <w:rPr>
          <w:rFonts w:hAnsi="Times New Roman" w:cs="Times New Roman"/>
        </w:rPr>
        <w:t>proposed changes to</w:t>
      </w:r>
      <w:r w:rsidR="00AD3F04" w:rsidRPr="00E85C9A">
        <w:rPr>
          <w:rFonts w:hAnsi="Times New Roman" w:cs="Times New Roman"/>
        </w:rPr>
        <w:t xml:space="preserve"> two Riders.  One of those Riders is</w:t>
      </w:r>
      <w:r w:rsidR="0074183D" w:rsidRPr="00E85C9A">
        <w:rPr>
          <w:rFonts w:hAnsi="Times New Roman" w:cs="Times New Roman"/>
        </w:rPr>
        <w:t xml:space="preserve"> the Basic Transmission Cost Rider (</w:t>
      </w:r>
      <w:r w:rsidR="000D219B">
        <w:rPr>
          <w:rFonts w:hAnsi="Times New Roman" w:cs="Times New Roman"/>
        </w:rPr>
        <w:t>“</w:t>
      </w:r>
      <w:r w:rsidR="0074183D" w:rsidRPr="00E85C9A">
        <w:rPr>
          <w:rFonts w:hAnsi="Times New Roman" w:cs="Times New Roman"/>
        </w:rPr>
        <w:t>BTCR</w:t>
      </w:r>
      <w:r w:rsidR="000D219B">
        <w:rPr>
          <w:rFonts w:hAnsi="Times New Roman" w:cs="Times New Roman"/>
        </w:rPr>
        <w:t>”</w:t>
      </w:r>
      <w:r w:rsidR="0074183D" w:rsidRPr="00E85C9A">
        <w:rPr>
          <w:rFonts w:hAnsi="Times New Roman" w:cs="Times New Roman"/>
        </w:rPr>
        <w:t>) and the</w:t>
      </w:r>
      <w:r w:rsidR="00AD3F04" w:rsidRPr="00E85C9A">
        <w:rPr>
          <w:rFonts w:hAnsi="Times New Roman" w:cs="Times New Roman"/>
        </w:rPr>
        <w:t xml:space="preserve"> other Rider is the</w:t>
      </w:r>
      <w:r w:rsidR="0074183D" w:rsidRPr="00E85C9A">
        <w:rPr>
          <w:rFonts w:hAnsi="Times New Roman" w:cs="Times New Roman"/>
        </w:rPr>
        <w:t xml:space="preserve"> Interruptible Power-Discretionary Rider (</w:t>
      </w:r>
      <w:r w:rsidR="000D219B">
        <w:rPr>
          <w:rFonts w:hAnsi="Times New Roman" w:cs="Times New Roman"/>
        </w:rPr>
        <w:t>“</w:t>
      </w:r>
      <w:r w:rsidR="0074183D" w:rsidRPr="00E85C9A">
        <w:rPr>
          <w:rFonts w:hAnsi="Times New Roman" w:cs="Times New Roman"/>
        </w:rPr>
        <w:t>IRP-D</w:t>
      </w:r>
      <w:r w:rsidR="000D219B">
        <w:rPr>
          <w:rFonts w:hAnsi="Times New Roman" w:cs="Times New Roman"/>
        </w:rPr>
        <w:t>”</w:t>
      </w:r>
      <w:r w:rsidR="0074183D" w:rsidRPr="00E85C9A">
        <w:rPr>
          <w:rFonts w:hAnsi="Times New Roman" w:cs="Times New Roman"/>
        </w:rPr>
        <w:t>).</w:t>
      </w:r>
      <w:r w:rsidR="00DD0613" w:rsidRPr="00E85C9A">
        <w:rPr>
          <w:rFonts w:hAnsi="Times New Roman" w:cs="Times New Roman"/>
        </w:rPr>
        <w:t xml:space="preserve">  In addition</w:t>
      </w:r>
      <w:r w:rsidR="002F0A20" w:rsidRPr="00E85C9A">
        <w:rPr>
          <w:rFonts w:hAnsi="Times New Roman" w:cs="Times New Roman"/>
        </w:rPr>
        <w:t>,</w:t>
      </w:r>
      <w:r w:rsidR="00DD0613" w:rsidRPr="00E85C9A">
        <w:rPr>
          <w:rFonts w:hAnsi="Times New Roman" w:cs="Times New Roman"/>
        </w:rPr>
        <w:t xml:space="preserve"> the </w:t>
      </w:r>
      <w:r w:rsidR="003305DA" w:rsidRPr="00E85C9A">
        <w:rPr>
          <w:rFonts w:hAnsi="Times New Roman" w:cs="Times New Roman"/>
        </w:rPr>
        <w:t xml:space="preserve">Settlement </w:t>
      </w:r>
      <w:r w:rsidR="00DD0613" w:rsidRPr="00E85C9A">
        <w:rPr>
          <w:rFonts w:hAnsi="Times New Roman" w:cs="Times New Roman"/>
        </w:rPr>
        <w:t xml:space="preserve">should allow for </w:t>
      </w:r>
      <w:r w:rsidR="00681BF8" w:rsidRPr="00E85C9A">
        <w:rPr>
          <w:rFonts w:hAnsi="Times New Roman" w:cs="Times New Roman"/>
        </w:rPr>
        <w:t>reducing the amount of the delta revenue that consumers are asked to pay, by a</w:t>
      </w:r>
      <w:r w:rsidR="00AE510F" w:rsidRPr="00E85C9A">
        <w:rPr>
          <w:rFonts w:hAnsi="Times New Roman" w:cs="Times New Roman"/>
        </w:rPr>
        <w:t xml:space="preserve"> </w:t>
      </w:r>
      <w:r w:rsidR="00B15DB5" w:rsidRPr="00E85C9A">
        <w:rPr>
          <w:rFonts w:hAnsi="Times New Roman" w:cs="Times New Roman"/>
        </w:rPr>
        <w:t>sharing of</w:t>
      </w:r>
      <w:r w:rsidR="00AE510F" w:rsidRPr="00E85C9A">
        <w:rPr>
          <w:rFonts w:hAnsi="Times New Roman" w:cs="Times New Roman"/>
        </w:rPr>
        <w:t xml:space="preserve"> the costs</w:t>
      </w:r>
      <w:r w:rsidR="003305DA" w:rsidRPr="00E85C9A">
        <w:rPr>
          <w:rFonts w:hAnsi="Times New Roman" w:cs="Times New Roman"/>
        </w:rPr>
        <w:t xml:space="preserve"> (the subsidy payments) for</w:t>
      </w:r>
      <w:r w:rsidR="00AE510F" w:rsidRPr="00E85C9A">
        <w:rPr>
          <w:rFonts w:hAnsi="Times New Roman" w:cs="Times New Roman"/>
        </w:rPr>
        <w:t xml:space="preserve"> the Application </w:t>
      </w:r>
      <w:r w:rsidR="00DD0613" w:rsidRPr="00E85C9A">
        <w:rPr>
          <w:rFonts w:hAnsi="Times New Roman" w:cs="Times New Roman"/>
        </w:rPr>
        <w:t>between customers and AEP Ohio</w:t>
      </w:r>
      <w:r w:rsidR="00681BF8" w:rsidRPr="00E85C9A">
        <w:rPr>
          <w:rFonts w:hAnsi="Times New Roman" w:cs="Times New Roman"/>
        </w:rPr>
        <w:t xml:space="preserve">. </w:t>
      </w:r>
      <w:r w:rsidR="00E85C9A">
        <w:rPr>
          <w:rFonts w:hAnsi="Times New Roman" w:cs="Times New Roman"/>
        </w:rPr>
        <w:t xml:space="preserve"> </w:t>
      </w:r>
      <w:r w:rsidR="00681BF8" w:rsidRPr="00E85C9A">
        <w:rPr>
          <w:rFonts w:hAnsi="Times New Roman" w:cs="Times New Roman"/>
        </w:rPr>
        <w:t>This approach of sharing to reduce what consumers pay for the subsidy reflects a better principle or practice</w:t>
      </w:r>
      <w:r w:rsidR="00AE510F" w:rsidRPr="00E85C9A">
        <w:rPr>
          <w:rFonts w:hAnsi="Times New Roman" w:cs="Times New Roman"/>
        </w:rPr>
        <w:t xml:space="preserve"> compared to the outcome where consumers pay </w:t>
      </w:r>
      <w:r w:rsidR="00CC7587" w:rsidRPr="00E85C9A">
        <w:rPr>
          <w:rFonts w:hAnsi="Times New Roman" w:cs="Times New Roman"/>
        </w:rPr>
        <w:t>the entire</w:t>
      </w:r>
      <w:r w:rsidR="00AE510F" w:rsidRPr="00E85C9A">
        <w:rPr>
          <w:rFonts w:hAnsi="Times New Roman" w:cs="Times New Roman"/>
        </w:rPr>
        <w:t xml:space="preserve"> subsidy </w:t>
      </w:r>
      <w:r w:rsidR="00681BF8" w:rsidRPr="00E85C9A">
        <w:rPr>
          <w:rFonts w:hAnsi="Times New Roman" w:cs="Times New Roman"/>
        </w:rPr>
        <w:t>to fund an a</w:t>
      </w:r>
      <w:r w:rsidR="00AE510F" w:rsidRPr="00E85C9A">
        <w:rPr>
          <w:rFonts w:hAnsi="Times New Roman" w:cs="Times New Roman"/>
        </w:rPr>
        <w:t>pplicant’s electricity discounts</w:t>
      </w:r>
      <w:r w:rsidR="00DD0613" w:rsidRPr="00E85C9A">
        <w:rPr>
          <w:rFonts w:hAnsi="Times New Roman" w:cs="Times New Roman"/>
        </w:rPr>
        <w:t xml:space="preserve">.  </w:t>
      </w:r>
      <w:r w:rsidR="00626230" w:rsidRPr="00E85C9A">
        <w:rPr>
          <w:rFonts w:hAnsi="Times New Roman" w:cs="Times New Roman"/>
        </w:rPr>
        <w:t xml:space="preserve">As I discussed in my </w:t>
      </w:r>
      <w:r w:rsidR="005C3D12" w:rsidRPr="00E85C9A">
        <w:rPr>
          <w:rFonts w:hAnsi="Times New Roman" w:cs="Times New Roman"/>
        </w:rPr>
        <w:t>D</w:t>
      </w:r>
      <w:r w:rsidR="00626230" w:rsidRPr="00E85C9A">
        <w:rPr>
          <w:rFonts w:hAnsi="Times New Roman" w:cs="Times New Roman"/>
        </w:rPr>
        <w:t xml:space="preserve">irect </w:t>
      </w:r>
      <w:r w:rsidR="005C3D12" w:rsidRPr="00E85C9A">
        <w:rPr>
          <w:rFonts w:hAnsi="Times New Roman" w:cs="Times New Roman"/>
        </w:rPr>
        <w:t>T</w:t>
      </w:r>
      <w:r w:rsidR="00DD0613" w:rsidRPr="00E85C9A">
        <w:rPr>
          <w:rFonts w:hAnsi="Times New Roman" w:cs="Times New Roman"/>
        </w:rPr>
        <w:t>estimony</w:t>
      </w:r>
      <w:r w:rsidR="002F0A20" w:rsidRPr="00E85C9A">
        <w:rPr>
          <w:rFonts w:hAnsi="Times New Roman" w:cs="Times New Roman"/>
        </w:rPr>
        <w:t>,</w:t>
      </w:r>
      <w:r w:rsidR="00DD0613" w:rsidRPr="00E85C9A">
        <w:rPr>
          <w:rFonts w:hAnsi="Times New Roman" w:cs="Times New Roman"/>
        </w:rPr>
        <w:t xml:space="preserve"> </w:t>
      </w:r>
      <w:r w:rsidR="002F0A20" w:rsidRPr="00E85C9A">
        <w:rPr>
          <w:rFonts w:hAnsi="Times New Roman" w:cs="Times New Roman"/>
        </w:rPr>
        <w:t xml:space="preserve">past </w:t>
      </w:r>
      <w:r w:rsidR="00E749A1" w:rsidRPr="00E85C9A">
        <w:rPr>
          <w:rFonts w:hAnsi="Times New Roman" w:cs="Times New Roman"/>
        </w:rPr>
        <w:t>precedent</w:t>
      </w:r>
      <w:r w:rsidR="00626230" w:rsidRPr="00E85C9A">
        <w:rPr>
          <w:rFonts w:hAnsi="Times New Roman" w:cs="Times New Roman"/>
        </w:rPr>
        <w:t xml:space="preserve"> supports cost</w:t>
      </w:r>
      <w:r w:rsidR="00B15DB5" w:rsidRPr="00E85C9A">
        <w:rPr>
          <w:rFonts w:hAnsi="Times New Roman" w:cs="Times New Roman"/>
        </w:rPr>
        <w:t>-</w:t>
      </w:r>
      <w:r w:rsidR="00626230" w:rsidRPr="00E85C9A">
        <w:rPr>
          <w:rFonts w:hAnsi="Times New Roman" w:cs="Times New Roman"/>
        </w:rPr>
        <w:t xml:space="preserve">sharing between </w:t>
      </w:r>
      <w:r w:rsidR="00E85C9A">
        <w:rPr>
          <w:rFonts w:hAnsi="Times New Roman" w:cs="Times New Roman"/>
        </w:rPr>
        <w:t>the utility and its customers.</w:t>
      </w:r>
    </w:p>
    <w:p w14:paraId="03850DB7" w14:textId="77777777" w:rsidR="00CC7587" w:rsidRPr="00E85C9A" w:rsidRDefault="00CC7587" w:rsidP="009A4CDE">
      <w:pPr>
        <w:pStyle w:val="DirectQuestion"/>
        <w:ind w:left="720" w:hanging="720"/>
        <w:rPr>
          <w:rFonts w:hAnsi="Times New Roman" w:cs="Times New Roman"/>
        </w:rPr>
      </w:pPr>
    </w:p>
    <w:p w14:paraId="28FB6560" w14:textId="77777777" w:rsidR="009769C4" w:rsidRPr="00E85C9A" w:rsidRDefault="00275B98" w:rsidP="009A4CDE">
      <w:pPr>
        <w:pStyle w:val="DirectQuestion"/>
        <w:ind w:left="720" w:hanging="720"/>
        <w:rPr>
          <w:rFonts w:hAnsi="Times New Roman" w:cs="Times New Roman"/>
        </w:rPr>
      </w:pPr>
      <w:r w:rsidRPr="00E85C9A">
        <w:rPr>
          <w:rFonts w:hAnsi="Times New Roman" w:cs="Times New Roman"/>
        </w:rPr>
        <w:t>Q</w:t>
      </w:r>
      <w:r w:rsidR="002E2F3F" w:rsidRPr="00E85C9A">
        <w:rPr>
          <w:rFonts w:hAnsi="Times New Roman" w:cs="Times New Roman"/>
        </w:rPr>
        <w:t>8</w:t>
      </w:r>
      <w:r w:rsidRPr="00E85C9A">
        <w:rPr>
          <w:rFonts w:hAnsi="Times New Roman" w:cs="Times New Roman"/>
        </w:rPr>
        <w:t>.</w:t>
      </w:r>
      <w:r w:rsidRPr="00E85C9A">
        <w:rPr>
          <w:rFonts w:hAnsi="Times New Roman" w:cs="Times New Roman"/>
        </w:rPr>
        <w:tab/>
      </w:r>
      <w:r w:rsidR="00E749A1" w:rsidRPr="00E85C9A">
        <w:rPr>
          <w:rFonts w:hAnsi="Times New Roman" w:cs="Times New Roman"/>
        </w:rPr>
        <w:t>Does the settlement, as a package, benefit CUSTOMERs and the public interest?</w:t>
      </w:r>
    </w:p>
    <w:p w14:paraId="4F6CDD87" w14:textId="654F4446" w:rsidR="00485FA2" w:rsidRPr="00E85C9A" w:rsidRDefault="00275B98" w:rsidP="007E1785">
      <w:pPr>
        <w:pStyle w:val="NoSpacing"/>
        <w:spacing w:line="480" w:lineRule="auto"/>
        <w:ind w:left="720" w:hanging="720"/>
      </w:pPr>
      <w:r w:rsidRPr="00E85C9A">
        <w:rPr>
          <w:b/>
          <w:bCs/>
          <w:i/>
          <w:iCs/>
        </w:rPr>
        <w:t>A</w:t>
      </w:r>
      <w:r w:rsidR="002E2F3F" w:rsidRPr="00E85C9A">
        <w:rPr>
          <w:b/>
          <w:bCs/>
          <w:i/>
          <w:iCs/>
        </w:rPr>
        <w:t>8</w:t>
      </w:r>
      <w:r w:rsidRPr="00E85C9A">
        <w:rPr>
          <w:b/>
          <w:bCs/>
          <w:i/>
          <w:iCs/>
        </w:rPr>
        <w:t>.</w:t>
      </w:r>
      <w:r w:rsidRPr="00E85C9A">
        <w:rPr>
          <w:b/>
          <w:bCs/>
          <w:i/>
          <w:iCs/>
        </w:rPr>
        <w:tab/>
      </w:r>
      <w:r w:rsidR="00B276AE" w:rsidRPr="00E85C9A">
        <w:t>T</w:t>
      </w:r>
      <w:r w:rsidR="00E749A1" w:rsidRPr="00E85C9A">
        <w:t xml:space="preserve">o move the </w:t>
      </w:r>
      <w:r w:rsidR="00C77BB5" w:rsidRPr="00E85C9A">
        <w:t>S</w:t>
      </w:r>
      <w:r w:rsidR="00E749A1" w:rsidRPr="00E85C9A">
        <w:t xml:space="preserve">ettlement closer to meeting this standard, </w:t>
      </w:r>
      <w:r w:rsidR="00626230" w:rsidRPr="00E85C9A">
        <w:t>the PUCO should adopt the recommendations</w:t>
      </w:r>
      <w:r w:rsidR="00C77BB5" w:rsidRPr="00E85C9A">
        <w:t xml:space="preserve"> that</w:t>
      </w:r>
      <w:r w:rsidR="00626230" w:rsidRPr="00E85C9A">
        <w:t xml:space="preserve"> I made in </w:t>
      </w:r>
      <w:r w:rsidR="00E749A1" w:rsidRPr="00E85C9A">
        <w:t xml:space="preserve">my Direct Testimony.  </w:t>
      </w:r>
      <w:r w:rsidR="00B15DB5" w:rsidRPr="00E85C9A">
        <w:t>T</w:t>
      </w:r>
      <w:r w:rsidR="00E749A1" w:rsidRPr="00E85C9A">
        <w:t>he</w:t>
      </w:r>
      <w:r w:rsidR="00C301C2" w:rsidRPr="00E85C9A">
        <w:t>se recommendations include but are not limited to the</w:t>
      </w:r>
      <w:r w:rsidR="00E749A1" w:rsidRPr="00E85C9A">
        <w:t xml:space="preserve"> PUCO should limit the </w:t>
      </w:r>
      <w:r w:rsidR="00C77BB5" w:rsidRPr="00E85C9A">
        <w:t xml:space="preserve">Applicant’s </w:t>
      </w:r>
      <w:r w:rsidR="00E749A1" w:rsidRPr="00E85C9A">
        <w:t>unique arrangement</w:t>
      </w:r>
      <w:r w:rsidR="00C77BB5" w:rsidRPr="00E85C9A">
        <w:t xml:space="preserve"> benefits</w:t>
      </w:r>
      <w:r w:rsidR="00E749A1" w:rsidRPr="00E85C9A">
        <w:t xml:space="preserve"> to this instance</w:t>
      </w:r>
      <w:r w:rsidR="00C77BB5" w:rsidRPr="00E85C9A">
        <w:t>,</w:t>
      </w:r>
      <w:r w:rsidR="00E749A1" w:rsidRPr="00E85C9A">
        <w:t xml:space="preserve"> without</w:t>
      </w:r>
      <w:r w:rsidR="00B15DB5" w:rsidRPr="00E85C9A">
        <w:t xml:space="preserve"> </w:t>
      </w:r>
      <w:r w:rsidR="00B276AE" w:rsidRPr="00E85C9A">
        <w:t xml:space="preserve">there being </w:t>
      </w:r>
      <w:r w:rsidR="00E749A1" w:rsidRPr="00E85C9A">
        <w:t>a repeat request</w:t>
      </w:r>
      <w:r w:rsidR="00C77BB5" w:rsidRPr="00E85C9A">
        <w:t xml:space="preserve"> or </w:t>
      </w:r>
      <w:r w:rsidR="00B15DB5" w:rsidRPr="00E85C9A">
        <w:t xml:space="preserve">a </w:t>
      </w:r>
      <w:r w:rsidR="00C77BB5" w:rsidRPr="00E85C9A">
        <w:t>repeat authorization for additional subsidies from customers in the future</w:t>
      </w:r>
      <w:r w:rsidR="00E749A1" w:rsidRPr="00E85C9A">
        <w:t>.</w:t>
      </w:r>
      <w:r w:rsidR="00681BF8" w:rsidRPr="00E85C9A">
        <w:t xml:space="preserve">  Further, there should be a benefit for customers and the public interest where the PUCO establishes a cap, per electric utility service territory, on how much can be charged to utility customers for all economic development rate discounts</w:t>
      </w:r>
      <w:r w:rsidR="001747A1" w:rsidRPr="00E85C9A">
        <w:t xml:space="preserve"> in a give</w:t>
      </w:r>
      <w:r w:rsidR="002B0052" w:rsidRPr="00E85C9A">
        <w:t>n</w:t>
      </w:r>
      <w:r w:rsidR="001747A1" w:rsidRPr="00E85C9A">
        <w:t xml:space="preserve"> territory</w:t>
      </w:r>
      <w:r w:rsidR="00681BF8" w:rsidRPr="00E85C9A">
        <w:t xml:space="preserve">. </w:t>
      </w:r>
      <w:r w:rsidR="00E749A1" w:rsidRPr="00E85C9A">
        <w:t xml:space="preserve"> </w:t>
      </w:r>
      <w:r w:rsidR="002D2D78" w:rsidRPr="00E85C9A">
        <w:t>Also</w:t>
      </w:r>
      <w:r w:rsidR="002F0A20" w:rsidRPr="00E85C9A">
        <w:t>,</w:t>
      </w:r>
      <w:r w:rsidR="00E749A1" w:rsidRPr="00E85C9A">
        <w:t xml:space="preserve"> the annual report </w:t>
      </w:r>
      <w:r w:rsidR="00626230" w:rsidRPr="00E85C9A">
        <w:t xml:space="preserve">the Applicant </w:t>
      </w:r>
      <w:r w:rsidR="00E749A1" w:rsidRPr="00E85C9A">
        <w:t xml:space="preserve">is required to file with the </w:t>
      </w:r>
      <w:r w:rsidR="00FB56BE" w:rsidRPr="00E85C9A">
        <w:t xml:space="preserve">PUCO </w:t>
      </w:r>
      <w:r w:rsidR="00E749A1" w:rsidRPr="00E85C9A">
        <w:t>should be made availa</w:t>
      </w:r>
      <w:r w:rsidR="00E85C9A">
        <w:t>ble to all interested parties.</w:t>
      </w:r>
    </w:p>
    <w:p w14:paraId="1E7B7317" w14:textId="6608739F" w:rsidR="00DB1DDA" w:rsidRPr="00E85C9A" w:rsidRDefault="00DB1DDA" w:rsidP="009A4CDE">
      <w:pPr>
        <w:pStyle w:val="BodyA"/>
        <w:spacing w:line="480" w:lineRule="auto"/>
        <w:ind w:left="720" w:hanging="720"/>
        <w:rPr>
          <w:rFonts w:hAnsi="Times New Roman" w:cs="Times New Roman"/>
        </w:rPr>
      </w:pPr>
    </w:p>
    <w:p w14:paraId="00FAF42E" w14:textId="77777777" w:rsidR="009769C4" w:rsidRPr="00E85C9A" w:rsidRDefault="00275B98" w:rsidP="009A4CDE">
      <w:pPr>
        <w:pStyle w:val="DirectQuestion"/>
        <w:ind w:left="720" w:hanging="720"/>
        <w:rPr>
          <w:rFonts w:hAnsi="Times New Roman" w:cs="Times New Roman"/>
        </w:rPr>
      </w:pPr>
      <w:r w:rsidRPr="00E85C9A">
        <w:rPr>
          <w:rFonts w:hAnsi="Times New Roman" w:cs="Times New Roman"/>
        </w:rPr>
        <w:t>Q</w:t>
      </w:r>
      <w:r w:rsidR="002E2F3F" w:rsidRPr="00E85C9A">
        <w:rPr>
          <w:rFonts w:hAnsi="Times New Roman" w:cs="Times New Roman"/>
        </w:rPr>
        <w:t>9</w:t>
      </w:r>
      <w:r w:rsidRPr="00E85C9A">
        <w:rPr>
          <w:rFonts w:hAnsi="Times New Roman" w:cs="Times New Roman"/>
        </w:rPr>
        <w:t>.</w:t>
      </w:r>
      <w:r w:rsidRPr="00E85C9A">
        <w:rPr>
          <w:rFonts w:hAnsi="Times New Roman" w:cs="Times New Roman"/>
        </w:rPr>
        <w:tab/>
      </w:r>
      <w:r w:rsidR="007F1318" w:rsidRPr="00E85C9A">
        <w:rPr>
          <w:rFonts w:hAnsi="Times New Roman" w:cs="Times New Roman"/>
        </w:rPr>
        <w:t>Does this conclude your testimony?</w:t>
      </w:r>
    </w:p>
    <w:p w14:paraId="36762C61" w14:textId="77777777" w:rsidR="007F1318" w:rsidRPr="00E85C9A" w:rsidRDefault="00275B98" w:rsidP="007F1318">
      <w:pPr>
        <w:pStyle w:val="BodyA"/>
        <w:spacing w:line="480" w:lineRule="auto"/>
        <w:ind w:left="720" w:hanging="720"/>
        <w:rPr>
          <w:rFonts w:hAnsi="Times New Roman" w:cs="Times New Roman"/>
        </w:rPr>
      </w:pPr>
      <w:r w:rsidRPr="00E85C9A">
        <w:rPr>
          <w:rFonts w:hAnsi="Times New Roman" w:cs="Times New Roman"/>
          <w:b/>
          <w:bCs/>
          <w:i/>
          <w:iCs/>
        </w:rPr>
        <w:t>A</w:t>
      </w:r>
      <w:r w:rsidR="002E2F3F" w:rsidRPr="00E85C9A">
        <w:rPr>
          <w:rFonts w:hAnsi="Times New Roman" w:cs="Times New Roman"/>
          <w:b/>
          <w:bCs/>
          <w:i/>
          <w:iCs/>
        </w:rPr>
        <w:t>9</w:t>
      </w:r>
      <w:r w:rsidRPr="00E85C9A">
        <w:rPr>
          <w:rFonts w:hAnsi="Times New Roman" w:cs="Times New Roman"/>
          <w:b/>
          <w:bCs/>
          <w:i/>
          <w:iCs/>
        </w:rPr>
        <w:t>.</w:t>
      </w:r>
      <w:r w:rsidRPr="00E85C9A">
        <w:rPr>
          <w:rFonts w:hAnsi="Times New Roman" w:cs="Times New Roman"/>
          <w:b/>
          <w:bCs/>
          <w:i/>
          <w:iCs/>
        </w:rPr>
        <w:tab/>
      </w:r>
      <w:r w:rsidR="007F1318" w:rsidRPr="00E85C9A">
        <w:rPr>
          <w:rFonts w:hAnsi="Times New Roman" w:cs="Times New Roman"/>
        </w:rPr>
        <w:t>Yes, however I reserve the right to incorporate new information that may subsequently become available, such as after testimony by the stipulating parties is available.</w:t>
      </w:r>
    </w:p>
    <w:p w14:paraId="6E914A65" w14:textId="77777777" w:rsidR="009769C4" w:rsidRPr="002336BD" w:rsidRDefault="009769C4" w:rsidP="007F1318">
      <w:pPr>
        <w:pStyle w:val="BodyA"/>
        <w:spacing w:line="480" w:lineRule="auto"/>
        <w:rPr>
          <w:rFonts w:hAnsi="Times New Roman" w:cs="Times New Roman"/>
        </w:rPr>
        <w:sectPr w:rsidR="009769C4" w:rsidRPr="002336BD" w:rsidSect="0032443E">
          <w:headerReference w:type="default" r:id="rId14"/>
          <w:footerReference w:type="default" r:id="rId15"/>
          <w:pgSz w:w="12240" w:h="15840"/>
          <w:pgMar w:top="1440" w:right="1800" w:bottom="1440" w:left="1800" w:header="360" w:footer="720" w:gutter="0"/>
          <w:lnNumType w:countBy="1"/>
          <w:pgNumType w:start="1"/>
          <w:cols w:space="720"/>
          <w:docGrid w:linePitch="326"/>
        </w:sectPr>
      </w:pPr>
    </w:p>
    <w:p w14:paraId="56E00318" w14:textId="77777777" w:rsidR="009769C4" w:rsidRPr="002336BD" w:rsidRDefault="00275B98">
      <w:pPr>
        <w:pStyle w:val="BodyA"/>
        <w:jc w:val="center"/>
        <w:rPr>
          <w:rFonts w:hAnsi="Times New Roman" w:cs="Times New Roman"/>
          <w:b/>
          <w:bCs/>
          <w:u w:val="single"/>
        </w:rPr>
      </w:pPr>
      <w:r w:rsidRPr="002336BD">
        <w:rPr>
          <w:rFonts w:hAnsi="Times New Roman" w:cs="Times New Roman"/>
          <w:b/>
          <w:bCs/>
          <w:u w:val="single"/>
        </w:rPr>
        <w:t>CERTIFICATE OF SERVICE</w:t>
      </w:r>
    </w:p>
    <w:p w14:paraId="6AE39A0A" w14:textId="77777777" w:rsidR="009769C4" w:rsidRPr="002336BD" w:rsidRDefault="009769C4">
      <w:pPr>
        <w:pStyle w:val="BodyA"/>
        <w:jc w:val="center"/>
        <w:rPr>
          <w:rFonts w:hAnsi="Times New Roman" w:cs="Times New Roman"/>
          <w:b/>
          <w:bCs/>
          <w:u w:val="single"/>
        </w:rPr>
      </w:pPr>
    </w:p>
    <w:p w14:paraId="3899682C" w14:textId="7B884546" w:rsidR="009769C4" w:rsidRPr="002336BD" w:rsidRDefault="00275B98">
      <w:pPr>
        <w:pStyle w:val="BodyA"/>
        <w:suppressAutoHyphens/>
        <w:spacing w:line="480" w:lineRule="auto"/>
        <w:ind w:firstLine="720"/>
        <w:rPr>
          <w:rFonts w:hAnsi="Times New Roman" w:cs="Times New Roman"/>
        </w:rPr>
      </w:pPr>
      <w:r w:rsidRPr="002336BD">
        <w:rPr>
          <w:rFonts w:hAnsi="Times New Roman" w:cs="Times New Roman"/>
        </w:rPr>
        <w:t xml:space="preserve">I hereby certify that a true copy of the foregoing </w:t>
      </w:r>
      <w:r w:rsidR="00E85C9A">
        <w:rPr>
          <w:rFonts w:hAnsi="Times New Roman" w:cs="Times New Roman"/>
          <w:i/>
          <w:iCs/>
        </w:rPr>
        <w:t>Supplemental</w:t>
      </w:r>
      <w:r w:rsidRPr="002336BD">
        <w:rPr>
          <w:rFonts w:hAnsi="Times New Roman" w:cs="Times New Roman"/>
          <w:i/>
          <w:iCs/>
        </w:rPr>
        <w:t xml:space="preserve"> Testimony of Michael P. Haugh, on Behalf of the Office of the Ohio Consumers</w:t>
      </w:r>
      <w:r w:rsidRPr="002336BD">
        <w:rPr>
          <w:rFonts w:hAnsi="Times New Roman" w:cs="Times New Roman"/>
          <w:i/>
          <w:iCs/>
          <w:lang w:val="fr-FR"/>
        </w:rPr>
        <w:t xml:space="preserve">’ </w:t>
      </w:r>
      <w:r w:rsidRPr="002336BD">
        <w:rPr>
          <w:rFonts w:hAnsi="Times New Roman" w:cs="Times New Roman"/>
          <w:i/>
          <w:iCs/>
        </w:rPr>
        <w:t>Counsel</w:t>
      </w:r>
      <w:r w:rsidRPr="002336BD">
        <w:rPr>
          <w:rFonts w:hAnsi="Times New Roman" w:cs="Times New Roman"/>
        </w:rPr>
        <w:t xml:space="preserve"> was served via electronic transmission </w:t>
      </w:r>
      <w:r w:rsidR="0090014E" w:rsidRPr="002336BD">
        <w:rPr>
          <w:rFonts w:hAnsi="Times New Roman" w:cs="Times New Roman"/>
        </w:rPr>
        <w:t xml:space="preserve">upon the parties below </w:t>
      </w:r>
      <w:r w:rsidRPr="002336BD">
        <w:rPr>
          <w:rFonts w:hAnsi="Times New Roman" w:cs="Times New Roman"/>
        </w:rPr>
        <w:t xml:space="preserve">this </w:t>
      </w:r>
      <w:r w:rsidR="00091FEF">
        <w:rPr>
          <w:rFonts w:hAnsi="Times New Roman" w:cs="Times New Roman"/>
        </w:rPr>
        <w:t>3</w:t>
      </w:r>
      <w:r w:rsidR="00E85C9A">
        <w:rPr>
          <w:rFonts w:hAnsi="Times New Roman" w:cs="Times New Roman"/>
        </w:rPr>
        <w:t>r</w:t>
      </w:r>
      <w:r w:rsidR="00091FEF">
        <w:rPr>
          <w:rFonts w:hAnsi="Times New Roman" w:cs="Times New Roman"/>
        </w:rPr>
        <w:t>d day of December</w:t>
      </w:r>
      <w:r w:rsidRPr="002336BD">
        <w:rPr>
          <w:rFonts w:hAnsi="Times New Roman" w:cs="Times New Roman"/>
        </w:rPr>
        <w:t xml:space="preserve"> 2015.</w:t>
      </w:r>
    </w:p>
    <w:p w14:paraId="703E213F" w14:textId="77777777" w:rsidR="009769C4" w:rsidRPr="002336BD" w:rsidRDefault="00275B98" w:rsidP="002C4360">
      <w:pPr>
        <w:pStyle w:val="EndnoteText"/>
        <w:tabs>
          <w:tab w:val="left" w:pos="5040"/>
          <w:tab w:val="left" w:pos="8280"/>
        </w:tabs>
        <w:suppressAutoHyphens/>
        <w:rPr>
          <w:rFonts w:ascii="Times New Roman" w:eastAsia="Times New Roman" w:hAnsi="Times New Roman" w:cs="Times New Roman"/>
          <w:i/>
          <w:iCs/>
          <w:u w:val="single"/>
        </w:rPr>
      </w:pPr>
      <w:r w:rsidRPr="002336BD">
        <w:rPr>
          <w:rFonts w:ascii="Times New Roman" w:eastAsia="Times New Roman" w:hAnsi="Times New Roman" w:cs="Times New Roman"/>
        </w:rPr>
        <w:tab/>
      </w:r>
      <w:r w:rsidRPr="002336BD">
        <w:rPr>
          <w:rFonts w:ascii="Times New Roman" w:hAnsi="Times New Roman" w:cs="Times New Roman"/>
          <w:i/>
          <w:iCs/>
          <w:u w:val="single"/>
        </w:rPr>
        <w:t xml:space="preserve">/s/ </w:t>
      </w:r>
      <w:r w:rsidR="004B676C" w:rsidRPr="002336BD">
        <w:rPr>
          <w:rFonts w:ascii="Times New Roman" w:hAnsi="Times New Roman" w:cs="Times New Roman"/>
          <w:i/>
          <w:iCs/>
          <w:u w:val="single"/>
        </w:rPr>
        <w:t>Jodi Bair</w:t>
      </w:r>
      <w:r w:rsidR="002C4360" w:rsidRPr="002336BD">
        <w:rPr>
          <w:rFonts w:ascii="Times New Roman" w:eastAsia="Times New Roman" w:hAnsi="Times New Roman" w:cs="Times New Roman"/>
          <w:i/>
          <w:iCs/>
          <w:u w:val="single"/>
        </w:rPr>
        <w:tab/>
      </w:r>
    </w:p>
    <w:p w14:paraId="1A8E4FBF" w14:textId="77777777" w:rsidR="009769C4" w:rsidRPr="002336BD" w:rsidRDefault="00275B98">
      <w:pPr>
        <w:pStyle w:val="EndnoteText"/>
        <w:tabs>
          <w:tab w:val="left" w:pos="5040"/>
        </w:tabs>
        <w:suppressAutoHyphens/>
        <w:rPr>
          <w:rFonts w:ascii="Times New Roman" w:eastAsia="Times New Roman" w:hAnsi="Times New Roman" w:cs="Times New Roman"/>
        </w:rPr>
      </w:pPr>
      <w:r w:rsidRPr="002336BD">
        <w:rPr>
          <w:rFonts w:ascii="Times New Roman" w:eastAsia="Times New Roman" w:hAnsi="Times New Roman" w:cs="Times New Roman"/>
        </w:rPr>
        <w:tab/>
      </w:r>
      <w:r w:rsidR="004B676C" w:rsidRPr="002336BD">
        <w:rPr>
          <w:rFonts w:ascii="Times New Roman" w:hAnsi="Times New Roman" w:cs="Times New Roman"/>
        </w:rPr>
        <w:t>Jodi Bair</w:t>
      </w:r>
    </w:p>
    <w:p w14:paraId="60960E8D" w14:textId="77777777" w:rsidR="009769C4" w:rsidRPr="002336BD" w:rsidRDefault="00275B98">
      <w:pPr>
        <w:pStyle w:val="EndnoteText"/>
        <w:widowControl/>
        <w:tabs>
          <w:tab w:val="left" w:pos="5040"/>
        </w:tabs>
        <w:suppressAutoHyphens/>
        <w:rPr>
          <w:rFonts w:ascii="Times New Roman" w:eastAsia="Times New Roman" w:hAnsi="Times New Roman" w:cs="Times New Roman"/>
        </w:rPr>
      </w:pPr>
      <w:r w:rsidRPr="002336BD">
        <w:rPr>
          <w:rFonts w:ascii="Times New Roman" w:eastAsia="Times New Roman" w:hAnsi="Times New Roman" w:cs="Times New Roman"/>
        </w:rPr>
        <w:tab/>
        <w:t>Assistant Consumers</w:t>
      </w:r>
      <w:r w:rsidRPr="002336BD">
        <w:rPr>
          <w:rFonts w:ascii="Times New Roman" w:hAnsi="Times New Roman" w:cs="Times New Roman"/>
        </w:rPr>
        <w:t>’ Counsel</w:t>
      </w:r>
    </w:p>
    <w:p w14:paraId="77B931F4" w14:textId="77777777" w:rsidR="009769C4" w:rsidRPr="002336BD" w:rsidRDefault="009769C4">
      <w:pPr>
        <w:pStyle w:val="EndnoteText"/>
        <w:widowControl/>
        <w:rPr>
          <w:rFonts w:ascii="Times New Roman" w:eastAsia="Times New Roman" w:hAnsi="Times New Roman" w:cs="Times New Roman"/>
        </w:rPr>
      </w:pPr>
    </w:p>
    <w:p w14:paraId="16BE4BB7" w14:textId="77777777" w:rsidR="009769C4" w:rsidRPr="002336BD" w:rsidRDefault="009769C4">
      <w:pPr>
        <w:pStyle w:val="EndnoteText"/>
        <w:widowControl/>
        <w:rPr>
          <w:rFonts w:ascii="Times New Roman" w:eastAsia="Times New Roman" w:hAnsi="Times New Roman" w:cs="Times New Roman"/>
        </w:rPr>
      </w:pPr>
    </w:p>
    <w:p w14:paraId="1D6B5884" w14:textId="77777777" w:rsidR="0090014E" w:rsidRPr="002336BD" w:rsidRDefault="0090014E">
      <w:pPr>
        <w:pStyle w:val="BodyA"/>
        <w:jc w:val="center"/>
        <w:rPr>
          <w:rFonts w:hAnsi="Times New Roman" w:cs="Times New Roman"/>
          <w:b/>
          <w:bCs/>
          <w:u w:val="single"/>
        </w:rPr>
      </w:pPr>
    </w:p>
    <w:p w14:paraId="3A2F79CC" w14:textId="77777777" w:rsidR="009769C4" w:rsidRPr="002336BD" w:rsidRDefault="00275B98">
      <w:pPr>
        <w:pStyle w:val="BodyA"/>
        <w:jc w:val="center"/>
        <w:rPr>
          <w:rFonts w:hAnsi="Times New Roman" w:cs="Times New Roman"/>
          <w:b/>
          <w:bCs/>
          <w:u w:val="single"/>
        </w:rPr>
      </w:pPr>
      <w:r w:rsidRPr="002336BD">
        <w:rPr>
          <w:rFonts w:hAnsi="Times New Roman" w:cs="Times New Roman"/>
          <w:b/>
          <w:bCs/>
          <w:u w:val="single"/>
        </w:rPr>
        <w:t>SERVICE LIST</w:t>
      </w:r>
    </w:p>
    <w:p w14:paraId="60AA4FF1" w14:textId="77777777" w:rsidR="002C4360" w:rsidRPr="002336BD" w:rsidRDefault="002C4360">
      <w:pPr>
        <w:pStyle w:val="BodyA"/>
        <w:widowControl w:val="0"/>
        <w:jc w:val="center"/>
        <w:rPr>
          <w:rFonts w:hAnsi="Times New Roman" w:cs="Times New Roman"/>
          <w:b/>
          <w:bCs/>
          <w:u w:val="single"/>
        </w:rPr>
      </w:pPr>
    </w:p>
    <w:p w14:paraId="00C9B0D6" w14:textId="77777777" w:rsidR="0090014E" w:rsidRPr="002336BD" w:rsidRDefault="0090014E" w:rsidP="0090014E">
      <w:pPr>
        <w:tabs>
          <w:tab w:val="left" w:pos="4320"/>
        </w:tabs>
        <w:jc w:val="center"/>
        <w:rPr>
          <w:rFonts w:eastAsia="Times New Roman"/>
          <w:b/>
          <w:u w:val="single"/>
          <w:bdr w:val="none" w:sz="0" w:space="0" w:color="aut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0014E" w:rsidRPr="002336BD" w14:paraId="7BCBCA37" w14:textId="77777777" w:rsidTr="00EC02EE">
        <w:tc>
          <w:tcPr>
            <w:tcW w:w="4428" w:type="dxa"/>
          </w:tcPr>
          <w:p w14:paraId="5491C4E1" w14:textId="557D19A6" w:rsidR="0090014E" w:rsidRPr="000237E3" w:rsidRDefault="0090014E" w:rsidP="0090014E">
            <w:pPr>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William.wright@puc.state.oh.us</w:t>
            </w:r>
          </w:p>
          <w:p w14:paraId="773ABBFC" w14:textId="31D17E78" w:rsidR="0090014E" w:rsidRPr="000237E3" w:rsidRDefault="0090014E" w:rsidP="0090014E">
            <w:pPr>
              <w:autoSpaceDE w:val="0"/>
              <w:autoSpaceDN w:val="0"/>
              <w:adjustRightInd w:val="0"/>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dboehm@BKLlawfirm.com</w:t>
            </w:r>
          </w:p>
          <w:p w14:paraId="234AAC75" w14:textId="51EF68D1" w:rsidR="0090014E" w:rsidRPr="000237E3" w:rsidRDefault="0090014E" w:rsidP="0090014E">
            <w:pPr>
              <w:autoSpaceDE w:val="0"/>
              <w:autoSpaceDN w:val="0"/>
              <w:adjustRightInd w:val="0"/>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mkurtz@BKLlawfirm.com</w:t>
            </w:r>
          </w:p>
          <w:p w14:paraId="02C6CC5D" w14:textId="3452E3A5" w:rsidR="0090014E" w:rsidRPr="000237E3" w:rsidRDefault="0090014E" w:rsidP="0090014E">
            <w:pPr>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jkyler@BKLlawfirm.com</w:t>
            </w:r>
          </w:p>
          <w:p w14:paraId="0FC4D237" w14:textId="77777777" w:rsidR="0090014E" w:rsidRPr="000237E3" w:rsidRDefault="0090014E" w:rsidP="0090014E">
            <w:pPr>
              <w:tabs>
                <w:tab w:val="left" w:pos="4320"/>
              </w:tabs>
              <w:jc w:val="center"/>
              <w:rPr>
                <w:rFonts w:ascii="Times New Roman" w:eastAsia="Times New Roman" w:hAnsi="Times New Roman"/>
                <w:b/>
                <w:sz w:val="24"/>
                <w:szCs w:val="24"/>
                <w:u w:val="single"/>
              </w:rPr>
            </w:pPr>
          </w:p>
        </w:tc>
        <w:tc>
          <w:tcPr>
            <w:tcW w:w="4428" w:type="dxa"/>
          </w:tcPr>
          <w:p w14:paraId="0CC139A9" w14:textId="2DF29BFA" w:rsidR="0090014E" w:rsidRPr="000237E3" w:rsidRDefault="0090014E" w:rsidP="0090014E">
            <w:pPr>
              <w:ind w:left="612"/>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stnourse@aep.com</w:t>
            </w:r>
          </w:p>
          <w:p w14:paraId="6BCDCC47" w14:textId="4926A8D8" w:rsidR="0090014E" w:rsidRPr="000237E3" w:rsidRDefault="0090014E" w:rsidP="0090014E">
            <w:pPr>
              <w:ind w:left="612"/>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mjsettineri@vorys.com</w:t>
            </w:r>
          </w:p>
          <w:p w14:paraId="5122AF5C" w14:textId="001B80B0" w:rsidR="0090014E" w:rsidRDefault="0090014E" w:rsidP="0090014E">
            <w:pPr>
              <w:ind w:left="612"/>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wasieck@vorys.com</w:t>
            </w:r>
          </w:p>
          <w:p w14:paraId="3AAE4818" w14:textId="29464F07" w:rsidR="000237E3" w:rsidRPr="000237E3" w:rsidRDefault="000237E3" w:rsidP="000237E3">
            <w:pPr>
              <w:ind w:left="612"/>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Bojko@carpenterlipps.com</w:t>
            </w:r>
          </w:p>
          <w:p w14:paraId="0424332C" w14:textId="3C9A46E7" w:rsidR="0090014E" w:rsidRPr="000237E3" w:rsidRDefault="000237E3" w:rsidP="00816ECD">
            <w:pPr>
              <w:ind w:left="612"/>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orourke@carpenterlipps.com</w:t>
            </w:r>
          </w:p>
        </w:tc>
      </w:tr>
    </w:tbl>
    <w:p w14:paraId="29B77565" w14:textId="77777777" w:rsidR="0090014E" w:rsidRPr="002336BD" w:rsidRDefault="0090014E" w:rsidP="0090014E">
      <w:pPr>
        <w:pBdr>
          <w:top w:val="none" w:sz="0" w:space="0" w:color="auto"/>
          <w:left w:val="none" w:sz="0" w:space="0" w:color="auto"/>
          <w:bottom w:val="none" w:sz="0" w:space="0" w:color="auto"/>
          <w:right w:val="none" w:sz="0" w:space="0" w:color="auto"/>
          <w:between w:val="none" w:sz="0" w:space="0" w:color="auto"/>
          <w:bar w:val="none" w:sz="0" w:color="auto"/>
        </w:pBdr>
        <w:tabs>
          <w:tab w:val="left" w:pos="4320"/>
        </w:tabs>
        <w:jc w:val="center"/>
        <w:rPr>
          <w:rFonts w:eastAsia="Times New Roman"/>
          <w:b/>
          <w:u w:val="single"/>
          <w:bdr w:val="none" w:sz="0" w:space="0" w:color="auto"/>
        </w:rPr>
      </w:pPr>
    </w:p>
    <w:p w14:paraId="7E1F7236" w14:textId="77777777" w:rsidR="0090014E" w:rsidRPr="002336BD" w:rsidRDefault="0090014E" w:rsidP="0090014E">
      <w:pPr>
        <w:pBdr>
          <w:top w:val="none" w:sz="0" w:space="0" w:color="auto"/>
          <w:left w:val="none" w:sz="0" w:space="0" w:color="auto"/>
          <w:bottom w:val="none" w:sz="0" w:space="0" w:color="auto"/>
          <w:right w:val="none" w:sz="0" w:space="0" w:color="auto"/>
          <w:between w:val="none" w:sz="0" w:space="0" w:color="auto"/>
          <w:bar w:val="none" w:sz="0" w:color="auto"/>
        </w:pBdr>
        <w:tabs>
          <w:tab w:val="left" w:pos="4320"/>
        </w:tabs>
        <w:jc w:val="center"/>
        <w:rPr>
          <w:rFonts w:eastAsia="Times New Roman"/>
          <w:b/>
          <w:u w:val="single"/>
          <w:bdr w:val="none" w:sz="0" w:space="0" w:color="auto"/>
        </w:rPr>
      </w:pPr>
    </w:p>
    <w:p w14:paraId="3CDAB761" w14:textId="77777777" w:rsidR="007362DC" w:rsidRDefault="007362DC">
      <w:pPr>
        <w:rPr>
          <w:b/>
        </w:rPr>
        <w:sectPr w:rsidR="007362DC">
          <w:headerReference w:type="default" r:id="rId16"/>
          <w:footerReference w:type="default" r:id="rId17"/>
          <w:pgSz w:w="12240" w:h="15840"/>
          <w:pgMar w:top="1440" w:right="1800" w:bottom="1440" w:left="1800" w:header="360" w:footer="720" w:gutter="0"/>
          <w:cols w:space="720"/>
        </w:sectPr>
      </w:pPr>
    </w:p>
    <w:p w14:paraId="63737191" w14:textId="77777777" w:rsidR="007362DC" w:rsidRPr="002336BD" w:rsidRDefault="007362DC" w:rsidP="007362DC">
      <w:pPr>
        <w:pStyle w:val="BodyA"/>
        <w:ind w:left="4320" w:firstLine="720"/>
        <w:jc w:val="center"/>
        <w:rPr>
          <w:rFonts w:hAnsi="Times New Roman" w:cs="Times New Roman"/>
          <w:b/>
          <w:bCs/>
          <w:i/>
          <w:iCs/>
        </w:rPr>
      </w:pPr>
      <w:r w:rsidRPr="0005417E">
        <w:rPr>
          <w:rFonts w:hAnsi="Times New Roman" w:cs="Times New Roman"/>
          <w:b/>
          <w:bCs/>
          <w:i/>
          <w:iCs/>
          <w:noProof/>
        </w:rPr>
        <mc:AlternateContent>
          <mc:Choice Requires="wps">
            <w:drawing>
              <wp:anchor distT="0" distB="0" distL="114300" distR="114300" simplePos="0" relativeHeight="251659264" behindDoc="0" locked="0" layoutInCell="1" allowOverlap="1" wp14:anchorId="39478015" wp14:editId="0709719C">
                <wp:simplePos x="0" y="0"/>
                <wp:positionH relativeFrom="column">
                  <wp:posOffset>4251325</wp:posOffset>
                </wp:positionH>
                <wp:positionV relativeFrom="paragraph">
                  <wp:posOffset>-685800</wp:posOffset>
                </wp:positionV>
                <wp:extent cx="1174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403985"/>
                        </a:xfrm>
                        <a:prstGeom prst="rect">
                          <a:avLst/>
                        </a:prstGeom>
                        <a:noFill/>
                        <a:ln w="9525">
                          <a:noFill/>
                          <a:miter lim="800000"/>
                          <a:headEnd/>
                          <a:tailEnd/>
                        </a:ln>
                      </wps:spPr>
                      <wps:txbx>
                        <w:txbxContent>
                          <w:p w14:paraId="7DC8F8EF" w14:textId="77777777" w:rsidR="007362DC" w:rsidRDefault="007362DC" w:rsidP="007362DC">
                            <w:r>
                              <w:t>Attachment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75pt;margin-top:-54pt;width: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" filled="f" stroked="f">
                <v:textbox style="mso-fit-shape-to-text:t">
                  <w:txbxContent>
                    <w:p w14:paraId="7DC8F8EF" w14:textId="77777777" w:rsidR="007362DC" w:rsidRDefault="007362DC" w:rsidP="007362DC">
                      <w:r>
                        <w:t>Attachment 1</w:t>
                      </w:r>
                    </w:p>
                  </w:txbxContent>
                </v:textbox>
              </v:shape>
            </w:pict>
          </mc:Fallback>
        </mc:AlternateContent>
      </w:r>
      <w:r w:rsidRPr="002336BD">
        <w:rPr>
          <w:rFonts w:hAnsi="Times New Roman" w:cs="Times New Roman"/>
          <w:b/>
          <w:bCs/>
          <w:i/>
          <w:iCs/>
        </w:rPr>
        <w:t xml:space="preserve">             OCC EXHIBIT NO. ______</w:t>
      </w:r>
    </w:p>
    <w:p w14:paraId="5ED8C481" w14:textId="77777777" w:rsidR="007362DC" w:rsidRPr="002336BD" w:rsidRDefault="007362DC" w:rsidP="007362DC">
      <w:pPr>
        <w:pStyle w:val="BodyA"/>
        <w:jc w:val="center"/>
        <w:rPr>
          <w:rFonts w:hAnsi="Times New Roman" w:cs="Times New Roman"/>
          <w:b/>
          <w:bCs/>
        </w:rPr>
      </w:pPr>
    </w:p>
    <w:p w14:paraId="3CF77A3B" w14:textId="77777777" w:rsidR="007362DC" w:rsidRPr="002336BD" w:rsidRDefault="007362DC" w:rsidP="007362DC">
      <w:pPr>
        <w:pStyle w:val="BodyA"/>
        <w:jc w:val="center"/>
        <w:rPr>
          <w:rFonts w:hAnsi="Times New Roman" w:cs="Times New Roman"/>
          <w:b/>
          <w:bCs/>
        </w:rPr>
      </w:pPr>
    </w:p>
    <w:p w14:paraId="7D18FC73" w14:textId="77777777" w:rsidR="007362DC" w:rsidRPr="002336BD" w:rsidRDefault="007362DC" w:rsidP="007362DC">
      <w:pPr>
        <w:pStyle w:val="BodyA"/>
        <w:jc w:val="center"/>
        <w:rPr>
          <w:rFonts w:hAnsi="Times New Roman" w:cs="Times New Roman"/>
          <w:b/>
          <w:bCs/>
        </w:rPr>
      </w:pPr>
      <w:r w:rsidRPr="002336BD">
        <w:rPr>
          <w:rFonts w:hAnsi="Times New Roman" w:cs="Times New Roman"/>
          <w:b/>
          <w:bCs/>
        </w:rPr>
        <w:t>BEFORE</w:t>
      </w:r>
    </w:p>
    <w:p w14:paraId="4299D1DF" w14:textId="77777777" w:rsidR="007362DC" w:rsidRPr="002336BD" w:rsidRDefault="007362DC" w:rsidP="007362DC">
      <w:pPr>
        <w:pStyle w:val="BodyA"/>
        <w:jc w:val="center"/>
        <w:rPr>
          <w:rFonts w:hAnsi="Times New Roman" w:cs="Times New Roman"/>
          <w:b/>
          <w:bCs/>
        </w:rPr>
      </w:pPr>
      <w:r w:rsidRPr="002336BD">
        <w:rPr>
          <w:rFonts w:hAnsi="Times New Roman" w:cs="Times New Roman"/>
          <w:b/>
          <w:bCs/>
        </w:rPr>
        <w:t>THE PUBLIC UTILITIES COMMISSION OF OHIO</w:t>
      </w:r>
    </w:p>
    <w:p w14:paraId="221528DD" w14:textId="77777777" w:rsidR="007362DC" w:rsidRPr="002336BD" w:rsidRDefault="007362DC" w:rsidP="007362DC">
      <w:pPr>
        <w:pStyle w:val="BodyA"/>
        <w:jc w:val="center"/>
        <w:rPr>
          <w:rFonts w:hAnsi="Times New Roman" w:cs="Times New Roman"/>
          <w:b/>
          <w:bCs/>
        </w:rPr>
      </w:pPr>
    </w:p>
    <w:p w14:paraId="20CD5963" w14:textId="77777777" w:rsidR="007362DC" w:rsidRPr="002336BD" w:rsidRDefault="007362DC" w:rsidP="007362DC">
      <w:pPr>
        <w:pStyle w:val="BodyA"/>
        <w:jc w:val="center"/>
        <w:rPr>
          <w:rFonts w:hAnsi="Times New Roman" w:cs="Times New Roman"/>
          <w:b/>
          <w:bCs/>
        </w:rPr>
      </w:pPr>
    </w:p>
    <w:tbl>
      <w:tblPr>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9"/>
        <w:gridCol w:w="369"/>
        <w:gridCol w:w="4470"/>
      </w:tblGrid>
      <w:tr w:rsidR="007362DC" w:rsidRPr="002336BD" w14:paraId="24544ABC" w14:textId="77777777" w:rsidTr="00FD620A">
        <w:trPr>
          <w:trHeight w:val="1234"/>
          <w:jc w:val="center"/>
        </w:trPr>
        <w:tc>
          <w:tcPr>
            <w:tcW w:w="4659" w:type="dxa"/>
            <w:tcBorders>
              <w:top w:val="nil"/>
              <w:left w:val="nil"/>
              <w:bottom w:val="nil"/>
              <w:right w:val="nil"/>
            </w:tcBorders>
            <w:shd w:val="clear" w:color="auto" w:fill="auto"/>
            <w:tcMar>
              <w:top w:w="80" w:type="dxa"/>
              <w:left w:w="80" w:type="dxa"/>
              <w:bottom w:w="80" w:type="dxa"/>
              <w:right w:w="80" w:type="dxa"/>
            </w:tcMar>
          </w:tcPr>
          <w:p w14:paraId="00EB002A" w14:textId="77777777" w:rsidR="007362DC" w:rsidRPr="002336BD" w:rsidRDefault="007362DC" w:rsidP="00FD620A">
            <w:pPr>
              <w:pStyle w:val="BodyA"/>
              <w:contextualSpacing/>
              <w:rPr>
                <w:rFonts w:hAnsi="Times New Roman" w:cs="Times New Roman"/>
                <w:b/>
              </w:rPr>
            </w:pPr>
            <w:r w:rsidRPr="002336BD">
              <w:rPr>
                <w:rFonts w:hAnsi="Times New Roman" w:cs="Times New Roman"/>
                <w:b/>
              </w:rPr>
              <w:t>In The Matter Of The Application of TimkenSteel Corporation for Approval of a  Unique Arrangement for the TimkenSteel Corporation’s Stark County Facilities</w:t>
            </w:r>
          </w:p>
        </w:tc>
        <w:tc>
          <w:tcPr>
            <w:tcW w:w="369" w:type="dxa"/>
            <w:tcBorders>
              <w:top w:val="nil"/>
              <w:left w:val="nil"/>
              <w:bottom w:val="nil"/>
              <w:right w:val="nil"/>
            </w:tcBorders>
            <w:shd w:val="clear" w:color="auto" w:fill="auto"/>
            <w:tcMar>
              <w:top w:w="80" w:type="dxa"/>
              <w:left w:w="80" w:type="dxa"/>
              <w:bottom w:w="80" w:type="dxa"/>
              <w:right w:w="80" w:type="dxa"/>
            </w:tcMar>
          </w:tcPr>
          <w:p w14:paraId="5271EC86" w14:textId="77777777" w:rsidR="007362DC" w:rsidRPr="002336BD" w:rsidRDefault="007362DC" w:rsidP="00FD620A">
            <w:pPr>
              <w:pStyle w:val="BodyA"/>
              <w:jc w:val="center"/>
              <w:rPr>
                <w:rFonts w:hAnsi="Times New Roman" w:cs="Times New Roman"/>
                <w:b/>
              </w:rPr>
            </w:pPr>
            <w:r w:rsidRPr="002336BD">
              <w:rPr>
                <w:rFonts w:hAnsi="Times New Roman" w:cs="Times New Roman"/>
                <w:b/>
              </w:rPr>
              <w:t>)</w:t>
            </w:r>
          </w:p>
          <w:p w14:paraId="778BC365" w14:textId="77777777" w:rsidR="007362DC" w:rsidRPr="002336BD" w:rsidRDefault="007362DC" w:rsidP="00FD620A">
            <w:pPr>
              <w:pStyle w:val="BodyA"/>
              <w:jc w:val="center"/>
              <w:rPr>
                <w:rFonts w:hAnsi="Times New Roman" w:cs="Times New Roman"/>
                <w:b/>
              </w:rPr>
            </w:pPr>
            <w:r w:rsidRPr="002336BD">
              <w:rPr>
                <w:rFonts w:hAnsi="Times New Roman" w:cs="Times New Roman"/>
                <w:b/>
              </w:rPr>
              <w:t>)</w:t>
            </w:r>
          </w:p>
          <w:p w14:paraId="47D3E284" w14:textId="77777777" w:rsidR="007362DC" w:rsidRPr="002336BD" w:rsidRDefault="007362DC" w:rsidP="00FD620A">
            <w:pPr>
              <w:pStyle w:val="BodyA"/>
              <w:jc w:val="center"/>
              <w:rPr>
                <w:rFonts w:hAnsi="Times New Roman" w:cs="Times New Roman"/>
                <w:b/>
              </w:rPr>
            </w:pPr>
            <w:r w:rsidRPr="002336BD">
              <w:rPr>
                <w:rFonts w:hAnsi="Times New Roman" w:cs="Times New Roman"/>
                <w:b/>
              </w:rPr>
              <w:t>)</w:t>
            </w:r>
          </w:p>
          <w:p w14:paraId="26A5C04A" w14:textId="77777777" w:rsidR="007362DC" w:rsidRPr="002336BD" w:rsidRDefault="007362DC" w:rsidP="00FD620A">
            <w:pPr>
              <w:pStyle w:val="BodyA"/>
              <w:jc w:val="center"/>
              <w:rPr>
                <w:rFonts w:hAnsi="Times New Roman" w:cs="Times New Roman"/>
                <w:b/>
              </w:rPr>
            </w:pPr>
            <w:r w:rsidRPr="002336BD">
              <w:rPr>
                <w:rFonts w:hAnsi="Times New Roman" w:cs="Times New Roman"/>
                <w:b/>
              </w:rPr>
              <w:t>)</w:t>
            </w:r>
          </w:p>
        </w:tc>
        <w:tc>
          <w:tcPr>
            <w:tcW w:w="4470" w:type="dxa"/>
            <w:tcBorders>
              <w:top w:val="nil"/>
              <w:left w:val="nil"/>
              <w:bottom w:val="nil"/>
              <w:right w:val="nil"/>
            </w:tcBorders>
            <w:shd w:val="clear" w:color="auto" w:fill="auto"/>
            <w:tcMar>
              <w:top w:w="80" w:type="dxa"/>
              <w:left w:w="80" w:type="dxa"/>
              <w:bottom w:w="80" w:type="dxa"/>
              <w:right w:w="80" w:type="dxa"/>
            </w:tcMar>
          </w:tcPr>
          <w:p w14:paraId="3FCEA4A9" w14:textId="77777777" w:rsidR="007362DC" w:rsidRPr="002336BD" w:rsidRDefault="007362DC" w:rsidP="00FD620A">
            <w:pPr>
              <w:pStyle w:val="BodyA"/>
              <w:jc w:val="center"/>
              <w:rPr>
                <w:rFonts w:hAnsi="Times New Roman" w:cs="Times New Roman"/>
                <w:b/>
              </w:rPr>
            </w:pPr>
          </w:p>
          <w:p w14:paraId="758FAFB3" w14:textId="77777777" w:rsidR="007362DC" w:rsidRPr="002336BD" w:rsidRDefault="007362DC" w:rsidP="00FD620A">
            <w:pPr>
              <w:pStyle w:val="BodyA"/>
              <w:rPr>
                <w:rFonts w:hAnsi="Times New Roman" w:cs="Times New Roman"/>
                <w:b/>
              </w:rPr>
            </w:pPr>
            <w:r w:rsidRPr="002336BD">
              <w:rPr>
                <w:rFonts w:hAnsi="Times New Roman" w:cs="Times New Roman"/>
                <w:b/>
              </w:rPr>
              <w:t>Case No. 15-1857-EL-AEC</w:t>
            </w:r>
          </w:p>
        </w:tc>
      </w:tr>
    </w:tbl>
    <w:p w14:paraId="50C3C691" w14:textId="77777777" w:rsidR="007362DC" w:rsidRPr="002336BD" w:rsidRDefault="007362DC" w:rsidP="007362DC">
      <w:pPr>
        <w:pStyle w:val="BodyA"/>
        <w:widowControl w:val="0"/>
        <w:tabs>
          <w:tab w:val="left" w:pos="5898"/>
        </w:tabs>
        <w:jc w:val="center"/>
        <w:rPr>
          <w:rFonts w:hAnsi="Times New Roman" w:cs="Times New Roman"/>
          <w:b/>
          <w:bCs/>
        </w:rPr>
      </w:pPr>
    </w:p>
    <w:p w14:paraId="01A59254" w14:textId="77777777" w:rsidR="007362DC" w:rsidRPr="002336BD" w:rsidRDefault="007362DC" w:rsidP="007362DC">
      <w:pPr>
        <w:pStyle w:val="BodyA"/>
        <w:widowControl w:val="0"/>
        <w:tabs>
          <w:tab w:val="left" w:pos="5898"/>
        </w:tabs>
        <w:jc w:val="center"/>
        <w:rPr>
          <w:rFonts w:hAnsi="Times New Roman" w:cs="Times New Roman"/>
          <w:b/>
          <w:bCs/>
        </w:rPr>
      </w:pPr>
    </w:p>
    <w:p w14:paraId="47EB5856" w14:textId="77777777" w:rsidR="007362DC" w:rsidRPr="002336BD" w:rsidRDefault="007362DC" w:rsidP="007362DC">
      <w:pPr>
        <w:pStyle w:val="BodyA"/>
        <w:jc w:val="center"/>
        <w:rPr>
          <w:rFonts w:hAnsi="Times New Roman" w:cs="Times New Roman"/>
          <w:b/>
          <w:bCs/>
        </w:rPr>
      </w:pPr>
    </w:p>
    <w:p w14:paraId="2AA8C172" w14:textId="77777777" w:rsidR="007362DC" w:rsidRPr="002336BD" w:rsidRDefault="007362DC" w:rsidP="007362DC">
      <w:pPr>
        <w:pStyle w:val="BodyA"/>
        <w:jc w:val="center"/>
        <w:rPr>
          <w:rFonts w:hAnsi="Times New Roman" w:cs="Times New Roman"/>
          <w:b/>
          <w:bCs/>
        </w:rPr>
      </w:pPr>
    </w:p>
    <w:p w14:paraId="27120E6E" w14:textId="77777777" w:rsidR="007362DC" w:rsidRPr="002336BD" w:rsidRDefault="007362DC" w:rsidP="007362DC">
      <w:pPr>
        <w:pStyle w:val="BodyA"/>
        <w:jc w:val="center"/>
        <w:rPr>
          <w:rFonts w:hAnsi="Times New Roman" w:cs="Times New Roman"/>
          <w:b/>
          <w:bCs/>
        </w:rPr>
      </w:pPr>
    </w:p>
    <w:p w14:paraId="7AC04788" w14:textId="77777777" w:rsidR="007362DC" w:rsidRPr="002336BD" w:rsidRDefault="007362DC" w:rsidP="007362DC">
      <w:pPr>
        <w:pStyle w:val="BodyA"/>
        <w:jc w:val="center"/>
        <w:rPr>
          <w:rFonts w:hAnsi="Times New Roman" w:cs="Times New Roman"/>
          <w:b/>
          <w:bCs/>
          <w:color w:val="000000" w:themeColor="text1"/>
          <w:u w:color="974706"/>
        </w:rPr>
      </w:pPr>
    </w:p>
    <w:p w14:paraId="3D8527BD" w14:textId="77777777" w:rsidR="007362DC" w:rsidRPr="002336BD" w:rsidRDefault="007362DC" w:rsidP="007362DC">
      <w:pPr>
        <w:pStyle w:val="BodyA"/>
        <w:jc w:val="center"/>
        <w:rPr>
          <w:rFonts w:hAnsi="Times New Roman" w:cs="Times New Roman"/>
          <w:b/>
          <w:bCs/>
          <w:color w:val="000000" w:themeColor="text1"/>
          <w:u w:color="974706"/>
        </w:rPr>
      </w:pPr>
    </w:p>
    <w:p w14:paraId="385256C0" w14:textId="77777777" w:rsidR="007362DC" w:rsidRPr="002336BD" w:rsidRDefault="007362DC" w:rsidP="007362DC">
      <w:pPr>
        <w:pStyle w:val="BodyA"/>
        <w:jc w:val="center"/>
        <w:rPr>
          <w:rFonts w:hAnsi="Times New Roman" w:cs="Times New Roman"/>
          <w:b/>
          <w:bCs/>
        </w:rPr>
      </w:pPr>
      <w:r w:rsidRPr="002336BD">
        <w:rPr>
          <w:rFonts w:hAnsi="Times New Roman" w:cs="Times New Roman"/>
          <w:b/>
          <w:bCs/>
        </w:rPr>
        <w:t>DIRECT TESTIMONY</w:t>
      </w:r>
    </w:p>
    <w:p w14:paraId="49D6DC77" w14:textId="77777777" w:rsidR="007362DC" w:rsidRPr="002336BD" w:rsidRDefault="007362DC" w:rsidP="007362DC">
      <w:pPr>
        <w:pStyle w:val="BodyA"/>
        <w:jc w:val="center"/>
        <w:rPr>
          <w:rFonts w:hAnsi="Times New Roman" w:cs="Times New Roman"/>
          <w:b/>
          <w:bCs/>
        </w:rPr>
      </w:pPr>
      <w:r w:rsidRPr="002336BD">
        <w:rPr>
          <w:rFonts w:hAnsi="Times New Roman" w:cs="Times New Roman"/>
          <w:b/>
          <w:bCs/>
        </w:rPr>
        <w:t>OF</w:t>
      </w:r>
    </w:p>
    <w:p w14:paraId="52D49D77" w14:textId="77777777" w:rsidR="007362DC" w:rsidRPr="002336BD" w:rsidRDefault="007362DC" w:rsidP="007362DC">
      <w:pPr>
        <w:pStyle w:val="BodyA"/>
        <w:jc w:val="center"/>
        <w:rPr>
          <w:rFonts w:hAnsi="Times New Roman" w:cs="Times New Roman"/>
          <w:b/>
          <w:bCs/>
        </w:rPr>
      </w:pPr>
      <w:r w:rsidRPr="002336BD">
        <w:rPr>
          <w:rFonts w:hAnsi="Times New Roman" w:cs="Times New Roman"/>
          <w:b/>
          <w:bCs/>
        </w:rPr>
        <w:t>MICHAEL P. HAUGH</w:t>
      </w:r>
    </w:p>
    <w:p w14:paraId="41A9CF13" w14:textId="77777777" w:rsidR="007362DC" w:rsidRPr="002336BD" w:rsidRDefault="007362DC" w:rsidP="007362DC">
      <w:pPr>
        <w:pStyle w:val="BodyA"/>
        <w:jc w:val="center"/>
        <w:rPr>
          <w:rFonts w:hAnsi="Times New Roman" w:cs="Times New Roman"/>
          <w:b/>
          <w:bCs/>
        </w:rPr>
      </w:pPr>
    </w:p>
    <w:p w14:paraId="2A79D482" w14:textId="77777777" w:rsidR="007362DC" w:rsidRPr="002336BD" w:rsidRDefault="007362DC" w:rsidP="007362DC">
      <w:pPr>
        <w:pStyle w:val="BodyA"/>
        <w:jc w:val="center"/>
        <w:rPr>
          <w:rFonts w:hAnsi="Times New Roman" w:cs="Times New Roman"/>
          <w:b/>
          <w:bCs/>
        </w:rPr>
      </w:pPr>
    </w:p>
    <w:p w14:paraId="1EDA5971" w14:textId="77777777" w:rsidR="007362DC" w:rsidRPr="002336BD" w:rsidRDefault="007362DC" w:rsidP="007362DC">
      <w:pPr>
        <w:pStyle w:val="BodyA"/>
        <w:jc w:val="center"/>
        <w:rPr>
          <w:rFonts w:hAnsi="Times New Roman" w:cs="Times New Roman"/>
          <w:b/>
          <w:bCs/>
        </w:rPr>
      </w:pPr>
    </w:p>
    <w:p w14:paraId="39A61234" w14:textId="77777777" w:rsidR="007362DC" w:rsidRPr="002336BD" w:rsidRDefault="007362DC" w:rsidP="007362DC">
      <w:pPr>
        <w:pStyle w:val="BodyA"/>
        <w:jc w:val="center"/>
        <w:rPr>
          <w:rFonts w:hAnsi="Times New Roman" w:cs="Times New Roman"/>
          <w:b/>
          <w:bCs/>
        </w:rPr>
      </w:pPr>
    </w:p>
    <w:p w14:paraId="331519AD" w14:textId="77777777" w:rsidR="007362DC" w:rsidRPr="002336BD" w:rsidRDefault="007362DC" w:rsidP="007362DC">
      <w:pPr>
        <w:pStyle w:val="BodyA"/>
        <w:jc w:val="center"/>
        <w:rPr>
          <w:rFonts w:hAnsi="Times New Roman" w:cs="Times New Roman"/>
          <w:b/>
          <w:bCs/>
        </w:rPr>
      </w:pPr>
      <w:r w:rsidRPr="002336BD">
        <w:rPr>
          <w:rFonts w:hAnsi="Times New Roman" w:cs="Times New Roman"/>
          <w:b/>
          <w:bCs/>
        </w:rPr>
        <w:t>On Behalf of the</w:t>
      </w:r>
    </w:p>
    <w:p w14:paraId="4B86D1F2" w14:textId="77777777" w:rsidR="007362DC" w:rsidRPr="002336BD" w:rsidRDefault="007362DC" w:rsidP="007362DC">
      <w:pPr>
        <w:pStyle w:val="BodyA"/>
        <w:jc w:val="center"/>
        <w:rPr>
          <w:rFonts w:hAnsi="Times New Roman" w:cs="Times New Roman"/>
          <w:b/>
          <w:bCs/>
        </w:rPr>
      </w:pPr>
      <w:r w:rsidRPr="002336BD">
        <w:rPr>
          <w:rFonts w:hAnsi="Times New Roman" w:cs="Times New Roman"/>
          <w:b/>
          <w:bCs/>
        </w:rPr>
        <w:t>The Office of the Ohio Consumers</w:t>
      </w:r>
      <w:r w:rsidRPr="002336BD">
        <w:rPr>
          <w:rFonts w:hAnsi="Times New Roman" w:cs="Times New Roman"/>
          <w:b/>
          <w:bCs/>
          <w:lang w:val="fr-FR"/>
        </w:rPr>
        <w:t xml:space="preserve">’ </w:t>
      </w:r>
      <w:r w:rsidRPr="002336BD">
        <w:rPr>
          <w:rFonts w:hAnsi="Times New Roman" w:cs="Times New Roman"/>
          <w:b/>
          <w:bCs/>
        </w:rPr>
        <w:t>Counsel</w:t>
      </w:r>
    </w:p>
    <w:p w14:paraId="0E31116D" w14:textId="77777777" w:rsidR="007362DC" w:rsidRPr="002336BD" w:rsidRDefault="007362DC" w:rsidP="007362DC">
      <w:pPr>
        <w:pStyle w:val="BodyA"/>
        <w:jc w:val="center"/>
        <w:rPr>
          <w:rFonts w:hAnsi="Times New Roman" w:cs="Times New Roman"/>
          <w:i/>
          <w:iCs/>
        </w:rPr>
      </w:pPr>
      <w:r w:rsidRPr="002336BD">
        <w:rPr>
          <w:rFonts w:hAnsi="Times New Roman" w:cs="Times New Roman"/>
          <w:i/>
          <w:iCs/>
        </w:rPr>
        <w:t>10 West Broad Street, Suite 1800</w:t>
      </w:r>
    </w:p>
    <w:p w14:paraId="0B763447" w14:textId="77777777" w:rsidR="007362DC" w:rsidRPr="002336BD" w:rsidRDefault="007362DC" w:rsidP="007362DC">
      <w:pPr>
        <w:pStyle w:val="BodyA"/>
        <w:jc w:val="center"/>
        <w:rPr>
          <w:rFonts w:hAnsi="Times New Roman" w:cs="Times New Roman"/>
          <w:i/>
          <w:iCs/>
        </w:rPr>
      </w:pPr>
      <w:r w:rsidRPr="002336BD">
        <w:rPr>
          <w:rFonts w:hAnsi="Times New Roman" w:cs="Times New Roman"/>
          <w:i/>
          <w:iCs/>
        </w:rPr>
        <w:t>Columbus, Ohio 43215-3485</w:t>
      </w:r>
    </w:p>
    <w:p w14:paraId="50C04BAD" w14:textId="77777777" w:rsidR="007362DC" w:rsidRPr="002336BD" w:rsidRDefault="007362DC" w:rsidP="007362DC">
      <w:pPr>
        <w:pStyle w:val="BodyA"/>
        <w:jc w:val="center"/>
        <w:rPr>
          <w:rFonts w:hAnsi="Times New Roman" w:cs="Times New Roman"/>
          <w:b/>
          <w:bCs/>
        </w:rPr>
      </w:pPr>
    </w:p>
    <w:p w14:paraId="7C241B6A" w14:textId="77777777" w:rsidR="007362DC" w:rsidRPr="002336BD" w:rsidRDefault="007362DC" w:rsidP="007362DC">
      <w:pPr>
        <w:pStyle w:val="BodyA"/>
        <w:jc w:val="center"/>
        <w:rPr>
          <w:rFonts w:hAnsi="Times New Roman" w:cs="Times New Roman"/>
          <w:b/>
          <w:bCs/>
        </w:rPr>
      </w:pPr>
    </w:p>
    <w:p w14:paraId="103C9D1C" w14:textId="77777777" w:rsidR="007362DC" w:rsidRPr="002336BD" w:rsidRDefault="007362DC" w:rsidP="007362DC">
      <w:pPr>
        <w:pStyle w:val="BodyA"/>
        <w:jc w:val="center"/>
        <w:rPr>
          <w:rFonts w:hAnsi="Times New Roman" w:cs="Times New Roman"/>
          <w:b/>
          <w:bCs/>
        </w:rPr>
      </w:pPr>
    </w:p>
    <w:p w14:paraId="0063E85C" w14:textId="77777777" w:rsidR="007362DC" w:rsidRPr="002336BD" w:rsidRDefault="007362DC" w:rsidP="007362DC">
      <w:pPr>
        <w:pStyle w:val="BodyA"/>
        <w:jc w:val="center"/>
        <w:rPr>
          <w:rFonts w:hAnsi="Times New Roman" w:cs="Times New Roman"/>
          <w:b/>
          <w:bCs/>
        </w:rPr>
      </w:pPr>
    </w:p>
    <w:p w14:paraId="13D5B2D8" w14:textId="77777777" w:rsidR="007362DC" w:rsidRPr="002336BD" w:rsidRDefault="007362DC" w:rsidP="007362DC">
      <w:pPr>
        <w:pStyle w:val="BodyA"/>
        <w:jc w:val="center"/>
        <w:rPr>
          <w:rFonts w:hAnsi="Times New Roman" w:cs="Times New Roman"/>
          <w:b/>
          <w:bCs/>
          <w:caps/>
        </w:rPr>
        <w:sectPr w:rsidR="007362DC" w:rsidRPr="002336BD" w:rsidSect="002336BD">
          <w:headerReference w:type="even" r:id="rId18"/>
          <w:headerReference w:type="default" r:id="rId19"/>
          <w:footerReference w:type="even" r:id="rId20"/>
          <w:footerReference w:type="default" r:id="rId21"/>
          <w:headerReference w:type="first" r:id="rId22"/>
          <w:footerReference w:type="first" r:id="rId23"/>
          <w:pgSz w:w="12240" w:h="15840" w:code="1"/>
          <w:pgMar w:top="1440" w:right="1800" w:bottom="1440" w:left="1800" w:header="360" w:footer="720" w:gutter="0"/>
          <w:cols w:space="720"/>
          <w:titlePg/>
          <w:docGrid w:linePitch="326"/>
        </w:sectPr>
      </w:pPr>
      <w:r w:rsidRPr="002336BD">
        <w:rPr>
          <w:rFonts w:hAnsi="Times New Roman" w:cs="Times New Roman"/>
          <w:b/>
          <w:bCs/>
          <w:caps/>
        </w:rPr>
        <w:t>November 27, 2015</w:t>
      </w:r>
    </w:p>
    <w:p w14:paraId="083ABC66" w14:textId="77777777" w:rsidR="007362DC" w:rsidRPr="002336BD" w:rsidRDefault="007362DC" w:rsidP="007362DC">
      <w:pPr>
        <w:pStyle w:val="BodyA"/>
        <w:spacing w:line="480" w:lineRule="auto"/>
        <w:jc w:val="center"/>
        <w:rPr>
          <w:rFonts w:hAnsi="Times New Roman" w:cs="Times New Roman"/>
          <w:b/>
          <w:bCs/>
        </w:rPr>
      </w:pPr>
      <w:r w:rsidRPr="002336BD">
        <w:rPr>
          <w:rFonts w:hAnsi="Times New Roman" w:cs="Times New Roman"/>
          <w:b/>
          <w:bCs/>
        </w:rPr>
        <w:t>TABLE OF CONTENTS</w:t>
      </w:r>
    </w:p>
    <w:p w14:paraId="505A522D" w14:textId="77777777" w:rsidR="007362DC" w:rsidRDefault="007362DC" w:rsidP="007362DC">
      <w:pPr>
        <w:pStyle w:val="BodyA"/>
        <w:spacing w:line="480" w:lineRule="auto"/>
        <w:jc w:val="right"/>
        <w:rPr>
          <w:noProof/>
        </w:rPr>
      </w:pPr>
      <w:r w:rsidRPr="002336BD">
        <w:rPr>
          <w:rFonts w:hAnsi="Times New Roman" w:cs="Times New Roman"/>
          <w:b/>
          <w:bCs/>
        </w:rPr>
        <w:t>PAGE</w:t>
      </w:r>
      <w:r w:rsidRPr="002336BD">
        <w:rPr>
          <w:rFonts w:hAnsi="Times New Roman" w:cs="Times New Roman"/>
          <w:b/>
          <w:bCs/>
        </w:rPr>
        <w:fldChar w:fldCharType="begin"/>
      </w:r>
      <w:r w:rsidRPr="002336BD">
        <w:rPr>
          <w:rFonts w:hAnsi="Times New Roman" w:cs="Times New Roman"/>
          <w:b/>
          <w:bCs/>
        </w:rPr>
        <w:instrText xml:space="preserve"> TOC \o "1-1" \h \z \u </w:instrText>
      </w:r>
      <w:r w:rsidRPr="002336BD">
        <w:rPr>
          <w:rFonts w:hAnsi="Times New Roman" w:cs="Times New Roman"/>
          <w:b/>
          <w:bCs/>
        </w:rPr>
        <w:fldChar w:fldCharType="separate"/>
      </w:r>
    </w:p>
    <w:p w14:paraId="340F726E" w14:textId="77777777" w:rsidR="007362DC" w:rsidRDefault="00E36E7A" w:rsidP="007362DC">
      <w:pPr>
        <w:pStyle w:val="TOC1"/>
        <w:rPr>
          <w:rFonts w:asciiTheme="minorHAnsi" w:eastAsiaTheme="minorEastAsia" w:hAnsiTheme="minorHAnsi" w:cstheme="minorBidi"/>
          <w:caps w:val="0"/>
          <w:noProof/>
          <w:sz w:val="22"/>
          <w:szCs w:val="22"/>
          <w:bdr w:val="none" w:sz="0" w:space="0" w:color="auto"/>
        </w:rPr>
      </w:pPr>
      <w:hyperlink w:anchor="_Toc436402882" w:history="1">
        <w:r w:rsidR="007362DC" w:rsidRPr="007A2DF4">
          <w:rPr>
            <w:rStyle w:val="Hyperlink"/>
            <w:rFonts w:eastAsia="Arial Unicode MS"/>
            <w:noProof/>
          </w:rPr>
          <w:t>I.</w:t>
        </w:r>
        <w:r w:rsidR="007362DC">
          <w:rPr>
            <w:rFonts w:asciiTheme="minorHAnsi" w:eastAsiaTheme="minorEastAsia" w:hAnsiTheme="minorHAnsi" w:cstheme="minorBidi"/>
            <w:caps w:val="0"/>
            <w:noProof/>
            <w:sz w:val="22"/>
            <w:szCs w:val="22"/>
            <w:bdr w:val="none" w:sz="0" w:space="0" w:color="auto"/>
          </w:rPr>
          <w:tab/>
        </w:r>
        <w:r w:rsidR="007362DC" w:rsidRPr="007A2DF4">
          <w:rPr>
            <w:rStyle w:val="Hyperlink"/>
            <w:rFonts w:eastAsia="Arial Unicode MS"/>
            <w:noProof/>
          </w:rPr>
          <w:t>OVERVIEW</w:t>
        </w:r>
        <w:r w:rsidR="007362DC">
          <w:rPr>
            <w:noProof/>
            <w:webHidden/>
          </w:rPr>
          <w:tab/>
        </w:r>
        <w:r w:rsidR="007362DC">
          <w:rPr>
            <w:noProof/>
            <w:webHidden/>
          </w:rPr>
          <w:fldChar w:fldCharType="begin"/>
        </w:r>
        <w:r w:rsidR="007362DC">
          <w:rPr>
            <w:noProof/>
            <w:webHidden/>
          </w:rPr>
          <w:instrText xml:space="preserve"> PAGEREF _Toc436402882 \h </w:instrText>
        </w:r>
        <w:r w:rsidR="007362DC">
          <w:rPr>
            <w:noProof/>
            <w:webHidden/>
          </w:rPr>
        </w:r>
        <w:r w:rsidR="007362DC">
          <w:rPr>
            <w:noProof/>
            <w:webHidden/>
          </w:rPr>
          <w:fldChar w:fldCharType="separate"/>
        </w:r>
        <w:r w:rsidR="009A0295">
          <w:rPr>
            <w:noProof/>
            <w:webHidden/>
          </w:rPr>
          <w:t>1</w:t>
        </w:r>
        <w:r w:rsidR="007362DC">
          <w:rPr>
            <w:noProof/>
            <w:webHidden/>
          </w:rPr>
          <w:fldChar w:fldCharType="end"/>
        </w:r>
      </w:hyperlink>
    </w:p>
    <w:p w14:paraId="4FA5A919" w14:textId="77777777" w:rsidR="007362DC" w:rsidRDefault="00E36E7A" w:rsidP="007362DC">
      <w:pPr>
        <w:pStyle w:val="TOC1"/>
        <w:rPr>
          <w:rFonts w:asciiTheme="minorHAnsi" w:eastAsiaTheme="minorEastAsia" w:hAnsiTheme="minorHAnsi" w:cstheme="minorBidi"/>
          <w:caps w:val="0"/>
          <w:noProof/>
          <w:sz w:val="22"/>
          <w:szCs w:val="22"/>
          <w:bdr w:val="none" w:sz="0" w:space="0" w:color="auto"/>
        </w:rPr>
      </w:pPr>
      <w:hyperlink w:anchor="_Toc436402883" w:history="1">
        <w:r w:rsidR="007362DC" w:rsidRPr="007A2DF4">
          <w:rPr>
            <w:rStyle w:val="Hyperlink"/>
            <w:rFonts w:eastAsia="Arial Unicode MS"/>
            <w:noProof/>
          </w:rPr>
          <w:t>II.</w:t>
        </w:r>
        <w:r w:rsidR="007362DC">
          <w:rPr>
            <w:rFonts w:asciiTheme="minorHAnsi" w:eastAsiaTheme="minorEastAsia" w:hAnsiTheme="minorHAnsi" w:cstheme="minorBidi"/>
            <w:caps w:val="0"/>
            <w:noProof/>
            <w:sz w:val="22"/>
            <w:szCs w:val="22"/>
            <w:bdr w:val="none" w:sz="0" w:space="0" w:color="auto"/>
          </w:rPr>
          <w:tab/>
        </w:r>
        <w:r w:rsidR="007362DC" w:rsidRPr="007A2DF4">
          <w:rPr>
            <w:rStyle w:val="Hyperlink"/>
            <w:rFonts w:eastAsia="Arial Unicode MS"/>
            <w:noProof/>
          </w:rPr>
          <w:t>PURPOSE OF TESTIMONY</w:t>
        </w:r>
        <w:r w:rsidR="007362DC">
          <w:rPr>
            <w:noProof/>
            <w:webHidden/>
          </w:rPr>
          <w:tab/>
        </w:r>
        <w:r w:rsidR="007362DC">
          <w:rPr>
            <w:noProof/>
            <w:webHidden/>
          </w:rPr>
          <w:fldChar w:fldCharType="begin"/>
        </w:r>
        <w:r w:rsidR="007362DC">
          <w:rPr>
            <w:noProof/>
            <w:webHidden/>
          </w:rPr>
          <w:instrText xml:space="preserve"> PAGEREF _Toc436402883 \h </w:instrText>
        </w:r>
        <w:r w:rsidR="007362DC">
          <w:rPr>
            <w:noProof/>
            <w:webHidden/>
          </w:rPr>
        </w:r>
        <w:r w:rsidR="007362DC">
          <w:rPr>
            <w:noProof/>
            <w:webHidden/>
          </w:rPr>
          <w:fldChar w:fldCharType="separate"/>
        </w:r>
        <w:r w:rsidR="009A0295">
          <w:rPr>
            <w:noProof/>
            <w:webHidden/>
          </w:rPr>
          <w:t>2</w:t>
        </w:r>
        <w:r w:rsidR="007362DC">
          <w:rPr>
            <w:noProof/>
            <w:webHidden/>
          </w:rPr>
          <w:fldChar w:fldCharType="end"/>
        </w:r>
      </w:hyperlink>
    </w:p>
    <w:p w14:paraId="2154F455" w14:textId="77777777" w:rsidR="007362DC" w:rsidRDefault="00E36E7A" w:rsidP="007362DC">
      <w:pPr>
        <w:pStyle w:val="TOC1"/>
        <w:rPr>
          <w:rFonts w:asciiTheme="minorHAnsi" w:eastAsiaTheme="minorEastAsia" w:hAnsiTheme="minorHAnsi" w:cstheme="minorBidi"/>
          <w:caps w:val="0"/>
          <w:noProof/>
          <w:sz w:val="22"/>
          <w:szCs w:val="22"/>
          <w:bdr w:val="none" w:sz="0" w:space="0" w:color="auto"/>
        </w:rPr>
      </w:pPr>
      <w:hyperlink w:anchor="_Toc436402884" w:history="1">
        <w:r w:rsidR="007362DC" w:rsidRPr="007A2DF4">
          <w:rPr>
            <w:rStyle w:val="Hyperlink"/>
            <w:rFonts w:eastAsia="Arial Unicode MS"/>
            <w:noProof/>
          </w:rPr>
          <w:t>III.</w:t>
        </w:r>
        <w:r w:rsidR="007362DC">
          <w:rPr>
            <w:rFonts w:asciiTheme="minorHAnsi" w:eastAsiaTheme="minorEastAsia" w:hAnsiTheme="minorHAnsi" w:cstheme="minorBidi"/>
            <w:caps w:val="0"/>
            <w:noProof/>
            <w:sz w:val="22"/>
            <w:szCs w:val="22"/>
            <w:bdr w:val="none" w:sz="0" w:space="0" w:color="auto"/>
          </w:rPr>
          <w:tab/>
        </w:r>
        <w:r w:rsidR="007362DC" w:rsidRPr="007A2DF4">
          <w:rPr>
            <w:rStyle w:val="Hyperlink"/>
            <w:rFonts w:eastAsia="Arial Unicode MS"/>
            <w:noProof/>
          </w:rPr>
          <w:t>Recommendations</w:t>
        </w:r>
        <w:r w:rsidR="007362DC">
          <w:rPr>
            <w:noProof/>
            <w:webHidden/>
          </w:rPr>
          <w:tab/>
        </w:r>
        <w:r w:rsidR="007362DC">
          <w:rPr>
            <w:noProof/>
            <w:webHidden/>
          </w:rPr>
          <w:fldChar w:fldCharType="begin"/>
        </w:r>
        <w:r w:rsidR="007362DC">
          <w:rPr>
            <w:noProof/>
            <w:webHidden/>
          </w:rPr>
          <w:instrText xml:space="preserve"> PAGEREF _Toc436402884 \h </w:instrText>
        </w:r>
        <w:r w:rsidR="007362DC">
          <w:rPr>
            <w:noProof/>
            <w:webHidden/>
          </w:rPr>
        </w:r>
        <w:r w:rsidR="007362DC">
          <w:rPr>
            <w:noProof/>
            <w:webHidden/>
          </w:rPr>
          <w:fldChar w:fldCharType="separate"/>
        </w:r>
        <w:r w:rsidR="009A0295">
          <w:rPr>
            <w:noProof/>
            <w:webHidden/>
          </w:rPr>
          <w:t>4</w:t>
        </w:r>
        <w:r w:rsidR="007362DC">
          <w:rPr>
            <w:noProof/>
            <w:webHidden/>
          </w:rPr>
          <w:fldChar w:fldCharType="end"/>
        </w:r>
      </w:hyperlink>
    </w:p>
    <w:p w14:paraId="532E28F6" w14:textId="77777777" w:rsidR="007362DC" w:rsidRDefault="00E36E7A" w:rsidP="007362DC">
      <w:pPr>
        <w:pStyle w:val="TOC1"/>
        <w:rPr>
          <w:rFonts w:asciiTheme="minorHAnsi" w:eastAsiaTheme="minorEastAsia" w:hAnsiTheme="minorHAnsi" w:cstheme="minorBidi"/>
          <w:caps w:val="0"/>
          <w:noProof/>
          <w:sz w:val="22"/>
          <w:szCs w:val="22"/>
          <w:bdr w:val="none" w:sz="0" w:space="0" w:color="auto"/>
        </w:rPr>
      </w:pPr>
      <w:hyperlink w:anchor="_Toc436402885" w:history="1">
        <w:r w:rsidR="007362DC" w:rsidRPr="007A2DF4">
          <w:rPr>
            <w:rStyle w:val="Hyperlink"/>
            <w:rFonts w:eastAsia="Arial Unicode MS"/>
            <w:noProof/>
          </w:rPr>
          <w:t>IV.</w:t>
        </w:r>
        <w:r w:rsidR="007362DC">
          <w:rPr>
            <w:rFonts w:asciiTheme="minorHAnsi" w:eastAsiaTheme="minorEastAsia" w:hAnsiTheme="minorHAnsi" w:cstheme="minorBidi"/>
            <w:caps w:val="0"/>
            <w:noProof/>
            <w:sz w:val="22"/>
            <w:szCs w:val="22"/>
            <w:bdr w:val="none" w:sz="0" w:space="0" w:color="auto"/>
          </w:rPr>
          <w:tab/>
        </w:r>
        <w:r w:rsidR="007362DC" w:rsidRPr="007A2DF4">
          <w:rPr>
            <w:rStyle w:val="Hyperlink"/>
            <w:rFonts w:eastAsia="Arial Unicode MS"/>
            <w:noProof/>
          </w:rPr>
          <w:t>CONCLUSION</w:t>
        </w:r>
        <w:r w:rsidR="007362DC">
          <w:rPr>
            <w:noProof/>
            <w:webHidden/>
          </w:rPr>
          <w:tab/>
        </w:r>
        <w:r w:rsidR="007362DC">
          <w:rPr>
            <w:noProof/>
            <w:webHidden/>
          </w:rPr>
          <w:fldChar w:fldCharType="begin"/>
        </w:r>
        <w:r w:rsidR="007362DC">
          <w:rPr>
            <w:noProof/>
            <w:webHidden/>
          </w:rPr>
          <w:instrText xml:space="preserve"> PAGEREF _Toc436402885 \h </w:instrText>
        </w:r>
        <w:r w:rsidR="007362DC">
          <w:rPr>
            <w:noProof/>
            <w:webHidden/>
          </w:rPr>
        </w:r>
        <w:r w:rsidR="007362DC">
          <w:rPr>
            <w:noProof/>
            <w:webHidden/>
          </w:rPr>
          <w:fldChar w:fldCharType="separate"/>
        </w:r>
        <w:r w:rsidR="009A0295">
          <w:rPr>
            <w:noProof/>
            <w:webHidden/>
          </w:rPr>
          <w:t>11</w:t>
        </w:r>
        <w:r w:rsidR="007362DC">
          <w:rPr>
            <w:noProof/>
            <w:webHidden/>
          </w:rPr>
          <w:fldChar w:fldCharType="end"/>
        </w:r>
      </w:hyperlink>
    </w:p>
    <w:p w14:paraId="2CE6352B" w14:textId="77777777" w:rsidR="007362DC" w:rsidRPr="002336BD" w:rsidRDefault="007362DC" w:rsidP="007362DC">
      <w:pPr>
        <w:pStyle w:val="BodyA"/>
        <w:spacing w:line="480" w:lineRule="auto"/>
        <w:jc w:val="right"/>
        <w:rPr>
          <w:rFonts w:hAnsi="Times New Roman" w:cs="Times New Roman"/>
          <w:b/>
          <w:bCs/>
          <w:caps/>
        </w:rPr>
      </w:pPr>
      <w:r w:rsidRPr="002336BD">
        <w:rPr>
          <w:rFonts w:hAnsi="Times New Roman" w:cs="Times New Roman"/>
          <w:b/>
          <w:bCs/>
        </w:rPr>
        <w:fldChar w:fldCharType="end"/>
      </w:r>
    </w:p>
    <w:p w14:paraId="16927742" w14:textId="77777777" w:rsidR="007362DC" w:rsidRPr="002336BD" w:rsidRDefault="007362DC" w:rsidP="007362DC">
      <w:pPr>
        <w:pStyle w:val="BodyA"/>
        <w:spacing w:line="480" w:lineRule="auto"/>
        <w:jc w:val="center"/>
        <w:rPr>
          <w:rFonts w:hAnsi="Times New Roman" w:cs="Times New Roman"/>
          <w:b/>
          <w:bCs/>
        </w:rPr>
      </w:pPr>
    </w:p>
    <w:p w14:paraId="0BF5E124" w14:textId="77777777" w:rsidR="007362DC" w:rsidRPr="002336BD" w:rsidRDefault="007362DC" w:rsidP="007362DC">
      <w:pPr>
        <w:pStyle w:val="BodyA"/>
        <w:spacing w:line="480" w:lineRule="auto"/>
        <w:jc w:val="center"/>
        <w:rPr>
          <w:rFonts w:hAnsi="Times New Roman" w:cs="Times New Roman"/>
          <w:b/>
          <w:bCs/>
        </w:rPr>
      </w:pPr>
      <w:r w:rsidRPr="002336BD">
        <w:rPr>
          <w:rFonts w:hAnsi="Times New Roman" w:cs="Times New Roman"/>
          <w:b/>
          <w:bCs/>
        </w:rPr>
        <w:t>ATTACHMENTS</w:t>
      </w:r>
    </w:p>
    <w:p w14:paraId="72CAE476" w14:textId="77777777" w:rsidR="007362DC" w:rsidRPr="002336BD" w:rsidRDefault="007362DC" w:rsidP="007362DC">
      <w:pPr>
        <w:pStyle w:val="BodyA"/>
        <w:jc w:val="center"/>
        <w:rPr>
          <w:rFonts w:hAnsi="Times New Roman" w:cs="Times New Roman"/>
          <w:b/>
          <w:bCs/>
        </w:rPr>
      </w:pPr>
    </w:p>
    <w:p w14:paraId="6CAB8085" w14:textId="77777777" w:rsidR="007362DC" w:rsidRPr="002336BD" w:rsidRDefault="007362DC" w:rsidP="007362DC">
      <w:pPr>
        <w:pStyle w:val="BodyA"/>
        <w:spacing w:line="480" w:lineRule="auto"/>
        <w:rPr>
          <w:rFonts w:hAnsi="Times New Roman" w:cs="Times New Roman"/>
        </w:rPr>
        <w:sectPr w:rsidR="007362DC" w:rsidRPr="002336BD">
          <w:headerReference w:type="default" r:id="rId24"/>
          <w:footerReference w:type="default" r:id="rId25"/>
          <w:pgSz w:w="12240" w:h="15840"/>
          <w:pgMar w:top="1440" w:right="1800" w:bottom="1440" w:left="1800" w:header="360" w:footer="720" w:gutter="0"/>
          <w:cols w:space="720"/>
        </w:sectPr>
      </w:pPr>
      <w:r w:rsidRPr="002336BD">
        <w:rPr>
          <w:rFonts w:hAnsi="Times New Roman" w:cs="Times New Roman"/>
        </w:rPr>
        <w:t>Attachment MPH-1</w:t>
      </w:r>
      <w:r w:rsidRPr="002336BD">
        <w:rPr>
          <w:rFonts w:hAnsi="Times New Roman" w:cs="Times New Roman"/>
        </w:rPr>
        <w:tab/>
      </w:r>
      <w:r w:rsidRPr="002336BD">
        <w:rPr>
          <w:rFonts w:hAnsi="Times New Roman" w:cs="Times New Roman"/>
        </w:rPr>
        <w:tab/>
        <w:t>List of Testimony Filed</w:t>
      </w:r>
    </w:p>
    <w:p w14:paraId="0A6E5FB0" w14:textId="77777777" w:rsidR="007362DC" w:rsidRPr="002336BD" w:rsidRDefault="007362DC" w:rsidP="007362DC">
      <w:pPr>
        <w:pStyle w:val="Heading1"/>
        <w:rPr>
          <w:rFonts w:ascii="Times New Roman" w:hAnsi="Times New Roman" w:cs="Times New Roman"/>
          <w:szCs w:val="24"/>
        </w:rPr>
      </w:pPr>
      <w:bookmarkStart w:id="1" w:name="_Toc436402081"/>
      <w:bookmarkStart w:id="2" w:name="_Toc436402882"/>
      <w:r w:rsidRPr="002336BD">
        <w:rPr>
          <w:rFonts w:ascii="Times New Roman" w:eastAsia="Arial Unicode MS" w:hAnsi="Times New Roman" w:cs="Times New Roman"/>
          <w:szCs w:val="24"/>
        </w:rPr>
        <w:t>I.</w:t>
      </w:r>
      <w:r w:rsidRPr="002336BD">
        <w:rPr>
          <w:rFonts w:ascii="Times New Roman" w:eastAsia="Arial Unicode MS" w:hAnsi="Times New Roman" w:cs="Times New Roman"/>
          <w:szCs w:val="24"/>
        </w:rPr>
        <w:tab/>
        <w:t>OVERVIEW</w:t>
      </w:r>
      <w:bookmarkEnd w:id="1"/>
      <w:bookmarkEnd w:id="2"/>
    </w:p>
    <w:p w14:paraId="47598FAB" w14:textId="77777777" w:rsidR="007362DC" w:rsidRPr="002336BD" w:rsidRDefault="007362DC" w:rsidP="007362DC">
      <w:pPr>
        <w:pStyle w:val="DirectQuestion"/>
        <w:tabs>
          <w:tab w:val="clear" w:pos="1440"/>
        </w:tabs>
        <w:ind w:left="0" w:firstLine="0"/>
        <w:rPr>
          <w:rFonts w:hAnsi="Times New Roman" w:cs="Times New Roman"/>
        </w:rPr>
      </w:pPr>
      <w:r w:rsidRPr="002336BD">
        <w:rPr>
          <w:rFonts w:hAnsi="Times New Roman" w:cs="Times New Roman"/>
        </w:rPr>
        <w:t>Q1.</w:t>
      </w:r>
      <w:r w:rsidRPr="002336BD">
        <w:rPr>
          <w:rFonts w:hAnsi="Times New Roman" w:cs="Times New Roman"/>
        </w:rPr>
        <w:tab/>
        <w:t>PLEASE STATE YOUR NAME, title, AND BUSINESS ADDRESS.</w:t>
      </w:r>
    </w:p>
    <w:p w14:paraId="51E97DD1" w14:textId="00CCF10A"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b/>
          <w:bCs/>
          <w:i/>
          <w:iCs/>
        </w:rPr>
        <w:t>A1.</w:t>
      </w:r>
      <w:r w:rsidRPr="002336BD">
        <w:rPr>
          <w:rFonts w:hAnsi="Times New Roman" w:cs="Times New Roman"/>
          <w:b/>
          <w:bCs/>
          <w:i/>
          <w:iCs/>
        </w:rPr>
        <w:tab/>
      </w:r>
      <w:r w:rsidRPr="002336BD">
        <w:rPr>
          <w:rFonts w:hAnsi="Times New Roman" w:cs="Times New Roman"/>
        </w:rPr>
        <w:t>My name is Michael P. Haugh.  I am employed as the Assistant Director of Analytical Services for the Office of the Ohio Consumers</w:t>
      </w:r>
      <w:r w:rsidRPr="002336BD">
        <w:rPr>
          <w:rFonts w:hAnsi="Times New Roman" w:cs="Times New Roman"/>
          <w:lang w:val="fr-FR"/>
        </w:rPr>
        <w:t xml:space="preserve">’ </w:t>
      </w:r>
      <w:r w:rsidRPr="002336BD">
        <w:rPr>
          <w:rFonts w:hAnsi="Times New Roman" w:cs="Times New Roman"/>
        </w:rPr>
        <w:t>Counsel (</w:t>
      </w:r>
      <w:r w:rsidR="000D219B">
        <w:rPr>
          <w:rFonts w:hAnsi="Times New Roman" w:cs="Times New Roman"/>
        </w:rPr>
        <w:t>“</w:t>
      </w:r>
      <w:r w:rsidRPr="002336BD">
        <w:rPr>
          <w:rFonts w:hAnsi="Times New Roman" w:cs="Times New Roman"/>
        </w:rPr>
        <w:t>OCC</w:t>
      </w:r>
      <w:r w:rsidR="000D219B">
        <w:rPr>
          <w:rFonts w:hAnsi="Times New Roman" w:cs="Times New Roman"/>
        </w:rPr>
        <w:t>”</w:t>
      </w:r>
      <w:r w:rsidRPr="002336BD">
        <w:rPr>
          <w:rFonts w:hAnsi="Times New Roman" w:cs="Times New Roman"/>
        </w:rPr>
        <w:t xml:space="preserve"> or </w:t>
      </w:r>
      <w:r w:rsidR="000D219B">
        <w:rPr>
          <w:rFonts w:hAnsi="Times New Roman" w:cs="Times New Roman"/>
        </w:rPr>
        <w:t>“</w:t>
      </w:r>
      <w:r w:rsidRPr="002336BD">
        <w:rPr>
          <w:rFonts w:hAnsi="Times New Roman" w:cs="Times New Roman"/>
        </w:rPr>
        <w:t>agency</w:t>
      </w:r>
      <w:r w:rsidR="000D219B">
        <w:rPr>
          <w:rFonts w:hAnsi="Times New Roman" w:cs="Times New Roman"/>
        </w:rPr>
        <w:t>”</w:t>
      </w:r>
      <w:r w:rsidRPr="002336BD">
        <w:rPr>
          <w:rFonts w:hAnsi="Times New Roman" w:cs="Times New Roman"/>
        </w:rPr>
        <w:t>).  My business address is 10 West Broad Street, Suite 1800, Columbus, Ohio 43215.</w:t>
      </w:r>
    </w:p>
    <w:p w14:paraId="058CADF2" w14:textId="77777777" w:rsidR="007362DC" w:rsidRPr="002336BD" w:rsidRDefault="007362DC" w:rsidP="007362DC">
      <w:pPr>
        <w:pStyle w:val="BodyA"/>
        <w:spacing w:line="480" w:lineRule="auto"/>
        <w:ind w:left="720" w:hanging="720"/>
        <w:rPr>
          <w:rFonts w:hAnsi="Times New Roman" w:cs="Times New Roman"/>
        </w:rPr>
      </w:pPr>
    </w:p>
    <w:p w14:paraId="00F9C96D" w14:textId="77777777" w:rsidR="007362DC" w:rsidRPr="002336BD" w:rsidRDefault="007362DC" w:rsidP="007362DC">
      <w:pPr>
        <w:pStyle w:val="BodyA"/>
        <w:spacing w:line="480" w:lineRule="auto"/>
        <w:ind w:left="720" w:hanging="720"/>
        <w:rPr>
          <w:rFonts w:hAnsi="Times New Roman" w:cs="Times New Roman"/>
          <w:b/>
          <w:bCs/>
          <w:i/>
          <w:iCs/>
        </w:rPr>
      </w:pPr>
      <w:r w:rsidRPr="002336BD">
        <w:rPr>
          <w:rFonts w:hAnsi="Times New Roman" w:cs="Times New Roman"/>
          <w:b/>
          <w:bCs/>
          <w:i/>
          <w:iCs/>
        </w:rPr>
        <w:t>Q2.</w:t>
      </w:r>
      <w:r w:rsidRPr="002336BD">
        <w:rPr>
          <w:rFonts w:hAnsi="Times New Roman" w:cs="Times New Roman"/>
          <w:b/>
          <w:bCs/>
          <w:i/>
          <w:iCs/>
        </w:rPr>
        <w:tab/>
      </w:r>
      <w:r w:rsidRPr="002336BD">
        <w:rPr>
          <w:rFonts w:hAnsi="Times New Roman" w:cs="Times New Roman"/>
          <w:b/>
          <w:bCs/>
          <w:i/>
          <w:iCs/>
          <w:caps/>
        </w:rPr>
        <w:t>Please briefly summarize your education and professional experience.</w:t>
      </w:r>
    </w:p>
    <w:p w14:paraId="09B10A08"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b/>
          <w:bCs/>
          <w:i/>
          <w:iCs/>
        </w:rPr>
        <w:t xml:space="preserve">A2. </w:t>
      </w:r>
      <w:r w:rsidRPr="002336BD">
        <w:rPr>
          <w:rFonts w:hAnsi="Times New Roman" w:cs="Times New Roman"/>
          <w:b/>
          <w:bCs/>
          <w:i/>
          <w:iCs/>
        </w:rPr>
        <w:tab/>
      </w:r>
      <w:r w:rsidRPr="002336BD">
        <w:rPr>
          <w:rFonts w:hAnsi="Times New Roman" w:cs="Times New Roman"/>
        </w:rPr>
        <w:t>I have a Bachelor of Science in Business Administration from the Ohio State University with a major in Finance; I have also attended the Institute of Public Utilities Advanced Regulatory Studies at Michigan State University.  I have over 20 years working in the energy industry with experience in wholesale and retail energy trading, risk management, natural gas purchasing and scheduling and regulatory affairs.  I started with Enron Energy Services in 1995 as an Energy Trader and then moved on to American Electric Power Energy Services in 1998 where I worked in Risk Management and Wholesale Energy Trading.  In January 2004 I went to work for MidAmerican Energy Services as a Senior Product Manager.  In October of 2004 I began work as a Senior Regulatory Analyst with the OCC.  I left the OCC in September 2007 and joined Integrys Energy Services as a Regulatory Affairs Analyst.  I joined Just Energy in 2009 and held the position of Manager of Regulatory Affairs before becoming Manager of Market Relations in 2011.  I was re-hired at the OCC in June 2014 in my current position.</w:t>
      </w:r>
    </w:p>
    <w:p w14:paraId="67DA878F" w14:textId="77777777" w:rsidR="007362DC" w:rsidRPr="002336BD" w:rsidRDefault="007362DC" w:rsidP="007362DC">
      <w:pPr>
        <w:pStyle w:val="BodyA"/>
        <w:spacing w:line="480" w:lineRule="auto"/>
        <w:ind w:left="720" w:hanging="720"/>
        <w:rPr>
          <w:rFonts w:hAnsi="Times New Roman" w:cs="Times New Roman"/>
          <w:b/>
          <w:bCs/>
          <w:i/>
          <w:iCs/>
        </w:rPr>
      </w:pPr>
      <w:r w:rsidRPr="002336BD">
        <w:rPr>
          <w:rFonts w:hAnsi="Times New Roman" w:cs="Times New Roman"/>
          <w:b/>
          <w:bCs/>
          <w:i/>
          <w:iCs/>
        </w:rPr>
        <w:t>Q3.</w:t>
      </w:r>
      <w:r w:rsidRPr="002336BD">
        <w:rPr>
          <w:rFonts w:hAnsi="Times New Roman" w:cs="Times New Roman"/>
          <w:b/>
          <w:bCs/>
          <w:i/>
          <w:iCs/>
        </w:rPr>
        <w:tab/>
      </w:r>
      <w:r w:rsidRPr="002336BD">
        <w:rPr>
          <w:rFonts w:hAnsi="Times New Roman" w:cs="Times New Roman"/>
          <w:b/>
          <w:bCs/>
          <w:i/>
          <w:iCs/>
          <w:caps/>
        </w:rPr>
        <w:t>Have you previously submitted testimony in utility cases before regulatory commissions?</w:t>
      </w:r>
    </w:p>
    <w:p w14:paraId="458F5633" w14:textId="69F0ACB2"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b/>
          <w:bCs/>
          <w:i/>
          <w:iCs/>
        </w:rPr>
        <w:t xml:space="preserve">A3. </w:t>
      </w:r>
      <w:r w:rsidRPr="002336BD">
        <w:rPr>
          <w:rFonts w:hAnsi="Times New Roman" w:cs="Times New Roman"/>
          <w:b/>
          <w:bCs/>
          <w:i/>
          <w:iCs/>
        </w:rPr>
        <w:tab/>
      </w:r>
      <w:r w:rsidRPr="002336BD">
        <w:rPr>
          <w:rFonts w:hAnsi="Times New Roman" w:cs="Times New Roman"/>
        </w:rPr>
        <w:t>Yes, I have testified before the Public Utilities Commission of Ohio (</w:t>
      </w:r>
      <w:r w:rsidR="000D219B">
        <w:rPr>
          <w:rFonts w:hAnsi="Times New Roman" w:cs="Times New Roman"/>
        </w:rPr>
        <w:t>“</w:t>
      </w:r>
      <w:r w:rsidRPr="002336BD">
        <w:rPr>
          <w:rFonts w:hAnsi="Times New Roman" w:cs="Times New Roman"/>
        </w:rPr>
        <w:t>PUCO</w:t>
      </w:r>
      <w:r w:rsidR="000D219B">
        <w:rPr>
          <w:rFonts w:hAnsi="Times New Roman" w:cs="Times New Roman"/>
        </w:rPr>
        <w:t>”</w:t>
      </w:r>
      <w:r w:rsidRPr="002336BD">
        <w:rPr>
          <w:rFonts w:hAnsi="Times New Roman" w:cs="Times New Roman"/>
        </w:rPr>
        <w:t xml:space="preserve"> or </w:t>
      </w:r>
      <w:r w:rsidR="000D219B">
        <w:rPr>
          <w:rFonts w:hAnsi="Times New Roman" w:cs="Times New Roman"/>
        </w:rPr>
        <w:t>“</w:t>
      </w:r>
      <w:r w:rsidRPr="002336BD">
        <w:rPr>
          <w:rFonts w:hAnsi="Times New Roman" w:cs="Times New Roman"/>
        </w:rPr>
        <w:t>Commission</w:t>
      </w:r>
      <w:r w:rsidR="000D219B">
        <w:rPr>
          <w:rFonts w:hAnsi="Times New Roman" w:cs="Times New Roman"/>
        </w:rPr>
        <w:t>”</w:t>
      </w:r>
      <w:r w:rsidRPr="002336BD">
        <w:rPr>
          <w:rFonts w:hAnsi="Times New Roman" w:cs="Times New Roman"/>
        </w:rPr>
        <w:t>) and the Michigan Public Service Commission.  The complete list of cases in which I have testified is attached as Attachment MPH-1.</w:t>
      </w:r>
    </w:p>
    <w:p w14:paraId="26EAAB36" w14:textId="77777777" w:rsidR="007362DC" w:rsidRPr="002336BD" w:rsidRDefault="007362DC" w:rsidP="007362DC">
      <w:pPr>
        <w:pStyle w:val="BodyA"/>
        <w:spacing w:line="480" w:lineRule="auto"/>
        <w:ind w:left="720" w:hanging="720"/>
        <w:rPr>
          <w:rFonts w:hAnsi="Times New Roman" w:cs="Times New Roman"/>
        </w:rPr>
      </w:pPr>
    </w:p>
    <w:p w14:paraId="13B6F170" w14:textId="77777777" w:rsidR="007362DC" w:rsidRPr="002336BD" w:rsidRDefault="007362DC" w:rsidP="007362DC">
      <w:pPr>
        <w:pStyle w:val="Heading1"/>
        <w:spacing w:after="0"/>
        <w:rPr>
          <w:rFonts w:ascii="Times New Roman" w:eastAsia="Arial Unicode MS" w:hAnsi="Times New Roman" w:cs="Times New Roman"/>
          <w:szCs w:val="24"/>
        </w:rPr>
      </w:pPr>
      <w:bookmarkStart w:id="3" w:name="_Toc436402082"/>
      <w:bookmarkStart w:id="4" w:name="_Toc436402883"/>
      <w:r w:rsidRPr="002336BD">
        <w:rPr>
          <w:rFonts w:ascii="Times New Roman" w:eastAsia="Arial Unicode MS" w:hAnsi="Times New Roman" w:cs="Times New Roman"/>
          <w:szCs w:val="24"/>
        </w:rPr>
        <w:t>II.</w:t>
      </w:r>
      <w:r w:rsidRPr="002336BD">
        <w:rPr>
          <w:rFonts w:ascii="Times New Roman" w:eastAsia="Arial Unicode MS" w:hAnsi="Times New Roman" w:cs="Times New Roman"/>
          <w:szCs w:val="24"/>
        </w:rPr>
        <w:tab/>
        <w:t>PURPOSE OF TESTIMONY</w:t>
      </w:r>
      <w:bookmarkEnd w:id="3"/>
      <w:bookmarkEnd w:id="4"/>
    </w:p>
    <w:p w14:paraId="6C591FB7" w14:textId="77777777" w:rsidR="007362DC" w:rsidRPr="002336BD" w:rsidRDefault="007362DC" w:rsidP="007362DC">
      <w:pPr>
        <w:spacing w:line="480" w:lineRule="auto"/>
      </w:pPr>
    </w:p>
    <w:p w14:paraId="32229B01" w14:textId="77777777" w:rsidR="007362DC" w:rsidRPr="002336BD" w:rsidRDefault="007362DC" w:rsidP="007362DC">
      <w:pPr>
        <w:pStyle w:val="BodyA"/>
        <w:spacing w:line="480" w:lineRule="auto"/>
        <w:ind w:left="720" w:hanging="720"/>
        <w:rPr>
          <w:rFonts w:hAnsi="Times New Roman" w:cs="Times New Roman"/>
          <w:b/>
          <w:bCs/>
          <w:i/>
          <w:iCs/>
        </w:rPr>
      </w:pPr>
      <w:r w:rsidRPr="002336BD">
        <w:rPr>
          <w:rFonts w:hAnsi="Times New Roman" w:cs="Times New Roman"/>
          <w:b/>
          <w:bCs/>
          <w:i/>
          <w:iCs/>
        </w:rPr>
        <w:t>Q4.</w:t>
      </w:r>
      <w:r w:rsidRPr="002336BD">
        <w:rPr>
          <w:rFonts w:hAnsi="Times New Roman" w:cs="Times New Roman"/>
          <w:b/>
          <w:bCs/>
          <w:i/>
          <w:iCs/>
        </w:rPr>
        <w:tab/>
      </w:r>
      <w:r w:rsidRPr="002336BD">
        <w:rPr>
          <w:rFonts w:hAnsi="Times New Roman" w:cs="Times New Roman"/>
          <w:b/>
          <w:bCs/>
          <w:i/>
          <w:iCs/>
          <w:caps/>
        </w:rPr>
        <w:t>What is the purpose of your testimony in this proceeding?</w:t>
      </w:r>
    </w:p>
    <w:p w14:paraId="74A14203"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b/>
          <w:bCs/>
          <w:i/>
          <w:iCs/>
        </w:rPr>
        <w:t>A4.</w:t>
      </w:r>
      <w:r w:rsidRPr="002336BD">
        <w:rPr>
          <w:rFonts w:hAnsi="Times New Roman" w:cs="Times New Roman"/>
          <w:b/>
          <w:bCs/>
          <w:i/>
          <w:iCs/>
        </w:rPr>
        <w:tab/>
      </w:r>
      <w:r w:rsidRPr="002336BD">
        <w:rPr>
          <w:rFonts w:hAnsi="Times New Roman" w:cs="Times New Roman"/>
        </w:rPr>
        <w:t xml:space="preserve">The purpose of my testimony is to make </w:t>
      </w:r>
      <w:r w:rsidRPr="002336BD">
        <w:rPr>
          <w:rFonts w:hAnsi="Times New Roman" w:cs="Times New Roman"/>
          <w:lang w:val="fr-FR"/>
        </w:rPr>
        <w:t>recommendations</w:t>
      </w:r>
      <w:r w:rsidRPr="002336BD">
        <w:rPr>
          <w:rFonts w:hAnsi="Times New Roman" w:cs="Times New Roman"/>
        </w:rPr>
        <w:t xml:space="preserve"> to the PUCO for resolving this case in a manner that includes reasonable protections for residential consumers.  These protections will help provide balance for consumers considering that they (consumers) are asked to pay subsidies for economic development.  Residential consumers are among the customers who pay the subsidies for rate discounts for economic development.  </w:t>
      </w:r>
    </w:p>
    <w:p w14:paraId="696E6652" w14:textId="77777777" w:rsidR="007362DC" w:rsidRPr="002336BD" w:rsidRDefault="007362DC" w:rsidP="007362DC">
      <w:pPr>
        <w:pStyle w:val="BodyA"/>
        <w:spacing w:line="480" w:lineRule="auto"/>
        <w:ind w:left="720" w:hanging="720"/>
        <w:rPr>
          <w:rFonts w:hAnsi="Times New Roman" w:cs="Times New Roman"/>
        </w:rPr>
      </w:pPr>
    </w:p>
    <w:p w14:paraId="4B5853F2" w14:textId="0F1641F6"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rPr>
        <w:tab/>
        <w:t>My recommendations include proposals regarding the November 2, 2015 Application filed by one of AEP Ohio's (</w:t>
      </w:r>
      <w:r w:rsidR="000D219B">
        <w:rPr>
          <w:rFonts w:hAnsi="Times New Roman" w:cs="Times New Roman"/>
        </w:rPr>
        <w:t>“</w:t>
      </w:r>
      <w:r w:rsidRPr="002336BD">
        <w:rPr>
          <w:rFonts w:hAnsi="Times New Roman" w:cs="Times New Roman"/>
        </w:rPr>
        <w:t>Ohio Power</w:t>
      </w:r>
      <w:r w:rsidR="000D219B">
        <w:rPr>
          <w:rFonts w:hAnsi="Times New Roman" w:cs="Times New Roman"/>
        </w:rPr>
        <w:t>”</w:t>
      </w:r>
      <w:r w:rsidRPr="002336BD">
        <w:rPr>
          <w:rFonts w:hAnsi="Times New Roman" w:cs="Times New Roman"/>
        </w:rPr>
        <w:t xml:space="preserve"> or </w:t>
      </w:r>
      <w:r w:rsidR="000D219B">
        <w:rPr>
          <w:rFonts w:hAnsi="Times New Roman" w:cs="Times New Roman"/>
        </w:rPr>
        <w:t>“</w:t>
      </w:r>
      <w:r w:rsidRPr="002336BD">
        <w:rPr>
          <w:rFonts w:hAnsi="Times New Roman" w:cs="Times New Roman"/>
        </w:rPr>
        <w:t>Utility</w:t>
      </w:r>
      <w:r w:rsidR="000D219B">
        <w:rPr>
          <w:rFonts w:hAnsi="Times New Roman" w:cs="Times New Roman"/>
        </w:rPr>
        <w:t>”</w:t>
      </w:r>
      <w:r w:rsidRPr="002336BD">
        <w:rPr>
          <w:rFonts w:hAnsi="Times New Roman" w:cs="Times New Roman"/>
        </w:rPr>
        <w:t>) mercantile customers, TimkenSteel (</w:t>
      </w:r>
      <w:r w:rsidR="000D219B">
        <w:rPr>
          <w:rFonts w:hAnsi="Times New Roman" w:cs="Times New Roman"/>
        </w:rPr>
        <w:t>“</w:t>
      </w:r>
      <w:r w:rsidRPr="002336BD">
        <w:rPr>
          <w:rFonts w:hAnsi="Times New Roman" w:cs="Times New Roman"/>
        </w:rPr>
        <w:t>Timken</w:t>
      </w:r>
      <w:r w:rsidR="000D219B">
        <w:rPr>
          <w:rFonts w:hAnsi="Times New Roman" w:cs="Times New Roman"/>
        </w:rPr>
        <w:t>”</w:t>
      </w:r>
      <w:r w:rsidRPr="002336BD">
        <w:rPr>
          <w:rFonts w:hAnsi="Times New Roman" w:cs="Times New Roman"/>
        </w:rPr>
        <w:t xml:space="preserve"> </w:t>
      </w:r>
      <w:r w:rsidR="000D219B">
        <w:rPr>
          <w:rFonts w:hAnsi="Times New Roman" w:cs="Times New Roman"/>
        </w:rPr>
        <w:t>“</w:t>
      </w:r>
      <w:r w:rsidRPr="002336BD">
        <w:rPr>
          <w:rFonts w:hAnsi="Times New Roman" w:cs="Times New Roman"/>
        </w:rPr>
        <w:t>Applicant</w:t>
      </w:r>
      <w:r w:rsidR="000D219B">
        <w:rPr>
          <w:rFonts w:hAnsi="Times New Roman" w:cs="Times New Roman"/>
        </w:rPr>
        <w:t>”</w:t>
      </w:r>
      <w:r w:rsidRPr="002336BD">
        <w:rPr>
          <w:rFonts w:hAnsi="Times New Roman" w:cs="Times New Roman"/>
        </w:rPr>
        <w:t xml:space="preserve"> or </w:t>
      </w:r>
      <w:r w:rsidR="000D219B">
        <w:rPr>
          <w:rFonts w:hAnsi="Times New Roman" w:cs="Times New Roman"/>
        </w:rPr>
        <w:t>“</w:t>
      </w:r>
      <w:r w:rsidRPr="002336BD">
        <w:rPr>
          <w:rFonts w:hAnsi="Times New Roman" w:cs="Times New Roman"/>
        </w:rPr>
        <w:t>Mercantile Customer</w:t>
      </w:r>
      <w:r w:rsidR="000D219B">
        <w:rPr>
          <w:rFonts w:hAnsi="Times New Roman" w:cs="Times New Roman"/>
        </w:rPr>
        <w:t>”</w:t>
      </w:r>
      <w:r w:rsidRPr="002336BD">
        <w:rPr>
          <w:rFonts w:hAnsi="Times New Roman" w:cs="Times New Roman"/>
        </w:rPr>
        <w:t xml:space="preserve">). I appreciate that TimkenSteel discussed its application with the Ohio Consumers’ Counsel prior to filing.  </w:t>
      </w:r>
      <w:r>
        <w:rPr>
          <w:rFonts w:hAnsi="Times New Roman" w:cs="Times New Roman"/>
        </w:rPr>
        <w:br w:type="page"/>
      </w:r>
    </w:p>
    <w:p w14:paraId="169943EF"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Q5.</w:t>
      </w:r>
      <w:r w:rsidRPr="002336BD">
        <w:rPr>
          <w:rFonts w:hAnsi="Times New Roman" w:cs="Times New Roman"/>
        </w:rPr>
        <w:tab/>
        <w:t>Please provide an overview of the Application.</w:t>
      </w:r>
    </w:p>
    <w:p w14:paraId="10CFD336" w14:textId="5673E67A" w:rsidR="007362DC" w:rsidRPr="002336BD" w:rsidRDefault="007362DC" w:rsidP="007362DC">
      <w:pPr>
        <w:pStyle w:val="NoSpacing"/>
        <w:spacing w:line="480" w:lineRule="auto"/>
        <w:ind w:left="720" w:hanging="720"/>
      </w:pPr>
      <w:r w:rsidRPr="002336BD">
        <w:rPr>
          <w:b/>
          <w:bCs/>
          <w:i/>
          <w:iCs/>
        </w:rPr>
        <w:t>A5.</w:t>
      </w:r>
      <w:r w:rsidRPr="002336BD">
        <w:rPr>
          <w:b/>
          <w:bCs/>
          <w:i/>
          <w:iCs/>
        </w:rPr>
        <w:tab/>
      </w:r>
      <w:r w:rsidRPr="002336BD">
        <w:rPr>
          <w:lang w:val="nl-NL"/>
        </w:rPr>
        <w:t xml:space="preserve">On November 2, 2015, the Applicant filed to establish a unique arrangement, with </w:t>
      </w:r>
      <w:r w:rsidRPr="002336BD">
        <w:t>Ohio Power, for its manufacturing facility in Stark County, Ohio.  In its application, the Mercantile Customer requested a percentage discount off Ohio Power’s monthly tariff charges, excluding the Basic Transmission Cost Rider (</w:t>
      </w:r>
      <w:r w:rsidR="000D219B">
        <w:t>“</w:t>
      </w:r>
      <w:r w:rsidRPr="002336BD">
        <w:t>BTCR</w:t>
      </w:r>
      <w:r w:rsidR="000D219B">
        <w:t>”</w:t>
      </w:r>
      <w:r w:rsidRPr="002336BD">
        <w:t>) and also excluding generation charges which the Applicant would procure through an energy marketer for the duration of the arrangement.   In addition the Applicant is seeking to begin paying for transmission service based upon an annual distribution utility single transmission coincident peak.   The Applicant would like to serve as an interruptible resource for Ohio Power during the term of the arrangement and receive the $8.21/kW interruptible service credit regardless of whether that credit is available through the Ohio Power tariff.</w:t>
      </w:r>
      <w:r w:rsidRPr="002336BD">
        <w:rPr>
          <w:rStyle w:val="FootnoteReference"/>
        </w:rPr>
        <w:footnoteReference w:id="3"/>
      </w:r>
      <w:r w:rsidRPr="002336BD">
        <w:t xml:space="preserve">  The Applicant seeks a unique arrangement that lasts for 65 months.  The Applicant commits to continue capital investment in Ohio and commits to having a minimum number of employees during the term of the arrangement.  The Applicant  has also pledged that the delta revenue (the amount that Ohio Power’s 1.4 million other customers may subsidize) resulting from this arrangement will have hard caps for both the total subsidy amount collected from other customers during the 65 months and for collections from other customers during any twenty-four month period.</w:t>
      </w:r>
    </w:p>
    <w:p w14:paraId="0FE6789D" w14:textId="77777777" w:rsidR="007362DC" w:rsidRPr="002336BD" w:rsidRDefault="007362DC" w:rsidP="007362DC">
      <w:pPr>
        <w:pStyle w:val="Heading1"/>
        <w:spacing w:after="0"/>
        <w:rPr>
          <w:rFonts w:ascii="Times New Roman" w:hAnsi="Times New Roman" w:cs="Times New Roman"/>
          <w:szCs w:val="24"/>
        </w:rPr>
      </w:pPr>
      <w:bookmarkStart w:id="5" w:name="_Toc436402083"/>
      <w:bookmarkStart w:id="6" w:name="_Toc436402884"/>
      <w:r w:rsidRPr="002336BD">
        <w:rPr>
          <w:rFonts w:ascii="Times New Roman" w:eastAsia="Arial Unicode MS" w:hAnsi="Times New Roman" w:cs="Times New Roman"/>
          <w:szCs w:val="24"/>
        </w:rPr>
        <w:t>III.</w:t>
      </w:r>
      <w:r w:rsidRPr="002336BD">
        <w:rPr>
          <w:rFonts w:ascii="Times New Roman" w:eastAsia="Arial Unicode MS" w:hAnsi="Times New Roman" w:cs="Times New Roman"/>
          <w:szCs w:val="24"/>
        </w:rPr>
        <w:tab/>
        <w:t>Recommendations</w:t>
      </w:r>
      <w:bookmarkEnd w:id="5"/>
      <w:bookmarkEnd w:id="6"/>
      <w:r w:rsidRPr="002336BD">
        <w:rPr>
          <w:rFonts w:ascii="Times New Roman" w:eastAsia="Arial Unicode MS" w:hAnsi="Times New Roman" w:cs="Times New Roman"/>
          <w:szCs w:val="24"/>
        </w:rPr>
        <w:t xml:space="preserve"> </w:t>
      </w:r>
    </w:p>
    <w:p w14:paraId="17ADE924" w14:textId="77777777" w:rsidR="007362DC" w:rsidRPr="002336BD" w:rsidRDefault="007362DC" w:rsidP="007362DC">
      <w:pPr>
        <w:pStyle w:val="BodyA"/>
        <w:spacing w:line="480" w:lineRule="auto"/>
        <w:ind w:left="720" w:hanging="720"/>
        <w:rPr>
          <w:rFonts w:hAnsi="Times New Roman" w:cs="Times New Roman"/>
        </w:rPr>
      </w:pPr>
    </w:p>
    <w:p w14:paraId="05D5D636"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Q6.</w:t>
      </w:r>
      <w:r w:rsidRPr="002336BD">
        <w:rPr>
          <w:rFonts w:hAnsi="Times New Roman" w:cs="Times New Roman"/>
        </w:rPr>
        <w:tab/>
        <w:t>What ARE your recommendations to improve this arrangement FOR CONSUMERS?</w:t>
      </w:r>
    </w:p>
    <w:p w14:paraId="778777B5" w14:textId="77777777" w:rsidR="007362DC" w:rsidRPr="002336BD" w:rsidRDefault="007362DC" w:rsidP="007362DC">
      <w:pPr>
        <w:pStyle w:val="NoSpacing"/>
        <w:spacing w:line="480" w:lineRule="auto"/>
        <w:ind w:left="720" w:hanging="720"/>
      </w:pPr>
      <w:r w:rsidRPr="002336BD">
        <w:rPr>
          <w:b/>
          <w:i/>
        </w:rPr>
        <w:t>A6.</w:t>
      </w:r>
      <w:r w:rsidRPr="002336BD">
        <w:rPr>
          <w:b/>
          <w:i/>
        </w:rPr>
        <w:tab/>
      </w:r>
      <w:r w:rsidRPr="002336BD">
        <w:t xml:space="preserve">Overall the application includes a number of recommendations the OCC has made regarding unique arrangement applications.  I recommend a few modifications for making the Application a better balance for protecting the residential customers of Ohio Power (who are being asked to pay the subsidy charges that would result from this Application).  OCC’s recommendations generally are applicable to any application proposing electric rate discounts to be funded by other customers for economic development. </w:t>
      </w:r>
    </w:p>
    <w:p w14:paraId="23084D65" w14:textId="77777777" w:rsidR="007362DC" w:rsidRPr="002336BD" w:rsidRDefault="007362DC" w:rsidP="007362DC">
      <w:pPr>
        <w:pStyle w:val="DirectAnswer"/>
        <w:rPr>
          <w:rFonts w:hAnsi="Times New Roman" w:cs="Times New Roman"/>
          <w:bCs/>
          <w:iCs/>
        </w:rPr>
      </w:pPr>
    </w:p>
    <w:p w14:paraId="108DF216" w14:textId="77777777" w:rsidR="007362DC" w:rsidRPr="002336BD" w:rsidRDefault="007362DC" w:rsidP="007362DC">
      <w:pPr>
        <w:pStyle w:val="NoSpacing"/>
        <w:spacing w:line="480" w:lineRule="auto"/>
        <w:ind w:left="720" w:hanging="720"/>
      </w:pPr>
      <w:r w:rsidRPr="002336BD">
        <w:tab/>
        <w:t xml:space="preserve"> First, the PUCO should identify the total costs to customers when calculating the delta revenue (the subsidy amount to be funded by other customers).  Second, the PUCO should limit the unique arrangement (and subsidy payments by other customers) to this occasion without there being a repeat request for discounts and customer funding in the future. Third, the PUCO should order caps that limit the total amount and annual amount that AEP Ohio can charge customers through its economic development rider.  And there should be a cap on the subsidies Ohioans will be asked to fund for economic development in an electric utility’s service territory.  Fourth, the PUCO should determine a reasonable cost sharing between Ohio Power Company and its customers, so that customers alone do not bear the full cost of funding subsidies for economic development.  Fifth, the PUCO should order economic development benefit levels (regarding investment and minimum employee levels) in connection with any granting of electricity discounts to be funded by other customers. Finally, the Applicant’s annual report to the PUCO should be available to interested parties, regarding the status of the economic development program.  OCC appreciates that the Applicant made proposals on several of these consumer protections. </w:t>
      </w:r>
    </w:p>
    <w:p w14:paraId="308CFA07" w14:textId="77777777" w:rsidR="007362DC" w:rsidRPr="002336BD" w:rsidRDefault="007362DC" w:rsidP="007362DC">
      <w:pPr>
        <w:pStyle w:val="DirectQuestion"/>
        <w:ind w:left="720" w:hanging="720"/>
        <w:rPr>
          <w:rFonts w:hAnsi="Times New Roman" w:cs="Times New Roman"/>
        </w:rPr>
      </w:pPr>
    </w:p>
    <w:p w14:paraId="2B60B5B0"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Q7.</w:t>
      </w:r>
      <w:r w:rsidRPr="002336BD">
        <w:rPr>
          <w:rFonts w:hAnsi="Times New Roman" w:cs="Times New Roman"/>
        </w:rPr>
        <w:tab/>
        <w:t>Why should the PUCO identify the total costs to customers?</w:t>
      </w:r>
    </w:p>
    <w:p w14:paraId="3826DDEE"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b/>
          <w:bCs/>
          <w:i/>
          <w:iCs/>
        </w:rPr>
        <w:t>A7.</w:t>
      </w:r>
      <w:r w:rsidRPr="002336BD">
        <w:rPr>
          <w:rFonts w:hAnsi="Times New Roman" w:cs="Times New Roman"/>
          <w:b/>
          <w:bCs/>
          <w:i/>
          <w:iCs/>
        </w:rPr>
        <w:tab/>
      </w:r>
      <w:r w:rsidRPr="002336BD">
        <w:rPr>
          <w:rFonts w:hAnsi="Times New Roman" w:cs="Times New Roman"/>
        </w:rPr>
        <w:t xml:space="preserve">In balancing of the interests in this type of case the PUCO should know exactly what is comprised in the delta revenue (the subsidy funding from other customers).  The Application has a number of different components for discounts or Applicant savings. The discount off tariff charges is identified as delta revenues.  This view understates the delta revenues created under the proposed unique arrangement; because other components should also be identified as giving rise to delta revenues.  </w:t>
      </w:r>
    </w:p>
    <w:p w14:paraId="461CC7C1" w14:textId="77777777" w:rsidR="007362DC" w:rsidRPr="002336BD" w:rsidRDefault="007362DC" w:rsidP="007362DC">
      <w:pPr>
        <w:pStyle w:val="BodyA"/>
        <w:spacing w:line="480" w:lineRule="auto"/>
        <w:ind w:left="720" w:hanging="720"/>
        <w:rPr>
          <w:rFonts w:hAnsi="Times New Roman" w:cs="Times New Roman"/>
        </w:rPr>
      </w:pPr>
    </w:p>
    <w:p w14:paraId="59281E37" w14:textId="77777777" w:rsidR="007362DC" w:rsidRPr="002336BD" w:rsidRDefault="007362DC" w:rsidP="007362DC">
      <w:pPr>
        <w:pStyle w:val="NoSpacing"/>
        <w:spacing w:line="480" w:lineRule="auto"/>
        <w:ind w:left="720" w:hanging="720"/>
      </w:pPr>
      <w:r w:rsidRPr="002336BD">
        <w:tab/>
        <w:t xml:space="preserve">For instance, the Applicant proposes to be treated as its own class as it relates to paying the transmission rider, Rider BTCR.  Under its proposal the Applicant would be allocated its share of the transmission demand-related costs based upon its one coincident peak.  This may have a positive effect on the distribution system if the Applicant is able to reduce its demand on the annual coincident peak and in turn lower the Utility’s transmission peak.  If the proposal does not positively affect the distribution system peak, then other customers could be required to pay increased distribution charges.    If increased charges result from this provision of the unique arrangement, then the PUCO should include these extra charges as part of the delta revenue created by the arrangement.  Conversely, if the proposed change results in cost savings for other customers, then those savings should be credited to the delta revenues.  </w:t>
      </w:r>
    </w:p>
    <w:p w14:paraId="731BFB6B"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rPr>
        <w:tab/>
      </w:r>
      <w:r w:rsidRPr="002336BD">
        <w:rPr>
          <w:rFonts w:hAnsi="Times New Roman" w:cs="Times New Roman"/>
        </w:rPr>
        <w:tab/>
      </w:r>
    </w:p>
    <w:p w14:paraId="1389371A" w14:textId="4D6B250C" w:rsidR="007362DC" w:rsidRPr="002336BD" w:rsidRDefault="007362DC" w:rsidP="007362DC">
      <w:pPr>
        <w:pStyle w:val="NoSpacing"/>
        <w:spacing w:line="480" w:lineRule="auto"/>
        <w:ind w:left="720" w:hanging="720"/>
      </w:pPr>
      <w:r w:rsidRPr="002336BD">
        <w:tab/>
        <w:t>Another example of the PUCO’s need to identify amounts as  delta revenues is the proposed credit the mercantile customer would receive under the interruptible power-discretionary rider (</w:t>
      </w:r>
      <w:r w:rsidR="000D219B">
        <w:t>“</w:t>
      </w:r>
      <w:r w:rsidRPr="002336BD">
        <w:t>IRP-D</w:t>
      </w:r>
      <w:r w:rsidR="000D219B">
        <w:t>”</w:t>
      </w:r>
      <w:r w:rsidRPr="002336BD">
        <w:t xml:space="preserve">).  The applicant would receive an $8.21/kW-month credit for all interruptible load it offers to the Utility.  This credit is offset by any revenues the Applicant receives from PJM as a demand response resource.  It is my understanding that the difference between the $8.21/kW credit and the PJM revenues can be significant.  The amount should be counted in the delta revenue because the PUCO should know, for decision-making, what other customers would be paying for this portion of the unique arrangement.  This recommendation is especially applicable for consumer protection given that, under the Application, this credit would continue regardless of whether Ohio Power continues to offer this interruptible service through its tariffs.  </w:t>
      </w:r>
      <w:r w:rsidRPr="002336BD">
        <w:br w:type="page"/>
      </w:r>
    </w:p>
    <w:p w14:paraId="1213A442"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Q8.</w:t>
      </w:r>
      <w:r w:rsidRPr="002336BD">
        <w:rPr>
          <w:rFonts w:hAnsi="Times New Roman" w:cs="Times New Roman"/>
        </w:rPr>
        <w:tab/>
        <w:t>should thE PUCO LIMIT WHAT CUSTOMERS FUND FOR unique arrangementS TO A SINGLE INSTANCE WITHOUT REPEAT FUNDINGS IN THE FUTURE?</w:t>
      </w:r>
    </w:p>
    <w:p w14:paraId="16913A37" w14:textId="77777777" w:rsidR="007362DC" w:rsidRPr="002336BD" w:rsidRDefault="007362DC" w:rsidP="007362DC">
      <w:pPr>
        <w:pStyle w:val="NoSpacing"/>
        <w:spacing w:line="480" w:lineRule="auto"/>
        <w:ind w:left="720" w:hanging="720"/>
      </w:pPr>
      <w:r w:rsidRPr="002336BD">
        <w:rPr>
          <w:b/>
          <w:bCs/>
          <w:i/>
          <w:iCs/>
        </w:rPr>
        <w:t>A8.</w:t>
      </w:r>
      <w:r w:rsidRPr="002336BD">
        <w:rPr>
          <w:b/>
          <w:bCs/>
          <w:i/>
          <w:iCs/>
        </w:rPr>
        <w:tab/>
      </w:r>
      <w:r w:rsidRPr="002336BD">
        <w:t xml:space="preserve">Yes.  The Applicant has commendably stated it has an interest in not relying on the PUCO’s approval of future unique arrangements to continue operations. In balancing the interests of the benefits of economic development with the costs that other customers pay in subsidy for the electricity discounts, an appropriate consumer protection is to limit the subsidy payments to the one application without repeat customer funding going forward. </w:t>
      </w:r>
    </w:p>
    <w:p w14:paraId="5C731955"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rPr>
        <w:tab/>
        <w:t xml:space="preserve"> </w:t>
      </w:r>
    </w:p>
    <w:p w14:paraId="469FCB6A"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Q9.</w:t>
      </w:r>
      <w:r w:rsidRPr="002336BD">
        <w:rPr>
          <w:rFonts w:hAnsi="Times New Roman" w:cs="Times New Roman"/>
        </w:rPr>
        <w:tab/>
        <w:t>Why should the puco CAP the amount of customer-funded ELECTRICITY discounts that aep ohio gives to mercantile customers through its economic development rider?</w:t>
      </w:r>
    </w:p>
    <w:p w14:paraId="7B4B6CCF"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b/>
          <w:bCs/>
          <w:i/>
          <w:iCs/>
        </w:rPr>
        <w:t>A9.</w:t>
      </w:r>
      <w:r w:rsidRPr="002336BD">
        <w:rPr>
          <w:rFonts w:hAnsi="Times New Roman" w:cs="Times New Roman"/>
          <w:b/>
          <w:bCs/>
          <w:i/>
          <w:iCs/>
        </w:rPr>
        <w:tab/>
      </w:r>
      <w:r w:rsidRPr="002336BD">
        <w:rPr>
          <w:rFonts w:hAnsi="Times New Roman" w:cs="Times New Roman"/>
        </w:rPr>
        <w:t>A cap on the amount the utility can collect from other customers (to fund electricity discounts for a mercantile customer) is important protection for consumers who pay the subsidy.  The Applicant proposes a cap on the total amount to be collected and also a cap on what can be collected every twenty-four months.  This is a commendable component of the Application.  I recommend annual caps and a total cap as consumer protection.</w:t>
      </w:r>
    </w:p>
    <w:p w14:paraId="179A3019" w14:textId="77777777" w:rsidR="007362DC" w:rsidRPr="002336BD" w:rsidRDefault="007362DC" w:rsidP="007362DC">
      <w:pPr>
        <w:pStyle w:val="BodyA"/>
        <w:spacing w:line="480" w:lineRule="auto"/>
        <w:ind w:left="720" w:hanging="720"/>
        <w:rPr>
          <w:rFonts w:hAnsi="Times New Roman" w:cs="Times New Roman"/>
        </w:rPr>
      </w:pPr>
    </w:p>
    <w:p w14:paraId="1133DBF8" w14:textId="77777777" w:rsidR="007362DC" w:rsidRPr="002336BD" w:rsidRDefault="007362DC" w:rsidP="007362DC">
      <w:pPr>
        <w:pStyle w:val="NoSpacing"/>
        <w:spacing w:line="480" w:lineRule="auto"/>
        <w:ind w:left="720" w:hanging="720"/>
      </w:pPr>
      <w:r w:rsidRPr="002336BD">
        <w:tab/>
        <w:t>Additionally, there should be a cap on the subsidies Ohioans will be asked to fund for economic development in an electric utility’s service territory. Currently, AEP Ohio’s Economic Development Cost Recovery Rider is set at 2.03573% of a customer’s distribution charges.</w:t>
      </w:r>
      <w:r w:rsidRPr="002336BD">
        <w:rPr>
          <w:rStyle w:val="FootnoteReference"/>
        </w:rPr>
        <w:footnoteReference w:id="4"/>
      </w:r>
      <w:r w:rsidRPr="002336BD">
        <w:t xml:space="preserve">  For an average residential customer using 1,000 kWh per month, that equals roughly $0.54 per month.</w:t>
      </w:r>
      <w:r w:rsidRPr="002336BD">
        <w:rPr>
          <w:rStyle w:val="FootnoteReference"/>
        </w:rPr>
        <w:footnoteReference w:id="5"/>
      </w:r>
      <w:r w:rsidRPr="002336BD">
        <w:t xml:space="preserve">  The subsidy charges vary over time according to applications and PUCO approvals, and AEP Ohio has had much higher monthly charges to customers for economic development, at times.</w:t>
      </w:r>
      <w:r w:rsidRPr="002336BD">
        <w:rPr>
          <w:rStyle w:val="FootnoteReference"/>
        </w:rPr>
        <w:footnoteReference w:id="6"/>
      </w:r>
      <w:r w:rsidRPr="002336BD">
        <w:t xml:space="preserve"> That adds up to over $9 million per year paid by residential customers. The charge further increases the rates paid by Ohio Power customers that are already the highest in the state of Ohio, as well as the highest rates paid by AEP customers in its 11 state service territory in 2014.</w:t>
      </w:r>
      <w:r w:rsidRPr="002336BD">
        <w:rPr>
          <w:rStyle w:val="FootnoteReference"/>
        </w:rPr>
        <w:footnoteReference w:id="7"/>
      </w:r>
      <w:r w:rsidRPr="002336BD">
        <w:t xml:space="preserve"> The PUCO should rule that the subsidies consumers are asked to pay to an electric utility (here, Ohio Power) for all economic development in the service area should not exceed, in total, a certain low percentage of consumers’ electric bills.</w:t>
      </w:r>
    </w:p>
    <w:p w14:paraId="0D8A6501" w14:textId="77777777" w:rsidR="007362DC" w:rsidRPr="002336BD" w:rsidRDefault="007362DC" w:rsidP="007362DC">
      <w:pPr>
        <w:pStyle w:val="NoSpacing"/>
        <w:spacing w:line="480" w:lineRule="auto"/>
        <w:ind w:left="720" w:hanging="720"/>
      </w:pPr>
    </w:p>
    <w:p w14:paraId="11519BC7"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Q10.</w:t>
      </w:r>
      <w:r w:rsidRPr="002336BD">
        <w:rPr>
          <w:rFonts w:hAnsi="Times New Roman" w:cs="Times New Roman"/>
        </w:rPr>
        <w:tab/>
        <w:t>Why should there be a cost sharing between Customers and AEP Ohio?</w:t>
      </w:r>
    </w:p>
    <w:p w14:paraId="02D1CE8E" w14:textId="28580864" w:rsidR="007362DC" w:rsidRPr="002336BD" w:rsidRDefault="007362DC" w:rsidP="007362DC">
      <w:pPr>
        <w:pStyle w:val="NoSpacing"/>
        <w:spacing w:line="480" w:lineRule="auto"/>
        <w:ind w:left="720" w:hanging="720"/>
      </w:pPr>
      <w:r w:rsidRPr="002336BD">
        <w:rPr>
          <w:b/>
          <w:bCs/>
          <w:i/>
          <w:iCs/>
        </w:rPr>
        <w:t>A10.</w:t>
      </w:r>
      <w:r w:rsidRPr="002336BD">
        <w:rPr>
          <w:b/>
          <w:bCs/>
          <w:i/>
          <w:iCs/>
        </w:rPr>
        <w:tab/>
      </w:r>
      <w:r w:rsidRPr="002336BD">
        <w:t xml:space="preserve">The PUCO has historically allowed for a sharing of delta revenue between customers and the utility.   A 50/50 sharing mechanism has been used in the past.  In fact the PUCO has held </w:t>
      </w:r>
      <w:r w:rsidR="000D219B">
        <w:t>“</w:t>
      </w:r>
      <w:r w:rsidRPr="002336BD">
        <w:t>that a 50/50 split properly recognizes that both the [utility] and its customers benefit from the company’s policy of providing economic incentive rates to certain customers to attract new business in the utility’s service territory.</w:t>
      </w:r>
      <w:r w:rsidR="000D219B">
        <w:t>”</w:t>
      </w:r>
      <w:r w:rsidRPr="002336BD">
        <w:rPr>
          <w:rStyle w:val="FootnoteReference"/>
        </w:rPr>
        <w:footnoteReference w:id="8"/>
      </w:r>
      <w:r w:rsidRPr="002336BD">
        <w:t xml:space="preserve">  </w:t>
      </w:r>
    </w:p>
    <w:p w14:paraId="45EDC5F9" w14:textId="77777777" w:rsidR="007362DC" w:rsidRPr="002336BD" w:rsidRDefault="007362DC" w:rsidP="007362DC">
      <w:pPr>
        <w:pStyle w:val="NoSpacing"/>
        <w:spacing w:line="480" w:lineRule="auto"/>
        <w:ind w:left="720" w:hanging="720"/>
      </w:pPr>
    </w:p>
    <w:p w14:paraId="4DD0B7A0"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rPr>
        <w:tab/>
        <w:t xml:space="preserve">In addition the PUCO has specifically stated it can approve a unique arrangement without allowing the utility to recover </w:t>
      </w:r>
      <w:r w:rsidRPr="002336BD">
        <w:rPr>
          <w:rFonts w:hAnsi="Times New Roman" w:cs="Times New Roman"/>
          <w:i/>
        </w:rPr>
        <w:t xml:space="preserve">any </w:t>
      </w:r>
      <w:r w:rsidRPr="002336BD">
        <w:rPr>
          <w:rFonts w:hAnsi="Times New Roman" w:cs="Times New Roman"/>
        </w:rPr>
        <w:t>of the delta revenue from other customers.</w:t>
      </w:r>
      <w:r w:rsidRPr="002336BD">
        <w:rPr>
          <w:rStyle w:val="FootnoteReference"/>
          <w:rFonts w:hAnsi="Times New Roman" w:cs="Times New Roman"/>
        </w:rPr>
        <w:footnoteReference w:id="9"/>
      </w:r>
      <w:r w:rsidRPr="002336BD">
        <w:rPr>
          <w:rFonts w:hAnsi="Times New Roman" w:cs="Times New Roman"/>
        </w:rPr>
        <w:t xml:space="preserve">  AEP Ohio does receive benefits from this Mercantile Customer remaining as its distribution customer and should share in the cost of the economic development regarding the customer.  </w:t>
      </w:r>
    </w:p>
    <w:p w14:paraId="5B21619F" w14:textId="77777777" w:rsidR="007362DC" w:rsidRPr="002336BD" w:rsidRDefault="007362DC" w:rsidP="007362DC">
      <w:pPr>
        <w:pStyle w:val="BodyA"/>
        <w:spacing w:line="480" w:lineRule="auto"/>
        <w:ind w:left="720" w:hanging="720"/>
        <w:rPr>
          <w:rFonts w:hAnsi="Times New Roman" w:cs="Times New Roman"/>
          <w:b/>
          <w:i/>
        </w:rPr>
      </w:pPr>
    </w:p>
    <w:p w14:paraId="2AAAEB34" w14:textId="77777777" w:rsidR="007362DC" w:rsidRPr="002336BD" w:rsidRDefault="007362DC" w:rsidP="007362DC">
      <w:pPr>
        <w:pStyle w:val="BodyA"/>
        <w:spacing w:line="480" w:lineRule="auto"/>
        <w:ind w:left="720" w:hanging="720"/>
        <w:rPr>
          <w:rFonts w:hAnsi="Times New Roman" w:cs="Times New Roman"/>
          <w:b/>
          <w:i/>
        </w:rPr>
      </w:pPr>
      <w:r w:rsidRPr="002336BD">
        <w:rPr>
          <w:rFonts w:hAnsi="Times New Roman" w:cs="Times New Roman"/>
          <w:b/>
          <w:i/>
        </w:rPr>
        <w:t>Q11.</w:t>
      </w:r>
      <w:r w:rsidRPr="002336BD">
        <w:rPr>
          <w:rFonts w:hAnsi="Times New Roman" w:cs="Times New Roman"/>
          <w:b/>
          <w:i/>
        </w:rPr>
        <w:tab/>
        <w:t>SHOULD THE PUCO REQUIRE ECONOMIC DEVELOPMENT BENCHMARKS FOR APPLICANTS TO ACHIEVE WHEN ARRANGING FOR OTHER CUSTOMERS TO FUND ELECTRICITY DISCOUNTS FOR MERCANTILE CUSTOMERS?</w:t>
      </w:r>
    </w:p>
    <w:p w14:paraId="7A0DE694" w14:textId="77777777" w:rsidR="007362DC" w:rsidRPr="002336BD" w:rsidRDefault="007362DC" w:rsidP="007362DC">
      <w:pPr>
        <w:pStyle w:val="NoSpacing"/>
        <w:spacing w:line="480" w:lineRule="auto"/>
        <w:ind w:left="720" w:hanging="720"/>
      </w:pPr>
      <w:r w:rsidRPr="002336BD">
        <w:rPr>
          <w:b/>
          <w:i/>
        </w:rPr>
        <w:t>A11.</w:t>
      </w:r>
      <w:r w:rsidRPr="002336BD">
        <w:t xml:space="preserve"> </w:t>
      </w:r>
      <w:r w:rsidRPr="002336BD">
        <w:tab/>
        <w:t xml:space="preserve">Yes.  In considering the balance between economic development benefits and the subsidy charges that other customers pay for the mercantile customer’s electricity discounts, it is appropriate for the PUCO to determine expected and quantifiable beneficial outcomes for Ohio and Ohioans.  In this regard, I recognize that the Applicant has stated two outcomes for the PUCO’s consideration, investment and minimum employee levels.  </w:t>
      </w:r>
    </w:p>
    <w:p w14:paraId="0253C0EB" w14:textId="77777777" w:rsidR="007362DC" w:rsidRPr="002336BD" w:rsidRDefault="007362DC" w:rsidP="007362DC">
      <w:pPr>
        <w:pStyle w:val="BodyA"/>
        <w:spacing w:line="480" w:lineRule="auto"/>
        <w:ind w:left="720" w:hanging="720"/>
        <w:rPr>
          <w:rFonts w:hAnsi="Times New Roman" w:cs="Times New Roman"/>
        </w:rPr>
      </w:pPr>
    </w:p>
    <w:p w14:paraId="621CA24E"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Q12.</w:t>
      </w:r>
      <w:r w:rsidRPr="002336BD">
        <w:rPr>
          <w:rFonts w:hAnsi="Times New Roman" w:cs="Times New Roman"/>
        </w:rPr>
        <w:tab/>
        <w:t>Why should the ECONOMIC DEVELOPMENT annual report be made available to interested parties?</w:t>
      </w:r>
    </w:p>
    <w:p w14:paraId="7F8B673F" w14:textId="77777777" w:rsidR="007362DC" w:rsidRDefault="007362DC" w:rsidP="007362DC">
      <w:pPr>
        <w:pStyle w:val="BodyA"/>
        <w:spacing w:line="480" w:lineRule="auto"/>
        <w:ind w:left="720" w:hanging="720"/>
        <w:rPr>
          <w:rFonts w:hAnsi="Times New Roman" w:cs="Times New Roman"/>
        </w:rPr>
      </w:pPr>
      <w:r w:rsidRPr="002336BD">
        <w:rPr>
          <w:rFonts w:hAnsi="Times New Roman" w:cs="Times New Roman"/>
          <w:b/>
          <w:bCs/>
          <w:i/>
          <w:iCs/>
        </w:rPr>
        <w:t>A12.</w:t>
      </w:r>
      <w:r w:rsidRPr="002336BD">
        <w:rPr>
          <w:rFonts w:hAnsi="Times New Roman" w:cs="Times New Roman"/>
          <w:b/>
          <w:bCs/>
          <w:i/>
          <w:iCs/>
        </w:rPr>
        <w:tab/>
      </w:r>
      <w:r w:rsidRPr="002336BD">
        <w:rPr>
          <w:rFonts w:hAnsi="Times New Roman" w:cs="Times New Roman"/>
        </w:rPr>
        <w:t>It is appropriate for it to be known that companies receiving funding from Ohioans (for electricity discounts) regarding unique arrangements are fulfilling their commitments to Ohioans for economic development.  The Ohio Administrative Code, that the PUCO adopted, requires an annual report to be filed by customers served under a unique arrangement.  The report is to display the value of any incentives and the impact on customers.</w:t>
      </w:r>
      <w:r w:rsidRPr="002336BD">
        <w:rPr>
          <w:rStyle w:val="FootnoteReference"/>
          <w:rFonts w:hAnsi="Times New Roman" w:cs="Times New Roman"/>
        </w:rPr>
        <w:footnoteReference w:id="10"/>
      </w:r>
      <w:r w:rsidRPr="002336BD">
        <w:rPr>
          <w:rFonts w:hAnsi="Times New Roman" w:cs="Times New Roman"/>
        </w:rPr>
        <w:t xml:space="preserve"> At a minimum the PUCO should treat these reports similar to the annual reports in an earlier case where the PUCO ordered the reasonable arrangement reports to be released to the Ohio Consumers’ Counsel. </w:t>
      </w:r>
      <w:r w:rsidRPr="002336BD">
        <w:rPr>
          <w:rStyle w:val="FootnoteReference"/>
          <w:rFonts w:hAnsi="Times New Roman" w:cs="Times New Roman"/>
        </w:rPr>
        <w:footnoteReference w:id="11"/>
      </w:r>
      <w:r w:rsidRPr="002336BD">
        <w:rPr>
          <w:rFonts w:hAnsi="Times New Roman" w:cs="Times New Roman"/>
        </w:rPr>
        <w:t xml:space="preserve">   </w:t>
      </w:r>
    </w:p>
    <w:p w14:paraId="2204D5B9" w14:textId="77777777" w:rsidR="007362DC" w:rsidRPr="002336BD" w:rsidRDefault="007362DC" w:rsidP="007362DC">
      <w:pPr>
        <w:pStyle w:val="BodyA"/>
        <w:spacing w:line="480" w:lineRule="auto"/>
        <w:ind w:left="720" w:hanging="720"/>
        <w:rPr>
          <w:rFonts w:hAnsi="Times New Roman" w:cs="Times New Roman"/>
        </w:rPr>
      </w:pPr>
    </w:p>
    <w:p w14:paraId="2E87DB05" w14:textId="77777777" w:rsidR="007362DC" w:rsidRPr="002336BD" w:rsidRDefault="007362DC" w:rsidP="007362DC">
      <w:pPr>
        <w:pStyle w:val="BodyA"/>
        <w:spacing w:line="480" w:lineRule="auto"/>
        <w:ind w:left="720" w:hanging="720"/>
        <w:rPr>
          <w:rFonts w:hAnsi="Times New Roman" w:cs="Times New Roman"/>
        </w:rPr>
      </w:pPr>
      <w:r w:rsidRPr="002336BD">
        <w:rPr>
          <w:rFonts w:hAnsi="Times New Roman" w:cs="Times New Roman"/>
        </w:rPr>
        <w:tab/>
        <w:t>For example, the Ohio Attorney General provides a reporting of the compliance of economic development awards given by the Ohio Development Services Agency.</w:t>
      </w:r>
      <w:r w:rsidRPr="002336BD">
        <w:rPr>
          <w:rFonts w:hAnsi="Times New Roman" w:cs="Times New Roman"/>
          <w:vertAlign w:val="superscript"/>
        </w:rPr>
        <w:footnoteReference w:id="12"/>
      </w:r>
      <w:r w:rsidRPr="002336BD">
        <w:rPr>
          <w:rFonts w:hAnsi="Times New Roman" w:cs="Times New Roman"/>
        </w:rPr>
        <w:t xml:space="preserve">  This report publicly discloses the amount of grant awards, loan amounts, commitments, performance, and actions taken if the commitments are not reached.</w:t>
      </w:r>
    </w:p>
    <w:p w14:paraId="2CEA2D3A" w14:textId="77777777" w:rsidR="007362DC" w:rsidRPr="002336BD" w:rsidRDefault="007362DC" w:rsidP="007362DC">
      <w:pPr>
        <w:pStyle w:val="BodyA"/>
        <w:spacing w:line="480" w:lineRule="auto"/>
        <w:ind w:left="720" w:hanging="720"/>
        <w:rPr>
          <w:rFonts w:hAnsi="Times New Roman" w:cs="Times New Roman"/>
          <w:b/>
          <w:bCs/>
        </w:rPr>
      </w:pPr>
    </w:p>
    <w:p w14:paraId="2ED5DED1" w14:textId="77777777" w:rsidR="007362DC" w:rsidRPr="002336BD" w:rsidRDefault="007362DC" w:rsidP="007362DC">
      <w:pPr>
        <w:pStyle w:val="Heading1"/>
        <w:spacing w:after="0"/>
        <w:rPr>
          <w:rFonts w:ascii="Times New Roman" w:hAnsi="Times New Roman" w:cs="Times New Roman"/>
          <w:szCs w:val="24"/>
        </w:rPr>
      </w:pPr>
      <w:bookmarkStart w:id="7" w:name="_Toc436402084"/>
      <w:bookmarkStart w:id="8" w:name="_Toc436402885"/>
      <w:r w:rsidRPr="002336BD">
        <w:rPr>
          <w:rFonts w:ascii="Times New Roman" w:eastAsia="Arial Unicode MS" w:hAnsi="Times New Roman" w:cs="Times New Roman"/>
          <w:szCs w:val="24"/>
        </w:rPr>
        <w:t>IV.</w:t>
      </w:r>
      <w:r w:rsidRPr="002336BD">
        <w:rPr>
          <w:rFonts w:ascii="Times New Roman" w:eastAsia="Arial Unicode MS" w:hAnsi="Times New Roman" w:cs="Times New Roman"/>
          <w:szCs w:val="24"/>
        </w:rPr>
        <w:tab/>
        <w:t>CONCLUSION</w:t>
      </w:r>
      <w:bookmarkEnd w:id="7"/>
      <w:bookmarkEnd w:id="8"/>
    </w:p>
    <w:p w14:paraId="5DD1BC1C" w14:textId="77777777" w:rsidR="007362DC" w:rsidRPr="002336BD" w:rsidRDefault="007362DC" w:rsidP="007362DC">
      <w:pPr>
        <w:pStyle w:val="BodyA"/>
        <w:spacing w:line="480" w:lineRule="auto"/>
        <w:rPr>
          <w:rFonts w:hAnsi="Times New Roman" w:cs="Times New Roman"/>
        </w:rPr>
      </w:pPr>
    </w:p>
    <w:p w14:paraId="522A6340" w14:textId="77777777" w:rsidR="007362DC" w:rsidRPr="002336BD" w:rsidRDefault="007362DC" w:rsidP="007362DC">
      <w:pPr>
        <w:pStyle w:val="DirectQuestion"/>
        <w:ind w:left="720" w:hanging="720"/>
        <w:rPr>
          <w:rFonts w:hAnsi="Times New Roman" w:cs="Times New Roman"/>
        </w:rPr>
      </w:pPr>
      <w:r w:rsidRPr="002336BD">
        <w:rPr>
          <w:rFonts w:hAnsi="Times New Roman" w:cs="Times New Roman"/>
        </w:rPr>
        <w:t>Q13.</w:t>
      </w:r>
      <w:r w:rsidRPr="002336BD">
        <w:rPr>
          <w:rFonts w:hAnsi="Times New Roman" w:cs="Times New Roman"/>
        </w:rPr>
        <w:tab/>
        <w:t>Does this conclude your testimony?</w:t>
      </w:r>
    </w:p>
    <w:p w14:paraId="3F2E695D" w14:textId="77777777" w:rsidR="007362DC" w:rsidRPr="002336BD" w:rsidRDefault="007362DC" w:rsidP="007362DC">
      <w:pPr>
        <w:pStyle w:val="BodyA"/>
        <w:spacing w:line="480" w:lineRule="auto"/>
        <w:ind w:left="720" w:hanging="720"/>
        <w:rPr>
          <w:rFonts w:hAnsi="Times New Roman" w:cs="Times New Roman"/>
        </w:rPr>
        <w:sectPr w:rsidR="007362DC" w:rsidRPr="002336BD" w:rsidSect="009A4CDE">
          <w:headerReference w:type="default" r:id="rId26"/>
          <w:footerReference w:type="default" r:id="rId27"/>
          <w:pgSz w:w="12240" w:h="15840"/>
          <w:pgMar w:top="1713" w:right="1800" w:bottom="1440" w:left="1800" w:header="360" w:footer="720" w:gutter="0"/>
          <w:lnNumType w:countBy="1"/>
          <w:pgNumType w:start="1"/>
          <w:cols w:space="720"/>
          <w:docGrid w:linePitch="326"/>
        </w:sectPr>
      </w:pPr>
      <w:r w:rsidRPr="002336BD">
        <w:rPr>
          <w:rFonts w:hAnsi="Times New Roman" w:cs="Times New Roman"/>
          <w:b/>
          <w:bCs/>
          <w:i/>
          <w:iCs/>
        </w:rPr>
        <w:t>A13.</w:t>
      </w:r>
      <w:r w:rsidRPr="002336BD">
        <w:rPr>
          <w:rFonts w:hAnsi="Times New Roman" w:cs="Times New Roman"/>
          <w:b/>
          <w:bCs/>
          <w:i/>
          <w:iCs/>
        </w:rPr>
        <w:tab/>
      </w:r>
      <w:r w:rsidRPr="002336BD">
        <w:rPr>
          <w:rFonts w:hAnsi="Times New Roman" w:cs="Times New Roman"/>
        </w:rPr>
        <w:t>Yes, however I reserve the right to incorporate new information that may subsequently become available, such as after testimony by other parties is available.</w:t>
      </w:r>
    </w:p>
    <w:p w14:paraId="728CE9D3" w14:textId="77777777" w:rsidR="007362DC" w:rsidRPr="002336BD" w:rsidRDefault="007362DC" w:rsidP="007362DC">
      <w:pPr>
        <w:pStyle w:val="BodyA"/>
        <w:jc w:val="center"/>
        <w:rPr>
          <w:rFonts w:hAnsi="Times New Roman" w:cs="Times New Roman"/>
          <w:b/>
          <w:bCs/>
          <w:u w:val="single"/>
        </w:rPr>
      </w:pPr>
      <w:r w:rsidRPr="002336BD">
        <w:rPr>
          <w:rFonts w:hAnsi="Times New Roman" w:cs="Times New Roman"/>
          <w:b/>
          <w:bCs/>
          <w:u w:val="single"/>
        </w:rPr>
        <w:t>CERTIFICATE OF SERVICE</w:t>
      </w:r>
    </w:p>
    <w:p w14:paraId="22F34A13" w14:textId="77777777" w:rsidR="007362DC" w:rsidRPr="002336BD" w:rsidRDefault="007362DC" w:rsidP="007362DC">
      <w:pPr>
        <w:pStyle w:val="BodyA"/>
        <w:jc w:val="center"/>
        <w:rPr>
          <w:rFonts w:hAnsi="Times New Roman" w:cs="Times New Roman"/>
          <w:b/>
          <w:bCs/>
          <w:u w:val="single"/>
        </w:rPr>
      </w:pPr>
    </w:p>
    <w:p w14:paraId="6A6D8F7E" w14:textId="77777777" w:rsidR="007362DC" w:rsidRPr="002336BD" w:rsidRDefault="007362DC" w:rsidP="007362DC">
      <w:pPr>
        <w:pStyle w:val="BodyA"/>
        <w:suppressAutoHyphens/>
        <w:spacing w:line="480" w:lineRule="auto"/>
        <w:ind w:firstLine="720"/>
        <w:rPr>
          <w:rFonts w:hAnsi="Times New Roman" w:cs="Times New Roman"/>
        </w:rPr>
      </w:pPr>
      <w:r w:rsidRPr="002336BD">
        <w:rPr>
          <w:rFonts w:hAnsi="Times New Roman" w:cs="Times New Roman"/>
        </w:rPr>
        <w:t xml:space="preserve">I hereby certify that a true copy of the foregoing </w:t>
      </w:r>
      <w:r w:rsidRPr="002336BD">
        <w:rPr>
          <w:rFonts w:hAnsi="Times New Roman" w:cs="Times New Roman"/>
          <w:i/>
          <w:iCs/>
        </w:rPr>
        <w:t>Direct Testimony of Michael P. Haugh, on Behalf of the Office of the Ohio Consumers</w:t>
      </w:r>
      <w:r w:rsidRPr="002336BD">
        <w:rPr>
          <w:rFonts w:hAnsi="Times New Roman" w:cs="Times New Roman"/>
          <w:i/>
          <w:iCs/>
          <w:lang w:val="fr-FR"/>
        </w:rPr>
        <w:t xml:space="preserve">’ </w:t>
      </w:r>
      <w:r w:rsidRPr="002336BD">
        <w:rPr>
          <w:rFonts w:hAnsi="Times New Roman" w:cs="Times New Roman"/>
          <w:i/>
          <w:iCs/>
        </w:rPr>
        <w:t>Counsel</w:t>
      </w:r>
      <w:r w:rsidRPr="002336BD">
        <w:rPr>
          <w:rFonts w:hAnsi="Times New Roman" w:cs="Times New Roman"/>
        </w:rPr>
        <w:t xml:space="preserve"> was served via electronic transmission upon the parties below this 27</w:t>
      </w:r>
      <w:r w:rsidRPr="002336BD">
        <w:rPr>
          <w:rFonts w:hAnsi="Times New Roman" w:cs="Times New Roman"/>
          <w:vertAlign w:val="superscript"/>
        </w:rPr>
        <w:t>th</w:t>
      </w:r>
      <w:r w:rsidRPr="002336BD">
        <w:rPr>
          <w:rFonts w:hAnsi="Times New Roman" w:cs="Times New Roman"/>
        </w:rPr>
        <w:t xml:space="preserve"> day of November, 2015.</w:t>
      </w:r>
    </w:p>
    <w:p w14:paraId="0826D7C0" w14:textId="77777777" w:rsidR="007362DC" w:rsidRPr="002336BD" w:rsidRDefault="007362DC" w:rsidP="007362DC">
      <w:pPr>
        <w:pStyle w:val="EndnoteText"/>
        <w:tabs>
          <w:tab w:val="left" w:pos="5040"/>
          <w:tab w:val="left" w:pos="8280"/>
        </w:tabs>
        <w:suppressAutoHyphens/>
        <w:rPr>
          <w:rFonts w:ascii="Times New Roman" w:eastAsia="Times New Roman" w:hAnsi="Times New Roman" w:cs="Times New Roman"/>
          <w:i/>
          <w:iCs/>
          <w:u w:val="single"/>
        </w:rPr>
      </w:pPr>
      <w:r w:rsidRPr="002336BD">
        <w:rPr>
          <w:rFonts w:ascii="Times New Roman" w:eastAsia="Times New Roman" w:hAnsi="Times New Roman" w:cs="Times New Roman"/>
        </w:rPr>
        <w:tab/>
      </w:r>
      <w:r w:rsidRPr="002336BD">
        <w:rPr>
          <w:rFonts w:ascii="Times New Roman" w:hAnsi="Times New Roman" w:cs="Times New Roman"/>
          <w:i/>
          <w:iCs/>
          <w:u w:val="single"/>
        </w:rPr>
        <w:t>/s/ Jodi Bair</w:t>
      </w:r>
      <w:r w:rsidRPr="002336BD">
        <w:rPr>
          <w:rFonts w:ascii="Times New Roman" w:eastAsia="Times New Roman" w:hAnsi="Times New Roman" w:cs="Times New Roman"/>
          <w:i/>
          <w:iCs/>
          <w:u w:val="single"/>
        </w:rPr>
        <w:tab/>
      </w:r>
    </w:p>
    <w:p w14:paraId="552FA7B5" w14:textId="77777777" w:rsidR="007362DC" w:rsidRPr="002336BD" w:rsidRDefault="007362DC" w:rsidP="007362DC">
      <w:pPr>
        <w:pStyle w:val="EndnoteText"/>
        <w:tabs>
          <w:tab w:val="left" w:pos="5040"/>
        </w:tabs>
        <w:suppressAutoHyphens/>
        <w:rPr>
          <w:rFonts w:ascii="Times New Roman" w:eastAsia="Times New Roman" w:hAnsi="Times New Roman" w:cs="Times New Roman"/>
        </w:rPr>
      </w:pPr>
      <w:r w:rsidRPr="002336BD">
        <w:rPr>
          <w:rFonts w:ascii="Times New Roman" w:eastAsia="Times New Roman" w:hAnsi="Times New Roman" w:cs="Times New Roman"/>
        </w:rPr>
        <w:tab/>
      </w:r>
      <w:r w:rsidRPr="002336BD">
        <w:rPr>
          <w:rFonts w:ascii="Times New Roman" w:hAnsi="Times New Roman" w:cs="Times New Roman"/>
        </w:rPr>
        <w:t>Jodi Bair</w:t>
      </w:r>
    </w:p>
    <w:p w14:paraId="2041A51F" w14:textId="77777777" w:rsidR="007362DC" w:rsidRPr="002336BD" w:rsidRDefault="007362DC" w:rsidP="007362DC">
      <w:pPr>
        <w:pStyle w:val="EndnoteText"/>
        <w:widowControl/>
        <w:tabs>
          <w:tab w:val="left" w:pos="5040"/>
        </w:tabs>
        <w:suppressAutoHyphens/>
        <w:rPr>
          <w:rFonts w:ascii="Times New Roman" w:eastAsia="Times New Roman" w:hAnsi="Times New Roman" w:cs="Times New Roman"/>
        </w:rPr>
      </w:pPr>
      <w:r w:rsidRPr="002336BD">
        <w:rPr>
          <w:rFonts w:ascii="Times New Roman" w:eastAsia="Times New Roman" w:hAnsi="Times New Roman" w:cs="Times New Roman"/>
        </w:rPr>
        <w:tab/>
        <w:t>Assistant Consumers</w:t>
      </w:r>
      <w:r w:rsidRPr="002336BD">
        <w:rPr>
          <w:rFonts w:ascii="Times New Roman" w:hAnsi="Times New Roman" w:cs="Times New Roman"/>
        </w:rPr>
        <w:t>’ Counsel</w:t>
      </w:r>
    </w:p>
    <w:p w14:paraId="11684BFD" w14:textId="77777777" w:rsidR="007362DC" w:rsidRPr="002336BD" w:rsidRDefault="007362DC" w:rsidP="007362DC">
      <w:pPr>
        <w:pStyle w:val="EndnoteText"/>
        <w:widowControl/>
        <w:rPr>
          <w:rFonts w:ascii="Times New Roman" w:eastAsia="Times New Roman" w:hAnsi="Times New Roman" w:cs="Times New Roman"/>
        </w:rPr>
      </w:pPr>
    </w:p>
    <w:p w14:paraId="6937E573" w14:textId="77777777" w:rsidR="007362DC" w:rsidRPr="002336BD" w:rsidRDefault="007362DC" w:rsidP="007362DC">
      <w:pPr>
        <w:pStyle w:val="EndnoteText"/>
        <w:widowControl/>
        <w:rPr>
          <w:rFonts w:ascii="Times New Roman" w:eastAsia="Times New Roman" w:hAnsi="Times New Roman" w:cs="Times New Roman"/>
        </w:rPr>
      </w:pPr>
    </w:p>
    <w:p w14:paraId="206A63FE" w14:textId="77777777" w:rsidR="007362DC" w:rsidRPr="002336BD" w:rsidRDefault="007362DC" w:rsidP="007362DC">
      <w:pPr>
        <w:pStyle w:val="BodyA"/>
        <w:jc w:val="center"/>
        <w:rPr>
          <w:rFonts w:hAnsi="Times New Roman" w:cs="Times New Roman"/>
          <w:b/>
          <w:bCs/>
          <w:u w:val="single"/>
        </w:rPr>
      </w:pPr>
    </w:p>
    <w:p w14:paraId="2C8ABA60" w14:textId="77777777" w:rsidR="007362DC" w:rsidRPr="002336BD" w:rsidRDefault="007362DC" w:rsidP="007362DC">
      <w:pPr>
        <w:pStyle w:val="BodyA"/>
        <w:jc w:val="center"/>
        <w:rPr>
          <w:rFonts w:hAnsi="Times New Roman" w:cs="Times New Roman"/>
          <w:b/>
          <w:bCs/>
          <w:u w:val="single"/>
        </w:rPr>
      </w:pPr>
      <w:r w:rsidRPr="002336BD">
        <w:rPr>
          <w:rFonts w:hAnsi="Times New Roman" w:cs="Times New Roman"/>
          <w:b/>
          <w:bCs/>
          <w:u w:val="single"/>
        </w:rPr>
        <w:t>SERVICE LIST</w:t>
      </w:r>
    </w:p>
    <w:tbl>
      <w:tblPr>
        <w:tblW w:w="0" w:type="auto"/>
        <w:jc w:val="center"/>
        <w:tblCellMar>
          <w:left w:w="0" w:type="dxa"/>
          <w:right w:w="0" w:type="dxa"/>
        </w:tblCellMar>
        <w:tblLook w:val="04A0" w:firstRow="1" w:lastRow="0" w:firstColumn="1" w:lastColumn="0" w:noHBand="0" w:noVBand="1"/>
      </w:tblPr>
      <w:tblGrid>
        <w:gridCol w:w="4428"/>
        <w:gridCol w:w="4428"/>
      </w:tblGrid>
      <w:tr w:rsidR="007362DC" w:rsidRPr="002336BD" w14:paraId="728B5055" w14:textId="77777777" w:rsidTr="00FD620A">
        <w:trPr>
          <w:jc w:val="center"/>
        </w:trPr>
        <w:tc>
          <w:tcPr>
            <w:tcW w:w="4428" w:type="dxa"/>
            <w:tcMar>
              <w:top w:w="0" w:type="dxa"/>
              <w:left w:w="108" w:type="dxa"/>
              <w:bottom w:w="0" w:type="dxa"/>
              <w:right w:w="108" w:type="dxa"/>
            </w:tcMar>
          </w:tcPr>
          <w:p w14:paraId="611CCA11" w14:textId="77777777" w:rsidR="007362DC" w:rsidRPr="002336BD" w:rsidRDefault="007362DC" w:rsidP="00FD620A">
            <w:pPr>
              <w:rPr>
                <w:color w:val="1F497D"/>
              </w:rPr>
            </w:pPr>
          </w:p>
        </w:tc>
        <w:tc>
          <w:tcPr>
            <w:tcW w:w="4428" w:type="dxa"/>
            <w:tcMar>
              <w:top w:w="0" w:type="dxa"/>
              <w:left w:w="108" w:type="dxa"/>
              <w:bottom w:w="0" w:type="dxa"/>
              <w:right w:w="108" w:type="dxa"/>
            </w:tcMar>
          </w:tcPr>
          <w:p w14:paraId="2880DC2C" w14:textId="77777777" w:rsidR="007362DC" w:rsidRPr="002336BD" w:rsidRDefault="007362DC" w:rsidP="00FD620A">
            <w:pPr>
              <w:rPr>
                <w:b/>
                <w:bCs/>
                <w:color w:val="1F497D"/>
                <w:u w:val="single"/>
              </w:rPr>
            </w:pPr>
          </w:p>
        </w:tc>
      </w:tr>
    </w:tbl>
    <w:p w14:paraId="6595D09A" w14:textId="77777777" w:rsidR="007362DC" w:rsidRPr="002336BD" w:rsidRDefault="007362DC" w:rsidP="007362DC">
      <w:pPr>
        <w:pStyle w:val="BodyA"/>
        <w:widowControl w:val="0"/>
        <w:jc w:val="center"/>
        <w:rPr>
          <w:rFonts w:hAnsi="Times New Roman" w:cs="Times New Roman"/>
          <w:b/>
          <w:bCs/>
          <w:u w:val="single"/>
        </w:rPr>
      </w:pPr>
    </w:p>
    <w:p w14:paraId="3F708A39" w14:textId="77777777" w:rsidR="007362DC" w:rsidRPr="002336BD" w:rsidRDefault="007362DC" w:rsidP="007362DC">
      <w:pPr>
        <w:tabs>
          <w:tab w:val="left" w:pos="4320"/>
        </w:tabs>
        <w:jc w:val="center"/>
        <w:rPr>
          <w:rFonts w:eastAsia="Times New Roman"/>
          <w:b/>
          <w:u w:val="single"/>
          <w:bdr w:val="none" w:sz="0" w:space="0" w:color="auto"/>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362DC" w:rsidRPr="002336BD" w14:paraId="632A6A0D" w14:textId="77777777" w:rsidTr="00FD620A">
        <w:tc>
          <w:tcPr>
            <w:tcW w:w="4428" w:type="dxa"/>
          </w:tcPr>
          <w:p w14:paraId="5B738439" w14:textId="384EFE46" w:rsidR="007362DC" w:rsidRPr="000237E3" w:rsidRDefault="007362DC" w:rsidP="00FD620A">
            <w:pPr>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William.wright@puc.state.oh.us</w:t>
            </w:r>
          </w:p>
          <w:p w14:paraId="79A45E8A" w14:textId="73E1A7E8" w:rsidR="007362DC" w:rsidRPr="000237E3" w:rsidRDefault="007362DC" w:rsidP="00FD620A">
            <w:pPr>
              <w:autoSpaceDE w:val="0"/>
              <w:autoSpaceDN w:val="0"/>
              <w:adjustRightInd w:val="0"/>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dboehm@BKLlawfirm.com</w:t>
            </w:r>
          </w:p>
          <w:p w14:paraId="31CBBA30" w14:textId="3F06056F" w:rsidR="007362DC" w:rsidRPr="000237E3" w:rsidRDefault="007362DC" w:rsidP="00FD620A">
            <w:pPr>
              <w:autoSpaceDE w:val="0"/>
              <w:autoSpaceDN w:val="0"/>
              <w:adjustRightInd w:val="0"/>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mkurtz@BKLlawfirm.com</w:t>
            </w:r>
          </w:p>
          <w:p w14:paraId="6FB2860C" w14:textId="7CAD80A9" w:rsidR="007362DC" w:rsidRPr="000237E3" w:rsidRDefault="007362DC" w:rsidP="00FD620A">
            <w:pPr>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jkyler@BKLlawfirm.com</w:t>
            </w:r>
          </w:p>
          <w:p w14:paraId="2ECD668F" w14:textId="77777777" w:rsidR="007362DC" w:rsidRPr="000237E3" w:rsidRDefault="007362DC" w:rsidP="00FD620A">
            <w:pPr>
              <w:rPr>
                <w:rFonts w:ascii="Times New Roman" w:eastAsia="Times New Roman" w:hAnsi="Times New Roman"/>
                <w:sz w:val="24"/>
                <w:szCs w:val="24"/>
              </w:rPr>
            </w:pPr>
          </w:p>
          <w:p w14:paraId="18E43A84" w14:textId="77777777" w:rsidR="007362DC" w:rsidRPr="000237E3" w:rsidRDefault="007362DC" w:rsidP="00FD620A">
            <w:pPr>
              <w:tabs>
                <w:tab w:val="left" w:pos="4320"/>
              </w:tabs>
              <w:jc w:val="center"/>
              <w:rPr>
                <w:rFonts w:ascii="Times New Roman" w:eastAsia="Times New Roman" w:hAnsi="Times New Roman"/>
                <w:b/>
                <w:sz w:val="24"/>
                <w:szCs w:val="24"/>
                <w:u w:val="single"/>
              </w:rPr>
            </w:pPr>
          </w:p>
        </w:tc>
        <w:tc>
          <w:tcPr>
            <w:tcW w:w="4428" w:type="dxa"/>
          </w:tcPr>
          <w:p w14:paraId="06A5A722" w14:textId="238E8C98" w:rsidR="007362DC" w:rsidRPr="000237E3" w:rsidRDefault="007362DC" w:rsidP="00FD620A">
            <w:pPr>
              <w:ind w:left="612"/>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stnourse@aep.com</w:t>
            </w:r>
          </w:p>
          <w:p w14:paraId="1C097A47" w14:textId="58E18BA7" w:rsidR="007362DC" w:rsidRPr="000237E3" w:rsidRDefault="007362DC" w:rsidP="00FD620A">
            <w:pPr>
              <w:ind w:left="612"/>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mjsettineri@vorys.com</w:t>
            </w:r>
          </w:p>
          <w:p w14:paraId="32A4AEBD" w14:textId="1998673C" w:rsidR="007362DC" w:rsidRDefault="007362DC" w:rsidP="00FD620A">
            <w:pPr>
              <w:ind w:left="612"/>
              <w:rPr>
                <w:rFonts w:ascii="Times New Roman" w:eastAsia="Times New Roman" w:hAnsi="Times New Roman"/>
                <w:color w:val="0000FF"/>
                <w:sz w:val="24"/>
                <w:szCs w:val="24"/>
                <w:u w:val="single"/>
              </w:rPr>
            </w:pPr>
            <w:r w:rsidRPr="000237E3">
              <w:rPr>
                <w:rFonts w:ascii="Times New Roman" w:eastAsia="Times New Roman" w:hAnsi="Times New Roman"/>
                <w:color w:val="0000FF"/>
                <w:sz w:val="24"/>
                <w:szCs w:val="24"/>
                <w:u w:val="single"/>
              </w:rPr>
              <w:t>wasieck@vorys.com</w:t>
            </w:r>
          </w:p>
          <w:p w14:paraId="72D0644B" w14:textId="247EA6BA" w:rsidR="007362DC" w:rsidRPr="000237E3" w:rsidRDefault="007362DC" w:rsidP="00FD620A">
            <w:pPr>
              <w:ind w:left="612"/>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Bojko@carpenterlipps.com</w:t>
            </w:r>
          </w:p>
          <w:p w14:paraId="3FA49712" w14:textId="03625B17" w:rsidR="007362DC" w:rsidRPr="000237E3" w:rsidRDefault="007362DC" w:rsidP="00FD620A">
            <w:pPr>
              <w:ind w:left="612"/>
              <w:rPr>
                <w:rFonts w:ascii="Times New Roman" w:eastAsia="Times New Roman" w:hAnsi="Times New Roman"/>
                <w:sz w:val="24"/>
                <w:szCs w:val="24"/>
              </w:rPr>
            </w:pPr>
            <w:r w:rsidRPr="000237E3">
              <w:rPr>
                <w:rFonts w:ascii="Times New Roman" w:eastAsia="Times New Roman" w:hAnsi="Times New Roman"/>
                <w:color w:val="0000FF"/>
                <w:sz w:val="24"/>
                <w:szCs w:val="24"/>
                <w:u w:val="single"/>
              </w:rPr>
              <w:t>orourke@carpenterlipps.com</w:t>
            </w:r>
          </w:p>
          <w:p w14:paraId="284450C0" w14:textId="77777777" w:rsidR="007362DC" w:rsidRPr="000237E3" w:rsidRDefault="007362DC" w:rsidP="00FD620A">
            <w:pPr>
              <w:rPr>
                <w:rFonts w:ascii="Times New Roman" w:eastAsia="Times New Roman" w:hAnsi="Times New Roman"/>
                <w:sz w:val="24"/>
                <w:szCs w:val="24"/>
              </w:rPr>
            </w:pPr>
          </w:p>
          <w:p w14:paraId="5FDAACF7" w14:textId="77777777" w:rsidR="007362DC" w:rsidRPr="000237E3" w:rsidRDefault="007362DC" w:rsidP="00FD620A">
            <w:pPr>
              <w:rPr>
                <w:rFonts w:ascii="Times New Roman" w:eastAsia="Times New Roman" w:hAnsi="Times New Roman"/>
                <w:sz w:val="24"/>
                <w:szCs w:val="24"/>
              </w:rPr>
            </w:pPr>
          </w:p>
        </w:tc>
      </w:tr>
      <w:tr w:rsidR="007362DC" w:rsidRPr="002336BD" w14:paraId="4129E6B4" w14:textId="77777777" w:rsidTr="00FD620A">
        <w:tc>
          <w:tcPr>
            <w:tcW w:w="4428" w:type="dxa"/>
          </w:tcPr>
          <w:p w14:paraId="6D336B42" w14:textId="77777777" w:rsidR="007362DC" w:rsidRPr="002336BD" w:rsidRDefault="007362DC" w:rsidP="00FD620A">
            <w:pPr>
              <w:autoSpaceDE w:val="0"/>
              <w:autoSpaceDN w:val="0"/>
              <w:adjustRightInd w:val="0"/>
              <w:rPr>
                <w:rFonts w:ascii="Times New Roman" w:eastAsia="Times New Roman" w:hAnsi="Times New Roman"/>
                <w:sz w:val="24"/>
                <w:szCs w:val="24"/>
              </w:rPr>
            </w:pPr>
          </w:p>
          <w:p w14:paraId="68A6AA73" w14:textId="77777777" w:rsidR="007362DC" w:rsidRPr="002336BD" w:rsidRDefault="007362DC" w:rsidP="00FD620A">
            <w:pPr>
              <w:autoSpaceDE w:val="0"/>
              <w:autoSpaceDN w:val="0"/>
              <w:adjustRightInd w:val="0"/>
              <w:rPr>
                <w:rFonts w:ascii="Times New Roman" w:eastAsia="Times New Roman" w:hAnsi="Times New Roman"/>
                <w:sz w:val="24"/>
                <w:szCs w:val="24"/>
              </w:rPr>
            </w:pPr>
          </w:p>
          <w:p w14:paraId="5CE5F822" w14:textId="77777777" w:rsidR="007362DC" w:rsidRPr="002336BD" w:rsidRDefault="007362DC" w:rsidP="00FD620A">
            <w:pPr>
              <w:rPr>
                <w:rFonts w:ascii="Times New Roman" w:eastAsia="Times New Roman" w:hAnsi="Times New Roman"/>
                <w:sz w:val="24"/>
                <w:szCs w:val="24"/>
              </w:rPr>
            </w:pPr>
          </w:p>
        </w:tc>
        <w:tc>
          <w:tcPr>
            <w:tcW w:w="4428" w:type="dxa"/>
          </w:tcPr>
          <w:p w14:paraId="7D6D21F0" w14:textId="77777777" w:rsidR="007362DC" w:rsidRPr="002336BD" w:rsidRDefault="007362DC" w:rsidP="00FD620A">
            <w:pPr>
              <w:rPr>
                <w:rFonts w:ascii="Times New Roman" w:eastAsia="Times New Roman" w:hAnsi="Times New Roman"/>
                <w:sz w:val="24"/>
                <w:szCs w:val="24"/>
              </w:rPr>
            </w:pPr>
          </w:p>
          <w:p w14:paraId="5EBC027A" w14:textId="77777777" w:rsidR="007362DC" w:rsidRPr="002336BD" w:rsidRDefault="007362DC" w:rsidP="00FD620A">
            <w:pPr>
              <w:rPr>
                <w:rFonts w:ascii="Times New Roman" w:eastAsia="Times New Roman" w:hAnsi="Times New Roman"/>
                <w:sz w:val="24"/>
                <w:szCs w:val="24"/>
              </w:rPr>
            </w:pPr>
          </w:p>
          <w:p w14:paraId="6DB7D9C2" w14:textId="77777777" w:rsidR="007362DC" w:rsidRPr="002336BD" w:rsidRDefault="007362DC" w:rsidP="00FD620A">
            <w:pPr>
              <w:rPr>
                <w:rFonts w:ascii="Times New Roman" w:eastAsia="Times New Roman" w:hAnsi="Times New Roman"/>
                <w:sz w:val="24"/>
                <w:szCs w:val="24"/>
              </w:rPr>
            </w:pPr>
          </w:p>
        </w:tc>
      </w:tr>
    </w:tbl>
    <w:p w14:paraId="7F84718F" w14:textId="77777777" w:rsidR="007362DC" w:rsidRPr="002336BD" w:rsidRDefault="007362DC" w:rsidP="007362DC">
      <w:pPr>
        <w:pBdr>
          <w:top w:val="none" w:sz="0" w:space="0" w:color="auto"/>
          <w:left w:val="none" w:sz="0" w:space="0" w:color="auto"/>
          <w:bottom w:val="none" w:sz="0" w:space="0" w:color="auto"/>
          <w:right w:val="none" w:sz="0" w:space="0" w:color="auto"/>
          <w:between w:val="none" w:sz="0" w:space="0" w:color="auto"/>
          <w:bar w:val="none" w:sz="0" w:color="auto"/>
        </w:pBdr>
        <w:tabs>
          <w:tab w:val="left" w:pos="4320"/>
        </w:tabs>
        <w:jc w:val="center"/>
        <w:rPr>
          <w:rFonts w:eastAsia="Times New Roman"/>
          <w:b/>
          <w:u w:val="single"/>
          <w:bdr w:val="none" w:sz="0" w:space="0" w:color="auto"/>
        </w:rPr>
      </w:pPr>
    </w:p>
    <w:p w14:paraId="170589EA" w14:textId="77777777" w:rsidR="007362DC" w:rsidRPr="002336BD" w:rsidRDefault="007362DC" w:rsidP="007362DC">
      <w:pPr>
        <w:pBdr>
          <w:top w:val="none" w:sz="0" w:space="0" w:color="auto"/>
          <w:left w:val="none" w:sz="0" w:space="0" w:color="auto"/>
          <w:bottom w:val="none" w:sz="0" w:space="0" w:color="auto"/>
          <w:right w:val="none" w:sz="0" w:space="0" w:color="auto"/>
          <w:between w:val="none" w:sz="0" w:space="0" w:color="auto"/>
          <w:bar w:val="none" w:sz="0" w:color="auto"/>
        </w:pBdr>
        <w:tabs>
          <w:tab w:val="left" w:pos="4320"/>
        </w:tabs>
        <w:jc w:val="center"/>
        <w:rPr>
          <w:rFonts w:eastAsia="Times New Roman"/>
          <w:b/>
          <w:u w:val="single"/>
          <w:bdr w:val="none" w:sz="0" w:space="0" w:color="auto"/>
        </w:rPr>
      </w:pPr>
    </w:p>
    <w:tbl>
      <w:tblPr>
        <w:tblW w:w="0" w:type="auto"/>
        <w:tblLook w:val="01E0" w:firstRow="1" w:lastRow="1" w:firstColumn="1" w:lastColumn="1" w:noHBand="0" w:noVBand="0"/>
      </w:tblPr>
      <w:tblGrid>
        <w:gridCol w:w="4428"/>
        <w:gridCol w:w="4428"/>
      </w:tblGrid>
      <w:tr w:rsidR="007362DC" w:rsidRPr="002336BD" w14:paraId="705DD34E" w14:textId="77777777" w:rsidTr="00FD620A">
        <w:tc>
          <w:tcPr>
            <w:tcW w:w="4428" w:type="dxa"/>
            <w:shd w:val="clear" w:color="auto" w:fill="auto"/>
          </w:tcPr>
          <w:p w14:paraId="4A889F5D" w14:textId="77777777" w:rsidR="007362DC" w:rsidRPr="002336BD" w:rsidRDefault="007362DC" w:rsidP="00FD62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c>
          <w:tcPr>
            <w:tcW w:w="4428" w:type="dxa"/>
            <w:shd w:val="clear" w:color="auto" w:fill="auto"/>
          </w:tcPr>
          <w:p w14:paraId="765685F4" w14:textId="77777777" w:rsidR="007362DC" w:rsidRPr="002336BD" w:rsidRDefault="007362DC" w:rsidP="00FD62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tc>
      </w:tr>
    </w:tbl>
    <w:p w14:paraId="5A80464E" w14:textId="77777777" w:rsidR="007362DC" w:rsidRPr="002336BD" w:rsidRDefault="007362DC" w:rsidP="007362DC">
      <w:pPr>
        <w:rPr>
          <w:b/>
          <w:bCs/>
          <w:color w:val="000000"/>
          <w:u w:val="single" w:color="000000"/>
        </w:rPr>
      </w:pPr>
    </w:p>
    <w:p w14:paraId="0615F8A1" w14:textId="77777777" w:rsidR="007362DC" w:rsidRPr="002336BD" w:rsidRDefault="007362DC" w:rsidP="007362DC">
      <w:pPr>
        <w:rPr>
          <w:b/>
        </w:rPr>
      </w:pPr>
      <w:r w:rsidRPr="002336BD">
        <w:rPr>
          <w:b/>
        </w:rPr>
        <w:br w:type="page"/>
      </w:r>
    </w:p>
    <w:p w14:paraId="13EFE73F" w14:textId="77777777" w:rsidR="007362DC" w:rsidRPr="002336BD" w:rsidRDefault="007362DC" w:rsidP="007362DC">
      <w:pPr>
        <w:jc w:val="right"/>
        <w:rPr>
          <w:b/>
        </w:rPr>
      </w:pPr>
      <w:r w:rsidRPr="002336BD">
        <w:rPr>
          <w:b/>
        </w:rPr>
        <w:t>Attachment MPH-1</w:t>
      </w:r>
    </w:p>
    <w:p w14:paraId="75871C8C" w14:textId="77777777" w:rsidR="007362DC" w:rsidRPr="002336BD" w:rsidRDefault="007362DC" w:rsidP="007362DC">
      <w:pPr>
        <w:rPr>
          <w:b/>
        </w:rPr>
      </w:pPr>
    </w:p>
    <w:p w14:paraId="5B5F1DB2" w14:textId="77777777" w:rsidR="007362DC" w:rsidRPr="002336BD" w:rsidRDefault="007362DC" w:rsidP="007362DC">
      <w:pPr>
        <w:rPr>
          <w:b/>
        </w:rPr>
      </w:pPr>
      <w:r w:rsidRPr="002336BD">
        <w:rPr>
          <w:b/>
        </w:rPr>
        <w:t xml:space="preserve">Public Utilities Commission of Ohio </w:t>
      </w:r>
    </w:p>
    <w:p w14:paraId="6B0312A6" w14:textId="77777777" w:rsidR="007362DC" w:rsidRPr="002336BD" w:rsidRDefault="007362DC" w:rsidP="007362DC">
      <w:pPr>
        <w:rPr>
          <w:b/>
        </w:rPr>
      </w:pPr>
    </w:p>
    <w:p w14:paraId="6FEF541A" w14:textId="77777777" w:rsidR="007362DC" w:rsidRPr="002336BD" w:rsidRDefault="007362DC" w:rsidP="007362DC">
      <w:pPr>
        <w:spacing w:line="480" w:lineRule="auto"/>
        <w:ind w:left="720" w:hanging="720"/>
      </w:pPr>
      <w:r w:rsidRPr="002336BD">
        <w:rPr>
          <w:i/>
        </w:rPr>
        <w:t>Monongahela Power Company</w:t>
      </w:r>
      <w:r w:rsidRPr="002336BD">
        <w:t>, Case No. 04-1047-EL-ATA</w:t>
      </w:r>
    </w:p>
    <w:p w14:paraId="4B7A5591" w14:textId="77777777" w:rsidR="007362DC" w:rsidRPr="002336BD" w:rsidRDefault="007362DC" w:rsidP="007362DC">
      <w:pPr>
        <w:spacing w:line="480" w:lineRule="auto"/>
      </w:pPr>
      <w:r w:rsidRPr="002336BD">
        <w:rPr>
          <w:i/>
        </w:rPr>
        <w:t>American Electric Power Company</w:t>
      </w:r>
      <w:r w:rsidRPr="002336BD">
        <w:t>, Case No. 05-376-EL-UNC</w:t>
      </w:r>
    </w:p>
    <w:p w14:paraId="2F3179B6" w14:textId="77777777" w:rsidR="007362DC" w:rsidRPr="002336BD" w:rsidRDefault="007362DC" w:rsidP="007362DC">
      <w:pPr>
        <w:spacing w:line="480" w:lineRule="auto"/>
      </w:pPr>
      <w:r w:rsidRPr="002336BD">
        <w:rPr>
          <w:i/>
        </w:rPr>
        <w:t>Dayton Power and Light Company</w:t>
      </w:r>
      <w:r w:rsidRPr="002336BD">
        <w:t>, Case No. 05-276-EL-AIR</w:t>
      </w:r>
    </w:p>
    <w:p w14:paraId="18171363" w14:textId="77777777" w:rsidR="007362DC" w:rsidRPr="002336BD" w:rsidRDefault="007362DC" w:rsidP="007362DC">
      <w:pPr>
        <w:spacing w:line="480" w:lineRule="auto"/>
        <w:ind w:left="720" w:hanging="720"/>
      </w:pPr>
      <w:r w:rsidRPr="002336BD">
        <w:rPr>
          <w:i/>
        </w:rPr>
        <w:t>Dominion East Ohio Company</w:t>
      </w:r>
      <w:r w:rsidRPr="002336BD">
        <w:t>, Case No. 05-474-EL-ATA</w:t>
      </w:r>
    </w:p>
    <w:p w14:paraId="484F6F64" w14:textId="77777777" w:rsidR="007362DC" w:rsidRPr="002336BD" w:rsidRDefault="007362DC" w:rsidP="007362DC">
      <w:pPr>
        <w:spacing w:line="480" w:lineRule="auto"/>
        <w:ind w:left="720" w:hanging="720"/>
      </w:pPr>
      <w:r w:rsidRPr="002336BD">
        <w:rPr>
          <w:i/>
        </w:rPr>
        <w:t>Dominion East Ohio Company</w:t>
      </w:r>
      <w:r w:rsidRPr="002336BD">
        <w:t>, Case No. 05-219-GA-GCR</w:t>
      </w:r>
    </w:p>
    <w:p w14:paraId="2A713289" w14:textId="77777777" w:rsidR="007362DC" w:rsidRPr="002336BD" w:rsidRDefault="007362DC" w:rsidP="007362DC">
      <w:pPr>
        <w:spacing w:line="480" w:lineRule="auto"/>
        <w:ind w:left="720" w:hanging="720"/>
      </w:pPr>
      <w:r w:rsidRPr="002336BD">
        <w:rPr>
          <w:i/>
        </w:rPr>
        <w:t>Columbia Gas of Ohio</w:t>
      </w:r>
      <w:r w:rsidRPr="002336BD">
        <w:t>, Case No. 05-221-GA-GCR</w:t>
      </w:r>
    </w:p>
    <w:p w14:paraId="53AC7820" w14:textId="77777777" w:rsidR="007362DC" w:rsidRPr="002336BD" w:rsidRDefault="007362DC" w:rsidP="007362DC">
      <w:pPr>
        <w:spacing w:line="480" w:lineRule="auto"/>
        <w:ind w:left="720" w:hanging="720"/>
      </w:pPr>
      <w:r w:rsidRPr="002336BD">
        <w:rPr>
          <w:i/>
        </w:rPr>
        <w:t>Duke Energy Ohio</w:t>
      </w:r>
      <w:r w:rsidRPr="002336BD">
        <w:t>, Case No. 03-93-EL-ATA</w:t>
      </w:r>
    </w:p>
    <w:p w14:paraId="1A8952F9" w14:textId="77777777" w:rsidR="007362DC" w:rsidRPr="002336BD" w:rsidRDefault="007362DC" w:rsidP="007362DC">
      <w:pPr>
        <w:spacing w:line="480" w:lineRule="auto"/>
        <w:ind w:left="720" w:hanging="720"/>
      </w:pPr>
      <w:r w:rsidRPr="002336BD">
        <w:rPr>
          <w:i/>
        </w:rPr>
        <w:t>American Electric Power</w:t>
      </w:r>
      <w:r w:rsidRPr="002336BD">
        <w:t>, Case No. 07-63-EL-UNC</w:t>
      </w:r>
    </w:p>
    <w:p w14:paraId="2140CACA" w14:textId="77777777" w:rsidR="007362DC" w:rsidRPr="002336BD" w:rsidRDefault="007362DC" w:rsidP="007362DC">
      <w:pPr>
        <w:spacing w:line="480" w:lineRule="auto"/>
        <w:ind w:left="720" w:hanging="720"/>
      </w:pPr>
      <w:r w:rsidRPr="002336BD">
        <w:rPr>
          <w:i/>
        </w:rPr>
        <w:t xml:space="preserve">Eramet Marietta, Inc., </w:t>
      </w:r>
      <w:r w:rsidRPr="002336BD">
        <w:t>Case No. 09-516-EL-AEC</w:t>
      </w:r>
    </w:p>
    <w:p w14:paraId="4DB060ED" w14:textId="77777777" w:rsidR="007362DC" w:rsidRPr="002336BD" w:rsidRDefault="007362DC" w:rsidP="007362DC">
      <w:pPr>
        <w:spacing w:line="480" w:lineRule="auto"/>
        <w:ind w:left="720" w:hanging="720"/>
      </w:pPr>
    </w:p>
    <w:p w14:paraId="0283511F" w14:textId="77777777" w:rsidR="007362DC" w:rsidRPr="002336BD" w:rsidRDefault="007362DC" w:rsidP="007362DC">
      <w:pPr>
        <w:spacing w:line="480" w:lineRule="auto"/>
        <w:ind w:left="720" w:hanging="720"/>
        <w:rPr>
          <w:b/>
        </w:rPr>
      </w:pPr>
      <w:r w:rsidRPr="002336BD">
        <w:rPr>
          <w:b/>
        </w:rPr>
        <w:t xml:space="preserve">Michigan Public Service Commission </w:t>
      </w:r>
    </w:p>
    <w:p w14:paraId="02CBD0C2" w14:textId="77777777" w:rsidR="007362DC" w:rsidRPr="002336BD" w:rsidRDefault="007362DC" w:rsidP="007362DC">
      <w:pPr>
        <w:spacing w:line="480" w:lineRule="auto"/>
        <w:ind w:left="720" w:hanging="720"/>
      </w:pPr>
      <w:r w:rsidRPr="002336BD">
        <w:rPr>
          <w:i/>
        </w:rPr>
        <w:t>Michigan Consolidated Gas Company</w:t>
      </w:r>
      <w:r w:rsidRPr="002336BD">
        <w:t>, Case No. U-17131</w:t>
      </w:r>
    </w:p>
    <w:p w14:paraId="60144252" w14:textId="77777777" w:rsidR="007362DC" w:rsidRPr="002336BD" w:rsidRDefault="007362DC" w:rsidP="007362DC">
      <w:pPr>
        <w:spacing w:line="480" w:lineRule="auto"/>
        <w:ind w:left="720" w:hanging="720"/>
      </w:pPr>
    </w:p>
    <w:p w14:paraId="04413C33" w14:textId="77777777" w:rsidR="007362DC" w:rsidRPr="002336BD" w:rsidRDefault="007362DC" w:rsidP="007362DC">
      <w:pPr>
        <w:pStyle w:val="BodyA"/>
        <w:widowControl w:val="0"/>
        <w:jc w:val="center"/>
        <w:rPr>
          <w:rFonts w:hAnsi="Times New Roman" w:cs="Times New Roman"/>
          <w:b/>
          <w:bCs/>
          <w:u w:val="single"/>
        </w:rPr>
      </w:pPr>
    </w:p>
    <w:p w14:paraId="55AF1863" w14:textId="77777777" w:rsidR="007362DC" w:rsidRPr="002336BD" w:rsidRDefault="007362DC" w:rsidP="007362DC">
      <w:pPr>
        <w:pStyle w:val="BodyA"/>
        <w:widowControl w:val="0"/>
        <w:jc w:val="center"/>
        <w:rPr>
          <w:rFonts w:hAnsi="Times New Roman" w:cs="Times New Roman"/>
          <w:b/>
          <w:bCs/>
          <w:u w:val="single"/>
        </w:rPr>
      </w:pPr>
    </w:p>
    <w:p w14:paraId="7DF2E3E6" w14:textId="1336EACF" w:rsidR="0090014E" w:rsidRPr="002336BD" w:rsidRDefault="0090014E">
      <w:pPr>
        <w:rPr>
          <w:b/>
        </w:rPr>
      </w:pPr>
    </w:p>
    <w:sectPr w:rsidR="0090014E" w:rsidRPr="002336BD">
      <w:headerReference w:type="default" r:id="rId28"/>
      <w:footerReference w:type="default" r:id="rId29"/>
      <w:pgSz w:w="12240" w:h="15840"/>
      <w:pgMar w:top="1440" w:right="1800" w:bottom="1440" w:left="1800" w:header="36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EF8A1" w15:done="0"/>
  <w15:commentEx w15:paraId="21D86E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9D3E1" w14:textId="77777777" w:rsidR="000C5095" w:rsidRDefault="000C5095">
      <w:r>
        <w:separator/>
      </w:r>
    </w:p>
  </w:endnote>
  <w:endnote w:type="continuationSeparator" w:id="0">
    <w:p w14:paraId="112B82E5" w14:textId="77777777" w:rsidR="000C5095" w:rsidRDefault="000C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66D8" w14:textId="77777777" w:rsidR="009A0295" w:rsidRDefault="009A029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1519" w14:textId="77777777" w:rsidR="007362DC" w:rsidRDefault="007362DC">
    <w:pPr>
      <w:pStyle w:val="Footer"/>
      <w:tabs>
        <w:tab w:val="clear" w:pos="9360"/>
        <w:tab w:val="right" w:pos="8620"/>
      </w:tabs>
      <w:jc w:val="center"/>
    </w:pPr>
    <w:r>
      <w:fldChar w:fldCharType="begin"/>
    </w:r>
    <w:r>
      <w:instrText xml:space="preserve"> PAGE </w:instrText>
    </w:r>
    <w:r>
      <w:fldChar w:fldCharType="separate"/>
    </w:r>
    <w:r w:rsidR="009A0295">
      <w:rPr>
        <w:noProof/>
      </w:rPr>
      <w:t>11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324CD" w14:textId="77777777" w:rsidR="00FD4F86" w:rsidRDefault="00FD4F86">
    <w:pPr>
      <w:pStyle w:val="Footer"/>
      <w:tabs>
        <w:tab w:val="clear" w:pos="9360"/>
        <w:tab w:val="right" w:pos="86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F312" w14:textId="77777777" w:rsidR="00FD4F86" w:rsidRDefault="00FD4F86">
    <w:pPr>
      <w:pStyle w:val="Footer"/>
      <w:tabs>
        <w:tab w:val="clear" w:pos="9360"/>
        <w:tab w:val="right" w:pos="8620"/>
      </w:tabs>
      <w:jc w:val="center"/>
    </w:pPr>
    <w:r>
      <w:fldChar w:fldCharType="begin"/>
    </w:r>
    <w:r>
      <w:instrText xml:space="preserve"> PAGE </w:instrText>
    </w:r>
    <w:r>
      <w:fldChar w:fldCharType="separate"/>
    </w:r>
    <w:r w:rsidR="0088329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4CE48" w14:textId="77777777" w:rsidR="009A0295" w:rsidRDefault="009A02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DFAD" w14:textId="77777777" w:rsidR="00FD4F86" w:rsidRDefault="00FD4F86">
    <w:pPr>
      <w:pStyle w:val="Footer"/>
      <w:tabs>
        <w:tab w:val="clear" w:pos="9360"/>
        <w:tab w:val="right" w:pos="8620"/>
      </w:tabs>
      <w:jc w:val="center"/>
    </w:pPr>
    <w:r>
      <w:fldChar w:fldCharType="begin"/>
    </w:r>
    <w:r>
      <w:instrText xml:space="preserve"> PAGE </w:instrText>
    </w:r>
    <w:r>
      <w:fldChar w:fldCharType="separate"/>
    </w:r>
    <w:r w:rsidR="00E36E7A">
      <w:rPr>
        <w:noProof/>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BA74" w14:textId="77777777" w:rsidR="00FD4F86" w:rsidRDefault="00FD4F86">
    <w:pPr>
      <w:pStyle w:val="Footer"/>
      <w:tabs>
        <w:tab w:val="clear" w:pos="9360"/>
        <w:tab w:val="right" w:pos="8620"/>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59BC" w14:textId="77777777" w:rsidR="007362DC" w:rsidRDefault="007362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E989B" w14:textId="77777777" w:rsidR="007362DC" w:rsidRDefault="007362DC">
    <w:pPr>
      <w:pStyle w:val="Footer"/>
      <w:tabs>
        <w:tab w:val="clear" w:pos="9360"/>
        <w:tab w:val="right" w:pos="8620"/>
      </w:tabs>
      <w:jc w:val="center"/>
    </w:pPr>
    <w:r>
      <w:fldChar w:fldCharType="begin"/>
    </w:r>
    <w:r>
      <w:instrText xml:space="preserve"> PAGE </w:instrText>
    </w:r>
    <w:r>
      <w:fldChar w:fldCharType="separate"/>
    </w:r>
    <w:r w:rsidR="00883297">
      <w:rPr>
        <w:noProof/>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11A7" w14:textId="77777777" w:rsidR="007362DC" w:rsidRDefault="007362D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DC0F" w14:textId="77777777" w:rsidR="007362DC" w:rsidRDefault="007362DC">
    <w:pPr>
      <w:pStyle w:val="Footer"/>
      <w:tabs>
        <w:tab w:val="clear" w:pos="9360"/>
        <w:tab w:val="right" w:pos="8620"/>
      </w:tabs>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BAA67" w14:textId="77777777" w:rsidR="000C5095" w:rsidRDefault="000C5095">
      <w:r>
        <w:separator/>
      </w:r>
    </w:p>
  </w:footnote>
  <w:footnote w:type="continuationSeparator" w:id="0">
    <w:p w14:paraId="2C7F915C" w14:textId="77777777" w:rsidR="000C5095" w:rsidRDefault="000C5095">
      <w:r>
        <w:continuationSeparator/>
      </w:r>
    </w:p>
  </w:footnote>
  <w:footnote w:type="continuationNotice" w:id="1">
    <w:p w14:paraId="343A76E0" w14:textId="77777777" w:rsidR="000C5095" w:rsidRDefault="000C5095"/>
  </w:footnote>
  <w:footnote w:id="2">
    <w:p w14:paraId="65E8FBA4" w14:textId="10B04C40" w:rsidR="00CC7587" w:rsidRDefault="00CC7587" w:rsidP="00CC7587">
      <w:pPr>
        <w:pStyle w:val="FootnoteText"/>
        <w:spacing w:after="120"/>
      </w:pPr>
      <w:r>
        <w:rPr>
          <w:vertAlign w:val="superscript"/>
        </w:rPr>
        <w:footnoteRef/>
      </w:r>
      <w:r>
        <w:t xml:space="preserve"> </w:t>
      </w:r>
      <w:r>
        <w:rPr>
          <w:i/>
          <w:iCs/>
        </w:rPr>
        <w:t xml:space="preserve">Consumers’ Counsel v. Pub.Util. Comm., </w:t>
      </w:r>
      <w:r>
        <w:t xml:space="preserve">64 Ohio St3d 123, 125(1992), citing </w:t>
      </w:r>
      <w:r>
        <w:rPr>
          <w:i/>
          <w:iCs/>
        </w:rPr>
        <w:t>Akron v</w:t>
      </w:r>
      <w:r>
        <w:t xml:space="preserve">. </w:t>
      </w:r>
      <w:r>
        <w:rPr>
          <w:i/>
          <w:iCs/>
        </w:rPr>
        <w:t xml:space="preserve">Pub.Util. Comm., </w:t>
      </w:r>
      <w:r>
        <w:t>55 Ohio St. 2d 155, 157 (1978).</w:t>
      </w:r>
    </w:p>
  </w:footnote>
  <w:footnote w:id="3">
    <w:p w14:paraId="10582832" w14:textId="77777777" w:rsidR="007362DC" w:rsidRDefault="007362DC" w:rsidP="007362DC">
      <w:pPr>
        <w:pStyle w:val="FootnoteText"/>
        <w:spacing w:after="120"/>
      </w:pPr>
      <w:r>
        <w:rPr>
          <w:rStyle w:val="FootnoteReference"/>
        </w:rPr>
        <w:footnoteRef/>
      </w:r>
      <w:r>
        <w:t xml:space="preserve"> Application at page 30.</w:t>
      </w:r>
    </w:p>
  </w:footnote>
  <w:footnote w:id="4">
    <w:p w14:paraId="210AB452" w14:textId="77777777" w:rsidR="007362DC" w:rsidRDefault="007362DC" w:rsidP="007362DC">
      <w:pPr>
        <w:pStyle w:val="FootnoteText"/>
        <w:spacing w:after="120"/>
      </w:pPr>
      <w:r>
        <w:rPr>
          <w:rStyle w:val="FootnoteReference"/>
        </w:rPr>
        <w:footnoteRef/>
      </w:r>
      <w:r>
        <w:t xml:space="preserve"> Ohio Power Company Standard Tariffs 8</w:t>
      </w:r>
      <w:r w:rsidRPr="0030578F">
        <w:rPr>
          <w:vertAlign w:val="superscript"/>
        </w:rPr>
        <w:t>th</w:t>
      </w:r>
      <w:r>
        <w:t xml:space="preserve"> Revised Sheet No. 482-1.</w:t>
      </w:r>
    </w:p>
  </w:footnote>
  <w:footnote w:id="5">
    <w:p w14:paraId="32B4836F" w14:textId="77777777" w:rsidR="007362DC" w:rsidRDefault="007362DC" w:rsidP="007362DC">
      <w:pPr>
        <w:pStyle w:val="FootnoteText"/>
        <w:spacing w:after="120"/>
      </w:pPr>
      <w:r>
        <w:rPr>
          <w:rStyle w:val="FootnoteReference"/>
        </w:rPr>
        <w:footnoteRef/>
      </w:r>
      <w:r>
        <w:t xml:space="preserve"> Ohio Power Company – Columbus Southern Power Rate Zone Bill Calculation Spreadsheet found at </w:t>
      </w:r>
      <w:r w:rsidRPr="0030578F">
        <w:t>https://aepohio.com/account/bills/rates/aepohioratestariffsoh.aspx</w:t>
      </w:r>
      <w:r>
        <w:t>.</w:t>
      </w:r>
    </w:p>
  </w:footnote>
  <w:footnote w:id="6">
    <w:p w14:paraId="52230467" w14:textId="77777777" w:rsidR="007362DC" w:rsidRDefault="007362DC" w:rsidP="007362DC">
      <w:pPr>
        <w:pStyle w:val="FootnoteText"/>
        <w:spacing w:after="120"/>
      </w:pPr>
      <w:r>
        <w:rPr>
          <w:rStyle w:val="FootnoteReference"/>
        </w:rPr>
        <w:footnoteRef/>
      </w:r>
      <w:r>
        <w:t xml:space="preserve"> As an example in the Ohio Power Company tariffs issued on April 15, 2011 the Economic Development Cost Recovery Rider was set at 7.53678% of the customer’s distribution charges.  This equated to $1.97 per month for a residential customer using 1,000 kWh.  </w:t>
      </w:r>
    </w:p>
  </w:footnote>
  <w:footnote w:id="7">
    <w:p w14:paraId="246CBD69" w14:textId="77777777" w:rsidR="007362DC" w:rsidRDefault="007362DC" w:rsidP="007362DC">
      <w:pPr>
        <w:pStyle w:val="FootnoteText"/>
        <w:spacing w:after="120"/>
      </w:pPr>
      <w:r>
        <w:rPr>
          <w:rStyle w:val="FootnoteReference"/>
        </w:rPr>
        <w:footnoteRef/>
      </w:r>
      <w:r>
        <w:t xml:space="preserve"> American Electric Power 2015 Fact Book presented at the 50</w:t>
      </w:r>
      <w:r w:rsidRPr="00485FA2">
        <w:rPr>
          <w:vertAlign w:val="superscript"/>
        </w:rPr>
        <w:t>th</w:t>
      </w:r>
      <w:r>
        <w:t xml:space="preserve"> EEI Financial Conference November 8-11, 2015.  </w:t>
      </w:r>
      <w:r w:rsidRPr="00F96684">
        <w:t>http://www.aep.com/investors/EventsPresentationsAndWebcasts/</w:t>
      </w:r>
    </w:p>
  </w:footnote>
  <w:footnote w:id="8">
    <w:p w14:paraId="7AAB1E63" w14:textId="77777777" w:rsidR="007362DC" w:rsidRDefault="007362DC" w:rsidP="007362DC">
      <w:pPr>
        <w:pStyle w:val="FootnoteText"/>
        <w:spacing w:after="120"/>
      </w:pPr>
      <w:r>
        <w:rPr>
          <w:rStyle w:val="FootnoteReference"/>
        </w:rPr>
        <w:footnoteRef/>
      </w:r>
      <w:r>
        <w:t xml:space="preserve"> </w:t>
      </w:r>
      <w:r>
        <w:rPr>
          <w:i/>
        </w:rPr>
        <w:t xml:space="preserve">In the Matter of the Application of Columbus Southern Power Company for Authority to Amend its Filed Tariffs to Increase the Rates and Charges for Electric Service, </w:t>
      </w:r>
      <w:r>
        <w:t>Case No. 91-418-EL-AIR.  Opinion and Order at 110. (May 12, 1992).</w:t>
      </w:r>
    </w:p>
  </w:footnote>
  <w:footnote w:id="9">
    <w:p w14:paraId="11B9B37B" w14:textId="586D30C4" w:rsidR="007362DC" w:rsidRDefault="007362DC" w:rsidP="007362DC">
      <w:pPr>
        <w:pStyle w:val="FootnoteText"/>
        <w:spacing w:after="120"/>
      </w:pPr>
      <w:r>
        <w:rPr>
          <w:rStyle w:val="FootnoteReference"/>
        </w:rPr>
        <w:footnoteRef/>
      </w:r>
      <w:r>
        <w:t xml:space="preserve"> See </w:t>
      </w:r>
      <w:r w:rsidRPr="00AA2E2E">
        <w:rPr>
          <w:i/>
        </w:rPr>
        <w:t xml:space="preserve">In the Matter of the </w:t>
      </w:r>
      <w:r>
        <w:rPr>
          <w:i/>
        </w:rPr>
        <w:t>Application</w:t>
      </w:r>
      <w:r w:rsidRPr="00AA2E2E">
        <w:rPr>
          <w:i/>
        </w:rPr>
        <w:t xml:space="preserve"> of Ormet Primary Aluminum Corporation for Approval of a Unique Arrangement with Ohio Power Company and Columbus Southern Power Company</w:t>
      </w:r>
      <w:r>
        <w:t xml:space="preserve">, Supreme Ct.  Case No. 09-2060, Brief of the Public Utilities at 12 (Mar. 3, 2010).  </w:t>
      </w:r>
      <w:r w:rsidR="000D219B">
        <w:t>“</w:t>
      </w:r>
      <w:r>
        <w:t>Appellant [CSP/OP] mistakenly believes that it is entitled to receive specific amounts from all customers, reasoning that money it doesn’t get from one customer it must get from another.  This is not now, and never was, the law.  As discussed above, R.C. 4905.31 requires no adjustment at all.</w:t>
      </w:r>
      <w:r w:rsidR="000D219B">
        <w:t>”</w:t>
      </w:r>
      <w:r>
        <w:t xml:space="preserve">   </w:t>
      </w:r>
    </w:p>
  </w:footnote>
  <w:footnote w:id="10">
    <w:p w14:paraId="1C271E5F" w14:textId="77777777" w:rsidR="007362DC" w:rsidRDefault="007362DC" w:rsidP="007362DC">
      <w:pPr>
        <w:pStyle w:val="FootnoteText"/>
        <w:spacing w:after="120"/>
      </w:pPr>
      <w:r>
        <w:rPr>
          <w:rStyle w:val="FootnoteReference"/>
        </w:rPr>
        <w:footnoteRef/>
      </w:r>
      <w:r>
        <w:t xml:space="preserve"> Ohio Administrative Code 4901:1-38-06(A).</w:t>
      </w:r>
    </w:p>
  </w:footnote>
  <w:footnote w:id="11">
    <w:p w14:paraId="23C4EE31" w14:textId="77777777" w:rsidR="007362DC" w:rsidRDefault="007362DC" w:rsidP="007362DC">
      <w:pPr>
        <w:pStyle w:val="FootnoteText"/>
        <w:spacing w:after="120"/>
      </w:pPr>
      <w:r>
        <w:rPr>
          <w:rStyle w:val="FootnoteReference"/>
        </w:rPr>
        <w:footnoteRef/>
      </w:r>
      <w:r>
        <w:t xml:space="preserve"> </w:t>
      </w:r>
      <w:r w:rsidRPr="00567DAA">
        <w:rPr>
          <w:i/>
        </w:rPr>
        <w:t>In the Matter of the Application for Establishment of a Reasonable Arrangement between Eramet Marietta, Inc. and Columbus Southern Power Company</w:t>
      </w:r>
      <w:r>
        <w:t>, Case No. 09-516-EL-AEC Entry at page 8 (March 3, 2011).</w:t>
      </w:r>
    </w:p>
  </w:footnote>
  <w:footnote w:id="12">
    <w:p w14:paraId="54F292CF" w14:textId="77777777" w:rsidR="007362DC" w:rsidRDefault="007362DC" w:rsidP="007362DC">
      <w:pPr>
        <w:pStyle w:val="FootnoteText"/>
        <w:spacing w:after="120"/>
      </w:pPr>
      <w:r>
        <w:rPr>
          <w:vertAlign w:val="superscript"/>
        </w:rPr>
        <w:footnoteRef/>
      </w:r>
      <w:r>
        <w:t xml:space="preserve"> </w:t>
      </w:r>
      <w:r>
        <w:rPr>
          <w:i/>
          <w:iCs/>
        </w:rPr>
        <w:t>2014 Report to the General Assembly: Award Recipient Compliance with State Awards for Economic Development</w:t>
      </w:r>
      <w:r>
        <w:t xml:space="preserve">, December 9, 2014 </w:t>
      </w:r>
      <w:r w:rsidRPr="003817A5">
        <w:t>http</w:t>
      </w:r>
      <w:r>
        <w:t>://www.ohioattorneygeneral.gov/Files/Publications/Publications-for-Business/2014-Economic-Development-Accountability-Report.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D301" w14:textId="77777777" w:rsidR="009A0295" w:rsidRDefault="009A02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3B78B" w14:textId="77777777" w:rsidR="007362DC" w:rsidRPr="002C4360" w:rsidRDefault="007362DC">
    <w:pPr>
      <w:pStyle w:val="BodyA"/>
      <w:jc w:val="center"/>
      <w:rPr>
        <w:b/>
        <w:bCs/>
        <w:color w:val="000000" w:themeColor="text1"/>
        <w:u w:color="974706"/>
      </w:rPr>
    </w:pPr>
  </w:p>
  <w:p w14:paraId="34051F39" w14:textId="77777777" w:rsidR="007362DC" w:rsidRDefault="007362DC">
    <w:pPr>
      <w:pStyle w:val="Header"/>
      <w:tabs>
        <w:tab w:val="clear" w:pos="9360"/>
        <w:tab w:val="right" w:pos="8620"/>
      </w:tabs>
      <w:jc w:val="center"/>
      <w:rPr>
        <w:i/>
        <w:iCs/>
      </w:rPr>
    </w:pPr>
    <w:r>
      <w:rPr>
        <w:i/>
        <w:iCs/>
      </w:rPr>
      <w:t xml:space="preserve">Direct Testimony of Michael P. Haugh </w:t>
    </w:r>
  </w:p>
  <w:p w14:paraId="438B8B60" w14:textId="77777777" w:rsidR="007362DC" w:rsidRDefault="007362DC">
    <w:pPr>
      <w:pStyle w:val="Header"/>
      <w:tabs>
        <w:tab w:val="clear" w:pos="9360"/>
        <w:tab w:val="right" w:pos="8620"/>
      </w:tabs>
      <w:jc w:val="center"/>
    </w:pPr>
    <w:r>
      <w:rPr>
        <w:i/>
        <w:iCs/>
      </w:rPr>
      <w:t>On Behalf of the Ohio Consumers</w:t>
    </w:r>
    <w:r>
      <w:rPr>
        <w:rFonts w:hAnsi="Times New Roman"/>
        <w:i/>
        <w:iCs/>
      </w:rPr>
      <w:t xml:space="preserve">’ </w:t>
    </w:r>
    <w:r>
      <w:rPr>
        <w:i/>
        <w:iCs/>
      </w:rPr>
      <w:t>Counsel</w:t>
    </w:r>
    <w:r>
      <w:t xml:space="preserve"> </w:t>
    </w:r>
  </w:p>
  <w:p w14:paraId="5B6EA828" w14:textId="77777777" w:rsidR="007362DC" w:rsidRDefault="007362DC">
    <w:pPr>
      <w:pStyle w:val="Header"/>
      <w:tabs>
        <w:tab w:val="clear" w:pos="9360"/>
        <w:tab w:val="right" w:pos="8620"/>
      </w:tabs>
      <w:jc w:val="center"/>
    </w:pPr>
    <w:r>
      <w:rPr>
        <w:i/>
        <w:iCs/>
        <w:lang w:val="es-ES_tradnl"/>
      </w:rPr>
      <w:t>PUCO Case No. 15-1857-EL-AEC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9CCC" w14:textId="77777777" w:rsidR="00FD4F86" w:rsidRPr="009A4CDE" w:rsidRDefault="00FD4F86" w:rsidP="009A4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16BC6" w14:textId="77777777" w:rsidR="009A0295" w:rsidRDefault="009A02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C257" w14:textId="77777777" w:rsidR="009A0295" w:rsidRDefault="009A02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0E5D5" w14:textId="113E617B" w:rsidR="00FD4F86" w:rsidRDefault="0032443E">
    <w:pPr>
      <w:pStyle w:val="Header"/>
      <w:tabs>
        <w:tab w:val="clear" w:pos="9360"/>
        <w:tab w:val="right" w:pos="8620"/>
      </w:tabs>
      <w:jc w:val="center"/>
      <w:rPr>
        <w:i/>
        <w:iCs/>
      </w:rPr>
    </w:pPr>
    <w:r>
      <w:rPr>
        <w:i/>
        <w:iCs/>
      </w:rPr>
      <w:t>Supplemental</w:t>
    </w:r>
    <w:r w:rsidR="00FD4F86">
      <w:rPr>
        <w:i/>
        <w:iCs/>
      </w:rPr>
      <w:t xml:space="preserve"> Testimony of Michael P. Haugh </w:t>
    </w:r>
  </w:p>
  <w:p w14:paraId="650DDA7E" w14:textId="1D63AF3F" w:rsidR="00FD4F86" w:rsidRDefault="00FD4F86">
    <w:pPr>
      <w:pStyle w:val="Header"/>
      <w:tabs>
        <w:tab w:val="clear" w:pos="9360"/>
        <w:tab w:val="right" w:pos="8620"/>
      </w:tabs>
      <w:jc w:val="center"/>
    </w:pPr>
    <w:r>
      <w:rPr>
        <w:i/>
        <w:iCs/>
      </w:rPr>
      <w:t xml:space="preserve">On Behalf of the </w:t>
    </w:r>
    <w:r w:rsidR="000D219B">
      <w:rPr>
        <w:i/>
        <w:iCs/>
      </w:rPr>
      <w:t xml:space="preserve">Office of the </w:t>
    </w:r>
    <w:r>
      <w:rPr>
        <w:i/>
        <w:iCs/>
      </w:rPr>
      <w:t>Ohio Consumers</w:t>
    </w:r>
    <w:r>
      <w:rPr>
        <w:rFonts w:hAnsi="Times New Roman"/>
        <w:i/>
        <w:iCs/>
      </w:rPr>
      <w:t xml:space="preserve">’ </w:t>
    </w:r>
    <w:r>
      <w:rPr>
        <w:i/>
        <w:iCs/>
      </w:rPr>
      <w:t>Counsel</w:t>
    </w:r>
    <w:r>
      <w:t xml:space="preserve"> </w:t>
    </w:r>
  </w:p>
  <w:p w14:paraId="5F8403DD" w14:textId="77777777" w:rsidR="00FD4F86" w:rsidRDefault="00FD4F86">
    <w:pPr>
      <w:pStyle w:val="Header"/>
      <w:tabs>
        <w:tab w:val="clear" w:pos="9360"/>
        <w:tab w:val="right" w:pos="8620"/>
      </w:tabs>
      <w:jc w:val="center"/>
    </w:pPr>
    <w:r>
      <w:rPr>
        <w:i/>
        <w:iCs/>
        <w:lang w:val="es-ES_tradnl"/>
      </w:rPr>
      <w:t>PUCO Case No. 15-1857-EL-AEC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5378" w14:textId="77777777" w:rsidR="00FD4F86" w:rsidRPr="009A4CDE" w:rsidRDefault="00FD4F86" w:rsidP="009A4C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F433" w14:textId="77777777" w:rsidR="007362DC" w:rsidRDefault="007362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F8982" w14:textId="77777777" w:rsidR="007362DC" w:rsidRDefault="007362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43BF" w14:textId="77777777" w:rsidR="007362DC" w:rsidRDefault="007362D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BC45" w14:textId="77777777" w:rsidR="007362DC" w:rsidRDefault="007362D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77AFD82"/>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4F90BF8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B03C85A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E988A418"/>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1B863EAE"/>
    <w:lvl w:ilvl="0">
      <w:start w:val="1"/>
      <w:numFmt w:val="bullet"/>
      <w:lvlText w:val=""/>
      <w:lvlJc w:val="left"/>
      <w:pPr>
        <w:tabs>
          <w:tab w:val="num" w:pos="360"/>
        </w:tabs>
        <w:ind w:left="360" w:hanging="360"/>
      </w:pPr>
      <w:rPr>
        <w:rFonts w:ascii="Symbol" w:hAnsi="Symbol" w:hint="default"/>
      </w:rPr>
    </w:lvl>
  </w:abstractNum>
  <w:abstractNum w:abstractNumId="5">
    <w:nsid w:val="2A500268"/>
    <w:multiLevelType w:val="multilevel"/>
    <w:tmpl w:val="EEBE744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6">
    <w:nsid w:val="3ABF77F3"/>
    <w:multiLevelType w:val="multilevel"/>
    <w:tmpl w:val="D1089E5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4603267A"/>
    <w:multiLevelType w:val="multilevel"/>
    <w:tmpl w:val="7944B920"/>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632669A8"/>
    <w:multiLevelType w:val="multilevel"/>
    <w:tmpl w:val="34888E8E"/>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9">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10">
    <w:nsid w:val="7BF35FE9"/>
    <w:multiLevelType w:val="multilevel"/>
    <w:tmpl w:val="59C0B5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8"/>
  </w:num>
  <w:num w:numId="2">
    <w:abstractNumId w:val="5"/>
  </w:num>
  <w:num w:numId="3">
    <w:abstractNumId w:val="9"/>
  </w:num>
  <w:num w:numId="4">
    <w:abstractNumId w:val="6"/>
  </w:num>
  <w:num w:numId="5">
    <w:abstractNumId w:val="10"/>
  </w:num>
  <w:num w:numId="6">
    <w:abstractNumId w:val="7"/>
    <w:lvlOverride w:ilvl="0">
      <w:lvl w:ilvl="0">
        <w:start w:val="1"/>
        <w:numFmt w:val="decimal"/>
        <w:lvlText w:val="%1."/>
        <w:lvlJc w:val="left"/>
        <w:pPr>
          <w:ind w:left="360" w:hanging="360"/>
        </w:pPr>
        <w:rPr>
          <w:rFonts w:hint="default"/>
          <w:sz w:val="24"/>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7">
    <w:abstractNumId w:val="4"/>
  </w:num>
  <w:num w:numId="8">
    <w:abstractNumId w:val="3"/>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4"/>
  </w:compat>
  <w:rsids>
    <w:rsidRoot w:val="009769C4"/>
    <w:rsid w:val="000237E3"/>
    <w:rsid w:val="00026137"/>
    <w:rsid w:val="00061866"/>
    <w:rsid w:val="0006680F"/>
    <w:rsid w:val="00066B9F"/>
    <w:rsid w:val="00071BE6"/>
    <w:rsid w:val="00090C81"/>
    <w:rsid w:val="00091FEF"/>
    <w:rsid w:val="00092E3F"/>
    <w:rsid w:val="0009492A"/>
    <w:rsid w:val="0009661C"/>
    <w:rsid w:val="000A2E35"/>
    <w:rsid w:val="000A6FFC"/>
    <w:rsid w:val="000C5095"/>
    <w:rsid w:val="000C513A"/>
    <w:rsid w:val="000D219B"/>
    <w:rsid w:val="000E771C"/>
    <w:rsid w:val="000F227A"/>
    <w:rsid w:val="001102BB"/>
    <w:rsid w:val="0014313C"/>
    <w:rsid w:val="001522DC"/>
    <w:rsid w:val="001747A1"/>
    <w:rsid w:val="00176636"/>
    <w:rsid w:val="00187359"/>
    <w:rsid w:val="0019142A"/>
    <w:rsid w:val="00195A8A"/>
    <w:rsid w:val="0019689A"/>
    <w:rsid w:val="001B1B33"/>
    <w:rsid w:val="001C027F"/>
    <w:rsid w:val="001E3F67"/>
    <w:rsid w:val="001F466F"/>
    <w:rsid w:val="002336BD"/>
    <w:rsid w:val="00263688"/>
    <w:rsid w:val="00274949"/>
    <w:rsid w:val="00275B98"/>
    <w:rsid w:val="002B0052"/>
    <w:rsid w:val="002C408D"/>
    <w:rsid w:val="002C4360"/>
    <w:rsid w:val="002C651C"/>
    <w:rsid w:val="002D2D78"/>
    <w:rsid w:val="002E2F3F"/>
    <w:rsid w:val="002F0A20"/>
    <w:rsid w:val="002F745C"/>
    <w:rsid w:val="003033DE"/>
    <w:rsid w:val="0030578F"/>
    <w:rsid w:val="00320E16"/>
    <w:rsid w:val="0032443E"/>
    <w:rsid w:val="00326001"/>
    <w:rsid w:val="003305DA"/>
    <w:rsid w:val="003372FD"/>
    <w:rsid w:val="00342875"/>
    <w:rsid w:val="00362239"/>
    <w:rsid w:val="00377491"/>
    <w:rsid w:val="00380458"/>
    <w:rsid w:val="003817A5"/>
    <w:rsid w:val="003C23D1"/>
    <w:rsid w:val="003C5107"/>
    <w:rsid w:val="003F0321"/>
    <w:rsid w:val="004024E2"/>
    <w:rsid w:val="004455C4"/>
    <w:rsid w:val="004468F1"/>
    <w:rsid w:val="0044786F"/>
    <w:rsid w:val="0045063E"/>
    <w:rsid w:val="00452BDF"/>
    <w:rsid w:val="00485FA2"/>
    <w:rsid w:val="004A0884"/>
    <w:rsid w:val="004A6718"/>
    <w:rsid w:val="004B676C"/>
    <w:rsid w:val="004C772E"/>
    <w:rsid w:val="004D18AC"/>
    <w:rsid w:val="004E330A"/>
    <w:rsid w:val="00521479"/>
    <w:rsid w:val="00524F83"/>
    <w:rsid w:val="00527DB2"/>
    <w:rsid w:val="00532D7F"/>
    <w:rsid w:val="0053331C"/>
    <w:rsid w:val="00545A99"/>
    <w:rsid w:val="00555937"/>
    <w:rsid w:val="005609C4"/>
    <w:rsid w:val="00561709"/>
    <w:rsid w:val="0057245F"/>
    <w:rsid w:val="005C276F"/>
    <w:rsid w:val="005C35C2"/>
    <w:rsid w:val="005C3D12"/>
    <w:rsid w:val="005D4574"/>
    <w:rsid w:val="006020E1"/>
    <w:rsid w:val="00626230"/>
    <w:rsid w:val="00633CB4"/>
    <w:rsid w:val="006364F9"/>
    <w:rsid w:val="00661AFA"/>
    <w:rsid w:val="00681BF8"/>
    <w:rsid w:val="00682987"/>
    <w:rsid w:val="00684AAE"/>
    <w:rsid w:val="006C1ACF"/>
    <w:rsid w:val="00727DD8"/>
    <w:rsid w:val="00733EF3"/>
    <w:rsid w:val="007362DC"/>
    <w:rsid w:val="0074183D"/>
    <w:rsid w:val="00753821"/>
    <w:rsid w:val="00765C49"/>
    <w:rsid w:val="00770231"/>
    <w:rsid w:val="00787CC2"/>
    <w:rsid w:val="007947F2"/>
    <w:rsid w:val="007C01D5"/>
    <w:rsid w:val="007E1785"/>
    <w:rsid w:val="007E3788"/>
    <w:rsid w:val="007F1318"/>
    <w:rsid w:val="00816ECD"/>
    <w:rsid w:val="00822688"/>
    <w:rsid w:val="00822749"/>
    <w:rsid w:val="00851A43"/>
    <w:rsid w:val="008721C5"/>
    <w:rsid w:val="00883297"/>
    <w:rsid w:val="00884B0D"/>
    <w:rsid w:val="0089799C"/>
    <w:rsid w:val="00897B03"/>
    <w:rsid w:val="00897EA2"/>
    <w:rsid w:val="008B0389"/>
    <w:rsid w:val="008D6B0D"/>
    <w:rsid w:val="008E1737"/>
    <w:rsid w:val="0090014E"/>
    <w:rsid w:val="00906074"/>
    <w:rsid w:val="00926B84"/>
    <w:rsid w:val="00936866"/>
    <w:rsid w:val="009546A5"/>
    <w:rsid w:val="00954F12"/>
    <w:rsid w:val="009553F1"/>
    <w:rsid w:val="0095702D"/>
    <w:rsid w:val="009769C4"/>
    <w:rsid w:val="00977737"/>
    <w:rsid w:val="00995F68"/>
    <w:rsid w:val="00996A9F"/>
    <w:rsid w:val="009A0295"/>
    <w:rsid w:val="009A4CDE"/>
    <w:rsid w:val="009E4270"/>
    <w:rsid w:val="00A02415"/>
    <w:rsid w:val="00A03064"/>
    <w:rsid w:val="00A031E2"/>
    <w:rsid w:val="00A03E40"/>
    <w:rsid w:val="00A06452"/>
    <w:rsid w:val="00A1347D"/>
    <w:rsid w:val="00A21DDA"/>
    <w:rsid w:val="00A302E1"/>
    <w:rsid w:val="00A416CB"/>
    <w:rsid w:val="00A5354F"/>
    <w:rsid w:val="00A62171"/>
    <w:rsid w:val="00A64714"/>
    <w:rsid w:val="00A73F2D"/>
    <w:rsid w:val="00A7760E"/>
    <w:rsid w:val="00A77C0E"/>
    <w:rsid w:val="00A825F4"/>
    <w:rsid w:val="00A9266C"/>
    <w:rsid w:val="00AD073F"/>
    <w:rsid w:val="00AD3F04"/>
    <w:rsid w:val="00AE510F"/>
    <w:rsid w:val="00AF34D6"/>
    <w:rsid w:val="00AF64B6"/>
    <w:rsid w:val="00B15DB5"/>
    <w:rsid w:val="00B2345D"/>
    <w:rsid w:val="00B276AE"/>
    <w:rsid w:val="00B41EA0"/>
    <w:rsid w:val="00B4681A"/>
    <w:rsid w:val="00B47811"/>
    <w:rsid w:val="00B921D7"/>
    <w:rsid w:val="00B93FE4"/>
    <w:rsid w:val="00B95A63"/>
    <w:rsid w:val="00BF1378"/>
    <w:rsid w:val="00BF6495"/>
    <w:rsid w:val="00BF6C61"/>
    <w:rsid w:val="00C06503"/>
    <w:rsid w:val="00C301C2"/>
    <w:rsid w:val="00C3419D"/>
    <w:rsid w:val="00C367D0"/>
    <w:rsid w:val="00C60533"/>
    <w:rsid w:val="00C77BB5"/>
    <w:rsid w:val="00CC7587"/>
    <w:rsid w:val="00CD302D"/>
    <w:rsid w:val="00CD39AC"/>
    <w:rsid w:val="00CE28A7"/>
    <w:rsid w:val="00CE66F1"/>
    <w:rsid w:val="00CF565D"/>
    <w:rsid w:val="00CF6373"/>
    <w:rsid w:val="00D0770C"/>
    <w:rsid w:val="00D130EA"/>
    <w:rsid w:val="00D203E9"/>
    <w:rsid w:val="00D20DD0"/>
    <w:rsid w:val="00D549F2"/>
    <w:rsid w:val="00D73173"/>
    <w:rsid w:val="00D81F8F"/>
    <w:rsid w:val="00D948BE"/>
    <w:rsid w:val="00D95626"/>
    <w:rsid w:val="00DA0033"/>
    <w:rsid w:val="00DA6513"/>
    <w:rsid w:val="00DB1DDA"/>
    <w:rsid w:val="00DB2FD0"/>
    <w:rsid w:val="00DD0613"/>
    <w:rsid w:val="00DE24CB"/>
    <w:rsid w:val="00DE3177"/>
    <w:rsid w:val="00E04186"/>
    <w:rsid w:val="00E27B2A"/>
    <w:rsid w:val="00E36E7A"/>
    <w:rsid w:val="00E528AA"/>
    <w:rsid w:val="00E56ED7"/>
    <w:rsid w:val="00E60966"/>
    <w:rsid w:val="00E749A1"/>
    <w:rsid w:val="00E7798E"/>
    <w:rsid w:val="00E85C9A"/>
    <w:rsid w:val="00EB69E3"/>
    <w:rsid w:val="00EC37C0"/>
    <w:rsid w:val="00EE4777"/>
    <w:rsid w:val="00F27CC6"/>
    <w:rsid w:val="00F27D23"/>
    <w:rsid w:val="00F7196F"/>
    <w:rsid w:val="00F95467"/>
    <w:rsid w:val="00F96684"/>
    <w:rsid w:val="00FB56BE"/>
    <w:rsid w:val="00FC2CA0"/>
    <w:rsid w:val="00FD4F86"/>
    <w:rsid w:val="00FE23B9"/>
    <w:rsid w:val="00FF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E0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688"/>
    <w:rPr>
      <w:sz w:val="24"/>
      <w:szCs w:val="24"/>
    </w:rPr>
  </w:style>
  <w:style w:type="paragraph" w:styleId="Heading1">
    <w:name w:val="heading 1"/>
    <w:basedOn w:val="Normal"/>
    <w:next w:val="Normal"/>
    <w:link w:val="Heading1Char"/>
    <w:autoRedefine/>
    <w:uiPriority w:val="9"/>
    <w:qFormat/>
    <w:rsid w:val="00263688"/>
    <w:pPr>
      <w:keepNext/>
      <w:keepLines/>
      <w:spacing w:after="240" w:line="480" w:lineRule="auto"/>
      <w:ind w:left="720" w:hanging="720"/>
      <w:outlineLvl w:val="0"/>
    </w:pPr>
    <w:rPr>
      <w:rFonts w:ascii="Times New Roman Bold" w:eastAsiaTheme="majorEastAsia" w:hAnsi="Times New Roman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TOC1">
    <w:name w:val="toc 1"/>
    <w:autoRedefine/>
    <w:uiPriority w:val="39"/>
    <w:qFormat/>
    <w:rsid w:val="00263688"/>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pPr>
      <w:keepNext/>
      <w:keepLines/>
      <w:spacing w:line="480" w:lineRule="auto"/>
      <w:outlineLvl w:val="0"/>
    </w:pPr>
    <w:rPr>
      <w:rFonts w:eastAsia="Times New Roman"/>
      <w:b/>
      <w:bCs/>
      <w:color w:val="000000"/>
      <w:sz w:val="24"/>
      <w:szCs w:val="24"/>
      <w:u w:color="000000"/>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irectAnswer">
    <w:name w:val="Direct Answer"/>
    <w:next w:val="DirectNext"/>
    <w:pPr>
      <w:spacing w:line="480" w:lineRule="auto"/>
      <w:ind w:left="720" w:hanging="720"/>
    </w:pPr>
    <w:rPr>
      <w:rFonts w:hAnsi="Arial Unicode MS" w:cs="Arial Unicode MS"/>
      <w:color w:val="000000"/>
      <w:sz w:val="24"/>
      <w:szCs w:val="24"/>
      <w:u w:color="000000"/>
    </w:rPr>
  </w:style>
  <w:style w:type="paragraph" w:customStyle="1" w:styleId="DirectNext">
    <w:name w:val="Direct Next"/>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pPr>
      <w:numPr>
        <w:numId w:val="12"/>
      </w:numPr>
    </w:pPr>
  </w:style>
  <w:style w:type="numbering" w:customStyle="1" w:styleId="ImportedStyle2">
    <w:name w:val="Imported Style 2"/>
  </w:style>
  <w:style w:type="paragraph" w:styleId="ListParagraph">
    <w:name w:val="List Paragraph"/>
    <w:pPr>
      <w:ind w:left="720"/>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pPr>
      <w:widowControl w:val="0"/>
    </w:pPr>
    <w:rPr>
      <w:rFonts w:ascii="Courier New" w:eastAsia="Courier New" w:hAnsi="Courier New" w:cs="Courier New"/>
      <w:color w:val="000000"/>
      <w:sz w:val="24"/>
      <w:szCs w:val="24"/>
      <w:u w:color="000000"/>
    </w:rPr>
  </w:style>
  <w:style w:type="paragraph" w:styleId="BodyText">
    <w:name w:val="Body Text"/>
    <w:link w:val="BodyTextChar"/>
    <w:pPr>
      <w:spacing w:after="120"/>
    </w:pPr>
    <w:rPr>
      <w:rFonts w:hAnsi="Arial Unicode MS" w:cs="Arial Unicode MS"/>
      <w:color w:val="000000"/>
      <w:u w:color="000000"/>
    </w:rPr>
  </w:style>
  <w:style w:type="paragraph" w:styleId="CommentText">
    <w:name w:val="annotation text"/>
    <w:link w:val="CommentTextChar"/>
    <w:rPr>
      <w:rFont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basedOn w:val="DefaultParagraphFont"/>
    <w:uiPriority w:val="99"/>
    <w:semiHidden/>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688"/>
    <w:rPr>
      <w:rFonts w:ascii="Times New Roman Bold" w:eastAsiaTheme="majorEastAsia" w:hAnsi="Times New Roman Bold" w:cstheme="majorBidi"/>
      <w:b/>
      <w:bCs/>
      <w:caps/>
      <w:sz w:val="24"/>
      <w:szCs w:val="28"/>
    </w:rPr>
  </w:style>
  <w:style w:type="character" w:customStyle="1" w:styleId="BodyTextChar">
    <w:name w:val="Body Text Char"/>
    <w:basedOn w:val="DefaultParagraphFont"/>
    <w:link w:val="BodyText"/>
    <w:rsid w:val="00263688"/>
    <w:rPr>
      <w:rFont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3688"/>
    <w:rPr>
      <w:sz w:val="24"/>
      <w:szCs w:val="24"/>
    </w:rPr>
  </w:style>
  <w:style w:type="paragraph" w:styleId="Heading1">
    <w:name w:val="heading 1"/>
    <w:basedOn w:val="Normal"/>
    <w:next w:val="Normal"/>
    <w:link w:val="Heading1Char"/>
    <w:autoRedefine/>
    <w:uiPriority w:val="9"/>
    <w:qFormat/>
    <w:rsid w:val="00263688"/>
    <w:pPr>
      <w:keepNext/>
      <w:keepLines/>
      <w:spacing w:after="240" w:line="480" w:lineRule="auto"/>
      <w:ind w:left="720" w:hanging="720"/>
      <w:outlineLvl w:val="0"/>
    </w:pPr>
    <w:rPr>
      <w:rFonts w:ascii="Times New Roman Bold" w:eastAsiaTheme="majorEastAsia" w:hAnsi="Times New Roman Bold"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TOC1">
    <w:name w:val="toc 1"/>
    <w:autoRedefine/>
    <w:uiPriority w:val="39"/>
    <w:qFormat/>
    <w:rsid w:val="00263688"/>
    <w:pPr>
      <w:tabs>
        <w:tab w:val="decimal" w:leader="dot" w:pos="8640"/>
      </w:tabs>
      <w:spacing w:after="240"/>
      <w:ind w:left="720" w:hanging="720"/>
    </w:pPr>
    <w:rPr>
      <w:rFonts w:eastAsia="Times New Roman"/>
      <w:caps/>
      <w:sz w:val="24"/>
      <w:szCs w:val="24"/>
      <w:u w:color="000000"/>
    </w:rPr>
  </w:style>
  <w:style w:type="paragraph" w:customStyle="1" w:styleId="Heading">
    <w:name w:val="Heading"/>
    <w:next w:val="BodyA"/>
    <w:pPr>
      <w:keepNext/>
      <w:keepLines/>
      <w:spacing w:line="480" w:lineRule="auto"/>
      <w:outlineLvl w:val="0"/>
    </w:pPr>
    <w:rPr>
      <w:rFonts w:eastAsia="Times New Roman"/>
      <w:b/>
      <w:bCs/>
      <w:color w:val="000000"/>
      <w:sz w:val="24"/>
      <w:szCs w:val="24"/>
      <w:u w:color="000000"/>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irectAnswer">
    <w:name w:val="Direct Answer"/>
    <w:next w:val="DirectNext"/>
    <w:pPr>
      <w:spacing w:line="480" w:lineRule="auto"/>
      <w:ind w:left="720" w:hanging="720"/>
    </w:pPr>
    <w:rPr>
      <w:rFonts w:hAnsi="Arial Unicode MS" w:cs="Arial Unicode MS"/>
      <w:color w:val="000000"/>
      <w:sz w:val="24"/>
      <w:szCs w:val="24"/>
      <w:u w:color="000000"/>
    </w:rPr>
  </w:style>
  <w:style w:type="paragraph" w:customStyle="1" w:styleId="DirectNext">
    <w:name w:val="Direct Next"/>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pPr>
      <w:numPr>
        <w:numId w:val="12"/>
      </w:numPr>
    </w:pPr>
  </w:style>
  <w:style w:type="numbering" w:customStyle="1" w:styleId="ImportedStyle2">
    <w:name w:val="Imported Style 2"/>
  </w:style>
  <w:style w:type="paragraph" w:styleId="ListParagraph">
    <w:name w:val="List Paragraph"/>
    <w:pPr>
      <w:ind w:left="720"/>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pPr>
      <w:widowControl w:val="0"/>
    </w:pPr>
    <w:rPr>
      <w:rFonts w:ascii="Courier New" w:eastAsia="Courier New" w:hAnsi="Courier New" w:cs="Courier New"/>
      <w:color w:val="000000"/>
      <w:sz w:val="24"/>
      <w:szCs w:val="24"/>
      <w:u w:color="000000"/>
    </w:rPr>
  </w:style>
  <w:style w:type="paragraph" w:styleId="BodyText">
    <w:name w:val="Body Text"/>
    <w:link w:val="BodyTextChar"/>
    <w:pPr>
      <w:spacing w:after="120"/>
    </w:pPr>
    <w:rPr>
      <w:rFonts w:hAnsi="Arial Unicode MS" w:cs="Arial Unicode MS"/>
      <w:color w:val="000000"/>
      <w:u w:color="000000"/>
    </w:rPr>
  </w:style>
  <w:style w:type="paragraph" w:styleId="CommentText">
    <w:name w:val="annotation text"/>
    <w:link w:val="CommentTextChar"/>
    <w:rPr>
      <w:rFont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 w:type="character" w:styleId="FootnoteReference">
    <w:name w:val="footnote reference"/>
    <w:basedOn w:val="DefaultParagraphFont"/>
    <w:uiPriority w:val="99"/>
    <w:semiHidden/>
    <w:unhideWhenUsed/>
    <w:rsid w:val="00521479"/>
    <w:rPr>
      <w:vertAlign w:val="superscript"/>
    </w:rPr>
  </w:style>
  <w:style w:type="paragraph" w:styleId="CommentSubject">
    <w:name w:val="annotation subject"/>
    <w:basedOn w:val="CommentText"/>
    <w:next w:val="CommentText"/>
    <w:link w:val="CommentSubjectChar"/>
    <w:uiPriority w:val="99"/>
    <w:semiHidden/>
    <w:unhideWhenUsed/>
    <w:rsid w:val="00661AFA"/>
    <w:rPr>
      <w:rFonts w:hAnsi="Times New Roman" w:cs="Times New Roman"/>
      <w:b/>
      <w:bCs/>
      <w:color w:val="auto"/>
    </w:rPr>
  </w:style>
  <w:style w:type="character" w:customStyle="1" w:styleId="CommentTextChar">
    <w:name w:val="Comment Text Char"/>
    <w:basedOn w:val="DefaultParagraphFont"/>
    <w:link w:val="CommentText"/>
    <w:rsid w:val="00661AFA"/>
    <w:rPr>
      <w:rFonts w:hAnsi="Arial Unicode MS" w:cs="Arial Unicode MS"/>
      <w:color w:val="000000"/>
      <w:u w:color="000000"/>
    </w:rPr>
  </w:style>
  <w:style w:type="character" w:customStyle="1" w:styleId="CommentSubjectChar">
    <w:name w:val="Comment Subject Char"/>
    <w:basedOn w:val="CommentTextChar"/>
    <w:link w:val="CommentSubject"/>
    <w:uiPriority w:val="99"/>
    <w:semiHidden/>
    <w:rsid w:val="00661AFA"/>
    <w:rPr>
      <w:rFonts w:hAnsi="Arial Unicode MS" w:cs="Arial Unicode MS"/>
      <w:b/>
      <w:bCs/>
      <w:color w:val="000000"/>
      <w:u w:color="000000"/>
    </w:rPr>
  </w:style>
  <w:style w:type="paragraph" w:styleId="NoSpacing">
    <w:name w:val="No Spacing"/>
    <w:uiPriority w:val="1"/>
    <w:qFormat/>
    <w:rsid w:val="00A416CB"/>
    <w:rPr>
      <w:sz w:val="24"/>
      <w:szCs w:val="24"/>
    </w:rPr>
  </w:style>
  <w:style w:type="table" w:customStyle="1" w:styleId="TableGrid1">
    <w:name w:val="Table Grid1"/>
    <w:basedOn w:val="TableNormal"/>
    <w:next w:val="TableGrid"/>
    <w:uiPriority w:val="59"/>
    <w:rsid w:val="009001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0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688"/>
    <w:rPr>
      <w:rFonts w:ascii="Times New Roman Bold" w:eastAsiaTheme="majorEastAsia" w:hAnsi="Times New Roman Bold" w:cstheme="majorBidi"/>
      <w:b/>
      <w:bCs/>
      <w:caps/>
      <w:sz w:val="24"/>
      <w:szCs w:val="28"/>
    </w:rPr>
  </w:style>
  <w:style w:type="character" w:customStyle="1" w:styleId="BodyTextChar">
    <w:name w:val="Body Text Char"/>
    <w:basedOn w:val="DefaultParagraphFont"/>
    <w:link w:val="BodyText"/>
    <w:rsid w:val="00263688"/>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3278</Words>
  <Characters>18253</Characters>
  <Application>Microsoft Office Word</Application>
  <DocSecurity>0</DocSecurity>
  <Lines>491</Lines>
  <Paragraphs>144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2015-12-03T14:30:00Z</dcterms:created>
  <dcterms:modified xsi:type="dcterms:W3CDTF">2015-12-03T14:30:00Z</dcterms:modified>
  <cp:category> </cp:category>
  <cp:contentStatus> </cp:contentStatus>
</cp:coreProperties>
</file>