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7 -->
  <w:body>
    <w:p w:rsidR="003D58CC" w:rsidRPr="00C743FA" w:rsidP="003D58CC" w14:paraId="735BC362" w14:textId="77777777">
      <w:pPr>
        <w:pStyle w:val="HTMLPreformatted"/>
        <w:suppressLineNumbers/>
        <w:jc w:val="center"/>
        <w:rPr>
          <w:rFonts w:ascii="Times New Roman" w:hAnsi="Times New Roman" w:cs="Times New Roman"/>
          <w:b/>
          <w:bCs/>
          <w:sz w:val="24"/>
          <w:szCs w:val="24"/>
        </w:rPr>
      </w:pPr>
      <w:bookmarkStart w:id="0" w:name="_GoBack"/>
      <w:bookmarkEnd w:id="0"/>
      <w:r w:rsidRPr="00C743FA">
        <w:rPr>
          <w:rFonts w:ascii="Times New Roman" w:hAnsi="Times New Roman" w:cs="Times New Roman"/>
          <w:b/>
          <w:bCs/>
          <w:sz w:val="24"/>
          <w:szCs w:val="24"/>
        </w:rPr>
        <w:t>BEFORE</w:t>
      </w:r>
    </w:p>
    <w:p w:rsidR="003D58CC" w:rsidRPr="00C743FA" w:rsidP="003D58CC" w14:paraId="226385E8" w14:textId="77777777">
      <w:pPr>
        <w:pStyle w:val="HTMLPreformatted"/>
        <w:suppressLineNumbers/>
        <w:jc w:val="center"/>
        <w:rPr>
          <w:rFonts w:ascii="Times New Roman" w:hAnsi="Times New Roman" w:cs="Times New Roman"/>
          <w:b/>
          <w:bCs/>
          <w:sz w:val="24"/>
          <w:szCs w:val="24"/>
        </w:rPr>
      </w:pPr>
      <w:r w:rsidRPr="00C743FA">
        <w:rPr>
          <w:rFonts w:ascii="Times New Roman" w:hAnsi="Times New Roman" w:cs="Times New Roman"/>
          <w:b/>
          <w:bCs/>
          <w:sz w:val="24"/>
          <w:szCs w:val="24"/>
        </w:rPr>
        <w:t>THE PUBLIC UTILITIES COMMISSION OF OHIO</w:t>
      </w:r>
    </w:p>
    <w:p w:rsidR="003D58CC" w:rsidRPr="00C743FA" w:rsidP="003D58CC" w14:paraId="5F14E022" w14:textId="77777777">
      <w:pPr>
        <w:pStyle w:val="HTMLPreformatted"/>
        <w:suppressLineNumbers/>
        <w:jc w:val="center"/>
        <w:rPr>
          <w:rFonts w:ascii="Times New Roman" w:hAnsi="Times New Roman" w:cs="Times New Roman"/>
          <w:sz w:val="24"/>
          <w:szCs w:val="24"/>
        </w:rPr>
      </w:pPr>
    </w:p>
    <w:tbl>
      <w:tblPr>
        <w:tblW w:w="8910" w:type="dxa"/>
        <w:jc w:val="center"/>
        <w:tblLook w:val="01E0"/>
      </w:tblPr>
      <w:tblGrid>
        <w:gridCol w:w="4408"/>
        <w:gridCol w:w="296"/>
        <w:gridCol w:w="4206"/>
      </w:tblGrid>
      <w:tr w14:paraId="1173EA90" w14:textId="77777777" w:rsidTr="003D58CC">
        <w:tblPrEx>
          <w:tblW w:w="8910" w:type="dxa"/>
          <w:jc w:val="center"/>
          <w:tblLook w:val="01E0"/>
        </w:tblPrEx>
        <w:trPr>
          <w:trHeight w:val="807"/>
          <w:jc w:val="center"/>
        </w:trPr>
        <w:tc>
          <w:tcPr>
            <w:tcW w:w="4408" w:type="dxa"/>
            <w:shd w:val="clear" w:color="auto" w:fill="auto"/>
          </w:tcPr>
          <w:p w:rsidR="003D58CC" w:rsidP="003D58CC" w14:paraId="3EE763CD" w14:textId="77777777">
            <w:pPr>
              <w:suppressLineNumbers/>
              <w:autoSpaceDE w:val="0"/>
              <w:autoSpaceDN w:val="0"/>
              <w:adjustRightInd w:val="0"/>
            </w:pPr>
            <w:r>
              <w:t>In the Matter of The Regulation of the Purchased Gas Adjustment Clauses Contained within the Rate Schedules of Duke Energy Ohio Inc., and Related Matters.</w:t>
            </w:r>
          </w:p>
          <w:p w:rsidR="003D58CC" w:rsidRPr="00C743FA" w:rsidP="003D58CC" w14:paraId="4DEC7515" w14:textId="77777777">
            <w:pPr>
              <w:suppressLineNumbers/>
              <w:autoSpaceDE w:val="0"/>
              <w:autoSpaceDN w:val="0"/>
              <w:adjustRightInd w:val="0"/>
            </w:pPr>
          </w:p>
          <w:p w:rsidR="003D58CC" w:rsidP="003D58CC" w14:paraId="035476A8" w14:textId="77777777">
            <w:pPr>
              <w:suppressLineNumbers/>
              <w:autoSpaceDE w:val="0"/>
              <w:autoSpaceDN w:val="0"/>
              <w:adjustRightInd w:val="0"/>
            </w:pPr>
            <w:r>
              <w:t>In the Matter of The Audit of the Uncollectable Expense Rider of Duke Energy Ohio Inc., and Related Matters.</w:t>
            </w:r>
          </w:p>
          <w:p w:rsidR="003D58CC" w:rsidP="003D58CC" w14:paraId="5A58BE35" w14:textId="77777777">
            <w:pPr>
              <w:suppressLineNumbers/>
              <w:autoSpaceDE w:val="0"/>
              <w:autoSpaceDN w:val="0"/>
              <w:adjustRightInd w:val="0"/>
            </w:pPr>
          </w:p>
          <w:p w:rsidR="003D58CC" w:rsidRPr="00C743FA" w:rsidP="003D58CC" w14:paraId="1985D36C" w14:textId="77777777">
            <w:pPr>
              <w:suppressLineNumbers/>
              <w:autoSpaceDE w:val="0"/>
              <w:autoSpaceDN w:val="0"/>
              <w:adjustRightInd w:val="0"/>
            </w:pPr>
            <w:r>
              <w:t>In the Matter of The Application of Duke Energy Ohio Inc., for Approval of an Adjustment to its Interim and Temporary PIPP Plan and Rider Case.</w:t>
            </w:r>
          </w:p>
        </w:tc>
        <w:tc>
          <w:tcPr>
            <w:tcW w:w="296" w:type="dxa"/>
            <w:shd w:val="clear" w:color="auto" w:fill="auto"/>
          </w:tcPr>
          <w:p w:rsidR="003D58CC" w:rsidRPr="00C743FA" w:rsidP="003D58CC" w14:paraId="3E0C8A63"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w:t>
            </w:r>
          </w:p>
          <w:p w:rsidR="003D58CC" w:rsidRPr="00C743FA" w:rsidP="003D58CC" w14:paraId="0225BBA1"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w:t>
            </w:r>
          </w:p>
          <w:p w:rsidR="003D58CC" w:rsidRPr="00C743FA" w:rsidP="003D58CC" w14:paraId="7C9BC3C9"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w:t>
            </w:r>
          </w:p>
          <w:p w:rsidR="003D58CC" w:rsidP="003D58CC" w14:paraId="7EB2EDFB" w14:textId="77777777">
            <w:pPr>
              <w:pStyle w:val="HTMLPreformatted"/>
              <w:suppressLineNumbers/>
              <w:rPr>
                <w:rFonts w:ascii="Times New Roman" w:hAnsi="Times New Roman" w:cs="Times New Roman"/>
                <w:sz w:val="24"/>
                <w:szCs w:val="24"/>
              </w:rPr>
            </w:pPr>
            <w:r>
              <w:rPr>
                <w:rFonts w:ascii="Times New Roman" w:hAnsi="Times New Roman" w:cs="Times New Roman"/>
                <w:sz w:val="24"/>
                <w:szCs w:val="24"/>
              </w:rPr>
              <w:t>)</w:t>
            </w:r>
          </w:p>
          <w:p w:rsidR="003D58CC" w:rsidP="003D58CC" w14:paraId="31609F9C" w14:textId="77777777">
            <w:pPr>
              <w:pStyle w:val="HTMLPreformatted"/>
              <w:suppressLineNumbers/>
              <w:rPr>
                <w:rFonts w:ascii="Times New Roman" w:hAnsi="Times New Roman" w:cs="Times New Roman"/>
                <w:sz w:val="24"/>
                <w:szCs w:val="24"/>
              </w:rPr>
            </w:pPr>
            <w:r>
              <w:rPr>
                <w:rFonts w:ascii="Times New Roman" w:hAnsi="Times New Roman" w:cs="Times New Roman"/>
                <w:sz w:val="24"/>
                <w:szCs w:val="24"/>
              </w:rPr>
              <w:t>)</w:t>
            </w:r>
          </w:p>
          <w:p w:rsidR="003D58CC" w:rsidRPr="00C743FA" w:rsidP="003D58CC" w14:paraId="62D7ED06" w14:textId="77777777">
            <w:pPr>
              <w:pStyle w:val="HTMLPreformatted"/>
              <w:suppressLineNumbers/>
              <w:rPr>
                <w:rFonts w:ascii="Times New Roman" w:hAnsi="Times New Roman" w:cs="Times New Roman"/>
                <w:sz w:val="24"/>
                <w:szCs w:val="24"/>
              </w:rPr>
            </w:pPr>
          </w:p>
          <w:p w:rsidR="003D58CC" w:rsidRPr="00C743FA" w:rsidP="003D58CC" w14:paraId="10ACF8B7"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w:t>
            </w:r>
          </w:p>
          <w:p w:rsidR="003D58CC" w:rsidRPr="00C743FA" w:rsidP="003D58CC" w14:paraId="56CE4FC8"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w:t>
            </w:r>
          </w:p>
          <w:p w:rsidR="003D58CC" w:rsidP="003D58CC" w14:paraId="43D79A8D"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w:t>
            </w:r>
          </w:p>
          <w:p w:rsidR="003D58CC" w:rsidP="003D58CC" w14:paraId="4150E678" w14:textId="77777777">
            <w:pPr>
              <w:pStyle w:val="HTMLPreformatted"/>
              <w:suppressLineNumbers/>
              <w:rPr>
                <w:rFonts w:ascii="Times New Roman" w:hAnsi="Times New Roman" w:cs="Times New Roman"/>
                <w:sz w:val="24"/>
                <w:szCs w:val="24"/>
              </w:rPr>
            </w:pPr>
          </w:p>
          <w:p w:rsidR="003D58CC" w:rsidP="003D58CC" w14:paraId="57A65BDD" w14:textId="77777777">
            <w:pPr>
              <w:pStyle w:val="HTMLPreformatted"/>
              <w:suppressLineNumbers/>
              <w:rPr>
                <w:rFonts w:ascii="Times New Roman" w:hAnsi="Times New Roman" w:cs="Times New Roman"/>
                <w:sz w:val="24"/>
                <w:szCs w:val="24"/>
              </w:rPr>
            </w:pPr>
            <w:r>
              <w:rPr>
                <w:rFonts w:ascii="Times New Roman" w:hAnsi="Times New Roman" w:cs="Times New Roman"/>
                <w:sz w:val="24"/>
                <w:szCs w:val="24"/>
              </w:rPr>
              <w:t>)</w:t>
            </w:r>
          </w:p>
          <w:p w:rsidR="003D58CC" w:rsidP="003D58CC" w14:paraId="241F180F" w14:textId="77777777">
            <w:pPr>
              <w:pStyle w:val="HTMLPreformatted"/>
              <w:suppressLineNumbers/>
              <w:rPr>
                <w:rFonts w:ascii="Times New Roman" w:hAnsi="Times New Roman" w:cs="Times New Roman"/>
                <w:sz w:val="24"/>
                <w:szCs w:val="24"/>
              </w:rPr>
            </w:pPr>
            <w:r>
              <w:rPr>
                <w:rFonts w:ascii="Times New Roman" w:hAnsi="Times New Roman" w:cs="Times New Roman"/>
                <w:sz w:val="24"/>
                <w:szCs w:val="24"/>
              </w:rPr>
              <w:t>)</w:t>
            </w:r>
          </w:p>
          <w:p w:rsidR="003D58CC" w:rsidP="003D58CC" w14:paraId="57EACB11" w14:textId="77777777">
            <w:pPr>
              <w:pStyle w:val="HTMLPreformatted"/>
              <w:suppressLineNumbers/>
              <w:rPr>
                <w:rFonts w:ascii="Times New Roman" w:hAnsi="Times New Roman" w:cs="Times New Roman"/>
                <w:sz w:val="24"/>
                <w:szCs w:val="24"/>
              </w:rPr>
            </w:pPr>
            <w:r>
              <w:rPr>
                <w:rFonts w:ascii="Times New Roman" w:hAnsi="Times New Roman" w:cs="Times New Roman"/>
                <w:sz w:val="24"/>
                <w:szCs w:val="24"/>
              </w:rPr>
              <w:t>)</w:t>
            </w:r>
          </w:p>
          <w:p w:rsidR="003D58CC" w:rsidRPr="00C743FA" w:rsidP="003D58CC" w14:paraId="657D4049" w14:textId="77777777">
            <w:pPr>
              <w:pStyle w:val="HTMLPreformatted"/>
              <w:suppressLineNumbers/>
              <w:rPr>
                <w:rFonts w:ascii="Times New Roman" w:hAnsi="Times New Roman" w:cs="Times New Roman"/>
                <w:sz w:val="24"/>
                <w:szCs w:val="24"/>
              </w:rPr>
            </w:pPr>
            <w:r>
              <w:rPr>
                <w:rFonts w:ascii="Times New Roman" w:hAnsi="Times New Roman" w:cs="Times New Roman"/>
                <w:sz w:val="24"/>
                <w:szCs w:val="24"/>
              </w:rPr>
              <w:t>)</w:t>
            </w:r>
          </w:p>
        </w:tc>
        <w:tc>
          <w:tcPr>
            <w:tcW w:w="4206" w:type="dxa"/>
            <w:shd w:val="clear" w:color="auto" w:fill="auto"/>
          </w:tcPr>
          <w:p w:rsidR="003D58CC" w:rsidRPr="00C743FA" w:rsidP="003D58CC" w14:paraId="11182D0E" w14:textId="77777777">
            <w:pPr>
              <w:pStyle w:val="HTMLPreformatted"/>
              <w:suppressLineNumbers/>
              <w:rPr>
                <w:rFonts w:ascii="Times New Roman" w:hAnsi="Times New Roman" w:cs="Times New Roman"/>
                <w:sz w:val="24"/>
                <w:szCs w:val="24"/>
              </w:rPr>
            </w:pPr>
          </w:p>
          <w:p w:rsidR="003D58CC" w:rsidP="003D58CC" w14:paraId="67852137" w14:textId="77777777">
            <w:pPr>
              <w:pStyle w:val="HTMLPreformatted"/>
              <w:suppressLineNumbers/>
              <w:rPr>
                <w:rFonts w:ascii="Times New Roman" w:hAnsi="Times New Roman" w:cs="Times New Roman"/>
                <w:sz w:val="24"/>
                <w:szCs w:val="24"/>
              </w:rPr>
            </w:pPr>
          </w:p>
          <w:p w:rsidR="003D58CC" w:rsidRPr="00C743FA" w:rsidP="003D58CC" w14:paraId="79581E7B"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 xml:space="preserve">Case No. </w:t>
            </w:r>
            <w:r w:rsidRPr="00C743FA">
              <w:rPr>
                <w:rFonts w:ascii="Times New Roman" w:eastAsia="Courier New" w:hAnsi="Times New Roman" w:cs="Times New Roman"/>
                <w:sz w:val="24"/>
                <w:szCs w:val="24"/>
              </w:rPr>
              <w:t>18-</w:t>
            </w:r>
            <w:r>
              <w:rPr>
                <w:rFonts w:ascii="Times New Roman" w:eastAsia="Courier New" w:hAnsi="Times New Roman" w:cs="Times New Roman"/>
                <w:sz w:val="24"/>
                <w:szCs w:val="24"/>
              </w:rPr>
              <w:t>0218</w:t>
            </w:r>
            <w:r w:rsidRPr="00C743FA">
              <w:rPr>
                <w:rFonts w:ascii="Times New Roman" w:eastAsia="Courier New" w:hAnsi="Times New Roman" w:cs="Times New Roman"/>
                <w:sz w:val="24"/>
                <w:szCs w:val="24"/>
              </w:rPr>
              <w:t>-GA-</w:t>
            </w:r>
            <w:r>
              <w:rPr>
                <w:rFonts w:ascii="Times New Roman" w:eastAsia="Courier New" w:hAnsi="Times New Roman" w:cs="Times New Roman"/>
                <w:sz w:val="24"/>
                <w:szCs w:val="24"/>
              </w:rPr>
              <w:t>GCR</w:t>
            </w:r>
          </w:p>
          <w:p w:rsidR="003D58CC" w:rsidRPr="00C743FA" w:rsidP="003D58CC" w14:paraId="44965D47" w14:textId="77777777">
            <w:pPr>
              <w:pStyle w:val="HTMLPreformatted"/>
              <w:suppressLineNumbers/>
              <w:rPr>
                <w:rFonts w:ascii="Times New Roman" w:hAnsi="Times New Roman" w:cs="Times New Roman"/>
                <w:sz w:val="24"/>
                <w:szCs w:val="24"/>
              </w:rPr>
            </w:pPr>
          </w:p>
          <w:p w:rsidR="003D58CC" w:rsidRPr="00C743FA" w:rsidP="003D58CC" w14:paraId="57854BBA" w14:textId="77777777">
            <w:pPr>
              <w:pStyle w:val="HTMLPreformatted"/>
              <w:suppressLineNumbers/>
              <w:rPr>
                <w:rFonts w:ascii="Times New Roman" w:hAnsi="Times New Roman" w:cs="Times New Roman"/>
                <w:sz w:val="24"/>
                <w:szCs w:val="24"/>
              </w:rPr>
            </w:pPr>
          </w:p>
          <w:p w:rsidR="003D58CC" w:rsidRPr="00C743FA" w:rsidP="003D58CC" w14:paraId="2FB6FDBB" w14:textId="77777777">
            <w:pPr>
              <w:pStyle w:val="HTMLPreformatted"/>
              <w:suppressLineNumbers/>
              <w:rPr>
                <w:rFonts w:ascii="Times New Roman" w:hAnsi="Times New Roman" w:cs="Times New Roman"/>
                <w:sz w:val="24"/>
                <w:szCs w:val="24"/>
              </w:rPr>
            </w:pPr>
          </w:p>
          <w:p w:rsidR="003D58CC" w:rsidP="003D58CC" w14:paraId="1A30BCA3" w14:textId="77777777">
            <w:pPr>
              <w:pStyle w:val="HTMLPreformatted"/>
              <w:suppressLineNumbers/>
              <w:rPr>
                <w:rFonts w:ascii="Times New Roman" w:hAnsi="Times New Roman" w:cs="Times New Roman"/>
                <w:sz w:val="24"/>
                <w:szCs w:val="24"/>
              </w:rPr>
            </w:pPr>
          </w:p>
          <w:p w:rsidR="003D58CC" w:rsidP="003D58CC" w14:paraId="5AC17A8D"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Case No. 18-</w:t>
            </w:r>
            <w:r>
              <w:rPr>
                <w:rFonts w:ascii="Times New Roman" w:hAnsi="Times New Roman" w:cs="Times New Roman"/>
                <w:sz w:val="24"/>
                <w:szCs w:val="24"/>
              </w:rPr>
              <w:t>0318</w:t>
            </w:r>
            <w:r w:rsidRPr="00C743FA">
              <w:rPr>
                <w:rFonts w:ascii="Times New Roman" w:hAnsi="Times New Roman" w:cs="Times New Roman"/>
                <w:sz w:val="24"/>
                <w:szCs w:val="24"/>
              </w:rPr>
              <w:t>-GA-</w:t>
            </w:r>
            <w:r>
              <w:rPr>
                <w:rFonts w:ascii="Times New Roman" w:hAnsi="Times New Roman" w:cs="Times New Roman"/>
                <w:sz w:val="24"/>
                <w:szCs w:val="24"/>
              </w:rPr>
              <w:t>UEX</w:t>
            </w:r>
          </w:p>
          <w:p w:rsidR="003D58CC" w:rsidP="003D58CC" w14:paraId="4B875C0C" w14:textId="77777777">
            <w:pPr>
              <w:pStyle w:val="HTMLPreformatted"/>
              <w:suppressLineNumbers/>
              <w:rPr>
                <w:rFonts w:ascii="Times New Roman" w:hAnsi="Times New Roman" w:cs="Times New Roman"/>
                <w:sz w:val="24"/>
                <w:szCs w:val="24"/>
              </w:rPr>
            </w:pPr>
          </w:p>
          <w:p w:rsidR="003D58CC" w:rsidP="003D58CC" w14:paraId="22E3169F" w14:textId="77777777">
            <w:pPr>
              <w:pStyle w:val="HTMLPreformatted"/>
              <w:suppressLineNumbers/>
              <w:rPr>
                <w:rFonts w:ascii="Times New Roman" w:hAnsi="Times New Roman" w:cs="Times New Roman"/>
                <w:sz w:val="24"/>
                <w:szCs w:val="24"/>
              </w:rPr>
            </w:pPr>
          </w:p>
          <w:p w:rsidR="003D58CC" w:rsidP="003D58CC" w14:paraId="7CE79891" w14:textId="77777777">
            <w:pPr>
              <w:pStyle w:val="HTMLPreformatted"/>
              <w:suppressLineNumbers/>
              <w:rPr>
                <w:rFonts w:ascii="Times New Roman" w:hAnsi="Times New Roman" w:cs="Times New Roman"/>
                <w:sz w:val="24"/>
                <w:szCs w:val="24"/>
              </w:rPr>
            </w:pPr>
          </w:p>
          <w:p w:rsidR="003D58CC" w:rsidRPr="00C743FA" w:rsidP="003D58CC" w14:paraId="5BD4E577" w14:textId="77777777">
            <w:pPr>
              <w:pStyle w:val="HTMLPreformatted"/>
              <w:suppressLineNumbers/>
              <w:rPr>
                <w:rFonts w:ascii="Times New Roman" w:hAnsi="Times New Roman" w:cs="Times New Roman"/>
                <w:sz w:val="24"/>
                <w:szCs w:val="24"/>
              </w:rPr>
            </w:pPr>
            <w:r w:rsidRPr="00C743FA">
              <w:rPr>
                <w:rFonts w:ascii="Times New Roman" w:hAnsi="Times New Roman" w:cs="Times New Roman"/>
                <w:sz w:val="24"/>
                <w:szCs w:val="24"/>
              </w:rPr>
              <w:t>Case No. 18-</w:t>
            </w:r>
            <w:r>
              <w:rPr>
                <w:rFonts w:ascii="Times New Roman" w:hAnsi="Times New Roman" w:cs="Times New Roman"/>
                <w:sz w:val="24"/>
                <w:szCs w:val="24"/>
              </w:rPr>
              <w:t>0418</w:t>
            </w:r>
            <w:r w:rsidRPr="00C743FA">
              <w:rPr>
                <w:rFonts w:ascii="Times New Roman" w:hAnsi="Times New Roman" w:cs="Times New Roman"/>
                <w:sz w:val="24"/>
                <w:szCs w:val="24"/>
              </w:rPr>
              <w:t>-GA-</w:t>
            </w:r>
            <w:r>
              <w:rPr>
                <w:rFonts w:ascii="Times New Roman" w:hAnsi="Times New Roman" w:cs="Times New Roman"/>
                <w:sz w:val="24"/>
                <w:szCs w:val="24"/>
              </w:rPr>
              <w:t>PIP</w:t>
            </w:r>
          </w:p>
        </w:tc>
      </w:tr>
    </w:tbl>
    <w:p w:rsidR="003D58CC" w:rsidRPr="00C743FA" w:rsidP="003D58CC" w14:paraId="26FA521B" w14:textId="77777777">
      <w:pPr>
        <w:pStyle w:val="HTMLPreformatted"/>
        <w:suppressLineNumbers/>
        <w:pBdr>
          <w:bottom w:val="single" w:sz="12" w:space="1" w:color="auto"/>
        </w:pBdr>
        <w:rPr>
          <w:rFonts w:ascii="Times New Roman" w:hAnsi="Times New Roman" w:cs="Times New Roman"/>
          <w:sz w:val="24"/>
          <w:szCs w:val="24"/>
        </w:rPr>
      </w:pPr>
    </w:p>
    <w:p w:rsidR="003D58CC" w:rsidRPr="00C743FA" w:rsidP="003D58CC" w14:paraId="6C2CADB2" w14:textId="77777777">
      <w:pPr>
        <w:pStyle w:val="HTMLPreformatted"/>
        <w:suppressLineNumbers/>
        <w:rPr>
          <w:rFonts w:ascii="Times New Roman" w:hAnsi="Times New Roman" w:cs="Times New Roman"/>
          <w:sz w:val="24"/>
          <w:szCs w:val="24"/>
        </w:rPr>
      </w:pPr>
    </w:p>
    <w:p w:rsidR="003D58CC" w:rsidRPr="00C743FA" w:rsidP="003D58CC" w14:paraId="09108858" w14:textId="1C71A4F2">
      <w:pPr>
        <w:suppressLineNumbers/>
        <w:jc w:val="center"/>
        <w:rPr>
          <w:b/>
          <w:bCs/>
          <w:iCs/>
        </w:rPr>
      </w:pPr>
      <w:r>
        <w:rPr>
          <w:b/>
          <w:bCs/>
          <w:iCs/>
        </w:rPr>
        <w:t>REPLY</w:t>
      </w:r>
      <w:r w:rsidRPr="00C743FA">
        <w:rPr>
          <w:b/>
          <w:bCs/>
          <w:iCs/>
        </w:rPr>
        <w:t xml:space="preserve"> BRIEF </w:t>
      </w:r>
    </w:p>
    <w:p w:rsidR="003D58CC" w:rsidRPr="00C743FA" w:rsidP="003D58CC" w14:paraId="5A4B430D" w14:textId="77777777">
      <w:pPr>
        <w:suppressLineNumbers/>
        <w:jc w:val="center"/>
        <w:rPr>
          <w:b/>
          <w:bCs/>
          <w:iCs/>
        </w:rPr>
      </w:pPr>
      <w:r w:rsidRPr="00C743FA">
        <w:rPr>
          <w:b/>
          <w:bCs/>
          <w:iCs/>
        </w:rPr>
        <w:t xml:space="preserve">BY </w:t>
      </w:r>
    </w:p>
    <w:p w:rsidR="003D58CC" w:rsidRPr="00C743FA" w:rsidP="003D58CC" w14:paraId="14583493" w14:textId="77777777">
      <w:pPr>
        <w:suppressLineNumbers/>
        <w:jc w:val="center"/>
        <w:rPr>
          <w:b/>
          <w:bCs/>
          <w:iCs/>
        </w:rPr>
      </w:pPr>
      <w:r w:rsidRPr="00C743FA">
        <w:rPr>
          <w:b/>
          <w:bCs/>
          <w:iCs/>
        </w:rPr>
        <w:t>THE OFFICE OF THE OHIO CONSUMERS</w:t>
      </w:r>
      <w:r>
        <w:rPr>
          <w:b/>
          <w:bCs/>
          <w:iCs/>
        </w:rPr>
        <w:t>’</w:t>
      </w:r>
      <w:r w:rsidRPr="00C743FA">
        <w:rPr>
          <w:b/>
          <w:bCs/>
          <w:iCs/>
        </w:rPr>
        <w:t xml:space="preserve"> COUNSEL</w:t>
      </w:r>
    </w:p>
    <w:p w:rsidR="003D58CC" w:rsidRPr="00C743FA" w:rsidP="003D58CC" w14:paraId="16E59FA1" w14:textId="77777777">
      <w:pPr>
        <w:suppressLineNumbers/>
        <w:pBdr>
          <w:bottom w:val="single" w:sz="12" w:space="1" w:color="auto"/>
        </w:pBdr>
        <w:jc w:val="center"/>
        <w:rPr>
          <w:b/>
          <w:bCs/>
          <w:iCs/>
        </w:rPr>
      </w:pPr>
    </w:p>
    <w:p w:rsidR="003D58CC" w:rsidP="003D58CC" w14:paraId="0229AE1F" w14:textId="77777777">
      <w:pPr>
        <w:suppressLineNumbers/>
        <w:rPr>
          <w:b/>
          <w:bCs/>
          <w:iCs/>
        </w:rPr>
      </w:pPr>
    </w:p>
    <w:p w:rsidR="003D58CC" w:rsidP="003D58CC" w14:paraId="14098B72" w14:textId="77777777">
      <w:pPr>
        <w:pStyle w:val="Heading1"/>
      </w:pPr>
      <w:bookmarkStart w:id="1" w:name="_Toc22217848"/>
      <w:r w:rsidRPr="00547FB4">
        <w:t>Introduction</w:t>
      </w:r>
      <w:bookmarkEnd w:id="1"/>
    </w:p>
    <w:p w:rsidR="00AC3342" w:rsidP="003D58CC" w14:paraId="6EBB6FA1" w14:textId="540BB4E3">
      <w:pPr>
        <w:autoSpaceDE w:val="0"/>
        <w:autoSpaceDN w:val="0"/>
        <w:adjustRightInd w:val="0"/>
        <w:spacing w:line="480" w:lineRule="auto"/>
        <w:ind w:firstLine="720"/>
      </w:pPr>
      <w:r>
        <w:t>The PUCO should reject Duke and PUCO Staff’s proposed Settlement.</w:t>
      </w:r>
      <w:r w:rsidR="003D58CC">
        <w:t xml:space="preserve"> </w:t>
      </w:r>
      <w:r>
        <w:t xml:space="preserve">Under it, only certain customers pay for </w:t>
      </w:r>
      <w:r w:rsidR="000C343C">
        <w:t xml:space="preserve">a particular </w:t>
      </w:r>
      <w:r>
        <w:t xml:space="preserve">service even though </w:t>
      </w:r>
      <w:r>
        <w:rPr>
          <w:i/>
          <w:iCs/>
        </w:rPr>
        <w:t xml:space="preserve">all customers </w:t>
      </w:r>
      <w:r>
        <w:t>benefited from the service.</w:t>
      </w:r>
      <w:r w:rsidR="006461C4">
        <w:t xml:space="preserve"> </w:t>
      </w:r>
      <w:r>
        <w:t>That is not in the public interest and violates regulatory principles and practices.</w:t>
      </w:r>
      <w:r w:rsidR="006461C4">
        <w:t xml:space="preserve"> </w:t>
      </w:r>
      <w:r>
        <w:t xml:space="preserve">The proposed Settlement fails to bring consumers the benefits of competition, which harms consumers and is contrary to </w:t>
      </w:r>
      <w:r w:rsidR="003D58CC">
        <w:t xml:space="preserve">regulatory principles and practices. </w:t>
      </w:r>
      <w:r>
        <w:t xml:space="preserve">The proposed Settlement also </w:t>
      </w:r>
      <w:r w:rsidR="003D58CC">
        <w:t>depriv</w:t>
      </w:r>
      <w:r>
        <w:t>es</w:t>
      </w:r>
      <w:r w:rsidR="003D58CC">
        <w:t xml:space="preserve"> consumers of information that would allow them to make informed choices about their natural gas provider</w:t>
      </w:r>
      <w:r>
        <w:t xml:space="preserve">. This too is </w:t>
      </w:r>
      <w:r w:rsidR="003D58CC">
        <w:t xml:space="preserve">harmful to consumers </w:t>
      </w:r>
      <w:r>
        <w:t>and</w:t>
      </w:r>
      <w:r w:rsidR="003D58CC">
        <w:t xml:space="preserve"> contrary to regulatory principles and practices. </w:t>
      </w:r>
    </w:p>
    <w:p w:rsidR="00B1198A" w:rsidP="003D58CC" w14:paraId="196FDEAF" w14:textId="77777777">
      <w:pPr>
        <w:autoSpaceDE w:val="0"/>
        <w:autoSpaceDN w:val="0"/>
        <w:adjustRightInd w:val="0"/>
        <w:spacing w:line="480" w:lineRule="auto"/>
        <w:ind w:firstLine="720"/>
        <w:sectPr w:rsidSect="00B1198A">
          <w:pgSz w:w="12240" w:h="15840" w:code="1"/>
          <w:pgMar w:top="1440" w:right="1800" w:bottom="1440" w:left="1800" w:header="720" w:footer="720" w:gutter="0"/>
          <w:pgNumType w:start="2"/>
          <w:cols w:space="720"/>
          <w:docGrid w:linePitch="360"/>
        </w:sectPr>
      </w:pPr>
      <w:r>
        <w:t>T</w:t>
      </w:r>
      <w:r w:rsidR="006D096A">
        <w:t xml:space="preserve">hankfully, </w:t>
      </w:r>
      <w:r w:rsidR="00AC3342">
        <w:t xml:space="preserve">the PUCO can still protect </w:t>
      </w:r>
      <w:r w:rsidR="006D096A">
        <w:t xml:space="preserve">consumers because </w:t>
      </w:r>
      <w:r w:rsidR="00AC3342">
        <w:t>the</w:t>
      </w:r>
      <w:r w:rsidR="003D58CC">
        <w:t xml:space="preserve"> proposed Settlement is not binding on the PUCO</w:t>
      </w:r>
      <w:r w:rsidR="006D096A">
        <w:t>. The PUCO can</w:t>
      </w:r>
      <w:r w:rsidR="00AC3342">
        <w:t xml:space="preserve"> </w:t>
      </w:r>
      <w:r w:rsidR="006D096A">
        <w:t>modify the Settlement</w:t>
      </w:r>
      <w:r w:rsidR="003D58CC">
        <w:t xml:space="preserve"> to benefit </w:t>
      </w:r>
    </w:p>
    <w:p w:rsidR="003D58CC" w:rsidP="00B1198A" w14:paraId="25FC5CAB" w14:textId="4BD699FA">
      <w:pPr>
        <w:autoSpaceDE w:val="0"/>
        <w:autoSpaceDN w:val="0"/>
        <w:adjustRightInd w:val="0"/>
        <w:spacing w:line="480" w:lineRule="auto"/>
      </w:pPr>
      <w:r>
        <w:t xml:space="preserve">consumers and </w:t>
      </w:r>
      <w:r w:rsidR="00DE1029">
        <w:t xml:space="preserve">to comply </w:t>
      </w:r>
      <w:r>
        <w:t xml:space="preserve">with regulatory principles and practices. To protect </w:t>
      </w:r>
      <w:r w:rsidR="00D932CF">
        <w:t>Duke’s 400,000</w:t>
      </w:r>
      <w:r>
        <w:t xml:space="preserve"> residential gas customers, the Office of the Ohio Consumers' Counsel (“OCC”) recommends that it </w:t>
      </w:r>
      <w:r w:rsidR="00DE1029">
        <w:t>do so</w:t>
      </w:r>
      <w:r>
        <w:t>.</w:t>
      </w:r>
    </w:p>
    <w:p w:rsidR="005C2541" w:rsidP="005C2541" w14:paraId="65131217" w14:textId="77777777">
      <w:pPr>
        <w:autoSpaceDE w:val="0"/>
        <w:autoSpaceDN w:val="0"/>
        <w:adjustRightInd w:val="0"/>
        <w:ind w:firstLine="720"/>
      </w:pPr>
    </w:p>
    <w:p w:rsidR="003D58CC" w:rsidP="003D58CC" w14:paraId="02CB5C37" w14:textId="77777777">
      <w:pPr>
        <w:pStyle w:val="Heading1"/>
      </w:pPr>
      <w:bookmarkStart w:id="2" w:name="_Toc22217849"/>
      <w:r>
        <w:t>RECOMMENDATIONS</w:t>
      </w:r>
      <w:bookmarkEnd w:id="2"/>
    </w:p>
    <w:p w:rsidR="00DA3DBA" w:rsidP="0053379A" w14:paraId="016E660C" w14:textId="12C04843">
      <w:pPr>
        <w:pStyle w:val="Heading2"/>
      </w:pPr>
      <w:bookmarkStart w:id="3" w:name="_Toc22217850"/>
      <w:r>
        <w:t>A.</w:t>
      </w:r>
      <w:r>
        <w:tab/>
      </w:r>
      <w:r>
        <w:t>Under the PUCO’s Settlement standard, the Settlement should be modified because it harms</w:t>
      </w:r>
      <w:r w:rsidR="00AC3342">
        <w:t xml:space="preserve"> consumers</w:t>
      </w:r>
      <w:r>
        <w:t>.</w:t>
      </w:r>
      <w:r w:rsidR="007A2400">
        <w:t xml:space="preserve"> </w:t>
      </w:r>
    </w:p>
    <w:p w:rsidR="003D58CC" w:rsidP="0053379A" w14:paraId="3AA21712" w14:textId="2AFE5371">
      <w:pPr>
        <w:pStyle w:val="Heading3"/>
        <w:rPr>
          <w:rFonts w:hint="eastAsia"/>
        </w:rPr>
      </w:pPr>
      <w:r>
        <w:t xml:space="preserve">1. </w:t>
      </w:r>
      <w:r w:rsidR="0053379A">
        <w:tab/>
      </w:r>
      <w:r>
        <w:t>T</w:t>
      </w:r>
      <w:r w:rsidR="00000006">
        <w:t>he PUCO should properly allocate propane commodity costs.</w:t>
      </w:r>
      <w:bookmarkEnd w:id="3"/>
    </w:p>
    <w:p w:rsidR="00B670A9" w:rsidP="00B3382B" w14:paraId="1151C912" w14:textId="77777777">
      <w:pPr>
        <w:autoSpaceDE w:val="0"/>
        <w:autoSpaceDN w:val="0"/>
        <w:adjustRightInd w:val="0"/>
        <w:spacing w:line="480" w:lineRule="auto"/>
        <w:ind w:firstLine="720"/>
      </w:pPr>
      <w:r>
        <w:t xml:space="preserve">Under the Settlement, only GCR customers pay for a particular service (propane) even though </w:t>
      </w:r>
      <w:r>
        <w:rPr>
          <w:i/>
          <w:iCs/>
        </w:rPr>
        <w:t xml:space="preserve">all customers </w:t>
      </w:r>
      <w:r>
        <w:t xml:space="preserve">(including shopping customers) benefited from it. That is not in the public interest and violates regulatory principles and practices. </w:t>
      </w:r>
    </w:p>
    <w:p w:rsidR="00CB473C" w:rsidP="00B3382B" w14:paraId="4EDADEFA" w14:textId="46B7B970">
      <w:pPr>
        <w:autoSpaceDE w:val="0"/>
        <w:autoSpaceDN w:val="0"/>
        <w:adjustRightInd w:val="0"/>
        <w:spacing w:line="480" w:lineRule="auto"/>
        <w:ind w:firstLine="720"/>
      </w:pPr>
      <w:r>
        <w:t xml:space="preserve">Duke and the PUCO Staff both argue that </w:t>
      </w:r>
      <w:r w:rsidR="00AC3342">
        <w:t>the</w:t>
      </w:r>
      <w:r>
        <w:t xml:space="preserve"> proposed Settlement benefits customers and the public interest.</w:t>
      </w:r>
      <w:r>
        <w:rPr>
          <w:rStyle w:val="FootnoteReference"/>
        </w:rPr>
        <w:footnoteReference w:id="2"/>
      </w:r>
      <w:r>
        <w:t xml:space="preserve"> </w:t>
      </w:r>
      <w:r w:rsidR="003A5E1D">
        <w:t xml:space="preserve">Duke argues that the </w:t>
      </w:r>
      <w:r w:rsidR="00AC3342">
        <w:t>Settlement</w:t>
      </w:r>
      <w:r w:rsidR="003A5E1D">
        <w:t xml:space="preserve"> is a compromise where three of the four parties found</w:t>
      </w:r>
      <w:r w:rsidR="00AE30CB">
        <w:t xml:space="preserve"> that</w:t>
      </w:r>
      <w:r w:rsidR="003A5E1D">
        <w:t xml:space="preserve"> </w:t>
      </w:r>
      <w:r w:rsidR="00AC3342">
        <w:t>it</w:t>
      </w:r>
      <w:r w:rsidR="003A5E1D">
        <w:t>, as a package, benefits customers and the public interest.</w:t>
      </w:r>
      <w:r>
        <w:rPr>
          <w:rStyle w:val="FootnoteReference"/>
        </w:rPr>
        <w:footnoteReference w:id="3"/>
      </w:r>
      <w:r w:rsidR="003A5E1D">
        <w:t xml:space="preserve"> Duke also a</w:t>
      </w:r>
      <w:r w:rsidR="00FC4C73">
        <w:t>sserts</w:t>
      </w:r>
      <w:r w:rsidR="003A5E1D">
        <w:t xml:space="preserve"> that OCC’s arguments should be rejected because </w:t>
      </w:r>
      <w:r w:rsidR="00AC3342">
        <w:t>they</w:t>
      </w:r>
      <w:r w:rsidR="003A5E1D">
        <w:t xml:space="preserve"> </w:t>
      </w:r>
      <w:r w:rsidR="00FC4C73">
        <w:t xml:space="preserve">allegedly </w:t>
      </w:r>
      <w:r w:rsidR="003A5E1D">
        <w:t xml:space="preserve">overlook the </w:t>
      </w:r>
      <w:r w:rsidR="00AC3342">
        <w:t xml:space="preserve">Settlement’s </w:t>
      </w:r>
      <w:r w:rsidR="00FC4C73">
        <w:t>“</w:t>
      </w:r>
      <w:r w:rsidR="003A5E1D">
        <w:t>positive benefits</w:t>
      </w:r>
      <w:r w:rsidR="00AC3342">
        <w:t>.</w:t>
      </w:r>
      <w:r w:rsidR="00FC4C73">
        <w:t>”</w:t>
      </w:r>
      <w:r>
        <w:rPr>
          <w:rStyle w:val="FootnoteReference"/>
        </w:rPr>
        <w:footnoteReference w:id="4"/>
      </w:r>
      <w:r w:rsidR="003A5E1D">
        <w:t xml:space="preserve"> Duke </w:t>
      </w:r>
      <w:r w:rsidR="00AC3342">
        <w:t>asserts</w:t>
      </w:r>
      <w:r w:rsidR="003A5E1D">
        <w:t xml:space="preserve"> that a “stipulation can benefit customers and be in the public interest even if it doesn’t include everything that one party desires.”</w:t>
      </w:r>
      <w:r>
        <w:rPr>
          <w:rStyle w:val="FootnoteReference"/>
        </w:rPr>
        <w:footnoteReference w:id="5"/>
      </w:r>
      <w:r w:rsidR="003A5E1D">
        <w:t xml:space="preserve"> </w:t>
      </w:r>
    </w:p>
    <w:p w:rsidR="00CC6303" w:rsidP="009F00F3" w14:paraId="640AC769" w14:textId="60274CA4">
      <w:pPr>
        <w:autoSpaceDE w:val="0"/>
        <w:autoSpaceDN w:val="0"/>
        <w:adjustRightInd w:val="0"/>
        <w:spacing w:line="480" w:lineRule="auto"/>
        <w:ind w:firstLine="720"/>
      </w:pPr>
      <w:r>
        <w:t>Duke is wrong</w:t>
      </w:r>
      <w:r w:rsidR="00AC3342">
        <w:t>.</w:t>
      </w:r>
      <w:r>
        <w:rPr>
          <w:rStyle w:val="FootnoteReference"/>
        </w:rPr>
        <w:footnoteReference w:id="6"/>
      </w:r>
      <w:r>
        <w:t xml:space="preserve"> </w:t>
      </w:r>
      <w:r w:rsidR="00AC3342">
        <w:t xml:space="preserve">Parties’ </w:t>
      </w:r>
      <w:r>
        <w:t xml:space="preserve">mere agreement to settle </w:t>
      </w:r>
      <w:r w:rsidR="00AC3342">
        <w:t>does not mean that the result</w:t>
      </w:r>
      <w:r>
        <w:t xml:space="preserve"> benefits consumers and the public interest.</w:t>
      </w:r>
      <w:r>
        <w:rPr>
          <w:rStyle w:val="FootnoteReference"/>
        </w:rPr>
        <w:footnoteReference w:id="7"/>
      </w:r>
      <w:r>
        <w:t xml:space="preserve"> </w:t>
      </w:r>
      <w:r w:rsidR="00674AEB">
        <w:t xml:space="preserve">Were it otherwise, the second element of the </w:t>
      </w:r>
      <w:r w:rsidR="00674AEB">
        <w:t>settlement test would be meaningless.</w:t>
      </w:r>
      <w:r>
        <w:rPr>
          <w:rStyle w:val="FootnoteReference"/>
        </w:rPr>
        <w:footnoteReference w:id="8"/>
      </w:r>
      <w:r w:rsidR="006461C4">
        <w:t xml:space="preserve"> </w:t>
      </w:r>
      <w:r w:rsidR="00674AEB">
        <w:t>Settlement</w:t>
      </w:r>
      <w:r w:rsidR="000C343C">
        <w:t>s</w:t>
      </w:r>
      <w:r w:rsidR="00674AEB">
        <w:t xml:space="preserve">, </w:t>
      </w:r>
      <w:r w:rsidR="00674AEB">
        <w:rPr>
          <w:i/>
          <w:iCs/>
        </w:rPr>
        <w:t xml:space="preserve">per </w:t>
      </w:r>
      <w:r w:rsidRPr="006040B7" w:rsidR="00674AEB">
        <w:rPr>
          <w:i/>
          <w:iCs/>
        </w:rPr>
        <w:t>se</w:t>
      </w:r>
      <w:r w:rsidR="00674AEB">
        <w:t>, would benefit customers and the public interest.</w:t>
      </w:r>
      <w:r w:rsidR="006461C4">
        <w:t xml:space="preserve"> </w:t>
      </w:r>
      <w:r w:rsidR="00674AEB">
        <w:t>That is not the law.</w:t>
      </w:r>
      <w:r>
        <w:rPr>
          <w:rStyle w:val="FootnoteReference"/>
        </w:rPr>
        <w:footnoteReference w:id="9"/>
      </w:r>
      <w:r w:rsidR="006461C4">
        <w:t xml:space="preserve"> </w:t>
      </w:r>
    </w:p>
    <w:p w:rsidR="00A20573" w:rsidRPr="00EB7D71" w:rsidP="009F00F3" w14:paraId="21E22BB1" w14:textId="56777A18">
      <w:pPr>
        <w:autoSpaceDE w:val="0"/>
        <w:autoSpaceDN w:val="0"/>
        <w:adjustRightInd w:val="0"/>
        <w:spacing w:line="480" w:lineRule="auto"/>
        <w:ind w:firstLine="720"/>
      </w:pPr>
      <w:r>
        <w:t>Further, n</w:t>
      </w:r>
      <w:r w:rsidRPr="00674AEB" w:rsidR="00674AEB">
        <w:t>either</w:t>
      </w:r>
      <w:r w:rsidR="00674AEB">
        <w:t xml:space="preserve"> customers nor the public interest benefit where, as here, a proposed settlement</w:t>
      </w:r>
      <w:r w:rsidR="00CB473C">
        <w:t xml:space="preserve"> </w:t>
      </w:r>
      <w:r w:rsidR="00722456">
        <w:t>doesn’t</w:t>
      </w:r>
      <w:r w:rsidR="00CB473C">
        <w:t xml:space="preserve"> include </w:t>
      </w:r>
      <w:r w:rsidRPr="00722456" w:rsidR="00CB473C">
        <w:rPr>
          <w:i/>
          <w:iCs/>
        </w:rPr>
        <w:t>anything</w:t>
      </w:r>
      <w:r w:rsidR="00CB473C">
        <w:t xml:space="preserve"> that consumers</w:t>
      </w:r>
      <w:r w:rsidR="00722456">
        <w:t xml:space="preserve"> </w:t>
      </w:r>
      <w:r w:rsidR="00CB473C">
        <w:t xml:space="preserve">desire and need. </w:t>
      </w:r>
      <w:r w:rsidR="004E781D">
        <w:t>T</w:t>
      </w:r>
      <w:r w:rsidR="003A5E1D">
        <w:t xml:space="preserve">he only parties that </w:t>
      </w:r>
      <w:r w:rsidR="00CB473C">
        <w:t>“</w:t>
      </w:r>
      <w:r w:rsidR="003A5E1D">
        <w:t>benefit</w:t>
      </w:r>
      <w:r w:rsidR="00CB473C">
        <w:t>”</w:t>
      </w:r>
      <w:r w:rsidR="003A5E1D">
        <w:t xml:space="preserve"> from this </w:t>
      </w:r>
      <w:r w:rsidR="004E781D">
        <w:t xml:space="preserve">particular </w:t>
      </w:r>
      <w:r w:rsidR="006947E3">
        <w:t>settlement</w:t>
      </w:r>
      <w:r w:rsidR="003A5E1D">
        <w:t xml:space="preserve"> are Duke</w:t>
      </w:r>
      <w:r>
        <w:t xml:space="preserve"> (it won’t have to litigate or refund money)</w:t>
      </w:r>
      <w:r w:rsidR="003A5E1D">
        <w:t>, IGS</w:t>
      </w:r>
      <w:r>
        <w:t xml:space="preserve"> (it’s shopping customers won’t have to pay for a benefit they received)</w:t>
      </w:r>
      <w:r w:rsidR="003A5E1D">
        <w:t>, and the PUCO Staff</w:t>
      </w:r>
      <w:r>
        <w:t xml:space="preserve"> (it won’t have to litigate)</w:t>
      </w:r>
      <w:r w:rsidR="003A5E1D">
        <w:t>.</w:t>
      </w:r>
      <w:r>
        <w:rPr>
          <w:rStyle w:val="FootnoteReference"/>
        </w:rPr>
        <w:footnoteReference w:id="10"/>
      </w:r>
      <w:r w:rsidR="003A5E1D">
        <w:t xml:space="preserve"> </w:t>
      </w:r>
      <w:r w:rsidR="006947E3">
        <w:t>No signatory party has</w:t>
      </w:r>
      <w:r>
        <w:t xml:space="preserve"> provided any examples of actual </w:t>
      </w:r>
      <w:r w:rsidRPr="00A20573">
        <w:rPr>
          <w:i/>
          <w:iCs/>
        </w:rPr>
        <w:t>consumer</w:t>
      </w:r>
      <w:r>
        <w:t xml:space="preserve"> benefits or </w:t>
      </w:r>
      <w:r w:rsidR="000C343C">
        <w:t xml:space="preserve">contributions to the </w:t>
      </w:r>
      <w:r>
        <w:rPr>
          <w:i/>
          <w:iCs/>
        </w:rPr>
        <w:t xml:space="preserve">public </w:t>
      </w:r>
      <w:r>
        <w:t>interest.</w:t>
      </w:r>
      <w:r>
        <w:rPr>
          <w:rStyle w:val="FootnoteReference"/>
        </w:rPr>
        <w:footnoteReference w:id="11"/>
      </w:r>
      <w:r>
        <w:t xml:space="preserve"> </w:t>
      </w:r>
      <w:r w:rsidR="00EB7D71">
        <w:t>Even the PUCO Staff acknowledge</w:t>
      </w:r>
      <w:r w:rsidR="00AE30CB">
        <w:t>s</w:t>
      </w:r>
      <w:r w:rsidR="00EB7D71">
        <w:t xml:space="preserve"> that the Settlement only “resolves issues between Staff and IGS, if not all the parties and thereby reduced litigation to some extent.”</w:t>
      </w:r>
      <w:r>
        <w:rPr>
          <w:rStyle w:val="FootnoteReference"/>
        </w:rPr>
        <w:footnoteReference w:id="12"/>
      </w:r>
      <w:r w:rsidR="00EB7D71">
        <w:t xml:space="preserve"> This can in no way be construed as a </w:t>
      </w:r>
      <w:r w:rsidR="00EB7D71">
        <w:rPr>
          <w:i/>
          <w:iCs/>
        </w:rPr>
        <w:t xml:space="preserve">consumer </w:t>
      </w:r>
      <w:r w:rsidR="00EB7D71">
        <w:t>benefit</w:t>
      </w:r>
      <w:r w:rsidR="006947E3">
        <w:t xml:space="preserve"> or in the </w:t>
      </w:r>
      <w:r w:rsidR="006947E3">
        <w:rPr>
          <w:i/>
          <w:iCs/>
        </w:rPr>
        <w:t xml:space="preserve">public </w:t>
      </w:r>
      <w:r w:rsidR="006947E3">
        <w:t>interest.</w:t>
      </w:r>
      <w:r w:rsidR="00EB7D71">
        <w:t xml:space="preserve"> </w:t>
      </w:r>
    </w:p>
    <w:p w:rsidR="006947E3" w:rsidP="00B34225" w14:paraId="2662662E" w14:textId="1B275418">
      <w:pPr>
        <w:autoSpaceDE w:val="0"/>
        <w:autoSpaceDN w:val="0"/>
        <w:adjustRightInd w:val="0"/>
        <w:spacing w:line="480" w:lineRule="auto"/>
        <w:ind w:firstLine="720"/>
      </w:pPr>
      <w:r>
        <w:t xml:space="preserve">In </w:t>
      </w:r>
      <w:r w:rsidR="000C343C">
        <w:t xml:space="preserve">contrast </w:t>
      </w:r>
      <w:r>
        <w:t>(</w:t>
      </w:r>
      <w:r w:rsidR="00A20573">
        <w:t xml:space="preserve">and </w:t>
      </w:r>
      <w:r w:rsidR="00000006">
        <w:t>as OCC demonstrated in its Brief</w:t>
      </w:r>
      <w:r>
        <w:t>)</w:t>
      </w:r>
      <w:r w:rsidR="00000006">
        <w:t xml:space="preserve">, consumers </w:t>
      </w:r>
      <w:r w:rsidRPr="00000006" w:rsidR="00000006">
        <w:rPr>
          <w:i/>
          <w:iCs/>
        </w:rPr>
        <w:t>would</w:t>
      </w:r>
      <w:r w:rsidR="00000006">
        <w:t xml:space="preserve"> benefit from </w:t>
      </w:r>
      <w:r>
        <w:t>properly allocating</w:t>
      </w:r>
      <w:r w:rsidR="00000006">
        <w:t xml:space="preserve"> propane commodity costs.</w:t>
      </w:r>
      <w:r>
        <w:rPr>
          <w:rStyle w:val="FootnoteReference"/>
        </w:rPr>
        <w:footnoteReference w:id="13"/>
      </w:r>
      <w:r w:rsidR="00000006">
        <w:t xml:space="preserve"> </w:t>
      </w:r>
      <w:r w:rsidR="004E781D">
        <w:t>T</w:t>
      </w:r>
      <w:r w:rsidRPr="00C61C43" w:rsidR="002923F9">
        <w:t xml:space="preserve">he PUCO should </w:t>
      </w:r>
      <w:r w:rsidR="002923F9">
        <w:t>modify</w:t>
      </w:r>
      <w:r w:rsidRPr="00C61C43" w:rsidR="002923F9">
        <w:t xml:space="preserve"> the Settlement </w:t>
      </w:r>
      <w:r w:rsidR="002923F9">
        <w:t>and</w:t>
      </w:r>
      <w:r w:rsidRPr="00C61C43" w:rsidR="002923F9">
        <w:t xml:space="preserve"> order Duke to properly allocate the costs associated with the use of propane facilities</w:t>
      </w:r>
      <w:r w:rsidR="002923F9">
        <w:t xml:space="preserve">. </w:t>
      </w:r>
      <w:r>
        <w:t>There is no dispute that Duke’s use of its</w:t>
      </w:r>
      <w:r w:rsidR="00B34225">
        <w:t xml:space="preserve"> propane facilities benefit</w:t>
      </w:r>
      <w:r>
        <w:t>ed</w:t>
      </w:r>
      <w:r w:rsidR="00B34225">
        <w:t xml:space="preserve"> </w:t>
      </w:r>
      <w:r w:rsidRPr="44BBC7B9" w:rsidR="00B34225">
        <w:rPr>
          <w:i/>
          <w:iCs/>
        </w:rPr>
        <w:t>all</w:t>
      </w:r>
      <w:r w:rsidR="00B34225">
        <w:t xml:space="preserve"> customers, shopping and non-shopping alike.</w:t>
      </w:r>
      <w:r>
        <w:rPr>
          <w:rStyle w:val="FootnoteReference"/>
        </w:rPr>
        <w:footnoteReference w:id="14"/>
      </w:r>
      <w:r w:rsidR="00B34225">
        <w:t xml:space="preserve"> </w:t>
      </w:r>
      <w:r>
        <w:t>T</w:t>
      </w:r>
      <w:r w:rsidR="00B34225">
        <w:t xml:space="preserve">he PUCO should ensure that </w:t>
      </w:r>
      <w:r w:rsidR="00A20573">
        <w:t>shopping</w:t>
      </w:r>
      <w:r w:rsidR="00B34225">
        <w:t xml:space="preserve"> customers</w:t>
      </w:r>
      <w:r>
        <w:t xml:space="preserve">, who received those </w:t>
      </w:r>
      <w:r w:rsidR="00B34225">
        <w:t>benefits</w:t>
      </w:r>
      <w:r>
        <w:t>,</w:t>
      </w:r>
      <w:r w:rsidR="00B34225">
        <w:t xml:space="preserve"> pay their fair share.</w:t>
      </w:r>
      <w:r>
        <w:rPr>
          <w:rStyle w:val="FootnoteReference"/>
        </w:rPr>
        <w:footnoteReference w:id="15"/>
      </w:r>
      <w:r w:rsidRPr="00C61C43" w:rsidR="00B34225">
        <w:t xml:space="preserve"> </w:t>
      </w:r>
    </w:p>
    <w:p w:rsidR="00B34225" w:rsidP="00B34225" w14:paraId="0E60590E" w14:textId="0D9DC0B1">
      <w:pPr>
        <w:autoSpaceDE w:val="0"/>
        <w:autoSpaceDN w:val="0"/>
        <w:adjustRightInd w:val="0"/>
        <w:spacing w:line="480" w:lineRule="auto"/>
        <w:ind w:firstLine="720"/>
        <w:rPr>
          <w:bCs/>
          <w:iCs/>
        </w:rPr>
      </w:pPr>
      <w:r>
        <w:t xml:space="preserve">To do so, the </w:t>
      </w:r>
      <w:r w:rsidRPr="00D224FB">
        <w:rPr>
          <w:bCs/>
          <w:iCs/>
        </w:rPr>
        <w:t xml:space="preserve">PUCO should follow </w:t>
      </w:r>
      <w:r>
        <w:rPr>
          <w:bCs/>
          <w:iCs/>
        </w:rPr>
        <w:t xml:space="preserve">the </w:t>
      </w:r>
      <w:r w:rsidRPr="00D224FB">
        <w:rPr>
          <w:bCs/>
          <w:iCs/>
        </w:rPr>
        <w:t xml:space="preserve">recommendation </w:t>
      </w:r>
      <w:r>
        <w:rPr>
          <w:bCs/>
          <w:iCs/>
        </w:rPr>
        <w:t xml:space="preserve">of the independent auditor, Exeter, </w:t>
      </w:r>
      <w:r w:rsidRPr="00D224FB">
        <w:rPr>
          <w:bCs/>
          <w:iCs/>
        </w:rPr>
        <w:t xml:space="preserve">to take the incremental costs </w:t>
      </w:r>
      <w:r>
        <w:rPr>
          <w:bCs/>
          <w:iCs/>
        </w:rPr>
        <w:t>associated with using the propane facilities</w:t>
      </w:r>
      <w:r w:rsidRPr="00D224FB">
        <w:rPr>
          <w:bCs/>
          <w:iCs/>
        </w:rPr>
        <w:t xml:space="preserve"> and include </w:t>
      </w:r>
      <w:r>
        <w:rPr>
          <w:bCs/>
          <w:iCs/>
        </w:rPr>
        <w:t>them</w:t>
      </w:r>
      <w:r w:rsidRPr="00D224FB">
        <w:rPr>
          <w:bCs/>
          <w:iCs/>
        </w:rPr>
        <w:t xml:space="preserve"> in Duke’s Contract Commitment Cost Recovery Rider (“CCCR”).</w:t>
      </w:r>
      <w:r>
        <w:rPr>
          <w:rStyle w:val="FootnoteReference"/>
          <w:bCs/>
          <w:iCs/>
        </w:rPr>
        <w:footnoteReference w:id="16"/>
      </w:r>
      <w:r w:rsidR="00FD1EA2">
        <w:rPr>
          <w:bCs/>
          <w:iCs/>
        </w:rPr>
        <w:t xml:space="preserve"> T</w:t>
      </w:r>
      <w:r w:rsidRPr="00D224FB">
        <w:rPr>
          <w:bCs/>
          <w:iCs/>
        </w:rPr>
        <w:t>h</w:t>
      </w:r>
      <w:r w:rsidR="00107A11">
        <w:rPr>
          <w:bCs/>
          <w:iCs/>
        </w:rPr>
        <w:t xml:space="preserve">at charge </w:t>
      </w:r>
      <w:r>
        <w:rPr>
          <w:bCs/>
          <w:iCs/>
        </w:rPr>
        <w:t>was designed</w:t>
      </w:r>
      <w:r w:rsidRPr="00D224FB">
        <w:rPr>
          <w:bCs/>
          <w:iCs/>
        </w:rPr>
        <w:t xml:space="preserve"> to collect costs associated with pipeline capacity, storage commitments</w:t>
      </w:r>
      <w:r>
        <w:rPr>
          <w:bCs/>
          <w:iCs/>
        </w:rPr>
        <w:t>,</w:t>
      </w:r>
      <w:r w:rsidRPr="00D224FB">
        <w:rPr>
          <w:bCs/>
          <w:iCs/>
        </w:rPr>
        <w:t xml:space="preserve"> and propane costs</w:t>
      </w:r>
      <w:r>
        <w:rPr>
          <w:bCs/>
          <w:iCs/>
        </w:rPr>
        <w:t>.</w:t>
      </w:r>
      <w:r w:rsidR="006461C4">
        <w:rPr>
          <w:bCs/>
          <w:iCs/>
        </w:rPr>
        <w:t xml:space="preserve"> </w:t>
      </w:r>
      <w:r>
        <w:rPr>
          <w:bCs/>
          <w:iCs/>
        </w:rPr>
        <w:t>Duke’s</w:t>
      </w:r>
      <w:r w:rsidRPr="00D224FB">
        <w:rPr>
          <w:bCs/>
          <w:iCs/>
        </w:rPr>
        <w:t xml:space="preserve"> propane costs should have been collected through </w:t>
      </w:r>
      <w:r>
        <w:rPr>
          <w:bCs/>
          <w:iCs/>
        </w:rPr>
        <w:t>th</w:t>
      </w:r>
      <w:r w:rsidR="00107A11">
        <w:rPr>
          <w:bCs/>
          <w:iCs/>
        </w:rPr>
        <w:t>at charge</w:t>
      </w:r>
      <w:r w:rsidR="00B670A9">
        <w:rPr>
          <w:bCs/>
          <w:iCs/>
        </w:rPr>
        <w:t xml:space="preserve"> </w:t>
      </w:r>
      <w:r w:rsidRPr="00D224FB">
        <w:rPr>
          <w:bCs/>
          <w:iCs/>
        </w:rPr>
        <w:t>all along.</w:t>
      </w:r>
      <w:r>
        <w:rPr>
          <w:rStyle w:val="FootnoteReference"/>
          <w:bCs/>
          <w:iCs/>
        </w:rPr>
        <w:footnoteReference w:id="17"/>
      </w:r>
      <w:r w:rsidRPr="00D224FB">
        <w:rPr>
          <w:bCs/>
          <w:iCs/>
        </w:rPr>
        <w:t xml:space="preserve"> </w:t>
      </w:r>
    </w:p>
    <w:p w:rsidR="003D58CC" w:rsidRPr="009F00F3" w:rsidP="009F00F3" w14:paraId="49B50218" w14:textId="423F3CC7">
      <w:pPr>
        <w:autoSpaceDE w:val="0"/>
        <w:autoSpaceDN w:val="0"/>
        <w:adjustRightInd w:val="0"/>
        <w:spacing w:line="480" w:lineRule="auto"/>
        <w:ind w:firstLine="720"/>
      </w:pPr>
      <w:r>
        <w:t>OCC is the statutory voice of consumers and the only voice that consumers have in negotiations with utilities in cases such as this.</w:t>
      </w:r>
      <w:r>
        <w:rPr>
          <w:rStyle w:val="FootnoteReference"/>
        </w:rPr>
        <w:footnoteReference w:id="18"/>
      </w:r>
      <w:r>
        <w:t xml:space="preserve"> As the voice of Duke’s </w:t>
      </w:r>
      <w:r w:rsidR="00375F4F">
        <w:t xml:space="preserve">nearly </w:t>
      </w:r>
      <w:r>
        <w:t xml:space="preserve">400,000 residential consumers, OCC recommends that the PUCO should not approve this Settlement as filed because it is not in the public interest and does not benefit consumers. </w:t>
      </w:r>
      <w:r w:rsidR="00CF50F0">
        <w:t>Instead</w:t>
      </w:r>
      <w:r>
        <w:t xml:space="preserve">, </w:t>
      </w:r>
      <w:r w:rsidR="00CF50F0">
        <w:t>t</w:t>
      </w:r>
      <w:r>
        <w:t xml:space="preserve">he PUCO should </w:t>
      </w:r>
      <w:r w:rsidR="00375F4F">
        <w:t>modify</w:t>
      </w:r>
      <w:r>
        <w:t xml:space="preserve"> the Settlement to properly allocate the propane commodity costs </w:t>
      </w:r>
      <w:r w:rsidRPr="00D224FB" w:rsidR="00A52427">
        <w:rPr>
          <w:bCs/>
          <w:iCs/>
        </w:rPr>
        <w:t>to all customers that benefitted from the use of the propane</w:t>
      </w:r>
      <w:r w:rsidR="00A52427">
        <w:rPr>
          <w:bCs/>
          <w:iCs/>
        </w:rPr>
        <w:t>.</w:t>
      </w:r>
    </w:p>
    <w:p w:rsidR="003D58CC" w:rsidP="005C2541" w14:paraId="5F86884B" w14:textId="77F5FF78">
      <w:pPr>
        <w:pStyle w:val="Heading3"/>
        <w:rPr>
          <w:rFonts w:hint="eastAsia"/>
        </w:rPr>
      </w:pPr>
      <w:bookmarkStart w:id="4" w:name="_Toc22217851"/>
      <w:r>
        <w:t>2</w:t>
      </w:r>
      <w:r>
        <w:t>.</w:t>
      </w:r>
      <w:r>
        <w:tab/>
        <w:t xml:space="preserve">To </w:t>
      </w:r>
      <w:r w:rsidR="00375F4F">
        <w:t>protect</w:t>
      </w:r>
      <w:r>
        <w:t xml:space="preserve"> consumers, the PUCO should </w:t>
      </w:r>
      <w:r w:rsidR="00375F4F">
        <w:t>modify</w:t>
      </w:r>
      <w:r>
        <w:t xml:space="preserve"> the Settlement </w:t>
      </w:r>
      <w:r w:rsidR="00375F4F">
        <w:t>to encourage</w:t>
      </w:r>
      <w:r>
        <w:t xml:space="preserve"> Duke to transition from the gas cost recovery to a competitive auction</w:t>
      </w:r>
      <w:r w:rsidR="000C343C">
        <w:t xml:space="preserve"> for the Standard Service Offer</w:t>
      </w:r>
      <w:r>
        <w:t>.</w:t>
      </w:r>
      <w:bookmarkEnd w:id="4"/>
    </w:p>
    <w:p w:rsidR="00B41FB1" w:rsidP="00B41FB1" w14:paraId="0A678054" w14:textId="40C80BE0">
      <w:pPr>
        <w:autoSpaceDE w:val="0"/>
        <w:autoSpaceDN w:val="0"/>
        <w:adjustRightInd w:val="0"/>
        <w:spacing w:line="480" w:lineRule="auto"/>
        <w:ind w:firstLine="720"/>
      </w:pPr>
      <w:r>
        <w:t xml:space="preserve">Duke </w:t>
      </w:r>
      <w:r w:rsidR="00B86EB0">
        <w:t>is</w:t>
      </w:r>
      <w:r w:rsidR="009445E5">
        <w:t xml:space="preserve"> opposed to </w:t>
      </w:r>
      <w:r>
        <w:t xml:space="preserve">OCC’s recommendation </w:t>
      </w:r>
      <w:r w:rsidR="009445E5">
        <w:t>that</w:t>
      </w:r>
      <w:r>
        <w:t xml:space="preserve"> </w:t>
      </w:r>
      <w:r>
        <w:t>it</w:t>
      </w:r>
      <w:r>
        <w:t xml:space="preserve"> </w:t>
      </w:r>
      <w:r>
        <w:t>should be encouraged to transition from a gas cost recovery mechanism to a competitive auction</w:t>
      </w:r>
      <w:r w:rsidR="000C343C">
        <w:t xml:space="preserve"> for Standard Service Offer (“SSO” service</w:t>
      </w:r>
      <w:r>
        <w:t>.</w:t>
      </w:r>
      <w:r>
        <w:rPr>
          <w:rStyle w:val="FootnoteReference"/>
        </w:rPr>
        <w:footnoteReference w:id="19"/>
      </w:r>
      <w:r>
        <w:t xml:space="preserve"> </w:t>
      </w:r>
      <w:r>
        <w:t>To protect consumers, the PUCO should reject Duke’s arguments and adopt OCC’s</w:t>
      </w:r>
      <w:r w:rsidR="00AE30CB">
        <w:t xml:space="preserve"> recommendation</w:t>
      </w:r>
      <w:r>
        <w:t>.</w:t>
      </w:r>
    </w:p>
    <w:p w:rsidR="00DC6344" w:rsidP="00B41FB1" w14:paraId="16C1D9AD" w14:textId="4356CAC7">
      <w:pPr>
        <w:autoSpaceDE w:val="0"/>
        <w:autoSpaceDN w:val="0"/>
        <w:adjustRightInd w:val="0"/>
        <w:spacing w:line="480" w:lineRule="auto"/>
        <w:ind w:firstLine="720"/>
      </w:pPr>
      <w:r>
        <w:t>As we</w:t>
      </w:r>
      <w:r w:rsidR="009445E5">
        <w:t xml:space="preserve"> explained in </w:t>
      </w:r>
      <w:r>
        <w:t>our</w:t>
      </w:r>
      <w:r w:rsidR="009445E5">
        <w:t xml:space="preserve"> Brief, consumers </w:t>
      </w:r>
      <w:r w:rsidRPr="00B41FB1" w:rsidR="009445E5">
        <w:t>would</w:t>
      </w:r>
      <w:r w:rsidR="009445E5">
        <w:t xml:space="preserve"> be better of</w:t>
      </w:r>
      <w:r w:rsidR="009B227B">
        <w:t>f</w:t>
      </w:r>
      <w:r w:rsidR="009445E5">
        <w:t xml:space="preserve"> receiving an auction price</w:t>
      </w:r>
      <w:r w:rsidR="000C343C">
        <w:t xml:space="preserve"> for SSO service</w:t>
      </w:r>
      <w:r w:rsidR="009445E5">
        <w:t>.</w:t>
      </w:r>
      <w:r>
        <w:rPr>
          <w:rStyle w:val="FootnoteReference"/>
        </w:rPr>
        <w:footnoteReference w:id="20"/>
      </w:r>
      <w:r w:rsidR="004F44C0">
        <w:t xml:space="preserve"> </w:t>
      </w:r>
      <w:r>
        <w:t>We</w:t>
      </w:r>
      <w:r w:rsidR="004F44C0">
        <w:t xml:space="preserve"> based this argument</w:t>
      </w:r>
      <w:r>
        <w:t>, in part,</w:t>
      </w:r>
      <w:r w:rsidR="004F44C0">
        <w:t xml:space="preserve"> on </w:t>
      </w:r>
      <w:r>
        <w:t>Exeter’s</w:t>
      </w:r>
      <w:r w:rsidR="004F44C0">
        <w:t xml:space="preserve"> report</w:t>
      </w:r>
      <w:r>
        <w:t>.</w:t>
      </w:r>
      <w:r w:rsidR="006461C4">
        <w:t xml:space="preserve"> </w:t>
      </w:r>
      <w:r>
        <w:t xml:space="preserve">It </w:t>
      </w:r>
      <w:r w:rsidR="004F44C0">
        <w:t xml:space="preserve">found </w:t>
      </w:r>
      <w:r>
        <w:t xml:space="preserve">that </w:t>
      </w:r>
      <w:r w:rsidR="004F44C0">
        <w:t xml:space="preserve">Duke’s GCR rates have been </w:t>
      </w:r>
      <w:r w:rsidRPr="004F44C0" w:rsidR="004F44C0">
        <w:rPr>
          <w:i/>
          <w:iCs/>
        </w:rPr>
        <w:t>higher</w:t>
      </w:r>
      <w:r w:rsidR="004F44C0">
        <w:rPr>
          <w:i/>
          <w:iCs/>
        </w:rPr>
        <w:t xml:space="preserve"> </w:t>
      </w:r>
      <w:r w:rsidR="004F44C0">
        <w:t xml:space="preserve">than the </w:t>
      </w:r>
      <w:r w:rsidR="000C343C">
        <w:t xml:space="preserve">standard </w:t>
      </w:r>
      <w:r w:rsidR="004F44C0">
        <w:t>offers of the other three major natural gas distribution companies.</w:t>
      </w:r>
      <w:r>
        <w:rPr>
          <w:rStyle w:val="FootnoteReference"/>
        </w:rPr>
        <w:footnoteReference w:id="21"/>
      </w:r>
      <w:r w:rsidR="006461C4">
        <w:t xml:space="preserve"> </w:t>
      </w:r>
      <w:r w:rsidR="009D2A4A">
        <w:t>Duke’s witness during hearing confirmed that, during the audit period, Duke’s GCR was higher than the other major gas utilities standard offer.</w:t>
      </w:r>
      <w:r>
        <w:rPr>
          <w:rStyle w:val="FootnoteReference"/>
        </w:rPr>
        <w:footnoteReference w:id="22"/>
      </w:r>
      <w:r w:rsidR="006461C4">
        <w:t xml:space="preserve"> </w:t>
      </w:r>
      <w:r w:rsidR="00AE30CB">
        <w:t>Competition results in better prices.</w:t>
      </w:r>
      <w:r w:rsidR="006461C4">
        <w:t xml:space="preserve"> </w:t>
      </w:r>
      <w:r w:rsidR="00AE30CB">
        <w:t>Duke should be encouraged, through a modification to the Settlement, to transition to a competitive auction.</w:t>
      </w:r>
    </w:p>
    <w:p w:rsidR="003D58CC" w:rsidP="005C2541" w14:paraId="71962736" w14:textId="562873DE">
      <w:pPr>
        <w:pStyle w:val="Heading3"/>
        <w:rPr>
          <w:rFonts w:hint="eastAsia"/>
        </w:rPr>
      </w:pPr>
      <w:bookmarkStart w:id="5" w:name="_Toc22217852"/>
      <w:r>
        <w:t>3</w:t>
      </w:r>
      <w:r>
        <w:t>.</w:t>
      </w:r>
      <w:r>
        <w:tab/>
        <w:t xml:space="preserve">To </w:t>
      </w:r>
      <w:r w:rsidR="00B41FB1">
        <w:t>protect</w:t>
      </w:r>
      <w:r>
        <w:t xml:space="preserve"> consumers, the PUCO should </w:t>
      </w:r>
      <w:r w:rsidR="00B41FB1">
        <w:t>modify the Settlement so</w:t>
      </w:r>
      <w:r>
        <w:t xml:space="preserve"> Duke </w:t>
      </w:r>
      <w:r w:rsidR="00B41FB1">
        <w:t xml:space="preserve">has </w:t>
      </w:r>
      <w:r>
        <w:t>to provide information to the public regarding the natural gas commodity price differences between what marketer and gas cost recovery customers are paying.</w:t>
      </w:r>
      <w:bookmarkEnd w:id="5"/>
    </w:p>
    <w:p w:rsidR="00697913" w:rsidP="00697913" w14:paraId="16D1A68A" w14:textId="29DF7056">
      <w:pPr>
        <w:autoSpaceDE w:val="0"/>
        <w:autoSpaceDN w:val="0"/>
        <w:adjustRightInd w:val="0"/>
        <w:spacing w:line="480" w:lineRule="auto"/>
        <w:ind w:firstLine="720"/>
      </w:pPr>
      <w:r>
        <w:t xml:space="preserve">Duke and the PUCO Staff disagree with OCC that Duke </w:t>
      </w:r>
      <w:r w:rsidR="00B41FB1">
        <w:t xml:space="preserve">should </w:t>
      </w:r>
      <w:r>
        <w:t xml:space="preserve">be required to provide information to the public </w:t>
      </w:r>
      <w:r w:rsidR="00B670A9">
        <w:t xml:space="preserve">(either on customers’ bills, the PUCO’s Apples to Apples page, or both) </w:t>
      </w:r>
      <w:r>
        <w:t>regarding price differences between what marketers and gas cost recovery customers are paying.</w:t>
      </w:r>
      <w:r>
        <w:rPr>
          <w:rStyle w:val="FootnoteReference"/>
        </w:rPr>
        <w:footnoteReference w:id="23"/>
      </w:r>
      <w:r>
        <w:t xml:space="preserve"> </w:t>
      </w:r>
      <w:r>
        <w:t xml:space="preserve">But this information is critical </w:t>
      </w:r>
      <w:r w:rsidR="00AE30CB">
        <w:t>to helping</w:t>
      </w:r>
      <w:r>
        <w:t xml:space="preserve"> shopping </w:t>
      </w:r>
      <w:r w:rsidR="00B41FB1">
        <w:t>customers</w:t>
      </w:r>
      <w:r>
        <w:t xml:space="preserve"> determine if they are</w:t>
      </w:r>
      <w:r w:rsidRPr="00C61C43">
        <w:t xml:space="preserve"> paying </w:t>
      </w:r>
      <w:r w:rsidR="00AE30CB">
        <w:t>more than standard offer customers</w:t>
      </w:r>
      <w:r w:rsidRPr="00C61C43">
        <w:t xml:space="preserve"> </w:t>
      </w:r>
      <w:r w:rsidR="00B41FB1">
        <w:t>when</w:t>
      </w:r>
      <w:r w:rsidRPr="00C61C43">
        <w:t xml:space="preserve"> their natural gas </w:t>
      </w:r>
      <w:r w:rsidR="00B41FB1">
        <w:t xml:space="preserve">is being provided </w:t>
      </w:r>
      <w:r w:rsidRPr="00C61C43">
        <w:t>by a marketer.</w:t>
      </w:r>
      <w:r>
        <w:rPr>
          <w:rStyle w:val="FootnoteReference"/>
        </w:rPr>
        <w:footnoteReference w:id="24"/>
      </w:r>
      <w:r w:rsidRPr="00C61C43">
        <w:t xml:space="preserve"> </w:t>
      </w:r>
      <w:r>
        <w:t xml:space="preserve">Likewise, the data would enable consumers to </w:t>
      </w:r>
      <w:r w:rsidR="00B41FB1">
        <w:t>compare</w:t>
      </w:r>
      <w:r w:rsidRPr="00C61C43">
        <w:t xml:space="preserve"> the amount they would have paid for gas service </w:t>
      </w:r>
      <w:r w:rsidR="00B41FB1">
        <w:t>had they been on</w:t>
      </w:r>
      <w:r w:rsidRPr="00C61C43">
        <w:t xml:space="preserve"> Duke’s standard offer (GCR).</w:t>
      </w:r>
      <w:r>
        <w:rPr>
          <w:rStyle w:val="FootnoteReference"/>
        </w:rPr>
        <w:footnoteReference w:id="25"/>
      </w:r>
      <w:r w:rsidRPr="00C61C43">
        <w:t xml:space="preserve"> </w:t>
      </w:r>
    </w:p>
    <w:p w:rsidR="00AE30CB" w:rsidP="00697913" w14:paraId="650AF70A" w14:textId="72D4BC1E">
      <w:pPr>
        <w:autoSpaceDE w:val="0"/>
        <w:autoSpaceDN w:val="0"/>
        <w:adjustRightInd w:val="0"/>
        <w:spacing w:line="480" w:lineRule="auto"/>
        <w:ind w:firstLine="720"/>
      </w:pPr>
      <w:r>
        <w:t xml:space="preserve">Duke </w:t>
      </w:r>
      <w:r w:rsidR="00B41FB1">
        <w:t xml:space="preserve">asserts that making this information available </w:t>
      </w:r>
      <w:r>
        <w:t>would require extensive revisions to its current billing systems, or the dedication of numerous hours to manually gather the data.</w:t>
      </w:r>
      <w:r>
        <w:rPr>
          <w:rStyle w:val="FootnoteReference"/>
        </w:rPr>
        <w:footnoteReference w:id="26"/>
      </w:r>
      <w:r>
        <w:t xml:space="preserve"> </w:t>
      </w:r>
      <w:r w:rsidR="00B41FB1">
        <w:t>Maybe.</w:t>
      </w:r>
      <w:r w:rsidR="006461C4">
        <w:t xml:space="preserve"> </w:t>
      </w:r>
      <w:r w:rsidR="00B41FB1">
        <w:t>Maybe not.</w:t>
      </w:r>
      <w:r w:rsidR="006461C4">
        <w:t xml:space="preserve"> </w:t>
      </w:r>
      <w:r>
        <w:t>Regardless</w:t>
      </w:r>
      <w:r w:rsidR="00B41FB1">
        <w:t xml:space="preserve">, </w:t>
      </w:r>
      <w:r w:rsidR="00697913">
        <w:t>Duke itself point</w:t>
      </w:r>
      <w:r w:rsidR="00B41FB1">
        <w:t>s</w:t>
      </w:r>
      <w:r w:rsidR="00697913">
        <w:t xml:space="preserve"> out early in its Brief that a settlement involves give and take</w:t>
      </w:r>
      <w:r w:rsidR="00B41FB1">
        <w:t>.</w:t>
      </w:r>
      <w:r>
        <w:rPr>
          <w:rStyle w:val="FootnoteReference"/>
        </w:rPr>
        <w:footnoteReference w:id="27"/>
      </w:r>
      <w:r w:rsidR="00697913">
        <w:t xml:space="preserve"> </w:t>
      </w:r>
      <w:r w:rsidR="00B41FB1">
        <w:t>B</w:t>
      </w:r>
      <w:r w:rsidR="00697913">
        <w:t xml:space="preserve">ut Duke does not want to give customers or the public anything in this Settlement. </w:t>
      </w:r>
    </w:p>
    <w:p w:rsidR="00AE30CB" w:rsidP="00697913" w14:paraId="4B5F0B24" w14:textId="77777777">
      <w:pPr>
        <w:autoSpaceDE w:val="0"/>
        <w:autoSpaceDN w:val="0"/>
        <w:adjustRightInd w:val="0"/>
        <w:spacing w:line="480" w:lineRule="auto"/>
        <w:ind w:firstLine="720"/>
      </w:pPr>
      <w:r>
        <w:t xml:space="preserve">This information is a </w:t>
      </w:r>
      <w:r>
        <w:rPr>
          <w:i/>
          <w:iCs/>
        </w:rPr>
        <w:t>benefit</w:t>
      </w:r>
      <w:r>
        <w:t xml:space="preserve"> to consumers and would only </w:t>
      </w:r>
      <w:r w:rsidRPr="00697913">
        <w:t>take</w:t>
      </w:r>
      <w:r>
        <w:rPr>
          <w:i/>
          <w:iCs/>
        </w:rPr>
        <w:t xml:space="preserve"> </w:t>
      </w:r>
      <w:r>
        <w:t xml:space="preserve">changes </w:t>
      </w:r>
      <w:r w:rsidR="00B41FB1">
        <w:t>(to its billing system) that Duke</w:t>
      </w:r>
      <w:r>
        <w:t xml:space="preserve"> willingly does whenever it wants to add a rider or increase rates for its own benefit. Providing this benefit to consumers would go a long way in giving consumers value in the Settlement. </w:t>
      </w:r>
    </w:p>
    <w:p w:rsidR="003D58CC" w:rsidRPr="002D4755" w:rsidP="00697913" w14:paraId="3DE4D941" w14:textId="278E9349">
      <w:pPr>
        <w:autoSpaceDE w:val="0"/>
        <w:autoSpaceDN w:val="0"/>
        <w:adjustRightInd w:val="0"/>
        <w:spacing w:line="480" w:lineRule="auto"/>
        <w:ind w:firstLine="720"/>
        <w:rPr>
          <w:bCs/>
          <w:iCs/>
        </w:rPr>
      </w:pPr>
      <w:r>
        <w:t>T</w:t>
      </w:r>
      <w:r w:rsidR="00697913">
        <w:t>o provide consumers and the public value in this Settlement</w:t>
      </w:r>
      <w:r w:rsidR="00B41FB1">
        <w:t>,</w:t>
      </w:r>
      <w:r w:rsidR="00697913">
        <w:t xml:space="preserve"> the PUCO should</w:t>
      </w:r>
      <w:r>
        <w:t xml:space="preserve"> </w:t>
      </w:r>
      <w:r w:rsidR="00B41FB1">
        <w:t>modify the Settlement so that</w:t>
      </w:r>
      <w:r>
        <w:t xml:space="preserve"> Duke </w:t>
      </w:r>
      <w:r w:rsidR="00B41FB1">
        <w:t xml:space="preserve">has </w:t>
      </w:r>
      <w:r>
        <w:t>to provide information to the public regarding the natural gas commodity price differences between what marketer and GCR customers are paying.</w:t>
      </w:r>
    </w:p>
    <w:p w:rsidR="003D58CC" w:rsidP="0053379A" w14:paraId="0F6F6437" w14:textId="312DF092">
      <w:pPr>
        <w:pStyle w:val="Heading2"/>
      </w:pPr>
      <w:bookmarkStart w:id="6" w:name="_Toc22217853"/>
      <w:r>
        <w:t>B.</w:t>
      </w:r>
      <w:r>
        <w:tab/>
      </w:r>
      <w:r w:rsidRPr="00035431">
        <w:t xml:space="preserve">The </w:t>
      </w:r>
      <w:r w:rsidRPr="00547FB4">
        <w:t>Settlement</w:t>
      </w:r>
      <w:r w:rsidRPr="00035431">
        <w:t xml:space="preserve"> violates important regulatory principles and practices</w:t>
      </w:r>
      <w:r w:rsidR="00AE30CB">
        <w:t xml:space="preserve"> and should</w:t>
      </w:r>
      <w:r>
        <w:t xml:space="preserve"> be modified or rejected to protect consumers</w:t>
      </w:r>
      <w:r w:rsidRPr="00035431">
        <w:t>.</w:t>
      </w:r>
      <w:bookmarkEnd w:id="6"/>
    </w:p>
    <w:p w:rsidR="00B670A9" w:rsidP="00B670A9" w14:paraId="5D42343E" w14:textId="77777777">
      <w:pPr>
        <w:autoSpaceDE w:val="0"/>
        <w:autoSpaceDN w:val="0"/>
        <w:adjustRightInd w:val="0"/>
        <w:spacing w:line="480" w:lineRule="auto"/>
        <w:ind w:firstLine="720"/>
        <w:rPr>
          <w:bCs/>
          <w:iCs/>
        </w:rPr>
      </w:pPr>
      <w:r>
        <w:t xml:space="preserve">As OCC argued in its Brief, </w:t>
      </w:r>
      <w:r w:rsidRPr="44BBC7B9">
        <w:t>Ohio law requires a natural gas company’s procurement planning to maintain reliable service at optimal prices.</w:t>
      </w:r>
      <w:r>
        <w:rPr>
          <w:vertAlign w:val="superscript"/>
        </w:rPr>
        <w:footnoteReference w:id="28"/>
      </w:r>
      <w:r w:rsidRPr="44BBC7B9">
        <w:t xml:space="preserve"> </w:t>
      </w:r>
      <w:r>
        <w:t>I</w:t>
      </w:r>
      <w:r w:rsidRPr="44BBC7B9">
        <w:t xml:space="preserve">gnoring alternatives </w:t>
      </w:r>
      <w:r>
        <w:t xml:space="preserve">to a GCR, </w:t>
      </w:r>
      <w:r w:rsidRPr="44BBC7B9">
        <w:t>such as using a competitive auction process to procure natural gas</w:t>
      </w:r>
      <w:r>
        <w:t>,</w:t>
      </w:r>
      <w:r w:rsidRPr="44BBC7B9">
        <w:t xml:space="preserve"> results in prices that </w:t>
      </w:r>
      <w:r>
        <w:t xml:space="preserve">are at best </w:t>
      </w:r>
      <w:r w:rsidRPr="44BBC7B9">
        <w:t>less than optimal</w:t>
      </w:r>
      <w:r>
        <w:t xml:space="preserve">, </w:t>
      </w:r>
      <w:r w:rsidRPr="44BBC7B9">
        <w:t xml:space="preserve">and </w:t>
      </w:r>
      <w:r>
        <w:t>at worst u</w:t>
      </w:r>
      <w:r w:rsidRPr="44BBC7B9">
        <w:t>nreasonable for consumers.</w:t>
      </w:r>
      <w:r>
        <w:rPr>
          <w:vertAlign w:val="superscript"/>
        </w:rPr>
        <w:footnoteReference w:id="29"/>
      </w:r>
      <w:r w:rsidRPr="00CD16A3">
        <w:rPr>
          <w:bCs/>
          <w:iCs/>
        </w:rPr>
        <w:t xml:space="preserve"> </w:t>
      </w:r>
      <w:r>
        <w:rPr>
          <w:bCs/>
          <w:iCs/>
        </w:rPr>
        <w:t xml:space="preserve">Ohio has long supported the </w:t>
      </w:r>
      <w:r w:rsidRPr="00D224FB">
        <w:rPr>
          <w:bCs/>
          <w:iCs/>
        </w:rPr>
        <w:t xml:space="preserve">regulatory principle energy </w:t>
      </w:r>
      <w:r>
        <w:rPr>
          <w:bCs/>
          <w:iCs/>
        </w:rPr>
        <w:t xml:space="preserve">that </w:t>
      </w:r>
      <w:r w:rsidRPr="00D224FB">
        <w:rPr>
          <w:bCs/>
          <w:iCs/>
        </w:rPr>
        <w:t>utility default rates should be priced according to a competitive auction, to benefit consumers.</w:t>
      </w:r>
      <w:r>
        <w:rPr>
          <w:rStyle w:val="FootnoteReference"/>
          <w:bCs/>
          <w:iCs/>
        </w:rPr>
        <w:footnoteReference w:id="30"/>
      </w:r>
      <w:r>
        <w:rPr>
          <w:bCs/>
          <w:iCs/>
        </w:rPr>
        <w:t xml:space="preserve"> Accordingly, Duke should be encouraged to transition from a GCR to a competitive auction for SSO service. </w:t>
      </w:r>
    </w:p>
    <w:p w:rsidR="00A130D5" w:rsidP="00A130D5" w14:paraId="6834134D" w14:textId="5A8DB1AE">
      <w:pPr>
        <w:autoSpaceDE w:val="0"/>
        <w:autoSpaceDN w:val="0"/>
        <w:adjustRightInd w:val="0"/>
        <w:spacing w:line="480" w:lineRule="auto"/>
        <w:ind w:firstLine="720"/>
      </w:pPr>
      <w:r>
        <w:t>Duke</w:t>
      </w:r>
      <w:r>
        <w:t xml:space="preserve">’s only assertion that the Settlement does not violate important regulatory principles and practices is based purely on the opinion of its own </w:t>
      </w:r>
      <w:r>
        <w:t>witness</w:t>
      </w:r>
      <w:r>
        <w:t>.</w:t>
      </w:r>
      <w:r>
        <w:rPr>
          <w:rStyle w:val="FootnoteReference"/>
        </w:rPr>
        <w:footnoteReference w:id="31"/>
      </w:r>
      <w:r>
        <w:t xml:space="preserve"> </w:t>
      </w:r>
      <w:r w:rsidR="00B41FB1">
        <w:t>The</w:t>
      </w:r>
      <w:r>
        <w:t xml:space="preserve"> witness</w:t>
      </w:r>
      <w:r w:rsidR="00B41FB1">
        <w:t>’s</w:t>
      </w:r>
      <w:r>
        <w:t xml:space="preserve"> experience includes “administration and ensuring an adequate supply of gas.</w:t>
      </w:r>
      <w:r w:rsidR="00B41FB1">
        <w:t>”</w:t>
      </w:r>
      <w:r>
        <w:rPr>
          <w:rStyle w:val="FootnoteReference"/>
        </w:rPr>
        <w:footnoteReference w:id="32"/>
      </w:r>
      <w:r>
        <w:t xml:space="preserve"> </w:t>
      </w:r>
      <w:r w:rsidR="006D63A1">
        <w:t xml:space="preserve">It </w:t>
      </w:r>
      <w:r>
        <w:t xml:space="preserve">does not seem to include economic or regulatory </w:t>
      </w:r>
      <w:r w:rsidR="006D63A1">
        <w:t>expertise</w:t>
      </w:r>
      <w:r>
        <w:t xml:space="preserve">. Duke needs more than “because he said so” as evidence that the Settlement does not violate regulatory principles and practices. </w:t>
      </w:r>
    </w:p>
    <w:p w:rsidR="003D58CC" w:rsidP="006D63A1" w14:paraId="03ACD7FC" w14:textId="52265C59">
      <w:pPr>
        <w:autoSpaceDE w:val="0"/>
        <w:autoSpaceDN w:val="0"/>
        <w:adjustRightInd w:val="0"/>
        <w:spacing w:line="480" w:lineRule="auto"/>
        <w:ind w:firstLine="720"/>
      </w:pPr>
      <w:r>
        <w:rPr>
          <w:bCs/>
          <w:iCs/>
        </w:rPr>
        <w:t xml:space="preserve">Further, </w:t>
      </w:r>
      <w:r w:rsidR="00A130D5">
        <w:rPr>
          <w:bCs/>
          <w:iCs/>
        </w:rPr>
        <w:t>t</w:t>
      </w:r>
      <w:r w:rsidRPr="44BBC7B9">
        <w:t>he Settlement violates the important principle of cost-causation.</w:t>
      </w:r>
      <w:r>
        <w:rPr>
          <w:rStyle w:val="FootnoteReference"/>
        </w:rPr>
        <w:footnoteReference w:id="33"/>
      </w:r>
      <w:r w:rsidRPr="44BBC7B9">
        <w:t xml:space="preserve"> </w:t>
      </w:r>
      <w:r w:rsidR="00A130D5">
        <w:t xml:space="preserve">The Settlement </w:t>
      </w:r>
      <w:r w:rsidR="007E3037">
        <w:t>only allocates the incremental propane costs to GCR customers even though non-GCR customers also benefited</w:t>
      </w:r>
      <w:r w:rsidR="00DA3DBA">
        <w:t xml:space="preserve"> from the propane system during peak times</w:t>
      </w:r>
      <w:r w:rsidR="007E3037">
        <w:t>. This result is</w:t>
      </w:r>
      <w:r w:rsidRPr="44BBC7B9">
        <w:t xml:space="preserve"> inconsistent with the regulatory practice of assessing costs to those who caused or benefited from the expenditure.</w:t>
      </w:r>
      <w:r>
        <w:rPr>
          <w:rStyle w:val="FootnoteReference"/>
        </w:rPr>
        <w:footnoteReference w:id="34"/>
      </w:r>
    </w:p>
    <w:p w:rsidR="00B1198A" w:rsidRPr="0053379A" w:rsidP="0053379A" w14:paraId="18E68390" w14:textId="5749832A">
      <w:pPr>
        <w:pStyle w:val="BodyA"/>
        <w:spacing w:line="480" w:lineRule="auto"/>
        <w:ind w:firstLine="720"/>
        <w:rPr>
          <w:rFonts w:hAnsi="Times New Roman" w:cs="Times New Roman"/>
          <w:bCs/>
          <w:iCs/>
        </w:rPr>
      </w:pPr>
      <w:r>
        <w:rPr>
          <w:rFonts w:hAnsi="Times New Roman" w:cs="Times New Roman"/>
          <w:bCs/>
          <w:iCs/>
        </w:rPr>
        <w:t>T</w:t>
      </w:r>
      <w:r w:rsidRPr="00D224FB" w:rsidR="003D58CC">
        <w:rPr>
          <w:rFonts w:hAnsi="Times New Roman" w:cs="Times New Roman"/>
          <w:bCs/>
          <w:iCs/>
        </w:rPr>
        <w:t>he Settlement</w:t>
      </w:r>
      <w:r>
        <w:rPr>
          <w:rFonts w:hAnsi="Times New Roman" w:cs="Times New Roman"/>
          <w:bCs/>
          <w:iCs/>
        </w:rPr>
        <w:t xml:space="preserve"> also</w:t>
      </w:r>
      <w:r w:rsidRPr="00D224FB">
        <w:rPr>
          <w:rFonts w:hAnsi="Times New Roman" w:cs="Times New Roman"/>
          <w:bCs/>
          <w:iCs/>
        </w:rPr>
        <w:t xml:space="preserve"> violates the regulatory practice </w:t>
      </w:r>
      <w:r>
        <w:rPr>
          <w:rFonts w:hAnsi="Times New Roman" w:cs="Times New Roman"/>
          <w:bCs/>
          <w:iCs/>
        </w:rPr>
        <w:t>of</w:t>
      </w:r>
      <w:r w:rsidRPr="00D224FB">
        <w:rPr>
          <w:rFonts w:hAnsi="Times New Roman" w:cs="Times New Roman"/>
          <w:bCs/>
          <w:iCs/>
        </w:rPr>
        <w:t xml:space="preserve"> providing </w:t>
      </w:r>
      <w:r>
        <w:rPr>
          <w:rFonts w:hAnsi="Times New Roman" w:cs="Times New Roman"/>
          <w:bCs/>
          <w:iCs/>
        </w:rPr>
        <w:t xml:space="preserve">sufficient </w:t>
      </w:r>
      <w:r w:rsidRPr="00D224FB">
        <w:rPr>
          <w:rFonts w:hAnsi="Times New Roman" w:cs="Times New Roman"/>
          <w:bCs/>
          <w:iCs/>
        </w:rPr>
        <w:t xml:space="preserve">information </w:t>
      </w:r>
      <w:r>
        <w:rPr>
          <w:rFonts w:hAnsi="Times New Roman" w:cs="Times New Roman"/>
          <w:bCs/>
          <w:iCs/>
        </w:rPr>
        <w:t xml:space="preserve">to enable consumers to make informed choices </w:t>
      </w:r>
      <w:r w:rsidRPr="00D224FB">
        <w:rPr>
          <w:rFonts w:hAnsi="Times New Roman" w:cs="Times New Roman"/>
          <w:bCs/>
          <w:iCs/>
        </w:rPr>
        <w:t xml:space="preserve">and </w:t>
      </w:r>
      <w:r>
        <w:rPr>
          <w:rFonts w:hAnsi="Times New Roman" w:cs="Times New Roman"/>
          <w:bCs/>
          <w:iCs/>
        </w:rPr>
        <w:t>educating</w:t>
      </w:r>
      <w:r w:rsidRPr="00D224FB">
        <w:rPr>
          <w:rFonts w:hAnsi="Times New Roman" w:cs="Times New Roman"/>
          <w:bCs/>
          <w:iCs/>
        </w:rPr>
        <w:t xml:space="preserve"> to </w:t>
      </w:r>
      <w:r>
        <w:rPr>
          <w:rFonts w:hAnsi="Times New Roman" w:cs="Times New Roman"/>
          <w:bCs/>
          <w:iCs/>
        </w:rPr>
        <w:t>them</w:t>
      </w:r>
      <w:r w:rsidRPr="00D224FB">
        <w:rPr>
          <w:rFonts w:hAnsi="Times New Roman" w:cs="Times New Roman"/>
          <w:bCs/>
          <w:iCs/>
        </w:rPr>
        <w:t xml:space="preserve"> about </w:t>
      </w:r>
      <w:r w:rsidRPr="0053379A">
        <w:rPr>
          <w:rFonts w:hAnsi="Times New Roman" w:cs="Times New Roman"/>
          <w:bCs/>
          <w:iCs/>
        </w:rPr>
        <w:t>their choices.</w:t>
      </w:r>
      <w:r>
        <w:rPr>
          <w:rStyle w:val="FootnoteReference"/>
          <w:rFonts w:hAnsi="Times New Roman" w:cs="Times New Roman"/>
          <w:bCs/>
          <w:iCs/>
        </w:rPr>
        <w:footnoteReference w:id="35"/>
      </w:r>
      <w:r w:rsidRPr="0053379A">
        <w:rPr>
          <w:rFonts w:hAnsi="Times New Roman" w:cs="Times New Roman"/>
          <w:bCs/>
          <w:iCs/>
        </w:rPr>
        <w:t xml:space="preserve"> Accordingly, the Settlement </w:t>
      </w:r>
      <w:r w:rsidRPr="0053379A" w:rsidR="003D58CC">
        <w:rPr>
          <w:rFonts w:hAnsi="Times New Roman" w:cs="Times New Roman"/>
          <w:bCs/>
          <w:iCs/>
        </w:rPr>
        <w:t xml:space="preserve">should be </w:t>
      </w:r>
      <w:r w:rsidRPr="0053379A" w:rsidR="006D63A1">
        <w:rPr>
          <w:rFonts w:hAnsi="Times New Roman" w:cs="Times New Roman"/>
          <w:bCs/>
          <w:iCs/>
        </w:rPr>
        <w:t>modified</w:t>
      </w:r>
      <w:r w:rsidRPr="0053379A" w:rsidR="003D58CC">
        <w:rPr>
          <w:rFonts w:hAnsi="Times New Roman" w:cs="Times New Roman"/>
          <w:bCs/>
          <w:iCs/>
        </w:rPr>
        <w:t xml:space="preserve"> to require Duke to make information publicly available to consumers, </w:t>
      </w:r>
      <w:r w:rsidRPr="0053379A" w:rsidR="00B670A9">
        <w:rPr>
          <w:rFonts w:hAnsi="Times New Roman"/>
        </w:rPr>
        <w:t>either on customers’ bills, the PUCO’s Apples to Apples page, or both</w:t>
      </w:r>
      <w:r w:rsidRPr="0053379A" w:rsidR="00B670A9">
        <w:rPr>
          <w:rFonts w:hAnsi="Times New Roman" w:cs="Times New Roman"/>
          <w:bCs/>
          <w:iCs/>
        </w:rPr>
        <w:t xml:space="preserve">, </w:t>
      </w:r>
      <w:r w:rsidRPr="0053379A" w:rsidR="003D58CC">
        <w:rPr>
          <w:rFonts w:hAnsi="Times New Roman" w:cs="Times New Roman"/>
          <w:bCs/>
          <w:iCs/>
        </w:rPr>
        <w:t xml:space="preserve">to show cost differences between what GCR customers are paying versus what marketer customers are paying for their natural gas. </w:t>
      </w:r>
    </w:p>
    <w:p w:rsidR="00B1198A" w14:paraId="62F8FEAE" w14:textId="23D0B5C0">
      <w:pPr>
        <w:rPr>
          <w:rFonts w:eastAsia="Arial Unicode MS"/>
          <w:bCs/>
          <w:iCs/>
          <w:color w:val="000000"/>
          <w:u w:color="000000"/>
          <w:bdr w:val="nil"/>
        </w:rPr>
      </w:pPr>
    </w:p>
    <w:p w:rsidR="003D58CC" w:rsidRPr="00012C8F" w:rsidP="003D58CC" w14:paraId="6E18A3BD" w14:textId="77777777">
      <w:pPr>
        <w:pStyle w:val="Heading1"/>
      </w:pPr>
      <w:bookmarkStart w:id="7" w:name="_Toc22217855"/>
      <w:r w:rsidRPr="00012C8F">
        <w:t>CONCLUSION</w:t>
      </w:r>
      <w:bookmarkEnd w:id="7"/>
    </w:p>
    <w:p w:rsidR="003D58CC" w:rsidP="003D58CC" w14:paraId="424E6B38" w14:textId="7FEC1F6D">
      <w:pPr>
        <w:spacing w:line="480" w:lineRule="auto"/>
        <w:ind w:firstLine="720"/>
      </w:pPr>
      <w:r>
        <w:t xml:space="preserve">This Settlement violates the PUCO’s standard for reviewing Settlements as explained above. </w:t>
      </w:r>
      <w:r w:rsidR="007E3037">
        <w:t>The</w:t>
      </w:r>
      <w:r>
        <w:t>refore, the</w:t>
      </w:r>
      <w:r w:rsidR="007E3037">
        <w:t xml:space="preserve"> PUCO should </w:t>
      </w:r>
      <w:r w:rsidR="006D63A1">
        <w:t>modify</w:t>
      </w:r>
      <w:r w:rsidR="007E3037">
        <w:t xml:space="preserve"> Duke and PUCO Staff’s proposed Settlement</w:t>
      </w:r>
      <w:r w:rsidR="006D63A1">
        <w:t xml:space="preserve"> as recommended by OCC.</w:t>
      </w:r>
      <w:r w:rsidR="006461C4">
        <w:t xml:space="preserve"> </w:t>
      </w:r>
      <w:r w:rsidR="006D63A1">
        <w:t xml:space="preserve">In its current form, it </w:t>
      </w:r>
      <w:r w:rsidR="007E3037">
        <w:t>harms consumers and is contrary to regulatory principles and practices.</w:t>
      </w:r>
      <w:r w:rsidR="006D63A1">
        <w:t xml:space="preserve"> </w:t>
      </w:r>
    </w:p>
    <w:p w:rsidR="003D58CC" w:rsidRPr="00C743FA" w:rsidP="0053379A" w14:paraId="2DAB519D" w14:textId="3B56EFF1">
      <w:pPr>
        <w:spacing w:line="480" w:lineRule="auto"/>
        <w:ind w:firstLine="720"/>
      </w:pPr>
      <w:r>
        <w:tab/>
      </w:r>
      <w:r>
        <w:tab/>
      </w:r>
      <w:r>
        <w:tab/>
      </w:r>
      <w:r>
        <w:tab/>
      </w:r>
      <w:r w:rsidR="0053379A">
        <w:tab/>
      </w:r>
      <w:r w:rsidRPr="00C743FA">
        <w:t>Respectfully submitted,</w:t>
      </w:r>
    </w:p>
    <w:p w:rsidR="003D58CC" w:rsidRPr="00C743FA" w:rsidP="003D58CC" w14:paraId="2066AC9C" w14:textId="77777777">
      <w:pPr>
        <w:ind w:left="4320"/>
      </w:pPr>
      <w:r w:rsidRPr="00C743FA">
        <w:t>Bruce Weston (0016973)</w:t>
      </w:r>
    </w:p>
    <w:p w:rsidR="003D58CC" w:rsidRPr="00C743FA" w:rsidP="003D58CC" w14:paraId="1DF89578" w14:textId="77777777">
      <w:pPr>
        <w:tabs>
          <w:tab w:val="left" w:pos="4320"/>
        </w:tabs>
        <w:ind w:left="4320"/>
      </w:pPr>
      <w:r w:rsidRPr="00C743FA">
        <w:t>Ohio Consumers</w:t>
      </w:r>
      <w:r>
        <w:t>’</w:t>
      </w:r>
      <w:r w:rsidRPr="00C743FA">
        <w:t xml:space="preserve"> Counsel</w:t>
      </w:r>
    </w:p>
    <w:p w:rsidR="003D58CC" w:rsidRPr="00C743FA" w:rsidP="003D58CC" w14:paraId="648AEA4B" w14:textId="77777777">
      <w:pPr>
        <w:tabs>
          <w:tab w:val="left" w:pos="4320"/>
        </w:tabs>
        <w:ind w:left="4320"/>
      </w:pPr>
    </w:p>
    <w:p w:rsidR="003D58CC" w:rsidRPr="00C743FA" w:rsidP="003D58CC" w14:paraId="404B26F2" w14:textId="4464E832">
      <w:pPr>
        <w:autoSpaceDE w:val="0"/>
        <w:autoSpaceDN w:val="0"/>
        <w:adjustRightInd w:val="0"/>
        <w:ind w:left="4320"/>
        <w:rPr>
          <w:i/>
        </w:rPr>
      </w:pPr>
      <w:r w:rsidRPr="00C743FA">
        <w:rPr>
          <w:i/>
          <w:u w:val="single"/>
        </w:rPr>
        <w:t>/s</w:t>
      </w:r>
      <w:r w:rsidR="0049510E">
        <w:rPr>
          <w:i/>
          <w:u w:val="single"/>
        </w:rPr>
        <w:t>/ William J. Michael</w:t>
      </w:r>
      <w:r w:rsidR="0049510E">
        <w:rPr>
          <w:i/>
          <w:u w:val="single"/>
        </w:rPr>
        <w:tab/>
      </w:r>
      <w:r>
        <w:rPr>
          <w:i/>
          <w:u w:val="single"/>
        </w:rPr>
        <w:tab/>
      </w:r>
    </w:p>
    <w:p w:rsidR="003D58CC" w:rsidRPr="00C743FA" w:rsidP="003D58CC" w14:paraId="1E21FABE" w14:textId="77777777">
      <w:pPr>
        <w:tabs>
          <w:tab w:val="left" w:pos="4320"/>
        </w:tabs>
        <w:ind w:left="4320"/>
      </w:pPr>
      <w:r w:rsidRPr="00C743FA">
        <w:t>William J. Michael (0070921)</w:t>
      </w:r>
    </w:p>
    <w:p w:rsidR="003D58CC" w:rsidRPr="00C743FA" w:rsidP="003D58CC" w14:paraId="189D02EC" w14:textId="77777777">
      <w:pPr>
        <w:tabs>
          <w:tab w:val="left" w:pos="4320"/>
        </w:tabs>
        <w:ind w:left="4320"/>
      </w:pPr>
      <w:r w:rsidRPr="00C743FA">
        <w:t>Counsel of Record</w:t>
      </w:r>
    </w:p>
    <w:p w:rsidR="003D58CC" w:rsidRPr="00C743FA" w:rsidP="003D58CC" w14:paraId="5A85DE8A" w14:textId="00A361A0">
      <w:pPr>
        <w:tabs>
          <w:tab w:val="left" w:pos="4320"/>
        </w:tabs>
        <w:ind w:left="4320"/>
      </w:pPr>
      <w:r w:rsidRPr="00C743FA">
        <w:t>Angel</w:t>
      </w:r>
      <w:r>
        <w:t>a</w:t>
      </w:r>
      <w:r w:rsidRPr="00C743FA">
        <w:t xml:space="preserve"> </w:t>
      </w:r>
      <w:r w:rsidR="006461C4">
        <w:t xml:space="preserve">D. </w:t>
      </w:r>
      <w:r w:rsidRPr="00C743FA">
        <w:t>O</w:t>
      </w:r>
      <w:r>
        <w:t>’</w:t>
      </w:r>
      <w:r w:rsidRPr="00C743FA">
        <w:t>Brien (0097579)</w:t>
      </w:r>
    </w:p>
    <w:p w:rsidR="003D58CC" w:rsidRPr="00C743FA" w:rsidP="003D58CC" w14:paraId="7E28B00F" w14:textId="77777777">
      <w:pPr>
        <w:tabs>
          <w:tab w:val="left" w:pos="4320"/>
        </w:tabs>
        <w:ind w:left="4320"/>
      </w:pPr>
      <w:r w:rsidRPr="00C743FA">
        <w:t>Assistant Consumers</w:t>
      </w:r>
      <w:r>
        <w:t>’</w:t>
      </w:r>
      <w:r w:rsidRPr="00C743FA">
        <w:t xml:space="preserve"> Counsel </w:t>
      </w:r>
      <w:r w:rsidRPr="00C743FA">
        <w:br/>
      </w:r>
    </w:p>
    <w:p w:rsidR="003D58CC" w:rsidRPr="00C743FA" w:rsidP="003D58CC" w14:paraId="79F737F7" w14:textId="77777777">
      <w:pPr>
        <w:tabs>
          <w:tab w:val="left" w:pos="4320"/>
        </w:tabs>
        <w:ind w:left="4320"/>
        <w:rPr>
          <w:b/>
        </w:rPr>
      </w:pPr>
      <w:r w:rsidRPr="00C743FA">
        <w:rPr>
          <w:b/>
        </w:rPr>
        <w:t>Office of the Ohio Consumers</w:t>
      </w:r>
      <w:r>
        <w:rPr>
          <w:b/>
        </w:rPr>
        <w:t>’</w:t>
      </w:r>
      <w:r w:rsidRPr="00C743FA">
        <w:rPr>
          <w:b/>
        </w:rPr>
        <w:t xml:space="preserve"> Counsel</w:t>
      </w:r>
    </w:p>
    <w:p w:rsidR="003D58CC" w:rsidRPr="00C743FA" w:rsidP="003D58CC" w14:paraId="1C2AFD23" w14:textId="77777777">
      <w:pPr>
        <w:tabs>
          <w:tab w:val="left" w:pos="4320"/>
        </w:tabs>
        <w:ind w:left="4320"/>
      </w:pPr>
      <w:r w:rsidRPr="00C743FA">
        <w:t>65 East State Street, 7</w:t>
      </w:r>
      <w:r w:rsidRPr="00554787">
        <w:t>th</w:t>
      </w:r>
      <w:r w:rsidRPr="00C743FA">
        <w:t xml:space="preserve"> Floor</w:t>
      </w:r>
    </w:p>
    <w:p w:rsidR="003D58CC" w:rsidRPr="00C743FA" w:rsidP="003D58CC" w14:paraId="383DEBAD" w14:textId="77777777">
      <w:pPr>
        <w:tabs>
          <w:tab w:val="left" w:pos="4320"/>
        </w:tabs>
        <w:ind w:left="4320"/>
      </w:pPr>
      <w:r w:rsidRPr="00C743FA">
        <w:t>Columbus, Ohio 43215-4213</w:t>
      </w:r>
    </w:p>
    <w:p w:rsidR="003D58CC" w:rsidRPr="00C743FA" w:rsidP="003D58CC" w14:paraId="3A871C06" w14:textId="77777777">
      <w:pPr>
        <w:tabs>
          <w:tab w:val="left" w:pos="4320"/>
        </w:tabs>
        <w:ind w:left="4320"/>
      </w:pPr>
      <w:r w:rsidRPr="00C743FA">
        <w:t>Telephone: (614) 466-1291 (Michael)</w:t>
      </w:r>
    </w:p>
    <w:p w:rsidR="003D58CC" w:rsidRPr="00C743FA" w:rsidP="003D58CC" w14:paraId="6C4AD34A" w14:textId="77777777">
      <w:pPr>
        <w:tabs>
          <w:tab w:val="left" w:pos="4320"/>
        </w:tabs>
        <w:ind w:left="4320"/>
      </w:pPr>
      <w:r w:rsidRPr="00C743FA">
        <w:t>Telephone: (614) 466-</w:t>
      </w:r>
      <w:r>
        <w:t>9531</w:t>
      </w:r>
      <w:r w:rsidRPr="00C743FA">
        <w:t xml:space="preserve"> (O</w:t>
      </w:r>
      <w:r>
        <w:t>’</w:t>
      </w:r>
      <w:r w:rsidRPr="00C743FA">
        <w:t xml:space="preserve">Brien) </w:t>
      </w:r>
    </w:p>
    <w:p w:rsidR="003D58CC" w:rsidRPr="00C743FA" w:rsidP="003D58CC" w14:paraId="36DE0DE2" w14:textId="77777777">
      <w:pPr>
        <w:ind w:left="4320"/>
      </w:pPr>
      <w:hyperlink r:id="rId6" w:history="1">
        <w:r w:rsidRPr="00C743FA">
          <w:rPr>
            <w:rStyle w:val="Hyperlink"/>
          </w:rPr>
          <w:t>william.michael@occ.ohio.gov</w:t>
        </w:r>
      </w:hyperlink>
    </w:p>
    <w:p w:rsidR="003D58CC" w:rsidRPr="00C743FA" w:rsidP="003D58CC" w14:paraId="7FC75CC8" w14:textId="77777777">
      <w:pPr>
        <w:ind w:left="4320"/>
      </w:pPr>
      <w:hyperlink r:id="rId7" w:history="1">
        <w:r w:rsidRPr="00C743FA">
          <w:rPr>
            <w:rStyle w:val="Hyperlink"/>
          </w:rPr>
          <w:t>angela.obrien@occ.ohio.gov</w:t>
        </w:r>
      </w:hyperlink>
    </w:p>
    <w:p w:rsidR="003D58CC" w:rsidRPr="00C743FA" w:rsidP="003D58CC" w14:paraId="009FE296" w14:textId="095EA197">
      <w:pPr>
        <w:spacing w:line="480" w:lineRule="auto"/>
        <w:ind w:firstLine="4320"/>
      </w:pPr>
      <w:r w:rsidRPr="00C743FA">
        <w:t>(will</w:t>
      </w:r>
      <w:r>
        <w:t xml:space="preserve">ing to </w:t>
      </w:r>
      <w:r w:rsidRPr="00C743FA">
        <w:t xml:space="preserve">accept service </w:t>
      </w:r>
      <w:r>
        <w:t>by e-</w:t>
      </w:r>
      <w:r w:rsidRPr="00C743FA">
        <w:t>mail)</w:t>
      </w:r>
    </w:p>
    <w:p w:rsidR="003D58CC" w:rsidRPr="00C743FA" w:rsidP="003D58CC" w14:paraId="10C451A3" w14:textId="77777777">
      <w:pPr>
        <w:pStyle w:val="BodyText"/>
        <w:suppressLineNumbers/>
        <w:jc w:val="center"/>
        <w:rPr>
          <w:b/>
          <w:u w:val="single"/>
        </w:rPr>
      </w:pPr>
    </w:p>
    <w:p w:rsidR="003D58CC" w:rsidRPr="00C743FA" w:rsidP="003D58CC" w14:paraId="567C9615" w14:textId="77777777">
      <w:pPr>
        <w:pStyle w:val="BodyText"/>
        <w:suppressLineNumbers/>
        <w:jc w:val="center"/>
        <w:rPr>
          <w:b/>
          <w:u w:val="single"/>
        </w:rPr>
      </w:pPr>
    </w:p>
    <w:p w:rsidR="003D58CC" w:rsidRPr="00C743FA" w:rsidP="003D58CC" w14:paraId="04968DFE" w14:textId="77777777">
      <w:pPr>
        <w:pStyle w:val="BodyText"/>
        <w:suppressLineNumbers/>
        <w:jc w:val="center"/>
        <w:rPr>
          <w:b/>
          <w:u w:val="single"/>
        </w:rPr>
        <w:sectPr w:rsidSect="00B1198A">
          <w:footerReference w:type="default" r:id="rId8"/>
          <w:pgSz w:w="12240" w:h="15840" w:code="1"/>
          <w:pgMar w:top="1440" w:right="1800" w:bottom="1440" w:left="1800" w:header="720" w:footer="720" w:gutter="0"/>
          <w:pgNumType w:start="2"/>
          <w:cols w:space="720"/>
          <w:docGrid w:linePitch="360"/>
        </w:sectPr>
      </w:pPr>
    </w:p>
    <w:p w:rsidR="003D58CC" w:rsidRPr="00C743FA" w:rsidP="003D58CC" w14:paraId="1ED209B7" w14:textId="77777777">
      <w:pPr>
        <w:pStyle w:val="BodyText"/>
        <w:suppressLineNumbers/>
        <w:jc w:val="center"/>
        <w:rPr>
          <w:b/>
          <w:u w:val="single"/>
        </w:rPr>
      </w:pPr>
      <w:r w:rsidRPr="00C743FA">
        <w:rPr>
          <w:b/>
          <w:u w:val="single"/>
        </w:rPr>
        <w:t>CERTIFICATE OF SERVICE</w:t>
      </w:r>
    </w:p>
    <w:p w:rsidR="003D58CC" w:rsidRPr="00C743FA" w:rsidP="003D58CC" w14:paraId="7ACB6D0C" w14:textId="42464C91">
      <w:pPr>
        <w:suppressLineNumbers/>
        <w:spacing w:before="240" w:line="480" w:lineRule="auto"/>
        <w:ind w:firstLine="720"/>
      </w:pPr>
      <w:r w:rsidRPr="00C743FA">
        <w:t xml:space="preserve">I hereby certify that a true copy of the foregoing </w:t>
      </w:r>
      <w:r w:rsidR="00B67161">
        <w:t>Reply</w:t>
      </w:r>
      <w:r w:rsidRPr="00C743FA">
        <w:t xml:space="preserve"> Brief</w:t>
      </w:r>
      <w:r w:rsidRPr="00C743FA">
        <w:rPr>
          <w:i/>
        </w:rPr>
        <w:t xml:space="preserve"> </w:t>
      </w:r>
      <w:r w:rsidRPr="00C743FA">
        <w:t xml:space="preserve">was served via electronic transmission to the persons listed below on this </w:t>
      </w:r>
      <w:r w:rsidR="005C2541">
        <w:t>29th</w:t>
      </w:r>
      <w:r>
        <w:t xml:space="preserve"> day of October</w:t>
      </w:r>
      <w:r w:rsidRPr="00C743FA">
        <w:t xml:space="preserve"> 2019.</w:t>
      </w:r>
    </w:p>
    <w:p w:rsidR="003D58CC" w:rsidRPr="00C743FA" w:rsidP="003D58CC" w14:paraId="69234EB5" w14:textId="62E5CA05">
      <w:pPr>
        <w:suppressLineNumbers/>
        <w:tabs>
          <w:tab w:val="left" w:pos="4320"/>
        </w:tabs>
        <w:spacing w:before="240"/>
        <w:ind w:left="4320"/>
      </w:pPr>
      <w:r w:rsidRPr="00C743FA">
        <w:rPr>
          <w:i/>
          <w:u w:val="single"/>
        </w:rPr>
        <w:t xml:space="preserve">/s/ </w:t>
      </w:r>
      <w:r w:rsidR="005C2541">
        <w:rPr>
          <w:i/>
          <w:u w:val="single"/>
        </w:rPr>
        <w:t>William J. Michael</w:t>
      </w:r>
      <w:r w:rsidR="005C2541">
        <w:rPr>
          <w:i/>
          <w:u w:val="single"/>
        </w:rPr>
        <w:tab/>
      </w:r>
      <w:r w:rsidRPr="00C743FA">
        <w:rPr>
          <w:i/>
          <w:u w:val="single"/>
        </w:rPr>
        <w:tab/>
      </w:r>
      <w:r>
        <w:rPr>
          <w:i/>
          <w:u w:val="single"/>
        </w:rPr>
        <w:tab/>
      </w:r>
    </w:p>
    <w:p w:rsidR="003D58CC" w:rsidRPr="00C743FA" w:rsidP="003D58CC" w14:paraId="0A8F5E95" w14:textId="023F7EE7">
      <w:pPr>
        <w:suppressLineNumbers/>
        <w:tabs>
          <w:tab w:val="left" w:pos="4320"/>
        </w:tabs>
      </w:pPr>
      <w:r w:rsidRPr="00C743FA">
        <w:tab/>
      </w:r>
      <w:r w:rsidR="005C2541">
        <w:t>William J. Michael</w:t>
      </w:r>
    </w:p>
    <w:p w:rsidR="003D58CC" w:rsidRPr="00C743FA" w:rsidP="003D58CC" w14:paraId="392C3207" w14:textId="77777777">
      <w:pPr>
        <w:suppressLineNumbers/>
        <w:tabs>
          <w:tab w:val="left" w:pos="4320"/>
        </w:tabs>
      </w:pPr>
      <w:r w:rsidRPr="00C743FA">
        <w:tab/>
        <w:t>Assistant Consumers</w:t>
      </w:r>
      <w:r>
        <w:t>’</w:t>
      </w:r>
      <w:r w:rsidRPr="00C743FA">
        <w:t xml:space="preserve"> Counsel</w:t>
      </w:r>
    </w:p>
    <w:p w:rsidR="003D58CC" w:rsidP="003D58CC" w14:paraId="6F87FD59" w14:textId="77777777">
      <w:pPr>
        <w:pStyle w:val="CommentSubject"/>
        <w:suppressLineNumbers/>
        <w:rPr>
          <w:sz w:val="24"/>
          <w:szCs w:val="24"/>
        </w:rPr>
      </w:pPr>
    </w:p>
    <w:p w:rsidR="003D58CC" w:rsidRPr="00F2718B" w:rsidP="003D58CC" w14:paraId="4F0F321F" w14:textId="77777777">
      <w:r>
        <w:t>The PUCO’s e-filing system will electronically serve notice of the filing of this document on the following parties:</w:t>
      </w:r>
    </w:p>
    <w:p w:rsidR="003D58CC" w:rsidRPr="00554787" w:rsidP="003D58CC" w14:paraId="1502B398" w14:textId="77777777">
      <w:pPr>
        <w:pStyle w:val="CommentText"/>
      </w:pPr>
    </w:p>
    <w:p w:rsidR="003D58CC" w:rsidRPr="00C743FA" w:rsidP="003D58CC" w14:paraId="23B08A03" w14:textId="77777777">
      <w:pPr>
        <w:pStyle w:val="CommentText"/>
        <w:jc w:val="center"/>
        <w:rPr>
          <w:b/>
          <w:sz w:val="24"/>
          <w:szCs w:val="24"/>
          <w:u w:val="single"/>
        </w:rPr>
      </w:pPr>
    </w:p>
    <w:p w:rsidR="003D58CC" w:rsidP="003D58CC" w14:paraId="46AB6CFB" w14:textId="77777777">
      <w:pPr>
        <w:jc w:val="center"/>
        <w:rPr>
          <w:b/>
          <w:u w:val="single"/>
        </w:rPr>
      </w:pPr>
      <w:r w:rsidRPr="00B0693A">
        <w:rPr>
          <w:b/>
          <w:u w:val="single"/>
        </w:rPr>
        <w:t>SERVICE LIST</w:t>
      </w:r>
    </w:p>
    <w:p w:rsidR="003D58CC" w:rsidRPr="00B0693A" w:rsidP="003D58CC" w14:paraId="3980B57F" w14:textId="77777777">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7F2686A6" w14:textId="77777777" w:rsidTr="003D58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19"/>
        </w:trPr>
        <w:tc>
          <w:tcPr>
            <w:tcW w:w="4315" w:type="dxa"/>
          </w:tcPr>
          <w:p w:rsidR="003D58CC" w:rsidP="003D58CC" w14:paraId="19BF9A96" w14:textId="77777777">
            <w:pPr>
              <w:pStyle w:val="BodyText"/>
              <w:spacing w:after="0"/>
              <w:jc w:val="both"/>
              <w:rPr>
                <w:rStyle w:val="Hyperlink"/>
                <w:rFonts w:eastAsia="Arial Unicode MS" w:hAnsi="Arial Unicode MS" w:cs="Arial Unicode MS"/>
                <w:color w:val="000000"/>
                <w:u w:color="000000"/>
                <w:bdr w:val="nil"/>
              </w:rPr>
            </w:pPr>
            <w:hyperlink r:id="rId9" w:history="1">
              <w:r w:rsidRPr="003E6DFB">
                <w:rPr>
                  <w:rStyle w:val="Hyperlink"/>
                  <w:rFonts w:eastAsia="Arial Unicode MS" w:hAnsi="Arial Unicode MS" w:cs="Arial Unicode MS"/>
                  <w:bdr w:val="nil"/>
                </w:rPr>
                <w:t>robert.eubanks@ohioattorneygeneral.gov</w:t>
              </w:r>
            </w:hyperlink>
          </w:p>
          <w:p w:rsidR="003D58CC" w:rsidP="003D58CC" w14:paraId="669A30FA" w14:textId="77777777">
            <w:pPr>
              <w:pStyle w:val="BodyText"/>
              <w:spacing w:after="0"/>
              <w:jc w:val="both"/>
            </w:pPr>
            <w:hyperlink r:id="rId10" w:history="1">
              <w:r w:rsidRPr="003E6DFB">
                <w:rPr>
                  <w:rStyle w:val="Hyperlink"/>
                </w:rPr>
                <w:t>steven.beeler@ohioattorneygeneral.gov</w:t>
              </w:r>
            </w:hyperlink>
          </w:p>
          <w:p w:rsidR="003D58CC" w:rsidRPr="009A5E9A" w:rsidP="003D58CC" w14:paraId="4455C169" w14:textId="77777777">
            <w:pPr>
              <w:pStyle w:val="BodyText"/>
              <w:spacing w:after="0"/>
              <w:jc w:val="both"/>
            </w:pPr>
          </w:p>
          <w:p w:rsidR="003D58CC" w:rsidP="003D58CC" w14:paraId="28E9A3C6" w14:textId="77777777">
            <w:pPr>
              <w:pStyle w:val="BodyText"/>
              <w:spacing w:after="0"/>
              <w:jc w:val="both"/>
              <w:rPr>
                <w:b/>
                <w:bCs/>
              </w:rPr>
            </w:pPr>
          </w:p>
          <w:p w:rsidR="003D58CC" w:rsidP="003D58CC" w14:paraId="263CB979" w14:textId="77777777">
            <w:pPr>
              <w:autoSpaceDE w:val="0"/>
              <w:autoSpaceDN w:val="0"/>
              <w:adjustRightInd w:val="0"/>
              <w:rPr>
                <w:rFonts w:eastAsia="Calibri"/>
              </w:rPr>
            </w:pPr>
          </w:p>
          <w:p w:rsidR="003D58CC" w:rsidP="003D58CC" w14:paraId="02A428EF" w14:textId="77777777">
            <w:pPr>
              <w:autoSpaceDE w:val="0"/>
              <w:autoSpaceDN w:val="0"/>
              <w:adjustRightInd w:val="0"/>
              <w:rPr>
                <w:rFonts w:eastAsia="Calibri"/>
              </w:rPr>
            </w:pPr>
            <w:r w:rsidRPr="00FB0796">
              <w:rPr>
                <w:rFonts w:eastAsia="Calibri"/>
                <w:bdr w:val="nil"/>
              </w:rPr>
              <w:t>Attorney Examiners:</w:t>
            </w:r>
          </w:p>
          <w:p w:rsidR="003D58CC" w:rsidRPr="00FB0796" w:rsidP="003D58CC" w14:paraId="6EC3015C" w14:textId="77777777">
            <w:pPr>
              <w:autoSpaceDE w:val="0"/>
              <w:autoSpaceDN w:val="0"/>
              <w:adjustRightInd w:val="0"/>
              <w:rPr>
                <w:rFonts w:eastAsia="Calibri"/>
              </w:rPr>
            </w:pPr>
          </w:p>
          <w:p w:rsidR="003D58CC" w:rsidP="003D58CC" w14:paraId="4A180A87" w14:textId="77777777">
            <w:pPr>
              <w:autoSpaceDE w:val="0"/>
              <w:autoSpaceDN w:val="0"/>
              <w:adjustRightInd w:val="0"/>
              <w:rPr>
                <w:rFonts w:eastAsia="Calibri"/>
              </w:rPr>
            </w:pPr>
            <w:hyperlink r:id="rId11" w:history="1">
              <w:r w:rsidRPr="00235348">
                <w:rPr>
                  <w:rStyle w:val="Hyperlink"/>
                  <w:rFonts w:eastAsia="Calibri"/>
                  <w:bdr w:val="nil"/>
                </w:rPr>
                <w:t>sarah.parrot@puco.ohio.gov</w:t>
              </w:r>
            </w:hyperlink>
          </w:p>
          <w:p w:rsidR="003D58CC" w:rsidP="003D58CC" w14:paraId="1758C160" w14:textId="77777777">
            <w:pPr>
              <w:rPr>
                <w:rFonts w:eastAsia="Calibri"/>
              </w:rPr>
            </w:pPr>
            <w:hyperlink r:id="rId12" w:history="1">
              <w:r w:rsidRPr="00235348">
                <w:rPr>
                  <w:rStyle w:val="Hyperlink"/>
                  <w:rFonts w:eastAsia="Calibri"/>
                  <w:bdr w:val="nil"/>
                </w:rPr>
                <w:t>stacie.cathcart@puco.ohio.gov</w:t>
              </w:r>
            </w:hyperlink>
          </w:p>
          <w:p w:rsidR="003D58CC" w:rsidP="003D58CC" w14:paraId="42FF3BAB" w14:textId="77777777">
            <w:pPr>
              <w:rPr>
                <w:rFonts w:eastAsia="Calibri"/>
              </w:rPr>
            </w:pPr>
          </w:p>
          <w:p w:rsidR="003D58CC" w:rsidP="003D58CC" w14:paraId="54A0E703" w14:textId="77777777">
            <w:pPr>
              <w:rPr>
                <w:rFonts w:eastAsia="Calibri"/>
              </w:rPr>
            </w:pPr>
          </w:p>
          <w:p w:rsidR="003D58CC" w:rsidP="003D58CC" w14:paraId="3BCB3A67" w14:textId="77777777">
            <w:pPr>
              <w:rPr>
                <w:rFonts w:eastAsia="Calibri"/>
              </w:rPr>
            </w:pPr>
          </w:p>
          <w:p w:rsidR="003D58CC" w:rsidP="003D58CC" w14:paraId="7E8C52DD" w14:textId="77777777">
            <w:pPr>
              <w:jc w:val="center"/>
              <w:rPr>
                <w:b/>
                <w:u w:val="single"/>
              </w:rPr>
            </w:pPr>
          </w:p>
        </w:tc>
        <w:tc>
          <w:tcPr>
            <w:tcW w:w="4315" w:type="dxa"/>
          </w:tcPr>
          <w:p w:rsidR="003D58CC" w:rsidP="003D58CC" w14:paraId="6853D321" w14:textId="77777777">
            <w:pPr>
              <w:rPr>
                <w:rStyle w:val="Hyperlink"/>
                <w:rFonts w:hAnsi="Arial Unicode MS" w:cs="Arial Unicode MS"/>
                <w:color w:val="000000"/>
                <w:u w:color="000000"/>
              </w:rPr>
            </w:pPr>
            <w:hyperlink r:id="rId13" w:history="1">
              <w:r w:rsidRPr="00235348">
                <w:rPr>
                  <w:rStyle w:val="Hyperlink"/>
                  <w:rFonts w:eastAsia="Arial Unicode MS" w:hAnsi="Arial Unicode MS" w:cs="Arial Unicode MS"/>
                  <w:bdr w:val="nil"/>
                </w:rPr>
                <w:t>elizabeth.watts@duke-energy.com</w:t>
              </w:r>
            </w:hyperlink>
          </w:p>
          <w:p w:rsidR="003D58CC" w:rsidP="003D58CC" w14:paraId="72D79A16" w14:textId="77777777">
            <w:pPr>
              <w:rPr>
                <w:rStyle w:val="Hyperlink"/>
                <w:rFonts w:hAnsi="Arial Unicode MS" w:cs="Arial Unicode MS"/>
                <w:color w:val="000000"/>
                <w:u w:color="000000"/>
              </w:rPr>
            </w:pPr>
            <w:hyperlink r:id="rId14" w:history="1">
              <w:r w:rsidRPr="00235348">
                <w:rPr>
                  <w:rStyle w:val="Hyperlink"/>
                  <w:rFonts w:eastAsia="Arial Unicode MS" w:hAnsi="Arial Unicode MS" w:cs="Arial Unicode MS"/>
                  <w:bdr w:val="nil"/>
                </w:rPr>
                <w:t>rocco.dascenzo@duke-energy.com</w:t>
              </w:r>
            </w:hyperlink>
          </w:p>
          <w:p w:rsidR="003D58CC" w:rsidP="003D58CC" w14:paraId="543F3CEB" w14:textId="77777777">
            <w:pPr>
              <w:rPr>
                <w:rStyle w:val="Hyperlink"/>
                <w:rFonts w:hAnsi="Arial Unicode MS" w:cs="Arial Unicode MS"/>
                <w:color w:val="000000"/>
                <w:u w:color="000000"/>
              </w:rPr>
            </w:pPr>
            <w:hyperlink r:id="rId15" w:history="1">
              <w:r w:rsidRPr="00235348">
                <w:rPr>
                  <w:rStyle w:val="Hyperlink"/>
                  <w:rFonts w:eastAsia="Arial Unicode MS" w:hAnsi="Arial Unicode MS" w:cs="Arial Unicode MS"/>
                  <w:bdr w:val="nil"/>
                </w:rPr>
                <w:t>jeanne.kingery@duke-energy.com</w:t>
              </w:r>
            </w:hyperlink>
          </w:p>
          <w:p w:rsidR="003D58CC" w:rsidP="003D58CC" w14:paraId="1910F830" w14:textId="77777777">
            <w:pPr>
              <w:rPr>
                <w:rStyle w:val="Hyperlink"/>
                <w:rFonts w:hAnsi="Arial Unicode MS" w:cs="Arial Unicode MS"/>
                <w:color w:val="000000"/>
                <w:u w:color="000000"/>
              </w:rPr>
            </w:pPr>
            <w:hyperlink r:id="rId16" w:history="1">
              <w:r w:rsidRPr="00235348">
                <w:rPr>
                  <w:rStyle w:val="Hyperlink"/>
                  <w:rFonts w:eastAsia="Arial Unicode MS" w:hAnsi="Arial Unicode MS" w:cs="Arial Unicode MS"/>
                  <w:bdr w:val="nil"/>
                </w:rPr>
                <w:t>joliker@igsenergy.com</w:t>
              </w:r>
            </w:hyperlink>
          </w:p>
          <w:p w:rsidR="003D58CC" w:rsidP="003D58CC" w14:paraId="3B0E03BB" w14:textId="77777777">
            <w:pPr>
              <w:rPr>
                <w:rStyle w:val="Hyperlink"/>
                <w:rFonts w:eastAsia="Arial Unicode MS" w:hAnsi="Arial Unicode MS" w:cs="Arial Unicode MS"/>
                <w:color w:val="000000"/>
                <w:u w:color="000000"/>
                <w:bdr w:val="nil"/>
              </w:rPr>
            </w:pPr>
            <w:hyperlink r:id="rId17" w:history="1">
              <w:r w:rsidRPr="003E6DFB">
                <w:rPr>
                  <w:rStyle w:val="Hyperlink"/>
                  <w:rFonts w:eastAsia="Arial Unicode MS" w:hAnsi="Arial Unicode MS" w:cs="Arial Unicode MS"/>
                  <w:bdr w:val="nil"/>
                </w:rPr>
                <w:t>mnugent@igsenergy.com</w:t>
              </w:r>
            </w:hyperlink>
          </w:p>
          <w:p w:rsidR="003D58CC" w:rsidRPr="008E20EA" w:rsidP="003D58CC" w14:paraId="23B202EA" w14:textId="77777777">
            <w:pPr>
              <w:rPr>
                <w:rStyle w:val="Hyperlink"/>
                <w:rFonts w:hAnsi="Arial Unicode MS" w:cs="Arial Unicode MS"/>
                <w:color w:val="000000"/>
                <w:u w:color="000000"/>
              </w:rPr>
            </w:pPr>
          </w:p>
        </w:tc>
      </w:tr>
    </w:tbl>
    <w:p w:rsidR="003D58CC" w:rsidRPr="00C743FA" w:rsidP="003D58CC" w14:paraId="04087EA0" w14:textId="77777777">
      <w:pPr>
        <w:pStyle w:val="CommentText"/>
        <w:suppressLineNumbers/>
        <w:rPr>
          <w:sz w:val="24"/>
          <w:szCs w:val="24"/>
        </w:rPr>
      </w:pPr>
    </w:p>
    <w:p w:rsidR="003D58CC" w:rsidRPr="00C743FA" w:rsidP="003D58CC" w14:paraId="54EE7E64" w14:textId="77777777">
      <w:pPr>
        <w:suppressLineNumbers/>
        <w:tabs>
          <w:tab w:val="left" w:pos="5040"/>
        </w:tabs>
        <w:rPr>
          <w:b/>
        </w:rPr>
      </w:pPr>
      <w:r w:rsidRPr="00C743FA">
        <w:tab/>
      </w:r>
    </w:p>
    <w:p w:rsidR="003D58CC" w:rsidRPr="00C743FA" w:rsidP="003D58CC" w14:paraId="5C7399FE" w14:textId="77777777">
      <w:pPr>
        <w:suppressLineNumbers/>
        <w:spacing w:before="240"/>
        <w:ind w:firstLine="720"/>
      </w:pPr>
    </w:p>
    <w:sectPr w:rsidSect="003D58CC">
      <w:headerReference w:type="default" r:id="rI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2482108"/>
      <w:docPartObj>
        <w:docPartGallery w:val="Page Numbers (Bottom of Page)"/>
        <w:docPartUnique/>
      </w:docPartObj>
    </w:sdtPr>
    <w:sdtEndPr>
      <w:rPr>
        <w:noProof/>
      </w:rPr>
    </w:sdtEndPr>
    <w:sdtContent>
      <w:p w:rsidR="00B1198A" w14:paraId="42A5840D" w14:textId="22393C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4CBC" w14:paraId="1148C768" w14:textId="77777777">
      <w:r>
        <w:separator/>
      </w:r>
    </w:p>
  </w:footnote>
  <w:footnote w:type="continuationSeparator" w:id="1">
    <w:p w:rsidR="00614CBC" w14:paraId="6BBE6B1B" w14:textId="77777777">
      <w:r>
        <w:continuationSeparator/>
      </w:r>
    </w:p>
  </w:footnote>
  <w:footnote w:id="2">
    <w:p w:rsidR="00AF6BFF" w14:paraId="58BABBDC" w14:textId="257A0B76">
      <w:pPr>
        <w:pStyle w:val="FootnoteText"/>
      </w:pPr>
      <w:r>
        <w:rPr>
          <w:rStyle w:val="FootnoteReference"/>
        </w:rPr>
        <w:footnoteRef/>
      </w:r>
      <w:r>
        <w:t xml:space="preserve"> Duke Brief at 3; Staff Brief at 1-4</w:t>
      </w:r>
      <w:r w:rsidR="003F0F6D">
        <w:t xml:space="preserve">; </w:t>
      </w:r>
      <w:r w:rsidR="00E072B4">
        <w:rPr>
          <w:i/>
          <w:iCs/>
        </w:rPr>
        <w:t>s</w:t>
      </w:r>
      <w:r w:rsidR="003F0F6D">
        <w:rPr>
          <w:i/>
          <w:iCs/>
        </w:rPr>
        <w:t xml:space="preserve">ee also </w:t>
      </w:r>
      <w:r w:rsidR="003F0F6D">
        <w:t>IGS’s Brief at 8</w:t>
      </w:r>
      <w:r>
        <w:t>.</w:t>
      </w:r>
    </w:p>
  </w:footnote>
  <w:footnote w:id="3">
    <w:p w:rsidR="00AF6BFF" w14:paraId="67CF4E38" w14:textId="710F5FD5">
      <w:pPr>
        <w:pStyle w:val="FootnoteText"/>
      </w:pPr>
      <w:r>
        <w:rPr>
          <w:rStyle w:val="FootnoteReference"/>
        </w:rPr>
        <w:footnoteRef/>
      </w:r>
      <w:r>
        <w:t xml:space="preserve"> </w:t>
      </w:r>
      <w:r>
        <w:rPr>
          <w:i/>
          <w:iCs/>
        </w:rPr>
        <w:t>Id.</w:t>
      </w:r>
      <w:r>
        <w:t xml:space="preserve"> at 3.</w:t>
      </w:r>
    </w:p>
  </w:footnote>
  <w:footnote w:id="4">
    <w:p w:rsidR="00AF6BFF" w14:paraId="0F9CF367" w14:textId="73A40CBA">
      <w:pPr>
        <w:pStyle w:val="FootnoteText"/>
      </w:pPr>
      <w:r>
        <w:rPr>
          <w:rStyle w:val="FootnoteReference"/>
        </w:rPr>
        <w:footnoteRef/>
      </w:r>
      <w:r>
        <w:t xml:space="preserve"> </w:t>
      </w:r>
      <w:r>
        <w:rPr>
          <w:i/>
          <w:iCs/>
        </w:rPr>
        <w:t>Id.</w:t>
      </w:r>
    </w:p>
  </w:footnote>
  <w:footnote w:id="5">
    <w:p w:rsidR="00AF6BFF" w14:paraId="2CCC1616" w14:textId="17278FE5">
      <w:pPr>
        <w:pStyle w:val="FootnoteText"/>
      </w:pPr>
      <w:r>
        <w:rPr>
          <w:rStyle w:val="FootnoteReference"/>
        </w:rPr>
        <w:footnoteRef/>
      </w:r>
      <w:r>
        <w:t xml:space="preserve"> </w:t>
      </w:r>
      <w:r>
        <w:rPr>
          <w:i/>
          <w:iCs/>
        </w:rPr>
        <w:t>Id.</w:t>
      </w:r>
    </w:p>
  </w:footnote>
  <w:footnote w:id="6">
    <w:p w:rsidR="003F0F6D" w:rsidRPr="003F0F6D" w14:paraId="66C0CA48" w14:textId="22D1F2B9">
      <w:pPr>
        <w:pStyle w:val="FootnoteText"/>
      </w:pPr>
      <w:r>
        <w:rPr>
          <w:rStyle w:val="FootnoteReference"/>
        </w:rPr>
        <w:footnoteRef/>
      </w:r>
      <w:r>
        <w:t xml:space="preserve"> So is IGS, when it claims that avoiding litigation expense is a “benefit.”</w:t>
      </w:r>
      <w:r w:rsidR="006461C4">
        <w:t xml:space="preserve"> </w:t>
      </w:r>
      <w:r>
        <w:rPr>
          <w:i/>
          <w:iCs/>
        </w:rPr>
        <w:t xml:space="preserve">See </w:t>
      </w:r>
      <w:r>
        <w:t>IGS’s Brief at 8</w:t>
      </w:r>
      <w:r w:rsidR="008C3F82">
        <w:t>.</w:t>
      </w:r>
    </w:p>
  </w:footnote>
  <w:footnote w:id="7">
    <w:p w:rsidR="00AF6BFF" w:rsidP="00A20573" w14:paraId="090CA9AE" w14:textId="33D4A147">
      <w:pPr>
        <w:pStyle w:val="FootnoteText"/>
      </w:pPr>
      <w:r>
        <w:rPr>
          <w:rStyle w:val="FootnoteReference"/>
        </w:rPr>
        <w:footnoteRef/>
      </w:r>
      <w:r w:rsidR="003F0F6D">
        <w:t xml:space="preserve"> Duke Brief at 3.</w:t>
      </w:r>
    </w:p>
  </w:footnote>
  <w:footnote w:id="8">
    <w:p w:rsidR="00674AEB" w:rsidRPr="00674AEB" w14:paraId="7E45FA4E" w14:textId="2EBC1DEB">
      <w:pPr>
        <w:pStyle w:val="FootnoteText"/>
      </w:pPr>
      <w:r>
        <w:rPr>
          <w:rStyle w:val="FootnoteReference"/>
        </w:rPr>
        <w:footnoteRef/>
      </w:r>
      <w:r>
        <w:t xml:space="preserve"> </w:t>
      </w:r>
      <w:r>
        <w:rPr>
          <w:i/>
          <w:iCs/>
        </w:rPr>
        <w:t>See, e.g., Consumers’ Counsel v. PUCO</w:t>
      </w:r>
      <w:r>
        <w:t>, 64 Ohio St.3d 123, 126 (1992) (settlement test’s second element is does the settlement benefit customers and the public interest).</w:t>
      </w:r>
    </w:p>
  </w:footnote>
  <w:footnote w:id="9">
    <w:p w:rsidR="00CC6303" w:rsidRPr="00CC6303" w14:paraId="56ECCCC4" w14:textId="516C9C3F">
      <w:pPr>
        <w:pStyle w:val="FootnoteText"/>
        <w:rPr>
          <w:i/>
          <w:iCs/>
        </w:rPr>
      </w:pPr>
      <w:r>
        <w:rPr>
          <w:rStyle w:val="FootnoteReference"/>
        </w:rPr>
        <w:footnoteRef/>
      </w:r>
      <w:r>
        <w:t xml:space="preserve"> </w:t>
      </w:r>
      <w:r>
        <w:rPr>
          <w:i/>
          <w:iCs/>
        </w:rPr>
        <w:t>See i</w:t>
      </w:r>
      <w:r w:rsidR="008D6CCD">
        <w:rPr>
          <w:i/>
          <w:iCs/>
        </w:rPr>
        <w:t>d</w:t>
      </w:r>
      <w:r>
        <w:rPr>
          <w:i/>
          <w:iCs/>
        </w:rPr>
        <w:t>.</w:t>
      </w:r>
    </w:p>
  </w:footnote>
  <w:footnote w:id="10">
    <w:p w:rsidR="00B86EB0" w14:paraId="67072D16" w14:textId="6BD5D42C">
      <w:pPr>
        <w:pStyle w:val="FootnoteText"/>
      </w:pPr>
      <w:r>
        <w:rPr>
          <w:rStyle w:val="FootnoteReference"/>
        </w:rPr>
        <w:footnoteRef/>
      </w:r>
      <w:r>
        <w:t xml:space="preserve"> Staff Brief at 4.</w:t>
      </w:r>
    </w:p>
  </w:footnote>
  <w:footnote w:id="11">
    <w:p w:rsidR="00AF6BFF" w14:paraId="68D8D376" w14:textId="1486B349">
      <w:pPr>
        <w:pStyle w:val="FootnoteText"/>
      </w:pPr>
      <w:r>
        <w:rPr>
          <w:rStyle w:val="FootnoteReference"/>
        </w:rPr>
        <w:footnoteRef/>
      </w:r>
      <w:r>
        <w:t xml:space="preserve"> </w:t>
      </w:r>
      <w:r w:rsidR="00B86EB0">
        <w:t>Duke Brief at 3.</w:t>
      </w:r>
    </w:p>
  </w:footnote>
  <w:footnote w:id="12">
    <w:p w:rsidR="00EB7D71" w14:paraId="3E66DAB0" w14:textId="7DF7AD40">
      <w:pPr>
        <w:pStyle w:val="FootnoteText"/>
      </w:pPr>
      <w:r>
        <w:rPr>
          <w:rStyle w:val="FootnoteReference"/>
        </w:rPr>
        <w:footnoteRef/>
      </w:r>
      <w:r>
        <w:t xml:space="preserve"> Staff Brief at </w:t>
      </w:r>
      <w:r w:rsidR="00B86EB0">
        <w:t>4.</w:t>
      </w:r>
    </w:p>
  </w:footnote>
  <w:footnote w:id="13">
    <w:p w:rsidR="00AF6BFF" w:rsidP="00000006" w14:paraId="5B286EDB" w14:textId="2F245B57">
      <w:pPr>
        <w:pStyle w:val="FootnoteText"/>
      </w:pPr>
      <w:r>
        <w:rPr>
          <w:rStyle w:val="FootnoteReference"/>
        </w:rPr>
        <w:footnoteRef/>
      </w:r>
      <w:r>
        <w:t xml:space="preserve"> OCC Brief at </w:t>
      </w:r>
      <w:r w:rsidR="00992DBC">
        <w:t>9-10.</w:t>
      </w:r>
    </w:p>
  </w:footnote>
  <w:footnote w:id="14">
    <w:p w:rsidR="00AF6BFF" w:rsidRPr="008C3F82" w:rsidP="00B34225" w14:paraId="16F5AB37" w14:textId="5568B323">
      <w:pPr>
        <w:pStyle w:val="FootnoteText"/>
      </w:pPr>
      <w:r>
        <w:rPr>
          <w:rStyle w:val="FootnoteReference"/>
        </w:rPr>
        <w:footnoteRef/>
      </w:r>
      <w:r>
        <w:t xml:space="preserve"> </w:t>
      </w:r>
      <w:r w:rsidR="00992DBC">
        <w:rPr>
          <w:i/>
          <w:iCs/>
        </w:rPr>
        <w:t xml:space="preserve">Id. </w:t>
      </w:r>
      <w:r w:rsidR="00992DBC">
        <w:t>at 9</w:t>
      </w:r>
      <w:r w:rsidR="009D2A4A">
        <w:t xml:space="preserve">; </w:t>
      </w:r>
      <w:r w:rsidR="009D2A4A">
        <w:rPr>
          <w:i/>
          <w:iCs/>
        </w:rPr>
        <w:t xml:space="preserve">see also </w:t>
      </w:r>
      <w:r w:rsidR="009D2A4A">
        <w:t>Hearing Transcript at 9-10</w:t>
      </w:r>
      <w:r w:rsidR="00992DBC">
        <w:t>.</w:t>
      </w:r>
      <w:r w:rsidR="006461C4">
        <w:t xml:space="preserve"> </w:t>
      </w:r>
      <w:r w:rsidR="008C3F82">
        <w:t>IGS’s arguments OCC is seeking to “rewrite the market rules” conveniently ignores this fact.</w:t>
      </w:r>
      <w:r w:rsidR="006461C4">
        <w:t xml:space="preserve"> </w:t>
      </w:r>
      <w:r w:rsidR="008C3F82">
        <w:rPr>
          <w:i/>
          <w:iCs/>
        </w:rPr>
        <w:t xml:space="preserve">See </w:t>
      </w:r>
      <w:r w:rsidR="008C3F82">
        <w:t>IGS’s Brief at 10.</w:t>
      </w:r>
    </w:p>
  </w:footnote>
  <w:footnote w:id="15">
    <w:p w:rsidR="00AF6BFF" w:rsidRPr="009D2A4A" w:rsidP="00B34225" w14:paraId="69B62296" w14:textId="0DA54B10">
      <w:pPr>
        <w:pStyle w:val="FootnoteText"/>
      </w:pPr>
      <w:r>
        <w:rPr>
          <w:rStyle w:val="FootnoteReference"/>
        </w:rPr>
        <w:footnoteRef/>
      </w:r>
      <w:r>
        <w:t xml:space="preserve"> </w:t>
      </w:r>
      <w:r w:rsidR="009D2A4A">
        <w:t>OCC Brief at 9.</w:t>
      </w:r>
    </w:p>
  </w:footnote>
  <w:footnote w:id="16">
    <w:p w:rsidR="00AF6BFF" w:rsidRPr="009B227B" w:rsidP="00B34225" w14:paraId="0B59CAE2" w14:textId="4DC9ADCE">
      <w:pPr>
        <w:pStyle w:val="FootnoteText"/>
      </w:pPr>
      <w:r>
        <w:rPr>
          <w:rStyle w:val="FootnoteReference"/>
        </w:rPr>
        <w:footnoteRef/>
      </w:r>
      <w:r>
        <w:t xml:space="preserve"> </w:t>
      </w:r>
      <w:r w:rsidR="009B227B">
        <w:rPr>
          <w:i/>
          <w:iCs/>
        </w:rPr>
        <w:t xml:space="preserve">Id. </w:t>
      </w:r>
      <w:r w:rsidR="009B227B">
        <w:t>at 9-10.</w:t>
      </w:r>
    </w:p>
  </w:footnote>
  <w:footnote w:id="17">
    <w:p w:rsidR="00AF6BFF" w:rsidRPr="00375F4F" w:rsidP="00B34225" w14:paraId="0EC8F348" w14:textId="01D49352">
      <w:pPr>
        <w:pStyle w:val="FootnoteText"/>
      </w:pPr>
      <w:r>
        <w:rPr>
          <w:rStyle w:val="FootnoteReference"/>
        </w:rPr>
        <w:footnoteRef/>
      </w:r>
      <w:r>
        <w:t xml:space="preserve"> </w:t>
      </w:r>
      <w:r w:rsidR="009B227B">
        <w:rPr>
          <w:i/>
          <w:iCs/>
        </w:rPr>
        <w:t>Id.</w:t>
      </w:r>
      <w:r w:rsidRPr="006947E3" w:rsidR="006947E3">
        <w:t xml:space="preserve"> </w:t>
      </w:r>
      <w:r w:rsidR="006947E3">
        <w:t>Duke’s concern with the purported retroactivity of OCC’s recommendation has no merit.</w:t>
      </w:r>
      <w:r w:rsidR="006461C4">
        <w:t xml:space="preserve"> </w:t>
      </w:r>
      <w:r w:rsidR="00375F4F">
        <w:t xml:space="preserve">It is well-settled that where, as here, costs associated with matters </w:t>
      </w:r>
      <w:r w:rsidRPr="00375F4F" w:rsidR="00375F4F">
        <w:rPr>
          <w:i/>
          <w:iCs/>
        </w:rPr>
        <w:t>before</w:t>
      </w:r>
      <w:r w:rsidR="00375F4F">
        <w:t xml:space="preserve"> the audit period affect costs/rates </w:t>
      </w:r>
      <w:r w:rsidRPr="00375F4F" w:rsidR="00375F4F">
        <w:rPr>
          <w:i/>
          <w:iCs/>
        </w:rPr>
        <w:t>during</w:t>
      </w:r>
      <w:r w:rsidR="00375F4F">
        <w:t xml:space="preserve"> the audit period, adjustments are appropriate.</w:t>
      </w:r>
      <w:r w:rsidR="006461C4">
        <w:t xml:space="preserve"> </w:t>
      </w:r>
      <w:r w:rsidR="00375F4F">
        <w:rPr>
          <w:i/>
          <w:iCs/>
        </w:rPr>
        <w:t>See, e.g., In re Fuel Adjustment Clauses for Columbus S. Power Co.</w:t>
      </w:r>
      <w:r w:rsidR="00375F4F">
        <w:t xml:space="preserve">, 140 Ohio St.3d 253, 366-67 (2014); </w:t>
      </w:r>
      <w:r w:rsidR="00375F4F">
        <w:rPr>
          <w:i/>
          <w:iCs/>
        </w:rPr>
        <w:t>In the Matter of the Regulation of the Electric Fuel Component Contained Within the Rate Schedules of Columbus Southern Power Company and Related Matters</w:t>
      </w:r>
      <w:r w:rsidR="00375F4F">
        <w:t xml:space="preserve">, 1987 Ohio PUC Lexis 123, *8-14 (1987); </w:t>
      </w:r>
      <w:r w:rsidR="00375F4F">
        <w:rPr>
          <w:i/>
          <w:iCs/>
        </w:rPr>
        <w:t>In the Matter of the Regulation of the Electric Fuel Component Contained Within the Rate Schedules of the Toledo Edison Company and Related Matters</w:t>
      </w:r>
      <w:r w:rsidR="00375F4F">
        <w:t>, 1986 Ohio PUC Lexis 853, *1-5 (1986).</w:t>
      </w:r>
    </w:p>
  </w:footnote>
  <w:footnote w:id="18">
    <w:p w:rsidR="00AF6BFF" w14:paraId="65E9A48C" w14:textId="01A6E8C8">
      <w:pPr>
        <w:pStyle w:val="FootnoteText"/>
      </w:pPr>
      <w:r>
        <w:rPr>
          <w:rStyle w:val="FootnoteReference"/>
        </w:rPr>
        <w:footnoteRef/>
      </w:r>
      <w:r>
        <w:t xml:space="preserve"> </w:t>
      </w:r>
      <w:r w:rsidR="009B227B">
        <w:t>R.C. 4911.</w:t>
      </w:r>
    </w:p>
  </w:footnote>
  <w:footnote w:id="19">
    <w:p w:rsidR="00AF6BFF" w:rsidRPr="008C3F82" w14:paraId="14C7BDE1" w14:textId="58EEF4B6">
      <w:pPr>
        <w:pStyle w:val="FootnoteText"/>
      </w:pPr>
      <w:r>
        <w:rPr>
          <w:rStyle w:val="FootnoteReference"/>
        </w:rPr>
        <w:footnoteRef/>
      </w:r>
      <w:r>
        <w:t xml:space="preserve"> Duke Brief at 4-5</w:t>
      </w:r>
      <w:r w:rsidR="00B86EB0">
        <w:t>.</w:t>
      </w:r>
      <w:r w:rsidR="006461C4">
        <w:t xml:space="preserve"> </w:t>
      </w:r>
      <w:r w:rsidR="008C3F82">
        <w:t>IGS claims that OCC’s recommendation is beyond the scope of this proceeding.</w:t>
      </w:r>
      <w:r w:rsidR="006461C4">
        <w:t xml:space="preserve"> </w:t>
      </w:r>
      <w:r w:rsidR="008C3F82">
        <w:rPr>
          <w:i/>
          <w:iCs/>
        </w:rPr>
        <w:t xml:space="preserve">See </w:t>
      </w:r>
      <w:r w:rsidR="008C3F82">
        <w:t>IGS’s Brief at 10-12.</w:t>
      </w:r>
      <w:r w:rsidR="006461C4">
        <w:t xml:space="preserve"> </w:t>
      </w:r>
      <w:r w:rsidR="008C3F82">
        <w:t xml:space="preserve">Clearly, an audit of Duke’s gas management practices should encompass </w:t>
      </w:r>
      <w:r w:rsidR="008C3F82">
        <w:rPr>
          <w:i/>
          <w:iCs/>
        </w:rPr>
        <w:t xml:space="preserve">how </w:t>
      </w:r>
      <w:r w:rsidR="008C3F82">
        <w:t>Duke procures the commodity.</w:t>
      </w:r>
      <w:r w:rsidR="006461C4">
        <w:t xml:space="preserve"> </w:t>
      </w:r>
      <w:r w:rsidR="008C3F82">
        <w:t>As discussed infra, the auditor himself noted that Duke’s GCR rates have been higher than the offers of the other three major natural gas distribution companies – who use a competitive auction.</w:t>
      </w:r>
    </w:p>
  </w:footnote>
  <w:footnote w:id="20">
    <w:p w:rsidR="009445E5" w14:paraId="13D4D5E9" w14:textId="2FDE3220">
      <w:pPr>
        <w:pStyle w:val="FootnoteText"/>
      </w:pPr>
      <w:r>
        <w:rPr>
          <w:rStyle w:val="FootnoteReference"/>
        </w:rPr>
        <w:footnoteRef/>
      </w:r>
      <w:r>
        <w:t xml:space="preserve"> OCC Brief at </w:t>
      </w:r>
      <w:r w:rsidR="009B227B">
        <w:t>10-12</w:t>
      </w:r>
      <w:r>
        <w:t>.</w:t>
      </w:r>
    </w:p>
  </w:footnote>
  <w:footnote w:id="21">
    <w:p w:rsidR="004F44C0" w14:paraId="3ABF6132" w14:textId="7A627C8F">
      <w:pPr>
        <w:pStyle w:val="FootnoteText"/>
      </w:pPr>
      <w:r>
        <w:rPr>
          <w:rStyle w:val="FootnoteReference"/>
        </w:rPr>
        <w:footnoteRef/>
      </w:r>
      <w:r>
        <w:t xml:space="preserve"> </w:t>
      </w:r>
      <w:r w:rsidR="009B227B">
        <w:rPr>
          <w:i/>
          <w:iCs/>
        </w:rPr>
        <w:t>Id.</w:t>
      </w:r>
    </w:p>
  </w:footnote>
  <w:footnote w:id="22">
    <w:p w:rsidR="009D2A4A" w:rsidRPr="009D2A4A" w14:paraId="301D86A5" w14:textId="49C96F2C">
      <w:pPr>
        <w:pStyle w:val="FootnoteText"/>
      </w:pPr>
      <w:r>
        <w:rPr>
          <w:rStyle w:val="FootnoteReference"/>
        </w:rPr>
        <w:footnoteRef/>
      </w:r>
      <w:r>
        <w:t xml:space="preserve"> </w:t>
      </w:r>
      <w:r>
        <w:rPr>
          <w:i/>
          <w:iCs/>
        </w:rPr>
        <w:t xml:space="preserve">See </w:t>
      </w:r>
      <w:r>
        <w:t>Hearing Transcript at 10-11.</w:t>
      </w:r>
    </w:p>
  </w:footnote>
  <w:footnote w:id="23">
    <w:p w:rsidR="00840408" w:rsidRPr="008C3F82" w14:paraId="4CFE68E0" w14:textId="5E4FE141">
      <w:pPr>
        <w:pStyle w:val="FootnoteText"/>
      </w:pPr>
      <w:r>
        <w:rPr>
          <w:rStyle w:val="FootnoteReference"/>
        </w:rPr>
        <w:footnoteRef/>
      </w:r>
      <w:r>
        <w:t xml:space="preserve"> Duke Brief at 5-6.</w:t>
      </w:r>
      <w:r w:rsidR="006461C4">
        <w:t xml:space="preserve"> </w:t>
      </w:r>
      <w:r w:rsidR="008C3F82">
        <w:t>IGS asserts that OCC’s recommendation is beyond the scope of this proceeding.</w:t>
      </w:r>
      <w:r w:rsidR="006461C4">
        <w:t xml:space="preserve"> </w:t>
      </w:r>
      <w:r w:rsidR="008C3F82">
        <w:rPr>
          <w:i/>
          <w:iCs/>
        </w:rPr>
        <w:t xml:space="preserve">See </w:t>
      </w:r>
      <w:r w:rsidR="008C3F82">
        <w:t>IGS’s Brief at 10-12.</w:t>
      </w:r>
      <w:r w:rsidR="006461C4">
        <w:t xml:space="preserve"> </w:t>
      </w:r>
      <w:r w:rsidR="008C3F82">
        <w:t xml:space="preserve">But </w:t>
      </w:r>
      <w:r w:rsidR="00067770">
        <w:t>a comparison of Duke’s commodity cost to marketer’s surely reflects on Duke’s gas management practices.</w:t>
      </w:r>
    </w:p>
  </w:footnote>
  <w:footnote w:id="24">
    <w:p w:rsidR="00697913" w:rsidP="00697913" w14:paraId="04B38A57" w14:textId="093E71C7">
      <w:pPr>
        <w:pStyle w:val="FootnoteText"/>
      </w:pPr>
      <w:r>
        <w:rPr>
          <w:rStyle w:val="FootnoteReference"/>
        </w:rPr>
        <w:footnoteRef/>
      </w:r>
      <w:r>
        <w:t xml:space="preserve"> OCC Brief at </w:t>
      </w:r>
      <w:r w:rsidR="009B227B">
        <w:t>14-15.</w:t>
      </w:r>
    </w:p>
  </w:footnote>
  <w:footnote w:id="25">
    <w:p w:rsidR="00697913" w:rsidP="00697913" w14:paraId="76CEE466" w14:textId="75C28ABC">
      <w:pPr>
        <w:pStyle w:val="FootnoteText"/>
      </w:pPr>
      <w:r>
        <w:rPr>
          <w:rStyle w:val="FootnoteReference"/>
        </w:rPr>
        <w:footnoteRef/>
      </w:r>
      <w:r>
        <w:t xml:space="preserve"> </w:t>
      </w:r>
      <w:r w:rsidR="009B227B">
        <w:rPr>
          <w:i/>
          <w:iCs/>
        </w:rPr>
        <w:t>Id.</w:t>
      </w:r>
    </w:p>
  </w:footnote>
  <w:footnote w:id="26">
    <w:p w:rsidR="00697913" w14:paraId="3FBA30EF" w14:textId="09EBC37F">
      <w:pPr>
        <w:pStyle w:val="FootnoteText"/>
      </w:pPr>
      <w:r>
        <w:rPr>
          <w:rStyle w:val="FootnoteReference"/>
        </w:rPr>
        <w:footnoteRef/>
      </w:r>
      <w:r>
        <w:t xml:space="preserve"> Duke Brief at 5-6.</w:t>
      </w:r>
    </w:p>
  </w:footnote>
  <w:footnote w:id="27">
    <w:p w:rsidR="00D30D07" w14:paraId="0272C2AD" w14:textId="361DA69B">
      <w:pPr>
        <w:pStyle w:val="FootnoteText"/>
      </w:pPr>
      <w:r>
        <w:rPr>
          <w:rStyle w:val="FootnoteReference"/>
        </w:rPr>
        <w:footnoteRef/>
      </w:r>
      <w:r>
        <w:t xml:space="preserve"> </w:t>
      </w:r>
      <w:r w:rsidR="009B227B">
        <w:rPr>
          <w:i/>
          <w:iCs/>
        </w:rPr>
        <w:t xml:space="preserve">Id. </w:t>
      </w:r>
      <w:r>
        <w:t>at 1.</w:t>
      </w:r>
    </w:p>
  </w:footnote>
  <w:footnote w:id="28">
    <w:p w:rsidR="00B670A9" w:rsidRPr="00E46A9A" w:rsidP="00B670A9" w14:paraId="21795260" w14:textId="77777777">
      <w:pPr>
        <w:pStyle w:val="FootnoteText"/>
      </w:pPr>
      <w:r w:rsidRPr="00E46A9A">
        <w:rPr>
          <w:rStyle w:val="FootnoteReference"/>
        </w:rPr>
        <w:footnoteRef/>
      </w:r>
      <w:r w:rsidRPr="00E46A9A">
        <w:t xml:space="preserve"> </w:t>
      </w:r>
      <w:r>
        <w:t>OCC Brief at 15; R.C. 4905.302(C)(2)(b).</w:t>
      </w:r>
    </w:p>
  </w:footnote>
  <w:footnote w:id="29">
    <w:p w:rsidR="00B670A9" w:rsidRPr="00E46A9A" w:rsidP="00B670A9" w14:paraId="4659E200" w14:textId="77777777">
      <w:pPr>
        <w:pStyle w:val="FootnoteText"/>
      </w:pPr>
      <w:r w:rsidRPr="00E46A9A">
        <w:rPr>
          <w:rStyle w:val="FootnoteReference"/>
        </w:rPr>
        <w:footnoteRef/>
      </w:r>
      <w:r w:rsidRPr="00E46A9A">
        <w:t xml:space="preserve"> </w:t>
      </w:r>
      <w:r>
        <w:rPr>
          <w:i/>
          <w:iCs/>
        </w:rPr>
        <w:t xml:space="preserve">Id. </w:t>
      </w:r>
      <w:r>
        <w:t>at 15-16; R.C. 4929.02(A).</w:t>
      </w:r>
    </w:p>
  </w:footnote>
  <w:footnote w:id="30">
    <w:p w:rsidR="00B670A9" w:rsidRPr="009B227B" w:rsidP="00B670A9" w14:paraId="013FEB87" w14:textId="77777777">
      <w:pPr>
        <w:pStyle w:val="FootnoteText"/>
      </w:pPr>
      <w:r>
        <w:rPr>
          <w:rStyle w:val="FootnoteReference"/>
        </w:rPr>
        <w:footnoteRef/>
      </w:r>
      <w:r>
        <w:t xml:space="preserve"> </w:t>
      </w:r>
      <w:r>
        <w:rPr>
          <w:i/>
          <w:iCs/>
        </w:rPr>
        <w:t xml:space="preserve">Id. </w:t>
      </w:r>
      <w:r>
        <w:t>at 16.</w:t>
      </w:r>
    </w:p>
  </w:footnote>
  <w:footnote w:id="31">
    <w:p w:rsidR="00A130D5" w14:paraId="72F8648E" w14:textId="771A628D">
      <w:pPr>
        <w:pStyle w:val="FootnoteText"/>
      </w:pPr>
      <w:r>
        <w:rPr>
          <w:rStyle w:val="FootnoteReference"/>
        </w:rPr>
        <w:footnoteRef/>
      </w:r>
      <w:r>
        <w:t xml:space="preserve"> </w:t>
      </w:r>
      <w:r w:rsidR="009B227B">
        <w:rPr>
          <w:i/>
          <w:iCs/>
        </w:rPr>
        <w:t xml:space="preserve">Id. </w:t>
      </w:r>
      <w:r>
        <w:t>at 2.</w:t>
      </w:r>
    </w:p>
  </w:footnote>
  <w:footnote w:id="32">
    <w:p w:rsidR="00A130D5" w14:paraId="10F3AC1D" w14:textId="76FE9291">
      <w:pPr>
        <w:pStyle w:val="FootnoteText"/>
      </w:pPr>
      <w:r>
        <w:rPr>
          <w:rStyle w:val="FootnoteReference"/>
        </w:rPr>
        <w:footnoteRef/>
      </w:r>
      <w:r>
        <w:t xml:space="preserve"> Duke Brief at 2.</w:t>
      </w:r>
    </w:p>
  </w:footnote>
  <w:footnote w:id="33">
    <w:p w:rsidR="00AF6BFF" w14:paraId="78952834" w14:textId="1410CCC0">
      <w:pPr>
        <w:pStyle w:val="FootnoteText"/>
      </w:pPr>
      <w:r>
        <w:rPr>
          <w:rStyle w:val="FootnoteReference"/>
        </w:rPr>
        <w:footnoteRef/>
      </w:r>
      <w:r>
        <w:t xml:space="preserve"> </w:t>
      </w:r>
      <w:r>
        <w:rPr>
          <w:i/>
          <w:iCs/>
        </w:rPr>
        <w:t>Id.</w:t>
      </w:r>
      <w:r>
        <w:t xml:space="preserve"> </w:t>
      </w:r>
    </w:p>
  </w:footnote>
  <w:footnote w:id="34">
    <w:p w:rsidR="00AF6BFF" w:rsidP="003D58CC" w14:paraId="2BCC0CD0" w14:textId="77777777">
      <w:pPr>
        <w:pStyle w:val="FootnoteText"/>
      </w:pPr>
      <w:r>
        <w:rPr>
          <w:rStyle w:val="FootnoteReference"/>
        </w:rPr>
        <w:footnoteRef/>
      </w:r>
      <w:r>
        <w:t xml:space="preserve"> </w:t>
      </w:r>
      <w:r>
        <w:rPr>
          <w:i/>
          <w:iCs/>
        </w:rPr>
        <w:t>Id.</w:t>
      </w:r>
    </w:p>
  </w:footnote>
  <w:footnote w:id="35">
    <w:p w:rsidR="007E3037" w:rsidP="007E3037" w14:paraId="4868A74B"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6BFF" w:rsidRPr="00573172" w:rsidP="003D58CC" w14:paraId="73D2B2E1"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80C7B8A"/>
    <w:lvl w:ilvl="0">
      <w:start w:val="1"/>
      <w:numFmt w:val="decimal"/>
      <w:lvlText w:val="%1."/>
      <w:lvlJc w:val="left"/>
      <w:pPr>
        <w:tabs>
          <w:tab w:val="num" w:pos="1800"/>
        </w:tabs>
        <w:ind w:left="1800" w:hanging="360"/>
      </w:pPr>
    </w:lvl>
  </w:abstractNum>
  <w:abstractNum w:abstractNumId="1">
    <w:nsid w:val="FFFFFF7D"/>
    <w:multiLevelType w:val="singleLevel"/>
    <w:tmpl w:val="522CE64A"/>
    <w:lvl w:ilvl="0">
      <w:start w:val="1"/>
      <w:numFmt w:val="decimal"/>
      <w:lvlText w:val="%1."/>
      <w:lvlJc w:val="left"/>
      <w:pPr>
        <w:tabs>
          <w:tab w:val="num" w:pos="1440"/>
        </w:tabs>
        <w:ind w:left="1440" w:hanging="360"/>
      </w:pPr>
    </w:lvl>
  </w:abstractNum>
  <w:abstractNum w:abstractNumId="2">
    <w:nsid w:val="FFFFFF7E"/>
    <w:multiLevelType w:val="singleLevel"/>
    <w:tmpl w:val="28B2C196"/>
    <w:lvl w:ilvl="0">
      <w:start w:val="1"/>
      <w:numFmt w:val="decimal"/>
      <w:lvlText w:val="%1."/>
      <w:lvlJc w:val="left"/>
      <w:pPr>
        <w:tabs>
          <w:tab w:val="num" w:pos="1080"/>
        </w:tabs>
        <w:ind w:left="1080" w:hanging="360"/>
      </w:pPr>
    </w:lvl>
  </w:abstractNum>
  <w:abstractNum w:abstractNumId="3">
    <w:nsid w:val="FFFFFF7F"/>
    <w:multiLevelType w:val="singleLevel"/>
    <w:tmpl w:val="2EC6AC22"/>
    <w:lvl w:ilvl="0">
      <w:start w:val="1"/>
      <w:numFmt w:val="decimal"/>
      <w:lvlText w:val="%1."/>
      <w:lvlJc w:val="left"/>
      <w:pPr>
        <w:tabs>
          <w:tab w:val="num" w:pos="720"/>
        </w:tabs>
        <w:ind w:left="720" w:hanging="360"/>
      </w:pPr>
    </w:lvl>
  </w:abstractNum>
  <w:abstractNum w:abstractNumId="4">
    <w:nsid w:val="FFFFFF80"/>
    <w:multiLevelType w:val="singleLevel"/>
    <w:tmpl w:val="C94C21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7402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92F3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88A4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E4AE2"/>
    <w:lvl w:ilvl="0">
      <w:start w:val="1"/>
      <w:numFmt w:val="decimal"/>
      <w:lvlText w:val="%1."/>
      <w:lvlJc w:val="left"/>
      <w:pPr>
        <w:tabs>
          <w:tab w:val="num" w:pos="360"/>
        </w:tabs>
        <w:ind w:left="360" w:hanging="360"/>
      </w:pPr>
    </w:lvl>
  </w:abstractNum>
  <w:abstractNum w:abstractNumId="9">
    <w:nsid w:val="FFFFFF89"/>
    <w:multiLevelType w:val="singleLevel"/>
    <w:tmpl w:val="B92ED3B0"/>
    <w:lvl w:ilvl="0">
      <w:start w:val="1"/>
      <w:numFmt w:val="bullet"/>
      <w:lvlText w:val=""/>
      <w:lvlJc w:val="left"/>
      <w:pPr>
        <w:tabs>
          <w:tab w:val="num" w:pos="360"/>
        </w:tabs>
        <w:ind w:left="360" w:hanging="360"/>
      </w:pPr>
      <w:rPr>
        <w:rFonts w:ascii="Symbol" w:hAnsi="Symbol" w:hint="default"/>
      </w:rPr>
    </w:lvl>
  </w:abstractNum>
  <w:abstractNum w:abstractNumId="10">
    <w:nsid w:val="13A97DA4"/>
    <w:multiLevelType w:val="hybridMultilevel"/>
    <w:tmpl w:val="8062CF5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3F74B5F"/>
    <w:multiLevelType w:val="hybridMultilevel"/>
    <w:tmpl w:val="B3484398"/>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47A41EBB"/>
    <w:multiLevelType w:val="hybridMultilevel"/>
    <w:tmpl w:val="79DE9AE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5292A1E"/>
    <w:multiLevelType w:val="hybridMultilevel"/>
    <w:tmpl w:val="82E05D0A"/>
    <w:lvl w:ilvl="0">
      <w:start w:val="1"/>
      <w:numFmt w:val="upperRoman"/>
      <w:pStyle w:val="Heading1"/>
      <w:lvlText w:val="%1."/>
      <w:lvlJc w:val="left"/>
      <w:pPr>
        <w:ind w:left="1080" w:hanging="720"/>
      </w:pPr>
      <w:rPr>
        <w:rFonts w:hint="default"/>
        <w:b/>
        <w:bCs/>
      </w:rPr>
    </w:lvl>
    <w:lvl w:ilvl="1">
      <w:start w:val="1"/>
      <w:numFmt w:val="upperLetter"/>
      <w:lvlText w:val="%2."/>
      <w:lvlJc w:val="left"/>
      <w:pPr>
        <w:ind w:left="1440" w:hanging="360"/>
      </w:pPr>
      <w:rPr>
        <w:rFonts w:hint="default"/>
      </w:r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9C55ED"/>
    <w:multiLevelType w:val="hybridMultilevel"/>
    <w:tmpl w:val="629C55D2"/>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15">
    <w:nsid w:val="7DCC4417"/>
    <w:multiLevelType w:val="hybridMultilevel"/>
    <w:tmpl w:val="B4607EF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FCA4012"/>
    <w:multiLevelType w:val="hybridMultilevel"/>
    <w:tmpl w:val="A7B669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2"/>
  </w:num>
  <w:num w:numId="5">
    <w:abstractNumId w:val="10"/>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01"/>
    <w:rsid w:val="00000006"/>
    <w:rsid w:val="00012C8F"/>
    <w:rsid w:val="00035431"/>
    <w:rsid w:val="00067770"/>
    <w:rsid w:val="000C343C"/>
    <w:rsid w:val="000F3CC6"/>
    <w:rsid w:val="00107A11"/>
    <w:rsid w:val="00113E96"/>
    <w:rsid w:val="00235348"/>
    <w:rsid w:val="0029165A"/>
    <w:rsid w:val="002923F9"/>
    <w:rsid w:val="002D4755"/>
    <w:rsid w:val="002E5165"/>
    <w:rsid w:val="0036606D"/>
    <w:rsid w:val="00375F4F"/>
    <w:rsid w:val="003A5E1D"/>
    <w:rsid w:val="003D58CC"/>
    <w:rsid w:val="003E6DFB"/>
    <w:rsid w:val="003F0F6D"/>
    <w:rsid w:val="003F7B55"/>
    <w:rsid w:val="0040393E"/>
    <w:rsid w:val="0049510E"/>
    <w:rsid w:val="004C79DE"/>
    <w:rsid w:val="004E781D"/>
    <w:rsid w:val="004F44C0"/>
    <w:rsid w:val="0053379A"/>
    <w:rsid w:val="00534F15"/>
    <w:rsid w:val="00547FB4"/>
    <w:rsid w:val="00554787"/>
    <w:rsid w:val="00573172"/>
    <w:rsid w:val="005B0A1C"/>
    <w:rsid w:val="005C2541"/>
    <w:rsid w:val="005C3774"/>
    <w:rsid w:val="005D2D42"/>
    <w:rsid w:val="005E436C"/>
    <w:rsid w:val="006040B7"/>
    <w:rsid w:val="00614CBC"/>
    <w:rsid w:val="0064140C"/>
    <w:rsid w:val="00643C00"/>
    <w:rsid w:val="006461C4"/>
    <w:rsid w:val="00674AEB"/>
    <w:rsid w:val="006947E3"/>
    <w:rsid w:val="00697913"/>
    <w:rsid w:val="006D096A"/>
    <w:rsid w:val="006D63A1"/>
    <w:rsid w:val="00717906"/>
    <w:rsid w:val="00722456"/>
    <w:rsid w:val="007A2400"/>
    <w:rsid w:val="007D0001"/>
    <w:rsid w:val="007E3037"/>
    <w:rsid w:val="00803E05"/>
    <w:rsid w:val="00823BAB"/>
    <w:rsid w:val="00837CEB"/>
    <w:rsid w:val="00840408"/>
    <w:rsid w:val="00885B84"/>
    <w:rsid w:val="008C3F82"/>
    <w:rsid w:val="008D38AA"/>
    <w:rsid w:val="008D6CCD"/>
    <w:rsid w:val="008E20EA"/>
    <w:rsid w:val="008E55E2"/>
    <w:rsid w:val="009445E5"/>
    <w:rsid w:val="00971765"/>
    <w:rsid w:val="00992DBC"/>
    <w:rsid w:val="009A5E9A"/>
    <w:rsid w:val="009B227B"/>
    <w:rsid w:val="009D2A4A"/>
    <w:rsid w:val="009F00F3"/>
    <w:rsid w:val="00A130D5"/>
    <w:rsid w:val="00A20573"/>
    <w:rsid w:val="00A52427"/>
    <w:rsid w:val="00A615DF"/>
    <w:rsid w:val="00AA2A07"/>
    <w:rsid w:val="00AC3342"/>
    <w:rsid w:val="00AE30CB"/>
    <w:rsid w:val="00AE6F88"/>
    <w:rsid w:val="00AF6491"/>
    <w:rsid w:val="00AF6BFF"/>
    <w:rsid w:val="00B0693A"/>
    <w:rsid w:val="00B1198A"/>
    <w:rsid w:val="00B3382B"/>
    <w:rsid w:val="00B34225"/>
    <w:rsid w:val="00B41FB1"/>
    <w:rsid w:val="00B45453"/>
    <w:rsid w:val="00B670A9"/>
    <w:rsid w:val="00B67161"/>
    <w:rsid w:val="00B8402E"/>
    <w:rsid w:val="00B86EB0"/>
    <w:rsid w:val="00BC7C93"/>
    <w:rsid w:val="00C1565D"/>
    <w:rsid w:val="00C61C43"/>
    <w:rsid w:val="00C743FA"/>
    <w:rsid w:val="00CB473C"/>
    <w:rsid w:val="00CC6303"/>
    <w:rsid w:val="00CD16A3"/>
    <w:rsid w:val="00CF50F0"/>
    <w:rsid w:val="00D224FB"/>
    <w:rsid w:val="00D30D07"/>
    <w:rsid w:val="00D721C8"/>
    <w:rsid w:val="00D932CF"/>
    <w:rsid w:val="00DA3DBA"/>
    <w:rsid w:val="00DB44A5"/>
    <w:rsid w:val="00DC6344"/>
    <w:rsid w:val="00DE1029"/>
    <w:rsid w:val="00E072B4"/>
    <w:rsid w:val="00E43669"/>
    <w:rsid w:val="00E46A9A"/>
    <w:rsid w:val="00E816C3"/>
    <w:rsid w:val="00E86FCF"/>
    <w:rsid w:val="00E96046"/>
    <w:rsid w:val="00EB1EB4"/>
    <w:rsid w:val="00EB7D71"/>
    <w:rsid w:val="00F033CE"/>
    <w:rsid w:val="00F2718B"/>
    <w:rsid w:val="00FA25A7"/>
    <w:rsid w:val="00FB0796"/>
    <w:rsid w:val="00FC4C73"/>
    <w:rsid w:val="00FD1EA2"/>
    <w:rsid w:val="44BBC7B9"/>
  </w:rsids>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BD"/>
    <w:rPr>
      <w:sz w:val="24"/>
      <w:szCs w:val="24"/>
    </w:rPr>
  </w:style>
  <w:style w:type="paragraph" w:styleId="Heading1">
    <w:name w:val="heading 1"/>
    <w:basedOn w:val="Normal"/>
    <w:next w:val="Normal"/>
    <w:link w:val="Heading1Char"/>
    <w:autoRedefine/>
    <w:uiPriority w:val="99"/>
    <w:qFormat/>
    <w:rsid w:val="005C2541"/>
    <w:pPr>
      <w:numPr>
        <w:numId w:val="6"/>
      </w:numPr>
      <w:suppressLineNumbers/>
      <w:tabs>
        <w:tab w:val="decimal" w:leader="dot" w:pos="8640"/>
      </w:tabs>
      <w:overflowPunct w:val="0"/>
      <w:autoSpaceDE w:val="0"/>
      <w:autoSpaceDN w:val="0"/>
      <w:adjustRightInd w:val="0"/>
      <w:spacing w:after="240"/>
      <w:ind w:left="720"/>
      <w:textAlignment w:val="baseline"/>
      <w:outlineLvl w:val="0"/>
    </w:pPr>
    <w:rPr>
      <w:rFonts w:ascii="Times New Roman Bold" w:hAnsi="Times New Roman Bold"/>
      <w:b/>
      <w:bCs/>
      <w:caps/>
      <w:color w:val="000000" w:themeColor="text1"/>
      <w:kern w:val="32"/>
    </w:rPr>
  </w:style>
  <w:style w:type="paragraph" w:styleId="Heading2">
    <w:name w:val="heading 2"/>
    <w:basedOn w:val="Normal"/>
    <w:next w:val="Normal"/>
    <w:link w:val="Heading2Char"/>
    <w:autoRedefine/>
    <w:uiPriority w:val="99"/>
    <w:qFormat/>
    <w:rsid w:val="0053379A"/>
    <w:pPr>
      <w:spacing w:after="240"/>
      <w:ind w:left="1440" w:hanging="720"/>
      <w:outlineLvl w:val="1"/>
    </w:pPr>
    <w:rPr>
      <w:rFonts w:ascii="Times New Roman Bold" w:hAnsi="Times New Roman Bold"/>
      <w:b/>
    </w:rPr>
  </w:style>
  <w:style w:type="paragraph" w:styleId="Heading3">
    <w:name w:val="heading 3"/>
    <w:basedOn w:val="Normal"/>
    <w:next w:val="Normal"/>
    <w:link w:val="Heading3Char"/>
    <w:autoRedefine/>
    <w:unhideWhenUsed/>
    <w:qFormat/>
    <w:locked/>
    <w:rsid w:val="005C2541"/>
    <w:pPr>
      <w:keepNext/>
      <w:keepLines/>
      <w:spacing w:after="240"/>
      <w:ind w:left="216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2541"/>
    <w:rPr>
      <w:rFonts w:ascii="Times New Roman Bold" w:hAnsi="Times New Roman Bold"/>
      <w:b/>
      <w:bCs/>
      <w:caps/>
      <w:color w:val="000000" w:themeColor="text1"/>
      <w:kern w:val="32"/>
      <w:sz w:val="24"/>
      <w:szCs w:val="24"/>
    </w:rPr>
  </w:style>
  <w:style w:type="character" w:customStyle="1" w:styleId="Heading2Char">
    <w:name w:val="Heading 2 Char"/>
    <w:link w:val="Heading2"/>
    <w:uiPriority w:val="99"/>
    <w:locked/>
    <w:rsid w:val="0053379A"/>
    <w:rPr>
      <w:rFonts w:ascii="Times New Roman Bold" w:hAnsi="Times New Roman Bold"/>
      <w:b/>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uiPriority w:val="59"/>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Car,Footnote Text Cha,Footnote Text Char Char4 Char,Footnote Text Char Char4 Char1 Char Char,Footnote Text Char2,Footnote Text Char4 Char,Footnote Text Char4 Char1 Char Char,Footnote Text Char5 Char1 Char Char Char Char Char,fn"/>
    <w:basedOn w:val="Normal"/>
    <w:link w:val="FootnoteTextChar"/>
    <w:qFormat/>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Car Char,Footnote Text Cha Char,Footnote Text Char Char4 Char Char,Footnote Text Char Char4 Char1 Char Char Char,Footnote Text Char2 Char,Footnote Text Char4 Char Char,Footnote Text Char4 Char1 Char Char Char,fn Char"/>
    <w:link w:val="FootnoteText"/>
    <w:uiPriority w:val="99"/>
    <w:locked/>
    <w:rsid w:val="00381778"/>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81F70"/>
    <w:rPr>
      <w:vertAlign w:val="superscript"/>
    </w:rPr>
  </w:style>
  <w:style w:type="paragraph" w:styleId="EndnoteText">
    <w:name w:val="endnote text"/>
    <w:basedOn w:val="Normal"/>
    <w:link w:val="EndnoteTextChar"/>
    <w:uiPriority w:val="99"/>
    <w:rsid w:val="00B81F70"/>
    <w:pPr>
      <w:widowControl w:val="0"/>
    </w:pPr>
    <w:rPr>
      <w:sz w:val="20"/>
      <w:szCs w:val="20"/>
    </w:rPr>
  </w:style>
  <w:style w:type="character" w:customStyle="1" w:styleId="EndnoteTextChar">
    <w:name w:val="Endnote Text Char"/>
    <w:link w:val="EndnoteText"/>
    <w:uiPriority w:val="99"/>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rsid w:val="00B81F70"/>
    <w:rPr>
      <w:sz w:val="20"/>
      <w:szCs w:val="20"/>
    </w:rPr>
  </w:style>
  <w:style w:type="character" w:customStyle="1" w:styleId="CommentTextChar">
    <w:name w:val="Comment Text Char"/>
    <w:link w:val="CommentText"/>
    <w:locked/>
    <w:rsid w:val="00B81F70"/>
    <w:rPr>
      <w:sz w:val="20"/>
      <w:szCs w:val="20"/>
    </w:rPr>
  </w:style>
  <w:style w:type="paragraph" w:styleId="CommentSubject">
    <w:name w:val="annotation subject"/>
    <w:basedOn w:val="CommentText"/>
    <w:next w:val="CommentText"/>
    <w:link w:val="CommentSubjectChar"/>
    <w:semiHidden/>
    <w:rsid w:val="00B81F70"/>
    <w:rPr>
      <w:b/>
      <w:bCs/>
    </w:rPr>
  </w:style>
  <w:style w:type="character" w:customStyle="1" w:styleId="CommentSubjectChar">
    <w:name w:val="Comment Subject Char"/>
    <w:link w:val="CommentSubject"/>
    <w:semiHidden/>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A23ACE"/>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C0E0E"/>
    <w:pPr>
      <w:ind w:left="720"/>
      <w:contextualSpacing/>
    </w:pPr>
  </w:style>
  <w:style w:type="paragraph" w:styleId="TOC2">
    <w:name w:val="toc 2"/>
    <w:basedOn w:val="Normal"/>
    <w:next w:val="Normal"/>
    <w:autoRedefine/>
    <w:uiPriority w:val="39"/>
    <w:locked/>
    <w:rsid w:val="00555B25"/>
    <w:pPr>
      <w:tabs>
        <w:tab w:val="left" w:pos="720"/>
        <w:tab w:val="decimal" w:leader="dot" w:pos="8640"/>
      </w:tabs>
      <w:spacing w:after="240"/>
      <w:ind w:left="1440" w:hanging="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5C2541"/>
    <w:rPr>
      <w:rFonts w:ascii="Times New Roman Bold" w:hAnsi="Times New Roman Bold" w:eastAsiaTheme="majorEastAsia" w:cstheme="majorBidi"/>
      <w:b/>
      <w:bCs/>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qFormat/>
    <w:locked/>
    <w:rsid w:val="006D30BD"/>
    <w:pPr>
      <w:spacing w:after="240"/>
      <w:ind w:left="2160" w:hanging="72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paragraph" w:styleId="NoSpacing">
    <w:name w:val="No Spacing"/>
    <w:uiPriority w:val="1"/>
    <w:qFormat/>
    <w:rsid w:val="00195947"/>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rsid w:val="00C743FA"/>
    <w:rPr>
      <w:color w:val="605E5C"/>
      <w:shd w:val="clear" w:color="auto" w:fill="E1DFDD"/>
    </w:rPr>
  </w:style>
  <w:style w:type="character" w:customStyle="1" w:styleId="UnresolvedMention3">
    <w:name w:val="Unresolved Mention3"/>
    <w:basedOn w:val="DefaultParagraphFont"/>
    <w:uiPriority w:val="99"/>
    <w:rsid w:val="009A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even.beeler@ohioattorneygeneral.gov" TargetMode="External" /><Relationship Id="rId11" Type="http://schemas.openxmlformats.org/officeDocument/2006/relationships/hyperlink" Target="mailto:sarah.parrot@puco.ohio.gov" TargetMode="External" /><Relationship Id="rId12" Type="http://schemas.openxmlformats.org/officeDocument/2006/relationships/hyperlink" Target="mailto:stacie.cathcart@puco.ohio.gov" TargetMode="External" /><Relationship Id="rId13" Type="http://schemas.openxmlformats.org/officeDocument/2006/relationships/hyperlink" Target="mailto:elizabeth.watts@duke-energy.com" TargetMode="External" /><Relationship Id="rId14" Type="http://schemas.openxmlformats.org/officeDocument/2006/relationships/hyperlink" Target="mailto:rocco.dascenzo@duke-energy.com" TargetMode="External" /><Relationship Id="rId15" Type="http://schemas.openxmlformats.org/officeDocument/2006/relationships/hyperlink" Target="mailto:jeanne.kingery@duke-energy.com" TargetMode="External" /><Relationship Id="rId16" Type="http://schemas.openxmlformats.org/officeDocument/2006/relationships/hyperlink" Target="mailto:joliker@igsenergy.com" TargetMode="External" /><Relationship Id="rId17" Type="http://schemas.openxmlformats.org/officeDocument/2006/relationships/hyperlink" Target="mailto:mnugent@igsenergy.com" TargetMode="External" /><Relationship Id="rId18" Type="http://schemas.openxmlformats.org/officeDocument/2006/relationships/header" Target="header1.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hyperlink" Target="mailto:robert.eubanks@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50C7-BC06-4E43-AD38-4850ABDA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Duke GCR.docx</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2019-10-29T16:21:56Z</dcterms:created>
  <dcterms:modified xsi:type="dcterms:W3CDTF">2019-10-29T16:21:56Z</dcterms:modified>
</cp:coreProperties>
</file>