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95C2B" w:rsidRPr="000B1454" w:rsidP="00795C2B">
      <w:pPr>
        <w:spacing w:after="0" w:line="240" w:lineRule="auto"/>
        <w:jc w:val="center"/>
        <w:rPr>
          <w:rFonts w:ascii="Times New Roman" w:hAnsi="Times New Roman" w:cs="Times New Roman"/>
          <w:b/>
          <w:bCs/>
          <w:sz w:val="24"/>
          <w:szCs w:val="24"/>
        </w:rPr>
      </w:pPr>
      <w:bookmarkStart w:id="0" w:name="_GoBack"/>
      <w:bookmarkEnd w:id="0"/>
      <w:r w:rsidRPr="000B1454">
        <w:rPr>
          <w:rFonts w:ascii="Times New Roman" w:hAnsi="Times New Roman" w:cs="Times New Roman"/>
          <w:b/>
          <w:bCs/>
          <w:sz w:val="24"/>
          <w:szCs w:val="24"/>
        </w:rPr>
        <w:t>BEFORE</w:t>
      </w:r>
    </w:p>
    <w:p w:rsidR="00795C2B" w:rsidRPr="000B1454" w:rsidP="00795C2B">
      <w:pPr>
        <w:pStyle w:val="HTMLPreformatted"/>
        <w:jc w:val="center"/>
        <w:rPr>
          <w:rFonts w:ascii="Times New Roman" w:hAnsi="Times New Roman" w:cs="Times New Roman"/>
          <w:b/>
          <w:bCs/>
          <w:sz w:val="24"/>
          <w:szCs w:val="24"/>
        </w:rPr>
      </w:pPr>
      <w:r w:rsidRPr="000B1454">
        <w:rPr>
          <w:rFonts w:ascii="Times New Roman" w:hAnsi="Times New Roman" w:cs="Times New Roman"/>
          <w:b/>
          <w:bCs/>
          <w:sz w:val="24"/>
          <w:szCs w:val="24"/>
        </w:rPr>
        <w:t>THE PUBLIC UTILITIES COMMISSION OF OHIO</w:t>
      </w:r>
    </w:p>
    <w:p w:rsidR="00795C2B" w:rsidRPr="000B1454" w:rsidP="00795C2B">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1476"/>
        </w:trPr>
        <w:tc>
          <w:tcPr>
            <w:tcW w:w="4332" w:type="dxa"/>
            <w:shd w:val="clear" w:color="auto" w:fill="auto"/>
          </w:tcPr>
          <w:p w:rsidR="00795C2B" w:rsidRPr="000B1454" w:rsidP="00795C2B">
            <w:pPr>
              <w:autoSpaceDE w:val="0"/>
              <w:autoSpaceDN w:val="0"/>
              <w:adjustRightInd w:val="0"/>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Times New Roman" w:hAnsi="Times New Roman" w:cs="Times New Roman"/>
                <w:sz w:val="24"/>
                <w:szCs w:val="24"/>
                <w:lang w:val="en-US" w:eastAsia="en-US" w:bidi="ar-SA"/>
              </w:rPr>
              <w:t>In the Matter of the Application of Duke Energy Ohio, Inc., for Approval of the Annual Audit Report for Rider SCR, Rider RE, Rider LFA, Rider ESSC, and Rider ECF</w:t>
            </w:r>
            <w:r>
              <w:rPr>
                <w:rFonts w:ascii="Times New Roman" w:eastAsia="Times New Roman" w:hAnsi="Times New Roman" w:cs="Times New Roman"/>
                <w:sz w:val="24"/>
                <w:szCs w:val="24"/>
                <w:lang w:val="en-US" w:eastAsia="en-US" w:bidi="ar-SA"/>
              </w:rPr>
              <w:t>.</w:t>
            </w:r>
          </w:p>
        </w:tc>
        <w:tc>
          <w:tcPr>
            <w:tcW w:w="360" w:type="dxa"/>
            <w:shd w:val="clear" w:color="auto" w:fill="auto"/>
          </w:tcPr>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Courier New" w:hAnsi="Times New Roman" w:cs="Times New Roman"/>
                <w:sz w:val="24"/>
                <w:szCs w:val="24"/>
                <w:lang w:val="en-US" w:eastAsia="en-US" w:bidi="ar-SA"/>
              </w:rPr>
              <w:t>)</w:t>
            </w: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Courier New" w:hAnsi="Times New Roman" w:cs="Times New Roman"/>
                <w:sz w:val="24"/>
                <w:szCs w:val="24"/>
                <w:lang w:val="en-US" w:eastAsia="en-US" w:bidi="ar-SA"/>
              </w:rPr>
              <w:t>)</w:t>
            </w: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Courier New" w:hAnsi="Times New Roman" w:cs="Times New Roman"/>
                <w:sz w:val="24"/>
                <w:szCs w:val="24"/>
                <w:lang w:val="en-US" w:eastAsia="en-US" w:bidi="ar-SA"/>
              </w:rPr>
              <w:t>)</w:t>
            </w: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Courier New" w:hAnsi="Times New Roman" w:cs="Times New Roman"/>
                <w:sz w:val="24"/>
                <w:szCs w:val="24"/>
                <w:lang w:val="en-US" w:eastAsia="en-US" w:bidi="ar-SA"/>
              </w:rPr>
              <w:t>)</w:t>
            </w: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Courier New" w:hAnsi="Times New Roman" w:cs="Times New Roman"/>
                <w:sz w:val="24"/>
                <w:szCs w:val="24"/>
                <w:lang w:val="en-US" w:eastAsia="en-US" w:bidi="ar-SA"/>
              </w:rPr>
              <w:t>)</w:t>
            </w:r>
          </w:p>
        </w:tc>
        <w:tc>
          <w:tcPr>
            <w:tcW w:w="4400" w:type="dxa"/>
            <w:shd w:val="clear" w:color="auto" w:fill="auto"/>
          </w:tcPr>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B1454">
              <w:rPr>
                <w:rFonts w:ascii="Times New Roman" w:eastAsia="Courier New" w:hAnsi="Times New Roman" w:cs="Times New Roman"/>
                <w:sz w:val="24"/>
                <w:szCs w:val="24"/>
                <w:lang w:val="en-US" w:eastAsia="en-US" w:bidi="ar-SA"/>
              </w:rPr>
              <w:t xml:space="preserve">Case No. </w:t>
            </w:r>
            <w:r w:rsidRPr="000B1454" w:rsidR="00BA394F">
              <w:rPr>
                <w:rFonts w:ascii="Times New Roman" w:eastAsia="Courier New" w:hAnsi="Times New Roman" w:cs="Times New Roman"/>
                <w:sz w:val="24"/>
                <w:szCs w:val="24"/>
                <w:lang w:val="en-US" w:eastAsia="en-US" w:bidi="ar-SA"/>
              </w:rPr>
              <w:t>18-0046-EL-RDR</w:t>
            </w: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95C2B" w:rsidRPr="000B1454" w:rsidP="0079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795C2B" w:rsidRPr="000B1454" w:rsidP="00795C2B">
      <w:pPr>
        <w:pStyle w:val="HTMLPreformatted"/>
        <w:rPr>
          <w:rFonts w:ascii="Times New Roman" w:hAnsi="Times New Roman" w:cs="Times New Roman"/>
          <w:sz w:val="24"/>
          <w:szCs w:val="24"/>
        </w:rPr>
      </w:pPr>
      <w:r w:rsidRPr="000B1454">
        <w:rPr>
          <w:rFonts w:ascii="Times New Roman" w:hAnsi="Times New Roman" w:cs="Times New Roman"/>
          <w:sz w:val="24"/>
          <w:szCs w:val="24"/>
        </w:rPr>
        <w:tab/>
      </w:r>
      <w:r w:rsidRPr="000B1454">
        <w:rPr>
          <w:rFonts w:ascii="Times New Roman" w:hAnsi="Times New Roman" w:cs="Times New Roman"/>
          <w:sz w:val="24"/>
          <w:szCs w:val="24"/>
        </w:rPr>
        <w:tab/>
      </w:r>
    </w:p>
    <w:p w:rsidR="00795C2B" w:rsidRPr="000B1454" w:rsidP="00795C2B">
      <w:pPr>
        <w:pBdr>
          <w:top w:val="single" w:sz="12" w:space="1" w:color="auto"/>
        </w:pBdr>
        <w:tabs>
          <w:tab w:val="left" w:pos="-720"/>
        </w:tabs>
        <w:suppressAutoHyphens/>
        <w:spacing w:after="0" w:line="240" w:lineRule="auto"/>
        <w:jc w:val="center"/>
        <w:rPr>
          <w:rFonts w:ascii="Times New Roman" w:hAnsi="Times New Roman" w:cs="Times New Roman"/>
          <w:b/>
          <w:spacing w:val="-3"/>
          <w:sz w:val="24"/>
          <w:szCs w:val="24"/>
        </w:rPr>
      </w:pPr>
    </w:p>
    <w:p w:rsidR="009E50F7" w:rsidRPr="000B1454" w:rsidP="00795C2B">
      <w:pPr>
        <w:spacing w:after="0" w:line="240" w:lineRule="auto"/>
        <w:jc w:val="center"/>
        <w:rPr>
          <w:rFonts w:ascii="Times New Roman" w:hAnsi="Times New Roman" w:cs="Times New Roman"/>
          <w:b/>
          <w:sz w:val="24"/>
          <w:szCs w:val="24"/>
        </w:rPr>
      </w:pPr>
      <w:r w:rsidRPr="000B1454">
        <w:rPr>
          <w:rFonts w:ascii="Times New Roman" w:hAnsi="Times New Roman" w:cs="Times New Roman"/>
          <w:b/>
          <w:sz w:val="24"/>
          <w:szCs w:val="24"/>
        </w:rPr>
        <w:t xml:space="preserve">MEMORANDUM CONTRA </w:t>
      </w:r>
      <w:r w:rsidRPr="000B1454">
        <w:rPr>
          <w:rFonts w:ascii="Times New Roman" w:hAnsi="Times New Roman" w:cs="Times New Roman"/>
          <w:b/>
          <w:sz w:val="24"/>
          <w:szCs w:val="24"/>
        </w:rPr>
        <w:t>DUKE ENERGY OHIO</w:t>
      </w:r>
      <w:r w:rsidRPr="000B1454" w:rsidR="00BA394F">
        <w:rPr>
          <w:rFonts w:ascii="Times New Roman" w:hAnsi="Times New Roman" w:cs="Times New Roman"/>
          <w:b/>
          <w:sz w:val="24"/>
          <w:szCs w:val="24"/>
        </w:rPr>
        <w:t xml:space="preserve">’S </w:t>
      </w:r>
    </w:p>
    <w:p w:rsidR="00795C2B" w:rsidRPr="000B1454" w:rsidP="009E50F7">
      <w:pPr>
        <w:spacing w:after="0" w:line="240" w:lineRule="auto"/>
        <w:jc w:val="center"/>
        <w:rPr>
          <w:rFonts w:ascii="Times New Roman" w:hAnsi="Times New Roman" w:cs="Times New Roman"/>
          <w:b/>
          <w:sz w:val="24"/>
          <w:szCs w:val="24"/>
        </w:rPr>
      </w:pPr>
      <w:r w:rsidRPr="000B1454">
        <w:rPr>
          <w:rFonts w:ascii="Times New Roman" w:hAnsi="Times New Roman" w:cs="Times New Roman"/>
          <w:b/>
          <w:sz w:val="24"/>
          <w:szCs w:val="24"/>
        </w:rPr>
        <w:t>MOTION</w:t>
      </w:r>
      <w:r w:rsidRPr="000B1454" w:rsidR="00FF1526">
        <w:rPr>
          <w:rFonts w:ascii="Times New Roman" w:hAnsi="Times New Roman" w:cs="Times New Roman"/>
          <w:b/>
          <w:sz w:val="24"/>
          <w:szCs w:val="24"/>
        </w:rPr>
        <w:t xml:space="preserve"> FOR PROTECTIVE ORDER</w:t>
      </w:r>
    </w:p>
    <w:p w:rsidR="00795C2B" w:rsidRPr="000B1454" w:rsidP="00795C2B">
      <w:pPr>
        <w:spacing w:after="0" w:line="240" w:lineRule="auto"/>
        <w:jc w:val="center"/>
        <w:rPr>
          <w:rFonts w:ascii="Times New Roman" w:hAnsi="Times New Roman" w:cs="Times New Roman"/>
          <w:b/>
          <w:sz w:val="24"/>
          <w:szCs w:val="24"/>
        </w:rPr>
      </w:pPr>
      <w:r w:rsidRPr="000B1454">
        <w:rPr>
          <w:rFonts w:ascii="Times New Roman" w:hAnsi="Times New Roman" w:cs="Times New Roman"/>
          <w:b/>
          <w:sz w:val="24"/>
          <w:szCs w:val="24"/>
        </w:rPr>
        <w:t>BY</w:t>
      </w:r>
    </w:p>
    <w:p w:rsidR="00795C2B" w:rsidRPr="000B1454" w:rsidP="00795C2B">
      <w:pPr>
        <w:spacing w:after="0" w:line="240" w:lineRule="auto"/>
        <w:jc w:val="center"/>
        <w:rPr>
          <w:rFonts w:ascii="Times New Roman" w:hAnsi="Times New Roman" w:cs="Times New Roman"/>
          <w:b/>
          <w:sz w:val="24"/>
          <w:szCs w:val="24"/>
        </w:rPr>
      </w:pPr>
      <w:r w:rsidRPr="000B1454">
        <w:rPr>
          <w:rFonts w:ascii="Times New Roman" w:hAnsi="Times New Roman" w:cs="Times New Roman"/>
          <w:b/>
          <w:sz w:val="24"/>
          <w:szCs w:val="24"/>
        </w:rPr>
        <w:t>THE OFFICE OF THE OHIO CONSUMERS’ COUNSEL</w:t>
      </w:r>
    </w:p>
    <w:p w:rsidR="00795C2B" w:rsidRPr="000B1454" w:rsidP="00795C2B">
      <w:pPr>
        <w:pBdr>
          <w:bottom w:val="single" w:sz="12" w:space="1" w:color="auto"/>
        </w:pBdr>
        <w:tabs>
          <w:tab w:val="left" w:pos="-720"/>
        </w:tabs>
        <w:suppressAutoHyphens/>
        <w:spacing w:after="0" w:line="240" w:lineRule="auto"/>
        <w:jc w:val="center"/>
        <w:rPr>
          <w:rFonts w:ascii="Times New Roman" w:hAnsi="Times New Roman" w:cs="Times New Roman"/>
          <w:b/>
          <w:spacing w:val="-3"/>
          <w:sz w:val="24"/>
          <w:szCs w:val="24"/>
        </w:rPr>
      </w:pPr>
    </w:p>
    <w:p w:rsidR="00795C2B" w:rsidRPr="000B1454" w:rsidP="00795C2B">
      <w:pPr>
        <w:tabs>
          <w:tab w:val="left" w:pos="-720"/>
        </w:tabs>
        <w:suppressAutoHyphens/>
        <w:spacing w:after="0" w:line="240" w:lineRule="auto"/>
        <w:jc w:val="both"/>
        <w:rPr>
          <w:rFonts w:ascii="Times New Roman" w:hAnsi="Times New Roman" w:cs="Times New Roman"/>
          <w:bCs/>
          <w:spacing w:val="-3"/>
          <w:sz w:val="24"/>
          <w:szCs w:val="24"/>
        </w:rPr>
      </w:pPr>
    </w:p>
    <w:p w:rsidR="00795C2B" w:rsidRPr="000B1454" w:rsidP="00A84A20">
      <w:pPr>
        <w:pStyle w:val="Heading1"/>
      </w:pPr>
      <w:bookmarkStart w:id="1" w:name="_Toc506275569"/>
      <w:r w:rsidRPr="000B1454">
        <w:t>I.</w:t>
      </w:r>
      <w:r w:rsidRPr="000B1454">
        <w:tab/>
        <w:t>INTRODUCTION</w:t>
      </w:r>
      <w:bookmarkEnd w:id="1"/>
    </w:p>
    <w:p w:rsidR="007553A3" w:rsidRPr="000B1454" w:rsidP="00795C2B">
      <w:pPr>
        <w:spacing w:after="0" w:line="480" w:lineRule="auto"/>
        <w:ind w:firstLine="720"/>
        <w:rPr>
          <w:rFonts w:ascii="Times New Roman" w:hAnsi="Times New Roman" w:cs="Times New Roman"/>
          <w:sz w:val="24"/>
          <w:szCs w:val="24"/>
        </w:rPr>
      </w:pPr>
      <w:r w:rsidRPr="000B1454">
        <w:rPr>
          <w:rFonts w:ascii="Times New Roman" w:hAnsi="Times New Roman" w:cs="Times New Roman"/>
          <w:sz w:val="24"/>
          <w:szCs w:val="24"/>
        </w:rPr>
        <w:t>In the interest of furthering policies favoring transparency in proceedings at the Public Utilities Commission of Ohio (“PUCO”), the Office of the Ohio Consumers’ Counsel (“OCC”) files this memorandum Contra the</w:t>
      </w:r>
      <w:r w:rsidRPr="000B1454" w:rsidR="009E50F7">
        <w:rPr>
          <w:rFonts w:ascii="Times New Roman" w:hAnsi="Times New Roman" w:cs="Times New Roman"/>
          <w:sz w:val="24"/>
          <w:szCs w:val="24"/>
        </w:rPr>
        <w:t xml:space="preserve"> motion for protective order fi</w:t>
      </w:r>
      <w:r w:rsidRPr="000B1454">
        <w:rPr>
          <w:rFonts w:ascii="Times New Roman" w:hAnsi="Times New Roman" w:cs="Times New Roman"/>
          <w:sz w:val="24"/>
          <w:szCs w:val="24"/>
        </w:rPr>
        <w:t xml:space="preserve">led by Duke Energy Ohio, Inc. (“Duke”) in this significant case for </w:t>
      </w:r>
      <w:r w:rsidR="00795C2B">
        <w:rPr>
          <w:rFonts w:ascii="Times New Roman" w:hAnsi="Times New Roman" w:cs="Times New Roman"/>
          <w:sz w:val="24"/>
          <w:szCs w:val="24"/>
        </w:rPr>
        <w:t xml:space="preserve">Duke’s </w:t>
      </w:r>
      <w:r w:rsidRPr="000B1454" w:rsidR="008358B9">
        <w:rPr>
          <w:rFonts w:ascii="Times New Roman" w:hAnsi="Times New Roman" w:cs="Times New Roman"/>
          <w:sz w:val="24"/>
          <w:szCs w:val="24"/>
        </w:rPr>
        <w:t xml:space="preserve">630,000 </w:t>
      </w:r>
      <w:r w:rsidRPr="000B1454">
        <w:rPr>
          <w:rFonts w:ascii="Times New Roman" w:hAnsi="Times New Roman" w:cs="Times New Roman"/>
          <w:sz w:val="24"/>
          <w:szCs w:val="24"/>
        </w:rPr>
        <w:t xml:space="preserve">residential utility customers. </w:t>
      </w:r>
    </w:p>
    <w:p w:rsidR="00A84A20" w:rsidP="00A84A20">
      <w:pPr>
        <w:spacing w:after="0" w:line="480" w:lineRule="auto"/>
        <w:ind w:firstLine="720"/>
        <w:rPr>
          <w:rFonts w:ascii="Times New Roman" w:hAnsi="Times New Roman" w:cs="Times New Roman"/>
          <w:sz w:val="24"/>
          <w:szCs w:val="24"/>
        </w:rPr>
        <w:sectPr w:rsidSect="00A84A2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docGrid w:linePitch="360"/>
        </w:sectPr>
      </w:pPr>
      <w:r w:rsidRPr="000B1454">
        <w:rPr>
          <w:rFonts w:ascii="Times New Roman" w:hAnsi="Times New Roman" w:cs="Times New Roman"/>
          <w:sz w:val="24"/>
          <w:szCs w:val="24"/>
        </w:rPr>
        <w:t>Duke filed a request for</w:t>
      </w:r>
      <w:r w:rsidR="00795C2B">
        <w:rPr>
          <w:rFonts w:ascii="Times New Roman" w:hAnsi="Times New Roman" w:cs="Times New Roman"/>
          <w:sz w:val="24"/>
          <w:szCs w:val="24"/>
        </w:rPr>
        <w:t xml:space="preserve"> a</w:t>
      </w:r>
      <w:r w:rsidRPr="000B1454">
        <w:rPr>
          <w:rFonts w:ascii="Times New Roman" w:hAnsi="Times New Roman" w:cs="Times New Roman"/>
          <w:sz w:val="24"/>
          <w:szCs w:val="24"/>
        </w:rPr>
        <w:t xml:space="preserve"> </w:t>
      </w:r>
      <w:r w:rsidR="00534677">
        <w:rPr>
          <w:rFonts w:ascii="Times New Roman" w:hAnsi="Times New Roman" w:cs="Times New Roman"/>
          <w:sz w:val="24"/>
          <w:szCs w:val="24"/>
        </w:rPr>
        <w:t xml:space="preserve">PUCO </w:t>
      </w:r>
      <w:r w:rsidRPr="000B1454">
        <w:rPr>
          <w:rFonts w:ascii="Times New Roman" w:hAnsi="Times New Roman" w:cs="Times New Roman"/>
          <w:sz w:val="24"/>
          <w:szCs w:val="24"/>
        </w:rPr>
        <w:t xml:space="preserve">Staff audit of certain riders in compliance with its </w:t>
      </w:r>
      <w:r w:rsidR="0032182E">
        <w:rPr>
          <w:rFonts w:ascii="Times New Roman" w:hAnsi="Times New Roman" w:cs="Times New Roman"/>
          <w:sz w:val="24"/>
          <w:szCs w:val="24"/>
        </w:rPr>
        <w:t>Standard Service Offer (“</w:t>
      </w:r>
      <w:r w:rsidRPr="000B1454">
        <w:rPr>
          <w:rFonts w:ascii="Times New Roman" w:hAnsi="Times New Roman" w:cs="Times New Roman"/>
          <w:sz w:val="24"/>
          <w:szCs w:val="24"/>
        </w:rPr>
        <w:t>SSO</w:t>
      </w:r>
      <w:r w:rsidR="0032182E">
        <w:rPr>
          <w:rFonts w:ascii="Times New Roman" w:hAnsi="Times New Roman" w:cs="Times New Roman"/>
          <w:sz w:val="24"/>
          <w:szCs w:val="24"/>
        </w:rPr>
        <w:t>”)</w:t>
      </w:r>
      <w:r w:rsidRPr="000B1454">
        <w:rPr>
          <w:rFonts w:ascii="Times New Roman" w:hAnsi="Times New Roman" w:cs="Times New Roman"/>
          <w:sz w:val="24"/>
          <w:szCs w:val="24"/>
        </w:rPr>
        <w:t xml:space="preserve"> on January 31, 2018.</w:t>
      </w:r>
      <w:r>
        <w:rPr>
          <w:rStyle w:val="FootnoteReference"/>
          <w:rFonts w:ascii="Times New Roman" w:hAnsi="Times New Roman" w:cs="Times New Roman"/>
          <w:sz w:val="24"/>
          <w:szCs w:val="24"/>
        </w:rPr>
        <w:footnoteReference w:id="2"/>
      </w:r>
      <w:r w:rsidRPr="000B1454">
        <w:rPr>
          <w:rFonts w:ascii="Times New Roman" w:hAnsi="Times New Roman" w:cs="Times New Roman"/>
          <w:sz w:val="24"/>
          <w:szCs w:val="24"/>
        </w:rPr>
        <w:t xml:space="preserve"> </w:t>
      </w:r>
      <w:r w:rsidR="00795C2B">
        <w:rPr>
          <w:rFonts w:ascii="Times New Roman" w:hAnsi="Times New Roman" w:cs="Times New Roman"/>
          <w:sz w:val="24"/>
          <w:szCs w:val="24"/>
        </w:rPr>
        <w:t xml:space="preserve">In a separate Motion for Protective Order, Duke alleges that certain information in its Application should </w:t>
      </w:r>
      <w:r w:rsidR="009030FD">
        <w:rPr>
          <w:rFonts w:ascii="Times New Roman" w:hAnsi="Times New Roman" w:cs="Times New Roman"/>
          <w:sz w:val="24"/>
          <w:szCs w:val="24"/>
        </w:rPr>
        <w:t xml:space="preserve">be </w:t>
      </w:r>
      <w:r w:rsidR="00795C2B">
        <w:rPr>
          <w:rFonts w:ascii="Times New Roman" w:hAnsi="Times New Roman" w:cs="Times New Roman"/>
          <w:sz w:val="24"/>
          <w:szCs w:val="24"/>
        </w:rPr>
        <w:t xml:space="preserve">kept from the public because it satisfies the requirements of a trade secret under the law. The information that </w:t>
      </w:r>
      <w:r w:rsidRPr="000B1454">
        <w:rPr>
          <w:rFonts w:ascii="Times New Roman" w:hAnsi="Times New Roman" w:cs="Times New Roman"/>
          <w:sz w:val="24"/>
          <w:szCs w:val="24"/>
        </w:rPr>
        <w:t>Duke</w:t>
      </w:r>
      <w:r w:rsidR="00795C2B">
        <w:rPr>
          <w:rFonts w:ascii="Times New Roman" w:hAnsi="Times New Roman" w:cs="Times New Roman"/>
          <w:sz w:val="24"/>
          <w:szCs w:val="24"/>
        </w:rPr>
        <w:t xml:space="preserve"> seeks to keep hidden are the amount of</w:t>
      </w:r>
      <w:r w:rsidRPr="000B1454">
        <w:rPr>
          <w:rFonts w:ascii="Times New Roman" w:hAnsi="Times New Roman" w:cs="Times New Roman"/>
          <w:sz w:val="24"/>
          <w:szCs w:val="24"/>
        </w:rPr>
        <w:t xml:space="preserve"> auction fees paid to a thir</w:t>
      </w:r>
      <w:r w:rsidR="00795C2B">
        <w:rPr>
          <w:rFonts w:ascii="Times New Roman" w:hAnsi="Times New Roman" w:cs="Times New Roman"/>
          <w:sz w:val="24"/>
          <w:szCs w:val="24"/>
        </w:rPr>
        <w:t>d-</w:t>
      </w:r>
    </w:p>
    <w:p w:rsidR="00A84A20" w:rsidP="00A84A20">
      <w:pPr>
        <w:spacing w:after="0" w:line="480" w:lineRule="auto"/>
        <w:rPr>
          <w:rFonts w:ascii="Times New Roman" w:hAnsi="Times New Roman" w:cs="Times New Roman"/>
          <w:sz w:val="24"/>
          <w:szCs w:val="24"/>
        </w:rPr>
      </w:pPr>
      <w:r>
        <w:rPr>
          <w:rFonts w:ascii="Times New Roman" w:hAnsi="Times New Roman" w:cs="Times New Roman"/>
          <w:sz w:val="24"/>
          <w:szCs w:val="24"/>
        </w:rPr>
        <w:t>party vendor</w:t>
      </w:r>
      <w:r w:rsidRPr="000B1454" w:rsidR="00FF0F15">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0B1454" w:rsidR="00FF0F15">
        <w:rPr>
          <w:rFonts w:ascii="Times New Roman" w:hAnsi="Times New Roman" w:cs="Times New Roman"/>
          <w:sz w:val="24"/>
          <w:szCs w:val="24"/>
        </w:rPr>
        <w:t xml:space="preserve"> Duke</w:t>
      </w:r>
      <w:r w:rsidRPr="000B1454" w:rsidR="00AF001B">
        <w:rPr>
          <w:rFonts w:ascii="Times New Roman" w:hAnsi="Times New Roman" w:cs="Times New Roman"/>
          <w:sz w:val="24"/>
          <w:szCs w:val="24"/>
        </w:rPr>
        <w:t xml:space="preserve"> alleges that these costs are </w:t>
      </w:r>
      <w:r>
        <w:rPr>
          <w:rFonts w:ascii="Times New Roman" w:hAnsi="Times New Roman" w:cs="Times New Roman"/>
          <w:sz w:val="24"/>
          <w:szCs w:val="24"/>
        </w:rPr>
        <w:t>“</w:t>
      </w:r>
      <w:r w:rsidRPr="000B1454" w:rsidR="00AF001B">
        <w:rPr>
          <w:rFonts w:ascii="Times New Roman" w:hAnsi="Times New Roman" w:cs="Times New Roman"/>
          <w:sz w:val="24"/>
          <w:szCs w:val="24"/>
        </w:rPr>
        <w:t>trade secret</w:t>
      </w:r>
      <w:r>
        <w:rPr>
          <w:rFonts w:ascii="Times New Roman" w:hAnsi="Times New Roman" w:cs="Times New Roman"/>
          <w:sz w:val="24"/>
          <w:szCs w:val="24"/>
        </w:rPr>
        <w:t>s”</w:t>
      </w:r>
      <w:r w:rsidRPr="000B1454" w:rsidR="00AF001B">
        <w:rPr>
          <w:rFonts w:ascii="Times New Roman" w:hAnsi="Times New Roman" w:cs="Times New Roman"/>
          <w:sz w:val="24"/>
          <w:szCs w:val="24"/>
        </w:rPr>
        <w:t xml:space="preserve"> because</w:t>
      </w:r>
      <w:r w:rsidRPr="000B1454" w:rsidR="009E50F7">
        <w:rPr>
          <w:rFonts w:ascii="Times New Roman" w:hAnsi="Times New Roman" w:cs="Times New Roman"/>
          <w:sz w:val="24"/>
          <w:szCs w:val="24"/>
        </w:rPr>
        <w:t>: (1)</w:t>
      </w:r>
      <w:r w:rsidRPr="000B1454" w:rsidR="00AF001B">
        <w:rPr>
          <w:rFonts w:ascii="Times New Roman" w:hAnsi="Times New Roman" w:cs="Times New Roman"/>
          <w:sz w:val="24"/>
          <w:szCs w:val="24"/>
        </w:rPr>
        <w:t xml:space="preserve"> a confidential agreement exists between Duke and the third party,</w:t>
      </w:r>
      <w:r w:rsidRPr="000B1454" w:rsidR="009E50F7">
        <w:rPr>
          <w:rFonts w:ascii="Times New Roman" w:hAnsi="Times New Roman" w:cs="Times New Roman"/>
          <w:sz w:val="24"/>
          <w:szCs w:val="24"/>
        </w:rPr>
        <w:t xml:space="preserve"> (2)</w:t>
      </w:r>
      <w:r w:rsidRPr="000B1454" w:rsidR="00AF001B">
        <w:rPr>
          <w:rFonts w:ascii="Times New Roman" w:hAnsi="Times New Roman" w:cs="Times New Roman"/>
          <w:sz w:val="24"/>
          <w:szCs w:val="24"/>
        </w:rPr>
        <w:t xml:space="preserve"> Duke has kept the costs private to</w:t>
      </w:r>
      <w:r>
        <w:rPr>
          <w:rFonts w:ascii="Times New Roman" w:hAnsi="Times New Roman" w:cs="Times New Roman"/>
          <w:sz w:val="24"/>
          <w:szCs w:val="24"/>
        </w:rPr>
        <w:t xml:space="preserve"> </w:t>
      </w:r>
    </w:p>
    <w:p w:rsidR="008358B9" w:rsidP="00A84A20">
      <w:pPr>
        <w:spacing w:line="480" w:lineRule="auto"/>
        <w:rPr>
          <w:rFonts w:ascii="Times New Roman" w:hAnsi="Times New Roman" w:cs="Times New Roman"/>
          <w:sz w:val="24"/>
          <w:szCs w:val="24"/>
        </w:rPr>
      </w:pPr>
      <w:r>
        <w:rPr>
          <w:rFonts w:ascii="Times New Roman" w:hAnsi="Times New Roman" w:cs="Times New Roman"/>
          <w:sz w:val="24"/>
          <w:szCs w:val="24"/>
        </w:rPr>
        <w:t xml:space="preserve">both outside parties and their </w:t>
      </w:r>
      <w:r w:rsidRPr="000B1454" w:rsidR="00AF001B">
        <w:rPr>
          <w:rFonts w:ascii="Times New Roman" w:hAnsi="Times New Roman" w:cs="Times New Roman"/>
          <w:sz w:val="24"/>
          <w:szCs w:val="24"/>
        </w:rPr>
        <w:t>own employees, and</w:t>
      </w:r>
      <w:r w:rsidRPr="000B1454" w:rsidR="009E50F7">
        <w:rPr>
          <w:rFonts w:ascii="Times New Roman" w:hAnsi="Times New Roman" w:cs="Times New Roman"/>
          <w:sz w:val="24"/>
          <w:szCs w:val="24"/>
        </w:rPr>
        <w:t xml:space="preserve"> (3)</w:t>
      </w:r>
      <w:r w:rsidRPr="000B1454" w:rsidR="00AF001B">
        <w:rPr>
          <w:rFonts w:ascii="Times New Roman" w:hAnsi="Times New Roman" w:cs="Times New Roman"/>
          <w:sz w:val="24"/>
          <w:szCs w:val="24"/>
        </w:rPr>
        <w:t xml:space="preserve"> there would be some damage to the general public if this information is released. Duke’s allegations fail to meet the strict burden of proof required by the PUCO and t</w:t>
      </w:r>
      <w:r w:rsidR="00795C2B">
        <w:rPr>
          <w:rFonts w:ascii="Times New Roman" w:hAnsi="Times New Roman" w:cs="Times New Roman"/>
          <w:sz w:val="24"/>
          <w:szCs w:val="24"/>
        </w:rPr>
        <w:t xml:space="preserve">he Supreme </w:t>
      </w:r>
      <w:r w:rsidR="0032182E">
        <w:rPr>
          <w:rFonts w:ascii="Times New Roman" w:hAnsi="Times New Roman" w:cs="Times New Roman"/>
          <w:sz w:val="24"/>
          <w:szCs w:val="24"/>
        </w:rPr>
        <w:t xml:space="preserve">Court of Ohio </w:t>
      </w:r>
      <w:r w:rsidR="00795C2B">
        <w:rPr>
          <w:rFonts w:ascii="Times New Roman" w:hAnsi="Times New Roman" w:cs="Times New Roman"/>
          <w:sz w:val="24"/>
          <w:szCs w:val="24"/>
        </w:rPr>
        <w:t>(“Court”) for declaring information as trade secret and, therefore, confidential.</w:t>
      </w:r>
      <w:r w:rsidRPr="000B1454" w:rsidR="00AF001B">
        <w:rPr>
          <w:rFonts w:ascii="Times New Roman" w:hAnsi="Times New Roman" w:cs="Times New Roman"/>
          <w:sz w:val="24"/>
          <w:szCs w:val="24"/>
        </w:rPr>
        <w:t xml:space="preserve"> </w:t>
      </w:r>
      <w:r w:rsidR="002F5F16">
        <w:rPr>
          <w:rFonts w:ascii="Times New Roman" w:hAnsi="Times New Roman" w:cs="Times New Roman"/>
          <w:sz w:val="24"/>
          <w:szCs w:val="24"/>
        </w:rPr>
        <w:t>Duke’s motion should be denied.</w:t>
      </w:r>
    </w:p>
    <w:p w:rsidR="009030FD" w:rsidRPr="000B1454" w:rsidP="009030FD">
      <w:pPr>
        <w:spacing w:after="0" w:line="240" w:lineRule="auto"/>
        <w:ind w:firstLine="720"/>
        <w:rPr>
          <w:rFonts w:ascii="Times New Roman" w:hAnsi="Times New Roman" w:cs="Times New Roman"/>
          <w:sz w:val="24"/>
          <w:szCs w:val="24"/>
        </w:rPr>
      </w:pPr>
    </w:p>
    <w:p w:rsidR="00795C2B" w:rsidRPr="000B1454" w:rsidP="00A84A20">
      <w:pPr>
        <w:pStyle w:val="Heading1"/>
      </w:pPr>
      <w:bookmarkStart w:id="2" w:name="_Toc506275570"/>
      <w:r w:rsidRPr="000B1454">
        <w:t>II.</w:t>
      </w:r>
      <w:r w:rsidRPr="000B1454">
        <w:tab/>
      </w:r>
      <w:r w:rsidRPr="000B1454" w:rsidR="00FE1D91">
        <w:t>Applicable Law</w:t>
      </w:r>
      <w:bookmarkEnd w:id="2"/>
    </w:p>
    <w:p w:rsidR="00393D89" w:rsidRPr="000B1454" w:rsidP="009B294E">
      <w:pPr>
        <w:spacing w:after="0" w:line="480" w:lineRule="auto"/>
        <w:ind w:firstLine="720"/>
        <w:rPr>
          <w:rFonts w:ascii="Times New Roman" w:hAnsi="Times New Roman" w:cs="Times New Roman"/>
          <w:sz w:val="24"/>
          <w:szCs w:val="24"/>
        </w:rPr>
      </w:pPr>
      <w:r w:rsidRPr="000B1454">
        <w:rPr>
          <w:rFonts w:ascii="Times New Roman" w:hAnsi="Times New Roman" w:cs="Times New Roman"/>
          <w:sz w:val="24"/>
          <w:szCs w:val="24"/>
        </w:rPr>
        <w:t>The guiding principle of the PUCO’s rules regarding protective orders is not to conceal information, but to make information public. The PUCO has established a policy that confidential treatment is to be given only under extraordinary circumstances.</w:t>
      </w:r>
      <w:r>
        <w:rPr>
          <w:rStyle w:val="FootnoteReference"/>
          <w:rFonts w:ascii="Times New Roman" w:hAnsi="Times New Roman" w:cs="Times New Roman"/>
          <w:sz w:val="24"/>
          <w:szCs w:val="24"/>
        </w:rPr>
        <w:footnoteReference w:id="4"/>
      </w:r>
      <w:r w:rsidRPr="000B1454">
        <w:rPr>
          <w:rFonts w:ascii="Times New Roman" w:hAnsi="Times New Roman" w:cs="Times New Roman"/>
          <w:sz w:val="24"/>
          <w:szCs w:val="24"/>
        </w:rPr>
        <w:t xml:space="preserve"> Ohio Adm. Code 4901-1-24(D) specifies that a protective order “shall minimize the amount of information protected from public disclosure.” </w:t>
      </w:r>
    </w:p>
    <w:p w:rsidR="00E143A5" w:rsidRPr="00E143A5" w:rsidP="00E143A5">
      <w:pPr>
        <w:spacing w:after="0" w:line="480" w:lineRule="auto"/>
        <w:ind w:firstLine="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The PUCO has emphasized the importance of the public records laws and has noted that “Ohio public records law is intended to be liberally construed to ‘ensure that governmental records be open and made available to the public … subject to only a very few limited exceptions.’”</w:t>
      </w:r>
      <w:r>
        <w:rPr>
          <w:rFonts w:ascii="Times New Roman" w:eastAsia="Times New Roman" w:hAnsi="Times New Roman" w:cs="Times New Roman"/>
          <w:sz w:val="24"/>
          <w:szCs w:val="24"/>
          <w:vertAlign w:val="superscript"/>
        </w:rPr>
        <w:footnoteReference w:id="5"/>
      </w:r>
      <w:r w:rsidRPr="00E143A5">
        <w:rPr>
          <w:rFonts w:ascii="Times New Roman" w:eastAsia="Times New Roman" w:hAnsi="Times New Roman" w:cs="Times New Roman"/>
          <w:sz w:val="24"/>
          <w:szCs w:val="24"/>
        </w:rPr>
        <w:t xml:space="preserve">  The PUCO has noted that “[a]ll proceedings at the Commission and all documents and records in its possession are public records, except as provided in Ohio’s public records law (149.43, Revised Code) and as consistent with the purposes of Title 49 of the Revised Code.”</w:t>
      </w:r>
      <w:r>
        <w:rPr>
          <w:rFonts w:ascii="Times New Roman" w:eastAsia="Times New Roman" w:hAnsi="Times New Roman" w:cs="Times New Roman"/>
          <w:sz w:val="24"/>
          <w:szCs w:val="24"/>
          <w:vertAlign w:val="superscript"/>
        </w:rPr>
        <w:footnoteReference w:id="6"/>
      </w:r>
      <w:r w:rsidRPr="00E143A5">
        <w:rPr>
          <w:rFonts w:ascii="Times New Roman" w:eastAsia="Times New Roman" w:hAnsi="Times New Roman" w:cs="Times New Roman"/>
          <w:sz w:val="24"/>
          <w:szCs w:val="24"/>
        </w:rPr>
        <w:t xml:space="preserve">  Additionally, under R.C. 4905.07, “all facts and information in the possession of the public utilities commission shall be public, and all reports, records, files, books, accounts, papers, and memorandums of every nature in its possession shall be open to inspection by interested parties or their attorneys.”  The PUCO also has noted that R.C. 4901.12 and R.C. 4905.07 “provide a strong presumption in favor of disclosure, which the party claiming protective status must overcome.”</w:t>
      </w:r>
      <w:r w:rsidRPr="00E143A5">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7"/>
      </w:r>
      <w:r w:rsidRPr="00E143A5">
        <w:rPr>
          <w:rFonts w:ascii="Times New Roman" w:eastAsia="Times New Roman" w:hAnsi="Times New Roman" w:cs="Times New Roman"/>
          <w:sz w:val="24"/>
          <w:szCs w:val="24"/>
        </w:rPr>
        <w:t xml:space="preserve">  </w:t>
      </w:r>
    </w:p>
    <w:p w:rsidR="00E143A5" w:rsidRPr="00E143A5" w:rsidP="00E143A5">
      <w:pPr>
        <w:spacing w:after="0" w:line="480" w:lineRule="auto"/>
        <w:ind w:firstLine="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R.C. 149.43 broadly defines public records to include records kept at any state office but excludes or exempts from the definition of public records those records “whose release is prohibited by state or federal law.”</w:t>
      </w:r>
      <w:r>
        <w:rPr>
          <w:rFonts w:ascii="Times New Roman" w:eastAsia="Times New Roman" w:hAnsi="Times New Roman" w:cs="Times New Roman"/>
          <w:sz w:val="24"/>
          <w:szCs w:val="24"/>
          <w:vertAlign w:val="superscript"/>
        </w:rPr>
        <w:footnoteReference w:id="8"/>
      </w:r>
      <w:r w:rsidRPr="00E143A5">
        <w:rPr>
          <w:rFonts w:ascii="Times New Roman" w:eastAsia="Times New Roman" w:hAnsi="Times New Roman" w:cs="Times New Roman"/>
          <w:sz w:val="24"/>
          <w:szCs w:val="24"/>
        </w:rPr>
        <w:t xml:space="preserve">  R.C. 149.43 prohibits the PUCO and other public agencies from releasing public documents that qualify as trade secrets.</w:t>
      </w:r>
    </w:p>
    <w:p w:rsidR="00E143A5" w:rsidRPr="00E143A5" w:rsidP="00E143A5">
      <w:pPr>
        <w:spacing w:after="0" w:line="480" w:lineRule="auto"/>
        <w:ind w:firstLine="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Ohio has adopted the Uniform Trade Secrets Act, and has codified the definition of “trade secrets.”  R.C. 1331.61(D) defines a trade secret as:</w:t>
      </w:r>
    </w:p>
    <w:p w:rsidR="00E143A5" w:rsidRPr="00E143A5" w:rsidP="00E143A5">
      <w:pPr>
        <w:spacing w:after="240" w:line="240" w:lineRule="auto"/>
        <w:ind w:left="1440" w:right="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E143A5" w:rsidRPr="00E143A5" w:rsidP="000B186B">
      <w:pPr>
        <w:spacing w:after="240" w:line="240" w:lineRule="auto"/>
        <w:ind w:left="2160" w:right="720" w:hanging="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 xml:space="preserve">(1) </w:t>
      </w:r>
      <w:r w:rsidR="000B186B">
        <w:rPr>
          <w:rFonts w:ascii="Times New Roman" w:eastAsia="Times New Roman" w:hAnsi="Times New Roman" w:cs="Times New Roman"/>
          <w:sz w:val="24"/>
          <w:szCs w:val="24"/>
        </w:rPr>
        <w:tab/>
      </w:r>
      <w:r w:rsidRPr="00E143A5">
        <w:rPr>
          <w:rFonts w:ascii="Times New Roman" w:eastAsia="Times New Roman" w:hAnsi="Times New Roman" w:cs="Times New Roman"/>
          <w:sz w:val="24"/>
          <w:szCs w:val="24"/>
        </w:rPr>
        <w:t>It derives independent economic value, actual or potential, from not being generally known to, and not being readily ascertainable by proper means by, other persons who can obtain economic value from its disclosure or use. </w:t>
      </w:r>
    </w:p>
    <w:p w:rsidR="00E143A5" w:rsidRPr="00E143A5" w:rsidP="000B186B">
      <w:pPr>
        <w:spacing w:after="240" w:line="240" w:lineRule="auto"/>
        <w:ind w:left="2160" w:right="720" w:hanging="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 xml:space="preserve">(2) </w:t>
      </w:r>
      <w:r w:rsidR="000B186B">
        <w:rPr>
          <w:rFonts w:ascii="Times New Roman" w:eastAsia="Times New Roman" w:hAnsi="Times New Roman" w:cs="Times New Roman"/>
          <w:sz w:val="24"/>
          <w:szCs w:val="24"/>
        </w:rPr>
        <w:tab/>
      </w:r>
      <w:r w:rsidRPr="00E143A5">
        <w:rPr>
          <w:rFonts w:ascii="Times New Roman" w:eastAsia="Times New Roman" w:hAnsi="Times New Roman" w:cs="Times New Roman"/>
          <w:sz w:val="24"/>
          <w:szCs w:val="24"/>
        </w:rPr>
        <w:t>It is the subject of efforts that are reasonable under the circumstances to maintain its secrecy.</w:t>
      </w:r>
    </w:p>
    <w:p w:rsidR="00E143A5" w:rsidRPr="00E143A5" w:rsidP="00E143A5">
      <w:pPr>
        <w:spacing w:after="0" w:line="480" w:lineRule="auto"/>
        <w:ind w:firstLine="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Thus, to qualify as a trade secret under R.C. 1331.61(D), information must be shown to fall within the definition of a trade secret and must satisfy two requirements: it must have “independent economic value” and it must have been kept under circumstances that maintain its secrecy.</w:t>
      </w:r>
    </w:p>
    <w:p w:rsidR="000B1454" w:rsidRPr="000B1454" w:rsidP="00E143A5">
      <w:pPr>
        <w:spacing w:after="0" w:line="48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The </w:t>
      </w:r>
      <w:r w:rsidRPr="000B1454">
        <w:rPr>
          <w:rFonts w:ascii="Times New Roman" w:hAnsi="Times New Roman" w:cs="Times New Roman"/>
          <w:sz w:val="24"/>
          <w:szCs w:val="24"/>
        </w:rPr>
        <w:t xml:space="preserve">Court </w:t>
      </w:r>
      <w:r>
        <w:rPr>
          <w:rFonts w:ascii="Times New Roman" w:hAnsi="Times New Roman" w:cs="Times New Roman"/>
          <w:sz w:val="24"/>
          <w:szCs w:val="24"/>
        </w:rPr>
        <w:t xml:space="preserve">further explained the definition of a trade secret in its 1997 decision in </w:t>
      </w:r>
      <w:r>
        <w:rPr>
          <w:rFonts w:ascii="Times New Roman" w:hAnsi="Times New Roman" w:cs="Times New Roman"/>
          <w:i/>
          <w:sz w:val="24"/>
          <w:szCs w:val="24"/>
        </w:rPr>
        <w:t>Plain Dealer</w:t>
      </w:r>
      <w:r>
        <w:rPr>
          <w:rFonts w:ascii="Times New Roman" w:hAnsi="Times New Roman" w:cs="Times New Roman"/>
          <w:sz w:val="24"/>
          <w:szCs w:val="24"/>
        </w:rPr>
        <w:t xml:space="preserve">. In that case, the Court </w:t>
      </w:r>
      <w:r w:rsidRPr="000B1454">
        <w:rPr>
          <w:rFonts w:ascii="Times New Roman" w:hAnsi="Times New Roman" w:cs="Times New Roman"/>
          <w:sz w:val="24"/>
          <w:szCs w:val="24"/>
        </w:rPr>
        <w:t xml:space="preserve">denied a request for trade secret status by </w:t>
      </w:r>
      <w:r>
        <w:rPr>
          <w:rFonts w:ascii="Times New Roman" w:hAnsi="Times New Roman" w:cs="Times New Roman"/>
          <w:sz w:val="24"/>
          <w:szCs w:val="24"/>
        </w:rPr>
        <w:t xml:space="preserve">citing to </w:t>
      </w:r>
      <w:r w:rsidRPr="000B1454">
        <w:rPr>
          <w:rFonts w:ascii="Times New Roman" w:hAnsi="Times New Roman" w:cs="Times New Roman"/>
          <w:sz w:val="24"/>
          <w:szCs w:val="24"/>
        </w:rPr>
        <w:t>the Restatement of </w:t>
      </w:r>
      <w:r w:rsidRPr="000B1454">
        <w:rPr>
          <w:rFonts w:ascii="Times New Roman" w:hAnsi="Times New Roman" w:cs="Times New Roman"/>
          <w:i/>
          <w:iCs/>
          <w:sz w:val="24"/>
          <w:szCs w:val="24"/>
        </w:rPr>
        <w:t>Torts,</w:t>
      </w:r>
      <w:r w:rsidRPr="000B1454">
        <w:rPr>
          <w:rFonts w:ascii="Times New Roman" w:hAnsi="Times New Roman" w:cs="Times New Roman"/>
          <w:sz w:val="24"/>
          <w:szCs w:val="24"/>
        </w:rPr>
        <w:t> sec. 757, Comment b, which reads in part:</w:t>
      </w:r>
    </w:p>
    <w:p w:rsidR="000B1454" w:rsidRPr="000B1454" w:rsidP="009030FD">
      <w:pPr>
        <w:spacing w:after="0" w:line="240" w:lineRule="auto"/>
        <w:ind w:left="1440" w:right="720"/>
        <w:rPr>
          <w:rFonts w:ascii="Times New Roman" w:hAnsi="Times New Roman" w:cs="Times New Roman"/>
          <w:sz w:val="24"/>
          <w:szCs w:val="24"/>
        </w:rPr>
      </w:pPr>
      <w:r w:rsidRPr="000B1454">
        <w:rPr>
          <w:rFonts w:ascii="Times New Roman" w:hAnsi="Times New Roman" w:cs="Times New Roman"/>
          <w:sz w:val="24"/>
          <w:szCs w:val="24"/>
        </w:rPr>
        <w:t>A trade secret may consist of any formula, pattern, device or compilation of information which is used in one's business, and which gives him an opportunity to obtain an advantage over competitors who do not know or use it. It may be a formula for a chemical compound, a process of manufacturing, treating or preserving materials, a pattern for a machine or other device, or a list of customers. It differs from other secret information in a business . . . in that </w:t>
      </w:r>
      <w:r w:rsidRPr="000B1454">
        <w:rPr>
          <w:rFonts w:ascii="Times New Roman" w:hAnsi="Times New Roman" w:cs="Times New Roman"/>
          <w:i/>
          <w:iCs/>
          <w:sz w:val="24"/>
          <w:szCs w:val="24"/>
        </w:rPr>
        <w:t>it is not simply information as to single or ephemeral events in the conduct of the business, as, for example, the amount or other terms of a secret bid for a contract</w:t>
      </w:r>
      <w:r w:rsidRPr="000B1454">
        <w:rPr>
          <w:rFonts w:ascii="Times New Roman" w:hAnsi="Times New Roman" w:cs="Times New Roman"/>
          <w:sz w:val="24"/>
          <w:szCs w:val="24"/>
        </w:rPr>
        <w:t>. . .</w:t>
      </w:r>
      <w:r w:rsidR="00E143A5">
        <w:rPr>
          <w:rFonts w:ascii="Times New Roman" w:hAnsi="Times New Roman" w:cs="Times New Roman"/>
          <w:sz w:val="24"/>
          <w:szCs w:val="24"/>
        </w:rPr>
        <w:t>.</w:t>
      </w:r>
      <w:r w:rsidRPr="000B1454">
        <w:rPr>
          <w:rFonts w:ascii="Times New Roman" w:hAnsi="Times New Roman" w:cs="Times New Roman"/>
          <w:sz w:val="24"/>
          <w:szCs w:val="24"/>
        </w:rPr>
        <w:t xml:space="preserve"> A trade secret is a process or device for continuous use in</w:t>
      </w:r>
      <w:r>
        <w:rPr>
          <w:rFonts w:ascii="Times New Roman" w:hAnsi="Times New Roman" w:cs="Times New Roman"/>
          <w:sz w:val="24"/>
          <w:szCs w:val="24"/>
        </w:rPr>
        <w:t xml:space="preserve"> the operation of the business.</w:t>
      </w:r>
      <w:r>
        <w:rPr>
          <w:rStyle w:val="FootnoteReference"/>
          <w:rFonts w:ascii="Times New Roman" w:hAnsi="Times New Roman" w:cs="Times New Roman"/>
          <w:sz w:val="24"/>
          <w:szCs w:val="24"/>
        </w:rPr>
        <w:footnoteReference w:id="9"/>
      </w:r>
      <w:r w:rsidRPr="000B1454">
        <w:rPr>
          <w:rFonts w:ascii="Times New Roman" w:hAnsi="Times New Roman" w:cs="Times New Roman"/>
          <w:sz w:val="24"/>
          <w:szCs w:val="24"/>
        </w:rPr>
        <w:t xml:space="preserve"> </w:t>
      </w:r>
    </w:p>
    <w:p w:rsidR="000B1454" w:rsidRPr="000B1454" w:rsidP="000B1454">
      <w:pPr>
        <w:spacing w:after="0" w:line="240" w:lineRule="auto"/>
        <w:ind w:right="720"/>
        <w:rPr>
          <w:rFonts w:ascii="Times New Roman" w:hAnsi="Times New Roman" w:cs="Times New Roman"/>
          <w:sz w:val="24"/>
          <w:szCs w:val="24"/>
        </w:rPr>
      </w:pPr>
    </w:p>
    <w:p w:rsidR="00795C2B" w:rsidRPr="000B1454" w:rsidP="009E50F7">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Pr="000B1454" w:rsidR="00AF001B">
        <w:rPr>
          <w:rFonts w:ascii="Times New Roman" w:hAnsi="Times New Roman" w:cs="Times New Roman"/>
          <w:sz w:val="24"/>
          <w:szCs w:val="24"/>
        </w:rPr>
        <w:t xml:space="preserve"> PUCO</w:t>
      </w:r>
      <w:r w:rsidRPr="000B1454" w:rsidR="000B1454">
        <w:rPr>
          <w:rFonts w:ascii="Times New Roman" w:hAnsi="Times New Roman" w:cs="Times New Roman"/>
          <w:sz w:val="24"/>
          <w:szCs w:val="24"/>
        </w:rPr>
        <w:t xml:space="preserve"> has</w:t>
      </w:r>
      <w:r>
        <w:rPr>
          <w:rFonts w:ascii="Times New Roman" w:hAnsi="Times New Roman" w:cs="Times New Roman"/>
          <w:sz w:val="24"/>
          <w:szCs w:val="24"/>
        </w:rPr>
        <w:t xml:space="preserve"> also</w:t>
      </w:r>
      <w:r w:rsidRPr="000B1454" w:rsidR="000B1454">
        <w:rPr>
          <w:rFonts w:ascii="Times New Roman" w:hAnsi="Times New Roman" w:cs="Times New Roman"/>
          <w:sz w:val="24"/>
          <w:szCs w:val="24"/>
        </w:rPr>
        <w:t xml:space="preserve"> </w:t>
      </w:r>
      <w:r w:rsidR="00910910">
        <w:rPr>
          <w:rFonts w:ascii="Times New Roman" w:hAnsi="Times New Roman" w:cs="Times New Roman"/>
          <w:sz w:val="24"/>
          <w:szCs w:val="24"/>
        </w:rPr>
        <w:t>used</w:t>
      </w:r>
      <w:r w:rsidR="00915DF7">
        <w:rPr>
          <w:rFonts w:ascii="Times New Roman" w:hAnsi="Times New Roman" w:cs="Times New Roman"/>
          <w:sz w:val="24"/>
          <w:szCs w:val="24"/>
        </w:rPr>
        <w:t xml:space="preserve"> the following</w:t>
      </w:r>
      <w:r w:rsidRPr="000B1454" w:rsidR="000B1454">
        <w:rPr>
          <w:rFonts w:ascii="Times New Roman" w:hAnsi="Times New Roman" w:cs="Times New Roman"/>
          <w:sz w:val="24"/>
          <w:szCs w:val="24"/>
        </w:rPr>
        <w:t xml:space="preserve"> six-factor tes</w:t>
      </w:r>
      <w:r w:rsidR="00915DF7">
        <w:rPr>
          <w:rFonts w:ascii="Times New Roman" w:hAnsi="Times New Roman" w:cs="Times New Roman"/>
          <w:sz w:val="24"/>
          <w:szCs w:val="24"/>
        </w:rPr>
        <w:t xml:space="preserve">t </w:t>
      </w:r>
      <w:r w:rsidRPr="000B1454" w:rsidR="005A3A6D">
        <w:rPr>
          <w:rFonts w:ascii="Times New Roman" w:hAnsi="Times New Roman" w:cs="Times New Roman"/>
          <w:sz w:val="24"/>
          <w:szCs w:val="24"/>
        </w:rPr>
        <w:t xml:space="preserve">when determining if information constitutes a </w:t>
      </w:r>
      <w:r w:rsidRPr="000B1454" w:rsidR="002D0BD9">
        <w:rPr>
          <w:rFonts w:ascii="Times New Roman" w:hAnsi="Times New Roman" w:cs="Times New Roman"/>
          <w:sz w:val="24"/>
          <w:szCs w:val="24"/>
        </w:rPr>
        <w:t xml:space="preserve">protected </w:t>
      </w:r>
      <w:r w:rsidRPr="000B1454" w:rsidR="005A3A6D">
        <w:rPr>
          <w:rFonts w:ascii="Times New Roman" w:hAnsi="Times New Roman" w:cs="Times New Roman"/>
          <w:sz w:val="24"/>
          <w:szCs w:val="24"/>
        </w:rPr>
        <w:t>trade secret</w:t>
      </w:r>
      <w:r w:rsidRPr="000B1454" w:rsidR="002D0BD9">
        <w:rPr>
          <w:rFonts w:ascii="Times New Roman" w:hAnsi="Times New Roman" w:cs="Times New Roman"/>
          <w:sz w:val="24"/>
          <w:szCs w:val="24"/>
        </w:rPr>
        <w:t>:</w:t>
      </w:r>
      <w:r w:rsidRPr="000B1454" w:rsidR="00663220">
        <w:rPr>
          <w:rFonts w:ascii="Times New Roman" w:hAnsi="Times New Roman" w:cs="Times New Roman"/>
          <w:sz w:val="24"/>
          <w:szCs w:val="24"/>
        </w:rPr>
        <w:t xml:space="preserve"> </w:t>
      </w:r>
    </w:p>
    <w:p w:rsidR="007914C9" w:rsidRPr="000B1454" w:rsidP="000B186B">
      <w:pPr>
        <w:pStyle w:val="ListParagraph"/>
        <w:numPr>
          <w:ilvl w:val="0"/>
          <w:numId w:val="7"/>
        </w:numPr>
        <w:spacing w:after="0" w:line="240" w:lineRule="auto"/>
        <w:ind w:left="2160" w:right="720" w:hanging="720"/>
        <w:rPr>
          <w:rFonts w:ascii="Times New Roman" w:hAnsi="Times New Roman" w:cs="Times New Roman"/>
          <w:sz w:val="24"/>
          <w:szCs w:val="24"/>
        </w:rPr>
      </w:pPr>
      <w:r w:rsidRPr="000B1454">
        <w:rPr>
          <w:rFonts w:ascii="Times New Roman" w:hAnsi="Times New Roman" w:cs="Times New Roman"/>
          <w:sz w:val="24"/>
          <w:szCs w:val="24"/>
        </w:rPr>
        <w:t xml:space="preserve">The extent to which the information is known outside the business, </w:t>
      </w:r>
    </w:p>
    <w:p w:rsidR="007914C9" w:rsidRPr="000B1454" w:rsidP="000B186B">
      <w:pPr>
        <w:pStyle w:val="ListParagraph"/>
        <w:numPr>
          <w:ilvl w:val="0"/>
          <w:numId w:val="7"/>
        </w:numPr>
        <w:spacing w:after="0" w:line="240" w:lineRule="auto"/>
        <w:ind w:left="2160" w:right="720" w:hanging="720"/>
        <w:rPr>
          <w:rFonts w:ascii="Times New Roman" w:hAnsi="Times New Roman" w:cs="Times New Roman"/>
          <w:sz w:val="24"/>
          <w:szCs w:val="24"/>
        </w:rPr>
      </w:pPr>
      <w:r w:rsidRPr="000B1454">
        <w:rPr>
          <w:rFonts w:ascii="Times New Roman" w:hAnsi="Times New Roman" w:cs="Times New Roman"/>
          <w:sz w:val="24"/>
          <w:szCs w:val="24"/>
        </w:rPr>
        <w:t>The extent to which is it know</w:t>
      </w:r>
      <w:r w:rsidRPr="000B1454" w:rsidR="009E50F7">
        <w:rPr>
          <w:rFonts w:ascii="Times New Roman" w:hAnsi="Times New Roman" w:cs="Times New Roman"/>
          <w:sz w:val="24"/>
          <w:szCs w:val="24"/>
        </w:rPr>
        <w:t>n</w:t>
      </w:r>
      <w:r w:rsidRPr="000B1454">
        <w:rPr>
          <w:rFonts w:ascii="Times New Roman" w:hAnsi="Times New Roman" w:cs="Times New Roman"/>
          <w:sz w:val="24"/>
          <w:szCs w:val="24"/>
        </w:rPr>
        <w:t xml:space="preserve"> to those inside the business, </w:t>
      </w:r>
    </w:p>
    <w:p w:rsidR="007914C9" w:rsidRPr="000B1454" w:rsidP="000B186B">
      <w:pPr>
        <w:pStyle w:val="ListParagraph"/>
        <w:numPr>
          <w:ilvl w:val="0"/>
          <w:numId w:val="7"/>
        </w:numPr>
        <w:spacing w:after="0" w:line="240" w:lineRule="auto"/>
        <w:ind w:left="2160" w:right="720" w:hanging="720"/>
        <w:rPr>
          <w:rFonts w:ascii="Times New Roman" w:hAnsi="Times New Roman" w:cs="Times New Roman"/>
          <w:sz w:val="24"/>
          <w:szCs w:val="24"/>
        </w:rPr>
      </w:pPr>
      <w:r w:rsidRPr="000B1454">
        <w:rPr>
          <w:rFonts w:ascii="Times New Roman" w:hAnsi="Times New Roman" w:cs="Times New Roman"/>
          <w:sz w:val="24"/>
          <w:szCs w:val="24"/>
        </w:rPr>
        <w:t xml:space="preserve">The precautions taken by the holder of the trade secret to guard the secrecy of the information, </w:t>
      </w:r>
    </w:p>
    <w:p w:rsidR="007914C9" w:rsidRPr="000B1454" w:rsidP="000B186B">
      <w:pPr>
        <w:pStyle w:val="ListParagraph"/>
        <w:numPr>
          <w:ilvl w:val="0"/>
          <w:numId w:val="7"/>
        </w:numPr>
        <w:spacing w:after="0" w:line="240" w:lineRule="auto"/>
        <w:ind w:left="2160" w:right="720" w:hanging="720"/>
        <w:rPr>
          <w:rFonts w:ascii="Times New Roman" w:hAnsi="Times New Roman" w:cs="Times New Roman"/>
          <w:sz w:val="24"/>
          <w:szCs w:val="24"/>
        </w:rPr>
      </w:pPr>
      <w:r w:rsidRPr="000B1454">
        <w:rPr>
          <w:rFonts w:ascii="Times New Roman" w:hAnsi="Times New Roman" w:cs="Times New Roman"/>
          <w:sz w:val="24"/>
          <w:szCs w:val="24"/>
        </w:rPr>
        <w:t xml:space="preserve">The savings effected and the value to the holder in having the information as against competitors, </w:t>
      </w:r>
    </w:p>
    <w:p w:rsidR="007914C9" w:rsidRPr="000B1454" w:rsidP="000B186B">
      <w:pPr>
        <w:pStyle w:val="ListParagraph"/>
        <w:numPr>
          <w:ilvl w:val="0"/>
          <w:numId w:val="7"/>
        </w:numPr>
        <w:spacing w:after="0" w:line="240" w:lineRule="auto"/>
        <w:ind w:left="2160" w:right="720" w:hanging="720"/>
        <w:rPr>
          <w:rFonts w:ascii="Times New Roman" w:hAnsi="Times New Roman" w:cs="Times New Roman"/>
          <w:sz w:val="24"/>
          <w:szCs w:val="24"/>
        </w:rPr>
      </w:pPr>
      <w:r w:rsidRPr="000B1454">
        <w:rPr>
          <w:rFonts w:ascii="Times New Roman" w:hAnsi="Times New Roman" w:cs="Times New Roman"/>
          <w:sz w:val="24"/>
          <w:szCs w:val="24"/>
        </w:rPr>
        <w:t xml:space="preserve">The amount of effort or money expended in obtaining and developing the information, and </w:t>
      </w:r>
    </w:p>
    <w:p w:rsidR="009030FD" w:rsidP="000B186B">
      <w:pPr>
        <w:pStyle w:val="ListParagraph"/>
        <w:numPr>
          <w:ilvl w:val="0"/>
          <w:numId w:val="7"/>
        </w:numPr>
        <w:spacing w:after="0" w:line="240" w:lineRule="auto"/>
        <w:ind w:left="2160" w:right="720" w:hanging="720"/>
        <w:rPr>
          <w:rFonts w:ascii="Times New Roman" w:hAnsi="Times New Roman" w:cs="Times New Roman"/>
          <w:sz w:val="24"/>
          <w:szCs w:val="24"/>
        </w:rPr>
      </w:pPr>
      <w:r w:rsidRPr="009416A9">
        <w:rPr>
          <w:rFonts w:ascii="Times New Roman" w:hAnsi="Times New Roman" w:cs="Times New Roman"/>
          <w:sz w:val="24"/>
          <w:szCs w:val="24"/>
        </w:rPr>
        <w:t>The amount of time and expense it would take others to acquire and duplicate the information.</w:t>
      </w:r>
      <w:r>
        <w:rPr>
          <w:rStyle w:val="FootnoteReference"/>
          <w:rFonts w:ascii="Times New Roman" w:hAnsi="Times New Roman" w:cs="Times New Roman"/>
          <w:sz w:val="24"/>
          <w:szCs w:val="24"/>
        </w:rPr>
        <w:footnoteReference w:id="10"/>
      </w:r>
    </w:p>
    <w:p w:rsidR="009416A9" w:rsidRPr="009416A9" w:rsidP="009416A9">
      <w:pPr>
        <w:pStyle w:val="ListParagraph"/>
        <w:spacing w:after="0" w:line="240" w:lineRule="auto"/>
        <w:ind w:left="1440" w:right="720"/>
        <w:rPr>
          <w:rFonts w:ascii="Times New Roman" w:hAnsi="Times New Roman" w:cs="Times New Roman"/>
          <w:sz w:val="24"/>
          <w:szCs w:val="24"/>
        </w:rPr>
      </w:pPr>
    </w:p>
    <w:p w:rsidR="007914C9" w:rsidP="007914C9">
      <w:pPr>
        <w:spacing w:after="0" w:line="480" w:lineRule="auto"/>
        <w:rPr>
          <w:rFonts w:ascii="Times New Roman" w:hAnsi="Times New Roman" w:cs="Times New Roman"/>
          <w:sz w:val="24"/>
          <w:szCs w:val="24"/>
        </w:rPr>
      </w:pPr>
      <w:r w:rsidRPr="000B1454">
        <w:rPr>
          <w:rFonts w:ascii="Times New Roman" w:hAnsi="Times New Roman" w:cs="Times New Roman"/>
          <w:sz w:val="24"/>
          <w:szCs w:val="24"/>
        </w:rPr>
        <w:t>The C</w:t>
      </w:r>
      <w:r w:rsidRPr="000B1454">
        <w:rPr>
          <w:rFonts w:ascii="Times New Roman" w:hAnsi="Times New Roman" w:cs="Times New Roman"/>
          <w:sz w:val="24"/>
          <w:szCs w:val="24"/>
        </w:rPr>
        <w:t>ourt</w:t>
      </w:r>
      <w:r w:rsidRPr="000B1454" w:rsidR="00137FD6">
        <w:rPr>
          <w:rFonts w:ascii="Times New Roman" w:hAnsi="Times New Roman" w:cs="Times New Roman"/>
          <w:sz w:val="24"/>
          <w:szCs w:val="24"/>
        </w:rPr>
        <w:t xml:space="preserve"> places</w:t>
      </w:r>
      <w:r w:rsidRPr="000B1454">
        <w:rPr>
          <w:rFonts w:ascii="Times New Roman" w:hAnsi="Times New Roman" w:cs="Times New Roman"/>
          <w:sz w:val="24"/>
          <w:szCs w:val="24"/>
        </w:rPr>
        <w:t xml:space="preserve"> </w:t>
      </w:r>
      <w:r w:rsidRPr="000B1454">
        <w:rPr>
          <w:rFonts w:ascii="Times New Roman" w:hAnsi="Times New Roman" w:cs="Times New Roman"/>
          <w:sz w:val="24"/>
          <w:szCs w:val="24"/>
        </w:rPr>
        <w:t>the burden on the party asserting trade secret status to “identify and demonstrate that the material is included in categories of protected information under the state.”</w:t>
      </w:r>
      <w:r>
        <w:rPr>
          <w:rStyle w:val="FootnoteReference"/>
          <w:rFonts w:ascii="Times New Roman" w:hAnsi="Times New Roman" w:cs="Times New Roman"/>
          <w:sz w:val="24"/>
          <w:szCs w:val="24"/>
        </w:rPr>
        <w:footnoteReference w:id="11"/>
      </w:r>
      <w:r w:rsidRPr="000B1454">
        <w:rPr>
          <w:rFonts w:ascii="Times New Roman" w:hAnsi="Times New Roman" w:cs="Times New Roman"/>
          <w:sz w:val="24"/>
          <w:szCs w:val="24"/>
        </w:rPr>
        <w:t xml:space="preserve"> </w:t>
      </w:r>
    </w:p>
    <w:p w:rsidR="000B186B" w:rsidRPr="000B1454" w:rsidP="000B186B">
      <w:pPr>
        <w:spacing w:after="0" w:line="240" w:lineRule="auto"/>
        <w:rPr>
          <w:rFonts w:ascii="Times New Roman" w:hAnsi="Times New Roman" w:cs="Times New Roman"/>
          <w:sz w:val="24"/>
          <w:szCs w:val="24"/>
        </w:rPr>
      </w:pPr>
    </w:p>
    <w:p w:rsidR="002D0BD9" w:rsidRPr="000B1454" w:rsidP="00A84A20">
      <w:pPr>
        <w:pStyle w:val="Heading1"/>
      </w:pPr>
      <w:bookmarkStart w:id="3" w:name="_Toc506275571"/>
      <w:r w:rsidRPr="000B1454">
        <w:t>III.</w:t>
      </w:r>
      <w:r w:rsidRPr="000B1454">
        <w:tab/>
      </w:r>
      <w:r w:rsidRPr="000B1454" w:rsidR="009E50F7">
        <w:t>rECOMMENDATION</w:t>
      </w:r>
      <w:bookmarkEnd w:id="3"/>
      <w:r w:rsidRPr="000B1454" w:rsidR="0017395E">
        <w:t xml:space="preserve"> </w:t>
      </w:r>
    </w:p>
    <w:p w:rsidR="00795C2B" w:rsidRPr="000B1454" w:rsidP="00795C2B">
      <w:pPr>
        <w:pStyle w:val="Heading2"/>
        <w:rPr>
          <w:rFonts w:ascii="Times New Roman" w:hAnsi="Times New Roman" w:cs="Times New Roman"/>
          <w:szCs w:val="24"/>
        </w:rPr>
      </w:pPr>
      <w:bookmarkStart w:id="4" w:name="_Toc506275572"/>
      <w:r w:rsidRPr="000B1454">
        <w:rPr>
          <w:rFonts w:ascii="Times New Roman" w:hAnsi="Times New Roman" w:cs="Times New Roman"/>
          <w:szCs w:val="24"/>
        </w:rPr>
        <w:t>A</w:t>
      </w:r>
      <w:r w:rsidRPr="000B1454" w:rsidR="00FF1526">
        <w:rPr>
          <w:rFonts w:ascii="Times New Roman" w:hAnsi="Times New Roman" w:cs="Times New Roman"/>
          <w:szCs w:val="24"/>
        </w:rPr>
        <w:t>.</w:t>
      </w:r>
      <w:r w:rsidRPr="000B1454" w:rsidR="00FF1526">
        <w:rPr>
          <w:rFonts w:ascii="Times New Roman" w:hAnsi="Times New Roman" w:cs="Times New Roman"/>
          <w:szCs w:val="24"/>
        </w:rPr>
        <w:tab/>
      </w:r>
      <w:r w:rsidRPr="000B1454" w:rsidR="0017395E">
        <w:rPr>
          <w:rFonts w:ascii="Times New Roman" w:hAnsi="Times New Roman" w:cs="Times New Roman"/>
          <w:szCs w:val="24"/>
        </w:rPr>
        <w:t>Duke</w:t>
      </w:r>
      <w:r w:rsidR="00A36900">
        <w:rPr>
          <w:rFonts w:ascii="Times New Roman" w:hAnsi="Times New Roman" w:cs="Times New Roman"/>
          <w:szCs w:val="24"/>
        </w:rPr>
        <w:t xml:space="preserve"> has</w:t>
      </w:r>
      <w:r w:rsidRPr="000B1454" w:rsidR="0017395E">
        <w:rPr>
          <w:rFonts w:ascii="Times New Roman" w:hAnsi="Times New Roman" w:cs="Times New Roman"/>
          <w:szCs w:val="24"/>
        </w:rPr>
        <w:t xml:space="preserve"> failed to meet </w:t>
      </w:r>
      <w:r w:rsidR="00A36900">
        <w:rPr>
          <w:rFonts w:ascii="Times New Roman" w:hAnsi="Times New Roman" w:cs="Times New Roman"/>
          <w:szCs w:val="24"/>
        </w:rPr>
        <w:t>its</w:t>
      </w:r>
      <w:r w:rsidRPr="000B1454" w:rsidR="0017395E">
        <w:rPr>
          <w:rFonts w:ascii="Times New Roman" w:hAnsi="Times New Roman" w:cs="Times New Roman"/>
          <w:szCs w:val="24"/>
        </w:rPr>
        <w:t xml:space="preserve"> burden of proof </w:t>
      </w:r>
      <w:r w:rsidR="008F723E">
        <w:rPr>
          <w:rFonts w:ascii="Times New Roman" w:hAnsi="Times New Roman" w:cs="Times New Roman"/>
          <w:szCs w:val="24"/>
        </w:rPr>
        <w:t>to keep information from consumers</w:t>
      </w:r>
      <w:r w:rsidRPr="000B1454" w:rsidR="0017395E">
        <w:rPr>
          <w:rFonts w:ascii="Times New Roman" w:hAnsi="Times New Roman" w:cs="Times New Roman"/>
          <w:szCs w:val="24"/>
        </w:rPr>
        <w:t>.</w:t>
      </w:r>
      <w:bookmarkEnd w:id="4"/>
      <w:r w:rsidRPr="000B1454" w:rsidR="0017395E">
        <w:rPr>
          <w:rFonts w:ascii="Times New Roman" w:hAnsi="Times New Roman" w:cs="Times New Roman"/>
          <w:szCs w:val="24"/>
        </w:rPr>
        <w:t xml:space="preserve"> </w:t>
      </w:r>
      <w:r w:rsidRPr="000B1454" w:rsidR="00A94E00">
        <w:rPr>
          <w:rFonts w:ascii="Times New Roman" w:hAnsi="Times New Roman" w:cs="Times New Roman"/>
          <w:szCs w:val="24"/>
        </w:rPr>
        <w:t xml:space="preserve"> </w:t>
      </w:r>
      <w:r w:rsidRPr="000B1454" w:rsidR="00FF1526">
        <w:rPr>
          <w:rFonts w:ascii="Times New Roman" w:hAnsi="Times New Roman" w:cs="Times New Roman"/>
          <w:szCs w:val="24"/>
        </w:rPr>
        <w:t xml:space="preserve">  </w:t>
      </w:r>
    </w:p>
    <w:p w:rsidR="00795C2B" w:rsidRPr="000B1454" w:rsidP="00795C2B">
      <w:pPr>
        <w:pStyle w:val="ListParagraph"/>
        <w:spacing w:after="0" w:line="240" w:lineRule="auto"/>
        <w:ind w:left="0" w:firstLine="720"/>
        <w:rPr>
          <w:rFonts w:ascii="Times New Roman" w:hAnsi="Times New Roman" w:cs="Times New Roman"/>
          <w:sz w:val="24"/>
          <w:szCs w:val="24"/>
        </w:rPr>
      </w:pPr>
    </w:p>
    <w:p w:rsidR="00E143A5" w:rsidRPr="00E143A5" w:rsidP="00E143A5">
      <w:pPr>
        <w:spacing w:after="0" w:line="480" w:lineRule="auto"/>
        <w:ind w:firstLine="720"/>
        <w:rPr>
          <w:rFonts w:ascii="Times New Roman" w:eastAsia="Times New Roman" w:hAnsi="Times New Roman" w:cs="Times New Roman"/>
          <w:sz w:val="24"/>
          <w:szCs w:val="20"/>
        </w:rPr>
      </w:pPr>
      <w:r w:rsidRPr="000B1454">
        <w:rPr>
          <w:rFonts w:ascii="Times New Roman" w:hAnsi="Times New Roman" w:cs="Times New Roman"/>
          <w:sz w:val="24"/>
          <w:szCs w:val="24"/>
        </w:rPr>
        <w:t xml:space="preserve">The information Duke seeks to </w:t>
      </w:r>
      <w:r w:rsidR="008F723E">
        <w:rPr>
          <w:rFonts w:ascii="Times New Roman" w:hAnsi="Times New Roman" w:cs="Times New Roman"/>
          <w:sz w:val="24"/>
          <w:szCs w:val="24"/>
        </w:rPr>
        <w:t>keep from public view</w:t>
      </w:r>
      <w:r w:rsidRPr="000B1454">
        <w:rPr>
          <w:rFonts w:ascii="Times New Roman" w:hAnsi="Times New Roman" w:cs="Times New Roman"/>
          <w:sz w:val="24"/>
          <w:szCs w:val="24"/>
        </w:rPr>
        <w:t xml:space="preserve"> </w:t>
      </w:r>
      <w:r w:rsidR="00A36900">
        <w:rPr>
          <w:rFonts w:ascii="Times New Roman" w:hAnsi="Times New Roman" w:cs="Times New Roman"/>
          <w:sz w:val="24"/>
          <w:szCs w:val="24"/>
        </w:rPr>
        <w:t>are</w:t>
      </w:r>
      <w:r w:rsidRPr="000B1454">
        <w:rPr>
          <w:rFonts w:ascii="Times New Roman" w:hAnsi="Times New Roman" w:cs="Times New Roman"/>
          <w:sz w:val="24"/>
          <w:szCs w:val="24"/>
        </w:rPr>
        <w:t xml:space="preserve"> the “auction fees that are charged by a third-party vendor.”</w:t>
      </w:r>
      <w:r>
        <w:rPr>
          <w:rStyle w:val="FootnoteReference"/>
          <w:rFonts w:ascii="Times New Roman" w:hAnsi="Times New Roman" w:cs="Times New Roman"/>
          <w:sz w:val="24"/>
          <w:szCs w:val="24"/>
        </w:rPr>
        <w:footnoteReference w:id="12"/>
      </w:r>
      <w:r w:rsidRPr="000B1454">
        <w:rPr>
          <w:rFonts w:ascii="Times New Roman" w:hAnsi="Times New Roman" w:cs="Times New Roman"/>
          <w:sz w:val="24"/>
          <w:szCs w:val="24"/>
        </w:rPr>
        <w:t xml:space="preserve"> </w:t>
      </w:r>
      <w:r w:rsidRPr="00E143A5">
        <w:rPr>
          <w:rFonts w:ascii="Times New Roman" w:eastAsia="Times New Roman" w:hAnsi="Times New Roman" w:cs="Times New Roman"/>
          <w:sz w:val="24"/>
          <w:szCs w:val="20"/>
        </w:rPr>
        <w:t>As mentioned above, in order for information to qualify as a trade secret the statute mandates that the information must have the following qualities:</w:t>
      </w:r>
    </w:p>
    <w:p w:rsidR="00E143A5" w:rsidRPr="00E143A5" w:rsidP="009030FD">
      <w:pPr>
        <w:spacing w:after="240" w:line="240" w:lineRule="auto"/>
        <w:ind w:left="2160" w:right="720" w:hanging="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 xml:space="preserve">(1) </w:t>
      </w:r>
      <w:r w:rsidR="009030FD">
        <w:rPr>
          <w:rFonts w:ascii="Times New Roman" w:eastAsia="Times New Roman" w:hAnsi="Times New Roman" w:cs="Times New Roman"/>
          <w:sz w:val="24"/>
          <w:szCs w:val="24"/>
        </w:rPr>
        <w:tab/>
      </w:r>
      <w:r w:rsidRPr="00E143A5">
        <w:rPr>
          <w:rFonts w:ascii="Times New Roman" w:eastAsia="Times New Roman" w:hAnsi="Times New Roman" w:cs="Times New Roman"/>
          <w:sz w:val="24"/>
          <w:szCs w:val="24"/>
        </w:rPr>
        <w:t>It derives independent economic value, actual or potential, from not being generally known to, and not being readily ascertainable by proper means by, other persons who can obtain economic value from its disclosure or use. </w:t>
      </w:r>
    </w:p>
    <w:p w:rsidR="00E143A5" w:rsidRPr="00E143A5" w:rsidP="009030FD">
      <w:pPr>
        <w:spacing w:after="240" w:line="240" w:lineRule="auto"/>
        <w:ind w:left="2160" w:right="720" w:hanging="720"/>
        <w:rPr>
          <w:rFonts w:ascii="Times New Roman" w:eastAsia="Times New Roman" w:hAnsi="Times New Roman" w:cs="Times New Roman"/>
          <w:sz w:val="24"/>
          <w:szCs w:val="24"/>
        </w:rPr>
      </w:pPr>
      <w:r w:rsidRPr="00E143A5">
        <w:rPr>
          <w:rFonts w:ascii="Times New Roman" w:eastAsia="Times New Roman" w:hAnsi="Times New Roman" w:cs="Times New Roman"/>
          <w:sz w:val="24"/>
          <w:szCs w:val="24"/>
        </w:rPr>
        <w:t xml:space="preserve">(2) </w:t>
      </w:r>
      <w:r w:rsidR="009030FD">
        <w:rPr>
          <w:rFonts w:ascii="Times New Roman" w:eastAsia="Times New Roman" w:hAnsi="Times New Roman" w:cs="Times New Roman"/>
          <w:sz w:val="24"/>
          <w:szCs w:val="24"/>
        </w:rPr>
        <w:tab/>
      </w:r>
      <w:r w:rsidRPr="00E143A5">
        <w:rPr>
          <w:rFonts w:ascii="Times New Roman" w:eastAsia="Times New Roman" w:hAnsi="Times New Roman" w:cs="Times New Roman"/>
          <w:sz w:val="24"/>
          <w:szCs w:val="24"/>
        </w:rPr>
        <w:t>It is the subject of efforts that are reasonable under the circumstances to maintain its secrecy.</w:t>
      </w:r>
      <w:r>
        <w:rPr>
          <w:rStyle w:val="FootnoteReference"/>
          <w:rFonts w:ascii="Times New Roman" w:eastAsia="Times New Roman" w:hAnsi="Times New Roman" w:cs="Times New Roman"/>
          <w:sz w:val="24"/>
          <w:szCs w:val="24"/>
        </w:rPr>
        <w:footnoteReference w:id="13"/>
      </w:r>
    </w:p>
    <w:p w:rsidR="00661F11" w:rsidP="00661F11">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As to R.C. 1333.61(D)</w:t>
      </w:r>
      <w:r w:rsidR="00E143A5">
        <w:rPr>
          <w:rFonts w:ascii="Times New Roman" w:hAnsi="Times New Roman" w:cs="Times New Roman"/>
          <w:sz w:val="24"/>
          <w:szCs w:val="24"/>
        </w:rPr>
        <w:t>(1)</w:t>
      </w:r>
      <w:r w:rsidR="008F723E">
        <w:rPr>
          <w:rFonts w:ascii="Times New Roman" w:hAnsi="Times New Roman" w:cs="Times New Roman"/>
          <w:sz w:val="24"/>
          <w:szCs w:val="24"/>
        </w:rPr>
        <w:t xml:space="preserve">, </w:t>
      </w:r>
      <w:r w:rsidRPr="000B1454" w:rsidR="000B1454">
        <w:rPr>
          <w:rFonts w:ascii="Times New Roman" w:hAnsi="Times New Roman" w:cs="Times New Roman"/>
          <w:sz w:val="24"/>
          <w:szCs w:val="24"/>
        </w:rPr>
        <w:t>Duke asserts</w:t>
      </w:r>
      <w:r w:rsidRPr="000B1454" w:rsidR="009E50F7">
        <w:rPr>
          <w:rFonts w:ascii="Times New Roman" w:hAnsi="Times New Roman" w:cs="Times New Roman"/>
          <w:sz w:val="24"/>
          <w:szCs w:val="24"/>
        </w:rPr>
        <w:t xml:space="preserve"> that </w:t>
      </w:r>
      <w:r>
        <w:rPr>
          <w:rFonts w:ascii="Times New Roman" w:hAnsi="Times New Roman" w:cs="Times New Roman"/>
          <w:sz w:val="24"/>
          <w:szCs w:val="24"/>
        </w:rPr>
        <w:t xml:space="preserve">public </w:t>
      </w:r>
      <w:r w:rsidRPr="000B1454" w:rsidR="009E50F7">
        <w:rPr>
          <w:rFonts w:ascii="Times New Roman" w:hAnsi="Times New Roman" w:cs="Times New Roman"/>
          <w:sz w:val="24"/>
          <w:szCs w:val="24"/>
        </w:rPr>
        <w:t>knowledge of the</w:t>
      </w:r>
      <w:r w:rsidRPr="000B1454" w:rsidR="000B1454">
        <w:rPr>
          <w:rFonts w:ascii="Times New Roman" w:hAnsi="Times New Roman" w:cs="Times New Roman"/>
          <w:sz w:val="24"/>
          <w:szCs w:val="24"/>
        </w:rPr>
        <w:t xml:space="preserve"> amount of</w:t>
      </w:r>
      <w:r w:rsidRPr="000B1454" w:rsidR="009E50F7">
        <w:rPr>
          <w:rFonts w:ascii="Times New Roman" w:hAnsi="Times New Roman" w:cs="Times New Roman"/>
          <w:sz w:val="24"/>
          <w:szCs w:val="24"/>
        </w:rPr>
        <w:t xml:space="preserve"> </w:t>
      </w:r>
      <w:r w:rsidRPr="000B1454" w:rsidR="000B1454">
        <w:rPr>
          <w:rFonts w:ascii="Times New Roman" w:hAnsi="Times New Roman" w:cs="Times New Roman"/>
          <w:sz w:val="24"/>
          <w:szCs w:val="24"/>
        </w:rPr>
        <w:t>auction fees</w:t>
      </w:r>
      <w:r w:rsidR="008F723E">
        <w:rPr>
          <w:rFonts w:ascii="Times New Roman" w:hAnsi="Times New Roman" w:cs="Times New Roman"/>
          <w:sz w:val="24"/>
          <w:szCs w:val="24"/>
        </w:rPr>
        <w:t xml:space="preserve"> it pays</w:t>
      </w:r>
      <w:r w:rsidRPr="000B1454" w:rsidR="009E50F7">
        <w:rPr>
          <w:rFonts w:ascii="Times New Roman" w:hAnsi="Times New Roman" w:cs="Times New Roman"/>
          <w:sz w:val="24"/>
          <w:szCs w:val="24"/>
        </w:rPr>
        <w:t xml:space="preserve"> will lead to a competitive </w:t>
      </w:r>
      <w:r w:rsidRPr="000B1454" w:rsidR="000B1454">
        <w:rPr>
          <w:rFonts w:ascii="Times New Roman" w:hAnsi="Times New Roman" w:cs="Times New Roman"/>
          <w:sz w:val="24"/>
          <w:szCs w:val="24"/>
        </w:rPr>
        <w:t>disadvantage, potentially resulting in higher auction fees to be passed on to Duke Energy Ohio and its customers.</w:t>
      </w:r>
      <w:r w:rsidRPr="000B1454" w:rsidR="000B145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r w:rsidR="008F723E">
        <w:rPr>
          <w:rStyle w:val="FootnoteReference"/>
          <w:rFonts w:ascii="Times New Roman" w:hAnsi="Times New Roman" w:cs="Times New Roman"/>
          <w:sz w:val="24"/>
          <w:szCs w:val="24"/>
        </w:rPr>
        <w:t xml:space="preserve"> </w:t>
      </w:r>
      <w:r w:rsidR="00910910">
        <w:rPr>
          <w:rFonts w:ascii="Times New Roman" w:hAnsi="Times New Roman" w:cs="Times New Roman"/>
          <w:sz w:val="24"/>
          <w:szCs w:val="24"/>
        </w:rPr>
        <w:t xml:space="preserve">As to </w:t>
      </w:r>
      <w:r>
        <w:rPr>
          <w:rFonts w:ascii="Times New Roman" w:hAnsi="Times New Roman" w:cs="Times New Roman"/>
          <w:sz w:val="24"/>
          <w:szCs w:val="24"/>
        </w:rPr>
        <w:t>R.C. 1333.61(D)</w:t>
      </w:r>
      <w:r w:rsidR="00E143A5">
        <w:rPr>
          <w:rFonts w:ascii="Times New Roman" w:hAnsi="Times New Roman" w:cs="Times New Roman"/>
          <w:sz w:val="24"/>
          <w:szCs w:val="24"/>
        </w:rPr>
        <w:t>(2)</w:t>
      </w:r>
      <w:r w:rsidR="00910910">
        <w:rPr>
          <w:rFonts w:ascii="Times New Roman" w:hAnsi="Times New Roman" w:cs="Times New Roman"/>
          <w:sz w:val="24"/>
          <w:szCs w:val="24"/>
        </w:rPr>
        <w:t xml:space="preserve">, </w:t>
      </w:r>
      <w:r w:rsidR="008F723E">
        <w:rPr>
          <w:rFonts w:ascii="Times New Roman" w:hAnsi="Times New Roman" w:cs="Times New Roman"/>
          <w:sz w:val="24"/>
          <w:szCs w:val="24"/>
        </w:rPr>
        <w:t xml:space="preserve">Duke states that the information “is </w:t>
      </w:r>
      <w:r w:rsidRPr="008F723E" w:rsidR="008F723E">
        <w:rPr>
          <w:rFonts w:ascii="Times New Roman" w:hAnsi="Times New Roman" w:cs="Times New Roman"/>
          <w:sz w:val="24"/>
          <w:szCs w:val="24"/>
        </w:rPr>
        <w:t>not known outside of Duke Energy Ohio and its vendor, and it is not disseminated within Duke Energy Ohio except to those employees with a legitimate business need to know and act upon the information</w:t>
      </w:r>
      <w:r w:rsidR="008F723E">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8F723E" w:rsidR="008F723E">
        <w:rPr>
          <w:rFonts w:ascii="Times New Roman" w:hAnsi="Times New Roman" w:cs="Times New Roman"/>
          <w:sz w:val="24"/>
          <w:szCs w:val="24"/>
        </w:rPr>
        <w:t xml:space="preserve"> </w:t>
      </w:r>
      <w:r>
        <w:rPr>
          <w:rFonts w:ascii="Times New Roman" w:hAnsi="Times New Roman" w:cs="Times New Roman"/>
          <w:sz w:val="24"/>
          <w:szCs w:val="24"/>
        </w:rPr>
        <w:t xml:space="preserve">As a result of these two statements, Duke claims that the information should be given trade secret status. </w:t>
      </w:r>
      <w:r w:rsidR="00910910">
        <w:rPr>
          <w:rFonts w:ascii="Times New Roman" w:hAnsi="Times New Roman" w:cs="Times New Roman"/>
          <w:sz w:val="24"/>
          <w:szCs w:val="24"/>
        </w:rPr>
        <w:t xml:space="preserve">Duke’s arguments have no merit. </w:t>
      </w:r>
    </w:p>
    <w:p w:rsidR="00F86EE0" w:rsidP="00F86E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First</w:t>
      </w:r>
      <w:r w:rsidR="00053097">
        <w:rPr>
          <w:rFonts w:ascii="Times New Roman" w:hAnsi="Times New Roman" w:cs="Times New Roman"/>
          <w:sz w:val="24"/>
          <w:szCs w:val="24"/>
        </w:rPr>
        <w:t xml:space="preserve"> and foremost</w:t>
      </w:r>
      <w:r>
        <w:rPr>
          <w:rFonts w:ascii="Times New Roman" w:hAnsi="Times New Roman" w:cs="Times New Roman"/>
          <w:sz w:val="24"/>
          <w:szCs w:val="24"/>
        </w:rPr>
        <w:t xml:space="preserve">, </w:t>
      </w:r>
      <w:r w:rsidR="00254D60">
        <w:rPr>
          <w:rFonts w:ascii="Times New Roman" w:hAnsi="Times New Roman" w:cs="Times New Roman"/>
          <w:sz w:val="24"/>
          <w:szCs w:val="24"/>
        </w:rPr>
        <w:t>auction fee information does</w:t>
      </w:r>
      <w:r>
        <w:rPr>
          <w:rFonts w:ascii="Times New Roman" w:hAnsi="Times New Roman" w:cs="Times New Roman"/>
          <w:sz w:val="24"/>
          <w:szCs w:val="24"/>
        </w:rPr>
        <w:t xml:space="preserve"> not meet </w:t>
      </w:r>
      <w:r w:rsidR="00254D60">
        <w:rPr>
          <w:rFonts w:ascii="Times New Roman" w:hAnsi="Times New Roman" w:cs="Times New Roman"/>
          <w:sz w:val="24"/>
          <w:szCs w:val="24"/>
        </w:rPr>
        <w:t>the definition of a “trade secre</w:t>
      </w:r>
      <w:r>
        <w:rPr>
          <w:rFonts w:ascii="Times New Roman" w:hAnsi="Times New Roman" w:cs="Times New Roman"/>
          <w:sz w:val="24"/>
          <w:szCs w:val="24"/>
        </w:rPr>
        <w:t>t</w:t>
      </w:r>
      <w:r w:rsidR="00254D60">
        <w:rPr>
          <w:rFonts w:ascii="Times New Roman" w:hAnsi="Times New Roman" w:cs="Times New Roman"/>
          <w:sz w:val="24"/>
          <w:szCs w:val="24"/>
        </w:rPr>
        <w:t>”</w:t>
      </w:r>
      <w:r>
        <w:rPr>
          <w:rFonts w:ascii="Times New Roman" w:hAnsi="Times New Roman" w:cs="Times New Roman"/>
          <w:sz w:val="24"/>
          <w:szCs w:val="24"/>
        </w:rPr>
        <w:t xml:space="preserve"> because it is not a “</w:t>
      </w:r>
      <w:r w:rsidRPr="008F723E">
        <w:rPr>
          <w:rFonts w:ascii="Times New Roman" w:hAnsi="Times New Roman" w:cs="Times New Roman"/>
          <w:sz w:val="24"/>
          <w:szCs w:val="24"/>
        </w:rPr>
        <w:t>formula, pattern, device or compilation of information</w:t>
      </w:r>
      <w:r>
        <w:rPr>
          <w:rFonts w:ascii="Times New Roman" w:hAnsi="Times New Roman" w:cs="Times New Roman"/>
          <w:sz w:val="24"/>
          <w:szCs w:val="24"/>
        </w:rPr>
        <w:t xml:space="preserve"> that</w:t>
      </w:r>
      <w:r w:rsidRPr="008F723E">
        <w:rPr>
          <w:rFonts w:ascii="Times New Roman" w:hAnsi="Times New Roman" w:cs="Times New Roman"/>
          <w:sz w:val="24"/>
          <w:szCs w:val="24"/>
        </w:rPr>
        <w:t xml:space="preserve"> is used in one's business</w:t>
      </w:r>
      <w:r>
        <w:rPr>
          <w:rFonts w:ascii="Times New Roman" w:hAnsi="Times New Roman" w:cs="Times New Roman"/>
          <w:sz w:val="24"/>
          <w:szCs w:val="24"/>
        </w:rPr>
        <w:t>” and it was not created or compiled in order to give Duke a competitive advantage over other utilities. It is simply an invoice for services rendered by a third party. Indeed,</w:t>
      </w:r>
      <w:r w:rsidR="00053097">
        <w:rPr>
          <w:rFonts w:ascii="Times New Roman" w:hAnsi="Times New Roman" w:cs="Times New Roman"/>
          <w:sz w:val="24"/>
          <w:szCs w:val="24"/>
        </w:rPr>
        <w:t xml:space="preserve"> other large electric distribution utilities’</w:t>
      </w:r>
      <w:r>
        <w:rPr>
          <w:rFonts w:ascii="Times New Roman" w:hAnsi="Times New Roman" w:cs="Times New Roman"/>
          <w:sz w:val="24"/>
          <w:szCs w:val="24"/>
        </w:rPr>
        <w:t xml:space="preserve"> auction expense data and information has not historically been given trade secret protection in PUCO proceedings. The Ohio Power Company has not received protective treatment for the auction costs identified in its Auction Cost Reconciliation Rider filings.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Dayton Power &amp; Light Co</w:t>
      </w:r>
      <w:r w:rsidR="003442B9">
        <w:rPr>
          <w:rFonts w:ascii="Times New Roman" w:hAnsi="Times New Roman" w:cs="Times New Roman"/>
          <w:sz w:val="24"/>
          <w:szCs w:val="24"/>
        </w:rPr>
        <w:t>mpany</w:t>
      </w:r>
      <w:r>
        <w:rPr>
          <w:rFonts w:ascii="Times New Roman" w:hAnsi="Times New Roman" w:cs="Times New Roman"/>
          <w:sz w:val="24"/>
          <w:szCs w:val="24"/>
        </w:rPr>
        <w:t xml:space="preserve"> has not</w:t>
      </w:r>
      <w:r w:rsidR="00254D60">
        <w:rPr>
          <w:rFonts w:ascii="Times New Roman" w:hAnsi="Times New Roman" w:cs="Times New Roman"/>
          <w:sz w:val="24"/>
          <w:szCs w:val="24"/>
        </w:rPr>
        <w:t xml:space="preserve"> historically</w:t>
      </w:r>
      <w:r>
        <w:rPr>
          <w:rFonts w:ascii="Times New Roman" w:hAnsi="Times New Roman" w:cs="Times New Roman"/>
          <w:sz w:val="24"/>
          <w:szCs w:val="24"/>
        </w:rPr>
        <w:t xml:space="preserve"> sought protective treatment for the auction costs and expenses identified in its Reconciliation Rider.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And, FirstEnergy has not </w:t>
      </w:r>
      <w:r w:rsidR="00254D60">
        <w:rPr>
          <w:rFonts w:ascii="Times New Roman" w:hAnsi="Times New Roman" w:cs="Times New Roman"/>
          <w:sz w:val="24"/>
          <w:szCs w:val="24"/>
        </w:rPr>
        <w:t>received</w:t>
      </w:r>
      <w:r>
        <w:rPr>
          <w:rFonts w:ascii="Times New Roman" w:hAnsi="Times New Roman" w:cs="Times New Roman"/>
          <w:sz w:val="24"/>
          <w:szCs w:val="24"/>
        </w:rPr>
        <w:t xml:space="preserve"> protective treatment for auction expenses in its </w:t>
      </w:r>
      <w:r w:rsidR="006558DB">
        <w:rPr>
          <w:rFonts w:ascii="Times New Roman" w:hAnsi="Times New Roman" w:cs="Times New Roman"/>
          <w:sz w:val="24"/>
          <w:szCs w:val="24"/>
        </w:rPr>
        <w:t>Generation Cost Reconciliation R</w:t>
      </w:r>
      <w:r>
        <w:rPr>
          <w:rFonts w:ascii="Times New Roman" w:hAnsi="Times New Roman" w:cs="Times New Roman"/>
          <w:sz w:val="24"/>
          <w:szCs w:val="24"/>
        </w:rPr>
        <w:t>ider.</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Duke provides no sound rationale why its auction expense information should be treated differently</w:t>
      </w:r>
      <w:r w:rsidR="00254D60">
        <w:rPr>
          <w:rFonts w:ascii="Times New Roman" w:hAnsi="Times New Roman" w:cs="Times New Roman"/>
          <w:sz w:val="24"/>
          <w:szCs w:val="24"/>
        </w:rPr>
        <w:t xml:space="preserve"> here</w:t>
      </w:r>
      <w:r>
        <w:rPr>
          <w:rFonts w:ascii="Times New Roman" w:hAnsi="Times New Roman" w:cs="Times New Roman"/>
          <w:sz w:val="24"/>
          <w:szCs w:val="24"/>
        </w:rPr>
        <w:t>.</w:t>
      </w:r>
    </w:p>
    <w:p w:rsidR="00B1220D" w:rsidP="00F86E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F86EE0">
        <w:rPr>
          <w:rFonts w:ascii="Times New Roman" w:hAnsi="Times New Roman" w:cs="Times New Roman"/>
          <w:sz w:val="24"/>
          <w:szCs w:val="24"/>
        </w:rPr>
        <w:t>addition</w:t>
      </w:r>
      <w:r>
        <w:rPr>
          <w:rFonts w:ascii="Times New Roman" w:hAnsi="Times New Roman" w:cs="Times New Roman"/>
          <w:sz w:val="24"/>
          <w:szCs w:val="24"/>
        </w:rPr>
        <w:t xml:space="preserve">, the PUCO has also denied trade secret protection in other similar situations. For example, </w:t>
      </w:r>
      <w:r>
        <w:rPr>
          <w:rFonts w:ascii="Times" w:hAnsi="Times"/>
          <w:sz w:val="24"/>
          <w:szCs w:val="20"/>
        </w:rPr>
        <w:t>t</w:t>
      </w:r>
      <w:r w:rsidRPr="00C112A0">
        <w:rPr>
          <w:rFonts w:ascii="Times" w:hAnsi="Times"/>
          <w:sz w:val="24"/>
          <w:szCs w:val="20"/>
        </w:rPr>
        <w:t xml:space="preserve">he </w:t>
      </w:r>
      <w:r w:rsidRPr="00661F11">
        <w:rPr>
          <w:rFonts w:ascii="Times New Roman" w:hAnsi="Times New Roman"/>
          <w:sz w:val="24"/>
          <w:szCs w:val="20"/>
        </w:rPr>
        <w:t>details of business arrangements between utilities and third parties have been determined by the PUCO to not qualify for protection from disclosure.</w:t>
      </w:r>
      <w:r>
        <w:rPr>
          <w:rStyle w:val="FootnoteReference"/>
          <w:rFonts w:ascii="Times New Roman" w:hAnsi="Times New Roman"/>
          <w:sz w:val="24"/>
          <w:szCs w:val="20"/>
        </w:rPr>
        <w:footnoteReference w:id="19"/>
      </w:r>
      <w:r w:rsidRPr="00661F11">
        <w:rPr>
          <w:rFonts w:ascii="Times New Roman" w:hAnsi="Times New Roman"/>
          <w:sz w:val="24"/>
          <w:szCs w:val="20"/>
        </w:rPr>
        <w:t xml:space="preserve"> </w:t>
      </w:r>
      <w:r>
        <w:rPr>
          <w:rFonts w:ascii="Times New Roman" w:hAnsi="Times New Roman"/>
          <w:sz w:val="24"/>
          <w:szCs w:val="20"/>
        </w:rPr>
        <w:t>F</w:t>
      </w:r>
      <w:r w:rsidRPr="00661F11">
        <w:rPr>
          <w:rFonts w:ascii="Times New Roman" w:hAnsi="Times New Roman"/>
          <w:sz w:val="24"/>
          <w:szCs w:val="20"/>
        </w:rPr>
        <w:t>inancial data, including basic financial arrange</w:t>
      </w:r>
      <w:r>
        <w:rPr>
          <w:rFonts w:ascii="Times New Roman" w:hAnsi="Times New Roman"/>
          <w:sz w:val="24"/>
          <w:szCs w:val="20"/>
        </w:rPr>
        <w:t>ments, have been determined by the PUCO</w:t>
      </w:r>
      <w:r w:rsidRPr="00661F11">
        <w:rPr>
          <w:rFonts w:ascii="Times New Roman" w:hAnsi="Times New Roman"/>
          <w:sz w:val="24"/>
          <w:szCs w:val="20"/>
        </w:rPr>
        <w:t xml:space="preserve"> not</w:t>
      </w:r>
      <w:r>
        <w:rPr>
          <w:rFonts w:ascii="Times New Roman" w:hAnsi="Times New Roman"/>
          <w:sz w:val="24"/>
          <w:szCs w:val="20"/>
        </w:rPr>
        <w:t xml:space="preserve"> to</w:t>
      </w:r>
      <w:r w:rsidRPr="00661F11">
        <w:rPr>
          <w:rFonts w:ascii="Times New Roman" w:hAnsi="Times New Roman"/>
          <w:sz w:val="24"/>
          <w:szCs w:val="20"/>
        </w:rPr>
        <w:t xml:space="preserve"> contain proprietary information worthy of trade secret protection</w:t>
      </w:r>
      <w:r>
        <w:rPr>
          <w:rFonts w:ascii="Times New Roman" w:hAnsi="Times New Roman"/>
          <w:sz w:val="24"/>
          <w:szCs w:val="20"/>
        </w:rPr>
        <w:t>.</w:t>
      </w:r>
      <w:r>
        <w:rPr>
          <w:rStyle w:val="FootnoteReference"/>
          <w:rFonts w:ascii="Times New Roman" w:hAnsi="Times New Roman"/>
          <w:sz w:val="24"/>
          <w:szCs w:val="20"/>
        </w:rPr>
        <w:footnoteReference w:id="20"/>
      </w:r>
      <w:r>
        <w:rPr>
          <w:rFonts w:ascii="Times New Roman" w:hAnsi="Times New Roman"/>
          <w:sz w:val="24"/>
          <w:szCs w:val="20"/>
        </w:rPr>
        <w:t xml:space="preserve"> </w:t>
      </w:r>
      <w:r>
        <w:rPr>
          <w:rFonts w:ascii="Times" w:hAnsi="Times"/>
          <w:sz w:val="24"/>
          <w:szCs w:val="20"/>
        </w:rPr>
        <w:t>And, finally, the PUCO has found on occasion that sensitive business information may not be protected from public disclosure.</w:t>
      </w:r>
      <w:r>
        <w:rPr>
          <w:rStyle w:val="FootnoteReference"/>
          <w:rFonts w:ascii="Times" w:hAnsi="Times"/>
          <w:sz w:val="24"/>
          <w:szCs w:val="20"/>
        </w:rPr>
        <w:footnoteReference w:id="21"/>
      </w:r>
      <w:r w:rsidR="006558DB">
        <w:rPr>
          <w:rFonts w:ascii="Times" w:hAnsi="Times"/>
          <w:sz w:val="24"/>
          <w:szCs w:val="20"/>
        </w:rPr>
        <w:t xml:space="preserve"> The PUCO should continue to keep such information public.</w:t>
      </w:r>
    </w:p>
    <w:p w:rsidR="00E143A5" w:rsidP="00F86EE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w:t>
      </w:r>
      <w:r w:rsidR="00254D60">
        <w:rPr>
          <w:rFonts w:ascii="Times New Roman" w:hAnsi="Times New Roman" w:cs="Times New Roman"/>
          <w:sz w:val="24"/>
          <w:szCs w:val="24"/>
        </w:rPr>
        <w:t xml:space="preserve"> Duke cannot satisfy the other requirements</w:t>
      </w:r>
      <w:r w:rsidR="009F41E0">
        <w:rPr>
          <w:rFonts w:ascii="Times New Roman" w:hAnsi="Times New Roman" w:cs="Times New Roman"/>
          <w:sz w:val="24"/>
          <w:szCs w:val="24"/>
        </w:rPr>
        <w:t xml:space="preserve"> under R.C. 1333.61(D)</w:t>
      </w:r>
      <w:r w:rsidR="00254D60">
        <w:rPr>
          <w:rFonts w:ascii="Times New Roman" w:hAnsi="Times New Roman" w:cs="Times New Roman"/>
          <w:sz w:val="24"/>
          <w:szCs w:val="24"/>
        </w:rPr>
        <w:t xml:space="preserve"> needed for trade secret status.</w:t>
      </w:r>
      <w:r>
        <w:rPr>
          <w:rFonts w:ascii="Times New Roman" w:hAnsi="Times New Roman" w:cs="Times New Roman"/>
          <w:sz w:val="24"/>
          <w:szCs w:val="24"/>
        </w:rPr>
        <w:t xml:space="preserve"> </w:t>
      </w:r>
      <w:r>
        <w:rPr>
          <w:rFonts w:ascii="Times New Roman" w:hAnsi="Times New Roman" w:cs="Times New Roman"/>
          <w:sz w:val="24"/>
          <w:szCs w:val="24"/>
        </w:rPr>
        <w:t>A</w:t>
      </w:r>
      <w:r w:rsidR="00C112A0">
        <w:rPr>
          <w:rFonts w:ascii="Times New Roman" w:hAnsi="Times New Roman" w:cs="Times New Roman"/>
          <w:sz w:val="24"/>
          <w:szCs w:val="24"/>
        </w:rPr>
        <w:t>l</w:t>
      </w:r>
      <w:r w:rsidR="008F723E">
        <w:rPr>
          <w:rFonts w:ascii="Times New Roman" w:hAnsi="Times New Roman" w:cs="Times New Roman"/>
          <w:sz w:val="24"/>
          <w:szCs w:val="24"/>
        </w:rPr>
        <w:t>though</w:t>
      </w:r>
      <w:r w:rsidR="00155799">
        <w:rPr>
          <w:rFonts w:ascii="Times New Roman" w:hAnsi="Times New Roman" w:cs="Times New Roman"/>
          <w:sz w:val="24"/>
          <w:szCs w:val="24"/>
        </w:rPr>
        <w:t xml:space="preserve"> Duke claims</w:t>
      </w:r>
      <w:r w:rsidR="008F723E">
        <w:rPr>
          <w:rFonts w:ascii="Times New Roman" w:hAnsi="Times New Roman" w:cs="Times New Roman"/>
          <w:sz w:val="24"/>
          <w:szCs w:val="24"/>
        </w:rPr>
        <w:t xml:space="preserve"> t</w:t>
      </w:r>
      <w:r w:rsidRPr="000B1454" w:rsidR="008F723E">
        <w:rPr>
          <w:rFonts w:ascii="Times New Roman" w:hAnsi="Times New Roman" w:cs="Times New Roman"/>
          <w:sz w:val="24"/>
          <w:szCs w:val="24"/>
        </w:rPr>
        <w:t>he amount of the auction fees Duke is charged</w:t>
      </w:r>
      <w:r w:rsidR="008F723E">
        <w:rPr>
          <w:rFonts w:ascii="Times New Roman" w:hAnsi="Times New Roman" w:cs="Times New Roman"/>
          <w:sz w:val="24"/>
          <w:szCs w:val="24"/>
        </w:rPr>
        <w:t xml:space="preserve"> may not generally be known outside Duke, </w:t>
      </w:r>
      <w:r w:rsidRPr="008F723E" w:rsidR="008F723E">
        <w:rPr>
          <w:rFonts w:ascii="Times New Roman" w:hAnsi="Times New Roman" w:cs="Times New Roman"/>
          <w:sz w:val="24"/>
          <w:szCs w:val="24"/>
        </w:rPr>
        <w:t xml:space="preserve">there is no discernible value attributable to </w:t>
      </w:r>
      <w:r w:rsidR="008F723E">
        <w:rPr>
          <w:rFonts w:ascii="Times New Roman" w:hAnsi="Times New Roman" w:cs="Times New Roman"/>
          <w:sz w:val="24"/>
          <w:szCs w:val="24"/>
        </w:rPr>
        <w:t>Duke</w:t>
      </w:r>
      <w:r w:rsidRPr="008F723E" w:rsidR="008F723E">
        <w:rPr>
          <w:rFonts w:ascii="Times New Roman" w:hAnsi="Times New Roman" w:cs="Times New Roman"/>
          <w:sz w:val="24"/>
          <w:szCs w:val="24"/>
        </w:rPr>
        <w:t xml:space="preserve"> in having this information as against competitors</w:t>
      </w:r>
      <w:r w:rsidRPr="000B1454" w:rsidR="000B1454">
        <w:rPr>
          <w:rFonts w:ascii="Times New Roman" w:hAnsi="Times New Roman" w:cs="Times New Roman"/>
          <w:sz w:val="24"/>
          <w:szCs w:val="24"/>
        </w:rPr>
        <w:t xml:space="preserve">. </w:t>
      </w:r>
      <w:r w:rsidR="008F723E">
        <w:rPr>
          <w:rFonts w:ascii="Times New Roman" w:hAnsi="Times New Roman" w:cs="Times New Roman"/>
          <w:sz w:val="24"/>
          <w:szCs w:val="24"/>
        </w:rPr>
        <w:t>Indeed</w:t>
      </w:r>
      <w:r w:rsidRPr="000B1454" w:rsidR="000B1454">
        <w:rPr>
          <w:rFonts w:ascii="Times New Roman" w:hAnsi="Times New Roman" w:cs="Times New Roman"/>
          <w:sz w:val="24"/>
          <w:szCs w:val="24"/>
        </w:rPr>
        <w:t>, the public’s knowledge of these fees</w:t>
      </w:r>
      <w:r w:rsidR="008F723E">
        <w:rPr>
          <w:rFonts w:ascii="Times New Roman" w:hAnsi="Times New Roman" w:cs="Times New Roman"/>
          <w:sz w:val="24"/>
          <w:szCs w:val="24"/>
        </w:rPr>
        <w:t xml:space="preserve"> would not</w:t>
      </w:r>
      <w:r w:rsidRPr="000B1454" w:rsidR="000B1454">
        <w:rPr>
          <w:rFonts w:ascii="Times New Roman" w:hAnsi="Times New Roman" w:cs="Times New Roman"/>
          <w:sz w:val="24"/>
          <w:szCs w:val="24"/>
        </w:rPr>
        <w:t xml:space="preserve"> raise costs for Duke or its customers</w:t>
      </w:r>
      <w:r w:rsidR="008F723E">
        <w:rPr>
          <w:rFonts w:ascii="Times New Roman" w:hAnsi="Times New Roman" w:cs="Times New Roman"/>
          <w:sz w:val="24"/>
          <w:szCs w:val="24"/>
        </w:rPr>
        <w:t xml:space="preserve"> as Duke claims</w:t>
      </w:r>
      <w:r w:rsidRPr="000B1454" w:rsidR="000B1454">
        <w:rPr>
          <w:rFonts w:ascii="Times New Roman" w:hAnsi="Times New Roman" w:cs="Times New Roman"/>
          <w:sz w:val="24"/>
          <w:szCs w:val="24"/>
        </w:rPr>
        <w:t xml:space="preserve">. On the contrary, public knowledge of the cost could result in Duke being able to negotiate for terms more favorable to its customers or be approached by a different vendor offering the same services at a lower cost. </w:t>
      </w:r>
      <w:r w:rsidR="002A0F2F">
        <w:rPr>
          <w:rFonts w:ascii="Times New Roman" w:hAnsi="Times New Roman" w:cs="Times New Roman"/>
          <w:sz w:val="24"/>
          <w:szCs w:val="24"/>
        </w:rPr>
        <w:t>Thus, t</w:t>
      </w:r>
      <w:r w:rsidRPr="00DF4D31" w:rsidR="00DF4D31">
        <w:rPr>
          <w:rFonts w:ascii="Times New Roman" w:hAnsi="Times New Roman" w:cs="Times New Roman"/>
          <w:sz w:val="24"/>
          <w:szCs w:val="24"/>
        </w:rPr>
        <w:t xml:space="preserve">he </w:t>
      </w:r>
      <w:r w:rsidR="00DF4D31">
        <w:rPr>
          <w:rFonts w:ascii="Times New Roman" w:hAnsi="Times New Roman" w:cs="Times New Roman"/>
          <w:sz w:val="24"/>
          <w:szCs w:val="24"/>
        </w:rPr>
        <w:t>auction fees</w:t>
      </w:r>
      <w:r w:rsidRPr="00DF4D31" w:rsidR="00DF4D31">
        <w:rPr>
          <w:rFonts w:ascii="Times New Roman" w:hAnsi="Times New Roman" w:cs="Times New Roman"/>
          <w:sz w:val="24"/>
          <w:szCs w:val="24"/>
        </w:rPr>
        <w:t xml:space="preserve"> do not reveal the substance of any business information</w:t>
      </w:r>
      <w:r w:rsidR="00B14BE7">
        <w:rPr>
          <w:rFonts w:ascii="Times New Roman" w:hAnsi="Times New Roman" w:cs="Times New Roman"/>
          <w:sz w:val="24"/>
          <w:szCs w:val="24"/>
        </w:rPr>
        <w:t>,</w:t>
      </w:r>
      <w:r w:rsidRPr="00DF4D31" w:rsidR="00DF4D31">
        <w:rPr>
          <w:rFonts w:ascii="Times New Roman" w:hAnsi="Times New Roman" w:cs="Times New Roman"/>
          <w:sz w:val="24"/>
          <w:szCs w:val="24"/>
        </w:rPr>
        <w:t xml:space="preserve"> which might yield economic value to a competitor</w:t>
      </w:r>
      <w:bookmarkStart w:id="5" w:name="PAGE_7350"/>
      <w:r w:rsidR="00B14BE7">
        <w:rPr>
          <w:rFonts w:ascii="Times New Roman" w:hAnsi="Times New Roman" w:cs="Times New Roman"/>
          <w:sz w:val="24"/>
          <w:szCs w:val="24"/>
        </w:rPr>
        <w:t>.</w:t>
      </w:r>
      <w:r w:rsidR="006E508D">
        <w:rPr>
          <w:rFonts w:ascii="Times New Roman" w:hAnsi="Times New Roman" w:cs="Times New Roman"/>
          <w:sz w:val="24"/>
          <w:szCs w:val="24"/>
        </w:rPr>
        <w:t xml:space="preserve"> </w:t>
      </w:r>
      <w:r>
        <w:rPr>
          <w:rFonts w:ascii="Times" w:hAnsi="Times"/>
          <w:sz w:val="24"/>
          <w:szCs w:val="20"/>
        </w:rPr>
        <w:t>Therefore, Duke cannot satisfy the definition of trade secret under R.C. 1333.61(D)(1) and cannot satisfy the fourth factor of the six-factor test.</w:t>
      </w:r>
    </w:p>
    <w:p w:rsidR="006E508D" w:rsidP="006E508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w:t>
      </w:r>
      <w:r w:rsidR="00E143A5">
        <w:rPr>
          <w:rFonts w:ascii="Times New Roman" w:hAnsi="Times New Roman" w:cs="Times New Roman"/>
          <w:sz w:val="24"/>
          <w:szCs w:val="24"/>
        </w:rPr>
        <w:t xml:space="preserve">Duke has presented no information as to how it satisfies factor five of six-factor test. Nevertheless, </w:t>
      </w:r>
      <w:r w:rsidR="00B14BE7">
        <w:rPr>
          <w:rFonts w:ascii="Times New Roman" w:hAnsi="Times New Roman" w:cs="Times New Roman"/>
          <w:sz w:val="24"/>
          <w:szCs w:val="24"/>
        </w:rPr>
        <w:t>Duke</w:t>
      </w:r>
      <w:r w:rsidR="002A0F2F">
        <w:rPr>
          <w:rFonts w:ascii="Times New Roman" w:hAnsi="Times New Roman" w:cs="Times New Roman"/>
          <w:sz w:val="24"/>
          <w:szCs w:val="24"/>
        </w:rPr>
        <w:t xml:space="preserve"> cannot satisfy this factor because</w:t>
      </w:r>
      <w:r w:rsidR="00E143A5">
        <w:rPr>
          <w:rFonts w:ascii="Times New Roman" w:hAnsi="Times New Roman" w:cs="Times New Roman"/>
          <w:sz w:val="24"/>
          <w:szCs w:val="24"/>
        </w:rPr>
        <w:t xml:space="preserve"> Duke</w:t>
      </w:r>
      <w:r w:rsidRPr="00DF4D31" w:rsidR="00B14BE7">
        <w:rPr>
          <w:rFonts w:ascii="Times New Roman" w:hAnsi="Times New Roman" w:cs="Times New Roman"/>
          <w:sz w:val="24"/>
          <w:szCs w:val="24"/>
        </w:rPr>
        <w:t xml:space="preserve"> did not expend</w:t>
      </w:r>
      <w:r w:rsidR="005C37D9">
        <w:rPr>
          <w:rFonts w:ascii="Times New Roman" w:hAnsi="Times New Roman" w:cs="Times New Roman"/>
          <w:sz w:val="24"/>
          <w:szCs w:val="24"/>
        </w:rPr>
        <w:t xml:space="preserve"> </w:t>
      </w:r>
      <w:r w:rsidRPr="00DF4D31" w:rsidR="00B14BE7">
        <w:rPr>
          <w:rFonts w:ascii="Times New Roman" w:hAnsi="Times New Roman" w:cs="Times New Roman"/>
          <w:sz w:val="24"/>
          <w:szCs w:val="24"/>
        </w:rPr>
        <w:t>great time and</w:t>
      </w:r>
      <w:r w:rsidR="00B14BE7">
        <w:rPr>
          <w:rFonts w:ascii="Times New Roman" w:hAnsi="Times New Roman" w:cs="Times New Roman"/>
          <w:sz w:val="24"/>
          <w:szCs w:val="24"/>
        </w:rPr>
        <w:t xml:space="preserve"> expense in creating the information</w:t>
      </w:r>
      <w:r w:rsidR="00E143A5">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002A0F2F">
        <w:rPr>
          <w:rFonts w:ascii="Times New Roman" w:hAnsi="Times New Roman" w:cs="Times New Roman"/>
          <w:sz w:val="24"/>
          <w:szCs w:val="24"/>
        </w:rPr>
        <w:t xml:space="preserve"> </w:t>
      </w:r>
      <w:r w:rsidR="00E143A5">
        <w:rPr>
          <w:rFonts w:ascii="Times New Roman" w:hAnsi="Times New Roman" w:cs="Times New Roman"/>
          <w:sz w:val="24"/>
          <w:szCs w:val="24"/>
        </w:rPr>
        <w:t>This is becaus</w:t>
      </w:r>
      <w:r w:rsidR="002A0F2F">
        <w:rPr>
          <w:rFonts w:ascii="Times New Roman" w:hAnsi="Times New Roman" w:cs="Times New Roman"/>
          <w:sz w:val="24"/>
          <w:szCs w:val="24"/>
        </w:rPr>
        <w:t>e Duke</w:t>
      </w:r>
      <w:r w:rsidR="001C68B2">
        <w:rPr>
          <w:rFonts w:ascii="Times New Roman" w:hAnsi="Times New Roman" w:cs="Times New Roman"/>
          <w:sz w:val="24"/>
          <w:szCs w:val="24"/>
        </w:rPr>
        <w:t xml:space="preserve"> did not create the information. It simply received and accepted an offer for services</w:t>
      </w:r>
      <w:r w:rsidR="00E143A5">
        <w:rPr>
          <w:rFonts w:ascii="Times New Roman" w:hAnsi="Times New Roman" w:cs="Times New Roman"/>
          <w:sz w:val="24"/>
          <w:szCs w:val="24"/>
        </w:rPr>
        <w:t xml:space="preserve"> from a vendor</w:t>
      </w:r>
      <w:r w:rsidR="001C68B2">
        <w:rPr>
          <w:rFonts w:ascii="Times New Roman" w:hAnsi="Times New Roman" w:cs="Times New Roman"/>
          <w:sz w:val="24"/>
          <w:szCs w:val="24"/>
        </w:rPr>
        <w:t>.</w:t>
      </w:r>
    </w:p>
    <w:p w:rsidR="00A36900" w:rsidP="00A3690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Finally, Duke </w:t>
      </w:r>
      <w:r w:rsidR="00E143A5">
        <w:rPr>
          <w:rFonts w:ascii="Times New Roman" w:hAnsi="Times New Roman" w:cs="Times New Roman"/>
          <w:sz w:val="24"/>
          <w:szCs w:val="24"/>
        </w:rPr>
        <w:t>does not</w:t>
      </w:r>
      <w:r>
        <w:rPr>
          <w:rFonts w:ascii="Times New Roman" w:hAnsi="Times New Roman" w:cs="Times New Roman"/>
          <w:sz w:val="24"/>
          <w:szCs w:val="24"/>
        </w:rPr>
        <w:t xml:space="preserve"> satisfy factor six because it was also not addressed in Duke’s motion. </w:t>
      </w:r>
      <w:r w:rsidR="00E143A5">
        <w:rPr>
          <w:rFonts w:ascii="Times New Roman" w:hAnsi="Times New Roman" w:cs="Times New Roman"/>
          <w:sz w:val="24"/>
          <w:szCs w:val="24"/>
        </w:rPr>
        <w:t>However, w</w:t>
      </w:r>
      <w:r>
        <w:rPr>
          <w:rFonts w:ascii="Times New Roman" w:hAnsi="Times New Roman" w:cs="Times New Roman"/>
          <w:sz w:val="24"/>
          <w:szCs w:val="24"/>
        </w:rPr>
        <w:t>hen the factor is analyzed, Duke’s motion fails because it</w:t>
      </w:r>
      <w:r w:rsidR="001C68B2">
        <w:rPr>
          <w:rFonts w:ascii="Times New Roman" w:hAnsi="Times New Roman" w:cs="Times New Roman"/>
          <w:sz w:val="24"/>
          <w:szCs w:val="24"/>
        </w:rPr>
        <w:t xml:space="preserve"> would not take others any time or exp</w:t>
      </w:r>
      <w:r w:rsidR="00561E92">
        <w:rPr>
          <w:rFonts w:ascii="Times New Roman" w:hAnsi="Times New Roman" w:cs="Times New Roman"/>
          <w:sz w:val="24"/>
          <w:szCs w:val="24"/>
        </w:rPr>
        <w:t>ense to discover the information</w:t>
      </w:r>
      <w:r w:rsidR="006E508D">
        <w:rPr>
          <w:rFonts w:ascii="Times New Roman" w:hAnsi="Times New Roman" w:cs="Times New Roman"/>
          <w:sz w:val="24"/>
          <w:szCs w:val="24"/>
        </w:rPr>
        <w:t xml:space="preserve"> Duke seeks to keep confidential</w:t>
      </w:r>
      <w:r>
        <w:rPr>
          <w:rFonts w:ascii="Times New Roman" w:hAnsi="Times New Roman" w:cs="Times New Roman"/>
          <w:sz w:val="24"/>
          <w:szCs w:val="24"/>
        </w:rPr>
        <w:t xml:space="preserve">. Any other utility could contact the third-party vendor that Duke contracts with for auction services to solicit a bid for auction services. </w:t>
      </w:r>
      <w:r w:rsidR="006E508D">
        <w:rPr>
          <w:rFonts w:ascii="Times New Roman" w:hAnsi="Times New Roman" w:cs="Times New Roman"/>
          <w:sz w:val="24"/>
          <w:szCs w:val="24"/>
        </w:rPr>
        <w:t>Any other</w:t>
      </w:r>
      <w:r>
        <w:rPr>
          <w:rFonts w:ascii="Times New Roman" w:hAnsi="Times New Roman" w:cs="Times New Roman"/>
          <w:sz w:val="24"/>
          <w:szCs w:val="24"/>
        </w:rPr>
        <w:t xml:space="preserve"> utility could also solicit bids from other vendors in order to receive </w:t>
      </w:r>
      <w:r w:rsidR="006E508D">
        <w:rPr>
          <w:rFonts w:ascii="Times New Roman" w:hAnsi="Times New Roman" w:cs="Times New Roman"/>
          <w:sz w:val="24"/>
          <w:szCs w:val="24"/>
        </w:rPr>
        <w:t>lower auction fees</w:t>
      </w:r>
      <w:r>
        <w:rPr>
          <w:rFonts w:ascii="Times New Roman" w:hAnsi="Times New Roman" w:cs="Times New Roman"/>
          <w:sz w:val="24"/>
          <w:szCs w:val="24"/>
        </w:rPr>
        <w:t>.</w:t>
      </w:r>
    </w:p>
    <w:p w:rsidR="004E2736" w:rsidRPr="00B1220D" w:rsidP="00B1220D">
      <w:pPr>
        <w:spacing w:after="0" w:line="480" w:lineRule="auto"/>
        <w:ind w:firstLine="720"/>
        <w:rPr>
          <w:rFonts w:ascii="Times New Roman" w:eastAsia="Times New Roman" w:hAnsi="Times New Roman" w:cs="Times New Roman"/>
          <w:sz w:val="24"/>
          <w:szCs w:val="24"/>
        </w:rPr>
      </w:pPr>
      <w:bookmarkStart w:id="6" w:name="_Toc506275573"/>
      <w:bookmarkEnd w:id="5"/>
      <w:r w:rsidRPr="00A36900">
        <w:rPr>
          <w:rFonts w:ascii="Times New Roman" w:eastAsia="Times New Roman" w:hAnsi="Times New Roman" w:cs="Times New Roman"/>
          <w:sz w:val="24"/>
          <w:szCs w:val="24"/>
        </w:rPr>
        <w:t>In this proceeding, Duke has offered only general statements regarding the nature of the information it considers confidential and the supposed harm that Duke</w:t>
      </w:r>
      <w:r>
        <w:rPr>
          <w:rFonts w:ascii="Times New Roman" w:eastAsia="Times New Roman" w:hAnsi="Times New Roman" w:cs="Times New Roman"/>
          <w:sz w:val="24"/>
          <w:szCs w:val="24"/>
        </w:rPr>
        <w:t xml:space="preserve"> would</w:t>
      </w:r>
      <w:r w:rsidRPr="00A36900">
        <w:rPr>
          <w:rFonts w:ascii="Times New Roman" w:eastAsia="Times New Roman" w:hAnsi="Times New Roman" w:cs="Times New Roman"/>
          <w:sz w:val="24"/>
          <w:szCs w:val="24"/>
        </w:rPr>
        <w:t xml:space="preserve"> incur if the information is disclosed.  The PUCO should not keep information from the public </w:t>
      </w:r>
      <w:r w:rsidR="005C37D9">
        <w:rPr>
          <w:rFonts w:ascii="Times New Roman" w:eastAsia="Times New Roman" w:hAnsi="Times New Roman" w:cs="Times New Roman"/>
          <w:sz w:val="24"/>
          <w:szCs w:val="24"/>
        </w:rPr>
        <w:t xml:space="preserve">regarding costs to the utility, which ultimately results in charges to consumers, </w:t>
      </w:r>
      <w:r w:rsidRPr="00A36900">
        <w:rPr>
          <w:rFonts w:ascii="Times New Roman" w:eastAsia="Times New Roman" w:hAnsi="Times New Roman" w:cs="Times New Roman"/>
          <w:sz w:val="24"/>
          <w:szCs w:val="24"/>
        </w:rPr>
        <w:t>based on such flimsy support.</w:t>
      </w:r>
    </w:p>
    <w:p w:rsidR="00A84A20">
      <w:pPr>
        <w:rPr>
          <w:rFonts w:ascii="Times New Roman" w:hAnsi="Times New Roman" w:eastAsiaTheme="majorEastAsia" w:cs="Times New Roman"/>
          <w:b/>
          <w:bCs/>
          <w:sz w:val="24"/>
          <w:szCs w:val="24"/>
        </w:rPr>
      </w:pPr>
      <w:r>
        <w:rPr>
          <w:rFonts w:ascii="Times New Roman" w:hAnsi="Times New Roman" w:cs="Times New Roman"/>
          <w:szCs w:val="24"/>
        </w:rPr>
        <w:br w:type="page"/>
      </w:r>
    </w:p>
    <w:p w:rsidR="009E50F7" w:rsidRPr="000B1454" w:rsidP="009E50F7">
      <w:pPr>
        <w:pStyle w:val="Heading2"/>
        <w:rPr>
          <w:rFonts w:ascii="Times New Roman" w:hAnsi="Times New Roman" w:cs="Times New Roman"/>
          <w:szCs w:val="24"/>
        </w:rPr>
      </w:pPr>
      <w:r>
        <w:rPr>
          <w:rFonts w:ascii="Times New Roman" w:hAnsi="Times New Roman" w:cs="Times New Roman"/>
          <w:szCs w:val="24"/>
        </w:rPr>
        <w:t>B</w:t>
      </w:r>
      <w:r w:rsidRPr="000B1454" w:rsidR="000B1454">
        <w:rPr>
          <w:rFonts w:ascii="Times New Roman" w:hAnsi="Times New Roman" w:cs="Times New Roman"/>
          <w:szCs w:val="24"/>
        </w:rPr>
        <w:t>.</w:t>
      </w:r>
      <w:r w:rsidRPr="000B1454" w:rsidR="000B1454">
        <w:rPr>
          <w:rFonts w:ascii="Times New Roman" w:hAnsi="Times New Roman" w:cs="Times New Roman"/>
          <w:szCs w:val="24"/>
        </w:rPr>
        <w:tab/>
      </w:r>
      <w:r w:rsidRPr="000B1454">
        <w:rPr>
          <w:rFonts w:ascii="Times New Roman" w:hAnsi="Times New Roman" w:cs="Times New Roman"/>
          <w:szCs w:val="24"/>
        </w:rPr>
        <w:t>Duke’s presumption that a confidentiality agreement with a third</w:t>
      </w:r>
      <w:r w:rsidR="00845ACE">
        <w:rPr>
          <w:rFonts w:ascii="Times New Roman" w:hAnsi="Times New Roman" w:cs="Times New Roman"/>
          <w:szCs w:val="24"/>
        </w:rPr>
        <w:t xml:space="preserve"> </w:t>
      </w:r>
      <w:r w:rsidRPr="000B1454">
        <w:rPr>
          <w:rFonts w:ascii="Times New Roman" w:hAnsi="Times New Roman" w:cs="Times New Roman"/>
          <w:szCs w:val="24"/>
        </w:rPr>
        <w:t>party creates a trade secret is contrary to case law.</w:t>
      </w:r>
      <w:bookmarkEnd w:id="6"/>
      <w:r w:rsidRPr="000B1454">
        <w:rPr>
          <w:rFonts w:ascii="Times New Roman" w:hAnsi="Times New Roman" w:cs="Times New Roman"/>
          <w:szCs w:val="24"/>
        </w:rPr>
        <w:t xml:space="preserve">   </w:t>
      </w:r>
    </w:p>
    <w:p w:rsidR="009E50F7" w:rsidRPr="000B1454" w:rsidP="009E50F7">
      <w:pPr>
        <w:spacing w:after="0" w:line="240" w:lineRule="auto"/>
        <w:rPr>
          <w:rFonts w:ascii="Times New Roman" w:hAnsi="Times New Roman" w:cs="Times New Roman"/>
          <w:sz w:val="24"/>
          <w:szCs w:val="24"/>
        </w:rPr>
      </w:pPr>
    </w:p>
    <w:p w:rsidR="009E50F7" w:rsidP="009B4295">
      <w:pPr>
        <w:spacing w:after="0" w:line="480" w:lineRule="auto"/>
        <w:rPr>
          <w:rFonts w:ascii="Times New Roman" w:hAnsi="Times New Roman" w:cs="Times New Roman"/>
          <w:sz w:val="24"/>
          <w:szCs w:val="24"/>
        </w:rPr>
      </w:pPr>
      <w:r w:rsidRPr="000B1454">
        <w:rPr>
          <w:rFonts w:ascii="Times New Roman" w:hAnsi="Times New Roman" w:cs="Times New Roman"/>
          <w:sz w:val="24"/>
          <w:szCs w:val="24"/>
        </w:rPr>
        <w:tab/>
        <w:t>Duke</w:t>
      </w:r>
      <w:r w:rsidR="008F723E">
        <w:rPr>
          <w:rFonts w:ascii="Times New Roman" w:hAnsi="Times New Roman" w:cs="Times New Roman"/>
          <w:sz w:val="24"/>
          <w:szCs w:val="24"/>
        </w:rPr>
        <w:t xml:space="preserve"> also</w:t>
      </w:r>
      <w:r w:rsidRPr="000B1454">
        <w:rPr>
          <w:rFonts w:ascii="Times New Roman" w:hAnsi="Times New Roman" w:cs="Times New Roman"/>
          <w:sz w:val="24"/>
          <w:szCs w:val="24"/>
        </w:rPr>
        <w:t xml:space="preserve"> states that </w:t>
      </w:r>
      <w:r w:rsidR="008F723E">
        <w:rPr>
          <w:rFonts w:ascii="Times New Roman" w:hAnsi="Times New Roman" w:cs="Times New Roman"/>
          <w:sz w:val="24"/>
          <w:szCs w:val="24"/>
        </w:rPr>
        <w:t>the</w:t>
      </w:r>
      <w:r w:rsidRPr="000B1454">
        <w:rPr>
          <w:rFonts w:ascii="Times New Roman" w:hAnsi="Times New Roman" w:cs="Times New Roman"/>
          <w:sz w:val="24"/>
          <w:szCs w:val="24"/>
        </w:rPr>
        <w:t xml:space="preserve"> </w:t>
      </w:r>
      <w:r w:rsidR="008F723E">
        <w:rPr>
          <w:rFonts w:ascii="Times New Roman" w:hAnsi="Times New Roman" w:cs="Times New Roman"/>
          <w:sz w:val="24"/>
          <w:szCs w:val="24"/>
        </w:rPr>
        <w:t>amount it is charged by its vendor for auction fees should be given trade secret status because it</w:t>
      </w:r>
      <w:r w:rsidRPr="000B1454">
        <w:rPr>
          <w:rFonts w:ascii="Times New Roman" w:hAnsi="Times New Roman" w:cs="Times New Roman"/>
          <w:sz w:val="24"/>
          <w:szCs w:val="24"/>
        </w:rPr>
        <w:t xml:space="preserve"> is subject to a confidentiality agreement.</w:t>
      </w:r>
      <w:r w:rsidR="008F723E">
        <w:rPr>
          <w:rFonts w:ascii="Times New Roman" w:hAnsi="Times New Roman" w:cs="Times New Roman"/>
          <w:sz w:val="24"/>
          <w:szCs w:val="24"/>
        </w:rPr>
        <w:t xml:space="preserve"> This argument has no merit.</w:t>
      </w:r>
      <w:r w:rsidRPr="000B1454">
        <w:rPr>
          <w:rFonts w:ascii="Times New Roman" w:hAnsi="Times New Roman" w:cs="Times New Roman"/>
          <w:sz w:val="24"/>
          <w:szCs w:val="24"/>
        </w:rPr>
        <w:t xml:space="preserve"> The existence of a confidentiality agreement is irrelevant and does not al</w:t>
      </w:r>
      <w:r w:rsidR="00155799">
        <w:rPr>
          <w:rFonts w:ascii="Times New Roman" w:hAnsi="Times New Roman" w:cs="Times New Roman"/>
          <w:sz w:val="24"/>
          <w:szCs w:val="24"/>
        </w:rPr>
        <w:t xml:space="preserve">low Duke to </w:t>
      </w:r>
      <w:r w:rsidR="00F365A1">
        <w:rPr>
          <w:rFonts w:ascii="Times New Roman" w:hAnsi="Times New Roman" w:cs="Times New Roman"/>
          <w:sz w:val="24"/>
          <w:szCs w:val="24"/>
        </w:rPr>
        <w:t>sidestep</w:t>
      </w:r>
      <w:r w:rsidR="00F365A1">
        <w:rPr>
          <w:rFonts w:ascii="Times New Roman" w:hAnsi="Times New Roman" w:cs="Times New Roman"/>
          <w:sz w:val="24"/>
          <w:szCs w:val="24"/>
        </w:rPr>
        <w:t xml:space="preserve"> </w:t>
      </w:r>
      <w:r w:rsidR="00845ACE">
        <w:rPr>
          <w:rFonts w:ascii="Times New Roman" w:hAnsi="Times New Roman" w:cs="Times New Roman"/>
          <w:sz w:val="24"/>
          <w:szCs w:val="24"/>
        </w:rPr>
        <w:t xml:space="preserve">its </w:t>
      </w:r>
      <w:r w:rsidR="00155799">
        <w:rPr>
          <w:rFonts w:ascii="Times New Roman" w:hAnsi="Times New Roman" w:cs="Times New Roman"/>
          <w:sz w:val="24"/>
          <w:szCs w:val="24"/>
        </w:rPr>
        <w:t>burden</w:t>
      </w:r>
      <w:r w:rsidR="00845ACE">
        <w:rPr>
          <w:rFonts w:ascii="Times New Roman" w:hAnsi="Times New Roman" w:cs="Times New Roman"/>
          <w:sz w:val="24"/>
          <w:szCs w:val="24"/>
        </w:rPr>
        <w:t xml:space="preserve"> to produce the requested </w:t>
      </w:r>
      <w:r w:rsidR="00065CEA">
        <w:rPr>
          <w:rFonts w:ascii="Times New Roman" w:hAnsi="Times New Roman" w:cs="Times New Roman"/>
          <w:sz w:val="24"/>
          <w:szCs w:val="24"/>
        </w:rPr>
        <w:t>information</w:t>
      </w:r>
      <w:r w:rsidR="00155799">
        <w:rPr>
          <w:rFonts w:ascii="Times New Roman" w:hAnsi="Times New Roman" w:cs="Times New Roman"/>
          <w:sz w:val="24"/>
          <w:szCs w:val="24"/>
        </w:rPr>
        <w:t xml:space="preserve">. Indeed, </w:t>
      </w:r>
      <w:r w:rsidR="008F723E">
        <w:rPr>
          <w:rFonts w:ascii="Times New Roman" w:hAnsi="Times New Roman" w:cs="Times New Roman"/>
          <w:sz w:val="24"/>
          <w:szCs w:val="24"/>
        </w:rPr>
        <w:t>the Court</w:t>
      </w:r>
      <w:r w:rsidR="00155799">
        <w:rPr>
          <w:rFonts w:ascii="Times New Roman" w:hAnsi="Times New Roman" w:cs="Times New Roman"/>
          <w:sz w:val="24"/>
          <w:szCs w:val="24"/>
        </w:rPr>
        <w:t xml:space="preserve">, in </w:t>
      </w:r>
      <w:r w:rsidRPr="000B1454" w:rsidR="00155799">
        <w:rPr>
          <w:rFonts w:ascii="Times New Roman" w:hAnsi="Times New Roman" w:cs="Times New Roman"/>
          <w:i/>
          <w:sz w:val="24"/>
          <w:szCs w:val="24"/>
        </w:rPr>
        <w:t>Plain Dealer</w:t>
      </w:r>
      <w:r w:rsidR="00155799">
        <w:rPr>
          <w:rFonts w:ascii="Times New Roman" w:hAnsi="Times New Roman" w:cs="Times New Roman"/>
          <w:sz w:val="24"/>
          <w:szCs w:val="24"/>
        </w:rPr>
        <w:t xml:space="preserve">, </w:t>
      </w:r>
      <w:r w:rsidR="008F723E">
        <w:rPr>
          <w:rFonts w:ascii="Times New Roman" w:hAnsi="Times New Roman" w:cs="Times New Roman"/>
          <w:sz w:val="24"/>
          <w:szCs w:val="24"/>
        </w:rPr>
        <w:t>held that</w:t>
      </w:r>
      <w:r w:rsidR="00155799">
        <w:rPr>
          <w:rFonts w:ascii="Times New Roman" w:hAnsi="Times New Roman" w:cs="Times New Roman"/>
          <w:sz w:val="24"/>
          <w:szCs w:val="24"/>
        </w:rPr>
        <w:t xml:space="preserve"> a </w:t>
      </w:r>
      <w:r w:rsidRPr="000B1454">
        <w:rPr>
          <w:rFonts w:ascii="Times New Roman" w:hAnsi="Times New Roman" w:cs="Times New Roman"/>
          <w:sz w:val="24"/>
          <w:szCs w:val="24"/>
        </w:rPr>
        <w:t xml:space="preserve">party cannot meet the statutory trade secret definition by stating that documents for which trade secret status is claimed are protected </w:t>
      </w:r>
      <w:r w:rsidR="00155799">
        <w:rPr>
          <w:rFonts w:ascii="Times New Roman" w:hAnsi="Times New Roman" w:cs="Times New Roman"/>
          <w:sz w:val="24"/>
          <w:szCs w:val="24"/>
        </w:rPr>
        <w:t>by or referenced in a confidentiality agreement.</w:t>
      </w:r>
      <w:r>
        <w:rPr>
          <w:rStyle w:val="FootnoteReference"/>
          <w:rFonts w:ascii="Times New Roman" w:hAnsi="Times New Roman" w:cs="Times New Roman"/>
          <w:sz w:val="24"/>
          <w:szCs w:val="24"/>
        </w:rPr>
        <w:footnoteReference w:id="23"/>
      </w:r>
      <w:r w:rsidRPr="000B1454">
        <w:rPr>
          <w:rFonts w:ascii="Times New Roman" w:hAnsi="Times New Roman" w:cs="Times New Roman"/>
          <w:sz w:val="24"/>
          <w:szCs w:val="24"/>
        </w:rPr>
        <w:t xml:space="preserve"> The Court determined that the do</w:t>
      </w:r>
      <w:r w:rsidR="00155799">
        <w:rPr>
          <w:rFonts w:ascii="Times New Roman" w:hAnsi="Times New Roman" w:cs="Times New Roman"/>
          <w:sz w:val="24"/>
          <w:szCs w:val="24"/>
        </w:rPr>
        <w:t>cuments associated with a third</w:t>
      </w:r>
      <w:r w:rsidR="00845ACE">
        <w:rPr>
          <w:rFonts w:ascii="Times New Roman" w:hAnsi="Times New Roman" w:cs="Times New Roman"/>
          <w:sz w:val="24"/>
          <w:szCs w:val="24"/>
        </w:rPr>
        <w:t xml:space="preserve"> </w:t>
      </w:r>
      <w:r w:rsidRPr="000B1454">
        <w:rPr>
          <w:rFonts w:ascii="Times New Roman" w:hAnsi="Times New Roman" w:cs="Times New Roman"/>
          <w:sz w:val="24"/>
          <w:szCs w:val="24"/>
        </w:rPr>
        <w:t xml:space="preserve">party confidentiality agreement were not protected simply by that agreement. </w:t>
      </w:r>
      <w:r w:rsidR="00155799">
        <w:rPr>
          <w:rFonts w:ascii="Times New Roman" w:hAnsi="Times New Roman" w:cs="Times New Roman"/>
          <w:sz w:val="24"/>
          <w:szCs w:val="24"/>
        </w:rPr>
        <w:t>Therefore, t</w:t>
      </w:r>
      <w:r w:rsidRPr="000B1454">
        <w:rPr>
          <w:rFonts w:ascii="Times New Roman" w:hAnsi="Times New Roman" w:cs="Times New Roman"/>
          <w:sz w:val="24"/>
          <w:szCs w:val="24"/>
        </w:rPr>
        <w:t xml:space="preserve">he agreement between Duke and its third-party vendor doesn’t allow them to withhold the auction fees from the public. </w:t>
      </w:r>
    </w:p>
    <w:p w:rsidR="009030FD" w:rsidRPr="009B4295" w:rsidP="009030FD">
      <w:pPr>
        <w:spacing w:after="0" w:line="240" w:lineRule="auto"/>
        <w:rPr>
          <w:rFonts w:ascii="Times New Roman" w:hAnsi="Times New Roman" w:cs="Times New Roman"/>
          <w:sz w:val="24"/>
          <w:szCs w:val="24"/>
        </w:rPr>
      </w:pPr>
    </w:p>
    <w:p w:rsidR="00795C2B" w:rsidRPr="000B1454" w:rsidP="00A84A20">
      <w:pPr>
        <w:pStyle w:val="Heading1"/>
      </w:pPr>
      <w:bookmarkStart w:id="7" w:name="_Toc506275574"/>
      <w:r w:rsidRPr="000B1454">
        <w:t>IV.</w:t>
      </w:r>
      <w:r w:rsidRPr="000B1454">
        <w:tab/>
        <w:t>Conclusion</w:t>
      </w:r>
      <w:bookmarkEnd w:id="7"/>
    </w:p>
    <w:p w:rsidR="00795C2B" w:rsidRPr="000B1454" w:rsidP="00795C2B">
      <w:pPr>
        <w:pStyle w:val="ListParagraph"/>
        <w:spacing w:line="480" w:lineRule="auto"/>
        <w:ind w:left="0" w:firstLine="720"/>
        <w:rPr>
          <w:rFonts w:ascii="Times New Roman" w:hAnsi="Times New Roman" w:cs="Times New Roman"/>
          <w:sz w:val="24"/>
          <w:szCs w:val="24"/>
        </w:rPr>
      </w:pPr>
      <w:r w:rsidRPr="000B1454">
        <w:rPr>
          <w:rFonts w:ascii="Times New Roman" w:hAnsi="Times New Roman" w:cs="Times New Roman"/>
          <w:sz w:val="24"/>
          <w:szCs w:val="24"/>
        </w:rPr>
        <w:t>The PUCO should deny Duke’s motion for protective order. Duke has failed to prove that there is any information that constitutes trade secret status. In its short memorandum in support</w:t>
      </w:r>
      <w:r w:rsidR="00030E1A">
        <w:rPr>
          <w:rFonts w:ascii="Times New Roman" w:hAnsi="Times New Roman" w:cs="Times New Roman"/>
          <w:sz w:val="24"/>
          <w:szCs w:val="24"/>
        </w:rPr>
        <w:t>,</w:t>
      </w:r>
      <w:r w:rsidRPr="000B1454">
        <w:rPr>
          <w:rFonts w:ascii="Times New Roman" w:hAnsi="Times New Roman" w:cs="Times New Roman"/>
          <w:sz w:val="24"/>
          <w:szCs w:val="24"/>
        </w:rPr>
        <w:t xml:space="preserve"> Duke failed to offer any evidence</w:t>
      </w:r>
      <w:r w:rsidRPr="000B1454" w:rsidR="00137FD6">
        <w:rPr>
          <w:rFonts w:ascii="Times New Roman" w:hAnsi="Times New Roman" w:cs="Times New Roman"/>
          <w:sz w:val="24"/>
          <w:szCs w:val="24"/>
        </w:rPr>
        <w:t xml:space="preserve"> other than a third party confidentiality agreement and vague assumptions of negative market impact. The PUCO should find that Duke failed to meet its burden of proof and that the information is not protected as a trade secret under R.C. 1333.61(D). Therefore, Duke’s motion should be denied and the auction fees be made public. </w:t>
      </w:r>
    </w:p>
    <w:p w:rsidR="00A84A20" w:rsidP="00795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4A20">
      <w:pPr>
        <w:rPr>
          <w:rFonts w:ascii="Times New Roman" w:hAnsi="Times New Roman" w:cs="Times New Roman"/>
          <w:sz w:val="24"/>
          <w:szCs w:val="24"/>
        </w:rPr>
      </w:pPr>
      <w:r>
        <w:rPr>
          <w:rFonts w:ascii="Times New Roman" w:hAnsi="Times New Roman" w:cs="Times New Roman"/>
          <w:sz w:val="24"/>
          <w:szCs w:val="24"/>
        </w:rPr>
        <w:br w:type="page"/>
      </w:r>
    </w:p>
    <w:p w:rsidR="00795C2B" w:rsidRPr="000B1454" w:rsidP="00795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1454" w:rsidR="00FF1526">
        <w:rPr>
          <w:rFonts w:ascii="Times New Roman" w:hAnsi="Times New Roman" w:cs="Times New Roman"/>
          <w:sz w:val="24"/>
          <w:szCs w:val="24"/>
        </w:rPr>
        <w:t>Respectfully submitted,</w:t>
      </w:r>
    </w:p>
    <w:p w:rsidR="00795C2B" w:rsidRPr="000B1454" w:rsidP="00795C2B">
      <w:pPr>
        <w:spacing w:after="0" w:line="240" w:lineRule="auto"/>
        <w:ind w:left="3600" w:firstLine="720"/>
        <w:rPr>
          <w:rFonts w:ascii="Times New Roman" w:hAnsi="Times New Roman" w:cs="Times New Roman"/>
          <w:sz w:val="24"/>
          <w:szCs w:val="24"/>
        </w:rPr>
      </w:pPr>
      <w:r w:rsidRPr="000B1454">
        <w:rPr>
          <w:rFonts w:ascii="Times New Roman" w:hAnsi="Times New Roman" w:cs="Times New Roman"/>
          <w:sz w:val="24"/>
          <w:szCs w:val="24"/>
        </w:rPr>
        <w:t>BRUCE WESTON (0016973)</w:t>
      </w:r>
    </w:p>
    <w:p w:rsidR="00795C2B" w:rsidRPr="000B1454" w:rsidP="00795C2B">
      <w:pPr>
        <w:spacing w:after="0" w:line="240" w:lineRule="auto"/>
        <w:ind w:left="2880" w:firstLine="720"/>
        <w:rPr>
          <w:rFonts w:ascii="Times New Roman" w:hAnsi="Times New Roman" w:cs="Times New Roman"/>
          <w:sz w:val="24"/>
          <w:szCs w:val="24"/>
        </w:rPr>
      </w:pPr>
      <w:r w:rsidRPr="000B1454">
        <w:rPr>
          <w:rFonts w:ascii="Times New Roman" w:hAnsi="Times New Roman" w:cs="Times New Roman"/>
          <w:sz w:val="24"/>
          <w:szCs w:val="24"/>
        </w:rPr>
        <w:tab/>
        <w:t>OHIO CONSUMERS’ COUNSEL</w:t>
      </w:r>
    </w:p>
    <w:p w:rsidR="00795C2B" w:rsidRPr="000B1454" w:rsidP="00795C2B">
      <w:pPr>
        <w:spacing w:after="0" w:line="240" w:lineRule="auto"/>
        <w:ind w:left="2880" w:firstLine="720"/>
        <w:rPr>
          <w:rFonts w:ascii="Times New Roman" w:hAnsi="Times New Roman" w:cs="Times New Roman"/>
          <w:sz w:val="24"/>
          <w:szCs w:val="24"/>
        </w:rPr>
      </w:pPr>
      <w:r w:rsidRPr="000B1454">
        <w:rPr>
          <w:rFonts w:ascii="Times New Roman" w:hAnsi="Times New Roman" w:cs="Times New Roman"/>
          <w:sz w:val="24"/>
          <w:szCs w:val="24"/>
        </w:rPr>
        <w:tab/>
      </w:r>
      <w:r w:rsidRPr="000B1454">
        <w:rPr>
          <w:rFonts w:ascii="Times New Roman" w:hAnsi="Times New Roman" w:cs="Times New Roman"/>
          <w:i/>
          <w:sz w:val="24"/>
          <w:szCs w:val="24"/>
        </w:rPr>
        <w:tab/>
      </w:r>
    </w:p>
    <w:p w:rsidR="00795C2B" w:rsidRPr="000B1454" w:rsidP="00795C2B">
      <w:pPr>
        <w:spacing w:after="0" w:line="240" w:lineRule="auto"/>
        <w:ind w:left="2880" w:firstLine="720"/>
        <w:rPr>
          <w:rFonts w:ascii="Times New Roman" w:hAnsi="Times New Roman" w:cs="Times New Roman"/>
          <w:i/>
          <w:sz w:val="24"/>
          <w:szCs w:val="24"/>
          <w:u w:val="single"/>
        </w:rPr>
      </w:pPr>
      <w:r w:rsidRPr="000B1454">
        <w:rPr>
          <w:rFonts w:ascii="Times New Roman" w:hAnsi="Times New Roman" w:cs="Times New Roman"/>
          <w:i/>
          <w:sz w:val="24"/>
          <w:szCs w:val="24"/>
        </w:rPr>
        <w:tab/>
      </w:r>
      <w:r w:rsidRPr="000B1454">
        <w:rPr>
          <w:rFonts w:ascii="Times New Roman" w:hAnsi="Times New Roman" w:cs="Times New Roman"/>
          <w:i/>
          <w:sz w:val="24"/>
          <w:szCs w:val="24"/>
          <w:u w:val="single"/>
        </w:rPr>
        <w:t xml:space="preserve">/s/ </w:t>
      </w:r>
      <w:r w:rsidRPr="000B1454" w:rsidR="00BE6230">
        <w:rPr>
          <w:rFonts w:ascii="Times New Roman" w:hAnsi="Times New Roman" w:cs="Times New Roman"/>
          <w:i/>
          <w:sz w:val="24"/>
          <w:szCs w:val="24"/>
          <w:u w:val="single"/>
        </w:rPr>
        <w:t>Kevin F. Moore</w:t>
      </w:r>
    </w:p>
    <w:p w:rsidR="00795C2B" w:rsidRPr="000B1454" w:rsidP="00795C2B">
      <w:pPr>
        <w:spacing w:after="0" w:line="240" w:lineRule="auto"/>
        <w:ind w:left="2880" w:firstLine="720"/>
        <w:rPr>
          <w:rFonts w:ascii="Times New Roman" w:hAnsi="Times New Roman" w:cs="Times New Roman"/>
          <w:sz w:val="24"/>
          <w:szCs w:val="24"/>
        </w:rPr>
      </w:pPr>
      <w:r w:rsidRPr="000B1454">
        <w:rPr>
          <w:rFonts w:ascii="Times New Roman" w:hAnsi="Times New Roman" w:cs="Times New Roman"/>
          <w:i/>
          <w:sz w:val="24"/>
          <w:szCs w:val="24"/>
        </w:rPr>
        <w:tab/>
      </w:r>
      <w:r w:rsidRPr="000B1454" w:rsidR="00BE6230">
        <w:rPr>
          <w:rFonts w:ascii="Times New Roman" w:hAnsi="Times New Roman" w:cs="Times New Roman"/>
          <w:sz w:val="24"/>
          <w:szCs w:val="24"/>
        </w:rPr>
        <w:t>Kevin F. Moore</w:t>
      </w:r>
      <w:r w:rsidR="009030FD">
        <w:rPr>
          <w:rFonts w:ascii="Times New Roman" w:hAnsi="Times New Roman" w:cs="Times New Roman"/>
          <w:sz w:val="24"/>
          <w:szCs w:val="24"/>
        </w:rPr>
        <w:t xml:space="preserve"> </w:t>
      </w:r>
      <w:r w:rsidRPr="000B1454" w:rsidR="00BE6230">
        <w:rPr>
          <w:rFonts w:ascii="Times New Roman" w:hAnsi="Times New Roman" w:cs="Times New Roman"/>
          <w:sz w:val="24"/>
          <w:szCs w:val="24"/>
        </w:rPr>
        <w:t>(0089228)</w:t>
      </w:r>
    </w:p>
    <w:p w:rsidR="00BE6230" w:rsidRPr="000B1454" w:rsidP="00795C2B">
      <w:pPr>
        <w:spacing w:after="0" w:line="240" w:lineRule="auto"/>
        <w:ind w:left="2880" w:firstLine="720"/>
        <w:rPr>
          <w:rFonts w:ascii="Times New Roman" w:hAnsi="Times New Roman" w:cs="Times New Roman"/>
          <w:sz w:val="24"/>
          <w:szCs w:val="24"/>
        </w:rPr>
      </w:pPr>
      <w:r w:rsidRPr="000B1454">
        <w:rPr>
          <w:rFonts w:ascii="Times New Roman" w:hAnsi="Times New Roman" w:cs="Times New Roman"/>
          <w:sz w:val="24"/>
          <w:szCs w:val="24"/>
        </w:rPr>
        <w:tab/>
        <w:t>Counsel of Record</w:t>
      </w:r>
    </w:p>
    <w:p w:rsidR="00795C2B" w:rsidRPr="000B1454" w:rsidP="00795C2B">
      <w:pPr>
        <w:spacing w:after="0" w:line="240" w:lineRule="auto"/>
        <w:ind w:left="2880" w:firstLine="720"/>
        <w:rPr>
          <w:rFonts w:ascii="Times New Roman" w:hAnsi="Times New Roman" w:cs="Times New Roman"/>
          <w:sz w:val="24"/>
          <w:szCs w:val="24"/>
        </w:rPr>
      </w:pPr>
      <w:r w:rsidRPr="000B1454">
        <w:rPr>
          <w:rFonts w:ascii="Times New Roman" w:hAnsi="Times New Roman" w:cs="Times New Roman"/>
          <w:sz w:val="24"/>
          <w:szCs w:val="24"/>
        </w:rPr>
        <w:tab/>
        <w:t>Assistant Consumers’ Counsel</w:t>
      </w:r>
    </w:p>
    <w:p w:rsidR="00795C2B" w:rsidRPr="000B1454" w:rsidP="00795C2B">
      <w:pPr>
        <w:spacing w:after="0" w:line="240" w:lineRule="auto"/>
        <w:ind w:left="3600" w:firstLine="720"/>
        <w:rPr>
          <w:rFonts w:ascii="Times New Roman" w:hAnsi="Times New Roman" w:cs="Times New Roman"/>
          <w:b/>
          <w:bCs/>
          <w:sz w:val="24"/>
          <w:szCs w:val="24"/>
        </w:rPr>
      </w:pPr>
      <w:r w:rsidRPr="000B1454">
        <w:rPr>
          <w:rFonts w:ascii="Times New Roman" w:hAnsi="Times New Roman" w:cs="Times New Roman"/>
          <w:b/>
          <w:bCs/>
          <w:sz w:val="24"/>
          <w:szCs w:val="24"/>
        </w:rPr>
        <w:tab/>
      </w:r>
    </w:p>
    <w:p w:rsidR="00795C2B" w:rsidRPr="000B1454" w:rsidP="00795C2B">
      <w:pPr>
        <w:spacing w:after="0" w:line="240" w:lineRule="auto"/>
        <w:ind w:left="3600" w:firstLine="720"/>
        <w:rPr>
          <w:rFonts w:ascii="Times New Roman" w:hAnsi="Times New Roman" w:cs="Times New Roman"/>
          <w:b/>
          <w:sz w:val="24"/>
          <w:szCs w:val="24"/>
        </w:rPr>
      </w:pPr>
      <w:r w:rsidRPr="000B1454">
        <w:rPr>
          <w:rFonts w:ascii="Times New Roman" w:hAnsi="Times New Roman" w:cs="Times New Roman"/>
          <w:b/>
          <w:sz w:val="24"/>
          <w:szCs w:val="24"/>
        </w:rPr>
        <w:t>Office of the Ohio Consumers’ Counsel</w:t>
      </w:r>
    </w:p>
    <w:p w:rsidR="00795C2B" w:rsidRPr="000B1454" w:rsidP="00795C2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6</w:t>
      </w:r>
      <w:r w:rsidRPr="000B1454" w:rsidR="00BE6230">
        <w:rPr>
          <w:rFonts w:ascii="Times New Roman" w:hAnsi="Times New Roman" w:cs="Times New Roman"/>
          <w:sz w:val="24"/>
          <w:szCs w:val="24"/>
        </w:rPr>
        <w:t xml:space="preserve">5 E. State Street, </w:t>
      </w:r>
      <w:r w:rsidR="00A84A20">
        <w:rPr>
          <w:rFonts w:ascii="Times New Roman" w:hAnsi="Times New Roman" w:cs="Times New Roman"/>
          <w:sz w:val="24"/>
          <w:szCs w:val="24"/>
        </w:rPr>
        <w:t>Suite 700</w:t>
      </w:r>
    </w:p>
    <w:p w:rsidR="00795C2B" w:rsidRPr="000B1454" w:rsidP="00795C2B">
      <w:pPr>
        <w:spacing w:after="0" w:line="240" w:lineRule="auto"/>
        <w:ind w:left="3600" w:firstLine="720"/>
        <w:rPr>
          <w:rFonts w:ascii="Times New Roman" w:hAnsi="Times New Roman" w:cs="Times New Roman"/>
          <w:sz w:val="24"/>
          <w:szCs w:val="24"/>
        </w:rPr>
      </w:pPr>
      <w:r w:rsidRPr="000B1454">
        <w:rPr>
          <w:rFonts w:ascii="Times New Roman" w:hAnsi="Times New Roman" w:cs="Times New Roman"/>
          <w:sz w:val="24"/>
          <w:szCs w:val="24"/>
        </w:rPr>
        <w:t>Columbus, Ohio 43215</w:t>
      </w:r>
    </w:p>
    <w:p w:rsidR="00795C2B" w:rsidRPr="000B1454" w:rsidP="00795C2B">
      <w:pPr>
        <w:spacing w:after="0" w:line="240" w:lineRule="auto"/>
        <w:ind w:left="3600" w:firstLine="720"/>
        <w:rPr>
          <w:rFonts w:ascii="Times New Roman" w:hAnsi="Times New Roman" w:cs="Times New Roman"/>
          <w:sz w:val="24"/>
          <w:szCs w:val="24"/>
        </w:rPr>
      </w:pPr>
      <w:r w:rsidRPr="000B1454">
        <w:rPr>
          <w:rFonts w:ascii="Times New Roman" w:hAnsi="Times New Roman" w:cs="Times New Roman"/>
          <w:sz w:val="24"/>
          <w:szCs w:val="24"/>
        </w:rPr>
        <w:t xml:space="preserve">Telephone </w:t>
      </w:r>
      <w:r w:rsidRPr="000B1454" w:rsidR="00BE6230">
        <w:rPr>
          <w:rFonts w:ascii="Times New Roman" w:hAnsi="Times New Roman" w:cs="Times New Roman"/>
          <w:sz w:val="24"/>
          <w:szCs w:val="24"/>
        </w:rPr>
        <w:t>Moore</w:t>
      </w:r>
      <w:r w:rsidRPr="000B1454">
        <w:rPr>
          <w:rFonts w:ascii="Times New Roman" w:hAnsi="Times New Roman" w:cs="Times New Roman"/>
          <w:sz w:val="24"/>
          <w:szCs w:val="24"/>
        </w:rPr>
        <w:t xml:space="preserve">:  (614) </w:t>
      </w:r>
      <w:r w:rsidRPr="000B1454" w:rsidR="00BE6230">
        <w:rPr>
          <w:rFonts w:ascii="Times New Roman" w:hAnsi="Times New Roman" w:cs="Times New Roman"/>
          <w:sz w:val="24"/>
          <w:szCs w:val="24"/>
        </w:rPr>
        <w:t>387-2965</w:t>
      </w:r>
    </w:p>
    <w:p w:rsidR="00795C2B" w:rsidRPr="000B1454" w:rsidP="00795C2B">
      <w:pPr>
        <w:spacing w:after="0" w:line="240" w:lineRule="auto"/>
        <w:ind w:left="3600" w:firstLine="720"/>
        <w:rPr>
          <w:rFonts w:ascii="Times New Roman" w:hAnsi="Times New Roman" w:cs="Times New Roman"/>
          <w:sz w:val="24"/>
          <w:szCs w:val="24"/>
        </w:rPr>
      </w:pPr>
      <w:r>
        <w:fldChar w:fldCharType="begin"/>
      </w:r>
      <w:r>
        <w:instrText xml:space="preserve"> HYPERLINK "mailto:kevin.moore@occ.ohio.gov" </w:instrText>
      </w:r>
      <w:r>
        <w:fldChar w:fldCharType="separate"/>
      </w:r>
      <w:r w:rsidRPr="000B1454" w:rsidR="00BE6230">
        <w:rPr>
          <w:rStyle w:val="Hyperlink"/>
          <w:rFonts w:ascii="Times New Roman" w:hAnsi="Times New Roman" w:cs="Times New Roman"/>
          <w:sz w:val="24"/>
          <w:szCs w:val="24"/>
        </w:rPr>
        <w:t>kevin.moore@occ.ohio.gov</w:t>
      </w:r>
      <w:r>
        <w:fldChar w:fldCharType="end"/>
      </w:r>
    </w:p>
    <w:p w:rsidR="00BE6230" w:rsidRPr="000B1454" w:rsidP="00795C2B">
      <w:pPr>
        <w:spacing w:after="0" w:line="240" w:lineRule="auto"/>
        <w:ind w:left="3600" w:firstLine="720"/>
        <w:rPr>
          <w:rFonts w:ascii="Times New Roman" w:hAnsi="Times New Roman" w:cs="Times New Roman"/>
          <w:sz w:val="24"/>
          <w:szCs w:val="24"/>
        </w:rPr>
      </w:pPr>
      <w:r w:rsidRPr="000B1454">
        <w:rPr>
          <w:rFonts w:ascii="Times New Roman" w:hAnsi="Times New Roman" w:cs="Times New Roman"/>
          <w:sz w:val="24"/>
          <w:szCs w:val="24"/>
        </w:rPr>
        <w:t>(Will accept service via email)</w:t>
      </w:r>
    </w:p>
    <w:p w:rsidR="00795C2B" w:rsidRPr="000B1454" w:rsidP="00795C2B">
      <w:pPr>
        <w:spacing w:after="0" w:line="240" w:lineRule="auto"/>
        <w:ind w:left="3600" w:firstLine="720"/>
        <w:rPr>
          <w:rFonts w:ascii="Times New Roman" w:hAnsi="Times New Roman" w:cs="Times New Roman"/>
          <w:sz w:val="24"/>
          <w:szCs w:val="24"/>
        </w:rPr>
      </w:pPr>
    </w:p>
    <w:p w:rsidR="00795C2B" w:rsidRPr="000B1454" w:rsidP="00795C2B">
      <w:pPr>
        <w:spacing w:after="0" w:line="240" w:lineRule="auto"/>
        <w:jc w:val="center"/>
        <w:rPr>
          <w:rFonts w:ascii="Times New Roman" w:hAnsi="Times New Roman" w:cs="Times New Roman"/>
          <w:b/>
          <w:bCs/>
          <w:sz w:val="24"/>
          <w:szCs w:val="24"/>
          <w:u w:val="single"/>
        </w:rPr>
      </w:pPr>
      <w:r w:rsidRPr="000B1454">
        <w:rPr>
          <w:rFonts w:ascii="Times New Roman" w:hAnsi="Times New Roman" w:cs="Times New Roman"/>
          <w:b/>
          <w:bCs/>
          <w:sz w:val="24"/>
          <w:szCs w:val="24"/>
          <w:u w:val="single"/>
        </w:rPr>
        <w:br w:type="page"/>
        <w:t>CERTIFICATE OF SERVICE</w:t>
      </w:r>
    </w:p>
    <w:p w:rsidR="00795C2B" w:rsidRPr="000B1454" w:rsidP="00795C2B">
      <w:pPr>
        <w:spacing w:after="0" w:line="240" w:lineRule="auto"/>
        <w:jc w:val="center"/>
        <w:rPr>
          <w:rFonts w:ascii="Times New Roman" w:hAnsi="Times New Roman" w:cs="Times New Roman"/>
          <w:b/>
          <w:sz w:val="24"/>
          <w:szCs w:val="24"/>
          <w:u w:val="single"/>
        </w:rPr>
      </w:pPr>
    </w:p>
    <w:p w:rsidR="00795C2B" w:rsidRPr="000B1454" w:rsidP="00795C2B">
      <w:pPr>
        <w:suppressAutoHyphens/>
        <w:spacing w:after="0" w:line="480" w:lineRule="auto"/>
        <w:ind w:firstLine="720"/>
        <w:rPr>
          <w:rFonts w:ascii="Times New Roman" w:hAnsi="Times New Roman" w:cs="Times New Roman"/>
          <w:sz w:val="24"/>
          <w:szCs w:val="24"/>
        </w:rPr>
      </w:pPr>
      <w:r w:rsidRPr="000B1454">
        <w:rPr>
          <w:rFonts w:ascii="Times New Roman" w:hAnsi="Times New Roman" w:cs="Times New Roman"/>
          <w:sz w:val="24"/>
          <w:szCs w:val="24"/>
        </w:rPr>
        <w:t xml:space="preserve">It is hereby certified that a true copy of the foregoing Memorandum Contra was served upon the persons listed below via electronic transmission this </w:t>
      </w:r>
      <w:r w:rsidR="009416A9">
        <w:rPr>
          <w:rFonts w:ascii="Times New Roman" w:hAnsi="Times New Roman" w:cs="Times New Roman"/>
          <w:sz w:val="24"/>
          <w:szCs w:val="24"/>
        </w:rPr>
        <w:t>15th</w:t>
      </w:r>
      <w:r w:rsidRPr="000B1454">
        <w:rPr>
          <w:rFonts w:ascii="Times New Roman" w:hAnsi="Times New Roman" w:cs="Times New Roman"/>
          <w:sz w:val="24"/>
          <w:szCs w:val="24"/>
        </w:rPr>
        <w:t xml:space="preserve"> day of </w:t>
      </w:r>
      <w:r w:rsidRPr="000B1454" w:rsidR="00BE6230">
        <w:rPr>
          <w:rFonts w:ascii="Times New Roman" w:hAnsi="Times New Roman" w:cs="Times New Roman"/>
          <w:sz w:val="24"/>
          <w:szCs w:val="24"/>
        </w:rPr>
        <w:t>February 2018.</w:t>
      </w:r>
    </w:p>
    <w:p w:rsidR="00795C2B" w:rsidRPr="000B1454" w:rsidP="00795C2B">
      <w:pPr>
        <w:suppressAutoHyphens/>
        <w:spacing w:after="0" w:line="240" w:lineRule="auto"/>
        <w:ind w:firstLine="720"/>
        <w:rPr>
          <w:rFonts w:ascii="Times New Roman" w:hAnsi="Times New Roman" w:cs="Times New Roman"/>
          <w:i/>
          <w:spacing w:val="-3"/>
          <w:sz w:val="24"/>
          <w:szCs w:val="24"/>
          <w:u w:val="single"/>
        </w:rPr>
      </w:pPr>
      <w:r w:rsidRPr="000B1454">
        <w:rPr>
          <w:rFonts w:ascii="Times New Roman" w:hAnsi="Times New Roman" w:cs="Times New Roman"/>
          <w:spacing w:val="-3"/>
          <w:sz w:val="24"/>
          <w:szCs w:val="24"/>
        </w:rPr>
        <w:tab/>
      </w:r>
      <w:r w:rsidRPr="000B1454">
        <w:rPr>
          <w:rFonts w:ascii="Times New Roman" w:hAnsi="Times New Roman" w:cs="Times New Roman"/>
          <w:spacing w:val="-3"/>
          <w:sz w:val="24"/>
          <w:szCs w:val="24"/>
        </w:rPr>
        <w:tab/>
      </w:r>
      <w:r w:rsidRPr="000B1454">
        <w:rPr>
          <w:rFonts w:ascii="Times New Roman" w:hAnsi="Times New Roman" w:cs="Times New Roman"/>
          <w:spacing w:val="-3"/>
          <w:sz w:val="24"/>
          <w:szCs w:val="24"/>
        </w:rPr>
        <w:tab/>
      </w:r>
      <w:r w:rsidRPr="000B1454">
        <w:rPr>
          <w:rFonts w:ascii="Times New Roman" w:hAnsi="Times New Roman" w:cs="Times New Roman"/>
          <w:spacing w:val="-3"/>
          <w:sz w:val="24"/>
          <w:szCs w:val="24"/>
        </w:rPr>
        <w:tab/>
      </w:r>
      <w:r w:rsidRPr="000B1454">
        <w:rPr>
          <w:rFonts w:ascii="Times New Roman" w:hAnsi="Times New Roman" w:cs="Times New Roman"/>
          <w:spacing w:val="-3"/>
          <w:sz w:val="24"/>
          <w:szCs w:val="24"/>
        </w:rPr>
        <w:tab/>
      </w:r>
      <w:r w:rsidRPr="000B1454">
        <w:rPr>
          <w:rFonts w:ascii="Times New Roman" w:hAnsi="Times New Roman" w:cs="Times New Roman"/>
          <w:i/>
          <w:spacing w:val="-3"/>
          <w:sz w:val="24"/>
          <w:szCs w:val="24"/>
          <w:u w:val="single"/>
        </w:rPr>
        <w:t xml:space="preserve">/s/ </w:t>
      </w:r>
      <w:r w:rsidRPr="000B1454" w:rsidR="00BE6230">
        <w:rPr>
          <w:rFonts w:ascii="Times New Roman" w:hAnsi="Times New Roman" w:cs="Times New Roman"/>
          <w:i/>
          <w:spacing w:val="-3"/>
          <w:sz w:val="24"/>
          <w:szCs w:val="24"/>
          <w:u w:val="single"/>
        </w:rPr>
        <w:t>Kevin F. Moore</w:t>
      </w:r>
    </w:p>
    <w:p w:rsidR="00795C2B" w:rsidRPr="000B1454" w:rsidP="00795C2B">
      <w:pPr>
        <w:pStyle w:val="EndnoteText"/>
        <w:widowControl/>
        <w:tabs>
          <w:tab w:val="left" w:pos="-720"/>
        </w:tabs>
        <w:suppressAutoHyphens/>
        <w:rPr>
          <w:rFonts w:ascii="Times New Roman" w:hAnsi="Times New Roman"/>
          <w:snapToGrid/>
          <w:spacing w:val="-3"/>
          <w:szCs w:val="24"/>
        </w:rPr>
      </w:pP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t>Kevin F. Moore</w:t>
      </w:r>
    </w:p>
    <w:p w:rsidR="00795C2B" w:rsidP="00795C2B">
      <w:pPr>
        <w:pStyle w:val="EndnoteText"/>
        <w:widowControl/>
        <w:tabs>
          <w:tab w:val="left" w:pos="-720"/>
        </w:tabs>
        <w:suppressAutoHyphens/>
        <w:rPr>
          <w:rFonts w:ascii="Times New Roman" w:hAnsi="Times New Roman"/>
          <w:snapToGrid/>
          <w:spacing w:val="-3"/>
          <w:szCs w:val="24"/>
        </w:rPr>
      </w:pP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r>
      <w:r w:rsidRPr="000B1454">
        <w:rPr>
          <w:rFonts w:ascii="Times New Roman" w:hAnsi="Times New Roman"/>
          <w:snapToGrid/>
          <w:spacing w:val="-3"/>
          <w:szCs w:val="24"/>
        </w:rPr>
        <w:tab/>
        <w:t>Assistant Consumers’ Counsel</w:t>
      </w:r>
    </w:p>
    <w:p w:rsidR="004E2736" w:rsidRPr="000B1454" w:rsidP="00795C2B">
      <w:pPr>
        <w:pStyle w:val="EndnoteText"/>
        <w:widowControl/>
        <w:tabs>
          <w:tab w:val="left" w:pos="-720"/>
        </w:tabs>
        <w:suppressAutoHyphens/>
        <w:rPr>
          <w:rFonts w:ascii="Times New Roman" w:hAnsi="Times New Roman"/>
          <w:snapToGrid/>
          <w:spacing w:val="-3"/>
          <w:szCs w:val="24"/>
        </w:rPr>
      </w:pPr>
    </w:p>
    <w:p w:rsidR="00795C2B" w:rsidRPr="000B1454" w:rsidP="00795C2B">
      <w:pPr>
        <w:pStyle w:val="EndnoteText"/>
        <w:widowControl/>
        <w:ind w:left="4320"/>
        <w:contextualSpacing/>
        <w:rPr>
          <w:rFonts w:ascii="Times New Roman" w:hAnsi="Times New Roman"/>
          <w:snapToGrid/>
          <w:szCs w:val="24"/>
        </w:rPr>
      </w:pPr>
      <w:r w:rsidRPr="000B1454">
        <w:rPr>
          <w:rFonts w:ascii="Times New Roman" w:hAnsi="Times New Roman"/>
          <w:snapToGrid/>
          <w:szCs w:val="24"/>
        </w:rPr>
        <w:tab/>
      </w:r>
      <w:r w:rsidRPr="000B1454">
        <w:rPr>
          <w:rFonts w:ascii="Times New Roman" w:hAnsi="Times New Roman"/>
          <w:snapToGrid/>
          <w:szCs w:val="24"/>
        </w:rPr>
        <w:tab/>
      </w:r>
      <w:r w:rsidRPr="000B1454">
        <w:rPr>
          <w:rFonts w:ascii="Times New Roman" w:hAnsi="Times New Roman"/>
          <w:snapToGrid/>
          <w:szCs w:val="24"/>
        </w:rPr>
        <w:tab/>
      </w:r>
      <w:r w:rsidRPr="000B1454">
        <w:rPr>
          <w:rFonts w:ascii="Times New Roman" w:hAnsi="Times New Roman"/>
          <w:snapToGrid/>
          <w:szCs w:val="24"/>
        </w:rPr>
        <w:tab/>
      </w:r>
      <w:r w:rsidRPr="000B1454">
        <w:rPr>
          <w:rFonts w:ascii="Times New Roman" w:hAnsi="Times New Roman"/>
          <w:snapToGrid/>
          <w:szCs w:val="24"/>
        </w:rPr>
        <w:tab/>
      </w:r>
      <w:r w:rsidRPr="000B1454">
        <w:rPr>
          <w:rFonts w:ascii="Times New Roman" w:hAnsi="Times New Roman"/>
          <w:snapToGrid/>
          <w:szCs w:val="24"/>
        </w:rPr>
        <w:tab/>
      </w:r>
    </w:p>
    <w:p w:rsidR="004E2736" w:rsidRPr="004E2736" w:rsidP="004E2736">
      <w:pPr>
        <w:pStyle w:val="CommentText"/>
        <w:jc w:val="center"/>
        <w:rPr>
          <w:rFonts w:ascii="Times New Roman" w:hAnsi="Times New Roman" w:cs="Times New Roman"/>
          <w:b/>
          <w:sz w:val="24"/>
          <w:szCs w:val="24"/>
          <w:u w:val="single"/>
        </w:rPr>
      </w:pPr>
      <w:r w:rsidRPr="004E2736">
        <w:rPr>
          <w:rFonts w:ascii="Times New Roman" w:hAnsi="Times New Roman" w:cs="Times New Roman"/>
          <w:b/>
          <w:sz w:val="24"/>
          <w:szCs w:val="24"/>
          <w:u w:val="single"/>
        </w:rPr>
        <w:t>SERVICE LIST</w:t>
      </w:r>
    </w:p>
    <w:p w:rsidR="004E2736" w:rsidRPr="004E2736" w:rsidP="004E2736">
      <w:pPr>
        <w:pStyle w:val="CommentText"/>
        <w:jc w:val="center"/>
        <w:rPr>
          <w:rFonts w:ascii="Times New Roman" w:hAnsi="Times New Roman" w:cs="Times New Roman"/>
          <w:b/>
          <w:bCs/>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926C1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4E2736" w:rsidRPr="004E2736" w:rsidP="00926C1F">
            <w:pPr>
              <w:pStyle w:val="BodyText"/>
              <w:tabs>
                <w:tab w:val="left" w:pos="-720"/>
              </w:tabs>
              <w:suppressAutoHyphens/>
              <w:spacing w:after="0" w:line="480" w:lineRule="auto"/>
              <w:jc w:val="both"/>
              <w:rPr>
                <w:rStyle w:val="DefaultParagraphFont"/>
                <w:rFonts w:ascii="Times New Roman" w:eastAsia="Times New Roman" w:hAnsi="Times New Roman" w:cs="Times New Roman"/>
                <w:snapToGrid w:val="0"/>
                <w:spacing w:val="-3"/>
                <w:sz w:val="24"/>
                <w:szCs w:val="24"/>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"mailto:William.wright@ohioattorneygeneral.gov" </w:instrText>
            </w:r>
            <w:r>
              <w:fldChar w:fldCharType="separate"/>
            </w:r>
            <w:r w:rsidRPr="004E2736">
              <w:rPr>
                <w:rStyle w:val="Hyperlink"/>
                <w:rFonts w:ascii="Times New Roman" w:eastAsia="Times New Roman" w:hAnsi="Times New Roman" w:cs="Times New Roman"/>
                <w:snapToGrid w:val="0"/>
                <w:color w:val="0000FF"/>
                <w:spacing w:val="-3"/>
                <w:sz w:val="24"/>
                <w:szCs w:val="24"/>
                <w:u w:val="single"/>
                <w:lang w:val="en-US" w:eastAsia="en-US" w:bidi="ar-SA"/>
              </w:rPr>
              <w:t>William.wright@ohioattorneygeneral.gov</w:t>
            </w:r>
            <w:r>
              <w:fldChar w:fldCharType="end"/>
            </w:r>
          </w:p>
          <w:p w:rsidR="004E2736" w:rsidRPr="004E2736" w:rsidP="00926C1F">
            <w:pPr>
              <w:pStyle w:val="BodyText"/>
              <w:tabs>
                <w:tab w:val="left" w:pos="-720"/>
              </w:tabs>
              <w:suppressAutoHyphens/>
              <w:spacing w:after="0" w:line="480" w:lineRule="auto"/>
              <w:jc w:val="both"/>
              <w:rPr>
                <w:rStyle w:val="DefaultParagraphFont"/>
                <w:rFonts w:ascii="Times New Roman" w:eastAsia="Times New Roman" w:hAnsi="Times New Roman" w:cs="Times New Roman"/>
                <w:snapToGrid w:val="0"/>
                <w:spacing w:val="-3"/>
                <w:sz w:val="24"/>
                <w:szCs w:val="24"/>
                <w:lang w:val="en-US" w:eastAsia="en-US" w:bidi="ar-SA"/>
              </w:rPr>
            </w:pPr>
          </w:p>
        </w:tc>
        <w:tc>
          <w:tcPr>
            <w:tcW w:w="4428" w:type="dxa"/>
          </w:tcPr>
          <w:p w:rsidR="004E2736" w:rsidRPr="004E2736" w:rsidP="00926C1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"mailto:Rocco.DAscenzo@duke-energy.com" </w:instrText>
            </w:r>
            <w:r>
              <w:fldChar w:fldCharType="separate"/>
            </w:r>
            <w:r w:rsidRPr="004E2736">
              <w:rPr>
                <w:rStyle w:val="Hyperlink"/>
                <w:rFonts w:ascii="Times New Roman" w:eastAsia="Times New Roman" w:hAnsi="Times New Roman" w:cs="Times New Roman"/>
                <w:color w:val="0000FF"/>
                <w:sz w:val="24"/>
                <w:szCs w:val="24"/>
                <w:u w:val="single"/>
                <w:lang w:val="en-US" w:eastAsia="en-US" w:bidi="ar-SA"/>
              </w:rPr>
              <w:t>Rocco.DAscenzo@duke-energy.com</w:t>
            </w:r>
            <w:r>
              <w:fldChar w:fldCharType="end"/>
            </w:r>
          </w:p>
          <w:p w:rsidR="004E2736" w:rsidRPr="004E2736" w:rsidP="00926C1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"mailto:Elizabeth.Watts@duke-energy.com" </w:instrText>
            </w:r>
            <w:r>
              <w:fldChar w:fldCharType="separate"/>
            </w:r>
            <w:r w:rsidRPr="004E2736">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4E2736" w:rsidRPr="004E2736" w:rsidP="00926C1F">
            <w:pPr>
              <w:pStyle w:val="BodyText"/>
              <w:tabs>
                <w:tab w:val="left" w:pos="-720"/>
              </w:tabs>
              <w:suppressAutoHyphens/>
              <w:spacing w:after="0" w:line="480" w:lineRule="auto"/>
              <w:jc w:val="both"/>
              <w:rPr>
                <w:rStyle w:val="DefaultParagraphFont"/>
                <w:rFonts w:ascii="Times New Roman" w:eastAsia="Times New Roman" w:hAnsi="Times New Roman" w:cs="Times New Roman"/>
                <w:snapToGrid w:val="0"/>
                <w:spacing w:val="-3"/>
                <w:sz w:val="24"/>
                <w:szCs w:val="24"/>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"mailto:Jeanne.Kingery@duke-energy.com" </w:instrText>
            </w:r>
            <w:r>
              <w:fldChar w:fldCharType="separate"/>
            </w:r>
            <w:r w:rsidRPr="004E2736">
              <w:rPr>
                <w:rStyle w:val="Hyperlink"/>
                <w:rFonts w:ascii="Times New Roman" w:eastAsia="Times New Roman" w:hAnsi="Times New Roman" w:cs="Times New Roman"/>
                <w:snapToGrid w:val="0"/>
                <w:color w:val="0000FF"/>
                <w:spacing w:val="-3"/>
                <w:sz w:val="24"/>
                <w:szCs w:val="24"/>
                <w:u w:val="single"/>
                <w:lang w:val="en-US" w:eastAsia="en-US" w:bidi="ar-SA"/>
              </w:rPr>
              <w:t>Jeanne.Kingery@duke-energy.com</w:t>
            </w:r>
            <w:r>
              <w:fldChar w:fldCharType="end"/>
            </w:r>
          </w:p>
          <w:p w:rsidR="004E2736" w:rsidRPr="004E2736" w:rsidP="00926C1F">
            <w:pPr>
              <w:pStyle w:val="BodyText"/>
              <w:tabs>
                <w:tab w:val="left" w:pos="-720"/>
              </w:tabs>
              <w:suppressAutoHyphens/>
              <w:spacing w:after="0" w:line="480" w:lineRule="auto"/>
              <w:jc w:val="both"/>
              <w:rPr>
                <w:rStyle w:val="DefaultParagraphFont"/>
                <w:rFonts w:ascii="Times New Roman" w:eastAsia="Times New Roman" w:hAnsi="Times New Roman" w:cs="Times New Roman"/>
                <w:b/>
                <w:snapToGrid w:val="0"/>
                <w:spacing w:val="-3"/>
                <w:sz w:val="24"/>
                <w:szCs w:val="24"/>
                <w:lang w:val="en-US" w:eastAsia="en-US" w:bidi="ar-SA"/>
              </w:rPr>
            </w:pPr>
          </w:p>
        </w:tc>
      </w:tr>
    </w:tbl>
    <w:p w:rsidR="00795C2B" w:rsidRPr="000B1454" w:rsidP="00795C2B">
      <w:pPr>
        <w:spacing w:after="0" w:line="240" w:lineRule="auto"/>
        <w:jc w:val="center"/>
        <w:rPr>
          <w:rFonts w:ascii="Times New Roman" w:hAnsi="Times New Roman" w:cs="Times New Roman"/>
          <w:b/>
          <w:sz w:val="24"/>
          <w:szCs w:val="24"/>
          <w:u w:val="single"/>
        </w:rPr>
      </w:pPr>
    </w:p>
    <w:p w:rsidR="00795C2B" w:rsidRPr="000B1454" w:rsidP="00795C2B">
      <w:pPr>
        <w:spacing w:after="0" w:line="240" w:lineRule="auto"/>
        <w:jc w:val="center"/>
        <w:rPr>
          <w:rFonts w:ascii="Times New Roman" w:hAnsi="Times New Roman" w:cs="Times New Roman"/>
          <w:b/>
          <w:sz w:val="24"/>
          <w:szCs w:val="24"/>
          <w:u w:val="single"/>
        </w:rPr>
      </w:pPr>
    </w:p>
    <w:p w:rsidR="00795C2B" w:rsidRPr="000B1454" w:rsidP="00795C2B">
      <w:pPr>
        <w:spacing w:after="0" w:line="240" w:lineRule="auto"/>
        <w:jc w:val="center"/>
        <w:rPr>
          <w:rFonts w:ascii="Times New Roman" w:hAnsi="Times New Roman" w:cs="Times New Roman"/>
          <w:b/>
          <w:sz w:val="24"/>
          <w:szCs w:val="24"/>
          <w:u w:val="single"/>
        </w:rPr>
      </w:pPr>
    </w:p>
    <w:p w:rsidR="00795C2B" w:rsidRPr="000B1454" w:rsidP="00795C2B">
      <w:pPr>
        <w:pStyle w:val="ListParagraph"/>
        <w:spacing w:after="0" w:line="240" w:lineRule="auto"/>
        <w:ind w:left="0" w:firstLine="720"/>
        <w:rPr>
          <w:rFonts w:ascii="Times New Roman" w:hAnsi="Times New Roman" w:cs="Times New Roman"/>
          <w:sz w:val="24"/>
          <w:szCs w:val="24"/>
        </w:rPr>
      </w:pPr>
    </w:p>
    <w:sectPr w:rsidSect="00A84A20">
      <w:headerReference w:type="default" r:id="rId11"/>
      <w:footerReference w:type="default" r:id="rId12"/>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A20">
    <w:pPr>
      <w:pStyle w:val="Footer"/>
      <w:jc w:val="center"/>
    </w:pPr>
  </w:p>
  <w:p w:rsidR="00903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754906"/>
      <w:docPartObj>
        <w:docPartGallery w:val="Page Numbers (Bottom of Page)"/>
        <w:docPartUnique/>
      </w:docPartObj>
    </w:sdtPr>
    <w:sdtEndPr>
      <w:rPr>
        <w:rFonts w:ascii="Times New Roman" w:hAnsi="Times New Roman" w:cs="Times New Roman"/>
        <w:noProof/>
        <w:sz w:val="24"/>
        <w:szCs w:val="24"/>
      </w:rPr>
    </w:sdtEndPr>
    <w:sdtContent>
      <w:p w:rsidR="00A84A20" w:rsidRPr="00A84A20">
        <w:pPr>
          <w:pStyle w:val="Footer"/>
          <w:jc w:val="center"/>
          <w:rPr>
            <w:rFonts w:ascii="Times New Roman" w:hAnsi="Times New Roman" w:cs="Times New Roman"/>
            <w:sz w:val="24"/>
            <w:szCs w:val="24"/>
          </w:rPr>
        </w:pPr>
        <w:r w:rsidRPr="00A84A20">
          <w:rPr>
            <w:rFonts w:ascii="Times New Roman" w:hAnsi="Times New Roman" w:cs="Times New Roman"/>
            <w:sz w:val="24"/>
            <w:szCs w:val="24"/>
          </w:rPr>
          <w:fldChar w:fldCharType="begin"/>
        </w:r>
        <w:r w:rsidRPr="00A84A20">
          <w:rPr>
            <w:rFonts w:ascii="Times New Roman" w:hAnsi="Times New Roman" w:cs="Times New Roman"/>
            <w:sz w:val="24"/>
            <w:szCs w:val="24"/>
          </w:rPr>
          <w:instrText xml:space="preserve"> PAGE   \* MERGEFORMAT </w:instrText>
        </w:r>
        <w:r w:rsidRPr="00A84A20">
          <w:rPr>
            <w:rFonts w:ascii="Times New Roman" w:hAnsi="Times New Roman" w:cs="Times New Roman"/>
            <w:sz w:val="24"/>
            <w:szCs w:val="24"/>
          </w:rPr>
          <w:fldChar w:fldCharType="separate"/>
        </w:r>
        <w:r w:rsidR="000B5C4F">
          <w:rPr>
            <w:rFonts w:ascii="Times New Roman" w:hAnsi="Times New Roman" w:cs="Times New Roman"/>
            <w:noProof/>
            <w:sz w:val="24"/>
            <w:szCs w:val="24"/>
          </w:rPr>
          <w:t>2</w:t>
        </w:r>
        <w:r w:rsidRPr="00A84A20">
          <w:rPr>
            <w:rFonts w:ascii="Times New Roman" w:hAnsi="Times New Roman" w:cs="Times New Roman"/>
            <w:noProof/>
            <w:sz w:val="24"/>
            <w:szCs w:val="24"/>
          </w:rPr>
          <w:fldChar w:fldCharType="end"/>
        </w:r>
      </w:p>
    </w:sdtContent>
  </w:sdt>
  <w:p w:rsidR="00A8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7A5E" w:rsidP="00795C2B">
      <w:pPr>
        <w:spacing w:after="0" w:line="240" w:lineRule="auto"/>
      </w:pPr>
      <w:r>
        <w:separator/>
      </w:r>
    </w:p>
  </w:footnote>
  <w:footnote w:type="continuationSeparator" w:id="1">
    <w:p w:rsidR="00C37A5E" w:rsidP="00795C2B">
      <w:pPr>
        <w:spacing w:after="0" w:line="240" w:lineRule="auto"/>
      </w:pPr>
      <w:r>
        <w:continuationSeparator/>
      </w:r>
    </w:p>
  </w:footnote>
  <w:footnote w:id="2">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 xml:space="preserve">In the Matter of the Application of Duke Energy Ohio, Inc., for the Annual Audit of Rider SCR, Rider RE, Rider RC, Rider LFA, Rider ESSC, and Rider ECF, </w:t>
      </w:r>
      <w:r w:rsidRPr="000B186B">
        <w:rPr>
          <w:rFonts w:ascii="Times New Roman" w:hAnsi="Times New Roman" w:cs="Times New Roman"/>
        </w:rPr>
        <w:t xml:space="preserve">Case No. 18-0046-EL-RDR, Application (January 31, 2018). </w:t>
      </w:r>
    </w:p>
  </w:footnote>
  <w:footnote w:id="3">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 xml:space="preserve">Id. </w:t>
      </w:r>
      <w:r w:rsidRPr="000B186B">
        <w:rPr>
          <w:rFonts w:ascii="Times New Roman" w:hAnsi="Times New Roman" w:cs="Times New Roman"/>
        </w:rPr>
        <w:t xml:space="preserve">Motion for Protective Order (January 31, 2018). </w:t>
      </w:r>
    </w:p>
  </w:footnote>
  <w:footnote w:id="4">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See In the Matter of the Application of The Cleveland Electric Illumination Company for Approval of an Electric Service Agreement with American Steel &amp; Wire Corp.</w:t>
      </w:r>
      <w:r w:rsidRPr="000B186B">
        <w:rPr>
          <w:rFonts w:ascii="Times New Roman" w:hAnsi="Times New Roman" w:cs="Times New Roman"/>
        </w:rPr>
        <w:t>, Case No. 95-77-EL-AEC, Supplemental Entry on Rehearing (September 6, 1995) at 3.</w:t>
      </w:r>
    </w:p>
  </w:footnote>
  <w:footnote w:id="5">
    <w:p w:rsidR="00E143A5"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In the Matter of the Application of The Ohio Bell Telephone Company for Approval of an Alternative Form of Regulation</w:t>
      </w:r>
      <w:r w:rsidRPr="000B186B">
        <w:rPr>
          <w:rFonts w:ascii="Times New Roman" w:hAnsi="Times New Roman" w:cs="Times New Roman"/>
        </w:rPr>
        <w:t xml:space="preserve">, Case No. 93-487-TP-ALT, Entry (November 25, 2003) Entry (“93-487 Entry”) at 3, citing </w:t>
      </w:r>
      <w:r w:rsidRPr="000B186B">
        <w:rPr>
          <w:rFonts w:ascii="Times New Roman" w:hAnsi="Times New Roman" w:cs="Times New Roman"/>
          <w:i/>
        </w:rPr>
        <w:t>State ex rel Williams v. Cleveland,</w:t>
      </w:r>
      <w:r w:rsidRPr="000B186B">
        <w:rPr>
          <w:rFonts w:ascii="Times New Roman" w:hAnsi="Times New Roman" w:cs="Times New Roman"/>
        </w:rPr>
        <w:t xml:space="preserve"> 64 Ohio St.3d 544 (1992) and </w:t>
      </w:r>
      <w:r w:rsidRPr="000B186B">
        <w:rPr>
          <w:rFonts w:ascii="Times New Roman" w:hAnsi="Times New Roman" w:cs="Times New Roman"/>
          <w:i/>
        </w:rPr>
        <w:t>State ex rel. The Plain Dealer v. Ohio Dept. of Ins.</w:t>
      </w:r>
      <w:r w:rsidRPr="000B186B">
        <w:rPr>
          <w:rFonts w:ascii="Times New Roman" w:hAnsi="Times New Roman" w:cs="Times New Roman"/>
        </w:rPr>
        <w:t>, 80 Ohio St.3d 513, 518 (1997)</w:t>
      </w:r>
      <w:r w:rsidRPr="000B186B" w:rsidR="00274698">
        <w:rPr>
          <w:rFonts w:ascii="Times New Roman" w:hAnsi="Times New Roman" w:cs="Times New Roman"/>
        </w:rPr>
        <w:t xml:space="preserve"> (“</w:t>
      </w:r>
      <w:r w:rsidRPr="000B186B" w:rsidR="00274698">
        <w:rPr>
          <w:rFonts w:ascii="Times New Roman" w:hAnsi="Times New Roman" w:cs="Times New Roman"/>
          <w:i/>
        </w:rPr>
        <w:t>Plain Dealer”</w:t>
      </w:r>
      <w:r w:rsidRPr="000B186B" w:rsidR="00274698">
        <w:rPr>
          <w:rFonts w:ascii="Times New Roman" w:hAnsi="Times New Roman" w:cs="Times New Roman"/>
        </w:rPr>
        <w:t>)</w:t>
      </w:r>
      <w:r w:rsidRPr="000B186B">
        <w:rPr>
          <w:rFonts w:ascii="Times New Roman" w:hAnsi="Times New Roman" w:cs="Times New Roman"/>
        </w:rPr>
        <w:t xml:space="preserve">.  See also </w:t>
      </w:r>
      <w:r w:rsidRPr="000B186B">
        <w:rPr>
          <w:rFonts w:ascii="Times New Roman" w:hAnsi="Times New Roman" w:cs="Times New Roman"/>
          <w:i/>
        </w:rPr>
        <w:t>In the Matter of the Application of Cincinnati Bell Any Distance, Inc. for New Operating Authority</w:t>
      </w:r>
      <w:r w:rsidRPr="000B186B">
        <w:rPr>
          <w:rFonts w:ascii="Times New Roman" w:hAnsi="Times New Roman" w:cs="Times New Roman"/>
        </w:rPr>
        <w:t>, Case No. 07-539-TP-ACE, Entry (June 1, 2007) at 1.</w:t>
      </w:r>
    </w:p>
  </w:footnote>
  <w:footnote w:id="6">
    <w:p w:rsidR="00E143A5"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93-487 Entry at 3.  </w:t>
      </w:r>
    </w:p>
  </w:footnote>
  <w:footnote w:id="7">
    <w:p w:rsidR="00E143A5"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In the Matter of the Joint Application of the Ohio Bell Telephone Company and Ameritech Mobile Services, Inc. for Approval of the Transfer of Certain Assets</w:t>
      </w:r>
      <w:r w:rsidRPr="000B186B">
        <w:rPr>
          <w:rFonts w:ascii="Times New Roman" w:hAnsi="Times New Roman" w:cs="Times New Roman"/>
        </w:rPr>
        <w:t>, Case No. 89-365-RC-ATR, Opinion and Order (October 18, 1990), 1990 Ohio PUC LEXIS 1138 at *5.</w:t>
      </w:r>
    </w:p>
  </w:footnote>
  <w:footnote w:id="8">
    <w:p w:rsidR="00E143A5"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R.C. 149.43(A)(1)(v).</w:t>
      </w:r>
    </w:p>
  </w:footnote>
  <w:footnote w:id="9">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sidR="00274698">
        <w:rPr>
          <w:rFonts w:ascii="Times New Roman" w:hAnsi="Times New Roman" w:cs="Times New Roman"/>
          <w:i/>
        </w:rPr>
        <w:t>Plain D</w:t>
      </w:r>
      <w:r w:rsidRPr="000B186B">
        <w:rPr>
          <w:rFonts w:ascii="Times New Roman" w:hAnsi="Times New Roman" w:cs="Times New Roman"/>
          <w:i/>
        </w:rPr>
        <w:t xml:space="preserve">ealer at 526 </w:t>
      </w:r>
      <w:r w:rsidRPr="000B186B">
        <w:rPr>
          <w:rFonts w:ascii="Times New Roman" w:hAnsi="Times New Roman" w:cs="Times New Roman"/>
        </w:rPr>
        <w:t>citing</w:t>
      </w:r>
      <w:r w:rsidRPr="000B186B">
        <w:rPr>
          <w:rFonts w:ascii="Times New Roman" w:hAnsi="Times New Roman" w:cs="Times New Roman"/>
          <w:i/>
        </w:rPr>
        <w:t xml:space="preserve"> </w:t>
      </w:r>
      <w:r w:rsidRPr="000B186B">
        <w:rPr>
          <w:rFonts w:ascii="Times New Roman" w:hAnsi="Times New Roman" w:cs="Times New Roman"/>
        </w:rPr>
        <w:t>Restatement of </w:t>
      </w:r>
      <w:r w:rsidRPr="000B186B">
        <w:rPr>
          <w:rFonts w:ascii="Times New Roman" w:hAnsi="Times New Roman" w:cs="Times New Roman"/>
          <w:i/>
          <w:iCs/>
        </w:rPr>
        <w:t>Torts,</w:t>
      </w:r>
      <w:r w:rsidRPr="000B186B">
        <w:rPr>
          <w:rFonts w:ascii="Times New Roman" w:hAnsi="Times New Roman" w:cs="Times New Roman"/>
        </w:rPr>
        <w:t> sec. 757, Comment b (emphasis added).</w:t>
      </w:r>
    </w:p>
  </w:footnote>
  <w:footnote w:id="10">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sidR="000A5D25">
        <w:rPr>
          <w:rFonts w:ascii="Times New Roman" w:hAnsi="Times New Roman" w:cs="Times New Roman"/>
          <w:i/>
        </w:rPr>
        <w:t>Id.</w:t>
      </w:r>
      <w:r w:rsidRPr="000B186B" w:rsidR="000A5D25">
        <w:rPr>
          <w:rFonts w:ascii="Times New Roman" w:hAnsi="Times New Roman" w:cs="Times New Roman"/>
        </w:rPr>
        <w:t xml:space="preserve"> at 524</w:t>
      </w:r>
      <w:r w:rsidRPr="000B186B" w:rsidR="009B4295">
        <w:rPr>
          <w:rFonts w:ascii="Times New Roman" w:hAnsi="Times New Roman" w:cs="Times New Roman"/>
        </w:rPr>
        <w:t>-525</w:t>
      </w:r>
      <w:r w:rsidRPr="000B186B" w:rsidR="000A5D25">
        <w:rPr>
          <w:rFonts w:ascii="Times New Roman" w:hAnsi="Times New Roman" w:cs="Times New Roman"/>
        </w:rPr>
        <w:t>.</w:t>
      </w:r>
    </w:p>
  </w:footnote>
  <w:footnote w:id="11">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sidR="009B4295">
        <w:rPr>
          <w:rFonts w:ascii="Times New Roman" w:hAnsi="Times New Roman" w:cs="Times New Roman"/>
          <w:i/>
        </w:rPr>
        <w:t>Id.</w:t>
      </w:r>
      <w:r w:rsidRPr="000B186B" w:rsidR="009B4295">
        <w:rPr>
          <w:rFonts w:ascii="Times New Roman" w:hAnsi="Times New Roman" w:cs="Times New Roman"/>
        </w:rPr>
        <w:t xml:space="preserve"> at 525.</w:t>
      </w:r>
    </w:p>
  </w:footnote>
  <w:footnote w:id="12">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Duke Motion for Protective Order at 2.</w:t>
      </w:r>
    </w:p>
  </w:footnote>
  <w:footnote w:id="13">
    <w:p w:rsidR="00E143A5"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R.C. 1333.61(D).</w:t>
      </w:r>
    </w:p>
  </w:footnote>
  <w:footnote w:id="14">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Motion for Protective Order at 3.</w:t>
      </w:r>
    </w:p>
  </w:footnote>
  <w:footnote w:id="15">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Motion for Protective Order at 3.</w:t>
      </w:r>
    </w:p>
  </w:footnote>
  <w:footnote w:id="16">
    <w:p w:rsidR="00B1220D"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See </w:t>
      </w:r>
      <w:r w:rsidRPr="000B186B">
        <w:rPr>
          <w:rFonts w:ascii="Times New Roman" w:hAnsi="Times New Roman" w:cs="Times New Roman"/>
          <w:i/>
        </w:rPr>
        <w:t xml:space="preserve">In the Matter of the Alternative Energy Rider and Auction Cost Reconciliation Rider for Ohio Power Company, </w:t>
      </w:r>
      <w:r w:rsidRPr="000B186B">
        <w:rPr>
          <w:rFonts w:ascii="Times New Roman" w:hAnsi="Times New Roman" w:cs="Times New Roman"/>
        </w:rPr>
        <w:t xml:space="preserve">Application, </w:t>
      </w:r>
      <w:r w:rsidRPr="000B186B">
        <w:rPr>
          <w:rFonts w:ascii="Times New Roman" w:hAnsi="Times New Roman" w:cs="Times New Roman"/>
          <w:i/>
        </w:rPr>
        <w:t xml:space="preserve"> </w:t>
      </w:r>
      <w:r w:rsidRPr="000B186B">
        <w:rPr>
          <w:rFonts w:ascii="Times New Roman" w:hAnsi="Times New Roman" w:cs="Times New Roman"/>
        </w:rPr>
        <w:t>Case No. 15-1052-EL-RDR, Application at Schedule 1 (June 1, 2015).</w:t>
      </w:r>
    </w:p>
  </w:footnote>
  <w:footnote w:id="17">
    <w:p w:rsidR="00B1220D"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See </w:t>
      </w:r>
      <w:r w:rsidRPr="000B186B">
        <w:rPr>
          <w:rFonts w:ascii="Times New Roman" w:hAnsi="Times New Roman" w:cs="Times New Roman"/>
          <w:i/>
        </w:rPr>
        <w:t>In the Matter of the Application of The Dayton Power and Light Company to Establish Tariff Rates,</w:t>
      </w:r>
      <w:r w:rsidRPr="000B186B">
        <w:rPr>
          <w:rFonts w:ascii="Times New Roman" w:hAnsi="Times New Roman" w:cs="Times New Roman"/>
        </w:rPr>
        <w:t xml:space="preserve"> Case No. 12-672-EL-RDR, et al., Application at WP-7A; fn 1, (March 30, 2012).</w:t>
      </w:r>
    </w:p>
  </w:footnote>
  <w:footnote w:id="18">
    <w:p w:rsidR="00B1220D"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See </w:t>
      </w:r>
      <w:r w:rsidRPr="000B186B">
        <w:rPr>
          <w:rFonts w:ascii="Times New Roman" w:hAnsi="Times New Roman" w:cs="Times New Roman"/>
          <w:i/>
        </w:rPr>
        <w:t>In the Matter of the Review of the Distribution Uncollectible Rider, PIPP Uncollectible Rider, Non-Distribution Uncollectible Rider, Generation Cost Reconciliation Rider, and the Economic Development Rider of Ohio Edison Company, The Cleveland Electric Company, and The Toledo Edison Company,</w:t>
      </w:r>
      <w:r w:rsidRPr="000B186B">
        <w:rPr>
          <w:rFonts w:ascii="Times New Roman" w:hAnsi="Times New Roman" w:cs="Times New Roman"/>
        </w:rPr>
        <w:t xml:space="preserve"> Case No. 13-2175-EL-RRM,</w:t>
      </w:r>
      <w:r w:rsidRPr="000B186B">
        <w:rPr>
          <w:rFonts w:ascii="Times New Roman" w:hAnsi="Times New Roman" w:cs="Times New Roman"/>
          <w:i/>
        </w:rPr>
        <w:t xml:space="preserve"> </w:t>
      </w:r>
      <w:r w:rsidRPr="000B186B">
        <w:rPr>
          <w:rFonts w:ascii="Times New Roman" w:hAnsi="Times New Roman" w:cs="Times New Roman"/>
        </w:rPr>
        <w:t>Report at Exhibits M, N, O, and P, (July 31, 2015).</w:t>
      </w:r>
    </w:p>
  </w:footnote>
  <w:footnote w:id="19">
    <w:p w:rsidR="00B1220D" w:rsidRPr="000B186B" w:rsidP="000B186B">
      <w:pPr>
        <w:pStyle w:val="FootnoteText"/>
        <w:spacing w:after="120"/>
        <w:rPr>
          <w:rFonts w:ascii="Times New Roman" w:hAnsi="Times New Roman" w:cs="Times New Roman"/>
          <w:i/>
        </w:rPr>
      </w:pPr>
      <w:r w:rsidRPr="000B186B">
        <w:rPr>
          <w:rStyle w:val="FootnoteReference"/>
          <w:rFonts w:ascii="Times New Roman" w:hAnsi="Times New Roman" w:cs="Times New Roman"/>
        </w:rPr>
        <w:footnoteRef/>
      </w:r>
      <w:r w:rsidRPr="000B186B">
        <w:rPr>
          <w:rFonts w:ascii="Times New Roman" w:hAnsi="Times New Roman" w:cs="Times New Roman"/>
        </w:rPr>
        <w:t xml:space="preserve"> See </w:t>
      </w:r>
      <w:r w:rsidRPr="000B186B">
        <w:rPr>
          <w:rFonts w:ascii="Times New Roman" w:hAnsi="Times New Roman" w:cs="Times New Roman"/>
          <w:i/>
        </w:rPr>
        <w:t>In the Matter of Several Applications of Cincinnati Bell Telephone Company for Approval of a Contractor Other Arrangement between Cincinnati Bell Telephone Company and Various Customers</w:t>
      </w:r>
      <w:r w:rsidRPr="000B186B">
        <w:rPr>
          <w:rFonts w:ascii="Times New Roman" w:hAnsi="Times New Roman" w:cs="Times New Roman"/>
        </w:rPr>
        <w:t xml:space="preserve">, Case No. 96-483-TP-AEC, Entry at 4-7 (February 12, 1998) (contract between a utility and its customers found not to meet the definition of trade secrets); See also </w:t>
      </w:r>
      <w:r w:rsidRPr="000B186B">
        <w:rPr>
          <w:rFonts w:ascii="Times New Roman" w:hAnsi="Times New Roman" w:cs="Times New Roman"/>
          <w:i/>
        </w:rPr>
        <w:t>In the Matter of Application of Ameritech Ohio for Approval of an Interconnection Agreement between Ameritech Ohio and Communications Buying Group, Inc. Pursuant to Section 252 of the Telecommunications Act of 1996</w:t>
      </w:r>
      <w:r w:rsidRPr="000B186B">
        <w:rPr>
          <w:rFonts w:ascii="Times New Roman" w:hAnsi="Times New Roman" w:cs="Times New Roman"/>
        </w:rPr>
        <w:t xml:space="preserve">, Case No. 96-604-TP-UNC, Attorney Examiner Entry at 2-3 (July 10, 1996) (inter-connection agreements containing the rates, terms, and conditions of interconnection between a local exchange company and a competitive local service provider does not amount to a trade secret). </w:t>
      </w:r>
    </w:p>
  </w:footnote>
  <w:footnote w:id="20">
    <w:p w:rsidR="00B1220D"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In the Matter of the Applications of Vectren Retail, LLC et al. for Renewal of Certification as a Competitive Retail Natural Gas Supplier and for Approval to Transfer that Certification</w:t>
      </w:r>
      <w:r w:rsidRPr="000B186B">
        <w:rPr>
          <w:rFonts w:ascii="Times New Roman" w:hAnsi="Times New Roman" w:cs="Times New Roman"/>
        </w:rPr>
        <w:t xml:space="preserve">, Case No. 02-1668-GA-CRS, Entry at 5 (August 11, 2004). </w:t>
      </w:r>
    </w:p>
  </w:footnote>
  <w:footnote w:id="21">
    <w:p w:rsidR="00B1220D"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Pr>
          <w:rFonts w:ascii="Times New Roman" w:hAnsi="Times New Roman" w:cs="Times New Roman"/>
          <w:i/>
        </w:rPr>
        <w:t>In the Matter of the Petition of Alvahn L. Mondell, et al. v. The Ohio Bell Telephone Company Relative to a Request for Two-Way, Non-Optional Extended Area Service Between the Salem Exchange and the Alliance and Sebring Exchanges of the Ohio Bell Telephone Company</w:t>
      </w:r>
      <w:r w:rsidRPr="000B186B">
        <w:rPr>
          <w:rFonts w:ascii="Times New Roman" w:hAnsi="Times New Roman" w:cs="Times New Roman"/>
        </w:rPr>
        <w:t xml:space="preserve">, Case No. 89-221-TP-PEX, Entry(May 16, 1989) (the Commission declined to interpret as a trade secret calling data that reveals business information such as traffic volume and revenues from interLATA calls between exchanges). See also, </w:t>
      </w:r>
      <w:r w:rsidRPr="000B186B">
        <w:rPr>
          <w:rFonts w:ascii="Times New Roman" w:hAnsi="Times New Roman" w:cs="Times New Roman"/>
          <w:i/>
        </w:rPr>
        <w:t>In the Matter of the Petition of Michael and Carol Schlagenhauser, Relative to a Request for Two-Way, Non-Optional Extended Area Service</w:t>
      </w:r>
      <w:r w:rsidRPr="000B186B">
        <w:rPr>
          <w:rFonts w:ascii="Times New Roman" w:hAnsi="Times New Roman" w:cs="Times New Roman"/>
        </w:rPr>
        <w:t xml:space="preserve">, Case No. 02-954-TP-PEX, Entry (July 30, 2002) (Commission held that information containing the number of access lines in the Perrysville exchange was not a trade secret). </w:t>
      </w:r>
    </w:p>
  </w:footnote>
  <w:footnote w:id="22">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See </w:t>
      </w:r>
      <w:r w:rsidRPr="000B186B">
        <w:rPr>
          <w:rFonts w:ascii="Times New Roman" w:hAnsi="Times New Roman" w:cs="Times New Roman"/>
          <w:i/>
        </w:rPr>
        <w:t>Pyromatics</w:t>
      </w:r>
      <w:r w:rsidRPr="000B186B">
        <w:rPr>
          <w:rFonts w:ascii="Times New Roman" w:hAnsi="Times New Roman" w:cs="Times New Roman"/>
        </w:rPr>
        <w:t xml:space="preserve">, </w:t>
      </w:r>
      <w:r w:rsidRPr="000B186B">
        <w:rPr>
          <w:rFonts w:ascii="Times New Roman" w:hAnsi="Times New Roman" w:cs="Times New Roman"/>
          <w:i/>
        </w:rPr>
        <w:t>Inc. v. Petruziello</w:t>
      </w:r>
      <w:r w:rsidRPr="000B186B">
        <w:rPr>
          <w:rFonts w:ascii="Times New Roman" w:hAnsi="Times New Roman" w:cs="Times New Roman"/>
        </w:rPr>
        <w:t>, 7 Ohio. App.3d 131, 134-135 (1983).</w:t>
      </w:r>
    </w:p>
  </w:footnote>
  <w:footnote w:id="23">
    <w:p w:rsidR="00C37A5E" w:rsidRPr="000B186B" w:rsidP="000B186B">
      <w:pPr>
        <w:pStyle w:val="FootnoteText"/>
        <w:spacing w:after="120"/>
        <w:rPr>
          <w:rFonts w:ascii="Times New Roman" w:hAnsi="Times New Roman" w:cs="Times New Roman"/>
        </w:rPr>
      </w:pPr>
      <w:r w:rsidRPr="000B186B">
        <w:rPr>
          <w:rStyle w:val="FootnoteReference"/>
          <w:rFonts w:ascii="Times New Roman" w:hAnsi="Times New Roman" w:cs="Times New Roman"/>
        </w:rPr>
        <w:footnoteRef/>
      </w:r>
      <w:r w:rsidRPr="000B186B">
        <w:rPr>
          <w:rFonts w:ascii="Times New Roman" w:hAnsi="Times New Roman" w:cs="Times New Roman"/>
        </w:rPr>
        <w:t xml:space="preserve"> </w:t>
      </w:r>
      <w:r w:rsidRPr="000B186B" w:rsidR="009B4295">
        <w:rPr>
          <w:rFonts w:ascii="Times New Roman" w:hAnsi="Times New Roman" w:cs="Times New Roman"/>
          <w:i/>
        </w:rPr>
        <w:t>Plain Dealer</w:t>
      </w:r>
      <w:r w:rsidRPr="000B186B" w:rsidR="009B4295">
        <w:rPr>
          <w:rFonts w:ascii="Times New Roman" w:hAnsi="Times New Roman" w:cs="Times New Roman"/>
        </w:rPr>
        <w:t xml:space="preserve"> at 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14E43"/>
    <w:multiLevelType w:val="hybridMultilevel"/>
    <w:tmpl w:val="671AE0F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9954241"/>
    <w:multiLevelType w:val="hybridMultilevel"/>
    <w:tmpl w:val="0D9673A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8B33F90"/>
    <w:multiLevelType w:val="hybridMultilevel"/>
    <w:tmpl w:val="585C217E"/>
    <w:lvl w:ilvl="0">
      <w:start w:val="2"/>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DE87D02"/>
    <w:multiLevelType w:val="hybridMultilevel"/>
    <w:tmpl w:val="A294B0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6083318"/>
    <w:multiLevelType w:val="hybridMultilevel"/>
    <w:tmpl w:val="DA6E381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23760E"/>
    <w:multiLevelType w:val="hybridMultilevel"/>
    <w:tmpl w:val="9014EC10"/>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63B2506"/>
    <w:multiLevelType w:val="hybridMultilevel"/>
    <w:tmpl w:val="BBC291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5"/>
  </w:num>
  <w:num w:numId="6">
    <w:abstractNumId w:val="5"/>
    <w:lvlOverride w:ilvl="0">
      <w:startOverride w:val="3"/>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84A20"/>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6D51CB"/>
    <w:pPr>
      <w:keepNext/>
      <w:keepLines/>
      <w:spacing w:after="0" w:line="240" w:lineRule="auto"/>
      <w:ind w:left="1440" w:right="720" w:hanging="720"/>
      <w:outlineLvl w:val="1"/>
    </w:pPr>
    <w:rPr>
      <w:rFonts w:ascii="Times New Roman Bold" w:hAnsi="Times New Roman Bold"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rsid w:val="00116570"/>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fn Char"/>
    <w:basedOn w:val="DefaultParagraphFont"/>
    <w:link w:val="FootnoteText"/>
    <w:uiPriority w:val="99"/>
    <w:semiHidden/>
    <w:rsid w:val="00116570"/>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nhideWhenUsed/>
    <w:rsid w:val="00116570"/>
    <w:rPr>
      <w:vertAlign w:val="superscript"/>
    </w:rPr>
  </w:style>
  <w:style w:type="paragraph" w:styleId="ListParagraph">
    <w:name w:val="List Paragraph"/>
    <w:basedOn w:val="Normal"/>
    <w:uiPriority w:val="34"/>
    <w:qFormat/>
    <w:rsid w:val="003E2904"/>
    <w:pPr>
      <w:ind w:left="720"/>
      <w:contextualSpacing/>
    </w:pPr>
  </w:style>
  <w:style w:type="paragraph" w:styleId="HTMLPreformatted">
    <w:name w:val="HTML Preformatted"/>
    <w:basedOn w:val="Normal"/>
    <w:link w:val="HTMLPreformattedChar"/>
    <w:rsid w:val="006D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D51CB"/>
    <w:rPr>
      <w:rFonts w:ascii="Courier New" w:eastAsia="Courier New" w:hAnsi="Courier New" w:cs="Courier New"/>
      <w:sz w:val="20"/>
      <w:szCs w:val="20"/>
    </w:rPr>
  </w:style>
  <w:style w:type="character" w:customStyle="1" w:styleId="Heading1Char">
    <w:name w:val="Heading 1 Char"/>
    <w:basedOn w:val="DefaultParagraphFont"/>
    <w:link w:val="Heading1"/>
    <w:uiPriority w:val="9"/>
    <w:rsid w:val="00A84A20"/>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6D51CB"/>
    <w:rPr>
      <w:rFonts w:ascii="Times New Roman Bold" w:hAnsi="Times New Roman Bold" w:eastAsiaTheme="majorEastAsia" w:cstheme="majorBidi"/>
      <w:b/>
      <w:bCs/>
      <w:sz w:val="24"/>
      <w:szCs w:val="26"/>
    </w:rPr>
  </w:style>
  <w:style w:type="paragraph" w:styleId="Header">
    <w:name w:val="header"/>
    <w:basedOn w:val="Normal"/>
    <w:link w:val="HeaderChar"/>
    <w:uiPriority w:val="99"/>
    <w:unhideWhenUsed/>
    <w:rsid w:val="008E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8F"/>
  </w:style>
  <w:style w:type="paragraph" w:styleId="Footer">
    <w:name w:val="footer"/>
    <w:basedOn w:val="Normal"/>
    <w:link w:val="FooterChar"/>
    <w:uiPriority w:val="99"/>
    <w:unhideWhenUsed/>
    <w:rsid w:val="008E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8F"/>
  </w:style>
  <w:style w:type="character" w:styleId="Hyperlink">
    <w:name w:val="Hyperlink"/>
    <w:rsid w:val="00144767"/>
    <w:rPr>
      <w:color w:val="0000FF"/>
      <w:u w:val="single"/>
    </w:rPr>
  </w:style>
  <w:style w:type="paragraph" w:styleId="BodyText">
    <w:name w:val="Body Text"/>
    <w:basedOn w:val="Normal"/>
    <w:link w:val="BodyTextChar"/>
    <w:rsid w:val="00144767"/>
    <w:pPr>
      <w:tabs>
        <w:tab w:val="left" w:pos="-720"/>
      </w:tabs>
      <w:suppressAutoHyphens/>
      <w:spacing w:after="0" w:line="48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144767"/>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14476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14476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2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DD"/>
    <w:rPr>
      <w:rFonts w:ascii="Tahoma" w:hAnsi="Tahoma" w:cs="Tahoma"/>
      <w:sz w:val="16"/>
      <w:szCs w:val="16"/>
    </w:rPr>
  </w:style>
  <w:style w:type="character" w:styleId="CommentReference">
    <w:name w:val="annotation reference"/>
    <w:basedOn w:val="DefaultParagraphFont"/>
    <w:uiPriority w:val="99"/>
    <w:semiHidden/>
    <w:unhideWhenUsed/>
    <w:rsid w:val="00F323B8"/>
    <w:rPr>
      <w:sz w:val="16"/>
      <w:szCs w:val="16"/>
    </w:rPr>
  </w:style>
  <w:style w:type="paragraph" w:styleId="CommentText">
    <w:name w:val="annotation text"/>
    <w:basedOn w:val="Normal"/>
    <w:link w:val="CommentTextChar"/>
    <w:semiHidden/>
    <w:unhideWhenUsed/>
    <w:rsid w:val="00F323B8"/>
    <w:pPr>
      <w:spacing w:line="240" w:lineRule="auto"/>
    </w:pPr>
    <w:rPr>
      <w:sz w:val="20"/>
      <w:szCs w:val="20"/>
    </w:rPr>
  </w:style>
  <w:style w:type="character" w:customStyle="1" w:styleId="CommentTextChar">
    <w:name w:val="Comment Text Char"/>
    <w:basedOn w:val="DefaultParagraphFont"/>
    <w:link w:val="CommentText"/>
    <w:semiHidden/>
    <w:rsid w:val="00F323B8"/>
    <w:rPr>
      <w:sz w:val="20"/>
      <w:szCs w:val="20"/>
    </w:rPr>
  </w:style>
  <w:style w:type="paragraph" w:styleId="CommentSubject">
    <w:name w:val="annotation subject"/>
    <w:basedOn w:val="CommentText"/>
    <w:next w:val="CommentText"/>
    <w:link w:val="CommentSubjectChar"/>
    <w:uiPriority w:val="99"/>
    <w:semiHidden/>
    <w:unhideWhenUsed/>
    <w:rsid w:val="00F323B8"/>
    <w:rPr>
      <w:b/>
      <w:bCs/>
    </w:rPr>
  </w:style>
  <w:style w:type="character" w:customStyle="1" w:styleId="CommentSubjectChar">
    <w:name w:val="Comment Subject Char"/>
    <w:basedOn w:val="CommentTextChar"/>
    <w:link w:val="CommentSubject"/>
    <w:uiPriority w:val="99"/>
    <w:semiHidden/>
    <w:rsid w:val="00F323B8"/>
    <w:rPr>
      <w:b/>
      <w:bCs/>
      <w:sz w:val="20"/>
      <w:szCs w:val="20"/>
    </w:rPr>
  </w:style>
  <w:style w:type="paragraph" w:styleId="TOC1">
    <w:name w:val="toc 1"/>
    <w:basedOn w:val="Normal"/>
    <w:next w:val="Normal"/>
    <w:autoRedefine/>
    <w:uiPriority w:val="39"/>
    <w:unhideWhenUsed/>
    <w:qFormat/>
    <w:rsid w:val="00F60135"/>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60135"/>
    <w:pPr>
      <w:tabs>
        <w:tab w:val="decimal" w:leader="dot" w:pos="8640"/>
      </w:tabs>
      <w:spacing w:after="240" w:line="240" w:lineRule="auto"/>
      <w:ind w:left="1440" w:hanging="720"/>
    </w:pPr>
    <w:rPr>
      <w:rFonts w:ascii="Times New Roman" w:hAnsi="Times New Roman"/>
      <w:sz w:val="24"/>
    </w:rPr>
  </w:style>
  <w:style w:type="paragraph" w:styleId="BodyTextIndent">
    <w:name w:val="Body Text Indent"/>
    <w:basedOn w:val="Normal"/>
    <w:link w:val="BodyTextIndentChar"/>
    <w:uiPriority w:val="99"/>
    <w:semiHidden/>
    <w:unhideWhenUsed/>
    <w:rsid w:val="00760456"/>
    <w:pPr>
      <w:spacing w:after="120"/>
      <w:ind w:left="360"/>
    </w:pPr>
  </w:style>
  <w:style w:type="character" w:customStyle="1" w:styleId="BodyTextIndentChar">
    <w:name w:val="Body Text Indent Char"/>
    <w:basedOn w:val="DefaultParagraphFont"/>
    <w:link w:val="BodyTextIndent"/>
    <w:uiPriority w:val="99"/>
    <w:semiHidden/>
    <w:rsid w:val="00760456"/>
  </w:style>
  <w:style w:type="paragraph" w:styleId="BodyTextFirstIndent2">
    <w:name w:val="Body Text First Indent 2"/>
    <w:basedOn w:val="BodyTextIndent"/>
    <w:link w:val="BodyTextFirstIndent2Char"/>
    <w:uiPriority w:val="99"/>
    <w:semiHidden/>
    <w:unhideWhenUsed/>
    <w:rsid w:val="00760456"/>
    <w:pPr>
      <w:spacing w:after="200"/>
      <w:ind w:firstLine="360"/>
    </w:pPr>
    <w:rPr>
      <w:rFonts w:ascii="Times New Roman" w:hAnsi="Times New Roman" w:eastAsiaTheme="minorEastAsia"/>
      <w:sz w:val="24"/>
    </w:rPr>
  </w:style>
  <w:style w:type="character" w:customStyle="1" w:styleId="BodyTextFirstIndent2Char">
    <w:name w:val="Body Text First Indent 2 Char"/>
    <w:basedOn w:val="BodyTextIndentChar"/>
    <w:link w:val="BodyTextFirstIndent2"/>
    <w:uiPriority w:val="99"/>
    <w:semiHidden/>
    <w:rsid w:val="00760456"/>
    <w:rPr>
      <w:rFonts w:ascii="Times New Roman" w:hAnsi="Times New Roman" w:eastAsiaTheme="minorEastAsia"/>
      <w:sz w:val="24"/>
    </w:rPr>
  </w:style>
  <w:style w:type="paragraph" w:styleId="BodyTextIndent3">
    <w:name w:val="Body Text Indent 3"/>
    <w:basedOn w:val="Normal"/>
    <w:link w:val="BodyTextIndent3Char"/>
    <w:uiPriority w:val="99"/>
    <w:semiHidden/>
    <w:unhideWhenUsed/>
    <w:rsid w:val="00E14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43A5"/>
    <w:rPr>
      <w:sz w:val="16"/>
      <w:szCs w:val="16"/>
    </w:rPr>
  </w:style>
  <w:style w:type="table" w:styleId="TableGrid">
    <w:name w:val="Table Grid"/>
    <w:basedOn w:val="TableNormal"/>
    <w:rsid w:val="004E2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OCC  MC Duke Prot. Order 18-0046-EL-RDR w/dfs  (00052088.DOCX;1)</vt:lpstr>
    </vt:vector>
  </TitlesOfParts>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2018-02-15T20:07:07Z</dcterms:created>
  <dcterms:modified xsi:type="dcterms:W3CDTF">2018-02-15T20:07:07Z</dcterms:modified>
</cp:coreProperties>
</file>