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2D1" w:rsidRDefault="00EB02D1" w:rsidP="00EB02D1">
      <w:pPr>
        <w:pStyle w:val="HTMLPreformatted"/>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BEFORE</w:t>
      </w:r>
    </w:p>
    <w:p w:rsidR="00EB02D1" w:rsidRDefault="00EB02D1" w:rsidP="00EB02D1">
      <w:pPr>
        <w:pStyle w:val="HTMLPreformatted"/>
        <w:jc w:val="center"/>
        <w:rPr>
          <w:rFonts w:ascii="Times New Roman" w:hAnsi="Times New Roman" w:cs="Times New Roman"/>
          <w:b/>
          <w:bCs/>
          <w:sz w:val="24"/>
          <w:szCs w:val="24"/>
        </w:rPr>
      </w:pPr>
      <w:r>
        <w:rPr>
          <w:rFonts w:ascii="Times New Roman" w:hAnsi="Times New Roman" w:cs="Times New Roman"/>
          <w:b/>
          <w:bCs/>
          <w:sz w:val="24"/>
          <w:szCs w:val="24"/>
        </w:rPr>
        <w:t>THE PUBLIC UTILITIES COMMISSION OF OHIO</w:t>
      </w:r>
    </w:p>
    <w:p w:rsidR="00802079" w:rsidRDefault="00802079" w:rsidP="00802079">
      <w:pPr>
        <w:pStyle w:val="HTMLPreformatted"/>
        <w:ind w:firstLine="720"/>
        <w:rPr>
          <w:rFonts w:ascii="Times New Roman" w:hAnsi="Times New Roman"/>
          <w:sz w:val="24"/>
        </w:rPr>
      </w:pPr>
    </w:p>
    <w:tbl>
      <w:tblPr>
        <w:tblW w:w="9092" w:type="dxa"/>
        <w:tblLook w:val="01E0" w:firstRow="1" w:lastRow="1" w:firstColumn="1" w:lastColumn="1" w:noHBand="0" w:noVBand="0"/>
      </w:tblPr>
      <w:tblGrid>
        <w:gridCol w:w="4332"/>
        <w:gridCol w:w="360"/>
        <w:gridCol w:w="4400"/>
      </w:tblGrid>
      <w:tr w:rsidR="00802079" w:rsidTr="00B6153F">
        <w:trPr>
          <w:trHeight w:val="807"/>
        </w:trPr>
        <w:tc>
          <w:tcPr>
            <w:tcW w:w="4332" w:type="dxa"/>
            <w:hideMark/>
          </w:tcPr>
          <w:p w:rsidR="00802079" w:rsidRDefault="00802079" w:rsidP="00B6153F">
            <w:pPr>
              <w:autoSpaceDE w:val="0"/>
              <w:autoSpaceDN w:val="0"/>
              <w:adjustRightInd w:val="0"/>
              <w:rPr>
                <w:bCs/>
              </w:rPr>
            </w:pPr>
            <w:r>
              <w:rPr>
                <w:bCs/>
              </w:rPr>
              <w:t>In the Matter of the Distribution Investment Rider Contained in the Tariffs of Ohio Power Company.</w:t>
            </w:r>
          </w:p>
          <w:p w:rsidR="00802079" w:rsidRDefault="00802079" w:rsidP="00B6153F">
            <w:pPr>
              <w:pStyle w:val="HTMLPreformatted"/>
              <w:rPr>
                <w:rFonts w:ascii="Times New Roman" w:hAnsi="Times New Roman"/>
                <w:sz w:val="24"/>
                <w:szCs w:val="24"/>
              </w:rPr>
            </w:pPr>
            <w:r>
              <w:rPr>
                <w:rFonts w:ascii="Times New Roman" w:hAnsi="Times New Roman" w:cs="Times New Roman"/>
                <w:bCs/>
                <w:sz w:val="24"/>
                <w:szCs w:val="24"/>
              </w:rPr>
              <w:t xml:space="preserve"> </w:t>
            </w:r>
          </w:p>
        </w:tc>
        <w:tc>
          <w:tcPr>
            <w:tcW w:w="360" w:type="dxa"/>
            <w:hideMark/>
          </w:tcPr>
          <w:p w:rsidR="00802079" w:rsidRDefault="00802079" w:rsidP="00B6153F">
            <w:pPr>
              <w:pStyle w:val="HTMLPreformatted"/>
              <w:rPr>
                <w:rFonts w:ascii="Times New Roman" w:hAnsi="Times New Roman"/>
                <w:sz w:val="24"/>
              </w:rPr>
            </w:pPr>
            <w:r>
              <w:rPr>
                <w:rFonts w:ascii="Times New Roman" w:hAnsi="Times New Roman"/>
                <w:sz w:val="24"/>
              </w:rPr>
              <w:t>)</w:t>
            </w:r>
          </w:p>
          <w:p w:rsidR="00802079" w:rsidRDefault="00802079" w:rsidP="00B6153F">
            <w:pPr>
              <w:pStyle w:val="HTMLPreformatted"/>
              <w:rPr>
                <w:rFonts w:ascii="Times New Roman" w:hAnsi="Times New Roman"/>
                <w:sz w:val="24"/>
              </w:rPr>
            </w:pPr>
            <w:r>
              <w:rPr>
                <w:rFonts w:ascii="Times New Roman" w:hAnsi="Times New Roman"/>
                <w:sz w:val="24"/>
              </w:rPr>
              <w:t>)</w:t>
            </w:r>
          </w:p>
          <w:p w:rsidR="00802079" w:rsidRDefault="00802079" w:rsidP="00B6153F">
            <w:pPr>
              <w:pStyle w:val="HTMLPreformatted"/>
              <w:rPr>
                <w:rFonts w:ascii="Times New Roman" w:hAnsi="Times New Roman"/>
                <w:sz w:val="24"/>
              </w:rPr>
            </w:pPr>
            <w:r>
              <w:rPr>
                <w:rFonts w:ascii="Times New Roman" w:hAnsi="Times New Roman"/>
                <w:sz w:val="24"/>
              </w:rPr>
              <w:t>)</w:t>
            </w:r>
          </w:p>
        </w:tc>
        <w:tc>
          <w:tcPr>
            <w:tcW w:w="4400" w:type="dxa"/>
          </w:tcPr>
          <w:p w:rsidR="00802079" w:rsidRDefault="00802079" w:rsidP="00B6153F">
            <w:pPr>
              <w:pStyle w:val="HTMLPreformatted"/>
              <w:rPr>
                <w:rFonts w:ascii="Times New Roman" w:hAnsi="Times New Roman"/>
                <w:sz w:val="24"/>
              </w:rPr>
            </w:pPr>
          </w:p>
          <w:p w:rsidR="00802079" w:rsidRDefault="00802079" w:rsidP="00B6153F">
            <w:pPr>
              <w:pStyle w:val="HTMLPreformatted"/>
              <w:rPr>
                <w:rFonts w:ascii="Times New Roman" w:hAnsi="Times New Roman"/>
                <w:sz w:val="24"/>
              </w:rPr>
            </w:pPr>
            <w:r>
              <w:rPr>
                <w:rFonts w:ascii="Times New Roman" w:hAnsi="Times New Roman"/>
                <w:sz w:val="24"/>
              </w:rPr>
              <w:t>Case No. 14-255-EL-RDR</w:t>
            </w:r>
          </w:p>
          <w:p w:rsidR="00802079" w:rsidRDefault="00802079" w:rsidP="00B6153F">
            <w:pPr>
              <w:pStyle w:val="HTMLPreformatted"/>
              <w:rPr>
                <w:rFonts w:ascii="Times New Roman" w:hAnsi="Times New Roman"/>
                <w:sz w:val="24"/>
              </w:rPr>
            </w:pPr>
          </w:p>
        </w:tc>
      </w:tr>
    </w:tbl>
    <w:p w:rsidR="00EB02D1" w:rsidRDefault="00EB02D1" w:rsidP="00EB02D1">
      <w:pPr>
        <w:pBdr>
          <w:bottom w:val="single" w:sz="12" w:space="1" w:color="auto"/>
        </w:pBdr>
      </w:pPr>
    </w:p>
    <w:p w:rsidR="00EB02D1" w:rsidRDefault="00EB02D1" w:rsidP="00EB02D1"/>
    <w:p w:rsidR="005F3267" w:rsidRDefault="00EB02D1" w:rsidP="005F3267">
      <w:pPr>
        <w:jc w:val="center"/>
        <w:rPr>
          <w:b/>
          <w:bCs/>
        </w:rPr>
      </w:pPr>
      <w:r>
        <w:rPr>
          <w:b/>
          <w:bCs/>
        </w:rPr>
        <w:t>COMMENTS</w:t>
      </w:r>
      <w:r w:rsidR="00C04040" w:rsidRPr="00C04040">
        <w:rPr>
          <w:b/>
          <w:bCs/>
        </w:rPr>
        <w:t xml:space="preserve"> </w:t>
      </w:r>
    </w:p>
    <w:p w:rsidR="00EB02D1" w:rsidRDefault="00EB02D1" w:rsidP="00EB02D1">
      <w:pPr>
        <w:jc w:val="center"/>
        <w:rPr>
          <w:b/>
          <w:bCs/>
        </w:rPr>
      </w:pPr>
      <w:r>
        <w:rPr>
          <w:b/>
          <w:bCs/>
        </w:rPr>
        <w:t>BY</w:t>
      </w:r>
    </w:p>
    <w:p w:rsidR="00EB02D1" w:rsidRDefault="00EB02D1" w:rsidP="00EB02D1">
      <w:pPr>
        <w:jc w:val="center"/>
        <w:rPr>
          <w:b/>
          <w:bCs/>
        </w:rPr>
      </w:pPr>
      <w:r>
        <w:rPr>
          <w:b/>
          <w:bCs/>
        </w:rPr>
        <w:t>THE OFFICE OF THE OHIO CONSUMERS’ COUNSEL</w:t>
      </w:r>
    </w:p>
    <w:p w:rsidR="00EB02D1" w:rsidRDefault="00EB02D1" w:rsidP="00EB02D1">
      <w:pPr>
        <w:pBdr>
          <w:bottom w:val="single" w:sz="12" w:space="1" w:color="auto"/>
        </w:pBdr>
        <w:jc w:val="center"/>
        <w:rPr>
          <w:b/>
          <w:bCs/>
        </w:rPr>
      </w:pPr>
    </w:p>
    <w:p w:rsidR="00EB02D1" w:rsidRDefault="00EB02D1" w:rsidP="00EB02D1"/>
    <w:p w:rsidR="00EB02D1" w:rsidRDefault="00EB02D1">
      <w:pPr>
        <w:pStyle w:val="HTMLPreformatted"/>
        <w:jc w:val="center"/>
        <w:rPr>
          <w:rFonts w:ascii="Times New Roman" w:hAnsi="Times New Roman" w:cs="Times New Roman"/>
          <w:b/>
          <w:bCs/>
          <w:sz w:val="24"/>
          <w:szCs w:val="24"/>
        </w:rPr>
      </w:pPr>
    </w:p>
    <w:p w:rsidR="00EB02D1" w:rsidRDefault="00EB02D1">
      <w:pPr>
        <w:pStyle w:val="HTMLPreformatted"/>
        <w:jc w:val="center"/>
        <w:rPr>
          <w:rFonts w:ascii="Times New Roman" w:hAnsi="Times New Roman" w:cs="Times New Roman"/>
          <w:b/>
          <w:bCs/>
          <w:sz w:val="24"/>
          <w:szCs w:val="24"/>
        </w:rPr>
      </w:pPr>
    </w:p>
    <w:p w:rsidR="00EB02D1" w:rsidRDefault="00EB02D1">
      <w:pPr>
        <w:pStyle w:val="HTMLPreformatted"/>
        <w:jc w:val="center"/>
        <w:rPr>
          <w:rFonts w:ascii="Times New Roman" w:hAnsi="Times New Roman" w:cs="Times New Roman"/>
          <w:b/>
          <w:bCs/>
          <w:sz w:val="24"/>
          <w:szCs w:val="24"/>
        </w:rPr>
      </w:pPr>
    </w:p>
    <w:p w:rsidR="00EB02D1" w:rsidRDefault="00EB02D1">
      <w:pPr>
        <w:pStyle w:val="HTMLPreformatted"/>
        <w:jc w:val="center"/>
        <w:rPr>
          <w:rFonts w:ascii="Times New Roman" w:hAnsi="Times New Roman" w:cs="Times New Roman"/>
          <w:b/>
          <w:bCs/>
          <w:sz w:val="24"/>
          <w:szCs w:val="24"/>
        </w:rPr>
      </w:pPr>
    </w:p>
    <w:p w:rsidR="005F3267" w:rsidRDefault="005F3267" w:rsidP="00EB02D1">
      <w:pPr>
        <w:pStyle w:val="InsideAddress"/>
        <w:tabs>
          <w:tab w:val="left" w:pos="4230"/>
          <w:tab w:val="left" w:pos="4320"/>
        </w:tabs>
        <w:autoSpaceDE w:val="0"/>
        <w:autoSpaceDN w:val="0"/>
        <w:adjustRightInd w:val="0"/>
        <w:ind w:left="4320"/>
        <w:rPr>
          <w:rFonts w:ascii="Times New Roman" w:hAnsi="Times New Roman" w:cs="Times New Roman"/>
        </w:rPr>
      </w:pPr>
    </w:p>
    <w:p w:rsidR="005F3267" w:rsidRDefault="005F3267" w:rsidP="00EB02D1">
      <w:pPr>
        <w:pStyle w:val="InsideAddress"/>
        <w:tabs>
          <w:tab w:val="left" w:pos="4230"/>
          <w:tab w:val="left" w:pos="4320"/>
        </w:tabs>
        <w:autoSpaceDE w:val="0"/>
        <w:autoSpaceDN w:val="0"/>
        <w:adjustRightInd w:val="0"/>
        <w:ind w:left="4320"/>
        <w:rPr>
          <w:rFonts w:ascii="Times New Roman" w:hAnsi="Times New Roman" w:cs="Times New Roman"/>
        </w:rPr>
      </w:pPr>
    </w:p>
    <w:p w:rsidR="005F3267" w:rsidRDefault="005F3267" w:rsidP="00EB02D1">
      <w:pPr>
        <w:pStyle w:val="InsideAddress"/>
        <w:tabs>
          <w:tab w:val="left" w:pos="4230"/>
          <w:tab w:val="left" w:pos="4320"/>
        </w:tabs>
        <w:autoSpaceDE w:val="0"/>
        <w:autoSpaceDN w:val="0"/>
        <w:adjustRightInd w:val="0"/>
        <w:ind w:left="4320"/>
        <w:rPr>
          <w:rFonts w:ascii="Times New Roman" w:hAnsi="Times New Roman" w:cs="Times New Roman"/>
        </w:rPr>
      </w:pPr>
    </w:p>
    <w:p w:rsidR="005F3267" w:rsidRDefault="005F3267" w:rsidP="00EB02D1">
      <w:pPr>
        <w:pStyle w:val="InsideAddress"/>
        <w:tabs>
          <w:tab w:val="left" w:pos="4230"/>
          <w:tab w:val="left" w:pos="4320"/>
        </w:tabs>
        <w:autoSpaceDE w:val="0"/>
        <w:autoSpaceDN w:val="0"/>
        <w:adjustRightInd w:val="0"/>
        <w:ind w:left="4320"/>
        <w:rPr>
          <w:rFonts w:ascii="Times New Roman" w:hAnsi="Times New Roman" w:cs="Times New Roman"/>
        </w:rPr>
      </w:pPr>
    </w:p>
    <w:p w:rsidR="00802079" w:rsidRDefault="00802079" w:rsidP="00EB02D1">
      <w:pPr>
        <w:pStyle w:val="InsideAddress"/>
        <w:tabs>
          <w:tab w:val="left" w:pos="4230"/>
          <w:tab w:val="left" w:pos="4320"/>
        </w:tabs>
        <w:autoSpaceDE w:val="0"/>
        <w:autoSpaceDN w:val="0"/>
        <w:adjustRightInd w:val="0"/>
        <w:ind w:left="4320"/>
        <w:rPr>
          <w:rFonts w:ascii="Times New Roman" w:hAnsi="Times New Roman" w:cs="Times New Roman"/>
        </w:rPr>
      </w:pPr>
    </w:p>
    <w:p w:rsidR="00802079" w:rsidRDefault="00802079" w:rsidP="00EB02D1">
      <w:pPr>
        <w:pStyle w:val="InsideAddress"/>
        <w:tabs>
          <w:tab w:val="left" w:pos="4230"/>
          <w:tab w:val="left" w:pos="4320"/>
        </w:tabs>
        <w:autoSpaceDE w:val="0"/>
        <w:autoSpaceDN w:val="0"/>
        <w:adjustRightInd w:val="0"/>
        <w:ind w:left="4320"/>
        <w:rPr>
          <w:rFonts w:ascii="Times New Roman" w:hAnsi="Times New Roman" w:cs="Times New Roman"/>
        </w:rPr>
      </w:pPr>
    </w:p>
    <w:p w:rsidR="00802079" w:rsidRDefault="00802079" w:rsidP="00AC62FF">
      <w:pPr>
        <w:pStyle w:val="InsideAddress"/>
        <w:tabs>
          <w:tab w:val="left" w:pos="4230"/>
          <w:tab w:val="left" w:pos="4320"/>
        </w:tabs>
        <w:autoSpaceDE w:val="0"/>
        <w:autoSpaceDN w:val="0"/>
        <w:adjustRightInd w:val="0"/>
        <w:rPr>
          <w:rFonts w:ascii="Times New Roman" w:hAnsi="Times New Roman" w:cs="Times New Roman"/>
        </w:rPr>
      </w:pPr>
    </w:p>
    <w:p w:rsidR="00802079" w:rsidRDefault="00802079" w:rsidP="00EB02D1">
      <w:pPr>
        <w:pStyle w:val="InsideAddress"/>
        <w:tabs>
          <w:tab w:val="left" w:pos="4230"/>
          <w:tab w:val="left" w:pos="4320"/>
        </w:tabs>
        <w:autoSpaceDE w:val="0"/>
        <w:autoSpaceDN w:val="0"/>
        <w:adjustRightInd w:val="0"/>
        <w:ind w:left="4320"/>
        <w:rPr>
          <w:rFonts w:ascii="Times New Roman" w:hAnsi="Times New Roman" w:cs="Times New Roman"/>
        </w:rPr>
      </w:pPr>
    </w:p>
    <w:p w:rsidR="00802079" w:rsidRDefault="00802079" w:rsidP="00EB02D1">
      <w:pPr>
        <w:pStyle w:val="InsideAddress"/>
        <w:tabs>
          <w:tab w:val="left" w:pos="4230"/>
          <w:tab w:val="left" w:pos="4320"/>
        </w:tabs>
        <w:autoSpaceDE w:val="0"/>
        <w:autoSpaceDN w:val="0"/>
        <w:adjustRightInd w:val="0"/>
        <w:ind w:left="4320"/>
        <w:rPr>
          <w:rFonts w:ascii="Times New Roman" w:hAnsi="Times New Roman" w:cs="Times New Roman"/>
        </w:rPr>
      </w:pPr>
    </w:p>
    <w:p w:rsidR="00802079" w:rsidRDefault="00802079" w:rsidP="00EB02D1">
      <w:pPr>
        <w:pStyle w:val="InsideAddress"/>
        <w:tabs>
          <w:tab w:val="left" w:pos="4230"/>
          <w:tab w:val="left" w:pos="4320"/>
        </w:tabs>
        <w:autoSpaceDE w:val="0"/>
        <w:autoSpaceDN w:val="0"/>
        <w:adjustRightInd w:val="0"/>
        <w:ind w:left="4320"/>
        <w:rPr>
          <w:rFonts w:ascii="Times New Roman" w:hAnsi="Times New Roman" w:cs="Times New Roman"/>
        </w:rPr>
      </w:pPr>
    </w:p>
    <w:p w:rsidR="00802079" w:rsidRDefault="00802079" w:rsidP="00EB02D1">
      <w:pPr>
        <w:pStyle w:val="InsideAddress"/>
        <w:tabs>
          <w:tab w:val="left" w:pos="4230"/>
          <w:tab w:val="left" w:pos="4320"/>
        </w:tabs>
        <w:autoSpaceDE w:val="0"/>
        <w:autoSpaceDN w:val="0"/>
        <w:adjustRightInd w:val="0"/>
        <w:ind w:left="4320"/>
        <w:rPr>
          <w:rFonts w:ascii="Times New Roman" w:hAnsi="Times New Roman" w:cs="Times New Roman"/>
        </w:rPr>
      </w:pPr>
    </w:p>
    <w:p w:rsidR="00EB02D1" w:rsidRDefault="00EB02D1" w:rsidP="00EB02D1">
      <w:pPr>
        <w:pStyle w:val="InsideAddress"/>
        <w:tabs>
          <w:tab w:val="left" w:pos="4230"/>
          <w:tab w:val="left" w:pos="4320"/>
        </w:tabs>
        <w:autoSpaceDE w:val="0"/>
        <w:autoSpaceDN w:val="0"/>
        <w:adjustRightInd w:val="0"/>
        <w:ind w:left="4320"/>
        <w:rPr>
          <w:rFonts w:ascii="Times New Roman" w:hAnsi="Times New Roman" w:cs="Times New Roman"/>
        </w:rPr>
      </w:pPr>
      <w:r>
        <w:rPr>
          <w:rFonts w:ascii="Times New Roman" w:hAnsi="Times New Roman" w:cs="Times New Roman"/>
        </w:rPr>
        <w:t>BRUCE J. WESTON</w:t>
      </w:r>
    </w:p>
    <w:p w:rsidR="00EB02D1" w:rsidRDefault="00EB02D1" w:rsidP="00EB02D1">
      <w:pPr>
        <w:pStyle w:val="Footer"/>
        <w:tabs>
          <w:tab w:val="clear" w:pos="4320"/>
          <w:tab w:val="clear" w:pos="8640"/>
        </w:tabs>
        <w:autoSpaceDE w:val="0"/>
        <w:autoSpaceDN w:val="0"/>
        <w:adjustRightInd w:val="0"/>
        <w:ind w:left="4320"/>
      </w:pPr>
      <w:r>
        <w:t>OHIO CONSUMERS’ COUNSEL</w:t>
      </w:r>
    </w:p>
    <w:p w:rsidR="00EB02D1" w:rsidRDefault="00EB02D1" w:rsidP="00EB02D1">
      <w:pPr>
        <w:tabs>
          <w:tab w:val="left" w:pos="4230"/>
          <w:tab w:val="left" w:pos="4320"/>
        </w:tabs>
        <w:ind w:left="4320"/>
      </w:pPr>
    </w:p>
    <w:p w:rsidR="005F3267" w:rsidRDefault="005F3267" w:rsidP="005F3267">
      <w:pPr>
        <w:tabs>
          <w:tab w:val="left" w:pos="4320"/>
        </w:tabs>
      </w:pPr>
      <w:r>
        <w:tab/>
        <w:t>Joseph P. Serio, Counsel of Record</w:t>
      </w:r>
    </w:p>
    <w:p w:rsidR="00AC62FF" w:rsidRDefault="00AC62FF" w:rsidP="005F3267">
      <w:pPr>
        <w:tabs>
          <w:tab w:val="left" w:pos="4320"/>
        </w:tabs>
      </w:pPr>
      <w:r>
        <w:tab/>
        <w:t>Michael J. Schuler</w:t>
      </w:r>
    </w:p>
    <w:p w:rsidR="005F3267" w:rsidRDefault="005F3267" w:rsidP="005F3267">
      <w:pPr>
        <w:tabs>
          <w:tab w:val="left" w:pos="4320"/>
        </w:tabs>
      </w:pPr>
      <w:r>
        <w:tab/>
        <w:t>Assistant Consumers’ Counsel</w:t>
      </w:r>
    </w:p>
    <w:p w:rsidR="005F3267" w:rsidRDefault="005F3267" w:rsidP="00CD0DA6">
      <w:pPr>
        <w:pStyle w:val="Heading1"/>
      </w:pPr>
      <w:r>
        <w:tab/>
      </w:r>
    </w:p>
    <w:p w:rsidR="005F3267" w:rsidRPr="005F3267" w:rsidRDefault="005F3267" w:rsidP="005F3267">
      <w:pPr>
        <w:ind w:left="4320"/>
        <w:rPr>
          <w:b/>
        </w:rPr>
      </w:pPr>
      <w:r w:rsidRPr="005F3267">
        <w:rPr>
          <w:b/>
        </w:rPr>
        <w:t>Office of the Ohio Consumers’ Counsel</w:t>
      </w:r>
    </w:p>
    <w:p w:rsidR="005F3267" w:rsidRPr="005F3267" w:rsidRDefault="005F3267" w:rsidP="005F3267">
      <w:pPr>
        <w:ind w:left="4320"/>
      </w:pPr>
      <w:r w:rsidRPr="005F3267">
        <w:t>10 West Broad Street, Suite 1800</w:t>
      </w:r>
    </w:p>
    <w:p w:rsidR="005F3267" w:rsidRPr="005F3267" w:rsidRDefault="005F3267" w:rsidP="005F3267">
      <w:pPr>
        <w:ind w:left="4320"/>
      </w:pPr>
      <w:r w:rsidRPr="005F3267">
        <w:t>Columbus, Ohio 43215-3485</w:t>
      </w:r>
    </w:p>
    <w:p w:rsidR="005F3267" w:rsidRDefault="005F3267" w:rsidP="00C53033">
      <w:pPr>
        <w:tabs>
          <w:tab w:val="left" w:pos="5580"/>
        </w:tabs>
        <w:autoSpaceDE w:val="0"/>
        <w:autoSpaceDN w:val="0"/>
        <w:adjustRightInd w:val="0"/>
        <w:ind w:left="3600" w:firstLine="720"/>
      </w:pPr>
      <w:r>
        <w:t xml:space="preserve">Telephone: </w:t>
      </w:r>
      <w:r w:rsidR="00C53033">
        <w:tab/>
      </w:r>
      <w:r>
        <w:t>614-466-9565 (Serio</w:t>
      </w:r>
      <w:r w:rsidR="00C53033">
        <w:t xml:space="preserve"> Direct</w:t>
      </w:r>
      <w:r>
        <w:t>)</w:t>
      </w:r>
    </w:p>
    <w:p w:rsidR="00AC62FF" w:rsidRDefault="00052814" w:rsidP="00052814">
      <w:pPr>
        <w:autoSpaceDE w:val="0"/>
        <w:autoSpaceDN w:val="0"/>
        <w:adjustRightInd w:val="0"/>
        <w:ind w:left="3600" w:firstLine="720"/>
      </w:pPr>
      <w:r>
        <w:t xml:space="preserve">Telephone: </w:t>
      </w:r>
      <w:r w:rsidR="00AC62FF">
        <w:t>614-466-9547 (Schuler</w:t>
      </w:r>
      <w:r w:rsidR="00C53033">
        <w:t xml:space="preserve"> Direct</w:t>
      </w:r>
      <w:r w:rsidR="00AC62FF">
        <w:t>)</w:t>
      </w:r>
    </w:p>
    <w:p w:rsidR="00C53033" w:rsidRDefault="00194DDE" w:rsidP="00C53033">
      <w:pPr>
        <w:autoSpaceDE w:val="0"/>
        <w:autoSpaceDN w:val="0"/>
        <w:adjustRightInd w:val="0"/>
        <w:ind w:left="4320"/>
      </w:pPr>
      <w:hyperlink r:id="rId8" w:history="1">
        <w:r w:rsidR="00052814" w:rsidRPr="00B45FCD">
          <w:rPr>
            <w:rStyle w:val="Hyperlink"/>
          </w:rPr>
          <w:t>Joseph.serio@occ.ohio.gov</w:t>
        </w:r>
      </w:hyperlink>
    </w:p>
    <w:p w:rsidR="00C53033" w:rsidRDefault="00052814" w:rsidP="00052814">
      <w:pPr>
        <w:autoSpaceDE w:val="0"/>
        <w:autoSpaceDN w:val="0"/>
        <w:adjustRightInd w:val="0"/>
      </w:pPr>
      <w:r>
        <w:t>September 10, 2014</w:t>
      </w:r>
      <w:r>
        <w:tab/>
      </w:r>
      <w:r>
        <w:tab/>
      </w:r>
      <w:r>
        <w:tab/>
      </w:r>
      <w:r>
        <w:tab/>
      </w:r>
      <w:hyperlink r:id="rId9" w:history="1">
        <w:r w:rsidRPr="00B45FCD">
          <w:rPr>
            <w:rStyle w:val="Hyperlink"/>
          </w:rPr>
          <w:t>Michael.schuler@occ.ohio.gov</w:t>
        </w:r>
      </w:hyperlink>
    </w:p>
    <w:p w:rsidR="00C53033" w:rsidRDefault="00C53033" w:rsidP="00C53033">
      <w:pPr>
        <w:autoSpaceDE w:val="0"/>
        <w:autoSpaceDN w:val="0"/>
        <w:adjustRightInd w:val="0"/>
        <w:ind w:left="3600" w:firstLine="720"/>
      </w:pPr>
    </w:p>
    <w:p w:rsidR="00945EDB" w:rsidRDefault="00945EDB" w:rsidP="00AC62FF">
      <w:pPr>
        <w:autoSpaceDE w:val="0"/>
        <w:autoSpaceDN w:val="0"/>
        <w:adjustRightInd w:val="0"/>
        <w:rPr>
          <w:u w:val="single"/>
        </w:rPr>
        <w:sectPr w:rsidR="00945EDB" w:rsidSect="00052814">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pgNumType w:fmt="lowerRoman" w:start="1"/>
          <w:cols w:space="720"/>
          <w:docGrid w:linePitch="360"/>
        </w:sectPr>
      </w:pPr>
    </w:p>
    <w:p w:rsidR="00EB02D1" w:rsidRDefault="00EB02D1" w:rsidP="00EB02D1">
      <w:pPr>
        <w:pStyle w:val="HTMLPreformatted"/>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 OF CONTENTS</w:t>
      </w:r>
    </w:p>
    <w:p w:rsidR="00EB02D1" w:rsidRDefault="00EB02D1" w:rsidP="00EB02D1">
      <w:pPr>
        <w:pStyle w:val="HTMLPreformatted"/>
        <w:rPr>
          <w:rFonts w:ascii="Times New Roman" w:hAnsi="Times New Roman" w:cs="Times New Roman"/>
          <w:b/>
          <w:bCs/>
          <w:sz w:val="24"/>
          <w:szCs w:val="24"/>
        </w:rPr>
      </w:pPr>
    </w:p>
    <w:p w:rsidR="00EB02D1" w:rsidRPr="00150BB7" w:rsidRDefault="00EB02D1" w:rsidP="00150BB7">
      <w:pPr>
        <w:pStyle w:val="HTMLPreformatted"/>
        <w:jc w:val="right"/>
        <w:rPr>
          <w:rFonts w:ascii="Times New Roman" w:hAnsi="Times New Roman" w:cs="Times New Roman"/>
          <w:b/>
          <w:bCs/>
          <w:sz w:val="24"/>
          <w:szCs w:val="24"/>
          <w:u w:val="single"/>
        </w:rPr>
      </w:pPr>
      <w:r w:rsidRPr="00150BB7">
        <w:rPr>
          <w:rFonts w:ascii="Times New Roman" w:hAnsi="Times New Roman" w:cs="Times New Roman"/>
          <w:b/>
          <w:bCs/>
          <w:sz w:val="24"/>
          <w:szCs w:val="24"/>
          <w:u w:val="single"/>
        </w:rPr>
        <w:t>P</w:t>
      </w:r>
      <w:r w:rsidR="00150BB7" w:rsidRPr="00150BB7">
        <w:rPr>
          <w:rFonts w:ascii="Times New Roman" w:hAnsi="Times New Roman" w:cs="Times New Roman"/>
          <w:b/>
          <w:bCs/>
          <w:sz w:val="24"/>
          <w:szCs w:val="24"/>
          <w:u w:val="single"/>
        </w:rPr>
        <w:t>age</w:t>
      </w:r>
    </w:p>
    <w:p w:rsidR="004315CC" w:rsidRDefault="004315CC" w:rsidP="00EB02D1">
      <w:pPr>
        <w:pStyle w:val="HTMLPreformatted"/>
        <w:rPr>
          <w:rFonts w:ascii="Times New Roman" w:hAnsi="Times New Roman" w:cs="Times New Roman"/>
          <w:b/>
          <w:bCs/>
          <w:sz w:val="24"/>
          <w:szCs w:val="24"/>
        </w:rPr>
      </w:pPr>
    </w:p>
    <w:p w:rsidR="0012495C" w:rsidRDefault="00945EDB">
      <w:pPr>
        <w:pStyle w:val="TOC1"/>
        <w:rPr>
          <w:rFonts w:asciiTheme="minorHAnsi" w:eastAsiaTheme="minorEastAsia" w:hAnsiTheme="minorHAnsi" w:cstheme="minorBidi"/>
          <w:caps w:val="0"/>
          <w:noProof/>
          <w:sz w:val="22"/>
          <w:szCs w:val="22"/>
        </w:rPr>
      </w:pPr>
      <w:r>
        <w:fldChar w:fldCharType="begin"/>
      </w:r>
      <w:r>
        <w:instrText xml:space="preserve"> TOC \o "1-2" \h \z \u </w:instrText>
      </w:r>
      <w:r>
        <w:fldChar w:fldCharType="separate"/>
      </w:r>
      <w:hyperlink w:anchor="_Toc398131515" w:history="1">
        <w:r w:rsidR="0012495C" w:rsidRPr="0074037F">
          <w:rPr>
            <w:rStyle w:val="Hyperlink"/>
            <w:noProof/>
          </w:rPr>
          <w:t>i.</w:t>
        </w:r>
        <w:r w:rsidR="0012495C">
          <w:rPr>
            <w:rFonts w:asciiTheme="minorHAnsi" w:eastAsiaTheme="minorEastAsia" w:hAnsiTheme="minorHAnsi" w:cstheme="minorBidi"/>
            <w:caps w:val="0"/>
            <w:noProof/>
            <w:sz w:val="22"/>
            <w:szCs w:val="22"/>
          </w:rPr>
          <w:tab/>
        </w:r>
        <w:r w:rsidR="0012495C" w:rsidRPr="0074037F">
          <w:rPr>
            <w:rStyle w:val="Hyperlink"/>
            <w:noProof/>
          </w:rPr>
          <w:t>INTRODUCTION</w:t>
        </w:r>
        <w:r w:rsidR="0012495C">
          <w:rPr>
            <w:noProof/>
            <w:webHidden/>
          </w:rPr>
          <w:tab/>
        </w:r>
        <w:r w:rsidR="0012495C">
          <w:rPr>
            <w:noProof/>
            <w:webHidden/>
          </w:rPr>
          <w:fldChar w:fldCharType="begin"/>
        </w:r>
        <w:r w:rsidR="0012495C">
          <w:rPr>
            <w:noProof/>
            <w:webHidden/>
          </w:rPr>
          <w:instrText xml:space="preserve"> PAGEREF _Toc398131515 \h </w:instrText>
        </w:r>
        <w:r w:rsidR="0012495C">
          <w:rPr>
            <w:noProof/>
            <w:webHidden/>
          </w:rPr>
        </w:r>
        <w:r w:rsidR="0012495C">
          <w:rPr>
            <w:noProof/>
            <w:webHidden/>
          </w:rPr>
          <w:fldChar w:fldCharType="separate"/>
        </w:r>
        <w:r w:rsidR="00A50191">
          <w:rPr>
            <w:noProof/>
            <w:webHidden/>
          </w:rPr>
          <w:t>1</w:t>
        </w:r>
        <w:r w:rsidR="0012495C">
          <w:rPr>
            <w:noProof/>
            <w:webHidden/>
          </w:rPr>
          <w:fldChar w:fldCharType="end"/>
        </w:r>
      </w:hyperlink>
    </w:p>
    <w:p w:rsidR="0012495C" w:rsidRDefault="00194DDE">
      <w:pPr>
        <w:pStyle w:val="TOC1"/>
        <w:rPr>
          <w:rFonts w:asciiTheme="minorHAnsi" w:eastAsiaTheme="minorEastAsia" w:hAnsiTheme="minorHAnsi" w:cstheme="minorBidi"/>
          <w:caps w:val="0"/>
          <w:noProof/>
          <w:sz w:val="22"/>
          <w:szCs w:val="22"/>
        </w:rPr>
      </w:pPr>
      <w:hyperlink w:anchor="_Toc398131516" w:history="1">
        <w:r w:rsidR="0012495C" w:rsidRPr="0074037F">
          <w:rPr>
            <w:rStyle w:val="Hyperlink"/>
            <w:noProof/>
          </w:rPr>
          <w:t>II.</w:t>
        </w:r>
        <w:r w:rsidR="0012495C">
          <w:rPr>
            <w:rFonts w:asciiTheme="minorHAnsi" w:eastAsiaTheme="minorEastAsia" w:hAnsiTheme="minorHAnsi" w:cstheme="minorBidi"/>
            <w:caps w:val="0"/>
            <w:noProof/>
            <w:sz w:val="22"/>
            <w:szCs w:val="22"/>
          </w:rPr>
          <w:tab/>
        </w:r>
        <w:r w:rsidR="0012495C" w:rsidRPr="0074037F">
          <w:rPr>
            <w:rStyle w:val="Hyperlink"/>
            <w:noProof/>
          </w:rPr>
          <w:t>COMMENTS</w:t>
        </w:r>
        <w:r w:rsidR="0012495C">
          <w:rPr>
            <w:noProof/>
            <w:webHidden/>
          </w:rPr>
          <w:tab/>
        </w:r>
        <w:r w:rsidR="0012495C">
          <w:rPr>
            <w:noProof/>
            <w:webHidden/>
          </w:rPr>
          <w:fldChar w:fldCharType="begin"/>
        </w:r>
        <w:r w:rsidR="0012495C">
          <w:rPr>
            <w:noProof/>
            <w:webHidden/>
          </w:rPr>
          <w:instrText xml:space="preserve"> PAGEREF _Toc398131516 \h </w:instrText>
        </w:r>
        <w:r w:rsidR="0012495C">
          <w:rPr>
            <w:noProof/>
            <w:webHidden/>
          </w:rPr>
        </w:r>
        <w:r w:rsidR="0012495C">
          <w:rPr>
            <w:noProof/>
            <w:webHidden/>
          </w:rPr>
          <w:fldChar w:fldCharType="separate"/>
        </w:r>
        <w:r w:rsidR="00A50191">
          <w:rPr>
            <w:noProof/>
            <w:webHidden/>
          </w:rPr>
          <w:t>2</w:t>
        </w:r>
        <w:r w:rsidR="0012495C">
          <w:rPr>
            <w:noProof/>
            <w:webHidden/>
          </w:rPr>
          <w:fldChar w:fldCharType="end"/>
        </w:r>
      </w:hyperlink>
    </w:p>
    <w:p w:rsidR="0012495C" w:rsidRDefault="00194DDE">
      <w:pPr>
        <w:pStyle w:val="TOC2"/>
        <w:tabs>
          <w:tab w:val="left" w:pos="1440"/>
        </w:tabs>
        <w:rPr>
          <w:rFonts w:asciiTheme="minorHAnsi" w:eastAsiaTheme="minorEastAsia" w:hAnsiTheme="minorHAnsi" w:cstheme="minorBidi"/>
          <w:noProof/>
          <w:sz w:val="22"/>
          <w:szCs w:val="22"/>
        </w:rPr>
      </w:pPr>
      <w:hyperlink w:anchor="_Toc398131517" w:history="1">
        <w:r w:rsidR="0012495C" w:rsidRPr="0074037F">
          <w:rPr>
            <w:rStyle w:val="Hyperlink"/>
            <w:noProof/>
          </w:rPr>
          <w:t>A.</w:t>
        </w:r>
        <w:r w:rsidR="0012495C">
          <w:rPr>
            <w:rFonts w:asciiTheme="minorHAnsi" w:eastAsiaTheme="minorEastAsia" w:hAnsiTheme="minorHAnsi" w:cstheme="minorBidi"/>
            <w:noProof/>
            <w:sz w:val="22"/>
            <w:szCs w:val="22"/>
          </w:rPr>
          <w:tab/>
        </w:r>
        <w:r w:rsidR="0012495C" w:rsidRPr="0074037F">
          <w:rPr>
            <w:rStyle w:val="Hyperlink"/>
            <w:noProof/>
          </w:rPr>
          <w:t xml:space="preserve">The Number Of Customers Interrupted From 2012 To 2013 Increased </w:t>
        </w:r>
        <w:r w:rsidR="0012495C">
          <w:rPr>
            <w:rStyle w:val="Hyperlink"/>
            <w:noProof/>
          </w:rPr>
          <w:br/>
        </w:r>
        <w:r w:rsidR="0012495C" w:rsidRPr="0074037F">
          <w:rPr>
            <w:rStyle w:val="Hyperlink"/>
            <w:noProof/>
          </w:rPr>
          <w:t xml:space="preserve">By 5.3 Percent, Indicating That The 2013 DIR Spending Did Not Assist </w:t>
        </w:r>
        <w:r w:rsidR="0012495C">
          <w:rPr>
            <w:rStyle w:val="Hyperlink"/>
            <w:noProof/>
          </w:rPr>
          <w:br/>
        </w:r>
        <w:r w:rsidR="0012495C" w:rsidRPr="0074037F">
          <w:rPr>
            <w:rStyle w:val="Hyperlink"/>
            <w:noProof/>
          </w:rPr>
          <w:t>In Proactively Avoiding Outages.</w:t>
        </w:r>
        <w:r w:rsidR="0012495C">
          <w:rPr>
            <w:noProof/>
            <w:webHidden/>
          </w:rPr>
          <w:tab/>
        </w:r>
        <w:r w:rsidR="0012495C">
          <w:rPr>
            <w:noProof/>
            <w:webHidden/>
          </w:rPr>
          <w:fldChar w:fldCharType="begin"/>
        </w:r>
        <w:r w:rsidR="0012495C">
          <w:rPr>
            <w:noProof/>
            <w:webHidden/>
          </w:rPr>
          <w:instrText xml:space="preserve"> PAGEREF _Toc398131517 \h </w:instrText>
        </w:r>
        <w:r w:rsidR="0012495C">
          <w:rPr>
            <w:noProof/>
            <w:webHidden/>
          </w:rPr>
        </w:r>
        <w:r w:rsidR="0012495C">
          <w:rPr>
            <w:noProof/>
            <w:webHidden/>
          </w:rPr>
          <w:fldChar w:fldCharType="separate"/>
        </w:r>
        <w:r w:rsidR="00A50191">
          <w:rPr>
            <w:noProof/>
            <w:webHidden/>
          </w:rPr>
          <w:t>2</w:t>
        </w:r>
        <w:r w:rsidR="0012495C">
          <w:rPr>
            <w:noProof/>
            <w:webHidden/>
          </w:rPr>
          <w:fldChar w:fldCharType="end"/>
        </w:r>
      </w:hyperlink>
    </w:p>
    <w:p w:rsidR="0012495C" w:rsidRDefault="00194DDE">
      <w:pPr>
        <w:pStyle w:val="TOC2"/>
        <w:tabs>
          <w:tab w:val="left" w:pos="1440"/>
        </w:tabs>
        <w:rPr>
          <w:rFonts w:asciiTheme="minorHAnsi" w:eastAsiaTheme="minorEastAsia" w:hAnsiTheme="minorHAnsi" w:cstheme="minorBidi"/>
          <w:noProof/>
          <w:sz w:val="22"/>
          <w:szCs w:val="22"/>
        </w:rPr>
      </w:pPr>
      <w:hyperlink w:anchor="_Toc398131518" w:history="1">
        <w:r w:rsidR="0012495C" w:rsidRPr="0074037F">
          <w:rPr>
            <w:rStyle w:val="Hyperlink"/>
            <w:noProof/>
          </w:rPr>
          <w:t>B.</w:t>
        </w:r>
        <w:r w:rsidR="0012495C">
          <w:rPr>
            <w:rFonts w:asciiTheme="minorHAnsi" w:eastAsiaTheme="minorEastAsia" w:hAnsiTheme="minorHAnsi" w:cstheme="minorBidi"/>
            <w:noProof/>
            <w:sz w:val="22"/>
            <w:szCs w:val="22"/>
          </w:rPr>
          <w:tab/>
        </w:r>
        <w:r w:rsidR="0012495C" w:rsidRPr="0074037F">
          <w:rPr>
            <w:rStyle w:val="Hyperlink"/>
            <w:noProof/>
          </w:rPr>
          <w:t xml:space="preserve">The PUCO Should Re-Emphasize That Customer Funding Of The </w:t>
        </w:r>
        <w:r w:rsidR="0012495C">
          <w:rPr>
            <w:rStyle w:val="Hyperlink"/>
            <w:noProof/>
          </w:rPr>
          <w:br/>
        </w:r>
        <w:r w:rsidR="0012495C" w:rsidRPr="0074037F">
          <w:rPr>
            <w:rStyle w:val="Hyperlink"/>
            <w:noProof/>
          </w:rPr>
          <w:t>DIR Should Be Directed Towards Programs That Actually Improve Service Reliability And Should Find That AEP Ohio May Not Charge Customers For Non-Service Related Spending In The DIR Rider.</w:t>
        </w:r>
        <w:r w:rsidR="0012495C">
          <w:rPr>
            <w:noProof/>
            <w:webHidden/>
          </w:rPr>
          <w:tab/>
        </w:r>
        <w:r w:rsidR="0012495C">
          <w:rPr>
            <w:noProof/>
            <w:webHidden/>
          </w:rPr>
          <w:fldChar w:fldCharType="begin"/>
        </w:r>
        <w:r w:rsidR="0012495C">
          <w:rPr>
            <w:noProof/>
            <w:webHidden/>
          </w:rPr>
          <w:instrText xml:space="preserve"> PAGEREF _Toc398131518 \h </w:instrText>
        </w:r>
        <w:r w:rsidR="0012495C">
          <w:rPr>
            <w:noProof/>
            <w:webHidden/>
          </w:rPr>
        </w:r>
        <w:r w:rsidR="0012495C">
          <w:rPr>
            <w:noProof/>
            <w:webHidden/>
          </w:rPr>
          <w:fldChar w:fldCharType="separate"/>
        </w:r>
        <w:r w:rsidR="00A50191">
          <w:rPr>
            <w:noProof/>
            <w:webHidden/>
          </w:rPr>
          <w:t>7</w:t>
        </w:r>
        <w:r w:rsidR="0012495C">
          <w:rPr>
            <w:noProof/>
            <w:webHidden/>
          </w:rPr>
          <w:fldChar w:fldCharType="end"/>
        </w:r>
      </w:hyperlink>
    </w:p>
    <w:p w:rsidR="0012495C" w:rsidRDefault="00194DDE">
      <w:pPr>
        <w:pStyle w:val="TOC2"/>
        <w:tabs>
          <w:tab w:val="left" w:pos="1440"/>
        </w:tabs>
        <w:rPr>
          <w:rFonts w:asciiTheme="minorHAnsi" w:eastAsiaTheme="minorEastAsia" w:hAnsiTheme="minorHAnsi" w:cstheme="minorBidi"/>
          <w:noProof/>
          <w:sz w:val="22"/>
          <w:szCs w:val="22"/>
        </w:rPr>
      </w:pPr>
      <w:hyperlink w:anchor="_Toc398131519" w:history="1">
        <w:r w:rsidR="0012495C" w:rsidRPr="0074037F">
          <w:rPr>
            <w:rStyle w:val="Hyperlink"/>
            <w:noProof/>
          </w:rPr>
          <w:t>C.</w:t>
        </w:r>
        <w:r w:rsidR="0012495C">
          <w:rPr>
            <w:rFonts w:asciiTheme="minorHAnsi" w:eastAsiaTheme="minorEastAsia" w:hAnsiTheme="minorHAnsi" w:cstheme="minorBidi"/>
            <w:noProof/>
            <w:sz w:val="22"/>
            <w:szCs w:val="22"/>
          </w:rPr>
          <w:tab/>
        </w:r>
        <w:r w:rsidR="0012495C" w:rsidRPr="0074037F">
          <w:rPr>
            <w:rStyle w:val="Hyperlink"/>
            <w:noProof/>
          </w:rPr>
          <w:t>The Staff Comments Confirm That The DIR Had Very Little Impact On Actually Improving Reliability For AEP Ohio Customers.</w:t>
        </w:r>
        <w:r w:rsidR="0012495C">
          <w:rPr>
            <w:noProof/>
            <w:webHidden/>
          </w:rPr>
          <w:tab/>
        </w:r>
        <w:r w:rsidR="0012495C">
          <w:rPr>
            <w:noProof/>
            <w:webHidden/>
          </w:rPr>
          <w:fldChar w:fldCharType="begin"/>
        </w:r>
        <w:r w:rsidR="0012495C">
          <w:rPr>
            <w:noProof/>
            <w:webHidden/>
          </w:rPr>
          <w:instrText xml:space="preserve"> PAGEREF _Toc398131519 \h </w:instrText>
        </w:r>
        <w:r w:rsidR="0012495C">
          <w:rPr>
            <w:noProof/>
            <w:webHidden/>
          </w:rPr>
        </w:r>
        <w:r w:rsidR="0012495C">
          <w:rPr>
            <w:noProof/>
            <w:webHidden/>
          </w:rPr>
          <w:fldChar w:fldCharType="separate"/>
        </w:r>
        <w:r w:rsidR="00A50191">
          <w:rPr>
            <w:noProof/>
            <w:webHidden/>
          </w:rPr>
          <w:t>8</w:t>
        </w:r>
        <w:r w:rsidR="0012495C">
          <w:rPr>
            <w:noProof/>
            <w:webHidden/>
          </w:rPr>
          <w:fldChar w:fldCharType="end"/>
        </w:r>
      </w:hyperlink>
    </w:p>
    <w:p w:rsidR="0012495C" w:rsidRDefault="00194DDE">
      <w:pPr>
        <w:pStyle w:val="TOC2"/>
        <w:tabs>
          <w:tab w:val="left" w:pos="1440"/>
        </w:tabs>
        <w:rPr>
          <w:rFonts w:asciiTheme="minorHAnsi" w:eastAsiaTheme="minorEastAsia" w:hAnsiTheme="minorHAnsi" w:cstheme="minorBidi"/>
          <w:noProof/>
          <w:sz w:val="22"/>
          <w:szCs w:val="22"/>
        </w:rPr>
      </w:pPr>
      <w:hyperlink w:anchor="_Toc398131520" w:history="1">
        <w:r w:rsidR="0012495C" w:rsidRPr="0074037F">
          <w:rPr>
            <w:rStyle w:val="Hyperlink"/>
            <w:noProof/>
          </w:rPr>
          <w:t>D.</w:t>
        </w:r>
        <w:r w:rsidR="0012495C">
          <w:rPr>
            <w:rFonts w:asciiTheme="minorHAnsi" w:eastAsiaTheme="minorEastAsia" w:hAnsiTheme="minorHAnsi" w:cstheme="minorBidi"/>
            <w:noProof/>
            <w:sz w:val="22"/>
            <w:szCs w:val="22"/>
          </w:rPr>
          <w:tab/>
        </w:r>
        <w:r w:rsidR="0012495C" w:rsidRPr="0074037F">
          <w:rPr>
            <w:rStyle w:val="Hyperlink"/>
            <w:noProof/>
          </w:rPr>
          <w:t xml:space="preserve">As Part Of The Annual Prudence Review, The Utility Should Perform </w:t>
        </w:r>
        <w:r w:rsidR="0012495C">
          <w:rPr>
            <w:rStyle w:val="Hyperlink"/>
            <w:noProof/>
          </w:rPr>
          <w:br/>
        </w:r>
        <w:r w:rsidR="0012495C" w:rsidRPr="0074037F">
          <w:rPr>
            <w:rStyle w:val="Hyperlink"/>
            <w:noProof/>
          </w:rPr>
          <w:t>A Basic Cost-Benefit Analysis For The Investments Sought To Be Collected From Customers.</w:t>
        </w:r>
        <w:r w:rsidR="0012495C">
          <w:rPr>
            <w:noProof/>
            <w:webHidden/>
          </w:rPr>
          <w:tab/>
        </w:r>
        <w:r w:rsidR="0012495C">
          <w:rPr>
            <w:noProof/>
            <w:webHidden/>
          </w:rPr>
          <w:fldChar w:fldCharType="begin"/>
        </w:r>
        <w:r w:rsidR="0012495C">
          <w:rPr>
            <w:noProof/>
            <w:webHidden/>
          </w:rPr>
          <w:instrText xml:space="preserve"> PAGEREF _Toc398131520 \h </w:instrText>
        </w:r>
        <w:r w:rsidR="0012495C">
          <w:rPr>
            <w:noProof/>
            <w:webHidden/>
          </w:rPr>
        </w:r>
        <w:r w:rsidR="0012495C">
          <w:rPr>
            <w:noProof/>
            <w:webHidden/>
          </w:rPr>
          <w:fldChar w:fldCharType="separate"/>
        </w:r>
        <w:r w:rsidR="00A50191">
          <w:rPr>
            <w:noProof/>
            <w:webHidden/>
          </w:rPr>
          <w:t>10</w:t>
        </w:r>
        <w:r w:rsidR="0012495C">
          <w:rPr>
            <w:noProof/>
            <w:webHidden/>
          </w:rPr>
          <w:fldChar w:fldCharType="end"/>
        </w:r>
      </w:hyperlink>
    </w:p>
    <w:p w:rsidR="0012495C" w:rsidRDefault="00194DDE">
      <w:pPr>
        <w:pStyle w:val="TOC2"/>
        <w:tabs>
          <w:tab w:val="left" w:pos="1440"/>
        </w:tabs>
        <w:rPr>
          <w:rFonts w:asciiTheme="minorHAnsi" w:eastAsiaTheme="minorEastAsia" w:hAnsiTheme="minorHAnsi" w:cstheme="minorBidi"/>
          <w:noProof/>
          <w:sz w:val="22"/>
          <w:szCs w:val="22"/>
        </w:rPr>
      </w:pPr>
      <w:hyperlink w:anchor="_Toc398131521" w:history="1">
        <w:r w:rsidR="0012495C" w:rsidRPr="0074037F">
          <w:rPr>
            <w:rStyle w:val="Hyperlink"/>
            <w:noProof/>
          </w:rPr>
          <w:t>E.</w:t>
        </w:r>
        <w:r w:rsidR="0012495C">
          <w:rPr>
            <w:rFonts w:asciiTheme="minorHAnsi" w:eastAsiaTheme="minorEastAsia" w:hAnsiTheme="minorHAnsi" w:cstheme="minorBidi"/>
            <w:noProof/>
            <w:sz w:val="22"/>
            <w:szCs w:val="22"/>
          </w:rPr>
          <w:tab/>
        </w:r>
        <w:r w:rsidR="0012495C" w:rsidRPr="0074037F">
          <w:rPr>
            <w:rStyle w:val="Hyperlink"/>
            <w:noProof/>
          </w:rPr>
          <w:t xml:space="preserve">AEP Ohio Should Not Be Able To Charge Customers (Through The </w:t>
        </w:r>
        <w:r w:rsidR="0012495C">
          <w:rPr>
            <w:rStyle w:val="Hyperlink"/>
            <w:noProof/>
          </w:rPr>
          <w:br/>
        </w:r>
        <w:r w:rsidR="0012495C" w:rsidRPr="0074037F">
          <w:rPr>
            <w:rStyle w:val="Hyperlink"/>
            <w:noProof/>
          </w:rPr>
          <w:t>DIR) For Costs That Are Simply Defined As “Other.”</w:t>
        </w:r>
        <w:r w:rsidR="0012495C">
          <w:rPr>
            <w:noProof/>
            <w:webHidden/>
          </w:rPr>
          <w:tab/>
        </w:r>
        <w:r w:rsidR="0012495C">
          <w:rPr>
            <w:noProof/>
            <w:webHidden/>
          </w:rPr>
          <w:fldChar w:fldCharType="begin"/>
        </w:r>
        <w:r w:rsidR="0012495C">
          <w:rPr>
            <w:noProof/>
            <w:webHidden/>
          </w:rPr>
          <w:instrText xml:space="preserve"> PAGEREF _Toc398131521 \h </w:instrText>
        </w:r>
        <w:r w:rsidR="0012495C">
          <w:rPr>
            <w:noProof/>
            <w:webHidden/>
          </w:rPr>
        </w:r>
        <w:r w:rsidR="0012495C">
          <w:rPr>
            <w:noProof/>
            <w:webHidden/>
          </w:rPr>
          <w:fldChar w:fldCharType="separate"/>
        </w:r>
        <w:r w:rsidR="00A50191">
          <w:rPr>
            <w:noProof/>
            <w:webHidden/>
          </w:rPr>
          <w:t>12</w:t>
        </w:r>
        <w:r w:rsidR="0012495C">
          <w:rPr>
            <w:noProof/>
            <w:webHidden/>
          </w:rPr>
          <w:fldChar w:fldCharType="end"/>
        </w:r>
      </w:hyperlink>
    </w:p>
    <w:p w:rsidR="0012495C" w:rsidRDefault="00194DDE">
      <w:pPr>
        <w:pStyle w:val="TOC2"/>
        <w:tabs>
          <w:tab w:val="left" w:pos="1440"/>
        </w:tabs>
        <w:rPr>
          <w:rFonts w:asciiTheme="minorHAnsi" w:eastAsiaTheme="minorEastAsia" w:hAnsiTheme="minorHAnsi" w:cstheme="minorBidi"/>
          <w:noProof/>
          <w:sz w:val="22"/>
          <w:szCs w:val="22"/>
        </w:rPr>
      </w:pPr>
      <w:hyperlink w:anchor="_Toc398131522" w:history="1">
        <w:r w:rsidR="0012495C" w:rsidRPr="0074037F">
          <w:rPr>
            <w:rStyle w:val="Hyperlink"/>
            <w:noProof/>
          </w:rPr>
          <w:t>F.</w:t>
        </w:r>
        <w:r w:rsidR="0012495C">
          <w:rPr>
            <w:rFonts w:asciiTheme="minorHAnsi" w:eastAsiaTheme="minorEastAsia" w:hAnsiTheme="minorHAnsi" w:cstheme="minorBidi"/>
            <w:noProof/>
            <w:sz w:val="22"/>
            <w:szCs w:val="22"/>
          </w:rPr>
          <w:tab/>
        </w:r>
        <w:r w:rsidR="0012495C" w:rsidRPr="0074037F">
          <w:rPr>
            <w:rStyle w:val="Hyperlink"/>
            <w:noProof/>
          </w:rPr>
          <w:t>An Evidentiary Hearing Is Required To Adequately Analyze And Evaluate The 2013 DIR Rider.</w:t>
        </w:r>
        <w:r w:rsidR="0012495C">
          <w:rPr>
            <w:noProof/>
            <w:webHidden/>
          </w:rPr>
          <w:tab/>
        </w:r>
        <w:r w:rsidR="0012495C">
          <w:rPr>
            <w:noProof/>
            <w:webHidden/>
          </w:rPr>
          <w:fldChar w:fldCharType="begin"/>
        </w:r>
        <w:r w:rsidR="0012495C">
          <w:rPr>
            <w:noProof/>
            <w:webHidden/>
          </w:rPr>
          <w:instrText xml:space="preserve"> PAGEREF _Toc398131522 \h </w:instrText>
        </w:r>
        <w:r w:rsidR="0012495C">
          <w:rPr>
            <w:noProof/>
            <w:webHidden/>
          </w:rPr>
        </w:r>
        <w:r w:rsidR="0012495C">
          <w:rPr>
            <w:noProof/>
            <w:webHidden/>
          </w:rPr>
          <w:fldChar w:fldCharType="separate"/>
        </w:r>
        <w:r w:rsidR="00A50191">
          <w:rPr>
            <w:noProof/>
            <w:webHidden/>
          </w:rPr>
          <w:t>13</w:t>
        </w:r>
        <w:r w:rsidR="0012495C">
          <w:rPr>
            <w:noProof/>
            <w:webHidden/>
          </w:rPr>
          <w:fldChar w:fldCharType="end"/>
        </w:r>
      </w:hyperlink>
    </w:p>
    <w:p w:rsidR="0012495C" w:rsidRDefault="00194DDE">
      <w:pPr>
        <w:pStyle w:val="TOC1"/>
        <w:rPr>
          <w:rFonts w:asciiTheme="minorHAnsi" w:eastAsiaTheme="minorEastAsia" w:hAnsiTheme="minorHAnsi" w:cstheme="minorBidi"/>
          <w:caps w:val="0"/>
          <w:noProof/>
          <w:sz w:val="22"/>
          <w:szCs w:val="22"/>
        </w:rPr>
      </w:pPr>
      <w:hyperlink w:anchor="_Toc398131523" w:history="1">
        <w:r w:rsidR="0012495C" w:rsidRPr="0074037F">
          <w:rPr>
            <w:rStyle w:val="Hyperlink"/>
            <w:noProof/>
          </w:rPr>
          <w:t>III.</w:t>
        </w:r>
        <w:r w:rsidR="0012495C">
          <w:rPr>
            <w:rFonts w:asciiTheme="minorHAnsi" w:eastAsiaTheme="minorEastAsia" w:hAnsiTheme="minorHAnsi" w:cstheme="minorBidi"/>
            <w:caps w:val="0"/>
            <w:noProof/>
            <w:sz w:val="22"/>
            <w:szCs w:val="22"/>
          </w:rPr>
          <w:tab/>
        </w:r>
        <w:r w:rsidR="0012495C" w:rsidRPr="0074037F">
          <w:rPr>
            <w:rStyle w:val="Hyperlink"/>
            <w:noProof/>
          </w:rPr>
          <w:t>CONCLUSION</w:t>
        </w:r>
        <w:r w:rsidR="0012495C">
          <w:rPr>
            <w:noProof/>
            <w:webHidden/>
          </w:rPr>
          <w:tab/>
        </w:r>
        <w:r w:rsidR="0012495C">
          <w:rPr>
            <w:noProof/>
            <w:webHidden/>
          </w:rPr>
          <w:fldChar w:fldCharType="begin"/>
        </w:r>
        <w:r w:rsidR="0012495C">
          <w:rPr>
            <w:noProof/>
            <w:webHidden/>
          </w:rPr>
          <w:instrText xml:space="preserve"> PAGEREF _Toc398131523 \h </w:instrText>
        </w:r>
        <w:r w:rsidR="0012495C">
          <w:rPr>
            <w:noProof/>
            <w:webHidden/>
          </w:rPr>
        </w:r>
        <w:r w:rsidR="0012495C">
          <w:rPr>
            <w:noProof/>
            <w:webHidden/>
          </w:rPr>
          <w:fldChar w:fldCharType="separate"/>
        </w:r>
        <w:r w:rsidR="00A50191">
          <w:rPr>
            <w:noProof/>
            <w:webHidden/>
          </w:rPr>
          <w:t>14</w:t>
        </w:r>
        <w:r w:rsidR="0012495C">
          <w:rPr>
            <w:noProof/>
            <w:webHidden/>
          </w:rPr>
          <w:fldChar w:fldCharType="end"/>
        </w:r>
      </w:hyperlink>
    </w:p>
    <w:p w:rsidR="00150BB7" w:rsidRDefault="00945EDB" w:rsidP="00725975">
      <w:pPr>
        <w:pStyle w:val="TOC1"/>
        <w:ind w:right="720"/>
        <w:rPr>
          <w:b/>
          <w:bCs/>
        </w:rPr>
      </w:pPr>
      <w:r>
        <w:fldChar w:fldCharType="end"/>
      </w:r>
    </w:p>
    <w:p w:rsidR="00945EDB" w:rsidRDefault="00945EDB" w:rsidP="00133647">
      <w:pPr>
        <w:sectPr w:rsidR="00945EDB" w:rsidSect="00052814">
          <w:headerReference w:type="default" r:id="rId16"/>
          <w:footerReference w:type="default" r:id="rId17"/>
          <w:pgSz w:w="12240" w:h="15840"/>
          <w:pgMar w:top="1440" w:right="1800" w:bottom="1440" w:left="1800" w:header="720" w:footer="720" w:gutter="0"/>
          <w:pgNumType w:fmt="lowerRoman" w:start="1"/>
          <w:cols w:space="720"/>
          <w:docGrid w:linePitch="360"/>
        </w:sectPr>
      </w:pPr>
    </w:p>
    <w:p w:rsidR="002E2AAC" w:rsidRDefault="002E2AAC">
      <w:pPr>
        <w:pStyle w:val="HTMLPreformatted"/>
        <w:jc w:val="center"/>
        <w:rPr>
          <w:rFonts w:ascii="Times New Roman" w:hAnsi="Times New Roman" w:cs="Times New Roman"/>
          <w:b/>
          <w:bCs/>
          <w:sz w:val="24"/>
          <w:szCs w:val="24"/>
        </w:rPr>
      </w:pPr>
      <w:r>
        <w:rPr>
          <w:rFonts w:ascii="Times New Roman" w:hAnsi="Times New Roman" w:cs="Times New Roman"/>
          <w:b/>
          <w:bCs/>
          <w:sz w:val="24"/>
          <w:szCs w:val="24"/>
        </w:rPr>
        <w:t>BEFORE</w:t>
      </w:r>
    </w:p>
    <w:p w:rsidR="002E2AAC" w:rsidRDefault="002E2AAC">
      <w:pPr>
        <w:pStyle w:val="HTMLPreformatted"/>
        <w:jc w:val="center"/>
        <w:rPr>
          <w:rFonts w:ascii="Times New Roman" w:hAnsi="Times New Roman" w:cs="Times New Roman"/>
          <w:b/>
          <w:bCs/>
          <w:sz w:val="24"/>
          <w:szCs w:val="24"/>
        </w:rPr>
      </w:pPr>
      <w:r>
        <w:rPr>
          <w:rFonts w:ascii="Times New Roman" w:hAnsi="Times New Roman" w:cs="Times New Roman"/>
          <w:b/>
          <w:bCs/>
          <w:sz w:val="24"/>
          <w:szCs w:val="24"/>
        </w:rPr>
        <w:t>THE PUBLIC UTILITIES COMMISSION OF OHIO</w:t>
      </w:r>
    </w:p>
    <w:p w:rsidR="00C6058B" w:rsidRDefault="00C6058B" w:rsidP="00C6058B">
      <w:pPr>
        <w:pStyle w:val="HTMLPreformatted"/>
        <w:ind w:firstLine="720"/>
        <w:rPr>
          <w:rFonts w:ascii="Times New Roman" w:hAnsi="Times New Roman"/>
          <w:sz w:val="24"/>
        </w:rPr>
      </w:pPr>
    </w:p>
    <w:tbl>
      <w:tblPr>
        <w:tblW w:w="9092" w:type="dxa"/>
        <w:tblLook w:val="01E0" w:firstRow="1" w:lastRow="1" w:firstColumn="1" w:lastColumn="1" w:noHBand="0" w:noVBand="0"/>
      </w:tblPr>
      <w:tblGrid>
        <w:gridCol w:w="4332"/>
        <w:gridCol w:w="360"/>
        <w:gridCol w:w="4400"/>
      </w:tblGrid>
      <w:tr w:rsidR="00C6058B" w:rsidTr="00A002BA">
        <w:trPr>
          <w:trHeight w:val="807"/>
        </w:trPr>
        <w:tc>
          <w:tcPr>
            <w:tcW w:w="4332" w:type="dxa"/>
            <w:hideMark/>
          </w:tcPr>
          <w:p w:rsidR="00C6058B" w:rsidRDefault="00C6058B" w:rsidP="00A002BA">
            <w:pPr>
              <w:autoSpaceDE w:val="0"/>
              <w:autoSpaceDN w:val="0"/>
              <w:adjustRightInd w:val="0"/>
              <w:rPr>
                <w:bCs/>
              </w:rPr>
            </w:pPr>
            <w:r>
              <w:rPr>
                <w:bCs/>
              </w:rPr>
              <w:t>In the Matter of the Distribution Investment Rider Contained in the Tariffs of Ohio Power Company.</w:t>
            </w:r>
          </w:p>
          <w:p w:rsidR="00C6058B" w:rsidRDefault="00C6058B" w:rsidP="00A002BA">
            <w:pPr>
              <w:pStyle w:val="HTMLPreformatted"/>
              <w:rPr>
                <w:rFonts w:ascii="Times New Roman" w:hAnsi="Times New Roman"/>
                <w:sz w:val="24"/>
                <w:szCs w:val="24"/>
              </w:rPr>
            </w:pPr>
            <w:r>
              <w:rPr>
                <w:rFonts w:ascii="Times New Roman" w:hAnsi="Times New Roman" w:cs="Times New Roman"/>
                <w:bCs/>
                <w:sz w:val="24"/>
                <w:szCs w:val="24"/>
              </w:rPr>
              <w:t xml:space="preserve"> </w:t>
            </w:r>
          </w:p>
        </w:tc>
        <w:tc>
          <w:tcPr>
            <w:tcW w:w="360" w:type="dxa"/>
            <w:hideMark/>
          </w:tcPr>
          <w:p w:rsidR="00C6058B" w:rsidRDefault="00C6058B" w:rsidP="00A002BA">
            <w:pPr>
              <w:pStyle w:val="HTMLPreformatted"/>
              <w:rPr>
                <w:rFonts w:ascii="Times New Roman" w:hAnsi="Times New Roman"/>
                <w:sz w:val="24"/>
              </w:rPr>
            </w:pPr>
            <w:r>
              <w:rPr>
                <w:rFonts w:ascii="Times New Roman" w:hAnsi="Times New Roman"/>
                <w:sz w:val="24"/>
              </w:rPr>
              <w:t>)</w:t>
            </w:r>
          </w:p>
          <w:p w:rsidR="00C6058B" w:rsidRDefault="00C6058B" w:rsidP="00A002BA">
            <w:pPr>
              <w:pStyle w:val="HTMLPreformatted"/>
              <w:rPr>
                <w:rFonts w:ascii="Times New Roman" w:hAnsi="Times New Roman"/>
                <w:sz w:val="24"/>
              </w:rPr>
            </w:pPr>
            <w:r>
              <w:rPr>
                <w:rFonts w:ascii="Times New Roman" w:hAnsi="Times New Roman"/>
                <w:sz w:val="24"/>
              </w:rPr>
              <w:t>)</w:t>
            </w:r>
          </w:p>
          <w:p w:rsidR="00C6058B" w:rsidRDefault="00C6058B" w:rsidP="00A002BA">
            <w:pPr>
              <w:pStyle w:val="HTMLPreformatted"/>
              <w:rPr>
                <w:rFonts w:ascii="Times New Roman" w:hAnsi="Times New Roman"/>
                <w:sz w:val="24"/>
              </w:rPr>
            </w:pPr>
            <w:r>
              <w:rPr>
                <w:rFonts w:ascii="Times New Roman" w:hAnsi="Times New Roman"/>
                <w:sz w:val="24"/>
              </w:rPr>
              <w:t>)</w:t>
            </w:r>
          </w:p>
        </w:tc>
        <w:tc>
          <w:tcPr>
            <w:tcW w:w="4400" w:type="dxa"/>
          </w:tcPr>
          <w:p w:rsidR="00C6058B" w:rsidRDefault="00C6058B" w:rsidP="00A002BA">
            <w:pPr>
              <w:pStyle w:val="HTMLPreformatted"/>
              <w:rPr>
                <w:rFonts w:ascii="Times New Roman" w:hAnsi="Times New Roman"/>
                <w:sz w:val="24"/>
              </w:rPr>
            </w:pPr>
          </w:p>
          <w:p w:rsidR="00C6058B" w:rsidRDefault="00C6058B" w:rsidP="00A002BA">
            <w:pPr>
              <w:pStyle w:val="HTMLPreformatted"/>
              <w:rPr>
                <w:rFonts w:ascii="Times New Roman" w:hAnsi="Times New Roman"/>
                <w:sz w:val="24"/>
              </w:rPr>
            </w:pPr>
            <w:r>
              <w:rPr>
                <w:rFonts w:ascii="Times New Roman" w:hAnsi="Times New Roman"/>
                <w:sz w:val="24"/>
              </w:rPr>
              <w:t>Case No. 14-255-EL-RDR</w:t>
            </w:r>
          </w:p>
          <w:p w:rsidR="00C6058B" w:rsidRDefault="00C6058B" w:rsidP="00A002BA">
            <w:pPr>
              <w:pStyle w:val="HTMLPreformatted"/>
              <w:rPr>
                <w:rFonts w:ascii="Times New Roman" w:hAnsi="Times New Roman"/>
                <w:sz w:val="24"/>
              </w:rPr>
            </w:pPr>
          </w:p>
        </w:tc>
      </w:tr>
    </w:tbl>
    <w:p w:rsidR="002E2AAC" w:rsidRDefault="002E2AAC">
      <w:pPr>
        <w:pBdr>
          <w:bottom w:val="single" w:sz="12" w:space="1" w:color="auto"/>
        </w:pBdr>
      </w:pPr>
    </w:p>
    <w:p w:rsidR="002E2AAC" w:rsidRDefault="002E2AAC"/>
    <w:p w:rsidR="002E2AAC" w:rsidRDefault="002E2AAC">
      <w:pPr>
        <w:jc w:val="center"/>
        <w:rPr>
          <w:b/>
          <w:bCs/>
        </w:rPr>
      </w:pPr>
      <w:r>
        <w:rPr>
          <w:b/>
          <w:bCs/>
        </w:rPr>
        <w:t>COMMENTS</w:t>
      </w:r>
    </w:p>
    <w:p w:rsidR="002E2AAC" w:rsidRDefault="002E2AAC">
      <w:pPr>
        <w:jc w:val="center"/>
        <w:rPr>
          <w:b/>
          <w:bCs/>
        </w:rPr>
      </w:pPr>
      <w:r>
        <w:rPr>
          <w:b/>
          <w:bCs/>
        </w:rPr>
        <w:t>BY</w:t>
      </w:r>
    </w:p>
    <w:p w:rsidR="002E2AAC" w:rsidRDefault="002E2AAC">
      <w:pPr>
        <w:jc w:val="center"/>
        <w:rPr>
          <w:b/>
          <w:bCs/>
        </w:rPr>
      </w:pPr>
      <w:r>
        <w:rPr>
          <w:b/>
          <w:bCs/>
        </w:rPr>
        <w:t>THE OFFICE OF THE OHIO CONSUMERS’ COUNSEL</w:t>
      </w:r>
    </w:p>
    <w:p w:rsidR="002E2AAC" w:rsidRDefault="002E2AAC">
      <w:pPr>
        <w:pBdr>
          <w:bottom w:val="single" w:sz="12" w:space="1" w:color="auto"/>
        </w:pBdr>
        <w:jc w:val="center"/>
        <w:rPr>
          <w:b/>
          <w:bCs/>
        </w:rPr>
      </w:pPr>
    </w:p>
    <w:p w:rsidR="002E2AAC" w:rsidRDefault="002E2AAC"/>
    <w:p w:rsidR="009721C3" w:rsidRPr="00D67064" w:rsidRDefault="00CD0DA6" w:rsidP="00052814">
      <w:pPr>
        <w:pStyle w:val="Heading1"/>
      </w:pPr>
      <w:bookmarkStart w:id="1" w:name="_Toc363054041"/>
      <w:bookmarkStart w:id="2" w:name="_Toc363221508"/>
      <w:bookmarkStart w:id="3" w:name="_Toc398131515"/>
      <w:r w:rsidRPr="00D67064">
        <w:t>i.</w:t>
      </w:r>
      <w:r w:rsidRPr="00D67064">
        <w:tab/>
      </w:r>
      <w:r w:rsidR="009721C3" w:rsidRPr="00D67064">
        <w:t>INTRODUCTION</w:t>
      </w:r>
      <w:bookmarkEnd w:id="1"/>
      <w:bookmarkEnd w:id="2"/>
      <w:bookmarkEnd w:id="3"/>
    </w:p>
    <w:p w:rsidR="00D61977" w:rsidRDefault="00AD7B8A" w:rsidP="00C70834">
      <w:pPr>
        <w:spacing w:line="480" w:lineRule="auto"/>
        <w:ind w:firstLine="720"/>
      </w:pPr>
      <w:r>
        <w:t xml:space="preserve">This case involves </w:t>
      </w:r>
      <w:r w:rsidR="00546F7E">
        <w:t>the second</w:t>
      </w:r>
      <w:r w:rsidR="000E36ED">
        <w:t xml:space="preserve"> annual </w:t>
      </w:r>
      <w:r>
        <w:t>review of the Distribution Investment Rider (“DIR”)</w:t>
      </w:r>
      <w:r w:rsidR="001E5AE3">
        <w:t xml:space="preserve"> of </w:t>
      </w:r>
      <w:r>
        <w:t>Columbus Southern Power Company and O</w:t>
      </w:r>
      <w:r w:rsidR="00326F63">
        <w:t>hio Power Company (jointly “AEP</w:t>
      </w:r>
      <w:r w:rsidR="00A62610">
        <w:t xml:space="preserve"> </w:t>
      </w:r>
      <w:r>
        <w:t>Ohio” or “the Utility”)</w:t>
      </w:r>
      <w:r w:rsidR="001E5AE3">
        <w:t xml:space="preserve">.  Under the DIR, the Utility </w:t>
      </w:r>
      <w:r w:rsidR="00546F7E">
        <w:t xml:space="preserve">is permitted to </w:t>
      </w:r>
      <w:r>
        <w:t xml:space="preserve">charge its 1.2 million residential customers </w:t>
      </w:r>
      <w:r w:rsidR="00A62610">
        <w:t xml:space="preserve">on an accelerated basis </w:t>
      </w:r>
      <w:r>
        <w:t xml:space="preserve">for </w:t>
      </w:r>
      <w:r w:rsidR="0060229A">
        <w:t>it</w:t>
      </w:r>
      <w:r w:rsidR="00546F7E">
        <w:t>s</w:t>
      </w:r>
      <w:r w:rsidR="0060229A">
        <w:t xml:space="preserve"> proactive distribution infr</w:t>
      </w:r>
      <w:r>
        <w:t xml:space="preserve">astructure </w:t>
      </w:r>
      <w:r w:rsidR="0060229A">
        <w:t xml:space="preserve">plan that is </w:t>
      </w:r>
      <w:r w:rsidR="000E36ED">
        <w:t xml:space="preserve">supposed to </w:t>
      </w:r>
      <w:r w:rsidR="0060229A">
        <w:t xml:space="preserve">maintain and </w:t>
      </w:r>
      <w:r w:rsidR="00A62610">
        <w:t xml:space="preserve">“facilitate </w:t>
      </w:r>
      <w:r w:rsidR="000E36ED">
        <w:t>improve</w:t>
      </w:r>
      <w:r w:rsidR="00A62610">
        <w:t>d</w:t>
      </w:r>
      <w:r w:rsidR="000E36ED">
        <w:t xml:space="preserve"> service </w:t>
      </w:r>
      <w:r>
        <w:t>reliability.</w:t>
      </w:r>
      <w:r w:rsidR="00A62610">
        <w:t>”</w:t>
      </w:r>
      <w:r w:rsidR="00546F7E">
        <w:rPr>
          <w:rStyle w:val="FootnoteReference"/>
        </w:rPr>
        <w:footnoteReference w:id="2"/>
      </w:r>
      <w:r>
        <w:t xml:space="preserve">  </w:t>
      </w:r>
    </w:p>
    <w:p w:rsidR="00C70834" w:rsidRDefault="00D61977" w:rsidP="00C70834">
      <w:pPr>
        <w:spacing w:line="480" w:lineRule="auto"/>
        <w:ind w:firstLine="720"/>
      </w:pPr>
      <w:r>
        <w:t>In its Order approving the DIR, t</w:t>
      </w:r>
      <w:r w:rsidR="00A62610">
        <w:t>he Public Utilities Commission of Ohio (“PUCO”)</w:t>
      </w:r>
      <w:r w:rsidR="00A62610" w:rsidRPr="000A1252">
        <w:t xml:space="preserve"> explicitly required the </w:t>
      </w:r>
      <w:r w:rsidR="00A62610">
        <w:t>Utility</w:t>
      </w:r>
      <w:r w:rsidR="00A62610" w:rsidRPr="000A1252">
        <w:t xml:space="preserve"> and </w:t>
      </w:r>
      <w:r w:rsidR="00A62610">
        <w:t xml:space="preserve">the PUCO </w:t>
      </w:r>
      <w:r w:rsidR="00A62610" w:rsidRPr="000A1252">
        <w:t xml:space="preserve">Staff </w:t>
      </w:r>
      <w:r w:rsidR="00A62610" w:rsidRPr="000A1252">
        <w:rPr>
          <w:b/>
        </w:rPr>
        <w:t>to quantify reliability improvements that are expected</w:t>
      </w:r>
      <w:r w:rsidR="00A62610" w:rsidRPr="000A1252">
        <w:t xml:space="preserve"> as a result of the DIR funding.</w:t>
      </w:r>
      <w:r w:rsidR="00A62610">
        <w:rPr>
          <w:rStyle w:val="FootnoteReference"/>
        </w:rPr>
        <w:footnoteReference w:id="3"/>
      </w:r>
      <w:r w:rsidR="00A62610" w:rsidRPr="000A1252">
        <w:t xml:space="preserve"> </w:t>
      </w:r>
      <w:r w:rsidR="00A62610">
        <w:t xml:space="preserve"> </w:t>
      </w:r>
      <w:r w:rsidR="00A62610" w:rsidRPr="000A1252">
        <w:t xml:space="preserve">Furthermore, the Commission explicitly required the </w:t>
      </w:r>
      <w:r w:rsidR="00A62610">
        <w:t>Utility</w:t>
      </w:r>
      <w:r w:rsidR="00A62610" w:rsidRPr="000A1252">
        <w:t xml:space="preserve"> and </w:t>
      </w:r>
      <w:r w:rsidR="00A62610">
        <w:t xml:space="preserve">the PUCO </w:t>
      </w:r>
      <w:r w:rsidR="00A62610" w:rsidRPr="000A1252">
        <w:t xml:space="preserve">Staff to focus DIR spending on where it will have the </w:t>
      </w:r>
      <w:r w:rsidR="00A62610" w:rsidRPr="000A1252">
        <w:rPr>
          <w:b/>
        </w:rPr>
        <w:t>greatest impact on maintaining and improving reliability</w:t>
      </w:r>
      <w:r w:rsidR="00A62610" w:rsidRPr="000A1252">
        <w:t>.</w:t>
      </w:r>
      <w:r w:rsidR="00A62610">
        <w:rPr>
          <w:rStyle w:val="FootnoteReference"/>
        </w:rPr>
        <w:footnoteReference w:id="4"/>
      </w:r>
      <w:r w:rsidR="00A62610">
        <w:t xml:space="preserve"> </w:t>
      </w:r>
      <w:r w:rsidR="00A62610" w:rsidRPr="00A62610">
        <w:t xml:space="preserve"> </w:t>
      </w:r>
      <w:r w:rsidR="00A62610">
        <w:t>The DIR is</w:t>
      </w:r>
      <w:r w:rsidR="00A62610" w:rsidRPr="00E17E5E">
        <w:t xml:space="preserve"> then subject to annual review for accounting accuracy, prudency, and compliance with the </w:t>
      </w:r>
      <w:r w:rsidR="00A62610">
        <w:t xml:space="preserve">Utility’s distribution maintenance </w:t>
      </w:r>
      <w:r w:rsidR="00A62610" w:rsidRPr="00E17E5E">
        <w:t>plan.</w:t>
      </w:r>
      <w:r w:rsidR="00A62610" w:rsidRPr="00E17E5E">
        <w:rPr>
          <w:rStyle w:val="FootnoteReference"/>
        </w:rPr>
        <w:footnoteReference w:id="5"/>
      </w:r>
      <w:r w:rsidR="00A62610">
        <w:t xml:space="preserve">  </w:t>
      </w:r>
      <w:r w:rsidR="00E46CCA">
        <w:t xml:space="preserve">In 2013, </w:t>
      </w:r>
      <w:r w:rsidR="00AD7DB3">
        <w:t xml:space="preserve">AEP Ohio charged customers </w:t>
      </w:r>
      <w:r w:rsidR="00800E85">
        <w:t>over $</w:t>
      </w:r>
      <w:r w:rsidR="00E46CCA">
        <w:t>188</w:t>
      </w:r>
      <w:r w:rsidR="00800E85">
        <w:t xml:space="preserve"> </w:t>
      </w:r>
      <w:r w:rsidR="00AD7B8A">
        <w:t xml:space="preserve">million </w:t>
      </w:r>
      <w:r w:rsidR="00AB77F1">
        <w:t xml:space="preserve">for infrastructure </w:t>
      </w:r>
      <w:r w:rsidR="000E36ED">
        <w:t xml:space="preserve">but </w:t>
      </w:r>
      <w:r w:rsidR="00546F7E">
        <w:t>have shown</w:t>
      </w:r>
      <w:r w:rsidR="000E36ED">
        <w:t xml:space="preserve"> </w:t>
      </w:r>
      <w:r w:rsidR="00A62610">
        <w:t>de minimi</w:t>
      </w:r>
      <w:r w:rsidR="00546F7E">
        <w:t>s</w:t>
      </w:r>
      <w:r w:rsidR="000E36ED">
        <w:t xml:space="preserve"> </w:t>
      </w:r>
      <w:r w:rsidR="00AB77F1">
        <w:t>quantifi</w:t>
      </w:r>
      <w:r w:rsidR="00AD7DB3">
        <w:t>able</w:t>
      </w:r>
      <w:r w:rsidR="00AB77F1">
        <w:t xml:space="preserve"> improvements in service reliability.</w:t>
      </w:r>
    </w:p>
    <w:p w:rsidR="00484DC5" w:rsidRDefault="009721C3" w:rsidP="009721C3">
      <w:pPr>
        <w:spacing w:line="480" w:lineRule="auto"/>
        <w:ind w:firstLine="720"/>
      </w:pPr>
      <w:r w:rsidRPr="00E17E5E">
        <w:t>The Office of the Ohio Consumer’s Counsel (“OCC”) files these Comments</w:t>
      </w:r>
      <w:r w:rsidR="00620F78">
        <w:rPr>
          <w:rStyle w:val="FootnoteReference"/>
        </w:rPr>
        <w:footnoteReference w:id="6"/>
      </w:r>
      <w:r w:rsidRPr="00E17E5E">
        <w:t xml:space="preserve"> to address the audit of the DIR</w:t>
      </w:r>
      <w:r w:rsidR="00E95569">
        <w:t xml:space="preserve"> Program</w:t>
      </w:r>
      <w:r w:rsidR="00AB77F1">
        <w:t>, and its shortcomings</w:t>
      </w:r>
      <w:r w:rsidR="00E95569">
        <w:t>.</w:t>
      </w:r>
      <w:r w:rsidRPr="00E17E5E">
        <w:t xml:space="preserve"> </w:t>
      </w:r>
      <w:r w:rsidR="00D61977">
        <w:t xml:space="preserve"> </w:t>
      </w:r>
      <w:r w:rsidRPr="00E17E5E">
        <w:t xml:space="preserve">OCC supports many of </w:t>
      </w:r>
      <w:r w:rsidR="00670C7D">
        <w:t xml:space="preserve">the </w:t>
      </w:r>
      <w:r w:rsidRPr="00E17E5E">
        <w:t>recommendations outlined in</w:t>
      </w:r>
      <w:r w:rsidR="00E95569">
        <w:t xml:space="preserve"> t</w:t>
      </w:r>
      <w:r w:rsidR="00AD7B8A">
        <w:t xml:space="preserve">he Final Audit Report </w:t>
      </w:r>
      <w:r w:rsidR="00A62610">
        <w:t xml:space="preserve">that </w:t>
      </w:r>
      <w:r w:rsidR="00AD7B8A">
        <w:t>was</w:t>
      </w:r>
      <w:r w:rsidRPr="00E17E5E">
        <w:t xml:space="preserve"> filed by </w:t>
      </w:r>
      <w:r w:rsidR="00AB77F1">
        <w:t>Larkin and Associates PLCC (“Larkin</w:t>
      </w:r>
      <w:r w:rsidRPr="00E17E5E">
        <w:t xml:space="preserve">” or “Auditor”) </w:t>
      </w:r>
      <w:r w:rsidR="00AB77F1">
        <w:t>on June 19, 2014</w:t>
      </w:r>
      <w:r w:rsidR="00FC5876">
        <w:t>.</w:t>
      </w:r>
      <w:r w:rsidR="009B6E2A">
        <w:t xml:space="preserve"> </w:t>
      </w:r>
      <w:r w:rsidRPr="00E17E5E">
        <w:t xml:space="preserve"> </w:t>
      </w:r>
      <w:r w:rsidR="00476FD8">
        <w:t>However</w:t>
      </w:r>
      <w:r w:rsidR="001D209E">
        <w:t xml:space="preserve">, </w:t>
      </w:r>
      <w:r w:rsidR="00E95569">
        <w:t xml:space="preserve">OCC urges </w:t>
      </w:r>
      <w:r w:rsidR="00A62610">
        <w:t xml:space="preserve">the </w:t>
      </w:r>
      <w:r w:rsidR="00E95569" w:rsidRPr="00E17E5E">
        <w:t>PUCO</w:t>
      </w:r>
      <w:r w:rsidR="00E95569">
        <w:t xml:space="preserve"> to</w:t>
      </w:r>
      <w:r w:rsidR="0003664D">
        <w:t xml:space="preserve"> adopt the</w:t>
      </w:r>
      <w:r w:rsidR="001D209E">
        <w:t xml:space="preserve"> additional recommendations</w:t>
      </w:r>
      <w:r w:rsidR="006B6DF8">
        <w:t xml:space="preserve"> that are discussed in detail below.  OCC’s recommendations are designed to </w:t>
      </w:r>
      <w:r w:rsidR="0003664D">
        <w:t xml:space="preserve">protect AEP Ohio’s customers from </w:t>
      </w:r>
      <w:r w:rsidR="006B6DF8">
        <w:t xml:space="preserve">bearing </w:t>
      </w:r>
      <w:r w:rsidR="00E91F6C">
        <w:t xml:space="preserve">costs that were not </w:t>
      </w:r>
      <w:r w:rsidR="0003664D">
        <w:t>prudent</w:t>
      </w:r>
      <w:r w:rsidR="00E91F6C">
        <w:t>ly incurred</w:t>
      </w:r>
      <w:r w:rsidR="00484DC5">
        <w:t xml:space="preserve"> and </w:t>
      </w:r>
      <w:r w:rsidR="006B6DF8">
        <w:t>costs that do not produce quantifiable reliability improvements</w:t>
      </w:r>
      <w:r w:rsidR="006074C9">
        <w:t>.</w:t>
      </w:r>
    </w:p>
    <w:p w:rsidR="00052814" w:rsidRDefault="00052814" w:rsidP="00052814">
      <w:pPr>
        <w:ind w:firstLine="720"/>
      </w:pPr>
    </w:p>
    <w:p w:rsidR="00A266FA" w:rsidRDefault="00CE58D9" w:rsidP="00052814">
      <w:pPr>
        <w:pStyle w:val="Heading1"/>
      </w:pPr>
      <w:bookmarkStart w:id="4" w:name="_Toc360095628"/>
      <w:bookmarkStart w:id="5" w:name="_Toc361064840"/>
      <w:bookmarkStart w:id="6" w:name="_Toc363054043"/>
      <w:bookmarkStart w:id="7" w:name="_Toc363221509"/>
      <w:bookmarkStart w:id="8" w:name="_Toc398131516"/>
      <w:r>
        <w:t>II.</w:t>
      </w:r>
      <w:r>
        <w:tab/>
      </w:r>
      <w:r w:rsidR="002E2AAC">
        <w:t>COMMENTS</w:t>
      </w:r>
      <w:bookmarkEnd w:id="4"/>
      <w:bookmarkEnd w:id="5"/>
      <w:bookmarkEnd w:id="6"/>
      <w:bookmarkEnd w:id="7"/>
      <w:bookmarkEnd w:id="8"/>
    </w:p>
    <w:p w:rsidR="00A266FA" w:rsidRDefault="00B05575" w:rsidP="00052814">
      <w:pPr>
        <w:pStyle w:val="Heading2"/>
      </w:pPr>
      <w:bookmarkStart w:id="9" w:name="_Toc398131517"/>
      <w:r>
        <w:t>A.</w:t>
      </w:r>
      <w:r>
        <w:tab/>
      </w:r>
      <w:r w:rsidR="00A266FA" w:rsidRPr="00B05575">
        <w:t xml:space="preserve">The </w:t>
      </w:r>
      <w:r w:rsidR="009B57DD">
        <w:t>N</w:t>
      </w:r>
      <w:r w:rsidR="00A266FA" w:rsidRPr="00B05575">
        <w:t>umber</w:t>
      </w:r>
      <w:r w:rsidR="009B57DD">
        <w:t xml:space="preserve"> </w:t>
      </w:r>
      <w:r w:rsidR="00052814">
        <w:t>Of</w:t>
      </w:r>
      <w:r w:rsidR="00052814" w:rsidRPr="00B05575">
        <w:t xml:space="preserve"> </w:t>
      </w:r>
      <w:r w:rsidR="009B57DD">
        <w:t>C</w:t>
      </w:r>
      <w:r w:rsidR="00A266FA" w:rsidRPr="00B05575">
        <w:t>ustomer</w:t>
      </w:r>
      <w:r w:rsidR="009606CA" w:rsidRPr="00B05575">
        <w:t xml:space="preserve">s </w:t>
      </w:r>
      <w:r w:rsidR="009B57DD">
        <w:t>I</w:t>
      </w:r>
      <w:r w:rsidR="00A266FA" w:rsidRPr="00B05575">
        <w:t>nterrupt</w:t>
      </w:r>
      <w:r w:rsidR="009606CA" w:rsidRPr="00B05575">
        <w:t>ed</w:t>
      </w:r>
      <w:r w:rsidR="00A266FA" w:rsidRPr="00B05575">
        <w:t xml:space="preserve"> </w:t>
      </w:r>
      <w:r w:rsidR="00052814" w:rsidRPr="00B05575">
        <w:t xml:space="preserve">From 2012 To 2013 </w:t>
      </w:r>
      <w:r w:rsidR="009B57DD">
        <w:t>I</w:t>
      </w:r>
      <w:r w:rsidR="00A266FA" w:rsidRPr="00B05575">
        <w:t xml:space="preserve">ncreased </w:t>
      </w:r>
      <w:r w:rsidR="00052814" w:rsidRPr="00B05575">
        <w:t xml:space="preserve">By 5.3 </w:t>
      </w:r>
      <w:r w:rsidR="009B57DD">
        <w:t>P</w:t>
      </w:r>
      <w:r w:rsidR="00A266FA" w:rsidRPr="00B05575">
        <w:t>e</w:t>
      </w:r>
      <w:r w:rsidR="00CE1D48" w:rsidRPr="00B05575">
        <w:t>rcent</w:t>
      </w:r>
      <w:r w:rsidR="00052814">
        <w:t>,</w:t>
      </w:r>
      <w:r w:rsidR="00052814" w:rsidRPr="00B05575">
        <w:t xml:space="preserve"> </w:t>
      </w:r>
      <w:r w:rsidR="009B57DD">
        <w:t>I</w:t>
      </w:r>
      <w:r w:rsidR="00A266FA" w:rsidRPr="00B05575">
        <w:t xml:space="preserve">ndicating </w:t>
      </w:r>
      <w:r w:rsidR="00052814" w:rsidRPr="00B05575">
        <w:t xml:space="preserve">That The 2013 </w:t>
      </w:r>
      <w:r w:rsidR="00A266FA" w:rsidRPr="00B05575">
        <w:t xml:space="preserve">DIR </w:t>
      </w:r>
      <w:r w:rsidR="009B57DD">
        <w:t>S</w:t>
      </w:r>
      <w:r w:rsidR="00CE1D48" w:rsidRPr="00B05575">
        <w:t xml:space="preserve">pending </w:t>
      </w:r>
      <w:r w:rsidR="00052814" w:rsidRPr="00B05575">
        <w:t xml:space="preserve">Did Not </w:t>
      </w:r>
      <w:r w:rsidR="009B57DD">
        <w:t>A</w:t>
      </w:r>
      <w:r w:rsidR="009606CA" w:rsidRPr="00B05575">
        <w:t xml:space="preserve">ssist </w:t>
      </w:r>
      <w:r w:rsidR="00052814" w:rsidRPr="00B05575">
        <w:t xml:space="preserve">In </w:t>
      </w:r>
      <w:r w:rsidR="008237C4">
        <w:t xml:space="preserve">Proactively </w:t>
      </w:r>
      <w:r w:rsidR="009B57DD">
        <w:t>A</w:t>
      </w:r>
      <w:r w:rsidR="00A266FA" w:rsidRPr="00B05575">
        <w:t>void</w:t>
      </w:r>
      <w:r w:rsidR="009606CA" w:rsidRPr="00B05575">
        <w:t xml:space="preserve">ing </w:t>
      </w:r>
      <w:r w:rsidR="009B57DD">
        <w:t>O</w:t>
      </w:r>
      <w:r w:rsidR="00A266FA" w:rsidRPr="00B05575">
        <w:t>utages</w:t>
      </w:r>
      <w:r w:rsidR="00052814" w:rsidRPr="00B05575">
        <w:t>.</w:t>
      </w:r>
      <w:bookmarkEnd w:id="9"/>
    </w:p>
    <w:p w:rsidR="00CE1D48" w:rsidRDefault="00A266FA" w:rsidP="00A266FA">
      <w:pPr>
        <w:spacing w:line="480" w:lineRule="auto"/>
        <w:ind w:firstLine="720"/>
      </w:pPr>
      <w:r w:rsidRPr="00B05575">
        <w:t xml:space="preserve">The PUCO Staff Comments indicate that the proactive programs </w:t>
      </w:r>
      <w:r w:rsidR="00571714">
        <w:t xml:space="preserve">implemented </w:t>
      </w:r>
      <w:r w:rsidRPr="00B05575">
        <w:t>in 2013 resulted in 31,028 avoided outages.</w:t>
      </w:r>
      <w:r w:rsidRPr="00B05575">
        <w:rPr>
          <w:rStyle w:val="FootnoteReference"/>
        </w:rPr>
        <w:footnoteReference w:id="7"/>
      </w:r>
      <w:r w:rsidRPr="00B05575">
        <w:t xml:space="preserve">  Staff</w:t>
      </w:r>
      <w:r w:rsidRPr="00B37813">
        <w:t xml:space="preserve"> concluded</w:t>
      </w:r>
      <w:r w:rsidR="00800E85">
        <w:t>,</w:t>
      </w:r>
      <w:r w:rsidRPr="00B37813">
        <w:t xml:space="preserve"> from these </w:t>
      </w:r>
      <w:r>
        <w:t xml:space="preserve">claimed </w:t>
      </w:r>
      <w:r w:rsidRPr="00B37813">
        <w:t xml:space="preserve">avoided outages, that the DIR programs are having a quantifiable impact on reliability.  </w:t>
      </w:r>
      <w:r w:rsidR="006B1AEA">
        <w:t xml:space="preserve">Despite the PUCO directing AEP Ohio to </w:t>
      </w:r>
      <w:r w:rsidR="006B1AEA" w:rsidRPr="00B37813">
        <w:t>focus spending on those programs that were expected to have the greatest impact on im</w:t>
      </w:r>
      <w:r w:rsidR="006B1AEA">
        <w:t>proving reliability performance,</w:t>
      </w:r>
      <w:r w:rsidR="006B1AEA" w:rsidRPr="00B37813">
        <w:rPr>
          <w:rStyle w:val="FootnoteReference"/>
        </w:rPr>
        <w:footnoteReference w:id="8"/>
      </w:r>
      <w:r w:rsidR="006B1AEA" w:rsidRPr="00B37813">
        <w:t xml:space="preserve"> </w:t>
      </w:r>
      <w:r w:rsidR="00E95569">
        <w:t xml:space="preserve">a review of </w:t>
      </w:r>
      <w:r w:rsidR="006B1AEA">
        <w:t>the Utility</w:t>
      </w:r>
      <w:r>
        <w:t xml:space="preserve">’s outage events indicates that </w:t>
      </w:r>
      <w:r w:rsidR="00CE1D48">
        <w:t xml:space="preserve">there was actually </w:t>
      </w:r>
      <w:r w:rsidRPr="00B37813">
        <w:t xml:space="preserve">a 15 percent increase in the number of outage events </w:t>
      </w:r>
      <w:r w:rsidR="00CE1D48">
        <w:t>from</w:t>
      </w:r>
      <w:r w:rsidRPr="00B37813">
        <w:t xml:space="preserve"> 2012 </w:t>
      </w:r>
      <w:r w:rsidR="00CE1D48">
        <w:t>to</w:t>
      </w:r>
      <w:r w:rsidRPr="00B37813">
        <w:t xml:space="preserve"> 2013.  </w:t>
      </w:r>
      <w:r w:rsidR="008237C4">
        <w:t>Mor</w:t>
      </w:r>
      <w:r w:rsidR="00A9111A">
        <w:t>eo</w:t>
      </w:r>
      <w:r w:rsidR="008237C4">
        <w:t>ver, t</w:t>
      </w:r>
      <w:r w:rsidRPr="00B37813">
        <w:t xml:space="preserve">he number of </w:t>
      </w:r>
      <w:r w:rsidR="00C53033">
        <w:t>customer</w:t>
      </w:r>
      <w:r w:rsidR="00571714">
        <w:t>s</w:t>
      </w:r>
      <w:r w:rsidR="00C53033">
        <w:t xml:space="preserve"> interrup</w:t>
      </w:r>
      <w:r w:rsidR="00571714">
        <w:t>ted</w:t>
      </w:r>
      <w:r w:rsidR="00C53033">
        <w:t xml:space="preserve"> (“</w:t>
      </w:r>
      <w:r w:rsidRPr="00B37813">
        <w:t>CI</w:t>
      </w:r>
      <w:r w:rsidR="00C53033">
        <w:t>”)</w:t>
      </w:r>
      <w:r w:rsidRPr="00B37813">
        <w:t xml:space="preserve"> and </w:t>
      </w:r>
      <w:r w:rsidR="00C53033">
        <w:t>customer minutes interrupted (“</w:t>
      </w:r>
      <w:r w:rsidRPr="00B37813">
        <w:t>CMI</w:t>
      </w:r>
      <w:r w:rsidR="00C53033">
        <w:t>”)</w:t>
      </w:r>
      <w:r w:rsidRPr="00B37813">
        <w:t xml:space="preserve"> increased by 5.03 percent and 2.4 percent respectively between 2012 and 2013</w:t>
      </w:r>
      <w:r w:rsidR="002D77EC">
        <w:t xml:space="preserve"> as noted below</w:t>
      </w:r>
      <w:r w:rsidRPr="00B37813">
        <w:t>.</w:t>
      </w:r>
      <w:r w:rsidRPr="00B37813">
        <w:rPr>
          <w:rStyle w:val="FootnoteReference"/>
        </w:rPr>
        <w:footnoteReference w:id="9"/>
      </w:r>
      <w:r w:rsidRPr="00B37813">
        <w:t xml:space="preserve">  </w:t>
      </w:r>
    </w:p>
    <w:p w:rsidR="002D77EC" w:rsidRDefault="00E95569" w:rsidP="00E95569">
      <w:pPr>
        <w:spacing w:line="480" w:lineRule="auto"/>
        <w:jc w:val="center"/>
      </w:pPr>
      <w:r>
        <w:rPr>
          <w:noProof/>
        </w:rPr>
        <mc:AlternateContent>
          <mc:Choice Requires="wpg">
            <w:drawing>
              <wp:anchor distT="0" distB="0" distL="114300" distR="114300" simplePos="0" relativeHeight="251658240" behindDoc="1" locked="0" layoutInCell="1" allowOverlap="1" wp14:anchorId="731F812C" wp14:editId="1AAB5D4A">
                <wp:simplePos x="0" y="0"/>
                <wp:positionH relativeFrom="column">
                  <wp:posOffset>-199390</wp:posOffset>
                </wp:positionH>
                <wp:positionV relativeFrom="paragraph">
                  <wp:posOffset>350520</wp:posOffset>
                </wp:positionV>
                <wp:extent cx="5836920" cy="2519680"/>
                <wp:effectExtent l="0" t="0" r="11430" b="13970"/>
                <wp:wrapTight wrapText="bothSides">
                  <wp:wrapPolygon edited="0">
                    <wp:start x="0" y="0"/>
                    <wp:lineTo x="0" y="21556"/>
                    <wp:lineTo x="21572" y="21556"/>
                    <wp:lineTo x="21572" y="0"/>
                    <wp:lineTo x="0" y="0"/>
                  </wp:wrapPolygon>
                </wp:wrapTight>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6920" cy="2519680"/>
                          <a:chOff x="0" y="0"/>
                          <a:chExt cx="6964680" cy="2743200"/>
                        </a:xfrm>
                      </wpg:grpSpPr>
                      <wpg:graphicFrame>
                        <wpg:cNvPr id="3" name="Chart 3"/>
                        <wpg:cNvFrPr>
                          <a:graphicFrameLocks/>
                        </wpg:cNvFrPr>
                        <wpg:xfrm>
                          <a:off x="0" y="0"/>
                          <a:ext cx="2258568" cy="2743200"/>
                        </wpg:xfrm>
                        <a:graphic>
                          <a:graphicData uri="http://schemas.openxmlformats.org/drawingml/2006/chart">
                            <c:chart xmlns:c="http://schemas.openxmlformats.org/drawingml/2006/chart" xmlns:r="http://schemas.openxmlformats.org/officeDocument/2006/relationships" r:id="rId18"/>
                          </a:graphicData>
                        </a:graphic>
                      </wpg:graphicFrame>
                      <wpg:graphicFrame>
                        <wpg:cNvPr id="4" name="Chart 4"/>
                        <wpg:cNvFrPr>
                          <a:graphicFrameLocks/>
                        </wpg:cNvFrPr>
                        <wpg:xfrm>
                          <a:off x="2354580" y="0"/>
                          <a:ext cx="2258568" cy="2743200"/>
                        </wpg:xfrm>
                        <a:graphic>
                          <a:graphicData uri="http://schemas.openxmlformats.org/drawingml/2006/chart">
                            <c:chart xmlns:c="http://schemas.openxmlformats.org/drawingml/2006/chart" xmlns:r="http://schemas.openxmlformats.org/officeDocument/2006/relationships" r:id="rId19"/>
                          </a:graphicData>
                        </a:graphic>
                      </wpg:graphicFrame>
                      <wpg:graphicFrame>
                        <wpg:cNvPr id="5" name="Chart 5"/>
                        <wpg:cNvFrPr>
                          <a:graphicFrameLocks/>
                        </wpg:cNvFrPr>
                        <wpg:xfrm>
                          <a:off x="4709160" y="0"/>
                          <a:ext cx="2255520" cy="2743200"/>
                        </wpg:xfrm>
                        <a:graphic>
                          <a:graphicData uri="http://schemas.openxmlformats.org/drawingml/2006/chart">
                            <c:chart xmlns:c="http://schemas.openxmlformats.org/drawingml/2006/chart" xmlns:r="http://schemas.openxmlformats.org/officeDocument/2006/relationships" r:id="rId20"/>
                          </a:graphicData>
                        </a:graphic>
                      </wpg:graphicFrame>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15.7pt;margin-top:27.6pt;width:459.6pt;height:198.4pt;z-index:-251658240;mso-width-relative:margin;mso-height-relative:margin" coordsize="69646,27432" o:gfxdata="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3" o:spid="_x0000_s1027" type="#_x0000_t75" style="position:absolute;left:-72;top:-66;width:22766;height:2754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">
                  <v:imagedata r:id="rId21" o:title=""/>
                  <o:lock v:ext="edit" aspectratio="f"/>
                </v:shape>
                <v:shape id="Chart 4" o:spid="_x0000_s1028" type="#_x0000_t75" style="position:absolute;left:23494;top:-66;width:22694;height:2754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">
                  <v:imagedata r:id="rId22" o:title=""/>
                  <o:lock v:ext="edit" aspectratio="f"/>
                </v:shape>
                <v:shape id="Chart 5" o:spid="_x0000_s1029" type="#_x0000_t75" style="position:absolute;left:46988;top:-66;width:22695;height:2754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">
                  <v:imagedata r:id="rId23" o:title=""/>
                  <o:lock v:ext="edit" aspectratio="f"/>
                </v:shape>
                <w10:wrap type="tight"/>
              </v:group>
            </w:pict>
          </mc:Fallback>
        </mc:AlternateContent>
      </w:r>
      <w:r w:rsidR="002D77EC" w:rsidRPr="00E95569">
        <w:rPr>
          <w:b/>
        </w:rPr>
        <w:t>AEP Ohio Outages 2012 -2013</w:t>
      </w:r>
      <w:r w:rsidR="002D77EC">
        <w:rPr>
          <w:rStyle w:val="FootnoteReference"/>
        </w:rPr>
        <w:footnoteReference w:id="10"/>
      </w:r>
    </w:p>
    <w:p w:rsidR="00CE1D48" w:rsidRDefault="00CE1D48" w:rsidP="002D77EC">
      <w:pPr>
        <w:spacing w:line="480" w:lineRule="auto"/>
      </w:pPr>
    </w:p>
    <w:p w:rsidR="00A266FA" w:rsidRDefault="00A266FA" w:rsidP="00E95569">
      <w:pPr>
        <w:spacing w:line="480" w:lineRule="auto"/>
      </w:pPr>
      <w:r w:rsidRPr="00B37813">
        <w:t xml:space="preserve">This outage information suggests that the DIR is having little if any impact on </w:t>
      </w:r>
      <w:r w:rsidR="009C2B57">
        <w:t xml:space="preserve">service </w:t>
      </w:r>
      <w:r w:rsidRPr="00B37813">
        <w:t xml:space="preserve">reliability. </w:t>
      </w:r>
    </w:p>
    <w:p w:rsidR="00546F82" w:rsidRPr="000A1252" w:rsidRDefault="009C2B57" w:rsidP="00C55FDC">
      <w:pPr>
        <w:spacing w:line="480" w:lineRule="auto"/>
        <w:ind w:firstLine="720"/>
      </w:pPr>
      <w:r>
        <w:t>The lack of service reliability improvement quantification is not surprising</w:t>
      </w:r>
      <w:r w:rsidR="00C55FDC">
        <w:t>.</w:t>
      </w:r>
      <w:r>
        <w:t xml:space="preserve"> </w:t>
      </w:r>
      <w:r w:rsidR="00C55FDC">
        <w:t xml:space="preserve"> </w:t>
      </w:r>
      <w:r w:rsidR="00546F82">
        <w:t>AEP Ohio provided very little detail regarding the 27 different progr</w:t>
      </w:r>
      <w:r>
        <w:t xml:space="preserve">ams </w:t>
      </w:r>
      <w:r w:rsidR="004359B2">
        <w:t>when it submitted its $188 million</w:t>
      </w:r>
      <w:r w:rsidR="00C55FDC">
        <w:t xml:space="preserve"> 2013 DIR Work Plan.</w:t>
      </w:r>
      <w:r w:rsidR="004B3F2A">
        <w:rPr>
          <w:rStyle w:val="FootnoteReference"/>
        </w:rPr>
        <w:footnoteReference w:id="11"/>
      </w:r>
      <w:r w:rsidR="00546F82">
        <w:t xml:space="preserve"> </w:t>
      </w:r>
      <w:r w:rsidR="00C55FDC">
        <w:t xml:space="preserve">  That Work Plan did not </w:t>
      </w:r>
      <w:r w:rsidR="00546F82">
        <w:t>provide specific projections of the reliability improvements that could be expected.</w:t>
      </w:r>
      <w:r w:rsidR="00546F82">
        <w:rPr>
          <w:rStyle w:val="FootnoteReference"/>
        </w:rPr>
        <w:footnoteReference w:id="12"/>
      </w:r>
      <w:r>
        <w:t xml:space="preserve">  </w:t>
      </w:r>
      <w:r w:rsidR="006074C9">
        <w:t>Indeed, i</w:t>
      </w:r>
      <w:r w:rsidR="00571714">
        <w:t>n</w:t>
      </w:r>
      <w:r>
        <w:t xml:space="preserve"> its review of the </w:t>
      </w:r>
      <w:r w:rsidR="006074C9">
        <w:t xml:space="preserve">2013 </w:t>
      </w:r>
      <w:r>
        <w:t>Work Plan, t</w:t>
      </w:r>
      <w:r w:rsidR="00546F82">
        <w:t xml:space="preserve">he PUCO found that AEP Ohio’s </w:t>
      </w:r>
      <w:r w:rsidR="00546F82" w:rsidRPr="000A1252">
        <w:t>Plan</w:t>
      </w:r>
      <w:r w:rsidR="00546F82">
        <w:t xml:space="preserve"> contained insufficient detail because it “</w:t>
      </w:r>
      <w:r w:rsidR="00546F82" w:rsidRPr="000A1252">
        <w:t>does not quantify, for many of the components, the reliability improvements that are expected to occur through the DIR investments, nor does it address the issue of double recovery or demonstrate that DIR spending levels will exceed AEP Ohio’s capital spending levels in recent years.</w:t>
      </w:r>
      <w:r w:rsidR="00546F82">
        <w:t>”</w:t>
      </w:r>
      <w:r w:rsidR="00546F82" w:rsidRPr="000A1252">
        <w:rPr>
          <w:rStyle w:val="FootnoteReference"/>
        </w:rPr>
        <w:footnoteReference w:id="13"/>
      </w:r>
      <w:r w:rsidR="00546F82">
        <w:t xml:space="preserve">  </w:t>
      </w:r>
      <w:r w:rsidR="00546F82" w:rsidRPr="000A1252">
        <w:t xml:space="preserve">To address the inadequacy of </w:t>
      </w:r>
      <w:r w:rsidR="00546F82">
        <w:t>AEP Ohio’s</w:t>
      </w:r>
      <w:r w:rsidR="00546F82" w:rsidRPr="000A1252">
        <w:t xml:space="preserve"> 2013 DIR Work Plan, the </w:t>
      </w:r>
      <w:r w:rsidR="00546F82">
        <w:t>PUCO</w:t>
      </w:r>
      <w:r w:rsidR="00546F82" w:rsidRPr="000A1252">
        <w:t xml:space="preserve"> directed </w:t>
      </w:r>
      <w:r w:rsidR="00546F82">
        <w:t>AEP Ohio to:</w:t>
      </w:r>
    </w:p>
    <w:p w:rsidR="00546F82" w:rsidRDefault="00546F82" w:rsidP="00052814">
      <w:pPr>
        <w:autoSpaceDE w:val="0"/>
        <w:autoSpaceDN w:val="0"/>
        <w:adjustRightInd w:val="0"/>
        <w:ind w:left="1440" w:right="720"/>
      </w:pPr>
      <w:r w:rsidRPr="000A1252">
        <w:t>quantify actual reliability improvements achieved for any program that is expected to reduce the frequency and/or duration of outages. For any program that is expected to maintain reliability, AEP Ohio is directed to quantify the outages avoided by implementation of the DIR plan in 2013. AEP Ohio shall provide this information to Staff in writing by February 28, 2014.</w:t>
      </w:r>
      <w:r w:rsidRPr="000A1252">
        <w:rPr>
          <w:rStyle w:val="FootnoteReference"/>
        </w:rPr>
        <w:footnoteReference w:id="14"/>
      </w:r>
    </w:p>
    <w:p w:rsidR="00546F82" w:rsidRDefault="00546F82" w:rsidP="00546F82">
      <w:pPr>
        <w:autoSpaceDE w:val="0"/>
        <w:autoSpaceDN w:val="0"/>
        <w:adjustRightInd w:val="0"/>
      </w:pPr>
    </w:p>
    <w:p w:rsidR="009B2BE9" w:rsidRDefault="009B2BE9" w:rsidP="00546F82">
      <w:pPr>
        <w:spacing w:line="480" w:lineRule="auto"/>
        <w:ind w:firstLine="720"/>
      </w:pPr>
      <w:r>
        <w:t>AEP did provide some information</w:t>
      </w:r>
      <w:r w:rsidR="00571714">
        <w:t xml:space="preserve"> to </w:t>
      </w:r>
      <w:r w:rsidR="00C55FDC">
        <w:t xml:space="preserve">the PUCO </w:t>
      </w:r>
      <w:r w:rsidR="00571714">
        <w:t>Staff,</w:t>
      </w:r>
      <w:r w:rsidR="00BE7E06">
        <w:t xml:space="preserve"> </w:t>
      </w:r>
      <w:r w:rsidR="00C55FDC">
        <w:t>in an attempt</w:t>
      </w:r>
      <w:r w:rsidR="00571714">
        <w:t xml:space="preserve"> to quan</w:t>
      </w:r>
      <w:r w:rsidR="00A9111A">
        <w:t>t</w:t>
      </w:r>
      <w:r w:rsidR="00571714">
        <w:t>ify the proactive reli</w:t>
      </w:r>
      <w:r w:rsidR="00A9111A">
        <w:t>a</w:t>
      </w:r>
      <w:r w:rsidR="00571714">
        <w:t>bil</w:t>
      </w:r>
      <w:r w:rsidR="00A9111A">
        <w:t>ity</w:t>
      </w:r>
      <w:r w:rsidR="00571714">
        <w:t xml:space="preserve"> impact of the DIR expenditures.</w:t>
      </w:r>
      <w:r w:rsidR="00571714">
        <w:rPr>
          <w:rStyle w:val="FootnoteReference"/>
        </w:rPr>
        <w:footnoteReference w:id="15"/>
      </w:r>
      <w:r w:rsidR="00571714">
        <w:t xml:space="preserve">  As </w:t>
      </w:r>
      <w:r w:rsidR="008C3E64">
        <w:t>evidenced by</w:t>
      </w:r>
      <w:r w:rsidR="00571714">
        <w:t xml:space="preserve"> the Staff’s Comments, however, the reliability impact quantification </w:t>
      </w:r>
      <w:r w:rsidR="00BE7E06">
        <w:t>proved to be woefull</w:t>
      </w:r>
      <w:r w:rsidR="00326F63">
        <w:t>y</w:t>
      </w:r>
      <w:r w:rsidR="00BE7E06">
        <w:t xml:space="preserve"> inadequate.  </w:t>
      </w:r>
      <w:r w:rsidR="00A266FA" w:rsidRPr="00B37813">
        <w:t xml:space="preserve">The PUCO Staff </w:t>
      </w:r>
      <w:r w:rsidR="00CE1D48">
        <w:t xml:space="preserve">Comments </w:t>
      </w:r>
      <w:r w:rsidR="00A266FA" w:rsidRPr="00B37813">
        <w:t>reported the total number of avoided outages for each of the DIR programs that were expected to have a proactive impact on reliability.</w:t>
      </w:r>
      <w:r w:rsidR="00CE1D48">
        <w:rPr>
          <w:rStyle w:val="FootnoteReference"/>
        </w:rPr>
        <w:footnoteReference w:id="16"/>
      </w:r>
      <w:r w:rsidR="00A266FA" w:rsidRPr="00B37813">
        <w:t xml:space="preserve">  </w:t>
      </w:r>
      <w:r w:rsidR="00CE1D48">
        <w:t xml:space="preserve">However, the Staff Comments only listed 12 of the total </w:t>
      </w:r>
      <w:r w:rsidR="00546F82">
        <w:t>27</w:t>
      </w:r>
      <w:r w:rsidR="002D77EC">
        <w:t xml:space="preserve"> program items from the </w:t>
      </w:r>
      <w:r w:rsidR="00C55FDC">
        <w:t xml:space="preserve">2013 </w:t>
      </w:r>
      <w:r w:rsidR="00CE1D48">
        <w:t>AEP Ohio DIR Work Plan</w:t>
      </w:r>
      <w:r w:rsidR="006D09F3">
        <w:t>.</w:t>
      </w:r>
      <w:r w:rsidR="006D09F3">
        <w:rPr>
          <w:rStyle w:val="FootnoteReference"/>
        </w:rPr>
        <w:footnoteReference w:id="17"/>
      </w:r>
      <w:r w:rsidR="006D09F3">
        <w:t xml:space="preserve">  The other </w:t>
      </w:r>
      <w:r w:rsidR="00546F82">
        <w:t>15</w:t>
      </w:r>
      <w:r w:rsidR="006D09F3">
        <w:t xml:space="preserve"> program items were not included in the </w:t>
      </w:r>
      <w:r w:rsidR="006D09F3" w:rsidRPr="00706B76">
        <w:t>PUCO Staff chart or Comments</w:t>
      </w:r>
      <w:r w:rsidR="00066FE8">
        <w:t xml:space="preserve"> – indicating that they had no impact on reliability</w:t>
      </w:r>
      <w:r w:rsidR="006D09F3" w:rsidRPr="00706B76">
        <w:t xml:space="preserve">.  </w:t>
      </w:r>
    </w:p>
    <w:p w:rsidR="009B2BE9" w:rsidRDefault="006D09F3" w:rsidP="00546F82">
      <w:pPr>
        <w:spacing w:line="480" w:lineRule="auto"/>
        <w:ind w:firstLine="720"/>
      </w:pPr>
      <w:r>
        <w:t xml:space="preserve">In addition </w:t>
      </w:r>
      <w:r w:rsidR="00800E85">
        <w:t>to</w:t>
      </w:r>
      <w:r>
        <w:t xml:space="preserve"> the 12 items that were listed in the Staff Comments</w:t>
      </w:r>
      <w:r w:rsidR="00A266FA" w:rsidRPr="00B37813">
        <w:t xml:space="preserve">, there were no details </w:t>
      </w:r>
      <w:r>
        <w:t>to explain or</w:t>
      </w:r>
      <w:r w:rsidR="00A266FA">
        <w:t xml:space="preserve"> support </w:t>
      </w:r>
      <w:r w:rsidR="00A266FA" w:rsidRPr="00B37813">
        <w:t>how these calculations were performed and how a determination was made that the DIR investment resulted in an avoided outage</w:t>
      </w:r>
      <w:r>
        <w:t xml:space="preserve"> or avoided customer outage minutes</w:t>
      </w:r>
      <w:r w:rsidR="00A266FA" w:rsidRPr="00B37813">
        <w:t xml:space="preserve">. </w:t>
      </w:r>
      <w:r w:rsidR="009B2BE9">
        <w:t xml:space="preserve">It is very difficult to evaluate the cost effectiveness of the DIR spending without a better explanation and more exact numbers.  For instance </w:t>
      </w:r>
      <w:r w:rsidR="00A266FA" w:rsidRPr="00B37813">
        <w:t>the PUCO Staff reported that each outage event could impact up to 2,100 customers (presumably a typical number of customers on a feeder circuit).</w:t>
      </w:r>
      <w:r w:rsidR="00800E85">
        <w:rPr>
          <w:rStyle w:val="FootnoteReference"/>
        </w:rPr>
        <w:footnoteReference w:id="18"/>
      </w:r>
      <w:r w:rsidR="00A266FA" w:rsidRPr="00B37813">
        <w:t xml:space="preserve">  </w:t>
      </w:r>
      <w:r w:rsidR="006B1AEA">
        <w:t>In order for that number to have meaning, however, e</w:t>
      </w:r>
      <w:r w:rsidR="00A266FA" w:rsidRPr="00B37813">
        <w:t xml:space="preserve">ach outage event that is avoided as a result of the DIR should also include a corresponding </w:t>
      </w:r>
      <w:r w:rsidR="00A266FA">
        <w:t>estimate</w:t>
      </w:r>
      <w:r w:rsidR="00A266FA" w:rsidRPr="00B37813">
        <w:t xml:space="preserve"> of customers who were not interrupted.</w:t>
      </w:r>
      <w:r w:rsidR="00A266FA">
        <w:t xml:space="preserve">  Simply claiming that from 1 to 2,100 customers may have been impacted </w:t>
      </w:r>
      <w:r w:rsidR="009B2BE9">
        <w:t xml:space="preserve">is so imprecise that it </w:t>
      </w:r>
      <w:r w:rsidR="00A266FA">
        <w:t>cast</w:t>
      </w:r>
      <w:r w:rsidR="009B2BE9">
        <w:t>s</w:t>
      </w:r>
      <w:r w:rsidR="00A266FA">
        <w:t xml:space="preserve"> doubt on the</w:t>
      </w:r>
      <w:r w:rsidR="009B2BE9">
        <w:t xml:space="preserve"> </w:t>
      </w:r>
      <w:r w:rsidR="00A266FA">
        <w:t>alleged benefits</w:t>
      </w:r>
      <w:r w:rsidR="009B2BE9">
        <w:t xml:space="preserve"> counted for this portion of the program</w:t>
      </w:r>
      <w:r w:rsidR="00066FE8">
        <w:t>.</w:t>
      </w:r>
    </w:p>
    <w:p w:rsidR="006D09F3" w:rsidRDefault="00A266FA" w:rsidP="001D0AC5">
      <w:pPr>
        <w:spacing w:line="480" w:lineRule="auto"/>
        <w:ind w:firstLine="720"/>
      </w:pPr>
      <w:r w:rsidRPr="00B37813">
        <w:t>The quantification of avoided outages should also include the number of avoided customer outage minutes for each of the proactive DIR programs.  In fact, the PUCO Staff did comment that the sectionalizing program had an impact of 20,40</w:t>
      </w:r>
      <w:r w:rsidR="009C2B57">
        <w:t>0 avoided CMI outages</w:t>
      </w:r>
      <w:r w:rsidRPr="00B37813">
        <w:t>.</w:t>
      </w:r>
      <w:r w:rsidR="00800E85">
        <w:rPr>
          <w:rStyle w:val="FootnoteReference"/>
        </w:rPr>
        <w:footnoteReference w:id="19"/>
      </w:r>
      <w:r w:rsidRPr="00B37813">
        <w:t xml:space="preserve">  However, there was no quantification of</w:t>
      </w:r>
      <w:r w:rsidR="009C2B57">
        <w:t xml:space="preserve"> avoided CMI</w:t>
      </w:r>
      <w:r w:rsidRPr="00B37813">
        <w:t xml:space="preserve"> for the other programs that are </w:t>
      </w:r>
      <w:r w:rsidR="009B2BE9">
        <w:t xml:space="preserve">part of the </w:t>
      </w:r>
      <w:r w:rsidRPr="00B37813">
        <w:t xml:space="preserve">proactive reliability programs.  </w:t>
      </w:r>
      <w:r>
        <w:t>The PUCO Staff Comments failed to explain why the other programs lacked t</w:t>
      </w:r>
      <w:r w:rsidR="00476FD8">
        <w:t>h</w:t>
      </w:r>
      <w:r>
        <w:t xml:space="preserve">is level of analysis.  </w:t>
      </w:r>
      <w:r w:rsidR="009C2B57">
        <w:t>Considering that in 2013, AEP</w:t>
      </w:r>
      <w:r w:rsidR="00800E85">
        <w:t xml:space="preserve"> </w:t>
      </w:r>
      <w:r w:rsidRPr="00B37813">
        <w:t xml:space="preserve">Ohio customers experienced </w:t>
      </w:r>
      <w:r w:rsidR="006D09F3">
        <w:t xml:space="preserve">a total of </w:t>
      </w:r>
      <w:r w:rsidRPr="00B37813">
        <w:t>211,210,995 CMI,</w:t>
      </w:r>
      <w:r w:rsidRPr="00B37813">
        <w:rPr>
          <w:rStyle w:val="FootnoteReference"/>
        </w:rPr>
        <w:footnoteReference w:id="20"/>
      </w:r>
      <w:r w:rsidRPr="00B37813">
        <w:t xml:space="preserve"> </w:t>
      </w:r>
      <w:r w:rsidR="006D09F3">
        <w:t xml:space="preserve">it is difficult to conclude that 2013 DIR spending of $188.6 million resulting in only </w:t>
      </w:r>
      <w:r w:rsidR="009C2B57">
        <w:t>20,400 avoided CMI</w:t>
      </w:r>
      <w:r w:rsidR="006D09F3">
        <w:t xml:space="preserve"> was reasonable.  As part of any basic cost</w:t>
      </w:r>
      <w:r w:rsidR="00800E85">
        <w:t>-</w:t>
      </w:r>
      <w:r w:rsidR="006D09F3">
        <w:t xml:space="preserve">benefit analysis, </w:t>
      </w:r>
      <w:r w:rsidRPr="00B37813">
        <w:t xml:space="preserve">considerably more </w:t>
      </w:r>
      <w:r w:rsidR="006D09F3">
        <w:t>information</w:t>
      </w:r>
      <w:r w:rsidRPr="00B37813">
        <w:t xml:space="preserve"> is needed to quantify reductions in the CMI that can be attributed to DIR programs</w:t>
      </w:r>
      <w:r w:rsidR="006D09F3">
        <w:t>, and to determine if those expenditures were reasonable.</w:t>
      </w:r>
      <w:r w:rsidR="002D77EC">
        <w:t xml:space="preserve">  </w:t>
      </w:r>
    </w:p>
    <w:p w:rsidR="001D0AC5" w:rsidRPr="00326F63" w:rsidRDefault="00BE7E06" w:rsidP="00326F63">
      <w:pPr>
        <w:autoSpaceDE w:val="0"/>
        <w:autoSpaceDN w:val="0"/>
        <w:adjustRightInd w:val="0"/>
        <w:spacing w:line="480" w:lineRule="auto"/>
        <w:ind w:firstLine="720"/>
      </w:pPr>
      <w:r>
        <w:t xml:space="preserve">The PUCO Staff’s review and treatment of the DIR investments, requested in this proceeding, should be no different than what the PUCO required for the 2013 review as described in </w:t>
      </w:r>
      <w:r w:rsidR="00800E85">
        <w:t xml:space="preserve">the </w:t>
      </w:r>
      <w:r>
        <w:t>Finding and Order quoted in the preceding paragraph.  The PUCO should require AE</w:t>
      </w:r>
      <w:r w:rsidR="009C2B57">
        <w:t>P</w:t>
      </w:r>
      <w:r w:rsidR="00066FE8">
        <w:t xml:space="preserve"> </w:t>
      </w:r>
      <w:r w:rsidR="00326F63">
        <w:t>Ohio to demonstrate</w:t>
      </w:r>
      <w:r w:rsidR="004B3F2A">
        <w:t xml:space="preserve"> and quantify</w:t>
      </w:r>
      <w:r w:rsidR="00326F63">
        <w:t xml:space="preserve"> the </w:t>
      </w:r>
      <w:r>
        <w:t>service reliability improvements that result</w:t>
      </w:r>
      <w:r w:rsidR="004B3F2A">
        <w:t>ed</w:t>
      </w:r>
      <w:r>
        <w:t xml:space="preserve"> </w:t>
      </w:r>
      <w:r w:rsidR="004B3F2A">
        <w:t xml:space="preserve">from each component </w:t>
      </w:r>
      <w:r>
        <w:t xml:space="preserve">of </w:t>
      </w:r>
      <w:r w:rsidR="004B3F2A">
        <w:t xml:space="preserve">the DIR Program at issue in </w:t>
      </w:r>
      <w:r>
        <w:t xml:space="preserve">this proceeding.  Furthermore, the PUCO should require the PUCO Staff to identify each “proactive reliability” program and to describe how the program contributes to improved reliability to assist in tracking progress on a going forward basis.  </w:t>
      </w:r>
      <w:r w:rsidR="004B3F2A">
        <w:t>Specifically</w:t>
      </w:r>
      <w:r w:rsidR="002D77EC" w:rsidRPr="002D77EC">
        <w:t>, f</w:t>
      </w:r>
      <w:r w:rsidR="00A266FA" w:rsidRPr="002D77EC">
        <w:t>uture reporting by the Utility</w:t>
      </w:r>
      <w:r w:rsidR="002D77EC">
        <w:t xml:space="preserve"> </w:t>
      </w:r>
      <w:r w:rsidR="00A266FA" w:rsidRPr="002D77EC">
        <w:t>and</w:t>
      </w:r>
      <w:r w:rsidR="00066FE8">
        <w:t>/</w:t>
      </w:r>
      <w:r w:rsidR="00A266FA" w:rsidRPr="002D77EC">
        <w:t xml:space="preserve">or PUCO Staff should be </w:t>
      </w:r>
      <w:r w:rsidR="004B3F2A">
        <w:t xml:space="preserve">in a format </w:t>
      </w:r>
      <w:r w:rsidR="00A266FA" w:rsidRPr="002D77EC">
        <w:t xml:space="preserve">similar to the reports </w:t>
      </w:r>
      <w:r w:rsidR="004B3F2A">
        <w:t>that are filed pursuant to OAC 4901:1-10-10.  The PUCO should also require AEP Ohio to provide</w:t>
      </w:r>
      <w:r w:rsidR="00A266FA" w:rsidRPr="002D77EC">
        <w:t xml:space="preserve"> the number of avoided outage events by outage cause, customer interruptions avoided, and CMI avoided</w:t>
      </w:r>
      <w:r w:rsidR="004B3F2A">
        <w:t>, to the extent possible</w:t>
      </w:r>
      <w:r w:rsidR="00A266FA" w:rsidRPr="002D77EC">
        <w:t>.  This reporting format will provide a way to more effectively evaluate and analyze the actual impact of the DIR.</w:t>
      </w:r>
      <w:r w:rsidR="00066FE8">
        <w:t xml:space="preserve">  Finally, </w:t>
      </w:r>
      <w:r w:rsidR="00066FE8" w:rsidRPr="00706B76">
        <w:t>OCC stresses that the PUCO sho</w:t>
      </w:r>
      <w:r w:rsidR="00066FE8">
        <w:t xml:space="preserve">uld require AEP Ohio to provide </w:t>
      </w:r>
      <w:r w:rsidR="00066FE8" w:rsidRPr="00706B76">
        <w:t>more specific</w:t>
      </w:r>
      <w:r w:rsidR="00066FE8">
        <w:t xml:space="preserve"> </w:t>
      </w:r>
      <w:r w:rsidR="00066FE8" w:rsidRPr="00706B76">
        <w:t xml:space="preserve">information in its annual Work Plan so that </w:t>
      </w:r>
      <w:r w:rsidR="00066FE8">
        <w:t>t</w:t>
      </w:r>
      <w:r w:rsidR="00066FE8" w:rsidRPr="00706B76">
        <w:t>he DIR can be more accurately reviewed.</w:t>
      </w:r>
    </w:p>
    <w:p w:rsidR="00052814" w:rsidRDefault="00052814">
      <w:pPr>
        <w:rPr>
          <w:b/>
        </w:rPr>
      </w:pPr>
      <w:r>
        <w:rPr>
          <w:b/>
        </w:rPr>
        <w:br w:type="page"/>
      </w:r>
    </w:p>
    <w:p w:rsidR="00A266FA" w:rsidRPr="00275556" w:rsidRDefault="0041665C" w:rsidP="00052814">
      <w:pPr>
        <w:pStyle w:val="Heading2"/>
      </w:pPr>
      <w:bookmarkStart w:id="10" w:name="_Toc398131518"/>
      <w:r>
        <w:t>B.</w:t>
      </w:r>
      <w:r>
        <w:tab/>
      </w:r>
      <w:r w:rsidR="00B6153F">
        <w:t>The PUCO</w:t>
      </w:r>
      <w:r w:rsidR="00A266FA" w:rsidRPr="00B37813">
        <w:t xml:space="preserve"> </w:t>
      </w:r>
      <w:r w:rsidR="00066FE8">
        <w:t>S</w:t>
      </w:r>
      <w:r w:rsidR="00A266FA" w:rsidRPr="00B37813">
        <w:t xml:space="preserve">hould </w:t>
      </w:r>
      <w:r w:rsidR="00066FE8">
        <w:t>R</w:t>
      </w:r>
      <w:r w:rsidR="00EE1646">
        <w:t>e</w:t>
      </w:r>
      <w:r w:rsidR="00052814">
        <w:t>-</w:t>
      </w:r>
      <w:r w:rsidR="00066FE8">
        <w:t>E</w:t>
      </w:r>
      <w:r w:rsidR="00EE1646">
        <w:t xml:space="preserve">mphasize </w:t>
      </w:r>
      <w:r w:rsidR="00052814" w:rsidRPr="00B37813">
        <w:t>Th</w:t>
      </w:r>
      <w:r w:rsidR="00052814">
        <w:t xml:space="preserve">at </w:t>
      </w:r>
      <w:r w:rsidR="00066FE8">
        <w:t>C</w:t>
      </w:r>
      <w:r w:rsidR="009606CA">
        <w:t xml:space="preserve">ustomer </w:t>
      </w:r>
      <w:r w:rsidR="00066FE8">
        <w:t>F</w:t>
      </w:r>
      <w:r w:rsidR="009606CA">
        <w:t xml:space="preserve">unding </w:t>
      </w:r>
      <w:r w:rsidR="00052814">
        <w:t xml:space="preserve">Of The </w:t>
      </w:r>
      <w:r w:rsidR="00A266FA" w:rsidRPr="00B37813">
        <w:t xml:space="preserve">DIR </w:t>
      </w:r>
      <w:r w:rsidR="00066FE8">
        <w:t>S</w:t>
      </w:r>
      <w:r w:rsidR="009606CA">
        <w:t xml:space="preserve">hould </w:t>
      </w:r>
      <w:r w:rsidR="00052814">
        <w:t xml:space="preserve">Be </w:t>
      </w:r>
      <w:r w:rsidR="00066FE8">
        <w:t>D</w:t>
      </w:r>
      <w:r w:rsidR="009606CA">
        <w:t xml:space="preserve">irected </w:t>
      </w:r>
      <w:r w:rsidR="00066FE8">
        <w:t>T</w:t>
      </w:r>
      <w:r w:rsidR="00A266FA" w:rsidRPr="00B37813">
        <w:t xml:space="preserve">owards </w:t>
      </w:r>
      <w:r w:rsidR="00066FE8">
        <w:t>P</w:t>
      </w:r>
      <w:r w:rsidR="00A266FA" w:rsidRPr="00B37813">
        <w:t xml:space="preserve">rograms </w:t>
      </w:r>
      <w:r w:rsidR="00052814" w:rsidRPr="00B37813">
        <w:t xml:space="preserve">That </w:t>
      </w:r>
      <w:r w:rsidR="00066FE8">
        <w:t>A</w:t>
      </w:r>
      <w:r w:rsidR="00B6153F">
        <w:t xml:space="preserve">ctually </w:t>
      </w:r>
      <w:r w:rsidR="00066FE8">
        <w:t>I</w:t>
      </w:r>
      <w:r w:rsidR="00A266FA" w:rsidRPr="00B37813">
        <w:t xml:space="preserve">mprove </w:t>
      </w:r>
      <w:r w:rsidR="00066FE8">
        <w:t>S</w:t>
      </w:r>
      <w:r w:rsidR="00B6153F">
        <w:t xml:space="preserve">ervice </w:t>
      </w:r>
      <w:r w:rsidR="00066FE8">
        <w:t>R</w:t>
      </w:r>
      <w:r w:rsidR="00A266FA" w:rsidRPr="00B37813">
        <w:t xml:space="preserve">eliability </w:t>
      </w:r>
      <w:r w:rsidR="00052814">
        <w:t xml:space="preserve">And </w:t>
      </w:r>
      <w:r w:rsidR="00066FE8">
        <w:t>S</w:t>
      </w:r>
      <w:r w:rsidR="00745F52">
        <w:t xml:space="preserve">hould </w:t>
      </w:r>
      <w:r w:rsidR="00066FE8">
        <w:t>F</w:t>
      </w:r>
      <w:r w:rsidR="00745F52">
        <w:t xml:space="preserve">ind </w:t>
      </w:r>
      <w:r w:rsidR="00052814">
        <w:t xml:space="preserve">That </w:t>
      </w:r>
      <w:r w:rsidR="00745F52">
        <w:t xml:space="preserve">AEP Ohio </w:t>
      </w:r>
      <w:r w:rsidR="00052814">
        <w:t xml:space="preserve">May Not </w:t>
      </w:r>
      <w:r w:rsidR="00066FE8">
        <w:t>C</w:t>
      </w:r>
      <w:r w:rsidR="00745F52">
        <w:t xml:space="preserve">harge </w:t>
      </w:r>
      <w:r w:rsidR="00066FE8">
        <w:t>C</w:t>
      </w:r>
      <w:r w:rsidR="00745F52">
        <w:t xml:space="preserve">ustomers </w:t>
      </w:r>
      <w:r w:rsidR="00052814">
        <w:t xml:space="preserve">For </w:t>
      </w:r>
      <w:r w:rsidR="00066FE8">
        <w:t>N</w:t>
      </w:r>
      <w:r w:rsidR="00745F52">
        <w:t>on</w:t>
      </w:r>
      <w:r w:rsidR="00052814">
        <w:t>-</w:t>
      </w:r>
      <w:r w:rsidR="00066FE8">
        <w:t>S</w:t>
      </w:r>
      <w:r w:rsidR="00745F52">
        <w:t>ervic</w:t>
      </w:r>
      <w:r w:rsidR="00066FE8">
        <w:t>e</w:t>
      </w:r>
      <w:r w:rsidR="00745F52">
        <w:t xml:space="preserve"> </w:t>
      </w:r>
      <w:r w:rsidR="00066FE8">
        <w:t>R</w:t>
      </w:r>
      <w:r w:rsidR="00547FD5">
        <w:t>elated</w:t>
      </w:r>
      <w:r w:rsidR="00745F52">
        <w:t xml:space="preserve"> </w:t>
      </w:r>
      <w:r w:rsidR="00066FE8">
        <w:t>S</w:t>
      </w:r>
      <w:r w:rsidR="00745F52">
        <w:t xml:space="preserve">pending </w:t>
      </w:r>
      <w:r w:rsidR="00052814">
        <w:t xml:space="preserve">In The </w:t>
      </w:r>
      <w:r w:rsidR="00745F52">
        <w:t>DIR Rider</w:t>
      </w:r>
      <w:r w:rsidR="00052814">
        <w:t>.</w:t>
      </w:r>
      <w:bookmarkEnd w:id="10"/>
    </w:p>
    <w:p w:rsidR="00CF31E1" w:rsidRDefault="00A266FA" w:rsidP="00A266FA">
      <w:pPr>
        <w:spacing w:line="480" w:lineRule="auto"/>
        <w:ind w:firstLine="720"/>
      </w:pPr>
      <w:r w:rsidRPr="00B37813">
        <w:t xml:space="preserve">The PUCO Staff </w:t>
      </w:r>
      <w:r w:rsidR="00A741FD">
        <w:t>C</w:t>
      </w:r>
      <w:r w:rsidRPr="00B37813">
        <w:t>omments indicate that AEP Ohio spent $188,</w:t>
      </w:r>
      <w:r w:rsidR="00547FD5">
        <w:t>455,000</w:t>
      </w:r>
      <w:r w:rsidR="00547FD5">
        <w:rPr>
          <w:rStyle w:val="FootnoteReference"/>
        </w:rPr>
        <w:footnoteReference w:id="21"/>
      </w:r>
      <w:r w:rsidRPr="00B37813">
        <w:t xml:space="preserve"> on the DIR in 2013</w:t>
      </w:r>
      <w:r w:rsidR="00A741FD">
        <w:t>,</w:t>
      </w:r>
      <w:r w:rsidRPr="00B37813">
        <w:t xml:space="preserve"> which was $6,419,664 more than was originally projected.</w:t>
      </w:r>
      <w:r w:rsidRPr="00B37813">
        <w:rPr>
          <w:rStyle w:val="FootnoteReference"/>
        </w:rPr>
        <w:footnoteReference w:id="22"/>
      </w:r>
      <w:r w:rsidRPr="00B37813">
        <w:t xml:space="preserve">  Of the total $188,</w:t>
      </w:r>
      <w:r w:rsidR="00547FD5">
        <w:t>455,000</w:t>
      </w:r>
      <w:r w:rsidRPr="00B37813">
        <w:t xml:space="preserve"> spent on the DIR, only $79,726,412 was spent on programs that </w:t>
      </w:r>
      <w:r w:rsidR="00B6153F">
        <w:t>even claim to</w:t>
      </w:r>
      <w:r w:rsidRPr="00B37813">
        <w:t xml:space="preserve"> </w:t>
      </w:r>
      <w:r>
        <w:t>actually</w:t>
      </w:r>
      <w:r w:rsidRPr="00B37813">
        <w:t xml:space="preserve"> improve reliability.</w:t>
      </w:r>
      <w:r>
        <w:rPr>
          <w:rStyle w:val="FootnoteReference"/>
        </w:rPr>
        <w:footnoteReference w:id="23"/>
      </w:r>
      <w:r w:rsidRPr="00B37813">
        <w:t xml:space="preserve">  </w:t>
      </w:r>
      <w:r w:rsidR="00B6153F">
        <w:t>The remaining $</w:t>
      </w:r>
      <w:r w:rsidR="002A4396">
        <w:t>108,</w:t>
      </w:r>
      <w:r w:rsidR="00547FD5">
        <w:t>718,588</w:t>
      </w:r>
      <w:r w:rsidR="00B6153F">
        <w:t xml:space="preserve"> in 2013 DIR spending is f</w:t>
      </w:r>
      <w:r w:rsidR="001D0AC5">
        <w:t>or components that admit</w:t>
      </w:r>
      <w:r w:rsidR="00796F64">
        <w:t>tedly have</w:t>
      </w:r>
      <w:r w:rsidR="00B6153F">
        <w:t>, “</w:t>
      </w:r>
      <w:r w:rsidR="00B6153F" w:rsidRPr="00B6153F">
        <w:rPr>
          <w:b/>
        </w:rPr>
        <w:t>no reliability impact</w:t>
      </w:r>
      <w:r w:rsidR="00E64A59">
        <w:rPr>
          <w:b/>
        </w:rPr>
        <w:t>”</w:t>
      </w:r>
      <w:r w:rsidR="00B6153F" w:rsidRPr="00B6153F">
        <w:rPr>
          <w:b/>
        </w:rPr>
        <w:t xml:space="preserve"> </w:t>
      </w:r>
      <w:r w:rsidR="00B6153F" w:rsidRPr="00E64A59">
        <w:t>from the spending</w:t>
      </w:r>
      <w:r w:rsidR="00B6153F">
        <w:t>.</w:t>
      </w:r>
      <w:r w:rsidR="00B6153F">
        <w:rPr>
          <w:rStyle w:val="FootnoteReference"/>
        </w:rPr>
        <w:footnoteReference w:id="24"/>
      </w:r>
      <w:r w:rsidR="009C2B57">
        <w:t xml:space="preserve">  </w:t>
      </w:r>
      <w:r w:rsidR="00A741FD">
        <w:t>Thus, almost $108 million or 57.7% of the total $188 million in DIR spending for 2013 was for programs that according to the Utility’s own Work Plan did not have an impact on service reliability.  This spending was broken down as follows</w:t>
      </w:r>
      <w:r w:rsidR="00CF31E1">
        <w:t>:</w:t>
      </w:r>
    </w:p>
    <w:p w:rsidR="00CF31E1" w:rsidRPr="001D0AC5" w:rsidRDefault="00CF31E1" w:rsidP="00A266FA">
      <w:pPr>
        <w:spacing w:line="480" w:lineRule="auto"/>
        <w:ind w:firstLine="720"/>
        <w:rPr>
          <w:u w:val="single"/>
        </w:rPr>
      </w:pPr>
      <w:r>
        <w:rPr>
          <w:u w:val="single"/>
        </w:rPr>
        <w:t>DIR COMPONENT</w:t>
      </w:r>
      <w:r w:rsidR="00546F82">
        <w:rPr>
          <w:rStyle w:val="FootnoteReference"/>
          <w:u w:val="single"/>
        </w:rPr>
        <w:footnoteReference w:id="25"/>
      </w:r>
      <w:r>
        <w:tab/>
      </w:r>
      <w:r>
        <w:tab/>
      </w:r>
      <w:r>
        <w:rPr>
          <w:u w:val="single"/>
        </w:rPr>
        <w:t>Capital Dollars Spent 2013</w:t>
      </w:r>
      <w:r>
        <w:rPr>
          <w:rStyle w:val="FootnoteReference"/>
          <w:u w:val="single"/>
        </w:rPr>
        <w:footnoteReference w:id="26"/>
      </w:r>
    </w:p>
    <w:p w:rsidR="00CF31E1" w:rsidRDefault="00CF31E1" w:rsidP="00A266FA">
      <w:pPr>
        <w:spacing w:line="480" w:lineRule="auto"/>
        <w:ind w:firstLine="720"/>
      </w:pPr>
      <w:r>
        <w:t>Network Capacity</w:t>
      </w:r>
      <w:r>
        <w:tab/>
      </w:r>
      <w:r>
        <w:tab/>
      </w:r>
      <w:r>
        <w:tab/>
        <w:t xml:space="preserve">       $745,680</w:t>
      </w:r>
    </w:p>
    <w:p w:rsidR="00CF31E1" w:rsidRDefault="00CF31E1" w:rsidP="00A266FA">
      <w:pPr>
        <w:spacing w:line="480" w:lineRule="auto"/>
        <w:ind w:firstLine="720"/>
      </w:pPr>
      <w:r>
        <w:t xml:space="preserve">Capacity Additions </w:t>
      </w:r>
      <w:r>
        <w:tab/>
      </w:r>
      <w:r>
        <w:tab/>
      </w:r>
      <w:r>
        <w:tab/>
        <w:t xml:space="preserve">    $5,943,778</w:t>
      </w:r>
    </w:p>
    <w:p w:rsidR="00CF31E1" w:rsidRDefault="00CF31E1" w:rsidP="00A266FA">
      <w:pPr>
        <w:spacing w:line="480" w:lineRule="auto"/>
        <w:ind w:firstLine="720"/>
      </w:pPr>
      <w:r>
        <w:t>Customer Service Work</w:t>
      </w:r>
      <w:r>
        <w:tab/>
      </w:r>
      <w:r>
        <w:tab/>
        <w:t xml:space="preserve">  $27,646,812</w:t>
      </w:r>
    </w:p>
    <w:p w:rsidR="00CF31E1" w:rsidRDefault="00CF31E1" w:rsidP="00A266FA">
      <w:pPr>
        <w:spacing w:line="480" w:lineRule="auto"/>
        <w:ind w:firstLine="720"/>
      </w:pPr>
      <w:r>
        <w:t>Third Party Work Request</w:t>
      </w:r>
      <w:r>
        <w:tab/>
      </w:r>
      <w:r>
        <w:tab/>
        <w:t xml:space="preserve">    $6,897,706</w:t>
      </w:r>
    </w:p>
    <w:p w:rsidR="00CF31E1" w:rsidRDefault="00CF31E1" w:rsidP="00A266FA">
      <w:pPr>
        <w:spacing w:line="480" w:lineRule="auto"/>
        <w:ind w:firstLine="720"/>
      </w:pPr>
      <w:r>
        <w:t>Public Project Relocation</w:t>
      </w:r>
      <w:r>
        <w:tab/>
      </w:r>
      <w:r>
        <w:tab/>
        <w:t xml:space="preserve">  $10,250,787</w:t>
      </w:r>
    </w:p>
    <w:p w:rsidR="00CF31E1" w:rsidRDefault="00CF31E1" w:rsidP="00A266FA">
      <w:pPr>
        <w:spacing w:line="480" w:lineRule="auto"/>
        <w:ind w:firstLine="720"/>
      </w:pPr>
      <w:r>
        <w:t>Service Restoration</w:t>
      </w:r>
      <w:r>
        <w:tab/>
      </w:r>
      <w:r>
        <w:tab/>
      </w:r>
      <w:r>
        <w:tab/>
        <w:t xml:space="preserve">    $7,318,447</w:t>
      </w:r>
    </w:p>
    <w:p w:rsidR="00CF31E1" w:rsidRDefault="00CF31E1" w:rsidP="00A266FA">
      <w:pPr>
        <w:spacing w:line="480" w:lineRule="auto"/>
        <w:ind w:firstLine="720"/>
      </w:pPr>
      <w:r>
        <w:t>Forestry</w:t>
      </w:r>
      <w:r>
        <w:tab/>
      </w:r>
      <w:r>
        <w:tab/>
      </w:r>
      <w:r>
        <w:tab/>
      </w:r>
      <w:r>
        <w:tab/>
        <w:t xml:space="preserve">    $8,150,330</w:t>
      </w:r>
    </w:p>
    <w:p w:rsidR="00CF31E1" w:rsidRDefault="00CF31E1" w:rsidP="00A266FA">
      <w:pPr>
        <w:spacing w:line="480" w:lineRule="auto"/>
        <w:ind w:firstLine="720"/>
      </w:pPr>
      <w:r>
        <w:t>Other</w:t>
      </w:r>
      <w:r>
        <w:tab/>
      </w:r>
      <w:r>
        <w:tab/>
      </w:r>
      <w:r>
        <w:tab/>
      </w:r>
      <w:r>
        <w:tab/>
        <w:t xml:space="preserve">         </w:t>
      </w:r>
      <w:r>
        <w:tab/>
        <w:t xml:space="preserve">  </w:t>
      </w:r>
      <w:r w:rsidRPr="001D0AC5">
        <w:rPr>
          <w:u w:val="single"/>
        </w:rPr>
        <w:t>$</w:t>
      </w:r>
      <w:r w:rsidR="00547FD5">
        <w:rPr>
          <w:u w:val="single"/>
        </w:rPr>
        <w:t>41,765,048</w:t>
      </w:r>
    </w:p>
    <w:p w:rsidR="00CF31E1" w:rsidRDefault="00CF31E1" w:rsidP="00A266FA">
      <w:pPr>
        <w:spacing w:line="480" w:lineRule="auto"/>
        <w:ind w:firstLine="720"/>
      </w:pPr>
      <w:r>
        <w:t>TOTAL</w:t>
      </w:r>
      <w:r>
        <w:tab/>
      </w:r>
      <w:r>
        <w:tab/>
      </w:r>
      <w:r>
        <w:tab/>
      </w:r>
      <w:r>
        <w:tab/>
        <w:t>$</w:t>
      </w:r>
      <w:r w:rsidR="00547FD5">
        <w:t>108,718,588</w:t>
      </w:r>
      <w:r w:rsidR="002A4396">
        <w:rPr>
          <w:rStyle w:val="FootnoteReference"/>
        </w:rPr>
        <w:footnoteReference w:id="27"/>
      </w:r>
    </w:p>
    <w:p w:rsidR="00A266FA" w:rsidRDefault="00A266FA" w:rsidP="00A266FA">
      <w:pPr>
        <w:spacing w:line="480" w:lineRule="auto"/>
        <w:ind w:firstLine="720"/>
      </w:pPr>
      <w:r w:rsidRPr="00B37813">
        <w:t>The PUCO has previously commented about the significant benefit of acceler</w:t>
      </w:r>
      <w:r w:rsidR="009C2B57">
        <w:t>ated cost recovery that AEP</w:t>
      </w:r>
      <w:r w:rsidR="00A741FD">
        <w:t xml:space="preserve"> </w:t>
      </w:r>
      <w:r w:rsidRPr="00B37813">
        <w:t>Ohio is provided for its distribution investments because of the DIR.</w:t>
      </w:r>
      <w:r w:rsidRPr="00B37813">
        <w:rPr>
          <w:rStyle w:val="FootnoteReference"/>
        </w:rPr>
        <w:footnoteReference w:id="28"/>
      </w:r>
      <w:r w:rsidRPr="00B37813">
        <w:t xml:space="preserve">  </w:t>
      </w:r>
      <w:r w:rsidR="006B1AEA">
        <w:t xml:space="preserve">However, </w:t>
      </w:r>
      <w:r w:rsidR="00EE1646">
        <w:t xml:space="preserve">AEP Ohio should not reap the benefit of accelerated cost recovery for spending that </w:t>
      </w:r>
      <w:r w:rsidR="006B1AEA">
        <w:t>the Utility</w:t>
      </w:r>
      <w:r w:rsidR="00796F64">
        <w:t xml:space="preserve"> concedes </w:t>
      </w:r>
      <w:r w:rsidR="00B6153F">
        <w:t>will not impact service reliability</w:t>
      </w:r>
      <w:r w:rsidR="00EE1646">
        <w:t xml:space="preserve">. </w:t>
      </w:r>
      <w:r w:rsidR="00B6153F">
        <w:t xml:space="preserve"> Instead, </w:t>
      </w:r>
      <w:r w:rsidR="00EE1646">
        <w:t>the Utility should seek authority to collect costs as</w:t>
      </w:r>
      <w:r w:rsidR="00B6153F">
        <w:t xml:space="preserve"> part of a distribution service base rate case.  T</w:t>
      </w:r>
      <w:r w:rsidR="00A741FD">
        <w:t>o that effect, t</w:t>
      </w:r>
      <w:r w:rsidR="00B6153F">
        <w:t xml:space="preserve">he PUCO should order </w:t>
      </w:r>
      <w:r w:rsidR="00796F64">
        <w:t xml:space="preserve">that </w:t>
      </w:r>
      <w:r w:rsidR="00546F82">
        <w:t>AEP</w:t>
      </w:r>
      <w:r w:rsidR="00A741FD">
        <w:t xml:space="preserve"> </w:t>
      </w:r>
      <w:r w:rsidR="00B6153F">
        <w:t>Ohio</w:t>
      </w:r>
      <w:r w:rsidRPr="00B37813">
        <w:t xml:space="preserve"> re-focus </w:t>
      </w:r>
      <w:r w:rsidR="00B6153F">
        <w:t xml:space="preserve">the DIR spending </w:t>
      </w:r>
      <w:r w:rsidRPr="00B37813">
        <w:t xml:space="preserve">on programs that will </w:t>
      </w:r>
      <w:r w:rsidR="00B6153F">
        <w:t xml:space="preserve">result in quantifiable </w:t>
      </w:r>
      <w:r w:rsidRPr="00B37813">
        <w:t>improv</w:t>
      </w:r>
      <w:r w:rsidR="00B6153F">
        <w:t>ements in service</w:t>
      </w:r>
      <w:r w:rsidRPr="00B37813">
        <w:t xml:space="preserve"> reliability</w:t>
      </w:r>
      <w:r w:rsidR="004E38D1">
        <w:t>, and should exclude non-service reliability spending from DIR recovery</w:t>
      </w:r>
      <w:r w:rsidR="00644C6D">
        <w:t>.</w:t>
      </w:r>
    </w:p>
    <w:p w:rsidR="00546F82" w:rsidRPr="00B37813" w:rsidRDefault="0041665C" w:rsidP="00052814">
      <w:pPr>
        <w:pStyle w:val="Heading2"/>
      </w:pPr>
      <w:bookmarkStart w:id="11" w:name="_Toc398131519"/>
      <w:r>
        <w:t>C.</w:t>
      </w:r>
      <w:r>
        <w:tab/>
      </w:r>
      <w:r w:rsidR="00546F82" w:rsidRPr="00B37813">
        <w:t xml:space="preserve">The Staff Comments </w:t>
      </w:r>
      <w:r w:rsidR="00A741FD">
        <w:t>C</w:t>
      </w:r>
      <w:r w:rsidR="00830FFE">
        <w:t>onfirm</w:t>
      </w:r>
      <w:r w:rsidR="00546F82" w:rsidRPr="00B37813">
        <w:t xml:space="preserve"> </w:t>
      </w:r>
      <w:r w:rsidR="00052814" w:rsidRPr="00B37813">
        <w:t xml:space="preserve">That The </w:t>
      </w:r>
      <w:r w:rsidR="00546F82" w:rsidRPr="00B37813">
        <w:t xml:space="preserve">DIR </w:t>
      </w:r>
      <w:r w:rsidR="00052814" w:rsidRPr="00B37813">
        <w:t xml:space="preserve">Had </w:t>
      </w:r>
      <w:r w:rsidR="00A741FD">
        <w:t>V</w:t>
      </w:r>
      <w:r w:rsidR="00546F82" w:rsidRPr="00B37813">
        <w:t xml:space="preserve">ery </w:t>
      </w:r>
      <w:r w:rsidR="00A741FD">
        <w:t>L</w:t>
      </w:r>
      <w:r w:rsidR="00546F82" w:rsidRPr="00B37813">
        <w:t xml:space="preserve">ittle </w:t>
      </w:r>
      <w:r w:rsidR="00A741FD">
        <w:t>I</w:t>
      </w:r>
      <w:r w:rsidR="00546F82" w:rsidRPr="00B37813">
        <w:t xml:space="preserve">mpact </w:t>
      </w:r>
      <w:r w:rsidR="00052814" w:rsidRPr="00B37813">
        <w:t xml:space="preserve">On </w:t>
      </w:r>
      <w:r w:rsidR="00A741FD">
        <w:t>A</w:t>
      </w:r>
      <w:r w:rsidR="00546F82" w:rsidRPr="00B37813">
        <w:t xml:space="preserve">ctually </w:t>
      </w:r>
      <w:r w:rsidR="00A741FD">
        <w:t>I</w:t>
      </w:r>
      <w:r w:rsidR="00546F82" w:rsidRPr="00B37813">
        <w:t xml:space="preserve">mproving </w:t>
      </w:r>
      <w:r w:rsidR="00A741FD">
        <w:t>R</w:t>
      </w:r>
      <w:r w:rsidR="00546F82" w:rsidRPr="00B37813">
        <w:t>eliability</w:t>
      </w:r>
      <w:r w:rsidR="009606CA">
        <w:t xml:space="preserve"> </w:t>
      </w:r>
      <w:r w:rsidR="00052814">
        <w:t xml:space="preserve">For </w:t>
      </w:r>
      <w:r w:rsidR="009606CA">
        <w:t xml:space="preserve">AEP Ohio </w:t>
      </w:r>
      <w:r w:rsidR="00A741FD">
        <w:t>C</w:t>
      </w:r>
      <w:r w:rsidR="009606CA">
        <w:t>ustomers</w:t>
      </w:r>
      <w:r w:rsidR="00052814" w:rsidRPr="00B37813">
        <w:t>.</w:t>
      </w:r>
      <w:bookmarkEnd w:id="11"/>
    </w:p>
    <w:p w:rsidR="00EE1646" w:rsidRDefault="00546F82" w:rsidP="00546F82">
      <w:pPr>
        <w:pStyle w:val="ListParagraph"/>
        <w:spacing w:line="480" w:lineRule="auto"/>
        <w:ind w:left="0" w:firstLine="720"/>
      </w:pPr>
      <w:r w:rsidRPr="00B37813">
        <w:t xml:space="preserve">According to the </w:t>
      </w:r>
      <w:r>
        <w:t xml:space="preserve">PUCO </w:t>
      </w:r>
      <w:r w:rsidRPr="00B37813">
        <w:t xml:space="preserve">Staff Comments, the </w:t>
      </w:r>
      <w:r w:rsidR="00213A31">
        <w:t xml:space="preserve">2013 </w:t>
      </w:r>
      <w:r w:rsidRPr="00B37813">
        <w:t xml:space="preserve">DIR </w:t>
      </w:r>
      <w:r w:rsidR="00213A31">
        <w:t xml:space="preserve">program spending </w:t>
      </w:r>
      <w:r w:rsidRPr="00B37813">
        <w:t>resulted in a</w:t>
      </w:r>
      <w:r w:rsidR="00213A31">
        <w:t>n alleged</w:t>
      </w:r>
      <w:r w:rsidRPr="00B37813">
        <w:t xml:space="preserve"> reduction of 306 outages in 2013.</w:t>
      </w:r>
      <w:r w:rsidRPr="00B37813">
        <w:rPr>
          <w:rStyle w:val="FootnoteReference"/>
        </w:rPr>
        <w:footnoteReference w:id="29"/>
      </w:r>
      <w:r w:rsidRPr="00B37813">
        <w:t xml:space="preserve">  </w:t>
      </w:r>
      <w:r w:rsidR="00213A31">
        <w:t xml:space="preserve">The PUCO </w:t>
      </w:r>
      <w:r w:rsidRPr="00B37813">
        <w:t xml:space="preserve">Staff acknowledges that the </w:t>
      </w:r>
      <w:r>
        <w:t xml:space="preserve">number of </w:t>
      </w:r>
      <w:r w:rsidRPr="00B37813">
        <w:t xml:space="preserve">reduction in outages has been relatively small.  </w:t>
      </w:r>
      <w:r>
        <w:t xml:space="preserve">This small number of </w:t>
      </w:r>
      <w:r w:rsidR="00EE1646">
        <w:t xml:space="preserve">reduced </w:t>
      </w:r>
      <w:r>
        <w:t xml:space="preserve">outages should be evaluated in light of the level of spending necessary to achieve </w:t>
      </w:r>
      <w:r w:rsidR="00EE1646">
        <w:t xml:space="preserve">such a </w:t>
      </w:r>
      <w:r>
        <w:t xml:space="preserve">minimal reliability improvement. </w:t>
      </w:r>
      <w:r w:rsidR="00213A31">
        <w:t xml:space="preserve"> </w:t>
      </w:r>
    </w:p>
    <w:p w:rsidR="00546F82" w:rsidRPr="00B37813" w:rsidRDefault="00546F82" w:rsidP="00546F82">
      <w:pPr>
        <w:pStyle w:val="ListParagraph"/>
        <w:spacing w:line="480" w:lineRule="auto"/>
        <w:ind w:left="0" w:firstLine="720"/>
      </w:pPr>
      <w:r w:rsidRPr="00B37813">
        <w:t>Table 1 provides a summary of each of the DIR programs that were expected to improve reliability, the costs that customers paid for each program, the actual number of reduced outages, and the cost that were paid per avoided outage.</w:t>
      </w:r>
      <w:r w:rsidR="00316F40">
        <w:t xml:space="preserve">  As noted below in Table 1 for 5 of the 27 DIR work components, AEP Ohio spent over $28 million in 2013 to achieve the 306 claimed avoided outages.  </w:t>
      </w:r>
    </w:p>
    <w:p w:rsidR="00546F82" w:rsidRPr="00213A31" w:rsidRDefault="00546F82" w:rsidP="00546F82">
      <w:pPr>
        <w:pStyle w:val="ListParagraph"/>
        <w:ind w:left="360"/>
        <w:jc w:val="center"/>
        <w:rPr>
          <w:b/>
        </w:rPr>
      </w:pPr>
      <w:r w:rsidRPr="00213A31">
        <w:rPr>
          <w:b/>
        </w:rPr>
        <w:t>Table 1:  DIR Cost and Impact on Reliability</w:t>
      </w:r>
    </w:p>
    <w:p w:rsidR="00546F82" w:rsidRPr="00213A31" w:rsidRDefault="00546F82" w:rsidP="00546F82">
      <w:pPr>
        <w:pStyle w:val="ListParagraph"/>
        <w:ind w:left="36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2257"/>
        <w:gridCol w:w="2176"/>
        <w:gridCol w:w="2193"/>
      </w:tblGrid>
      <w:tr w:rsidR="00546F82" w:rsidRPr="00B37813" w:rsidTr="00213A31">
        <w:tc>
          <w:tcPr>
            <w:tcW w:w="2394" w:type="dxa"/>
            <w:shd w:val="clear" w:color="auto" w:fill="auto"/>
          </w:tcPr>
          <w:p w:rsidR="00546F82" w:rsidRPr="00D004B4" w:rsidRDefault="00546F82" w:rsidP="00213A31">
            <w:pPr>
              <w:pStyle w:val="ListParagraph"/>
              <w:ind w:left="0"/>
              <w:jc w:val="center"/>
              <w:rPr>
                <w:rFonts w:eastAsia="Calibri"/>
              </w:rPr>
            </w:pPr>
            <w:r w:rsidRPr="00D004B4">
              <w:rPr>
                <w:rFonts w:eastAsia="Calibri"/>
              </w:rPr>
              <w:t>Program</w:t>
            </w:r>
          </w:p>
        </w:tc>
        <w:tc>
          <w:tcPr>
            <w:tcW w:w="2394" w:type="dxa"/>
            <w:shd w:val="clear" w:color="auto" w:fill="auto"/>
          </w:tcPr>
          <w:p w:rsidR="00546F82" w:rsidRPr="00D004B4" w:rsidRDefault="00546F82" w:rsidP="00213A31">
            <w:pPr>
              <w:pStyle w:val="ListParagraph"/>
              <w:ind w:left="0"/>
              <w:jc w:val="center"/>
              <w:rPr>
                <w:rFonts w:eastAsia="Calibri"/>
              </w:rPr>
            </w:pPr>
            <w:r w:rsidRPr="00D004B4">
              <w:rPr>
                <w:rFonts w:eastAsia="Calibri"/>
              </w:rPr>
              <w:t>2013 Expenditures</w:t>
            </w:r>
            <w:r>
              <w:rPr>
                <w:rStyle w:val="FootnoteReference"/>
                <w:rFonts w:eastAsia="Calibri"/>
              </w:rPr>
              <w:footnoteReference w:id="30"/>
            </w:r>
          </w:p>
        </w:tc>
        <w:tc>
          <w:tcPr>
            <w:tcW w:w="2394" w:type="dxa"/>
            <w:shd w:val="clear" w:color="auto" w:fill="auto"/>
          </w:tcPr>
          <w:p w:rsidR="00546F82" w:rsidRPr="00D004B4" w:rsidRDefault="00546F82" w:rsidP="00213A31">
            <w:pPr>
              <w:pStyle w:val="ListParagraph"/>
              <w:ind w:left="0"/>
              <w:jc w:val="center"/>
              <w:rPr>
                <w:rFonts w:eastAsia="Calibri"/>
              </w:rPr>
            </w:pPr>
            <w:r w:rsidRPr="00D004B4">
              <w:rPr>
                <w:rFonts w:eastAsia="Calibri"/>
              </w:rPr>
              <w:t>Reduction in Outages</w:t>
            </w:r>
            <w:r>
              <w:rPr>
                <w:rStyle w:val="FootnoteReference"/>
                <w:rFonts w:eastAsia="Calibri"/>
              </w:rPr>
              <w:footnoteReference w:id="31"/>
            </w:r>
          </w:p>
        </w:tc>
        <w:tc>
          <w:tcPr>
            <w:tcW w:w="2394" w:type="dxa"/>
            <w:shd w:val="clear" w:color="auto" w:fill="auto"/>
          </w:tcPr>
          <w:p w:rsidR="00546F82" w:rsidRPr="00D004B4" w:rsidRDefault="00546F82" w:rsidP="00213A31">
            <w:pPr>
              <w:pStyle w:val="ListParagraph"/>
              <w:ind w:left="0"/>
              <w:jc w:val="center"/>
              <w:rPr>
                <w:rFonts w:eastAsia="Calibri"/>
              </w:rPr>
            </w:pPr>
            <w:r w:rsidRPr="00D004B4">
              <w:rPr>
                <w:rFonts w:eastAsia="Calibri"/>
              </w:rPr>
              <w:t>Cost for Each Avoided Outage</w:t>
            </w:r>
            <w:r>
              <w:rPr>
                <w:rStyle w:val="FootnoteReference"/>
                <w:rFonts w:eastAsia="Calibri"/>
              </w:rPr>
              <w:footnoteReference w:id="32"/>
            </w:r>
          </w:p>
        </w:tc>
      </w:tr>
      <w:tr w:rsidR="00546F82" w:rsidRPr="00B37813" w:rsidTr="00213A31">
        <w:tc>
          <w:tcPr>
            <w:tcW w:w="2394" w:type="dxa"/>
            <w:shd w:val="clear" w:color="auto" w:fill="auto"/>
          </w:tcPr>
          <w:p w:rsidR="00546F82" w:rsidRPr="00D004B4" w:rsidRDefault="00546F82" w:rsidP="00213A31">
            <w:pPr>
              <w:pStyle w:val="ListParagraph"/>
              <w:ind w:left="0"/>
              <w:jc w:val="center"/>
              <w:rPr>
                <w:rFonts w:eastAsia="Calibri"/>
              </w:rPr>
            </w:pPr>
            <w:r w:rsidRPr="00D004B4">
              <w:rPr>
                <w:rFonts w:eastAsia="Calibri"/>
              </w:rPr>
              <w:t>Animal Mitigation Station</w:t>
            </w:r>
          </w:p>
        </w:tc>
        <w:tc>
          <w:tcPr>
            <w:tcW w:w="2394" w:type="dxa"/>
            <w:shd w:val="clear" w:color="auto" w:fill="auto"/>
          </w:tcPr>
          <w:p w:rsidR="00546F82" w:rsidRPr="00D004B4" w:rsidRDefault="00213A31" w:rsidP="00213A31">
            <w:pPr>
              <w:pStyle w:val="ListParagraph"/>
              <w:ind w:left="0"/>
              <w:jc w:val="center"/>
              <w:rPr>
                <w:rFonts w:eastAsia="Calibri"/>
              </w:rPr>
            </w:pPr>
            <w:r>
              <w:rPr>
                <w:rFonts w:eastAsia="Calibri"/>
              </w:rPr>
              <w:t>$</w:t>
            </w:r>
            <w:r w:rsidR="00546F82" w:rsidRPr="00D004B4">
              <w:rPr>
                <w:rFonts w:eastAsia="Calibri"/>
              </w:rPr>
              <w:t>93,533</w:t>
            </w:r>
          </w:p>
        </w:tc>
        <w:tc>
          <w:tcPr>
            <w:tcW w:w="2394" w:type="dxa"/>
            <w:shd w:val="clear" w:color="auto" w:fill="auto"/>
          </w:tcPr>
          <w:p w:rsidR="00546F82" w:rsidRPr="00D004B4" w:rsidRDefault="00546F82" w:rsidP="00213A31">
            <w:pPr>
              <w:pStyle w:val="ListParagraph"/>
              <w:ind w:left="0"/>
              <w:jc w:val="center"/>
              <w:rPr>
                <w:rFonts w:eastAsia="Calibri"/>
              </w:rPr>
            </w:pPr>
            <w:r w:rsidRPr="00D004B4">
              <w:rPr>
                <w:rFonts w:eastAsia="Calibri"/>
              </w:rPr>
              <w:t>4</w:t>
            </w:r>
          </w:p>
        </w:tc>
        <w:tc>
          <w:tcPr>
            <w:tcW w:w="2394" w:type="dxa"/>
            <w:shd w:val="clear" w:color="auto" w:fill="auto"/>
          </w:tcPr>
          <w:p w:rsidR="00546F82" w:rsidRPr="00D004B4" w:rsidRDefault="00546F82" w:rsidP="00213A31">
            <w:pPr>
              <w:pStyle w:val="ListParagraph"/>
              <w:ind w:left="0"/>
              <w:jc w:val="center"/>
              <w:rPr>
                <w:rFonts w:eastAsia="Calibri"/>
              </w:rPr>
            </w:pPr>
            <w:r w:rsidRPr="00D004B4">
              <w:rPr>
                <w:rFonts w:eastAsia="Calibri"/>
              </w:rPr>
              <w:t>$23,382</w:t>
            </w:r>
          </w:p>
        </w:tc>
      </w:tr>
      <w:tr w:rsidR="00546F82" w:rsidRPr="00B37813" w:rsidTr="00213A31">
        <w:tc>
          <w:tcPr>
            <w:tcW w:w="2394" w:type="dxa"/>
            <w:shd w:val="clear" w:color="auto" w:fill="auto"/>
          </w:tcPr>
          <w:p w:rsidR="00546F82" w:rsidRPr="00D004B4" w:rsidRDefault="00546F82" w:rsidP="00213A31">
            <w:pPr>
              <w:pStyle w:val="ListParagraph"/>
              <w:ind w:left="0"/>
              <w:jc w:val="center"/>
              <w:rPr>
                <w:rFonts w:eastAsia="Calibri"/>
              </w:rPr>
            </w:pPr>
            <w:r w:rsidRPr="00D004B4">
              <w:rPr>
                <w:rFonts w:eastAsia="Calibri"/>
              </w:rPr>
              <w:t>Lightning Mitigation</w:t>
            </w:r>
          </w:p>
        </w:tc>
        <w:tc>
          <w:tcPr>
            <w:tcW w:w="2394" w:type="dxa"/>
            <w:shd w:val="clear" w:color="auto" w:fill="auto"/>
          </w:tcPr>
          <w:p w:rsidR="00546F82" w:rsidRPr="00D004B4" w:rsidRDefault="00213A31" w:rsidP="00213A31">
            <w:pPr>
              <w:pStyle w:val="ListParagraph"/>
              <w:ind w:left="0"/>
              <w:jc w:val="center"/>
              <w:rPr>
                <w:rFonts w:eastAsia="Calibri"/>
              </w:rPr>
            </w:pPr>
            <w:r>
              <w:rPr>
                <w:rFonts w:eastAsia="Calibri"/>
              </w:rPr>
              <w:t>$</w:t>
            </w:r>
            <w:r w:rsidR="00546F82" w:rsidRPr="00D004B4">
              <w:rPr>
                <w:rFonts w:eastAsia="Calibri"/>
              </w:rPr>
              <w:t>34,320</w:t>
            </w:r>
          </w:p>
        </w:tc>
        <w:tc>
          <w:tcPr>
            <w:tcW w:w="2394" w:type="dxa"/>
            <w:shd w:val="clear" w:color="auto" w:fill="auto"/>
          </w:tcPr>
          <w:p w:rsidR="00546F82" w:rsidRPr="00D004B4" w:rsidRDefault="00546F82" w:rsidP="00213A31">
            <w:pPr>
              <w:pStyle w:val="ListParagraph"/>
              <w:ind w:left="0"/>
              <w:jc w:val="center"/>
              <w:rPr>
                <w:rFonts w:eastAsia="Calibri"/>
              </w:rPr>
            </w:pPr>
            <w:r w:rsidRPr="00D004B4">
              <w:rPr>
                <w:rFonts w:eastAsia="Calibri"/>
              </w:rPr>
              <w:t>5</w:t>
            </w:r>
          </w:p>
        </w:tc>
        <w:tc>
          <w:tcPr>
            <w:tcW w:w="2394" w:type="dxa"/>
            <w:shd w:val="clear" w:color="auto" w:fill="auto"/>
          </w:tcPr>
          <w:p w:rsidR="00546F82" w:rsidRPr="00D004B4" w:rsidRDefault="00546F82" w:rsidP="00213A31">
            <w:pPr>
              <w:pStyle w:val="ListParagraph"/>
              <w:ind w:left="0"/>
              <w:jc w:val="center"/>
              <w:rPr>
                <w:rFonts w:eastAsia="Calibri"/>
              </w:rPr>
            </w:pPr>
            <w:r w:rsidRPr="00D004B4">
              <w:rPr>
                <w:rFonts w:eastAsia="Calibri"/>
              </w:rPr>
              <w:t>$6,864</w:t>
            </w:r>
          </w:p>
        </w:tc>
      </w:tr>
      <w:tr w:rsidR="00546F82" w:rsidRPr="00B37813" w:rsidTr="00213A31">
        <w:tc>
          <w:tcPr>
            <w:tcW w:w="2394" w:type="dxa"/>
            <w:shd w:val="clear" w:color="auto" w:fill="auto"/>
          </w:tcPr>
          <w:p w:rsidR="00546F82" w:rsidRPr="00D004B4" w:rsidRDefault="00546F82" w:rsidP="00213A31">
            <w:pPr>
              <w:pStyle w:val="ListParagraph"/>
              <w:ind w:left="0"/>
              <w:jc w:val="center"/>
              <w:rPr>
                <w:rFonts w:eastAsia="Calibri"/>
              </w:rPr>
            </w:pPr>
            <w:r w:rsidRPr="00D004B4">
              <w:rPr>
                <w:rFonts w:eastAsia="Calibri"/>
              </w:rPr>
              <w:t>Underground Cable Replacement</w:t>
            </w:r>
          </w:p>
        </w:tc>
        <w:tc>
          <w:tcPr>
            <w:tcW w:w="2394" w:type="dxa"/>
            <w:shd w:val="clear" w:color="auto" w:fill="auto"/>
          </w:tcPr>
          <w:p w:rsidR="00546F82" w:rsidRPr="00D004B4" w:rsidRDefault="00213A31" w:rsidP="00213A31">
            <w:pPr>
              <w:pStyle w:val="ListParagraph"/>
              <w:ind w:left="0"/>
              <w:jc w:val="center"/>
              <w:rPr>
                <w:rFonts w:eastAsia="Calibri"/>
              </w:rPr>
            </w:pPr>
            <w:r>
              <w:rPr>
                <w:rFonts w:eastAsia="Calibri"/>
              </w:rPr>
              <w:t>$</w:t>
            </w:r>
            <w:r w:rsidR="00546F82" w:rsidRPr="00D004B4">
              <w:rPr>
                <w:rFonts w:eastAsia="Calibri"/>
              </w:rPr>
              <w:t>19,556,101</w:t>
            </w:r>
          </w:p>
        </w:tc>
        <w:tc>
          <w:tcPr>
            <w:tcW w:w="2394" w:type="dxa"/>
            <w:shd w:val="clear" w:color="auto" w:fill="auto"/>
          </w:tcPr>
          <w:p w:rsidR="00546F82" w:rsidRPr="00D004B4" w:rsidRDefault="00546F82" w:rsidP="00213A31">
            <w:pPr>
              <w:pStyle w:val="ListParagraph"/>
              <w:ind w:left="0"/>
              <w:jc w:val="center"/>
              <w:rPr>
                <w:rFonts w:eastAsia="Calibri"/>
              </w:rPr>
            </w:pPr>
            <w:r w:rsidRPr="00D004B4">
              <w:rPr>
                <w:rFonts w:eastAsia="Calibri"/>
              </w:rPr>
              <w:t>3</w:t>
            </w:r>
          </w:p>
        </w:tc>
        <w:tc>
          <w:tcPr>
            <w:tcW w:w="2394" w:type="dxa"/>
            <w:shd w:val="clear" w:color="auto" w:fill="auto"/>
          </w:tcPr>
          <w:p w:rsidR="00546F82" w:rsidRPr="00D004B4" w:rsidRDefault="00546F82" w:rsidP="00213A31">
            <w:pPr>
              <w:pStyle w:val="ListParagraph"/>
              <w:ind w:left="0"/>
              <w:jc w:val="center"/>
              <w:rPr>
                <w:rFonts w:eastAsia="Calibri"/>
              </w:rPr>
            </w:pPr>
            <w:r w:rsidRPr="00D004B4">
              <w:rPr>
                <w:rFonts w:eastAsia="Calibri"/>
              </w:rPr>
              <w:t>$6,518,700</w:t>
            </w:r>
          </w:p>
        </w:tc>
      </w:tr>
      <w:tr w:rsidR="00546F82" w:rsidRPr="00B37813" w:rsidTr="00213A31">
        <w:tc>
          <w:tcPr>
            <w:tcW w:w="2394" w:type="dxa"/>
            <w:shd w:val="clear" w:color="auto" w:fill="auto"/>
          </w:tcPr>
          <w:p w:rsidR="00546F82" w:rsidRPr="00D004B4" w:rsidRDefault="00546F82" w:rsidP="00213A31">
            <w:pPr>
              <w:pStyle w:val="ListParagraph"/>
              <w:ind w:left="0"/>
              <w:jc w:val="center"/>
              <w:rPr>
                <w:rFonts w:eastAsia="Calibri"/>
              </w:rPr>
            </w:pPr>
            <w:r w:rsidRPr="00D004B4">
              <w:rPr>
                <w:rFonts w:eastAsia="Calibri"/>
              </w:rPr>
              <w:t>Small Wire Replacement</w:t>
            </w:r>
          </w:p>
        </w:tc>
        <w:tc>
          <w:tcPr>
            <w:tcW w:w="2394" w:type="dxa"/>
            <w:shd w:val="clear" w:color="auto" w:fill="auto"/>
          </w:tcPr>
          <w:p w:rsidR="00546F82" w:rsidRPr="00D004B4" w:rsidRDefault="00213A31" w:rsidP="00213A31">
            <w:pPr>
              <w:pStyle w:val="ListParagraph"/>
              <w:ind w:left="0"/>
              <w:jc w:val="center"/>
              <w:rPr>
                <w:rFonts w:eastAsia="Calibri"/>
              </w:rPr>
            </w:pPr>
            <w:r>
              <w:rPr>
                <w:rFonts w:eastAsia="Calibri"/>
              </w:rPr>
              <w:t>$</w:t>
            </w:r>
            <w:r w:rsidR="00546F82" w:rsidRPr="00D004B4">
              <w:rPr>
                <w:rFonts w:eastAsia="Calibri"/>
              </w:rPr>
              <w:t>6,952,659</w:t>
            </w:r>
          </w:p>
        </w:tc>
        <w:tc>
          <w:tcPr>
            <w:tcW w:w="2394" w:type="dxa"/>
            <w:shd w:val="clear" w:color="auto" w:fill="auto"/>
          </w:tcPr>
          <w:p w:rsidR="00546F82" w:rsidRPr="00D004B4" w:rsidRDefault="00546F82" w:rsidP="00213A31">
            <w:pPr>
              <w:pStyle w:val="ListParagraph"/>
              <w:ind w:left="0"/>
              <w:jc w:val="center"/>
              <w:rPr>
                <w:rFonts w:eastAsia="Calibri"/>
              </w:rPr>
            </w:pPr>
            <w:r w:rsidRPr="00D004B4">
              <w:rPr>
                <w:rFonts w:eastAsia="Calibri"/>
              </w:rPr>
              <w:t>4</w:t>
            </w:r>
          </w:p>
        </w:tc>
        <w:tc>
          <w:tcPr>
            <w:tcW w:w="2394" w:type="dxa"/>
            <w:shd w:val="clear" w:color="auto" w:fill="auto"/>
          </w:tcPr>
          <w:p w:rsidR="00546F82" w:rsidRPr="00D004B4" w:rsidRDefault="00546F82" w:rsidP="00213A31">
            <w:pPr>
              <w:pStyle w:val="ListParagraph"/>
              <w:ind w:left="0"/>
              <w:jc w:val="center"/>
              <w:rPr>
                <w:rFonts w:eastAsia="Calibri"/>
              </w:rPr>
            </w:pPr>
            <w:r w:rsidRPr="00D004B4">
              <w:rPr>
                <w:rFonts w:eastAsia="Calibri"/>
              </w:rPr>
              <w:t>$1,738,165</w:t>
            </w:r>
          </w:p>
        </w:tc>
      </w:tr>
      <w:tr w:rsidR="00546F82" w:rsidRPr="00B37813" w:rsidTr="00213A31">
        <w:tc>
          <w:tcPr>
            <w:tcW w:w="2394" w:type="dxa"/>
            <w:shd w:val="clear" w:color="auto" w:fill="auto"/>
          </w:tcPr>
          <w:p w:rsidR="00546F82" w:rsidRPr="00D004B4" w:rsidRDefault="00546F82" w:rsidP="00213A31">
            <w:pPr>
              <w:pStyle w:val="ListParagraph"/>
              <w:ind w:left="0"/>
              <w:jc w:val="center"/>
              <w:rPr>
                <w:rFonts w:eastAsia="Calibri"/>
              </w:rPr>
            </w:pPr>
            <w:r w:rsidRPr="00D004B4">
              <w:rPr>
                <w:rFonts w:eastAsia="Calibri"/>
              </w:rPr>
              <w:t>Overhead Circuit Inspection and Repair</w:t>
            </w:r>
          </w:p>
        </w:tc>
        <w:tc>
          <w:tcPr>
            <w:tcW w:w="2394" w:type="dxa"/>
            <w:shd w:val="clear" w:color="auto" w:fill="auto"/>
          </w:tcPr>
          <w:p w:rsidR="00546F82" w:rsidRPr="00D004B4" w:rsidRDefault="00213A31" w:rsidP="00213A31">
            <w:pPr>
              <w:pStyle w:val="ListParagraph"/>
              <w:ind w:left="0"/>
              <w:jc w:val="center"/>
              <w:rPr>
                <w:rFonts w:eastAsia="Calibri"/>
              </w:rPr>
            </w:pPr>
            <w:r>
              <w:rPr>
                <w:rFonts w:eastAsia="Calibri"/>
              </w:rPr>
              <w:t>$</w:t>
            </w:r>
            <w:r w:rsidR="00546F82" w:rsidRPr="00D004B4">
              <w:rPr>
                <w:rFonts w:eastAsia="Calibri"/>
              </w:rPr>
              <w:t>1,623,785</w:t>
            </w:r>
          </w:p>
        </w:tc>
        <w:tc>
          <w:tcPr>
            <w:tcW w:w="2394" w:type="dxa"/>
            <w:shd w:val="clear" w:color="auto" w:fill="auto"/>
          </w:tcPr>
          <w:p w:rsidR="00546F82" w:rsidRPr="00D004B4" w:rsidRDefault="00546F82" w:rsidP="00213A31">
            <w:pPr>
              <w:pStyle w:val="ListParagraph"/>
              <w:ind w:left="0"/>
              <w:jc w:val="center"/>
              <w:rPr>
                <w:rFonts w:eastAsia="Calibri"/>
              </w:rPr>
            </w:pPr>
            <w:r w:rsidRPr="00D004B4">
              <w:rPr>
                <w:rFonts w:eastAsia="Calibri"/>
              </w:rPr>
              <w:t>291</w:t>
            </w:r>
          </w:p>
        </w:tc>
        <w:tc>
          <w:tcPr>
            <w:tcW w:w="2394" w:type="dxa"/>
            <w:shd w:val="clear" w:color="auto" w:fill="auto"/>
          </w:tcPr>
          <w:p w:rsidR="00546F82" w:rsidRPr="00D004B4" w:rsidRDefault="00546F82" w:rsidP="00213A31">
            <w:pPr>
              <w:pStyle w:val="ListParagraph"/>
              <w:ind w:left="0"/>
              <w:jc w:val="center"/>
              <w:rPr>
                <w:rFonts w:eastAsia="Calibri"/>
              </w:rPr>
            </w:pPr>
            <w:r w:rsidRPr="00D004B4">
              <w:rPr>
                <w:rFonts w:eastAsia="Calibri"/>
              </w:rPr>
              <w:t>$5,580</w:t>
            </w:r>
          </w:p>
        </w:tc>
      </w:tr>
      <w:tr w:rsidR="00546F82" w:rsidRPr="00B37813" w:rsidTr="00213A31">
        <w:tc>
          <w:tcPr>
            <w:tcW w:w="2394" w:type="dxa"/>
            <w:shd w:val="clear" w:color="auto" w:fill="auto"/>
          </w:tcPr>
          <w:p w:rsidR="00546F82" w:rsidRPr="00D004B4" w:rsidRDefault="00546F82" w:rsidP="00213A31">
            <w:pPr>
              <w:pStyle w:val="ListParagraph"/>
              <w:ind w:left="0"/>
              <w:jc w:val="center"/>
              <w:rPr>
                <w:rFonts w:eastAsia="Calibri"/>
              </w:rPr>
            </w:pPr>
            <w:r w:rsidRPr="00D004B4">
              <w:rPr>
                <w:rFonts w:eastAsia="Calibri"/>
              </w:rPr>
              <w:t>Total</w:t>
            </w:r>
          </w:p>
        </w:tc>
        <w:tc>
          <w:tcPr>
            <w:tcW w:w="2394" w:type="dxa"/>
            <w:shd w:val="clear" w:color="auto" w:fill="auto"/>
          </w:tcPr>
          <w:p w:rsidR="00546F82" w:rsidRPr="00D004B4" w:rsidRDefault="00213A31" w:rsidP="00213A31">
            <w:pPr>
              <w:pStyle w:val="ListParagraph"/>
              <w:ind w:left="0"/>
              <w:jc w:val="center"/>
              <w:rPr>
                <w:rFonts w:eastAsia="Calibri"/>
              </w:rPr>
            </w:pPr>
            <w:r>
              <w:rPr>
                <w:rFonts w:eastAsia="Calibri"/>
              </w:rPr>
              <w:t>$</w:t>
            </w:r>
            <w:r w:rsidR="00546F82" w:rsidRPr="00D004B4">
              <w:rPr>
                <w:rFonts w:eastAsia="Calibri"/>
              </w:rPr>
              <w:t>28,260,398</w:t>
            </w:r>
          </w:p>
        </w:tc>
        <w:tc>
          <w:tcPr>
            <w:tcW w:w="2394" w:type="dxa"/>
            <w:shd w:val="clear" w:color="auto" w:fill="auto"/>
          </w:tcPr>
          <w:p w:rsidR="00546F82" w:rsidRPr="00D004B4" w:rsidRDefault="00546F82" w:rsidP="00213A31">
            <w:pPr>
              <w:pStyle w:val="ListParagraph"/>
              <w:ind w:left="0"/>
              <w:jc w:val="center"/>
              <w:rPr>
                <w:rFonts w:eastAsia="Calibri"/>
              </w:rPr>
            </w:pPr>
            <w:r w:rsidRPr="00D004B4">
              <w:rPr>
                <w:rFonts w:eastAsia="Calibri"/>
              </w:rPr>
              <w:t>306</w:t>
            </w:r>
          </w:p>
        </w:tc>
        <w:tc>
          <w:tcPr>
            <w:tcW w:w="2394" w:type="dxa"/>
            <w:shd w:val="clear" w:color="auto" w:fill="auto"/>
          </w:tcPr>
          <w:p w:rsidR="00546F82" w:rsidRPr="00D004B4" w:rsidRDefault="00546F82" w:rsidP="00213A31">
            <w:pPr>
              <w:pStyle w:val="ListParagraph"/>
              <w:ind w:left="0"/>
              <w:jc w:val="center"/>
              <w:rPr>
                <w:rFonts w:eastAsia="Calibri"/>
              </w:rPr>
            </w:pPr>
          </w:p>
        </w:tc>
      </w:tr>
    </w:tbl>
    <w:p w:rsidR="00546F82" w:rsidRDefault="00546F82" w:rsidP="00546F82">
      <w:pPr>
        <w:pStyle w:val="ListParagraph"/>
        <w:ind w:left="360"/>
        <w:jc w:val="center"/>
      </w:pPr>
    </w:p>
    <w:p w:rsidR="00BE7E06" w:rsidRDefault="00BE7E06" w:rsidP="00BE7E06">
      <w:pPr>
        <w:pStyle w:val="ListParagraph"/>
        <w:spacing w:line="480" w:lineRule="auto"/>
        <w:ind w:left="0"/>
      </w:pPr>
      <w:r>
        <w:t xml:space="preserve">Even if we accept the number of claimed avoided outages, the cost for each avoided outage is significant and should be more closely analyzed.  </w:t>
      </w:r>
    </w:p>
    <w:p w:rsidR="009766CD" w:rsidRPr="00644C6D" w:rsidRDefault="00546F82" w:rsidP="00326F63">
      <w:pPr>
        <w:pStyle w:val="ListParagraph"/>
        <w:spacing w:line="480" w:lineRule="auto"/>
        <w:ind w:left="0" w:firstLine="720"/>
      </w:pPr>
      <w:r w:rsidRPr="00644C6D">
        <w:t>As reflected in Table 1, the cost for each avoided outage was very expensive</w:t>
      </w:r>
      <w:r w:rsidR="009766CD" w:rsidRPr="00644C6D">
        <w:t xml:space="preserve"> and dwarfs the amount that customers paid for the minimal improvement.  </w:t>
      </w:r>
      <w:r w:rsidRPr="00644C6D">
        <w:t>In fact, the cost of $6,518,700 for each avoided outage associated with the Underground Cable Replacement Prog</w:t>
      </w:r>
      <w:r w:rsidR="009C2B57" w:rsidRPr="00644C6D">
        <w:t>ram should prompt the PUCO</w:t>
      </w:r>
      <w:r w:rsidRPr="00644C6D">
        <w:t xml:space="preserve"> to take a second look at the need for continuing the DIR.  </w:t>
      </w:r>
      <w:r w:rsidR="00316F40">
        <w:t>While t</w:t>
      </w:r>
      <w:r w:rsidR="009C2B57" w:rsidRPr="00644C6D">
        <w:t xml:space="preserve">he PUCO </w:t>
      </w:r>
      <w:r w:rsidRPr="00644C6D">
        <w:t>Staff claims that more improvement should be realized the longer the plant remains in service</w:t>
      </w:r>
      <w:r w:rsidR="00316F40">
        <w:t>,</w:t>
      </w:r>
      <w:r w:rsidRPr="00644C6D">
        <w:t xml:space="preserve"> there has been no evaluation performed by PUCO Staff or the Utility to further </w:t>
      </w:r>
      <w:r w:rsidR="009766CD" w:rsidRPr="00644C6D">
        <w:t>substantiate this assertion.</w:t>
      </w:r>
      <w:r w:rsidRPr="00644C6D">
        <w:t xml:space="preserve">  </w:t>
      </w:r>
    </w:p>
    <w:p w:rsidR="00546F82" w:rsidRPr="00326F63" w:rsidRDefault="00546F82" w:rsidP="00326F63">
      <w:pPr>
        <w:pStyle w:val="ListParagraph"/>
        <w:spacing w:line="480" w:lineRule="auto"/>
        <w:ind w:left="0" w:firstLine="720"/>
      </w:pPr>
      <w:r>
        <w:t>The Utilit</w:t>
      </w:r>
      <w:r w:rsidRPr="00B37813">
        <w:t xml:space="preserve">y and or Staff should report any reduction in outages in 2014 that are attributed to DIR improvements that were made in 2013.  In addition to just reporting the avoided outages, the </w:t>
      </w:r>
      <w:r>
        <w:t xml:space="preserve">PUCO </w:t>
      </w:r>
      <w:r w:rsidRPr="00B37813">
        <w:t>Staff an</w:t>
      </w:r>
      <w:r>
        <w:t xml:space="preserve">d or Utility should report the </w:t>
      </w:r>
      <w:r w:rsidRPr="00B37813">
        <w:t xml:space="preserve">number of avoided </w:t>
      </w:r>
      <w:r>
        <w:t>CI</w:t>
      </w:r>
      <w:r w:rsidRPr="00B37813">
        <w:t xml:space="preserve"> and the avoided </w:t>
      </w:r>
      <w:r>
        <w:t>CMI</w:t>
      </w:r>
      <w:r w:rsidR="009C2B57">
        <w:t>.  Furthermore, since each AEP</w:t>
      </w:r>
      <w:r w:rsidR="00316F40">
        <w:t xml:space="preserve"> </w:t>
      </w:r>
      <w:r w:rsidRPr="00B37813">
        <w:t xml:space="preserve">Ohio </w:t>
      </w:r>
      <w:r w:rsidR="002A4396">
        <w:t xml:space="preserve">circuit </w:t>
      </w:r>
      <w:r w:rsidRPr="00B37813">
        <w:t>has a defined</w:t>
      </w:r>
      <w:r>
        <w:t xml:space="preserve"> </w:t>
      </w:r>
      <w:r w:rsidR="006B1AEA">
        <w:t>system average interruption duration index (“</w:t>
      </w:r>
      <w:r>
        <w:t>SAIDI</w:t>
      </w:r>
      <w:r w:rsidR="006B1AEA">
        <w:t>”)</w:t>
      </w:r>
      <w:r>
        <w:t xml:space="preserve"> and </w:t>
      </w:r>
      <w:r w:rsidR="006B1AEA">
        <w:t>system average interruption frequency index (“</w:t>
      </w:r>
      <w:r>
        <w:t>SAIFI</w:t>
      </w:r>
      <w:r w:rsidR="006B1AEA">
        <w:t>”)</w:t>
      </w:r>
      <w:r>
        <w:t>, the PUCO</w:t>
      </w:r>
      <w:r w:rsidRPr="00B37813">
        <w:t xml:space="preserve"> should require reporting of the SAIFI and SAIDI on a circuit basis for each circuit that is impacted by the DIR.  This reporting will enable a better analysis of the impact of the DIR prior to the upgrades and the performance over time.  </w:t>
      </w:r>
      <w:r w:rsidR="009766CD">
        <w:t>It will also help the PUCO determine whether continuing the DIR makes sense.</w:t>
      </w:r>
      <w:r w:rsidRPr="00B37813">
        <w:t xml:space="preserve"> </w:t>
      </w:r>
    </w:p>
    <w:p w:rsidR="00A266FA" w:rsidRPr="002D77EC" w:rsidRDefault="0041665C" w:rsidP="00052814">
      <w:pPr>
        <w:pStyle w:val="Heading2"/>
      </w:pPr>
      <w:bookmarkStart w:id="12" w:name="_Toc398131520"/>
      <w:r>
        <w:t>D.</w:t>
      </w:r>
      <w:r>
        <w:tab/>
      </w:r>
      <w:r w:rsidR="00316F40">
        <w:t xml:space="preserve">As Part </w:t>
      </w:r>
      <w:r w:rsidR="00052814">
        <w:t xml:space="preserve">Of The </w:t>
      </w:r>
      <w:r w:rsidR="00316F40">
        <w:t>Annual Prudence Review</w:t>
      </w:r>
      <w:r w:rsidR="00052814">
        <w:t xml:space="preserve">, The </w:t>
      </w:r>
      <w:r w:rsidR="00A266FA">
        <w:t>Utility</w:t>
      </w:r>
      <w:r w:rsidR="00A266FA" w:rsidRPr="00B37813">
        <w:t xml:space="preserve"> </w:t>
      </w:r>
      <w:r w:rsidR="00316F40">
        <w:t>S</w:t>
      </w:r>
      <w:r w:rsidR="009766CD">
        <w:t>hould</w:t>
      </w:r>
      <w:r w:rsidR="00A266FA" w:rsidRPr="00B37813">
        <w:t xml:space="preserve"> </w:t>
      </w:r>
      <w:r w:rsidR="00316F40">
        <w:t>P</w:t>
      </w:r>
      <w:r w:rsidR="00A266FA" w:rsidRPr="00B37813">
        <w:t xml:space="preserve">erform </w:t>
      </w:r>
      <w:r w:rsidR="00052814">
        <w:t xml:space="preserve">A </w:t>
      </w:r>
      <w:r w:rsidR="00316F40">
        <w:t>B</w:t>
      </w:r>
      <w:r w:rsidR="00A266FA">
        <w:t>asic</w:t>
      </w:r>
      <w:r w:rsidR="00A266FA" w:rsidRPr="00B37813">
        <w:t xml:space="preserve"> </w:t>
      </w:r>
      <w:r w:rsidR="00316F40">
        <w:t>C</w:t>
      </w:r>
      <w:r w:rsidR="00A266FA" w:rsidRPr="00B37813">
        <w:t>ost</w:t>
      </w:r>
      <w:r w:rsidR="00052814" w:rsidRPr="00B37813">
        <w:t>-</w:t>
      </w:r>
      <w:r w:rsidR="00316F40">
        <w:t>B</w:t>
      </w:r>
      <w:r w:rsidR="00A266FA" w:rsidRPr="00B37813">
        <w:t xml:space="preserve">enefit </w:t>
      </w:r>
      <w:r w:rsidR="00316F40">
        <w:t>A</w:t>
      </w:r>
      <w:r w:rsidR="00A266FA" w:rsidRPr="00B37813">
        <w:t xml:space="preserve">nalysis </w:t>
      </w:r>
      <w:r w:rsidR="00052814" w:rsidRPr="00B37813">
        <w:t xml:space="preserve">For The </w:t>
      </w:r>
      <w:r w:rsidR="00316F40">
        <w:t>I</w:t>
      </w:r>
      <w:r w:rsidR="00A266FA" w:rsidRPr="00B37813">
        <w:t>nve</w:t>
      </w:r>
      <w:r w:rsidR="00A266FA">
        <w:t>s</w:t>
      </w:r>
      <w:r w:rsidR="00A266FA" w:rsidRPr="00B37813">
        <w:t xml:space="preserve">tments </w:t>
      </w:r>
      <w:r w:rsidR="00316F40">
        <w:t>S</w:t>
      </w:r>
      <w:r w:rsidR="009606CA">
        <w:t xml:space="preserve">ought </w:t>
      </w:r>
      <w:r w:rsidR="00052814">
        <w:t xml:space="preserve">To Be </w:t>
      </w:r>
      <w:r w:rsidR="00316F40">
        <w:t>C</w:t>
      </w:r>
      <w:r w:rsidR="009606CA">
        <w:t xml:space="preserve">ollected </w:t>
      </w:r>
      <w:r w:rsidR="00052814">
        <w:t xml:space="preserve">From </w:t>
      </w:r>
      <w:r w:rsidR="00316F40">
        <w:t>C</w:t>
      </w:r>
      <w:r w:rsidR="009606CA">
        <w:t>ustomers</w:t>
      </w:r>
      <w:r w:rsidR="00052814" w:rsidRPr="00B37813">
        <w:t>.</w:t>
      </w:r>
      <w:bookmarkEnd w:id="12"/>
    </w:p>
    <w:p w:rsidR="004E38D1" w:rsidRDefault="009C2B57" w:rsidP="00A266FA">
      <w:pPr>
        <w:pStyle w:val="ListParagraph"/>
        <w:spacing w:line="480" w:lineRule="auto"/>
        <w:ind w:left="0" w:firstLine="720"/>
      </w:pPr>
      <w:r>
        <w:t>AEP</w:t>
      </w:r>
      <w:r w:rsidR="0049460C">
        <w:t xml:space="preserve"> </w:t>
      </w:r>
      <w:r w:rsidR="00A266FA" w:rsidRPr="00B37813">
        <w:t xml:space="preserve">Ohio did not provide a cost-benefit analysis for the various DIR programs where the </w:t>
      </w:r>
      <w:r w:rsidR="00A266FA">
        <w:t>Utility</w:t>
      </w:r>
      <w:r w:rsidR="00A266FA" w:rsidRPr="00B37813">
        <w:t xml:space="preserve"> is now seeking </w:t>
      </w:r>
      <w:r w:rsidR="004E38D1">
        <w:t>audit approval</w:t>
      </w:r>
      <w:r w:rsidR="00A266FA" w:rsidRPr="00B37813">
        <w:t xml:space="preserve">.  </w:t>
      </w:r>
      <w:r w:rsidR="00501EBB">
        <w:t>In previous cases</w:t>
      </w:r>
      <w:r w:rsidR="00C9521E">
        <w:t>, such as the related</w:t>
      </w:r>
      <w:r w:rsidR="00501EBB">
        <w:t xml:space="preserve"> 2013 DIR Work Plan, </w:t>
      </w:r>
      <w:r w:rsidR="00A266FA" w:rsidRPr="00B37813">
        <w:t xml:space="preserve">OCC has been critical of </w:t>
      </w:r>
      <w:r w:rsidR="004E38D1">
        <w:t>this lack of a cost</w:t>
      </w:r>
      <w:r w:rsidR="0049460C">
        <w:t>-</w:t>
      </w:r>
      <w:r w:rsidR="004E38D1">
        <w:t xml:space="preserve">benefit analysis </w:t>
      </w:r>
      <w:r w:rsidR="00796F64">
        <w:t>especially when increased</w:t>
      </w:r>
      <w:r w:rsidR="00A266FA" w:rsidRPr="00B37813">
        <w:t xml:space="preserve"> spending </w:t>
      </w:r>
      <w:r w:rsidR="00796F64">
        <w:t>coupled with expedited recovery has</w:t>
      </w:r>
      <w:r w:rsidR="004E38D1">
        <w:t xml:space="preserve"> not result</w:t>
      </w:r>
      <w:r w:rsidR="00796F64">
        <w:t>ed</w:t>
      </w:r>
      <w:r w:rsidR="004E38D1">
        <w:t xml:space="preserve"> in quantifiable improvements in service reliability</w:t>
      </w:r>
      <w:r w:rsidR="00796F64">
        <w:t>.</w:t>
      </w:r>
      <w:r w:rsidR="00501EBB">
        <w:rPr>
          <w:rStyle w:val="FootnoteReference"/>
        </w:rPr>
        <w:footnoteReference w:id="33"/>
      </w:r>
      <w:r w:rsidR="00796F64">
        <w:t xml:space="preserve">  To the contrary,</w:t>
      </w:r>
      <w:r w:rsidR="004E38D1">
        <w:t xml:space="preserve"> as indicated above</w:t>
      </w:r>
      <w:r w:rsidR="00796F64">
        <w:t>,</w:t>
      </w:r>
      <w:r w:rsidR="004E38D1">
        <w:t xml:space="preserve"> </w:t>
      </w:r>
      <w:r w:rsidR="00796F64">
        <w:t>there has actually been an</w:t>
      </w:r>
      <w:r w:rsidR="004E38D1">
        <w:t xml:space="preserve"> increase in CI and CMI from 2012 to 2013.</w:t>
      </w:r>
      <w:r w:rsidR="004E38D1">
        <w:rPr>
          <w:rStyle w:val="FootnoteReference"/>
        </w:rPr>
        <w:footnoteReference w:id="34"/>
      </w:r>
      <w:r w:rsidR="004E38D1">
        <w:t xml:space="preserve">   </w:t>
      </w:r>
      <w:r w:rsidR="009766CD">
        <w:t xml:space="preserve">Moreover, </w:t>
      </w:r>
      <w:r w:rsidR="004E38D1">
        <w:t xml:space="preserve">accelerated cost </w:t>
      </w:r>
      <w:r w:rsidR="009766CD">
        <w:t xml:space="preserve">collection </w:t>
      </w:r>
      <w:r w:rsidR="004E38D1">
        <w:t xml:space="preserve">from customers </w:t>
      </w:r>
      <w:r w:rsidR="009766CD">
        <w:t xml:space="preserve">makes it even more difficult for customers to pay AEP rates, which are presently the </w:t>
      </w:r>
      <w:r w:rsidR="00A266FA" w:rsidRPr="00B37813">
        <w:t>highest in the state.</w:t>
      </w:r>
      <w:r w:rsidR="00A266FA" w:rsidRPr="00B37813">
        <w:rPr>
          <w:rStyle w:val="FootnoteReference"/>
        </w:rPr>
        <w:footnoteReference w:id="35"/>
      </w:r>
    </w:p>
    <w:p w:rsidR="00A266FA" w:rsidRPr="00B37813" w:rsidRDefault="00A266FA" w:rsidP="00A266FA">
      <w:pPr>
        <w:pStyle w:val="ListParagraph"/>
        <w:spacing w:line="480" w:lineRule="auto"/>
        <w:ind w:left="0" w:firstLine="720"/>
      </w:pPr>
      <w:r w:rsidRPr="00B37813">
        <w:t xml:space="preserve">Neither the PUCO Staff </w:t>
      </w:r>
      <w:r w:rsidR="00BE7E06">
        <w:t>n</w:t>
      </w:r>
      <w:r w:rsidRPr="00B37813">
        <w:t>or Larkin Associates comment</w:t>
      </w:r>
      <w:r>
        <w:t>ed</w:t>
      </w:r>
      <w:r w:rsidRPr="00B37813">
        <w:t xml:space="preserve"> on the cost</w:t>
      </w:r>
      <w:r w:rsidR="00E64A59">
        <w:t>-</w:t>
      </w:r>
      <w:r w:rsidRPr="00B37813">
        <w:t xml:space="preserve"> effectiveness of the DIR investm</w:t>
      </w:r>
      <w:r w:rsidR="009C2B57">
        <w:t>ents that were performed by AEP</w:t>
      </w:r>
      <w:r w:rsidR="0049460C">
        <w:t xml:space="preserve"> </w:t>
      </w:r>
      <w:r w:rsidRPr="00B37813">
        <w:t>Ohio.  While Larkin did selectively verify that plant was in service for a sample of the DIR Investments that were made, the cost</w:t>
      </w:r>
      <w:r w:rsidR="0049460C">
        <w:t>-</w:t>
      </w:r>
      <w:r w:rsidRPr="00B37813">
        <w:t xml:space="preserve">effectiveness of the investments remain unknown.  </w:t>
      </w:r>
      <w:r w:rsidR="009766CD">
        <w:t xml:space="preserve">Part of the prudence review should assess the </w:t>
      </w:r>
      <w:r w:rsidR="009766CD" w:rsidRPr="00B37813">
        <w:t>cost</w:t>
      </w:r>
      <w:r w:rsidR="009766CD">
        <w:t>s and benefits of the Utility’s investments.</w:t>
      </w:r>
      <w:r w:rsidR="009766CD" w:rsidRPr="00B37813">
        <w:t xml:space="preserve">  </w:t>
      </w:r>
    </w:p>
    <w:p w:rsidR="00A266FA" w:rsidRPr="00B37813" w:rsidRDefault="004E38D1" w:rsidP="00A266FA">
      <w:pPr>
        <w:pStyle w:val="ListParagraph"/>
        <w:spacing w:line="480" w:lineRule="auto"/>
        <w:ind w:left="0" w:firstLine="720"/>
      </w:pPr>
      <w:r>
        <w:t>For example, o</w:t>
      </w:r>
      <w:r w:rsidR="00A266FA" w:rsidRPr="00B37813">
        <w:t xml:space="preserve">ne measurement of the cost effectiveness of the DIR investments is how many </w:t>
      </w:r>
      <w:r w:rsidR="007B0AA0">
        <w:t>CMI</w:t>
      </w:r>
      <w:r w:rsidR="00A266FA" w:rsidRPr="00B37813">
        <w:t xml:space="preserve"> are avoided as a result of the DIR</w:t>
      </w:r>
      <w:r w:rsidR="00213A31">
        <w:t xml:space="preserve"> spending</w:t>
      </w:r>
      <w:r w:rsidR="00A266FA" w:rsidRPr="00B37813">
        <w:t>.  For the one program w</w:t>
      </w:r>
      <w:r>
        <w:t>here CMI avoided was quantified -- S</w:t>
      </w:r>
      <w:r w:rsidR="00A266FA" w:rsidRPr="00B37813">
        <w:t>ectionalizing</w:t>
      </w:r>
      <w:r>
        <w:t xml:space="preserve"> Program --</w:t>
      </w:r>
      <w:r w:rsidR="00A266FA" w:rsidRPr="00B37813">
        <w:t xml:space="preserve"> there was a </w:t>
      </w:r>
      <w:r w:rsidR="00A266FA">
        <w:t xml:space="preserve">claimed </w:t>
      </w:r>
      <w:r w:rsidR="00A266FA" w:rsidRPr="00B37813">
        <w:t>benefit of 20,400 avoided</w:t>
      </w:r>
      <w:r w:rsidR="007B0AA0">
        <w:t>.  However,</w:t>
      </w:r>
      <w:r w:rsidR="00A266FA" w:rsidRPr="00B37813">
        <w:t xml:space="preserve"> </w:t>
      </w:r>
      <w:r w:rsidR="007B0AA0">
        <w:t>when</w:t>
      </w:r>
      <w:r w:rsidR="00A266FA" w:rsidRPr="00B37813">
        <w:t xml:space="preserve"> compared with the level of investment the </w:t>
      </w:r>
      <w:r>
        <w:t>Utility</w:t>
      </w:r>
      <w:r w:rsidR="00A266FA" w:rsidRPr="00B37813">
        <w:t xml:space="preserve"> made in </w:t>
      </w:r>
      <w:r>
        <w:t>S</w:t>
      </w:r>
      <w:r w:rsidR="00A266FA" w:rsidRPr="00B37813">
        <w:t>ectionalizing</w:t>
      </w:r>
      <w:r w:rsidR="00213A31">
        <w:t xml:space="preserve"> --</w:t>
      </w:r>
      <w:r w:rsidR="00A266FA" w:rsidRPr="00B37813">
        <w:t xml:space="preserve"> $1,153,637</w:t>
      </w:r>
      <w:r w:rsidR="00A266FA" w:rsidRPr="00B37813">
        <w:rPr>
          <w:rStyle w:val="FootnoteReference"/>
        </w:rPr>
        <w:footnoteReference w:id="36"/>
      </w:r>
      <w:r w:rsidR="00213A31">
        <w:t xml:space="preserve"> --</w:t>
      </w:r>
      <w:r w:rsidR="007B0AA0">
        <w:t xml:space="preserve"> t</w:t>
      </w:r>
      <w:r w:rsidR="00326F63">
        <w:t xml:space="preserve">he result is </w:t>
      </w:r>
      <w:r w:rsidR="00A266FA" w:rsidRPr="00B37813">
        <w:t xml:space="preserve">an investment cost of about $52 per avoided </w:t>
      </w:r>
      <w:r w:rsidR="007B0AA0">
        <w:t>CMI</w:t>
      </w:r>
      <w:r w:rsidR="00A266FA" w:rsidRPr="00B37813">
        <w:t>.</w:t>
      </w:r>
      <w:r w:rsidR="00213A31">
        <w:rPr>
          <w:rStyle w:val="FootnoteReference"/>
        </w:rPr>
        <w:footnoteReference w:id="37"/>
      </w:r>
      <w:r w:rsidR="00A266FA" w:rsidRPr="00B37813">
        <w:t xml:space="preserve">  </w:t>
      </w:r>
      <w:r w:rsidR="00213A31">
        <w:t>In the AEP</w:t>
      </w:r>
      <w:r w:rsidR="0049460C">
        <w:t xml:space="preserve"> </w:t>
      </w:r>
      <w:r w:rsidR="00213A31">
        <w:t>Ohio gridSMART Phase II Application,</w:t>
      </w:r>
      <w:r w:rsidR="00213A31">
        <w:rPr>
          <w:rStyle w:val="FootnoteReference"/>
        </w:rPr>
        <w:footnoteReference w:id="38"/>
      </w:r>
      <w:r w:rsidR="00213A31">
        <w:t xml:space="preserve"> the Utility cited</w:t>
      </w:r>
      <w:r w:rsidR="00A266FA" w:rsidRPr="00B37813">
        <w:t xml:space="preserve"> to a study performed by the </w:t>
      </w:r>
      <w:r w:rsidR="00A16D29">
        <w:t xml:space="preserve">Ernest Orlando Lawrence Berkeley </w:t>
      </w:r>
      <w:r w:rsidR="00326F63">
        <w:t xml:space="preserve">National </w:t>
      </w:r>
      <w:r w:rsidR="00A16D29">
        <w:t>Laboratory (“Berkeley Lab”)</w:t>
      </w:r>
      <w:r w:rsidR="00431914">
        <w:t>.</w:t>
      </w:r>
      <w:r w:rsidR="00A16D29">
        <w:t xml:space="preserve"> </w:t>
      </w:r>
      <w:r w:rsidR="00A266FA" w:rsidRPr="00B37813">
        <w:t xml:space="preserve"> </w:t>
      </w:r>
      <w:r w:rsidR="00213A31">
        <w:t xml:space="preserve">The </w:t>
      </w:r>
      <w:r w:rsidR="00431914">
        <w:t>Berkeley Lab</w:t>
      </w:r>
      <w:r w:rsidR="00A266FA" w:rsidRPr="00B37813">
        <w:t xml:space="preserve"> </w:t>
      </w:r>
      <w:r w:rsidR="00213A31">
        <w:t xml:space="preserve">study </w:t>
      </w:r>
      <w:r w:rsidR="00A266FA" w:rsidRPr="00B37813">
        <w:t>values the cost of an outage for residential customers at approximately $3.00 per hour.</w:t>
      </w:r>
      <w:r w:rsidR="00A266FA" w:rsidRPr="00B37813">
        <w:rPr>
          <w:rStyle w:val="FootnoteReference"/>
        </w:rPr>
        <w:footnoteReference w:id="39"/>
      </w:r>
      <w:r w:rsidR="00A266FA" w:rsidRPr="00B37813">
        <w:t xml:space="preserve">  While the sectionalizing that was performed in 2013 may accrue more benefits over time, spending $52 to avoid a customer outage minute is questionable when the benefit for residential customers is around $0.05 per minute.</w:t>
      </w:r>
      <w:r w:rsidR="00213A31">
        <w:t xml:space="preserve">  A basic cost</w:t>
      </w:r>
      <w:r w:rsidR="00BE7E06">
        <w:t>-</w:t>
      </w:r>
      <w:r w:rsidR="00213A31">
        <w:t>benefit analysis wo</w:t>
      </w:r>
      <w:r w:rsidR="002A4396">
        <w:t>u</w:t>
      </w:r>
      <w:r w:rsidR="00213A31">
        <w:t>ld eva</w:t>
      </w:r>
      <w:r w:rsidR="00BE7E06">
        <w:t>l</w:t>
      </w:r>
      <w:r w:rsidR="00213A31">
        <w:t>uate the reasonableness of this spending.</w:t>
      </w:r>
      <w:r w:rsidR="00A266FA" w:rsidRPr="00B37813">
        <w:t xml:space="preserve">     </w:t>
      </w:r>
    </w:p>
    <w:p w:rsidR="00052814" w:rsidRDefault="00052814">
      <w:pPr>
        <w:rPr>
          <w:b/>
        </w:rPr>
      </w:pPr>
      <w:r>
        <w:rPr>
          <w:b/>
        </w:rPr>
        <w:br w:type="page"/>
      </w:r>
    </w:p>
    <w:p w:rsidR="00A266FA" w:rsidRPr="00B37813" w:rsidRDefault="0041665C" w:rsidP="00052814">
      <w:pPr>
        <w:pStyle w:val="Heading2"/>
      </w:pPr>
      <w:bookmarkStart w:id="13" w:name="_Toc398131521"/>
      <w:r>
        <w:t>E.</w:t>
      </w:r>
      <w:r>
        <w:tab/>
      </w:r>
      <w:r w:rsidR="009606CA">
        <w:t xml:space="preserve">AEP Ohio </w:t>
      </w:r>
      <w:r w:rsidR="0049460C">
        <w:t>S</w:t>
      </w:r>
      <w:r w:rsidR="009606CA">
        <w:t xml:space="preserve">hould </w:t>
      </w:r>
      <w:r w:rsidR="00052814">
        <w:t xml:space="preserve">Not Be </w:t>
      </w:r>
      <w:r w:rsidR="0049460C">
        <w:t>A</w:t>
      </w:r>
      <w:r w:rsidR="009606CA">
        <w:t xml:space="preserve">ble </w:t>
      </w:r>
      <w:r w:rsidR="00052814">
        <w:t xml:space="preserve">To </w:t>
      </w:r>
      <w:r w:rsidR="0049460C">
        <w:t>C</w:t>
      </w:r>
      <w:r w:rsidR="009606CA">
        <w:t xml:space="preserve">harge </w:t>
      </w:r>
      <w:r w:rsidR="0049460C">
        <w:t>C</w:t>
      </w:r>
      <w:r w:rsidR="009606CA">
        <w:t xml:space="preserve">ustomers </w:t>
      </w:r>
      <w:r w:rsidR="00052814">
        <w:t>(</w:t>
      </w:r>
      <w:r w:rsidR="0049460C">
        <w:t>T</w:t>
      </w:r>
      <w:r w:rsidR="009606CA">
        <w:t xml:space="preserve">hrough </w:t>
      </w:r>
      <w:r w:rsidR="00052814">
        <w:t xml:space="preserve">The </w:t>
      </w:r>
      <w:r w:rsidR="009606CA">
        <w:t>DIR</w:t>
      </w:r>
      <w:r w:rsidR="00052814">
        <w:t xml:space="preserve">) For </w:t>
      </w:r>
      <w:r w:rsidR="0049460C">
        <w:t>C</w:t>
      </w:r>
      <w:r w:rsidR="006054A3">
        <w:t xml:space="preserve">osts </w:t>
      </w:r>
      <w:r w:rsidR="00052814">
        <w:t xml:space="preserve">That Are </w:t>
      </w:r>
      <w:r w:rsidR="0049460C">
        <w:t>S</w:t>
      </w:r>
      <w:r w:rsidR="006054A3">
        <w:t xml:space="preserve">imply </w:t>
      </w:r>
      <w:r w:rsidR="0049460C">
        <w:t>D</w:t>
      </w:r>
      <w:r w:rsidR="006054A3">
        <w:t xml:space="preserve">efined </w:t>
      </w:r>
      <w:r w:rsidR="00052814">
        <w:t>As “</w:t>
      </w:r>
      <w:r w:rsidR="006054A3">
        <w:t>Other</w:t>
      </w:r>
      <w:r w:rsidR="00052814" w:rsidRPr="00B37813">
        <w:t>.</w:t>
      </w:r>
      <w:r w:rsidR="00052814">
        <w:t>”</w:t>
      </w:r>
      <w:bookmarkEnd w:id="13"/>
      <w:r w:rsidR="00052814" w:rsidRPr="00B37813">
        <w:t xml:space="preserve">   </w:t>
      </w:r>
    </w:p>
    <w:p w:rsidR="00490D2A" w:rsidRDefault="006054A3" w:rsidP="00490D2A">
      <w:pPr>
        <w:spacing w:line="480" w:lineRule="auto"/>
        <w:ind w:firstLine="720"/>
      </w:pPr>
      <w:r>
        <w:t xml:space="preserve">While </w:t>
      </w:r>
      <w:r w:rsidR="0049460C">
        <w:t>OCC applaud</w:t>
      </w:r>
      <w:r w:rsidR="00A9111A">
        <w:t>s</w:t>
      </w:r>
      <w:r w:rsidR="0049460C">
        <w:t xml:space="preserve"> the Staff and Auditor recommendation to disallow non-Ohio DIR e</w:t>
      </w:r>
      <w:r w:rsidR="00A9111A">
        <w:t>x</w:t>
      </w:r>
      <w:r w:rsidR="0049460C">
        <w:t>penditures</w:t>
      </w:r>
      <w:r w:rsidR="00BE7E06">
        <w:t>,</w:t>
      </w:r>
      <w:r w:rsidR="0049460C">
        <w:rPr>
          <w:rStyle w:val="FootnoteReference"/>
        </w:rPr>
        <w:footnoteReference w:id="40"/>
      </w:r>
      <w:r w:rsidR="0049460C">
        <w:t xml:space="preserve"> </w:t>
      </w:r>
      <w:r w:rsidR="00FC1CD5">
        <w:t xml:space="preserve">AEP Ohio should not be permitted </w:t>
      </w:r>
      <w:r w:rsidR="0049460C">
        <w:t xml:space="preserve">to </w:t>
      </w:r>
      <w:r w:rsidR="00FC1CD5">
        <w:t>recover</w:t>
      </w:r>
      <w:r w:rsidR="0049460C">
        <w:t xml:space="preserve"> any costs generally attributed as “Other.”</w:t>
      </w:r>
      <w:r>
        <w:t xml:space="preserve"> </w:t>
      </w:r>
      <w:r w:rsidR="0049460C">
        <w:t xml:space="preserve"> </w:t>
      </w:r>
      <w:r w:rsidR="00A266FA" w:rsidRPr="00F432FE">
        <w:t>Larkin verified that $51,336,048 was expended in the “</w:t>
      </w:r>
      <w:r>
        <w:t>O</w:t>
      </w:r>
      <w:r w:rsidR="00A266FA" w:rsidRPr="00F432FE">
        <w:t>ther” category of the DIR Plan.</w:t>
      </w:r>
      <w:r w:rsidR="00490D2A">
        <w:rPr>
          <w:rStyle w:val="FootnoteReference"/>
        </w:rPr>
        <w:footnoteReference w:id="41"/>
      </w:r>
      <w:r w:rsidR="00A266FA" w:rsidRPr="00F432FE">
        <w:t xml:space="preserve">  </w:t>
      </w:r>
      <w:r w:rsidR="004E1C06">
        <w:t>The AEP</w:t>
      </w:r>
      <w:r w:rsidR="0065207B">
        <w:t xml:space="preserve"> </w:t>
      </w:r>
      <w:r w:rsidR="00490D2A">
        <w:t>Ohio DIR Work Plan describes the “Other” category as being:</w:t>
      </w:r>
    </w:p>
    <w:p w:rsidR="00490D2A" w:rsidRDefault="00490D2A" w:rsidP="00490D2A">
      <w:pPr>
        <w:ind w:left="1440" w:right="720"/>
      </w:pPr>
      <w:r>
        <w:t xml:space="preserve">This work component includes AEP Ohio items which are involved in day to day work components of service to existing customers.  This would include such items as distribution line transformers, </w:t>
      </w:r>
      <w:r w:rsidRPr="006142DD">
        <w:rPr>
          <w:b/>
        </w:rPr>
        <w:t>customer meters, and line tools needed to perform work</w:t>
      </w:r>
      <w:r>
        <w:t>.</w:t>
      </w:r>
      <w:r>
        <w:rPr>
          <w:rStyle w:val="FootnoteReference"/>
        </w:rPr>
        <w:footnoteReference w:id="42"/>
      </w:r>
    </w:p>
    <w:p w:rsidR="00490D2A" w:rsidRDefault="00490D2A" w:rsidP="00326F63">
      <w:pPr>
        <w:pStyle w:val="ListParagraph"/>
        <w:ind w:left="0"/>
      </w:pPr>
    </w:p>
    <w:p w:rsidR="0065207B" w:rsidRDefault="00490D2A" w:rsidP="009006B6">
      <w:pPr>
        <w:pStyle w:val="ListParagraph"/>
        <w:spacing w:line="480" w:lineRule="auto"/>
        <w:ind w:left="0"/>
      </w:pPr>
      <w:r>
        <w:t>$51 million in spending</w:t>
      </w:r>
      <w:r w:rsidR="002A4396">
        <w:rPr>
          <w:rStyle w:val="FootnoteReference"/>
        </w:rPr>
        <w:footnoteReference w:id="43"/>
      </w:r>
      <w:r>
        <w:t xml:space="preserve"> is beyond the service reliability spending contemplated by the PUCO in the ESP II Order when the DIR Program was initiated</w:t>
      </w:r>
      <w:r w:rsidR="00830FFE">
        <w:t xml:space="preserve"> as a proactive distribution infrastructure plan</w:t>
      </w:r>
      <w:r>
        <w:t>.</w:t>
      </w:r>
      <w:r>
        <w:rPr>
          <w:rStyle w:val="FootnoteReference"/>
        </w:rPr>
        <w:footnoteReference w:id="44"/>
      </w:r>
      <w:r>
        <w:t xml:space="preserve">  This is because spending related to customer meters and line tools does not necessarily result in quantifiable service reliability improvements</w:t>
      </w:r>
      <w:r w:rsidR="00830FFE">
        <w:t xml:space="preserve"> and appears to be related to usual and customary utility service</w:t>
      </w:r>
      <w:r>
        <w:t xml:space="preserve">.  </w:t>
      </w:r>
      <w:r w:rsidR="0065207B">
        <w:t>A</w:t>
      </w:r>
      <w:r w:rsidR="00F6157B">
        <w:t xml:space="preserve"> miscellaneous and undefined category that accounts for over 27% of the </w:t>
      </w:r>
      <w:r w:rsidR="004E1C06">
        <w:t xml:space="preserve">total 2013 </w:t>
      </w:r>
      <w:r w:rsidR="00F6157B">
        <w:t xml:space="preserve">DIR </w:t>
      </w:r>
      <w:r w:rsidR="00FD45C3">
        <w:t>Program</w:t>
      </w:r>
      <w:r w:rsidR="00F6157B">
        <w:t xml:space="preserve"> should be cause for concern</w:t>
      </w:r>
      <w:r w:rsidR="00A12DF5">
        <w:t>.</w:t>
      </w:r>
      <w:r w:rsidR="00F6157B">
        <w:t xml:space="preserve"> </w:t>
      </w:r>
      <w:r w:rsidR="00A12DF5">
        <w:t xml:space="preserve"> </w:t>
      </w:r>
    </w:p>
    <w:p w:rsidR="00806F0C" w:rsidRDefault="00806F0C" w:rsidP="0065207B">
      <w:pPr>
        <w:pStyle w:val="ListParagraph"/>
        <w:spacing w:line="480" w:lineRule="auto"/>
        <w:ind w:left="0" w:firstLine="720"/>
      </w:pPr>
      <w:r>
        <w:t>This</w:t>
      </w:r>
      <w:r w:rsidR="00A12DF5">
        <w:t xml:space="preserve"> concern is exacerbated where the Auditor</w:t>
      </w:r>
      <w:r w:rsidR="00A266FA" w:rsidRPr="00F432FE">
        <w:t xml:space="preserve"> also </w:t>
      </w:r>
      <w:r w:rsidR="00A12DF5">
        <w:t>found</w:t>
      </w:r>
      <w:r w:rsidR="00A12DF5" w:rsidRPr="00F432FE">
        <w:t xml:space="preserve"> </w:t>
      </w:r>
      <w:r w:rsidR="00A266FA" w:rsidRPr="00F432FE">
        <w:t xml:space="preserve">that </w:t>
      </w:r>
      <w:r w:rsidR="00A12DF5">
        <w:t>the undefined “Other”</w:t>
      </w:r>
      <w:r w:rsidR="00A12DF5" w:rsidRPr="00F432FE">
        <w:t xml:space="preserve"> </w:t>
      </w:r>
      <w:r w:rsidR="00A266FA" w:rsidRPr="00F432FE">
        <w:t>expenditures were overstated by approximately</w:t>
      </w:r>
      <w:r w:rsidR="00A266FA" w:rsidRPr="00B37813">
        <w:t xml:space="preserve"> $9,571,000 as a result of reporting investments that are attributed to Wheeling Power.</w:t>
      </w:r>
      <w:r w:rsidR="00A266FA" w:rsidRPr="00B37813">
        <w:rPr>
          <w:rStyle w:val="FootnoteReference"/>
        </w:rPr>
        <w:footnoteReference w:id="45"/>
      </w:r>
      <w:r w:rsidR="00A266FA" w:rsidRPr="00B37813">
        <w:t xml:space="preserve">  OCC is concerned that the “</w:t>
      </w:r>
      <w:r w:rsidR="006054A3">
        <w:t>O</w:t>
      </w:r>
      <w:r w:rsidR="00A266FA" w:rsidRPr="00B37813">
        <w:t>ther” category of the DIR Plan is ov</w:t>
      </w:r>
      <w:r w:rsidR="00A266FA">
        <w:t xml:space="preserve">erly broad </w:t>
      </w:r>
      <w:r w:rsidR="00A266FA" w:rsidRPr="00B37813">
        <w:t xml:space="preserve">and that without extensive accounting oversight can result in non-Ohio investments being charged to Ohio customers.  </w:t>
      </w:r>
      <w:r>
        <w:t xml:space="preserve">For that reason, OCC supports the Staff recommendation </w:t>
      </w:r>
      <w:r w:rsidR="00D1742E">
        <w:t xml:space="preserve">disallowing that amount and stating </w:t>
      </w:r>
      <w:r>
        <w:t>that the DIR Plan should only include spending on infrastructure in Ohio.</w:t>
      </w:r>
      <w:r w:rsidR="00D1742E">
        <w:rPr>
          <w:rStyle w:val="FootnoteReference"/>
        </w:rPr>
        <w:footnoteReference w:id="46"/>
      </w:r>
    </w:p>
    <w:p w:rsidR="00A9111A" w:rsidRDefault="00806F0C" w:rsidP="00052814">
      <w:pPr>
        <w:spacing w:line="480" w:lineRule="auto"/>
        <w:ind w:firstLine="720"/>
      </w:pPr>
      <w:r w:rsidRPr="00094090">
        <w:t>More fundamentally, however, OCC is opposed to AEP Ohio charging customers</w:t>
      </w:r>
      <w:r w:rsidR="009606CA" w:rsidRPr="00094090">
        <w:t xml:space="preserve"> for </w:t>
      </w:r>
      <w:r w:rsidR="00A266FA" w:rsidRPr="00094090">
        <w:t xml:space="preserve">investments that are </w:t>
      </w:r>
      <w:r w:rsidR="009606CA" w:rsidRPr="00094090">
        <w:t>purportedly “</w:t>
      </w:r>
      <w:r w:rsidR="00A266FA" w:rsidRPr="00094090">
        <w:t>distribution infrastructure improvements</w:t>
      </w:r>
      <w:r w:rsidR="009606CA" w:rsidRPr="00094090">
        <w:t>”</w:t>
      </w:r>
      <w:r w:rsidR="00A266FA" w:rsidRPr="00094090">
        <w:t xml:space="preserve"> when </w:t>
      </w:r>
      <w:r w:rsidR="009606CA" w:rsidRPr="00094090">
        <w:t xml:space="preserve">AEP Ohio cannot </w:t>
      </w:r>
      <w:r w:rsidR="00A266FA" w:rsidRPr="00094090">
        <w:t>define</w:t>
      </w:r>
      <w:r w:rsidR="009606CA" w:rsidRPr="00094090">
        <w:t xml:space="preserve"> such investments</w:t>
      </w:r>
      <w:r w:rsidR="00A266FA" w:rsidRPr="00094090">
        <w:t xml:space="preserve"> to a level of granularity beyond “</w:t>
      </w:r>
      <w:r w:rsidR="006054A3" w:rsidRPr="00094090">
        <w:t>O</w:t>
      </w:r>
      <w:r w:rsidR="00A266FA" w:rsidRPr="00094090">
        <w:t>ther</w:t>
      </w:r>
      <w:r w:rsidR="006054A3" w:rsidRPr="00094090">
        <w:t>.</w:t>
      </w:r>
      <w:r w:rsidR="00A266FA" w:rsidRPr="00094090">
        <w:t xml:space="preserve">”  </w:t>
      </w:r>
      <w:r w:rsidR="009606CA" w:rsidRPr="00094090">
        <w:t>Instead</w:t>
      </w:r>
      <w:r w:rsidR="00D1742E" w:rsidRPr="00094090">
        <w:t>,</w:t>
      </w:r>
      <w:r w:rsidR="004E1C06" w:rsidRPr="00094090">
        <w:t xml:space="preserve"> </w:t>
      </w:r>
      <w:r w:rsidR="009606CA" w:rsidRPr="00094090">
        <w:t xml:space="preserve">customers should not be charged through the DIR for investment that appears to be unrelated to the distribution </w:t>
      </w:r>
      <w:r w:rsidR="00830FFE" w:rsidRPr="00094090">
        <w:t xml:space="preserve">infrastructure plan.  Expenses for </w:t>
      </w:r>
      <w:r w:rsidR="00094090">
        <w:t>“d</w:t>
      </w:r>
      <w:r w:rsidR="00830FFE" w:rsidRPr="00094090">
        <w:t>ay</w:t>
      </w:r>
      <w:r w:rsidR="00094090">
        <w:t>-to-day”</w:t>
      </w:r>
      <w:r w:rsidR="00830FFE" w:rsidRPr="00094090">
        <w:t xml:space="preserve"> distr</w:t>
      </w:r>
      <w:r w:rsidR="00A9111A">
        <w:t>ibu</w:t>
      </w:r>
      <w:r w:rsidR="00830FFE" w:rsidRPr="00094090">
        <w:t xml:space="preserve">tion work should be expenses that the utility has an opportunity to seek through a base distribution rate case.  </w:t>
      </w:r>
      <w:r w:rsidR="006138A1" w:rsidRPr="00094090">
        <w:t xml:space="preserve"> And any DIR Program spending should be for specified programs that are well-defined and result in quantified service reliability improvements.</w:t>
      </w:r>
    </w:p>
    <w:p w:rsidR="004E1C06" w:rsidRDefault="00CE2444" w:rsidP="00052814">
      <w:pPr>
        <w:pStyle w:val="Heading2"/>
      </w:pPr>
      <w:bookmarkStart w:id="14" w:name="_Toc398131522"/>
      <w:r w:rsidRPr="00CE2444">
        <w:t>F.</w:t>
      </w:r>
      <w:r w:rsidRPr="00CE2444">
        <w:tab/>
        <w:t xml:space="preserve">An Evidentiary Hearing </w:t>
      </w:r>
      <w:r w:rsidR="00052814" w:rsidRPr="00CE2444">
        <w:t xml:space="preserve">Is </w:t>
      </w:r>
      <w:r w:rsidRPr="00CE2444">
        <w:t xml:space="preserve">Required </w:t>
      </w:r>
      <w:r w:rsidR="00052814" w:rsidRPr="00CE2444">
        <w:t xml:space="preserve">To </w:t>
      </w:r>
      <w:r w:rsidRPr="00CE2444">
        <w:t>Ad</w:t>
      </w:r>
      <w:r w:rsidR="00A9111A">
        <w:t>e</w:t>
      </w:r>
      <w:r w:rsidRPr="00CE2444">
        <w:t xml:space="preserve">quately Analyze </w:t>
      </w:r>
      <w:r w:rsidR="00052814" w:rsidRPr="00CE2444">
        <w:t xml:space="preserve">And </w:t>
      </w:r>
      <w:r w:rsidRPr="00CE2444">
        <w:t xml:space="preserve">Evaluate </w:t>
      </w:r>
      <w:r w:rsidR="00052814" w:rsidRPr="00CE2444">
        <w:t xml:space="preserve">The 2013 </w:t>
      </w:r>
      <w:r w:rsidRPr="00CE2444">
        <w:t>DIR Rider</w:t>
      </w:r>
      <w:r w:rsidR="00052814" w:rsidRPr="00CE2444">
        <w:t>.</w:t>
      </w:r>
      <w:bookmarkEnd w:id="14"/>
    </w:p>
    <w:p w:rsidR="00CE2444" w:rsidRDefault="0065207B" w:rsidP="004E1C06">
      <w:pPr>
        <w:pStyle w:val="ListParagraph"/>
        <w:spacing w:line="480" w:lineRule="auto"/>
        <w:ind w:left="0" w:firstLine="720"/>
      </w:pPr>
      <w:r>
        <w:t xml:space="preserve">The PUCO should order an evidentiary hearing in order to better evaluate the 2013 DIR Program spending of over $188 million in customers’ money that the Utility </w:t>
      </w:r>
      <w:r w:rsidR="00A9111A">
        <w:t>collected</w:t>
      </w:r>
      <w:r>
        <w:t xml:space="preserve"> from customers on an accelerated basis.  </w:t>
      </w:r>
      <w:r w:rsidR="00094090">
        <w:t xml:space="preserve">OCC requested a hearing when AEP Ohio filed its 2013 Work Plan </w:t>
      </w:r>
      <w:r w:rsidR="00702CF2">
        <w:t>after raising concerns about the projected rel</w:t>
      </w:r>
      <w:r w:rsidR="00A9111A">
        <w:t>i</w:t>
      </w:r>
      <w:r w:rsidR="00702CF2">
        <w:t>ability impacts of the DIR Plan.</w:t>
      </w:r>
      <w:r w:rsidR="00702CF2">
        <w:rPr>
          <w:rStyle w:val="FootnoteReference"/>
        </w:rPr>
        <w:footnoteReference w:id="47"/>
      </w:r>
      <w:r w:rsidR="00702CF2">
        <w:t xml:space="preserve">  The PUCO denied OCC ‘s request for a hearing at that time by noting that the 2013 DIR expenditures contained in the Work Plan would be subject to annual accou</w:t>
      </w:r>
      <w:r w:rsidR="00A9111A">
        <w:t>n</w:t>
      </w:r>
      <w:r w:rsidR="00702CF2">
        <w:t>ting for accuracy and prudency.</w:t>
      </w:r>
      <w:r w:rsidR="00E56AEE">
        <w:rPr>
          <w:rStyle w:val="FootnoteReference"/>
        </w:rPr>
        <w:footnoteReference w:id="48"/>
      </w:r>
      <w:r w:rsidR="00702CF2">
        <w:t xml:space="preserve">  For the reasons explained above, the need for a hearing is even more evident now that the 2013 annual review and audit is completed.</w:t>
      </w:r>
      <w:r>
        <w:t xml:space="preserve">  Therefore, the PUCO should order a hearing </w:t>
      </w:r>
      <w:r w:rsidR="00FD45C3">
        <w:t>where AEP</w:t>
      </w:r>
      <w:r>
        <w:t xml:space="preserve"> Ohio should be required to demonstrate the reasonableness of the DIR Program spending and also to quantify the service reliability improvements from the spending as was previously required by the PUCO.</w:t>
      </w:r>
      <w:r>
        <w:rPr>
          <w:rStyle w:val="FootnoteReference"/>
        </w:rPr>
        <w:footnoteReference w:id="49"/>
      </w:r>
      <w:r>
        <w:t xml:space="preserve">   </w:t>
      </w:r>
    </w:p>
    <w:p w:rsidR="00052814" w:rsidRDefault="00052814" w:rsidP="00052814">
      <w:pPr>
        <w:pStyle w:val="ListParagraph"/>
        <w:ind w:left="0" w:firstLine="720"/>
      </w:pPr>
    </w:p>
    <w:p w:rsidR="002E2AAC" w:rsidRDefault="008E3445" w:rsidP="00CD0DA6">
      <w:pPr>
        <w:pStyle w:val="Heading1"/>
      </w:pPr>
      <w:bookmarkStart w:id="15" w:name="_Toc360095632"/>
      <w:bookmarkStart w:id="16" w:name="_Toc361064859"/>
      <w:bookmarkStart w:id="17" w:name="_Toc363054056"/>
      <w:bookmarkStart w:id="18" w:name="_Toc363221521"/>
      <w:bookmarkStart w:id="19" w:name="_Toc398131523"/>
      <w:r>
        <w:t>I</w:t>
      </w:r>
      <w:r w:rsidR="00FD75A4">
        <w:t>II</w:t>
      </w:r>
      <w:r>
        <w:t>.</w:t>
      </w:r>
      <w:r>
        <w:tab/>
      </w:r>
      <w:r w:rsidR="002E2AAC">
        <w:t>CONCLUSION</w:t>
      </w:r>
      <w:bookmarkEnd w:id="15"/>
      <w:bookmarkEnd w:id="16"/>
      <w:bookmarkEnd w:id="17"/>
      <w:bookmarkEnd w:id="18"/>
      <w:bookmarkEnd w:id="19"/>
    </w:p>
    <w:p w:rsidR="00025CFB" w:rsidRDefault="00FA3196" w:rsidP="002657CF">
      <w:pPr>
        <w:spacing w:line="480" w:lineRule="auto"/>
        <w:ind w:firstLine="720"/>
      </w:pPr>
      <w:r>
        <w:t>OCC appreciates the opportunity to provide these Comments in order to assist the P</w:t>
      </w:r>
      <w:r w:rsidR="004E1C06">
        <w:t>UCO in its annual review of AEP-</w:t>
      </w:r>
      <w:r>
        <w:t xml:space="preserve">Ohio’s DIR.  The PUCO’s adoption </w:t>
      </w:r>
      <w:r w:rsidR="00FD75A4">
        <w:t xml:space="preserve">of </w:t>
      </w:r>
      <w:r w:rsidR="00025CFB" w:rsidRPr="009C1DF9">
        <w:t>the recommendations s</w:t>
      </w:r>
      <w:r w:rsidR="00230745">
        <w:t>et forth in the Final Audit</w:t>
      </w:r>
      <w:r w:rsidR="00025CFB" w:rsidRPr="009C1DF9">
        <w:t xml:space="preserve"> Report as well as the additional recommendations proposed by OCC</w:t>
      </w:r>
      <w:r>
        <w:t xml:space="preserve"> </w:t>
      </w:r>
      <w:r w:rsidR="006142DD">
        <w:t xml:space="preserve">-- including the need for an evidentiary hearing -- </w:t>
      </w:r>
      <w:r w:rsidR="004E1C06">
        <w:t>are necessary to protect AEP-</w:t>
      </w:r>
      <w:r>
        <w:t xml:space="preserve">Ohio’s customers from unreasonable charges.  </w:t>
      </w:r>
    </w:p>
    <w:p w:rsidR="002E2AAC" w:rsidRDefault="00052814" w:rsidP="00052814">
      <w:pPr>
        <w:ind w:left="3600" w:firstLine="720"/>
      </w:pPr>
      <w:r>
        <w:br w:type="page"/>
      </w:r>
      <w:r w:rsidR="002E2AAC">
        <w:t>Respectfully submitted,</w:t>
      </w:r>
    </w:p>
    <w:p w:rsidR="002E2AAC" w:rsidRDefault="002E2AAC">
      <w:pPr>
        <w:pStyle w:val="InsideAddress"/>
        <w:tabs>
          <w:tab w:val="left" w:pos="4230"/>
          <w:tab w:val="left" w:pos="4320"/>
        </w:tabs>
        <w:autoSpaceDE w:val="0"/>
        <w:autoSpaceDN w:val="0"/>
        <w:adjustRightInd w:val="0"/>
        <w:ind w:left="4320"/>
        <w:rPr>
          <w:rFonts w:ascii="Times New Roman" w:hAnsi="Times New Roman" w:cs="Times New Roman"/>
        </w:rPr>
      </w:pPr>
    </w:p>
    <w:p w:rsidR="005F3267" w:rsidRDefault="005F3267" w:rsidP="005F3267">
      <w:pPr>
        <w:pStyle w:val="InsideAddress"/>
        <w:tabs>
          <w:tab w:val="left" w:pos="4230"/>
          <w:tab w:val="left" w:pos="4320"/>
        </w:tabs>
        <w:autoSpaceDE w:val="0"/>
        <w:autoSpaceDN w:val="0"/>
        <w:adjustRightInd w:val="0"/>
        <w:ind w:left="4320"/>
        <w:rPr>
          <w:rFonts w:ascii="Times New Roman" w:hAnsi="Times New Roman" w:cs="Times New Roman"/>
        </w:rPr>
      </w:pPr>
      <w:r>
        <w:rPr>
          <w:rFonts w:ascii="Times New Roman" w:hAnsi="Times New Roman" w:cs="Times New Roman"/>
        </w:rPr>
        <w:t>BRUCE J. WESTON</w:t>
      </w:r>
    </w:p>
    <w:p w:rsidR="005F3267" w:rsidRDefault="005F3267" w:rsidP="005F3267">
      <w:pPr>
        <w:pStyle w:val="Footer"/>
        <w:tabs>
          <w:tab w:val="clear" w:pos="4320"/>
          <w:tab w:val="clear" w:pos="8640"/>
        </w:tabs>
        <w:autoSpaceDE w:val="0"/>
        <w:autoSpaceDN w:val="0"/>
        <w:adjustRightInd w:val="0"/>
        <w:ind w:left="4320"/>
      </w:pPr>
      <w:r>
        <w:t>OHIO CONSUMERS’ COUNSEL</w:t>
      </w:r>
    </w:p>
    <w:p w:rsidR="005F3267" w:rsidRDefault="005F3267" w:rsidP="005F3267">
      <w:pPr>
        <w:tabs>
          <w:tab w:val="left" w:pos="4230"/>
          <w:tab w:val="left" w:pos="4320"/>
        </w:tabs>
        <w:ind w:left="4320"/>
      </w:pPr>
    </w:p>
    <w:p w:rsidR="005F3267" w:rsidRDefault="005F3267" w:rsidP="005F3267">
      <w:pPr>
        <w:tabs>
          <w:tab w:val="left" w:pos="4320"/>
        </w:tabs>
      </w:pPr>
      <w:r>
        <w:tab/>
      </w:r>
      <w:r>
        <w:rPr>
          <w:i/>
          <w:u w:val="single"/>
        </w:rPr>
        <w:t>/s/ Joseph P. Serio</w:t>
      </w:r>
      <w:r>
        <w:t>_______________</w:t>
      </w:r>
    </w:p>
    <w:p w:rsidR="005F3267" w:rsidRDefault="005F3267" w:rsidP="005F3267">
      <w:pPr>
        <w:tabs>
          <w:tab w:val="left" w:pos="4320"/>
        </w:tabs>
      </w:pPr>
      <w:r>
        <w:tab/>
        <w:t>Joseph P. Serio, Counsel of Record</w:t>
      </w:r>
    </w:p>
    <w:p w:rsidR="005F3267" w:rsidRDefault="005F3267" w:rsidP="005F3267">
      <w:pPr>
        <w:tabs>
          <w:tab w:val="left" w:pos="4320"/>
        </w:tabs>
      </w:pPr>
      <w:r>
        <w:tab/>
        <w:t>Assistant Consumers’ Counsel</w:t>
      </w:r>
    </w:p>
    <w:p w:rsidR="00802079" w:rsidRDefault="00802079" w:rsidP="005F3267">
      <w:pPr>
        <w:tabs>
          <w:tab w:val="left" w:pos="4320"/>
        </w:tabs>
      </w:pPr>
    </w:p>
    <w:p w:rsidR="005F3267" w:rsidRPr="005F3267" w:rsidRDefault="005F3267" w:rsidP="005F3267">
      <w:pPr>
        <w:ind w:left="4320"/>
        <w:rPr>
          <w:b/>
        </w:rPr>
      </w:pPr>
      <w:r w:rsidRPr="005F3267">
        <w:rPr>
          <w:b/>
        </w:rPr>
        <w:t>Office of the Ohio Consumers’ Counsel</w:t>
      </w:r>
    </w:p>
    <w:p w:rsidR="005F3267" w:rsidRPr="005F3267" w:rsidRDefault="005F3267" w:rsidP="005F3267">
      <w:pPr>
        <w:ind w:left="4320"/>
      </w:pPr>
      <w:r w:rsidRPr="005F3267">
        <w:t>10 West Broad Street, Suite 1800</w:t>
      </w:r>
    </w:p>
    <w:p w:rsidR="005F3267" w:rsidRPr="005F3267" w:rsidRDefault="005F3267" w:rsidP="005F3267">
      <w:pPr>
        <w:ind w:left="4320"/>
      </w:pPr>
      <w:r w:rsidRPr="005F3267">
        <w:t>Columbus, Ohio 43215-3485</w:t>
      </w:r>
    </w:p>
    <w:p w:rsidR="005F3267" w:rsidRPr="000416A8" w:rsidRDefault="005F3267" w:rsidP="005F3267">
      <w:pPr>
        <w:autoSpaceDE w:val="0"/>
        <w:autoSpaceDN w:val="0"/>
        <w:adjustRightInd w:val="0"/>
        <w:ind w:left="3600" w:firstLine="720"/>
      </w:pPr>
      <w:r w:rsidRPr="000416A8">
        <w:t>Telephone: Direct – 614-466-9565 (Serio)</w:t>
      </w:r>
    </w:p>
    <w:p w:rsidR="00F6157B" w:rsidRPr="000416A8" w:rsidRDefault="00F6157B" w:rsidP="005F3267">
      <w:pPr>
        <w:autoSpaceDE w:val="0"/>
        <w:autoSpaceDN w:val="0"/>
        <w:adjustRightInd w:val="0"/>
        <w:ind w:left="3600" w:firstLine="720"/>
      </w:pPr>
      <w:r w:rsidRPr="000416A8">
        <w:t>Telephone: Direct – 614-466-9547 (Schuler)</w:t>
      </w:r>
    </w:p>
    <w:p w:rsidR="00D932A4" w:rsidRDefault="00194DDE">
      <w:pPr>
        <w:ind w:left="4320"/>
        <w:rPr>
          <w:rStyle w:val="Hyperlink"/>
        </w:rPr>
      </w:pPr>
      <w:hyperlink r:id="rId24" w:history="1">
        <w:r w:rsidR="00802079" w:rsidRPr="00D12183">
          <w:rPr>
            <w:rStyle w:val="Hyperlink"/>
          </w:rPr>
          <w:t>Joseph.serio@occ.ohio.gov</w:t>
        </w:r>
      </w:hyperlink>
    </w:p>
    <w:p w:rsidR="00F6157B" w:rsidRDefault="00F6157B">
      <w:pPr>
        <w:ind w:left="4320"/>
      </w:pPr>
      <w:r>
        <w:rPr>
          <w:rStyle w:val="Hyperlink"/>
        </w:rPr>
        <w:t>Michael.schuler@occ.ohio.gov</w:t>
      </w:r>
    </w:p>
    <w:p w:rsidR="00802079" w:rsidRDefault="00802079">
      <w:pPr>
        <w:ind w:left="4320"/>
      </w:pPr>
    </w:p>
    <w:p w:rsidR="002E2AAC" w:rsidRDefault="002E2AAC">
      <w:pPr>
        <w:ind w:left="4320"/>
      </w:pPr>
    </w:p>
    <w:p w:rsidR="002E2AAC" w:rsidRDefault="002E2AAC"/>
    <w:p w:rsidR="002E2AAC" w:rsidRDefault="002E2AAC">
      <w:pPr>
        <w:jc w:val="center"/>
        <w:rPr>
          <w:b/>
          <w:bCs/>
          <w:u w:val="single"/>
        </w:rPr>
      </w:pPr>
      <w:r>
        <w:br w:type="page"/>
      </w:r>
      <w:r>
        <w:rPr>
          <w:b/>
          <w:bCs/>
          <w:u w:val="single"/>
        </w:rPr>
        <w:t>CERTIFICATE OF SERVICE</w:t>
      </w:r>
    </w:p>
    <w:p w:rsidR="002E2AAC" w:rsidRDefault="002E2AAC">
      <w:pPr>
        <w:jc w:val="center"/>
        <w:rPr>
          <w:b/>
          <w:bCs/>
          <w:u w:val="single"/>
        </w:rPr>
      </w:pPr>
    </w:p>
    <w:p w:rsidR="002E2AAC" w:rsidRDefault="002E2AAC" w:rsidP="004315CC">
      <w:pPr>
        <w:spacing w:line="480" w:lineRule="auto"/>
        <w:ind w:right="24"/>
        <w:rPr>
          <w:b/>
          <w:bCs/>
          <w:u w:val="single"/>
        </w:rPr>
      </w:pPr>
      <w:r>
        <w:tab/>
        <w:t xml:space="preserve">The undersigned hereby certifies that a true and correct copy of the foregoing Comments have been served upon the below-named persons via electronic service this </w:t>
      </w:r>
      <w:r w:rsidR="00802079">
        <w:t>10</w:t>
      </w:r>
      <w:r w:rsidR="00802079" w:rsidRPr="00802079">
        <w:rPr>
          <w:vertAlign w:val="superscript"/>
        </w:rPr>
        <w:t>th</w:t>
      </w:r>
      <w:r w:rsidR="00802079">
        <w:t xml:space="preserve"> </w:t>
      </w:r>
      <w:r w:rsidR="00A34DEA">
        <w:t xml:space="preserve">day of </w:t>
      </w:r>
      <w:r w:rsidR="00802079">
        <w:t>September, 2014</w:t>
      </w:r>
      <w:r>
        <w:t>.</w:t>
      </w:r>
    </w:p>
    <w:p w:rsidR="002E2AAC" w:rsidRDefault="002E2AAC">
      <w:pPr>
        <w:ind w:left="4320"/>
        <w:rPr>
          <w:i/>
          <w:iCs/>
          <w:u w:val="single"/>
        </w:rPr>
      </w:pPr>
      <w:r>
        <w:rPr>
          <w:i/>
          <w:iCs/>
          <w:u w:val="single"/>
        </w:rPr>
        <w:t xml:space="preserve">/s/ </w:t>
      </w:r>
      <w:r w:rsidR="00133647">
        <w:rPr>
          <w:i/>
          <w:iCs/>
          <w:u w:val="single"/>
        </w:rPr>
        <w:t>Joseph P. Serio</w:t>
      </w:r>
      <w:r>
        <w:rPr>
          <w:i/>
          <w:iCs/>
          <w:u w:val="single"/>
        </w:rPr>
        <w:tab/>
      </w:r>
      <w:r>
        <w:rPr>
          <w:i/>
          <w:iCs/>
          <w:u w:val="single"/>
        </w:rPr>
        <w:tab/>
      </w:r>
    </w:p>
    <w:p w:rsidR="002E2AAC" w:rsidRDefault="002E2AAC">
      <w:r>
        <w:tab/>
      </w:r>
      <w:r>
        <w:tab/>
      </w:r>
      <w:r>
        <w:tab/>
      </w:r>
      <w:r>
        <w:tab/>
      </w:r>
      <w:r>
        <w:tab/>
      </w:r>
      <w:r>
        <w:tab/>
      </w:r>
      <w:r w:rsidR="00133647">
        <w:t>Joseph P. Serio</w:t>
      </w:r>
    </w:p>
    <w:p w:rsidR="002E2AAC" w:rsidRDefault="002E2AAC">
      <w:r>
        <w:tab/>
      </w:r>
      <w:r>
        <w:tab/>
      </w:r>
      <w:r>
        <w:tab/>
      </w:r>
      <w:r>
        <w:tab/>
      </w:r>
      <w:r>
        <w:tab/>
      </w:r>
      <w:r>
        <w:tab/>
        <w:t>Assistant Consumers’ Counsel</w:t>
      </w:r>
    </w:p>
    <w:p w:rsidR="002E2AAC" w:rsidRDefault="002E2AAC">
      <w:pPr>
        <w:tabs>
          <w:tab w:val="left" w:pos="4320"/>
        </w:tabs>
        <w:jc w:val="center"/>
        <w:rPr>
          <w:b/>
          <w:bCs/>
          <w:u w:val="single"/>
        </w:rPr>
      </w:pPr>
    </w:p>
    <w:p w:rsidR="00133647" w:rsidRDefault="00133647" w:rsidP="00133647">
      <w:pPr>
        <w:pStyle w:val="CommentText"/>
        <w:jc w:val="center"/>
        <w:rPr>
          <w:b/>
          <w:u w:val="single"/>
        </w:rPr>
      </w:pPr>
      <w:r>
        <w:rPr>
          <w:b/>
          <w:u w:val="single"/>
        </w:rPr>
        <w:t>SERVICE LIST</w:t>
      </w:r>
    </w:p>
    <w:p w:rsidR="00802079" w:rsidRDefault="00802079" w:rsidP="00133647">
      <w:pPr>
        <w:pStyle w:val="CommentText"/>
        <w:jc w:val="center"/>
        <w:rPr>
          <w:b/>
          <w:u w:val="single"/>
        </w:rPr>
      </w:pPr>
    </w:p>
    <w:p w:rsidR="00802079" w:rsidRDefault="00802079" w:rsidP="00133647">
      <w:pPr>
        <w:pStyle w:val="CommentText"/>
        <w:jc w:val="center"/>
        <w:rPr>
          <w:b/>
          <w:u w:val="single"/>
        </w:rPr>
      </w:pPr>
    </w:p>
    <w:p w:rsidR="00802079" w:rsidRDefault="00802079" w:rsidP="00802079">
      <w:pPr>
        <w:pStyle w:val="BodyText"/>
        <w:rPr>
          <w:b/>
          <w:bCs/>
        </w:rPr>
      </w:pPr>
    </w:p>
    <w:tbl>
      <w:tblPr>
        <w:tblW w:w="0" w:type="auto"/>
        <w:tblLook w:val="01E0" w:firstRow="1" w:lastRow="1" w:firstColumn="1" w:lastColumn="1" w:noHBand="0" w:noVBand="0"/>
      </w:tblPr>
      <w:tblGrid>
        <w:gridCol w:w="4428"/>
        <w:gridCol w:w="4428"/>
      </w:tblGrid>
      <w:tr w:rsidR="00802079" w:rsidRPr="00E27849" w:rsidTr="00B6153F">
        <w:tc>
          <w:tcPr>
            <w:tcW w:w="4428" w:type="dxa"/>
            <w:shd w:val="clear" w:color="auto" w:fill="auto"/>
          </w:tcPr>
          <w:p w:rsidR="00802079" w:rsidRDefault="00802079" w:rsidP="00B6153F">
            <w:pPr>
              <w:autoSpaceDE w:val="0"/>
              <w:autoSpaceDN w:val="0"/>
              <w:adjustRightInd w:val="0"/>
              <w:rPr>
                <w:bCs/>
              </w:rPr>
            </w:pPr>
            <w:r>
              <w:rPr>
                <w:bCs/>
              </w:rPr>
              <w:t>Thomas McNamee</w:t>
            </w:r>
          </w:p>
          <w:p w:rsidR="00802079" w:rsidRDefault="00802079" w:rsidP="00B6153F">
            <w:pPr>
              <w:autoSpaceDE w:val="0"/>
              <w:autoSpaceDN w:val="0"/>
              <w:adjustRightInd w:val="0"/>
              <w:rPr>
                <w:bCs/>
              </w:rPr>
            </w:pPr>
            <w:r>
              <w:rPr>
                <w:bCs/>
              </w:rPr>
              <w:t>Attorney General’s Office</w:t>
            </w:r>
          </w:p>
          <w:p w:rsidR="00802079" w:rsidRPr="00E27849" w:rsidRDefault="00802079" w:rsidP="00B6153F">
            <w:pPr>
              <w:autoSpaceDE w:val="0"/>
              <w:autoSpaceDN w:val="0"/>
              <w:adjustRightInd w:val="0"/>
              <w:rPr>
                <w:bCs/>
              </w:rPr>
            </w:pPr>
            <w:r w:rsidRPr="00E27849">
              <w:rPr>
                <w:bCs/>
              </w:rPr>
              <w:t>Public Utilities Commission of Ohio</w:t>
            </w:r>
          </w:p>
          <w:p w:rsidR="00802079" w:rsidRPr="00E27849" w:rsidRDefault="00802079" w:rsidP="00B6153F">
            <w:pPr>
              <w:autoSpaceDE w:val="0"/>
              <w:autoSpaceDN w:val="0"/>
              <w:adjustRightInd w:val="0"/>
              <w:rPr>
                <w:bCs/>
              </w:rPr>
            </w:pPr>
            <w:r w:rsidRPr="00E27849">
              <w:rPr>
                <w:bCs/>
              </w:rPr>
              <w:t>180 E. Broad St., 6</w:t>
            </w:r>
            <w:r w:rsidRPr="00E27849">
              <w:rPr>
                <w:bCs/>
                <w:vertAlign w:val="superscript"/>
              </w:rPr>
              <w:t>th</w:t>
            </w:r>
            <w:r w:rsidRPr="00E27849">
              <w:rPr>
                <w:bCs/>
              </w:rPr>
              <w:t xml:space="preserve"> St.</w:t>
            </w:r>
          </w:p>
          <w:p w:rsidR="00802079" w:rsidRDefault="00802079" w:rsidP="00B6153F">
            <w:pPr>
              <w:autoSpaceDE w:val="0"/>
              <w:autoSpaceDN w:val="0"/>
              <w:adjustRightInd w:val="0"/>
              <w:rPr>
                <w:bCs/>
              </w:rPr>
            </w:pPr>
            <w:r w:rsidRPr="00E27849">
              <w:rPr>
                <w:bCs/>
              </w:rPr>
              <w:t>Columbus, OH 43215</w:t>
            </w:r>
          </w:p>
          <w:p w:rsidR="00802079" w:rsidRDefault="00194DDE" w:rsidP="00B6153F">
            <w:pPr>
              <w:autoSpaceDE w:val="0"/>
              <w:autoSpaceDN w:val="0"/>
              <w:adjustRightInd w:val="0"/>
              <w:rPr>
                <w:bCs/>
              </w:rPr>
            </w:pPr>
            <w:hyperlink r:id="rId25" w:history="1">
              <w:r w:rsidR="00802079" w:rsidRPr="00D12183">
                <w:rPr>
                  <w:rStyle w:val="Hyperlink"/>
                  <w:bCs/>
                </w:rPr>
                <w:t>Thomas.mcnamee@puc.state.oh.us</w:t>
              </w:r>
            </w:hyperlink>
          </w:p>
          <w:p w:rsidR="00802079" w:rsidRPr="00E27849" w:rsidRDefault="00802079" w:rsidP="00802079">
            <w:pPr>
              <w:autoSpaceDE w:val="0"/>
              <w:autoSpaceDN w:val="0"/>
              <w:adjustRightInd w:val="0"/>
              <w:rPr>
                <w:bCs/>
              </w:rPr>
            </w:pPr>
          </w:p>
        </w:tc>
        <w:tc>
          <w:tcPr>
            <w:tcW w:w="4428" w:type="dxa"/>
            <w:shd w:val="clear" w:color="auto" w:fill="auto"/>
          </w:tcPr>
          <w:p w:rsidR="00802079" w:rsidRDefault="00802079" w:rsidP="00B6153F">
            <w:pPr>
              <w:tabs>
                <w:tab w:val="left" w:pos="-720"/>
              </w:tabs>
              <w:suppressAutoHyphens/>
              <w:spacing w:line="240" w:lineRule="atLeast"/>
              <w:ind w:right="-108"/>
              <w:rPr>
                <w:color w:val="000000"/>
              </w:rPr>
            </w:pPr>
            <w:r>
              <w:rPr>
                <w:color w:val="000000"/>
              </w:rPr>
              <w:t>Matthew J. Satterwhite</w:t>
            </w:r>
          </w:p>
          <w:p w:rsidR="00802079" w:rsidRPr="00E27849" w:rsidRDefault="00802079" w:rsidP="00B6153F">
            <w:pPr>
              <w:tabs>
                <w:tab w:val="left" w:pos="-720"/>
              </w:tabs>
              <w:suppressAutoHyphens/>
              <w:spacing w:line="240" w:lineRule="atLeast"/>
              <w:ind w:right="-108"/>
              <w:rPr>
                <w:color w:val="000000"/>
              </w:rPr>
            </w:pPr>
            <w:r w:rsidRPr="00E27849">
              <w:rPr>
                <w:color w:val="000000"/>
              </w:rPr>
              <w:t>Steve</w:t>
            </w:r>
            <w:r>
              <w:rPr>
                <w:color w:val="000000"/>
              </w:rPr>
              <w:t xml:space="preserve">n T. </w:t>
            </w:r>
            <w:r w:rsidRPr="00E27849">
              <w:rPr>
                <w:color w:val="000000"/>
              </w:rPr>
              <w:t xml:space="preserve"> Nourse</w:t>
            </w:r>
          </w:p>
          <w:p w:rsidR="00802079" w:rsidRPr="00E27849" w:rsidRDefault="00802079" w:rsidP="00B6153F">
            <w:pPr>
              <w:tabs>
                <w:tab w:val="left" w:pos="-720"/>
              </w:tabs>
              <w:suppressAutoHyphens/>
              <w:ind w:right="-108"/>
              <w:rPr>
                <w:color w:val="000000"/>
              </w:rPr>
            </w:pPr>
            <w:r w:rsidRPr="00E27849">
              <w:rPr>
                <w:color w:val="000000"/>
              </w:rPr>
              <w:t>AEP Service Corp.</w:t>
            </w:r>
            <w:r w:rsidRPr="00E27849">
              <w:rPr>
                <w:color w:val="000000"/>
              </w:rPr>
              <w:br/>
              <w:t>1 Riverside Plaza, 29</w:t>
            </w:r>
            <w:r w:rsidRPr="00E27849">
              <w:rPr>
                <w:color w:val="000000"/>
                <w:vertAlign w:val="superscript"/>
              </w:rPr>
              <w:t>th</w:t>
            </w:r>
            <w:r w:rsidRPr="00E27849">
              <w:rPr>
                <w:color w:val="000000"/>
              </w:rPr>
              <w:t xml:space="preserve"> Floor</w:t>
            </w:r>
            <w:r w:rsidRPr="00E27849">
              <w:rPr>
                <w:color w:val="000000"/>
              </w:rPr>
              <w:br/>
              <w:t>Columbus, OH 43215</w:t>
            </w:r>
          </w:p>
          <w:p w:rsidR="00802079" w:rsidRDefault="00194DDE" w:rsidP="00B6153F">
            <w:pPr>
              <w:tabs>
                <w:tab w:val="left" w:pos="-720"/>
              </w:tabs>
              <w:suppressAutoHyphens/>
              <w:ind w:right="-108"/>
              <w:rPr>
                <w:color w:val="000000"/>
              </w:rPr>
            </w:pPr>
            <w:hyperlink r:id="rId26" w:history="1">
              <w:r w:rsidR="00802079" w:rsidRPr="00AB784F">
                <w:rPr>
                  <w:rStyle w:val="Hyperlink"/>
                </w:rPr>
                <w:t>mjsatterwhite@aep.com</w:t>
              </w:r>
            </w:hyperlink>
          </w:p>
          <w:p w:rsidR="00802079" w:rsidRPr="00E27849" w:rsidRDefault="00194DDE" w:rsidP="00B6153F">
            <w:pPr>
              <w:tabs>
                <w:tab w:val="left" w:pos="-720"/>
              </w:tabs>
              <w:suppressAutoHyphens/>
              <w:ind w:right="-108"/>
              <w:rPr>
                <w:bCs/>
              </w:rPr>
            </w:pPr>
            <w:hyperlink r:id="rId27" w:history="1">
              <w:r w:rsidR="00802079" w:rsidRPr="00813D24">
                <w:rPr>
                  <w:rStyle w:val="Hyperlink"/>
                </w:rPr>
                <w:t>stnourse@aep.com</w:t>
              </w:r>
            </w:hyperlink>
          </w:p>
        </w:tc>
      </w:tr>
      <w:tr w:rsidR="00802079" w:rsidRPr="00E27849" w:rsidTr="00B6153F">
        <w:tc>
          <w:tcPr>
            <w:tcW w:w="4428" w:type="dxa"/>
            <w:shd w:val="clear" w:color="auto" w:fill="auto"/>
          </w:tcPr>
          <w:p w:rsidR="00802079" w:rsidRDefault="00802079" w:rsidP="00B6153F">
            <w:pPr>
              <w:autoSpaceDE w:val="0"/>
              <w:autoSpaceDN w:val="0"/>
              <w:adjustRightInd w:val="0"/>
              <w:rPr>
                <w:bCs/>
              </w:rPr>
            </w:pPr>
            <w:r>
              <w:rPr>
                <w:bCs/>
              </w:rPr>
              <w:t>Attorney Examiners:</w:t>
            </w:r>
          </w:p>
          <w:p w:rsidR="00802079" w:rsidRDefault="00802079" w:rsidP="00B6153F">
            <w:pPr>
              <w:autoSpaceDE w:val="0"/>
              <w:autoSpaceDN w:val="0"/>
              <w:adjustRightInd w:val="0"/>
              <w:rPr>
                <w:bCs/>
              </w:rPr>
            </w:pPr>
          </w:p>
          <w:p w:rsidR="00802079" w:rsidRDefault="00194DDE" w:rsidP="00B6153F">
            <w:pPr>
              <w:autoSpaceDE w:val="0"/>
              <w:autoSpaceDN w:val="0"/>
              <w:adjustRightInd w:val="0"/>
              <w:rPr>
                <w:bCs/>
              </w:rPr>
            </w:pPr>
            <w:hyperlink r:id="rId28" w:history="1">
              <w:r w:rsidR="00802079" w:rsidRPr="00801E31">
                <w:rPr>
                  <w:rStyle w:val="Hyperlink"/>
                  <w:bCs/>
                </w:rPr>
                <w:t>Sarah.parrot@puc.state.oh.us</w:t>
              </w:r>
            </w:hyperlink>
          </w:p>
          <w:p w:rsidR="00802079" w:rsidRDefault="00194DDE" w:rsidP="00B6153F">
            <w:pPr>
              <w:autoSpaceDE w:val="0"/>
              <w:autoSpaceDN w:val="0"/>
              <w:adjustRightInd w:val="0"/>
              <w:rPr>
                <w:bCs/>
              </w:rPr>
            </w:pPr>
            <w:hyperlink r:id="rId29" w:history="1">
              <w:r w:rsidR="00802079" w:rsidRPr="00801E31">
                <w:rPr>
                  <w:rStyle w:val="Hyperlink"/>
                  <w:bCs/>
                </w:rPr>
                <w:t>Greta.see@puc.state.oh.us</w:t>
              </w:r>
            </w:hyperlink>
          </w:p>
          <w:p w:rsidR="00802079" w:rsidRDefault="00802079" w:rsidP="00B6153F">
            <w:pPr>
              <w:autoSpaceDE w:val="0"/>
              <w:autoSpaceDN w:val="0"/>
              <w:adjustRightInd w:val="0"/>
              <w:rPr>
                <w:bCs/>
              </w:rPr>
            </w:pPr>
          </w:p>
        </w:tc>
        <w:tc>
          <w:tcPr>
            <w:tcW w:w="4428" w:type="dxa"/>
            <w:shd w:val="clear" w:color="auto" w:fill="auto"/>
          </w:tcPr>
          <w:p w:rsidR="00802079" w:rsidRDefault="00802079" w:rsidP="00B6153F">
            <w:pPr>
              <w:tabs>
                <w:tab w:val="left" w:pos="-720"/>
              </w:tabs>
              <w:suppressAutoHyphens/>
              <w:spacing w:line="240" w:lineRule="atLeast"/>
              <w:ind w:right="-108"/>
              <w:rPr>
                <w:color w:val="000000"/>
              </w:rPr>
            </w:pPr>
          </w:p>
        </w:tc>
      </w:tr>
    </w:tbl>
    <w:p w:rsidR="00802079" w:rsidRDefault="00802079" w:rsidP="00133647">
      <w:pPr>
        <w:pStyle w:val="CommentText"/>
        <w:jc w:val="center"/>
        <w:rPr>
          <w:b/>
          <w:u w:val="single"/>
        </w:rPr>
      </w:pPr>
    </w:p>
    <w:sectPr w:rsidR="00802079" w:rsidSect="00052814">
      <w:headerReference w:type="even" r:id="rId30"/>
      <w:headerReference w:type="default" r:id="rId31"/>
      <w:headerReference w:type="first" r:id="rId32"/>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928" w:rsidRDefault="00C10928">
      <w:r>
        <w:separator/>
      </w:r>
    </w:p>
  </w:endnote>
  <w:endnote w:type="continuationSeparator" w:id="0">
    <w:p w:rsidR="00C10928" w:rsidRDefault="00C10928">
      <w:r>
        <w:continuationSeparator/>
      </w:r>
    </w:p>
  </w:endnote>
  <w:endnote w:type="continuationNotice" w:id="1">
    <w:p w:rsidR="00C10928" w:rsidRDefault="00C109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E0002AE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191" w:rsidRDefault="00A501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EDB" w:rsidRDefault="00945EDB">
    <w:pPr>
      <w:pStyle w:val="Footer"/>
      <w:jc w:val="center"/>
    </w:pPr>
  </w:p>
  <w:p w:rsidR="00945EDB" w:rsidRDefault="00945E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191" w:rsidRDefault="00A5019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403032"/>
      <w:docPartObj>
        <w:docPartGallery w:val="Page Numbers (Bottom of Page)"/>
        <w:docPartUnique/>
      </w:docPartObj>
    </w:sdtPr>
    <w:sdtEndPr>
      <w:rPr>
        <w:noProof/>
      </w:rPr>
    </w:sdtEndPr>
    <w:sdtContent>
      <w:p w:rsidR="00945EDB" w:rsidRDefault="00945EDB">
        <w:pPr>
          <w:pStyle w:val="Footer"/>
          <w:jc w:val="center"/>
        </w:pPr>
        <w:r>
          <w:fldChar w:fldCharType="begin"/>
        </w:r>
        <w:r>
          <w:instrText xml:space="preserve"> PAGE   \* MERGEFORMAT </w:instrText>
        </w:r>
        <w:r>
          <w:fldChar w:fldCharType="separate"/>
        </w:r>
        <w:r w:rsidR="00A50191">
          <w:rPr>
            <w:noProof/>
          </w:rPr>
          <w:t>16</w:t>
        </w:r>
        <w:r>
          <w:rPr>
            <w:noProof/>
          </w:rPr>
          <w:fldChar w:fldCharType="end"/>
        </w:r>
      </w:p>
    </w:sdtContent>
  </w:sdt>
  <w:p w:rsidR="00945EDB" w:rsidRDefault="00945E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928" w:rsidRDefault="00C10928">
      <w:r>
        <w:separator/>
      </w:r>
    </w:p>
  </w:footnote>
  <w:footnote w:type="continuationSeparator" w:id="0">
    <w:p w:rsidR="00C10928" w:rsidRDefault="00C10928">
      <w:r>
        <w:continuationSeparator/>
      </w:r>
    </w:p>
  </w:footnote>
  <w:footnote w:type="continuationNotice" w:id="1">
    <w:p w:rsidR="00C10928" w:rsidRDefault="00C10928"/>
  </w:footnote>
  <w:footnote w:id="2">
    <w:p w:rsidR="00571714" w:rsidRDefault="00571714">
      <w:pPr>
        <w:pStyle w:val="FootnoteText"/>
      </w:pPr>
      <w:r>
        <w:rPr>
          <w:rStyle w:val="FootnoteReference"/>
        </w:rPr>
        <w:footnoteRef/>
      </w:r>
      <w:r>
        <w:t xml:space="preserve"> </w:t>
      </w:r>
      <w:r w:rsidRPr="004C43BC">
        <w:rPr>
          <w:i/>
        </w:rPr>
        <w:t>In the Matter of the Applications of Ohio Power Company for Authority to Establish a Standard Service Offers Pursuant to Section 4928.143, Revised Code, in the Form of an Electric Security Plan</w:t>
      </w:r>
      <w:r>
        <w:t xml:space="preserve"> (“</w:t>
      </w:r>
      <w:r w:rsidRPr="004C43BC">
        <w:rPr>
          <w:i/>
        </w:rPr>
        <w:t>ESP II</w:t>
      </w:r>
      <w:r>
        <w:t>”)</w:t>
      </w:r>
      <w:r w:rsidRPr="00471D55">
        <w:t xml:space="preserve">, Case No. 11-346-EL-SSO, Opinion and Order at </w:t>
      </w:r>
      <w:r w:rsidR="00A62610">
        <w:t>46-</w:t>
      </w:r>
      <w:r w:rsidRPr="00471D55">
        <w:t>47 (Aug</w:t>
      </w:r>
      <w:r>
        <w:t>ust</w:t>
      </w:r>
      <w:r w:rsidRPr="00471D55">
        <w:t xml:space="preserve"> 8, 2012</w:t>
      </w:r>
      <w:r>
        <w:t xml:space="preserve">); </w:t>
      </w:r>
      <w:r w:rsidRPr="00546F7E">
        <w:rPr>
          <w:i/>
        </w:rPr>
        <w:t>see also</w:t>
      </w:r>
      <w:r>
        <w:t xml:space="preserve">, </w:t>
      </w:r>
      <w:r w:rsidRPr="00546F7E">
        <w:rPr>
          <w:i/>
        </w:rPr>
        <w:t>In the Matter of the Commission’s Review of Ohio Power Company</w:t>
      </w:r>
      <w:r w:rsidR="00945EDB">
        <w:rPr>
          <w:i/>
        </w:rPr>
        <w:t>’</w:t>
      </w:r>
      <w:r w:rsidRPr="00546F7E">
        <w:rPr>
          <w:i/>
        </w:rPr>
        <w:t>s Distribution Investment Rider Plan</w:t>
      </w:r>
      <w:r>
        <w:t xml:space="preserve">, Case No. 12-3129-EL-UNC, </w:t>
      </w:r>
      <w:r w:rsidR="00800E85">
        <w:t xml:space="preserve">Finding and Order </w:t>
      </w:r>
      <w:r>
        <w:t>at 10 (May 29, 2013).</w:t>
      </w:r>
    </w:p>
  </w:footnote>
  <w:footnote w:id="3">
    <w:p w:rsidR="00A62610" w:rsidRPr="00DE4D0B" w:rsidRDefault="00A62610" w:rsidP="00A62610">
      <w:pPr>
        <w:pStyle w:val="FootnoteText"/>
      </w:pPr>
      <w:r w:rsidRPr="00DE4D0B">
        <w:rPr>
          <w:rStyle w:val="FootnoteReference"/>
        </w:rPr>
        <w:footnoteRef/>
      </w:r>
      <w:r w:rsidRPr="00DE4D0B">
        <w:t xml:space="preserve"> Id</w:t>
      </w:r>
      <w:r>
        <w:t>.</w:t>
      </w:r>
      <w:r w:rsidRPr="00DE4D0B">
        <w:t xml:space="preserve"> at 47 (Emphasis added).</w:t>
      </w:r>
    </w:p>
  </w:footnote>
  <w:footnote w:id="4">
    <w:p w:rsidR="00A62610" w:rsidRPr="00DE4D0B" w:rsidRDefault="00A62610" w:rsidP="00A62610">
      <w:pPr>
        <w:pStyle w:val="FootnoteText"/>
      </w:pPr>
      <w:r w:rsidRPr="00DE4D0B">
        <w:rPr>
          <w:rStyle w:val="FootnoteReference"/>
        </w:rPr>
        <w:footnoteRef/>
      </w:r>
      <w:r w:rsidRPr="00DE4D0B">
        <w:t xml:space="preserve"> Id. (Emphasis added).  </w:t>
      </w:r>
    </w:p>
  </w:footnote>
  <w:footnote w:id="5">
    <w:p w:rsidR="00A62610" w:rsidRPr="00471D55" w:rsidRDefault="00A62610" w:rsidP="00A62610">
      <w:pPr>
        <w:pStyle w:val="FootnoteText"/>
      </w:pPr>
      <w:r w:rsidRPr="00471D55">
        <w:rPr>
          <w:rStyle w:val="FootnoteReference"/>
        </w:rPr>
        <w:footnoteRef/>
      </w:r>
      <w:r w:rsidRPr="00471D55">
        <w:t xml:space="preserve"> Id. at 47.</w:t>
      </w:r>
    </w:p>
  </w:footnote>
  <w:footnote w:id="6">
    <w:p w:rsidR="00571714" w:rsidRDefault="00571714" w:rsidP="003D73E8">
      <w:pPr>
        <w:pStyle w:val="FootnoteText"/>
      </w:pPr>
      <w:r>
        <w:rPr>
          <w:rStyle w:val="FootnoteReference"/>
        </w:rPr>
        <w:footnoteRef/>
      </w:r>
      <w:r>
        <w:t xml:space="preserve"> </w:t>
      </w:r>
      <w:r w:rsidRPr="00E17E5E">
        <w:t>AEP Ohio and other intervenors are permitted to f</w:t>
      </w:r>
      <w:r>
        <w:t>ile Initial Comments by September 10, 2014 and Reply Comments by September 25, 2014</w:t>
      </w:r>
      <w:r w:rsidRPr="00E17E5E">
        <w:t>.</w:t>
      </w:r>
      <w:r>
        <w:t xml:space="preserve">  Entry at 2 (August 11, 2014</w:t>
      </w:r>
      <w:r w:rsidRPr="00471D55">
        <w:t>)</w:t>
      </w:r>
      <w:r>
        <w:t>.</w:t>
      </w:r>
    </w:p>
  </w:footnote>
  <w:footnote w:id="7">
    <w:p w:rsidR="00571714" w:rsidRPr="00B37813" w:rsidRDefault="00571714" w:rsidP="00A266FA">
      <w:pPr>
        <w:pStyle w:val="FootnoteText"/>
      </w:pPr>
      <w:r w:rsidRPr="00B37813">
        <w:rPr>
          <w:rStyle w:val="FootnoteReference"/>
        </w:rPr>
        <w:footnoteRef/>
      </w:r>
      <w:r w:rsidRPr="00B37813">
        <w:t xml:space="preserve"> </w:t>
      </w:r>
      <w:r w:rsidR="00800E85">
        <w:t xml:space="preserve">PUCO </w:t>
      </w:r>
      <w:r w:rsidRPr="00B37813">
        <w:t>Staff Comments at 8</w:t>
      </w:r>
      <w:r>
        <w:t xml:space="preserve"> (July 21, 2014).</w:t>
      </w:r>
    </w:p>
  </w:footnote>
  <w:footnote w:id="8">
    <w:p w:rsidR="00571714" w:rsidRPr="00B37813" w:rsidRDefault="00571714" w:rsidP="006B1AEA">
      <w:pPr>
        <w:pStyle w:val="FootnoteText"/>
      </w:pPr>
      <w:r w:rsidRPr="00B37813">
        <w:rPr>
          <w:rStyle w:val="FootnoteReference"/>
        </w:rPr>
        <w:footnoteRef/>
      </w:r>
      <w:r w:rsidRPr="00B37813">
        <w:t xml:space="preserve"> Case </w:t>
      </w:r>
      <w:r w:rsidR="00E20516">
        <w:t xml:space="preserve">No. </w:t>
      </w:r>
      <w:r w:rsidRPr="00B37813">
        <w:t>12-3129-EL-UNC, F</w:t>
      </w:r>
      <w:r w:rsidR="00800E85">
        <w:t xml:space="preserve">inding </w:t>
      </w:r>
      <w:r w:rsidR="00E20516">
        <w:t>and</w:t>
      </w:r>
      <w:r w:rsidR="00800E85">
        <w:t xml:space="preserve"> </w:t>
      </w:r>
      <w:r w:rsidRPr="00B37813">
        <w:t>O</w:t>
      </w:r>
      <w:r w:rsidR="00800E85">
        <w:t>rder</w:t>
      </w:r>
      <w:r w:rsidRPr="00B37813">
        <w:t xml:space="preserve"> at 13</w:t>
      </w:r>
      <w:r w:rsidR="00052814">
        <w:t>.</w:t>
      </w:r>
    </w:p>
  </w:footnote>
  <w:footnote w:id="9">
    <w:p w:rsidR="00571714" w:rsidRPr="00B37813" w:rsidRDefault="00571714" w:rsidP="00A266FA">
      <w:pPr>
        <w:pStyle w:val="FootnoteText"/>
      </w:pPr>
      <w:r w:rsidRPr="00B37813">
        <w:rPr>
          <w:rStyle w:val="FootnoteReference"/>
        </w:rPr>
        <w:footnoteRef/>
      </w:r>
      <w:r w:rsidRPr="00B37813">
        <w:t xml:space="preserve"> Case </w:t>
      </w:r>
      <w:r w:rsidR="00E20516">
        <w:t xml:space="preserve">No. </w:t>
      </w:r>
      <w:r w:rsidRPr="00B37813">
        <w:t xml:space="preserve">13-2385-EL-SSO, AEP Ohio ESP </w:t>
      </w:r>
      <w:r>
        <w:t>III, Williams Testimony at</w:t>
      </w:r>
      <w:r w:rsidRPr="00B37813">
        <w:t xml:space="preserve"> 30-32</w:t>
      </w:r>
      <w:r>
        <w:t xml:space="preserve"> (May 6, 2</w:t>
      </w:r>
      <w:r w:rsidR="00E20516">
        <w:t>0</w:t>
      </w:r>
      <w:r>
        <w:t>14).</w:t>
      </w:r>
    </w:p>
  </w:footnote>
  <w:footnote w:id="10">
    <w:p w:rsidR="00571714" w:rsidRDefault="00571714">
      <w:pPr>
        <w:pStyle w:val="FootnoteText"/>
      </w:pPr>
      <w:r>
        <w:rPr>
          <w:rStyle w:val="FootnoteReference"/>
        </w:rPr>
        <w:footnoteRef/>
      </w:r>
      <w:r>
        <w:t xml:space="preserve"> </w:t>
      </w:r>
      <w:r w:rsidRPr="002F2D51">
        <w:t>Annual Reports filed by AEP Ohio pursuant to Ohio Admin. Code 4901:1-10-10(C)(3)(a) for 2012 and 2013</w:t>
      </w:r>
      <w:r>
        <w:t>.   A</w:t>
      </w:r>
      <w:r w:rsidRPr="002F2D51">
        <w:t xml:space="preserve">ttached </w:t>
      </w:r>
      <w:r>
        <w:t>to the prefiled Direct Testimony of James Williams in Case No. 13-2385-EL-SSO (May 6, 2014).</w:t>
      </w:r>
    </w:p>
  </w:footnote>
  <w:footnote w:id="11">
    <w:p w:rsidR="004B3F2A" w:rsidRDefault="004B3F2A">
      <w:pPr>
        <w:pStyle w:val="FootnoteText"/>
      </w:pPr>
      <w:r>
        <w:rPr>
          <w:rStyle w:val="FootnoteReference"/>
        </w:rPr>
        <w:footnoteRef/>
      </w:r>
      <w:r>
        <w:t xml:space="preserve"> See, PUCO Staff Comments at 7</w:t>
      </w:r>
      <w:r w:rsidR="00800E85">
        <w:t xml:space="preserve"> (July 21, 2014)</w:t>
      </w:r>
      <w:r>
        <w:t>.</w:t>
      </w:r>
    </w:p>
  </w:footnote>
  <w:footnote w:id="12">
    <w:p w:rsidR="00571714" w:rsidRPr="00DE4D0B" w:rsidRDefault="00571714" w:rsidP="00546F82">
      <w:pPr>
        <w:pStyle w:val="FootnoteText"/>
      </w:pPr>
      <w:r w:rsidRPr="00DE4D0B">
        <w:rPr>
          <w:rStyle w:val="FootnoteReference"/>
        </w:rPr>
        <w:footnoteRef/>
      </w:r>
      <w:r w:rsidRPr="00DE4D0B">
        <w:t xml:space="preserve"> </w:t>
      </w:r>
      <w:r w:rsidRPr="00872914">
        <w:rPr>
          <w:i/>
        </w:rPr>
        <w:t>In the Matter of the Commission’s Review of the Ohio Power Company’s Distribution Investment Rider</w:t>
      </w:r>
      <w:r w:rsidRPr="00DE4D0B">
        <w:t xml:space="preserve">, Case </w:t>
      </w:r>
      <w:r>
        <w:t xml:space="preserve">No. </w:t>
      </w:r>
      <w:r w:rsidRPr="00DE4D0B">
        <w:t>12-3129-EL-UNC, OCC Initial Comments at 13-14 (January 18, 2013).</w:t>
      </w:r>
    </w:p>
  </w:footnote>
  <w:footnote w:id="13">
    <w:p w:rsidR="00571714" w:rsidRPr="00DE4D0B" w:rsidRDefault="00571714" w:rsidP="00546F82">
      <w:pPr>
        <w:pStyle w:val="FootnoteText"/>
      </w:pPr>
      <w:r w:rsidRPr="00326F63">
        <w:rPr>
          <w:rStyle w:val="FootnoteReference"/>
          <w:i/>
        </w:rPr>
        <w:footnoteRef/>
      </w:r>
      <w:r w:rsidRPr="00326F63">
        <w:rPr>
          <w:i/>
        </w:rPr>
        <w:t xml:space="preserve"> In the Matter of the Commission’s Review of the Ohio Power Company’s Distribution Investment Rider</w:t>
      </w:r>
      <w:r w:rsidRPr="00DE4D0B">
        <w:t xml:space="preserve">, Case </w:t>
      </w:r>
      <w:r>
        <w:t xml:space="preserve">No. </w:t>
      </w:r>
      <w:r w:rsidRPr="00DE4D0B">
        <w:t>12-3129-EL-UNC, Commission Finding and Order at 10 (May 29, 2013).</w:t>
      </w:r>
    </w:p>
  </w:footnote>
  <w:footnote w:id="14">
    <w:p w:rsidR="00571714" w:rsidRDefault="00571714" w:rsidP="00546F82">
      <w:pPr>
        <w:pStyle w:val="FootnoteText"/>
      </w:pPr>
      <w:r w:rsidRPr="00DE4D0B">
        <w:rPr>
          <w:rStyle w:val="FootnoteReference"/>
        </w:rPr>
        <w:footnoteRef/>
      </w:r>
      <w:r w:rsidRPr="00DE4D0B">
        <w:t xml:space="preserve"> Id. at 11-12.</w:t>
      </w:r>
    </w:p>
  </w:footnote>
  <w:footnote w:id="15">
    <w:p w:rsidR="00571714" w:rsidRDefault="00571714">
      <w:pPr>
        <w:pStyle w:val="FootnoteText"/>
      </w:pPr>
      <w:r>
        <w:rPr>
          <w:rStyle w:val="FootnoteReference"/>
        </w:rPr>
        <w:footnoteRef/>
      </w:r>
      <w:r>
        <w:t xml:space="preserve"> </w:t>
      </w:r>
      <w:r w:rsidR="00800E85">
        <w:t xml:space="preserve">PUCO </w:t>
      </w:r>
      <w:r>
        <w:t xml:space="preserve">Staff Comments at </w:t>
      </w:r>
      <w:r w:rsidR="00C55FDC">
        <w:t xml:space="preserve">8-9 </w:t>
      </w:r>
      <w:r>
        <w:t>(July 21, 2014).</w:t>
      </w:r>
    </w:p>
  </w:footnote>
  <w:footnote w:id="16">
    <w:p w:rsidR="00571714" w:rsidRDefault="00571714">
      <w:pPr>
        <w:pStyle w:val="FootnoteText"/>
      </w:pPr>
      <w:r>
        <w:rPr>
          <w:rStyle w:val="FootnoteReference"/>
        </w:rPr>
        <w:footnoteRef/>
      </w:r>
      <w:r>
        <w:t xml:space="preserve"> </w:t>
      </w:r>
      <w:r w:rsidR="00800E85">
        <w:t xml:space="preserve">PUCO </w:t>
      </w:r>
      <w:r>
        <w:t>Staff Comments at 8, Table 5 (July 21, 2014).</w:t>
      </w:r>
    </w:p>
  </w:footnote>
  <w:footnote w:id="17">
    <w:p w:rsidR="00571714" w:rsidRDefault="00571714">
      <w:pPr>
        <w:pStyle w:val="FootnoteText"/>
      </w:pPr>
      <w:r>
        <w:rPr>
          <w:rStyle w:val="FootnoteReference"/>
        </w:rPr>
        <w:footnoteRef/>
      </w:r>
      <w:r>
        <w:t xml:space="preserve"> </w:t>
      </w:r>
      <w:r w:rsidR="00800E85">
        <w:t xml:space="preserve">PUCO Staff Comments at 8 (July 21, 2014); see also, </w:t>
      </w:r>
      <w:r>
        <w:t>Final Audit Report at 6-3.</w:t>
      </w:r>
    </w:p>
  </w:footnote>
  <w:footnote w:id="18">
    <w:p w:rsidR="00800E85" w:rsidRDefault="00800E85">
      <w:pPr>
        <w:pStyle w:val="FootnoteText"/>
      </w:pPr>
      <w:r>
        <w:rPr>
          <w:rStyle w:val="FootnoteReference"/>
        </w:rPr>
        <w:footnoteRef/>
      </w:r>
      <w:r>
        <w:t xml:space="preserve"> PUCO Staff Comments at 8 (July 21, 2014).</w:t>
      </w:r>
    </w:p>
  </w:footnote>
  <w:footnote w:id="19">
    <w:p w:rsidR="00800E85" w:rsidRDefault="00800E85">
      <w:pPr>
        <w:pStyle w:val="FootnoteText"/>
      </w:pPr>
      <w:r>
        <w:rPr>
          <w:rStyle w:val="FootnoteReference"/>
        </w:rPr>
        <w:footnoteRef/>
      </w:r>
      <w:r>
        <w:t xml:space="preserve"> PUCO Staff Comments at 8 (July 21, 2014).</w:t>
      </w:r>
    </w:p>
  </w:footnote>
  <w:footnote w:id="20">
    <w:p w:rsidR="00571714" w:rsidRPr="00B37813" w:rsidRDefault="00571714" w:rsidP="00A266FA">
      <w:pPr>
        <w:pStyle w:val="FootnoteText"/>
      </w:pPr>
      <w:r w:rsidRPr="00B37813">
        <w:rPr>
          <w:rStyle w:val="FootnoteReference"/>
        </w:rPr>
        <w:footnoteRef/>
      </w:r>
      <w:r w:rsidRPr="00B37813">
        <w:t xml:space="preserve"> AEP Ohio ESP III, Williams </w:t>
      </w:r>
      <w:r>
        <w:t xml:space="preserve">Direct Testimony </w:t>
      </w:r>
      <w:r w:rsidRPr="00B37813">
        <w:t>at 31</w:t>
      </w:r>
      <w:r>
        <w:t xml:space="preserve"> (May 6, 2014).</w:t>
      </w:r>
    </w:p>
  </w:footnote>
  <w:footnote w:id="21">
    <w:p w:rsidR="00547FD5" w:rsidRDefault="00547FD5">
      <w:pPr>
        <w:pStyle w:val="FootnoteText"/>
      </w:pPr>
      <w:r>
        <w:rPr>
          <w:rStyle w:val="FootnoteReference"/>
        </w:rPr>
        <w:footnoteRef/>
      </w:r>
      <w:r>
        <w:t xml:space="preserve"> Final Audit Report at 6-3</w:t>
      </w:r>
      <w:r w:rsidR="00E46CCA">
        <w:t>; PUCO Staff Comments at 7 (July 21, 2014)</w:t>
      </w:r>
      <w:r>
        <w:t>.</w:t>
      </w:r>
    </w:p>
  </w:footnote>
  <w:footnote w:id="22">
    <w:p w:rsidR="00571714" w:rsidRPr="00B37813" w:rsidRDefault="00571714" w:rsidP="00A266FA">
      <w:pPr>
        <w:pStyle w:val="FootnoteText"/>
      </w:pPr>
      <w:r w:rsidRPr="00B37813">
        <w:rPr>
          <w:rStyle w:val="FootnoteReference"/>
        </w:rPr>
        <w:footnoteRef/>
      </w:r>
      <w:r w:rsidRPr="00B37813">
        <w:t xml:space="preserve"> </w:t>
      </w:r>
      <w:r w:rsidR="00E46CCA">
        <w:t>PUCO S</w:t>
      </w:r>
      <w:r w:rsidRPr="00B37813">
        <w:t xml:space="preserve">taff </w:t>
      </w:r>
      <w:r w:rsidR="00E46CCA">
        <w:t>C</w:t>
      </w:r>
      <w:r w:rsidRPr="00B37813">
        <w:t>omments at 4</w:t>
      </w:r>
      <w:r>
        <w:t xml:space="preserve"> (July 2</w:t>
      </w:r>
      <w:r w:rsidR="00E46CCA">
        <w:t>1</w:t>
      </w:r>
      <w:r>
        <w:t>, 2014).</w:t>
      </w:r>
    </w:p>
  </w:footnote>
  <w:footnote w:id="23">
    <w:p w:rsidR="00571714" w:rsidRDefault="00571714" w:rsidP="00A266FA">
      <w:pPr>
        <w:pStyle w:val="FootnoteText"/>
      </w:pPr>
      <w:r>
        <w:rPr>
          <w:rStyle w:val="FootnoteReference"/>
        </w:rPr>
        <w:footnoteRef/>
      </w:r>
      <w:r>
        <w:t xml:space="preserve"> Final Audit Report at 6-3</w:t>
      </w:r>
      <w:r w:rsidR="00E46CCA">
        <w:t>; PUCO Staff Comments at 7 (July 21, 2014)</w:t>
      </w:r>
      <w:r>
        <w:t>.</w:t>
      </w:r>
    </w:p>
  </w:footnote>
  <w:footnote w:id="24">
    <w:p w:rsidR="00571714" w:rsidRDefault="00571714">
      <w:pPr>
        <w:pStyle w:val="FootnoteText"/>
      </w:pPr>
      <w:r>
        <w:rPr>
          <w:rStyle w:val="FootnoteReference"/>
        </w:rPr>
        <w:footnoteRef/>
      </w:r>
      <w:r>
        <w:t xml:space="preserve"> Final Audit Report at 6-3 (emphasis added)</w:t>
      </w:r>
      <w:r w:rsidR="00E64A59">
        <w:t xml:space="preserve">; see also, Case No. 12-3129-EL-UNC, AEP Ohio DIR Work Plan at pp 4-5 (December </w:t>
      </w:r>
      <w:r w:rsidR="00E46CCA">
        <w:t>3</w:t>
      </w:r>
      <w:r w:rsidR="00E64A59">
        <w:t>, 2012).</w:t>
      </w:r>
    </w:p>
  </w:footnote>
  <w:footnote w:id="25">
    <w:p w:rsidR="00571714" w:rsidRDefault="00571714">
      <w:pPr>
        <w:pStyle w:val="FootnoteText"/>
      </w:pPr>
      <w:r>
        <w:rPr>
          <w:rStyle w:val="FootnoteReference"/>
        </w:rPr>
        <w:footnoteRef/>
      </w:r>
      <w:r>
        <w:t xml:space="preserve"> Final Audit Report at 6-2, 6-3.</w:t>
      </w:r>
    </w:p>
  </w:footnote>
  <w:footnote w:id="26">
    <w:p w:rsidR="00571714" w:rsidRDefault="00571714">
      <w:pPr>
        <w:pStyle w:val="FootnoteText"/>
      </w:pPr>
      <w:r>
        <w:rPr>
          <w:rStyle w:val="FootnoteReference"/>
        </w:rPr>
        <w:footnoteRef/>
      </w:r>
      <w:r>
        <w:t xml:space="preserve"> Final Audit Report at 6-2, 6-3.</w:t>
      </w:r>
    </w:p>
  </w:footnote>
  <w:footnote w:id="27">
    <w:p w:rsidR="00571714" w:rsidRDefault="00571714">
      <w:pPr>
        <w:pStyle w:val="FootnoteText"/>
      </w:pPr>
      <w:r>
        <w:rPr>
          <w:rStyle w:val="FootnoteReference"/>
        </w:rPr>
        <w:footnoteRef/>
      </w:r>
      <w:r>
        <w:t xml:space="preserve"> </w:t>
      </w:r>
      <w:r w:rsidR="00547FD5">
        <w:t xml:space="preserve">While AEP Ohio claims $51,336,048 in “Other” DIR expenditures, the </w:t>
      </w:r>
      <w:r>
        <w:t>Final Audit Report at 6-3 notes that AEP Ohio over-stated by $9,571,000 the amount spent in the “Other” category.</w:t>
      </w:r>
      <w:r w:rsidR="00547FD5">
        <w:t xml:space="preserve">  The PUCO Staff has accepted this recommendation and incorporated it into its Comments filed with the Commission.</w:t>
      </w:r>
    </w:p>
  </w:footnote>
  <w:footnote w:id="28">
    <w:p w:rsidR="00571714" w:rsidRPr="00B37813" w:rsidRDefault="00571714" w:rsidP="00A266FA">
      <w:pPr>
        <w:pStyle w:val="FootnoteText"/>
      </w:pPr>
      <w:r w:rsidRPr="00B37813">
        <w:rPr>
          <w:rStyle w:val="FootnoteReference"/>
        </w:rPr>
        <w:footnoteRef/>
      </w:r>
      <w:r w:rsidRPr="00B37813">
        <w:t xml:space="preserve"> Case </w:t>
      </w:r>
      <w:r w:rsidR="00E20516">
        <w:t xml:space="preserve">No. </w:t>
      </w:r>
      <w:r w:rsidRPr="00B37813">
        <w:t>12-3129-EL-UNC, F</w:t>
      </w:r>
      <w:r w:rsidR="00E20516">
        <w:t xml:space="preserve">inding and </w:t>
      </w:r>
      <w:r w:rsidRPr="00B37813">
        <w:t>O</w:t>
      </w:r>
      <w:r w:rsidR="00E20516">
        <w:t>rder</w:t>
      </w:r>
      <w:r w:rsidRPr="00B37813">
        <w:t xml:space="preserve"> at 13</w:t>
      </w:r>
      <w:r>
        <w:t>.</w:t>
      </w:r>
    </w:p>
  </w:footnote>
  <w:footnote w:id="29">
    <w:p w:rsidR="00571714" w:rsidRPr="00B37813" w:rsidRDefault="00571714" w:rsidP="00546F82">
      <w:pPr>
        <w:pStyle w:val="FootnoteText"/>
      </w:pPr>
      <w:r w:rsidRPr="00B37813">
        <w:rPr>
          <w:rStyle w:val="FootnoteReference"/>
        </w:rPr>
        <w:footnoteRef/>
      </w:r>
      <w:r>
        <w:t xml:space="preserve"> </w:t>
      </w:r>
      <w:r w:rsidR="00E64A59">
        <w:t xml:space="preserve">PUCO </w:t>
      </w:r>
      <w:r>
        <w:t>Staff Comments at 9 (July 21, 2014).</w:t>
      </w:r>
    </w:p>
  </w:footnote>
  <w:footnote w:id="30">
    <w:p w:rsidR="00571714" w:rsidRDefault="00571714" w:rsidP="00546F82">
      <w:pPr>
        <w:pStyle w:val="FootnoteText"/>
      </w:pPr>
      <w:r>
        <w:rPr>
          <w:rStyle w:val="FootnoteReference"/>
        </w:rPr>
        <w:footnoteRef/>
      </w:r>
      <w:r>
        <w:t xml:space="preserve"> Final Audit Report at 6-3.</w:t>
      </w:r>
    </w:p>
  </w:footnote>
  <w:footnote w:id="31">
    <w:p w:rsidR="00571714" w:rsidRDefault="00571714" w:rsidP="00546F82">
      <w:pPr>
        <w:pStyle w:val="FootnoteText"/>
      </w:pPr>
      <w:r>
        <w:rPr>
          <w:rStyle w:val="FootnoteReference"/>
        </w:rPr>
        <w:footnoteRef/>
      </w:r>
      <w:r>
        <w:t xml:space="preserve"> </w:t>
      </w:r>
      <w:r w:rsidR="00E64A59">
        <w:t xml:space="preserve">PUCO </w:t>
      </w:r>
      <w:r>
        <w:t xml:space="preserve">Staff Comments at 9, Table 6 (July 21, 2014). </w:t>
      </w:r>
    </w:p>
  </w:footnote>
  <w:footnote w:id="32">
    <w:p w:rsidR="00571714" w:rsidRDefault="00571714" w:rsidP="00546F82">
      <w:pPr>
        <w:pStyle w:val="FootnoteText"/>
      </w:pPr>
      <w:r>
        <w:rPr>
          <w:rStyle w:val="FootnoteReference"/>
        </w:rPr>
        <w:footnoteRef/>
      </w:r>
      <w:r>
        <w:t xml:space="preserve"> 2013 Expenditures / Reduction in Outages.</w:t>
      </w:r>
    </w:p>
  </w:footnote>
  <w:footnote w:id="33">
    <w:p w:rsidR="00501EBB" w:rsidRDefault="00501EBB">
      <w:pPr>
        <w:pStyle w:val="FootnoteText"/>
      </w:pPr>
      <w:r>
        <w:rPr>
          <w:rStyle w:val="FootnoteReference"/>
        </w:rPr>
        <w:footnoteRef/>
      </w:r>
      <w:r>
        <w:t xml:space="preserve"> Case No. 12-3129-EL-UNC, OCC Reply Comments at 12 (February 1, 2013).</w:t>
      </w:r>
    </w:p>
  </w:footnote>
  <w:footnote w:id="34">
    <w:p w:rsidR="00571714" w:rsidRDefault="00571714">
      <w:pPr>
        <w:pStyle w:val="FootnoteText"/>
      </w:pPr>
      <w:r>
        <w:rPr>
          <w:rStyle w:val="FootnoteReference"/>
        </w:rPr>
        <w:footnoteRef/>
      </w:r>
      <w:r>
        <w:t xml:space="preserve"> See above at page</w:t>
      </w:r>
      <w:r w:rsidR="00E64A59">
        <w:t xml:space="preserve"> 3.</w:t>
      </w:r>
      <w:r>
        <w:t xml:space="preserve"> </w:t>
      </w:r>
    </w:p>
  </w:footnote>
  <w:footnote w:id="35">
    <w:p w:rsidR="00571714" w:rsidRPr="00F432FE" w:rsidRDefault="00571714" w:rsidP="00A266FA">
      <w:pPr>
        <w:pStyle w:val="FootnoteText"/>
      </w:pPr>
      <w:r w:rsidRPr="00F432FE">
        <w:rPr>
          <w:rStyle w:val="FootnoteReference"/>
        </w:rPr>
        <w:footnoteRef/>
      </w:r>
      <w:r w:rsidRPr="00F432FE">
        <w:t xml:space="preserve"> AEP Ohio ESP</w:t>
      </w:r>
      <w:r>
        <w:t xml:space="preserve"> </w:t>
      </w:r>
      <w:r w:rsidRPr="00F432FE">
        <w:t>III</w:t>
      </w:r>
      <w:r>
        <w:t xml:space="preserve">, </w:t>
      </w:r>
      <w:r w:rsidRPr="00F432FE">
        <w:t xml:space="preserve">Williams Testimony at </w:t>
      </w:r>
      <w:r>
        <w:t>4-20 (May 6, 2014)</w:t>
      </w:r>
      <w:r w:rsidRPr="00F432FE">
        <w:t>.</w:t>
      </w:r>
    </w:p>
  </w:footnote>
  <w:footnote w:id="36">
    <w:p w:rsidR="00571714" w:rsidRPr="00B37813" w:rsidRDefault="00571714" w:rsidP="00A266FA">
      <w:pPr>
        <w:pStyle w:val="FootnoteText"/>
      </w:pPr>
      <w:r w:rsidRPr="00B37813">
        <w:rPr>
          <w:rStyle w:val="FootnoteReference"/>
        </w:rPr>
        <w:footnoteRef/>
      </w:r>
      <w:r w:rsidRPr="00B37813">
        <w:t xml:space="preserve"> </w:t>
      </w:r>
      <w:r w:rsidR="00E64A59">
        <w:t xml:space="preserve">Final </w:t>
      </w:r>
      <w:r w:rsidRPr="00B37813">
        <w:t>Audit Report at 6-2</w:t>
      </w:r>
    </w:p>
  </w:footnote>
  <w:footnote w:id="37">
    <w:p w:rsidR="00571714" w:rsidRDefault="00571714">
      <w:pPr>
        <w:pStyle w:val="FootnoteText"/>
      </w:pPr>
      <w:r>
        <w:rPr>
          <w:rStyle w:val="FootnoteReference"/>
        </w:rPr>
        <w:footnoteRef/>
      </w:r>
      <w:r>
        <w:t xml:space="preserve"> $1,153,637 / 20,400.</w:t>
      </w:r>
    </w:p>
  </w:footnote>
  <w:footnote w:id="38">
    <w:p w:rsidR="00571714" w:rsidRPr="00326F63" w:rsidRDefault="00571714" w:rsidP="002D3188">
      <w:pPr>
        <w:autoSpaceDE w:val="0"/>
        <w:autoSpaceDN w:val="0"/>
        <w:adjustRightInd w:val="0"/>
        <w:spacing w:after="120"/>
        <w:rPr>
          <w:rFonts w:eastAsia="Calibri"/>
          <w:i/>
          <w:sz w:val="20"/>
          <w:szCs w:val="20"/>
        </w:rPr>
      </w:pPr>
      <w:r w:rsidRPr="00326F63">
        <w:rPr>
          <w:rStyle w:val="FootnoteReference"/>
          <w:sz w:val="20"/>
          <w:szCs w:val="20"/>
        </w:rPr>
        <w:footnoteRef/>
      </w:r>
      <w:r w:rsidRPr="00326F63">
        <w:rPr>
          <w:sz w:val="20"/>
          <w:szCs w:val="20"/>
        </w:rPr>
        <w:t xml:space="preserve"> </w:t>
      </w:r>
      <w:r w:rsidRPr="00326F63">
        <w:rPr>
          <w:rFonts w:eastAsia="Calibri"/>
          <w:i/>
          <w:sz w:val="20"/>
          <w:szCs w:val="20"/>
        </w:rPr>
        <w:t>In the Matter of the Application Not for an Increase in Rates Pursuant to Section 4909.18, Revised Code, of Ohio Power Company to Establish an Expiration for its gridSMART Experimental Tariffs</w:t>
      </w:r>
      <w:r w:rsidRPr="00326F63">
        <w:rPr>
          <w:rFonts w:eastAsia="Calibri"/>
          <w:sz w:val="20"/>
          <w:szCs w:val="20"/>
        </w:rPr>
        <w:t xml:space="preserve">, Case No. 13-1937-EL-ATA, Application (September 13, 2013). </w:t>
      </w:r>
    </w:p>
  </w:footnote>
  <w:footnote w:id="39">
    <w:p w:rsidR="00571714" w:rsidRPr="00B37813" w:rsidRDefault="00571714" w:rsidP="00A266FA">
      <w:pPr>
        <w:pStyle w:val="FootnoteText"/>
      </w:pPr>
      <w:r w:rsidRPr="00B37813">
        <w:rPr>
          <w:rStyle w:val="FootnoteReference"/>
        </w:rPr>
        <w:footnoteRef/>
      </w:r>
      <w:r w:rsidRPr="00B37813">
        <w:t xml:space="preserve"> Berkley </w:t>
      </w:r>
      <w:r>
        <w:t xml:space="preserve">Lab </w:t>
      </w:r>
      <w:r w:rsidRPr="00B37813">
        <w:t xml:space="preserve">Study at </w:t>
      </w:r>
      <w:r>
        <w:t>31, Table 4 – Customer Costs for the U.S. in 2001. (February 2006).</w:t>
      </w:r>
    </w:p>
  </w:footnote>
  <w:footnote w:id="40">
    <w:p w:rsidR="0049460C" w:rsidRDefault="0049460C">
      <w:pPr>
        <w:pStyle w:val="FootnoteText"/>
      </w:pPr>
      <w:r>
        <w:rPr>
          <w:rStyle w:val="FootnoteReference"/>
        </w:rPr>
        <w:footnoteRef/>
      </w:r>
      <w:r>
        <w:t xml:space="preserve"> PUCO Staff Comments at 1 (July 28, 2014); Final Audit Report at 6-3.</w:t>
      </w:r>
    </w:p>
  </w:footnote>
  <w:footnote w:id="41">
    <w:p w:rsidR="00571714" w:rsidRDefault="00571714" w:rsidP="00490D2A">
      <w:pPr>
        <w:pStyle w:val="FootnoteText"/>
      </w:pPr>
      <w:r>
        <w:rPr>
          <w:rStyle w:val="FootnoteReference"/>
        </w:rPr>
        <w:footnoteRef/>
      </w:r>
      <w:r>
        <w:t xml:space="preserve"> Final Audit Report at 6-3. </w:t>
      </w:r>
    </w:p>
  </w:footnote>
  <w:footnote w:id="42">
    <w:p w:rsidR="00571714" w:rsidRDefault="00571714" w:rsidP="00490D2A">
      <w:pPr>
        <w:pStyle w:val="FootnoteText"/>
      </w:pPr>
      <w:r>
        <w:rPr>
          <w:rStyle w:val="FootnoteReference"/>
        </w:rPr>
        <w:footnoteRef/>
      </w:r>
      <w:r>
        <w:t xml:space="preserve"> Final Audit Report at 6-3 (emphasis added).</w:t>
      </w:r>
    </w:p>
  </w:footnote>
  <w:footnote w:id="43">
    <w:p w:rsidR="00571714" w:rsidRDefault="00571714">
      <w:pPr>
        <w:pStyle w:val="FootnoteText"/>
      </w:pPr>
      <w:r>
        <w:rPr>
          <w:rStyle w:val="FootnoteReference"/>
        </w:rPr>
        <w:footnoteRef/>
      </w:r>
      <w:r>
        <w:t xml:space="preserve"> Final Audit Report at 6-3 notes that AEP Ohio over-stated the amount of capital spent in the “Other” category by $9,571,000 due to recovery of costs that were associated with Wheeling Power.  This finding underscores the need for the PUCO to eliminate the use of the “Other” category of spending from the DIR and to require better defined programs with more quantifiable reliability benefits.   </w:t>
      </w:r>
    </w:p>
  </w:footnote>
  <w:footnote w:id="44">
    <w:p w:rsidR="00571714" w:rsidRDefault="00571714" w:rsidP="00490D2A">
      <w:pPr>
        <w:pStyle w:val="FootnoteText"/>
      </w:pPr>
      <w:r>
        <w:rPr>
          <w:rStyle w:val="FootnoteReference"/>
        </w:rPr>
        <w:footnoteRef/>
      </w:r>
      <w:r>
        <w:t xml:space="preserve"> (“</w:t>
      </w:r>
      <w:r w:rsidRPr="004C43BC">
        <w:rPr>
          <w:i/>
        </w:rPr>
        <w:t>ESP II</w:t>
      </w:r>
      <w:r>
        <w:t>”)</w:t>
      </w:r>
      <w:r w:rsidRPr="00471D55">
        <w:t>, Case No. 11-346-EL-SSO, Opinion and Order at 47 (Aug</w:t>
      </w:r>
      <w:r>
        <w:t>ust</w:t>
      </w:r>
      <w:r w:rsidRPr="00471D55">
        <w:t xml:space="preserve"> 8, 2012).</w:t>
      </w:r>
    </w:p>
  </w:footnote>
  <w:footnote w:id="45">
    <w:p w:rsidR="00571714" w:rsidRPr="00B37813" w:rsidRDefault="00571714" w:rsidP="00A266FA">
      <w:pPr>
        <w:pStyle w:val="FootnoteText"/>
      </w:pPr>
      <w:r w:rsidRPr="00B37813">
        <w:rPr>
          <w:rStyle w:val="FootnoteReference"/>
        </w:rPr>
        <w:footnoteRef/>
      </w:r>
      <w:r>
        <w:t xml:space="preserve"> Final</w:t>
      </w:r>
      <w:r w:rsidRPr="00B37813">
        <w:t xml:space="preserve"> Audit Report at 6-4</w:t>
      </w:r>
      <w:r w:rsidR="00052814">
        <w:t>.</w:t>
      </w:r>
    </w:p>
  </w:footnote>
  <w:footnote w:id="46">
    <w:p w:rsidR="00D1742E" w:rsidRDefault="00D1742E">
      <w:pPr>
        <w:pStyle w:val="FootnoteText"/>
      </w:pPr>
      <w:r>
        <w:rPr>
          <w:rStyle w:val="FootnoteReference"/>
        </w:rPr>
        <w:footnoteRef/>
      </w:r>
      <w:r>
        <w:t xml:space="preserve"> PUCO Staff Comments at 1 (July 28, 2014).</w:t>
      </w:r>
    </w:p>
  </w:footnote>
  <w:footnote w:id="47">
    <w:p w:rsidR="00702CF2" w:rsidRDefault="00702CF2">
      <w:pPr>
        <w:pStyle w:val="FootnoteText"/>
      </w:pPr>
      <w:r>
        <w:rPr>
          <w:rStyle w:val="FootnoteReference"/>
        </w:rPr>
        <w:footnoteRef/>
      </w:r>
      <w:r>
        <w:t xml:space="preserve"> Case No. 12-3129-EL-UNC, In</w:t>
      </w:r>
      <w:r w:rsidR="00052814">
        <w:t>i</w:t>
      </w:r>
      <w:r>
        <w:t>tial Comments of the Office of the Ohio Consumers Counsel, at 20-22 (January 18, 2013).</w:t>
      </w:r>
    </w:p>
  </w:footnote>
  <w:footnote w:id="48">
    <w:p w:rsidR="00E56AEE" w:rsidRDefault="00E56AEE">
      <w:pPr>
        <w:pStyle w:val="FootnoteText"/>
      </w:pPr>
      <w:r>
        <w:rPr>
          <w:rStyle w:val="FootnoteReference"/>
        </w:rPr>
        <w:footnoteRef/>
      </w:r>
      <w:r>
        <w:t xml:space="preserve"> Case No. 12-3129-EL-UNC, Finding and Order at 12 (May 29, 2013).</w:t>
      </w:r>
    </w:p>
  </w:footnote>
  <w:footnote w:id="49">
    <w:p w:rsidR="0065207B" w:rsidRPr="00546F82" w:rsidRDefault="0065207B" w:rsidP="0065207B">
      <w:pPr>
        <w:pStyle w:val="FootnoteText"/>
      </w:pPr>
      <w:r>
        <w:rPr>
          <w:rStyle w:val="FootnoteReference"/>
        </w:rPr>
        <w:footnoteRef/>
      </w:r>
      <w:r>
        <w:t xml:space="preserve"> See </w:t>
      </w:r>
      <w:r>
        <w:rPr>
          <w:i/>
        </w:rPr>
        <w:t xml:space="preserve">In the Matter of the Commission’s Review of Ohio Power Company’s Distribution Investment Rider Plan, </w:t>
      </w:r>
      <w:r>
        <w:t>Case No. 12-3129-EL-UNC, Entry on Rehearing at 3, paragraph 10 (July 17,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191" w:rsidRDefault="00A501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191" w:rsidRDefault="00A501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191" w:rsidRDefault="00A5019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EDB" w:rsidRDefault="00945E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714" w:rsidRDefault="0057171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714" w:rsidRDefault="0057171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714" w:rsidRDefault="005717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9E48F0"/>
    <w:lvl w:ilvl="0">
      <w:start w:val="1"/>
      <w:numFmt w:val="decimal"/>
      <w:lvlText w:val="%1."/>
      <w:lvlJc w:val="left"/>
      <w:pPr>
        <w:tabs>
          <w:tab w:val="num" w:pos="1800"/>
        </w:tabs>
        <w:ind w:left="1800" w:hanging="360"/>
      </w:pPr>
    </w:lvl>
  </w:abstractNum>
  <w:abstractNum w:abstractNumId="1">
    <w:nsid w:val="FFFFFF7D"/>
    <w:multiLevelType w:val="singleLevel"/>
    <w:tmpl w:val="0ED8E70E"/>
    <w:lvl w:ilvl="0">
      <w:start w:val="1"/>
      <w:numFmt w:val="decimal"/>
      <w:lvlText w:val="%1."/>
      <w:lvlJc w:val="left"/>
      <w:pPr>
        <w:tabs>
          <w:tab w:val="num" w:pos="1440"/>
        </w:tabs>
        <w:ind w:left="1440" w:hanging="360"/>
      </w:pPr>
    </w:lvl>
  </w:abstractNum>
  <w:abstractNum w:abstractNumId="2">
    <w:nsid w:val="FFFFFF7E"/>
    <w:multiLevelType w:val="singleLevel"/>
    <w:tmpl w:val="9DDC7B00"/>
    <w:lvl w:ilvl="0">
      <w:start w:val="1"/>
      <w:numFmt w:val="decimal"/>
      <w:lvlText w:val="%1."/>
      <w:lvlJc w:val="left"/>
      <w:pPr>
        <w:tabs>
          <w:tab w:val="num" w:pos="1080"/>
        </w:tabs>
        <w:ind w:left="1080" w:hanging="360"/>
      </w:pPr>
    </w:lvl>
  </w:abstractNum>
  <w:abstractNum w:abstractNumId="3">
    <w:nsid w:val="FFFFFF7F"/>
    <w:multiLevelType w:val="singleLevel"/>
    <w:tmpl w:val="869A5762"/>
    <w:lvl w:ilvl="0">
      <w:start w:val="1"/>
      <w:numFmt w:val="decimal"/>
      <w:lvlText w:val="%1."/>
      <w:lvlJc w:val="left"/>
      <w:pPr>
        <w:tabs>
          <w:tab w:val="num" w:pos="720"/>
        </w:tabs>
        <w:ind w:left="720" w:hanging="360"/>
      </w:pPr>
    </w:lvl>
  </w:abstractNum>
  <w:abstractNum w:abstractNumId="4">
    <w:nsid w:val="FFFFFF80"/>
    <w:multiLevelType w:val="singleLevel"/>
    <w:tmpl w:val="F702B642"/>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E1FAF1DA"/>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7944B504"/>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01F098AA"/>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D300544E"/>
    <w:lvl w:ilvl="0">
      <w:start w:val="1"/>
      <w:numFmt w:val="decimal"/>
      <w:lvlText w:val="%1."/>
      <w:lvlJc w:val="left"/>
      <w:pPr>
        <w:tabs>
          <w:tab w:val="num" w:pos="360"/>
        </w:tabs>
        <w:ind w:left="360" w:hanging="360"/>
      </w:pPr>
    </w:lvl>
  </w:abstractNum>
  <w:abstractNum w:abstractNumId="9">
    <w:nsid w:val="FFFFFF89"/>
    <w:multiLevelType w:val="singleLevel"/>
    <w:tmpl w:val="ED9052DE"/>
    <w:lvl w:ilvl="0">
      <w:start w:val="1"/>
      <w:numFmt w:val="bullet"/>
      <w:lvlText w:val=""/>
      <w:lvlJc w:val="left"/>
      <w:pPr>
        <w:tabs>
          <w:tab w:val="num" w:pos="360"/>
        </w:tabs>
        <w:ind w:left="360" w:hanging="360"/>
      </w:pPr>
      <w:rPr>
        <w:rFonts w:ascii="Symbol" w:hAnsi="Symbol" w:cs="Symbol" w:hint="default"/>
      </w:rPr>
    </w:lvl>
  </w:abstractNum>
  <w:abstractNum w:abstractNumId="10">
    <w:nsid w:val="141A6D92"/>
    <w:multiLevelType w:val="hybridMultilevel"/>
    <w:tmpl w:val="E43092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5976EB"/>
    <w:multiLevelType w:val="hybridMultilevel"/>
    <w:tmpl w:val="08D2BB5A"/>
    <w:lvl w:ilvl="0" w:tplc="0EE85750">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nsid w:val="17BD61A5"/>
    <w:multiLevelType w:val="hybridMultilevel"/>
    <w:tmpl w:val="DD50F2F2"/>
    <w:lvl w:ilvl="0" w:tplc="0409000F">
      <w:start w:val="1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242F632B"/>
    <w:multiLevelType w:val="hybridMultilevel"/>
    <w:tmpl w:val="510E0E50"/>
    <w:lvl w:ilvl="0" w:tplc="B2947B8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3103229"/>
    <w:multiLevelType w:val="hybridMultilevel"/>
    <w:tmpl w:val="2B6AC8D8"/>
    <w:lvl w:ilvl="0" w:tplc="32B4907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FD18F1"/>
    <w:multiLevelType w:val="hybridMultilevel"/>
    <w:tmpl w:val="531CE366"/>
    <w:lvl w:ilvl="0" w:tplc="BE740A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5D5D2B"/>
    <w:multiLevelType w:val="hybridMultilevel"/>
    <w:tmpl w:val="E66C76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3E47AD5"/>
    <w:multiLevelType w:val="hybridMultilevel"/>
    <w:tmpl w:val="532667FA"/>
    <w:lvl w:ilvl="0" w:tplc="D5665E34">
      <w:start w:val="3"/>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E67D42"/>
    <w:multiLevelType w:val="hybridMultilevel"/>
    <w:tmpl w:val="F4922928"/>
    <w:lvl w:ilvl="0" w:tplc="EE40AD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9D1532F"/>
    <w:multiLevelType w:val="hybridMultilevel"/>
    <w:tmpl w:val="9588288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DE95525"/>
    <w:multiLevelType w:val="hybridMultilevel"/>
    <w:tmpl w:val="5CFCBE40"/>
    <w:lvl w:ilvl="0" w:tplc="35F668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EA4247"/>
    <w:multiLevelType w:val="hybridMultilevel"/>
    <w:tmpl w:val="DA08E7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754F37A3"/>
    <w:multiLevelType w:val="hybridMultilevel"/>
    <w:tmpl w:val="0D2CA488"/>
    <w:lvl w:ilvl="0" w:tplc="39280236">
      <w:start w:val="1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75C14830"/>
    <w:multiLevelType w:val="hybridMultilevel"/>
    <w:tmpl w:val="0F4C4ECA"/>
    <w:lvl w:ilvl="0" w:tplc="1F78B8FA">
      <w:start w:val="2"/>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7A3A57C7"/>
    <w:multiLevelType w:val="hybridMultilevel"/>
    <w:tmpl w:val="94C2643C"/>
    <w:lvl w:ilvl="0" w:tplc="0F3E1D8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8A31BC"/>
    <w:multiLevelType w:val="hybridMultilevel"/>
    <w:tmpl w:val="42807C8E"/>
    <w:lvl w:ilvl="0" w:tplc="04090015">
      <w:start w:val="14"/>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1"/>
  </w:num>
  <w:num w:numId="14">
    <w:abstractNumId w:val="12"/>
  </w:num>
  <w:num w:numId="15">
    <w:abstractNumId w:val="22"/>
  </w:num>
  <w:num w:numId="16">
    <w:abstractNumId w:val="25"/>
  </w:num>
  <w:num w:numId="17">
    <w:abstractNumId w:val="23"/>
  </w:num>
  <w:num w:numId="18">
    <w:abstractNumId w:val="21"/>
  </w:num>
  <w:num w:numId="19">
    <w:abstractNumId w:val="15"/>
  </w:num>
  <w:num w:numId="20">
    <w:abstractNumId w:val="17"/>
  </w:num>
  <w:num w:numId="21">
    <w:abstractNumId w:val="14"/>
  </w:num>
  <w:num w:numId="22">
    <w:abstractNumId w:val="24"/>
  </w:num>
  <w:num w:numId="23">
    <w:abstractNumId w:val="20"/>
  </w:num>
  <w:num w:numId="24">
    <w:abstractNumId w:val="10"/>
  </w:num>
  <w:num w:numId="25">
    <w:abstractNumId w:val="19"/>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CB8"/>
    <w:rsid w:val="000023A0"/>
    <w:rsid w:val="00002F59"/>
    <w:rsid w:val="00003DE7"/>
    <w:rsid w:val="000146D9"/>
    <w:rsid w:val="0001479A"/>
    <w:rsid w:val="000239A6"/>
    <w:rsid w:val="00025CFB"/>
    <w:rsid w:val="0003664D"/>
    <w:rsid w:val="0003796C"/>
    <w:rsid w:val="000416A8"/>
    <w:rsid w:val="0004209B"/>
    <w:rsid w:val="000501CC"/>
    <w:rsid w:val="00052814"/>
    <w:rsid w:val="00052C15"/>
    <w:rsid w:val="000536EA"/>
    <w:rsid w:val="0006405A"/>
    <w:rsid w:val="00066191"/>
    <w:rsid w:val="00066FE8"/>
    <w:rsid w:val="00067186"/>
    <w:rsid w:val="00070750"/>
    <w:rsid w:val="0007286A"/>
    <w:rsid w:val="00073651"/>
    <w:rsid w:val="00073880"/>
    <w:rsid w:val="00080059"/>
    <w:rsid w:val="000834AB"/>
    <w:rsid w:val="00086270"/>
    <w:rsid w:val="00087590"/>
    <w:rsid w:val="00090414"/>
    <w:rsid w:val="000938CF"/>
    <w:rsid w:val="00094090"/>
    <w:rsid w:val="000A1A39"/>
    <w:rsid w:val="000A2FCA"/>
    <w:rsid w:val="000A7D7F"/>
    <w:rsid w:val="000B1E4E"/>
    <w:rsid w:val="000B2A89"/>
    <w:rsid w:val="000C2583"/>
    <w:rsid w:val="000C409C"/>
    <w:rsid w:val="000C6CBB"/>
    <w:rsid w:val="000D49A2"/>
    <w:rsid w:val="000D562D"/>
    <w:rsid w:val="000E36ED"/>
    <w:rsid w:val="000F0541"/>
    <w:rsid w:val="000F5267"/>
    <w:rsid w:val="001061CC"/>
    <w:rsid w:val="00107F02"/>
    <w:rsid w:val="001243CE"/>
    <w:rsid w:val="001245A2"/>
    <w:rsid w:val="0012495C"/>
    <w:rsid w:val="00124D03"/>
    <w:rsid w:val="00131C9B"/>
    <w:rsid w:val="00133647"/>
    <w:rsid w:val="00136E56"/>
    <w:rsid w:val="00150BB7"/>
    <w:rsid w:val="001555E1"/>
    <w:rsid w:val="00171679"/>
    <w:rsid w:val="0017486E"/>
    <w:rsid w:val="00177600"/>
    <w:rsid w:val="00183300"/>
    <w:rsid w:val="00187A92"/>
    <w:rsid w:val="00190554"/>
    <w:rsid w:val="00190E00"/>
    <w:rsid w:val="00193C56"/>
    <w:rsid w:val="00194DDE"/>
    <w:rsid w:val="00197C9C"/>
    <w:rsid w:val="00197CB8"/>
    <w:rsid w:val="001A0851"/>
    <w:rsid w:val="001A23AF"/>
    <w:rsid w:val="001A5A5E"/>
    <w:rsid w:val="001C085C"/>
    <w:rsid w:val="001C093A"/>
    <w:rsid w:val="001C2D8A"/>
    <w:rsid w:val="001C3D36"/>
    <w:rsid w:val="001C5C13"/>
    <w:rsid w:val="001C5F5C"/>
    <w:rsid w:val="001D0AC5"/>
    <w:rsid w:val="001D209E"/>
    <w:rsid w:val="001D5B8F"/>
    <w:rsid w:val="001E58BE"/>
    <w:rsid w:val="001E5A99"/>
    <w:rsid w:val="001E5AE3"/>
    <w:rsid w:val="001F63B4"/>
    <w:rsid w:val="002074EC"/>
    <w:rsid w:val="00212291"/>
    <w:rsid w:val="00213A31"/>
    <w:rsid w:val="00216C46"/>
    <w:rsid w:val="0022104B"/>
    <w:rsid w:val="00222CF0"/>
    <w:rsid w:val="00225AE3"/>
    <w:rsid w:val="00226144"/>
    <w:rsid w:val="00230745"/>
    <w:rsid w:val="00230EB0"/>
    <w:rsid w:val="0023274E"/>
    <w:rsid w:val="002419ED"/>
    <w:rsid w:val="002459FF"/>
    <w:rsid w:val="00246913"/>
    <w:rsid w:val="00250F0E"/>
    <w:rsid w:val="0025234E"/>
    <w:rsid w:val="002628FC"/>
    <w:rsid w:val="002636F5"/>
    <w:rsid w:val="002657CF"/>
    <w:rsid w:val="00267E31"/>
    <w:rsid w:val="002723B4"/>
    <w:rsid w:val="00274F94"/>
    <w:rsid w:val="00275556"/>
    <w:rsid w:val="00276A78"/>
    <w:rsid w:val="002823DF"/>
    <w:rsid w:val="002A4396"/>
    <w:rsid w:val="002A62DA"/>
    <w:rsid w:val="002A7D0A"/>
    <w:rsid w:val="002A7EAE"/>
    <w:rsid w:val="002B3FD2"/>
    <w:rsid w:val="002D3188"/>
    <w:rsid w:val="002D77EC"/>
    <w:rsid w:val="002E0524"/>
    <w:rsid w:val="002E2903"/>
    <w:rsid w:val="002E2AAC"/>
    <w:rsid w:val="002E2AD5"/>
    <w:rsid w:val="002E32C5"/>
    <w:rsid w:val="002F4918"/>
    <w:rsid w:val="002F769A"/>
    <w:rsid w:val="00303C0F"/>
    <w:rsid w:val="003116DE"/>
    <w:rsid w:val="00311E0A"/>
    <w:rsid w:val="00313426"/>
    <w:rsid w:val="00315A4A"/>
    <w:rsid w:val="00316F40"/>
    <w:rsid w:val="00317274"/>
    <w:rsid w:val="0032449D"/>
    <w:rsid w:val="0032696E"/>
    <w:rsid w:val="00326F63"/>
    <w:rsid w:val="0033573F"/>
    <w:rsid w:val="00336CD7"/>
    <w:rsid w:val="00343F66"/>
    <w:rsid w:val="00345214"/>
    <w:rsid w:val="003522CA"/>
    <w:rsid w:val="00362ED9"/>
    <w:rsid w:val="003645EF"/>
    <w:rsid w:val="00365851"/>
    <w:rsid w:val="00367620"/>
    <w:rsid w:val="00373EF1"/>
    <w:rsid w:val="00386FDB"/>
    <w:rsid w:val="00390389"/>
    <w:rsid w:val="00391A2A"/>
    <w:rsid w:val="00397E86"/>
    <w:rsid w:val="003A00DF"/>
    <w:rsid w:val="003A4B2B"/>
    <w:rsid w:val="003A67CB"/>
    <w:rsid w:val="003B26F1"/>
    <w:rsid w:val="003B2CF6"/>
    <w:rsid w:val="003B659A"/>
    <w:rsid w:val="003C03AD"/>
    <w:rsid w:val="003C2A7F"/>
    <w:rsid w:val="003C4B75"/>
    <w:rsid w:val="003C52B2"/>
    <w:rsid w:val="003D1B9E"/>
    <w:rsid w:val="003D599D"/>
    <w:rsid w:val="003D6EC0"/>
    <w:rsid w:val="003D73E8"/>
    <w:rsid w:val="003D7FE8"/>
    <w:rsid w:val="003E0A58"/>
    <w:rsid w:val="003E278D"/>
    <w:rsid w:val="003E631F"/>
    <w:rsid w:val="003F23F0"/>
    <w:rsid w:val="0040065E"/>
    <w:rsid w:val="00402746"/>
    <w:rsid w:val="00411472"/>
    <w:rsid w:val="0041361E"/>
    <w:rsid w:val="00415B66"/>
    <w:rsid w:val="0041665C"/>
    <w:rsid w:val="00420CBA"/>
    <w:rsid w:val="00426169"/>
    <w:rsid w:val="00426489"/>
    <w:rsid w:val="004315CC"/>
    <w:rsid w:val="00431914"/>
    <w:rsid w:val="00431DD6"/>
    <w:rsid w:val="004359B2"/>
    <w:rsid w:val="0043686E"/>
    <w:rsid w:val="00437681"/>
    <w:rsid w:val="00454021"/>
    <w:rsid w:val="00455A83"/>
    <w:rsid w:val="00463DE3"/>
    <w:rsid w:val="00465F7D"/>
    <w:rsid w:val="00466686"/>
    <w:rsid w:val="00470958"/>
    <w:rsid w:val="0047439E"/>
    <w:rsid w:val="00476FD8"/>
    <w:rsid w:val="00483C4F"/>
    <w:rsid w:val="00484DC5"/>
    <w:rsid w:val="00486290"/>
    <w:rsid w:val="004878E0"/>
    <w:rsid w:val="00490D2A"/>
    <w:rsid w:val="00492D2D"/>
    <w:rsid w:val="0049460C"/>
    <w:rsid w:val="00494FAE"/>
    <w:rsid w:val="004A2048"/>
    <w:rsid w:val="004A5A9D"/>
    <w:rsid w:val="004B3003"/>
    <w:rsid w:val="004B321F"/>
    <w:rsid w:val="004B326C"/>
    <w:rsid w:val="004B3F2A"/>
    <w:rsid w:val="004B455E"/>
    <w:rsid w:val="004B4FD3"/>
    <w:rsid w:val="004B506F"/>
    <w:rsid w:val="004B6918"/>
    <w:rsid w:val="004B6A0E"/>
    <w:rsid w:val="004B7420"/>
    <w:rsid w:val="004C43BC"/>
    <w:rsid w:val="004C514A"/>
    <w:rsid w:val="004C721A"/>
    <w:rsid w:val="004C7352"/>
    <w:rsid w:val="004D3C42"/>
    <w:rsid w:val="004D44CD"/>
    <w:rsid w:val="004D5DC4"/>
    <w:rsid w:val="004D658A"/>
    <w:rsid w:val="004E1C06"/>
    <w:rsid w:val="004E38D1"/>
    <w:rsid w:val="004E5377"/>
    <w:rsid w:val="004F7507"/>
    <w:rsid w:val="00501558"/>
    <w:rsid w:val="00501EBB"/>
    <w:rsid w:val="0050718B"/>
    <w:rsid w:val="00514DBE"/>
    <w:rsid w:val="005177D9"/>
    <w:rsid w:val="005341A3"/>
    <w:rsid w:val="00535FC2"/>
    <w:rsid w:val="005412E1"/>
    <w:rsid w:val="00543E20"/>
    <w:rsid w:val="00545463"/>
    <w:rsid w:val="00546F7E"/>
    <w:rsid w:val="00546F82"/>
    <w:rsid w:val="005471D7"/>
    <w:rsid w:val="00547FD5"/>
    <w:rsid w:val="00552954"/>
    <w:rsid w:val="0055703A"/>
    <w:rsid w:val="00566DF9"/>
    <w:rsid w:val="00570033"/>
    <w:rsid w:val="00571714"/>
    <w:rsid w:val="00572F20"/>
    <w:rsid w:val="005829A6"/>
    <w:rsid w:val="005846DE"/>
    <w:rsid w:val="00586011"/>
    <w:rsid w:val="0059611E"/>
    <w:rsid w:val="00597AC9"/>
    <w:rsid w:val="005A32C6"/>
    <w:rsid w:val="005A5469"/>
    <w:rsid w:val="005B6EE1"/>
    <w:rsid w:val="005B773C"/>
    <w:rsid w:val="005B78AF"/>
    <w:rsid w:val="005C6E68"/>
    <w:rsid w:val="005D13EF"/>
    <w:rsid w:val="005E3713"/>
    <w:rsid w:val="005E4BFF"/>
    <w:rsid w:val="005E4CDB"/>
    <w:rsid w:val="005F0AA0"/>
    <w:rsid w:val="005F0C18"/>
    <w:rsid w:val="005F3267"/>
    <w:rsid w:val="005F5D17"/>
    <w:rsid w:val="005F78B4"/>
    <w:rsid w:val="00601AA2"/>
    <w:rsid w:val="0060224A"/>
    <w:rsid w:val="0060229A"/>
    <w:rsid w:val="006054A3"/>
    <w:rsid w:val="006074C9"/>
    <w:rsid w:val="00612AAE"/>
    <w:rsid w:val="006138A1"/>
    <w:rsid w:val="006142DD"/>
    <w:rsid w:val="006148A3"/>
    <w:rsid w:val="006167F3"/>
    <w:rsid w:val="00616B76"/>
    <w:rsid w:val="00620C2D"/>
    <w:rsid w:val="00620F78"/>
    <w:rsid w:val="00622FC2"/>
    <w:rsid w:val="00626B8F"/>
    <w:rsid w:val="006404EA"/>
    <w:rsid w:val="00644C6D"/>
    <w:rsid w:val="00646BA7"/>
    <w:rsid w:val="0065207B"/>
    <w:rsid w:val="006524DD"/>
    <w:rsid w:val="0065371D"/>
    <w:rsid w:val="00656C28"/>
    <w:rsid w:val="00670C7D"/>
    <w:rsid w:val="006727D7"/>
    <w:rsid w:val="00687C58"/>
    <w:rsid w:val="00690C68"/>
    <w:rsid w:val="00692210"/>
    <w:rsid w:val="00696A73"/>
    <w:rsid w:val="006A74FE"/>
    <w:rsid w:val="006B02A9"/>
    <w:rsid w:val="006B1AEA"/>
    <w:rsid w:val="006B2A9B"/>
    <w:rsid w:val="006B2B93"/>
    <w:rsid w:val="006B2D80"/>
    <w:rsid w:val="006B6DF8"/>
    <w:rsid w:val="006C011B"/>
    <w:rsid w:val="006C2154"/>
    <w:rsid w:val="006C3D9A"/>
    <w:rsid w:val="006C6863"/>
    <w:rsid w:val="006D09F3"/>
    <w:rsid w:val="006D344F"/>
    <w:rsid w:val="006D4902"/>
    <w:rsid w:val="006D7DD2"/>
    <w:rsid w:val="006E1ACF"/>
    <w:rsid w:val="006E256D"/>
    <w:rsid w:val="006E60CF"/>
    <w:rsid w:val="007013D1"/>
    <w:rsid w:val="007014EB"/>
    <w:rsid w:val="00702CF2"/>
    <w:rsid w:val="00706B76"/>
    <w:rsid w:val="007122ED"/>
    <w:rsid w:val="007138E2"/>
    <w:rsid w:val="00714905"/>
    <w:rsid w:val="00715D0B"/>
    <w:rsid w:val="007212AA"/>
    <w:rsid w:val="00722A40"/>
    <w:rsid w:val="007241CA"/>
    <w:rsid w:val="00725975"/>
    <w:rsid w:val="00727E49"/>
    <w:rsid w:val="00735479"/>
    <w:rsid w:val="00736782"/>
    <w:rsid w:val="0073752E"/>
    <w:rsid w:val="00737E95"/>
    <w:rsid w:val="007416E7"/>
    <w:rsid w:val="00745F52"/>
    <w:rsid w:val="007470DD"/>
    <w:rsid w:val="007603E8"/>
    <w:rsid w:val="00766D84"/>
    <w:rsid w:val="007674A1"/>
    <w:rsid w:val="00773450"/>
    <w:rsid w:val="00773F93"/>
    <w:rsid w:val="00781C7F"/>
    <w:rsid w:val="007843F1"/>
    <w:rsid w:val="007928CB"/>
    <w:rsid w:val="007957B6"/>
    <w:rsid w:val="0079670A"/>
    <w:rsid w:val="00796F64"/>
    <w:rsid w:val="007A3953"/>
    <w:rsid w:val="007A43C4"/>
    <w:rsid w:val="007B04A2"/>
    <w:rsid w:val="007B0AA0"/>
    <w:rsid w:val="007B7A4D"/>
    <w:rsid w:val="007D18FF"/>
    <w:rsid w:val="007D232D"/>
    <w:rsid w:val="007E0316"/>
    <w:rsid w:val="007E2302"/>
    <w:rsid w:val="007E65EB"/>
    <w:rsid w:val="007F2DAD"/>
    <w:rsid w:val="007F3BFE"/>
    <w:rsid w:val="007F58EA"/>
    <w:rsid w:val="007F7256"/>
    <w:rsid w:val="00800250"/>
    <w:rsid w:val="00800E85"/>
    <w:rsid w:val="00802079"/>
    <w:rsid w:val="00805661"/>
    <w:rsid w:val="00806F0C"/>
    <w:rsid w:val="00807C86"/>
    <w:rsid w:val="00817DD2"/>
    <w:rsid w:val="00821FC3"/>
    <w:rsid w:val="008237C4"/>
    <w:rsid w:val="00830FFE"/>
    <w:rsid w:val="008350D3"/>
    <w:rsid w:val="0083640D"/>
    <w:rsid w:val="00844FE5"/>
    <w:rsid w:val="008454F1"/>
    <w:rsid w:val="008457B5"/>
    <w:rsid w:val="00845AE4"/>
    <w:rsid w:val="00845B24"/>
    <w:rsid w:val="00854EFB"/>
    <w:rsid w:val="00870937"/>
    <w:rsid w:val="00872914"/>
    <w:rsid w:val="00874E8A"/>
    <w:rsid w:val="00880B9D"/>
    <w:rsid w:val="008835D3"/>
    <w:rsid w:val="0089300D"/>
    <w:rsid w:val="00896979"/>
    <w:rsid w:val="008969EE"/>
    <w:rsid w:val="008A62D6"/>
    <w:rsid w:val="008B1CF0"/>
    <w:rsid w:val="008B2819"/>
    <w:rsid w:val="008B3BD3"/>
    <w:rsid w:val="008B783A"/>
    <w:rsid w:val="008C2E7A"/>
    <w:rsid w:val="008C3E64"/>
    <w:rsid w:val="008D310C"/>
    <w:rsid w:val="008D5FE5"/>
    <w:rsid w:val="008D63DF"/>
    <w:rsid w:val="008E05B6"/>
    <w:rsid w:val="008E23DB"/>
    <w:rsid w:val="008E3445"/>
    <w:rsid w:val="008E3BCB"/>
    <w:rsid w:val="008F46E9"/>
    <w:rsid w:val="008F5878"/>
    <w:rsid w:val="008F7450"/>
    <w:rsid w:val="009006B6"/>
    <w:rsid w:val="009107F5"/>
    <w:rsid w:val="0092139C"/>
    <w:rsid w:val="009219ED"/>
    <w:rsid w:val="00922A33"/>
    <w:rsid w:val="00925045"/>
    <w:rsid w:val="0092637C"/>
    <w:rsid w:val="00932BD8"/>
    <w:rsid w:val="009375AA"/>
    <w:rsid w:val="00942971"/>
    <w:rsid w:val="009452E9"/>
    <w:rsid w:val="00945EDB"/>
    <w:rsid w:val="00951CC7"/>
    <w:rsid w:val="009606CA"/>
    <w:rsid w:val="00966CC5"/>
    <w:rsid w:val="009721C3"/>
    <w:rsid w:val="00975F81"/>
    <w:rsid w:val="009766CD"/>
    <w:rsid w:val="00982C6D"/>
    <w:rsid w:val="0098316A"/>
    <w:rsid w:val="00985AD4"/>
    <w:rsid w:val="00990E18"/>
    <w:rsid w:val="009910F2"/>
    <w:rsid w:val="00992312"/>
    <w:rsid w:val="00992C31"/>
    <w:rsid w:val="00992F5C"/>
    <w:rsid w:val="0099357C"/>
    <w:rsid w:val="009966EE"/>
    <w:rsid w:val="009A567F"/>
    <w:rsid w:val="009A7AC0"/>
    <w:rsid w:val="009B0352"/>
    <w:rsid w:val="009B2BE9"/>
    <w:rsid w:val="009B57DD"/>
    <w:rsid w:val="009B6090"/>
    <w:rsid w:val="009B6E2A"/>
    <w:rsid w:val="009C1DF9"/>
    <w:rsid w:val="009C2B57"/>
    <w:rsid w:val="009C35CC"/>
    <w:rsid w:val="009C57C5"/>
    <w:rsid w:val="009C6BE8"/>
    <w:rsid w:val="009D2A02"/>
    <w:rsid w:val="009E0164"/>
    <w:rsid w:val="009E0AE6"/>
    <w:rsid w:val="009E7313"/>
    <w:rsid w:val="009F4FF5"/>
    <w:rsid w:val="00A12459"/>
    <w:rsid w:val="00A127FE"/>
    <w:rsid w:val="00A12DF5"/>
    <w:rsid w:val="00A1510A"/>
    <w:rsid w:val="00A15D0E"/>
    <w:rsid w:val="00A16832"/>
    <w:rsid w:val="00A16D29"/>
    <w:rsid w:val="00A22BE0"/>
    <w:rsid w:val="00A2613A"/>
    <w:rsid w:val="00A266FA"/>
    <w:rsid w:val="00A27F00"/>
    <w:rsid w:val="00A34DEA"/>
    <w:rsid w:val="00A40C98"/>
    <w:rsid w:val="00A445EB"/>
    <w:rsid w:val="00A50191"/>
    <w:rsid w:val="00A5134B"/>
    <w:rsid w:val="00A566EC"/>
    <w:rsid w:val="00A62610"/>
    <w:rsid w:val="00A62DB0"/>
    <w:rsid w:val="00A66E55"/>
    <w:rsid w:val="00A741FD"/>
    <w:rsid w:val="00A745EE"/>
    <w:rsid w:val="00A810D6"/>
    <w:rsid w:val="00A83ABE"/>
    <w:rsid w:val="00A9111A"/>
    <w:rsid w:val="00A9669D"/>
    <w:rsid w:val="00A9678B"/>
    <w:rsid w:val="00AA1C00"/>
    <w:rsid w:val="00AA7763"/>
    <w:rsid w:val="00AB4D19"/>
    <w:rsid w:val="00AB745C"/>
    <w:rsid w:val="00AB77F1"/>
    <w:rsid w:val="00AC0726"/>
    <w:rsid w:val="00AC0F42"/>
    <w:rsid w:val="00AC222C"/>
    <w:rsid w:val="00AC3B54"/>
    <w:rsid w:val="00AC5115"/>
    <w:rsid w:val="00AC5A74"/>
    <w:rsid w:val="00AC62FF"/>
    <w:rsid w:val="00AD21CA"/>
    <w:rsid w:val="00AD7B8A"/>
    <w:rsid w:val="00AD7DB3"/>
    <w:rsid w:val="00AE2E34"/>
    <w:rsid w:val="00AF3747"/>
    <w:rsid w:val="00AF52C9"/>
    <w:rsid w:val="00AF79F6"/>
    <w:rsid w:val="00B02432"/>
    <w:rsid w:val="00B05575"/>
    <w:rsid w:val="00B1034F"/>
    <w:rsid w:val="00B207DE"/>
    <w:rsid w:val="00B26BF6"/>
    <w:rsid w:val="00B41616"/>
    <w:rsid w:val="00B45847"/>
    <w:rsid w:val="00B56A29"/>
    <w:rsid w:val="00B6153F"/>
    <w:rsid w:val="00B70029"/>
    <w:rsid w:val="00B7557A"/>
    <w:rsid w:val="00B77A9F"/>
    <w:rsid w:val="00B77EDA"/>
    <w:rsid w:val="00B8392A"/>
    <w:rsid w:val="00B847D6"/>
    <w:rsid w:val="00B860E3"/>
    <w:rsid w:val="00B9030C"/>
    <w:rsid w:val="00B941B9"/>
    <w:rsid w:val="00BA0155"/>
    <w:rsid w:val="00BA469F"/>
    <w:rsid w:val="00BB0CBC"/>
    <w:rsid w:val="00BB6C69"/>
    <w:rsid w:val="00BC193A"/>
    <w:rsid w:val="00BC38E9"/>
    <w:rsid w:val="00BE297B"/>
    <w:rsid w:val="00BE52E8"/>
    <w:rsid w:val="00BE6DA5"/>
    <w:rsid w:val="00BE7E06"/>
    <w:rsid w:val="00BF48AB"/>
    <w:rsid w:val="00BF6766"/>
    <w:rsid w:val="00BF6E02"/>
    <w:rsid w:val="00BF6FB8"/>
    <w:rsid w:val="00C009CC"/>
    <w:rsid w:val="00C01421"/>
    <w:rsid w:val="00C04040"/>
    <w:rsid w:val="00C052DD"/>
    <w:rsid w:val="00C10928"/>
    <w:rsid w:val="00C21D4E"/>
    <w:rsid w:val="00C35C40"/>
    <w:rsid w:val="00C36BD5"/>
    <w:rsid w:val="00C37E43"/>
    <w:rsid w:val="00C43E65"/>
    <w:rsid w:val="00C52B0B"/>
    <w:rsid w:val="00C53033"/>
    <w:rsid w:val="00C55FDC"/>
    <w:rsid w:val="00C6025C"/>
    <w:rsid w:val="00C6058B"/>
    <w:rsid w:val="00C70834"/>
    <w:rsid w:val="00C71947"/>
    <w:rsid w:val="00C74CAF"/>
    <w:rsid w:val="00C74F71"/>
    <w:rsid w:val="00C753FE"/>
    <w:rsid w:val="00C76EF6"/>
    <w:rsid w:val="00C77951"/>
    <w:rsid w:val="00C77C56"/>
    <w:rsid w:val="00C81BE0"/>
    <w:rsid w:val="00C82F81"/>
    <w:rsid w:val="00C83300"/>
    <w:rsid w:val="00C85967"/>
    <w:rsid w:val="00C86E11"/>
    <w:rsid w:val="00C87E17"/>
    <w:rsid w:val="00C91A95"/>
    <w:rsid w:val="00C92919"/>
    <w:rsid w:val="00C9493F"/>
    <w:rsid w:val="00C9521E"/>
    <w:rsid w:val="00CA1BAB"/>
    <w:rsid w:val="00CA5C49"/>
    <w:rsid w:val="00CA7A4E"/>
    <w:rsid w:val="00CB38A9"/>
    <w:rsid w:val="00CB7ECC"/>
    <w:rsid w:val="00CD0DA6"/>
    <w:rsid w:val="00CD1223"/>
    <w:rsid w:val="00CD4337"/>
    <w:rsid w:val="00CE1D48"/>
    <w:rsid w:val="00CE2444"/>
    <w:rsid w:val="00CE3AB5"/>
    <w:rsid w:val="00CE58D9"/>
    <w:rsid w:val="00CE6CEB"/>
    <w:rsid w:val="00CF1E34"/>
    <w:rsid w:val="00CF31E1"/>
    <w:rsid w:val="00D004B4"/>
    <w:rsid w:val="00D03D50"/>
    <w:rsid w:val="00D045A9"/>
    <w:rsid w:val="00D057BD"/>
    <w:rsid w:val="00D10159"/>
    <w:rsid w:val="00D105E3"/>
    <w:rsid w:val="00D10707"/>
    <w:rsid w:val="00D11178"/>
    <w:rsid w:val="00D12A56"/>
    <w:rsid w:val="00D13362"/>
    <w:rsid w:val="00D14401"/>
    <w:rsid w:val="00D14EB4"/>
    <w:rsid w:val="00D16662"/>
    <w:rsid w:val="00D1742E"/>
    <w:rsid w:val="00D17B6E"/>
    <w:rsid w:val="00D24040"/>
    <w:rsid w:val="00D407B1"/>
    <w:rsid w:val="00D46624"/>
    <w:rsid w:val="00D47F9E"/>
    <w:rsid w:val="00D5018F"/>
    <w:rsid w:val="00D61977"/>
    <w:rsid w:val="00D63CB8"/>
    <w:rsid w:val="00D67064"/>
    <w:rsid w:val="00D70E7E"/>
    <w:rsid w:val="00D72E1C"/>
    <w:rsid w:val="00D738CB"/>
    <w:rsid w:val="00D763B0"/>
    <w:rsid w:val="00D814A4"/>
    <w:rsid w:val="00D8782A"/>
    <w:rsid w:val="00D901D9"/>
    <w:rsid w:val="00D932A4"/>
    <w:rsid w:val="00D9467C"/>
    <w:rsid w:val="00D96F9C"/>
    <w:rsid w:val="00D97D66"/>
    <w:rsid w:val="00DA55D1"/>
    <w:rsid w:val="00DA74B9"/>
    <w:rsid w:val="00DA75A2"/>
    <w:rsid w:val="00DB2C3A"/>
    <w:rsid w:val="00DB556D"/>
    <w:rsid w:val="00DC2E37"/>
    <w:rsid w:val="00DC656C"/>
    <w:rsid w:val="00DC748D"/>
    <w:rsid w:val="00DD56DE"/>
    <w:rsid w:val="00DD7F1C"/>
    <w:rsid w:val="00DE1F6E"/>
    <w:rsid w:val="00DE34ED"/>
    <w:rsid w:val="00E0141C"/>
    <w:rsid w:val="00E074CD"/>
    <w:rsid w:val="00E14E4E"/>
    <w:rsid w:val="00E20516"/>
    <w:rsid w:val="00E332DE"/>
    <w:rsid w:val="00E4155B"/>
    <w:rsid w:val="00E41EB0"/>
    <w:rsid w:val="00E4214F"/>
    <w:rsid w:val="00E46CCA"/>
    <w:rsid w:val="00E50725"/>
    <w:rsid w:val="00E52735"/>
    <w:rsid w:val="00E5351F"/>
    <w:rsid w:val="00E5502A"/>
    <w:rsid w:val="00E56AEE"/>
    <w:rsid w:val="00E64A59"/>
    <w:rsid w:val="00E82125"/>
    <w:rsid w:val="00E85D7B"/>
    <w:rsid w:val="00E85E5F"/>
    <w:rsid w:val="00E907F2"/>
    <w:rsid w:val="00E91F6C"/>
    <w:rsid w:val="00E9490A"/>
    <w:rsid w:val="00E95569"/>
    <w:rsid w:val="00EA3794"/>
    <w:rsid w:val="00EA70E2"/>
    <w:rsid w:val="00EB02D1"/>
    <w:rsid w:val="00EC7AF0"/>
    <w:rsid w:val="00ED6056"/>
    <w:rsid w:val="00ED74F8"/>
    <w:rsid w:val="00ED7523"/>
    <w:rsid w:val="00EE1646"/>
    <w:rsid w:val="00EF42E7"/>
    <w:rsid w:val="00F0036F"/>
    <w:rsid w:val="00F0252C"/>
    <w:rsid w:val="00F07B87"/>
    <w:rsid w:val="00F16C3F"/>
    <w:rsid w:val="00F2606C"/>
    <w:rsid w:val="00F377AC"/>
    <w:rsid w:val="00F37CC9"/>
    <w:rsid w:val="00F42335"/>
    <w:rsid w:val="00F44953"/>
    <w:rsid w:val="00F45E3C"/>
    <w:rsid w:val="00F5058E"/>
    <w:rsid w:val="00F52A18"/>
    <w:rsid w:val="00F52C4C"/>
    <w:rsid w:val="00F6157B"/>
    <w:rsid w:val="00F6727D"/>
    <w:rsid w:val="00F71860"/>
    <w:rsid w:val="00F77169"/>
    <w:rsid w:val="00F809DA"/>
    <w:rsid w:val="00F83E56"/>
    <w:rsid w:val="00F853DA"/>
    <w:rsid w:val="00F85976"/>
    <w:rsid w:val="00F92127"/>
    <w:rsid w:val="00F9602D"/>
    <w:rsid w:val="00F97125"/>
    <w:rsid w:val="00F97F09"/>
    <w:rsid w:val="00FA2A5B"/>
    <w:rsid w:val="00FA3196"/>
    <w:rsid w:val="00FB012E"/>
    <w:rsid w:val="00FB34CD"/>
    <w:rsid w:val="00FB5D15"/>
    <w:rsid w:val="00FC1CD5"/>
    <w:rsid w:val="00FC3916"/>
    <w:rsid w:val="00FC4FA8"/>
    <w:rsid w:val="00FC5876"/>
    <w:rsid w:val="00FC617B"/>
    <w:rsid w:val="00FD45C3"/>
    <w:rsid w:val="00FD6D49"/>
    <w:rsid w:val="00FD75A4"/>
    <w:rsid w:val="00FD7F8C"/>
    <w:rsid w:val="00FE2450"/>
    <w:rsid w:val="00FE37FC"/>
    <w:rsid w:val="00FE3A0D"/>
    <w:rsid w:val="00FE7C13"/>
    <w:rsid w:val="00FF184F"/>
    <w:rsid w:val="00FF1852"/>
    <w:rsid w:val="00FF6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52814"/>
    <w:rPr>
      <w:rFonts w:eastAsia="Times New Roman"/>
      <w:sz w:val="24"/>
      <w:szCs w:val="24"/>
    </w:rPr>
  </w:style>
  <w:style w:type="paragraph" w:styleId="Heading1">
    <w:name w:val="heading 1"/>
    <w:basedOn w:val="Normal"/>
    <w:next w:val="Normal"/>
    <w:link w:val="Heading1Char"/>
    <w:autoRedefine/>
    <w:uiPriority w:val="99"/>
    <w:qFormat/>
    <w:rsid w:val="00052814"/>
    <w:pPr>
      <w:keepNext/>
      <w:spacing w:after="240"/>
      <w:ind w:left="720" w:hanging="720"/>
      <w:outlineLvl w:val="0"/>
    </w:pPr>
    <w:rPr>
      <w:rFonts w:ascii="Times New Roman Bold" w:hAnsi="Times New Roman Bold" w:cs="Times New Roman Bold"/>
      <w:b/>
      <w:bCs/>
      <w:caps/>
      <w:kern w:val="32"/>
    </w:rPr>
  </w:style>
  <w:style w:type="paragraph" w:styleId="Heading2">
    <w:name w:val="heading 2"/>
    <w:basedOn w:val="Normal"/>
    <w:next w:val="Normal"/>
    <w:link w:val="Heading2Char"/>
    <w:autoRedefine/>
    <w:uiPriority w:val="99"/>
    <w:qFormat/>
    <w:rsid w:val="00052814"/>
    <w:pPr>
      <w:keepNext/>
      <w:tabs>
        <w:tab w:val="left" w:pos="0"/>
      </w:tabs>
      <w:spacing w:after="240"/>
      <w:ind w:left="1440" w:right="720" w:hanging="720"/>
      <w:outlineLvl w:val="1"/>
    </w:pPr>
    <w:rPr>
      <w:rFonts w:ascii="Times New Roman Bold" w:hAnsi="Times New Roman Bold" w:cs="Times New Roman Bold"/>
      <w:b/>
      <w:bCs/>
    </w:rPr>
  </w:style>
  <w:style w:type="paragraph" w:styleId="Heading3">
    <w:name w:val="heading 3"/>
    <w:basedOn w:val="Normal"/>
    <w:next w:val="Normal"/>
    <w:link w:val="Heading3Char"/>
    <w:autoRedefine/>
    <w:uiPriority w:val="99"/>
    <w:qFormat/>
    <w:rsid w:val="00052814"/>
    <w:pPr>
      <w:keepNext/>
      <w:tabs>
        <w:tab w:val="left" w:pos="0"/>
        <w:tab w:val="left" w:pos="720"/>
      </w:tabs>
      <w:spacing w:after="240"/>
      <w:ind w:left="2160" w:hanging="720"/>
      <w:outlineLvl w:val="2"/>
    </w:pPr>
    <w:rPr>
      <w:rFonts w:ascii="Times New Roman Bold" w:hAnsi="Times New Roman Bold" w:cs="Times New Roman Bold"/>
      <w:b/>
      <w:bCs/>
    </w:rPr>
  </w:style>
  <w:style w:type="paragraph" w:styleId="Heading4">
    <w:name w:val="heading 4"/>
    <w:basedOn w:val="Normal"/>
    <w:next w:val="Normal"/>
    <w:link w:val="Heading4Char"/>
    <w:autoRedefine/>
    <w:uiPriority w:val="99"/>
    <w:qFormat/>
    <w:rsid w:val="00CD0DA6"/>
    <w:pPr>
      <w:keepNext/>
      <w:spacing w:after="240"/>
      <w:ind w:left="2880" w:hanging="720"/>
      <w:outlineLvl w:val="3"/>
    </w:pPr>
    <w:rPr>
      <w:rFonts w:ascii="Times New Roman Bold" w:hAnsi="Times New Roman Bold"/>
      <w:b/>
      <w:bCs/>
    </w:rPr>
  </w:style>
  <w:style w:type="paragraph" w:styleId="Heading5">
    <w:name w:val="heading 5"/>
    <w:basedOn w:val="Normal"/>
    <w:next w:val="Normal"/>
    <w:link w:val="Heading5Char"/>
    <w:autoRedefine/>
    <w:uiPriority w:val="99"/>
    <w:qFormat/>
    <w:rsid w:val="00080059"/>
    <w:pPr>
      <w:spacing w:after="240"/>
      <w:ind w:left="3600" w:hanging="72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52814"/>
    <w:rPr>
      <w:rFonts w:ascii="Times New Roman Bold" w:eastAsia="Times New Roman" w:hAnsi="Times New Roman Bold" w:cs="Times New Roman Bold"/>
      <w:b/>
      <w:bCs/>
      <w:caps/>
      <w:kern w:val="32"/>
      <w:sz w:val="24"/>
      <w:szCs w:val="24"/>
    </w:rPr>
  </w:style>
  <w:style w:type="character" w:customStyle="1" w:styleId="Heading2Char">
    <w:name w:val="Heading 2 Char"/>
    <w:link w:val="Heading2"/>
    <w:uiPriority w:val="99"/>
    <w:locked/>
    <w:rsid w:val="00052814"/>
    <w:rPr>
      <w:rFonts w:ascii="Times New Roman Bold" w:eastAsia="Times New Roman" w:hAnsi="Times New Roman Bold" w:cs="Times New Roman Bold"/>
      <w:b/>
      <w:bCs/>
      <w:sz w:val="24"/>
      <w:szCs w:val="24"/>
    </w:rPr>
  </w:style>
  <w:style w:type="character" w:customStyle="1" w:styleId="Heading3Char">
    <w:name w:val="Heading 3 Char"/>
    <w:link w:val="Heading3"/>
    <w:uiPriority w:val="99"/>
    <w:locked/>
    <w:rsid w:val="00052814"/>
    <w:rPr>
      <w:rFonts w:ascii="Times New Roman Bold" w:eastAsia="Times New Roman" w:hAnsi="Times New Roman Bold" w:cs="Times New Roman Bold"/>
      <w:b/>
      <w:bCs/>
      <w:sz w:val="24"/>
      <w:szCs w:val="24"/>
    </w:rPr>
  </w:style>
  <w:style w:type="character" w:customStyle="1" w:styleId="Heading4Char">
    <w:name w:val="Heading 4 Char"/>
    <w:link w:val="Heading4"/>
    <w:uiPriority w:val="99"/>
    <w:locked/>
    <w:rsid w:val="00CD0DA6"/>
    <w:rPr>
      <w:rFonts w:ascii="Times New Roman Bold" w:eastAsia="Times New Roman" w:hAnsi="Times New Roman Bold"/>
      <w:b/>
      <w:bCs/>
      <w:sz w:val="24"/>
      <w:szCs w:val="24"/>
    </w:rPr>
  </w:style>
  <w:style w:type="character" w:customStyle="1" w:styleId="Heading5Char">
    <w:name w:val="Heading 5 Char"/>
    <w:link w:val="Heading5"/>
    <w:uiPriority w:val="99"/>
    <w:semiHidden/>
    <w:locked/>
    <w:rsid w:val="00080059"/>
    <w:rPr>
      <w:rFonts w:eastAsia="Times New Roman"/>
      <w:b/>
      <w:bCs/>
      <w:sz w:val="26"/>
      <w:szCs w:val="26"/>
    </w:rPr>
  </w:style>
  <w:style w:type="paragraph" w:styleId="BalloonText">
    <w:name w:val="Balloon Text"/>
    <w:basedOn w:val="Normal"/>
    <w:link w:val="BalloonTextChar"/>
    <w:uiPriority w:val="99"/>
    <w:semiHidden/>
    <w:rsid w:val="00080059"/>
    <w:rPr>
      <w:rFonts w:ascii="Lucida Grande" w:hAnsi="Lucida Grande" w:cs="Lucida Grande"/>
      <w:sz w:val="18"/>
      <w:szCs w:val="18"/>
    </w:rPr>
  </w:style>
  <w:style w:type="character" w:customStyle="1" w:styleId="BalloonTextChar">
    <w:name w:val="Balloon Text Char"/>
    <w:link w:val="BalloonText"/>
    <w:uiPriority w:val="99"/>
    <w:semiHidden/>
    <w:locked/>
    <w:rsid w:val="00080059"/>
    <w:rPr>
      <w:rFonts w:ascii="Lucida Grande" w:hAnsi="Lucida Grande" w:cs="Lucida Grande"/>
      <w:sz w:val="18"/>
      <w:szCs w:val="18"/>
    </w:rPr>
  </w:style>
  <w:style w:type="paragraph" w:styleId="TOC2">
    <w:name w:val="toc 2"/>
    <w:basedOn w:val="Normal"/>
    <w:next w:val="Normal"/>
    <w:autoRedefine/>
    <w:uiPriority w:val="39"/>
    <w:qFormat/>
    <w:rsid w:val="008E3445"/>
    <w:pPr>
      <w:tabs>
        <w:tab w:val="left" w:pos="720"/>
        <w:tab w:val="decimal" w:leader="dot" w:pos="8640"/>
      </w:tabs>
      <w:spacing w:after="240"/>
      <w:ind w:left="1440" w:hanging="720"/>
    </w:pPr>
  </w:style>
  <w:style w:type="paragraph" w:styleId="TOC1">
    <w:name w:val="toc 1"/>
    <w:basedOn w:val="Normal"/>
    <w:next w:val="Normal"/>
    <w:autoRedefine/>
    <w:uiPriority w:val="39"/>
    <w:qFormat/>
    <w:rsid w:val="008E3445"/>
    <w:pPr>
      <w:tabs>
        <w:tab w:val="left" w:pos="720"/>
        <w:tab w:val="decimal" w:leader="dot" w:pos="8640"/>
      </w:tabs>
      <w:spacing w:after="240"/>
      <w:ind w:left="720" w:hanging="720"/>
    </w:pPr>
    <w:rPr>
      <w:caps/>
    </w:rPr>
  </w:style>
  <w:style w:type="paragraph" w:customStyle="1" w:styleId="Quote1">
    <w:name w:val="Quote1"/>
    <w:basedOn w:val="Normal"/>
    <w:autoRedefine/>
    <w:uiPriority w:val="99"/>
    <w:rsid w:val="00080059"/>
    <w:pPr>
      <w:spacing w:after="240"/>
      <w:ind w:left="720" w:right="720"/>
    </w:pPr>
  </w:style>
  <w:style w:type="paragraph" w:customStyle="1" w:styleId="WW-BodyTextIndent3">
    <w:name w:val="WW-Body Text Indent 3"/>
    <w:basedOn w:val="Normal"/>
    <w:uiPriority w:val="99"/>
    <w:rsid w:val="00080059"/>
    <w:pPr>
      <w:suppressAutoHyphens/>
      <w:spacing w:line="480" w:lineRule="atLeast"/>
      <w:ind w:firstLine="720"/>
    </w:pPr>
    <w:rPr>
      <w:lang w:eastAsia="ar-SA"/>
    </w:rPr>
  </w:style>
  <w:style w:type="character" w:customStyle="1" w:styleId="caps">
    <w:name w:val="caps"/>
    <w:basedOn w:val="DefaultParagraphFont"/>
    <w:uiPriority w:val="99"/>
    <w:rsid w:val="00080059"/>
  </w:style>
  <w:style w:type="paragraph" w:customStyle="1" w:styleId="ShortReturnAddress">
    <w:name w:val="Short Return Address"/>
    <w:basedOn w:val="Normal"/>
    <w:uiPriority w:val="99"/>
    <w:rsid w:val="00080059"/>
  </w:style>
  <w:style w:type="character" w:customStyle="1" w:styleId="FootnoteTextChar">
    <w:name w:val="Footnote Text Char"/>
    <w:uiPriority w:val="99"/>
    <w:locked/>
    <w:rsid w:val="00080059"/>
    <w:rPr>
      <w:lang w:val="en-US" w:eastAsia="en-US"/>
    </w:rPr>
  </w:style>
  <w:style w:type="character" w:customStyle="1" w:styleId="CharChar10">
    <w:name w:val="Char Char10"/>
    <w:uiPriority w:val="99"/>
    <w:semiHidden/>
    <w:locked/>
    <w:rsid w:val="00080059"/>
    <w:rPr>
      <w:lang w:val="en-US" w:eastAsia="en-US"/>
    </w:rPr>
  </w:style>
  <w:style w:type="character" w:customStyle="1" w:styleId="FootnoteTextChar4CharChar1">
    <w:name w:val="Footnote Text Char4 Char Char1"/>
    <w:aliases w:val="Footnote Text Char Char4 Char Char1,Footnote Text Char4 Char1 Char Char Char1,Footnote Text Char Char4 Char1 Char Char Char1,Footnote Text Char5 Char1 Char Char Char Char Char Char1,Footnote Text Char2 Char1"/>
    <w:uiPriority w:val="99"/>
    <w:semiHidden/>
    <w:locked/>
    <w:rsid w:val="00080059"/>
    <w:rPr>
      <w:lang w:val="en-US" w:eastAsia="en-US"/>
    </w:rPr>
  </w:style>
  <w:style w:type="paragraph" w:customStyle="1" w:styleId="CompanyName">
    <w:name w:val="Company Name"/>
    <w:basedOn w:val="Normal"/>
    <w:uiPriority w:val="99"/>
    <w:rsid w:val="00080059"/>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cs="Arial Black"/>
      <w:spacing w:val="-15"/>
      <w:position w:val="-2"/>
      <w:sz w:val="32"/>
      <w:szCs w:val="32"/>
    </w:rPr>
  </w:style>
  <w:style w:type="character" w:customStyle="1" w:styleId="term">
    <w:name w:val="term"/>
    <w:basedOn w:val="DefaultParagraphFont"/>
    <w:uiPriority w:val="99"/>
    <w:rsid w:val="00080059"/>
  </w:style>
  <w:style w:type="paragraph" w:styleId="FootnoteText">
    <w:name w:val="footnote text"/>
    <w:aliases w:val="Footnote Text Char2,Footnote Text Char1 Char1,Footnote Text Char Char Char1,Footnote Text Char Char1,Footnote Text Char1 Char Char,Footnote Text Char Char Char Char,Footnote Text Char4 Char Char Char Char"/>
    <w:basedOn w:val="Normal"/>
    <w:link w:val="FootnoteTextChar3"/>
    <w:autoRedefine/>
    <w:uiPriority w:val="99"/>
    <w:semiHidden/>
    <w:rsid w:val="003D73E8"/>
    <w:pPr>
      <w:spacing w:after="120"/>
    </w:pPr>
    <w:rPr>
      <w:sz w:val="20"/>
      <w:szCs w:val="20"/>
    </w:rPr>
  </w:style>
  <w:style w:type="character" w:customStyle="1" w:styleId="FootnoteTextChar1">
    <w:name w:val="Footnote Text Char1"/>
    <w:aliases w:val="Footnote Text Char2 Char,Footnote Text Char1 Char1 Char,Footnote Text Char Char Char1 Char,Footnote Text Char Char1 Char,Footnote Text Char1 Char Char Char,Footnote Text Char Char Char Char Char"/>
    <w:basedOn w:val="DefaultParagraphFont"/>
    <w:uiPriority w:val="99"/>
    <w:semiHidden/>
    <w:locked/>
    <w:rsid w:val="00080059"/>
  </w:style>
  <w:style w:type="character" w:customStyle="1" w:styleId="FootnoteTextChar3">
    <w:name w:val="Footnote Text Char3"/>
    <w:aliases w:val="Footnote Text Char2 Char2,Footnote Text Char1 Char1 Char1,Footnote Text Char Char Char1 Char1,Footnote Text Char Char1 Char1,Footnote Text Char1 Char Char Char1,Footnote Text Char Char Char Char Char1"/>
    <w:link w:val="FootnoteText"/>
    <w:uiPriority w:val="99"/>
    <w:semiHidden/>
    <w:locked/>
    <w:rsid w:val="003D73E8"/>
    <w:rPr>
      <w:rFonts w:eastAsia="Times New Roman"/>
    </w:rPr>
  </w:style>
  <w:style w:type="paragraph" w:styleId="CommentText">
    <w:name w:val="annotation text"/>
    <w:basedOn w:val="Normal"/>
    <w:link w:val="CommentTextChar"/>
    <w:semiHidden/>
    <w:rsid w:val="00080059"/>
  </w:style>
  <w:style w:type="character" w:customStyle="1" w:styleId="CommentTextChar">
    <w:name w:val="Comment Text Char"/>
    <w:link w:val="CommentText"/>
    <w:semiHidden/>
    <w:locked/>
    <w:rsid w:val="00080059"/>
    <w:rPr>
      <w:rFonts w:eastAsia="Times New Roman"/>
      <w:sz w:val="24"/>
      <w:szCs w:val="24"/>
    </w:rPr>
  </w:style>
  <w:style w:type="paragraph" w:styleId="Header">
    <w:name w:val="header"/>
    <w:basedOn w:val="Normal"/>
    <w:link w:val="HeaderChar"/>
    <w:uiPriority w:val="99"/>
    <w:rsid w:val="00080059"/>
    <w:pPr>
      <w:tabs>
        <w:tab w:val="center" w:pos="4320"/>
        <w:tab w:val="right" w:pos="8640"/>
      </w:tabs>
    </w:pPr>
  </w:style>
  <w:style w:type="character" w:customStyle="1" w:styleId="HeaderChar">
    <w:name w:val="Header Char"/>
    <w:link w:val="Header"/>
    <w:uiPriority w:val="99"/>
    <w:locked/>
    <w:rsid w:val="00080059"/>
    <w:rPr>
      <w:rFonts w:eastAsia="Times New Roman"/>
      <w:sz w:val="24"/>
      <w:szCs w:val="24"/>
    </w:rPr>
  </w:style>
  <w:style w:type="paragraph" w:styleId="Footer">
    <w:name w:val="footer"/>
    <w:aliases w:val="Char1"/>
    <w:basedOn w:val="Normal"/>
    <w:link w:val="FooterChar"/>
    <w:uiPriority w:val="99"/>
    <w:rsid w:val="00080059"/>
    <w:pPr>
      <w:tabs>
        <w:tab w:val="center" w:pos="4320"/>
        <w:tab w:val="right" w:pos="8640"/>
      </w:tabs>
    </w:pPr>
  </w:style>
  <w:style w:type="character" w:customStyle="1" w:styleId="FooterChar">
    <w:name w:val="Footer Char"/>
    <w:aliases w:val="Char1 Char"/>
    <w:link w:val="Footer"/>
    <w:uiPriority w:val="99"/>
    <w:locked/>
    <w:rsid w:val="00080059"/>
    <w:rPr>
      <w:rFonts w:eastAsia="Times New Roman"/>
      <w:sz w:val="24"/>
      <w:szCs w:val="24"/>
    </w:rPr>
  </w:style>
  <w:style w:type="character" w:styleId="FootnoteReference">
    <w:name w:val="footnote reference"/>
    <w:aliases w:val="o,fr,Style 3,Style 13,Appel note de bas de p,Style 12,(NECG) Footnote Reference,Style 124"/>
    <w:uiPriority w:val="99"/>
    <w:semiHidden/>
    <w:rsid w:val="00080059"/>
    <w:rPr>
      <w:vertAlign w:val="superscript"/>
    </w:rPr>
  </w:style>
  <w:style w:type="character" w:styleId="CommentReference">
    <w:name w:val="annotation reference"/>
    <w:uiPriority w:val="99"/>
    <w:semiHidden/>
    <w:rsid w:val="00080059"/>
    <w:rPr>
      <w:sz w:val="18"/>
      <w:szCs w:val="18"/>
    </w:rPr>
  </w:style>
  <w:style w:type="character" w:styleId="PageNumber">
    <w:name w:val="page number"/>
    <w:basedOn w:val="DefaultParagraphFont"/>
    <w:uiPriority w:val="99"/>
    <w:rsid w:val="00080059"/>
  </w:style>
  <w:style w:type="paragraph" w:styleId="Title">
    <w:name w:val="Title"/>
    <w:basedOn w:val="Normal"/>
    <w:link w:val="TitleChar"/>
    <w:uiPriority w:val="99"/>
    <w:qFormat/>
    <w:rsid w:val="00080059"/>
    <w:pPr>
      <w:jc w:val="center"/>
    </w:pPr>
    <w:rPr>
      <w:b/>
      <w:bCs/>
    </w:rPr>
  </w:style>
  <w:style w:type="character" w:customStyle="1" w:styleId="TitleChar">
    <w:name w:val="Title Char"/>
    <w:link w:val="Title"/>
    <w:uiPriority w:val="99"/>
    <w:locked/>
    <w:rsid w:val="00080059"/>
    <w:rPr>
      <w:rFonts w:eastAsia="Times New Roman"/>
      <w:b/>
      <w:bCs/>
      <w:sz w:val="24"/>
      <w:szCs w:val="24"/>
    </w:rPr>
  </w:style>
  <w:style w:type="paragraph" w:styleId="BodyText">
    <w:name w:val="Body Text"/>
    <w:basedOn w:val="Normal"/>
    <w:link w:val="BodyTextChar"/>
    <w:uiPriority w:val="99"/>
    <w:rsid w:val="00080059"/>
    <w:pPr>
      <w:tabs>
        <w:tab w:val="left" w:pos="0"/>
        <w:tab w:val="left" w:pos="720"/>
      </w:tabs>
      <w:spacing w:line="480" w:lineRule="auto"/>
      <w:ind w:firstLine="720"/>
    </w:pPr>
  </w:style>
  <w:style w:type="character" w:customStyle="1" w:styleId="BodyTextChar">
    <w:name w:val="Body Text Char"/>
    <w:link w:val="BodyText"/>
    <w:uiPriority w:val="99"/>
    <w:locked/>
    <w:rsid w:val="00080059"/>
    <w:rPr>
      <w:rFonts w:eastAsia="Times New Roman"/>
      <w:sz w:val="24"/>
      <w:szCs w:val="24"/>
    </w:rPr>
  </w:style>
  <w:style w:type="paragraph" w:styleId="BodyTextIndent">
    <w:name w:val="Body Text Indent"/>
    <w:basedOn w:val="Normal"/>
    <w:link w:val="BodyTextIndentChar"/>
    <w:uiPriority w:val="99"/>
    <w:rsid w:val="00080059"/>
    <w:pPr>
      <w:spacing w:line="480" w:lineRule="auto"/>
      <w:ind w:firstLine="720"/>
    </w:pPr>
  </w:style>
  <w:style w:type="character" w:customStyle="1" w:styleId="BodyTextIndentChar">
    <w:name w:val="Body Text Indent Char"/>
    <w:link w:val="BodyTextIndent"/>
    <w:uiPriority w:val="99"/>
    <w:locked/>
    <w:rsid w:val="00080059"/>
    <w:rPr>
      <w:rFonts w:eastAsia="Times New Roman"/>
      <w:sz w:val="24"/>
      <w:szCs w:val="24"/>
    </w:rPr>
  </w:style>
  <w:style w:type="paragraph" w:styleId="BodyText2">
    <w:name w:val="Body Text 2"/>
    <w:basedOn w:val="Normal"/>
    <w:link w:val="BodyText2Char"/>
    <w:uiPriority w:val="99"/>
    <w:rsid w:val="00080059"/>
    <w:pPr>
      <w:spacing w:after="120" w:line="480" w:lineRule="auto"/>
    </w:pPr>
  </w:style>
  <w:style w:type="character" w:customStyle="1" w:styleId="BodyText2Char">
    <w:name w:val="Body Text 2 Char"/>
    <w:link w:val="BodyText2"/>
    <w:uiPriority w:val="99"/>
    <w:locked/>
    <w:rsid w:val="00080059"/>
    <w:rPr>
      <w:rFonts w:eastAsia="Times New Roman"/>
      <w:sz w:val="24"/>
      <w:szCs w:val="24"/>
    </w:rPr>
  </w:style>
  <w:style w:type="paragraph" w:styleId="BodyTextIndent2">
    <w:name w:val="Body Text Indent 2"/>
    <w:basedOn w:val="Normal"/>
    <w:link w:val="BodyTextIndent2Char"/>
    <w:uiPriority w:val="99"/>
    <w:rsid w:val="00080059"/>
    <w:pPr>
      <w:widowControl w:val="0"/>
      <w:autoSpaceDE w:val="0"/>
      <w:autoSpaceDN w:val="0"/>
      <w:adjustRightInd w:val="0"/>
      <w:spacing w:after="120" w:line="480" w:lineRule="auto"/>
      <w:ind w:left="360"/>
    </w:pPr>
    <w:rPr>
      <w:rFonts w:ascii="Courier New" w:hAnsi="Courier New" w:cs="Courier New"/>
      <w:sz w:val="20"/>
      <w:szCs w:val="20"/>
    </w:rPr>
  </w:style>
  <w:style w:type="character" w:customStyle="1" w:styleId="BodyTextIndent2Char">
    <w:name w:val="Body Text Indent 2 Char"/>
    <w:link w:val="BodyTextIndent2"/>
    <w:uiPriority w:val="99"/>
    <w:locked/>
    <w:rsid w:val="00080059"/>
    <w:rPr>
      <w:rFonts w:ascii="Courier New" w:hAnsi="Courier New" w:cs="Courier New"/>
    </w:rPr>
  </w:style>
  <w:style w:type="paragraph" w:styleId="BodyTextIndent3">
    <w:name w:val="Body Text Indent 3"/>
    <w:basedOn w:val="Normal"/>
    <w:link w:val="BodyTextIndent3Char"/>
    <w:uiPriority w:val="99"/>
    <w:rsid w:val="00080059"/>
    <w:pPr>
      <w:spacing w:after="120"/>
      <w:ind w:left="360"/>
    </w:pPr>
    <w:rPr>
      <w:sz w:val="16"/>
      <w:szCs w:val="16"/>
    </w:rPr>
  </w:style>
  <w:style w:type="character" w:customStyle="1" w:styleId="BodyTextIndent3Char">
    <w:name w:val="Body Text Indent 3 Char"/>
    <w:link w:val="BodyTextIndent3"/>
    <w:uiPriority w:val="99"/>
    <w:locked/>
    <w:rsid w:val="00080059"/>
    <w:rPr>
      <w:rFonts w:eastAsia="Times New Roman"/>
      <w:sz w:val="16"/>
      <w:szCs w:val="16"/>
    </w:rPr>
  </w:style>
  <w:style w:type="character" w:styleId="Hyperlink">
    <w:name w:val="Hyperlink"/>
    <w:uiPriority w:val="99"/>
    <w:rsid w:val="00080059"/>
    <w:rPr>
      <w:color w:val="0000FF"/>
      <w:u w:val="single"/>
    </w:rPr>
  </w:style>
  <w:style w:type="character" w:styleId="Strong">
    <w:name w:val="Strong"/>
    <w:uiPriority w:val="99"/>
    <w:qFormat/>
    <w:rsid w:val="00080059"/>
    <w:rPr>
      <w:b/>
      <w:bCs/>
    </w:rPr>
  </w:style>
  <w:style w:type="paragraph" w:styleId="NormalWeb">
    <w:name w:val="Normal (Web)"/>
    <w:basedOn w:val="Normal"/>
    <w:uiPriority w:val="99"/>
    <w:rsid w:val="00080059"/>
    <w:pPr>
      <w:spacing w:before="100" w:beforeAutospacing="1" w:after="100" w:afterAutospacing="1"/>
    </w:pPr>
  </w:style>
  <w:style w:type="paragraph" w:styleId="HTMLPreformatted">
    <w:name w:val="HTML Preformatted"/>
    <w:basedOn w:val="Normal"/>
    <w:link w:val="HTMLPreformattedChar"/>
    <w:rsid w:val="00080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link w:val="HTMLPreformatted"/>
    <w:locked/>
    <w:rsid w:val="00080059"/>
    <w:rPr>
      <w:rFonts w:ascii="Courier New" w:hAnsi="Courier New" w:cs="Courier New"/>
    </w:rPr>
  </w:style>
  <w:style w:type="paragraph" w:styleId="CommentSubject">
    <w:name w:val="annotation subject"/>
    <w:basedOn w:val="CommentText"/>
    <w:next w:val="CommentText"/>
    <w:link w:val="CommentSubjectChar"/>
    <w:uiPriority w:val="99"/>
    <w:semiHidden/>
    <w:rsid w:val="00080059"/>
  </w:style>
  <w:style w:type="character" w:customStyle="1" w:styleId="CommentSubjectChar">
    <w:name w:val="Comment Subject Char"/>
    <w:link w:val="CommentSubject"/>
    <w:uiPriority w:val="99"/>
    <w:semiHidden/>
    <w:locked/>
    <w:rsid w:val="00080059"/>
    <w:rPr>
      <w:rFonts w:eastAsia="Times New Roman"/>
      <w:sz w:val="24"/>
      <w:szCs w:val="24"/>
    </w:rPr>
  </w:style>
  <w:style w:type="table" w:styleId="TableGrid">
    <w:name w:val="Table Grid"/>
    <w:basedOn w:val="TableNormal"/>
    <w:uiPriority w:val="99"/>
    <w:rsid w:val="000800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
    <w:name w:val="Inside Address"/>
    <w:basedOn w:val="Normal"/>
    <w:uiPriority w:val="99"/>
    <w:rsid w:val="00080059"/>
    <w:rPr>
      <w:rFonts w:ascii="Times" w:eastAsia="Calibri" w:hAnsi="Times" w:cs="Times"/>
    </w:rPr>
  </w:style>
  <w:style w:type="paragraph" w:styleId="ListParagraph">
    <w:name w:val="List Paragraph"/>
    <w:basedOn w:val="Normal"/>
    <w:uiPriority w:val="99"/>
    <w:qFormat/>
    <w:rsid w:val="00080059"/>
    <w:pPr>
      <w:ind w:left="720"/>
    </w:pPr>
  </w:style>
  <w:style w:type="paragraph" w:customStyle="1" w:styleId="listparagraph0">
    <w:name w:val="listparagraph"/>
    <w:basedOn w:val="Normal"/>
    <w:uiPriority w:val="99"/>
    <w:rsid w:val="00AC0F42"/>
    <w:pPr>
      <w:spacing w:before="100" w:beforeAutospacing="1" w:after="100" w:afterAutospacing="1"/>
    </w:pPr>
    <w:rPr>
      <w:rFonts w:eastAsia="Calibri"/>
    </w:rPr>
  </w:style>
  <w:style w:type="paragraph" w:styleId="Date">
    <w:name w:val="Date"/>
    <w:basedOn w:val="Normal"/>
    <w:next w:val="Normal"/>
    <w:link w:val="DateChar"/>
    <w:uiPriority w:val="99"/>
    <w:unhideWhenUsed/>
    <w:locked/>
    <w:rsid w:val="00EB02D1"/>
  </w:style>
  <w:style w:type="character" w:customStyle="1" w:styleId="DateChar">
    <w:name w:val="Date Char"/>
    <w:link w:val="Date"/>
    <w:uiPriority w:val="99"/>
    <w:rsid w:val="00EB02D1"/>
    <w:rPr>
      <w:rFonts w:eastAsia="Times New Roman"/>
      <w:sz w:val="24"/>
      <w:szCs w:val="24"/>
    </w:rPr>
  </w:style>
  <w:style w:type="paragraph" w:styleId="TOC3">
    <w:name w:val="toc 3"/>
    <w:basedOn w:val="Normal"/>
    <w:next w:val="Normal"/>
    <w:autoRedefine/>
    <w:uiPriority w:val="39"/>
    <w:unhideWhenUsed/>
    <w:qFormat/>
    <w:locked/>
    <w:rsid w:val="008E3445"/>
    <w:pPr>
      <w:tabs>
        <w:tab w:val="left" w:pos="720"/>
        <w:tab w:val="decimal" w:leader="dot" w:pos="8640"/>
      </w:tabs>
      <w:spacing w:after="240"/>
      <w:ind w:left="2160" w:hanging="720"/>
    </w:pPr>
  </w:style>
  <w:style w:type="paragraph" w:styleId="Caption">
    <w:name w:val="caption"/>
    <w:basedOn w:val="Normal"/>
    <w:next w:val="Normal"/>
    <w:uiPriority w:val="35"/>
    <w:unhideWhenUsed/>
    <w:qFormat/>
    <w:locked/>
    <w:rsid w:val="00D14EB4"/>
    <w:pPr>
      <w:spacing w:after="200"/>
    </w:pPr>
    <w:rPr>
      <w:rFonts w:ascii="Calibri" w:eastAsia="Calibri" w:hAnsi="Calibri"/>
      <w:b/>
      <w:bCs/>
      <w:color w:val="4F81BD"/>
      <w:sz w:val="18"/>
      <w:szCs w:val="18"/>
    </w:rPr>
  </w:style>
  <w:style w:type="paragraph" w:styleId="Revision">
    <w:name w:val="Revision"/>
    <w:hidden/>
    <w:uiPriority w:val="99"/>
    <w:semiHidden/>
    <w:rsid w:val="001A23AF"/>
    <w:rPr>
      <w:rFonts w:eastAsia="Times New Roman"/>
      <w:sz w:val="24"/>
      <w:szCs w:val="24"/>
    </w:rPr>
  </w:style>
  <w:style w:type="paragraph" w:styleId="TOCHeading">
    <w:name w:val="TOC Heading"/>
    <w:basedOn w:val="Heading1"/>
    <w:next w:val="Normal"/>
    <w:uiPriority w:val="39"/>
    <w:semiHidden/>
    <w:unhideWhenUsed/>
    <w:qFormat/>
    <w:rsid w:val="00C6025C"/>
    <w:pPr>
      <w:keepLines/>
      <w:spacing w:before="480" w:after="0" w:line="276" w:lineRule="auto"/>
      <w:ind w:left="0" w:firstLine="0"/>
      <w:outlineLvl w:val="9"/>
    </w:pPr>
    <w:rPr>
      <w:rFonts w:ascii="Cambria" w:eastAsia="MS Gothic" w:hAnsi="Cambria" w:cs="Times New Roman"/>
      <w:caps w:val="0"/>
      <w:color w:val="365F91"/>
      <w:kern w:val="0"/>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52814"/>
    <w:rPr>
      <w:rFonts w:eastAsia="Times New Roman"/>
      <w:sz w:val="24"/>
      <w:szCs w:val="24"/>
    </w:rPr>
  </w:style>
  <w:style w:type="paragraph" w:styleId="Heading1">
    <w:name w:val="heading 1"/>
    <w:basedOn w:val="Normal"/>
    <w:next w:val="Normal"/>
    <w:link w:val="Heading1Char"/>
    <w:autoRedefine/>
    <w:uiPriority w:val="99"/>
    <w:qFormat/>
    <w:rsid w:val="00052814"/>
    <w:pPr>
      <w:keepNext/>
      <w:spacing w:after="240"/>
      <w:ind w:left="720" w:hanging="720"/>
      <w:outlineLvl w:val="0"/>
    </w:pPr>
    <w:rPr>
      <w:rFonts w:ascii="Times New Roman Bold" w:hAnsi="Times New Roman Bold" w:cs="Times New Roman Bold"/>
      <w:b/>
      <w:bCs/>
      <w:caps/>
      <w:kern w:val="32"/>
    </w:rPr>
  </w:style>
  <w:style w:type="paragraph" w:styleId="Heading2">
    <w:name w:val="heading 2"/>
    <w:basedOn w:val="Normal"/>
    <w:next w:val="Normal"/>
    <w:link w:val="Heading2Char"/>
    <w:autoRedefine/>
    <w:uiPriority w:val="99"/>
    <w:qFormat/>
    <w:rsid w:val="00052814"/>
    <w:pPr>
      <w:keepNext/>
      <w:tabs>
        <w:tab w:val="left" w:pos="0"/>
      </w:tabs>
      <w:spacing w:after="240"/>
      <w:ind w:left="1440" w:right="720" w:hanging="720"/>
      <w:outlineLvl w:val="1"/>
    </w:pPr>
    <w:rPr>
      <w:rFonts w:ascii="Times New Roman Bold" w:hAnsi="Times New Roman Bold" w:cs="Times New Roman Bold"/>
      <w:b/>
      <w:bCs/>
    </w:rPr>
  </w:style>
  <w:style w:type="paragraph" w:styleId="Heading3">
    <w:name w:val="heading 3"/>
    <w:basedOn w:val="Normal"/>
    <w:next w:val="Normal"/>
    <w:link w:val="Heading3Char"/>
    <w:autoRedefine/>
    <w:uiPriority w:val="99"/>
    <w:qFormat/>
    <w:rsid w:val="00052814"/>
    <w:pPr>
      <w:keepNext/>
      <w:tabs>
        <w:tab w:val="left" w:pos="0"/>
        <w:tab w:val="left" w:pos="720"/>
      </w:tabs>
      <w:spacing w:after="240"/>
      <w:ind w:left="2160" w:hanging="720"/>
      <w:outlineLvl w:val="2"/>
    </w:pPr>
    <w:rPr>
      <w:rFonts w:ascii="Times New Roman Bold" w:hAnsi="Times New Roman Bold" w:cs="Times New Roman Bold"/>
      <w:b/>
      <w:bCs/>
    </w:rPr>
  </w:style>
  <w:style w:type="paragraph" w:styleId="Heading4">
    <w:name w:val="heading 4"/>
    <w:basedOn w:val="Normal"/>
    <w:next w:val="Normal"/>
    <w:link w:val="Heading4Char"/>
    <w:autoRedefine/>
    <w:uiPriority w:val="99"/>
    <w:qFormat/>
    <w:rsid w:val="00CD0DA6"/>
    <w:pPr>
      <w:keepNext/>
      <w:spacing w:after="240"/>
      <w:ind w:left="2880" w:hanging="720"/>
      <w:outlineLvl w:val="3"/>
    </w:pPr>
    <w:rPr>
      <w:rFonts w:ascii="Times New Roman Bold" w:hAnsi="Times New Roman Bold"/>
      <w:b/>
      <w:bCs/>
    </w:rPr>
  </w:style>
  <w:style w:type="paragraph" w:styleId="Heading5">
    <w:name w:val="heading 5"/>
    <w:basedOn w:val="Normal"/>
    <w:next w:val="Normal"/>
    <w:link w:val="Heading5Char"/>
    <w:autoRedefine/>
    <w:uiPriority w:val="99"/>
    <w:qFormat/>
    <w:rsid w:val="00080059"/>
    <w:pPr>
      <w:spacing w:after="240"/>
      <w:ind w:left="3600" w:hanging="72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52814"/>
    <w:rPr>
      <w:rFonts w:ascii="Times New Roman Bold" w:eastAsia="Times New Roman" w:hAnsi="Times New Roman Bold" w:cs="Times New Roman Bold"/>
      <w:b/>
      <w:bCs/>
      <w:caps/>
      <w:kern w:val="32"/>
      <w:sz w:val="24"/>
      <w:szCs w:val="24"/>
    </w:rPr>
  </w:style>
  <w:style w:type="character" w:customStyle="1" w:styleId="Heading2Char">
    <w:name w:val="Heading 2 Char"/>
    <w:link w:val="Heading2"/>
    <w:uiPriority w:val="99"/>
    <w:locked/>
    <w:rsid w:val="00052814"/>
    <w:rPr>
      <w:rFonts w:ascii="Times New Roman Bold" w:eastAsia="Times New Roman" w:hAnsi="Times New Roman Bold" w:cs="Times New Roman Bold"/>
      <w:b/>
      <w:bCs/>
      <w:sz w:val="24"/>
      <w:szCs w:val="24"/>
    </w:rPr>
  </w:style>
  <w:style w:type="character" w:customStyle="1" w:styleId="Heading3Char">
    <w:name w:val="Heading 3 Char"/>
    <w:link w:val="Heading3"/>
    <w:uiPriority w:val="99"/>
    <w:locked/>
    <w:rsid w:val="00052814"/>
    <w:rPr>
      <w:rFonts w:ascii="Times New Roman Bold" w:eastAsia="Times New Roman" w:hAnsi="Times New Roman Bold" w:cs="Times New Roman Bold"/>
      <w:b/>
      <w:bCs/>
      <w:sz w:val="24"/>
      <w:szCs w:val="24"/>
    </w:rPr>
  </w:style>
  <w:style w:type="character" w:customStyle="1" w:styleId="Heading4Char">
    <w:name w:val="Heading 4 Char"/>
    <w:link w:val="Heading4"/>
    <w:uiPriority w:val="99"/>
    <w:locked/>
    <w:rsid w:val="00CD0DA6"/>
    <w:rPr>
      <w:rFonts w:ascii="Times New Roman Bold" w:eastAsia="Times New Roman" w:hAnsi="Times New Roman Bold"/>
      <w:b/>
      <w:bCs/>
      <w:sz w:val="24"/>
      <w:szCs w:val="24"/>
    </w:rPr>
  </w:style>
  <w:style w:type="character" w:customStyle="1" w:styleId="Heading5Char">
    <w:name w:val="Heading 5 Char"/>
    <w:link w:val="Heading5"/>
    <w:uiPriority w:val="99"/>
    <w:semiHidden/>
    <w:locked/>
    <w:rsid w:val="00080059"/>
    <w:rPr>
      <w:rFonts w:eastAsia="Times New Roman"/>
      <w:b/>
      <w:bCs/>
      <w:sz w:val="26"/>
      <w:szCs w:val="26"/>
    </w:rPr>
  </w:style>
  <w:style w:type="paragraph" w:styleId="BalloonText">
    <w:name w:val="Balloon Text"/>
    <w:basedOn w:val="Normal"/>
    <w:link w:val="BalloonTextChar"/>
    <w:uiPriority w:val="99"/>
    <w:semiHidden/>
    <w:rsid w:val="00080059"/>
    <w:rPr>
      <w:rFonts w:ascii="Lucida Grande" w:hAnsi="Lucida Grande" w:cs="Lucida Grande"/>
      <w:sz w:val="18"/>
      <w:szCs w:val="18"/>
    </w:rPr>
  </w:style>
  <w:style w:type="character" w:customStyle="1" w:styleId="BalloonTextChar">
    <w:name w:val="Balloon Text Char"/>
    <w:link w:val="BalloonText"/>
    <w:uiPriority w:val="99"/>
    <w:semiHidden/>
    <w:locked/>
    <w:rsid w:val="00080059"/>
    <w:rPr>
      <w:rFonts w:ascii="Lucida Grande" w:hAnsi="Lucida Grande" w:cs="Lucida Grande"/>
      <w:sz w:val="18"/>
      <w:szCs w:val="18"/>
    </w:rPr>
  </w:style>
  <w:style w:type="paragraph" w:styleId="TOC2">
    <w:name w:val="toc 2"/>
    <w:basedOn w:val="Normal"/>
    <w:next w:val="Normal"/>
    <w:autoRedefine/>
    <w:uiPriority w:val="39"/>
    <w:qFormat/>
    <w:rsid w:val="008E3445"/>
    <w:pPr>
      <w:tabs>
        <w:tab w:val="left" w:pos="720"/>
        <w:tab w:val="decimal" w:leader="dot" w:pos="8640"/>
      </w:tabs>
      <w:spacing w:after="240"/>
      <w:ind w:left="1440" w:hanging="720"/>
    </w:pPr>
  </w:style>
  <w:style w:type="paragraph" w:styleId="TOC1">
    <w:name w:val="toc 1"/>
    <w:basedOn w:val="Normal"/>
    <w:next w:val="Normal"/>
    <w:autoRedefine/>
    <w:uiPriority w:val="39"/>
    <w:qFormat/>
    <w:rsid w:val="008E3445"/>
    <w:pPr>
      <w:tabs>
        <w:tab w:val="left" w:pos="720"/>
        <w:tab w:val="decimal" w:leader="dot" w:pos="8640"/>
      </w:tabs>
      <w:spacing w:after="240"/>
      <w:ind w:left="720" w:hanging="720"/>
    </w:pPr>
    <w:rPr>
      <w:caps/>
    </w:rPr>
  </w:style>
  <w:style w:type="paragraph" w:customStyle="1" w:styleId="Quote1">
    <w:name w:val="Quote1"/>
    <w:basedOn w:val="Normal"/>
    <w:autoRedefine/>
    <w:uiPriority w:val="99"/>
    <w:rsid w:val="00080059"/>
    <w:pPr>
      <w:spacing w:after="240"/>
      <w:ind w:left="720" w:right="720"/>
    </w:pPr>
  </w:style>
  <w:style w:type="paragraph" w:customStyle="1" w:styleId="WW-BodyTextIndent3">
    <w:name w:val="WW-Body Text Indent 3"/>
    <w:basedOn w:val="Normal"/>
    <w:uiPriority w:val="99"/>
    <w:rsid w:val="00080059"/>
    <w:pPr>
      <w:suppressAutoHyphens/>
      <w:spacing w:line="480" w:lineRule="atLeast"/>
      <w:ind w:firstLine="720"/>
    </w:pPr>
    <w:rPr>
      <w:lang w:eastAsia="ar-SA"/>
    </w:rPr>
  </w:style>
  <w:style w:type="character" w:customStyle="1" w:styleId="caps">
    <w:name w:val="caps"/>
    <w:basedOn w:val="DefaultParagraphFont"/>
    <w:uiPriority w:val="99"/>
    <w:rsid w:val="00080059"/>
  </w:style>
  <w:style w:type="paragraph" w:customStyle="1" w:styleId="ShortReturnAddress">
    <w:name w:val="Short Return Address"/>
    <w:basedOn w:val="Normal"/>
    <w:uiPriority w:val="99"/>
    <w:rsid w:val="00080059"/>
  </w:style>
  <w:style w:type="character" w:customStyle="1" w:styleId="FootnoteTextChar">
    <w:name w:val="Footnote Text Char"/>
    <w:uiPriority w:val="99"/>
    <w:locked/>
    <w:rsid w:val="00080059"/>
    <w:rPr>
      <w:lang w:val="en-US" w:eastAsia="en-US"/>
    </w:rPr>
  </w:style>
  <w:style w:type="character" w:customStyle="1" w:styleId="CharChar10">
    <w:name w:val="Char Char10"/>
    <w:uiPriority w:val="99"/>
    <w:semiHidden/>
    <w:locked/>
    <w:rsid w:val="00080059"/>
    <w:rPr>
      <w:lang w:val="en-US" w:eastAsia="en-US"/>
    </w:rPr>
  </w:style>
  <w:style w:type="character" w:customStyle="1" w:styleId="FootnoteTextChar4CharChar1">
    <w:name w:val="Footnote Text Char4 Char Char1"/>
    <w:aliases w:val="Footnote Text Char Char4 Char Char1,Footnote Text Char4 Char1 Char Char Char1,Footnote Text Char Char4 Char1 Char Char Char1,Footnote Text Char5 Char1 Char Char Char Char Char Char1,Footnote Text Char2 Char1"/>
    <w:uiPriority w:val="99"/>
    <w:semiHidden/>
    <w:locked/>
    <w:rsid w:val="00080059"/>
    <w:rPr>
      <w:lang w:val="en-US" w:eastAsia="en-US"/>
    </w:rPr>
  </w:style>
  <w:style w:type="paragraph" w:customStyle="1" w:styleId="CompanyName">
    <w:name w:val="Company Name"/>
    <w:basedOn w:val="Normal"/>
    <w:uiPriority w:val="99"/>
    <w:rsid w:val="00080059"/>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cs="Arial Black"/>
      <w:spacing w:val="-15"/>
      <w:position w:val="-2"/>
      <w:sz w:val="32"/>
      <w:szCs w:val="32"/>
    </w:rPr>
  </w:style>
  <w:style w:type="character" w:customStyle="1" w:styleId="term">
    <w:name w:val="term"/>
    <w:basedOn w:val="DefaultParagraphFont"/>
    <w:uiPriority w:val="99"/>
    <w:rsid w:val="00080059"/>
  </w:style>
  <w:style w:type="paragraph" w:styleId="FootnoteText">
    <w:name w:val="footnote text"/>
    <w:aliases w:val="Footnote Text Char2,Footnote Text Char1 Char1,Footnote Text Char Char Char1,Footnote Text Char Char1,Footnote Text Char1 Char Char,Footnote Text Char Char Char Char,Footnote Text Char4 Char Char Char Char"/>
    <w:basedOn w:val="Normal"/>
    <w:link w:val="FootnoteTextChar3"/>
    <w:autoRedefine/>
    <w:uiPriority w:val="99"/>
    <w:semiHidden/>
    <w:rsid w:val="003D73E8"/>
    <w:pPr>
      <w:spacing w:after="120"/>
    </w:pPr>
    <w:rPr>
      <w:sz w:val="20"/>
      <w:szCs w:val="20"/>
    </w:rPr>
  </w:style>
  <w:style w:type="character" w:customStyle="1" w:styleId="FootnoteTextChar1">
    <w:name w:val="Footnote Text Char1"/>
    <w:aliases w:val="Footnote Text Char2 Char,Footnote Text Char1 Char1 Char,Footnote Text Char Char Char1 Char,Footnote Text Char Char1 Char,Footnote Text Char1 Char Char Char,Footnote Text Char Char Char Char Char"/>
    <w:basedOn w:val="DefaultParagraphFont"/>
    <w:uiPriority w:val="99"/>
    <w:semiHidden/>
    <w:locked/>
    <w:rsid w:val="00080059"/>
  </w:style>
  <w:style w:type="character" w:customStyle="1" w:styleId="FootnoteTextChar3">
    <w:name w:val="Footnote Text Char3"/>
    <w:aliases w:val="Footnote Text Char2 Char2,Footnote Text Char1 Char1 Char1,Footnote Text Char Char Char1 Char1,Footnote Text Char Char1 Char1,Footnote Text Char1 Char Char Char1,Footnote Text Char Char Char Char Char1"/>
    <w:link w:val="FootnoteText"/>
    <w:uiPriority w:val="99"/>
    <w:semiHidden/>
    <w:locked/>
    <w:rsid w:val="003D73E8"/>
    <w:rPr>
      <w:rFonts w:eastAsia="Times New Roman"/>
    </w:rPr>
  </w:style>
  <w:style w:type="paragraph" w:styleId="CommentText">
    <w:name w:val="annotation text"/>
    <w:basedOn w:val="Normal"/>
    <w:link w:val="CommentTextChar"/>
    <w:semiHidden/>
    <w:rsid w:val="00080059"/>
  </w:style>
  <w:style w:type="character" w:customStyle="1" w:styleId="CommentTextChar">
    <w:name w:val="Comment Text Char"/>
    <w:link w:val="CommentText"/>
    <w:semiHidden/>
    <w:locked/>
    <w:rsid w:val="00080059"/>
    <w:rPr>
      <w:rFonts w:eastAsia="Times New Roman"/>
      <w:sz w:val="24"/>
      <w:szCs w:val="24"/>
    </w:rPr>
  </w:style>
  <w:style w:type="paragraph" w:styleId="Header">
    <w:name w:val="header"/>
    <w:basedOn w:val="Normal"/>
    <w:link w:val="HeaderChar"/>
    <w:uiPriority w:val="99"/>
    <w:rsid w:val="00080059"/>
    <w:pPr>
      <w:tabs>
        <w:tab w:val="center" w:pos="4320"/>
        <w:tab w:val="right" w:pos="8640"/>
      </w:tabs>
    </w:pPr>
  </w:style>
  <w:style w:type="character" w:customStyle="1" w:styleId="HeaderChar">
    <w:name w:val="Header Char"/>
    <w:link w:val="Header"/>
    <w:uiPriority w:val="99"/>
    <w:locked/>
    <w:rsid w:val="00080059"/>
    <w:rPr>
      <w:rFonts w:eastAsia="Times New Roman"/>
      <w:sz w:val="24"/>
      <w:szCs w:val="24"/>
    </w:rPr>
  </w:style>
  <w:style w:type="paragraph" w:styleId="Footer">
    <w:name w:val="footer"/>
    <w:aliases w:val="Char1"/>
    <w:basedOn w:val="Normal"/>
    <w:link w:val="FooterChar"/>
    <w:uiPriority w:val="99"/>
    <w:rsid w:val="00080059"/>
    <w:pPr>
      <w:tabs>
        <w:tab w:val="center" w:pos="4320"/>
        <w:tab w:val="right" w:pos="8640"/>
      </w:tabs>
    </w:pPr>
  </w:style>
  <w:style w:type="character" w:customStyle="1" w:styleId="FooterChar">
    <w:name w:val="Footer Char"/>
    <w:aliases w:val="Char1 Char"/>
    <w:link w:val="Footer"/>
    <w:uiPriority w:val="99"/>
    <w:locked/>
    <w:rsid w:val="00080059"/>
    <w:rPr>
      <w:rFonts w:eastAsia="Times New Roman"/>
      <w:sz w:val="24"/>
      <w:szCs w:val="24"/>
    </w:rPr>
  </w:style>
  <w:style w:type="character" w:styleId="FootnoteReference">
    <w:name w:val="footnote reference"/>
    <w:aliases w:val="o,fr,Style 3,Style 13,Appel note de bas de p,Style 12,(NECG) Footnote Reference,Style 124"/>
    <w:uiPriority w:val="99"/>
    <w:semiHidden/>
    <w:rsid w:val="00080059"/>
    <w:rPr>
      <w:vertAlign w:val="superscript"/>
    </w:rPr>
  </w:style>
  <w:style w:type="character" w:styleId="CommentReference">
    <w:name w:val="annotation reference"/>
    <w:uiPriority w:val="99"/>
    <w:semiHidden/>
    <w:rsid w:val="00080059"/>
    <w:rPr>
      <w:sz w:val="18"/>
      <w:szCs w:val="18"/>
    </w:rPr>
  </w:style>
  <w:style w:type="character" w:styleId="PageNumber">
    <w:name w:val="page number"/>
    <w:basedOn w:val="DefaultParagraphFont"/>
    <w:uiPriority w:val="99"/>
    <w:rsid w:val="00080059"/>
  </w:style>
  <w:style w:type="paragraph" w:styleId="Title">
    <w:name w:val="Title"/>
    <w:basedOn w:val="Normal"/>
    <w:link w:val="TitleChar"/>
    <w:uiPriority w:val="99"/>
    <w:qFormat/>
    <w:rsid w:val="00080059"/>
    <w:pPr>
      <w:jc w:val="center"/>
    </w:pPr>
    <w:rPr>
      <w:b/>
      <w:bCs/>
    </w:rPr>
  </w:style>
  <w:style w:type="character" w:customStyle="1" w:styleId="TitleChar">
    <w:name w:val="Title Char"/>
    <w:link w:val="Title"/>
    <w:uiPriority w:val="99"/>
    <w:locked/>
    <w:rsid w:val="00080059"/>
    <w:rPr>
      <w:rFonts w:eastAsia="Times New Roman"/>
      <w:b/>
      <w:bCs/>
      <w:sz w:val="24"/>
      <w:szCs w:val="24"/>
    </w:rPr>
  </w:style>
  <w:style w:type="paragraph" w:styleId="BodyText">
    <w:name w:val="Body Text"/>
    <w:basedOn w:val="Normal"/>
    <w:link w:val="BodyTextChar"/>
    <w:uiPriority w:val="99"/>
    <w:rsid w:val="00080059"/>
    <w:pPr>
      <w:tabs>
        <w:tab w:val="left" w:pos="0"/>
        <w:tab w:val="left" w:pos="720"/>
      </w:tabs>
      <w:spacing w:line="480" w:lineRule="auto"/>
      <w:ind w:firstLine="720"/>
    </w:pPr>
  </w:style>
  <w:style w:type="character" w:customStyle="1" w:styleId="BodyTextChar">
    <w:name w:val="Body Text Char"/>
    <w:link w:val="BodyText"/>
    <w:uiPriority w:val="99"/>
    <w:locked/>
    <w:rsid w:val="00080059"/>
    <w:rPr>
      <w:rFonts w:eastAsia="Times New Roman"/>
      <w:sz w:val="24"/>
      <w:szCs w:val="24"/>
    </w:rPr>
  </w:style>
  <w:style w:type="paragraph" w:styleId="BodyTextIndent">
    <w:name w:val="Body Text Indent"/>
    <w:basedOn w:val="Normal"/>
    <w:link w:val="BodyTextIndentChar"/>
    <w:uiPriority w:val="99"/>
    <w:rsid w:val="00080059"/>
    <w:pPr>
      <w:spacing w:line="480" w:lineRule="auto"/>
      <w:ind w:firstLine="720"/>
    </w:pPr>
  </w:style>
  <w:style w:type="character" w:customStyle="1" w:styleId="BodyTextIndentChar">
    <w:name w:val="Body Text Indent Char"/>
    <w:link w:val="BodyTextIndent"/>
    <w:uiPriority w:val="99"/>
    <w:locked/>
    <w:rsid w:val="00080059"/>
    <w:rPr>
      <w:rFonts w:eastAsia="Times New Roman"/>
      <w:sz w:val="24"/>
      <w:szCs w:val="24"/>
    </w:rPr>
  </w:style>
  <w:style w:type="paragraph" w:styleId="BodyText2">
    <w:name w:val="Body Text 2"/>
    <w:basedOn w:val="Normal"/>
    <w:link w:val="BodyText2Char"/>
    <w:uiPriority w:val="99"/>
    <w:rsid w:val="00080059"/>
    <w:pPr>
      <w:spacing w:after="120" w:line="480" w:lineRule="auto"/>
    </w:pPr>
  </w:style>
  <w:style w:type="character" w:customStyle="1" w:styleId="BodyText2Char">
    <w:name w:val="Body Text 2 Char"/>
    <w:link w:val="BodyText2"/>
    <w:uiPriority w:val="99"/>
    <w:locked/>
    <w:rsid w:val="00080059"/>
    <w:rPr>
      <w:rFonts w:eastAsia="Times New Roman"/>
      <w:sz w:val="24"/>
      <w:szCs w:val="24"/>
    </w:rPr>
  </w:style>
  <w:style w:type="paragraph" w:styleId="BodyTextIndent2">
    <w:name w:val="Body Text Indent 2"/>
    <w:basedOn w:val="Normal"/>
    <w:link w:val="BodyTextIndent2Char"/>
    <w:uiPriority w:val="99"/>
    <w:rsid w:val="00080059"/>
    <w:pPr>
      <w:widowControl w:val="0"/>
      <w:autoSpaceDE w:val="0"/>
      <w:autoSpaceDN w:val="0"/>
      <w:adjustRightInd w:val="0"/>
      <w:spacing w:after="120" w:line="480" w:lineRule="auto"/>
      <w:ind w:left="360"/>
    </w:pPr>
    <w:rPr>
      <w:rFonts w:ascii="Courier New" w:hAnsi="Courier New" w:cs="Courier New"/>
      <w:sz w:val="20"/>
      <w:szCs w:val="20"/>
    </w:rPr>
  </w:style>
  <w:style w:type="character" w:customStyle="1" w:styleId="BodyTextIndent2Char">
    <w:name w:val="Body Text Indent 2 Char"/>
    <w:link w:val="BodyTextIndent2"/>
    <w:uiPriority w:val="99"/>
    <w:locked/>
    <w:rsid w:val="00080059"/>
    <w:rPr>
      <w:rFonts w:ascii="Courier New" w:hAnsi="Courier New" w:cs="Courier New"/>
    </w:rPr>
  </w:style>
  <w:style w:type="paragraph" w:styleId="BodyTextIndent3">
    <w:name w:val="Body Text Indent 3"/>
    <w:basedOn w:val="Normal"/>
    <w:link w:val="BodyTextIndent3Char"/>
    <w:uiPriority w:val="99"/>
    <w:rsid w:val="00080059"/>
    <w:pPr>
      <w:spacing w:after="120"/>
      <w:ind w:left="360"/>
    </w:pPr>
    <w:rPr>
      <w:sz w:val="16"/>
      <w:szCs w:val="16"/>
    </w:rPr>
  </w:style>
  <w:style w:type="character" w:customStyle="1" w:styleId="BodyTextIndent3Char">
    <w:name w:val="Body Text Indent 3 Char"/>
    <w:link w:val="BodyTextIndent3"/>
    <w:uiPriority w:val="99"/>
    <w:locked/>
    <w:rsid w:val="00080059"/>
    <w:rPr>
      <w:rFonts w:eastAsia="Times New Roman"/>
      <w:sz w:val="16"/>
      <w:szCs w:val="16"/>
    </w:rPr>
  </w:style>
  <w:style w:type="character" w:styleId="Hyperlink">
    <w:name w:val="Hyperlink"/>
    <w:uiPriority w:val="99"/>
    <w:rsid w:val="00080059"/>
    <w:rPr>
      <w:color w:val="0000FF"/>
      <w:u w:val="single"/>
    </w:rPr>
  </w:style>
  <w:style w:type="character" w:styleId="Strong">
    <w:name w:val="Strong"/>
    <w:uiPriority w:val="99"/>
    <w:qFormat/>
    <w:rsid w:val="00080059"/>
    <w:rPr>
      <w:b/>
      <w:bCs/>
    </w:rPr>
  </w:style>
  <w:style w:type="paragraph" w:styleId="NormalWeb">
    <w:name w:val="Normal (Web)"/>
    <w:basedOn w:val="Normal"/>
    <w:uiPriority w:val="99"/>
    <w:rsid w:val="00080059"/>
    <w:pPr>
      <w:spacing w:before="100" w:beforeAutospacing="1" w:after="100" w:afterAutospacing="1"/>
    </w:pPr>
  </w:style>
  <w:style w:type="paragraph" w:styleId="HTMLPreformatted">
    <w:name w:val="HTML Preformatted"/>
    <w:basedOn w:val="Normal"/>
    <w:link w:val="HTMLPreformattedChar"/>
    <w:rsid w:val="00080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link w:val="HTMLPreformatted"/>
    <w:locked/>
    <w:rsid w:val="00080059"/>
    <w:rPr>
      <w:rFonts w:ascii="Courier New" w:hAnsi="Courier New" w:cs="Courier New"/>
    </w:rPr>
  </w:style>
  <w:style w:type="paragraph" w:styleId="CommentSubject">
    <w:name w:val="annotation subject"/>
    <w:basedOn w:val="CommentText"/>
    <w:next w:val="CommentText"/>
    <w:link w:val="CommentSubjectChar"/>
    <w:uiPriority w:val="99"/>
    <w:semiHidden/>
    <w:rsid w:val="00080059"/>
  </w:style>
  <w:style w:type="character" w:customStyle="1" w:styleId="CommentSubjectChar">
    <w:name w:val="Comment Subject Char"/>
    <w:link w:val="CommentSubject"/>
    <w:uiPriority w:val="99"/>
    <w:semiHidden/>
    <w:locked/>
    <w:rsid w:val="00080059"/>
    <w:rPr>
      <w:rFonts w:eastAsia="Times New Roman"/>
      <w:sz w:val="24"/>
      <w:szCs w:val="24"/>
    </w:rPr>
  </w:style>
  <w:style w:type="table" w:styleId="TableGrid">
    <w:name w:val="Table Grid"/>
    <w:basedOn w:val="TableNormal"/>
    <w:uiPriority w:val="99"/>
    <w:rsid w:val="000800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
    <w:name w:val="Inside Address"/>
    <w:basedOn w:val="Normal"/>
    <w:uiPriority w:val="99"/>
    <w:rsid w:val="00080059"/>
    <w:rPr>
      <w:rFonts w:ascii="Times" w:eastAsia="Calibri" w:hAnsi="Times" w:cs="Times"/>
    </w:rPr>
  </w:style>
  <w:style w:type="paragraph" w:styleId="ListParagraph">
    <w:name w:val="List Paragraph"/>
    <w:basedOn w:val="Normal"/>
    <w:uiPriority w:val="99"/>
    <w:qFormat/>
    <w:rsid w:val="00080059"/>
    <w:pPr>
      <w:ind w:left="720"/>
    </w:pPr>
  </w:style>
  <w:style w:type="paragraph" w:customStyle="1" w:styleId="listparagraph0">
    <w:name w:val="listparagraph"/>
    <w:basedOn w:val="Normal"/>
    <w:uiPriority w:val="99"/>
    <w:rsid w:val="00AC0F42"/>
    <w:pPr>
      <w:spacing w:before="100" w:beforeAutospacing="1" w:after="100" w:afterAutospacing="1"/>
    </w:pPr>
    <w:rPr>
      <w:rFonts w:eastAsia="Calibri"/>
    </w:rPr>
  </w:style>
  <w:style w:type="paragraph" w:styleId="Date">
    <w:name w:val="Date"/>
    <w:basedOn w:val="Normal"/>
    <w:next w:val="Normal"/>
    <w:link w:val="DateChar"/>
    <w:uiPriority w:val="99"/>
    <w:unhideWhenUsed/>
    <w:locked/>
    <w:rsid w:val="00EB02D1"/>
  </w:style>
  <w:style w:type="character" w:customStyle="1" w:styleId="DateChar">
    <w:name w:val="Date Char"/>
    <w:link w:val="Date"/>
    <w:uiPriority w:val="99"/>
    <w:rsid w:val="00EB02D1"/>
    <w:rPr>
      <w:rFonts w:eastAsia="Times New Roman"/>
      <w:sz w:val="24"/>
      <w:szCs w:val="24"/>
    </w:rPr>
  </w:style>
  <w:style w:type="paragraph" w:styleId="TOC3">
    <w:name w:val="toc 3"/>
    <w:basedOn w:val="Normal"/>
    <w:next w:val="Normal"/>
    <w:autoRedefine/>
    <w:uiPriority w:val="39"/>
    <w:unhideWhenUsed/>
    <w:qFormat/>
    <w:locked/>
    <w:rsid w:val="008E3445"/>
    <w:pPr>
      <w:tabs>
        <w:tab w:val="left" w:pos="720"/>
        <w:tab w:val="decimal" w:leader="dot" w:pos="8640"/>
      </w:tabs>
      <w:spacing w:after="240"/>
      <w:ind w:left="2160" w:hanging="720"/>
    </w:pPr>
  </w:style>
  <w:style w:type="paragraph" w:styleId="Caption">
    <w:name w:val="caption"/>
    <w:basedOn w:val="Normal"/>
    <w:next w:val="Normal"/>
    <w:uiPriority w:val="35"/>
    <w:unhideWhenUsed/>
    <w:qFormat/>
    <w:locked/>
    <w:rsid w:val="00D14EB4"/>
    <w:pPr>
      <w:spacing w:after="200"/>
    </w:pPr>
    <w:rPr>
      <w:rFonts w:ascii="Calibri" w:eastAsia="Calibri" w:hAnsi="Calibri"/>
      <w:b/>
      <w:bCs/>
      <w:color w:val="4F81BD"/>
      <w:sz w:val="18"/>
      <w:szCs w:val="18"/>
    </w:rPr>
  </w:style>
  <w:style w:type="paragraph" w:styleId="Revision">
    <w:name w:val="Revision"/>
    <w:hidden/>
    <w:uiPriority w:val="99"/>
    <w:semiHidden/>
    <w:rsid w:val="001A23AF"/>
    <w:rPr>
      <w:rFonts w:eastAsia="Times New Roman"/>
      <w:sz w:val="24"/>
      <w:szCs w:val="24"/>
    </w:rPr>
  </w:style>
  <w:style w:type="paragraph" w:styleId="TOCHeading">
    <w:name w:val="TOC Heading"/>
    <w:basedOn w:val="Heading1"/>
    <w:next w:val="Normal"/>
    <w:uiPriority w:val="39"/>
    <w:semiHidden/>
    <w:unhideWhenUsed/>
    <w:qFormat/>
    <w:rsid w:val="00C6025C"/>
    <w:pPr>
      <w:keepLines/>
      <w:spacing w:before="480" w:after="0" w:line="276" w:lineRule="auto"/>
      <w:ind w:left="0" w:firstLine="0"/>
      <w:outlineLvl w:val="9"/>
    </w:pPr>
    <w:rPr>
      <w:rFonts w:ascii="Cambria" w:eastAsia="MS Gothic" w:hAnsi="Cambria" w:cs="Times New Roman"/>
      <w:caps w:val="0"/>
      <w:color w:val="365F91"/>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10767">
      <w:marLeft w:val="60"/>
      <w:marRight w:val="60"/>
      <w:marTop w:val="60"/>
      <w:marBottom w:val="15"/>
      <w:divBdr>
        <w:top w:val="none" w:sz="0" w:space="0" w:color="auto"/>
        <w:left w:val="none" w:sz="0" w:space="0" w:color="auto"/>
        <w:bottom w:val="none" w:sz="0" w:space="0" w:color="auto"/>
        <w:right w:val="none" w:sz="0" w:space="0" w:color="auto"/>
      </w:divBdr>
      <w:divsChild>
        <w:div w:id="228810766">
          <w:marLeft w:val="0"/>
          <w:marRight w:val="0"/>
          <w:marTop w:val="0"/>
          <w:marBottom w:val="0"/>
          <w:divBdr>
            <w:top w:val="none" w:sz="0" w:space="0" w:color="auto"/>
            <w:left w:val="none" w:sz="0" w:space="0" w:color="auto"/>
            <w:bottom w:val="none" w:sz="0" w:space="0" w:color="auto"/>
            <w:right w:val="none" w:sz="0" w:space="0" w:color="auto"/>
          </w:divBdr>
        </w:div>
      </w:divsChild>
    </w:div>
    <w:div w:id="1913390646">
      <w:bodyDiv w:val="1"/>
      <w:marLeft w:val="60"/>
      <w:marRight w:val="60"/>
      <w:marTop w:val="60"/>
      <w:marBottom w:val="15"/>
      <w:divBdr>
        <w:top w:val="none" w:sz="0" w:space="0" w:color="auto"/>
        <w:left w:val="none" w:sz="0" w:space="0" w:color="auto"/>
        <w:bottom w:val="none" w:sz="0" w:space="0" w:color="auto"/>
        <w:right w:val="none" w:sz="0" w:space="0" w:color="auto"/>
      </w:divBdr>
      <w:divsChild>
        <w:div w:id="92670727">
          <w:marLeft w:val="0"/>
          <w:marRight w:val="0"/>
          <w:marTop w:val="0"/>
          <w:marBottom w:val="0"/>
          <w:divBdr>
            <w:top w:val="none" w:sz="0" w:space="0" w:color="auto"/>
            <w:left w:val="none" w:sz="0" w:space="0" w:color="auto"/>
            <w:bottom w:val="none" w:sz="0" w:space="0" w:color="auto"/>
            <w:right w:val="none" w:sz="0" w:space="0" w:color="auto"/>
          </w:divBdr>
        </w:div>
        <w:div w:id="498884654">
          <w:marLeft w:val="0"/>
          <w:marRight w:val="0"/>
          <w:marTop w:val="0"/>
          <w:marBottom w:val="0"/>
          <w:divBdr>
            <w:top w:val="none" w:sz="0" w:space="0" w:color="auto"/>
            <w:left w:val="none" w:sz="0" w:space="0" w:color="auto"/>
            <w:bottom w:val="none" w:sz="0" w:space="0" w:color="auto"/>
            <w:right w:val="none" w:sz="0" w:space="0" w:color="auto"/>
          </w:divBdr>
        </w:div>
        <w:div w:id="2062097670">
          <w:marLeft w:val="0"/>
          <w:marRight w:val="0"/>
          <w:marTop w:val="0"/>
          <w:marBottom w:val="0"/>
          <w:divBdr>
            <w:top w:val="none" w:sz="0" w:space="0" w:color="auto"/>
            <w:left w:val="none" w:sz="0" w:space="0" w:color="auto"/>
            <w:bottom w:val="none" w:sz="0" w:space="0" w:color="auto"/>
            <w:right w:val="none" w:sz="0" w:space="0" w:color="auto"/>
          </w:divBdr>
        </w:div>
        <w:div w:id="59835059">
          <w:marLeft w:val="0"/>
          <w:marRight w:val="0"/>
          <w:marTop w:val="0"/>
          <w:marBottom w:val="0"/>
          <w:divBdr>
            <w:top w:val="none" w:sz="0" w:space="0" w:color="auto"/>
            <w:left w:val="none" w:sz="0" w:space="0" w:color="auto"/>
            <w:bottom w:val="none" w:sz="0" w:space="0" w:color="auto"/>
            <w:right w:val="none" w:sz="0" w:space="0" w:color="auto"/>
          </w:divBdr>
        </w:div>
        <w:div w:id="622418537">
          <w:marLeft w:val="0"/>
          <w:marRight w:val="0"/>
          <w:marTop w:val="0"/>
          <w:marBottom w:val="0"/>
          <w:divBdr>
            <w:top w:val="none" w:sz="0" w:space="0" w:color="auto"/>
            <w:left w:val="none" w:sz="0" w:space="0" w:color="auto"/>
            <w:bottom w:val="none" w:sz="0" w:space="0" w:color="auto"/>
            <w:right w:val="none" w:sz="0" w:space="0" w:color="auto"/>
          </w:divBdr>
        </w:div>
        <w:div w:id="385881660">
          <w:marLeft w:val="0"/>
          <w:marRight w:val="0"/>
          <w:marTop w:val="0"/>
          <w:marBottom w:val="0"/>
          <w:divBdr>
            <w:top w:val="none" w:sz="0" w:space="0" w:color="auto"/>
            <w:left w:val="none" w:sz="0" w:space="0" w:color="auto"/>
            <w:bottom w:val="none" w:sz="0" w:space="0" w:color="auto"/>
            <w:right w:val="none" w:sz="0" w:space="0" w:color="auto"/>
          </w:divBdr>
        </w:div>
        <w:div w:id="2126920652">
          <w:marLeft w:val="0"/>
          <w:marRight w:val="0"/>
          <w:marTop w:val="0"/>
          <w:marBottom w:val="0"/>
          <w:divBdr>
            <w:top w:val="none" w:sz="0" w:space="0" w:color="auto"/>
            <w:left w:val="none" w:sz="0" w:space="0" w:color="auto"/>
            <w:bottom w:val="none" w:sz="0" w:space="0" w:color="auto"/>
            <w:right w:val="none" w:sz="0" w:space="0" w:color="auto"/>
          </w:divBdr>
        </w:div>
        <w:div w:id="756051690">
          <w:marLeft w:val="0"/>
          <w:marRight w:val="0"/>
          <w:marTop w:val="0"/>
          <w:marBottom w:val="0"/>
          <w:divBdr>
            <w:top w:val="none" w:sz="0" w:space="0" w:color="auto"/>
            <w:left w:val="none" w:sz="0" w:space="0" w:color="auto"/>
            <w:bottom w:val="none" w:sz="0" w:space="0" w:color="auto"/>
            <w:right w:val="none" w:sz="0" w:space="0" w:color="auto"/>
          </w:divBdr>
        </w:div>
        <w:div w:id="915018844">
          <w:marLeft w:val="0"/>
          <w:marRight w:val="0"/>
          <w:marTop w:val="0"/>
          <w:marBottom w:val="0"/>
          <w:divBdr>
            <w:top w:val="none" w:sz="0" w:space="0" w:color="auto"/>
            <w:left w:val="none" w:sz="0" w:space="0" w:color="auto"/>
            <w:bottom w:val="none" w:sz="0" w:space="0" w:color="auto"/>
            <w:right w:val="none" w:sz="0" w:space="0" w:color="auto"/>
          </w:divBdr>
        </w:div>
        <w:div w:id="155996729">
          <w:marLeft w:val="0"/>
          <w:marRight w:val="0"/>
          <w:marTop w:val="0"/>
          <w:marBottom w:val="0"/>
          <w:divBdr>
            <w:top w:val="none" w:sz="0" w:space="0" w:color="auto"/>
            <w:left w:val="none" w:sz="0" w:space="0" w:color="auto"/>
            <w:bottom w:val="none" w:sz="0" w:space="0" w:color="auto"/>
            <w:right w:val="none" w:sz="0" w:space="0" w:color="auto"/>
          </w:divBdr>
        </w:div>
        <w:div w:id="2036618748">
          <w:marLeft w:val="0"/>
          <w:marRight w:val="0"/>
          <w:marTop w:val="0"/>
          <w:marBottom w:val="0"/>
          <w:divBdr>
            <w:top w:val="none" w:sz="0" w:space="0" w:color="auto"/>
            <w:left w:val="none" w:sz="0" w:space="0" w:color="auto"/>
            <w:bottom w:val="none" w:sz="0" w:space="0" w:color="auto"/>
            <w:right w:val="none" w:sz="0" w:space="0" w:color="auto"/>
          </w:divBdr>
        </w:div>
        <w:div w:id="984507126">
          <w:marLeft w:val="0"/>
          <w:marRight w:val="0"/>
          <w:marTop w:val="0"/>
          <w:marBottom w:val="0"/>
          <w:divBdr>
            <w:top w:val="none" w:sz="0" w:space="0" w:color="auto"/>
            <w:left w:val="none" w:sz="0" w:space="0" w:color="auto"/>
            <w:bottom w:val="none" w:sz="0" w:space="0" w:color="auto"/>
            <w:right w:val="none" w:sz="0" w:space="0" w:color="auto"/>
          </w:divBdr>
        </w:div>
        <w:div w:id="682126268">
          <w:marLeft w:val="0"/>
          <w:marRight w:val="0"/>
          <w:marTop w:val="0"/>
          <w:marBottom w:val="0"/>
          <w:divBdr>
            <w:top w:val="none" w:sz="0" w:space="0" w:color="auto"/>
            <w:left w:val="none" w:sz="0" w:space="0" w:color="auto"/>
            <w:bottom w:val="none" w:sz="0" w:space="0" w:color="auto"/>
            <w:right w:val="none" w:sz="0" w:space="0" w:color="auto"/>
          </w:divBdr>
        </w:div>
        <w:div w:id="982738091">
          <w:marLeft w:val="0"/>
          <w:marRight w:val="0"/>
          <w:marTop w:val="0"/>
          <w:marBottom w:val="0"/>
          <w:divBdr>
            <w:top w:val="none" w:sz="0" w:space="0" w:color="auto"/>
            <w:left w:val="none" w:sz="0" w:space="0" w:color="auto"/>
            <w:bottom w:val="none" w:sz="0" w:space="0" w:color="auto"/>
            <w:right w:val="none" w:sz="0" w:space="0" w:color="auto"/>
          </w:divBdr>
        </w:div>
        <w:div w:id="409083641">
          <w:marLeft w:val="0"/>
          <w:marRight w:val="0"/>
          <w:marTop w:val="0"/>
          <w:marBottom w:val="0"/>
          <w:divBdr>
            <w:top w:val="none" w:sz="0" w:space="0" w:color="auto"/>
            <w:left w:val="none" w:sz="0" w:space="0" w:color="auto"/>
            <w:bottom w:val="none" w:sz="0" w:space="0" w:color="auto"/>
            <w:right w:val="none" w:sz="0" w:space="0" w:color="auto"/>
          </w:divBdr>
        </w:div>
        <w:div w:id="1088621420">
          <w:marLeft w:val="0"/>
          <w:marRight w:val="0"/>
          <w:marTop w:val="0"/>
          <w:marBottom w:val="0"/>
          <w:divBdr>
            <w:top w:val="none" w:sz="0" w:space="0" w:color="auto"/>
            <w:left w:val="none" w:sz="0" w:space="0" w:color="auto"/>
            <w:bottom w:val="none" w:sz="0" w:space="0" w:color="auto"/>
            <w:right w:val="none" w:sz="0" w:space="0" w:color="auto"/>
          </w:divBdr>
        </w:div>
        <w:div w:id="986592563">
          <w:marLeft w:val="0"/>
          <w:marRight w:val="0"/>
          <w:marTop w:val="0"/>
          <w:marBottom w:val="0"/>
          <w:divBdr>
            <w:top w:val="none" w:sz="0" w:space="0" w:color="auto"/>
            <w:left w:val="none" w:sz="0" w:space="0" w:color="auto"/>
            <w:bottom w:val="none" w:sz="0" w:space="0" w:color="auto"/>
            <w:right w:val="none" w:sz="0" w:space="0" w:color="auto"/>
          </w:divBdr>
        </w:div>
        <w:div w:id="1927886517">
          <w:marLeft w:val="0"/>
          <w:marRight w:val="0"/>
          <w:marTop w:val="0"/>
          <w:marBottom w:val="0"/>
          <w:divBdr>
            <w:top w:val="none" w:sz="0" w:space="0" w:color="auto"/>
            <w:left w:val="none" w:sz="0" w:space="0" w:color="auto"/>
            <w:bottom w:val="none" w:sz="0" w:space="0" w:color="auto"/>
            <w:right w:val="none" w:sz="0" w:space="0" w:color="auto"/>
          </w:divBdr>
        </w:div>
        <w:div w:id="1522430581">
          <w:marLeft w:val="0"/>
          <w:marRight w:val="0"/>
          <w:marTop w:val="0"/>
          <w:marBottom w:val="0"/>
          <w:divBdr>
            <w:top w:val="none" w:sz="0" w:space="0" w:color="auto"/>
            <w:left w:val="none" w:sz="0" w:space="0" w:color="auto"/>
            <w:bottom w:val="none" w:sz="0" w:space="0" w:color="auto"/>
            <w:right w:val="none" w:sz="0" w:space="0" w:color="auto"/>
          </w:divBdr>
        </w:div>
        <w:div w:id="563564305">
          <w:marLeft w:val="0"/>
          <w:marRight w:val="0"/>
          <w:marTop w:val="0"/>
          <w:marBottom w:val="0"/>
          <w:divBdr>
            <w:top w:val="none" w:sz="0" w:space="0" w:color="auto"/>
            <w:left w:val="none" w:sz="0" w:space="0" w:color="auto"/>
            <w:bottom w:val="none" w:sz="0" w:space="0" w:color="auto"/>
            <w:right w:val="none" w:sz="0" w:space="0" w:color="auto"/>
          </w:divBdr>
        </w:div>
        <w:div w:id="1343968129">
          <w:marLeft w:val="0"/>
          <w:marRight w:val="0"/>
          <w:marTop w:val="0"/>
          <w:marBottom w:val="0"/>
          <w:divBdr>
            <w:top w:val="none" w:sz="0" w:space="0" w:color="auto"/>
            <w:left w:val="none" w:sz="0" w:space="0" w:color="auto"/>
            <w:bottom w:val="none" w:sz="0" w:space="0" w:color="auto"/>
            <w:right w:val="none" w:sz="0" w:space="0" w:color="auto"/>
          </w:divBdr>
        </w:div>
        <w:div w:id="547256784">
          <w:marLeft w:val="0"/>
          <w:marRight w:val="0"/>
          <w:marTop w:val="0"/>
          <w:marBottom w:val="0"/>
          <w:divBdr>
            <w:top w:val="none" w:sz="0" w:space="0" w:color="auto"/>
            <w:left w:val="none" w:sz="0" w:space="0" w:color="auto"/>
            <w:bottom w:val="none" w:sz="0" w:space="0" w:color="auto"/>
            <w:right w:val="none" w:sz="0" w:space="0" w:color="auto"/>
          </w:divBdr>
        </w:div>
        <w:div w:id="1054354518">
          <w:marLeft w:val="0"/>
          <w:marRight w:val="0"/>
          <w:marTop w:val="0"/>
          <w:marBottom w:val="0"/>
          <w:divBdr>
            <w:top w:val="none" w:sz="0" w:space="0" w:color="auto"/>
            <w:left w:val="none" w:sz="0" w:space="0" w:color="auto"/>
            <w:bottom w:val="none" w:sz="0" w:space="0" w:color="auto"/>
            <w:right w:val="none" w:sz="0" w:space="0" w:color="auto"/>
          </w:divBdr>
        </w:div>
        <w:div w:id="1777171936">
          <w:marLeft w:val="0"/>
          <w:marRight w:val="0"/>
          <w:marTop w:val="0"/>
          <w:marBottom w:val="0"/>
          <w:divBdr>
            <w:top w:val="none" w:sz="0" w:space="0" w:color="auto"/>
            <w:left w:val="none" w:sz="0" w:space="0" w:color="auto"/>
            <w:bottom w:val="none" w:sz="0" w:space="0" w:color="auto"/>
            <w:right w:val="none" w:sz="0" w:space="0" w:color="auto"/>
          </w:divBdr>
        </w:div>
        <w:div w:id="398752656">
          <w:marLeft w:val="0"/>
          <w:marRight w:val="0"/>
          <w:marTop w:val="0"/>
          <w:marBottom w:val="0"/>
          <w:divBdr>
            <w:top w:val="none" w:sz="0" w:space="0" w:color="auto"/>
            <w:left w:val="none" w:sz="0" w:space="0" w:color="auto"/>
            <w:bottom w:val="none" w:sz="0" w:space="0" w:color="auto"/>
            <w:right w:val="none" w:sz="0" w:space="0" w:color="auto"/>
          </w:divBdr>
        </w:div>
        <w:div w:id="10450904">
          <w:marLeft w:val="0"/>
          <w:marRight w:val="0"/>
          <w:marTop w:val="0"/>
          <w:marBottom w:val="0"/>
          <w:divBdr>
            <w:top w:val="none" w:sz="0" w:space="0" w:color="auto"/>
            <w:left w:val="none" w:sz="0" w:space="0" w:color="auto"/>
            <w:bottom w:val="none" w:sz="0" w:space="0" w:color="auto"/>
            <w:right w:val="none" w:sz="0" w:space="0" w:color="auto"/>
          </w:divBdr>
        </w:div>
        <w:div w:id="1429738940">
          <w:marLeft w:val="0"/>
          <w:marRight w:val="0"/>
          <w:marTop w:val="0"/>
          <w:marBottom w:val="0"/>
          <w:divBdr>
            <w:top w:val="none" w:sz="0" w:space="0" w:color="auto"/>
            <w:left w:val="none" w:sz="0" w:space="0" w:color="auto"/>
            <w:bottom w:val="none" w:sz="0" w:space="0" w:color="auto"/>
            <w:right w:val="none" w:sz="0" w:space="0" w:color="auto"/>
          </w:divBdr>
        </w:div>
        <w:div w:id="1317077436">
          <w:marLeft w:val="0"/>
          <w:marRight w:val="0"/>
          <w:marTop w:val="0"/>
          <w:marBottom w:val="0"/>
          <w:divBdr>
            <w:top w:val="none" w:sz="0" w:space="0" w:color="auto"/>
            <w:left w:val="none" w:sz="0" w:space="0" w:color="auto"/>
            <w:bottom w:val="none" w:sz="0" w:space="0" w:color="auto"/>
            <w:right w:val="none" w:sz="0" w:space="0" w:color="auto"/>
          </w:divBdr>
        </w:div>
        <w:div w:id="597908514">
          <w:marLeft w:val="0"/>
          <w:marRight w:val="0"/>
          <w:marTop w:val="0"/>
          <w:marBottom w:val="0"/>
          <w:divBdr>
            <w:top w:val="none" w:sz="0" w:space="0" w:color="auto"/>
            <w:left w:val="none" w:sz="0" w:space="0" w:color="auto"/>
            <w:bottom w:val="none" w:sz="0" w:space="0" w:color="auto"/>
            <w:right w:val="none" w:sz="0" w:space="0" w:color="auto"/>
          </w:divBdr>
        </w:div>
        <w:div w:id="572013774">
          <w:marLeft w:val="0"/>
          <w:marRight w:val="0"/>
          <w:marTop w:val="0"/>
          <w:marBottom w:val="0"/>
          <w:divBdr>
            <w:top w:val="none" w:sz="0" w:space="0" w:color="auto"/>
            <w:left w:val="none" w:sz="0" w:space="0" w:color="auto"/>
            <w:bottom w:val="none" w:sz="0" w:space="0" w:color="auto"/>
            <w:right w:val="none" w:sz="0" w:space="0" w:color="auto"/>
          </w:divBdr>
        </w:div>
        <w:div w:id="1356496369">
          <w:marLeft w:val="0"/>
          <w:marRight w:val="0"/>
          <w:marTop w:val="0"/>
          <w:marBottom w:val="0"/>
          <w:divBdr>
            <w:top w:val="none" w:sz="0" w:space="0" w:color="auto"/>
            <w:left w:val="none" w:sz="0" w:space="0" w:color="auto"/>
            <w:bottom w:val="none" w:sz="0" w:space="0" w:color="auto"/>
            <w:right w:val="none" w:sz="0" w:space="0" w:color="auto"/>
          </w:divBdr>
        </w:div>
        <w:div w:id="1019357087">
          <w:marLeft w:val="0"/>
          <w:marRight w:val="0"/>
          <w:marTop w:val="0"/>
          <w:marBottom w:val="0"/>
          <w:divBdr>
            <w:top w:val="none" w:sz="0" w:space="0" w:color="auto"/>
            <w:left w:val="none" w:sz="0" w:space="0" w:color="auto"/>
            <w:bottom w:val="none" w:sz="0" w:space="0" w:color="auto"/>
            <w:right w:val="none" w:sz="0" w:space="0" w:color="auto"/>
          </w:divBdr>
        </w:div>
        <w:div w:id="381489745">
          <w:marLeft w:val="0"/>
          <w:marRight w:val="0"/>
          <w:marTop w:val="0"/>
          <w:marBottom w:val="0"/>
          <w:divBdr>
            <w:top w:val="none" w:sz="0" w:space="0" w:color="auto"/>
            <w:left w:val="none" w:sz="0" w:space="0" w:color="auto"/>
            <w:bottom w:val="none" w:sz="0" w:space="0" w:color="auto"/>
            <w:right w:val="none" w:sz="0" w:space="0" w:color="auto"/>
          </w:divBdr>
        </w:div>
        <w:div w:id="1125386267">
          <w:marLeft w:val="0"/>
          <w:marRight w:val="0"/>
          <w:marTop w:val="0"/>
          <w:marBottom w:val="0"/>
          <w:divBdr>
            <w:top w:val="none" w:sz="0" w:space="0" w:color="auto"/>
            <w:left w:val="none" w:sz="0" w:space="0" w:color="auto"/>
            <w:bottom w:val="none" w:sz="0" w:space="0" w:color="auto"/>
            <w:right w:val="none" w:sz="0" w:space="0" w:color="auto"/>
          </w:divBdr>
        </w:div>
        <w:div w:id="1938564407">
          <w:marLeft w:val="0"/>
          <w:marRight w:val="0"/>
          <w:marTop w:val="0"/>
          <w:marBottom w:val="0"/>
          <w:divBdr>
            <w:top w:val="none" w:sz="0" w:space="0" w:color="auto"/>
            <w:left w:val="none" w:sz="0" w:space="0" w:color="auto"/>
            <w:bottom w:val="none" w:sz="0" w:space="0" w:color="auto"/>
            <w:right w:val="none" w:sz="0" w:space="0" w:color="auto"/>
          </w:divBdr>
        </w:div>
        <w:div w:id="1012956148">
          <w:marLeft w:val="0"/>
          <w:marRight w:val="0"/>
          <w:marTop w:val="0"/>
          <w:marBottom w:val="0"/>
          <w:divBdr>
            <w:top w:val="none" w:sz="0" w:space="0" w:color="auto"/>
            <w:left w:val="none" w:sz="0" w:space="0" w:color="auto"/>
            <w:bottom w:val="none" w:sz="0" w:space="0" w:color="auto"/>
            <w:right w:val="none" w:sz="0" w:space="0" w:color="auto"/>
          </w:divBdr>
        </w:div>
        <w:div w:id="1644919572">
          <w:marLeft w:val="0"/>
          <w:marRight w:val="0"/>
          <w:marTop w:val="0"/>
          <w:marBottom w:val="0"/>
          <w:divBdr>
            <w:top w:val="none" w:sz="0" w:space="0" w:color="auto"/>
            <w:left w:val="none" w:sz="0" w:space="0" w:color="auto"/>
            <w:bottom w:val="none" w:sz="0" w:space="0" w:color="auto"/>
            <w:right w:val="none" w:sz="0" w:space="0" w:color="auto"/>
          </w:divBdr>
        </w:div>
        <w:div w:id="1454515787">
          <w:marLeft w:val="0"/>
          <w:marRight w:val="0"/>
          <w:marTop w:val="0"/>
          <w:marBottom w:val="0"/>
          <w:divBdr>
            <w:top w:val="none" w:sz="0" w:space="0" w:color="auto"/>
            <w:left w:val="none" w:sz="0" w:space="0" w:color="auto"/>
            <w:bottom w:val="none" w:sz="0" w:space="0" w:color="auto"/>
            <w:right w:val="none" w:sz="0" w:space="0" w:color="auto"/>
          </w:divBdr>
        </w:div>
        <w:div w:id="795760169">
          <w:marLeft w:val="0"/>
          <w:marRight w:val="0"/>
          <w:marTop w:val="0"/>
          <w:marBottom w:val="0"/>
          <w:divBdr>
            <w:top w:val="none" w:sz="0" w:space="0" w:color="auto"/>
            <w:left w:val="none" w:sz="0" w:space="0" w:color="auto"/>
            <w:bottom w:val="none" w:sz="0" w:space="0" w:color="auto"/>
            <w:right w:val="none" w:sz="0" w:space="0" w:color="auto"/>
          </w:divBdr>
        </w:div>
        <w:div w:id="367416237">
          <w:marLeft w:val="0"/>
          <w:marRight w:val="0"/>
          <w:marTop w:val="0"/>
          <w:marBottom w:val="0"/>
          <w:divBdr>
            <w:top w:val="none" w:sz="0" w:space="0" w:color="auto"/>
            <w:left w:val="none" w:sz="0" w:space="0" w:color="auto"/>
            <w:bottom w:val="none" w:sz="0" w:space="0" w:color="auto"/>
            <w:right w:val="none" w:sz="0" w:space="0" w:color="auto"/>
          </w:divBdr>
        </w:div>
        <w:div w:id="1103257924">
          <w:marLeft w:val="0"/>
          <w:marRight w:val="0"/>
          <w:marTop w:val="0"/>
          <w:marBottom w:val="0"/>
          <w:divBdr>
            <w:top w:val="none" w:sz="0" w:space="0" w:color="auto"/>
            <w:left w:val="none" w:sz="0" w:space="0" w:color="auto"/>
            <w:bottom w:val="none" w:sz="0" w:space="0" w:color="auto"/>
            <w:right w:val="none" w:sz="0" w:space="0" w:color="auto"/>
          </w:divBdr>
        </w:div>
        <w:div w:id="1340503294">
          <w:marLeft w:val="0"/>
          <w:marRight w:val="0"/>
          <w:marTop w:val="0"/>
          <w:marBottom w:val="0"/>
          <w:divBdr>
            <w:top w:val="none" w:sz="0" w:space="0" w:color="auto"/>
            <w:left w:val="none" w:sz="0" w:space="0" w:color="auto"/>
            <w:bottom w:val="none" w:sz="0" w:space="0" w:color="auto"/>
            <w:right w:val="none" w:sz="0" w:space="0" w:color="auto"/>
          </w:divBdr>
          <w:divsChild>
            <w:div w:id="378170506">
              <w:marLeft w:val="0"/>
              <w:marRight w:val="0"/>
              <w:marTop w:val="0"/>
              <w:marBottom w:val="0"/>
              <w:divBdr>
                <w:top w:val="none" w:sz="0" w:space="0" w:color="auto"/>
                <w:left w:val="none" w:sz="0" w:space="0" w:color="auto"/>
                <w:bottom w:val="none" w:sz="0" w:space="0" w:color="auto"/>
                <w:right w:val="none" w:sz="0" w:space="0" w:color="auto"/>
              </w:divBdr>
            </w:div>
            <w:div w:id="421416088">
              <w:marLeft w:val="0"/>
              <w:marRight w:val="0"/>
              <w:marTop w:val="0"/>
              <w:marBottom w:val="0"/>
              <w:divBdr>
                <w:top w:val="none" w:sz="0" w:space="0" w:color="auto"/>
                <w:left w:val="none" w:sz="0" w:space="0" w:color="auto"/>
                <w:bottom w:val="none" w:sz="0" w:space="0" w:color="auto"/>
                <w:right w:val="none" w:sz="0" w:space="0" w:color="auto"/>
              </w:divBdr>
            </w:div>
            <w:div w:id="205404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ph.serio@occ.ohio.gov" TargetMode="External"/><Relationship Id="rId13" Type="http://schemas.openxmlformats.org/officeDocument/2006/relationships/footer" Target="footer2.xml"/><Relationship Id="rId18" Type="http://schemas.openxmlformats.org/officeDocument/2006/relationships/chart" Target="charts/chart1.xml"/><Relationship Id="rId26" Type="http://schemas.openxmlformats.org/officeDocument/2006/relationships/hyperlink" Target="mailto:mjsatterwhite@aep.com" TargetMode="External"/><Relationship Id="rId3" Type="http://schemas.microsoft.com/office/2007/relationships/stylesWithEffects" Target="stylesWithEffects.xml"/><Relationship Id="rId21" Type="http://schemas.openxmlformats.org/officeDocument/2006/relationships/image" Target="media/image1.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mailto:Thomas.mcnamee@puc.state.oh.u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chart" Target="charts/chart3.xml"/><Relationship Id="rId29" Type="http://schemas.openxmlformats.org/officeDocument/2006/relationships/hyperlink" Target="mailto:Greta.see@puc.state.oh.u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Joseph.serio@occ.ohio.gov" TargetMode="Externa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hyperlink" Target="mailto:Sarah.parrot@puc.state.oh.us" TargetMode="External"/><Relationship Id="rId10" Type="http://schemas.openxmlformats.org/officeDocument/2006/relationships/header" Target="header1.xml"/><Relationship Id="rId19" Type="http://schemas.openxmlformats.org/officeDocument/2006/relationships/chart" Target="charts/chart2.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Michael.schuler@occ.ohio.gov" TargetMode="External"/><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yperlink" Target="mailto:stnourse@aep.com" TargetMode="External"/><Relationship Id="rId30" Type="http://schemas.openxmlformats.org/officeDocument/2006/relationships/header" Target="header5.xml"/></Relationships>
</file>

<file path=word/charts/_rels/chart1.xml.rels><?xml version="1.0" encoding="UTF-8" standalone="yes"?>
<Relationships xmlns="http://schemas.openxmlformats.org/package/2006/relationships"><Relationship Id="rId2" Type="http://schemas.openxmlformats.org/officeDocument/2006/relationships/oleObject" Target="file:///\\MAIN\SYS\HOME\BRIGNER\Projects%20Done%20For%20Others\Williams\Graphs%202012%20-%202013.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MAIN\SYS\HOME\BRIGNER\Projects%20Done%20For%20Others\Williams\Graphs%202012%20-%202013.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MAIN\SYS\HOME\BRIGNER\Projects%20Done%20For%20Others\Williams\Graphs%202012%20-%202013.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en-US" sz="1000"/>
              <a:t>Events</a:t>
            </a:r>
          </a:p>
        </c:rich>
      </c:tx>
      <c:overlay val="0"/>
    </c:title>
    <c:autoTitleDeleted val="0"/>
    <c:plotArea>
      <c:layout/>
      <c:barChart>
        <c:barDir val="col"/>
        <c:grouping val="clustered"/>
        <c:varyColors val="0"/>
        <c:ser>
          <c:idx val="0"/>
          <c:order val="0"/>
          <c:tx>
            <c:strRef>
              <c:f>'Table 1'!$B$4:$D$4</c:f>
              <c:strCache>
                <c:ptCount val="1"/>
                <c:pt idx="0">
                  <c:v>Events</c:v>
                </c:pt>
              </c:strCache>
            </c:strRef>
          </c:tx>
          <c:invertIfNegative val="0"/>
          <c:cat>
            <c:numRef>
              <c:f>'Table 1'!$C$5:$D$5</c:f>
              <c:numCache>
                <c:formatCode>General</c:formatCode>
                <c:ptCount val="2"/>
                <c:pt idx="0">
                  <c:v>2012</c:v>
                </c:pt>
                <c:pt idx="1">
                  <c:v>2013</c:v>
                </c:pt>
              </c:numCache>
            </c:numRef>
          </c:cat>
          <c:val>
            <c:numRef>
              <c:f>'Table 1'!$C$35:$D$35</c:f>
              <c:numCache>
                <c:formatCode>#,##0</c:formatCode>
                <c:ptCount val="2"/>
                <c:pt idx="0">
                  <c:v>33282</c:v>
                </c:pt>
                <c:pt idx="1">
                  <c:v>38268</c:v>
                </c:pt>
              </c:numCache>
            </c:numRef>
          </c:val>
        </c:ser>
        <c:dLbls>
          <c:showLegendKey val="0"/>
          <c:showVal val="0"/>
          <c:showCatName val="0"/>
          <c:showSerName val="0"/>
          <c:showPercent val="0"/>
          <c:showBubbleSize val="0"/>
        </c:dLbls>
        <c:gapWidth val="28"/>
        <c:axId val="117766784"/>
        <c:axId val="117782784"/>
      </c:barChart>
      <c:catAx>
        <c:axId val="117766784"/>
        <c:scaling>
          <c:orientation val="minMax"/>
        </c:scaling>
        <c:delete val="0"/>
        <c:axPos val="b"/>
        <c:numFmt formatCode="General" sourceLinked="1"/>
        <c:majorTickMark val="out"/>
        <c:minorTickMark val="none"/>
        <c:tickLblPos val="nextTo"/>
        <c:crossAx val="117782784"/>
        <c:crosses val="autoZero"/>
        <c:auto val="1"/>
        <c:lblAlgn val="ctr"/>
        <c:lblOffset val="100"/>
        <c:noMultiLvlLbl val="0"/>
      </c:catAx>
      <c:valAx>
        <c:axId val="117782784"/>
        <c:scaling>
          <c:orientation val="minMax"/>
          <c:min val="0"/>
        </c:scaling>
        <c:delete val="0"/>
        <c:axPos val="l"/>
        <c:majorGridlines/>
        <c:numFmt formatCode="#,##0" sourceLinked="1"/>
        <c:majorTickMark val="out"/>
        <c:minorTickMark val="none"/>
        <c:tickLblPos val="nextTo"/>
        <c:txPr>
          <a:bodyPr/>
          <a:lstStyle/>
          <a:p>
            <a:pPr>
              <a:defRPr sz="800"/>
            </a:pPr>
            <a:endParaRPr lang="en-US"/>
          </a:p>
        </c:txPr>
        <c:crossAx val="117766784"/>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en-US" sz="1000"/>
              <a:t>Customers lnterrupted</a:t>
            </a:r>
          </a:p>
        </c:rich>
      </c:tx>
      <c:overlay val="0"/>
    </c:title>
    <c:autoTitleDeleted val="0"/>
    <c:plotArea>
      <c:layout/>
      <c:barChart>
        <c:barDir val="col"/>
        <c:grouping val="clustered"/>
        <c:varyColors val="0"/>
        <c:ser>
          <c:idx val="0"/>
          <c:order val="0"/>
          <c:tx>
            <c:strRef>
              <c:f>'Table 1'!$E$4:$G$4</c:f>
              <c:strCache>
                <c:ptCount val="1"/>
                <c:pt idx="0">
                  <c:v>Customers lnterrupted</c:v>
                </c:pt>
              </c:strCache>
            </c:strRef>
          </c:tx>
          <c:invertIfNegative val="0"/>
          <c:cat>
            <c:numRef>
              <c:f>'Table 1'!$F$5:$G$5</c:f>
              <c:numCache>
                <c:formatCode>General</c:formatCode>
                <c:ptCount val="2"/>
                <c:pt idx="0">
                  <c:v>2012</c:v>
                </c:pt>
                <c:pt idx="1">
                  <c:v>2013</c:v>
                </c:pt>
              </c:numCache>
            </c:numRef>
          </c:cat>
          <c:val>
            <c:numRef>
              <c:f>'Table 1'!$F$35:$G$35</c:f>
              <c:numCache>
                <c:formatCode>#,##0</c:formatCode>
                <c:ptCount val="2"/>
                <c:pt idx="0">
                  <c:v>1422839</c:v>
                </c:pt>
                <c:pt idx="1">
                  <c:v>1498232</c:v>
                </c:pt>
              </c:numCache>
            </c:numRef>
          </c:val>
        </c:ser>
        <c:dLbls>
          <c:showLegendKey val="0"/>
          <c:showVal val="0"/>
          <c:showCatName val="0"/>
          <c:showSerName val="0"/>
          <c:showPercent val="0"/>
          <c:showBubbleSize val="0"/>
        </c:dLbls>
        <c:gapWidth val="28"/>
        <c:axId val="113732224"/>
        <c:axId val="113738112"/>
      </c:barChart>
      <c:catAx>
        <c:axId val="113732224"/>
        <c:scaling>
          <c:orientation val="minMax"/>
        </c:scaling>
        <c:delete val="0"/>
        <c:axPos val="b"/>
        <c:numFmt formatCode="General" sourceLinked="1"/>
        <c:majorTickMark val="out"/>
        <c:minorTickMark val="none"/>
        <c:tickLblPos val="nextTo"/>
        <c:crossAx val="113738112"/>
        <c:crosses val="autoZero"/>
        <c:auto val="1"/>
        <c:lblAlgn val="ctr"/>
        <c:lblOffset val="100"/>
        <c:noMultiLvlLbl val="0"/>
      </c:catAx>
      <c:valAx>
        <c:axId val="113738112"/>
        <c:scaling>
          <c:orientation val="minMax"/>
          <c:min val="0"/>
        </c:scaling>
        <c:delete val="0"/>
        <c:axPos val="l"/>
        <c:majorGridlines/>
        <c:numFmt formatCode="#,##0" sourceLinked="1"/>
        <c:majorTickMark val="out"/>
        <c:minorTickMark val="none"/>
        <c:tickLblPos val="nextTo"/>
        <c:txPr>
          <a:bodyPr/>
          <a:lstStyle/>
          <a:p>
            <a:pPr>
              <a:defRPr sz="800"/>
            </a:pPr>
            <a:endParaRPr lang="en-US"/>
          </a:p>
        </c:txPr>
        <c:crossAx val="113732224"/>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a:pPr>
            <a:r>
              <a:rPr lang="en-US" sz="900"/>
              <a:t>Customer Minutes lnterrupted</a:t>
            </a:r>
          </a:p>
        </c:rich>
      </c:tx>
      <c:overlay val="0"/>
    </c:title>
    <c:autoTitleDeleted val="0"/>
    <c:plotArea>
      <c:layout/>
      <c:barChart>
        <c:barDir val="col"/>
        <c:grouping val="clustered"/>
        <c:varyColors val="0"/>
        <c:ser>
          <c:idx val="0"/>
          <c:order val="0"/>
          <c:tx>
            <c:strRef>
              <c:f>'Table 1'!$H$4:$J$4</c:f>
              <c:strCache>
                <c:ptCount val="1"/>
                <c:pt idx="0">
                  <c:v>Customer Minutes lnterrupted</c:v>
                </c:pt>
              </c:strCache>
            </c:strRef>
          </c:tx>
          <c:invertIfNegative val="0"/>
          <c:cat>
            <c:numRef>
              <c:f>'Table 1'!$I$5:$J$5</c:f>
              <c:numCache>
                <c:formatCode>General</c:formatCode>
                <c:ptCount val="2"/>
                <c:pt idx="0">
                  <c:v>2012</c:v>
                </c:pt>
                <c:pt idx="1">
                  <c:v>2013</c:v>
                </c:pt>
              </c:numCache>
            </c:numRef>
          </c:cat>
          <c:val>
            <c:numRef>
              <c:f>'Table 1'!$I$35:$J$35</c:f>
              <c:numCache>
                <c:formatCode>#,##0</c:formatCode>
                <c:ptCount val="2"/>
                <c:pt idx="0">
                  <c:v>206097896</c:v>
                </c:pt>
                <c:pt idx="1">
                  <c:v>211210995</c:v>
                </c:pt>
              </c:numCache>
            </c:numRef>
          </c:val>
        </c:ser>
        <c:dLbls>
          <c:showLegendKey val="0"/>
          <c:showVal val="0"/>
          <c:showCatName val="0"/>
          <c:showSerName val="0"/>
          <c:showPercent val="0"/>
          <c:showBubbleSize val="0"/>
        </c:dLbls>
        <c:gapWidth val="28"/>
        <c:axId val="113750016"/>
        <c:axId val="113751552"/>
      </c:barChart>
      <c:catAx>
        <c:axId val="113750016"/>
        <c:scaling>
          <c:orientation val="minMax"/>
        </c:scaling>
        <c:delete val="0"/>
        <c:axPos val="b"/>
        <c:numFmt formatCode="General" sourceLinked="1"/>
        <c:majorTickMark val="out"/>
        <c:minorTickMark val="none"/>
        <c:tickLblPos val="nextTo"/>
        <c:crossAx val="113751552"/>
        <c:crosses val="autoZero"/>
        <c:auto val="1"/>
        <c:lblAlgn val="ctr"/>
        <c:lblOffset val="100"/>
        <c:noMultiLvlLbl val="0"/>
      </c:catAx>
      <c:valAx>
        <c:axId val="113751552"/>
        <c:scaling>
          <c:orientation val="minMax"/>
          <c:min val="0"/>
        </c:scaling>
        <c:delete val="0"/>
        <c:axPos val="l"/>
        <c:majorGridlines/>
        <c:numFmt formatCode="#,##0" sourceLinked="1"/>
        <c:majorTickMark val="out"/>
        <c:minorTickMark val="none"/>
        <c:tickLblPos val="nextTo"/>
        <c:txPr>
          <a:bodyPr/>
          <a:lstStyle/>
          <a:p>
            <a:pPr>
              <a:defRPr sz="800"/>
            </a:pPr>
            <a:endParaRPr lang="en-US"/>
          </a:p>
        </c:txPr>
        <c:crossAx val="113750016"/>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2</Pages>
  <Words>3338</Words>
  <Characters>18009</Characters>
  <Application>Microsoft Office Word</Application>
  <DocSecurity>0</DocSecurity>
  <Lines>443</Lines>
  <Paragraphs>152</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21403</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2014-09-10T16:11:00Z</cp:lastPrinted>
  <dcterms:created xsi:type="dcterms:W3CDTF">2014-09-10T21:05:00Z</dcterms:created>
  <dcterms:modified xsi:type="dcterms:W3CDTF">2014-09-10T21:05:00Z</dcterms:modified>
  <cp:category> </cp:category>
  <cp:contentStatus> </cp:contentStatus>
</cp:coreProperties>
</file>