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CC5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31D50B53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55204F6F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53943ED3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793AF4E6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65D209FF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45D671F3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4EDE49D9" w14:textId="77777777" w:rsidR="00710E4E" w:rsidRDefault="00710E4E" w:rsidP="00710E4E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40C3EA1D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F94409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B3DD85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45FF65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63BBDA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2A8544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477145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D14FBE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ECE02D" w14:textId="1515157E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  <w:r w:rsidRPr="00C82977">
        <w:rPr>
          <w:rFonts w:ascii="Arial" w:hAnsi="Arial" w:cs="Arial"/>
          <w:b/>
          <w:bCs/>
          <w:sz w:val="32"/>
          <w:szCs w:val="32"/>
        </w:rPr>
        <w:t xml:space="preserve">Exhibit </w:t>
      </w:r>
      <w:r>
        <w:rPr>
          <w:rFonts w:ascii="Arial" w:hAnsi="Arial" w:cs="Arial"/>
          <w:b/>
          <w:bCs/>
          <w:sz w:val="32"/>
          <w:szCs w:val="32"/>
        </w:rPr>
        <w:t>A</w:t>
      </w:r>
    </w:p>
    <w:p w14:paraId="7660E201" w14:textId="77777777" w:rsidR="00710E4E" w:rsidRPr="00C82977" w:rsidRDefault="00710E4E" w:rsidP="00710E4E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A9874D" w14:textId="77777777" w:rsidR="00710E4E" w:rsidRDefault="00710E4E" w:rsidP="006841EF">
      <w:pPr>
        <w:ind w:right="720"/>
        <w:jc w:val="center"/>
        <w:rPr>
          <w:rFonts w:ascii="Arial" w:hAnsi="Arial" w:cs="Arial"/>
          <w:sz w:val="20"/>
          <w:szCs w:val="20"/>
        </w:rPr>
        <w:sectPr w:rsidR="00710E4E" w:rsidSect="006841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0DBC54A4" w14:textId="19F0EC64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ACCESS SERVICE TARIFF</w:t>
      </w:r>
    </w:p>
    <w:p w14:paraId="0D07E116" w14:textId="77777777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P.U.C.O. NO. 2</w:t>
      </w:r>
    </w:p>
    <w:p w14:paraId="0252C3BD" w14:textId="77777777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</w:p>
    <w:p w14:paraId="3C2BECB9" w14:textId="77777777" w:rsidR="006841EF" w:rsidRDefault="006841EF" w:rsidP="006841EF">
      <w:pPr>
        <w:tabs>
          <w:tab w:val="right" w:pos="9360"/>
          <w:tab w:val="left" w:pos="972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  <w:t>1st Revised Sheet No. 10</w:t>
      </w:r>
    </w:p>
    <w:p w14:paraId="7C253E7C" w14:textId="4A7344DB" w:rsidR="006841EF" w:rsidRPr="00BA697C" w:rsidRDefault="006841EF" w:rsidP="00710E4E">
      <w:pPr>
        <w:tabs>
          <w:tab w:val="right" w:pos="936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d/b/a CenturyLink</w:t>
      </w:r>
      <w:r>
        <w:rPr>
          <w:rFonts w:ascii="Arial" w:hAnsi="Arial" w:cs="Arial"/>
          <w:sz w:val="20"/>
          <w:szCs w:val="20"/>
        </w:rPr>
        <w:tab/>
        <w:t>Cancels Original Sheet No. 10</w:t>
      </w:r>
      <w:r w:rsidR="00710E4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(C)</w:t>
      </w:r>
    </w:p>
    <w:p w14:paraId="3BDB249E" w14:textId="77777777" w:rsidR="006841EF" w:rsidRPr="00BA697C" w:rsidRDefault="006841EF" w:rsidP="006841EF">
      <w:pPr>
        <w:rPr>
          <w:rFonts w:ascii="Arial" w:hAnsi="Arial" w:cs="Arial"/>
          <w:sz w:val="20"/>
          <w:szCs w:val="20"/>
        </w:rPr>
      </w:pPr>
    </w:p>
    <w:tbl>
      <w:tblPr>
        <w:tblW w:w="10526" w:type="dxa"/>
        <w:tblLayout w:type="fixed"/>
        <w:tblLook w:val="01E0" w:firstRow="1" w:lastRow="1" w:firstColumn="1" w:lastColumn="1" w:noHBand="0" w:noVBand="0"/>
      </w:tblPr>
      <w:tblGrid>
        <w:gridCol w:w="9374"/>
        <w:gridCol w:w="1152"/>
      </w:tblGrid>
      <w:tr w:rsidR="006841EF" w:rsidRPr="001A5380" w14:paraId="3FBD4532" w14:textId="77777777" w:rsidTr="00CB459F">
        <w:tc>
          <w:tcPr>
            <w:tcW w:w="9374" w:type="dxa"/>
          </w:tcPr>
          <w:p w14:paraId="611887C1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INTRASTATE CARRIER COMMON LINE ACCESS SERVICE (Cont'd)</w:t>
            </w:r>
          </w:p>
          <w:p w14:paraId="051CE676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</w:p>
          <w:p w14:paraId="40C1ED32" w14:textId="77777777" w:rsidR="006841EF" w:rsidRPr="001A5380" w:rsidRDefault="006841EF" w:rsidP="00CB459F">
            <w:pPr>
              <w:ind w:left="72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</w:t>
            </w:r>
            <w:r w:rsidRPr="001A5380">
              <w:rPr>
                <w:rFonts w:ascii="Arial" w:hAnsi="Arial"/>
                <w:sz w:val="20"/>
              </w:rPr>
              <w:tab/>
              <w:t>Rate Regulations (Cont'd)</w:t>
            </w:r>
          </w:p>
          <w:p w14:paraId="6AB57712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4EA5DA8F" w14:textId="77777777" w:rsidR="006841EF" w:rsidRPr="001A5380" w:rsidRDefault="006841EF" w:rsidP="00CB459F">
            <w:pPr>
              <w:ind w:left="144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7.5</w:t>
            </w:r>
            <w:r w:rsidRPr="001A5380">
              <w:rPr>
                <w:rFonts w:ascii="Arial" w:hAnsi="Arial"/>
                <w:sz w:val="20"/>
              </w:rPr>
              <w:tab/>
              <w:t>Determination of Premium Charges (Cont'd)</w:t>
            </w:r>
          </w:p>
          <w:p w14:paraId="4BBE84CD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66F9990B" w14:textId="77777777" w:rsidR="006841EF" w:rsidRPr="001A5380" w:rsidRDefault="006841EF" w:rsidP="00CB459F">
            <w:pPr>
              <w:ind w:left="216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E.</w:t>
            </w:r>
            <w:r w:rsidRPr="001A5380">
              <w:rPr>
                <w:rFonts w:ascii="Arial" w:hAnsi="Arial"/>
                <w:sz w:val="20"/>
              </w:rPr>
              <w:tab/>
              <w:t>The originating Premium Access per minute charge(s) apply to:</w:t>
            </w:r>
          </w:p>
          <w:p w14:paraId="10711C68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5E5B7A5A" w14:textId="77777777" w:rsidR="006841EF" w:rsidRPr="001A5380" w:rsidRDefault="006841EF" w:rsidP="00CB459F">
            <w:pPr>
              <w:ind w:left="270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all originating access minutes of use;</w:t>
            </w:r>
          </w:p>
          <w:p w14:paraId="7671ADDA" w14:textId="77777777" w:rsidR="006841EF" w:rsidRPr="001A5380" w:rsidRDefault="006841EF" w:rsidP="00CB459F">
            <w:pPr>
              <w:ind w:left="2520" w:hanging="540"/>
              <w:rPr>
                <w:rFonts w:ascii="Arial" w:hAnsi="Arial"/>
                <w:sz w:val="20"/>
              </w:rPr>
            </w:pPr>
          </w:p>
          <w:p w14:paraId="02277843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those originating access minutes of use associated with FGA Access Services where the off-hook supervisory signaling is forwarded by the IXC's equipment when the called party answers;</w:t>
            </w:r>
          </w:p>
          <w:p w14:paraId="3F3D63C1" w14:textId="77777777" w:rsidR="006841EF" w:rsidRPr="001A5380" w:rsidRDefault="006841EF" w:rsidP="00CB459F">
            <w:pPr>
              <w:ind w:left="2520" w:hanging="540"/>
              <w:rPr>
                <w:rFonts w:ascii="Arial" w:hAnsi="Arial"/>
                <w:sz w:val="20"/>
              </w:rPr>
            </w:pPr>
          </w:p>
          <w:p w14:paraId="3128AC8C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all originating access minutes of use associated with calls placed to 700, 800 and 900 numbers;</w:t>
            </w:r>
          </w:p>
          <w:p w14:paraId="007041A4" w14:textId="77777777" w:rsidR="006841EF" w:rsidRPr="001A5380" w:rsidRDefault="006841EF" w:rsidP="00CB459F">
            <w:pPr>
              <w:ind w:left="2520" w:hanging="540"/>
              <w:rPr>
                <w:rFonts w:ascii="Arial" w:hAnsi="Arial"/>
                <w:sz w:val="20"/>
              </w:rPr>
            </w:pPr>
          </w:p>
          <w:p w14:paraId="6D92EEB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those originating access minutes of use associated with Wireless Switching Centers (WSCs);</w:t>
            </w:r>
          </w:p>
          <w:p w14:paraId="38DBEC65" w14:textId="77777777" w:rsidR="006841EF" w:rsidRPr="001A5380" w:rsidRDefault="006841EF" w:rsidP="00CB459F">
            <w:pPr>
              <w:ind w:left="2520" w:hanging="540"/>
              <w:rPr>
                <w:rFonts w:ascii="Arial" w:hAnsi="Arial"/>
                <w:sz w:val="20"/>
              </w:rPr>
            </w:pPr>
          </w:p>
          <w:p w14:paraId="6808B9E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plus all originating access minutes of use associated with calls placed to 700, 800 series and 900 numbers for which the IXC furnishes for each month a report of either the number of calls or minutes or a report of the percent of calls or minutes that terminate in a Switched Access Service that is assessed Carrier Common Line charges, and for which a corresponding reduction in the number of terminating access minutes of use has been made as set forth in (D) preceding.</w:t>
            </w:r>
          </w:p>
          <w:p w14:paraId="31CFC8C0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549B1" w14:textId="77777777" w:rsidR="006841EF" w:rsidRPr="003E1CEE" w:rsidRDefault="006841EF" w:rsidP="00CB459F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Premium Access, per minute</w:t>
            </w:r>
          </w:p>
          <w:p w14:paraId="61F8B9E8" w14:textId="77777777" w:rsidR="006841EF" w:rsidRPr="003E1CEE" w:rsidRDefault="006841EF" w:rsidP="00CB459F">
            <w:pPr>
              <w:tabs>
                <w:tab w:val="left" w:pos="7560"/>
                <w:tab w:val="left" w:pos="88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Terminating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(R)</w:t>
            </w:r>
          </w:p>
          <w:p w14:paraId="1E00D260" w14:textId="77777777" w:rsidR="006841EF" w:rsidRPr="003E1CEE" w:rsidRDefault="006841EF" w:rsidP="00CB459F">
            <w:pPr>
              <w:tabs>
                <w:tab w:val="left" w:pos="7560"/>
                <w:tab w:val="left" w:pos="864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Originating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$0.0155</w:t>
            </w:r>
          </w:p>
          <w:p w14:paraId="20935F3B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9104E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3712D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9BA52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D8FA4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C54BA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B4EB8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7B8F1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ED60F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D57D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906A8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14AC0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7AEB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7B09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  <w:r>
              <w:rPr>
                <w:rFonts w:ascii="Arial" w:hAnsi="Arial" w:cs="Arial"/>
                <w:sz w:val="20"/>
                <w:szCs w:val="20"/>
              </w:rPr>
              <w:tab/>
              <w:t>These rates previously appeared on Page 1.</w:t>
            </w:r>
          </w:p>
          <w:p w14:paraId="4CD9F73D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B95F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14A6607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8DF53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C699D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CC8C8C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8888A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ADA05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BB05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59A6A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1A80E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8E8DE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A66F0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BDA4F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2C95D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3C543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351F6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C342B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7A1B62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93632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2113D4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262A3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EF104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0EC35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2B194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34C36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F9E78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F15F8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AA3A9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8B3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87764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8D8D2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  <w:p w14:paraId="6BD2D18C" w14:textId="77777777" w:rsidR="006841EF" w:rsidRDefault="006841EF" w:rsidP="00CB459F">
            <w:pPr>
              <w:tabs>
                <w:tab w:val="bar" w:pos="4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DC73F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  <w:p w14:paraId="38917834" w14:textId="77777777" w:rsidR="006841EF" w:rsidRPr="001A5380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474FE" w14:textId="77777777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Issued:  May 1, 2013</w:t>
      </w:r>
      <w:r>
        <w:rPr>
          <w:rFonts w:ascii="Arial" w:hAnsi="Arial" w:cs="Arial"/>
          <w:sz w:val="20"/>
          <w:szCs w:val="20"/>
        </w:rPr>
        <w:tab/>
        <w:t>Effective:  July 2, 2013</w:t>
      </w:r>
    </w:p>
    <w:p w14:paraId="3AD90858" w14:textId="77777777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  <w:t>In accordance with No. 12</w:t>
      </w:r>
      <w:r w:rsidRPr="001F43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1434</w:t>
      </w:r>
      <w:r w:rsidRPr="001F43AC">
        <w:rPr>
          <w:rFonts w:ascii="Arial" w:hAnsi="Arial" w:cs="Arial"/>
          <w:sz w:val="20"/>
          <w:szCs w:val="20"/>
        </w:rPr>
        <w:t>-TP-ATA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7213110" w14:textId="69A08EF4" w:rsidR="006841EF" w:rsidRDefault="006841EF" w:rsidP="00710E4E">
      <w:pPr>
        <w:tabs>
          <w:tab w:val="left" w:pos="540"/>
          <w:tab w:val="right" w:pos="936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</w:t>
      </w:r>
      <w:r>
        <w:rPr>
          <w:rFonts w:ascii="Arial" w:hAnsi="Arial" w:cs="Arial"/>
          <w:sz w:val="20"/>
          <w:szCs w:val="20"/>
        </w:rPr>
        <w:tab/>
        <w:t>Gary L. Kepley, Director, Regulatory Operations</w:t>
      </w:r>
      <w:r>
        <w:rPr>
          <w:rFonts w:ascii="Arial" w:hAnsi="Arial" w:cs="Arial"/>
          <w:sz w:val="20"/>
          <w:szCs w:val="20"/>
        </w:rPr>
        <w:tab/>
        <w:t>Issued by Public Utilities Commission of Ohio</w:t>
      </w:r>
      <w:r>
        <w:rPr>
          <w:rFonts w:ascii="Arial" w:hAnsi="Arial" w:cs="Arial"/>
          <w:sz w:val="20"/>
          <w:szCs w:val="20"/>
        </w:rPr>
        <w:tab/>
        <w:t>Overland Park, Kansas</w:t>
      </w:r>
    </w:p>
    <w:p w14:paraId="6C9F320E" w14:textId="77777777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5AF0C043" w14:textId="77777777" w:rsidR="006475C2" w:rsidRDefault="006475C2"/>
    <w:sectPr w:rsidR="006475C2" w:rsidSect="00710E4E">
      <w:pgSz w:w="12240" w:h="15840"/>
      <w:pgMar w:top="720" w:right="135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81D2" w14:textId="77777777" w:rsidR="006841EF" w:rsidRDefault="006841EF" w:rsidP="006841EF">
      <w:r>
        <w:separator/>
      </w:r>
    </w:p>
  </w:endnote>
  <w:endnote w:type="continuationSeparator" w:id="0">
    <w:p w14:paraId="0F9F0006" w14:textId="77777777" w:rsidR="006841EF" w:rsidRDefault="006841EF" w:rsidP="0068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42CF" w14:textId="77777777" w:rsidR="00710E4E" w:rsidRDefault="0071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6078" w14:textId="77777777" w:rsidR="00710E4E" w:rsidRDefault="00710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5CD0" w14:textId="77777777" w:rsidR="00710E4E" w:rsidRDefault="0071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607E" w14:textId="77777777" w:rsidR="006841EF" w:rsidRDefault="006841EF" w:rsidP="006841EF">
      <w:r>
        <w:separator/>
      </w:r>
    </w:p>
  </w:footnote>
  <w:footnote w:type="continuationSeparator" w:id="0">
    <w:p w14:paraId="67B1C9FA" w14:textId="77777777" w:rsidR="006841EF" w:rsidRDefault="006841EF" w:rsidP="0068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C7D4" w14:textId="77777777" w:rsidR="00710E4E" w:rsidRDefault="0071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DF5" w14:textId="77777777" w:rsidR="00710E4E" w:rsidRDefault="00710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7649" w14:textId="77777777" w:rsidR="00710E4E" w:rsidRDefault="00710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F"/>
    <w:rsid w:val="006475C2"/>
    <w:rsid w:val="006841EF"/>
    <w:rsid w:val="00710E4E"/>
    <w:rsid w:val="00A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4DA7A"/>
  <w15:chartTrackingRefBased/>
  <w15:docId w15:val="{B6FA04D7-7B3D-4B77-91D2-D25AE89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1438</Characters>
  <Application>Microsoft Office Word</Application>
  <DocSecurity>0</DocSecurity>
  <Lines>65</Lines>
  <Paragraphs>18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2021-05-17T21:49:00Z</dcterms:created>
  <dcterms:modified xsi:type="dcterms:W3CDTF">2021-05-24T18:32:00Z</dcterms:modified>
</cp:coreProperties>
</file>