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044B5" w:rsidRPr="007D56DD" w14:paraId="0B74B160" w14:textId="77777777">
      <w:pPr>
        <w:pStyle w:val="HTMLPreformatted"/>
        <w:jc w:val="center"/>
        <w:rPr>
          <w:rFonts w:ascii="Times New Roman" w:hAnsi="Times New Roman" w:cs="Times New Roman"/>
          <w:b/>
          <w:bCs/>
          <w:color w:val="000000" w:themeColor="text1"/>
          <w:sz w:val="24"/>
          <w:szCs w:val="24"/>
        </w:rPr>
      </w:pPr>
      <w:r w:rsidRPr="007D56DD">
        <w:rPr>
          <w:rFonts w:ascii="Times New Roman" w:hAnsi="Times New Roman" w:cs="Times New Roman"/>
          <w:b/>
          <w:bCs/>
          <w:color w:val="000000" w:themeColor="text1"/>
          <w:sz w:val="24"/>
          <w:szCs w:val="24"/>
        </w:rPr>
        <w:t>BEFORE</w:t>
      </w:r>
    </w:p>
    <w:p w:rsidR="00A044B5" w:rsidRPr="007D56DD" w14:paraId="16C566A7" w14:textId="77777777">
      <w:pPr>
        <w:pStyle w:val="HTMLPreformatted"/>
        <w:jc w:val="center"/>
        <w:rPr>
          <w:rFonts w:ascii="Times New Roman" w:hAnsi="Times New Roman" w:cs="Times New Roman"/>
          <w:color w:val="000000" w:themeColor="text1"/>
          <w:sz w:val="24"/>
          <w:szCs w:val="24"/>
        </w:rPr>
      </w:pPr>
      <w:r w:rsidRPr="007D56DD">
        <w:rPr>
          <w:rFonts w:ascii="Times New Roman" w:hAnsi="Times New Roman" w:cs="Times New Roman"/>
          <w:b/>
          <w:bCs/>
          <w:color w:val="000000" w:themeColor="text1"/>
          <w:sz w:val="24"/>
          <w:szCs w:val="24"/>
        </w:rPr>
        <w:t>THE PUBLIC UTILITIES COMMISSION OF OHIO</w:t>
      </w:r>
    </w:p>
    <w:p w:rsidR="00A044B5" w:rsidRPr="007D56DD" w14:paraId="2DFFBFAE" w14:textId="77777777">
      <w:pPr>
        <w:pStyle w:val="HTMLPreformatted"/>
        <w:rPr>
          <w:rFonts w:ascii="Times New Roman" w:hAnsi="Times New Roman" w:cs="Times New Roman"/>
          <w:color w:val="000000" w:themeColor="text1"/>
          <w:sz w:val="24"/>
          <w:szCs w:val="24"/>
        </w:rPr>
      </w:pPr>
    </w:p>
    <w:tbl>
      <w:tblPr>
        <w:tblW w:w="8730" w:type="dxa"/>
        <w:tblLook w:val="01E0"/>
      </w:tblPr>
      <w:tblGrid>
        <w:gridCol w:w="4230"/>
        <w:gridCol w:w="630"/>
        <w:gridCol w:w="3870"/>
      </w:tblGrid>
      <w:tr w14:paraId="3A64049A" w14:textId="77777777" w:rsidTr="00950477">
        <w:tblPrEx>
          <w:tblW w:w="8730" w:type="dxa"/>
          <w:tblLook w:val="01E0"/>
        </w:tblPrEx>
        <w:trPr>
          <w:trHeight w:val="807"/>
        </w:trPr>
        <w:tc>
          <w:tcPr>
            <w:tcW w:w="4230" w:type="dxa"/>
            <w:shd w:val="clear" w:color="auto" w:fill="auto"/>
          </w:tcPr>
          <w:p w:rsidR="00907667" w:rsidRPr="007D56DD" w:rsidP="006710D8" w14:paraId="18CB4CA8" w14:textId="1588088F">
            <w:pPr>
              <w:pStyle w:val="HTMLPreformatted"/>
              <w:rPr>
                <w:rFonts w:ascii="Times New Roman" w:hAnsi="Times New Roman" w:cs="Times New Roman"/>
                <w:sz w:val="24"/>
                <w:szCs w:val="24"/>
              </w:rPr>
            </w:pPr>
            <w:r w:rsidRPr="007D56DD">
              <w:rPr>
                <w:rFonts w:ascii="Times New Roman" w:hAnsi="Times New Roman" w:cs="Times New Roman"/>
                <w:sz w:val="24"/>
                <w:szCs w:val="24"/>
              </w:rPr>
              <w:t xml:space="preserve">In the Matter of </w:t>
            </w:r>
            <w:r w:rsidRPr="007D56DD" w:rsidR="00B15605">
              <w:rPr>
                <w:rFonts w:ascii="Times New Roman" w:hAnsi="Times New Roman" w:cs="Times New Roman"/>
                <w:sz w:val="24"/>
                <w:szCs w:val="24"/>
              </w:rPr>
              <w:t>the Application of Ohio Edison Company, the Cleveland Electric Illuminating Company, and the Toledo Edison Company for Review of Rider AMI.</w:t>
            </w:r>
          </w:p>
          <w:p w:rsidR="00B15605" w:rsidRPr="007D56DD" w:rsidP="00B15605" w14:paraId="5A0B56D4" w14:textId="77777777">
            <w:pPr>
              <w:rPr>
                <w:rFonts w:eastAsia="Courier New"/>
                <w:szCs w:val="24"/>
              </w:rPr>
            </w:pPr>
          </w:p>
          <w:p w:rsidR="00B15605" w:rsidRPr="007D56DD" w:rsidP="00B15605" w14:paraId="476933BA" w14:textId="0749E0C2">
            <w:pPr>
              <w:tabs>
                <w:tab w:val="left" w:pos="478"/>
              </w:tabs>
              <w:rPr>
                <w:szCs w:val="24"/>
              </w:rPr>
            </w:pPr>
            <w:r w:rsidRPr="007D56DD">
              <w:rPr>
                <w:szCs w:val="24"/>
              </w:rPr>
              <w:t>In the Matter of the Application of Ohio Edison Company, the Cleveland Electric Illuminating Company, and the Toledo Edison Company for Review of Rider AMI.</w:t>
            </w:r>
          </w:p>
        </w:tc>
        <w:tc>
          <w:tcPr>
            <w:tcW w:w="630" w:type="dxa"/>
            <w:shd w:val="clear" w:color="auto" w:fill="auto"/>
          </w:tcPr>
          <w:p w:rsidR="00907667" w:rsidRPr="007D56DD" w:rsidP="006710D8" w14:paraId="29F24548" w14:textId="77777777">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w:t>
            </w:r>
          </w:p>
          <w:p w:rsidR="00907667" w:rsidRPr="007D56DD" w:rsidP="006710D8" w14:paraId="4E58A569" w14:textId="77777777">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w:t>
            </w:r>
          </w:p>
          <w:p w:rsidR="00907667" w:rsidRPr="007D56DD" w:rsidP="006710D8" w14:paraId="69F09310" w14:textId="77777777">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w:t>
            </w:r>
          </w:p>
          <w:p w:rsidR="005573E8" w:rsidRPr="007D56DD" w:rsidP="006710D8" w14:paraId="0BE320B8" w14:textId="77777777">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w:t>
            </w:r>
          </w:p>
          <w:p w:rsidR="001D61D5" w:rsidRPr="007D56DD" w:rsidP="006710D8" w14:paraId="291DC47F" w14:textId="77777777">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w:t>
            </w:r>
          </w:p>
          <w:p w:rsidR="00B15605" w:rsidRPr="007D56DD" w:rsidP="006710D8" w14:paraId="4C7FC21E" w14:textId="77777777">
            <w:pPr>
              <w:pStyle w:val="HTMLPreformatted"/>
              <w:rPr>
                <w:rFonts w:ascii="Times New Roman" w:hAnsi="Times New Roman" w:cs="Times New Roman"/>
                <w:color w:val="000000" w:themeColor="text1"/>
                <w:sz w:val="24"/>
                <w:szCs w:val="24"/>
              </w:rPr>
            </w:pPr>
          </w:p>
          <w:p w:rsidR="00B15605" w:rsidRPr="007D56DD" w:rsidP="006710D8" w14:paraId="23013A7E" w14:textId="012DAA8D">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w:t>
            </w:r>
          </w:p>
          <w:p w:rsidR="00B15605" w:rsidRPr="007D56DD" w:rsidP="006710D8" w14:paraId="74015150" w14:textId="429E745B">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w:t>
            </w:r>
          </w:p>
          <w:p w:rsidR="00B15605" w:rsidRPr="007D56DD" w:rsidP="006710D8" w14:paraId="22416A79" w14:textId="1521970A">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w:t>
            </w:r>
          </w:p>
          <w:p w:rsidR="001D61D5" w:rsidRPr="007D56DD" w:rsidP="006710D8" w14:paraId="1A2D1BA7" w14:textId="77777777">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w:t>
            </w:r>
          </w:p>
          <w:p w:rsidR="00B15605" w:rsidRPr="007D56DD" w:rsidP="006710D8" w14:paraId="6C43AF21" w14:textId="4F8A8938">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w:t>
            </w:r>
          </w:p>
        </w:tc>
        <w:tc>
          <w:tcPr>
            <w:tcW w:w="3870" w:type="dxa"/>
            <w:shd w:val="clear" w:color="auto" w:fill="auto"/>
          </w:tcPr>
          <w:p w:rsidR="00907667" w:rsidRPr="007D56DD" w:rsidP="006710D8" w14:paraId="7BA26C89" w14:textId="77777777">
            <w:pPr>
              <w:pStyle w:val="HTMLPreformatted"/>
              <w:rPr>
                <w:rFonts w:ascii="Times New Roman" w:hAnsi="Times New Roman" w:cs="Times New Roman"/>
                <w:color w:val="000000" w:themeColor="text1"/>
                <w:sz w:val="24"/>
                <w:szCs w:val="24"/>
              </w:rPr>
            </w:pPr>
          </w:p>
          <w:p w:rsidR="00907667" w:rsidRPr="007D56DD" w:rsidP="001D61D5" w14:paraId="64F73AD8" w14:textId="77777777">
            <w:pPr>
              <w:pStyle w:val="HTMLPreformatted"/>
              <w:rPr>
                <w:rFonts w:ascii="Times New Roman" w:hAnsi="Times New Roman" w:cs="Times New Roman"/>
                <w:color w:val="000000" w:themeColor="text1"/>
                <w:sz w:val="24"/>
                <w:szCs w:val="24"/>
              </w:rPr>
            </w:pPr>
          </w:p>
          <w:p w:rsidR="001D61D5" w:rsidRPr="007D56DD" w:rsidP="001D61D5" w14:paraId="7B996488" w14:textId="7DBD4E7C">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Case No. 19-1903-EL-RDR</w:t>
            </w:r>
          </w:p>
          <w:p w:rsidR="001D61D5" w:rsidRPr="007D56DD" w:rsidP="001D61D5" w14:paraId="67D22186" w14:textId="77777777">
            <w:pPr>
              <w:pStyle w:val="HTMLPreformatted"/>
              <w:rPr>
                <w:rFonts w:ascii="Times New Roman" w:hAnsi="Times New Roman" w:cs="Times New Roman"/>
                <w:color w:val="000000" w:themeColor="text1"/>
                <w:sz w:val="24"/>
                <w:szCs w:val="24"/>
              </w:rPr>
            </w:pPr>
          </w:p>
          <w:p w:rsidR="00B15605" w:rsidRPr="007D56DD" w:rsidP="00B15605" w14:paraId="21E05B2B" w14:textId="77777777">
            <w:pPr>
              <w:rPr>
                <w:szCs w:val="24"/>
              </w:rPr>
            </w:pPr>
          </w:p>
          <w:p w:rsidR="00B15605" w:rsidRPr="007D56DD" w:rsidP="00B15605" w14:paraId="6B2F855D" w14:textId="77777777">
            <w:pPr>
              <w:rPr>
                <w:szCs w:val="24"/>
              </w:rPr>
            </w:pPr>
          </w:p>
          <w:p w:rsidR="00B15605" w:rsidRPr="007D56DD" w:rsidP="00B15605" w14:paraId="67641037" w14:textId="77777777">
            <w:pPr>
              <w:rPr>
                <w:szCs w:val="24"/>
              </w:rPr>
            </w:pPr>
          </w:p>
          <w:p w:rsidR="00B15605" w:rsidRPr="007D56DD" w:rsidP="00B15605" w14:paraId="14B3A605" w14:textId="77777777">
            <w:pPr>
              <w:rPr>
                <w:rFonts w:eastAsia="Courier New"/>
                <w:color w:val="000000" w:themeColor="text1"/>
                <w:szCs w:val="24"/>
              </w:rPr>
            </w:pPr>
          </w:p>
          <w:p w:rsidR="00B15605" w:rsidRPr="007D56DD" w:rsidP="00B15605" w14:paraId="4AF4C111" w14:textId="332C3245">
            <w:pPr>
              <w:pStyle w:val="HTMLPreformatted"/>
              <w:rPr>
                <w:rFonts w:ascii="Times New Roman" w:hAnsi="Times New Roman" w:cs="Times New Roman"/>
                <w:color w:val="000000" w:themeColor="text1"/>
                <w:sz w:val="24"/>
                <w:szCs w:val="24"/>
              </w:rPr>
            </w:pPr>
            <w:r w:rsidRPr="007D56DD">
              <w:rPr>
                <w:rFonts w:ascii="Times New Roman" w:hAnsi="Times New Roman" w:cs="Times New Roman"/>
                <w:color w:val="000000" w:themeColor="text1"/>
                <w:sz w:val="24"/>
                <w:szCs w:val="24"/>
              </w:rPr>
              <w:t>Case No. 20-1672-EL-RDR</w:t>
            </w:r>
          </w:p>
          <w:p w:rsidR="00B15605" w:rsidRPr="007D56DD" w:rsidP="00B15605" w14:paraId="6B47BE7F" w14:textId="04CF0306">
            <w:pPr>
              <w:rPr>
                <w:szCs w:val="24"/>
              </w:rPr>
            </w:pPr>
          </w:p>
        </w:tc>
      </w:tr>
    </w:tbl>
    <w:p w:rsidR="00A044B5" w:rsidRPr="007D56DD" w14:paraId="2A114DB5" w14:textId="77777777">
      <w:pPr>
        <w:pStyle w:val="HTMLPreformatted"/>
        <w:rPr>
          <w:rFonts w:ascii="Times New Roman" w:hAnsi="Times New Roman" w:cs="Times New Roman"/>
          <w:color w:val="000000" w:themeColor="text1"/>
          <w:sz w:val="24"/>
          <w:szCs w:val="24"/>
        </w:rPr>
      </w:pPr>
    </w:p>
    <w:p w:rsidR="00A044B5" w:rsidRPr="007D56DD" w14:paraId="74DED059" w14:textId="77777777">
      <w:pPr>
        <w:pStyle w:val="HTMLPreformatted"/>
        <w:pBdr>
          <w:top w:val="single" w:sz="12" w:space="1" w:color="auto"/>
        </w:pBdr>
        <w:rPr>
          <w:rFonts w:ascii="Times New Roman" w:hAnsi="Times New Roman" w:cs="Times New Roman"/>
          <w:color w:val="000000" w:themeColor="text1"/>
          <w:sz w:val="24"/>
          <w:szCs w:val="24"/>
        </w:rPr>
      </w:pPr>
    </w:p>
    <w:p w:rsidR="00723316" w:rsidRPr="007D56DD" w14:paraId="22EBDDFF" w14:textId="77777777">
      <w:pPr>
        <w:jc w:val="center"/>
        <w:rPr>
          <w:b/>
          <w:bCs/>
          <w:color w:val="000000" w:themeColor="text1"/>
          <w:szCs w:val="24"/>
        </w:rPr>
      </w:pPr>
      <w:r w:rsidRPr="007D56DD">
        <w:rPr>
          <w:b/>
          <w:bCs/>
          <w:color w:val="000000" w:themeColor="text1"/>
          <w:szCs w:val="24"/>
        </w:rPr>
        <w:t>CONSUMER PROTECTION COMMENTS</w:t>
      </w:r>
    </w:p>
    <w:p w:rsidR="00A044B5" w:rsidRPr="007D56DD" w14:paraId="4DB03642" w14:textId="77777777">
      <w:pPr>
        <w:jc w:val="center"/>
        <w:rPr>
          <w:b/>
          <w:bCs/>
          <w:color w:val="000000" w:themeColor="text1"/>
          <w:szCs w:val="24"/>
        </w:rPr>
      </w:pPr>
      <w:r w:rsidRPr="007D56DD">
        <w:rPr>
          <w:b/>
          <w:bCs/>
          <w:color w:val="000000" w:themeColor="text1"/>
          <w:szCs w:val="24"/>
        </w:rPr>
        <w:t>BY</w:t>
      </w:r>
    </w:p>
    <w:p w:rsidR="00A044B5" w:rsidRPr="007D56DD" w14:paraId="7C1E6BC6" w14:textId="77777777">
      <w:pPr>
        <w:jc w:val="center"/>
        <w:rPr>
          <w:b/>
          <w:bCs/>
          <w:color w:val="000000" w:themeColor="text1"/>
          <w:szCs w:val="24"/>
        </w:rPr>
      </w:pPr>
      <w:r w:rsidRPr="007D56DD">
        <w:rPr>
          <w:b/>
          <w:bCs/>
          <w:color w:val="000000" w:themeColor="text1"/>
          <w:szCs w:val="24"/>
        </w:rPr>
        <w:t>OFFICE OF THE OHIO CONSUMERS’ COUNSEL</w:t>
      </w:r>
    </w:p>
    <w:p w:rsidR="00A044B5" w:rsidRPr="007D56DD" w14:paraId="3619770D" w14:textId="77777777">
      <w:pPr>
        <w:pBdr>
          <w:bottom w:val="single" w:sz="12" w:space="1" w:color="auto"/>
        </w:pBdr>
        <w:tabs>
          <w:tab w:val="left" w:pos="4320"/>
        </w:tabs>
        <w:rPr>
          <w:color w:val="000000" w:themeColor="text1"/>
          <w:szCs w:val="24"/>
        </w:rPr>
      </w:pPr>
    </w:p>
    <w:p w:rsidR="00A044B5" w:rsidRPr="007D56DD" w14:paraId="09F90BC3" w14:textId="77777777">
      <w:pPr>
        <w:tabs>
          <w:tab w:val="left" w:pos="4320"/>
        </w:tabs>
        <w:rPr>
          <w:color w:val="000000" w:themeColor="text1"/>
          <w:szCs w:val="24"/>
        </w:rPr>
      </w:pPr>
    </w:p>
    <w:p w:rsidR="00723316" w:rsidRPr="007D56DD" w:rsidP="00A04D49" w14:paraId="3244E9BE" w14:textId="7B6C800A">
      <w:pPr>
        <w:pStyle w:val="Heading1"/>
        <w:rPr>
          <w:rFonts w:ascii="Times New Roman" w:hAnsi="Times New Roman"/>
        </w:rPr>
      </w:pPr>
      <w:bookmarkStart w:id="0" w:name="_Toc93504272"/>
      <w:r w:rsidRPr="007D56DD">
        <w:rPr>
          <w:rFonts w:ascii="Times New Roman" w:hAnsi="Times New Roman"/>
        </w:rPr>
        <w:t>INTRODUCTION</w:t>
      </w:r>
      <w:bookmarkEnd w:id="0"/>
    </w:p>
    <w:p w:rsidR="00D73919" w:rsidRPr="007D56DD" w:rsidP="006C5C49" w14:paraId="05C5B0A3" w14:textId="15975AA0">
      <w:pPr>
        <w:spacing w:line="480" w:lineRule="auto"/>
        <w:ind w:firstLine="720"/>
        <w:rPr>
          <w:szCs w:val="24"/>
        </w:rPr>
      </w:pPr>
      <w:r w:rsidRPr="007D56DD">
        <w:rPr>
          <w:szCs w:val="24"/>
        </w:rPr>
        <w:t xml:space="preserve">The PUCO is auditing </w:t>
      </w:r>
      <w:r w:rsidRPr="007D56DD" w:rsidR="00526766">
        <w:rPr>
          <w:szCs w:val="24"/>
        </w:rPr>
        <w:t xml:space="preserve">nearly $170 million </w:t>
      </w:r>
      <w:r w:rsidRPr="007D56DD" w:rsidR="003D31E9">
        <w:rPr>
          <w:szCs w:val="24"/>
        </w:rPr>
        <w:t>in</w:t>
      </w:r>
      <w:r w:rsidRPr="007D56DD" w:rsidR="00526766">
        <w:rPr>
          <w:szCs w:val="24"/>
        </w:rPr>
        <w:t xml:space="preserve"> grid modernization</w:t>
      </w:r>
      <w:r w:rsidRPr="007D56DD" w:rsidR="003D31E9">
        <w:rPr>
          <w:szCs w:val="24"/>
        </w:rPr>
        <w:t xml:space="preserve"> investments </w:t>
      </w:r>
      <w:r w:rsidRPr="007D56DD">
        <w:rPr>
          <w:szCs w:val="24"/>
        </w:rPr>
        <w:t>that FirstEnergy</w:t>
      </w:r>
      <w:r>
        <w:rPr>
          <w:rStyle w:val="FootnoteReference"/>
          <w:szCs w:val="24"/>
        </w:rPr>
        <w:footnoteReference w:id="3"/>
      </w:r>
      <w:r w:rsidRPr="007D56DD">
        <w:rPr>
          <w:szCs w:val="24"/>
        </w:rPr>
        <w:t xml:space="preserve"> charged consumers </w:t>
      </w:r>
      <w:r w:rsidRPr="007D56DD" w:rsidR="003D31E9">
        <w:rPr>
          <w:szCs w:val="24"/>
        </w:rPr>
        <w:t>in 2020</w:t>
      </w:r>
      <w:r>
        <w:rPr>
          <w:rStyle w:val="FootnoteReference"/>
          <w:szCs w:val="24"/>
        </w:rPr>
        <w:footnoteReference w:id="4"/>
      </w:r>
      <w:r w:rsidRPr="007D56DD">
        <w:rPr>
          <w:szCs w:val="24"/>
        </w:rPr>
        <w:t xml:space="preserve"> and about </w:t>
      </w:r>
      <w:r w:rsidRPr="007D56DD" w:rsidR="00526766">
        <w:rPr>
          <w:szCs w:val="24"/>
        </w:rPr>
        <w:t>$258 million</w:t>
      </w:r>
      <w:r w:rsidRPr="007D56DD">
        <w:rPr>
          <w:szCs w:val="24"/>
        </w:rPr>
        <w:t xml:space="preserve"> charged to consumers in 2021.</w:t>
      </w:r>
      <w:r>
        <w:rPr>
          <w:rStyle w:val="FootnoteReference"/>
          <w:szCs w:val="24"/>
        </w:rPr>
        <w:footnoteReference w:id="5"/>
      </w:r>
      <w:r w:rsidRPr="007D56DD" w:rsidR="00526766">
        <w:rPr>
          <w:szCs w:val="24"/>
        </w:rPr>
        <w:t xml:space="preserve"> FirstEnergy charges consumers for grid modernization</w:t>
      </w:r>
      <w:r w:rsidRPr="007D56DD" w:rsidR="003D31E9">
        <w:rPr>
          <w:szCs w:val="24"/>
        </w:rPr>
        <w:t xml:space="preserve"> and incremental operations and maintenance expenses</w:t>
      </w:r>
      <w:r w:rsidRPr="007D56DD" w:rsidR="00526766">
        <w:rPr>
          <w:szCs w:val="24"/>
        </w:rPr>
        <w:t xml:space="preserve"> </w:t>
      </w:r>
      <w:r w:rsidRPr="007D56DD" w:rsidR="003D31E9">
        <w:rPr>
          <w:szCs w:val="24"/>
        </w:rPr>
        <w:t>through the Advanced Metering Infrastructure/Modern Grid Rider (“Rider AMI”).</w:t>
      </w:r>
      <w:r w:rsidRPr="007D56DD" w:rsidR="009A4D73">
        <w:rPr>
          <w:szCs w:val="24"/>
        </w:rPr>
        <w:t xml:space="preserve"> FirstEnergy’s grid modernization </w:t>
      </w:r>
      <w:r w:rsidRPr="007D56DD" w:rsidR="009A4D73">
        <w:rPr>
          <w:szCs w:val="24"/>
        </w:rPr>
        <w:t>investments must be prudent and charges to consumers through Rider AMI must be just and reasonable.</w:t>
      </w:r>
      <w:r>
        <w:rPr>
          <w:rStyle w:val="FootnoteReference"/>
          <w:szCs w:val="24"/>
        </w:rPr>
        <w:footnoteReference w:id="6"/>
      </w:r>
      <w:r w:rsidRPr="007D56DD" w:rsidR="009A4D73">
        <w:rPr>
          <w:szCs w:val="24"/>
        </w:rPr>
        <w:t xml:space="preserve"> To protect consumers, the PUCO should adopt OCC’s recommendations</w:t>
      </w:r>
      <w:r w:rsidRPr="007D56DD" w:rsidR="006C5C49">
        <w:rPr>
          <w:szCs w:val="24"/>
        </w:rPr>
        <w:t xml:space="preserve"> </w:t>
      </w:r>
      <w:r w:rsidRPr="007D56DD" w:rsidR="009A4D73">
        <w:rPr>
          <w:szCs w:val="24"/>
        </w:rPr>
        <w:t xml:space="preserve">regarding the </w:t>
      </w:r>
      <w:r w:rsidRPr="007D56DD" w:rsidR="006C5C49">
        <w:rPr>
          <w:szCs w:val="24"/>
        </w:rPr>
        <w:t>2020 and 2021 Rider AMI audits.</w:t>
      </w:r>
      <w:r w:rsidRPr="007D56DD" w:rsidR="009A4D73">
        <w:rPr>
          <w:szCs w:val="24"/>
        </w:rPr>
        <w:t xml:space="preserve"> </w:t>
      </w:r>
    </w:p>
    <w:p w:rsidR="006C5C49" w:rsidRPr="007D56DD" w:rsidP="00022221" w14:paraId="4FD549B2" w14:textId="77777777">
      <w:pPr>
        <w:spacing w:line="480" w:lineRule="auto"/>
        <w:ind w:firstLine="720"/>
        <w:rPr>
          <w:szCs w:val="24"/>
        </w:rPr>
      </w:pPr>
      <w:r w:rsidRPr="007D56DD">
        <w:rPr>
          <w:szCs w:val="24"/>
        </w:rPr>
        <w:t>FirstEnergy’s grid modernization programs were initially authorized by the PUCO as a pilot program in Case No. 09-1820-EL-ATA.</w:t>
      </w:r>
      <w:r>
        <w:rPr>
          <w:rStyle w:val="FootnoteReference"/>
          <w:szCs w:val="24"/>
        </w:rPr>
        <w:footnoteReference w:id="7"/>
      </w:r>
      <w:r w:rsidRPr="007D56DD">
        <w:rPr>
          <w:szCs w:val="24"/>
        </w:rPr>
        <w:t xml:space="preserve"> The PUCO later approved a $516 million capital investment for FirstEnergy’s Grid Mod I proposal in Case No. 16-481-EL-UNC.</w:t>
      </w:r>
      <w:r w:rsidRPr="007D56DD">
        <w:rPr>
          <w:rStyle w:val="FootnoteReference"/>
          <w:szCs w:val="24"/>
        </w:rPr>
        <w:t xml:space="preserve"> </w:t>
      </w:r>
      <w:r>
        <w:rPr>
          <w:rStyle w:val="FootnoteReference"/>
          <w:szCs w:val="24"/>
        </w:rPr>
        <w:footnoteReference w:id="8"/>
      </w:r>
      <w:r w:rsidRPr="007D56DD">
        <w:rPr>
          <w:szCs w:val="24"/>
        </w:rPr>
        <w:t xml:space="preserve"> </w:t>
      </w:r>
    </w:p>
    <w:p w:rsidR="00EC7013" w:rsidRPr="007D56DD" w:rsidP="00022221" w14:paraId="553D68C2" w14:textId="3405CDA5">
      <w:pPr>
        <w:spacing w:line="480" w:lineRule="auto"/>
        <w:ind w:firstLine="720"/>
        <w:rPr>
          <w:szCs w:val="24"/>
        </w:rPr>
      </w:pPr>
      <w:r w:rsidRPr="007D56DD">
        <w:rPr>
          <w:szCs w:val="24"/>
        </w:rPr>
        <w:t xml:space="preserve">As further explained below, </w:t>
      </w:r>
      <w:r w:rsidRPr="007D56DD" w:rsidR="00D73919">
        <w:rPr>
          <w:szCs w:val="24"/>
        </w:rPr>
        <w:t>OCC</w:t>
      </w:r>
      <w:r w:rsidRPr="007D56DD">
        <w:rPr>
          <w:szCs w:val="24"/>
        </w:rPr>
        <w:t xml:space="preserve"> recommends</w:t>
      </w:r>
      <w:r w:rsidRPr="007D56DD" w:rsidR="000E473E">
        <w:rPr>
          <w:szCs w:val="24"/>
        </w:rPr>
        <w:t xml:space="preserve"> that the PUCO disallow </w:t>
      </w:r>
      <w:r w:rsidRPr="007D56DD" w:rsidR="002809E8">
        <w:rPr>
          <w:szCs w:val="24"/>
        </w:rPr>
        <w:t xml:space="preserve">about </w:t>
      </w:r>
      <w:r w:rsidRPr="007D56DD" w:rsidR="000E473E">
        <w:rPr>
          <w:szCs w:val="24"/>
        </w:rPr>
        <w:t>$5.2 million that FirstEnergy</w:t>
      </w:r>
      <w:r w:rsidRPr="007D56DD">
        <w:rPr>
          <w:szCs w:val="24"/>
        </w:rPr>
        <w:t xml:space="preserve"> unreasonably</w:t>
      </w:r>
      <w:r w:rsidRPr="007D56DD" w:rsidR="000E473E">
        <w:rPr>
          <w:szCs w:val="24"/>
        </w:rPr>
        <w:t xml:space="preserve"> </w:t>
      </w:r>
      <w:r w:rsidRPr="007D56DD" w:rsidR="0017037D">
        <w:rPr>
          <w:szCs w:val="24"/>
        </w:rPr>
        <w:t xml:space="preserve">charged </w:t>
      </w:r>
      <w:r w:rsidRPr="007D56DD" w:rsidR="000E473E">
        <w:rPr>
          <w:szCs w:val="24"/>
        </w:rPr>
        <w:t>consumers</w:t>
      </w:r>
      <w:r w:rsidRPr="007D56DD">
        <w:rPr>
          <w:szCs w:val="24"/>
        </w:rPr>
        <w:t xml:space="preserve"> after its smart grid pilot program expired </w:t>
      </w:r>
      <w:r w:rsidRPr="007D56DD">
        <w:rPr>
          <w:szCs w:val="24"/>
        </w:rPr>
        <w:t>o</w:t>
      </w:r>
      <w:r w:rsidRPr="007D56DD">
        <w:rPr>
          <w:szCs w:val="24"/>
        </w:rPr>
        <w:t>n</w:t>
      </w:r>
      <w:r w:rsidRPr="007D56DD" w:rsidR="000E473E">
        <w:rPr>
          <w:szCs w:val="24"/>
        </w:rPr>
        <w:t xml:space="preserve"> June 1, 2019.</w:t>
      </w:r>
      <w:r>
        <w:rPr>
          <w:rStyle w:val="FootnoteReference"/>
          <w:szCs w:val="24"/>
        </w:rPr>
        <w:footnoteReference w:id="9"/>
      </w:r>
      <w:r w:rsidRPr="007D56DD" w:rsidR="000E473E">
        <w:rPr>
          <w:szCs w:val="24"/>
        </w:rPr>
        <w:t xml:space="preserve"> </w:t>
      </w:r>
      <w:r w:rsidRPr="007D56DD">
        <w:rPr>
          <w:szCs w:val="24"/>
        </w:rPr>
        <w:t xml:space="preserve">The PUCO should also adopt </w:t>
      </w:r>
      <w:r w:rsidRPr="007D56DD" w:rsidR="00D73919">
        <w:rPr>
          <w:szCs w:val="24"/>
        </w:rPr>
        <w:t>the PUCO</w:t>
      </w:r>
      <w:r w:rsidRPr="007D56DD">
        <w:rPr>
          <w:szCs w:val="24"/>
        </w:rPr>
        <w:t xml:space="preserve"> Staff’s </w:t>
      </w:r>
      <w:r w:rsidRPr="007D56DD" w:rsidR="000E473E">
        <w:rPr>
          <w:szCs w:val="24"/>
        </w:rPr>
        <w:t>recommendation to eliminate approximately $2.1</w:t>
      </w:r>
      <w:r w:rsidRPr="007D56DD" w:rsidR="004F68B3">
        <w:rPr>
          <w:szCs w:val="24"/>
        </w:rPr>
        <w:t xml:space="preserve"> million</w:t>
      </w:r>
      <w:r w:rsidRPr="007D56DD" w:rsidR="000E473E">
        <w:rPr>
          <w:szCs w:val="24"/>
        </w:rPr>
        <w:t xml:space="preserve"> in 2020 and 2021 incentive compensation costs associated with financial performance and transmission and generation costs.</w:t>
      </w:r>
      <w:r>
        <w:rPr>
          <w:rStyle w:val="FootnoteReference"/>
          <w:szCs w:val="24"/>
        </w:rPr>
        <w:footnoteReference w:id="10"/>
      </w:r>
      <w:r w:rsidRPr="007D56DD" w:rsidR="000E473E">
        <w:rPr>
          <w:szCs w:val="24"/>
        </w:rPr>
        <w:t xml:space="preserve"> </w:t>
      </w:r>
    </w:p>
    <w:p w:rsidR="004B5E1F" w:rsidRPr="007D56DD" w:rsidP="00D73919" w14:paraId="657C5D5B" w14:textId="20C7EAF9">
      <w:pPr>
        <w:spacing w:line="480" w:lineRule="auto"/>
        <w:ind w:firstLine="720"/>
        <w:rPr>
          <w:szCs w:val="24"/>
        </w:rPr>
      </w:pPr>
      <w:r w:rsidRPr="007D56DD">
        <w:rPr>
          <w:szCs w:val="24"/>
        </w:rPr>
        <w:t>T</w:t>
      </w:r>
      <w:r w:rsidRPr="007D56DD" w:rsidR="00467D7D">
        <w:rPr>
          <w:szCs w:val="24"/>
        </w:rPr>
        <w:t>he</w:t>
      </w:r>
      <w:r w:rsidRPr="007D56DD" w:rsidR="000E473E">
        <w:rPr>
          <w:szCs w:val="24"/>
        </w:rPr>
        <w:t xml:space="preserve"> PUCO </w:t>
      </w:r>
      <w:r w:rsidRPr="007D56DD" w:rsidR="0006598F">
        <w:rPr>
          <w:szCs w:val="24"/>
        </w:rPr>
        <w:t xml:space="preserve">should </w:t>
      </w:r>
      <w:r w:rsidRPr="007D56DD">
        <w:rPr>
          <w:szCs w:val="24"/>
        </w:rPr>
        <w:t xml:space="preserve">also </w:t>
      </w:r>
      <w:r w:rsidRPr="007D56DD" w:rsidR="000E473E">
        <w:rPr>
          <w:szCs w:val="24"/>
        </w:rPr>
        <w:t>verify as part of the next Rider AMI</w:t>
      </w:r>
      <w:r w:rsidRPr="007D56DD" w:rsidR="0006598F">
        <w:rPr>
          <w:szCs w:val="24"/>
        </w:rPr>
        <w:t xml:space="preserve"> audit</w:t>
      </w:r>
      <w:r w:rsidRPr="007D56DD" w:rsidR="000E473E">
        <w:rPr>
          <w:szCs w:val="24"/>
        </w:rPr>
        <w:t xml:space="preserve"> </w:t>
      </w:r>
      <w:r w:rsidRPr="007D56DD" w:rsidR="00EC7013">
        <w:rPr>
          <w:szCs w:val="24"/>
        </w:rPr>
        <w:t xml:space="preserve">whether </w:t>
      </w:r>
      <w:r w:rsidRPr="007D56DD" w:rsidR="000E473E">
        <w:rPr>
          <w:szCs w:val="24"/>
        </w:rPr>
        <w:t>all Grid Mod I investments are used and useful and were prudently incur</w:t>
      </w:r>
      <w:r w:rsidRPr="007D56DD" w:rsidR="0006598F">
        <w:rPr>
          <w:szCs w:val="24"/>
        </w:rPr>
        <w:t>red, as</w:t>
      </w:r>
      <w:r w:rsidRPr="007D56DD" w:rsidR="000E473E">
        <w:rPr>
          <w:szCs w:val="24"/>
        </w:rPr>
        <w:t xml:space="preserve"> required </w:t>
      </w:r>
      <w:r w:rsidRPr="007D56DD" w:rsidR="0006598F">
        <w:rPr>
          <w:szCs w:val="24"/>
        </w:rPr>
        <w:t xml:space="preserve">by </w:t>
      </w:r>
      <w:r w:rsidRPr="007D56DD" w:rsidR="006C5C49">
        <w:rPr>
          <w:szCs w:val="24"/>
        </w:rPr>
        <w:t xml:space="preserve">the settlements </w:t>
      </w:r>
      <w:r w:rsidRPr="007D56DD" w:rsidR="000E473E">
        <w:rPr>
          <w:szCs w:val="24"/>
        </w:rPr>
        <w:t>FirstEnergy agreed</w:t>
      </w:r>
      <w:r w:rsidRPr="007D56DD" w:rsidR="0006598F">
        <w:rPr>
          <w:szCs w:val="24"/>
        </w:rPr>
        <w:t xml:space="preserve"> to</w:t>
      </w:r>
      <w:r w:rsidRPr="007D56DD" w:rsidR="000E473E">
        <w:rPr>
          <w:szCs w:val="24"/>
        </w:rPr>
        <w:t xml:space="preserve"> </w:t>
      </w:r>
      <w:r w:rsidRPr="007D56DD" w:rsidR="006C5C49">
        <w:rPr>
          <w:szCs w:val="24"/>
        </w:rPr>
        <w:t xml:space="preserve">and approved by the PUCO </w:t>
      </w:r>
      <w:r w:rsidRPr="007D56DD" w:rsidR="000E473E">
        <w:rPr>
          <w:szCs w:val="24"/>
        </w:rPr>
        <w:t>in Case No. 16-481-EL-UNC. Th</w:t>
      </w:r>
      <w:r w:rsidRPr="007D56DD" w:rsidR="0006598F">
        <w:rPr>
          <w:szCs w:val="24"/>
        </w:rPr>
        <w:t>e audit should</w:t>
      </w:r>
      <w:r w:rsidRPr="007D56DD" w:rsidR="000E473E">
        <w:rPr>
          <w:szCs w:val="24"/>
        </w:rPr>
        <w:t xml:space="preserve"> include</w:t>
      </w:r>
      <w:r w:rsidRPr="007D56DD" w:rsidR="0006598F">
        <w:rPr>
          <w:szCs w:val="24"/>
        </w:rPr>
        <w:t xml:space="preserve"> (</w:t>
      </w:r>
      <w:r w:rsidRPr="007D56DD" w:rsidR="000E473E">
        <w:rPr>
          <w:szCs w:val="24"/>
        </w:rPr>
        <w:t xml:space="preserve">but not </w:t>
      </w:r>
      <w:r w:rsidRPr="007D56DD" w:rsidR="0006598F">
        <w:rPr>
          <w:szCs w:val="24"/>
        </w:rPr>
        <w:t xml:space="preserve">be </w:t>
      </w:r>
      <w:r w:rsidRPr="007D56DD" w:rsidR="000E473E">
        <w:rPr>
          <w:szCs w:val="24"/>
        </w:rPr>
        <w:t>limited to</w:t>
      </w:r>
      <w:r w:rsidRPr="007D56DD" w:rsidR="0006598F">
        <w:rPr>
          <w:szCs w:val="24"/>
        </w:rPr>
        <w:t>)</w:t>
      </w:r>
      <w:r w:rsidRPr="007D56DD" w:rsidR="000E473E">
        <w:rPr>
          <w:szCs w:val="24"/>
        </w:rPr>
        <w:t xml:space="preserve"> reconciling FirstEnergy</w:t>
      </w:r>
      <w:r w:rsidRPr="007D56DD" w:rsidR="0006598F">
        <w:rPr>
          <w:szCs w:val="24"/>
        </w:rPr>
        <w:t>’s</w:t>
      </w:r>
      <w:r w:rsidRPr="007D56DD" w:rsidR="000E473E">
        <w:rPr>
          <w:szCs w:val="24"/>
        </w:rPr>
        <w:t xml:space="preserve"> performance with the findings, recommendations, and deficiencies identified </w:t>
      </w:r>
      <w:r w:rsidRPr="007D56DD" w:rsidR="0006598F">
        <w:rPr>
          <w:szCs w:val="24"/>
        </w:rPr>
        <w:t xml:space="preserve">by the auditor </w:t>
      </w:r>
      <w:r w:rsidRPr="007D56DD" w:rsidR="000E473E">
        <w:rPr>
          <w:szCs w:val="24"/>
        </w:rPr>
        <w:t>in the recently completed operational benefits assessment of Grid Mod</w:t>
      </w:r>
      <w:r w:rsidRPr="007D56DD" w:rsidR="00E45C0E">
        <w:rPr>
          <w:szCs w:val="24"/>
        </w:rPr>
        <w:t xml:space="preserve"> I</w:t>
      </w:r>
      <w:r w:rsidRPr="007D56DD" w:rsidR="000E473E">
        <w:rPr>
          <w:szCs w:val="24"/>
        </w:rPr>
        <w:t>.</w:t>
      </w:r>
      <w:r>
        <w:rPr>
          <w:rStyle w:val="FootnoteReference"/>
          <w:szCs w:val="24"/>
        </w:rPr>
        <w:footnoteReference w:id="11"/>
      </w:r>
      <w:r w:rsidRPr="007D56DD" w:rsidR="000E473E">
        <w:rPr>
          <w:szCs w:val="24"/>
        </w:rPr>
        <w:t xml:space="preserve"> </w:t>
      </w:r>
      <w:r w:rsidRPr="007D56DD" w:rsidR="006C5C49">
        <w:rPr>
          <w:szCs w:val="24"/>
        </w:rPr>
        <w:t xml:space="preserve">And </w:t>
      </w:r>
      <w:r w:rsidRPr="007D56DD">
        <w:rPr>
          <w:szCs w:val="24"/>
        </w:rPr>
        <w:t xml:space="preserve">the </w:t>
      </w:r>
      <w:r w:rsidRPr="007D56DD" w:rsidR="0006598F">
        <w:rPr>
          <w:szCs w:val="24"/>
        </w:rPr>
        <w:t>PUCO</w:t>
      </w:r>
      <w:r w:rsidRPr="007D56DD" w:rsidR="000E473E">
        <w:rPr>
          <w:szCs w:val="24"/>
        </w:rPr>
        <w:t xml:space="preserve"> should</w:t>
      </w:r>
      <w:r w:rsidRPr="007D56DD" w:rsidR="0006598F">
        <w:rPr>
          <w:szCs w:val="24"/>
        </w:rPr>
        <w:t xml:space="preserve"> </w:t>
      </w:r>
      <w:r w:rsidRPr="007D56DD" w:rsidR="000E473E">
        <w:rPr>
          <w:szCs w:val="24"/>
        </w:rPr>
        <w:t>complete</w:t>
      </w:r>
      <w:r w:rsidRPr="007D56DD" w:rsidR="0006598F">
        <w:rPr>
          <w:szCs w:val="24"/>
        </w:rPr>
        <w:t xml:space="preserve"> this analysis before allowing FirstEnergy to charge consumers for </w:t>
      </w:r>
      <w:r w:rsidRPr="007D56DD" w:rsidR="000E473E">
        <w:rPr>
          <w:szCs w:val="24"/>
        </w:rPr>
        <w:t xml:space="preserve">additional grid modernization spending </w:t>
      </w:r>
      <w:r w:rsidRPr="007D56DD" w:rsidR="0006598F">
        <w:rPr>
          <w:szCs w:val="24"/>
        </w:rPr>
        <w:t xml:space="preserve">through Rider </w:t>
      </w:r>
      <w:r w:rsidRPr="007D56DD" w:rsidR="000E473E">
        <w:rPr>
          <w:szCs w:val="24"/>
        </w:rPr>
        <w:t>AMI.</w:t>
      </w:r>
      <w:r>
        <w:rPr>
          <w:rStyle w:val="FootnoteReference"/>
          <w:szCs w:val="24"/>
        </w:rPr>
        <w:footnoteReference w:id="12"/>
      </w:r>
    </w:p>
    <w:p w:rsidR="003F5064" w:rsidRPr="007D56DD" w:rsidP="003F5064" w14:paraId="6733A36B" w14:textId="77777777">
      <w:pPr>
        <w:ind w:firstLine="720"/>
        <w:rPr>
          <w:szCs w:val="24"/>
        </w:rPr>
      </w:pPr>
    </w:p>
    <w:p w:rsidR="00B334CC" w:rsidRPr="007D56DD" w:rsidP="00A04D49" w14:paraId="6CBB2144" w14:textId="72AB0045">
      <w:pPr>
        <w:pStyle w:val="Heading1"/>
        <w:rPr>
          <w:rFonts w:ascii="Times New Roman" w:hAnsi="Times New Roman"/>
        </w:rPr>
      </w:pPr>
      <w:r w:rsidRPr="007D56DD">
        <w:rPr>
          <w:rFonts w:ascii="Times New Roman" w:hAnsi="Times New Roman"/>
        </w:rPr>
        <w:t>RECOMMENDATIONS</w:t>
      </w:r>
      <w:r w:rsidRPr="007D56DD" w:rsidR="007F328C">
        <w:rPr>
          <w:rFonts w:ascii="Times New Roman" w:hAnsi="Times New Roman"/>
        </w:rPr>
        <w:t xml:space="preserve"> </w:t>
      </w:r>
    </w:p>
    <w:p w:rsidR="00AA28F8" w:rsidRPr="007D56DD" w:rsidP="003F5064" w14:paraId="642785E8" w14:textId="6A349F15">
      <w:pPr>
        <w:pStyle w:val="Heading2"/>
      </w:pPr>
      <w:r w:rsidRPr="007D56DD">
        <w:t xml:space="preserve">The PUCO should disallow </w:t>
      </w:r>
      <w:r w:rsidRPr="007D56DD" w:rsidR="002809E8">
        <w:t>over $5</w:t>
      </w:r>
      <w:r w:rsidRPr="007D56DD">
        <w:t xml:space="preserve"> million that FirstEnergy incurred after June 1, 2019 when its authorization to </w:t>
      </w:r>
      <w:r w:rsidRPr="007D56DD" w:rsidR="00CC7E5C">
        <w:t>charge consumers for costs</w:t>
      </w:r>
      <w:r w:rsidRPr="007D56DD">
        <w:t xml:space="preserve"> associated with </w:t>
      </w:r>
      <w:r w:rsidRPr="007D56DD" w:rsidR="00354D31">
        <w:t>the</w:t>
      </w:r>
      <w:r w:rsidRPr="007D56DD">
        <w:t xml:space="preserve"> smart grid pilot program ended.</w:t>
      </w:r>
      <w:r w:rsidRPr="007D56DD" w:rsidR="00F53937">
        <w:t xml:space="preserve"> </w:t>
      </w:r>
    </w:p>
    <w:p w:rsidR="00E65C37" w:rsidRPr="007D56DD" w:rsidP="00E65C37" w14:paraId="013F4527" w14:textId="73EC3788">
      <w:pPr>
        <w:spacing w:line="480" w:lineRule="auto"/>
        <w:ind w:firstLine="720"/>
        <w:rPr>
          <w:szCs w:val="24"/>
        </w:rPr>
      </w:pPr>
      <w:r w:rsidRPr="007D56DD">
        <w:rPr>
          <w:szCs w:val="24"/>
        </w:rPr>
        <w:t>The PUCO should not allow FirstEnergy to charge consumers through Rider AMI for smart gid pilot program costs that FirstEnergy incurred after</w:t>
      </w:r>
      <w:r w:rsidRPr="007D56DD" w:rsidR="006C5C49">
        <w:rPr>
          <w:szCs w:val="24"/>
        </w:rPr>
        <w:t xml:space="preserve"> the program</w:t>
      </w:r>
      <w:r w:rsidRPr="007D56DD">
        <w:rPr>
          <w:szCs w:val="24"/>
        </w:rPr>
        <w:t xml:space="preserve"> ended on June 1, 2019. Permitting FirstEnergy to charge consumers for pilot program costs after the program’s expiration would result in unjust and unreasonable rates to consumers in violation of R.C. 4905.22</w:t>
      </w:r>
      <w:r w:rsidRPr="007D56DD" w:rsidR="006C5C49">
        <w:rPr>
          <w:szCs w:val="24"/>
        </w:rPr>
        <w:t xml:space="preserve"> and the settlements the PUCO approved in Case No. 16-48</w:t>
      </w:r>
      <w:r w:rsidRPr="007D56DD" w:rsidR="00EB060C">
        <w:rPr>
          <w:szCs w:val="24"/>
        </w:rPr>
        <w:t>1-EL-UNC</w:t>
      </w:r>
      <w:r w:rsidRPr="007D56DD">
        <w:rPr>
          <w:szCs w:val="24"/>
        </w:rPr>
        <w:t>.</w:t>
      </w:r>
    </w:p>
    <w:p w:rsidR="00D150D4" w:rsidRPr="007D56DD" w:rsidP="00E65C37" w14:paraId="1590EC0F" w14:textId="63A02BF7">
      <w:pPr>
        <w:spacing w:line="480" w:lineRule="auto"/>
        <w:ind w:firstLine="720"/>
        <w:rPr>
          <w:szCs w:val="24"/>
        </w:rPr>
      </w:pPr>
      <w:r w:rsidRPr="007D56DD">
        <w:rPr>
          <w:szCs w:val="24"/>
        </w:rPr>
        <w:t xml:space="preserve">In </w:t>
      </w:r>
      <w:r w:rsidRPr="007D56DD" w:rsidR="00AA28F8">
        <w:rPr>
          <w:szCs w:val="24"/>
        </w:rPr>
        <w:t>December 2014</w:t>
      </w:r>
      <w:r w:rsidRPr="007D56DD">
        <w:rPr>
          <w:szCs w:val="24"/>
        </w:rPr>
        <w:t xml:space="preserve">, FirstEnergy </w:t>
      </w:r>
      <w:r w:rsidRPr="007D56DD" w:rsidR="00CC7E5C">
        <w:rPr>
          <w:szCs w:val="24"/>
        </w:rPr>
        <w:t>requested</w:t>
      </w:r>
      <w:r w:rsidRPr="007D56DD">
        <w:rPr>
          <w:szCs w:val="24"/>
        </w:rPr>
        <w:t xml:space="preserve"> approval from the PUCO</w:t>
      </w:r>
      <w:r w:rsidRPr="007D56DD" w:rsidR="00AA28F8">
        <w:rPr>
          <w:szCs w:val="24"/>
        </w:rPr>
        <w:t xml:space="preserve"> to continue</w:t>
      </w:r>
      <w:r w:rsidRPr="007D56DD" w:rsidR="00524980">
        <w:rPr>
          <w:szCs w:val="24"/>
        </w:rPr>
        <w:t>,</w:t>
      </w:r>
      <w:r w:rsidRPr="007D56DD">
        <w:rPr>
          <w:szCs w:val="24"/>
        </w:rPr>
        <w:t xml:space="preserve"> through June 1, 2019,</w:t>
      </w:r>
      <w:r w:rsidRPr="007D56DD" w:rsidR="00AA28F8">
        <w:rPr>
          <w:szCs w:val="24"/>
        </w:rPr>
        <w:t xml:space="preserve"> data collection and reporting for Volt Var Optimization (“VVO”) and </w:t>
      </w:r>
      <w:r w:rsidRPr="007D56DD" w:rsidR="00CC7E5C">
        <w:rPr>
          <w:szCs w:val="24"/>
        </w:rPr>
        <w:t>d</w:t>
      </w:r>
      <w:r w:rsidRPr="007D56DD" w:rsidR="00AA28F8">
        <w:rPr>
          <w:szCs w:val="24"/>
        </w:rPr>
        <w:t xml:space="preserve">istribution </w:t>
      </w:r>
      <w:r w:rsidRPr="007D56DD" w:rsidR="00CC7E5C">
        <w:rPr>
          <w:szCs w:val="24"/>
        </w:rPr>
        <w:t>a</w:t>
      </w:r>
      <w:r w:rsidRPr="007D56DD" w:rsidR="00AA28F8">
        <w:rPr>
          <w:szCs w:val="24"/>
        </w:rPr>
        <w:t>utomation</w:t>
      </w:r>
      <w:r w:rsidRPr="007D56DD" w:rsidR="00CC7E5C">
        <w:rPr>
          <w:szCs w:val="24"/>
        </w:rPr>
        <w:t xml:space="preserve"> </w:t>
      </w:r>
      <w:r w:rsidRPr="007D56DD" w:rsidR="00AA28F8">
        <w:rPr>
          <w:szCs w:val="24"/>
        </w:rPr>
        <w:t xml:space="preserve">studies associated with </w:t>
      </w:r>
      <w:r w:rsidRPr="007D56DD" w:rsidR="00524980">
        <w:rPr>
          <w:szCs w:val="24"/>
        </w:rPr>
        <w:t>its Ohio Site Deployment, a pilot program regarding FirstEnergy’s Smart Grid Modernization Initiative</w:t>
      </w:r>
      <w:r w:rsidRPr="007D56DD" w:rsidR="00AA28F8">
        <w:rPr>
          <w:szCs w:val="24"/>
        </w:rPr>
        <w:t>.</w:t>
      </w:r>
      <w:r>
        <w:rPr>
          <w:rStyle w:val="FootnoteReference"/>
          <w:szCs w:val="24"/>
        </w:rPr>
        <w:footnoteReference w:id="13"/>
      </w:r>
      <w:r w:rsidRPr="007D56DD" w:rsidR="00CC7E5C">
        <w:rPr>
          <w:szCs w:val="24"/>
        </w:rPr>
        <w:t xml:space="preserve"> Continuing the pilot program was expected to cost an additional $8.5 million that FirstEnergy would charge consumers through Rider AMI.</w:t>
      </w:r>
      <w:r>
        <w:rPr>
          <w:rStyle w:val="FootnoteReference"/>
          <w:szCs w:val="24"/>
        </w:rPr>
        <w:footnoteReference w:id="14"/>
      </w:r>
      <w:r w:rsidRPr="007D56DD" w:rsidR="00AA28F8">
        <w:rPr>
          <w:szCs w:val="24"/>
        </w:rPr>
        <w:t xml:space="preserve"> FirstEnergy</w:t>
      </w:r>
      <w:r w:rsidRPr="007D56DD" w:rsidR="00CC7E5C">
        <w:rPr>
          <w:szCs w:val="24"/>
        </w:rPr>
        <w:t xml:space="preserve"> claimed that</w:t>
      </w:r>
      <w:r w:rsidRPr="007D56DD">
        <w:rPr>
          <w:szCs w:val="24"/>
        </w:rPr>
        <w:t xml:space="preserve"> the</w:t>
      </w:r>
      <w:r w:rsidRPr="007D56DD" w:rsidR="00AA28F8">
        <w:rPr>
          <w:szCs w:val="24"/>
        </w:rPr>
        <w:t xml:space="preserve"> additional five years of studies were necessary to determine reliability benefits associated with the distribution automation technology and the potential energy savings and demand response applications for VVO. </w:t>
      </w:r>
    </w:p>
    <w:p w:rsidR="009877FE" w:rsidRPr="007D56DD" w:rsidP="002809E8" w14:paraId="3B90FDD7" w14:textId="3C591D5A">
      <w:pPr>
        <w:spacing w:line="480" w:lineRule="auto"/>
        <w:ind w:firstLine="720"/>
        <w:rPr>
          <w:szCs w:val="24"/>
        </w:rPr>
      </w:pPr>
      <w:r w:rsidRPr="007D56DD">
        <w:rPr>
          <w:szCs w:val="24"/>
        </w:rPr>
        <w:t xml:space="preserve">The PUCO granted </w:t>
      </w:r>
      <w:r w:rsidRPr="007D56DD" w:rsidR="00354D31">
        <w:rPr>
          <w:szCs w:val="24"/>
        </w:rPr>
        <w:t>FirstEnergy’s</w:t>
      </w:r>
      <w:r w:rsidRPr="007D56DD">
        <w:rPr>
          <w:szCs w:val="24"/>
        </w:rPr>
        <w:t xml:space="preserve"> </w:t>
      </w:r>
      <w:r w:rsidRPr="007D56DD" w:rsidR="00CC7E5C">
        <w:rPr>
          <w:szCs w:val="24"/>
        </w:rPr>
        <w:t>request</w:t>
      </w:r>
      <w:r w:rsidRPr="007D56DD" w:rsidR="00CA0877">
        <w:rPr>
          <w:szCs w:val="24"/>
        </w:rPr>
        <w:t>,</w:t>
      </w:r>
      <w:r w:rsidRPr="007D56DD">
        <w:rPr>
          <w:szCs w:val="24"/>
        </w:rPr>
        <w:t xml:space="preserve"> </w:t>
      </w:r>
      <w:r w:rsidRPr="007D56DD" w:rsidR="00CA0877">
        <w:rPr>
          <w:szCs w:val="24"/>
        </w:rPr>
        <w:t xml:space="preserve">but </w:t>
      </w:r>
      <w:r w:rsidRPr="007D56DD">
        <w:rPr>
          <w:szCs w:val="24"/>
        </w:rPr>
        <w:t>with certain modifications including the filing of annual reports on the performance of the VVO and distribution automation deployed in the pilot area.</w:t>
      </w:r>
      <w:r>
        <w:rPr>
          <w:rStyle w:val="FootnoteReference"/>
          <w:szCs w:val="24"/>
        </w:rPr>
        <w:footnoteReference w:id="15"/>
      </w:r>
      <w:r w:rsidRPr="007D56DD">
        <w:rPr>
          <w:szCs w:val="24"/>
        </w:rPr>
        <w:t xml:space="preserve"> </w:t>
      </w:r>
      <w:r w:rsidRPr="007D56DD" w:rsidR="002716F2">
        <w:rPr>
          <w:szCs w:val="24"/>
        </w:rPr>
        <w:t>However,</w:t>
      </w:r>
      <w:r w:rsidRPr="007D56DD" w:rsidR="00CA0877">
        <w:rPr>
          <w:szCs w:val="24"/>
        </w:rPr>
        <w:t xml:space="preserve"> d</w:t>
      </w:r>
      <w:r w:rsidRPr="007D56DD" w:rsidR="00CC7E5C">
        <w:rPr>
          <w:szCs w:val="24"/>
        </w:rPr>
        <w:t xml:space="preserve">espite the June 1, 2019 pilot program expiration date, </w:t>
      </w:r>
      <w:r w:rsidRPr="007D56DD">
        <w:rPr>
          <w:szCs w:val="24"/>
        </w:rPr>
        <w:t>FirstEnergy ha</w:t>
      </w:r>
      <w:r w:rsidRPr="007D56DD" w:rsidR="003412CA">
        <w:rPr>
          <w:szCs w:val="24"/>
        </w:rPr>
        <w:t>s</w:t>
      </w:r>
      <w:r w:rsidRPr="007D56DD">
        <w:rPr>
          <w:szCs w:val="24"/>
        </w:rPr>
        <w:t xml:space="preserve"> continued to </w:t>
      </w:r>
      <w:r w:rsidRPr="007D56DD" w:rsidR="00CC7E5C">
        <w:rPr>
          <w:szCs w:val="24"/>
        </w:rPr>
        <w:t xml:space="preserve">charge consumers through Rider AMI for </w:t>
      </w:r>
      <w:r w:rsidRPr="007D56DD">
        <w:rPr>
          <w:szCs w:val="24"/>
        </w:rPr>
        <w:t>pilot program</w:t>
      </w:r>
      <w:r w:rsidRPr="007D56DD" w:rsidR="00CC7E5C">
        <w:rPr>
          <w:szCs w:val="24"/>
        </w:rPr>
        <w:t xml:space="preserve"> costs</w:t>
      </w:r>
      <w:r w:rsidRPr="007D56DD">
        <w:rPr>
          <w:szCs w:val="24"/>
        </w:rPr>
        <w:t xml:space="preserve">. </w:t>
      </w:r>
      <w:r w:rsidRPr="007D56DD">
        <w:rPr>
          <w:szCs w:val="24"/>
        </w:rPr>
        <w:t xml:space="preserve">The PUCO should not allow FirstEnergy to </w:t>
      </w:r>
      <w:r w:rsidRPr="007D56DD" w:rsidR="007441E4">
        <w:rPr>
          <w:szCs w:val="24"/>
        </w:rPr>
        <w:t xml:space="preserve">collect </w:t>
      </w:r>
      <w:r w:rsidRPr="007D56DD">
        <w:rPr>
          <w:szCs w:val="24"/>
        </w:rPr>
        <w:t>those costs from consumers.</w:t>
      </w:r>
    </w:p>
    <w:p w:rsidR="002809E8" w:rsidRPr="007D56DD" w:rsidP="009877FE" w14:paraId="3B755164" w14:textId="6913F9DB">
      <w:pPr>
        <w:spacing w:line="480" w:lineRule="auto"/>
        <w:ind w:firstLine="720"/>
        <w:rPr>
          <w:szCs w:val="24"/>
        </w:rPr>
      </w:pPr>
      <w:r w:rsidRPr="007D56DD">
        <w:rPr>
          <w:szCs w:val="24"/>
        </w:rPr>
        <w:t xml:space="preserve">For example, </w:t>
      </w:r>
      <w:r w:rsidRPr="007D56DD">
        <w:rPr>
          <w:szCs w:val="24"/>
        </w:rPr>
        <w:t>t</w:t>
      </w:r>
      <w:r w:rsidRPr="007D56DD">
        <w:rPr>
          <w:szCs w:val="24"/>
        </w:rPr>
        <w:t xml:space="preserve">he PUCO </w:t>
      </w:r>
      <w:r w:rsidRPr="007D56DD" w:rsidR="00AA28F8">
        <w:rPr>
          <w:szCs w:val="24"/>
        </w:rPr>
        <w:t>Staff</w:t>
      </w:r>
      <w:r w:rsidRPr="007D56DD">
        <w:rPr>
          <w:szCs w:val="24"/>
        </w:rPr>
        <w:t xml:space="preserve"> found that </w:t>
      </w:r>
      <w:r w:rsidRPr="007D56DD" w:rsidR="00AA28F8">
        <w:rPr>
          <w:szCs w:val="24"/>
        </w:rPr>
        <w:t xml:space="preserve">FirstEnergy continued to </w:t>
      </w:r>
      <w:r w:rsidRPr="007D56DD" w:rsidR="00B85578">
        <w:rPr>
          <w:szCs w:val="24"/>
        </w:rPr>
        <w:t>charge consumers</w:t>
      </w:r>
      <w:r w:rsidRPr="007D56DD" w:rsidR="00AA28F8">
        <w:rPr>
          <w:szCs w:val="24"/>
        </w:rPr>
        <w:t xml:space="preserve"> </w:t>
      </w:r>
      <w:r w:rsidRPr="007D56DD" w:rsidR="00B85578">
        <w:rPr>
          <w:szCs w:val="24"/>
        </w:rPr>
        <w:t xml:space="preserve">for </w:t>
      </w:r>
      <w:r w:rsidRPr="007D56DD" w:rsidR="00AA28F8">
        <w:rPr>
          <w:szCs w:val="24"/>
        </w:rPr>
        <w:t xml:space="preserve">pilot program </w:t>
      </w:r>
      <w:r w:rsidRPr="007D56DD" w:rsidR="00B85578">
        <w:rPr>
          <w:szCs w:val="24"/>
        </w:rPr>
        <w:t xml:space="preserve">costs </w:t>
      </w:r>
      <w:r w:rsidRPr="007D56DD" w:rsidR="00AA28F8">
        <w:rPr>
          <w:szCs w:val="24"/>
        </w:rPr>
        <w:t>in 2020.</w:t>
      </w:r>
      <w:r>
        <w:rPr>
          <w:rStyle w:val="FootnoteReference"/>
          <w:szCs w:val="24"/>
        </w:rPr>
        <w:footnoteReference w:id="16"/>
      </w:r>
      <w:r w:rsidRPr="007D56DD" w:rsidR="00AA28F8">
        <w:rPr>
          <w:szCs w:val="24"/>
        </w:rPr>
        <w:t xml:space="preserve"> </w:t>
      </w:r>
      <w:r w:rsidRPr="007D56DD" w:rsidR="002716F2">
        <w:rPr>
          <w:szCs w:val="24"/>
        </w:rPr>
        <w:t xml:space="preserve">The </w:t>
      </w:r>
      <w:r w:rsidRPr="007D56DD" w:rsidR="00B85578">
        <w:rPr>
          <w:szCs w:val="24"/>
        </w:rPr>
        <w:t xml:space="preserve">PUCO </w:t>
      </w:r>
      <w:r w:rsidRPr="007D56DD" w:rsidR="00AA28F8">
        <w:rPr>
          <w:szCs w:val="24"/>
        </w:rPr>
        <w:t xml:space="preserve">Staff recommended an adjustment to remove $2,387,260 in </w:t>
      </w:r>
      <w:r w:rsidRPr="007D56DD" w:rsidR="002716F2">
        <w:rPr>
          <w:szCs w:val="24"/>
        </w:rPr>
        <w:t xml:space="preserve">2020 </w:t>
      </w:r>
      <w:r w:rsidRPr="007D56DD" w:rsidR="00AA28F8">
        <w:rPr>
          <w:szCs w:val="24"/>
        </w:rPr>
        <w:t>pilot program costs.</w:t>
      </w:r>
      <w:r>
        <w:rPr>
          <w:rStyle w:val="FootnoteReference"/>
          <w:szCs w:val="24"/>
        </w:rPr>
        <w:footnoteReference w:id="17"/>
      </w:r>
      <w:r w:rsidRPr="007D56DD" w:rsidR="00AA28F8">
        <w:rPr>
          <w:szCs w:val="24"/>
        </w:rPr>
        <w:t xml:space="preserve"> </w:t>
      </w:r>
      <w:r w:rsidRPr="007D56DD" w:rsidR="002716F2">
        <w:rPr>
          <w:szCs w:val="24"/>
        </w:rPr>
        <w:t xml:space="preserve">The PUCO Staff </w:t>
      </w:r>
      <w:r w:rsidRPr="007D56DD" w:rsidR="007C66AE">
        <w:rPr>
          <w:szCs w:val="24"/>
        </w:rPr>
        <w:t xml:space="preserve">also </w:t>
      </w:r>
      <w:r w:rsidRPr="007D56DD" w:rsidR="002716F2">
        <w:rPr>
          <w:szCs w:val="24"/>
        </w:rPr>
        <w:t xml:space="preserve">found that </w:t>
      </w:r>
      <w:r w:rsidRPr="007D56DD" w:rsidR="00AA28F8">
        <w:rPr>
          <w:szCs w:val="24"/>
        </w:rPr>
        <w:t xml:space="preserve">FirstEnergy continued to </w:t>
      </w:r>
      <w:r w:rsidRPr="007D56DD">
        <w:rPr>
          <w:szCs w:val="24"/>
        </w:rPr>
        <w:t>charge consumers</w:t>
      </w:r>
      <w:r w:rsidRPr="007D56DD" w:rsidR="002716F2">
        <w:rPr>
          <w:szCs w:val="24"/>
        </w:rPr>
        <w:t xml:space="preserve"> through Rider AMI</w:t>
      </w:r>
      <w:r w:rsidRPr="007D56DD">
        <w:rPr>
          <w:szCs w:val="24"/>
        </w:rPr>
        <w:t xml:space="preserve"> for</w:t>
      </w:r>
      <w:r w:rsidRPr="007D56DD" w:rsidR="00AA28F8">
        <w:rPr>
          <w:szCs w:val="24"/>
        </w:rPr>
        <w:t xml:space="preserve"> pilot program </w:t>
      </w:r>
      <w:r w:rsidRPr="007D56DD">
        <w:rPr>
          <w:szCs w:val="24"/>
        </w:rPr>
        <w:t>costs</w:t>
      </w:r>
      <w:r w:rsidRPr="007D56DD" w:rsidR="002716F2">
        <w:rPr>
          <w:szCs w:val="24"/>
        </w:rPr>
        <w:t xml:space="preserve"> in 2021</w:t>
      </w:r>
      <w:r w:rsidRPr="007D56DD" w:rsidR="00AA28F8">
        <w:rPr>
          <w:szCs w:val="24"/>
        </w:rPr>
        <w:t>.</w:t>
      </w:r>
      <w:r>
        <w:rPr>
          <w:rStyle w:val="FootnoteReference"/>
          <w:szCs w:val="24"/>
        </w:rPr>
        <w:footnoteReference w:id="18"/>
      </w:r>
      <w:r w:rsidRPr="007D56DD" w:rsidR="00AA28F8">
        <w:rPr>
          <w:szCs w:val="24"/>
        </w:rPr>
        <w:t xml:space="preserve"> </w:t>
      </w:r>
      <w:r w:rsidRPr="007D56DD" w:rsidR="002716F2">
        <w:rPr>
          <w:szCs w:val="24"/>
        </w:rPr>
        <w:t xml:space="preserve">The PUCO </w:t>
      </w:r>
      <w:r w:rsidRPr="007D56DD" w:rsidR="00AA28F8">
        <w:rPr>
          <w:szCs w:val="24"/>
        </w:rPr>
        <w:t>Staff recommended an adjustment to remove $1,477,312 in 2021 pilot program costs.</w:t>
      </w:r>
      <w:r>
        <w:rPr>
          <w:rStyle w:val="FootnoteReference"/>
          <w:szCs w:val="24"/>
        </w:rPr>
        <w:footnoteReference w:id="19"/>
      </w:r>
      <w:r w:rsidRPr="007D56DD" w:rsidR="00AA28F8">
        <w:rPr>
          <w:szCs w:val="24"/>
        </w:rPr>
        <w:t xml:space="preserve"> </w:t>
      </w:r>
      <w:r w:rsidRPr="007D56DD" w:rsidR="009877FE">
        <w:rPr>
          <w:szCs w:val="24"/>
        </w:rPr>
        <w:t xml:space="preserve">Further, OCC previously explained in comments regarding FirstEnergy’s 2019 Rider AMI charges that </w:t>
      </w:r>
      <w:r w:rsidRPr="007D56DD">
        <w:rPr>
          <w:szCs w:val="24"/>
        </w:rPr>
        <w:t>FirstEnergy</w:t>
      </w:r>
      <w:r w:rsidRPr="007D56DD" w:rsidR="007C66AE">
        <w:rPr>
          <w:szCs w:val="24"/>
        </w:rPr>
        <w:t xml:space="preserve"> appears to have</w:t>
      </w:r>
      <w:r w:rsidRPr="007D56DD">
        <w:rPr>
          <w:szCs w:val="24"/>
        </w:rPr>
        <w:t xml:space="preserve"> incurred $1.3 million in </w:t>
      </w:r>
      <w:r w:rsidRPr="007D56DD" w:rsidR="00F20FF6">
        <w:rPr>
          <w:szCs w:val="24"/>
        </w:rPr>
        <w:t xml:space="preserve">pilot program </w:t>
      </w:r>
      <w:r w:rsidRPr="007D56DD">
        <w:rPr>
          <w:szCs w:val="24"/>
        </w:rPr>
        <w:t>costs between June 2019 and December 2019 after FirstEnergy’s authority to charge consumers for the costs ended.</w:t>
      </w:r>
      <w:r>
        <w:rPr>
          <w:rStyle w:val="FootnoteReference"/>
          <w:szCs w:val="24"/>
        </w:rPr>
        <w:footnoteReference w:id="20"/>
      </w:r>
      <w:r w:rsidRPr="007D56DD">
        <w:rPr>
          <w:szCs w:val="24"/>
        </w:rPr>
        <w:t xml:space="preserve"> </w:t>
      </w:r>
    </w:p>
    <w:p w:rsidR="00AA28F8" w:rsidRPr="007D56DD" w:rsidP="00AA28F8" w14:paraId="1CD5B2B7" w14:textId="460057A3">
      <w:pPr>
        <w:spacing w:line="480" w:lineRule="auto"/>
        <w:rPr>
          <w:szCs w:val="24"/>
        </w:rPr>
      </w:pPr>
      <w:r w:rsidRPr="007D56DD">
        <w:rPr>
          <w:szCs w:val="24"/>
        </w:rPr>
        <w:tab/>
      </w:r>
      <w:r w:rsidRPr="007D56DD" w:rsidR="00F20FF6">
        <w:rPr>
          <w:szCs w:val="24"/>
        </w:rPr>
        <w:t>I</w:t>
      </w:r>
      <w:r w:rsidRPr="007D56DD">
        <w:rPr>
          <w:szCs w:val="24"/>
        </w:rPr>
        <w:t xml:space="preserve">t is unjust and unreasonable for </w:t>
      </w:r>
      <w:r w:rsidRPr="007D56DD" w:rsidR="00F20FF6">
        <w:rPr>
          <w:szCs w:val="24"/>
        </w:rPr>
        <w:t xml:space="preserve">consumers to pay for FirstEnergy’s pilot program costs incurred after </w:t>
      </w:r>
      <w:r w:rsidRPr="007D56DD">
        <w:rPr>
          <w:szCs w:val="24"/>
        </w:rPr>
        <w:t xml:space="preserve">June 1, 2019. </w:t>
      </w:r>
      <w:r w:rsidRPr="007D56DD" w:rsidR="00F20FF6">
        <w:rPr>
          <w:szCs w:val="24"/>
        </w:rPr>
        <w:t>T</w:t>
      </w:r>
      <w:r w:rsidRPr="007D56DD">
        <w:rPr>
          <w:szCs w:val="24"/>
        </w:rPr>
        <w:t xml:space="preserve">he pilot program </w:t>
      </w:r>
      <w:r w:rsidRPr="007D56DD" w:rsidR="00F20FF6">
        <w:rPr>
          <w:szCs w:val="24"/>
        </w:rPr>
        <w:t>ended</w:t>
      </w:r>
      <w:r w:rsidRPr="007D56DD">
        <w:rPr>
          <w:szCs w:val="24"/>
        </w:rPr>
        <w:t xml:space="preserve"> almost </w:t>
      </w:r>
      <w:r w:rsidRPr="007D56DD" w:rsidR="00F20FF6">
        <w:rPr>
          <w:szCs w:val="24"/>
        </w:rPr>
        <w:t>four years ago</w:t>
      </w:r>
      <w:r w:rsidRPr="007D56DD" w:rsidR="00AA6DC2">
        <w:rPr>
          <w:szCs w:val="24"/>
        </w:rPr>
        <w:t>,</w:t>
      </w:r>
      <w:r w:rsidRPr="007D56DD">
        <w:rPr>
          <w:szCs w:val="24"/>
        </w:rPr>
        <w:t xml:space="preserve"> and the results of the </w:t>
      </w:r>
      <w:r w:rsidRPr="007D56DD" w:rsidR="00F20FF6">
        <w:rPr>
          <w:szCs w:val="24"/>
        </w:rPr>
        <w:t xml:space="preserve">pilot program </w:t>
      </w:r>
      <w:r w:rsidRPr="007D56DD">
        <w:rPr>
          <w:szCs w:val="24"/>
        </w:rPr>
        <w:t xml:space="preserve">studies were used </w:t>
      </w:r>
      <w:r w:rsidRPr="007D56DD" w:rsidR="00F20FF6">
        <w:rPr>
          <w:szCs w:val="24"/>
        </w:rPr>
        <w:t>by</w:t>
      </w:r>
      <w:r w:rsidRPr="007D56DD">
        <w:rPr>
          <w:szCs w:val="24"/>
        </w:rPr>
        <w:t xml:space="preserve"> FirstEnergy to support its Grid Mod I initiative. Therefore, there is no longer a need for consumers to fund </w:t>
      </w:r>
      <w:r w:rsidRPr="007D56DD" w:rsidR="00F20FF6">
        <w:rPr>
          <w:szCs w:val="24"/>
        </w:rPr>
        <w:t>FirstEnergy’s</w:t>
      </w:r>
      <w:r w:rsidRPr="007D56DD">
        <w:rPr>
          <w:szCs w:val="24"/>
        </w:rPr>
        <w:t xml:space="preserve"> pilot program through </w:t>
      </w:r>
      <w:r w:rsidRPr="007D56DD" w:rsidR="00F20FF6">
        <w:rPr>
          <w:szCs w:val="24"/>
        </w:rPr>
        <w:t>R</w:t>
      </w:r>
      <w:r w:rsidRPr="007D56DD">
        <w:rPr>
          <w:szCs w:val="24"/>
        </w:rPr>
        <w:t>ider</w:t>
      </w:r>
      <w:r w:rsidRPr="007D56DD" w:rsidR="00F20FF6">
        <w:rPr>
          <w:szCs w:val="24"/>
        </w:rPr>
        <w:t xml:space="preserve"> AMI or otherwise</w:t>
      </w:r>
      <w:r w:rsidRPr="007D56DD">
        <w:rPr>
          <w:szCs w:val="24"/>
        </w:rPr>
        <w:t xml:space="preserve">. </w:t>
      </w:r>
    </w:p>
    <w:p w:rsidR="00AA28F8" w:rsidRPr="007D56DD" w:rsidP="007955E2" w14:paraId="2440E5CA" w14:textId="51423B5F">
      <w:pPr>
        <w:pStyle w:val="Heading2"/>
      </w:pPr>
      <w:r w:rsidRPr="007D56DD">
        <w:t xml:space="preserve">The PUCO should adopt </w:t>
      </w:r>
      <w:r w:rsidRPr="007D56DD" w:rsidR="001F4AD3">
        <w:t xml:space="preserve">the PUCO </w:t>
      </w:r>
      <w:r w:rsidRPr="007D56DD">
        <w:t>Staff</w:t>
      </w:r>
      <w:r w:rsidRPr="007D56DD" w:rsidR="001F4AD3">
        <w:t>’s</w:t>
      </w:r>
      <w:r w:rsidRPr="007D56DD">
        <w:t xml:space="preserve"> recommendations </w:t>
      </w:r>
      <w:r w:rsidRPr="007D56DD" w:rsidR="001F4AD3">
        <w:t xml:space="preserve">in the </w:t>
      </w:r>
      <w:r w:rsidRPr="007D56DD">
        <w:t>2020 and 2021 audits</w:t>
      </w:r>
      <w:r w:rsidRPr="007D56DD" w:rsidR="001F4AD3">
        <w:t>,</w:t>
      </w:r>
      <w:r w:rsidRPr="007D56DD">
        <w:t xml:space="preserve"> including </w:t>
      </w:r>
      <w:r w:rsidRPr="007D56DD" w:rsidR="001F4AD3">
        <w:t>a</w:t>
      </w:r>
      <w:r w:rsidRPr="007D56DD">
        <w:t xml:space="preserve"> disallowance of </w:t>
      </w:r>
      <w:r w:rsidRPr="007D56DD" w:rsidR="001F4AD3">
        <w:t>about</w:t>
      </w:r>
      <w:r w:rsidRPr="007D56DD">
        <w:t xml:space="preserve"> $2.1 million in unauthorized incentive compensation costs associated with </w:t>
      </w:r>
      <w:r w:rsidRPr="007D56DD" w:rsidR="001F4AD3">
        <w:t>FirstEnergy’s</w:t>
      </w:r>
      <w:r w:rsidRPr="007D56DD">
        <w:t xml:space="preserve"> Grid Mod I.</w:t>
      </w:r>
      <w:r w:rsidRPr="007D56DD" w:rsidR="00F53937">
        <w:t xml:space="preserve"> </w:t>
      </w:r>
    </w:p>
    <w:p w:rsidR="00094424" w:rsidRPr="007D56DD" w:rsidP="001F4AD3" w14:paraId="7755D225" w14:textId="326BC755">
      <w:pPr>
        <w:spacing w:line="480" w:lineRule="auto"/>
        <w:ind w:firstLine="720"/>
        <w:rPr>
          <w:szCs w:val="24"/>
        </w:rPr>
      </w:pPr>
      <w:r w:rsidRPr="007D56DD">
        <w:rPr>
          <w:szCs w:val="24"/>
        </w:rPr>
        <w:t>For the 2021 audit period, the PUCO Staff found that FirstEnergy used an inaccurate return on equity rate resulting in a $1.23 million overcharge to consumers through Rider AMI.</w:t>
      </w:r>
      <w:r>
        <w:rPr>
          <w:rStyle w:val="FootnoteReference"/>
          <w:szCs w:val="24"/>
        </w:rPr>
        <w:footnoteReference w:id="21"/>
      </w:r>
      <w:r w:rsidRPr="007D56DD">
        <w:rPr>
          <w:szCs w:val="24"/>
        </w:rPr>
        <w:t xml:space="preserve"> The PUCO Staff also found that FirstEnergy used incorrect formulas for calculating Accumulated Tax Depreciation.</w:t>
      </w:r>
      <w:r>
        <w:rPr>
          <w:rStyle w:val="FootnoteReference"/>
          <w:szCs w:val="24"/>
        </w:rPr>
        <w:footnoteReference w:id="22"/>
      </w:r>
      <w:r w:rsidRPr="007D56DD">
        <w:rPr>
          <w:szCs w:val="24"/>
        </w:rPr>
        <w:t xml:space="preserve"> The 2022 audit should verify that FirstEnergy has fully corrected these issues.</w:t>
      </w:r>
    </w:p>
    <w:p w:rsidR="00094424" w:rsidRPr="007D56DD" w:rsidP="001F4AD3" w14:paraId="3A782DAB" w14:textId="1161D4B6">
      <w:pPr>
        <w:spacing w:line="480" w:lineRule="auto"/>
        <w:ind w:firstLine="720"/>
        <w:rPr>
          <w:szCs w:val="24"/>
        </w:rPr>
      </w:pPr>
      <w:r w:rsidRPr="007D56DD">
        <w:rPr>
          <w:szCs w:val="24"/>
        </w:rPr>
        <w:t xml:space="preserve">In both the 2020 and 2021 </w:t>
      </w:r>
      <w:r w:rsidRPr="007D56DD">
        <w:rPr>
          <w:szCs w:val="24"/>
        </w:rPr>
        <w:t xml:space="preserve">Rider </w:t>
      </w:r>
      <w:r w:rsidRPr="007D56DD">
        <w:rPr>
          <w:szCs w:val="24"/>
        </w:rPr>
        <w:t xml:space="preserve">AMI audits, </w:t>
      </w:r>
      <w:r w:rsidRPr="007D56DD">
        <w:rPr>
          <w:szCs w:val="24"/>
        </w:rPr>
        <w:t xml:space="preserve">the PUCO </w:t>
      </w:r>
      <w:r w:rsidRPr="007D56DD">
        <w:rPr>
          <w:szCs w:val="24"/>
        </w:rPr>
        <w:t>Staff</w:t>
      </w:r>
      <w:r w:rsidRPr="007D56DD" w:rsidR="001F4AD3">
        <w:rPr>
          <w:szCs w:val="24"/>
        </w:rPr>
        <w:t xml:space="preserve"> </w:t>
      </w:r>
      <w:r w:rsidRPr="007D56DD" w:rsidR="00430425">
        <w:rPr>
          <w:szCs w:val="24"/>
        </w:rPr>
        <w:t>further</w:t>
      </w:r>
      <w:r w:rsidRPr="007D56DD">
        <w:rPr>
          <w:szCs w:val="24"/>
        </w:rPr>
        <w:t xml:space="preserve"> found that</w:t>
      </w:r>
      <w:r w:rsidRPr="007D56DD" w:rsidR="001F4AD3">
        <w:rPr>
          <w:szCs w:val="24"/>
        </w:rPr>
        <w:t xml:space="preserve"> FirstEnergy improperly included</w:t>
      </w:r>
      <w:r w:rsidRPr="007D56DD">
        <w:rPr>
          <w:szCs w:val="24"/>
        </w:rPr>
        <w:t xml:space="preserve"> incentive compensation costs in </w:t>
      </w:r>
      <w:r w:rsidRPr="007D56DD" w:rsidR="001F4AD3">
        <w:rPr>
          <w:szCs w:val="24"/>
        </w:rPr>
        <w:t>R</w:t>
      </w:r>
      <w:r w:rsidRPr="007D56DD">
        <w:rPr>
          <w:szCs w:val="24"/>
        </w:rPr>
        <w:t>ider</w:t>
      </w:r>
      <w:r w:rsidRPr="007D56DD" w:rsidR="001F4AD3">
        <w:rPr>
          <w:szCs w:val="24"/>
        </w:rPr>
        <w:t xml:space="preserve"> AMI</w:t>
      </w:r>
      <w:r w:rsidRPr="007D56DD">
        <w:rPr>
          <w:szCs w:val="24"/>
        </w:rPr>
        <w:t>.</w:t>
      </w:r>
      <w:r>
        <w:rPr>
          <w:rStyle w:val="FootnoteReference"/>
          <w:szCs w:val="24"/>
        </w:rPr>
        <w:footnoteReference w:id="23"/>
      </w:r>
      <w:r w:rsidRPr="007D56DD">
        <w:rPr>
          <w:szCs w:val="24"/>
        </w:rPr>
        <w:t xml:space="preserve"> </w:t>
      </w:r>
      <w:r w:rsidRPr="007D56DD" w:rsidR="001F4AD3">
        <w:rPr>
          <w:szCs w:val="24"/>
        </w:rPr>
        <w:t>D</w:t>
      </w:r>
      <w:r w:rsidRPr="007D56DD">
        <w:rPr>
          <w:szCs w:val="24"/>
        </w:rPr>
        <w:t>isallow</w:t>
      </w:r>
      <w:r w:rsidRPr="007D56DD" w:rsidR="001F4AD3">
        <w:rPr>
          <w:szCs w:val="24"/>
        </w:rPr>
        <w:t>ing</w:t>
      </w:r>
      <w:r w:rsidRPr="007D56DD">
        <w:rPr>
          <w:szCs w:val="24"/>
        </w:rPr>
        <w:t xml:space="preserve"> the pilot program costs after June 1, 2019 as </w:t>
      </w:r>
      <w:r w:rsidRPr="007D56DD" w:rsidR="001F4AD3">
        <w:rPr>
          <w:szCs w:val="24"/>
        </w:rPr>
        <w:t xml:space="preserve">OCC </w:t>
      </w:r>
      <w:r w:rsidRPr="007D56DD">
        <w:rPr>
          <w:szCs w:val="24"/>
        </w:rPr>
        <w:t>recommend</w:t>
      </w:r>
      <w:r w:rsidRPr="007D56DD" w:rsidR="001F4AD3">
        <w:rPr>
          <w:szCs w:val="24"/>
        </w:rPr>
        <w:t>s</w:t>
      </w:r>
      <w:r w:rsidRPr="007D56DD">
        <w:rPr>
          <w:szCs w:val="24"/>
        </w:rPr>
        <w:t xml:space="preserve"> above should result in the removal of incentive compensation costs that </w:t>
      </w:r>
      <w:r w:rsidRPr="007D56DD" w:rsidR="00FC247C">
        <w:rPr>
          <w:szCs w:val="24"/>
        </w:rPr>
        <w:t>FirstEnergy improperly</w:t>
      </w:r>
      <w:r w:rsidRPr="007D56DD">
        <w:rPr>
          <w:szCs w:val="24"/>
        </w:rPr>
        <w:t xml:space="preserve"> included in the pilot program. </w:t>
      </w:r>
    </w:p>
    <w:p w:rsidR="00094424" w:rsidRPr="007D56DD" w:rsidP="00094424" w14:paraId="524B8206" w14:textId="2B581971">
      <w:pPr>
        <w:spacing w:line="480" w:lineRule="auto"/>
        <w:ind w:firstLine="720"/>
        <w:rPr>
          <w:szCs w:val="24"/>
        </w:rPr>
      </w:pPr>
      <w:r w:rsidRPr="007D56DD">
        <w:rPr>
          <w:szCs w:val="24"/>
        </w:rPr>
        <w:t>But</w:t>
      </w:r>
      <w:r w:rsidRPr="007D56DD" w:rsidR="00AA28F8">
        <w:rPr>
          <w:szCs w:val="24"/>
        </w:rPr>
        <w:t xml:space="preserve"> </w:t>
      </w:r>
      <w:r w:rsidRPr="007D56DD">
        <w:rPr>
          <w:szCs w:val="24"/>
        </w:rPr>
        <w:t xml:space="preserve">in 2021, </w:t>
      </w:r>
      <w:r w:rsidRPr="007D56DD" w:rsidR="00AA28F8">
        <w:rPr>
          <w:szCs w:val="24"/>
        </w:rPr>
        <w:t xml:space="preserve">FirstEnergy also inappropriately included incentive compensation costs in </w:t>
      </w:r>
      <w:r w:rsidRPr="007D56DD" w:rsidR="00FC247C">
        <w:rPr>
          <w:szCs w:val="24"/>
        </w:rPr>
        <w:t>Rider AMI</w:t>
      </w:r>
      <w:r w:rsidRPr="007D56DD" w:rsidR="00AA28F8">
        <w:rPr>
          <w:szCs w:val="24"/>
        </w:rPr>
        <w:t xml:space="preserve"> for Grid Mod I associated with financial performance, transmission, and generation totaling $1,176,671.</w:t>
      </w:r>
      <w:r>
        <w:rPr>
          <w:rStyle w:val="FootnoteReference"/>
          <w:szCs w:val="24"/>
        </w:rPr>
        <w:footnoteReference w:id="24"/>
      </w:r>
      <w:r w:rsidRPr="007D56DD" w:rsidR="00AA28F8">
        <w:rPr>
          <w:szCs w:val="24"/>
        </w:rPr>
        <w:t xml:space="preserve"> </w:t>
      </w:r>
      <w:r w:rsidRPr="007D56DD" w:rsidR="00FC247C">
        <w:rPr>
          <w:szCs w:val="24"/>
        </w:rPr>
        <w:t>For 2020,</w:t>
      </w:r>
      <w:r w:rsidRPr="007D56DD" w:rsidR="00AA28F8">
        <w:rPr>
          <w:szCs w:val="24"/>
        </w:rPr>
        <w:t xml:space="preserve"> FirstEnergy inappropriately </w:t>
      </w:r>
      <w:r w:rsidRPr="007D56DD" w:rsidR="00FC247C">
        <w:rPr>
          <w:szCs w:val="24"/>
        </w:rPr>
        <w:t>included</w:t>
      </w:r>
      <w:r w:rsidRPr="007D56DD" w:rsidR="00AA28F8">
        <w:rPr>
          <w:szCs w:val="24"/>
        </w:rPr>
        <w:t xml:space="preserve"> incentive compensation costs in </w:t>
      </w:r>
      <w:r w:rsidRPr="007D56DD" w:rsidR="00FC247C">
        <w:rPr>
          <w:szCs w:val="24"/>
        </w:rPr>
        <w:t>Rider</w:t>
      </w:r>
      <w:r w:rsidRPr="007D56DD" w:rsidR="00AA28F8">
        <w:rPr>
          <w:szCs w:val="24"/>
        </w:rPr>
        <w:t xml:space="preserve"> AMI for Grid Mod I</w:t>
      </w:r>
      <w:r w:rsidRPr="007D56DD">
        <w:rPr>
          <w:szCs w:val="24"/>
        </w:rPr>
        <w:t>,</w:t>
      </w:r>
      <w:r w:rsidRPr="007D56DD" w:rsidR="00AA28F8">
        <w:rPr>
          <w:szCs w:val="24"/>
        </w:rPr>
        <w:t xml:space="preserve"> totaling</w:t>
      </w:r>
      <w:r w:rsidRPr="007D56DD">
        <w:rPr>
          <w:szCs w:val="24"/>
        </w:rPr>
        <w:t xml:space="preserve"> </w:t>
      </w:r>
      <w:r w:rsidRPr="007D56DD" w:rsidR="00AA28F8">
        <w:rPr>
          <w:szCs w:val="24"/>
        </w:rPr>
        <w:t>$945,084.</w:t>
      </w:r>
      <w:r>
        <w:rPr>
          <w:rStyle w:val="FootnoteReference"/>
          <w:szCs w:val="24"/>
        </w:rPr>
        <w:footnoteReference w:id="25"/>
      </w:r>
      <w:r w:rsidRPr="007D56DD" w:rsidR="00AA28F8">
        <w:rPr>
          <w:szCs w:val="24"/>
        </w:rPr>
        <w:t xml:space="preserve"> Consumers should not be required to pay for unauthorized incentive compensation costs in </w:t>
      </w:r>
      <w:r w:rsidRPr="007D56DD" w:rsidR="00FC247C">
        <w:rPr>
          <w:szCs w:val="24"/>
        </w:rPr>
        <w:t>R</w:t>
      </w:r>
      <w:r w:rsidRPr="007D56DD" w:rsidR="00AA28F8">
        <w:rPr>
          <w:szCs w:val="24"/>
        </w:rPr>
        <w:t>ider</w:t>
      </w:r>
      <w:r w:rsidRPr="007D56DD" w:rsidR="00FC247C">
        <w:rPr>
          <w:szCs w:val="24"/>
        </w:rPr>
        <w:t xml:space="preserve"> AMI</w:t>
      </w:r>
      <w:r w:rsidRPr="007D56DD" w:rsidR="00AA28F8">
        <w:rPr>
          <w:szCs w:val="24"/>
        </w:rPr>
        <w:t>. The PUCO should adopt the Staff Recommendations regarding removal of the incentive compensation charges from the AMI rider.</w:t>
      </w:r>
    </w:p>
    <w:p w:rsidR="00AA28F8" w:rsidRPr="007D56DD" w:rsidP="0076150D" w14:paraId="12F3143B" w14:textId="7FE49F33">
      <w:pPr>
        <w:pStyle w:val="Heading2"/>
      </w:pPr>
      <w:r w:rsidRPr="007D56DD">
        <w:t xml:space="preserve">As part of the next audit of </w:t>
      </w:r>
      <w:r w:rsidRPr="007D56DD" w:rsidR="00094424">
        <w:t xml:space="preserve">Rider </w:t>
      </w:r>
      <w:r w:rsidRPr="007D56DD">
        <w:t xml:space="preserve">AMI, the PUCO Staff </w:t>
      </w:r>
      <w:r w:rsidRPr="007D56DD" w:rsidR="00094424">
        <w:t>should</w:t>
      </w:r>
      <w:r w:rsidRPr="007D56DD">
        <w:t xml:space="preserve"> verify that Grid Mod I investments are used and useful and were prudently incurred under the audit and review standards set forth </w:t>
      </w:r>
      <w:r w:rsidRPr="007D56DD" w:rsidR="00E45C0E">
        <w:t xml:space="preserve">in the settlements approved by the PUCO in </w:t>
      </w:r>
      <w:r w:rsidRPr="007D56DD">
        <w:t>Case No. 16-481-EL-UNC.</w:t>
      </w:r>
      <w:r w:rsidRPr="007D56DD" w:rsidR="00F53937">
        <w:t xml:space="preserve"> </w:t>
      </w:r>
    </w:p>
    <w:p w:rsidR="00AA28F8" w:rsidRPr="007D56DD" w:rsidP="00094424" w14:paraId="125BCA1E" w14:textId="6C70EB54">
      <w:pPr>
        <w:spacing w:line="480" w:lineRule="auto"/>
        <w:ind w:firstLine="720"/>
        <w:rPr>
          <w:szCs w:val="24"/>
        </w:rPr>
      </w:pPr>
      <w:r w:rsidRPr="007D56DD">
        <w:rPr>
          <w:szCs w:val="24"/>
        </w:rPr>
        <w:t>FirstEnergy</w:t>
      </w:r>
      <w:r w:rsidRPr="007D56DD" w:rsidR="006329DA">
        <w:rPr>
          <w:szCs w:val="24"/>
        </w:rPr>
        <w:t>’s deployment of</w:t>
      </w:r>
      <w:r w:rsidRPr="007D56DD">
        <w:rPr>
          <w:szCs w:val="24"/>
        </w:rPr>
        <w:t xml:space="preserve"> Grid Mod I as approved by the PUCO is now close to completion.</w:t>
      </w:r>
      <w:r>
        <w:rPr>
          <w:rStyle w:val="FootnoteReference"/>
          <w:szCs w:val="24"/>
        </w:rPr>
        <w:footnoteReference w:id="26"/>
      </w:r>
      <w:r w:rsidRPr="007D56DD">
        <w:rPr>
          <w:szCs w:val="24"/>
        </w:rPr>
        <w:t xml:space="preserve"> FirstEnergy filed its annual report </w:t>
      </w:r>
      <w:r w:rsidRPr="007D56DD" w:rsidR="006329DA">
        <w:rPr>
          <w:szCs w:val="24"/>
        </w:rPr>
        <w:t>regarding charges to consumers under Rider AMI for 2022,</w:t>
      </w:r>
      <w:r w:rsidRPr="007D56DD">
        <w:rPr>
          <w:szCs w:val="24"/>
        </w:rPr>
        <w:t xml:space="preserve"> which should include </w:t>
      </w:r>
      <w:r w:rsidRPr="007D56DD" w:rsidR="006329DA">
        <w:rPr>
          <w:szCs w:val="24"/>
        </w:rPr>
        <w:t xml:space="preserve">the </w:t>
      </w:r>
      <w:r w:rsidRPr="007D56DD">
        <w:rPr>
          <w:szCs w:val="24"/>
        </w:rPr>
        <w:t xml:space="preserve">costs associated with </w:t>
      </w:r>
      <w:r w:rsidRPr="007D56DD" w:rsidR="006329DA">
        <w:rPr>
          <w:szCs w:val="24"/>
        </w:rPr>
        <w:t>FirstEnergy’s</w:t>
      </w:r>
      <w:r w:rsidRPr="007D56DD">
        <w:rPr>
          <w:szCs w:val="24"/>
        </w:rPr>
        <w:t xml:space="preserve"> third year </w:t>
      </w:r>
      <w:r w:rsidRPr="007D56DD" w:rsidR="006329DA">
        <w:rPr>
          <w:szCs w:val="24"/>
        </w:rPr>
        <w:t xml:space="preserve">of </w:t>
      </w:r>
      <w:r w:rsidRPr="007D56DD">
        <w:rPr>
          <w:szCs w:val="24"/>
        </w:rPr>
        <w:t xml:space="preserve">spending for Grid Mod </w:t>
      </w:r>
      <w:r w:rsidRPr="007D56DD" w:rsidR="006329DA">
        <w:rPr>
          <w:szCs w:val="24"/>
        </w:rPr>
        <w:t>I</w:t>
      </w:r>
      <w:r w:rsidRPr="007D56DD">
        <w:rPr>
          <w:szCs w:val="24"/>
        </w:rPr>
        <w:t>.</w:t>
      </w:r>
      <w:r>
        <w:rPr>
          <w:rStyle w:val="FootnoteReference"/>
          <w:szCs w:val="24"/>
        </w:rPr>
        <w:footnoteReference w:id="27"/>
      </w:r>
      <w:r w:rsidRPr="007D56DD">
        <w:rPr>
          <w:szCs w:val="24"/>
        </w:rPr>
        <w:t xml:space="preserve"> </w:t>
      </w:r>
      <w:r w:rsidRPr="007D56DD" w:rsidR="006329DA">
        <w:rPr>
          <w:szCs w:val="24"/>
        </w:rPr>
        <w:t>The</w:t>
      </w:r>
      <w:r w:rsidRPr="007D56DD">
        <w:rPr>
          <w:szCs w:val="24"/>
        </w:rPr>
        <w:t xml:space="preserve"> 2020 and 2021 </w:t>
      </w:r>
      <w:r w:rsidRPr="007D56DD" w:rsidR="006329DA">
        <w:rPr>
          <w:szCs w:val="24"/>
        </w:rPr>
        <w:t xml:space="preserve">Rider AMI audits </w:t>
      </w:r>
      <w:r w:rsidRPr="007D56DD">
        <w:rPr>
          <w:szCs w:val="24"/>
        </w:rPr>
        <w:t xml:space="preserve">have </w:t>
      </w:r>
      <w:r w:rsidRPr="007D56DD" w:rsidR="006329DA">
        <w:rPr>
          <w:szCs w:val="24"/>
        </w:rPr>
        <w:t xml:space="preserve">focused on FirstEnergy’s </w:t>
      </w:r>
      <w:r w:rsidRPr="007D56DD">
        <w:rPr>
          <w:szCs w:val="24"/>
        </w:rPr>
        <w:t>capital expenditures and incremental O&amp;M expense</w:t>
      </w:r>
      <w:r w:rsidRPr="007D56DD" w:rsidR="006329DA">
        <w:rPr>
          <w:szCs w:val="24"/>
        </w:rPr>
        <w:t>s</w:t>
      </w:r>
      <w:r w:rsidRPr="007D56DD">
        <w:rPr>
          <w:szCs w:val="24"/>
        </w:rPr>
        <w:t xml:space="preserve"> </w:t>
      </w:r>
      <w:r w:rsidRPr="007D56DD" w:rsidR="006329DA">
        <w:rPr>
          <w:szCs w:val="24"/>
        </w:rPr>
        <w:t>represented in the</w:t>
      </w:r>
      <w:r w:rsidRPr="007D56DD">
        <w:rPr>
          <w:szCs w:val="24"/>
        </w:rPr>
        <w:t xml:space="preserve"> filed schedules</w:t>
      </w:r>
      <w:r w:rsidRPr="007D56DD" w:rsidR="004061A7">
        <w:rPr>
          <w:szCs w:val="24"/>
        </w:rPr>
        <w:t>,</w:t>
      </w:r>
      <w:r w:rsidRPr="007D56DD">
        <w:rPr>
          <w:szCs w:val="24"/>
        </w:rPr>
        <w:t xml:space="preserve"> and </w:t>
      </w:r>
      <w:r w:rsidRPr="007D56DD" w:rsidR="006329DA">
        <w:rPr>
          <w:szCs w:val="24"/>
        </w:rPr>
        <w:t>compliance</w:t>
      </w:r>
      <w:r w:rsidRPr="007D56DD">
        <w:rPr>
          <w:szCs w:val="24"/>
        </w:rPr>
        <w:t xml:space="preserve"> with the PUCO</w:t>
      </w:r>
      <w:r w:rsidRPr="007D56DD" w:rsidR="006329DA">
        <w:rPr>
          <w:szCs w:val="24"/>
        </w:rPr>
        <w:t>’s</w:t>
      </w:r>
      <w:r w:rsidRPr="007D56DD">
        <w:rPr>
          <w:szCs w:val="24"/>
        </w:rPr>
        <w:t xml:space="preserve"> order</w:t>
      </w:r>
      <w:r w:rsidRPr="007D56DD" w:rsidR="006329DA">
        <w:rPr>
          <w:szCs w:val="24"/>
        </w:rPr>
        <w:t xml:space="preserve"> approving the settlements in Case No.</w:t>
      </w:r>
      <w:r w:rsidRPr="007D56DD">
        <w:rPr>
          <w:szCs w:val="24"/>
        </w:rPr>
        <w:t xml:space="preserve"> 16-481-EL-UNC. However, </w:t>
      </w:r>
      <w:r w:rsidRPr="007D56DD" w:rsidR="00F460C1">
        <w:rPr>
          <w:szCs w:val="24"/>
        </w:rPr>
        <w:t xml:space="preserve">the </w:t>
      </w:r>
      <w:r w:rsidRPr="007D56DD" w:rsidR="006B19AD">
        <w:rPr>
          <w:szCs w:val="24"/>
        </w:rPr>
        <w:t>settlement in Case No. 16-481-EL-UNC further</w:t>
      </w:r>
      <w:r w:rsidRPr="007D56DD">
        <w:rPr>
          <w:szCs w:val="24"/>
        </w:rPr>
        <w:t xml:space="preserve"> require</w:t>
      </w:r>
      <w:r w:rsidRPr="007D56DD" w:rsidR="004061A7">
        <w:rPr>
          <w:szCs w:val="24"/>
        </w:rPr>
        <w:t>s</w:t>
      </w:r>
      <w:r w:rsidRPr="007D56DD">
        <w:rPr>
          <w:szCs w:val="24"/>
        </w:rPr>
        <w:t xml:space="preserve"> verification that Grid Mod I investments are used and useful and were prudently incurred.</w:t>
      </w:r>
      <w:r>
        <w:rPr>
          <w:rStyle w:val="FootnoteReference"/>
          <w:szCs w:val="24"/>
        </w:rPr>
        <w:footnoteReference w:id="28"/>
      </w:r>
      <w:r w:rsidRPr="007D56DD">
        <w:rPr>
          <w:szCs w:val="24"/>
        </w:rPr>
        <w:t xml:space="preserve"> </w:t>
      </w:r>
      <w:r w:rsidRPr="007D56DD" w:rsidR="004061A7">
        <w:rPr>
          <w:szCs w:val="24"/>
        </w:rPr>
        <w:t>T</w:t>
      </w:r>
      <w:r w:rsidRPr="007D56DD" w:rsidR="006B19AD">
        <w:rPr>
          <w:szCs w:val="24"/>
        </w:rPr>
        <w:t>o</w:t>
      </w:r>
      <w:r w:rsidRPr="007D56DD">
        <w:rPr>
          <w:szCs w:val="24"/>
        </w:rPr>
        <w:t xml:space="preserve"> date, there has been no audit of the Grid Mod I program verify</w:t>
      </w:r>
      <w:r w:rsidRPr="007D56DD" w:rsidR="00D0414E">
        <w:rPr>
          <w:szCs w:val="24"/>
        </w:rPr>
        <w:t>ing</w:t>
      </w:r>
      <w:r w:rsidRPr="007D56DD">
        <w:rPr>
          <w:szCs w:val="24"/>
        </w:rPr>
        <w:t xml:space="preserve"> that </w:t>
      </w:r>
      <w:r w:rsidRPr="007D56DD" w:rsidR="006B19AD">
        <w:rPr>
          <w:szCs w:val="24"/>
        </w:rPr>
        <w:t xml:space="preserve">FirstEnergy’s spending under Rider </w:t>
      </w:r>
      <w:r w:rsidRPr="007D56DD">
        <w:rPr>
          <w:szCs w:val="24"/>
        </w:rPr>
        <w:t xml:space="preserve">AMI </w:t>
      </w:r>
      <w:r w:rsidRPr="007D56DD" w:rsidR="006B19AD">
        <w:rPr>
          <w:szCs w:val="24"/>
        </w:rPr>
        <w:t xml:space="preserve">has resulted </w:t>
      </w:r>
      <w:r w:rsidRPr="007D56DD">
        <w:rPr>
          <w:szCs w:val="24"/>
        </w:rPr>
        <w:t xml:space="preserve">in used and useful capabilities and benefits for consumers. </w:t>
      </w:r>
    </w:p>
    <w:p w:rsidR="00AA28F8" w:rsidRPr="007D56DD" w:rsidP="006B19AD" w14:paraId="66659A97" w14:textId="0FF08BBA">
      <w:pPr>
        <w:spacing w:line="480" w:lineRule="auto"/>
        <w:ind w:firstLine="720"/>
        <w:rPr>
          <w:szCs w:val="24"/>
        </w:rPr>
      </w:pPr>
      <w:r w:rsidRPr="007D56DD">
        <w:rPr>
          <w:szCs w:val="24"/>
        </w:rPr>
        <w:t>The PUCO required an operational benefits assessment of Grid Mod I to evaluate the functionality and performance of the deployment including the potential for an independent cost benefit analysis of the spending for the program.</w:t>
      </w:r>
      <w:r>
        <w:rPr>
          <w:rStyle w:val="FootnoteReference"/>
          <w:szCs w:val="24"/>
        </w:rPr>
        <w:footnoteReference w:id="29"/>
      </w:r>
      <w:r w:rsidRPr="007D56DD">
        <w:rPr>
          <w:szCs w:val="24"/>
        </w:rPr>
        <w:t xml:space="preserve"> An operational benefits assessment performed by</w:t>
      </w:r>
      <w:r w:rsidRPr="007D56DD" w:rsidR="004061A7">
        <w:rPr>
          <w:szCs w:val="24"/>
        </w:rPr>
        <w:t xml:space="preserve"> auditor</w:t>
      </w:r>
      <w:r w:rsidRPr="007D56DD">
        <w:rPr>
          <w:szCs w:val="24"/>
        </w:rPr>
        <w:t xml:space="preserve"> Daymark Energy Advisors was completed in late 2022.</w:t>
      </w:r>
      <w:r>
        <w:rPr>
          <w:rStyle w:val="FootnoteReference"/>
          <w:szCs w:val="24"/>
        </w:rPr>
        <w:footnoteReference w:id="30"/>
      </w:r>
      <w:r w:rsidRPr="007D56DD">
        <w:rPr>
          <w:szCs w:val="24"/>
        </w:rPr>
        <w:t xml:space="preserve"> The report identified several deficiencies in FirstEnergy</w:t>
      </w:r>
      <w:r w:rsidRPr="007D56DD" w:rsidR="004061A7">
        <w:rPr>
          <w:szCs w:val="24"/>
        </w:rPr>
        <w:t>’s</w:t>
      </w:r>
      <w:r w:rsidRPr="007D56DD">
        <w:rPr>
          <w:szCs w:val="24"/>
        </w:rPr>
        <w:t xml:space="preserve"> practices for tracking data and verifying accuracy of benefits.</w:t>
      </w:r>
      <w:r>
        <w:rPr>
          <w:rStyle w:val="FootnoteReference"/>
          <w:szCs w:val="24"/>
        </w:rPr>
        <w:footnoteReference w:id="31"/>
      </w:r>
      <w:r w:rsidRPr="007D56DD">
        <w:rPr>
          <w:szCs w:val="24"/>
        </w:rPr>
        <w:t xml:space="preserve"> </w:t>
      </w:r>
      <w:r w:rsidRPr="007D56DD" w:rsidR="00492138">
        <w:rPr>
          <w:szCs w:val="24"/>
        </w:rPr>
        <w:t xml:space="preserve">Thus, it unclear whether the </w:t>
      </w:r>
      <w:r w:rsidRPr="007D56DD">
        <w:rPr>
          <w:szCs w:val="24"/>
        </w:rPr>
        <w:t>benefits of Grid Mod I exceed the costs</w:t>
      </w:r>
      <w:r w:rsidRPr="007D56DD" w:rsidR="004061A7">
        <w:rPr>
          <w:szCs w:val="24"/>
        </w:rPr>
        <w:t>, or</w:t>
      </w:r>
      <w:r w:rsidRPr="007D56DD" w:rsidR="00492138">
        <w:rPr>
          <w:szCs w:val="24"/>
        </w:rPr>
        <w:t xml:space="preserve"> whether</w:t>
      </w:r>
      <w:r w:rsidRPr="007D56DD">
        <w:rPr>
          <w:szCs w:val="24"/>
        </w:rPr>
        <w:t xml:space="preserve"> Grid Mod I </w:t>
      </w:r>
      <w:r w:rsidRPr="007D56DD" w:rsidR="00492138">
        <w:rPr>
          <w:szCs w:val="24"/>
        </w:rPr>
        <w:t xml:space="preserve">has </w:t>
      </w:r>
      <w:r w:rsidRPr="007D56DD" w:rsidR="004061A7">
        <w:rPr>
          <w:szCs w:val="24"/>
        </w:rPr>
        <w:t xml:space="preserve">actually </w:t>
      </w:r>
      <w:r w:rsidRPr="007D56DD" w:rsidR="00492138">
        <w:rPr>
          <w:szCs w:val="24"/>
        </w:rPr>
        <w:t>produced</w:t>
      </w:r>
      <w:r w:rsidRPr="007D56DD">
        <w:rPr>
          <w:szCs w:val="24"/>
        </w:rPr>
        <w:t xml:space="preserve"> used and useful capabilities and benefits for consumers. </w:t>
      </w:r>
    </w:p>
    <w:p w:rsidR="00203B1B" w:rsidRPr="007D56DD" w:rsidP="00094424" w14:paraId="046DAE92" w14:textId="6C695958">
      <w:pPr>
        <w:spacing w:line="480" w:lineRule="auto"/>
        <w:ind w:firstLine="720"/>
        <w:rPr>
          <w:szCs w:val="24"/>
        </w:rPr>
      </w:pPr>
      <w:r w:rsidRPr="007D56DD">
        <w:rPr>
          <w:szCs w:val="24"/>
        </w:rPr>
        <w:t xml:space="preserve">OCC recommends that the PUCO require </w:t>
      </w:r>
      <w:r w:rsidRPr="007D56DD" w:rsidR="00655218">
        <w:rPr>
          <w:szCs w:val="24"/>
        </w:rPr>
        <w:t>the PUCO</w:t>
      </w:r>
      <w:r w:rsidRPr="007D56DD" w:rsidR="00492138">
        <w:rPr>
          <w:szCs w:val="24"/>
        </w:rPr>
        <w:t xml:space="preserve"> </w:t>
      </w:r>
      <w:r w:rsidRPr="007D56DD">
        <w:rPr>
          <w:szCs w:val="24"/>
        </w:rPr>
        <w:t xml:space="preserve">Staff to verify as part of the next audit of Rider AMI </w:t>
      </w:r>
      <w:r w:rsidRPr="007D56DD" w:rsidR="007B31AE">
        <w:rPr>
          <w:szCs w:val="24"/>
        </w:rPr>
        <w:t>whether</w:t>
      </w:r>
      <w:r w:rsidRPr="007D56DD">
        <w:rPr>
          <w:szCs w:val="24"/>
        </w:rPr>
        <w:t xml:space="preserve"> all Grid Mod I investments are used and useful and were prudently incurred as required under </w:t>
      </w:r>
      <w:r w:rsidRPr="007D56DD" w:rsidR="00492138">
        <w:rPr>
          <w:szCs w:val="24"/>
        </w:rPr>
        <w:t xml:space="preserve">the settlement in </w:t>
      </w:r>
      <w:r w:rsidRPr="007D56DD">
        <w:rPr>
          <w:szCs w:val="24"/>
        </w:rPr>
        <w:t xml:space="preserve">Case No. 16-481-EL-UNC. This includes </w:t>
      </w:r>
      <w:r w:rsidRPr="007D56DD" w:rsidR="00492138">
        <w:rPr>
          <w:szCs w:val="24"/>
        </w:rPr>
        <w:t>(</w:t>
      </w:r>
      <w:r w:rsidRPr="007D56DD">
        <w:rPr>
          <w:szCs w:val="24"/>
        </w:rPr>
        <w:t>but is not limited to</w:t>
      </w:r>
      <w:r w:rsidRPr="007D56DD" w:rsidR="00492138">
        <w:rPr>
          <w:szCs w:val="24"/>
        </w:rPr>
        <w:t>)</w:t>
      </w:r>
      <w:r w:rsidRPr="007D56DD">
        <w:rPr>
          <w:szCs w:val="24"/>
        </w:rPr>
        <w:t xml:space="preserve"> reconciling FirstEnergy</w:t>
      </w:r>
      <w:r w:rsidRPr="007D56DD" w:rsidR="00492138">
        <w:rPr>
          <w:szCs w:val="24"/>
        </w:rPr>
        <w:t>’s</w:t>
      </w:r>
      <w:r w:rsidRPr="007D56DD">
        <w:rPr>
          <w:szCs w:val="24"/>
        </w:rPr>
        <w:t xml:space="preserve"> performance with the findings, recommendations, and deficiencies identified in the </w:t>
      </w:r>
      <w:r w:rsidRPr="007D56DD" w:rsidR="00492138">
        <w:rPr>
          <w:szCs w:val="24"/>
        </w:rPr>
        <w:t xml:space="preserve">Grid Mod I </w:t>
      </w:r>
      <w:r w:rsidRPr="007D56DD">
        <w:rPr>
          <w:szCs w:val="24"/>
        </w:rPr>
        <w:t xml:space="preserve">operational benefits assessment </w:t>
      </w:r>
      <w:r w:rsidRPr="007D56DD" w:rsidR="00492138">
        <w:rPr>
          <w:szCs w:val="24"/>
        </w:rPr>
        <w:t xml:space="preserve">by </w:t>
      </w:r>
      <w:r w:rsidRPr="007D56DD">
        <w:rPr>
          <w:szCs w:val="24"/>
        </w:rPr>
        <w:t>Daymark Energy Advisors for the</w:t>
      </w:r>
      <w:r w:rsidRPr="007D56DD" w:rsidR="00492138">
        <w:rPr>
          <w:szCs w:val="24"/>
        </w:rPr>
        <w:t xml:space="preserve"> PUCO</w:t>
      </w:r>
      <w:r w:rsidRPr="007D56DD">
        <w:rPr>
          <w:szCs w:val="24"/>
        </w:rPr>
        <w:t xml:space="preserve"> Staff.</w:t>
      </w:r>
      <w:r>
        <w:rPr>
          <w:rStyle w:val="FootnoteReference"/>
          <w:szCs w:val="24"/>
        </w:rPr>
        <w:footnoteReference w:id="32"/>
      </w:r>
      <w:r w:rsidRPr="007D56DD">
        <w:rPr>
          <w:szCs w:val="24"/>
        </w:rPr>
        <w:t xml:space="preserve"> This analysis should be completed before the</w:t>
      </w:r>
      <w:r w:rsidRPr="007D56DD" w:rsidR="00655218">
        <w:rPr>
          <w:szCs w:val="24"/>
        </w:rPr>
        <w:t xml:space="preserve"> </w:t>
      </w:r>
      <w:r w:rsidRPr="007D56DD">
        <w:rPr>
          <w:szCs w:val="24"/>
        </w:rPr>
        <w:t xml:space="preserve">PUCO </w:t>
      </w:r>
      <w:r w:rsidRPr="007D56DD" w:rsidR="00655218">
        <w:rPr>
          <w:szCs w:val="24"/>
        </w:rPr>
        <w:t xml:space="preserve">approves any additional spending by FirstEnergy for phase II of its </w:t>
      </w:r>
      <w:r w:rsidRPr="007D56DD">
        <w:rPr>
          <w:szCs w:val="24"/>
        </w:rPr>
        <w:t xml:space="preserve">grid modernization </w:t>
      </w:r>
      <w:r w:rsidRPr="007D56DD" w:rsidR="00655218">
        <w:rPr>
          <w:szCs w:val="24"/>
        </w:rPr>
        <w:t>plan and charges to consumers under Rider AMI</w:t>
      </w:r>
      <w:r w:rsidRPr="007D56DD">
        <w:rPr>
          <w:szCs w:val="24"/>
        </w:rPr>
        <w:t>.</w:t>
      </w:r>
      <w:r>
        <w:rPr>
          <w:rStyle w:val="FootnoteReference"/>
          <w:szCs w:val="24"/>
        </w:rPr>
        <w:footnoteReference w:id="33"/>
      </w:r>
    </w:p>
    <w:p w:rsidR="00AA28F8" w:rsidRPr="007D56DD" w:rsidP="00AA28F8" w14:paraId="6D0318FD" w14:textId="77777777">
      <w:pPr>
        <w:ind w:firstLine="720"/>
        <w:rPr>
          <w:color w:val="000000" w:themeColor="text1"/>
          <w:szCs w:val="24"/>
        </w:rPr>
      </w:pPr>
    </w:p>
    <w:p w:rsidR="00B8243C" w:rsidRPr="007D56DD" w:rsidP="00A04D49" w14:paraId="76078600" w14:textId="77777777">
      <w:pPr>
        <w:pStyle w:val="Heading1"/>
        <w:rPr>
          <w:rFonts w:ascii="Times New Roman" w:hAnsi="Times New Roman"/>
        </w:rPr>
      </w:pPr>
      <w:bookmarkStart w:id="1" w:name="_Toc93504276"/>
      <w:r w:rsidRPr="007D56DD">
        <w:rPr>
          <w:rFonts w:ascii="Times New Roman" w:hAnsi="Times New Roman"/>
        </w:rPr>
        <w:t>CONCLUSION</w:t>
      </w:r>
      <w:bookmarkEnd w:id="1"/>
    </w:p>
    <w:p w:rsidR="005321E2" w:rsidRPr="007D56DD" w:rsidP="00A228AB" w14:paraId="51D3C896" w14:textId="2A616CE4">
      <w:pPr>
        <w:spacing w:line="480" w:lineRule="auto"/>
        <w:ind w:firstLine="720"/>
        <w:rPr>
          <w:color w:val="000000" w:themeColor="text1"/>
          <w:szCs w:val="24"/>
        </w:rPr>
      </w:pPr>
      <w:r w:rsidRPr="007D56DD">
        <w:rPr>
          <w:color w:val="000000" w:themeColor="text1"/>
          <w:szCs w:val="24"/>
        </w:rPr>
        <w:t xml:space="preserve">Ohio law (R.C. 4905.22) and the settlement agreed to by FirstEnergy in Case No. 16-481-EL-UNC require FirstEnergy’s </w:t>
      </w:r>
      <w:r w:rsidRPr="007D56DD">
        <w:rPr>
          <w:szCs w:val="24"/>
        </w:rPr>
        <w:t>grid modernization investments to be prudent and Rider AMI charges to</w:t>
      </w:r>
      <w:r w:rsidRPr="007D56DD" w:rsidR="00F460C1">
        <w:rPr>
          <w:szCs w:val="24"/>
        </w:rPr>
        <w:t xml:space="preserve"> consumers to</w:t>
      </w:r>
      <w:r w:rsidRPr="007D56DD">
        <w:rPr>
          <w:szCs w:val="24"/>
        </w:rPr>
        <w:t xml:space="preserve"> be just and reasonable. To protect consumers, </w:t>
      </w:r>
      <w:r w:rsidRPr="007D56DD">
        <w:rPr>
          <w:color w:val="000000" w:themeColor="text1"/>
          <w:szCs w:val="24"/>
        </w:rPr>
        <w:t>the PUCO should</w:t>
      </w:r>
      <w:r w:rsidRPr="007D56DD" w:rsidR="00094424">
        <w:rPr>
          <w:color w:val="000000" w:themeColor="text1"/>
          <w:szCs w:val="24"/>
        </w:rPr>
        <w:t xml:space="preserve"> adopt OCC</w:t>
      </w:r>
      <w:r w:rsidRPr="007D56DD">
        <w:rPr>
          <w:color w:val="000000" w:themeColor="text1"/>
          <w:szCs w:val="24"/>
        </w:rPr>
        <w:t>’s recommendations</w:t>
      </w:r>
      <w:r w:rsidRPr="007D56DD">
        <w:rPr>
          <w:color w:val="000000" w:themeColor="text1"/>
          <w:szCs w:val="24"/>
        </w:rPr>
        <w:t xml:space="preserve"> set forth above</w:t>
      </w:r>
      <w:r w:rsidRPr="007D56DD">
        <w:rPr>
          <w:color w:val="000000" w:themeColor="text1"/>
          <w:szCs w:val="24"/>
        </w:rPr>
        <w:t>.</w:t>
      </w:r>
    </w:p>
    <w:p w:rsidR="0055512A" w:rsidRPr="007D56DD" w:rsidP="00741A43" w14:paraId="1D8EDF0D" w14:textId="1B1FE87B">
      <w:pPr>
        <w:pStyle w:val="BodyTextIndent3"/>
        <w:widowControl w:val="0"/>
        <w:spacing w:line="240" w:lineRule="auto"/>
        <w:ind w:left="3600" w:right="-677" w:firstLine="0"/>
        <w:rPr>
          <w:color w:val="000000" w:themeColor="text1"/>
          <w:szCs w:val="24"/>
        </w:rPr>
      </w:pPr>
      <w:r w:rsidRPr="007D56DD">
        <w:rPr>
          <w:color w:val="000000" w:themeColor="text1"/>
          <w:szCs w:val="24"/>
        </w:rPr>
        <w:t>Respectfully submitted,</w:t>
      </w:r>
    </w:p>
    <w:p w:rsidR="0055512A" w:rsidRPr="007D56DD" w:rsidP="0055512A" w14:paraId="0D0FA5C1" w14:textId="77777777">
      <w:pPr>
        <w:pStyle w:val="Footer"/>
        <w:tabs>
          <w:tab w:val="clear" w:pos="4320"/>
          <w:tab w:val="clear" w:pos="8640"/>
        </w:tabs>
        <w:spacing w:before="240"/>
        <w:ind w:firstLine="3600"/>
        <w:rPr>
          <w:color w:val="000000" w:themeColor="text1"/>
          <w:sz w:val="24"/>
          <w:szCs w:val="24"/>
        </w:rPr>
      </w:pPr>
      <w:r w:rsidRPr="007D56DD">
        <w:rPr>
          <w:color w:val="000000" w:themeColor="text1"/>
          <w:sz w:val="24"/>
          <w:szCs w:val="24"/>
        </w:rPr>
        <w:t>Bruce Weston (0016973)</w:t>
      </w:r>
    </w:p>
    <w:p w:rsidR="0055512A" w:rsidRPr="007D56DD" w:rsidP="0055512A" w14:paraId="2C56A126" w14:textId="77777777">
      <w:pPr>
        <w:tabs>
          <w:tab w:val="left" w:pos="4320"/>
        </w:tabs>
        <w:ind w:firstLine="3600"/>
        <w:rPr>
          <w:color w:val="000000" w:themeColor="text1"/>
          <w:szCs w:val="24"/>
        </w:rPr>
      </w:pPr>
      <w:r w:rsidRPr="007D56DD">
        <w:rPr>
          <w:color w:val="000000" w:themeColor="text1"/>
          <w:szCs w:val="24"/>
        </w:rPr>
        <w:t>Ohio Consumers’ Counsel</w:t>
      </w:r>
    </w:p>
    <w:p w:rsidR="0055512A" w:rsidRPr="007D56DD" w:rsidP="0055512A" w14:paraId="127105F3" w14:textId="77777777">
      <w:pPr>
        <w:tabs>
          <w:tab w:val="left" w:pos="4320"/>
        </w:tabs>
        <w:ind w:firstLine="3600"/>
        <w:rPr>
          <w:color w:val="000000" w:themeColor="text1"/>
          <w:szCs w:val="24"/>
        </w:rPr>
      </w:pPr>
    </w:p>
    <w:p w:rsidR="00BF759D" w:rsidRPr="007D56DD" w:rsidP="00BF759D" w14:paraId="14FDF846" w14:textId="1CF728E4">
      <w:pPr>
        <w:ind w:left="3600"/>
        <w:rPr>
          <w:i/>
          <w:iCs/>
          <w:color w:val="000000" w:themeColor="text1"/>
          <w:szCs w:val="24"/>
          <w:u w:val="single"/>
        </w:rPr>
      </w:pPr>
      <w:r w:rsidRPr="007D56DD">
        <w:rPr>
          <w:color w:val="000000" w:themeColor="text1"/>
          <w:szCs w:val="24"/>
          <w:u w:val="single"/>
        </w:rPr>
        <w:t xml:space="preserve">/s/ </w:t>
      </w:r>
      <w:r w:rsidRPr="007D56DD" w:rsidR="00083EB8">
        <w:rPr>
          <w:i/>
          <w:iCs/>
          <w:color w:val="000000" w:themeColor="text1"/>
          <w:szCs w:val="24"/>
          <w:u w:val="single"/>
        </w:rPr>
        <w:t>A</w:t>
      </w:r>
      <w:r w:rsidRPr="007D56DD" w:rsidR="00F62377">
        <w:rPr>
          <w:i/>
          <w:iCs/>
          <w:color w:val="000000" w:themeColor="text1"/>
          <w:szCs w:val="24"/>
          <w:u w:val="single"/>
        </w:rPr>
        <w:t>ngela D. O’Brien</w:t>
      </w:r>
    </w:p>
    <w:p w:rsidR="00083EB8" w:rsidRPr="007D56DD" w:rsidP="00083EB8" w14:paraId="1B4FBF9C" w14:textId="6F6506B8">
      <w:pPr>
        <w:ind w:left="3600"/>
        <w:rPr>
          <w:color w:val="000000" w:themeColor="text1"/>
          <w:szCs w:val="24"/>
        </w:rPr>
      </w:pPr>
      <w:r w:rsidRPr="007D56DD">
        <w:rPr>
          <w:color w:val="000000" w:themeColor="text1"/>
          <w:szCs w:val="24"/>
        </w:rPr>
        <w:t>A</w:t>
      </w:r>
      <w:r w:rsidRPr="007D56DD" w:rsidR="00F62377">
        <w:rPr>
          <w:color w:val="000000" w:themeColor="text1"/>
          <w:szCs w:val="24"/>
        </w:rPr>
        <w:t>ngela D. O’Brien</w:t>
      </w:r>
      <w:r w:rsidRPr="007D56DD">
        <w:rPr>
          <w:color w:val="000000" w:themeColor="text1"/>
          <w:szCs w:val="24"/>
        </w:rPr>
        <w:t xml:space="preserve"> (009</w:t>
      </w:r>
      <w:r w:rsidRPr="007D56DD" w:rsidR="00F62377">
        <w:rPr>
          <w:color w:val="000000" w:themeColor="text1"/>
          <w:szCs w:val="24"/>
        </w:rPr>
        <w:t>7579</w:t>
      </w:r>
      <w:r w:rsidRPr="007D56DD">
        <w:rPr>
          <w:color w:val="000000" w:themeColor="text1"/>
          <w:szCs w:val="24"/>
        </w:rPr>
        <w:t xml:space="preserve">) </w:t>
      </w:r>
    </w:p>
    <w:p w:rsidR="008E69B3" w:rsidRPr="007D56DD" w:rsidP="008E69B3" w14:paraId="14C05893" w14:textId="3212ACE3">
      <w:pPr>
        <w:ind w:left="3600"/>
        <w:rPr>
          <w:color w:val="000000" w:themeColor="text1"/>
          <w:szCs w:val="24"/>
        </w:rPr>
      </w:pPr>
      <w:r w:rsidRPr="007D56DD">
        <w:rPr>
          <w:color w:val="000000" w:themeColor="text1"/>
          <w:szCs w:val="24"/>
        </w:rPr>
        <w:t xml:space="preserve">Counsel of Record </w:t>
      </w:r>
      <w:r w:rsidRPr="007D56DD">
        <w:rPr>
          <w:color w:val="000000" w:themeColor="text1"/>
          <w:szCs w:val="24"/>
        </w:rPr>
        <w:t>(Case No. 19-1903-EL-RDR)</w:t>
      </w:r>
    </w:p>
    <w:p w:rsidR="007B31AE" w:rsidRPr="007D56DD" w:rsidP="007B31AE" w14:paraId="50C5D163" w14:textId="60C3DA28">
      <w:pPr>
        <w:ind w:left="3600"/>
        <w:rPr>
          <w:color w:val="000000" w:themeColor="text1"/>
          <w:szCs w:val="24"/>
        </w:rPr>
      </w:pPr>
      <w:r w:rsidRPr="007D56DD">
        <w:rPr>
          <w:color w:val="000000" w:themeColor="text1"/>
          <w:szCs w:val="24"/>
        </w:rPr>
        <w:t xml:space="preserve">Assistant Consumers’ Counsel </w:t>
      </w:r>
    </w:p>
    <w:p w:rsidR="007B31AE" w:rsidRPr="007D56DD" w:rsidP="007B31AE" w14:paraId="7517AC0B" w14:textId="77777777">
      <w:pPr>
        <w:ind w:left="3600"/>
        <w:rPr>
          <w:color w:val="000000" w:themeColor="text1"/>
          <w:szCs w:val="24"/>
        </w:rPr>
      </w:pPr>
    </w:p>
    <w:p w:rsidR="008E69B3" w:rsidRPr="007D56DD" w:rsidP="008E69B3" w14:paraId="7369C566" w14:textId="77777777">
      <w:pPr>
        <w:tabs>
          <w:tab w:val="left" w:pos="4320"/>
        </w:tabs>
        <w:ind w:left="3600"/>
        <w:rPr>
          <w:szCs w:val="24"/>
        </w:rPr>
      </w:pPr>
      <w:r w:rsidRPr="007D56DD">
        <w:rPr>
          <w:szCs w:val="24"/>
        </w:rPr>
        <w:t>William J. Michael (0070921)</w:t>
      </w:r>
    </w:p>
    <w:p w:rsidR="008E69B3" w:rsidRPr="007D56DD" w:rsidP="008E69B3" w14:paraId="3BC6BF5C" w14:textId="35A29B33">
      <w:pPr>
        <w:tabs>
          <w:tab w:val="left" w:pos="4320"/>
        </w:tabs>
        <w:ind w:left="3600"/>
        <w:rPr>
          <w:szCs w:val="24"/>
        </w:rPr>
      </w:pPr>
      <w:r w:rsidRPr="007D56DD">
        <w:rPr>
          <w:szCs w:val="24"/>
        </w:rPr>
        <w:t xml:space="preserve">Counsel of Record (Case No. </w:t>
      </w:r>
      <w:r w:rsidRPr="007D56DD">
        <w:rPr>
          <w:color w:val="000000" w:themeColor="text1"/>
          <w:szCs w:val="24"/>
        </w:rPr>
        <w:t>20-1672-EL-RDR)</w:t>
      </w:r>
    </w:p>
    <w:p w:rsidR="00BF759D" w:rsidRPr="007D56DD" w:rsidP="008E69B3" w14:paraId="7AB0EACC" w14:textId="109825F3">
      <w:pPr>
        <w:ind w:left="3600"/>
        <w:rPr>
          <w:szCs w:val="24"/>
        </w:rPr>
      </w:pPr>
      <w:r w:rsidRPr="007D56DD">
        <w:rPr>
          <w:szCs w:val="24"/>
        </w:rPr>
        <w:t>Assistant Consumers’ Counsel</w:t>
      </w:r>
    </w:p>
    <w:p w:rsidR="008E69B3" w:rsidRPr="007D56DD" w:rsidP="008E69B3" w14:paraId="07888BDB" w14:textId="77777777">
      <w:pPr>
        <w:ind w:left="3600"/>
        <w:rPr>
          <w:color w:val="000000" w:themeColor="text1"/>
          <w:szCs w:val="24"/>
        </w:rPr>
      </w:pPr>
    </w:p>
    <w:p w:rsidR="00BF759D" w:rsidRPr="007D56DD" w:rsidP="00BF759D" w14:paraId="702C7CB5" w14:textId="77777777">
      <w:pPr>
        <w:ind w:left="3600"/>
        <w:rPr>
          <w:b/>
          <w:bCs/>
          <w:color w:val="000000" w:themeColor="text1"/>
          <w:szCs w:val="24"/>
        </w:rPr>
      </w:pPr>
      <w:r w:rsidRPr="007D56DD">
        <w:rPr>
          <w:b/>
          <w:bCs/>
          <w:color w:val="000000" w:themeColor="text1"/>
          <w:szCs w:val="24"/>
        </w:rPr>
        <w:t xml:space="preserve">Office of the Ohio Consumers’ Counsel </w:t>
      </w:r>
    </w:p>
    <w:p w:rsidR="00BF759D" w:rsidRPr="007D56DD" w:rsidP="00BF759D" w14:paraId="75B91B78" w14:textId="77777777">
      <w:pPr>
        <w:ind w:left="3600"/>
        <w:rPr>
          <w:color w:val="000000" w:themeColor="text1"/>
          <w:szCs w:val="24"/>
        </w:rPr>
      </w:pPr>
      <w:r w:rsidRPr="007D56DD">
        <w:rPr>
          <w:color w:val="000000" w:themeColor="text1"/>
          <w:szCs w:val="24"/>
        </w:rPr>
        <w:t xml:space="preserve">65 East State Street, Suite 700 </w:t>
      </w:r>
    </w:p>
    <w:p w:rsidR="00BF759D" w:rsidRPr="007D56DD" w:rsidP="00BF759D" w14:paraId="595FC433" w14:textId="119C8D71">
      <w:pPr>
        <w:ind w:left="3600"/>
        <w:rPr>
          <w:color w:val="000000" w:themeColor="text1"/>
          <w:szCs w:val="24"/>
        </w:rPr>
      </w:pPr>
      <w:r w:rsidRPr="007D56DD">
        <w:rPr>
          <w:color w:val="000000" w:themeColor="text1"/>
          <w:szCs w:val="24"/>
        </w:rPr>
        <w:t>Columbus, Ohio 43215</w:t>
      </w:r>
    </w:p>
    <w:p w:rsidR="00BF759D" w:rsidRPr="007D56DD" w:rsidP="00BF759D" w14:paraId="49F6D13D" w14:textId="77777777">
      <w:pPr>
        <w:ind w:left="3600"/>
        <w:rPr>
          <w:color w:val="000000" w:themeColor="text1"/>
          <w:szCs w:val="24"/>
        </w:rPr>
      </w:pPr>
      <w:r w:rsidRPr="007D56DD">
        <w:rPr>
          <w:color w:val="000000" w:themeColor="text1"/>
          <w:szCs w:val="24"/>
        </w:rPr>
        <w:t xml:space="preserve">Telephone: [O’Brien] 614-466-9531 </w:t>
      </w:r>
    </w:p>
    <w:p w:rsidR="002D76BF" w:rsidRPr="007D56DD" w:rsidP="002D76BF" w14:paraId="76292501" w14:textId="237D9F36">
      <w:pPr>
        <w:autoSpaceDE w:val="0"/>
        <w:autoSpaceDN w:val="0"/>
        <w:adjustRightInd w:val="0"/>
        <w:ind w:left="3600"/>
        <w:rPr>
          <w:szCs w:val="24"/>
        </w:rPr>
      </w:pPr>
      <w:r w:rsidRPr="007D56DD">
        <w:rPr>
          <w:szCs w:val="24"/>
        </w:rPr>
        <w:t>Telephone [Michael]: (614) 466-1291</w:t>
      </w:r>
    </w:p>
    <w:p w:rsidR="00F62377" w:rsidRPr="007D56DD" w:rsidP="00655218" w14:paraId="7737E4C0" w14:textId="669AA0F2">
      <w:pPr>
        <w:ind w:left="3600"/>
        <w:rPr>
          <w:rStyle w:val="Hyperlink"/>
          <w:szCs w:val="24"/>
        </w:rPr>
      </w:pPr>
      <w:hyperlink r:id="rId6" w:history="1">
        <w:r w:rsidRPr="007D56DD">
          <w:rPr>
            <w:rStyle w:val="Hyperlink"/>
            <w:szCs w:val="24"/>
          </w:rPr>
          <w:t>angela.obrien@occ.ohio.gov</w:t>
        </w:r>
      </w:hyperlink>
    </w:p>
    <w:p w:rsidR="002D76BF" w:rsidRPr="007D56DD" w:rsidP="002D76BF" w14:paraId="1D3BD802" w14:textId="0B36B030">
      <w:pPr>
        <w:autoSpaceDE w:val="0"/>
        <w:autoSpaceDN w:val="0"/>
        <w:adjustRightInd w:val="0"/>
        <w:ind w:left="3600"/>
        <w:rPr>
          <w:rStyle w:val="Hyperlink"/>
          <w:color w:val="auto"/>
          <w:szCs w:val="24"/>
          <w:u w:val="none"/>
        </w:rPr>
      </w:pPr>
      <w:hyperlink r:id="rId7" w:history="1">
        <w:r w:rsidRPr="007D56DD">
          <w:rPr>
            <w:rStyle w:val="Hyperlink"/>
            <w:szCs w:val="24"/>
          </w:rPr>
          <w:t>william.michael@occ.ohio.gov</w:t>
        </w:r>
      </w:hyperlink>
    </w:p>
    <w:p w:rsidR="00BF759D" w:rsidRPr="007D56DD" w:rsidP="00BF759D" w14:paraId="6DAA69A1" w14:textId="77777777">
      <w:pPr>
        <w:ind w:left="3600"/>
        <w:rPr>
          <w:color w:val="000000" w:themeColor="text1"/>
          <w:szCs w:val="24"/>
        </w:rPr>
      </w:pPr>
      <w:r w:rsidRPr="007D56DD">
        <w:rPr>
          <w:color w:val="000000" w:themeColor="text1"/>
          <w:szCs w:val="24"/>
        </w:rPr>
        <w:t>(willing to accept service by e-mail)</w:t>
      </w:r>
    </w:p>
    <w:p w:rsidR="00BF759D" w:rsidRPr="007D56DD" w:rsidP="00BF759D" w14:paraId="3DA33AFA" w14:textId="77777777">
      <w:pPr>
        <w:pStyle w:val="HTMLPreformatted"/>
        <w:jc w:val="center"/>
        <w:rPr>
          <w:rFonts w:ascii="Times New Roman" w:hAnsi="Times New Roman" w:cs="Times New Roman"/>
          <w:b/>
          <w:bCs/>
          <w:color w:val="000000" w:themeColor="text1"/>
          <w:sz w:val="24"/>
          <w:szCs w:val="24"/>
        </w:rPr>
      </w:pPr>
    </w:p>
    <w:p w:rsidR="00A044B5" w:rsidRPr="007D56DD" w14:paraId="3A1A5B78" w14:textId="77777777">
      <w:pPr>
        <w:jc w:val="center"/>
        <w:rPr>
          <w:b/>
          <w:bCs/>
          <w:color w:val="000000" w:themeColor="text1"/>
          <w:szCs w:val="24"/>
          <w:u w:val="single"/>
        </w:rPr>
      </w:pPr>
      <w:r w:rsidRPr="007D56DD">
        <w:rPr>
          <w:color w:val="000000" w:themeColor="text1"/>
          <w:szCs w:val="24"/>
        </w:rPr>
        <w:br w:type="page"/>
      </w:r>
      <w:r w:rsidRPr="007D56DD">
        <w:rPr>
          <w:b/>
          <w:bCs/>
          <w:color w:val="000000" w:themeColor="text1"/>
          <w:szCs w:val="24"/>
          <w:u w:val="single"/>
        </w:rPr>
        <w:t>CERTIFICATE OF SERVICE</w:t>
      </w:r>
    </w:p>
    <w:p w:rsidR="00A044B5" w:rsidRPr="007D56DD" w14:paraId="2033CB7C" w14:textId="031A369C">
      <w:pPr>
        <w:spacing w:line="480" w:lineRule="atLeast"/>
        <w:rPr>
          <w:color w:val="000000" w:themeColor="text1"/>
          <w:szCs w:val="24"/>
        </w:rPr>
      </w:pPr>
      <w:r w:rsidRPr="007D56DD">
        <w:rPr>
          <w:color w:val="000000" w:themeColor="text1"/>
          <w:szCs w:val="24"/>
        </w:rPr>
        <w:tab/>
        <w:t>I hereby certify that a copy of th</w:t>
      </w:r>
      <w:r w:rsidRPr="007D56DD" w:rsidR="00C539FB">
        <w:rPr>
          <w:color w:val="000000" w:themeColor="text1"/>
          <w:szCs w:val="24"/>
        </w:rPr>
        <w:t xml:space="preserve">ese </w:t>
      </w:r>
      <w:r w:rsidRPr="007D56DD" w:rsidR="00932A86">
        <w:rPr>
          <w:color w:val="000000" w:themeColor="text1"/>
          <w:szCs w:val="24"/>
        </w:rPr>
        <w:t>Consumer Protection Comments</w:t>
      </w:r>
      <w:r w:rsidRPr="007D56DD" w:rsidR="008437E7">
        <w:rPr>
          <w:color w:val="000000" w:themeColor="text1"/>
          <w:szCs w:val="24"/>
        </w:rPr>
        <w:t xml:space="preserve"> </w:t>
      </w:r>
      <w:r w:rsidRPr="007D56DD">
        <w:rPr>
          <w:color w:val="000000" w:themeColor="text1"/>
          <w:szCs w:val="24"/>
        </w:rPr>
        <w:t xml:space="preserve">was served on the persons stated below </w:t>
      </w:r>
      <w:r w:rsidRPr="007D56DD">
        <w:rPr>
          <w:iCs/>
          <w:color w:val="000000" w:themeColor="text1"/>
          <w:szCs w:val="24"/>
        </w:rPr>
        <w:t>via</w:t>
      </w:r>
      <w:r w:rsidRPr="007D56DD" w:rsidR="002A4912">
        <w:rPr>
          <w:color w:val="000000" w:themeColor="text1"/>
          <w:szCs w:val="24"/>
        </w:rPr>
        <w:t xml:space="preserve"> electronic transmission</w:t>
      </w:r>
      <w:r w:rsidRPr="007D56DD">
        <w:rPr>
          <w:color w:val="000000" w:themeColor="text1"/>
          <w:szCs w:val="24"/>
        </w:rPr>
        <w:t xml:space="preserve">, this </w:t>
      </w:r>
      <w:r w:rsidRPr="007D56DD" w:rsidR="00F460C1">
        <w:rPr>
          <w:color w:val="000000" w:themeColor="text1"/>
          <w:szCs w:val="24"/>
        </w:rPr>
        <w:t>3</w:t>
      </w:r>
      <w:r w:rsidRPr="007D56DD" w:rsidR="00F460C1">
        <w:rPr>
          <w:color w:val="000000" w:themeColor="text1"/>
          <w:szCs w:val="24"/>
          <w:vertAlign w:val="superscript"/>
        </w:rPr>
        <w:t>rd</w:t>
      </w:r>
      <w:r w:rsidRPr="007D56DD" w:rsidR="0088521D">
        <w:rPr>
          <w:color w:val="000000" w:themeColor="text1"/>
          <w:szCs w:val="24"/>
        </w:rPr>
        <w:t xml:space="preserve"> </w:t>
      </w:r>
      <w:r w:rsidRPr="007D56DD">
        <w:rPr>
          <w:color w:val="000000" w:themeColor="text1"/>
          <w:szCs w:val="24"/>
        </w:rPr>
        <w:t xml:space="preserve">day of </w:t>
      </w:r>
      <w:r w:rsidRPr="007D56DD" w:rsidR="00F460C1">
        <w:rPr>
          <w:color w:val="000000" w:themeColor="text1"/>
          <w:szCs w:val="24"/>
        </w:rPr>
        <w:t>May</w:t>
      </w:r>
      <w:r w:rsidRPr="007D56DD">
        <w:rPr>
          <w:color w:val="000000" w:themeColor="text1"/>
          <w:szCs w:val="24"/>
        </w:rPr>
        <w:t xml:space="preserve"> 20</w:t>
      </w:r>
      <w:r w:rsidRPr="007D56DD" w:rsidR="00480607">
        <w:rPr>
          <w:color w:val="000000" w:themeColor="text1"/>
          <w:szCs w:val="24"/>
        </w:rPr>
        <w:t>2</w:t>
      </w:r>
      <w:r w:rsidRPr="007D56DD" w:rsidR="00766AC0">
        <w:rPr>
          <w:color w:val="000000" w:themeColor="text1"/>
          <w:szCs w:val="24"/>
        </w:rPr>
        <w:t>3</w:t>
      </w:r>
      <w:r w:rsidRPr="007D56DD">
        <w:rPr>
          <w:color w:val="000000" w:themeColor="text1"/>
          <w:szCs w:val="24"/>
        </w:rPr>
        <w:t>.</w:t>
      </w:r>
    </w:p>
    <w:p w:rsidR="00A044B5" w:rsidRPr="007D56DD" w:rsidP="008B6BD3" w14:paraId="7E12130F" w14:textId="77777777">
      <w:pPr>
        <w:rPr>
          <w:color w:val="000000" w:themeColor="text1"/>
          <w:szCs w:val="24"/>
        </w:rPr>
      </w:pPr>
    </w:p>
    <w:p w:rsidR="00A0516E" w:rsidRPr="007D56DD" w:rsidP="00A0516E" w14:paraId="16721D70" w14:textId="79B7C6CB">
      <w:pPr>
        <w:ind w:left="3600"/>
        <w:rPr>
          <w:color w:val="000000" w:themeColor="text1"/>
          <w:szCs w:val="24"/>
          <w:u w:val="single"/>
        </w:rPr>
      </w:pPr>
      <w:r w:rsidRPr="007D56DD">
        <w:rPr>
          <w:color w:val="000000" w:themeColor="text1"/>
          <w:szCs w:val="24"/>
        </w:rPr>
        <w:tab/>
      </w:r>
      <w:r w:rsidRPr="007D56DD">
        <w:rPr>
          <w:i/>
          <w:iCs/>
          <w:color w:val="000000" w:themeColor="text1"/>
          <w:szCs w:val="24"/>
          <w:u w:val="single"/>
        </w:rPr>
        <w:t>/s/</w:t>
      </w:r>
      <w:r w:rsidRPr="007D56DD">
        <w:rPr>
          <w:color w:val="000000" w:themeColor="text1"/>
          <w:szCs w:val="24"/>
          <w:u w:val="single"/>
        </w:rPr>
        <w:t xml:space="preserve"> </w:t>
      </w:r>
      <w:r w:rsidRPr="007D56DD" w:rsidR="00083EB8">
        <w:rPr>
          <w:i/>
          <w:iCs/>
          <w:color w:val="000000" w:themeColor="text1"/>
          <w:szCs w:val="24"/>
          <w:u w:val="single"/>
        </w:rPr>
        <w:t>A</w:t>
      </w:r>
      <w:r w:rsidRPr="007D56DD" w:rsidR="00F62377">
        <w:rPr>
          <w:i/>
          <w:iCs/>
          <w:color w:val="000000" w:themeColor="text1"/>
          <w:szCs w:val="24"/>
          <w:u w:val="single"/>
        </w:rPr>
        <w:t>ngela D. O’Brien</w:t>
      </w:r>
    </w:p>
    <w:p w:rsidR="00A044B5" w:rsidRPr="007D56DD" w14:paraId="32E0163F" w14:textId="60F854B2">
      <w:pPr>
        <w:tabs>
          <w:tab w:val="left" w:pos="4320"/>
        </w:tabs>
        <w:rPr>
          <w:color w:val="000000" w:themeColor="text1"/>
          <w:szCs w:val="24"/>
        </w:rPr>
      </w:pPr>
      <w:r w:rsidRPr="007D56DD">
        <w:rPr>
          <w:color w:val="000000" w:themeColor="text1"/>
          <w:szCs w:val="24"/>
        </w:rPr>
        <w:tab/>
      </w:r>
      <w:r w:rsidRPr="007D56DD" w:rsidR="00083EB8">
        <w:rPr>
          <w:color w:val="000000" w:themeColor="text1"/>
          <w:szCs w:val="24"/>
        </w:rPr>
        <w:t>A</w:t>
      </w:r>
      <w:r w:rsidRPr="007D56DD" w:rsidR="00F62377">
        <w:rPr>
          <w:color w:val="000000" w:themeColor="text1"/>
          <w:szCs w:val="24"/>
        </w:rPr>
        <w:t>ngela D. O’Brien</w:t>
      </w:r>
    </w:p>
    <w:p w:rsidR="00A044B5" w:rsidRPr="007D56DD" w14:paraId="59C25071" w14:textId="77777777">
      <w:pPr>
        <w:tabs>
          <w:tab w:val="left" w:pos="4320"/>
        </w:tabs>
        <w:rPr>
          <w:color w:val="000000" w:themeColor="text1"/>
          <w:szCs w:val="24"/>
        </w:rPr>
      </w:pPr>
      <w:r w:rsidRPr="007D56DD">
        <w:rPr>
          <w:color w:val="000000" w:themeColor="text1"/>
          <w:szCs w:val="24"/>
        </w:rPr>
        <w:tab/>
        <w:t>Assistant Consumers’ Counsel</w:t>
      </w:r>
    </w:p>
    <w:p w:rsidR="00A044B5" w:rsidRPr="007D56DD" w14:paraId="0E94EBED" w14:textId="77777777">
      <w:pPr>
        <w:pStyle w:val="CommentSubject"/>
        <w:rPr>
          <w:color w:val="000000" w:themeColor="text1"/>
          <w:szCs w:val="24"/>
        </w:rPr>
      </w:pPr>
    </w:p>
    <w:p w:rsidR="009F067A" w:rsidRPr="007D56DD" w:rsidP="009F067A" w14:paraId="022B93A8" w14:textId="77777777">
      <w:pPr>
        <w:pStyle w:val="CommentText"/>
        <w:rPr>
          <w:color w:val="000000" w:themeColor="text1"/>
        </w:rPr>
      </w:pPr>
      <w:r w:rsidRPr="007D56DD">
        <w:rPr>
          <w:color w:val="000000" w:themeColor="text1"/>
        </w:rPr>
        <w:t>The PUCO’s e-filing system will electronically serve notice of the filing of this document on the following parties:</w:t>
      </w:r>
    </w:p>
    <w:p w:rsidR="00A044B5" w:rsidRPr="007D56DD" w:rsidP="008B6BD3" w14:paraId="222B2B8F" w14:textId="77777777">
      <w:pPr>
        <w:pStyle w:val="CommentText"/>
        <w:rPr>
          <w:color w:val="000000" w:themeColor="text1"/>
        </w:rPr>
      </w:pPr>
    </w:p>
    <w:p w:rsidR="00A044B5" w:rsidRPr="007D56DD" w14:paraId="6D32E390" w14:textId="77777777">
      <w:pPr>
        <w:pStyle w:val="CommentText"/>
        <w:jc w:val="center"/>
        <w:rPr>
          <w:b/>
          <w:color w:val="000000" w:themeColor="text1"/>
          <w:u w:val="single"/>
        </w:rPr>
      </w:pPr>
      <w:r w:rsidRPr="007D56DD">
        <w:rPr>
          <w:b/>
          <w:color w:val="000000" w:themeColor="text1"/>
          <w:u w:val="single"/>
        </w:rPr>
        <w:t>SERVICE LIST</w:t>
      </w:r>
    </w:p>
    <w:p w:rsidR="002043E0" w:rsidRPr="007D56DD" w14:paraId="3A710C99" w14:textId="77777777">
      <w:pPr>
        <w:pStyle w:val="CommentText"/>
        <w:jc w:val="center"/>
        <w:rPr>
          <w:b/>
          <w:color w:val="000000" w:themeColor="text1"/>
          <w:u w:val="single"/>
        </w:rPr>
      </w:pPr>
    </w:p>
    <w:p w:rsidR="002043E0" w:rsidRPr="007D56DD" w:rsidP="002043E0" w14:paraId="12D77CD3" w14:textId="54EA6B93">
      <w:pPr>
        <w:pStyle w:val="CommentText"/>
        <w:rPr>
          <w:b/>
          <w:bCs/>
          <w:color w:val="000000" w:themeColor="text1"/>
        </w:rPr>
      </w:pPr>
      <w:r w:rsidRPr="007D56DD">
        <w:rPr>
          <w:b/>
          <w:bCs/>
          <w:color w:val="000000" w:themeColor="text1"/>
        </w:rPr>
        <w:t>19-1903-EL-RDR</w:t>
      </w:r>
    </w:p>
    <w:p w:rsidR="002043E0" w:rsidRPr="007D56DD" w:rsidP="00ED555C" w14:paraId="465EFF98" w14:textId="77777777">
      <w:pPr>
        <w:pStyle w:val="CommentText"/>
        <w:rPr>
          <w:b/>
          <w:color w:val="000000" w:themeColor="text1"/>
          <w:u w:val="single"/>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040"/>
      </w:tblGrid>
      <w:tr w14:paraId="570E4991" w14:textId="77777777" w:rsidTr="0036506A">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2043E0" w:rsidRPr="007D56DD" w:rsidP="0036506A" w14:paraId="03CCAA9A" w14:textId="29C2A487">
            <w:pPr>
              <w:pStyle w:val="CommentText"/>
              <w:rPr>
                <w:rStyle w:val="Hyperlink"/>
                <w:bCs/>
              </w:rPr>
            </w:pPr>
            <w:hyperlink r:id="rId8" w:history="1">
              <w:r w:rsidRPr="007D56DD" w:rsidR="00B96F8E">
                <w:rPr>
                  <w:rStyle w:val="Hyperlink"/>
                </w:rPr>
                <w:t>k</w:t>
              </w:r>
              <w:r w:rsidRPr="007D56DD" w:rsidR="00B96F8E">
                <w:rPr>
                  <w:rStyle w:val="Hyperlink"/>
                  <w:bCs/>
                </w:rPr>
                <w:t>yle.kern@ohioago.gov</w:t>
              </w:r>
            </w:hyperlink>
          </w:p>
          <w:p w:rsidR="002043E0" w:rsidRPr="007D56DD" w:rsidP="002043E0" w14:paraId="4B993690" w14:textId="75204082">
            <w:pPr>
              <w:pStyle w:val="CommentText"/>
              <w:rPr>
                <w:bCs/>
              </w:rPr>
            </w:pPr>
            <w:hyperlink r:id="rId9" w:history="1">
              <w:r w:rsidRPr="007D56DD" w:rsidR="00B96F8E">
                <w:rPr>
                  <w:rStyle w:val="Hyperlink"/>
                </w:rPr>
                <w:t>r</w:t>
              </w:r>
              <w:r w:rsidRPr="007D56DD" w:rsidR="00B96F8E">
                <w:rPr>
                  <w:rStyle w:val="Hyperlink"/>
                  <w:bCs/>
                </w:rPr>
                <w:t>obert.eubanks@ohioago.gov</w:t>
              </w:r>
            </w:hyperlink>
          </w:p>
          <w:p w:rsidR="002043E0" w:rsidRPr="007D56DD" w:rsidP="0036506A" w14:paraId="32B9FC14" w14:textId="77777777">
            <w:pPr>
              <w:pStyle w:val="CommentText"/>
            </w:pPr>
          </w:p>
          <w:p w:rsidR="002043E0" w:rsidRPr="007D56DD" w:rsidP="0036506A" w14:paraId="5DB993E9" w14:textId="77777777">
            <w:pPr>
              <w:pStyle w:val="CommentText"/>
            </w:pPr>
            <w:r w:rsidRPr="007D56DD">
              <w:t>Attorney Examiners:</w:t>
            </w:r>
          </w:p>
          <w:p w:rsidR="002043E0" w:rsidRPr="007D56DD" w:rsidP="0036506A" w14:paraId="336C33CD" w14:textId="77777777">
            <w:pPr>
              <w:pStyle w:val="CommentText"/>
            </w:pPr>
            <w:hyperlink r:id="rId10" w:history="1">
              <w:r w:rsidRPr="007D56DD">
                <w:rPr>
                  <w:rStyle w:val="Hyperlink"/>
                </w:rPr>
                <w:t>megan.addison@puco.ohio.gov</w:t>
              </w:r>
            </w:hyperlink>
          </w:p>
          <w:p w:rsidR="002043E0" w:rsidRPr="007D56DD" w:rsidP="0036506A" w14:paraId="590C175D" w14:textId="77777777">
            <w:pPr>
              <w:pStyle w:val="CommentText"/>
            </w:pPr>
            <w:hyperlink r:id="rId11" w:history="1">
              <w:r w:rsidRPr="007D56DD">
                <w:rPr>
                  <w:rStyle w:val="Hyperlink"/>
                </w:rPr>
                <w:t>greg.price@puco.ohio.gov</w:t>
              </w:r>
            </w:hyperlink>
          </w:p>
        </w:tc>
        <w:tc>
          <w:tcPr>
            <w:tcW w:w="4040" w:type="dxa"/>
          </w:tcPr>
          <w:p w:rsidR="002043E0" w:rsidRPr="007D56DD" w:rsidP="0036506A" w14:paraId="2F683938" w14:textId="450177A9">
            <w:pPr>
              <w:pStyle w:val="CommentText"/>
            </w:pPr>
            <w:hyperlink r:id="rId12" w:history="1">
              <w:r w:rsidRPr="007D56DD">
                <w:rPr>
                  <w:rStyle w:val="Hyperlink"/>
                  <w:bCs/>
                </w:rPr>
                <w:t>bknipe@firstenergycorp.com</w:t>
              </w:r>
            </w:hyperlink>
          </w:p>
          <w:p w:rsidR="002043E0" w:rsidRPr="007D56DD" w:rsidP="0036506A" w14:paraId="3FE92719" w14:textId="4D656466">
            <w:pPr>
              <w:pStyle w:val="CommentText"/>
            </w:pPr>
            <w:hyperlink r:id="rId13" w:history="1">
              <w:r w:rsidRPr="007D56DD">
                <w:rPr>
                  <w:rStyle w:val="Hyperlink"/>
                </w:rPr>
                <w:t>cwatchorn@firstenergycorp.com</w:t>
              </w:r>
            </w:hyperlink>
          </w:p>
          <w:p w:rsidR="002043E0" w:rsidRPr="007D56DD" w:rsidP="0036506A" w14:paraId="6E8DBB87" w14:textId="77777777">
            <w:pPr>
              <w:pStyle w:val="CommentText"/>
              <w:ind w:left="791"/>
            </w:pPr>
          </w:p>
          <w:p w:rsidR="002043E0" w:rsidRPr="007D56DD" w:rsidP="0036506A" w14:paraId="4E6014E4" w14:textId="77777777">
            <w:pPr>
              <w:pStyle w:val="CommentText"/>
            </w:pPr>
          </w:p>
        </w:tc>
      </w:tr>
    </w:tbl>
    <w:p w:rsidR="002043E0" w:rsidRPr="007D56DD" w14:paraId="642E9BB0" w14:textId="77777777">
      <w:pPr>
        <w:pStyle w:val="CommentText"/>
        <w:jc w:val="center"/>
        <w:rPr>
          <w:b/>
          <w:color w:val="000000" w:themeColor="text1"/>
          <w:u w:val="single"/>
        </w:rPr>
      </w:pPr>
    </w:p>
    <w:p w:rsidR="00FB47D8" w:rsidRPr="007D56DD" w14:paraId="0977DC6D" w14:textId="77777777">
      <w:pPr>
        <w:pStyle w:val="CommentText"/>
        <w:jc w:val="center"/>
        <w:rPr>
          <w:b/>
          <w:color w:val="000000" w:themeColor="text1"/>
          <w:u w:val="single"/>
        </w:rPr>
      </w:pPr>
    </w:p>
    <w:p w:rsidR="00F44CAD" w:rsidRPr="007D56DD" w:rsidP="002043E0" w14:paraId="5AD952DF" w14:textId="22E9B20F">
      <w:pPr>
        <w:pStyle w:val="CommentText"/>
        <w:rPr>
          <w:b/>
          <w:bCs/>
          <w:color w:val="000000" w:themeColor="text1"/>
          <w:u w:val="single"/>
        </w:rPr>
      </w:pPr>
      <w:r w:rsidRPr="007D56DD">
        <w:rPr>
          <w:b/>
          <w:bCs/>
          <w:color w:val="000000" w:themeColor="text1"/>
        </w:rPr>
        <w:t>20-1672-EL-RDR</w:t>
      </w:r>
    </w:p>
    <w:p w:rsidR="00A044B5" w:rsidRPr="007D56DD" w14:paraId="6A6642B2" w14:textId="77777777">
      <w:pPr>
        <w:pStyle w:val="BodyText"/>
        <w:rPr>
          <w:b/>
          <w:bCs/>
          <w:color w:val="000000" w:themeColor="text1"/>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040"/>
      </w:tblGrid>
      <w:tr w14:paraId="5826A904" w14:textId="77777777" w:rsidTr="002043E0">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2043E0" w:rsidRPr="007D56DD" w:rsidP="0036506A" w14:paraId="0099FDC3" w14:textId="7DC3CFB1">
            <w:pPr>
              <w:pStyle w:val="CommentText"/>
            </w:pPr>
            <w:hyperlink r:id="rId14" w:history="1">
              <w:r w:rsidRPr="007D56DD" w:rsidR="00D65D5B">
                <w:rPr>
                  <w:rStyle w:val="Hyperlink"/>
                </w:rPr>
                <w:t>thomas.lindgren@ohioago.gov</w:t>
              </w:r>
            </w:hyperlink>
          </w:p>
          <w:p w:rsidR="00D65D5B" w:rsidRPr="007D56DD" w:rsidP="0036506A" w14:paraId="74EEFA5D" w14:textId="020A860F">
            <w:pPr>
              <w:pStyle w:val="CommentText"/>
            </w:pPr>
            <w:hyperlink r:id="rId15" w:history="1">
              <w:r w:rsidRPr="007D56DD">
                <w:rPr>
                  <w:rStyle w:val="Hyperlink"/>
                </w:rPr>
                <w:t>rhiannon.howard@ohioago.gov</w:t>
              </w:r>
            </w:hyperlink>
          </w:p>
          <w:p w:rsidR="00D65D5B" w:rsidRPr="007D56DD" w:rsidP="0036506A" w14:paraId="09A01245" w14:textId="77777777">
            <w:pPr>
              <w:pStyle w:val="CommentText"/>
            </w:pPr>
          </w:p>
          <w:p w:rsidR="002043E0" w:rsidRPr="007D56DD" w:rsidP="0036506A" w14:paraId="2EA8DBE9" w14:textId="77777777">
            <w:pPr>
              <w:pStyle w:val="CommentText"/>
            </w:pPr>
            <w:r w:rsidRPr="007D56DD">
              <w:t>Attorney Examiners:</w:t>
            </w:r>
          </w:p>
          <w:p w:rsidR="002043E0" w:rsidRPr="007D56DD" w:rsidP="0036506A" w14:paraId="1F094AB8" w14:textId="77777777">
            <w:pPr>
              <w:pStyle w:val="CommentText"/>
            </w:pPr>
            <w:hyperlink r:id="rId10" w:history="1">
              <w:r w:rsidRPr="007D56DD">
                <w:rPr>
                  <w:rStyle w:val="Hyperlink"/>
                </w:rPr>
                <w:t>megan.addison@puco.ohio.gov</w:t>
              </w:r>
            </w:hyperlink>
          </w:p>
          <w:p w:rsidR="002043E0" w:rsidRPr="007D56DD" w:rsidP="0036506A" w14:paraId="4284485A" w14:textId="77777777">
            <w:pPr>
              <w:pStyle w:val="CommentText"/>
            </w:pPr>
            <w:hyperlink r:id="rId11" w:history="1">
              <w:r w:rsidRPr="007D56DD">
                <w:rPr>
                  <w:rStyle w:val="Hyperlink"/>
                </w:rPr>
                <w:t>greg.price@puco.ohio.gov</w:t>
              </w:r>
            </w:hyperlink>
          </w:p>
        </w:tc>
        <w:tc>
          <w:tcPr>
            <w:tcW w:w="4040" w:type="dxa"/>
          </w:tcPr>
          <w:p w:rsidR="002043E0" w:rsidRPr="007D56DD" w:rsidP="0036506A" w14:paraId="67D87C2C" w14:textId="77777777">
            <w:pPr>
              <w:pStyle w:val="CommentText"/>
            </w:pPr>
            <w:hyperlink r:id="rId13" w:history="1">
              <w:r w:rsidRPr="007D56DD">
                <w:rPr>
                  <w:rStyle w:val="Hyperlink"/>
                </w:rPr>
                <w:t>cwatchorn@firstenergycorp.com</w:t>
              </w:r>
            </w:hyperlink>
          </w:p>
          <w:p w:rsidR="002043E0" w:rsidRPr="007D56DD" w:rsidP="0036506A" w14:paraId="7720937A" w14:textId="77777777">
            <w:pPr>
              <w:pStyle w:val="CommentText"/>
              <w:ind w:left="791"/>
            </w:pPr>
          </w:p>
          <w:p w:rsidR="002043E0" w:rsidRPr="007D56DD" w:rsidP="0036506A" w14:paraId="37C693F3" w14:textId="77777777">
            <w:pPr>
              <w:pStyle w:val="CommentText"/>
            </w:pPr>
          </w:p>
        </w:tc>
      </w:tr>
    </w:tbl>
    <w:p w:rsidR="00A044B5" w:rsidRPr="007D56DD" w14:paraId="7D62D014" w14:textId="77777777">
      <w:pPr>
        <w:pStyle w:val="BodyText"/>
        <w:rPr>
          <w:b/>
          <w:bCs/>
          <w:color w:val="000000" w:themeColor="text1"/>
          <w:szCs w:val="24"/>
        </w:rPr>
      </w:pPr>
    </w:p>
    <w:sectPr w:rsidSect="005C4477">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683" w14:paraId="172671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9848933"/>
      <w:docPartObj>
        <w:docPartGallery w:val="Page Numbers (Bottom of Page)"/>
        <w:docPartUnique/>
      </w:docPartObj>
    </w:sdtPr>
    <w:sdtEndPr>
      <w:rPr>
        <w:noProof/>
        <w:sz w:val="24"/>
        <w:szCs w:val="24"/>
      </w:rPr>
    </w:sdtEndPr>
    <w:sdtContent>
      <w:p w:rsidR="00B410E5" w:rsidRPr="00B410E5" w14:paraId="0DB78B2A" w14:textId="3A49F731">
        <w:pPr>
          <w:pStyle w:val="Footer"/>
          <w:jc w:val="center"/>
          <w:rPr>
            <w:sz w:val="24"/>
            <w:szCs w:val="24"/>
          </w:rPr>
        </w:pPr>
        <w:r w:rsidRPr="00B410E5">
          <w:rPr>
            <w:sz w:val="24"/>
            <w:szCs w:val="24"/>
          </w:rPr>
          <w:fldChar w:fldCharType="begin"/>
        </w:r>
        <w:r w:rsidRPr="00B410E5">
          <w:rPr>
            <w:sz w:val="24"/>
            <w:szCs w:val="24"/>
          </w:rPr>
          <w:instrText xml:space="preserve"> PAGE   \* MERGEFORMAT </w:instrText>
        </w:r>
        <w:r w:rsidRPr="00B410E5">
          <w:rPr>
            <w:sz w:val="24"/>
            <w:szCs w:val="24"/>
          </w:rPr>
          <w:fldChar w:fldCharType="separate"/>
        </w:r>
        <w:r w:rsidRPr="00B410E5">
          <w:rPr>
            <w:noProof/>
            <w:sz w:val="24"/>
            <w:szCs w:val="24"/>
          </w:rPr>
          <w:t>2</w:t>
        </w:r>
        <w:r w:rsidRPr="00B410E5">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309F" w:rsidRPr="00D5309F" w14:paraId="2A791CE6" w14:textId="2C81E0DD">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661A" w14:paraId="33F1A893" w14:textId="77777777">
      <w:r>
        <w:separator/>
      </w:r>
    </w:p>
  </w:footnote>
  <w:footnote w:type="continuationSeparator" w:id="1">
    <w:p w:rsidR="0006661A" w14:paraId="2B0442B1" w14:textId="77777777">
      <w:r>
        <w:continuationSeparator/>
      </w:r>
    </w:p>
  </w:footnote>
  <w:footnote w:type="continuationNotice" w:id="2">
    <w:p w:rsidR="0006661A" w14:paraId="789B154B" w14:textId="77777777"/>
  </w:footnote>
  <w:footnote w:id="3">
    <w:p w:rsidR="00467D7D" w:rsidRPr="00F53937" w:rsidP="00F53937" w14:paraId="5457861A" w14:textId="2EBF25D4">
      <w:pPr>
        <w:pStyle w:val="FootnoteText"/>
        <w:spacing w:after="120"/>
      </w:pPr>
      <w:r w:rsidRPr="00F53937">
        <w:rPr>
          <w:rStyle w:val="FootnoteReference"/>
        </w:rPr>
        <w:footnoteRef/>
      </w:r>
      <w:r w:rsidRPr="00F53937">
        <w:t xml:space="preserve"> Ohio Edison Company, </w:t>
      </w:r>
      <w:r w:rsidR="00C70FB4">
        <w:t>t</w:t>
      </w:r>
      <w:r w:rsidRPr="00F53937">
        <w:t xml:space="preserve">he Cleveland Electric Illuminating Company, and </w:t>
      </w:r>
      <w:r w:rsidR="00C70FB4">
        <w:t>t</w:t>
      </w:r>
      <w:r w:rsidRPr="00F53937">
        <w:t>he Toledo Edison Company (collectively “FirstEnergy”).</w:t>
      </w:r>
    </w:p>
  </w:footnote>
  <w:footnote w:id="4">
    <w:p w:rsidR="0026195C" w:rsidRPr="00F53937" w:rsidP="00F53937" w14:paraId="5B7E5433" w14:textId="35145C22">
      <w:pPr>
        <w:pStyle w:val="FootnoteText"/>
        <w:spacing w:after="120"/>
      </w:pPr>
      <w:r w:rsidRPr="00F53937">
        <w:rPr>
          <w:rStyle w:val="FootnoteReference"/>
        </w:rPr>
        <w:footnoteRef/>
      </w:r>
      <w:r w:rsidRPr="00F53937">
        <w:t xml:space="preserve"> </w:t>
      </w:r>
      <w:r w:rsidRPr="00F53937">
        <w:rPr>
          <w:i/>
          <w:iCs/>
        </w:rPr>
        <w:t xml:space="preserve">In the Matter of Staff’s Review of Select Tariffs of Ohio Edison Company, </w:t>
      </w:r>
      <w:r w:rsidR="00C70FB4">
        <w:rPr>
          <w:i/>
          <w:iCs/>
        </w:rPr>
        <w:t>t</w:t>
      </w:r>
      <w:r w:rsidRPr="00F53937">
        <w:rPr>
          <w:i/>
          <w:iCs/>
        </w:rPr>
        <w:t>he Cleveland Electric Illuminating Company, and the Toledo Edison Company</w:t>
      </w:r>
      <w:r w:rsidRPr="00F53937">
        <w:t>, Case No. 19-1903-EL-RDR, Report in Support of Staff’s 2020 Annual Review of the Advanced Metering Infrastructure / Modern Grid Rider (Rider A</w:t>
      </w:r>
      <w:r w:rsidRPr="00F53937" w:rsidR="00E45C0E">
        <w:t>MI</w:t>
      </w:r>
      <w:r w:rsidRPr="00F53937">
        <w:t xml:space="preserve">) Submitted by Ohio Edison Company, </w:t>
      </w:r>
      <w:r w:rsidR="00C70FB4">
        <w:t>t</w:t>
      </w:r>
      <w:r w:rsidRPr="00F53937">
        <w:t>he Cleveland Electric Illuminating Company and the Toledo Edison Company, (February 26, 2021) at Exhibit F.</w:t>
      </w:r>
    </w:p>
  </w:footnote>
  <w:footnote w:id="5">
    <w:p w:rsidR="00526766" w:rsidRPr="00F53937" w:rsidP="00F53937" w14:paraId="2F26B967" w14:textId="3E5B992E">
      <w:pPr>
        <w:pStyle w:val="FootnoteText"/>
        <w:spacing w:after="120"/>
      </w:pPr>
      <w:r w:rsidRPr="00F53937">
        <w:rPr>
          <w:rStyle w:val="FootnoteReference"/>
        </w:rPr>
        <w:footnoteRef/>
      </w:r>
      <w:r w:rsidRPr="00F53937">
        <w:t xml:space="preserve"> </w:t>
      </w:r>
      <w:r w:rsidRPr="00F53937">
        <w:rPr>
          <w:i/>
          <w:iCs/>
        </w:rPr>
        <w:t xml:space="preserve">In the Matter of Staff’s Review of Select Tariffs of Ohio Edison Company, </w:t>
      </w:r>
      <w:r w:rsidR="00C91363">
        <w:rPr>
          <w:i/>
          <w:iCs/>
        </w:rPr>
        <w:t>t</w:t>
      </w:r>
      <w:r w:rsidRPr="00F53937">
        <w:rPr>
          <w:i/>
          <w:iCs/>
        </w:rPr>
        <w:t>he Cleveland Electric Illuminating Company, and the Toledo Edison Company,</w:t>
      </w:r>
      <w:r w:rsidRPr="00F53937">
        <w:t xml:space="preserve"> Case No. 20-1672-EL-RDR, Report in Support of Staff’s 2021 Annual Review of the Advanced Metering Infrastructure / Modern Grid Rider (Rider A</w:t>
      </w:r>
      <w:r w:rsidRPr="00F53937" w:rsidR="00E45C0E">
        <w:t>MI</w:t>
      </w:r>
      <w:r w:rsidRPr="00F53937">
        <w:t xml:space="preserve">) Submitted by Ohio Edison Company, </w:t>
      </w:r>
      <w:r w:rsidR="00320142">
        <w:t>t</w:t>
      </w:r>
      <w:r w:rsidRPr="00F53937">
        <w:t>he Cleveland Electric Illuminating Company and the Toledo Edison Company, (February 28, 2022) at Exhibit F.</w:t>
      </w:r>
    </w:p>
  </w:footnote>
  <w:footnote w:id="6">
    <w:p w:rsidR="009A4D73" w:rsidRPr="00F53937" w:rsidP="00F53937" w14:paraId="5DD9D49C" w14:textId="134B0B5E">
      <w:pPr>
        <w:pStyle w:val="FootnoteText"/>
        <w:spacing w:after="120"/>
      </w:pPr>
      <w:r w:rsidRPr="00F53937">
        <w:rPr>
          <w:rStyle w:val="FootnoteReference"/>
        </w:rPr>
        <w:footnoteRef/>
      </w:r>
      <w:r w:rsidRPr="00F53937" w:rsidR="00F53937">
        <w:t xml:space="preserve"> </w:t>
      </w:r>
      <w:r w:rsidRPr="00F53937">
        <w:t xml:space="preserve">R.C. 4905.22; </w:t>
      </w:r>
      <w:r w:rsidRPr="00F53937">
        <w:rPr>
          <w:i/>
          <w:iCs/>
        </w:rPr>
        <w:t xml:space="preserve">See also </w:t>
      </w:r>
      <w:r w:rsidRPr="00F53937">
        <w:t>Case No. 16-481-EL-UNC, Opinion and Order (July 17, 2019), at ¶ 33.</w:t>
      </w:r>
    </w:p>
  </w:footnote>
  <w:footnote w:id="7">
    <w:p w:rsidR="006C5C49" w:rsidRPr="00F53937" w:rsidP="00F53937" w14:paraId="19B4F4E7" w14:textId="1C2DB632">
      <w:pPr>
        <w:pStyle w:val="FootnoteText"/>
        <w:spacing w:after="120"/>
      </w:pPr>
      <w:r w:rsidRPr="00F53937">
        <w:rPr>
          <w:rStyle w:val="FootnoteReference"/>
        </w:rPr>
        <w:footnoteRef/>
      </w:r>
      <w:r w:rsidRPr="00F53937">
        <w:t xml:space="preserve"> </w:t>
      </w:r>
      <w:r w:rsidRPr="00F53937">
        <w:rPr>
          <w:i/>
          <w:iCs/>
        </w:rPr>
        <w:t xml:space="preserve">See In the Matter of the Application of Ohio Edison Company, </w:t>
      </w:r>
      <w:r w:rsidR="00A374DE">
        <w:rPr>
          <w:i/>
          <w:iCs/>
        </w:rPr>
        <w:t>t</w:t>
      </w:r>
      <w:r w:rsidRPr="00F53937">
        <w:rPr>
          <w:i/>
          <w:iCs/>
        </w:rPr>
        <w:t xml:space="preserve">he Cleveland Electric Illuminating Company, and </w:t>
      </w:r>
      <w:r w:rsidR="00A27BF3">
        <w:rPr>
          <w:i/>
          <w:iCs/>
        </w:rPr>
        <w:t>t</w:t>
      </w:r>
      <w:r w:rsidRPr="00F53937">
        <w:rPr>
          <w:i/>
          <w:iCs/>
        </w:rPr>
        <w:t>he Toledo Edison Company for Approval of Ohio Site Deployment of the Smart Grid Modernization Initiative and Timely Recovery of Associated Costs</w:t>
      </w:r>
      <w:r w:rsidRPr="00F53937">
        <w:t xml:space="preserve">, Case No. 09-1820-EL-ATA, </w:t>
      </w:r>
      <w:r w:rsidRPr="00F53937">
        <w:rPr>
          <w:i/>
          <w:iCs/>
        </w:rPr>
        <w:t>et al.</w:t>
      </w:r>
      <w:r w:rsidRPr="00F53937">
        <w:t xml:space="preserve">, Finding and Order (May 28, 2015). </w:t>
      </w:r>
    </w:p>
  </w:footnote>
  <w:footnote w:id="8">
    <w:p w:rsidR="006C5C49" w:rsidRPr="00F53937" w:rsidP="00F53937" w14:paraId="54F170B5" w14:textId="5BE26841">
      <w:pPr>
        <w:pStyle w:val="FootnoteText"/>
        <w:spacing w:after="120"/>
        <w:rPr>
          <w:i/>
          <w:iCs/>
        </w:rPr>
      </w:pPr>
      <w:r w:rsidRPr="00F53937">
        <w:rPr>
          <w:rStyle w:val="FootnoteReference"/>
        </w:rPr>
        <w:footnoteRef/>
      </w:r>
      <w:r w:rsidRPr="00F53937">
        <w:t xml:space="preserve"> </w:t>
      </w:r>
      <w:r w:rsidRPr="00F53937">
        <w:rPr>
          <w:i/>
          <w:iCs/>
        </w:rPr>
        <w:t xml:space="preserve">In the Matter of the Filing </w:t>
      </w:r>
      <w:r w:rsidR="00F53937">
        <w:rPr>
          <w:i/>
          <w:iCs/>
        </w:rPr>
        <w:t>b</w:t>
      </w:r>
      <w:r w:rsidRPr="00F53937">
        <w:rPr>
          <w:i/>
          <w:iCs/>
        </w:rPr>
        <w:t xml:space="preserve">y Ohio Edison Company, </w:t>
      </w:r>
      <w:r w:rsidR="00A27BF3">
        <w:rPr>
          <w:i/>
          <w:iCs/>
        </w:rPr>
        <w:t>t</w:t>
      </w:r>
      <w:r w:rsidRPr="00F53937">
        <w:rPr>
          <w:i/>
          <w:iCs/>
        </w:rPr>
        <w:t xml:space="preserve">he Cleveland Electric Illuminating Company, and </w:t>
      </w:r>
      <w:r w:rsidR="00A27BF3">
        <w:rPr>
          <w:i/>
          <w:iCs/>
        </w:rPr>
        <w:t>t</w:t>
      </w:r>
      <w:r w:rsidRPr="00F53937">
        <w:rPr>
          <w:i/>
          <w:iCs/>
        </w:rPr>
        <w:t xml:space="preserve">he Toledo Edison Company of a Grid Modernization Business Plan, </w:t>
      </w:r>
      <w:r w:rsidRPr="00F53937">
        <w:t>Case No. 16-481-EL-UNC, Opinion and Order (July 17, 2019).</w:t>
      </w:r>
      <w:r w:rsidRPr="00F53937">
        <w:rPr>
          <w:i/>
          <w:iCs/>
        </w:rPr>
        <w:t xml:space="preserve"> </w:t>
      </w:r>
    </w:p>
  </w:footnote>
  <w:footnote w:id="9">
    <w:p w:rsidR="00E45C0E" w:rsidRPr="00F53937" w:rsidP="00F53937" w14:paraId="0A062D3D" w14:textId="45EF17D9">
      <w:pPr>
        <w:pStyle w:val="FootnoteText"/>
        <w:spacing w:after="120"/>
      </w:pPr>
      <w:r w:rsidRPr="00F53937">
        <w:rPr>
          <w:rStyle w:val="FootnoteReference"/>
        </w:rPr>
        <w:footnoteRef/>
      </w:r>
      <w:r w:rsidRPr="00F53937">
        <w:t xml:space="preserve"> </w:t>
      </w:r>
      <w:r w:rsidRPr="00F53937">
        <w:rPr>
          <w:i/>
          <w:iCs/>
        </w:rPr>
        <w:t xml:space="preserve">In the Matter of the Application of Ohio Edison Company, </w:t>
      </w:r>
      <w:r w:rsidR="00354314">
        <w:rPr>
          <w:i/>
          <w:iCs/>
        </w:rPr>
        <w:t>t</w:t>
      </w:r>
      <w:r w:rsidRPr="00F53937">
        <w:rPr>
          <w:i/>
          <w:iCs/>
        </w:rPr>
        <w:t xml:space="preserve">he Cleveland Electric Illuminating Company, and </w:t>
      </w:r>
      <w:r w:rsidR="00354314">
        <w:rPr>
          <w:i/>
          <w:iCs/>
        </w:rPr>
        <w:t>t</w:t>
      </w:r>
      <w:r w:rsidRPr="00F53937">
        <w:rPr>
          <w:i/>
          <w:iCs/>
        </w:rPr>
        <w:t>he Toledo Edison Company for Approval of Ohio Site Deployment of the Smart Grid Modernization Initiative and Timely Recovery of Associated Costs</w:t>
      </w:r>
      <w:r w:rsidRPr="00F53937">
        <w:t xml:space="preserve">., Case No. 09-1820-EL-ATA, Finding and Order (May 28, 2015) at 3. </w:t>
      </w:r>
    </w:p>
  </w:footnote>
  <w:footnote w:id="10">
    <w:p w:rsidR="000E473E" w:rsidRPr="00F53937" w:rsidP="00F53937" w14:paraId="7BD371FF" w14:textId="1ECE5054">
      <w:pPr>
        <w:pStyle w:val="FootnoteText"/>
        <w:spacing w:after="120"/>
      </w:pPr>
      <w:r w:rsidRPr="00F53937">
        <w:rPr>
          <w:rStyle w:val="FootnoteReference"/>
        </w:rPr>
        <w:footnoteRef/>
      </w:r>
      <w:r w:rsidRPr="00F53937">
        <w:t xml:space="preserve"> </w:t>
      </w:r>
      <w:r w:rsidRPr="00F53937" w:rsidR="0026195C">
        <w:rPr>
          <w:i/>
          <w:iCs/>
        </w:rPr>
        <w:t xml:space="preserve">In the Matter of Staff’s Review of Select Tariffs of Ohio Edison Company, </w:t>
      </w:r>
      <w:r w:rsidR="00354314">
        <w:rPr>
          <w:i/>
          <w:iCs/>
        </w:rPr>
        <w:t>t</w:t>
      </w:r>
      <w:r w:rsidRPr="00F53937" w:rsidR="0026195C">
        <w:rPr>
          <w:i/>
          <w:iCs/>
        </w:rPr>
        <w:t>he Cleveland Electric Illuminating Company, and the Toledo Edison Company,</w:t>
      </w:r>
      <w:r w:rsidRPr="00F53937" w:rsidR="0026195C">
        <w:t xml:space="preserve"> Case No. 19-1903-EL-RDR, Staff Report (March 24, 2022) at 2. </w:t>
      </w:r>
      <w:r w:rsidRPr="00F53937" w:rsidR="0026195C">
        <w:rPr>
          <w:i/>
          <w:iCs/>
        </w:rPr>
        <w:t xml:space="preserve">In the Matter of Staff’s Review of Select Tariffs of Ohio Edison Company, </w:t>
      </w:r>
      <w:r w:rsidR="00354314">
        <w:rPr>
          <w:i/>
          <w:iCs/>
        </w:rPr>
        <w:t>t</w:t>
      </w:r>
      <w:r w:rsidRPr="00F53937" w:rsidR="0026195C">
        <w:rPr>
          <w:i/>
          <w:iCs/>
        </w:rPr>
        <w:t>he Cleveland Electric Illuminating Company, and the Toledo Edison Company,</w:t>
      </w:r>
      <w:r w:rsidRPr="00F53937" w:rsidR="0026195C">
        <w:t xml:space="preserve"> Case No. 20-1672-EL-RDR, Staff Report (February 1, 2023) at 3.</w:t>
      </w:r>
      <w:r w:rsidRPr="00F53937">
        <w:t xml:space="preserve"> </w:t>
      </w:r>
    </w:p>
  </w:footnote>
  <w:footnote w:id="11">
    <w:p w:rsidR="00E45C0E" w:rsidRPr="00F53937" w:rsidP="00F53937" w14:paraId="5A05A22A" w14:textId="10EB84E5">
      <w:pPr>
        <w:pStyle w:val="FootnoteText"/>
        <w:spacing w:after="120"/>
      </w:pPr>
      <w:r w:rsidRPr="00F53937">
        <w:rPr>
          <w:rStyle w:val="FootnoteReference"/>
        </w:rPr>
        <w:footnoteRef/>
      </w:r>
      <w:r w:rsidRPr="00F53937">
        <w:t xml:space="preserve"> </w:t>
      </w:r>
      <w:r w:rsidRPr="00F53937">
        <w:t>Case 16-481-EL-UNC, Operational Benefits Assessment of FirstEnergy Ohio’s Grid Mod I, (November 14, 2022) (“Grid Mod I Audit Report”).</w:t>
      </w:r>
    </w:p>
  </w:footnote>
  <w:footnote w:id="12">
    <w:p w:rsidR="00E45C0E" w:rsidRPr="00F53937" w:rsidP="00F53937" w14:paraId="7D6C750B" w14:textId="4B384F42">
      <w:pPr>
        <w:pStyle w:val="FootnoteText"/>
        <w:spacing w:after="120"/>
      </w:pPr>
      <w:r w:rsidRPr="00F53937">
        <w:rPr>
          <w:rStyle w:val="FootnoteReference"/>
        </w:rPr>
        <w:footnoteRef/>
      </w:r>
      <w:r w:rsidRPr="00F53937">
        <w:t xml:space="preserve"> </w:t>
      </w:r>
      <w:r w:rsidRPr="00F53937">
        <w:rPr>
          <w:i/>
          <w:iCs/>
        </w:rPr>
        <w:t xml:space="preserve">In the Matter of the Application of Ohio Edison Company, </w:t>
      </w:r>
      <w:r w:rsidR="00045FA0">
        <w:rPr>
          <w:i/>
          <w:iCs/>
        </w:rPr>
        <w:t>t</w:t>
      </w:r>
      <w:r w:rsidRPr="00F53937">
        <w:rPr>
          <w:i/>
          <w:iCs/>
        </w:rPr>
        <w:t xml:space="preserve">he Cleveland Electric Illuminating Company, and </w:t>
      </w:r>
      <w:r w:rsidR="00045FA0">
        <w:rPr>
          <w:i/>
          <w:iCs/>
        </w:rPr>
        <w:t>t</w:t>
      </w:r>
      <w:r w:rsidRPr="00F53937">
        <w:rPr>
          <w:i/>
          <w:iCs/>
        </w:rPr>
        <w:t>he Toledo Edison Company for Approval of Phase Two of Their Distribution Grid Modernization Plan</w:t>
      </w:r>
      <w:r w:rsidRPr="00F53937">
        <w:t>, Case No. 22-704-EL-UNC, Application (July 15, 2022).</w:t>
      </w:r>
    </w:p>
  </w:footnote>
  <w:footnote w:id="13">
    <w:p w:rsidR="00AA6DC2" w:rsidRPr="00F53937" w:rsidP="00F53937" w14:paraId="358E192B" w14:textId="1CBB5814">
      <w:pPr>
        <w:pStyle w:val="FootnoteText"/>
        <w:spacing w:after="120"/>
      </w:pPr>
      <w:r w:rsidRPr="00F53937">
        <w:rPr>
          <w:rStyle w:val="FootnoteReference"/>
        </w:rPr>
        <w:footnoteRef/>
      </w:r>
      <w:r w:rsidRPr="00F53937">
        <w:t xml:space="preserve"> Case No. 09-1820-EL-ATA</w:t>
      </w:r>
      <w:r w:rsidRPr="00F53937" w:rsidR="00E45C0E">
        <w:t xml:space="preserve">, </w:t>
      </w:r>
      <w:r w:rsidRPr="00F53937">
        <w:t xml:space="preserve">FirstEnergy Application </w:t>
      </w:r>
      <w:r w:rsidRPr="00F53937">
        <w:t xml:space="preserve">(December 22, 2014). </w:t>
      </w:r>
    </w:p>
  </w:footnote>
  <w:footnote w:id="14">
    <w:p w:rsidR="00AA6DC2" w:rsidRPr="00F53937" w:rsidP="00F53937" w14:paraId="2DFDF731" w14:textId="5A2EB528">
      <w:pPr>
        <w:pStyle w:val="FootnoteText"/>
        <w:spacing w:after="120"/>
      </w:pPr>
      <w:r w:rsidRPr="00F53937">
        <w:rPr>
          <w:rStyle w:val="FootnoteReference"/>
        </w:rPr>
        <w:footnoteRef/>
      </w:r>
      <w:r w:rsidRPr="00F53937">
        <w:t xml:space="preserve"> </w:t>
      </w:r>
      <w:r w:rsidRPr="00F53937">
        <w:rPr>
          <w:i/>
          <w:iCs/>
        </w:rPr>
        <w:t>Id.</w:t>
      </w:r>
      <w:r w:rsidRPr="00F53937">
        <w:t xml:space="preserve"> at 5</w:t>
      </w:r>
      <w:r w:rsidRPr="00F53937">
        <w:t>.</w:t>
      </w:r>
    </w:p>
  </w:footnote>
  <w:footnote w:id="15">
    <w:p w:rsidR="00CA0877" w:rsidRPr="00F53937" w:rsidP="00F53937" w14:paraId="7995ED4D" w14:textId="4CE89AB8">
      <w:pPr>
        <w:pStyle w:val="FootnoteText"/>
        <w:spacing w:after="120"/>
      </w:pPr>
      <w:r w:rsidRPr="00F53937">
        <w:rPr>
          <w:rStyle w:val="FootnoteReference"/>
        </w:rPr>
        <w:footnoteRef/>
      </w:r>
      <w:r w:rsidRPr="00F53937">
        <w:t xml:space="preserve"> Case No. 09-1820-EL-ATA, Finding and Order (May 28, 2015) at 3.</w:t>
      </w:r>
    </w:p>
  </w:footnote>
  <w:footnote w:id="16">
    <w:p w:rsidR="00CA0877" w:rsidRPr="00F53937" w:rsidP="00F53937" w14:paraId="0139B2D4" w14:textId="128460DC">
      <w:pPr>
        <w:pStyle w:val="FootnoteText"/>
        <w:spacing w:after="120"/>
      </w:pPr>
      <w:r w:rsidRPr="00F53937">
        <w:rPr>
          <w:rStyle w:val="FootnoteReference"/>
        </w:rPr>
        <w:footnoteRef/>
      </w:r>
      <w:r w:rsidRPr="00F53937">
        <w:t xml:space="preserve"> Case No. 19-1903-EL-RDR, Staff Report (March 24, 2022) at 2.</w:t>
      </w:r>
    </w:p>
  </w:footnote>
  <w:footnote w:id="17">
    <w:p w:rsidR="00CA0877" w:rsidRPr="00F53937" w:rsidP="00F53937" w14:paraId="733251E6" w14:textId="7B848D7E">
      <w:pPr>
        <w:pStyle w:val="FootnoteText"/>
        <w:spacing w:after="120"/>
        <w:rPr>
          <w:i/>
          <w:iCs/>
        </w:rPr>
      </w:pPr>
      <w:r w:rsidRPr="00F53937">
        <w:rPr>
          <w:rStyle w:val="FootnoteReference"/>
        </w:rPr>
        <w:footnoteRef/>
      </w:r>
      <w:r w:rsidRPr="00F53937">
        <w:t xml:space="preserve"> </w:t>
      </w:r>
      <w:r w:rsidRPr="00F53937">
        <w:rPr>
          <w:i/>
          <w:iCs/>
        </w:rPr>
        <w:t>Id.</w:t>
      </w:r>
    </w:p>
  </w:footnote>
  <w:footnote w:id="18">
    <w:p w:rsidR="00CA0877" w:rsidRPr="00F53937" w:rsidP="00F53937" w14:paraId="0AF84F71" w14:textId="5D557F12">
      <w:pPr>
        <w:pStyle w:val="FootnoteText"/>
        <w:spacing w:after="120"/>
      </w:pPr>
      <w:r w:rsidRPr="00F53937">
        <w:rPr>
          <w:rStyle w:val="FootnoteReference"/>
        </w:rPr>
        <w:footnoteRef/>
      </w:r>
      <w:r w:rsidRPr="00F53937">
        <w:t xml:space="preserve"> Case No. </w:t>
      </w:r>
      <w:r w:rsidRPr="00F53937">
        <w:t>20-1672</w:t>
      </w:r>
      <w:r w:rsidRPr="00F53937">
        <w:t>-EL-RDR, Staff Report (</w:t>
      </w:r>
      <w:r w:rsidRPr="00F53937">
        <w:t>Feb</w:t>
      </w:r>
      <w:r w:rsidR="00010F7E">
        <w:t>ruary</w:t>
      </w:r>
      <w:r w:rsidRPr="00F53937">
        <w:t xml:space="preserve"> 1</w:t>
      </w:r>
      <w:r w:rsidRPr="00F53937">
        <w:t>, 202</w:t>
      </w:r>
      <w:r w:rsidRPr="00F53937">
        <w:t>3</w:t>
      </w:r>
      <w:r w:rsidRPr="00F53937">
        <w:t xml:space="preserve">) at </w:t>
      </w:r>
      <w:r w:rsidRPr="00F53937">
        <w:t>4</w:t>
      </w:r>
      <w:r w:rsidRPr="00F53937">
        <w:t>.</w:t>
      </w:r>
    </w:p>
  </w:footnote>
  <w:footnote w:id="19">
    <w:p w:rsidR="00430425" w:rsidRPr="00F53937" w:rsidP="00F53937" w14:paraId="1DC5DA3A" w14:textId="3A9DE30D">
      <w:pPr>
        <w:pStyle w:val="FootnoteText"/>
        <w:spacing w:after="120"/>
        <w:rPr>
          <w:i/>
          <w:iCs/>
        </w:rPr>
      </w:pPr>
      <w:r w:rsidRPr="00F53937">
        <w:rPr>
          <w:rStyle w:val="FootnoteReference"/>
        </w:rPr>
        <w:footnoteRef/>
      </w:r>
      <w:r w:rsidRPr="00F53937">
        <w:t xml:space="preserve"> </w:t>
      </w:r>
      <w:r w:rsidRPr="00F53937">
        <w:rPr>
          <w:i/>
          <w:iCs/>
        </w:rPr>
        <w:t>Id.</w:t>
      </w:r>
    </w:p>
  </w:footnote>
  <w:footnote w:id="20">
    <w:p w:rsidR="002809E8" w:rsidRPr="00F53937" w:rsidP="00F53937" w14:paraId="4EBB7287" w14:textId="0868330E">
      <w:pPr>
        <w:pStyle w:val="FootnoteText"/>
        <w:spacing w:after="120"/>
        <w:rPr>
          <w:i/>
          <w:iCs/>
        </w:rPr>
      </w:pPr>
      <w:r w:rsidRPr="00F53937">
        <w:rPr>
          <w:rStyle w:val="FootnoteReference"/>
        </w:rPr>
        <w:footnoteRef/>
      </w:r>
      <w:r w:rsidRPr="00F53937">
        <w:t xml:space="preserve"> </w:t>
      </w:r>
      <w:r w:rsidRPr="00F53937">
        <w:rPr>
          <w:i/>
          <w:iCs/>
        </w:rPr>
        <w:t xml:space="preserve">See In the Matter of the Review and Audit of the Advanced Metering Infrastructure Rider of Ohio Edison Company, </w:t>
      </w:r>
      <w:r w:rsidR="0068608F">
        <w:rPr>
          <w:i/>
          <w:iCs/>
        </w:rPr>
        <w:t>t</w:t>
      </w:r>
      <w:r w:rsidRPr="00F53937">
        <w:rPr>
          <w:i/>
          <w:iCs/>
        </w:rPr>
        <w:t xml:space="preserve">he Cleveland Electric Illuminating Company, and </w:t>
      </w:r>
      <w:r w:rsidR="0068608F">
        <w:rPr>
          <w:i/>
          <w:iCs/>
        </w:rPr>
        <w:t>t</w:t>
      </w:r>
      <w:r w:rsidRPr="00F53937">
        <w:rPr>
          <w:i/>
          <w:iCs/>
        </w:rPr>
        <w:t xml:space="preserve">he Toledo Edison Company, </w:t>
      </w:r>
      <w:r w:rsidRPr="00F53937">
        <w:t>Case No. 18-1647-EL-RDR, Comments on FirstEnergy’s SmartGrid Charges, by Office of the Ohio Consumers’ Counsel (May 19, 2021)</w:t>
      </w:r>
      <w:r w:rsidRPr="00F53937" w:rsidR="009877FE">
        <w:t xml:space="preserve"> at 1-2</w:t>
      </w:r>
      <w:r w:rsidRPr="00F53937">
        <w:t>.</w:t>
      </w:r>
      <w:r w:rsidRPr="00F53937" w:rsidR="00F53937">
        <w:t xml:space="preserve"> </w:t>
      </w:r>
    </w:p>
  </w:footnote>
  <w:footnote w:id="21">
    <w:p w:rsidR="00AA6DC2" w:rsidRPr="00F53937" w:rsidP="00F53937" w14:paraId="3FA54685" w14:textId="11848916">
      <w:pPr>
        <w:pStyle w:val="FootnoteText"/>
        <w:spacing w:after="120"/>
      </w:pPr>
      <w:r w:rsidRPr="00F53937">
        <w:rPr>
          <w:rStyle w:val="FootnoteReference"/>
        </w:rPr>
        <w:footnoteRef/>
      </w:r>
      <w:r w:rsidRPr="00F53937">
        <w:t xml:space="preserve"> Case No. 20-1672-EL-RDR, Staff Report (February 1, 2013) at 2.</w:t>
      </w:r>
    </w:p>
  </w:footnote>
  <w:footnote w:id="22">
    <w:p w:rsidR="00AA6DC2" w:rsidRPr="00F53937" w:rsidP="00F53937" w14:paraId="07ED12EF" w14:textId="248BDC39">
      <w:pPr>
        <w:pStyle w:val="FootnoteText"/>
        <w:spacing w:after="120"/>
      </w:pPr>
      <w:r w:rsidRPr="00F53937">
        <w:rPr>
          <w:rStyle w:val="FootnoteReference"/>
        </w:rPr>
        <w:footnoteRef/>
      </w:r>
      <w:r w:rsidRPr="00F53937">
        <w:t xml:space="preserve"> </w:t>
      </w:r>
      <w:r w:rsidRPr="00F53937">
        <w:rPr>
          <w:i/>
          <w:iCs/>
        </w:rPr>
        <w:t>Id</w:t>
      </w:r>
      <w:r w:rsidRPr="00F53937">
        <w:t>.</w:t>
      </w:r>
    </w:p>
  </w:footnote>
  <w:footnote w:id="23">
    <w:p w:rsidR="00AA28F8" w:rsidRPr="00F53937" w:rsidP="00F53937" w14:paraId="40B7494B" w14:textId="3394C9A1">
      <w:pPr>
        <w:pStyle w:val="FootnoteText"/>
        <w:spacing w:after="120"/>
      </w:pPr>
      <w:r w:rsidRPr="00F53937">
        <w:rPr>
          <w:rStyle w:val="FootnoteReference"/>
        </w:rPr>
        <w:footnoteRef/>
      </w:r>
      <w:r w:rsidRPr="00F53937">
        <w:t xml:space="preserve"> Case No. 19-1903-EL-RDR, Staff Report (March 24, 2023) at 2. Case No. 20-1672-EL-RDR, Staff Report (February 1, 20</w:t>
      </w:r>
      <w:r w:rsidRPr="00F53937" w:rsidR="004061A7">
        <w:t>2</w:t>
      </w:r>
      <w:r w:rsidRPr="00F53937">
        <w:t>3) at 3.</w:t>
      </w:r>
    </w:p>
  </w:footnote>
  <w:footnote w:id="24">
    <w:p w:rsidR="009A4D73" w:rsidRPr="00F53937" w:rsidP="00F53937" w14:paraId="38022087" w14:textId="6E07F19D">
      <w:pPr>
        <w:pStyle w:val="FootnoteText"/>
        <w:spacing w:after="120"/>
      </w:pPr>
      <w:r w:rsidRPr="00F53937">
        <w:rPr>
          <w:rStyle w:val="FootnoteReference"/>
        </w:rPr>
        <w:footnoteRef/>
      </w:r>
      <w:r w:rsidRPr="00F53937">
        <w:t xml:space="preserve"> </w:t>
      </w:r>
      <w:r w:rsidRPr="00F53937">
        <w:rPr>
          <w:i/>
          <w:iCs/>
        </w:rPr>
        <w:t>Id</w:t>
      </w:r>
      <w:r w:rsidRPr="00F53937" w:rsidR="006329DA">
        <w:t>.</w:t>
      </w:r>
      <w:r w:rsidRPr="00F53937">
        <w:t xml:space="preserve"> </w:t>
      </w:r>
    </w:p>
  </w:footnote>
  <w:footnote w:id="25">
    <w:p w:rsidR="009A4D73" w:rsidRPr="00F53937" w:rsidP="00F53937" w14:paraId="4814AF31" w14:textId="41CD02DB">
      <w:pPr>
        <w:pStyle w:val="FootnoteText"/>
        <w:spacing w:after="120"/>
      </w:pPr>
      <w:r w:rsidRPr="00F53937">
        <w:rPr>
          <w:rStyle w:val="FootnoteReference"/>
        </w:rPr>
        <w:footnoteRef/>
      </w:r>
      <w:r w:rsidRPr="00F53937">
        <w:t xml:space="preserve"> </w:t>
      </w:r>
      <w:r w:rsidRPr="00F53937">
        <w:rPr>
          <w:i/>
          <w:iCs/>
        </w:rPr>
        <w:t>Id</w:t>
      </w:r>
      <w:r w:rsidRPr="00F53937">
        <w:t>.</w:t>
      </w:r>
    </w:p>
  </w:footnote>
  <w:footnote w:id="26">
    <w:p w:rsidR="009A4D73" w:rsidRPr="00F53937" w:rsidP="00F53937" w14:paraId="5DD2E907" w14:textId="05F34E73">
      <w:pPr>
        <w:pStyle w:val="FootnoteText"/>
        <w:spacing w:after="120"/>
      </w:pPr>
      <w:r w:rsidRPr="00F53937">
        <w:rPr>
          <w:rStyle w:val="FootnoteReference"/>
        </w:rPr>
        <w:footnoteRef/>
      </w:r>
      <w:r w:rsidRPr="00F53937">
        <w:t xml:space="preserve"> </w:t>
      </w:r>
      <w:r w:rsidRPr="00F53937" w:rsidR="00D0414E">
        <w:rPr>
          <w:i/>
          <w:iCs/>
        </w:rPr>
        <w:t xml:space="preserve">See </w:t>
      </w:r>
      <w:r w:rsidRPr="00F53937">
        <w:t>Case</w:t>
      </w:r>
      <w:r w:rsidRPr="00F53937" w:rsidR="00D0414E">
        <w:t xml:space="preserve"> No.</w:t>
      </w:r>
      <w:r w:rsidRPr="00F53937">
        <w:t xml:space="preserve"> 16-481-EL-UNC</w:t>
      </w:r>
      <w:r w:rsidRPr="00F53937" w:rsidR="00D0414E">
        <w:t>, Opinion and Order</w:t>
      </w:r>
      <w:r w:rsidRPr="00F53937">
        <w:t xml:space="preserve"> (July 17, 2019) </w:t>
      </w:r>
      <w:r w:rsidRPr="00F53937" w:rsidR="001F1CAB">
        <w:t>(A</w:t>
      </w:r>
      <w:r w:rsidRPr="00F53937">
        <w:t>pprov</w:t>
      </w:r>
      <w:r w:rsidRPr="00F53937" w:rsidR="001F1CAB">
        <w:t>ing</w:t>
      </w:r>
      <w:r w:rsidRPr="00F53937">
        <w:t xml:space="preserve"> the three-year deployment schedule for the Grid Mod I as proposed by FirstEnergy</w:t>
      </w:r>
      <w:r w:rsidRPr="00F53937" w:rsidR="001F1CAB">
        <w:t>)</w:t>
      </w:r>
      <w:r w:rsidR="009E7F5E">
        <w:t>.</w:t>
      </w:r>
      <w:r w:rsidRPr="00F53937" w:rsidR="00F53937">
        <w:t xml:space="preserve"> </w:t>
      </w:r>
    </w:p>
  </w:footnote>
  <w:footnote w:id="27">
    <w:p w:rsidR="007B31AE" w:rsidRPr="00F53937" w:rsidP="00F53937" w14:paraId="1FFAFF26" w14:textId="572582F6">
      <w:pPr>
        <w:pStyle w:val="FootnoteText"/>
        <w:spacing w:after="120"/>
      </w:pPr>
      <w:r w:rsidRPr="00F53937">
        <w:rPr>
          <w:rStyle w:val="FootnoteReference"/>
        </w:rPr>
        <w:footnoteRef/>
      </w:r>
      <w:r w:rsidRPr="00F53937">
        <w:t xml:space="preserve"> </w:t>
      </w:r>
      <w:r w:rsidRPr="00F53937">
        <w:rPr>
          <w:i/>
          <w:iCs/>
        </w:rPr>
        <w:t xml:space="preserve">In the </w:t>
      </w:r>
      <w:r w:rsidR="005F2A50">
        <w:rPr>
          <w:i/>
          <w:iCs/>
        </w:rPr>
        <w:t>M</w:t>
      </w:r>
      <w:r w:rsidRPr="00F53937">
        <w:rPr>
          <w:i/>
          <w:iCs/>
        </w:rPr>
        <w:t xml:space="preserve">atter of Staff’s Review of Select Tariffs of Ohio Edison Company, </w:t>
      </w:r>
      <w:r w:rsidR="000A400E">
        <w:rPr>
          <w:i/>
          <w:iCs/>
        </w:rPr>
        <w:t>t</w:t>
      </w:r>
      <w:r w:rsidRPr="00F53937">
        <w:rPr>
          <w:i/>
          <w:iCs/>
        </w:rPr>
        <w:t xml:space="preserve">he Cleveland Electric Illuminating Company, and </w:t>
      </w:r>
      <w:r w:rsidR="000A400E">
        <w:rPr>
          <w:i/>
          <w:iCs/>
        </w:rPr>
        <w:t>t</w:t>
      </w:r>
      <w:r w:rsidRPr="00F53937">
        <w:rPr>
          <w:i/>
          <w:iCs/>
        </w:rPr>
        <w:t>he Toledo Edison Company</w:t>
      </w:r>
      <w:r w:rsidRPr="00F53937">
        <w:t xml:space="preserve">, Case No. 21-1130-EL-RDR, Report (February 28, 2023). </w:t>
      </w:r>
    </w:p>
  </w:footnote>
  <w:footnote w:id="28">
    <w:p w:rsidR="007B31AE" w:rsidRPr="00F53937" w:rsidP="00F53937" w14:paraId="5A300043" w14:textId="526303CA">
      <w:pPr>
        <w:pStyle w:val="FootnoteText"/>
        <w:spacing w:after="120"/>
      </w:pPr>
      <w:r w:rsidRPr="00F53937">
        <w:rPr>
          <w:rStyle w:val="FootnoteReference"/>
        </w:rPr>
        <w:footnoteRef/>
      </w:r>
      <w:r w:rsidRPr="00F53937">
        <w:t xml:space="preserve"> Case 16-481-EL-UNC, </w:t>
      </w:r>
      <w:r w:rsidRPr="00F53937" w:rsidR="001F1CAB">
        <w:t xml:space="preserve">Opinion and Order (July 17, 2019) </w:t>
      </w:r>
      <w:r w:rsidRPr="00F53937">
        <w:t xml:space="preserve">at </w:t>
      </w:r>
      <w:r w:rsidRPr="00F53937" w:rsidR="001F1CAB">
        <w:t>¶ 33</w:t>
      </w:r>
      <w:r w:rsidRPr="00F53937">
        <w:t xml:space="preserve">. </w:t>
      </w:r>
    </w:p>
  </w:footnote>
  <w:footnote w:id="29">
    <w:p w:rsidR="007B31AE" w:rsidRPr="00F53937" w:rsidP="00F53937" w14:paraId="1A81ACA4" w14:textId="3B9541D6">
      <w:pPr>
        <w:pStyle w:val="FootnoteText"/>
        <w:spacing w:after="120"/>
      </w:pPr>
      <w:r w:rsidRPr="00F53937">
        <w:rPr>
          <w:rStyle w:val="FootnoteReference"/>
        </w:rPr>
        <w:footnoteRef/>
      </w:r>
      <w:r w:rsidRPr="00F53937">
        <w:t xml:space="preserve"> </w:t>
      </w:r>
      <w:r w:rsidRPr="00F53937" w:rsidR="001F1CAB">
        <w:rPr>
          <w:i/>
          <w:iCs/>
        </w:rPr>
        <w:t>Id.</w:t>
      </w:r>
      <w:r w:rsidRPr="00F53937" w:rsidR="001F1CAB">
        <w:t xml:space="preserve"> at ¶ 44</w:t>
      </w:r>
      <w:r w:rsidRPr="00F53937">
        <w:t>.</w:t>
      </w:r>
    </w:p>
  </w:footnote>
  <w:footnote w:id="30">
    <w:p w:rsidR="007B31AE" w:rsidRPr="00F53937" w:rsidP="00F53937" w14:paraId="457C280B" w14:textId="680B8655">
      <w:pPr>
        <w:pStyle w:val="FootnoteText"/>
        <w:spacing w:after="120"/>
      </w:pPr>
      <w:r w:rsidRPr="00F53937">
        <w:rPr>
          <w:rStyle w:val="FootnoteReference"/>
        </w:rPr>
        <w:footnoteRef/>
      </w:r>
      <w:r w:rsidRPr="00F53937">
        <w:t xml:space="preserve"> </w:t>
      </w:r>
      <w:r w:rsidRPr="00F53937" w:rsidR="00655218">
        <w:t>Grid Mod I Audit Report</w:t>
      </w:r>
      <w:r w:rsidRPr="00F53937">
        <w:t>.</w:t>
      </w:r>
    </w:p>
  </w:footnote>
  <w:footnote w:id="31">
    <w:p w:rsidR="00AA28F8" w:rsidRPr="00F53937" w:rsidP="00F53937" w14:paraId="421C26D9" w14:textId="34E5243B">
      <w:pPr>
        <w:pStyle w:val="FootnoteText"/>
        <w:spacing w:after="120"/>
      </w:pPr>
      <w:r w:rsidRPr="00F53937">
        <w:rPr>
          <w:rStyle w:val="FootnoteReference"/>
        </w:rPr>
        <w:footnoteRef/>
      </w:r>
      <w:r w:rsidRPr="00F53937">
        <w:t xml:space="preserve"> </w:t>
      </w:r>
      <w:r w:rsidRPr="00F53937" w:rsidR="007B31AE">
        <w:rPr>
          <w:i/>
          <w:iCs/>
        </w:rPr>
        <w:t xml:space="preserve">See </w:t>
      </w:r>
      <w:r w:rsidRPr="00F53937" w:rsidR="000A400E">
        <w:rPr>
          <w:i/>
          <w:iCs/>
        </w:rPr>
        <w:t>e.g.,</w:t>
      </w:r>
      <w:r w:rsidRPr="00F53937" w:rsidR="007B31AE">
        <w:rPr>
          <w:i/>
          <w:iCs/>
        </w:rPr>
        <w:t xml:space="preserve"> </w:t>
      </w:r>
      <w:r w:rsidRPr="00F53937" w:rsidR="007B31AE">
        <w:t xml:space="preserve">Grid Mod I Audit Report, </w:t>
      </w:r>
      <w:r w:rsidRPr="00F53937" w:rsidR="00655218">
        <w:t>at 1-5</w:t>
      </w:r>
      <w:r w:rsidRPr="00F53937">
        <w:t xml:space="preserve"> </w:t>
      </w:r>
      <w:r w:rsidRPr="00F53937" w:rsidR="00655218">
        <w:t>(S</w:t>
      </w:r>
      <w:r w:rsidRPr="00F53937">
        <w:t xml:space="preserve">ummary of </w:t>
      </w:r>
      <w:r w:rsidRPr="00F53937" w:rsidR="00655218">
        <w:t>F</w:t>
      </w:r>
      <w:r w:rsidRPr="00F53937">
        <w:t xml:space="preserve">indings and </w:t>
      </w:r>
      <w:r w:rsidRPr="00F53937" w:rsidR="00655218">
        <w:t>R</w:t>
      </w:r>
      <w:r w:rsidRPr="00F53937">
        <w:t>ecommendations</w:t>
      </w:r>
      <w:r w:rsidRPr="00F53937" w:rsidR="00655218">
        <w:t>)</w:t>
      </w:r>
      <w:r w:rsidRPr="00F53937">
        <w:t xml:space="preserve">. </w:t>
      </w:r>
    </w:p>
  </w:footnote>
  <w:footnote w:id="32">
    <w:p w:rsidR="00AA28F8" w:rsidRPr="00F53937" w:rsidP="00F53937" w14:paraId="4D0B26FA" w14:textId="4928ABBC">
      <w:pPr>
        <w:pStyle w:val="FootnoteText"/>
        <w:spacing w:after="120"/>
      </w:pPr>
      <w:r w:rsidRPr="00F53937">
        <w:rPr>
          <w:rStyle w:val="FootnoteReference"/>
        </w:rPr>
        <w:footnoteRef/>
      </w:r>
      <w:r w:rsidRPr="00F53937" w:rsidR="00655218">
        <w:t xml:space="preserve"> </w:t>
      </w:r>
      <w:r w:rsidRPr="00F53937" w:rsidR="00655218">
        <w:rPr>
          <w:i/>
          <w:iCs/>
        </w:rPr>
        <w:t>Id</w:t>
      </w:r>
      <w:r w:rsidRPr="00F53937">
        <w:t xml:space="preserve">. </w:t>
      </w:r>
    </w:p>
  </w:footnote>
  <w:footnote w:id="33">
    <w:p w:rsidR="00AA28F8" w:rsidRPr="00F53937" w:rsidP="00F53937" w14:paraId="3FE31DFC" w14:textId="10061AFF">
      <w:pPr>
        <w:pStyle w:val="FootnoteText"/>
        <w:spacing w:after="120"/>
      </w:pPr>
      <w:r w:rsidRPr="00F53937">
        <w:rPr>
          <w:rStyle w:val="FootnoteReference"/>
        </w:rPr>
        <w:footnoteRef/>
      </w:r>
      <w:r w:rsidRPr="00F53937">
        <w:t xml:space="preserve"> </w:t>
      </w:r>
      <w:r w:rsidRPr="00F53937" w:rsidR="00655218">
        <w:rPr>
          <w:i/>
          <w:iCs/>
        </w:rPr>
        <w:t>See</w:t>
      </w:r>
      <w:r w:rsidRPr="00F53937" w:rsidR="00655218">
        <w:t xml:space="preserve"> </w:t>
      </w:r>
      <w:r w:rsidRPr="00F53937">
        <w:rPr>
          <w:i/>
          <w:iCs/>
        </w:rPr>
        <w:t xml:space="preserve">In the Matter of the Application of Ohio Edison Company, </w:t>
      </w:r>
      <w:r w:rsidR="00F226CC">
        <w:rPr>
          <w:i/>
          <w:iCs/>
        </w:rPr>
        <w:t>t</w:t>
      </w:r>
      <w:r w:rsidRPr="00F53937">
        <w:rPr>
          <w:i/>
          <w:iCs/>
        </w:rPr>
        <w:t xml:space="preserve">he Cleveland Electric Illuminating Company, and </w:t>
      </w:r>
      <w:r w:rsidR="00F226CC">
        <w:rPr>
          <w:i/>
          <w:iCs/>
        </w:rPr>
        <w:t>t</w:t>
      </w:r>
      <w:r w:rsidRPr="00F53937">
        <w:rPr>
          <w:i/>
          <w:iCs/>
        </w:rPr>
        <w:t>he Toledo Edison Company for Approval of Phase Two of Their Distribution Grid Modernization Plan</w:t>
      </w:r>
      <w:r w:rsidRPr="00F53937">
        <w:t>, Case No. 22-704-EL-UNC, Application (July 15,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683" w14:paraId="29B33A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683" w14:paraId="66CF080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683" w14:paraId="739C77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F60D6"/>
    <w:multiLevelType w:val="hybridMultilevel"/>
    <w:tmpl w:val="F9665C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50A062B"/>
    <w:multiLevelType w:val="hybridMultilevel"/>
    <w:tmpl w:val="0788338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C9819CA"/>
    <w:multiLevelType w:val="multilevel"/>
    <w:tmpl w:val="6D86284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77A83EF2"/>
    <w:multiLevelType w:val="hybridMultilevel"/>
    <w:tmpl w:val="3E38782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7"/>
  </w:num>
  <w:num w:numId="4">
    <w:abstractNumId w:val="6"/>
  </w:num>
  <w:num w:numId="5">
    <w:abstractNumId w:val="1"/>
  </w:num>
  <w:num w:numId="6">
    <w:abstractNumId w:val="9"/>
  </w:num>
  <w:num w:numId="7">
    <w:abstractNumId w:val="3"/>
  </w:num>
  <w:num w:numId="8">
    <w:abstractNumId w:val="2"/>
  </w:num>
  <w:num w:numId="9">
    <w:abstractNumId w:val="8"/>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num>
  <w:num w:numId="14">
    <w:abstractNumId w:val="3"/>
    <w:lvlOverride w:ilvl="0">
      <w:startOverride w:val="1"/>
    </w:lvlOverride>
  </w:num>
  <w:num w:numId="15">
    <w:abstractNumId w:val="3"/>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1217"/>
    <w:rsid w:val="000014A2"/>
    <w:rsid w:val="0000674A"/>
    <w:rsid w:val="00010F7E"/>
    <w:rsid w:val="0001594F"/>
    <w:rsid w:val="00015AD6"/>
    <w:rsid w:val="00022221"/>
    <w:rsid w:val="00024416"/>
    <w:rsid w:val="000305AB"/>
    <w:rsid w:val="00034A59"/>
    <w:rsid w:val="00035FEF"/>
    <w:rsid w:val="00035FFA"/>
    <w:rsid w:val="00037A75"/>
    <w:rsid w:val="00041646"/>
    <w:rsid w:val="000453F6"/>
    <w:rsid w:val="00045FA0"/>
    <w:rsid w:val="000572CD"/>
    <w:rsid w:val="0006598F"/>
    <w:rsid w:val="0006661A"/>
    <w:rsid w:val="00066DD2"/>
    <w:rsid w:val="000714B7"/>
    <w:rsid w:val="00071DD0"/>
    <w:rsid w:val="00076129"/>
    <w:rsid w:val="000802ED"/>
    <w:rsid w:val="00082870"/>
    <w:rsid w:val="00083C33"/>
    <w:rsid w:val="00083EB8"/>
    <w:rsid w:val="000938C7"/>
    <w:rsid w:val="00094424"/>
    <w:rsid w:val="000A0AEE"/>
    <w:rsid w:val="000A400E"/>
    <w:rsid w:val="000A4294"/>
    <w:rsid w:val="000B1DEC"/>
    <w:rsid w:val="000B2E71"/>
    <w:rsid w:val="000B6579"/>
    <w:rsid w:val="000B764E"/>
    <w:rsid w:val="000C2D8C"/>
    <w:rsid w:val="000C409E"/>
    <w:rsid w:val="000C55BD"/>
    <w:rsid w:val="000C62DE"/>
    <w:rsid w:val="000D50DB"/>
    <w:rsid w:val="000E473E"/>
    <w:rsid w:val="000E6D16"/>
    <w:rsid w:val="000F0096"/>
    <w:rsid w:val="000F2A60"/>
    <w:rsid w:val="000F5A87"/>
    <w:rsid w:val="00103C7B"/>
    <w:rsid w:val="001049DB"/>
    <w:rsid w:val="0011056E"/>
    <w:rsid w:val="0011458A"/>
    <w:rsid w:val="00121E6A"/>
    <w:rsid w:val="001225F7"/>
    <w:rsid w:val="001246D3"/>
    <w:rsid w:val="00126212"/>
    <w:rsid w:val="00126533"/>
    <w:rsid w:val="0013182F"/>
    <w:rsid w:val="00131B1C"/>
    <w:rsid w:val="00143083"/>
    <w:rsid w:val="00145F35"/>
    <w:rsid w:val="00150FC8"/>
    <w:rsid w:val="00152415"/>
    <w:rsid w:val="001534E4"/>
    <w:rsid w:val="00155200"/>
    <w:rsid w:val="00156383"/>
    <w:rsid w:val="001603EB"/>
    <w:rsid w:val="0017037D"/>
    <w:rsid w:val="00170F95"/>
    <w:rsid w:val="00173629"/>
    <w:rsid w:val="001755F9"/>
    <w:rsid w:val="0018130F"/>
    <w:rsid w:val="001908A2"/>
    <w:rsid w:val="0019224E"/>
    <w:rsid w:val="00192876"/>
    <w:rsid w:val="0019750D"/>
    <w:rsid w:val="001A6638"/>
    <w:rsid w:val="001C099A"/>
    <w:rsid w:val="001C3274"/>
    <w:rsid w:val="001D0897"/>
    <w:rsid w:val="001D5220"/>
    <w:rsid w:val="001D5789"/>
    <w:rsid w:val="001D61D5"/>
    <w:rsid w:val="001D7E7B"/>
    <w:rsid w:val="001E347B"/>
    <w:rsid w:val="001E558E"/>
    <w:rsid w:val="001F1CAB"/>
    <w:rsid w:val="001F40A2"/>
    <w:rsid w:val="001F4AD3"/>
    <w:rsid w:val="001F6E02"/>
    <w:rsid w:val="001F706A"/>
    <w:rsid w:val="00203B1B"/>
    <w:rsid w:val="002043E0"/>
    <w:rsid w:val="002113BC"/>
    <w:rsid w:val="002115F3"/>
    <w:rsid w:val="0021373F"/>
    <w:rsid w:val="00216DEA"/>
    <w:rsid w:val="00217653"/>
    <w:rsid w:val="00220CA6"/>
    <w:rsid w:val="00223099"/>
    <w:rsid w:val="00231B15"/>
    <w:rsid w:val="00233592"/>
    <w:rsid w:val="002465DB"/>
    <w:rsid w:val="002478FE"/>
    <w:rsid w:val="00247C6A"/>
    <w:rsid w:val="002530F8"/>
    <w:rsid w:val="0026195C"/>
    <w:rsid w:val="00263CFC"/>
    <w:rsid w:val="00264135"/>
    <w:rsid w:val="00270856"/>
    <w:rsid w:val="002716F2"/>
    <w:rsid w:val="00272496"/>
    <w:rsid w:val="0027317E"/>
    <w:rsid w:val="0027577A"/>
    <w:rsid w:val="002757EC"/>
    <w:rsid w:val="00277CA3"/>
    <w:rsid w:val="002809E8"/>
    <w:rsid w:val="002832D7"/>
    <w:rsid w:val="00285167"/>
    <w:rsid w:val="002944DB"/>
    <w:rsid w:val="002963C4"/>
    <w:rsid w:val="00296F62"/>
    <w:rsid w:val="002A4912"/>
    <w:rsid w:val="002B3E98"/>
    <w:rsid w:val="002B5941"/>
    <w:rsid w:val="002C31B0"/>
    <w:rsid w:val="002C39AA"/>
    <w:rsid w:val="002D76BF"/>
    <w:rsid w:val="002E559A"/>
    <w:rsid w:val="002E62B5"/>
    <w:rsid w:val="002E6932"/>
    <w:rsid w:val="002E6AB3"/>
    <w:rsid w:val="002E6CFE"/>
    <w:rsid w:val="002F66D4"/>
    <w:rsid w:val="002F6854"/>
    <w:rsid w:val="00301DE0"/>
    <w:rsid w:val="0031242C"/>
    <w:rsid w:val="00312489"/>
    <w:rsid w:val="00317043"/>
    <w:rsid w:val="0031769E"/>
    <w:rsid w:val="00320142"/>
    <w:rsid w:val="0032290F"/>
    <w:rsid w:val="00322FC5"/>
    <w:rsid w:val="00330D8F"/>
    <w:rsid w:val="00332436"/>
    <w:rsid w:val="003327C1"/>
    <w:rsid w:val="00333873"/>
    <w:rsid w:val="0033586F"/>
    <w:rsid w:val="00335950"/>
    <w:rsid w:val="003412CA"/>
    <w:rsid w:val="00346B19"/>
    <w:rsid w:val="00350948"/>
    <w:rsid w:val="00354314"/>
    <w:rsid w:val="00354D31"/>
    <w:rsid w:val="00354F02"/>
    <w:rsid w:val="003576D8"/>
    <w:rsid w:val="0036506A"/>
    <w:rsid w:val="00372550"/>
    <w:rsid w:val="00390375"/>
    <w:rsid w:val="003979FC"/>
    <w:rsid w:val="003B7CA8"/>
    <w:rsid w:val="003C0720"/>
    <w:rsid w:val="003C17CB"/>
    <w:rsid w:val="003C1AFB"/>
    <w:rsid w:val="003C3899"/>
    <w:rsid w:val="003D0AF2"/>
    <w:rsid w:val="003D31E9"/>
    <w:rsid w:val="003F0969"/>
    <w:rsid w:val="003F0FBF"/>
    <w:rsid w:val="003F275F"/>
    <w:rsid w:val="003F5064"/>
    <w:rsid w:val="003F50DA"/>
    <w:rsid w:val="003F623E"/>
    <w:rsid w:val="00405BE1"/>
    <w:rsid w:val="004061A7"/>
    <w:rsid w:val="00406438"/>
    <w:rsid w:val="004070B7"/>
    <w:rsid w:val="004075B4"/>
    <w:rsid w:val="00410085"/>
    <w:rsid w:val="0041057F"/>
    <w:rsid w:val="004151AB"/>
    <w:rsid w:val="00425E9F"/>
    <w:rsid w:val="00427B12"/>
    <w:rsid w:val="00430425"/>
    <w:rsid w:val="00434271"/>
    <w:rsid w:val="004352EE"/>
    <w:rsid w:val="004411BA"/>
    <w:rsid w:val="00447C21"/>
    <w:rsid w:val="00451CF9"/>
    <w:rsid w:val="00452339"/>
    <w:rsid w:val="00460CCB"/>
    <w:rsid w:val="00464B9D"/>
    <w:rsid w:val="00467D7D"/>
    <w:rsid w:val="00476981"/>
    <w:rsid w:val="00477711"/>
    <w:rsid w:val="00480607"/>
    <w:rsid w:val="004811E4"/>
    <w:rsid w:val="004900DD"/>
    <w:rsid w:val="00491849"/>
    <w:rsid w:val="00492138"/>
    <w:rsid w:val="00493C57"/>
    <w:rsid w:val="00495844"/>
    <w:rsid w:val="004A1635"/>
    <w:rsid w:val="004A1F0B"/>
    <w:rsid w:val="004A2878"/>
    <w:rsid w:val="004A793F"/>
    <w:rsid w:val="004B24B2"/>
    <w:rsid w:val="004B5E1F"/>
    <w:rsid w:val="004C0020"/>
    <w:rsid w:val="004C1F51"/>
    <w:rsid w:val="004C5420"/>
    <w:rsid w:val="004C7E29"/>
    <w:rsid w:val="004D0633"/>
    <w:rsid w:val="004D093D"/>
    <w:rsid w:val="004D3501"/>
    <w:rsid w:val="004E122E"/>
    <w:rsid w:val="004E31AD"/>
    <w:rsid w:val="004F002A"/>
    <w:rsid w:val="004F34AF"/>
    <w:rsid w:val="004F397A"/>
    <w:rsid w:val="004F3BAD"/>
    <w:rsid w:val="004F68B3"/>
    <w:rsid w:val="005103C6"/>
    <w:rsid w:val="00512B71"/>
    <w:rsid w:val="0051520D"/>
    <w:rsid w:val="005158E3"/>
    <w:rsid w:val="00523A9B"/>
    <w:rsid w:val="00524980"/>
    <w:rsid w:val="00526766"/>
    <w:rsid w:val="00526CB7"/>
    <w:rsid w:val="005270F0"/>
    <w:rsid w:val="005302F7"/>
    <w:rsid w:val="005321E2"/>
    <w:rsid w:val="00532E12"/>
    <w:rsid w:val="00535E7A"/>
    <w:rsid w:val="00550479"/>
    <w:rsid w:val="0055107B"/>
    <w:rsid w:val="0055483D"/>
    <w:rsid w:val="0055512A"/>
    <w:rsid w:val="005573E8"/>
    <w:rsid w:val="00561312"/>
    <w:rsid w:val="00564E26"/>
    <w:rsid w:val="00566A5B"/>
    <w:rsid w:val="00572B58"/>
    <w:rsid w:val="00572F2E"/>
    <w:rsid w:val="00575096"/>
    <w:rsid w:val="00576587"/>
    <w:rsid w:val="00580000"/>
    <w:rsid w:val="00586DE6"/>
    <w:rsid w:val="005963CA"/>
    <w:rsid w:val="00597D1A"/>
    <w:rsid w:val="005A6744"/>
    <w:rsid w:val="005A7D5C"/>
    <w:rsid w:val="005A7F3B"/>
    <w:rsid w:val="005B3295"/>
    <w:rsid w:val="005B4B0A"/>
    <w:rsid w:val="005C27D7"/>
    <w:rsid w:val="005C4477"/>
    <w:rsid w:val="005D4F26"/>
    <w:rsid w:val="005D54EE"/>
    <w:rsid w:val="005D56B6"/>
    <w:rsid w:val="005E06CB"/>
    <w:rsid w:val="005E212C"/>
    <w:rsid w:val="005E3125"/>
    <w:rsid w:val="005E6800"/>
    <w:rsid w:val="005E6B98"/>
    <w:rsid w:val="005F01FA"/>
    <w:rsid w:val="005F0D74"/>
    <w:rsid w:val="005F12D7"/>
    <w:rsid w:val="005F1F5E"/>
    <w:rsid w:val="005F273B"/>
    <w:rsid w:val="005F2A50"/>
    <w:rsid w:val="0060504D"/>
    <w:rsid w:val="00614D2A"/>
    <w:rsid w:val="00614D6F"/>
    <w:rsid w:val="00614DBF"/>
    <w:rsid w:val="0062108F"/>
    <w:rsid w:val="00621FB9"/>
    <w:rsid w:val="0062677C"/>
    <w:rsid w:val="00631294"/>
    <w:rsid w:val="00631DB6"/>
    <w:rsid w:val="006329DA"/>
    <w:rsid w:val="00635D19"/>
    <w:rsid w:val="00641070"/>
    <w:rsid w:val="006423EF"/>
    <w:rsid w:val="00642969"/>
    <w:rsid w:val="00643D93"/>
    <w:rsid w:val="006548B3"/>
    <w:rsid w:val="00655218"/>
    <w:rsid w:val="00656976"/>
    <w:rsid w:val="006655E7"/>
    <w:rsid w:val="00665AEE"/>
    <w:rsid w:val="00667573"/>
    <w:rsid w:val="006710D8"/>
    <w:rsid w:val="00680DE8"/>
    <w:rsid w:val="0068608F"/>
    <w:rsid w:val="006908AC"/>
    <w:rsid w:val="0069193E"/>
    <w:rsid w:val="006919E6"/>
    <w:rsid w:val="006946D4"/>
    <w:rsid w:val="006A1855"/>
    <w:rsid w:val="006A2F84"/>
    <w:rsid w:val="006A48FC"/>
    <w:rsid w:val="006A76D1"/>
    <w:rsid w:val="006B110A"/>
    <w:rsid w:val="006B19AD"/>
    <w:rsid w:val="006C26A3"/>
    <w:rsid w:val="006C2BA8"/>
    <w:rsid w:val="006C2BC5"/>
    <w:rsid w:val="006C3A1E"/>
    <w:rsid w:val="006C52E3"/>
    <w:rsid w:val="006C5784"/>
    <w:rsid w:val="006C5841"/>
    <w:rsid w:val="006C5C49"/>
    <w:rsid w:val="006C7155"/>
    <w:rsid w:val="006C7F27"/>
    <w:rsid w:val="006D6B07"/>
    <w:rsid w:val="006D74E6"/>
    <w:rsid w:val="006E00E8"/>
    <w:rsid w:val="006E0196"/>
    <w:rsid w:val="006E2958"/>
    <w:rsid w:val="006E49F7"/>
    <w:rsid w:val="006E53E4"/>
    <w:rsid w:val="006F6C88"/>
    <w:rsid w:val="006F7D79"/>
    <w:rsid w:val="00700B69"/>
    <w:rsid w:val="00715FD2"/>
    <w:rsid w:val="0071728C"/>
    <w:rsid w:val="00721484"/>
    <w:rsid w:val="00723316"/>
    <w:rsid w:val="00725ED1"/>
    <w:rsid w:val="00726EEE"/>
    <w:rsid w:val="00727FEF"/>
    <w:rsid w:val="00730C0C"/>
    <w:rsid w:val="007334D1"/>
    <w:rsid w:val="00741A43"/>
    <w:rsid w:val="00742C3B"/>
    <w:rsid w:val="00743A62"/>
    <w:rsid w:val="007441E4"/>
    <w:rsid w:val="0074794B"/>
    <w:rsid w:val="00747FEB"/>
    <w:rsid w:val="00755BC2"/>
    <w:rsid w:val="00760DE9"/>
    <w:rsid w:val="0076150D"/>
    <w:rsid w:val="00766AC0"/>
    <w:rsid w:val="00772E83"/>
    <w:rsid w:val="00773735"/>
    <w:rsid w:val="00774FD4"/>
    <w:rsid w:val="0078452A"/>
    <w:rsid w:val="00784F14"/>
    <w:rsid w:val="00786084"/>
    <w:rsid w:val="00786CB7"/>
    <w:rsid w:val="0079132A"/>
    <w:rsid w:val="0079293F"/>
    <w:rsid w:val="007931E9"/>
    <w:rsid w:val="007955E2"/>
    <w:rsid w:val="00796526"/>
    <w:rsid w:val="0079768A"/>
    <w:rsid w:val="007A1A25"/>
    <w:rsid w:val="007B1462"/>
    <w:rsid w:val="007B31AE"/>
    <w:rsid w:val="007B7CFD"/>
    <w:rsid w:val="007C5B94"/>
    <w:rsid w:val="007C66AE"/>
    <w:rsid w:val="007D0A14"/>
    <w:rsid w:val="007D56DD"/>
    <w:rsid w:val="007D7C68"/>
    <w:rsid w:val="007E2F6C"/>
    <w:rsid w:val="007E5D17"/>
    <w:rsid w:val="007E791E"/>
    <w:rsid w:val="007F328C"/>
    <w:rsid w:val="007F3D40"/>
    <w:rsid w:val="007F491F"/>
    <w:rsid w:val="0082395B"/>
    <w:rsid w:val="00826011"/>
    <w:rsid w:val="00835FEB"/>
    <w:rsid w:val="008437B4"/>
    <w:rsid w:val="008437E7"/>
    <w:rsid w:val="00846C58"/>
    <w:rsid w:val="00847F3E"/>
    <w:rsid w:val="00853F80"/>
    <w:rsid w:val="00857FA4"/>
    <w:rsid w:val="0086003E"/>
    <w:rsid w:val="00861BF2"/>
    <w:rsid w:val="00864009"/>
    <w:rsid w:val="00870685"/>
    <w:rsid w:val="00871725"/>
    <w:rsid w:val="0087320A"/>
    <w:rsid w:val="00880649"/>
    <w:rsid w:val="0088521D"/>
    <w:rsid w:val="008A1D4C"/>
    <w:rsid w:val="008A6757"/>
    <w:rsid w:val="008B2201"/>
    <w:rsid w:val="008B6BD3"/>
    <w:rsid w:val="008B7D68"/>
    <w:rsid w:val="008C6DB5"/>
    <w:rsid w:val="008C7D0E"/>
    <w:rsid w:val="008D27D4"/>
    <w:rsid w:val="008D3A4F"/>
    <w:rsid w:val="008E69B3"/>
    <w:rsid w:val="008E7349"/>
    <w:rsid w:val="008F1B5B"/>
    <w:rsid w:val="008F4272"/>
    <w:rsid w:val="008F52F1"/>
    <w:rsid w:val="00906EC8"/>
    <w:rsid w:val="00907667"/>
    <w:rsid w:val="009119FC"/>
    <w:rsid w:val="00913664"/>
    <w:rsid w:val="00920D99"/>
    <w:rsid w:val="009218C6"/>
    <w:rsid w:val="00932A86"/>
    <w:rsid w:val="009369F1"/>
    <w:rsid w:val="009421A5"/>
    <w:rsid w:val="00950477"/>
    <w:rsid w:val="009512E6"/>
    <w:rsid w:val="009567C0"/>
    <w:rsid w:val="0096154D"/>
    <w:rsid w:val="009675AA"/>
    <w:rsid w:val="00971968"/>
    <w:rsid w:val="00980170"/>
    <w:rsid w:val="0098281B"/>
    <w:rsid w:val="00982913"/>
    <w:rsid w:val="00982EA3"/>
    <w:rsid w:val="009877FE"/>
    <w:rsid w:val="00992E47"/>
    <w:rsid w:val="00995F26"/>
    <w:rsid w:val="00997E16"/>
    <w:rsid w:val="009A3627"/>
    <w:rsid w:val="009A4D73"/>
    <w:rsid w:val="009A630A"/>
    <w:rsid w:val="009A6F7B"/>
    <w:rsid w:val="009B0E83"/>
    <w:rsid w:val="009B3EAA"/>
    <w:rsid w:val="009B3FFD"/>
    <w:rsid w:val="009B6712"/>
    <w:rsid w:val="009B6D8B"/>
    <w:rsid w:val="009B79D5"/>
    <w:rsid w:val="009B7D8C"/>
    <w:rsid w:val="009C1704"/>
    <w:rsid w:val="009D30B1"/>
    <w:rsid w:val="009E494E"/>
    <w:rsid w:val="009E58C3"/>
    <w:rsid w:val="009E7F5E"/>
    <w:rsid w:val="009F067A"/>
    <w:rsid w:val="009F1134"/>
    <w:rsid w:val="009F6E49"/>
    <w:rsid w:val="00A00887"/>
    <w:rsid w:val="00A02832"/>
    <w:rsid w:val="00A02EAA"/>
    <w:rsid w:val="00A04397"/>
    <w:rsid w:val="00A044B5"/>
    <w:rsid w:val="00A04D49"/>
    <w:rsid w:val="00A0516E"/>
    <w:rsid w:val="00A06D9F"/>
    <w:rsid w:val="00A07593"/>
    <w:rsid w:val="00A110F7"/>
    <w:rsid w:val="00A1345C"/>
    <w:rsid w:val="00A1403E"/>
    <w:rsid w:val="00A14763"/>
    <w:rsid w:val="00A228AB"/>
    <w:rsid w:val="00A26F17"/>
    <w:rsid w:val="00A27BF3"/>
    <w:rsid w:val="00A301ED"/>
    <w:rsid w:val="00A36A02"/>
    <w:rsid w:val="00A371FC"/>
    <w:rsid w:val="00A374DE"/>
    <w:rsid w:val="00A37989"/>
    <w:rsid w:val="00A40F78"/>
    <w:rsid w:val="00A4327B"/>
    <w:rsid w:val="00A50857"/>
    <w:rsid w:val="00A5514C"/>
    <w:rsid w:val="00A60567"/>
    <w:rsid w:val="00A657EA"/>
    <w:rsid w:val="00A71015"/>
    <w:rsid w:val="00A77784"/>
    <w:rsid w:val="00A77CE3"/>
    <w:rsid w:val="00A80B59"/>
    <w:rsid w:val="00A93D5A"/>
    <w:rsid w:val="00A9676C"/>
    <w:rsid w:val="00A97857"/>
    <w:rsid w:val="00AA0F74"/>
    <w:rsid w:val="00AA184B"/>
    <w:rsid w:val="00AA19C8"/>
    <w:rsid w:val="00AA28F8"/>
    <w:rsid w:val="00AA4036"/>
    <w:rsid w:val="00AA4DBD"/>
    <w:rsid w:val="00AA5E42"/>
    <w:rsid w:val="00AA6372"/>
    <w:rsid w:val="00AA6DC2"/>
    <w:rsid w:val="00AB40EE"/>
    <w:rsid w:val="00AC102B"/>
    <w:rsid w:val="00AC2672"/>
    <w:rsid w:val="00AC4179"/>
    <w:rsid w:val="00AC5C21"/>
    <w:rsid w:val="00AC60D8"/>
    <w:rsid w:val="00AD135E"/>
    <w:rsid w:val="00AD1703"/>
    <w:rsid w:val="00AD728A"/>
    <w:rsid w:val="00AE437E"/>
    <w:rsid w:val="00AE7489"/>
    <w:rsid w:val="00AF6983"/>
    <w:rsid w:val="00AF7F27"/>
    <w:rsid w:val="00B01877"/>
    <w:rsid w:val="00B10C61"/>
    <w:rsid w:val="00B12EE6"/>
    <w:rsid w:val="00B132A5"/>
    <w:rsid w:val="00B15605"/>
    <w:rsid w:val="00B220AB"/>
    <w:rsid w:val="00B22EA2"/>
    <w:rsid w:val="00B30330"/>
    <w:rsid w:val="00B334CC"/>
    <w:rsid w:val="00B410E5"/>
    <w:rsid w:val="00B42EAC"/>
    <w:rsid w:val="00B501D3"/>
    <w:rsid w:val="00B578D0"/>
    <w:rsid w:val="00B606A6"/>
    <w:rsid w:val="00B677F8"/>
    <w:rsid w:val="00B757B4"/>
    <w:rsid w:val="00B8180F"/>
    <w:rsid w:val="00B8243C"/>
    <w:rsid w:val="00B84496"/>
    <w:rsid w:val="00B84701"/>
    <w:rsid w:val="00B85578"/>
    <w:rsid w:val="00B8729E"/>
    <w:rsid w:val="00B90053"/>
    <w:rsid w:val="00B947A1"/>
    <w:rsid w:val="00B95720"/>
    <w:rsid w:val="00B96F8E"/>
    <w:rsid w:val="00BA335C"/>
    <w:rsid w:val="00BB4604"/>
    <w:rsid w:val="00BB728E"/>
    <w:rsid w:val="00BB784E"/>
    <w:rsid w:val="00BC3BFC"/>
    <w:rsid w:val="00BC5346"/>
    <w:rsid w:val="00BC6976"/>
    <w:rsid w:val="00BC7AB9"/>
    <w:rsid w:val="00BD456A"/>
    <w:rsid w:val="00BE109C"/>
    <w:rsid w:val="00BE6D23"/>
    <w:rsid w:val="00BF0508"/>
    <w:rsid w:val="00BF4C77"/>
    <w:rsid w:val="00BF5F7F"/>
    <w:rsid w:val="00BF759D"/>
    <w:rsid w:val="00C163F9"/>
    <w:rsid w:val="00C206E9"/>
    <w:rsid w:val="00C30559"/>
    <w:rsid w:val="00C45C01"/>
    <w:rsid w:val="00C5378E"/>
    <w:rsid w:val="00C539FB"/>
    <w:rsid w:val="00C57465"/>
    <w:rsid w:val="00C620F8"/>
    <w:rsid w:val="00C6286A"/>
    <w:rsid w:val="00C64340"/>
    <w:rsid w:val="00C66965"/>
    <w:rsid w:val="00C67E1F"/>
    <w:rsid w:val="00C702FB"/>
    <w:rsid w:val="00C70FB4"/>
    <w:rsid w:val="00C711C7"/>
    <w:rsid w:val="00C72434"/>
    <w:rsid w:val="00C7280F"/>
    <w:rsid w:val="00C74EA1"/>
    <w:rsid w:val="00C761D5"/>
    <w:rsid w:val="00C80910"/>
    <w:rsid w:val="00C86B6A"/>
    <w:rsid w:val="00C910AC"/>
    <w:rsid w:val="00C91363"/>
    <w:rsid w:val="00C91CE6"/>
    <w:rsid w:val="00C95656"/>
    <w:rsid w:val="00CA0877"/>
    <w:rsid w:val="00CA3F81"/>
    <w:rsid w:val="00CA6821"/>
    <w:rsid w:val="00CB5291"/>
    <w:rsid w:val="00CC514D"/>
    <w:rsid w:val="00CC7E5C"/>
    <w:rsid w:val="00CE5D2C"/>
    <w:rsid w:val="00CE69E2"/>
    <w:rsid w:val="00CE7BE6"/>
    <w:rsid w:val="00CE7CC5"/>
    <w:rsid w:val="00CF0873"/>
    <w:rsid w:val="00CF3BED"/>
    <w:rsid w:val="00CF7611"/>
    <w:rsid w:val="00D0414E"/>
    <w:rsid w:val="00D05240"/>
    <w:rsid w:val="00D06441"/>
    <w:rsid w:val="00D150D4"/>
    <w:rsid w:val="00D20464"/>
    <w:rsid w:val="00D2054C"/>
    <w:rsid w:val="00D22881"/>
    <w:rsid w:val="00D26315"/>
    <w:rsid w:val="00D27E9B"/>
    <w:rsid w:val="00D329B9"/>
    <w:rsid w:val="00D36922"/>
    <w:rsid w:val="00D453D9"/>
    <w:rsid w:val="00D506CD"/>
    <w:rsid w:val="00D5309F"/>
    <w:rsid w:val="00D55177"/>
    <w:rsid w:val="00D559D1"/>
    <w:rsid w:val="00D55F50"/>
    <w:rsid w:val="00D56FCA"/>
    <w:rsid w:val="00D57137"/>
    <w:rsid w:val="00D57504"/>
    <w:rsid w:val="00D6185E"/>
    <w:rsid w:val="00D63273"/>
    <w:rsid w:val="00D65D5B"/>
    <w:rsid w:val="00D73919"/>
    <w:rsid w:val="00D74096"/>
    <w:rsid w:val="00D74BAB"/>
    <w:rsid w:val="00D824FD"/>
    <w:rsid w:val="00D826E9"/>
    <w:rsid w:val="00D86D99"/>
    <w:rsid w:val="00D91D04"/>
    <w:rsid w:val="00D924AD"/>
    <w:rsid w:val="00D93590"/>
    <w:rsid w:val="00DA251C"/>
    <w:rsid w:val="00DA25F8"/>
    <w:rsid w:val="00DA352F"/>
    <w:rsid w:val="00DA722E"/>
    <w:rsid w:val="00DB02E4"/>
    <w:rsid w:val="00DB1A1B"/>
    <w:rsid w:val="00DC006F"/>
    <w:rsid w:val="00DC2605"/>
    <w:rsid w:val="00DD1A4D"/>
    <w:rsid w:val="00DD6F76"/>
    <w:rsid w:val="00DE24F5"/>
    <w:rsid w:val="00DE3BDA"/>
    <w:rsid w:val="00DE4173"/>
    <w:rsid w:val="00DE49FE"/>
    <w:rsid w:val="00DE61F2"/>
    <w:rsid w:val="00DF1D7F"/>
    <w:rsid w:val="00DF2EC7"/>
    <w:rsid w:val="00DF304F"/>
    <w:rsid w:val="00E02E4B"/>
    <w:rsid w:val="00E02F06"/>
    <w:rsid w:val="00E04F5D"/>
    <w:rsid w:val="00E05544"/>
    <w:rsid w:val="00E06ECE"/>
    <w:rsid w:val="00E13E76"/>
    <w:rsid w:val="00E21916"/>
    <w:rsid w:val="00E23FF3"/>
    <w:rsid w:val="00E269A2"/>
    <w:rsid w:val="00E313F9"/>
    <w:rsid w:val="00E444D2"/>
    <w:rsid w:val="00E45C0E"/>
    <w:rsid w:val="00E50C66"/>
    <w:rsid w:val="00E520B0"/>
    <w:rsid w:val="00E55614"/>
    <w:rsid w:val="00E65C37"/>
    <w:rsid w:val="00E668A0"/>
    <w:rsid w:val="00E67CE9"/>
    <w:rsid w:val="00E75D2C"/>
    <w:rsid w:val="00E7627E"/>
    <w:rsid w:val="00E77540"/>
    <w:rsid w:val="00E86EC5"/>
    <w:rsid w:val="00E87BF6"/>
    <w:rsid w:val="00E940B2"/>
    <w:rsid w:val="00E94E3E"/>
    <w:rsid w:val="00E96AA6"/>
    <w:rsid w:val="00EA16B3"/>
    <w:rsid w:val="00EA25DA"/>
    <w:rsid w:val="00EA7C68"/>
    <w:rsid w:val="00EB060C"/>
    <w:rsid w:val="00EB1368"/>
    <w:rsid w:val="00EC5AFC"/>
    <w:rsid w:val="00EC7013"/>
    <w:rsid w:val="00EC7216"/>
    <w:rsid w:val="00ED0B67"/>
    <w:rsid w:val="00ED555C"/>
    <w:rsid w:val="00ED5D0F"/>
    <w:rsid w:val="00ED7502"/>
    <w:rsid w:val="00EE5F3E"/>
    <w:rsid w:val="00EF35AD"/>
    <w:rsid w:val="00EF3AD6"/>
    <w:rsid w:val="00EF3C87"/>
    <w:rsid w:val="00F01683"/>
    <w:rsid w:val="00F07394"/>
    <w:rsid w:val="00F0773B"/>
    <w:rsid w:val="00F10117"/>
    <w:rsid w:val="00F10927"/>
    <w:rsid w:val="00F1341B"/>
    <w:rsid w:val="00F14EF6"/>
    <w:rsid w:val="00F20FF6"/>
    <w:rsid w:val="00F226CC"/>
    <w:rsid w:val="00F24108"/>
    <w:rsid w:val="00F275AB"/>
    <w:rsid w:val="00F32C1E"/>
    <w:rsid w:val="00F35442"/>
    <w:rsid w:val="00F36294"/>
    <w:rsid w:val="00F40BDE"/>
    <w:rsid w:val="00F40CCF"/>
    <w:rsid w:val="00F429DD"/>
    <w:rsid w:val="00F44CAD"/>
    <w:rsid w:val="00F460C1"/>
    <w:rsid w:val="00F47511"/>
    <w:rsid w:val="00F479B2"/>
    <w:rsid w:val="00F53937"/>
    <w:rsid w:val="00F610E1"/>
    <w:rsid w:val="00F62377"/>
    <w:rsid w:val="00F661B9"/>
    <w:rsid w:val="00F71BAC"/>
    <w:rsid w:val="00F71E02"/>
    <w:rsid w:val="00F720CC"/>
    <w:rsid w:val="00F77F93"/>
    <w:rsid w:val="00F83B55"/>
    <w:rsid w:val="00F841E6"/>
    <w:rsid w:val="00FA182F"/>
    <w:rsid w:val="00FA28AB"/>
    <w:rsid w:val="00FA35F7"/>
    <w:rsid w:val="00FA4701"/>
    <w:rsid w:val="00FA4CA3"/>
    <w:rsid w:val="00FB47D8"/>
    <w:rsid w:val="00FB794F"/>
    <w:rsid w:val="00FC0314"/>
    <w:rsid w:val="00FC247C"/>
    <w:rsid w:val="00FD12B3"/>
    <w:rsid w:val="00FE05A8"/>
    <w:rsid w:val="00FE070E"/>
    <w:rsid w:val="00FE65AD"/>
    <w:rsid w:val="00FE76FC"/>
    <w:rsid w:val="00FF270F"/>
    <w:rsid w:val="00FF2ACA"/>
    <w:rsid w:val="00FF6D91"/>
    <w:rsid w:val="00FF6E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4ED8DB"/>
  <w15:chartTrackingRefBased/>
  <w15:docId w15:val="{00D60A93-1673-4972-A3C6-F86D7476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E0"/>
    <w:rPr>
      <w:sz w:val="24"/>
    </w:rPr>
  </w:style>
  <w:style w:type="paragraph" w:styleId="Heading1">
    <w:name w:val="heading 1"/>
    <w:basedOn w:val="Normal"/>
    <w:next w:val="Normal"/>
    <w:autoRedefine/>
    <w:qFormat/>
    <w:rsid w:val="00A04D49"/>
    <w:pPr>
      <w:keepNext/>
      <w:numPr>
        <w:numId w:val="7"/>
      </w:numPr>
      <w:spacing w:after="240"/>
      <w:ind w:left="720" w:hanging="720"/>
      <w:outlineLvl w:val="0"/>
    </w:pPr>
    <w:rPr>
      <w:rFonts w:ascii="Times New Roman Bold" w:hAnsi="Times New Roman Bold"/>
      <w:b/>
      <w:caps/>
      <w:szCs w:val="24"/>
    </w:rPr>
  </w:style>
  <w:style w:type="paragraph" w:styleId="Heading2">
    <w:name w:val="heading 2"/>
    <w:basedOn w:val="ListParagraph"/>
    <w:next w:val="Normal"/>
    <w:autoRedefine/>
    <w:qFormat/>
    <w:rsid w:val="003F5064"/>
    <w:pPr>
      <w:numPr>
        <w:ilvl w:val="1"/>
        <w:numId w:val="7"/>
      </w:numPr>
      <w:spacing w:after="240" w:line="240" w:lineRule="auto"/>
      <w:ind w:left="1440" w:hanging="720"/>
      <w:outlineLvl w:val="1"/>
    </w:pPr>
    <w:rPr>
      <w:rFonts w:ascii="Times New Roman" w:hAnsi="Times New Roman" w:cs="Times New Roman"/>
      <w:b/>
      <w:bCs/>
      <w:sz w:val="24"/>
      <w:szCs w:val="24"/>
    </w:rPr>
  </w:style>
  <w:style w:type="paragraph" w:styleId="Heading3">
    <w:name w:val="heading 3"/>
    <w:basedOn w:val="Normal"/>
    <w:next w:val="Normal"/>
    <w:qFormat/>
    <w:pPr>
      <w:keepNext/>
      <w:numPr>
        <w:ilvl w:val="2"/>
        <w:numId w:val="7"/>
      </w:numPr>
      <w:jc w:val="center"/>
      <w:outlineLvl w:val="2"/>
    </w:pPr>
    <w:rPr>
      <w:b/>
      <w:bCs/>
      <w:u w:val="single"/>
    </w:rPr>
  </w:style>
  <w:style w:type="paragraph" w:styleId="Heading4">
    <w:name w:val="heading 4"/>
    <w:basedOn w:val="Normal"/>
    <w:next w:val="Normal"/>
    <w:link w:val="Heading4Char"/>
    <w:semiHidden/>
    <w:unhideWhenUsed/>
    <w:qFormat/>
    <w:rsid w:val="008F52F1"/>
    <w:pPr>
      <w:keepNext/>
      <w:numPr>
        <w:ilvl w:val="3"/>
        <w:numId w:val="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F52F1"/>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52F1"/>
    <w:pPr>
      <w:numPr>
        <w:ilvl w:val="5"/>
        <w:numId w:val="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F52F1"/>
    <w:pPr>
      <w:numPr>
        <w:ilvl w:val="6"/>
        <w:numId w:val="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8F52F1"/>
    <w:pPr>
      <w:numPr>
        <w:ilvl w:val="7"/>
        <w:numId w:val="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8F52F1"/>
    <w:pPr>
      <w:numPr>
        <w:ilvl w:val="8"/>
        <w:numId w:val="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Car,Footnote Text Char Char,Footnote Text Char Char Char Char,Footnote Text Char1,Footnote Text Char1 Char Char1,Footnote Text Char1 Char Char1 Char Char Char,Footnote Text Char2 Char Char Char Char1,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CommentTextChar">
    <w:name w:val="Comment Text Char"/>
    <w:link w:val="CommentText"/>
    <w:rsid w:val="009F067A"/>
    <w:rPr>
      <w:sz w:val="24"/>
      <w:szCs w:val="24"/>
    </w:rPr>
  </w:style>
  <w:style w:type="character" w:customStyle="1" w:styleId="UnresolvedMention1">
    <w:name w:val="Unresolved Mention1"/>
    <w:uiPriority w:val="99"/>
    <w:semiHidden/>
    <w:unhideWhenUsed/>
    <w:rsid w:val="0055512A"/>
    <w:rPr>
      <w:color w:val="605E5C"/>
      <w:shd w:val="clear" w:color="auto" w:fill="E1DFDD"/>
    </w:rPr>
  </w:style>
  <w:style w:type="character" w:customStyle="1" w:styleId="FootnoteTextChar">
    <w:name w:val="Footnote Text Char"/>
    <w:aliases w:val="ALTS FOOTNOTE Char,Car Char,Footnote Text Char Char Char,Footnote Text Char Char Char Char Char,Footnote Text Char1 Char,Footnote Text Char1 Char Char1 Char,Footnote Text Char1 Char Char1 Char Char Char Char,fn Char"/>
    <w:basedOn w:val="DefaultParagraphFont"/>
    <w:link w:val="FootnoteText"/>
    <w:uiPriority w:val="99"/>
    <w:rsid w:val="001534E4"/>
  </w:style>
  <w:style w:type="paragraph" w:styleId="Revision">
    <w:name w:val="Revision"/>
    <w:hidden/>
    <w:uiPriority w:val="99"/>
    <w:semiHidden/>
    <w:rsid w:val="000802ED"/>
    <w:rPr>
      <w:sz w:val="24"/>
    </w:rPr>
  </w:style>
  <w:style w:type="paragraph" w:customStyle="1" w:styleId="Default">
    <w:name w:val="Default"/>
    <w:rsid w:val="0087172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C5784"/>
  </w:style>
  <w:style w:type="paragraph" w:styleId="TOC1">
    <w:name w:val="toc 1"/>
    <w:basedOn w:val="Normal"/>
    <w:next w:val="Normal"/>
    <w:autoRedefine/>
    <w:uiPriority w:val="39"/>
    <w:qFormat/>
    <w:rsid w:val="006548B3"/>
    <w:pPr>
      <w:tabs>
        <w:tab w:val="decimal" w:leader="dot" w:pos="9360"/>
      </w:tabs>
      <w:spacing w:after="240"/>
      <w:ind w:left="720" w:hanging="720"/>
      <w:outlineLvl w:val="0"/>
    </w:pPr>
    <w:rPr>
      <w:caps/>
    </w:rPr>
  </w:style>
  <w:style w:type="paragraph" w:styleId="TOC2">
    <w:name w:val="toc 2"/>
    <w:basedOn w:val="Normal"/>
    <w:next w:val="Normal"/>
    <w:autoRedefine/>
    <w:uiPriority w:val="39"/>
    <w:qFormat/>
    <w:rsid w:val="006548B3"/>
    <w:pPr>
      <w:tabs>
        <w:tab w:val="decimal" w:leader="dot" w:pos="9360"/>
      </w:tabs>
      <w:spacing w:after="240"/>
      <w:ind w:left="1440" w:hanging="720"/>
      <w:outlineLvl w:val="1"/>
    </w:pPr>
  </w:style>
  <w:style w:type="character" w:customStyle="1" w:styleId="Heading4Char">
    <w:name w:val="Heading 4 Char"/>
    <w:link w:val="Heading4"/>
    <w:semiHidden/>
    <w:rsid w:val="008F52F1"/>
    <w:rPr>
      <w:rFonts w:ascii="Calibri" w:eastAsia="Times New Roman" w:hAnsi="Calibri" w:cs="Times New Roman"/>
      <w:b/>
      <w:bCs/>
      <w:sz w:val="28"/>
      <w:szCs w:val="28"/>
    </w:rPr>
  </w:style>
  <w:style w:type="character" w:customStyle="1" w:styleId="Heading5Char">
    <w:name w:val="Heading 5 Char"/>
    <w:link w:val="Heading5"/>
    <w:semiHidden/>
    <w:rsid w:val="008F52F1"/>
    <w:rPr>
      <w:rFonts w:ascii="Calibri" w:eastAsia="Times New Roman" w:hAnsi="Calibri" w:cs="Times New Roman"/>
      <w:b/>
      <w:bCs/>
      <w:i/>
      <w:iCs/>
      <w:sz w:val="26"/>
      <w:szCs w:val="26"/>
    </w:rPr>
  </w:style>
  <w:style w:type="character" w:customStyle="1" w:styleId="Heading6Char">
    <w:name w:val="Heading 6 Char"/>
    <w:link w:val="Heading6"/>
    <w:semiHidden/>
    <w:rsid w:val="008F52F1"/>
    <w:rPr>
      <w:rFonts w:ascii="Calibri" w:eastAsia="Times New Roman" w:hAnsi="Calibri" w:cs="Times New Roman"/>
      <w:b/>
      <w:bCs/>
      <w:sz w:val="22"/>
      <w:szCs w:val="22"/>
    </w:rPr>
  </w:style>
  <w:style w:type="character" w:customStyle="1" w:styleId="Heading7Char">
    <w:name w:val="Heading 7 Char"/>
    <w:link w:val="Heading7"/>
    <w:semiHidden/>
    <w:rsid w:val="008F52F1"/>
    <w:rPr>
      <w:rFonts w:ascii="Calibri" w:eastAsia="Times New Roman" w:hAnsi="Calibri" w:cs="Times New Roman"/>
      <w:sz w:val="24"/>
      <w:szCs w:val="24"/>
    </w:rPr>
  </w:style>
  <w:style w:type="character" w:customStyle="1" w:styleId="Heading8Char">
    <w:name w:val="Heading 8 Char"/>
    <w:link w:val="Heading8"/>
    <w:semiHidden/>
    <w:rsid w:val="008F52F1"/>
    <w:rPr>
      <w:rFonts w:ascii="Calibri" w:eastAsia="Times New Roman" w:hAnsi="Calibri" w:cs="Times New Roman"/>
      <w:i/>
      <w:iCs/>
      <w:sz w:val="24"/>
      <w:szCs w:val="24"/>
    </w:rPr>
  </w:style>
  <w:style w:type="character" w:customStyle="1" w:styleId="Heading9Char">
    <w:name w:val="Heading 9 Char"/>
    <w:link w:val="Heading9"/>
    <w:semiHidden/>
    <w:rsid w:val="008F52F1"/>
    <w:rPr>
      <w:rFonts w:ascii="Calibri Light" w:eastAsia="Times New Roman" w:hAnsi="Calibri Light" w:cs="Times New Roman"/>
      <w:sz w:val="22"/>
      <w:szCs w:val="22"/>
    </w:rPr>
  </w:style>
  <w:style w:type="character" w:styleId="Strong">
    <w:name w:val="Strong"/>
    <w:basedOn w:val="DefaultParagraphFont"/>
    <w:uiPriority w:val="22"/>
    <w:qFormat/>
    <w:rsid w:val="004A2878"/>
    <w:rPr>
      <w:b/>
      <w:bCs/>
    </w:rPr>
  </w:style>
  <w:style w:type="character" w:customStyle="1" w:styleId="UnresolvedMention2">
    <w:name w:val="Unresolved Mention2"/>
    <w:basedOn w:val="DefaultParagraphFont"/>
    <w:rsid w:val="00BD456A"/>
    <w:rPr>
      <w:color w:val="605E5C"/>
      <w:shd w:val="clear" w:color="auto" w:fill="E1DFDD"/>
    </w:rPr>
  </w:style>
  <w:style w:type="character" w:customStyle="1" w:styleId="UnresolvedMention">
    <w:name w:val="Unresolved Mention"/>
    <w:basedOn w:val="DefaultParagraphFont"/>
    <w:rsid w:val="00F62377"/>
    <w:rPr>
      <w:color w:val="605E5C"/>
      <w:shd w:val="clear" w:color="auto" w:fill="E1DFDD"/>
    </w:rPr>
  </w:style>
  <w:style w:type="paragraph" w:styleId="ListParagraph">
    <w:name w:val="List Paragraph"/>
    <w:basedOn w:val="Normal"/>
    <w:uiPriority w:val="34"/>
    <w:qFormat/>
    <w:rsid w:val="00AA28F8"/>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egan.addison@puco.ohio.gov" TargetMode="External" /><Relationship Id="rId11" Type="http://schemas.openxmlformats.org/officeDocument/2006/relationships/hyperlink" Target="mailto:greg.price@puco.ohio.gov" TargetMode="External" /><Relationship Id="rId12" Type="http://schemas.openxmlformats.org/officeDocument/2006/relationships/hyperlink" Target="mailto:bknipe@firstenergycorp.com" TargetMode="External" /><Relationship Id="rId13" Type="http://schemas.openxmlformats.org/officeDocument/2006/relationships/hyperlink" Target="mailto:cwatchorn@firstenergycorp.com" TargetMode="External" /><Relationship Id="rId14" Type="http://schemas.openxmlformats.org/officeDocument/2006/relationships/hyperlink" Target="mailto:thomas.lindgren@ohioago.gov" TargetMode="External" /><Relationship Id="rId15" Type="http://schemas.openxmlformats.org/officeDocument/2006/relationships/hyperlink" Target="mailto:rhiannon.howard@ohioago.gov"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kyle.kern@ohioago.gov" TargetMode="External" /><Relationship Id="rId9" Type="http://schemas.openxmlformats.org/officeDocument/2006/relationships/hyperlink" Target="mailto:robert.eubanks@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ABF7-FADF-4105-B9E1-FA5A3422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2023-05-03T16:20:09Z</dcterms:created>
  <dcterms:modified xsi:type="dcterms:W3CDTF">2023-05-03T16:20:09Z</dcterms:modified>
</cp:coreProperties>
</file>