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A22D5" w:rsidRPr="00FE3082" w14:paraId="0823C985" w14:textId="77777777">
      <w:pPr>
        <w:pStyle w:val="List"/>
        <w:ind w:left="0" w:firstLine="0"/>
        <w:jc w:val="center"/>
        <w:rPr>
          <w:b/>
          <w:szCs w:val="24"/>
        </w:rPr>
      </w:pPr>
      <w:r w:rsidRPr="00FE3082">
        <w:rPr>
          <w:b/>
          <w:szCs w:val="24"/>
        </w:rPr>
        <w:t>BEFORE</w:t>
      </w:r>
    </w:p>
    <w:p w:rsidR="001A22D5" w:rsidRPr="00FE3082" w14:paraId="5FF6A930" w14:textId="77777777">
      <w:pPr>
        <w:pStyle w:val="List"/>
        <w:ind w:left="0" w:firstLine="0"/>
        <w:jc w:val="center"/>
        <w:rPr>
          <w:szCs w:val="24"/>
        </w:rPr>
      </w:pPr>
      <w:r w:rsidRPr="00FE3082">
        <w:rPr>
          <w:b/>
          <w:szCs w:val="24"/>
        </w:rPr>
        <w:t>THE PUBLIC UTILITIES COMMISSION OF OHIO</w:t>
      </w:r>
    </w:p>
    <w:p w:rsidR="001A22D5" w:rsidRPr="00FE3082" w14:paraId="14C58748" w14:textId="20960CC4">
      <w:pPr>
        <w:pStyle w:val="HTMLPreformatted"/>
        <w:rPr>
          <w:rFonts w:ascii="Times New Roman" w:hAnsi="Times New Roman" w:cs="Times New Roman"/>
          <w:sz w:val="24"/>
          <w:szCs w:val="24"/>
        </w:rPr>
      </w:pPr>
    </w:p>
    <w:tbl>
      <w:tblPr>
        <w:tblW w:w="8640" w:type="dxa"/>
        <w:tblLook w:val="01E0"/>
      </w:tblPr>
      <w:tblGrid>
        <w:gridCol w:w="4230"/>
        <w:gridCol w:w="630"/>
        <w:gridCol w:w="3780"/>
      </w:tblGrid>
      <w:tr w14:paraId="4225D2A0" w14:textId="77777777" w:rsidTr="008B5C08">
        <w:tblPrEx>
          <w:tblW w:w="8640" w:type="dxa"/>
          <w:tblLook w:val="01E0"/>
        </w:tblPrEx>
        <w:trPr>
          <w:trHeight w:val="807"/>
        </w:trPr>
        <w:tc>
          <w:tcPr>
            <w:tcW w:w="4230" w:type="dxa"/>
            <w:shd w:val="clear" w:color="auto" w:fill="auto"/>
          </w:tcPr>
          <w:p w:rsidR="008B5C08" w:rsidRPr="00FE3082" w:rsidP="008B5C08" w14:paraId="0BA6B9C7" w14:textId="77777777">
            <w:pPr>
              <w:autoSpaceDE w:val="0"/>
              <w:autoSpaceDN w:val="0"/>
              <w:adjustRightInd w:val="0"/>
              <w:rPr>
                <w:sz w:val="24"/>
                <w:szCs w:val="24"/>
              </w:rPr>
            </w:pPr>
            <w:r w:rsidRPr="00FE3082">
              <w:rPr>
                <w:sz w:val="24"/>
                <w:szCs w:val="24"/>
              </w:rPr>
              <w:t>In the Matter of the Review of the Non-Market-Based Services Rider Contained in the Tariffs of Ohio Edison Company, the Cleveland Electric Illuminating Company and the Toledo Edison Company.</w:t>
            </w:r>
          </w:p>
        </w:tc>
        <w:tc>
          <w:tcPr>
            <w:tcW w:w="630" w:type="dxa"/>
            <w:shd w:val="clear" w:color="auto" w:fill="auto"/>
          </w:tcPr>
          <w:p w:rsidR="008B5C08" w:rsidRPr="00FE3082" w:rsidP="008B5C08" w14:paraId="1631CD81" w14:textId="77777777">
            <w:pPr>
              <w:rPr>
                <w:rFonts w:eastAsia="Courier New"/>
                <w:sz w:val="24"/>
                <w:szCs w:val="24"/>
              </w:rPr>
            </w:pPr>
            <w:r w:rsidRPr="00FE3082">
              <w:rPr>
                <w:rFonts w:eastAsia="Courier New"/>
                <w:sz w:val="24"/>
                <w:szCs w:val="24"/>
              </w:rPr>
              <w:t>)</w:t>
            </w:r>
          </w:p>
          <w:p w:rsidR="008B5C08" w:rsidRPr="00FE3082" w:rsidP="008B5C08" w14:paraId="0FA588E9" w14:textId="77777777">
            <w:pPr>
              <w:rPr>
                <w:rFonts w:eastAsia="Courier New"/>
                <w:sz w:val="24"/>
                <w:szCs w:val="24"/>
              </w:rPr>
            </w:pPr>
            <w:r w:rsidRPr="00FE3082">
              <w:rPr>
                <w:rFonts w:eastAsia="Courier New"/>
                <w:sz w:val="24"/>
                <w:szCs w:val="24"/>
              </w:rPr>
              <w:t>)</w:t>
            </w:r>
          </w:p>
          <w:p w:rsidR="008B5C08" w:rsidRPr="00FE3082" w:rsidP="008B5C08" w14:paraId="5C820B37" w14:textId="77777777">
            <w:pPr>
              <w:rPr>
                <w:rFonts w:eastAsia="Courier New"/>
                <w:sz w:val="24"/>
                <w:szCs w:val="24"/>
              </w:rPr>
            </w:pPr>
            <w:r w:rsidRPr="00FE3082">
              <w:rPr>
                <w:rFonts w:eastAsia="Courier New"/>
                <w:sz w:val="24"/>
                <w:szCs w:val="24"/>
              </w:rPr>
              <w:t>)</w:t>
            </w:r>
          </w:p>
          <w:p w:rsidR="008B5C08" w:rsidRPr="00FE3082" w:rsidP="008B5C08" w14:paraId="03F51C25" w14:textId="77777777">
            <w:pPr>
              <w:rPr>
                <w:rFonts w:eastAsia="Courier New"/>
                <w:sz w:val="24"/>
                <w:szCs w:val="24"/>
              </w:rPr>
            </w:pPr>
            <w:r w:rsidRPr="00FE3082">
              <w:rPr>
                <w:rFonts w:eastAsia="Courier New"/>
                <w:sz w:val="24"/>
                <w:szCs w:val="24"/>
              </w:rPr>
              <w:t>)</w:t>
            </w:r>
          </w:p>
          <w:p w:rsidR="008B5C08" w:rsidRPr="00FE3082" w:rsidP="008B5C08" w14:paraId="6D455EC7" w14:textId="77777777">
            <w:pPr>
              <w:rPr>
                <w:rFonts w:eastAsia="Courier New"/>
                <w:sz w:val="24"/>
                <w:szCs w:val="24"/>
              </w:rPr>
            </w:pPr>
            <w:r w:rsidRPr="00FE3082">
              <w:rPr>
                <w:rFonts w:eastAsia="Courier New"/>
                <w:sz w:val="24"/>
                <w:szCs w:val="24"/>
              </w:rPr>
              <w:t>)</w:t>
            </w:r>
          </w:p>
          <w:p w:rsidR="008B5C08" w:rsidRPr="00FE3082" w:rsidP="008B5C08" w14:paraId="750AFC18" w14:textId="5966B186">
            <w:pPr>
              <w:rPr>
                <w:rFonts w:eastAsia="Courier New"/>
                <w:sz w:val="24"/>
                <w:szCs w:val="24"/>
              </w:rPr>
            </w:pPr>
            <w:r w:rsidRPr="00FE3082">
              <w:rPr>
                <w:rFonts w:eastAsia="Courier New"/>
                <w:sz w:val="24"/>
                <w:szCs w:val="24"/>
              </w:rPr>
              <w:t>)</w:t>
            </w:r>
          </w:p>
        </w:tc>
        <w:tc>
          <w:tcPr>
            <w:tcW w:w="3780" w:type="dxa"/>
            <w:shd w:val="clear" w:color="auto" w:fill="auto"/>
          </w:tcPr>
          <w:p w:rsidR="008B5C08" w:rsidRPr="00FE3082" w:rsidP="008B5C08" w14:paraId="41762958" w14:textId="77777777">
            <w:pPr>
              <w:rPr>
                <w:rFonts w:eastAsia="Courier New"/>
                <w:sz w:val="24"/>
                <w:szCs w:val="24"/>
              </w:rPr>
            </w:pPr>
          </w:p>
          <w:p w:rsidR="008B5C08" w:rsidRPr="00FE3082" w:rsidP="008B5C08" w14:paraId="6D1CDBEC" w14:textId="77777777">
            <w:pPr>
              <w:rPr>
                <w:rFonts w:eastAsia="Courier New"/>
                <w:sz w:val="24"/>
                <w:szCs w:val="24"/>
              </w:rPr>
            </w:pPr>
          </w:p>
          <w:p w:rsidR="008B5C08" w:rsidRPr="00FE3082" w:rsidP="008B5C08" w14:paraId="072DED77" w14:textId="77777777">
            <w:pPr>
              <w:rPr>
                <w:rFonts w:eastAsia="Courier New"/>
                <w:sz w:val="24"/>
                <w:szCs w:val="24"/>
              </w:rPr>
            </w:pPr>
            <w:r w:rsidRPr="00FE3082">
              <w:rPr>
                <w:rFonts w:eastAsia="Courier New"/>
                <w:sz w:val="24"/>
                <w:szCs w:val="24"/>
              </w:rPr>
              <w:t>Case No. 22-391-EL-RDR</w:t>
            </w:r>
          </w:p>
          <w:p w:rsidR="008B5C08" w:rsidRPr="00FE3082" w:rsidP="008B5C08" w14:paraId="07FBA41C" w14:textId="77777777">
            <w:pPr>
              <w:rPr>
                <w:rFonts w:eastAsia="Courier New"/>
                <w:sz w:val="24"/>
                <w:szCs w:val="24"/>
              </w:rPr>
            </w:pPr>
          </w:p>
          <w:p w:rsidR="008B5C08" w:rsidRPr="00FE3082" w:rsidP="008B5C08" w14:paraId="5BD36A49" w14:textId="77777777">
            <w:pPr>
              <w:rPr>
                <w:rFonts w:eastAsia="Courier New"/>
                <w:sz w:val="24"/>
                <w:szCs w:val="24"/>
              </w:rPr>
            </w:pPr>
          </w:p>
          <w:p w:rsidR="008B5C08" w:rsidRPr="00FE3082" w:rsidP="008B5C08" w14:paraId="58A1617D" w14:textId="77777777">
            <w:pPr>
              <w:rPr>
                <w:rFonts w:eastAsia="Courier New"/>
                <w:sz w:val="24"/>
                <w:szCs w:val="24"/>
              </w:rPr>
            </w:pPr>
          </w:p>
        </w:tc>
      </w:tr>
    </w:tbl>
    <w:p w:rsidR="00077D35" w:rsidRPr="00FE3082" w:rsidP="00077D35" w14:paraId="7716F6DE" w14:textId="77777777">
      <w:pPr>
        <w:widowControl w:val="0"/>
        <w:pBdr>
          <w:bottom w:val="single" w:sz="12" w:space="1" w:color="auto"/>
        </w:pBdr>
        <w:autoSpaceDE w:val="0"/>
        <w:autoSpaceDN w:val="0"/>
        <w:adjustRightInd w:val="0"/>
        <w:rPr>
          <w:b/>
          <w:sz w:val="24"/>
          <w:szCs w:val="24"/>
        </w:rPr>
      </w:pPr>
    </w:p>
    <w:p w:rsidR="00077D35" w:rsidRPr="00FE3082" w:rsidP="00077D35" w14:paraId="47099AC2" w14:textId="77777777">
      <w:pPr>
        <w:widowControl w:val="0"/>
        <w:autoSpaceDE w:val="0"/>
        <w:autoSpaceDN w:val="0"/>
        <w:adjustRightInd w:val="0"/>
        <w:rPr>
          <w:b/>
          <w:sz w:val="24"/>
          <w:szCs w:val="24"/>
        </w:rPr>
      </w:pPr>
    </w:p>
    <w:p w:rsidR="009C5B24" w:rsidRPr="00FE3082" w:rsidP="00B5473B" w14:paraId="174B04B9" w14:textId="42C2C7E1">
      <w:pPr>
        <w:widowControl w:val="0"/>
        <w:pBdr>
          <w:bottom w:val="single" w:sz="12" w:space="1" w:color="auto"/>
        </w:pBdr>
        <w:autoSpaceDE w:val="0"/>
        <w:autoSpaceDN w:val="0"/>
        <w:adjustRightInd w:val="0"/>
        <w:jc w:val="center"/>
        <w:rPr>
          <w:b/>
          <w:sz w:val="24"/>
          <w:szCs w:val="24"/>
        </w:rPr>
      </w:pPr>
      <w:r w:rsidRPr="00FE3082">
        <w:rPr>
          <w:b/>
          <w:sz w:val="24"/>
          <w:szCs w:val="24"/>
        </w:rPr>
        <w:t>MEMORANDUM CONTRA THE PUCO STAFF’S</w:t>
      </w:r>
      <w:r w:rsidR="00B5473B">
        <w:rPr>
          <w:b/>
          <w:sz w:val="24"/>
          <w:szCs w:val="24"/>
        </w:rPr>
        <w:t xml:space="preserve"> </w:t>
      </w:r>
      <w:r w:rsidRPr="00FE3082">
        <w:rPr>
          <w:b/>
          <w:sz w:val="24"/>
          <w:szCs w:val="24"/>
        </w:rPr>
        <w:t>MOTION FOR EXTE</w:t>
      </w:r>
      <w:r w:rsidR="008B4A25">
        <w:rPr>
          <w:b/>
          <w:sz w:val="24"/>
          <w:szCs w:val="24"/>
        </w:rPr>
        <w:t>NS</w:t>
      </w:r>
      <w:r w:rsidRPr="00FE3082">
        <w:rPr>
          <w:b/>
          <w:sz w:val="24"/>
          <w:szCs w:val="24"/>
        </w:rPr>
        <w:t xml:space="preserve">ION OF THE DEADLINE FOR FILING </w:t>
      </w:r>
      <w:r w:rsidR="00237D60">
        <w:rPr>
          <w:b/>
          <w:sz w:val="24"/>
          <w:szCs w:val="24"/>
        </w:rPr>
        <w:t>ITS</w:t>
      </w:r>
      <w:r w:rsidRPr="00FE3082" w:rsidR="00237D60">
        <w:rPr>
          <w:b/>
          <w:sz w:val="24"/>
          <w:szCs w:val="24"/>
        </w:rPr>
        <w:t xml:space="preserve"> </w:t>
      </w:r>
      <w:r w:rsidRPr="00FE3082">
        <w:rPr>
          <w:b/>
          <w:sz w:val="24"/>
          <w:szCs w:val="24"/>
        </w:rPr>
        <w:t>AUDIT REPORT</w:t>
      </w:r>
    </w:p>
    <w:p w:rsidR="00077D35" w:rsidRPr="00FE3082" w:rsidP="00077D35" w14:paraId="517F5874" w14:textId="2AD37370">
      <w:pPr>
        <w:widowControl w:val="0"/>
        <w:pBdr>
          <w:bottom w:val="single" w:sz="12" w:space="1" w:color="auto"/>
        </w:pBdr>
        <w:autoSpaceDE w:val="0"/>
        <w:autoSpaceDN w:val="0"/>
        <w:adjustRightInd w:val="0"/>
        <w:jc w:val="center"/>
        <w:rPr>
          <w:b/>
          <w:sz w:val="24"/>
          <w:szCs w:val="24"/>
        </w:rPr>
      </w:pPr>
      <w:r w:rsidRPr="00FE3082">
        <w:rPr>
          <w:b/>
          <w:sz w:val="24"/>
          <w:szCs w:val="24"/>
        </w:rPr>
        <w:t>BY</w:t>
      </w:r>
    </w:p>
    <w:p w:rsidR="00077D35" w:rsidRPr="00FE3082" w:rsidP="00077D35" w14:paraId="1D7130AF" w14:textId="77777777">
      <w:pPr>
        <w:widowControl w:val="0"/>
        <w:pBdr>
          <w:bottom w:val="single" w:sz="12" w:space="1" w:color="auto"/>
        </w:pBdr>
        <w:autoSpaceDE w:val="0"/>
        <w:autoSpaceDN w:val="0"/>
        <w:adjustRightInd w:val="0"/>
        <w:jc w:val="center"/>
        <w:rPr>
          <w:b/>
          <w:sz w:val="24"/>
          <w:szCs w:val="24"/>
        </w:rPr>
      </w:pPr>
      <w:r w:rsidRPr="00FE3082">
        <w:rPr>
          <w:b/>
          <w:sz w:val="24"/>
          <w:szCs w:val="24"/>
        </w:rPr>
        <w:t>OFFICE OF THE OHIO CONSUMERS’ COUNSEL</w:t>
      </w:r>
    </w:p>
    <w:p w:rsidR="00077D35" w:rsidRPr="00FE3082" w:rsidP="00077D35" w14:paraId="3A8B4E2B" w14:textId="77777777">
      <w:pPr>
        <w:widowControl w:val="0"/>
        <w:pBdr>
          <w:bottom w:val="single" w:sz="12" w:space="1" w:color="auto"/>
        </w:pBdr>
        <w:autoSpaceDE w:val="0"/>
        <w:autoSpaceDN w:val="0"/>
        <w:adjustRightInd w:val="0"/>
        <w:jc w:val="center"/>
        <w:rPr>
          <w:b/>
          <w:sz w:val="24"/>
          <w:szCs w:val="24"/>
        </w:rPr>
      </w:pPr>
    </w:p>
    <w:p w:rsidR="001A22D5" w:rsidRPr="00FE3082" w14:paraId="17D7A67A" w14:textId="77777777">
      <w:pPr>
        <w:rPr>
          <w:sz w:val="24"/>
          <w:szCs w:val="24"/>
        </w:rPr>
      </w:pPr>
    </w:p>
    <w:p w:rsidR="00631932" w:rsidRPr="00B5473B" w:rsidP="00B5473B" w14:paraId="372EAFE1" w14:textId="7167DCC7">
      <w:pPr>
        <w:pStyle w:val="Heading1"/>
      </w:pPr>
      <w:r w:rsidRPr="00B5473B">
        <w:t>I.</w:t>
      </w:r>
      <w:r w:rsidRPr="00B5473B">
        <w:tab/>
        <w:t>INTRODUCTION</w:t>
      </w:r>
    </w:p>
    <w:p w:rsidR="00E324EB" w14:paraId="56B5304A" w14:textId="484635F1">
      <w:pPr>
        <w:spacing w:line="480" w:lineRule="auto"/>
        <w:ind w:firstLine="720"/>
        <w:rPr>
          <w:sz w:val="24"/>
          <w:szCs w:val="24"/>
        </w:rPr>
      </w:pPr>
      <w:r w:rsidRPr="00FE3082">
        <w:rPr>
          <w:sz w:val="24"/>
          <w:szCs w:val="24"/>
        </w:rPr>
        <w:t xml:space="preserve">FirstEnergy has operated </w:t>
      </w:r>
      <w:r w:rsidRPr="00FE3082" w:rsidR="005B4018">
        <w:rPr>
          <w:sz w:val="24"/>
          <w:szCs w:val="24"/>
        </w:rPr>
        <w:t>a</w:t>
      </w:r>
      <w:r w:rsidR="00D4061C">
        <w:rPr>
          <w:sz w:val="24"/>
          <w:szCs w:val="24"/>
        </w:rPr>
        <w:t xml:space="preserve"> program</w:t>
      </w:r>
      <w:r w:rsidR="00312ECB">
        <w:rPr>
          <w:sz w:val="24"/>
          <w:szCs w:val="24"/>
        </w:rPr>
        <w:t xml:space="preserve"> for year</w:t>
      </w:r>
      <w:r w:rsidR="00AA59A7">
        <w:rPr>
          <w:sz w:val="24"/>
          <w:szCs w:val="24"/>
        </w:rPr>
        <w:t>s</w:t>
      </w:r>
      <w:r w:rsidR="00D4061C">
        <w:rPr>
          <w:sz w:val="24"/>
          <w:szCs w:val="24"/>
        </w:rPr>
        <w:t xml:space="preserve"> that offers </w:t>
      </w:r>
      <w:r w:rsidR="00312ECB">
        <w:rPr>
          <w:sz w:val="24"/>
          <w:szCs w:val="24"/>
        </w:rPr>
        <w:t xml:space="preserve">discounts to </w:t>
      </w:r>
      <w:r w:rsidR="006D29D6">
        <w:rPr>
          <w:sz w:val="24"/>
          <w:szCs w:val="24"/>
        </w:rPr>
        <w:t>larger</w:t>
      </w:r>
      <w:r w:rsidR="00312ECB">
        <w:rPr>
          <w:sz w:val="24"/>
          <w:szCs w:val="24"/>
        </w:rPr>
        <w:t xml:space="preserve"> business customers</w:t>
      </w:r>
      <w:r w:rsidR="00AA59A7">
        <w:rPr>
          <w:sz w:val="24"/>
          <w:szCs w:val="24"/>
        </w:rPr>
        <w:t xml:space="preserve"> (such as members of the</w:t>
      </w:r>
      <w:r w:rsidR="0063380C">
        <w:rPr>
          <w:sz w:val="24"/>
          <w:szCs w:val="24"/>
        </w:rPr>
        <w:t xml:space="preserve"> formerly named</w:t>
      </w:r>
      <w:r w:rsidR="00AA59A7">
        <w:rPr>
          <w:sz w:val="24"/>
          <w:szCs w:val="24"/>
        </w:rPr>
        <w:t xml:space="preserve"> Industrial Energy Users)</w:t>
      </w:r>
      <w:r w:rsidR="00312ECB">
        <w:rPr>
          <w:sz w:val="24"/>
          <w:szCs w:val="24"/>
        </w:rPr>
        <w:t>, potent</w:t>
      </w:r>
      <w:r w:rsidR="00AA59A7">
        <w:rPr>
          <w:sz w:val="24"/>
          <w:szCs w:val="24"/>
        </w:rPr>
        <w:t>ially at the expense of residential consumers. The program is called the</w:t>
      </w:r>
      <w:r w:rsidRPr="00FE3082">
        <w:rPr>
          <w:sz w:val="24"/>
          <w:szCs w:val="24"/>
        </w:rPr>
        <w:t xml:space="preserve"> Non-Market-Based Services Rider (“Rider NMB”) pilot program</w:t>
      </w:r>
      <w:r w:rsidR="00AA59A7">
        <w:rPr>
          <w:sz w:val="24"/>
          <w:szCs w:val="24"/>
        </w:rPr>
        <w:t>.</w:t>
      </w:r>
      <w:r w:rsidRPr="00FE3082">
        <w:rPr>
          <w:sz w:val="24"/>
          <w:szCs w:val="24"/>
        </w:rPr>
        <w:t xml:space="preserve"> </w:t>
      </w:r>
    </w:p>
    <w:p w:rsidR="00D162AB" w14:paraId="5A873AC5" w14:textId="699B4DD3">
      <w:pPr>
        <w:spacing w:line="480" w:lineRule="auto"/>
        <w:ind w:firstLine="720"/>
        <w:rPr>
          <w:sz w:val="24"/>
          <w:szCs w:val="24"/>
        </w:rPr>
      </w:pPr>
      <w:r>
        <w:rPr>
          <w:sz w:val="24"/>
          <w:szCs w:val="24"/>
        </w:rPr>
        <w:t xml:space="preserve">Consumers were supposed to be protected by the conducting of a </w:t>
      </w:r>
      <w:r w:rsidRPr="00FE3082" w:rsidR="005E0C4F">
        <w:rPr>
          <w:sz w:val="24"/>
          <w:szCs w:val="24"/>
        </w:rPr>
        <w:t>review</w:t>
      </w:r>
      <w:r w:rsidRPr="00FE3082" w:rsidR="00916509">
        <w:rPr>
          <w:sz w:val="24"/>
          <w:szCs w:val="24"/>
        </w:rPr>
        <w:t xml:space="preserve"> by the PUCO</w:t>
      </w:r>
      <w:r>
        <w:rPr>
          <w:sz w:val="24"/>
          <w:szCs w:val="24"/>
        </w:rPr>
        <w:t xml:space="preserve"> Staff,</w:t>
      </w:r>
      <w:r w:rsidRPr="00FE3082" w:rsidR="005E0C4F">
        <w:rPr>
          <w:sz w:val="24"/>
          <w:szCs w:val="24"/>
        </w:rPr>
        <w:t xml:space="preserve"> </w:t>
      </w:r>
      <w:r>
        <w:rPr>
          <w:sz w:val="24"/>
          <w:szCs w:val="24"/>
        </w:rPr>
        <w:t>as to</w:t>
      </w:r>
      <w:r w:rsidRPr="00FE3082" w:rsidR="005E0C4F">
        <w:rPr>
          <w:sz w:val="24"/>
          <w:szCs w:val="24"/>
        </w:rPr>
        <w:t xml:space="preserve"> whether the program </w:t>
      </w:r>
      <w:r w:rsidRPr="00FE3082" w:rsidR="008D7347">
        <w:rPr>
          <w:sz w:val="24"/>
          <w:szCs w:val="24"/>
        </w:rPr>
        <w:t>results in unreasonable charges to</w:t>
      </w:r>
      <w:r w:rsidRPr="00FE3082" w:rsidR="005E0C4F">
        <w:rPr>
          <w:sz w:val="24"/>
          <w:szCs w:val="24"/>
        </w:rPr>
        <w:t xml:space="preserve"> </w:t>
      </w:r>
      <w:r w:rsidRPr="00FE3082" w:rsidR="00D56ADC">
        <w:rPr>
          <w:sz w:val="24"/>
          <w:szCs w:val="24"/>
        </w:rPr>
        <w:t xml:space="preserve">residential </w:t>
      </w:r>
      <w:r w:rsidRPr="00FE3082" w:rsidR="005E0C4F">
        <w:rPr>
          <w:sz w:val="24"/>
          <w:szCs w:val="24"/>
        </w:rPr>
        <w:t>consumers</w:t>
      </w:r>
      <w:r w:rsidRPr="00FE3082" w:rsidR="00824966">
        <w:rPr>
          <w:sz w:val="24"/>
          <w:szCs w:val="24"/>
        </w:rPr>
        <w:t>.</w:t>
      </w:r>
      <w:r>
        <w:rPr>
          <w:rStyle w:val="FootnoteReference"/>
          <w:sz w:val="24"/>
          <w:szCs w:val="24"/>
        </w:rPr>
        <w:footnoteReference w:id="2"/>
      </w:r>
      <w:r w:rsidR="00E324EB">
        <w:rPr>
          <w:sz w:val="24"/>
          <w:szCs w:val="24"/>
        </w:rPr>
        <w:t xml:space="preserve"> But that review didn’t happen. After OCC complained</w:t>
      </w:r>
      <w:r>
        <w:rPr>
          <w:sz w:val="24"/>
          <w:szCs w:val="24"/>
        </w:rPr>
        <w:t xml:space="preserve"> to the PUCO,</w:t>
      </w:r>
      <w:r w:rsidR="00E324EB">
        <w:rPr>
          <w:sz w:val="24"/>
          <w:szCs w:val="24"/>
        </w:rPr>
        <w:t xml:space="preserve"> on behalf of residential consumers,</w:t>
      </w:r>
      <w:r>
        <w:rPr>
          <w:sz w:val="24"/>
          <w:szCs w:val="24"/>
        </w:rPr>
        <w:t xml:space="preserve"> the PUCO belatedly required the review.</w:t>
      </w:r>
      <w:r>
        <w:rPr>
          <w:rStyle w:val="FootnoteReference"/>
          <w:sz w:val="24"/>
          <w:szCs w:val="24"/>
        </w:rPr>
        <w:footnoteReference w:id="3"/>
      </w:r>
      <w:r>
        <w:rPr>
          <w:sz w:val="24"/>
          <w:szCs w:val="24"/>
        </w:rPr>
        <w:t xml:space="preserve"> </w:t>
      </w:r>
    </w:p>
    <w:p w:rsidR="00631932" w:rsidRPr="00FE3082" w:rsidP="004C1CA6" w14:paraId="15100CB1" w14:textId="7556386F">
      <w:pPr>
        <w:spacing w:line="480" w:lineRule="auto"/>
        <w:ind w:firstLine="720"/>
        <w:rPr>
          <w:sz w:val="24"/>
          <w:szCs w:val="24"/>
        </w:rPr>
      </w:pPr>
      <w:r>
        <w:rPr>
          <w:sz w:val="24"/>
          <w:szCs w:val="24"/>
        </w:rPr>
        <w:t xml:space="preserve">But the review for consumer protection has been happening in slow motion. The belated review was to be completed by </w:t>
      </w:r>
      <w:r w:rsidR="00FA0CB4">
        <w:rPr>
          <w:sz w:val="24"/>
          <w:szCs w:val="24"/>
        </w:rPr>
        <w:t>February 10, 2023</w:t>
      </w:r>
      <w:r w:rsidR="00A5350C">
        <w:rPr>
          <w:sz w:val="24"/>
          <w:szCs w:val="24"/>
        </w:rPr>
        <w:t>,</w:t>
      </w:r>
      <w:r w:rsidR="0063380C">
        <w:rPr>
          <w:sz w:val="24"/>
          <w:szCs w:val="24"/>
        </w:rPr>
        <w:t xml:space="preserve"> which itself reflected the substantial delay that OCC complained about when a report wasn’t happening</w:t>
      </w:r>
      <w:r>
        <w:rPr>
          <w:sz w:val="24"/>
          <w:szCs w:val="24"/>
        </w:rPr>
        <w:t>. Now t</w:t>
      </w:r>
      <w:r w:rsidRPr="00FE3082" w:rsidR="00284EE5">
        <w:rPr>
          <w:sz w:val="24"/>
          <w:szCs w:val="24"/>
        </w:rPr>
        <w:t>he</w:t>
      </w:r>
      <w:r w:rsidRPr="00FE3082" w:rsidR="00862C4D">
        <w:rPr>
          <w:sz w:val="24"/>
          <w:szCs w:val="24"/>
        </w:rPr>
        <w:t xml:space="preserve"> </w:t>
      </w:r>
      <w:r w:rsidRPr="00FE3082" w:rsidR="00C71275">
        <w:rPr>
          <w:sz w:val="24"/>
          <w:szCs w:val="24"/>
        </w:rPr>
        <w:t>a</w:t>
      </w:r>
      <w:r w:rsidRPr="00FE3082" w:rsidR="00862C4D">
        <w:rPr>
          <w:sz w:val="24"/>
          <w:szCs w:val="24"/>
        </w:rPr>
        <w:t>uditor</w:t>
      </w:r>
      <w:r w:rsidRPr="00FE3082" w:rsidR="003E15EF">
        <w:rPr>
          <w:sz w:val="24"/>
          <w:szCs w:val="24"/>
        </w:rPr>
        <w:t>’s report</w:t>
      </w:r>
      <w:r w:rsidRPr="00FE3082" w:rsidR="00862C4D">
        <w:rPr>
          <w:sz w:val="24"/>
          <w:szCs w:val="24"/>
        </w:rPr>
        <w:t xml:space="preserve"> is</w:t>
      </w:r>
      <w:r w:rsidRPr="00FE3082" w:rsidR="00916509">
        <w:rPr>
          <w:sz w:val="24"/>
          <w:szCs w:val="24"/>
        </w:rPr>
        <w:t xml:space="preserve"> currently</w:t>
      </w:r>
      <w:r w:rsidRPr="00FE3082" w:rsidR="00862C4D">
        <w:rPr>
          <w:sz w:val="24"/>
          <w:szCs w:val="24"/>
        </w:rPr>
        <w:t xml:space="preserve"> </w:t>
      </w:r>
      <w:r w:rsidR="00EF6D65">
        <w:rPr>
          <w:sz w:val="24"/>
          <w:szCs w:val="24"/>
        </w:rPr>
        <w:t>extended to</w:t>
      </w:r>
      <w:r w:rsidRPr="00FE3082" w:rsidR="00862C4D">
        <w:rPr>
          <w:sz w:val="24"/>
          <w:szCs w:val="24"/>
        </w:rPr>
        <w:t xml:space="preserve"> April 10, 2023. </w:t>
      </w:r>
      <w:r w:rsidR="00B63FE2">
        <w:rPr>
          <w:sz w:val="24"/>
          <w:szCs w:val="24"/>
        </w:rPr>
        <w:t>But o</w:t>
      </w:r>
      <w:r w:rsidRPr="00FE3082" w:rsidR="00C71275">
        <w:rPr>
          <w:sz w:val="24"/>
          <w:szCs w:val="24"/>
        </w:rPr>
        <w:t xml:space="preserve">n March 31, 2023, </w:t>
      </w:r>
      <w:r w:rsidRPr="00FE3082" w:rsidR="00284EE5">
        <w:rPr>
          <w:sz w:val="24"/>
          <w:szCs w:val="24"/>
        </w:rPr>
        <w:t xml:space="preserve">the PUCO Staff filed a motion to extend the due date for the audit report until July 17, 2023. </w:t>
      </w:r>
      <w:r w:rsidRPr="00FE3082" w:rsidR="00C71275">
        <w:rPr>
          <w:sz w:val="24"/>
          <w:szCs w:val="24"/>
        </w:rPr>
        <w:t>The</w:t>
      </w:r>
      <w:r w:rsidRPr="00FE3082" w:rsidR="00284EE5">
        <w:rPr>
          <w:sz w:val="24"/>
          <w:szCs w:val="24"/>
        </w:rPr>
        <w:t xml:space="preserve"> </w:t>
      </w:r>
      <w:r w:rsidRPr="00FE3082" w:rsidR="00916509">
        <w:rPr>
          <w:sz w:val="24"/>
          <w:szCs w:val="24"/>
        </w:rPr>
        <w:t>m</w:t>
      </w:r>
      <w:r w:rsidRPr="00FE3082" w:rsidR="00284EE5">
        <w:rPr>
          <w:sz w:val="24"/>
          <w:szCs w:val="24"/>
        </w:rPr>
        <w:t xml:space="preserve">otion is unreasonable and should be denied. </w:t>
      </w:r>
    </w:p>
    <w:p w:rsidR="00EF6D65" w:rsidP="00CD59EE" w14:paraId="07F32ED5" w14:textId="27DDD5F5">
      <w:pPr>
        <w:spacing w:line="480" w:lineRule="auto"/>
        <w:ind w:firstLine="720"/>
        <w:rPr>
          <w:sz w:val="24"/>
          <w:szCs w:val="24"/>
        </w:rPr>
      </w:pPr>
      <w:r w:rsidRPr="00FE3082">
        <w:rPr>
          <w:sz w:val="24"/>
          <w:szCs w:val="24"/>
        </w:rPr>
        <w:t>The</w:t>
      </w:r>
      <w:r w:rsidRPr="00FE3082" w:rsidR="0068081C">
        <w:rPr>
          <w:sz w:val="24"/>
          <w:szCs w:val="24"/>
        </w:rPr>
        <w:t xml:space="preserve"> PUCO Staff</w:t>
      </w:r>
      <w:r w:rsidRPr="00FE3082">
        <w:rPr>
          <w:sz w:val="24"/>
          <w:szCs w:val="24"/>
        </w:rPr>
        <w:t xml:space="preserve"> states that</w:t>
      </w:r>
      <w:r w:rsidRPr="00FE3082" w:rsidR="0068081C">
        <w:rPr>
          <w:sz w:val="24"/>
          <w:szCs w:val="24"/>
        </w:rPr>
        <w:t xml:space="preserve"> the extension is necessary because</w:t>
      </w:r>
      <w:r w:rsidRPr="00A5350C" w:rsidR="00A5350C">
        <w:rPr>
          <w:sz w:val="24"/>
          <w:szCs w:val="24"/>
        </w:rPr>
        <w:t xml:space="preserve"> </w:t>
      </w:r>
      <w:r w:rsidRPr="00FE3082" w:rsidR="00A5350C">
        <w:rPr>
          <w:sz w:val="24"/>
          <w:szCs w:val="24"/>
        </w:rPr>
        <w:t>“[d]ue to complex issues in this case, data requests have taken longer than expected to be responded to.”</w:t>
      </w:r>
      <w:r>
        <w:rPr>
          <w:rStyle w:val="FootnoteReference"/>
          <w:sz w:val="24"/>
          <w:szCs w:val="24"/>
        </w:rPr>
        <w:footnoteReference w:id="4"/>
      </w:r>
      <w:r w:rsidRPr="00FE3082" w:rsidR="0068081C">
        <w:rPr>
          <w:sz w:val="24"/>
          <w:szCs w:val="24"/>
        </w:rPr>
        <w:t xml:space="preserve"> However, </w:t>
      </w:r>
      <w:r>
        <w:rPr>
          <w:sz w:val="24"/>
          <w:szCs w:val="24"/>
        </w:rPr>
        <w:t xml:space="preserve">nine months ago </w:t>
      </w:r>
      <w:r w:rsidRPr="00FE3082" w:rsidR="00631932">
        <w:rPr>
          <w:sz w:val="24"/>
          <w:szCs w:val="24"/>
        </w:rPr>
        <w:t>the PUCO ordered that FirstEnergy shall not “refuse or delay” information to the auditor.</w:t>
      </w:r>
      <w:r>
        <w:rPr>
          <w:rStyle w:val="FootnoteReference"/>
          <w:sz w:val="24"/>
          <w:szCs w:val="24"/>
        </w:rPr>
        <w:footnoteReference w:id="5"/>
      </w:r>
      <w:r w:rsidRPr="00FE3082" w:rsidR="00631932">
        <w:rPr>
          <w:sz w:val="24"/>
          <w:szCs w:val="24"/>
        </w:rPr>
        <w:t xml:space="preserve"> </w:t>
      </w:r>
      <w:r>
        <w:rPr>
          <w:sz w:val="24"/>
          <w:szCs w:val="24"/>
        </w:rPr>
        <w:t xml:space="preserve">Even that order should have been unnecessary because R.C. Title 49 establishes the PUCO as in charge of utilities, not vice versa. </w:t>
      </w:r>
    </w:p>
    <w:p w:rsidR="00EF6D65" w:rsidP="00CD59EE" w14:paraId="38A8247E" w14:textId="7547ACA1">
      <w:pPr>
        <w:spacing w:line="480" w:lineRule="auto"/>
        <w:ind w:firstLine="720"/>
        <w:rPr>
          <w:sz w:val="24"/>
          <w:szCs w:val="24"/>
        </w:rPr>
      </w:pPr>
      <w:r>
        <w:rPr>
          <w:sz w:val="24"/>
          <w:szCs w:val="24"/>
        </w:rPr>
        <w:t>FirstEnergy is the last utility in Ohio, if not the United States, that should be indulged by regulators. In the applicable U.S. Deferred Prosecution Agreement, FirstEnergy Corp. admitted that it could be found guilty of a federal corruption crime.</w:t>
      </w:r>
      <w:r w:rsidR="002B70CE">
        <w:rPr>
          <w:sz w:val="24"/>
          <w:szCs w:val="24"/>
        </w:rPr>
        <w:t xml:space="preserve"> </w:t>
      </w:r>
    </w:p>
    <w:p w:rsidR="00284EE5" w:rsidP="00CD59EE" w14:paraId="41574C1D" w14:textId="59B69D4A">
      <w:pPr>
        <w:spacing w:line="480" w:lineRule="auto"/>
        <w:ind w:firstLine="720"/>
        <w:rPr>
          <w:sz w:val="24"/>
          <w:szCs w:val="24"/>
        </w:rPr>
      </w:pPr>
      <w:r w:rsidRPr="00FE3082">
        <w:rPr>
          <w:sz w:val="24"/>
          <w:szCs w:val="24"/>
        </w:rPr>
        <w:t>The PUCO should not tolerate any stalling tactics by FirstEnergy</w:t>
      </w:r>
      <w:r w:rsidR="00EF6D65">
        <w:rPr>
          <w:sz w:val="24"/>
          <w:szCs w:val="24"/>
        </w:rPr>
        <w:t xml:space="preserve"> against its two million consumers</w:t>
      </w:r>
      <w:r w:rsidRPr="00FE3082">
        <w:rPr>
          <w:sz w:val="24"/>
          <w:szCs w:val="24"/>
        </w:rPr>
        <w:t xml:space="preserve">. </w:t>
      </w:r>
      <w:r w:rsidR="00EF6D65">
        <w:rPr>
          <w:sz w:val="24"/>
          <w:szCs w:val="24"/>
        </w:rPr>
        <w:t>The PUCO should take legal action against FirstEnergy</w:t>
      </w:r>
      <w:r w:rsidR="00BA5E87">
        <w:rPr>
          <w:sz w:val="24"/>
          <w:szCs w:val="24"/>
        </w:rPr>
        <w:t xml:space="preserve">. </w:t>
      </w:r>
      <w:r w:rsidR="00EF6D65">
        <w:rPr>
          <w:sz w:val="24"/>
          <w:szCs w:val="24"/>
        </w:rPr>
        <w:t xml:space="preserve">That is allowed by such statutes as </w:t>
      </w:r>
      <w:r w:rsidR="0063380C">
        <w:rPr>
          <w:sz w:val="24"/>
          <w:szCs w:val="24"/>
        </w:rPr>
        <w:t>R.C. 4905.54</w:t>
      </w:r>
      <w:r w:rsidR="006E3396">
        <w:rPr>
          <w:sz w:val="24"/>
          <w:szCs w:val="24"/>
        </w:rPr>
        <w:t>.</w:t>
      </w:r>
      <w:r w:rsidR="00EF6D65">
        <w:rPr>
          <w:sz w:val="24"/>
          <w:szCs w:val="24"/>
        </w:rPr>
        <w:t xml:space="preserve"> </w:t>
      </w:r>
      <w:r w:rsidRPr="00FE3082" w:rsidR="00C71275">
        <w:rPr>
          <w:sz w:val="24"/>
          <w:szCs w:val="24"/>
        </w:rPr>
        <w:t>C</w:t>
      </w:r>
      <w:r w:rsidRPr="00FE3082">
        <w:rPr>
          <w:sz w:val="24"/>
          <w:szCs w:val="24"/>
        </w:rPr>
        <w:t xml:space="preserve">onsumers </w:t>
      </w:r>
      <w:r w:rsidR="0063380C">
        <w:rPr>
          <w:sz w:val="24"/>
          <w:szCs w:val="24"/>
        </w:rPr>
        <w:t xml:space="preserve">already </w:t>
      </w:r>
      <w:r w:rsidRPr="00FE3082">
        <w:rPr>
          <w:sz w:val="24"/>
          <w:szCs w:val="24"/>
        </w:rPr>
        <w:t xml:space="preserve">have waited </w:t>
      </w:r>
      <w:r w:rsidRPr="00FE3082" w:rsidR="00C71275">
        <w:rPr>
          <w:sz w:val="24"/>
          <w:szCs w:val="24"/>
        </w:rPr>
        <w:t xml:space="preserve">far too </w:t>
      </w:r>
      <w:r w:rsidRPr="00FE3082">
        <w:rPr>
          <w:sz w:val="24"/>
          <w:szCs w:val="24"/>
        </w:rPr>
        <w:t>long to find out if</w:t>
      </w:r>
      <w:r w:rsidRPr="00FE3082" w:rsidR="00F20DF9">
        <w:rPr>
          <w:sz w:val="24"/>
          <w:szCs w:val="24"/>
        </w:rPr>
        <w:t xml:space="preserve"> </w:t>
      </w:r>
      <w:r w:rsidRPr="00FE3082">
        <w:rPr>
          <w:sz w:val="24"/>
          <w:szCs w:val="24"/>
        </w:rPr>
        <w:t xml:space="preserve">they have been harmed </w:t>
      </w:r>
      <w:r w:rsidRPr="00FE3082" w:rsidR="00C71275">
        <w:rPr>
          <w:sz w:val="24"/>
          <w:szCs w:val="24"/>
        </w:rPr>
        <w:t>by FirstEnergy’s</w:t>
      </w:r>
      <w:r w:rsidRPr="00FE3082">
        <w:rPr>
          <w:sz w:val="24"/>
          <w:szCs w:val="24"/>
        </w:rPr>
        <w:t xml:space="preserve"> pilot program.</w:t>
      </w:r>
    </w:p>
    <w:p w:rsidR="002B70CE" w:rsidRPr="00FE3082" w:rsidP="002B70CE" w14:paraId="4DBD0303" w14:textId="77777777">
      <w:pPr>
        <w:ind w:firstLine="720"/>
        <w:rPr>
          <w:sz w:val="24"/>
          <w:szCs w:val="24"/>
        </w:rPr>
      </w:pPr>
    </w:p>
    <w:p w:rsidR="00631932" w:rsidRPr="00EA23C6" w:rsidP="00EA23C6" w14:paraId="36EC2A7E" w14:textId="58DC3744">
      <w:pPr>
        <w:pStyle w:val="Heading1"/>
      </w:pPr>
      <w:r w:rsidRPr="00FE3082">
        <w:t xml:space="preserve">II. </w:t>
      </w:r>
      <w:r w:rsidRPr="00FE3082" w:rsidR="00CD59EE">
        <w:tab/>
      </w:r>
      <w:r w:rsidRPr="00FE3082">
        <w:t>ARGUMENT</w:t>
      </w:r>
    </w:p>
    <w:p w:rsidR="006156AF" w:rsidP="009103B1" w14:paraId="4A689885" w14:textId="4DBDAD82">
      <w:pPr>
        <w:spacing w:line="480" w:lineRule="auto"/>
        <w:rPr>
          <w:sz w:val="24"/>
          <w:szCs w:val="24"/>
        </w:rPr>
      </w:pPr>
      <w:r w:rsidRPr="00FE3082">
        <w:rPr>
          <w:sz w:val="24"/>
          <w:szCs w:val="24"/>
        </w:rPr>
        <w:tab/>
      </w:r>
      <w:r w:rsidRPr="00FE3082" w:rsidR="00F20DF9">
        <w:rPr>
          <w:sz w:val="24"/>
          <w:szCs w:val="24"/>
        </w:rPr>
        <w:t>The Rider NMB pilot program allows certain large nonresidential consumers</w:t>
      </w:r>
      <w:r w:rsidRPr="00FE3082" w:rsidR="00C71275">
        <w:rPr>
          <w:sz w:val="24"/>
          <w:szCs w:val="24"/>
        </w:rPr>
        <w:t xml:space="preserve"> (like those represented by</w:t>
      </w:r>
      <w:r w:rsidR="003829C6">
        <w:rPr>
          <w:sz w:val="24"/>
          <w:szCs w:val="24"/>
        </w:rPr>
        <w:t xml:space="preserve"> original</w:t>
      </w:r>
      <w:r w:rsidRPr="00FE3082" w:rsidR="00C71275">
        <w:rPr>
          <w:sz w:val="24"/>
          <w:szCs w:val="24"/>
        </w:rPr>
        <w:t xml:space="preserve"> intervenors Ohio Energy Group (“OEG”), </w:t>
      </w:r>
      <w:r w:rsidR="00354280">
        <w:rPr>
          <w:sz w:val="24"/>
          <w:szCs w:val="24"/>
        </w:rPr>
        <w:t>Industrial Energy Users</w:t>
      </w:r>
      <w:r w:rsidR="00A3626B">
        <w:rPr>
          <w:sz w:val="24"/>
          <w:szCs w:val="24"/>
        </w:rPr>
        <w:t xml:space="preserve"> (“IEU”)</w:t>
      </w:r>
      <w:r w:rsidRPr="00FE3082" w:rsidR="00C71275">
        <w:rPr>
          <w:sz w:val="24"/>
          <w:szCs w:val="24"/>
        </w:rPr>
        <w:t>,</w:t>
      </w:r>
      <w:r>
        <w:rPr>
          <w:rStyle w:val="FootnoteReference"/>
          <w:sz w:val="24"/>
          <w:szCs w:val="24"/>
        </w:rPr>
        <w:footnoteReference w:id="6"/>
      </w:r>
      <w:r w:rsidRPr="00FE3082" w:rsidR="00F20DF9">
        <w:rPr>
          <w:sz w:val="24"/>
          <w:szCs w:val="24"/>
        </w:rPr>
        <w:t xml:space="preserve"> </w:t>
      </w:r>
      <w:r w:rsidRPr="00FE3082" w:rsidR="00C71275">
        <w:rPr>
          <w:sz w:val="24"/>
          <w:szCs w:val="24"/>
        </w:rPr>
        <w:t>and Ohio Manufacturers</w:t>
      </w:r>
      <w:r w:rsidRPr="00FE3082" w:rsidR="00C535BD">
        <w:rPr>
          <w:sz w:val="24"/>
          <w:szCs w:val="24"/>
        </w:rPr>
        <w:t>’</w:t>
      </w:r>
      <w:r w:rsidRPr="00FE3082" w:rsidR="00C71275">
        <w:rPr>
          <w:sz w:val="24"/>
          <w:szCs w:val="24"/>
        </w:rPr>
        <w:t xml:space="preserve"> Association Energy Group (“OMAEG”)) </w:t>
      </w:r>
      <w:r w:rsidRPr="00FE3082" w:rsidR="00F20DF9">
        <w:rPr>
          <w:sz w:val="24"/>
          <w:szCs w:val="24"/>
        </w:rPr>
        <w:t xml:space="preserve">to opt-out of paying transmission charges through FirstEnergy’s Rider NMB. </w:t>
      </w:r>
      <w:r w:rsidRPr="00FE3082" w:rsidR="00C535BD">
        <w:rPr>
          <w:sz w:val="24"/>
          <w:szCs w:val="24"/>
        </w:rPr>
        <w:t>But r</w:t>
      </w:r>
      <w:r w:rsidRPr="00FE3082" w:rsidR="00F20DF9">
        <w:rPr>
          <w:sz w:val="24"/>
          <w:szCs w:val="24"/>
        </w:rPr>
        <w:t xml:space="preserve">esidential </w:t>
      </w:r>
      <w:r w:rsidRPr="00FE3082" w:rsidR="00F20DF9">
        <w:rPr>
          <w:sz w:val="24"/>
          <w:szCs w:val="24"/>
        </w:rPr>
        <w:t xml:space="preserve">consumers </w:t>
      </w:r>
      <w:r w:rsidRPr="00FE3082" w:rsidR="00916509">
        <w:rPr>
          <w:sz w:val="24"/>
          <w:szCs w:val="24"/>
        </w:rPr>
        <w:t xml:space="preserve">are </w:t>
      </w:r>
      <w:r w:rsidRPr="00FE3082" w:rsidR="00F20DF9">
        <w:rPr>
          <w:sz w:val="24"/>
          <w:szCs w:val="24"/>
        </w:rPr>
        <w:t xml:space="preserve">not eligible to participate in the pilot and must pay what FirstEnergy charges under Rider NMB. </w:t>
      </w:r>
    </w:p>
    <w:p w:rsidR="00C535BD" w:rsidRPr="00FE3082" w:rsidP="004C1CA6" w14:paraId="7479DA44" w14:textId="617275C0">
      <w:pPr>
        <w:spacing w:line="480" w:lineRule="auto"/>
        <w:ind w:firstLine="720"/>
        <w:rPr>
          <w:sz w:val="24"/>
          <w:szCs w:val="24"/>
        </w:rPr>
      </w:pPr>
      <w:r w:rsidRPr="00FE3082">
        <w:rPr>
          <w:sz w:val="24"/>
          <w:szCs w:val="24"/>
        </w:rPr>
        <w:t>The auditor here will evaluate whether</w:t>
      </w:r>
      <w:r w:rsidRPr="00FE3082">
        <w:rPr>
          <w:sz w:val="24"/>
          <w:szCs w:val="24"/>
        </w:rPr>
        <w:t xml:space="preserve"> the</w:t>
      </w:r>
      <w:r w:rsidRPr="00FE3082" w:rsidR="00916509">
        <w:rPr>
          <w:sz w:val="24"/>
          <w:szCs w:val="24"/>
        </w:rPr>
        <w:t xml:space="preserve"> pilot</w:t>
      </w:r>
      <w:r w:rsidRPr="00FE3082">
        <w:rPr>
          <w:sz w:val="24"/>
          <w:szCs w:val="24"/>
        </w:rPr>
        <w:t xml:space="preserve"> </w:t>
      </w:r>
      <w:r w:rsidRPr="00FE3082" w:rsidR="00916509">
        <w:rPr>
          <w:sz w:val="24"/>
          <w:szCs w:val="24"/>
        </w:rPr>
        <w:t>shift</w:t>
      </w:r>
      <w:r w:rsidRPr="00FE3082">
        <w:rPr>
          <w:sz w:val="24"/>
          <w:szCs w:val="24"/>
        </w:rPr>
        <w:t>s</w:t>
      </w:r>
      <w:r w:rsidRPr="00FE3082" w:rsidR="00916509">
        <w:rPr>
          <w:sz w:val="24"/>
          <w:szCs w:val="24"/>
        </w:rPr>
        <w:t xml:space="preserve"> </w:t>
      </w:r>
      <w:r w:rsidRPr="00FE3082">
        <w:rPr>
          <w:sz w:val="24"/>
          <w:szCs w:val="24"/>
        </w:rPr>
        <w:t>charges</w:t>
      </w:r>
      <w:r w:rsidRPr="00FE3082" w:rsidR="00916509">
        <w:rPr>
          <w:sz w:val="24"/>
          <w:szCs w:val="24"/>
        </w:rPr>
        <w:t xml:space="preserve"> to residential </w:t>
      </w:r>
      <w:r w:rsidRPr="00FE3082">
        <w:rPr>
          <w:sz w:val="24"/>
          <w:szCs w:val="24"/>
        </w:rPr>
        <w:t xml:space="preserve">and other non-participating </w:t>
      </w:r>
      <w:r w:rsidRPr="00FE3082" w:rsidR="00916509">
        <w:rPr>
          <w:sz w:val="24"/>
          <w:szCs w:val="24"/>
        </w:rPr>
        <w:t xml:space="preserve">consumers. </w:t>
      </w:r>
      <w:r w:rsidR="003829C6">
        <w:rPr>
          <w:sz w:val="24"/>
          <w:szCs w:val="24"/>
        </w:rPr>
        <w:t xml:space="preserve">That’s a polite way of </w:t>
      </w:r>
      <w:r w:rsidR="00B15D12">
        <w:rPr>
          <w:sz w:val="24"/>
          <w:szCs w:val="24"/>
        </w:rPr>
        <w:t>saying</w:t>
      </w:r>
      <w:r w:rsidR="003829C6">
        <w:rPr>
          <w:sz w:val="24"/>
          <w:szCs w:val="24"/>
        </w:rPr>
        <w:t xml:space="preserve"> whether residential consumers are being </w:t>
      </w:r>
      <w:r w:rsidR="00B15D12">
        <w:rPr>
          <w:sz w:val="24"/>
          <w:szCs w:val="24"/>
        </w:rPr>
        <w:t>forced</w:t>
      </w:r>
      <w:r w:rsidR="003829C6">
        <w:rPr>
          <w:sz w:val="24"/>
          <w:szCs w:val="24"/>
        </w:rPr>
        <w:t xml:space="preserve"> by FirstEnergy to subsidize big business customers.</w:t>
      </w:r>
    </w:p>
    <w:p w:rsidR="00591254" w:rsidRPr="00FE3082" w:rsidP="00C535BD" w14:paraId="24CA2A51" w14:textId="7FE78930">
      <w:pPr>
        <w:spacing w:line="480" w:lineRule="auto"/>
        <w:ind w:firstLine="720"/>
        <w:rPr>
          <w:sz w:val="24"/>
          <w:szCs w:val="24"/>
        </w:rPr>
      </w:pPr>
      <w:r w:rsidRPr="00FE3082">
        <w:rPr>
          <w:sz w:val="24"/>
          <w:szCs w:val="24"/>
        </w:rPr>
        <w:t>In addition</w:t>
      </w:r>
      <w:r w:rsidRPr="00FE3082" w:rsidR="00072F8B">
        <w:rPr>
          <w:sz w:val="24"/>
          <w:szCs w:val="24"/>
        </w:rPr>
        <w:t xml:space="preserve">, </w:t>
      </w:r>
      <w:r w:rsidRPr="00FE3082">
        <w:rPr>
          <w:sz w:val="24"/>
          <w:szCs w:val="24"/>
        </w:rPr>
        <w:t xml:space="preserve">FirstEnergy charges consumers </w:t>
      </w:r>
      <w:r w:rsidRPr="00FE3082" w:rsidR="00370510">
        <w:rPr>
          <w:sz w:val="24"/>
          <w:szCs w:val="24"/>
        </w:rPr>
        <w:t>millions</w:t>
      </w:r>
      <w:r w:rsidRPr="00FE3082">
        <w:rPr>
          <w:sz w:val="24"/>
          <w:szCs w:val="24"/>
        </w:rPr>
        <w:t xml:space="preserve"> of dollars</w:t>
      </w:r>
      <w:r w:rsidRPr="00FE3082" w:rsidR="00370510">
        <w:rPr>
          <w:sz w:val="24"/>
          <w:szCs w:val="24"/>
        </w:rPr>
        <w:t xml:space="preserve"> for </w:t>
      </w:r>
      <w:r w:rsidRPr="00FE3082">
        <w:rPr>
          <w:sz w:val="24"/>
          <w:szCs w:val="24"/>
        </w:rPr>
        <w:t xml:space="preserve">supplemental transmission project costs that are not reviewed for prudency by state or federal regulators. </w:t>
      </w:r>
      <w:r w:rsidRPr="00FE3082">
        <w:rPr>
          <w:sz w:val="24"/>
          <w:szCs w:val="24"/>
        </w:rPr>
        <w:t>In its recent order regarding FirstEnergy’s Rider NMB update for 2023, t</w:t>
      </w:r>
      <w:r w:rsidRPr="00FE3082">
        <w:rPr>
          <w:sz w:val="24"/>
          <w:szCs w:val="24"/>
        </w:rPr>
        <w:t xml:space="preserve">he PUCO </w:t>
      </w:r>
      <w:r w:rsidRPr="00FE3082" w:rsidR="00024C4E">
        <w:rPr>
          <w:sz w:val="24"/>
          <w:szCs w:val="24"/>
        </w:rPr>
        <w:t>acknowledged</w:t>
      </w:r>
      <w:r w:rsidRPr="00FE3082">
        <w:rPr>
          <w:sz w:val="24"/>
          <w:szCs w:val="24"/>
        </w:rPr>
        <w:t xml:space="preserve"> </w:t>
      </w:r>
      <w:r w:rsidRPr="00FE3082" w:rsidR="00024C4E">
        <w:rPr>
          <w:sz w:val="24"/>
          <w:szCs w:val="24"/>
        </w:rPr>
        <w:t>that</w:t>
      </w:r>
      <w:r w:rsidRPr="00FE3082">
        <w:rPr>
          <w:sz w:val="24"/>
          <w:szCs w:val="24"/>
        </w:rPr>
        <w:t xml:space="preserve"> supplemental</w:t>
      </w:r>
      <w:r w:rsidRPr="00FE3082" w:rsidR="00024C4E">
        <w:rPr>
          <w:sz w:val="24"/>
          <w:szCs w:val="24"/>
        </w:rPr>
        <w:t xml:space="preserve"> transmission</w:t>
      </w:r>
      <w:r w:rsidRPr="00FE3082">
        <w:rPr>
          <w:sz w:val="24"/>
          <w:szCs w:val="24"/>
        </w:rPr>
        <w:t xml:space="preserve"> project costs</w:t>
      </w:r>
      <w:r w:rsidRPr="00FE3082" w:rsidR="00024C4E">
        <w:rPr>
          <w:sz w:val="24"/>
          <w:szCs w:val="24"/>
        </w:rPr>
        <w:t xml:space="preserve"> charged through Ri</w:t>
      </w:r>
      <w:r w:rsidRPr="00FE3082" w:rsidR="00370510">
        <w:rPr>
          <w:sz w:val="24"/>
          <w:szCs w:val="24"/>
        </w:rPr>
        <w:t>der NMB</w:t>
      </w:r>
      <w:r w:rsidRPr="00FE3082" w:rsidR="00024C4E">
        <w:rPr>
          <w:sz w:val="24"/>
          <w:szCs w:val="24"/>
        </w:rPr>
        <w:t xml:space="preserve"> “warrant[] further attention</w:t>
      </w:r>
      <w:r w:rsidRPr="00FE3082">
        <w:rPr>
          <w:sz w:val="24"/>
          <w:szCs w:val="24"/>
        </w:rPr>
        <w:t>.</w:t>
      </w:r>
      <w:r w:rsidRPr="00FE3082" w:rsidR="00024C4E">
        <w:rPr>
          <w:sz w:val="24"/>
          <w:szCs w:val="24"/>
        </w:rPr>
        <w:t>”</w:t>
      </w:r>
      <w:r>
        <w:rPr>
          <w:rStyle w:val="FootnoteReference"/>
          <w:sz w:val="24"/>
          <w:szCs w:val="24"/>
        </w:rPr>
        <w:footnoteReference w:id="7"/>
      </w:r>
    </w:p>
    <w:p w:rsidR="009103B1" w:rsidRPr="00FE3082" w:rsidP="00370510" w14:paraId="220535ED" w14:textId="2D6C10FB">
      <w:pPr>
        <w:spacing w:line="480" w:lineRule="auto"/>
        <w:ind w:firstLine="720"/>
        <w:rPr>
          <w:sz w:val="24"/>
          <w:szCs w:val="24"/>
        </w:rPr>
      </w:pPr>
      <w:r w:rsidRPr="00FE3082">
        <w:rPr>
          <w:sz w:val="24"/>
          <w:szCs w:val="24"/>
        </w:rPr>
        <w:t xml:space="preserve">The </w:t>
      </w:r>
      <w:r w:rsidRPr="00FE3082" w:rsidR="00BB7C86">
        <w:rPr>
          <w:sz w:val="24"/>
          <w:szCs w:val="24"/>
        </w:rPr>
        <w:t xml:space="preserve">Rider NMB </w:t>
      </w:r>
      <w:r w:rsidRPr="00FE3082">
        <w:rPr>
          <w:sz w:val="24"/>
          <w:szCs w:val="24"/>
        </w:rPr>
        <w:t xml:space="preserve">pilot program was approved by the PUCO </w:t>
      </w:r>
      <w:r w:rsidRPr="00FE3082" w:rsidR="00370510">
        <w:rPr>
          <w:sz w:val="24"/>
          <w:szCs w:val="24"/>
        </w:rPr>
        <w:t xml:space="preserve">over </w:t>
      </w:r>
      <w:r w:rsidRPr="00FE3082" w:rsidR="00370510">
        <w:rPr>
          <w:i/>
          <w:iCs/>
          <w:sz w:val="24"/>
          <w:szCs w:val="24"/>
        </w:rPr>
        <w:t>six</w:t>
      </w:r>
      <w:r w:rsidRPr="00FE3082">
        <w:rPr>
          <w:sz w:val="24"/>
          <w:szCs w:val="24"/>
        </w:rPr>
        <w:t xml:space="preserve"> </w:t>
      </w:r>
      <w:r w:rsidRPr="00FE3082">
        <w:rPr>
          <w:i/>
          <w:iCs/>
          <w:sz w:val="24"/>
          <w:szCs w:val="24"/>
        </w:rPr>
        <w:t>years ago</w:t>
      </w:r>
      <w:r w:rsidRPr="00FE3082">
        <w:rPr>
          <w:sz w:val="24"/>
          <w:szCs w:val="24"/>
        </w:rPr>
        <w:t xml:space="preserve"> in FirstEnergy’s last electric security </w:t>
      </w:r>
      <w:r w:rsidRPr="00FE3082" w:rsidR="00C535BD">
        <w:rPr>
          <w:sz w:val="24"/>
          <w:szCs w:val="24"/>
        </w:rPr>
        <w:t xml:space="preserve">plan </w:t>
      </w:r>
      <w:r w:rsidRPr="00FE3082">
        <w:rPr>
          <w:sz w:val="24"/>
          <w:szCs w:val="24"/>
        </w:rPr>
        <w:t>proceeding (Case No. 14-1297-EL-SSO).</w:t>
      </w:r>
      <w:r>
        <w:rPr>
          <w:rStyle w:val="FootnoteReference"/>
          <w:sz w:val="24"/>
          <w:szCs w:val="24"/>
        </w:rPr>
        <w:footnoteReference w:id="8"/>
      </w:r>
      <w:r w:rsidRPr="00FE3082">
        <w:rPr>
          <w:sz w:val="24"/>
          <w:szCs w:val="24"/>
        </w:rPr>
        <w:t xml:space="preserve"> When the pilot program was first proposed, FirstEnergy </w:t>
      </w:r>
      <w:r w:rsidRPr="00FE3082" w:rsidR="00C535BD">
        <w:rPr>
          <w:sz w:val="24"/>
          <w:szCs w:val="24"/>
        </w:rPr>
        <w:t>claimed</w:t>
      </w:r>
      <w:r w:rsidRPr="00FE3082">
        <w:rPr>
          <w:sz w:val="24"/>
          <w:szCs w:val="24"/>
        </w:rPr>
        <w:t xml:space="preserve"> that the </w:t>
      </w:r>
      <w:r w:rsidRPr="00FE3082" w:rsidR="00C535BD">
        <w:rPr>
          <w:sz w:val="24"/>
          <w:szCs w:val="24"/>
        </w:rPr>
        <w:t>“</w:t>
      </w:r>
      <w:r w:rsidRPr="00FE3082">
        <w:rPr>
          <w:sz w:val="24"/>
          <w:szCs w:val="24"/>
        </w:rPr>
        <w:t>pilot</w:t>
      </w:r>
      <w:r w:rsidRPr="00FE3082" w:rsidR="00C535BD">
        <w:rPr>
          <w:sz w:val="24"/>
          <w:szCs w:val="24"/>
        </w:rPr>
        <w:t>”</w:t>
      </w:r>
      <w:r w:rsidRPr="00FE3082">
        <w:rPr>
          <w:sz w:val="24"/>
          <w:szCs w:val="24"/>
        </w:rPr>
        <w:t xml:space="preserve"> nature of the program would allow it to “study the administrative burden and costs of allowing customers the option to have their </w:t>
      </w:r>
      <w:r w:rsidRPr="00FE3082" w:rsidR="00BB7C86">
        <w:rPr>
          <w:sz w:val="24"/>
          <w:szCs w:val="24"/>
        </w:rPr>
        <w:t>[</w:t>
      </w:r>
      <w:r w:rsidRPr="00FE3082">
        <w:rPr>
          <w:sz w:val="24"/>
          <w:szCs w:val="24"/>
        </w:rPr>
        <w:t>marketer</w:t>
      </w:r>
      <w:r w:rsidRPr="00FE3082" w:rsidR="00BB7C86">
        <w:rPr>
          <w:sz w:val="24"/>
          <w:szCs w:val="24"/>
        </w:rPr>
        <w:t>]</w:t>
      </w:r>
      <w:r w:rsidRPr="00FE3082">
        <w:rPr>
          <w:sz w:val="24"/>
          <w:szCs w:val="24"/>
        </w:rPr>
        <w:t xml:space="preserve"> providers pay the NMB charges, as well as whether such a program would result in benefits to both the participating and non-participating customers.”</w:t>
      </w:r>
      <w:r>
        <w:rPr>
          <w:rStyle w:val="FootnoteReference"/>
          <w:sz w:val="24"/>
          <w:szCs w:val="24"/>
        </w:rPr>
        <w:footnoteReference w:id="9"/>
      </w:r>
      <w:r w:rsidRPr="00FE3082" w:rsidR="00BB7C86">
        <w:rPr>
          <w:sz w:val="24"/>
          <w:szCs w:val="24"/>
        </w:rPr>
        <w:t xml:space="preserve"> </w:t>
      </w:r>
      <w:r w:rsidR="003829C6">
        <w:rPr>
          <w:sz w:val="24"/>
          <w:szCs w:val="24"/>
        </w:rPr>
        <w:t>The FirstEnergy/House Bill 6 scandal (and FirstEnergy/Ex-PUCO Chair scandal) teach that no one should be first in line to believe FirstEnergy.</w:t>
      </w:r>
      <w:r w:rsidR="00A5350C">
        <w:rPr>
          <w:sz w:val="24"/>
          <w:szCs w:val="24"/>
        </w:rPr>
        <w:t xml:space="preserve"> And at this point no regulatory authority should be tolerating any obstruction of regulatory scrutiny by FirstEnergy</w:t>
      </w:r>
      <w:r w:rsidR="00A3626B">
        <w:rPr>
          <w:sz w:val="24"/>
          <w:szCs w:val="24"/>
        </w:rPr>
        <w:t>.</w:t>
      </w:r>
      <w:r w:rsidR="003829C6">
        <w:rPr>
          <w:sz w:val="24"/>
          <w:szCs w:val="24"/>
        </w:rPr>
        <w:t xml:space="preserve"> A PUCO</w:t>
      </w:r>
      <w:r w:rsidRPr="00FE3082" w:rsidR="00EE4C29">
        <w:rPr>
          <w:sz w:val="24"/>
          <w:szCs w:val="24"/>
        </w:rPr>
        <w:t xml:space="preserve"> study is long overdue</w:t>
      </w:r>
      <w:r w:rsidRPr="00FE3082" w:rsidR="00C535BD">
        <w:rPr>
          <w:sz w:val="24"/>
          <w:szCs w:val="24"/>
        </w:rPr>
        <w:t>, and the audit report should not be</w:t>
      </w:r>
      <w:r w:rsidRPr="00FE3082" w:rsidR="00BB7C86">
        <w:rPr>
          <w:sz w:val="24"/>
          <w:szCs w:val="24"/>
        </w:rPr>
        <w:t xml:space="preserve"> further delay</w:t>
      </w:r>
      <w:r w:rsidRPr="00FE3082" w:rsidR="00C535BD">
        <w:rPr>
          <w:sz w:val="24"/>
          <w:szCs w:val="24"/>
        </w:rPr>
        <w:t>ed</w:t>
      </w:r>
      <w:r w:rsidRPr="00FE3082" w:rsidR="00BB7C86">
        <w:rPr>
          <w:sz w:val="24"/>
          <w:szCs w:val="24"/>
        </w:rPr>
        <w:t>.</w:t>
      </w:r>
    </w:p>
    <w:p w:rsidR="002141C9" w:rsidRPr="00FE3082" w:rsidP="00370510" w14:paraId="1A78860C" w14:textId="44500559">
      <w:pPr>
        <w:spacing w:line="480" w:lineRule="auto"/>
        <w:ind w:firstLine="720"/>
        <w:rPr>
          <w:sz w:val="24"/>
          <w:szCs w:val="24"/>
        </w:rPr>
      </w:pPr>
      <w:r w:rsidRPr="00FE3082">
        <w:rPr>
          <w:sz w:val="24"/>
          <w:szCs w:val="24"/>
        </w:rPr>
        <w:t xml:space="preserve">But now, </w:t>
      </w:r>
      <w:r w:rsidRPr="00FE3082" w:rsidR="00F3696B">
        <w:rPr>
          <w:sz w:val="24"/>
          <w:szCs w:val="24"/>
        </w:rPr>
        <w:t xml:space="preserve">the </w:t>
      </w:r>
      <w:r w:rsidRPr="00FE3082" w:rsidR="00EE4C29">
        <w:rPr>
          <w:sz w:val="24"/>
          <w:szCs w:val="24"/>
        </w:rPr>
        <w:t>PUCO Staff</w:t>
      </w:r>
      <w:r w:rsidRPr="00FE3082">
        <w:rPr>
          <w:sz w:val="24"/>
          <w:szCs w:val="24"/>
        </w:rPr>
        <w:t xml:space="preserve"> has filed a </w:t>
      </w:r>
      <w:r w:rsidRPr="00FE3082">
        <w:rPr>
          <w:i/>
          <w:iCs/>
          <w:sz w:val="24"/>
          <w:szCs w:val="24"/>
        </w:rPr>
        <w:t>second</w:t>
      </w:r>
      <w:r w:rsidRPr="00FE3082" w:rsidR="00EE4C29">
        <w:rPr>
          <w:sz w:val="24"/>
          <w:szCs w:val="24"/>
        </w:rPr>
        <w:t xml:space="preserve"> motion </w:t>
      </w:r>
      <w:r w:rsidRPr="00FE3082">
        <w:rPr>
          <w:sz w:val="24"/>
          <w:szCs w:val="24"/>
        </w:rPr>
        <w:t xml:space="preserve">to </w:t>
      </w:r>
      <w:r w:rsidRPr="00FE3082" w:rsidR="00EE4C29">
        <w:rPr>
          <w:sz w:val="24"/>
          <w:szCs w:val="24"/>
        </w:rPr>
        <w:t>exten</w:t>
      </w:r>
      <w:r w:rsidRPr="00FE3082">
        <w:rPr>
          <w:sz w:val="24"/>
          <w:szCs w:val="24"/>
        </w:rPr>
        <w:t>d</w:t>
      </w:r>
      <w:r w:rsidRPr="00FE3082" w:rsidR="00EE4C29">
        <w:rPr>
          <w:sz w:val="24"/>
          <w:szCs w:val="24"/>
        </w:rPr>
        <w:t xml:space="preserve"> </w:t>
      </w:r>
      <w:r w:rsidRPr="00FE3082">
        <w:rPr>
          <w:sz w:val="24"/>
          <w:szCs w:val="24"/>
        </w:rPr>
        <w:t>the due date for</w:t>
      </w:r>
      <w:r w:rsidRPr="00FE3082" w:rsidR="00EE4C29">
        <w:rPr>
          <w:sz w:val="24"/>
          <w:szCs w:val="24"/>
        </w:rPr>
        <w:t xml:space="preserve"> the audit report.</w:t>
      </w:r>
      <w:r>
        <w:rPr>
          <w:rStyle w:val="FootnoteReference"/>
          <w:sz w:val="24"/>
          <w:szCs w:val="24"/>
        </w:rPr>
        <w:footnoteReference w:id="10"/>
      </w:r>
      <w:r w:rsidRPr="00FE3082" w:rsidR="007D572F">
        <w:rPr>
          <w:sz w:val="24"/>
          <w:szCs w:val="24"/>
        </w:rPr>
        <w:t xml:space="preserve"> The audit report was initially due to be filed on February 10, 2023.</w:t>
      </w:r>
      <w:r>
        <w:rPr>
          <w:rStyle w:val="FootnoteReference"/>
          <w:sz w:val="24"/>
          <w:szCs w:val="24"/>
        </w:rPr>
        <w:footnoteReference w:id="11"/>
      </w:r>
      <w:r w:rsidR="00FE3082">
        <w:rPr>
          <w:sz w:val="24"/>
          <w:szCs w:val="24"/>
        </w:rPr>
        <w:t xml:space="preserve"> </w:t>
      </w:r>
      <w:r w:rsidRPr="00FE3082" w:rsidR="0002138A">
        <w:rPr>
          <w:sz w:val="24"/>
          <w:szCs w:val="24"/>
        </w:rPr>
        <w:t xml:space="preserve">The </w:t>
      </w:r>
      <w:r w:rsidRPr="00FE3082" w:rsidR="007D572F">
        <w:rPr>
          <w:sz w:val="24"/>
          <w:szCs w:val="24"/>
        </w:rPr>
        <w:t xml:space="preserve">PUCO Staff claims </w:t>
      </w:r>
      <w:r w:rsidRPr="00FE3082" w:rsidR="0002138A">
        <w:rPr>
          <w:sz w:val="24"/>
          <w:szCs w:val="24"/>
        </w:rPr>
        <w:t xml:space="preserve">that “[d]ue to complex issues in this case, data requests have taken longer than expected to be </w:t>
      </w:r>
      <w:r w:rsidRPr="00FE3082" w:rsidR="007E4793">
        <w:rPr>
          <w:sz w:val="24"/>
          <w:szCs w:val="24"/>
        </w:rPr>
        <w:t>responded to.”</w:t>
      </w:r>
      <w:r>
        <w:rPr>
          <w:rStyle w:val="FootnoteReference"/>
          <w:sz w:val="24"/>
          <w:szCs w:val="24"/>
        </w:rPr>
        <w:footnoteReference w:id="12"/>
      </w:r>
      <w:r w:rsidRPr="00FE3082" w:rsidR="007D572F">
        <w:rPr>
          <w:sz w:val="24"/>
          <w:szCs w:val="24"/>
        </w:rPr>
        <w:t xml:space="preserve"> </w:t>
      </w:r>
      <w:r w:rsidRPr="00FE3082">
        <w:rPr>
          <w:sz w:val="24"/>
          <w:szCs w:val="24"/>
        </w:rPr>
        <w:t xml:space="preserve">The PUCO Staff further states that the auditor “Exeter is still missing information that they need to proceed” and </w:t>
      </w:r>
      <w:r w:rsidRPr="00FE3082" w:rsidR="002B3C54">
        <w:rPr>
          <w:sz w:val="24"/>
          <w:szCs w:val="24"/>
        </w:rPr>
        <w:t xml:space="preserve">that </w:t>
      </w:r>
      <w:r w:rsidRPr="00FE3082">
        <w:rPr>
          <w:sz w:val="24"/>
          <w:szCs w:val="24"/>
        </w:rPr>
        <w:t>FirstEnergy and Exeter “are working together to resolve any issues with these data requests.”</w:t>
      </w:r>
      <w:r>
        <w:rPr>
          <w:rStyle w:val="FootnoteReference"/>
          <w:sz w:val="24"/>
          <w:szCs w:val="24"/>
        </w:rPr>
        <w:footnoteReference w:id="13"/>
      </w:r>
      <w:r w:rsidRPr="00FE3082">
        <w:rPr>
          <w:sz w:val="24"/>
          <w:szCs w:val="24"/>
        </w:rPr>
        <w:t xml:space="preserve"> It is unclear</w:t>
      </w:r>
      <w:r w:rsidRPr="00FE3082" w:rsidR="002B3C54">
        <w:rPr>
          <w:sz w:val="24"/>
          <w:szCs w:val="24"/>
        </w:rPr>
        <w:t xml:space="preserve"> why </w:t>
      </w:r>
      <w:r w:rsidRPr="00FE3082">
        <w:rPr>
          <w:sz w:val="24"/>
          <w:szCs w:val="24"/>
        </w:rPr>
        <w:t xml:space="preserve">FirstEnergy </w:t>
      </w:r>
      <w:r w:rsidRPr="00FE3082" w:rsidR="002B3C54">
        <w:rPr>
          <w:sz w:val="24"/>
          <w:szCs w:val="24"/>
        </w:rPr>
        <w:t xml:space="preserve">has not provided </w:t>
      </w:r>
      <w:r w:rsidRPr="00FE3082">
        <w:rPr>
          <w:sz w:val="24"/>
          <w:szCs w:val="24"/>
        </w:rPr>
        <w:t>the information requested by the auditor</w:t>
      </w:r>
      <w:r w:rsidR="009211A2">
        <w:rPr>
          <w:sz w:val="24"/>
          <w:szCs w:val="24"/>
        </w:rPr>
        <w:t xml:space="preserve"> who was</w:t>
      </w:r>
      <w:r w:rsidR="00382BA3">
        <w:rPr>
          <w:sz w:val="24"/>
          <w:szCs w:val="24"/>
        </w:rPr>
        <w:t xml:space="preserve"> hired by the state regulator, the PUCO</w:t>
      </w:r>
      <w:r w:rsidRPr="00FE3082">
        <w:rPr>
          <w:sz w:val="24"/>
          <w:szCs w:val="24"/>
        </w:rPr>
        <w:t>.</w:t>
      </w:r>
    </w:p>
    <w:p w:rsidR="00EE4C29" w:rsidRPr="00FE3082" w:rsidP="00370510" w14:paraId="3A63547E" w14:textId="2BE2722F">
      <w:pPr>
        <w:spacing w:line="480" w:lineRule="auto"/>
        <w:ind w:firstLine="720"/>
        <w:rPr>
          <w:sz w:val="24"/>
          <w:szCs w:val="24"/>
        </w:rPr>
      </w:pPr>
      <w:r w:rsidRPr="00FE3082">
        <w:rPr>
          <w:sz w:val="24"/>
          <w:szCs w:val="24"/>
        </w:rPr>
        <w:t>Consumers should not be prejudiced by FirstEnergy’s apparent failure to timely provide information to the auditor. T</w:t>
      </w:r>
      <w:r w:rsidRPr="00FE3082" w:rsidR="009014C0">
        <w:rPr>
          <w:sz w:val="24"/>
          <w:szCs w:val="24"/>
        </w:rPr>
        <w:t xml:space="preserve">he </w:t>
      </w:r>
      <w:r w:rsidRPr="00FE3082" w:rsidR="002141C9">
        <w:rPr>
          <w:sz w:val="24"/>
          <w:szCs w:val="24"/>
        </w:rPr>
        <w:t>Request for Proposal</w:t>
      </w:r>
      <w:r w:rsidRPr="00FE3082" w:rsidR="009014C0">
        <w:rPr>
          <w:sz w:val="24"/>
          <w:szCs w:val="24"/>
        </w:rPr>
        <w:t xml:space="preserve"> approved by the PUCO in this case expressly states that:</w:t>
      </w:r>
    </w:p>
    <w:p w:rsidR="009014C0" w:rsidRPr="00FE3082" w:rsidP="00F8376A" w14:paraId="3D455DEB" w14:textId="6A20F337">
      <w:pPr>
        <w:ind w:left="1440" w:right="1440"/>
        <w:rPr>
          <w:sz w:val="24"/>
          <w:szCs w:val="24"/>
        </w:rPr>
      </w:pPr>
      <w:r w:rsidRPr="00FE3082">
        <w:rPr>
          <w:sz w:val="24"/>
          <w:szCs w:val="24"/>
        </w:rPr>
        <w:t xml:space="preserve">[FirstEnergy] </w:t>
      </w:r>
      <w:r w:rsidRPr="00FE3082">
        <w:rPr>
          <w:b/>
          <w:bCs/>
          <w:i/>
          <w:iCs/>
          <w:sz w:val="24"/>
          <w:szCs w:val="24"/>
        </w:rPr>
        <w:t>shall provide any and all documents or information requested by the auditor selected and Staff.</w:t>
      </w:r>
      <w:r w:rsidRPr="00FE3082">
        <w:rPr>
          <w:sz w:val="24"/>
          <w:szCs w:val="24"/>
        </w:rPr>
        <w:t xml:space="preserve"> [FirstEnergy] may conspicuously mark such documents or information as being “confidential.” </w:t>
      </w:r>
      <w:r w:rsidRPr="00FE3082">
        <w:rPr>
          <w:b/>
          <w:bCs/>
          <w:i/>
          <w:iCs/>
          <w:sz w:val="24"/>
          <w:szCs w:val="24"/>
        </w:rPr>
        <w:t>In no event, however, shall [FirstEnergy] refuse or delay providing such documents or information.</w:t>
      </w:r>
      <w:r>
        <w:rPr>
          <w:rStyle w:val="FootnoteReference"/>
          <w:sz w:val="24"/>
          <w:szCs w:val="24"/>
        </w:rPr>
        <w:footnoteReference w:id="14"/>
      </w:r>
    </w:p>
    <w:p w:rsidR="008F19C2" w:rsidRPr="00FE3082" w:rsidP="008F19C2" w14:paraId="010CEDDA" w14:textId="7BFFB57C">
      <w:pPr>
        <w:ind w:right="720"/>
        <w:rPr>
          <w:sz w:val="24"/>
          <w:szCs w:val="24"/>
        </w:rPr>
      </w:pPr>
    </w:p>
    <w:p w:rsidR="00515C6D" w:rsidRPr="00FE3082" w:rsidP="008F19C2" w14:paraId="0C7164D3" w14:textId="4E6F4C94">
      <w:pPr>
        <w:spacing w:line="480" w:lineRule="auto"/>
        <w:rPr>
          <w:sz w:val="24"/>
          <w:szCs w:val="24"/>
        </w:rPr>
      </w:pPr>
      <w:r w:rsidRPr="00FE3082">
        <w:rPr>
          <w:sz w:val="24"/>
          <w:szCs w:val="24"/>
        </w:rPr>
        <w:t>Thus, there is no justification for FirstEnergy to delay providing information requested by the auditor.</w:t>
      </w:r>
      <w:r w:rsidRPr="00FE3082" w:rsidR="00D67629">
        <w:rPr>
          <w:sz w:val="24"/>
          <w:szCs w:val="24"/>
        </w:rPr>
        <w:t xml:space="preserve"> </w:t>
      </w:r>
      <w:r w:rsidRPr="00FE3082">
        <w:rPr>
          <w:sz w:val="24"/>
          <w:szCs w:val="24"/>
        </w:rPr>
        <w:t xml:space="preserve">FirstEnergy’s apparent </w:t>
      </w:r>
      <w:r w:rsidR="009211A2">
        <w:rPr>
          <w:sz w:val="24"/>
          <w:szCs w:val="24"/>
        </w:rPr>
        <w:t>delay</w:t>
      </w:r>
      <w:r w:rsidRPr="00FE3082">
        <w:rPr>
          <w:sz w:val="24"/>
          <w:szCs w:val="24"/>
        </w:rPr>
        <w:t xml:space="preserve"> is unacceptable</w:t>
      </w:r>
      <w:r w:rsidRPr="00FE3082" w:rsidR="00D67629">
        <w:rPr>
          <w:sz w:val="24"/>
          <w:szCs w:val="24"/>
        </w:rPr>
        <w:t xml:space="preserve"> and defies the PUCO’s directives</w:t>
      </w:r>
      <w:r w:rsidRPr="00FE3082">
        <w:rPr>
          <w:sz w:val="24"/>
          <w:szCs w:val="24"/>
        </w:rPr>
        <w:t>.</w:t>
      </w:r>
      <w:r w:rsidR="0009243A">
        <w:rPr>
          <w:sz w:val="24"/>
          <w:szCs w:val="24"/>
        </w:rPr>
        <w:t xml:space="preserve"> </w:t>
      </w:r>
      <w:r w:rsidR="009211A2">
        <w:rPr>
          <w:sz w:val="24"/>
          <w:szCs w:val="24"/>
        </w:rPr>
        <w:t>And it defies</w:t>
      </w:r>
      <w:r w:rsidR="0009243A">
        <w:rPr>
          <w:sz w:val="24"/>
          <w:szCs w:val="24"/>
        </w:rPr>
        <w:t xml:space="preserve"> the law </w:t>
      </w:r>
      <w:r w:rsidR="009211A2">
        <w:rPr>
          <w:sz w:val="24"/>
          <w:szCs w:val="24"/>
        </w:rPr>
        <w:t xml:space="preserve">that </w:t>
      </w:r>
      <w:r w:rsidR="0009243A">
        <w:rPr>
          <w:sz w:val="24"/>
          <w:szCs w:val="24"/>
        </w:rPr>
        <w:t>requires FirstEnergy to obey the PUCO’s directives.</w:t>
      </w:r>
      <w:r w:rsidR="00FE3082">
        <w:rPr>
          <w:sz w:val="24"/>
          <w:szCs w:val="24"/>
        </w:rPr>
        <w:t xml:space="preserve"> </w:t>
      </w:r>
      <w:r w:rsidR="00382BA3">
        <w:rPr>
          <w:sz w:val="24"/>
          <w:szCs w:val="24"/>
        </w:rPr>
        <w:t>The PUCO should assess forfeitures against FirstEnergy, per R.C.</w:t>
      </w:r>
      <w:r w:rsidR="0009243A">
        <w:rPr>
          <w:sz w:val="24"/>
          <w:szCs w:val="24"/>
        </w:rPr>
        <w:t xml:space="preserve"> 4905.54 and 4905.56.</w:t>
      </w:r>
      <w:r w:rsidR="00382BA3">
        <w:rPr>
          <w:sz w:val="24"/>
          <w:szCs w:val="24"/>
        </w:rPr>
        <w:t xml:space="preserve"> </w:t>
      </w:r>
      <w:r w:rsidRPr="00FE3082" w:rsidR="008D6981">
        <w:rPr>
          <w:sz w:val="24"/>
          <w:szCs w:val="24"/>
        </w:rPr>
        <w:t>R.C. 4905.54 authorizes the PUCO to assess a forfeiture of up to $10,000 for each day FirstEnergy fails to comply with a PUCO order.</w:t>
      </w:r>
      <w:r w:rsidR="00FE3082">
        <w:rPr>
          <w:sz w:val="24"/>
          <w:szCs w:val="24"/>
        </w:rPr>
        <w:t xml:space="preserve"> </w:t>
      </w:r>
    </w:p>
    <w:p w:rsidR="00A0082B" w:rsidP="008F19C2" w14:paraId="5E9AE12D" w14:textId="4F00E7BE">
      <w:pPr>
        <w:spacing w:line="480" w:lineRule="auto"/>
        <w:rPr>
          <w:sz w:val="24"/>
          <w:szCs w:val="24"/>
        </w:rPr>
      </w:pPr>
      <w:r w:rsidRPr="00FE3082">
        <w:rPr>
          <w:sz w:val="24"/>
          <w:szCs w:val="24"/>
        </w:rPr>
        <w:tab/>
      </w:r>
      <w:r w:rsidR="0009243A">
        <w:rPr>
          <w:sz w:val="24"/>
          <w:szCs w:val="24"/>
        </w:rPr>
        <w:t>Moreover,</w:t>
      </w:r>
      <w:r w:rsidR="009211A2">
        <w:rPr>
          <w:sz w:val="24"/>
          <w:szCs w:val="24"/>
        </w:rPr>
        <w:t xml:space="preserve"> by coincidence</w:t>
      </w:r>
      <w:r w:rsidR="00F6075F">
        <w:rPr>
          <w:sz w:val="24"/>
          <w:szCs w:val="24"/>
        </w:rPr>
        <w:t>,</w:t>
      </w:r>
      <w:r w:rsidR="009211A2">
        <w:rPr>
          <w:sz w:val="24"/>
          <w:szCs w:val="24"/>
        </w:rPr>
        <w:t xml:space="preserve"> there is</w:t>
      </w:r>
      <w:r w:rsidR="0009243A">
        <w:rPr>
          <w:sz w:val="24"/>
          <w:szCs w:val="24"/>
        </w:rPr>
        <w:t xml:space="preserve"> p</w:t>
      </w:r>
      <w:r w:rsidRPr="00FE3082" w:rsidR="002B3C54">
        <w:rPr>
          <w:sz w:val="24"/>
          <w:szCs w:val="24"/>
        </w:rPr>
        <w:t>roposed l</w:t>
      </w:r>
      <w:r w:rsidRPr="00FE3082">
        <w:rPr>
          <w:sz w:val="24"/>
          <w:szCs w:val="24"/>
        </w:rPr>
        <w:t xml:space="preserve">egislation </w:t>
      </w:r>
      <w:r w:rsidRPr="00FE3082" w:rsidR="00CE0149">
        <w:rPr>
          <w:sz w:val="24"/>
          <w:szCs w:val="24"/>
        </w:rPr>
        <w:t xml:space="preserve">pending with the General Assembly </w:t>
      </w:r>
      <w:r w:rsidR="009211A2">
        <w:rPr>
          <w:sz w:val="24"/>
          <w:szCs w:val="24"/>
        </w:rPr>
        <w:t>that c</w:t>
      </w:r>
      <w:r w:rsidRPr="00FE3082" w:rsidR="00CE0149">
        <w:rPr>
          <w:sz w:val="24"/>
          <w:szCs w:val="24"/>
        </w:rPr>
        <w:t xml:space="preserve">ould make </w:t>
      </w:r>
      <w:r w:rsidRPr="00FE3082" w:rsidR="00CD4F1A">
        <w:rPr>
          <w:sz w:val="24"/>
          <w:szCs w:val="24"/>
        </w:rPr>
        <w:t>transmission cost recovery riders like Rider NMB and opt-out programs like the Rider NMB pilot permanent features of a utility’s electric security plan.</w:t>
      </w:r>
      <w:r>
        <w:rPr>
          <w:rStyle w:val="FootnoteReference"/>
          <w:sz w:val="24"/>
          <w:szCs w:val="24"/>
        </w:rPr>
        <w:footnoteReference w:id="15"/>
      </w:r>
      <w:r w:rsidR="009211A2">
        <w:rPr>
          <w:sz w:val="24"/>
          <w:szCs w:val="24"/>
        </w:rPr>
        <w:t xml:space="preserve"> So delays in the audit could </w:t>
      </w:r>
      <w:r w:rsidR="003814E5">
        <w:rPr>
          <w:sz w:val="24"/>
          <w:szCs w:val="24"/>
        </w:rPr>
        <w:t xml:space="preserve">coincidentally work to avoid the PUCO’s </w:t>
      </w:r>
      <w:r w:rsidR="007036DF">
        <w:rPr>
          <w:sz w:val="24"/>
          <w:szCs w:val="24"/>
        </w:rPr>
        <w:t>intended (but delayed)</w:t>
      </w:r>
      <w:r w:rsidR="003814E5">
        <w:rPr>
          <w:sz w:val="24"/>
          <w:szCs w:val="24"/>
        </w:rPr>
        <w:t xml:space="preserve"> accountability </w:t>
      </w:r>
      <w:r w:rsidR="00F6075F">
        <w:rPr>
          <w:sz w:val="24"/>
          <w:szCs w:val="24"/>
        </w:rPr>
        <w:t xml:space="preserve">for FirstEnergy to </w:t>
      </w:r>
      <w:r w:rsidR="007036DF">
        <w:rPr>
          <w:sz w:val="24"/>
          <w:szCs w:val="24"/>
        </w:rPr>
        <w:t xml:space="preserve">its </w:t>
      </w:r>
      <w:r w:rsidR="00F6075F">
        <w:rPr>
          <w:sz w:val="24"/>
          <w:szCs w:val="24"/>
        </w:rPr>
        <w:t xml:space="preserve">consumers, given the potential impact of the bill if it becomes law. </w:t>
      </w:r>
      <w:r w:rsidR="007036DF">
        <w:rPr>
          <w:sz w:val="24"/>
          <w:szCs w:val="24"/>
        </w:rPr>
        <w:t xml:space="preserve">That coincidence should not be furthered by allowing delay by FirstEnergy. </w:t>
      </w:r>
    </w:p>
    <w:p w:rsidR="001B3DC6" w:rsidRPr="00FE3082" w:rsidP="001B3DC6" w14:paraId="3A5CC2F2" w14:textId="77777777">
      <w:pPr>
        <w:rPr>
          <w:sz w:val="24"/>
          <w:szCs w:val="24"/>
        </w:rPr>
      </w:pPr>
    </w:p>
    <w:p w:rsidR="00631932" w:rsidRPr="001B3DC6" w:rsidP="001B3DC6" w14:paraId="1631AFCC" w14:textId="63201D83">
      <w:pPr>
        <w:pStyle w:val="Heading1"/>
      </w:pPr>
      <w:r w:rsidRPr="00FE3082">
        <w:t>III.</w:t>
      </w:r>
      <w:r w:rsidRPr="00FE3082">
        <w:tab/>
        <w:t>CONCLUSION</w:t>
      </w:r>
    </w:p>
    <w:p w:rsidR="002B70CE" w:rsidP="004B7CB4" w14:paraId="440335C1" w14:textId="6498830B">
      <w:pPr>
        <w:spacing w:line="480" w:lineRule="auto"/>
        <w:ind w:firstLine="720"/>
        <w:rPr>
          <w:sz w:val="24"/>
          <w:szCs w:val="24"/>
        </w:rPr>
      </w:pPr>
      <w:r w:rsidRPr="00FE3082">
        <w:rPr>
          <w:sz w:val="24"/>
          <w:szCs w:val="24"/>
        </w:rPr>
        <w:t>The PUCO should protect consumers by denying the PUCO Staff’s request to</w:t>
      </w:r>
      <w:r w:rsidR="00D056CE">
        <w:rPr>
          <w:sz w:val="24"/>
          <w:szCs w:val="24"/>
        </w:rPr>
        <w:t xml:space="preserve"> </w:t>
      </w:r>
      <w:r w:rsidR="002739E9">
        <w:rPr>
          <w:sz w:val="24"/>
          <w:szCs w:val="24"/>
        </w:rPr>
        <w:t xml:space="preserve">again </w:t>
      </w:r>
      <w:r w:rsidRPr="00FE3082">
        <w:rPr>
          <w:sz w:val="24"/>
          <w:szCs w:val="24"/>
        </w:rPr>
        <w:t xml:space="preserve">delay the audit </w:t>
      </w:r>
      <w:r w:rsidR="00DB32BA">
        <w:rPr>
          <w:sz w:val="24"/>
          <w:szCs w:val="24"/>
        </w:rPr>
        <w:t>for FirstEnergy’s program</w:t>
      </w:r>
      <w:r w:rsidR="002739E9">
        <w:rPr>
          <w:sz w:val="24"/>
          <w:szCs w:val="24"/>
        </w:rPr>
        <w:t>, this time</w:t>
      </w:r>
      <w:r w:rsidRPr="00FE3082" w:rsidR="00CD59EE">
        <w:rPr>
          <w:sz w:val="24"/>
          <w:szCs w:val="24"/>
        </w:rPr>
        <w:t xml:space="preserve"> until July 17, 2023</w:t>
      </w:r>
      <w:r w:rsidRPr="00FE3082">
        <w:rPr>
          <w:sz w:val="24"/>
          <w:szCs w:val="24"/>
        </w:rPr>
        <w:t xml:space="preserve">. </w:t>
      </w:r>
      <w:r w:rsidR="00F66150">
        <w:rPr>
          <w:sz w:val="24"/>
          <w:szCs w:val="24"/>
        </w:rPr>
        <w:t>The PUCO should take legal action, including forfeitures, against FirstEnergy for any stall tactics</w:t>
      </w:r>
      <w:r w:rsidR="00D5543B">
        <w:rPr>
          <w:sz w:val="24"/>
          <w:szCs w:val="24"/>
        </w:rPr>
        <w:t xml:space="preserve">, not essentially penalize </w:t>
      </w:r>
      <w:r w:rsidR="002A354F">
        <w:rPr>
          <w:sz w:val="24"/>
          <w:szCs w:val="24"/>
        </w:rPr>
        <w:t xml:space="preserve">residential </w:t>
      </w:r>
      <w:r w:rsidR="00D5543B">
        <w:rPr>
          <w:sz w:val="24"/>
          <w:szCs w:val="24"/>
        </w:rPr>
        <w:t>consumers by delaying the report about their rates</w:t>
      </w:r>
      <w:r w:rsidR="00F66150">
        <w:rPr>
          <w:sz w:val="24"/>
          <w:szCs w:val="24"/>
        </w:rPr>
        <w:t>.</w:t>
      </w:r>
    </w:p>
    <w:p w:rsidR="002B70CE" w14:paraId="49E838B4" w14:textId="77777777">
      <w:pPr>
        <w:rPr>
          <w:sz w:val="24"/>
          <w:szCs w:val="24"/>
        </w:rPr>
      </w:pPr>
      <w:r>
        <w:rPr>
          <w:sz w:val="24"/>
          <w:szCs w:val="24"/>
        </w:rPr>
        <w:br w:type="page"/>
      </w:r>
    </w:p>
    <w:p w:rsidR="00743BBD" w:rsidRPr="00FE3082" w:rsidP="004B7CB4" w14:paraId="1DB2E2CE" w14:textId="30478D44">
      <w:pPr>
        <w:spacing w:line="480" w:lineRule="auto"/>
        <w:ind w:left="3600" w:firstLine="720"/>
        <w:rPr>
          <w:sz w:val="24"/>
          <w:szCs w:val="24"/>
        </w:rPr>
      </w:pPr>
      <w:r w:rsidRPr="00FE3082">
        <w:rPr>
          <w:sz w:val="24"/>
          <w:szCs w:val="24"/>
        </w:rPr>
        <w:t>Respectfully submitted,</w:t>
      </w:r>
    </w:p>
    <w:p w:rsidR="00743BBD" w:rsidRPr="00FE3082" w:rsidP="00743BBD" w14:paraId="72B3B90C" w14:textId="77777777">
      <w:pPr>
        <w:tabs>
          <w:tab w:val="left" w:pos="4320"/>
        </w:tabs>
        <w:ind w:left="4320"/>
        <w:rPr>
          <w:sz w:val="24"/>
          <w:szCs w:val="24"/>
        </w:rPr>
      </w:pPr>
      <w:r w:rsidRPr="00FE3082">
        <w:rPr>
          <w:sz w:val="24"/>
          <w:szCs w:val="24"/>
        </w:rPr>
        <w:t>Bruce Weston (0016973)</w:t>
      </w:r>
    </w:p>
    <w:p w:rsidR="00743BBD" w:rsidRPr="00FE3082" w:rsidP="00743BBD" w14:paraId="73CEF4BF" w14:textId="77777777">
      <w:pPr>
        <w:tabs>
          <w:tab w:val="left" w:pos="4320"/>
        </w:tabs>
        <w:ind w:left="4320"/>
        <w:rPr>
          <w:sz w:val="24"/>
          <w:szCs w:val="24"/>
        </w:rPr>
      </w:pPr>
      <w:r w:rsidRPr="00FE3082">
        <w:rPr>
          <w:sz w:val="24"/>
          <w:szCs w:val="24"/>
        </w:rPr>
        <w:t>Ohio Consumers’ Counsel</w:t>
      </w:r>
    </w:p>
    <w:p w:rsidR="00743BBD" w:rsidRPr="00FE3082" w:rsidP="00743BBD" w14:paraId="65903919" w14:textId="77777777">
      <w:pPr>
        <w:tabs>
          <w:tab w:val="left" w:pos="4320"/>
        </w:tabs>
        <w:ind w:left="4320"/>
        <w:rPr>
          <w:sz w:val="24"/>
          <w:szCs w:val="24"/>
        </w:rPr>
      </w:pPr>
    </w:p>
    <w:p w:rsidR="00743BBD" w:rsidRPr="00FE3082" w:rsidP="00743BBD" w14:paraId="68EB5BB5" w14:textId="3131A4A9">
      <w:pPr>
        <w:tabs>
          <w:tab w:val="left" w:pos="4320"/>
        </w:tabs>
        <w:ind w:left="4320" w:right="-180"/>
        <w:rPr>
          <w:i/>
          <w:iCs/>
          <w:sz w:val="24"/>
          <w:szCs w:val="24"/>
          <w:u w:val="single"/>
        </w:rPr>
      </w:pPr>
      <w:r w:rsidRPr="00FE3082">
        <w:rPr>
          <w:i/>
          <w:iCs/>
          <w:sz w:val="24"/>
          <w:szCs w:val="24"/>
          <w:u w:val="single"/>
        </w:rPr>
        <w:t>/s/ Angela D. O’Brien</w:t>
      </w:r>
    </w:p>
    <w:p w:rsidR="00743BBD" w:rsidRPr="00FE3082" w:rsidP="00743BBD" w14:paraId="6003C684" w14:textId="429664A7">
      <w:pPr>
        <w:tabs>
          <w:tab w:val="left" w:pos="4320"/>
        </w:tabs>
        <w:ind w:left="4320" w:right="-180"/>
        <w:rPr>
          <w:sz w:val="24"/>
          <w:szCs w:val="24"/>
        </w:rPr>
      </w:pPr>
      <w:r w:rsidRPr="00FE3082">
        <w:rPr>
          <w:sz w:val="24"/>
          <w:szCs w:val="24"/>
        </w:rPr>
        <w:t>Angela D. O’Brien (0097579)</w:t>
      </w:r>
    </w:p>
    <w:p w:rsidR="00743BBD" w:rsidRPr="00FE3082" w:rsidP="00743BBD" w14:paraId="1EA0376E" w14:textId="25FCF12E">
      <w:pPr>
        <w:tabs>
          <w:tab w:val="left" w:pos="4320"/>
        </w:tabs>
        <w:ind w:left="4320" w:right="-180"/>
        <w:rPr>
          <w:sz w:val="24"/>
          <w:szCs w:val="24"/>
        </w:rPr>
      </w:pPr>
      <w:r w:rsidRPr="00FE3082">
        <w:rPr>
          <w:sz w:val="24"/>
          <w:szCs w:val="24"/>
        </w:rPr>
        <w:t>Counsel of Record</w:t>
      </w:r>
    </w:p>
    <w:p w:rsidR="00743BBD" w:rsidRPr="00FE3082" w:rsidP="00743BBD" w14:paraId="0BE3AC45" w14:textId="77777777">
      <w:pPr>
        <w:tabs>
          <w:tab w:val="left" w:pos="4320"/>
        </w:tabs>
        <w:ind w:left="4320" w:right="-180"/>
        <w:rPr>
          <w:sz w:val="24"/>
          <w:szCs w:val="24"/>
        </w:rPr>
      </w:pPr>
      <w:r w:rsidRPr="00FE3082">
        <w:rPr>
          <w:sz w:val="24"/>
          <w:szCs w:val="24"/>
        </w:rPr>
        <w:t>Connor D. Semple (0101102)</w:t>
      </w:r>
      <w:r w:rsidRPr="00FE3082">
        <w:rPr>
          <w:sz w:val="24"/>
          <w:szCs w:val="24"/>
        </w:rPr>
        <w:tab/>
      </w:r>
    </w:p>
    <w:p w:rsidR="00743BBD" w:rsidRPr="00FE3082" w:rsidP="00743BBD" w14:paraId="38547F46" w14:textId="77777777">
      <w:pPr>
        <w:tabs>
          <w:tab w:val="left" w:pos="4320"/>
        </w:tabs>
        <w:ind w:left="4320" w:right="-180"/>
        <w:rPr>
          <w:sz w:val="24"/>
          <w:szCs w:val="24"/>
        </w:rPr>
      </w:pPr>
      <w:r w:rsidRPr="00FE3082">
        <w:rPr>
          <w:sz w:val="24"/>
          <w:szCs w:val="24"/>
        </w:rPr>
        <w:t xml:space="preserve">Assistant Consumers’ Counsel </w:t>
      </w:r>
    </w:p>
    <w:p w:rsidR="00743BBD" w:rsidRPr="00FE3082" w:rsidP="00743BBD" w14:paraId="1CA380B7" w14:textId="77777777">
      <w:pPr>
        <w:ind w:left="3600" w:firstLine="720"/>
        <w:rPr>
          <w:sz w:val="24"/>
          <w:szCs w:val="24"/>
        </w:rPr>
      </w:pPr>
    </w:p>
    <w:p w:rsidR="00743BBD" w:rsidRPr="00FE3082" w:rsidP="00743BBD" w14:paraId="478DAF9E" w14:textId="77777777">
      <w:pPr>
        <w:ind w:left="3600" w:firstLine="720"/>
        <w:rPr>
          <w:b/>
          <w:bCs/>
          <w:sz w:val="24"/>
          <w:szCs w:val="24"/>
        </w:rPr>
      </w:pPr>
      <w:r w:rsidRPr="00FE3082">
        <w:rPr>
          <w:b/>
          <w:bCs/>
          <w:sz w:val="24"/>
          <w:szCs w:val="24"/>
        </w:rPr>
        <w:t>Office of the Ohio Consumers’ Counsel</w:t>
      </w:r>
    </w:p>
    <w:p w:rsidR="00743BBD" w:rsidRPr="00FE3082" w:rsidP="00743BBD" w14:paraId="219710A6" w14:textId="77777777">
      <w:pPr>
        <w:ind w:left="3600" w:firstLine="720"/>
        <w:rPr>
          <w:rFonts w:eastAsia="Calibri"/>
          <w:sz w:val="24"/>
          <w:szCs w:val="24"/>
        </w:rPr>
      </w:pPr>
      <w:r w:rsidRPr="00FE3082">
        <w:rPr>
          <w:rFonts w:eastAsia="Calibri"/>
          <w:sz w:val="24"/>
          <w:szCs w:val="24"/>
        </w:rPr>
        <w:t>65 East State Street, Suite 700</w:t>
      </w:r>
    </w:p>
    <w:p w:rsidR="00743BBD" w:rsidRPr="00FE3082" w:rsidP="00743BBD" w14:paraId="3B667863" w14:textId="77777777">
      <w:pPr>
        <w:ind w:left="3600" w:firstLine="720"/>
        <w:rPr>
          <w:rFonts w:eastAsia="Calibri"/>
          <w:sz w:val="24"/>
          <w:szCs w:val="24"/>
        </w:rPr>
      </w:pPr>
      <w:r w:rsidRPr="00FE3082">
        <w:rPr>
          <w:rFonts w:eastAsia="Calibri"/>
          <w:sz w:val="24"/>
          <w:szCs w:val="24"/>
        </w:rPr>
        <w:t>Columbus, Ohio 43215</w:t>
      </w:r>
    </w:p>
    <w:p w:rsidR="00743BBD" w:rsidRPr="00FE3082" w:rsidP="00743BBD" w14:paraId="60BF4CD6" w14:textId="77777777">
      <w:pPr>
        <w:adjustRightInd w:val="0"/>
        <w:ind w:left="4320"/>
        <w:rPr>
          <w:sz w:val="24"/>
          <w:szCs w:val="24"/>
        </w:rPr>
      </w:pPr>
      <w:r w:rsidRPr="00FE3082">
        <w:rPr>
          <w:sz w:val="24"/>
          <w:szCs w:val="24"/>
        </w:rPr>
        <w:t>Telephone: [O’Brien]: (614) 466-9531</w:t>
      </w:r>
    </w:p>
    <w:p w:rsidR="00743BBD" w:rsidRPr="00FE3082" w:rsidP="00743BBD" w14:paraId="25F39645" w14:textId="77777777">
      <w:pPr>
        <w:suppressLineNumbers/>
        <w:ind w:left="4320"/>
        <w:rPr>
          <w:sz w:val="24"/>
          <w:szCs w:val="24"/>
        </w:rPr>
      </w:pPr>
      <w:r w:rsidRPr="00FE3082">
        <w:rPr>
          <w:sz w:val="24"/>
          <w:szCs w:val="24"/>
        </w:rPr>
        <w:t>Telephone: [Semple] (614) 466-9565</w:t>
      </w:r>
    </w:p>
    <w:p w:rsidR="00743BBD" w:rsidRPr="00FE3082" w:rsidP="00743BBD" w14:paraId="6C37146E" w14:textId="77777777">
      <w:pPr>
        <w:ind w:left="4320"/>
        <w:rPr>
          <w:sz w:val="24"/>
          <w:szCs w:val="24"/>
        </w:rPr>
      </w:pPr>
      <w:hyperlink r:id="rId6" w:history="1">
        <w:r w:rsidRPr="00FE3082" w:rsidR="00FB2905">
          <w:rPr>
            <w:rFonts w:eastAsia="Calibri"/>
            <w:color w:val="0000FF"/>
            <w:sz w:val="24"/>
            <w:szCs w:val="24"/>
            <w:u w:val="single"/>
          </w:rPr>
          <w:t>angela.obrien@occ.ohio.gov</w:t>
        </w:r>
      </w:hyperlink>
    </w:p>
    <w:p w:rsidR="00743BBD" w:rsidRPr="00FE3082" w:rsidP="00743BBD" w14:paraId="1817B141" w14:textId="77777777">
      <w:pPr>
        <w:suppressLineNumbers/>
        <w:ind w:left="4320"/>
        <w:rPr>
          <w:color w:val="0000FF"/>
          <w:sz w:val="24"/>
          <w:szCs w:val="24"/>
        </w:rPr>
      </w:pPr>
      <w:hyperlink r:id="rId7" w:history="1">
        <w:r w:rsidRPr="00FE3082" w:rsidR="00FB2905">
          <w:rPr>
            <w:rFonts w:eastAsia="Calibri"/>
            <w:color w:val="0000FF"/>
            <w:sz w:val="24"/>
            <w:szCs w:val="24"/>
            <w:u w:val="single"/>
          </w:rPr>
          <w:t>connor.semple@occ.ohio.gov</w:t>
        </w:r>
      </w:hyperlink>
    </w:p>
    <w:p w:rsidR="00743BBD" w:rsidRPr="00FE3082" w:rsidP="00743BBD" w14:paraId="5FF7D6AA" w14:textId="77777777">
      <w:pPr>
        <w:ind w:firstLine="4320"/>
        <w:rPr>
          <w:sz w:val="24"/>
          <w:szCs w:val="24"/>
        </w:rPr>
      </w:pPr>
      <w:r w:rsidRPr="00FE3082">
        <w:rPr>
          <w:sz w:val="24"/>
          <w:szCs w:val="24"/>
        </w:rPr>
        <w:t>(willing to accept service by e-mail)</w:t>
      </w:r>
    </w:p>
    <w:p w:rsidR="000830FF" w:rsidP="00976009" w14:paraId="1FE4FBF2" w14:textId="77777777">
      <w:pPr>
        <w:pStyle w:val="Footer"/>
        <w:tabs>
          <w:tab w:val="left" w:pos="4320"/>
          <w:tab w:val="clear" w:pos="8640"/>
        </w:tabs>
        <w:jc w:val="center"/>
        <w:rPr>
          <w:b/>
          <w:sz w:val="24"/>
          <w:szCs w:val="24"/>
          <w:u w:val="single"/>
        </w:rPr>
      </w:pPr>
    </w:p>
    <w:p w:rsidR="000830FF" w:rsidP="00976009" w14:paraId="256523F7" w14:textId="77777777">
      <w:pPr>
        <w:pStyle w:val="Footer"/>
        <w:tabs>
          <w:tab w:val="left" w:pos="4320"/>
          <w:tab w:val="clear" w:pos="8640"/>
        </w:tabs>
        <w:jc w:val="center"/>
        <w:rPr>
          <w:b/>
          <w:sz w:val="24"/>
          <w:szCs w:val="24"/>
          <w:u w:val="single"/>
        </w:rPr>
      </w:pPr>
    </w:p>
    <w:p w:rsidR="000830FF" w14:paraId="56E5CB51" w14:textId="77777777">
      <w:pPr>
        <w:rPr>
          <w:b/>
          <w:sz w:val="24"/>
          <w:szCs w:val="24"/>
          <w:u w:val="single"/>
        </w:rPr>
      </w:pPr>
      <w:r>
        <w:rPr>
          <w:b/>
          <w:sz w:val="24"/>
          <w:szCs w:val="24"/>
          <w:u w:val="single"/>
        </w:rPr>
        <w:br w:type="page"/>
      </w:r>
    </w:p>
    <w:p w:rsidR="001A22D5" w:rsidRPr="00FE3082" w:rsidP="00976009" w14:paraId="503125BE" w14:textId="387E0DD7">
      <w:pPr>
        <w:pStyle w:val="Footer"/>
        <w:tabs>
          <w:tab w:val="left" w:pos="4320"/>
          <w:tab w:val="clear" w:pos="8640"/>
        </w:tabs>
        <w:jc w:val="center"/>
        <w:rPr>
          <w:sz w:val="24"/>
          <w:szCs w:val="24"/>
        </w:rPr>
      </w:pPr>
      <w:r w:rsidRPr="00FE3082">
        <w:rPr>
          <w:b/>
          <w:sz w:val="24"/>
          <w:szCs w:val="24"/>
          <w:u w:val="single"/>
        </w:rPr>
        <w:t>CERTIFICATE OF SERVICE</w:t>
      </w:r>
    </w:p>
    <w:p w:rsidR="001A22D5" w:rsidRPr="00FE3082" w14:paraId="0881CAAF" w14:textId="77777777">
      <w:pPr>
        <w:autoSpaceDE w:val="0"/>
        <w:autoSpaceDN w:val="0"/>
        <w:adjustRightInd w:val="0"/>
        <w:ind w:firstLine="4320"/>
        <w:jc w:val="center"/>
        <w:rPr>
          <w:sz w:val="24"/>
          <w:szCs w:val="24"/>
          <w:u w:val="single"/>
        </w:rPr>
      </w:pPr>
    </w:p>
    <w:p w:rsidR="001A22D5" w:rsidRPr="00FE3082" w:rsidP="007124AF" w14:paraId="5902395E" w14:textId="7C9E95D8">
      <w:pPr>
        <w:pStyle w:val="Heading3"/>
        <w:spacing w:before="0" w:after="0" w:line="480" w:lineRule="auto"/>
        <w:ind w:firstLine="720"/>
        <w:rPr>
          <w:rFonts w:ascii="Times New Roman" w:hAnsi="Times New Roman" w:cs="Times New Roman"/>
          <w:b w:val="0"/>
          <w:sz w:val="24"/>
          <w:szCs w:val="24"/>
        </w:rPr>
      </w:pPr>
      <w:r w:rsidRPr="00FE3082">
        <w:rPr>
          <w:rFonts w:ascii="Times New Roman" w:hAnsi="Times New Roman" w:cs="Times New Roman"/>
          <w:b w:val="0"/>
          <w:sz w:val="24"/>
          <w:szCs w:val="24"/>
        </w:rPr>
        <w:t xml:space="preserve">I hereby certify that a copy of the foregoing </w:t>
      </w:r>
      <w:r w:rsidRPr="008B4A25" w:rsidR="008B4A25">
        <w:rPr>
          <w:rFonts w:ascii="Times New Roman" w:hAnsi="Times New Roman" w:cs="Times New Roman"/>
          <w:b w:val="0"/>
          <w:sz w:val="24"/>
          <w:szCs w:val="24"/>
        </w:rPr>
        <w:t>Memorandum Contra the PUCO Staff’s Motion for Extension of the Deadline for Filing the Audit Report</w:t>
      </w:r>
      <w:r w:rsidR="008B4A25">
        <w:rPr>
          <w:rFonts w:ascii="Times New Roman" w:hAnsi="Times New Roman" w:cs="Times New Roman"/>
          <w:b w:val="0"/>
          <w:sz w:val="24"/>
          <w:szCs w:val="24"/>
        </w:rPr>
        <w:t xml:space="preserve"> </w:t>
      </w:r>
      <w:r w:rsidRPr="00FE3082">
        <w:rPr>
          <w:rFonts w:ascii="Times New Roman" w:hAnsi="Times New Roman" w:cs="Times New Roman"/>
          <w:b w:val="0"/>
          <w:sz w:val="24"/>
          <w:szCs w:val="24"/>
        </w:rPr>
        <w:t xml:space="preserve">was served via </w:t>
      </w:r>
      <w:r w:rsidRPr="00FE3082" w:rsidR="00C9673A">
        <w:rPr>
          <w:rFonts w:ascii="Times New Roman" w:hAnsi="Times New Roman" w:cs="Times New Roman"/>
          <w:b w:val="0"/>
          <w:sz w:val="24"/>
          <w:szCs w:val="24"/>
        </w:rPr>
        <w:t>electronic transmission</w:t>
      </w:r>
      <w:r w:rsidRPr="00FE3082">
        <w:rPr>
          <w:rFonts w:ascii="Times New Roman" w:hAnsi="Times New Roman" w:cs="Times New Roman"/>
          <w:b w:val="0"/>
          <w:sz w:val="24"/>
          <w:szCs w:val="24"/>
        </w:rPr>
        <w:t xml:space="preserve"> upon the parties this </w:t>
      </w:r>
      <w:r w:rsidRPr="00FE3082" w:rsidR="002F570C">
        <w:rPr>
          <w:rFonts w:ascii="Times New Roman" w:hAnsi="Times New Roman" w:cs="Times New Roman"/>
          <w:b w:val="0"/>
          <w:sz w:val="24"/>
          <w:szCs w:val="24"/>
        </w:rPr>
        <w:t>4</w:t>
      </w:r>
      <w:r w:rsidRPr="00FE3082" w:rsidR="009242A1">
        <w:rPr>
          <w:rFonts w:ascii="Times New Roman" w:hAnsi="Times New Roman" w:cs="Times New Roman"/>
          <w:b w:val="0"/>
          <w:sz w:val="24"/>
          <w:szCs w:val="24"/>
          <w:vertAlign w:val="superscript"/>
        </w:rPr>
        <w:t>th</w:t>
      </w:r>
      <w:r w:rsidRPr="00FE3082" w:rsidR="009242A1">
        <w:rPr>
          <w:rFonts w:ascii="Times New Roman" w:hAnsi="Times New Roman" w:cs="Times New Roman"/>
          <w:b w:val="0"/>
          <w:sz w:val="24"/>
          <w:szCs w:val="24"/>
        </w:rPr>
        <w:t xml:space="preserve"> </w:t>
      </w:r>
      <w:r w:rsidRPr="00FE3082">
        <w:rPr>
          <w:rFonts w:ascii="Times New Roman" w:hAnsi="Times New Roman" w:cs="Times New Roman"/>
          <w:b w:val="0"/>
          <w:sz w:val="24"/>
          <w:szCs w:val="24"/>
        </w:rPr>
        <w:t xml:space="preserve">day of </w:t>
      </w:r>
      <w:r w:rsidRPr="00FE3082" w:rsidR="002F570C">
        <w:rPr>
          <w:rFonts w:ascii="Times New Roman" w:hAnsi="Times New Roman" w:cs="Times New Roman"/>
          <w:b w:val="0"/>
          <w:sz w:val="24"/>
          <w:szCs w:val="24"/>
        </w:rPr>
        <w:t>April</w:t>
      </w:r>
      <w:r w:rsidRPr="00FE3082" w:rsidR="000D2679">
        <w:rPr>
          <w:rFonts w:ascii="Times New Roman" w:hAnsi="Times New Roman" w:cs="Times New Roman"/>
          <w:b w:val="0"/>
          <w:sz w:val="24"/>
          <w:szCs w:val="24"/>
        </w:rPr>
        <w:t xml:space="preserve"> 2023</w:t>
      </w:r>
      <w:r w:rsidRPr="00FE3082">
        <w:rPr>
          <w:rFonts w:ascii="Times New Roman" w:hAnsi="Times New Roman" w:cs="Times New Roman"/>
          <w:b w:val="0"/>
          <w:sz w:val="24"/>
          <w:szCs w:val="24"/>
        </w:rPr>
        <w:t xml:space="preserve">. </w:t>
      </w:r>
    </w:p>
    <w:p w:rsidR="001A22D5" w:rsidRPr="00FE3082" w14:paraId="455FAFC7" w14:textId="03AD2493">
      <w:pPr>
        <w:tabs>
          <w:tab w:val="left" w:pos="4320"/>
        </w:tabs>
        <w:rPr>
          <w:i/>
          <w:iCs/>
          <w:sz w:val="24"/>
          <w:szCs w:val="24"/>
          <w:u w:val="single"/>
        </w:rPr>
      </w:pPr>
      <w:r w:rsidRPr="00FE3082">
        <w:rPr>
          <w:sz w:val="24"/>
          <w:szCs w:val="24"/>
        </w:rPr>
        <w:tab/>
      </w:r>
      <w:r w:rsidRPr="00FE3082" w:rsidR="00942911">
        <w:rPr>
          <w:i/>
          <w:iCs/>
          <w:sz w:val="24"/>
          <w:szCs w:val="24"/>
          <w:u w:val="single"/>
        </w:rPr>
        <w:t xml:space="preserve">/s/ </w:t>
      </w:r>
      <w:r w:rsidRPr="00FE3082" w:rsidR="00B21792">
        <w:rPr>
          <w:i/>
          <w:iCs/>
          <w:sz w:val="24"/>
          <w:szCs w:val="24"/>
          <w:u w:val="single"/>
        </w:rPr>
        <w:t>Angela D. O’Brien</w:t>
      </w:r>
      <w:r w:rsidRPr="00FE3082" w:rsidR="00942911">
        <w:rPr>
          <w:i/>
          <w:iCs/>
          <w:sz w:val="24"/>
          <w:szCs w:val="24"/>
          <w:u w:val="single"/>
        </w:rPr>
        <w:t xml:space="preserve"> </w:t>
      </w:r>
    </w:p>
    <w:p w:rsidR="001A22D5" w:rsidRPr="00FE3082" w14:paraId="02E73CF7" w14:textId="38F7A91A">
      <w:pPr>
        <w:tabs>
          <w:tab w:val="left" w:pos="4320"/>
        </w:tabs>
        <w:rPr>
          <w:sz w:val="24"/>
          <w:szCs w:val="24"/>
        </w:rPr>
      </w:pPr>
      <w:r w:rsidRPr="00FE3082">
        <w:rPr>
          <w:sz w:val="24"/>
          <w:szCs w:val="24"/>
        </w:rPr>
        <w:tab/>
      </w:r>
      <w:r w:rsidRPr="00FE3082" w:rsidR="00B21792">
        <w:rPr>
          <w:sz w:val="24"/>
          <w:szCs w:val="24"/>
        </w:rPr>
        <w:t>Angela D. O’Brien</w:t>
      </w:r>
    </w:p>
    <w:p w:rsidR="001A22D5" w:rsidRPr="00FE3082" w14:paraId="7C1A70C5" w14:textId="77777777">
      <w:pPr>
        <w:tabs>
          <w:tab w:val="left" w:pos="4320"/>
        </w:tabs>
        <w:rPr>
          <w:sz w:val="24"/>
          <w:szCs w:val="24"/>
        </w:rPr>
      </w:pPr>
      <w:r w:rsidRPr="00FE3082">
        <w:rPr>
          <w:sz w:val="24"/>
          <w:szCs w:val="24"/>
        </w:rPr>
        <w:tab/>
        <w:t>Assistant Consumers’ Counsel</w:t>
      </w:r>
    </w:p>
    <w:p w:rsidR="00EC0DC2" w:rsidRPr="00FE3082" w14:paraId="1D6539BF" w14:textId="77777777">
      <w:pPr>
        <w:tabs>
          <w:tab w:val="left" w:pos="4320"/>
        </w:tabs>
        <w:rPr>
          <w:sz w:val="24"/>
          <w:szCs w:val="24"/>
        </w:rPr>
      </w:pPr>
    </w:p>
    <w:p w:rsidR="00EC0DC2" w:rsidRPr="00FE3082" w:rsidP="00EC0DC2" w14:paraId="4F650876" w14:textId="77777777">
      <w:pPr>
        <w:pStyle w:val="CommentText"/>
        <w:rPr>
          <w:sz w:val="24"/>
          <w:szCs w:val="24"/>
        </w:rPr>
      </w:pPr>
      <w:r w:rsidRPr="00FE3082">
        <w:rPr>
          <w:sz w:val="24"/>
          <w:szCs w:val="24"/>
        </w:rPr>
        <w:t>The PUCO’s e-filing system will electronically serve notice of the filing of this document on the following parties:</w:t>
      </w:r>
    </w:p>
    <w:p w:rsidR="007B207E" w:rsidRPr="00FE3082" w:rsidP="007B207E" w14:paraId="0A08AB01" w14:textId="77777777">
      <w:pPr>
        <w:pStyle w:val="CommentText"/>
        <w:rPr>
          <w:b/>
          <w:sz w:val="24"/>
          <w:szCs w:val="24"/>
          <w:u w:val="single"/>
        </w:rPr>
      </w:pPr>
    </w:p>
    <w:p w:rsidR="001A22D5" w14:paraId="365909BF" w14:textId="753E2912">
      <w:pPr>
        <w:pStyle w:val="CommentText"/>
        <w:jc w:val="center"/>
        <w:rPr>
          <w:b/>
          <w:sz w:val="24"/>
          <w:szCs w:val="24"/>
          <w:u w:val="single"/>
        </w:rPr>
      </w:pPr>
      <w:r w:rsidRPr="00FE3082">
        <w:rPr>
          <w:b/>
          <w:sz w:val="24"/>
          <w:szCs w:val="24"/>
          <w:u w:val="single"/>
        </w:rPr>
        <w:t>SERVICE LIST</w:t>
      </w:r>
    </w:p>
    <w:p w:rsidR="00C66DE6" w:rsidRPr="00FE3082" w14:paraId="6CBA921F" w14:textId="77777777">
      <w:pPr>
        <w:pStyle w:val="CommentText"/>
        <w:jc w:val="center"/>
        <w:rPr>
          <w:b/>
          <w:sz w:val="24"/>
          <w:szCs w:val="24"/>
          <w:u w:val="single"/>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132F26AE" w14:textId="77777777" w:rsidTr="00880B59">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C66DE6" w:rsidP="00880B59" w14:paraId="4E4DFEF1" w14:textId="46524F14">
            <w:pPr>
              <w:rPr>
                <w:rStyle w:val="Hyperlink"/>
                <w:bCs/>
                <w:sz w:val="24"/>
                <w:szCs w:val="24"/>
              </w:rPr>
            </w:pPr>
            <w:hyperlink r:id="rId8" w:history="1">
              <w:r w:rsidRPr="004B3EE2">
                <w:rPr>
                  <w:rStyle w:val="Hyperlink"/>
                  <w:bCs/>
                  <w:sz w:val="24"/>
                  <w:szCs w:val="24"/>
                </w:rPr>
                <w:t>rhiannon.howard@ohio</w:t>
              </w:r>
              <w:r w:rsidR="00664935">
                <w:rPr>
                  <w:rStyle w:val="Hyperlink"/>
                  <w:bCs/>
                  <w:sz w:val="24"/>
                  <w:szCs w:val="24"/>
                </w:rPr>
                <w:t>AGO</w:t>
              </w:r>
              <w:r w:rsidRPr="004B3EE2">
                <w:rPr>
                  <w:rStyle w:val="Hyperlink"/>
                  <w:bCs/>
                  <w:sz w:val="24"/>
                  <w:szCs w:val="24"/>
                </w:rPr>
                <w:t>.gov</w:t>
              </w:r>
            </w:hyperlink>
          </w:p>
          <w:p w:rsidR="00396355" w:rsidP="00880B59" w14:paraId="19DE1E67" w14:textId="3C9FCF38">
            <w:pPr>
              <w:rPr>
                <w:rStyle w:val="Hyperlink"/>
                <w:bCs/>
                <w:sz w:val="24"/>
                <w:szCs w:val="24"/>
              </w:rPr>
            </w:pPr>
            <w:hyperlink r:id="rId9" w:history="1">
              <w:r w:rsidRPr="007E5B1F">
                <w:rPr>
                  <w:rStyle w:val="Hyperlink"/>
                  <w:bCs/>
                  <w:sz w:val="24"/>
                  <w:szCs w:val="24"/>
                </w:rPr>
                <w:t>amy.obrien@ohioAGO.gov</w:t>
              </w:r>
            </w:hyperlink>
          </w:p>
          <w:p w:rsidR="00C66DE6" w:rsidP="00880B59" w14:paraId="213A3467" w14:textId="77777777">
            <w:pPr>
              <w:rPr>
                <w:bCs/>
                <w:sz w:val="24"/>
                <w:szCs w:val="24"/>
              </w:rPr>
            </w:pPr>
            <w:hyperlink r:id="rId10" w:history="1">
              <w:r w:rsidRPr="004B3EE2">
                <w:rPr>
                  <w:rStyle w:val="Hyperlink"/>
                  <w:bCs/>
                  <w:sz w:val="24"/>
                  <w:szCs w:val="24"/>
                </w:rPr>
                <w:t>bojko@carpenterlipps.com</w:t>
              </w:r>
            </w:hyperlink>
          </w:p>
          <w:p w:rsidR="00C66DE6" w:rsidP="00880B59" w14:paraId="50F90685" w14:textId="77777777">
            <w:pPr>
              <w:rPr>
                <w:bCs/>
                <w:sz w:val="24"/>
                <w:szCs w:val="24"/>
              </w:rPr>
            </w:pPr>
            <w:hyperlink r:id="rId11" w:history="1">
              <w:r w:rsidRPr="004B3EE2">
                <w:rPr>
                  <w:rStyle w:val="Hyperlink"/>
                  <w:bCs/>
                  <w:sz w:val="24"/>
                  <w:szCs w:val="24"/>
                </w:rPr>
                <w:t>wygonski@carpenterlipps.com</w:t>
              </w:r>
            </w:hyperlink>
          </w:p>
          <w:p w:rsidR="00C66DE6" w:rsidRPr="00120DF4" w:rsidP="00880B59" w14:paraId="7C7BF182" w14:textId="77777777">
            <w:pPr>
              <w:rPr>
                <w:bCs/>
                <w:sz w:val="24"/>
                <w:szCs w:val="24"/>
              </w:rPr>
            </w:pPr>
          </w:p>
          <w:p w:rsidR="00C66DE6" w:rsidRPr="00120DF4" w:rsidP="00880B59" w14:paraId="39ECF639" w14:textId="77777777">
            <w:pPr>
              <w:rPr>
                <w:bCs/>
                <w:sz w:val="24"/>
                <w:szCs w:val="24"/>
              </w:rPr>
            </w:pPr>
            <w:r w:rsidRPr="00120DF4">
              <w:rPr>
                <w:bCs/>
                <w:sz w:val="24"/>
                <w:szCs w:val="24"/>
              </w:rPr>
              <w:t>Attorney Examiners:</w:t>
            </w:r>
          </w:p>
          <w:p w:rsidR="00C66DE6" w:rsidRPr="00120DF4" w:rsidP="00880B59" w14:paraId="52AEB50F" w14:textId="77777777">
            <w:pPr>
              <w:rPr>
                <w:bCs/>
                <w:sz w:val="24"/>
                <w:szCs w:val="24"/>
              </w:rPr>
            </w:pPr>
            <w:hyperlink r:id="rId12" w:history="1">
              <w:r w:rsidRPr="00120DF4">
                <w:rPr>
                  <w:bCs/>
                  <w:color w:val="0000FF"/>
                  <w:sz w:val="24"/>
                  <w:szCs w:val="24"/>
                  <w:u w:val="single"/>
                </w:rPr>
                <w:t>megan.addison@puco.ohio.gov</w:t>
              </w:r>
            </w:hyperlink>
          </w:p>
          <w:p w:rsidR="00C66DE6" w:rsidRPr="00120DF4" w:rsidP="00880B59" w14:paraId="1364DDD0" w14:textId="77777777">
            <w:pPr>
              <w:rPr>
                <w:bCs/>
                <w:sz w:val="24"/>
                <w:szCs w:val="24"/>
              </w:rPr>
            </w:pPr>
            <w:hyperlink r:id="rId13" w:history="1">
              <w:r w:rsidRPr="00120DF4">
                <w:rPr>
                  <w:bCs/>
                  <w:color w:val="0000FF"/>
                  <w:sz w:val="24"/>
                  <w:szCs w:val="24"/>
                  <w:u w:val="single"/>
                </w:rPr>
                <w:t>greg.price@puco.ohio.gov</w:t>
              </w:r>
            </w:hyperlink>
          </w:p>
          <w:p w:rsidR="00C66DE6" w:rsidRPr="00120DF4" w:rsidP="00880B59" w14:paraId="1F9E347B" w14:textId="77777777">
            <w:pPr>
              <w:rPr>
                <w:bCs/>
                <w:sz w:val="24"/>
                <w:szCs w:val="24"/>
              </w:rPr>
            </w:pPr>
            <w:hyperlink r:id="rId14" w:history="1">
              <w:r w:rsidRPr="00120DF4">
                <w:rPr>
                  <w:bCs/>
                  <w:color w:val="0000FF"/>
                  <w:sz w:val="24"/>
                  <w:szCs w:val="24"/>
                  <w:u w:val="single"/>
                </w:rPr>
                <w:t>jacqueline.st.john@puco.ohio.gov</w:t>
              </w:r>
            </w:hyperlink>
          </w:p>
          <w:p w:rsidR="00C66DE6" w:rsidRPr="00120DF4" w:rsidP="00880B59" w14:paraId="135003D7" w14:textId="77777777">
            <w:pPr>
              <w:rPr>
                <w:bCs/>
                <w:sz w:val="24"/>
                <w:szCs w:val="24"/>
              </w:rPr>
            </w:pPr>
          </w:p>
        </w:tc>
        <w:tc>
          <w:tcPr>
            <w:tcW w:w="4315" w:type="dxa"/>
          </w:tcPr>
          <w:p w:rsidR="00C66DE6" w:rsidRPr="00120DF4" w:rsidP="00880B59" w14:paraId="7FB00892" w14:textId="77777777">
            <w:pPr>
              <w:ind w:left="251"/>
              <w:rPr>
                <w:sz w:val="24"/>
                <w:szCs w:val="24"/>
              </w:rPr>
            </w:pPr>
            <w:hyperlink r:id="rId15" w:history="1">
              <w:r w:rsidRPr="00120DF4">
                <w:rPr>
                  <w:color w:val="0000FF"/>
                  <w:sz w:val="24"/>
                  <w:szCs w:val="24"/>
                  <w:u w:val="single"/>
                </w:rPr>
                <w:t>kfling@firstenergycorp.com</w:t>
              </w:r>
            </w:hyperlink>
          </w:p>
          <w:p w:rsidR="00C66DE6" w:rsidRPr="00120DF4" w:rsidP="00880B59" w14:paraId="1F45D575" w14:textId="77777777">
            <w:pPr>
              <w:ind w:left="720" w:hanging="469"/>
              <w:rPr>
                <w:sz w:val="24"/>
                <w:szCs w:val="24"/>
              </w:rPr>
            </w:pPr>
            <w:hyperlink r:id="rId16" w:history="1">
              <w:r w:rsidRPr="00120DF4">
                <w:rPr>
                  <w:color w:val="0000FF"/>
                  <w:sz w:val="24"/>
                  <w:szCs w:val="24"/>
                  <w:u w:val="single"/>
                </w:rPr>
                <w:t>mkurtz@BKLlawfirm.com</w:t>
              </w:r>
            </w:hyperlink>
          </w:p>
          <w:p w:rsidR="00C66DE6" w:rsidRPr="00120DF4" w:rsidP="00880B59" w14:paraId="551AAC44" w14:textId="77777777">
            <w:pPr>
              <w:ind w:left="251"/>
              <w:rPr>
                <w:sz w:val="24"/>
                <w:szCs w:val="24"/>
              </w:rPr>
            </w:pPr>
            <w:hyperlink r:id="rId17" w:history="1">
              <w:r w:rsidRPr="00120DF4">
                <w:rPr>
                  <w:color w:val="0000FF"/>
                  <w:sz w:val="24"/>
                  <w:szCs w:val="24"/>
                  <w:u w:val="single"/>
                </w:rPr>
                <w:t>kboehm@BKLlawfirm.com</w:t>
              </w:r>
            </w:hyperlink>
          </w:p>
          <w:p w:rsidR="00C66DE6" w:rsidRPr="00120DF4" w:rsidP="00880B59" w14:paraId="7B4F8078" w14:textId="77777777">
            <w:pPr>
              <w:ind w:left="251"/>
              <w:rPr>
                <w:sz w:val="24"/>
                <w:szCs w:val="24"/>
              </w:rPr>
            </w:pPr>
            <w:hyperlink r:id="rId18" w:history="1">
              <w:r w:rsidRPr="00120DF4">
                <w:rPr>
                  <w:color w:val="0000FF"/>
                  <w:sz w:val="24"/>
                  <w:szCs w:val="24"/>
                  <w:u w:val="single"/>
                </w:rPr>
                <w:t>jkylercohn@BKLlawfirm.com</w:t>
              </w:r>
            </w:hyperlink>
          </w:p>
          <w:p w:rsidR="00C66DE6" w:rsidRPr="00120DF4" w:rsidP="00880B59" w14:paraId="34007EA5" w14:textId="77777777">
            <w:pPr>
              <w:ind w:left="251"/>
              <w:rPr>
                <w:sz w:val="24"/>
                <w:szCs w:val="24"/>
              </w:rPr>
            </w:pPr>
            <w:hyperlink r:id="rId19" w:history="1">
              <w:r w:rsidRPr="00120DF4">
                <w:rPr>
                  <w:color w:val="0000FF"/>
                  <w:sz w:val="24"/>
                  <w:szCs w:val="24"/>
                  <w:u w:val="single"/>
                </w:rPr>
                <w:t>stacie.cathcart@igs.com</w:t>
              </w:r>
            </w:hyperlink>
          </w:p>
          <w:p w:rsidR="00C66DE6" w:rsidRPr="00120DF4" w:rsidP="00880B59" w14:paraId="12074DF2" w14:textId="77777777">
            <w:pPr>
              <w:ind w:left="251"/>
              <w:rPr>
                <w:sz w:val="24"/>
                <w:szCs w:val="24"/>
              </w:rPr>
            </w:pPr>
            <w:hyperlink r:id="rId20" w:history="1">
              <w:r w:rsidRPr="00120DF4">
                <w:rPr>
                  <w:color w:val="0000FF"/>
                  <w:sz w:val="24"/>
                  <w:szCs w:val="24"/>
                  <w:u w:val="single"/>
                </w:rPr>
                <w:t>evan.betterton@igs.com</w:t>
              </w:r>
            </w:hyperlink>
          </w:p>
          <w:p w:rsidR="00C66DE6" w:rsidP="00880B59" w14:paraId="3D45F3C3" w14:textId="77777777">
            <w:pPr>
              <w:ind w:left="251"/>
              <w:rPr>
                <w:color w:val="0000FF"/>
                <w:sz w:val="24"/>
                <w:szCs w:val="24"/>
                <w:u w:val="single"/>
              </w:rPr>
            </w:pPr>
            <w:hyperlink r:id="rId21" w:history="1">
              <w:r w:rsidRPr="00120DF4">
                <w:rPr>
                  <w:color w:val="0000FF"/>
                  <w:sz w:val="24"/>
                  <w:szCs w:val="24"/>
                  <w:u w:val="single"/>
                </w:rPr>
                <w:t>michael.nugent@igs.com</w:t>
              </w:r>
            </w:hyperlink>
          </w:p>
          <w:p w:rsidR="00C66DE6" w:rsidP="00880B59" w14:paraId="3FA5582E" w14:textId="77777777">
            <w:pPr>
              <w:ind w:left="251"/>
              <w:rPr>
                <w:sz w:val="24"/>
                <w:szCs w:val="24"/>
              </w:rPr>
            </w:pPr>
            <w:hyperlink r:id="rId22" w:history="1">
              <w:r w:rsidRPr="004B3EE2">
                <w:rPr>
                  <w:rStyle w:val="Hyperlink"/>
                  <w:sz w:val="24"/>
                  <w:szCs w:val="24"/>
                </w:rPr>
                <w:t>jrb@smxblaw.com</w:t>
              </w:r>
            </w:hyperlink>
          </w:p>
          <w:p w:rsidR="00C66DE6" w:rsidP="00880B59" w14:paraId="6F8549F7" w14:textId="77777777">
            <w:pPr>
              <w:ind w:left="251"/>
              <w:rPr>
                <w:rStyle w:val="Hyperlink"/>
                <w:sz w:val="24"/>
                <w:szCs w:val="24"/>
              </w:rPr>
            </w:pPr>
            <w:hyperlink r:id="rId23" w:history="1">
              <w:r w:rsidRPr="004B3EE2">
                <w:rPr>
                  <w:rStyle w:val="Hyperlink"/>
                  <w:sz w:val="24"/>
                  <w:szCs w:val="24"/>
                </w:rPr>
                <w:t>mkl@smxblaw.com</w:t>
              </w:r>
            </w:hyperlink>
          </w:p>
          <w:p w:rsidR="00A71A59" w:rsidP="00880B59" w14:paraId="783F6D3F" w14:textId="6D889EAC">
            <w:pPr>
              <w:ind w:left="251"/>
              <w:rPr>
                <w:sz w:val="24"/>
                <w:szCs w:val="24"/>
              </w:rPr>
            </w:pPr>
            <w:hyperlink r:id="rId24" w:history="1">
              <w:r w:rsidRPr="00C14018">
                <w:rPr>
                  <w:rStyle w:val="Hyperlink"/>
                  <w:sz w:val="24"/>
                  <w:szCs w:val="24"/>
                </w:rPr>
                <w:t>dproano@bakerlaw.com</w:t>
              </w:r>
            </w:hyperlink>
          </w:p>
          <w:p w:rsidR="00A71A59" w:rsidP="00880B59" w14:paraId="1E4CBFCF" w14:textId="70A9E359">
            <w:pPr>
              <w:ind w:left="251"/>
              <w:rPr>
                <w:sz w:val="24"/>
                <w:szCs w:val="24"/>
              </w:rPr>
            </w:pPr>
            <w:hyperlink r:id="rId25" w:history="1">
              <w:r w:rsidRPr="00C14018">
                <w:rPr>
                  <w:rStyle w:val="Hyperlink"/>
                  <w:sz w:val="24"/>
                  <w:szCs w:val="24"/>
                </w:rPr>
                <w:t>ahaque@bakerlaw.com</w:t>
              </w:r>
            </w:hyperlink>
          </w:p>
          <w:p w:rsidR="00A71A59" w:rsidP="00880B59" w14:paraId="3149F087" w14:textId="497506F9">
            <w:pPr>
              <w:ind w:left="251"/>
              <w:rPr>
                <w:sz w:val="24"/>
                <w:szCs w:val="24"/>
              </w:rPr>
            </w:pPr>
            <w:hyperlink r:id="rId26" w:history="1">
              <w:r w:rsidRPr="00C14018">
                <w:rPr>
                  <w:rStyle w:val="Hyperlink"/>
                  <w:sz w:val="24"/>
                  <w:szCs w:val="24"/>
                </w:rPr>
                <w:t>eprouty@bakerlaw.com</w:t>
              </w:r>
            </w:hyperlink>
          </w:p>
          <w:p w:rsidR="00A71A59" w:rsidRPr="00120DF4" w:rsidP="00880B59" w14:paraId="4534BC78" w14:textId="1EF4D2DB">
            <w:pPr>
              <w:ind w:left="251"/>
              <w:rPr>
                <w:sz w:val="24"/>
                <w:szCs w:val="24"/>
              </w:rPr>
            </w:pPr>
          </w:p>
        </w:tc>
      </w:tr>
    </w:tbl>
    <w:p w:rsidR="001A22D5" w:rsidRPr="00FE3082" w14:paraId="10D7AE58" w14:textId="4DC10A44">
      <w:pPr>
        <w:pStyle w:val="CommentText"/>
        <w:jc w:val="center"/>
        <w:rPr>
          <w:b/>
          <w:sz w:val="24"/>
          <w:szCs w:val="24"/>
          <w:u w:val="single"/>
        </w:rPr>
      </w:pPr>
    </w:p>
    <w:sectPr w:rsidSect="00D27759">
      <w:footerReference w:type="default" r:id="rId27"/>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0141841"/>
      <w:docPartObj>
        <w:docPartGallery w:val="Page Numbers (Bottom of Page)"/>
        <w:docPartUnique/>
      </w:docPartObj>
    </w:sdtPr>
    <w:sdtEndPr>
      <w:rPr>
        <w:noProof/>
      </w:rPr>
    </w:sdtEndPr>
    <w:sdtContent>
      <w:p w:rsidR="00D27759" w14:paraId="5E25F629" w14:textId="55915213">
        <w:pPr>
          <w:pStyle w:val="Footer"/>
          <w:jc w:val="center"/>
        </w:pPr>
        <w:r w:rsidRPr="00D27759">
          <w:rPr>
            <w:sz w:val="24"/>
            <w:szCs w:val="24"/>
          </w:rPr>
          <w:fldChar w:fldCharType="begin"/>
        </w:r>
        <w:r w:rsidRPr="00D27759">
          <w:rPr>
            <w:sz w:val="24"/>
            <w:szCs w:val="24"/>
          </w:rPr>
          <w:instrText xml:space="preserve"> PAGE   \* MERGEFORMAT </w:instrText>
        </w:r>
        <w:r w:rsidRPr="00D27759">
          <w:rPr>
            <w:sz w:val="24"/>
            <w:szCs w:val="24"/>
          </w:rPr>
          <w:fldChar w:fldCharType="separate"/>
        </w:r>
        <w:r w:rsidRPr="00D27759">
          <w:rPr>
            <w:noProof/>
            <w:sz w:val="24"/>
            <w:szCs w:val="24"/>
          </w:rPr>
          <w:t>2</w:t>
        </w:r>
        <w:r w:rsidRPr="00D2775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179EB" w14:paraId="6C6A8B79" w14:textId="77777777">
      <w:r>
        <w:separator/>
      </w:r>
    </w:p>
  </w:footnote>
  <w:footnote w:type="continuationSeparator" w:id="1">
    <w:p w:rsidR="003179EB" w14:paraId="0CA12E1A" w14:textId="77777777">
      <w:r>
        <w:continuationSeparator/>
      </w:r>
    </w:p>
  </w:footnote>
  <w:footnote w:id="2">
    <w:p w:rsidR="00BC2523" w:rsidP="002B70CE" w14:paraId="4CE6F053" w14:textId="5846CCB9">
      <w:pPr>
        <w:pStyle w:val="FootnoteText"/>
        <w:spacing w:after="120"/>
      </w:pPr>
      <w:r>
        <w:rPr>
          <w:rStyle w:val="FootnoteReference"/>
        </w:rPr>
        <w:footnoteRef/>
      </w:r>
      <w:r>
        <w:t xml:space="preserve"> </w:t>
      </w:r>
      <w:r>
        <w:rPr>
          <w:i/>
          <w:iCs/>
        </w:rPr>
        <w:t xml:space="preserve">See </w:t>
      </w:r>
      <w:r w:rsidRPr="00370510">
        <w:rPr>
          <w:i/>
          <w:iCs/>
        </w:rPr>
        <w:t xml:space="preserve">In re Ohio Edison Co., </w:t>
      </w:r>
      <w:r>
        <w:rPr>
          <w:i/>
          <w:iCs/>
        </w:rPr>
        <w:t>t</w:t>
      </w:r>
      <w:r w:rsidRPr="00370510">
        <w:rPr>
          <w:i/>
          <w:iCs/>
        </w:rPr>
        <w:t xml:space="preserve">he Cleveland Elec. Illum. Co., and </w:t>
      </w:r>
      <w:r>
        <w:rPr>
          <w:i/>
          <w:iCs/>
        </w:rPr>
        <w:t>t</w:t>
      </w:r>
      <w:r w:rsidRPr="00370510">
        <w:rPr>
          <w:i/>
          <w:iCs/>
        </w:rPr>
        <w:t>he Toledo Edison Co.</w:t>
      </w:r>
      <w:r>
        <w:t>, Case No. 14-1297-EL-SSO (“ESP IV Case”), Fifth Entry on Rehearing (October 12, 2016), at ¶ 310.</w:t>
      </w:r>
    </w:p>
  </w:footnote>
  <w:footnote w:id="3">
    <w:p w:rsidR="004C1CA6" w:rsidP="002B70CE" w14:paraId="060577B7" w14:textId="63083442">
      <w:pPr>
        <w:pStyle w:val="FootnoteText"/>
        <w:spacing w:after="120"/>
      </w:pPr>
      <w:r>
        <w:rPr>
          <w:rStyle w:val="FootnoteReference"/>
        </w:rPr>
        <w:footnoteRef/>
      </w:r>
      <w:r>
        <w:t xml:space="preserve"> Case No. 22-391-EL-RDR, PUCO Entry (April 20, 2022).</w:t>
      </w:r>
    </w:p>
  </w:footnote>
  <w:footnote w:id="4">
    <w:p w:rsidR="0068081C" w:rsidP="002B70CE" w14:paraId="518DA5A7" w14:textId="361AC45F">
      <w:pPr>
        <w:pStyle w:val="FootnoteText"/>
        <w:spacing w:after="120"/>
      </w:pPr>
      <w:r>
        <w:rPr>
          <w:rStyle w:val="FootnoteReference"/>
        </w:rPr>
        <w:footnoteRef/>
      </w:r>
      <w:r>
        <w:t xml:space="preserve"> PUCO Staff Motion at 3.</w:t>
      </w:r>
    </w:p>
  </w:footnote>
  <w:footnote w:id="5">
    <w:p w:rsidR="00631932" w:rsidP="002B70CE" w14:paraId="07F2E76E" w14:textId="4BCC6CF4">
      <w:pPr>
        <w:pStyle w:val="FootnoteText"/>
        <w:spacing w:after="120"/>
      </w:pPr>
      <w:r>
        <w:rPr>
          <w:rStyle w:val="FootnoteReference"/>
        </w:rPr>
        <w:footnoteRef/>
      </w:r>
      <w:r>
        <w:t xml:space="preserve"> Request for Proposal No. RFP RA22-TR-1 (Reissued by PUCO Entry (June 15, 2022</w:t>
      </w:r>
      <w:r w:rsidR="00ED3AAD">
        <w:t>)</w:t>
      </w:r>
      <w:r w:rsidR="00975FA0">
        <w:t>)</w:t>
      </w:r>
      <w:r>
        <w:t>, at 4.</w:t>
      </w:r>
    </w:p>
  </w:footnote>
  <w:footnote w:id="6">
    <w:p w:rsidR="00C71275" w:rsidP="002B70CE" w14:paraId="5A149600" w14:textId="50BA81A2">
      <w:pPr>
        <w:pStyle w:val="FootnoteText"/>
        <w:spacing w:after="120"/>
      </w:pPr>
      <w:r>
        <w:rPr>
          <w:rStyle w:val="FootnoteReference"/>
        </w:rPr>
        <w:footnoteRef/>
      </w:r>
      <w:r>
        <w:t xml:space="preserve"> </w:t>
      </w:r>
      <w:r w:rsidR="00354280">
        <w:t xml:space="preserve">IEU </w:t>
      </w:r>
      <w:r w:rsidR="00F02310">
        <w:t>has renamed itself as</w:t>
      </w:r>
      <w:r w:rsidR="00354280">
        <w:t xml:space="preserve"> </w:t>
      </w:r>
      <w:r>
        <w:t>OELC</w:t>
      </w:r>
      <w:r w:rsidR="00354280">
        <w:t>.</w:t>
      </w:r>
      <w:r>
        <w:t xml:space="preserve"> </w:t>
      </w:r>
    </w:p>
  </w:footnote>
  <w:footnote w:id="7">
    <w:p w:rsidR="00C535BD" w:rsidRPr="00370510" w:rsidP="002B70CE" w14:paraId="1F0ABB00" w14:textId="353AAF31">
      <w:pPr>
        <w:pStyle w:val="FootnoteText"/>
        <w:spacing w:after="120"/>
      </w:pPr>
      <w:r>
        <w:rPr>
          <w:rStyle w:val="FootnoteReference"/>
        </w:rPr>
        <w:footnoteRef/>
      </w:r>
      <w:r>
        <w:t xml:space="preserve"> </w:t>
      </w:r>
      <w:r w:rsidR="004C337D">
        <w:rPr>
          <w:i/>
          <w:iCs/>
        </w:rPr>
        <w:t xml:space="preserve">In the Matter of the Review of the Non-Market-Based Services Rider Contained in the Tariffs of Ohio Edison Company, </w:t>
      </w:r>
      <w:r w:rsidR="001F10FA">
        <w:rPr>
          <w:i/>
          <w:iCs/>
        </w:rPr>
        <w:t>t</w:t>
      </w:r>
      <w:r w:rsidR="004C337D">
        <w:rPr>
          <w:i/>
          <w:iCs/>
        </w:rPr>
        <w:t xml:space="preserve">he Cleveland Electric Illuminating Company, and </w:t>
      </w:r>
      <w:r w:rsidR="001F10FA">
        <w:rPr>
          <w:i/>
          <w:iCs/>
        </w:rPr>
        <w:t>t</w:t>
      </w:r>
      <w:r w:rsidR="004C337D">
        <w:rPr>
          <w:i/>
          <w:iCs/>
        </w:rPr>
        <w:t>he Toledo Edison Company</w:t>
      </w:r>
      <w:r w:rsidR="00024C4E">
        <w:t>, Case No. 23-51</w:t>
      </w:r>
      <w:r w:rsidRPr="00C75FDC" w:rsidR="00C75FDC">
        <w:t>-EL-RDR</w:t>
      </w:r>
      <w:r w:rsidR="00024C4E">
        <w:t xml:space="preserve">, Finding and Order (March 22, 2023), at ¶ 14; </w:t>
      </w:r>
      <w:r w:rsidR="00024C4E">
        <w:rPr>
          <w:i/>
          <w:iCs/>
        </w:rPr>
        <w:t xml:space="preserve">see also </w:t>
      </w:r>
      <w:r w:rsidR="00370510">
        <w:rPr>
          <w:i/>
          <w:iCs/>
        </w:rPr>
        <w:t>In the Matter of the Application of Ohio Power Company to Update its Basic Transmission Cost Rider</w:t>
      </w:r>
      <w:r w:rsidR="00370510">
        <w:t>, Case No. 23-57</w:t>
      </w:r>
      <w:r w:rsidRPr="000065ED" w:rsidR="000065ED">
        <w:t>-EL-RDR</w:t>
      </w:r>
      <w:r w:rsidR="00370510">
        <w:t>, Finding and Order (March 22, 2023), at ¶ 14.</w:t>
      </w:r>
    </w:p>
  </w:footnote>
  <w:footnote w:id="8">
    <w:p w:rsidR="00370510" w:rsidP="002B70CE" w14:paraId="789DB20D" w14:textId="202519BB">
      <w:pPr>
        <w:pStyle w:val="FootnoteText"/>
        <w:spacing w:after="120"/>
      </w:pPr>
      <w:r>
        <w:rPr>
          <w:rStyle w:val="FootnoteReference"/>
        </w:rPr>
        <w:footnoteRef/>
      </w:r>
      <w:r>
        <w:t xml:space="preserve"> </w:t>
      </w:r>
      <w:r w:rsidRPr="00370510">
        <w:rPr>
          <w:i/>
          <w:iCs/>
        </w:rPr>
        <w:t xml:space="preserve">In re Ohio Edison Co., </w:t>
      </w:r>
      <w:r w:rsidR="00E325C4">
        <w:rPr>
          <w:i/>
          <w:iCs/>
        </w:rPr>
        <w:t>t</w:t>
      </w:r>
      <w:r w:rsidRPr="00370510">
        <w:rPr>
          <w:i/>
          <w:iCs/>
        </w:rPr>
        <w:t xml:space="preserve">he Cleveland Elec. Illum. Co., and </w:t>
      </w:r>
      <w:r w:rsidR="00E325C4">
        <w:rPr>
          <w:i/>
          <w:iCs/>
        </w:rPr>
        <w:t>t</w:t>
      </w:r>
      <w:r w:rsidRPr="00370510">
        <w:rPr>
          <w:i/>
          <w:iCs/>
        </w:rPr>
        <w:t>he Toledo Edison Co.</w:t>
      </w:r>
      <w:r>
        <w:t>, Case No. 14-1297-EL-SSO (</w:t>
      </w:r>
      <w:r w:rsidR="00BB7C86">
        <w:t>“</w:t>
      </w:r>
      <w:r>
        <w:t>ESP IV Case</w:t>
      </w:r>
      <w:r w:rsidR="00BB7C86">
        <w:t>”</w:t>
      </w:r>
      <w:r>
        <w:t>), Opinion and Order (Mar</w:t>
      </w:r>
      <w:r w:rsidR="00E325C4">
        <w:t>ch</w:t>
      </w:r>
      <w:r>
        <w:t xml:space="preserve"> 31, 2016), Fifth Entry on Rehearing (Oct</w:t>
      </w:r>
      <w:r w:rsidR="00F53A08">
        <w:t>ober</w:t>
      </w:r>
      <w:r>
        <w:t xml:space="preserve"> 12, 2016).</w:t>
      </w:r>
    </w:p>
  </w:footnote>
  <w:footnote w:id="9">
    <w:p w:rsidR="009103B1" w:rsidP="002B70CE" w14:paraId="16DFDCDF" w14:textId="2FA15E7F">
      <w:pPr>
        <w:pStyle w:val="FootnoteText"/>
        <w:spacing w:after="120"/>
      </w:pPr>
      <w:r>
        <w:rPr>
          <w:rStyle w:val="FootnoteReference"/>
        </w:rPr>
        <w:footnoteRef/>
      </w:r>
      <w:r w:rsidR="00BB7C86">
        <w:t xml:space="preserve"> ESP IV Case</w:t>
      </w:r>
      <w:r>
        <w:t>, Opinion &amp; Order (March 31, 2016)</w:t>
      </w:r>
      <w:r w:rsidR="00BB7C86">
        <w:t xml:space="preserve">, </w:t>
      </w:r>
      <w:r w:rsidR="007D572F">
        <w:t>at 73</w:t>
      </w:r>
      <w:r w:rsidR="00A3626B">
        <w:t>; Fifth Entry on Rehearing (October 12, 2016), at ¶ 310</w:t>
      </w:r>
      <w:r>
        <w:t>.</w:t>
      </w:r>
    </w:p>
  </w:footnote>
  <w:footnote w:id="10">
    <w:p w:rsidR="007D572F" w:rsidP="002B70CE" w14:paraId="4752A121" w14:textId="77BC563C">
      <w:pPr>
        <w:pStyle w:val="FootnoteText"/>
        <w:spacing w:after="120"/>
      </w:pPr>
      <w:r>
        <w:rPr>
          <w:rStyle w:val="FootnoteReference"/>
        </w:rPr>
        <w:footnoteRef/>
      </w:r>
      <w:r>
        <w:t xml:space="preserve"> PUCO Staff Motion at 3.</w:t>
      </w:r>
    </w:p>
  </w:footnote>
  <w:footnote w:id="11">
    <w:p w:rsidR="007D572F" w:rsidRPr="007D572F" w:rsidP="002B70CE" w14:paraId="724C1253" w14:textId="780D7DA8">
      <w:pPr>
        <w:pStyle w:val="FootnoteText"/>
        <w:spacing w:after="120"/>
        <w:rPr>
          <w:i/>
          <w:iCs/>
        </w:rPr>
      </w:pPr>
      <w:r>
        <w:rPr>
          <w:rStyle w:val="FootnoteReference"/>
        </w:rPr>
        <w:footnoteRef/>
      </w:r>
      <w:r>
        <w:t xml:space="preserve"> </w:t>
      </w:r>
      <w:r>
        <w:rPr>
          <w:i/>
          <w:iCs/>
        </w:rPr>
        <w:t>Id.</w:t>
      </w:r>
    </w:p>
  </w:footnote>
  <w:footnote w:id="12">
    <w:p w:rsidR="007E4793" w:rsidRPr="007E4793" w:rsidP="002B70CE" w14:paraId="3DAA0210" w14:textId="6CCA40D5">
      <w:pPr>
        <w:pStyle w:val="FootnoteText"/>
        <w:spacing w:after="120"/>
        <w:rPr>
          <w:i/>
          <w:iCs/>
        </w:rPr>
      </w:pPr>
      <w:r>
        <w:rPr>
          <w:rStyle w:val="FootnoteReference"/>
        </w:rPr>
        <w:footnoteRef/>
      </w:r>
      <w:r>
        <w:t xml:space="preserve"> </w:t>
      </w:r>
      <w:r>
        <w:rPr>
          <w:i/>
          <w:iCs/>
        </w:rPr>
        <w:t>Id.</w:t>
      </w:r>
    </w:p>
  </w:footnote>
  <w:footnote w:id="13">
    <w:p w:rsidR="002141C9" w:rsidP="002B70CE" w14:paraId="40F557CB" w14:textId="1E0BFB38">
      <w:pPr>
        <w:pStyle w:val="FootnoteText"/>
        <w:spacing w:after="120"/>
      </w:pPr>
      <w:r>
        <w:rPr>
          <w:rStyle w:val="FootnoteReference"/>
        </w:rPr>
        <w:footnoteRef/>
      </w:r>
      <w:r>
        <w:t xml:space="preserve"> </w:t>
      </w:r>
      <w:r w:rsidR="005733CC">
        <w:rPr>
          <w:i/>
          <w:iCs/>
        </w:rPr>
        <w:t xml:space="preserve">Id. </w:t>
      </w:r>
    </w:p>
  </w:footnote>
  <w:footnote w:id="14">
    <w:p w:rsidR="009014C0" w:rsidP="002B70CE" w14:paraId="536EA9EB" w14:textId="3837ABD1">
      <w:pPr>
        <w:pStyle w:val="FootnoteText"/>
        <w:spacing w:after="120"/>
      </w:pPr>
      <w:r>
        <w:rPr>
          <w:rStyle w:val="FootnoteReference"/>
        </w:rPr>
        <w:footnoteRef/>
      </w:r>
      <w:r>
        <w:t xml:space="preserve"> Request for Proposal No. RFP RA22-TR-1</w:t>
      </w:r>
      <w:r w:rsidR="00AD65B6">
        <w:t xml:space="preserve"> (Reissued by PUCO Entry (June 15, 2022)</w:t>
      </w:r>
      <w:r w:rsidR="009D28F7">
        <w:t>)</w:t>
      </w:r>
      <w:r>
        <w:t xml:space="preserve">, at </w:t>
      </w:r>
      <w:r w:rsidR="00AD65B6">
        <w:t>4. (Emphasis added</w:t>
      </w:r>
      <w:r w:rsidR="00521317">
        <w:t>.</w:t>
      </w:r>
      <w:r w:rsidR="00AD65B6">
        <w:t>)</w:t>
      </w:r>
    </w:p>
  </w:footnote>
  <w:footnote w:id="15">
    <w:p w:rsidR="00CD4F1A" w:rsidP="002B70CE" w14:paraId="1FC76CC6" w14:textId="4CB1653D">
      <w:pPr>
        <w:pStyle w:val="FootnoteText"/>
        <w:spacing w:after="120"/>
      </w:pPr>
      <w:r>
        <w:rPr>
          <w:rStyle w:val="FootnoteReference"/>
        </w:rPr>
        <w:footnoteRef/>
      </w:r>
      <w:r>
        <w:t xml:space="preserve"> </w:t>
      </w:r>
      <w:r>
        <w:rPr>
          <w:i/>
          <w:iCs/>
        </w:rPr>
        <w:t xml:space="preserve">See </w:t>
      </w:r>
      <w:r>
        <w:t>S</w:t>
      </w:r>
      <w:r w:rsidR="00F6075F">
        <w:t>enate Bill</w:t>
      </w:r>
      <w:r>
        <w:t xml:space="preserve"> 102</w:t>
      </w:r>
      <w:r w:rsidR="00F6075F">
        <w:t xml:space="preserve"> (by Rep. Wilkin)</w:t>
      </w:r>
      <w:r w:rsidR="004A409A">
        <w:t>, 135</w:t>
      </w:r>
      <w:r w:rsidRPr="004A409A" w:rsidR="004A409A">
        <w:rPr>
          <w:vertAlign w:val="superscript"/>
        </w:rPr>
        <w:t>th</w:t>
      </w:r>
      <w:r w:rsidR="004A409A">
        <w:t xml:space="preserve"> General Assembly (proposed amendments to R.C. 4928.143).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9D"/>
    <w:rsid w:val="00005632"/>
    <w:rsid w:val="000065ED"/>
    <w:rsid w:val="00012EE3"/>
    <w:rsid w:val="0002138A"/>
    <w:rsid w:val="000218F4"/>
    <w:rsid w:val="00024C4E"/>
    <w:rsid w:val="00031A2C"/>
    <w:rsid w:val="00032BD4"/>
    <w:rsid w:val="0006011B"/>
    <w:rsid w:val="0006559E"/>
    <w:rsid w:val="00072F8B"/>
    <w:rsid w:val="00077D35"/>
    <w:rsid w:val="000830FF"/>
    <w:rsid w:val="0009243A"/>
    <w:rsid w:val="000947EA"/>
    <w:rsid w:val="000959EA"/>
    <w:rsid w:val="000B2FC6"/>
    <w:rsid w:val="000B572A"/>
    <w:rsid w:val="000C1802"/>
    <w:rsid w:val="000D2679"/>
    <w:rsid w:val="001172BC"/>
    <w:rsid w:val="00120DF4"/>
    <w:rsid w:val="00147482"/>
    <w:rsid w:val="00147748"/>
    <w:rsid w:val="00150C11"/>
    <w:rsid w:val="0015149D"/>
    <w:rsid w:val="001779B8"/>
    <w:rsid w:val="001A22D5"/>
    <w:rsid w:val="001B3DC6"/>
    <w:rsid w:val="001B6B91"/>
    <w:rsid w:val="001C3021"/>
    <w:rsid w:val="001F10FA"/>
    <w:rsid w:val="001F789C"/>
    <w:rsid w:val="002141C9"/>
    <w:rsid w:val="00237D60"/>
    <w:rsid w:val="00241B82"/>
    <w:rsid w:val="0025495A"/>
    <w:rsid w:val="00261D81"/>
    <w:rsid w:val="00266E5D"/>
    <w:rsid w:val="002739E9"/>
    <w:rsid w:val="00284EE5"/>
    <w:rsid w:val="00295536"/>
    <w:rsid w:val="002A354F"/>
    <w:rsid w:val="002B37E7"/>
    <w:rsid w:val="002B3C54"/>
    <w:rsid w:val="002B70CE"/>
    <w:rsid w:val="002C4A04"/>
    <w:rsid w:val="002F570C"/>
    <w:rsid w:val="00307E20"/>
    <w:rsid w:val="00312ECB"/>
    <w:rsid w:val="0031665E"/>
    <w:rsid w:val="003179EB"/>
    <w:rsid w:val="00342C9D"/>
    <w:rsid w:val="00350400"/>
    <w:rsid w:val="00354280"/>
    <w:rsid w:val="00370510"/>
    <w:rsid w:val="003814E5"/>
    <w:rsid w:val="00382089"/>
    <w:rsid w:val="003829C6"/>
    <w:rsid w:val="00382BA3"/>
    <w:rsid w:val="00386B54"/>
    <w:rsid w:val="00396355"/>
    <w:rsid w:val="003A08FB"/>
    <w:rsid w:val="003C3D3D"/>
    <w:rsid w:val="003C4DDC"/>
    <w:rsid w:val="003D4BA0"/>
    <w:rsid w:val="003E15EF"/>
    <w:rsid w:val="003E4945"/>
    <w:rsid w:val="004156DF"/>
    <w:rsid w:val="0043768C"/>
    <w:rsid w:val="004437D9"/>
    <w:rsid w:val="004976B6"/>
    <w:rsid w:val="004A409A"/>
    <w:rsid w:val="004A7B5E"/>
    <w:rsid w:val="004B3EE2"/>
    <w:rsid w:val="004B4AB7"/>
    <w:rsid w:val="004B5126"/>
    <w:rsid w:val="004B7CB4"/>
    <w:rsid w:val="004C1CA6"/>
    <w:rsid w:val="004C337D"/>
    <w:rsid w:val="004C3E50"/>
    <w:rsid w:val="004D0E74"/>
    <w:rsid w:val="00515C6D"/>
    <w:rsid w:val="00521317"/>
    <w:rsid w:val="005241D3"/>
    <w:rsid w:val="00525F8F"/>
    <w:rsid w:val="005733CC"/>
    <w:rsid w:val="00591254"/>
    <w:rsid w:val="00593667"/>
    <w:rsid w:val="005A608E"/>
    <w:rsid w:val="005B4018"/>
    <w:rsid w:val="005C232C"/>
    <w:rsid w:val="005E0C4F"/>
    <w:rsid w:val="005F3C04"/>
    <w:rsid w:val="006156AF"/>
    <w:rsid w:val="006249FC"/>
    <w:rsid w:val="00625D48"/>
    <w:rsid w:val="00631932"/>
    <w:rsid w:val="0063380C"/>
    <w:rsid w:val="006556D7"/>
    <w:rsid w:val="00664935"/>
    <w:rsid w:val="0068081C"/>
    <w:rsid w:val="00687EAB"/>
    <w:rsid w:val="006902DB"/>
    <w:rsid w:val="006B071F"/>
    <w:rsid w:val="006D29D6"/>
    <w:rsid w:val="006E2973"/>
    <w:rsid w:val="006E3396"/>
    <w:rsid w:val="006F260D"/>
    <w:rsid w:val="007036DF"/>
    <w:rsid w:val="007124AF"/>
    <w:rsid w:val="00737867"/>
    <w:rsid w:val="00743BBD"/>
    <w:rsid w:val="00747A36"/>
    <w:rsid w:val="007861FA"/>
    <w:rsid w:val="00786550"/>
    <w:rsid w:val="007A1D44"/>
    <w:rsid w:val="007B207E"/>
    <w:rsid w:val="007D572F"/>
    <w:rsid w:val="007D6B3D"/>
    <w:rsid w:val="007D7A2C"/>
    <w:rsid w:val="007E4793"/>
    <w:rsid w:val="007E560D"/>
    <w:rsid w:val="007E5B1F"/>
    <w:rsid w:val="008026EC"/>
    <w:rsid w:val="00822986"/>
    <w:rsid w:val="00824966"/>
    <w:rsid w:val="00862C4D"/>
    <w:rsid w:val="00880B59"/>
    <w:rsid w:val="00883C59"/>
    <w:rsid w:val="0088563F"/>
    <w:rsid w:val="008948F0"/>
    <w:rsid w:val="008B4A25"/>
    <w:rsid w:val="008B5C08"/>
    <w:rsid w:val="008D6981"/>
    <w:rsid w:val="008D7347"/>
    <w:rsid w:val="008F19C2"/>
    <w:rsid w:val="009014C0"/>
    <w:rsid w:val="00902D9E"/>
    <w:rsid w:val="009103B1"/>
    <w:rsid w:val="00916509"/>
    <w:rsid w:val="009211A2"/>
    <w:rsid w:val="009242A1"/>
    <w:rsid w:val="00942911"/>
    <w:rsid w:val="00975FA0"/>
    <w:rsid w:val="00976009"/>
    <w:rsid w:val="00984CD5"/>
    <w:rsid w:val="00986033"/>
    <w:rsid w:val="0099378B"/>
    <w:rsid w:val="0099439F"/>
    <w:rsid w:val="009944E4"/>
    <w:rsid w:val="009A62EF"/>
    <w:rsid w:val="009C5B24"/>
    <w:rsid w:val="009D28F7"/>
    <w:rsid w:val="009E4B5B"/>
    <w:rsid w:val="009F2FCB"/>
    <w:rsid w:val="00A0082B"/>
    <w:rsid w:val="00A00D44"/>
    <w:rsid w:val="00A10EEC"/>
    <w:rsid w:val="00A3626B"/>
    <w:rsid w:val="00A5350C"/>
    <w:rsid w:val="00A71A59"/>
    <w:rsid w:val="00A72070"/>
    <w:rsid w:val="00A72594"/>
    <w:rsid w:val="00A75EA2"/>
    <w:rsid w:val="00AA3339"/>
    <w:rsid w:val="00AA59A7"/>
    <w:rsid w:val="00AB198E"/>
    <w:rsid w:val="00AD322A"/>
    <w:rsid w:val="00AD65B6"/>
    <w:rsid w:val="00B15BD0"/>
    <w:rsid w:val="00B15D12"/>
    <w:rsid w:val="00B21792"/>
    <w:rsid w:val="00B23274"/>
    <w:rsid w:val="00B35C57"/>
    <w:rsid w:val="00B36037"/>
    <w:rsid w:val="00B5473B"/>
    <w:rsid w:val="00B5668F"/>
    <w:rsid w:val="00B63FE2"/>
    <w:rsid w:val="00B73078"/>
    <w:rsid w:val="00B7537B"/>
    <w:rsid w:val="00BA5E87"/>
    <w:rsid w:val="00BB3040"/>
    <w:rsid w:val="00BB7C86"/>
    <w:rsid w:val="00BC2523"/>
    <w:rsid w:val="00BD5BB3"/>
    <w:rsid w:val="00BE3CF8"/>
    <w:rsid w:val="00BE73ED"/>
    <w:rsid w:val="00BF11C0"/>
    <w:rsid w:val="00C14018"/>
    <w:rsid w:val="00C51775"/>
    <w:rsid w:val="00C535BD"/>
    <w:rsid w:val="00C66DE6"/>
    <w:rsid w:val="00C71275"/>
    <w:rsid w:val="00C756C9"/>
    <w:rsid w:val="00C75FDC"/>
    <w:rsid w:val="00C85675"/>
    <w:rsid w:val="00C87FBD"/>
    <w:rsid w:val="00C9673A"/>
    <w:rsid w:val="00CD235A"/>
    <w:rsid w:val="00CD4F1A"/>
    <w:rsid w:val="00CD59EE"/>
    <w:rsid w:val="00CE0149"/>
    <w:rsid w:val="00D027BF"/>
    <w:rsid w:val="00D056CE"/>
    <w:rsid w:val="00D162AB"/>
    <w:rsid w:val="00D27759"/>
    <w:rsid w:val="00D4061C"/>
    <w:rsid w:val="00D5543B"/>
    <w:rsid w:val="00D56ADC"/>
    <w:rsid w:val="00D67629"/>
    <w:rsid w:val="00DB32BA"/>
    <w:rsid w:val="00DE3486"/>
    <w:rsid w:val="00E15A76"/>
    <w:rsid w:val="00E21BCC"/>
    <w:rsid w:val="00E324EB"/>
    <w:rsid w:val="00E325C4"/>
    <w:rsid w:val="00E549B5"/>
    <w:rsid w:val="00E8040E"/>
    <w:rsid w:val="00EA23C6"/>
    <w:rsid w:val="00EB0388"/>
    <w:rsid w:val="00EC0DC2"/>
    <w:rsid w:val="00EC66A5"/>
    <w:rsid w:val="00ED3AAD"/>
    <w:rsid w:val="00ED4C93"/>
    <w:rsid w:val="00EE4C29"/>
    <w:rsid w:val="00EF6D65"/>
    <w:rsid w:val="00F02310"/>
    <w:rsid w:val="00F141B1"/>
    <w:rsid w:val="00F20DF9"/>
    <w:rsid w:val="00F27AB0"/>
    <w:rsid w:val="00F303BD"/>
    <w:rsid w:val="00F3696B"/>
    <w:rsid w:val="00F53A08"/>
    <w:rsid w:val="00F6075F"/>
    <w:rsid w:val="00F64BF3"/>
    <w:rsid w:val="00F66150"/>
    <w:rsid w:val="00F8376A"/>
    <w:rsid w:val="00FA0CB4"/>
    <w:rsid w:val="00FB2905"/>
    <w:rsid w:val="00FB57D4"/>
    <w:rsid w:val="00FD2218"/>
    <w:rsid w:val="00FE3082"/>
    <w:rsid w:val="00FF3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50"/>
  </w:style>
  <w:style w:type="paragraph" w:styleId="Heading1">
    <w:name w:val="heading 1"/>
    <w:basedOn w:val="Normal"/>
    <w:next w:val="Normal"/>
    <w:qFormat/>
    <w:rsid w:val="00B5473B"/>
    <w:pPr>
      <w:spacing w:after="240"/>
      <w:ind w:left="720" w:hanging="720"/>
      <w:outlineLvl w:val="0"/>
    </w:pPr>
    <w:rPr>
      <w:b/>
      <w:bCs/>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rPr>
      <w:sz w:val="24"/>
    </w:rPr>
  </w:style>
  <w:style w:type="paragraph" w:styleId="Date">
    <w:name w:val="Date"/>
    <w:basedOn w:val="Normal"/>
    <w:next w:val="Normal"/>
    <w:rPr>
      <w:sz w:val="24"/>
    </w:rPr>
  </w:style>
  <w:style w:type="paragraph" w:customStyle="1" w:styleId="ShortReturnAddress">
    <w:name w:val="Short Return Address"/>
    <w:basedOn w:val="Normal"/>
    <w:rPr>
      <w:sz w:val="24"/>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3">
    <w:name w:val="Body Text Indent 3"/>
    <w:basedOn w:val="Normal"/>
    <w:link w:val="BodyTextIndent3Char"/>
    <w:pPr>
      <w:spacing w:line="480" w:lineRule="atLeast"/>
      <w:ind w:firstLine="720"/>
    </w:pPr>
    <w:rPr>
      <w:sz w:val="24"/>
    </w:rPr>
  </w:style>
  <w:style w:type="paragraph" w:styleId="BodyText">
    <w:name w:val="Body Text"/>
    <w:basedOn w:val="Normal"/>
    <w:pPr>
      <w:spacing w:after="120"/>
    </w:pPr>
  </w:style>
  <w:style w:type="character" w:styleId="Hyperlink">
    <w:name w:val="Hyperlink"/>
    <w:uiPriority w:val="99"/>
    <w:rPr>
      <w:color w:val="0000FF"/>
      <w:u w:val="single"/>
    </w:rPr>
  </w:style>
  <w:style w:type="paragraph" w:styleId="EndnoteText">
    <w:name w:val="endnote text"/>
    <w:basedOn w:val="Normal"/>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paragraph" w:styleId="CommentText">
    <w:name w:val="annotation text"/>
    <w:basedOn w:val="Normal"/>
    <w:link w:val="CommentTextCha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CharChar0">
    <w:name w:val="Char Char"/>
    <w:semiHidden/>
    <w:locked/>
    <w:rPr>
      <w:rFonts w:ascii="Courier New" w:eastAsia="Courier New" w:hAnsi="Courier New" w:cs="Courier New"/>
      <w:lang w:val="en-US" w:eastAsia="en-US" w:bidi="ar-SA"/>
    </w:rPr>
  </w:style>
  <w:style w:type="character" w:styleId="Strong">
    <w:name w:val="Strong"/>
    <w:qFormat/>
    <w:rPr>
      <w:b/>
      <w:bCs/>
    </w:rPr>
  </w:style>
  <w:style w:type="character" w:customStyle="1" w:styleId="CharChar1">
    <w:name w:val="Char Char1"/>
    <w:rPr>
      <w:rFonts w:ascii="Courier New" w:hAnsi="Courier New" w:cs="Courier New"/>
      <w:lang w:val="en-US" w:eastAsia="en-US" w:bidi="ar-SA"/>
    </w:rPr>
  </w:style>
  <w:style w:type="character" w:customStyle="1" w:styleId="CommentTextChar">
    <w:name w:val="Comment Text Char"/>
    <w:link w:val="CommentText"/>
    <w:rsid w:val="00EC0DC2"/>
  </w:style>
  <w:style w:type="character" w:customStyle="1" w:styleId="UnresolvedMention1">
    <w:name w:val="Unresolved Mention1"/>
    <w:basedOn w:val="DefaultParagraphFont"/>
    <w:uiPriority w:val="99"/>
    <w:semiHidden/>
    <w:unhideWhenUsed/>
    <w:rsid w:val="000B572A"/>
    <w:rPr>
      <w:color w:val="605E5C"/>
      <w:shd w:val="clear" w:color="auto" w:fill="E1DFDD"/>
    </w:rPr>
  </w:style>
  <w:style w:type="character" w:customStyle="1" w:styleId="FooterChar">
    <w:name w:val="Footer Char"/>
    <w:basedOn w:val="DefaultParagraphFont"/>
    <w:link w:val="Footer"/>
    <w:uiPriority w:val="99"/>
    <w:rsid w:val="00F303BD"/>
  </w:style>
  <w:style w:type="paragraph" w:styleId="Revision">
    <w:name w:val="Revision"/>
    <w:hidden/>
    <w:uiPriority w:val="99"/>
    <w:semiHidden/>
    <w:rsid w:val="000959EA"/>
  </w:style>
  <w:style w:type="character" w:customStyle="1" w:styleId="BodyTextIndent3Char">
    <w:name w:val="Body Text Indent 3 Char"/>
    <w:basedOn w:val="DefaultParagraphFont"/>
    <w:link w:val="BodyTextIndent3"/>
    <w:rsid w:val="007124AF"/>
    <w:rPr>
      <w:sz w:val="24"/>
    </w:rPr>
  </w:style>
  <w:style w:type="table" w:customStyle="1" w:styleId="TableGrid4">
    <w:name w:val="Table Grid4"/>
    <w:basedOn w:val="TableNormal"/>
    <w:next w:val="TableGrid"/>
    <w:uiPriority w:val="59"/>
    <w:rsid w:val="0078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103B1"/>
    <w:rPr>
      <w:vertAlign w:val="superscript"/>
    </w:rPr>
  </w:style>
  <w:style w:type="character" w:customStyle="1" w:styleId="FootnoteTextChar">
    <w:name w:val="Footnote Text Char"/>
    <w:basedOn w:val="DefaultParagraphFont"/>
    <w:link w:val="FootnoteText"/>
    <w:semiHidden/>
    <w:rsid w:val="009103B1"/>
  </w:style>
  <w:style w:type="character" w:customStyle="1" w:styleId="UnresolvedMention">
    <w:name w:val="Unresolved Mention"/>
    <w:basedOn w:val="DefaultParagraphFont"/>
    <w:rsid w:val="00A71A59"/>
    <w:rPr>
      <w:color w:val="605E5C"/>
      <w:shd w:val="clear" w:color="auto" w:fill="E1DFDD"/>
    </w:rPr>
  </w:style>
  <w:style w:type="character" w:styleId="CommentReference">
    <w:name w:val="annotation reference"/>
    <w:basedOn w:val="DefaultParagraphFont"/>
    <w:rsid w:val="00E324EB"/>
    <w:rPr>
      <w:sz w:val="16"/>
      <w:szCs w:val="16"/>
    </w:rPr>
  </w:style>
  <w:style w:type="paragraph" w:styleId="CommentSubject">
    <w:name w:val="annotation subject"/>
    <w:basedOn w:val="CommentText"/>
    <w:next w:val="CommentText"/>
    <w:link w:val="CommentSubjectChar"/>
    <w:rsid w:val="00E324EB"/>
    <w:rPr>
      <w:b/>
      <w:bCs/>
    </w:rPr>
  </w:style>
  <w:style w:type="character" w:customStyle="1" w:styleId="CommentSubjectChar">
    <w:name w:val="Comment Subject Char"/>
    <w:basedOn w:val="CommentTextChar"/>
    <w:link w:val="CommentSubject"/>
    <w:rsid w:val="00E32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bojko@carpenterlipps.com" TargetMode="External" /><Relationship Id="rId11" Type="http://schemas.openxmlformats.org/officeDocument/2006/relationships/hyperlink" Target="mailto:wygonski@carpenterlipps.com" TargetMode="External" /><Relationship Id="rId12" Type="http://schemas.openxmlformats.org/officeDocument/2006/relationships/hyperlink" Target="mailto:megan.addison@puco.ohio.gov" TargetMode="External" /><Relationship Id="rId13" Type="http://schemas.openxmlformats.org/officeDocument/2006/relationships/hyperlink" Target="mailto:greg.price@puco.ohi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kfling@firstenergycorp.com" TargetMode="External" /><Relationship Id="rId16" Type="http://schemas.openxmlformats.org/officeDocument/2006/relationships/hyperlink" Target="mailto:mkurtz@BKLlawfirm.com" TargetMode="External" /><Relationship Id="rId17" Type="http://schemas.openxmlformats.org/officeDocument/2006/relationships/hyperlink" Target="mailto:kboehm@BKLlawfirm.com" TargetMode="External" /><Relationship Id="rId18" Type="http://schemas.openxmlformats.org/officeDocument/2006/relationships/hyperlink" Target="mailto:jkylercohn@BKLlawfirm.com" TargetMode="External" /><Relationship Id="rId19" Type="http://schemas.openxmlformats.org/officeDocument/2006/relationships/hyperlink" Target="mailto:stacie.cathcart@igs.com" TargetMode="External" /><Relationship Id="rId2" Type="http://schemas.openxmlformats.org/officeDocument/2006/relationships/settings" Target="settings.xml" /><Relationship Id="rId20" Type="http://schemas.openxmlformats.org/officeDocument/2006/relationships/hyperlink" Target="mailto:evan.betterton@igs.com" TargetMode="External" /><Relationship Id="rId21" Type="http://schemas.openxmlformats.org/officeDocument/2006/relationships/hyperlink" Target="mailto:michael.nugent@igs.com" TargetMode="External" /><Relationship Id="rId22" Type="http://schemas.openxmlformats.org/officeDocument/2006/relationships/hyperlink" Target="mailto:jrb@smxblaw.com" TargetMode="External" /><Relationship Id="rId23" Type="http://schemas.openxmlformats.org/officeDocument/2006/relationships/hyperlink" Target="mailto:mkl@smxblaw.com" TargetMode="External" /><Relationship Id="rId24" Type="http://schemas.openxmlformats.org/officeDocument/2006/relationships/hyperlink" Target="mailto:dproano@bakerlaw.com" TargetMode="External" /><Relationship Id="rId25" Type="http://schemas.openxmlformats.org/officeDocument/2006/relationships/hyperlink" Target="mailto:ahaque@bakerlaw.com" TargetMode="External" /><Relationship Id="rId26" Type="http://schemas.openxmlformats.org/officeDocument/2006/relationships/hyperlink" Target="mailto:eprouty@bakerlaw.com"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connor.semple@occ.ohio.gov" TargetMode="External" /><Relationship Id="rId8" Type="http://schemas.openxmlformats.org/officeDocument/2006/relationships/hyperlink" Target="mailto:rhiannon.howard@ohioago.gov" TargetMode="External" /><Relationship Id="rId9" Type="http://schemas.openxmlformats.org/officeDocument/2006/relationships/hyperlink" Target="mailto:amy.obrien@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B197-36BA-4CC2-8079-29860420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2023-04-04T19:20:20Z</dcterms:created>
  <dcterms:modified xsi:type="dcterms:W3CDTF">2023-04-04T19:20:20Z</dcterms:modified>
</cp:coreProperties>
</file>