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614CD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614CD5">
      <w:pPr>
        <w:pStyle w:val="HTMLPreformatted"/>
        <w:jc w:val="center"/>
        <w:rPr>
          <w:rFonts w:ascii="Times New Roman" w:hAnsi="Times New Roman"/>
          <w:sz w:val="24"/>
        </w:rPr>
      </w:pPr>
      <w:r>
        <w:rPr>
          <w:rFonts w:ascii="Times New Roman" w:hAnsi="Times New Roman"/>
          <w:b/>
          <w:bCs/>
          <w:sz w:val="24"/>
        </w:rPr>
        <w:t>THE PUBLIC UTILITIES COMMISSION OF OHIO</w:t>
      </w:r>
    </w:p>
    <w:p w:rsidR="00614CD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614CD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614CD5" w:rsidRPr="00376A99" w:rsidP="00C84435">
            <w:pPr>
              <w:autoSpaceDE w:val="0"/>
              <w:autoSpaceDN w:val="0"/>
              <w:adjustRightInd w:val="0"/>
              <w:rPr>
                <w:rStyle w:val="DefaultParagraphFont"/>
                <w:sz w:val="24"/>
                <w:szCs w:val="24"/>
                <w:lang w:val="en-US" w:eastAsia="en-US" w:bidi="ar-SA"/>
              </w:rPr>
            </w:pPr>
            <w:r>
              <w:rPr>
                <w:sz w:val="24"/>
                <w:szCs w:val="24"/>
                <w:lang w:val="en-US" w:eastAsia="en-US" w:bidi="ar-SA"/>
              </w:rPr>
              <w:t xml:space="preserve">In The Matter of the </w:t>
            </w:r>
            <w:r w:rsidR="00C84435">
              <w:rPr>
                <w:sz w:val="24"/>
                <w:szCs w:val="24"/>
                <w:lang w:val="en-US" w:eastAsia="en-US" w:bidi="ar-SA"/>
              </w:rPr>
              <w:t>Application of the Ohio Power Company to Update the Energy Efficiency and Peak Demand Reduction Rider</w:t>
            </w:r>
            <w:r w:rsidR="00563472">
              <w:rPr>
                <w:sz w:val="24"/>
                <w:szCs w:val="24"/>
                <w:lang w:val="en-US" w:eastAsia="en-US" w:bidi="ar-SA"/>
              </w:rPr>
              <w:t>.</w:t>
            </w:r>
          </w:p>
        </w:tc>
        <w:tc>
          <w:tcPr>
            <w:tcW w:w="360" w:type="dxa"/>
            <w:shd w:val="clear" w:color="auto" w:fill="auto"/>
          </w:tcPr>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614CD5"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82686E"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82686E" w:rsidRPr="00376A99"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tc>
        <w:tc>
          <w:tcPr>
            <w:tcW w:w="4400" w:type="dxa"/>
            <w:shd w:val="clear" w:color="auto" w:fill="auto"/>
          </w:tcPr>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614CD5" w:rsidRPr="00376A99" w:rsidP="00C8443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Case No. 1</w:t>
            </w:r>
            <w:r>
              <w:rPr>
                <w:rFonts w:ascii="Times New Roman" w:eastAsia="Courier New" w:hAnsi="Times New Roman" w:cs="Courier New"/>
                <w:sz w:val="24"/>
                <w:szCs w:val="24"/>
                <w:lang w:val="en-US" w:eastAsia="en-US" w:bidi="ar-SA"/>
              </w:rPr>
              <w:t>7-</w:t>
            </w:r>
            <w:r w:rsidR="0082686E">
              <w:rPr>
                <w:rFonts w:ascii="Times New Roman" w:eastAsia="Courier New" w:hAnsi="Times New Roman" w:cs="Courier New"/>
                <w:sz w:val="24"/>
                <w:szCs w:val="24"/>
                <w:lang w:val="en-US" w:eastAsia="en-US" w:bidi="ar-SA"/>
              </w:rPr>
              <w:t>12</w:t>
            </w:r>
            <w:r w:rsidR="00C84435">
              <w:rPr>
                <w:rFonts w:ascii="Times New Roman" w:eastAsia="Courier New" w:hAnsi="Times New Roman" w:cs="Courier New"/>
                <w:sz w:val="24"/>
                <w:szCs w:val="24"/>
                <w:lang w:val="en-US" w:eastAsia="en-US" w:bidi="ar-SA"/>
              </w:rPr>
              <w:t>66</w:t>
            </w:r>
            <w:r w:rsidR="0082686E">
              <w:rPr>
                <w:rFonts w:ascii="Times New Roman" w:eastAsia="Courier New" w:hAnsi="Times New Roman" w:cs="Courier New"/>
                <w:sz w:val="24"/>
                <w:szCs w:val="24"/>
                <w:lang w:val="en-US" w:eastAsia="en-US" w:bidi="ar-SA"/>
              </w:rPr>
              <w:t>-EL-</w:t>
            </w:r>
            <w:r w:rsidR="00C84435">
              <w:rPr>
                <w:rFonts w:ascii="Times New Roman" w:eastAsia="Courier New" w:hAnsi="Times New Roman" w:cs="Courier New"/>
                <w:sz w:val="24"/>
                <w:szCs w:val="24"/>
                <w:lang w:val="en-US" w:eastAsia="en-US" w:bidi="ar-SA"/>
              </w:rPr>
              <w:t>RDR</w:t>
            </w:r>
          </w:p>
        </w:tc>
      </w:tr>
    </w:tbl>
    <w:p w:rsidR="00614CD5">
      <w:pPr>
        <w:pStyle w:val="HTMLPreformatted"/>
        <w:rPr>
          <w:rFonts w:ascii="Times New Roman" w:hAnsi="Times New Roman"/>
          <w:sz w:val="24"/>
        </w:rPr>
      </w:pPr>
    </w:p>
    <w:p w:rsidR="00614CD5">
      <w:pPr>
        <w:pStyle w:val="HTMLPreformatted"/>
        <w:pBdr>
          <w:top w:val="single" w:sz="12" w:space="1" w:color="auto"/>
        </w:pBdr>
        <w:rPr>
          <w:rFonts w:ascii="Times New Roman" w:hAnsi="Times New Roman"/>
          <w:sz w:val="24"/>
        </w:rPr>
      </w:pPr>
    </w:p>
    <w:p w:rsidR="00614CD5">
      <w:pPr>
        <w:jc w:val="center"/>
        <w:rPr>
          <w:b/>
          <w:bCs/>
        </w:rPr>
      </w:pPr>
      <w:r>
        <w:rPr>
          <w:b/>
          <w:bCs/>
        </w:rPr>
        <w:t>COMMENTS</w:t>
      </w:r>
    </w:p>
    <w:p w:rsidR="00614CD5">
      <w:pPr>
        <w:jc w:val="center"/>
        <w:rPr>
          <w:b/>
          <w:bCs/>
        </w:rPr>
      </w:pPr>
      <w:r>
        <w:rPr>
          <w:b/>
          <w:bCs/>
        </w:rPr>
        <w:t>BY</w:t>
      </w:r>
    </w:p>
    <w:p w:rsidR="00614CD5">
      <w:pPr>
        <w:jc w:val="center"/>
        <w:rPr>
          <w:b/>
          <w:bCs/>
        </w:rPr>
      </w:pPr>
      <w:r>
        <w:rPr>
          <w:b/>
          <w:bCs/>
        </w:rPr>
        <w:t>THE OFFICE OF THE OHIO CONSUMERS' COUNSEL</w:t>
      </w:r>
    </w:p>
    <w:p w:rsidR="00614CD5">
      <w:pPr>
        <w:pBdr>
          <w:bottom w:val="single" w:sz="12" w:space="1" w:color="auto"/>
        </w:pBdr>
        <w:tabs>
          <w:tab w:val="left" w:pos="4320"/>
        </w:tabs>
      </w:pPr>
    </w:p>
    <w:p w:rsidR="00614CD5">
      <w:pPr>
        <w:tabs>
          <w:tab w:val="left" w:pos="4320"/>
        </w:tabs>
      </w:pPr>
    </w:p>
    <w:p w:rsidR="00544BCD" w:rsidP="00152853">
      <w:pPr>
        <w:pStyle w:val="BodyTextIndent3"/>
        <w:widowControl w:val="0"/>
        <w:spacing w:line="480" w:lineRule="auto"/>
        <w:ind w:right="-312"/>
      </w:pPr>
      <w:r>
        <w:t>In Ohio Power Company's</w:t>
      </w:r>
      <w:r>
        <w:rPr>
          <w:rStyle w:val="FootnoteReference"/>
        </w:rPr>
        <w:footnoteReference w:id="2"/>
      </w:r>
      <w:r>
        <w:t xml:space="preserve"> recent energy efficiency portfolio case,</w:t>
      </w:r>
      <w:r>
        <w:rPr>
          <w:rStyle w:val="FootnoteReference"/>
        </w:rPr>
        <w:footnoteReference w:id="3"/>
      </w:r>
      <w:r>
        <w:t xml:space="preserve"> the </w:t>
      </w:r>
      <w:r w:rsidR="00A432FC">
        <w:t>Public Utilities Commission of Ohio</w:t>
      </w:r>
      <w:r>
        <w:rPr>
          <w:rStyle w:val="FootnoteReference"/>
        </w:rPr>
        <w:footnoteReference w:id="4"/>
      </w:r>
      <w:r w:rsidR="00A432FC">
        <w:t xml:space="preserve"> </w:t>
      </w:r>
      <w:r>
        <w:t>approved a settlement</w:t>
      </w:r>
      <w:r>
        <w:rPr>
          <w:rStyle w:val="FootnoteReference"/>
        </w:rPr>
        <w:footnoteReference w:id="5"/>
      </w:r>
      <w:r w:rsidR="003C3EF5">
        <w:t xml:space="preserve"> </w:t>
      </w:r>
      <w:r>
        <w:t>that limits the amount that customers pay for utility-administered energy efficiency and peak demand reduction programs.</w:t>
      </w:r>
      <w:r>
        <w:rPr>
          <w:rStyle w:val="FootnoteReference"/>
        </w:rPr>
        <w:footnoteReference w:id="6"/>
      </w:r>
      <w:r>
        <w:t xml:space="preserve"> The Office of the Ohio Consumers</w:t>
      </w:r>
      <w:r w:rsidR="00125280">
        <w:t>'</w:t>
      </w:r>
      <w:r>
        <w:t xml:space="preserve"> Counsel</w:t>
      </w:r>
      <w:r>
        <w:rPr>
          <w:rStyle w:val="FootnoteReference"/>
        </w:rPr>
        <w:footnoteReference w:id="7"/>
      </w:r>
      <w:r>
        <w:t xml:space="preserve"> agreed not to oppose this settlement because </w:t>
      </w:r>
      <w:r w:rsidR="00A432FC">
        <w:t xml:space="preserve">of the </w:t>
      </w:r>
      <w:r>
        <w:t xml:space="preserve">benefits </w:t>
      </w:r>
      <w:r w:rsidR="00A432FC">
        <w:t xml:space="preserve">it provides </w:t>
      </w:r>
      <w:r>
        <w:t>to residential customers.</w:t>
      </w:r>
      <w:r>
        <w:rPr>
          <w:rStyle w:val="FootnoteReference"/>
        </w:rPr>
        <w:footnoteReference w:id="8"/>
      </w:r>
      <w:r>
        <w:t xml:space="preserve"> </w:t>
      </w:r>
    </w:p>
    <w:p w:rsidR="00F575E1" w:rsidP="004F1BE7">
      <w:pPr>
        <w:pStyle w:val="BodyTextIndent3"/>
        <w:spacing w:line="480" w:lineRule="auto"/>
        <w:ind w:right="-317"/>
      </w:pPr>
      <w:r>
        <w:t xml:space="preserve">Among those benefits is an annual limit on the amount of profit (often called "shared savings" in Ohio) that AEP Ohio can charge its customers for its energy efficiency programs. The settlement provides that </w:t>
      </w:r>
      <w:r w:rsidR="003C3EF5">
        <w:t>AEP Ohio cannot charge customers more than $20 million "after tax" per year in shared savings.</w:t>
      </w:r>
      <w:r>
        <w:rPr>
          <w:rStyle w:val="FootnoteReference"/>
        </w:rPr>
        <w:footnoteReference w:id="9"/>
      </w:r>
      <w:r w:rsidR="003C3EF5">
        <w:t xml:space="preserve"> "After tax" means that customers pay the </w:t>
      </w:r>
    </w:p>
    <w:p w:rsidR="00242E88">
      <w:r>
        <w:br w:type="page"/>
      </w:r>
    </w:p>
    <w:p w:rsidR="00544BCD" w:rsidP="00F575E1">
      <w:pPr>
        <w:pStyle w:val="BodyTextIndent3"/>
        <w:widowControl w:val="0"/>
        <w:spacing w:line="480" w:lineRule="auto"/>
        <w:ind w:right="-312" w:firstLine="0"/>
      </w:pPr>
      <w:r>
        <w:t>utility's taxes on the profits</w:t>
      </w:r>
      <w:r w:rsidR="004F1BE7">
        <w:t xml:space="preserve">. </w:t>
      </w:r>
      <w:r w:rsidR="00EE3E55">
        <w:t>Therefore,</w:t>
      </w:r>
      <w:r>
        <w:t xml:space="preserve"> </w:t>
      </w:r>
      <w:r w:rsidR="00C200B4">
        <w:t xml:space="preserve">with taxes, </w:t>
      </w:r>
      <w:r>
        <w:t xml:space="preserve">the </w:t>
      </w:r>
      <w:r w:rsidR="00EE3E55">
        <w:t>tota</w:t>
      </w:r>
      <w:r>
        <w:t>l amount that customers pay is about $31.2 million</w:t>
      </w:r>
      <w:r w:rsidR="0048076C">
        <w:t xml:space="preserve"> per year.</w:t>
      </w:r>
      <w:r>
        <w:rPr>
          <w:rStyle w:val="FootnoteReference"/>
        </w:rPr>
        <w:footnoteReference w:id="10"/>
      </w:r>
    </w:p>
    <w:p w:rsidR="00E04F14" w:rsidP="00614CD5">
      <w:pPr>
        <w:pStyle w:val="BodyTextIndent3"/>
        <w:widowControl w:val="0"/>
        <w:spacing w:line="480" w:lineRule="auto"/>
        <w:ind w:right="-312"/>
      </w:pPr>
      <w:r>
        <w:t xml:space="preserve">The Application in the present case is further evidence of the benefits to consumers </w:t>
      </w:r>
      <w:r w:rsidR="007645C4">
        <w:t xml:space="preserve">that an </w:t>
      </w:r>
      <w:r>
        <w:t>annual cap on shared savings</w:t>
      </w:r>
      <w:r w:rsidR="007645C4">
        <w:t xml:space="preserve"> can provide</w:t>
      </w:r>
      <w:r>
        <w:t xml:space="preserve">. </w:t>
      </w:r>
      <w:r>
        <w:t xml:space="preserve">Without </w:t>
      </w:r>
      <w:r w:rsidR="006A021E">
        <w:t xml:space="preserve">the past </w:t>
      </w:r>
      <w:r>
        <w:t>cap</w:t>
      </w:r>
      <w:r w:rsidR="006A021E">
        <w:t>s</w:t>
      </w:r>
      <w:r>
        <w:t>, AEP Ohio's customers would</w:t>
      </w:r>
      <w:r w:rsidR="006A021E">
        <w:t xml:space="preserve"> have</w:t>
      </w:r>
      <w:r>
        <w:t xml:space="preserve"> pa</w:t>
      </w:r>
      <w:r w:rsidR="006A021E">
        <w:t>id</w:t>
      </w:r>
      <w:r>
        <w:t xml:space="preserve"> millions more each year to AEP Ohio in utility profits</w:t>
      </w:r>
      <w:r w:rsidR="006A021E">
        <w:t>—</w:t>
      </w:r>
      <w:r w:rsidR="004F1BE7">
        <w:t>with</w:t>
      </w:r>
      <w:r w:rsidR="006A021E">
        <w:t xml:space="preserve"> no customer benefit</w:t>
      </w:r>
      <w:r w:rsidR="00C200B4">
        <w:t xml:space="preserve">. </w:t>
      </w:r>
      <w:r>
        <w:t xml:space="preserve">The following chart shows the annual program costs from 2012 to 2016 as well as the amount of profit that </w:t>
      </w:r>
      <w:r w:rsidR="00783E16">
        <w:t xml:space="preserve">customers </w:t>
      </w:r>
      <w:r>
        <w:t xml:space="preserve">would have </w:t>
      </w:r>
      <w:r w:rsidR="00783E16">
        <w:t xml:space="preserve">paid to AEP Ohio </w:t>
      </w:r>
      <w:r>
        <w:t>if not for the cap</w:t>
      </w:r>
      <w:r w:rsidR="006A021E">
        <w:t>s</w:t>
      </w:r>
      <w:r>
        <w:t>:</w:t>
      </w:r>
      <w:r>
        <w:rPr>
          <w:rStyle w:val="FootnoteReference"/>
        </w:rPr>
        <w:footnoteReference w:id="11"/>
      </w:r>
    </w:p>
    <w:tbl>
      <w:tblPr>
        <w:tblW w:w="5434" w:type="dxa"/>
        <w:tblInd w:w="1746" w:type="dxa"/>
        <w:tblCellMar>
          <w:top w:w="0" w:type="dxa"/>
          <w:left w:w="108" w:type="dxa"/>
          <w:bottom w:w="0" w:type="dxa"/>
          <w:right w:w="108" w:type="dxa"/>
        </w:tblCellMar>
        <w:tblLook w:val="04A0"/>
      </w:tblPr>
      <w:tblGrid>
        <w:gridCol w:w="960"/>
        <w:gridCol w:w="1330"/>
        <w:gridCol w:w="1382"/>
        <w:gridCol w:w="1762"/>
      </w:tblGrid>
      <w:tr w:rsidTr="00496B9D">
        <w:tblPrEx>
          <w:tblW w:w="5434" w:type="dxa"/>
          <w:tblInd w:w="1746" w:type="dxa"/>
          <w:tblCellMar>
            <w:top w:w="0" w:type="dxa"/>
            <w:left w:w="108" w:type="dxa"/>
            <w:bottom w:w="0" w:type="dxa"/>
            <w:right w:w="108" w:type="dxa"/>
          </w:tblCellMar>
          <w:tblLook w:val="04A0"/>
        </w:tblPrEx>
        <w:trPr>
          <w:trHeight w:val="615"/>
        </w:trPr>
        <w:tc>
          <w:tcPr>
            <w:tcW w:w="960" w:type="dxa"/>
            <w:tcBorders>
              <w:top w:val="nil"/>
              <w:left w:val="nil"/>
              <w:bottom w:val="nil"/>
              <w:right w:val="nil"/>
            </w:tcBorders>
            <w:shd w:val="clear" w:color="auto" w:fill="auto"/>
            <w:noWrap/>
            <w:vAlign w:val="bottom"/>
            <w:hideMark/>
          </w:tcPr>
          <w:p w:rsidR="007553E5" w:rsidRPr="007553E5" w:rsidP="007553E5">
            <w:pPr>
              <w:rPr>
                <w:rStyle w:val="DefaultParagraphFont"/>
                <w:rFonts w:ascii="Calibri" w:hAnsi="Calibri"/>
                <w:color w:val="000000"/>
                <w:sz w:val="22"/>
                <w:szCs w:val="22"/>
                <w:lang w:val="en-US" w:eastAsia="en-US" w:bidi="ar-SA"/>
              </w:rPr>
            </w:pPr>
          </w:p>
        </w:tc>
        <w:tc>
          <w:tcPr>
            <w:tcW w:w="133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7553E5" w:rsidRPr="007553E5" w:rsidP="007553E5">
            <w:pPr>
              <w:jc w:val="center"/>
              <w:rPr>
                <w:rStyle w:val="DefaultParagraphFont"/>
                <w:rFonts w:ascii="Calibri" w:hAnsi="Calibri"/>
                <w:b/>
                <w:bCs/>
                <w:color w:val="000000"/>
                <w:sz w:val="22"/>
                <w:szCs w:val="22"/>
                <w:lang w:val="en-US" w:eastAsia="en-US" w:bidi="ar-SA"/>
              </w:rPr>
            </w:pPr>
            <w:r w:rsidRPr="007553E5">
              <w:rPr>
                <w:rFonts w:ascii="Calibri" w:hAnsi="Calibri"/>
                <w:b/>
                <w:bCs/>
                <w:color w:val="000000"/>
                <w:sz w:val="22"/>
                <w:szCs w:val="22"/>
                <w:lang w:val="en-US" w:eastAsia="en-US" w:bidi="ar-SA"/>
              </w:rPr>
              <w:t>Program Costs</w:t>
            </w:r>
          </w:p>
        </w:tc>
        <w:tc>
          <w:tcPr>
            <w:tcW w:w="1382" w:type="dxa"/>
            <w:tcBorders>
              <w:top w:val="single" w:sz="4" w:space="0" w:color="auto"/>
              <w:left w:val="nil"/>
              <w:bottom w:val="single" w:sz="8" w:space="0" w:color="auto"/>
              <w:right w:val="single" w:sz="4" w:space="0" w:color="auto"/>
            </w:tcBorders>
            <w:shd w:val="clear" w:color="auto" w:fill="auto"/>
            <w:vAlign w:val="bottom"/>
            <w:hideMark/>
          </w:tcPr>
          <w:p w:rsidR="007553E5" w:rsidRPr="007553E5" w:rsidP="007553E5">
            <w:pPr>
              <w:jc w:val="center"/>
              <w:rPr>
                <w:rStyle w:val="DefaultParagraphFont"/>
                <w:rFonts w:ascii="Calibri" w:hAnsi="Calibri"/>
                <w:b/>
                <w:bCs/>
                <w:color w:val="000000"/>
                <w:sz w:val="22"/>
                <w:szCs w:val="22"/>
                <w:lang w:val="en-US" w:eastAsia="en-US" w:bidi="ar-SA"/>
              </w:rPr>
            </w:pPr>
            <w:r w:rsidRPr="007553E5">
              <w:rPr>
                <w:rFonts w:ascii="Calibri" w:hAnsi="Calibri"/>
                <w:b/>
                <w:bCs/>
                <w:color w:val="000000"/>
                <w:sz w:val="22"/>
                <w:szCs w:val="22"/>
                <w:lang w:val="en-US" w:eastAsia="en-US" w:bidi="ar-SA"/>
              </w:rPr>
              <w:t>Uncapped Utility Profits</w:t>
            </w:r>
          </w:p>
        </w:tc>
        <w:tc>
          <w:tcPr>
            <w:tcW w:w="1762" w:type="dxa"/>
            <w:tcBorders>
              <w:top w:val="single" w:sz="4" w:space="0" w:color="auto"/>
              <w:left w:val="nil"/>
              <w:bottom w:val="single" w:sz="8" w:space="0" w:color="auto"/>
              <w:right w:val="single" w:sz="4" w:space="0" w:color="auto"/>
            </w:tcBorders>
            <w:shd w:val="clear" w:color="auto" w:fill="auto"/>
            <w:vAlign w:val="bottom"/>
            <w:hideMark/>
          </w:tcPr>
          <w:p w:rsidR="007553E5" w:rsidRPr="007553E5" w:rsidP="007553E5">
            <w:pPr>
              <w:jc w:val="center"/>
              <w:rPr>
                <w:rStyle w:val="DefaultParagraphFont"/>
                <w:rFonts w:ascii="Calibri" w:hAnsi="Calibri"/>
                <w:b/>
                <w:bCs/>
                <w:color w:val="000000"/>
                <w:sz w:val="22"/>
                <w:szCs w:val="22"/>
                <w:lang w:val="en-US" w:eastAsia="en-US" w:bidi="ar-SA"/>
              </w:rPr>
            </w:pPr>
            <w:r>
              <w:rPr>
                <w:rFonts w:ascii="Calibri" w:hAnsi="Calibri"/>
                <w:b/>
                <w:bCs/>
                <w:color w:val="000000"/>
                <w:sz w:val="22"/>
                <w:szCs w:val="22"/>
                <w:lang w:val="en-US" w:eastAsia="en-US" w:bidi="ar-SA"/>
              </w:rPr>
              <w:t xml:space="preserve">Uncapped </w:t>
            </w:r>
            <w:r w:rsidRPr="007553E5">
              <w:rPr>
                <w:rFonts w:ascii="Calibri" w:hAnsi="Calibri"/>
                <w:b/>
                <w:bCs/>
                <w:color w:val="000000"/>
                <w:sz w:val="22"/>
                <w:szCs w:val="22"/>
                <w:lang w:val="en-US" w:eastAsia="en-US" w:bidi="ar-SA"/>
              </w:rPr>
              <w:t>Profits as % of Program Costs</w:t>
            </w:r>
          </w:p>
        </w:tc>
      </w:tr>
      <w:tr w:rsidTr="00496B9D">
        <w:tblPrEx>
          <w:tblW w:w="5434" w:type="dxa"/>
          <w:tblInd w:w="1746" w:type="dxa"/>
          <w:tblCellMar>
            <w:top w:w="0" w:type="dxa"/>
            <w:left w:w="108" w:type="dxa"/>
            <w:bottom w:w="0" w:type="dxa"/>
            <w:right w:w="108" w:type="dxa"/>
          </w:tblCellMar>
          <w:tblLook w:val="04A0"/>
        </w:tblPrEx>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2012</w:t>
            </w:r>
          </w:p>
        </w:tc>
        <w:tc>
          <w:tcPr>
            <w:tcW w:w="1330" w:type="dxa"/>
            <w:tcBorders>
              <w:top w:val="nil"/>
              <w:left w:val="nil"/>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$64,115,574</w:t>
            </w:r>
          </w:p>
        </w:tc>
        <w:tc>
          <w:tcPr>
            <w:tcW w:w="1382" w:type="dxa"/>
            <w:tcBorders>
              <w:top w:val="nil"/>
              <w:left w:val="nil"/>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$34,241,981</w:t>
            </w:r>
          </w:p>
        </w:tc>
        <w:tc>
          <w:tcPr>
            <w:tcW w:w="1762" w:type="dxa"/>
            <w:tcBorders>
              <w:top w:val="nil"/>
              <w:left w:val="nil"/>
              <w:bottom w:val="single" w:sz="4" w:space="0" w:color="auto"/>
              <w:right w:val="single" w:sz="4" w:space="0" w:color="auto"/>
            </w:tcBorders>
            <w:shd w:val="clear" w:color="auto" w:fill="auto"/>
            <w:noWrap/>
            <w:vAlign w:val="bottom"/>
            <w:hideMark/>
          </w:tcPr>
          <w:p w:rsidR="007553E5" w:rsidRPr="007553E5" w:rsidP="00496B9D">
            <w:pPr>
              <w:jc w:val="center"/>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53.4%</w:t>
            </w:r>
          </w:p>
        </w:tc>
      </w:tr>
      <w:tr w:rsidTr="00496B9D">
        <w:tblPrEx>
          <w:tblW w:w="5434" w:type="dxa"/>
          <w:tblInd w:w="1746" w:type="dxa"/>
          <w:tblCellMar>
            <w:top w:w="0" w:type="dxa"/>
            <w:left w:w="108" w:type="dxa"/>
            <w:bottom w:w="0" w:type="dxa"/>
            <w:right w:w="108" w:type="dxa"/>
          </w:tblCellMar>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2013</w:t>
            </w:r>
          </w:p>
        </w:tc>
        <w:tc>
          <w:tcPr>
            <w:tcW w:w="1330" w:type="dxa"/>
            <w:tcBorders>
              <w:top w:val="nil"/>
              <w:left w:val="nil"/>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$78,276,008</w:t>
            </w:r>
          </w:p>
        </w:tc>
        <w:tc>
          <w:tcPr>
            <w:tcW w:w="1382" w:type="dxa"/>
            <w:tcBorders>
              <w:top w:val="nil"/>
              <w:left w:val="nil"/>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$34,917,576</w:t>
            </w:r>
          </w:p>
        </w:tc>
        <w:tc>
          <w:tcPr>
            <w:tcW w:w="1762" w:type="dxa"/>
            <w:tcBorders>
              <w:top w:val="nil"/>
              <w:left w:val="nil"/>
              <w:bottom w:val="single" w:sz="4" w:space="0" w:color="auto"/>
              <w:right w:val="single" w:sz="4" w:space="0" w:color="auto"/>
            </w:tcBorders>
            <w:shd w:val="clear" w:color="auto" w:fill="auto"/>
            <w:noWrap/>
            <w:vAlign w:val="bottom"/>
            <w:hideMark/>
          </w:tcPr>
          <w:p w:rsidR="007553E5" w:rsidRPr="007553E5" w:rsidP="00496B9D">
            <w:pPr>
              <w:jc w:val="center"/>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44.6%</w:t>
            </w:r>
          </w:p>
        </w:tc>
      </w:tr>
      <w:tr w:rsidTr="00496B9D">
        <w:tblPrEx>
          <w:tblW w:w="5434" w:type="dxa"/>
          <w:tblInd w:w="1746" w:type="dxa"/>
          <w:tblCellMar>
            <w:top w:w="0" w:type="dxa"/>
            <w:left w:w="108" w:type="dxa"/>
            <w:bottom w:w="0" w:type="dxa"/>
            <w:right w:w="108" w:type="dxa"/>
          </w:tblCellMar>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2014</w:t>
            </w:r>
          </w:p>
        </w:tc>
        <w:tc>
          <w:tcPr>
            <w:tcW w:w="1330" w:type="dxa"/>
            <w:tcBorders>
              <w:top w:val="nil"/>
              <w:left w:val="nil"/>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$76,576,377</w:t>
            </w:r>
          </w:p>
        </w:tc>
        <w:tc>
          <w:tcPr>
            <w:tcW w:w="1382" w:type="dxa"/>
            <w:tcBorders>
              <w:top w:val="nil"/>
              <w:left w:val="nil"/>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$43,768,036</w:t>
            </w:r>
          </w:p>
        </w:tc>
        <w:tc>
          <w:tcPr>
            <w:tcW w:w="1762" w:type="dxa"/>
            <w:tcBorders>
              <w:top w:val="nil"/>
              <w:left w:val="nil"/>
              <w:bottom w:val="single" w:sz="4" w:space="0" w:color="auto"/>
              <w:right w:val="single" w:sz="4" w:space="0" w:color="auto"/>
            </w:tcBorders>
            <w:shd w:val="clear" w:color="auto" w:fill="auto"/>
            <w:noWrap/>
            <w:vAlign w:val="bottom"/>
            <w:hideMark/>
          </w:tcPr>
          <w:p w:rsidR="007553E5" w:rsidRPr="007553E5" w:rsidP="00496B9D">
            <w:pPr>
              <w:jc w:val="center"/>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57.2%</w:t>
            </w:r>
          </w:p>
        </w:tc>
      </w:tr>
      <w:tr w:rsidTr="00496B9D">
        <w:tblPrEx>
          <w:tblW w:w="5434" w:type="dxa"/>
          <w:tblInd w:w="1746" w:type="dxa"/>
          <w:tblCellMar>
            <w:top w:w="0" w:type="dxa"/>
            <w:left w:w="108" w:type="dxa"/>
            <w:bottom w:w="0" w:type="dxa"/>
            <w:right w:w="108" w:type="dxa"/>
          </w:tblCellMar>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2015</w:t>
            </w:r>
          </w:p>
        </w:tc>
        <w:tc>
          <w:tcPr>
            <w:tcW w:w="1330" w:type="dxa"/>
            <w:tcBorders>
              <w:top w:val="nil"/>
              <w:left w:val="nil"/>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$65,147,546</w:t>
            </w:r>
          </w:p>
        </w:tc>
        <w:tc>
          <w:tcPr>
            <w:tcW w:w="1382" w:type="dxa"/>
            <w:tcBorders>
              <w:top w:val="nil"/>
              <w:left w:val="nil"/>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$47,031,850</w:t>
            </w:r>
          </w:p>
        </w:tc>
        <w:tc>
          <w:tcPr>
            <w:tcW w:w="1762" w:type="dxa"/>
            <w:tcBorders>
              <w:top w:val="nil"/>
              <w:left w:val="nil"/>
              <w:bottom w:val="single" w:sz="4" w:space="0" w:color="auto"/>
              <w:right w:val="single" w:sz="4" w:space="0" w:color="auto"/>
            </w:tcBorders>
            <w:shd w:val="clear" w:color="auto" w:fill="auto"/>
            <w:noWrap/>
            <w:vAlign w:val="bottom"/>
            <w:hideMark/>
          </w:tcPr>
          <w:p w:rsidR="007553E5" w:rsidRPr="007553E5" w:rsidP="00496B9D">
            <w:pPr>
              <w:jc w:val="center"/>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72.2%</w:t>
            </w:r>
          </w:p>
        </w:tc>
      </w:tr>
      <w:tr w:rsidTr="00496B9D">
        <w:tblPrEx>
          <w:tblW w:w="5434" w:type="dxa"/>
          <w:tblInd w:w="1746" w:type="dxa"/>
          <w:tblCellMar>
            <w:top w:w="0" w:type="dxa"/>
            <w:left w:w="108" w:type="dxa"/>
            <w:bottom w:w="0" w:type="dxa"/>
            <w:right w:w="108" w:type="dxa"/>
          </w:tblCellMar>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2016</w:t>
            </w:r>
          </w:p>
        </w:tc>
        <w:tc>
          <w:tcPr>
            <w:tcW w:w="1330" w:type="dxa"/>
            <w:tcBorders>
              <w:top w:val="nil"/>
              <w:left w:val="nil"/>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$70,428,772</w:t>
            </w:r>
          </w:p>
        </w:tc>
        <w:tc>
          <w:tcPr>
            <w:tcW w:w="1382" w:type="dxa"/>
            <w:tcBorders>
              <w:top w:val="nil"/>
              <w:left w:val="nil"/>
              <w:bottom w:val="single" w:sz="4" w:space="0" w:color="auto"/>
              <w:right w:val="single" w:sz="4" w:space="0" w:color="auto"/>
            </w:tcBorders>
            <w:shd w:val="clear" w:color="auto" w:fill="auto"/>
            <w:noWrap/>
            <w:vAlign w:val="bottom"/>
            <w:hideMark/>
          </w:tcPr>
          <w:p w:rsidR="007553E5" w:rsidRPr="007553E5" w:rsidP="007553E5">
            <w:pPr>
              <w:jc w:val="right"/>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$60,659,901</w:t>
            </w:r>
          </w:p>
        </w:tc>
        <w:tc>
          <w:tcPr>
            <w:tcW w:w="1762" w:type="dxa"/>
            <w:tcBorders>
              <w:top w:val="nil"/>
              <w:left w:val="nil"/>
              <w:bottom w:val="single" w:sz="4" w:space="0" w:color="auto"/>
              <w:right w:val="single" w:sz="4" w:space="0" w:color="auto"/>
            </w:tcBorders>
            <w:shd w:val="clear" w:color="auto" w:fill="auto"/>
            <w:noWrap/>
            <w:vAlign w:val="bottom"/>
            <w:hideMark/>
          </w:tcPr>
          <w:p w:rsidR="007553E5" w:rsidRPr="007553E5" w:rsidP="00496B9D">
            <w:pPr>
              <w:jc w:val="center"/>
              <w:rPr>
                <w:rStyle w:val="DefaultParagraphFont"/>
                <w:rFonts w:ascii="Calibri" w:hAnsi="Calibri"/>
                <w:color w:val="000000"/>
                <w:sz w:val="22"/>
                <w:szCs w:val="22"/>
                <w:lang w:val="en-US" w:eastAsia="en-US" w:bidi="ar-SA"/>
              </w:rPr>
            </w:pPr>
            <w:r w:rsidRPr="007553E5">
              <w:rPr>
                <w:rFonts w:ascii="Calibri" w:hAnsi="Calibri"/>
                <w:color w:val="000000"/>
                <w:sz w:val="22"/>
                <w:szCs w:val="22"/>
                <w:lang w:val="en-US" w:eastAsia="en-US" w:bidi="ar-SA"/>
              </w:rPr>
              <w:t>86.1%</w:t>
            </w:r>
          </w:p>
        </w:tc>
      </w:tr>
    </w:tbl>
    <w:p w:rsidR="00284AC1" w:rsidP="00614CD5">
      <w:pPr>
        <w:pStyle w:val="BodyTextIndent3"/>
        <w:widowControl w:val="0"/>
        <w:spacing w:line="480" w:lineRule="auto"/>
        <w:ind w:right="-312"/>
      </w:pPr>
    </w:p>
    <w:p w:rsidR="007645C4" w:rsidP="007645C4">
      <w:pPr>
        <w:pStyle w:val="BodyTextIndent3"/>
        <w:widowControl w:val="0"/>
        <w:spacing w:line="480" w:lineRule="auto"/>
        <w:ind w:right="-312"/>
      </w:pPr>
      <w:r>
        <w:t xml:space="preserve">As this chart shows, </w:t>
      </w:r>
      <w:r w:rsidR="00783E16">
        <w:t>the additional shared savings customer surcharge</w:t>
      </w:r>
      <w:r>
        <w:t xml:space="preserve"> would </w:t>
      </w:r>
      <w:r w:rsidR="00304A40">
        <w:t>be much higher if not for the annual $31.2 million</w:t>
      </w:r>
      <w:r>
        <w:rPr>
          <w:rStyle w:val="FootnoteReference"/>
        </w:rPr>
        <w:footnoteReference w:id="12"/>
      </w:r>
      <w:r w:rsidR="00304A40">
        <w:t xml:space="preserve"> shared savings cap</w:t>
      </w:r>
      <w:r w:rsidR="006A021E">
        <w:t xml:space="preserve"> that applied for years 2012 to 2016</w:t>
      </w:r>
      <w:r w:rsidR="00304A40">
        <w:t xml:space="preserve">. </w:t>
      </w:r>
      <w:r>
        <w:t>In 2016, for example, the profit cap saved customers nearly $30 million.</w:t>
      </w:r>
      <w:r>
        <w:rPr>
          <w:rStyle w:val="FootnoteReference"/>
        </w:rPr>
        <w:footnoteReference w:id="13"/>
      </w:r>
      <w:r>
        <w:t xml:space="preserve"> </w:t>
      </w:r>
      <w:r w:rsidR="00304A40">
        <w:t>If the trend shown in the chart continues, then the Portfolio Settlement will continue to save customers more money from 2017 to 2020 by reducing the amount of profits that they are charged for energy efficiency</w:t>
      </w:r>
      <w:r>
        <w:t>.</w:t>
      </w:r>
    </w:p>
    <w:p w:rsidR="007645C4" w:rsidP="004F1BE7">
      <w:pPr>
        <w:pStyle w:val="BodyTextIndent3"/>
        <w:spacing w:line="480" w:lineRule="auto"/>
        <w:ind w:right="-317"/>
      </w:pPr>
      <w:r>
        <w:t>Energy efficiency</w:t>
      </w:r>
      <w:r>
        <w:t xml:space="preserve"> programs are much more</w:t>
      </w:r>
      <w:r w:rsidR="00C200B4">
        <w:t xml:space="preserve"> reasonable </w:t>
      </w:r>
      <w:r>
        <w:t xml:space="preserve">for consumers if </w:t>
      </w:r>
      <w:r w:rsidR="00121C41">
        <w:t xml:space="preserve">there is a cap on the amount of shared savings that </w:t>
      </w:r>
      <w:r w:rsidR="00C200B4">
        <w:t xml:space="preserve">customers </w:t>
      </w:r>
      <w:r w:rsidR="00121C41">
        <w:t xml:space="preserve">must pay. OCC appreciates the effort in the Portfolio Settlement to limit the amount of money </w:t>
      </w:r>
      <w:r w:rsidR="004F1BE7">
        <w:t xml:space="preserve">that </w:t>
      </w:r>
      <w:r w:rsidR="00121C41">
        <w:t>consumers must pay.</w:t>
      </w:r>
    </w:p>
    <w:p w:rsidR="00614CD5" w:rsidRPr="00F257DB" w:rsidP="00F575E1">
      <w:pPr>
        <w:pStyle w:val="BodyTextIndent3"/>
        <w:widowControl w:val="0"/>
        <w:spacing w:line="480" w:lineRule="auto"/>
        <w:ind w:right="-312"/>
        <w:rPr>
          <w:szCs w:val="24"/>
        </w:rPr>
      </w:pPr>
      <w:r>
        <w:rPr>
          <w:szCs w:val="24"/>
        </w:rPr>
        <w:tab/>
      </w:r>
      <w:r>
        <w:rPr>
          <w:szCs w:val="24"/>
        </w:rPr>
        <w:tab/>
      </w:r>
      <w:r>
        <w:rPr>
          <w:szCs w:val="24"/>
        </w:rPr>
        <w:tab/>
      </w:r>
      <w:r>
        <w:rPr>
          <w:szCs w:val="24"/>
        </w:rPr>
        <w:tab/>
      </w:r>
      <w:r>
        <w:rPr>
          <w:szCs w:val="24"/>
        </w:rPr>
        <w:tab/>
      </w:r>
      <w:r w:rsidRPr="00F257DB">
        <w:rPr>
          <w:szCs w:val="24"/>
        </w:rPr>
        <w:t>Respectfully submitted,</w:t>
      </w:r>
    </w:p>
    <w:p w:rsidR="00614CD5" w:rsidRPr="00F257DB" w:rsidP="00614CD5">
      <w:pPr>
        <w:ind w:left="4320"/>
        <w:rPr>
          <w:szCs w:val="24"/>
        </w:rPr>
      </w:pPr>
      <w:r w:rsidRPr="00F257DB">
        <w:rPr>
          <w:szCs w:val="24"/>
        </w:rPr>
        <w:t>BRUCE WESTON (0016973)</w:t>
      </w:r>
    </w:p>
    <w:p w:rsidR="00614CD5" w:rsidRPr="00F257DB" w:rsidP="00614CD5">
      <w:pPr>
        <w:tabs>
          <w:tab w:val="left" w:pos="4320"/>
        </w:tabs>
        <w:ind w:left="4320"/>
        <w:rPr>
          <w:szCs w:val="24"/>
        </w:rPr>
      </w:pPr>
      <w:r w:rsidRPr="00F257DB">
        <w:rPr>
          <w:szCs w:val="24"/>
        </w:rPr>
        <w:t>OHIO CONSUMERS</w:t>
      </w:r>
      <w:r>
        <w:rPr>
          <w:szCs w:val="24"/>
        </w:rPr>
        <w:t>'</w:t>
      </w:r>
      <w:r w:rsidRPr="00F257DB">
        <w:rPr>
          <w:szCs w:val="24"/>
        </w:rPr>
        <w:t xml:space="preserve"> COUNSEL</w:t>
      </w:r>
    </w:p>
    <w:p w:rsidR="00614CD5" w:rsidRPr="00F257DB" w:rsidP="00614CD5">
      <w:pPr>
        <w:tabs>
          <w:tab w:val="left" w:pos="4320"/>
        </w:tabs>
        <w:ind w:left="4320"/>
        <w:rPr>
          <w:szCs w:val="24"/>
        </w:rPr>
      </w:pPr>
    </w:p>
    <w:p w:rsidR="00614CD5" w:rsidRPr="00F257DB" w:rsidP="00614CD5">
      <w:pPr>
        <w:autoSpaceDE w:val="0"/>
        <w:autoSpaceDN w:val="0"/>
        <w:adjustRightInd w:val="0"/>
        <w:ind w:left="4320"/>
        <w:rPr>
          <w:i/>
          <w:szCs w:val="24"/>
        </w:rPr>
      </w:pPr>
      <w:r w:rsidRPr="00F257DB">
        <w:rPr>
          <w:i/>
          <w:szCs w:val="24"/>
          <w:u w:val="single"/>
        </w:rPr>
        <w:t xml:space="preserve">/s/ </w:t>
      </w:r>
      <w:r>
        <w:rPr>
          <w:i/>
          <w:szCs w:val="24"/>
          <w:u w:val="single"/>
        </w:rPr>
        <w:t>Christopher M. Healey</w:t>
      </w:r>
      <w:r w:rsidRPr="00F257DB">
        <w:rPr>
          <w:i/>
          <w:szCs w:val="24"/>
          <w:u w:val="single"/>
        </w:rPr>
        <w:tab/>
      </w:r>
      <w:r w:rsidRPr="00F257DB">
        <w:rPr>
          <w:i/>
          <w:szCs w:val="24"/>
          <w:u w:val="single"/>
        </w:rPr>
        <w:tab/>
      </w:r>
    </w:p>
    <w:p w:rsidR="00614CD5" w:rsidP="00614CD5">
      <w:pPr>
        <w:tabs>
          <w:tab w:val="left" w:pos="4320"/>
        </w:tabs>
        <w:ind w:left="4320"/>
        <w:rPr>
          <w:szCs w:val="24"/>
        </w:rPr>
      </w:pPr>
      <w:r>
        <w:rPr>
          <w:szCs w:val="24"/>
        </w:rPr>
        <w:t>Christopher M. Healey (0086027)</w:t>
      </w:r>
    </w:p>
    <w:p w:rsidR="00856E1B" w:rsidP="00614CD5">
      <w:pPr>
        <w:tabs>
          <w:tab w:val="left" w:pos="4320"/>
        </w:tabs>
        <w:ind w:left="4320"/>
        <w:rPr>
          <w:szCs w:val="24"/>
        </w:rPr>
      </w:pPr>
      <w:r>
        <w:rPr>
          <w:szCs w:val="24"/>
        </w:rPr>
        <w:t>Counsel of Record</w:t>
      </w:r>
    </w:p>
    <w:p w:rsidR="00856E1B" w:rsidP="00614CD5">
      <w:pPr>
        <w:tabs>
          <w:tab w:val="left" w:pos="4320"/>
        </w:tabs>
        <w:ind w:left="4320"/>
        <w:rPr>
          <w:szCs w:val="24"/>
        </w:rPr>
      </w:pPr>
      <w:r>
        <w:rPr>
          <w:szCs w:val="24"/>
        </w:rPr>
        <w:t>Terry L. Etter (0067445)</w:t>
      </w:r>
    </w:p>
    <w:p w:rsidR="00614CD5" w:rsidP="00614CD5">
      <w:pPr>
        <w:tabs>
          <w:tab w:val="left" w:pos="4320"/>
        </w:tabs>
        <w:ind w:left="4320"/>
        <w:rPr>
          <w:szCs w:val="24"/>
        </w:rPr>
      </w:pPr>
      <w:r>
        <w:rPr>
          <w:szCs w:val="24"/>
        </w:rPr>
        <w:t>Assistant Consumers' Counsel</w:t>
      </w:r>
      <w:r w:rsidRPr="00F257DB">
        <w:rPr>
          <w:szCs w:val="24"/>
        </w:rPr>
        <w:br/>
      </w:r>
    </w:p>
    <w:p w:rsidR="00614CD5" w:rsidRPr="002C2315" w:rsidP="00614CD5">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614CD5" w:rsidP="00614CD5">
      <w:pPr>
        <w:tabs>
          <w:tab w:val="left" w:pos="4320"/>
        </w:tabs>
        <w:ind w:left="4320"/>
        <w:rPr>
          <w:szCs w:val="24"/>
        </w:rPr>
      </w:pPr>
      <w:r w:rsidRPr="00F257DB">
        <w:rPr>
          <w:szCs w:val="24"/>
        </w:rPr>
        <w:t>10 West Broad Street, Suite 1800</w:t>
      </w:r>
    </w:p>
    <w:p w:rsidR="00614CD5" w:rsidP="00614CD5">
      <w:pPr>
        <w:tabs>
          <w:tab w:val="left" w:pos="4320"/>
        </w:tabs>
        <w:ind w:left="4320"/>
        <w:rPr>
          <w:szCs w:val="24"/>
        </w:rPr>
      </w:pPr>
      <w:r w:rsidRPr="00F257DB">
        <w:rPr>
          <w:szCs w:val="24"/>
        </w:rPr>
        <w:t>Columbus, Ohio 43215-3485</w:t>
      </w:r>
    </w:p>
    <w:p w:rsidR="00614CD5" w:rsidP="00614CD5">
      <w:pPr>
        <w:tabs>
          <w:tab w:val="left" w:pos="4320"/>
        </w:tabs>
        <w:ind w:left="4320"/>
        <w:rPr>
          <w:szCs w:val="24"/>
        </w:rPr>
      </w:pPr>
      <w:r>
        <w:rPr>
          <w:szCs w:val="24"/>
        </w:rPr>
        <w:t>Telephone</w:t>
      </w:r>
      <w:r w:rsidR="00856E1B">
        <w:rPr>
          <w:szCs w:val="24"/>
        </w:rPr>
        <w:t xml:space="preserve"> [Healey]</w:t>
      </w:r>
      <w:r>
        <w:rPr>
          <w:szCs w:val="24"/>
        </w:rPr>
        <w:t xml:space="preserve">: </w:t>
      </w:r>
      <w:r w:rsidRPr="00F257DB">
        <w:rPr>
          <w:szCs w:val="24"/>
        </w:rPr>
        <w:t>614</w:t>
      </w:r>
      <w:r w:rsidR="00856E1B">
        <w:rPr>
          <w:szCs w:val="24"/>
        </w:rPr>
        <w:t>-</w:t>
      </w:r>
      <w:r>
        <w:rPr>
          <w:szCs w:val="24"/>
        </w:rPr>
        <w:t>466-9571</w:t>
      </w:r>
    </w:p>
    <w:p w:rsidR="00856E1B" w:rsidRPr="00F257DB" w:rsidP="00614CD5">
      <w:pPr>
        <w:tabs>
          <w:tab w:val="left" w:pos="4320"/>
        </w:tabs>
        <w:ind w:left="4320"/>
        <w:rPr>
          <w:szCs w:val="24"/>
        </w:rPr>
      </w:pPr>
      <w:r>
        <w:rPr>
          <w:szCs w:val="24"/>
        </w:rPr>
        <w:t>Telephone [Etter]: 614-466-7964</w:t>
      </w:r>
    </w:p>
    <w:p w:rsidR="00614CD5" w:rsidP="00614CD5">
      <w:pPr>
        <w:ind w:left="4320"/>
        <w:rPr>
          <w:szCs w:val="24"/>
        </w:rPr>
      </w:pPr>
      <w:r>
        <w:fldChar w:fldCharType="begin"/>
      </w:r>
      <w:r>
        <w:instrText xml:space="preserve"> HYPERLINK "mailto:christopher.healey@occ.ohio.gov" </w:instrText>
      </w:r>
      <w:r>
        <w:fldChar w:fldCharType="separate"/>
      </w:r>
      <w:r w:rsidRPr="000A0618">
        <w:rPr>
          <w:rStyle w:val="Hyperlink"/>
          <w:szCs w:val="24"/>
        </w:rPr>
        <w:t>christopher.healey@occ.ohio.gov</w:t>
      </w:r>
      <w:r>
        <w:fldChar w:fldCharType="end"/>
      </w:r>
      <w:r>
        <w:rPr>
          <w:szCs w:val="24"/>
        </w:rPr>
        <w:t xml:space="preserve"> </w:t>
      </w:r>
    </w:p>
    <w:p w:rsidR="00856E1B" w:rsidRPr="00F257DB" w:rsidP="00614CD5">
      <w:pPr>
        <w:ind w:left="4320"/>
        <w:rPr>
          <w:szCs w:val="24"/>
        </w:rPr>
      </w:pPr>
      <w:r>
        <w:fldChar w:fldCharType="begin"/>
      </w:r>
      <w:r>
        <w:instrText xml:space="preserve"> HYPERLINK "mailto:terry.etter@occ.ohio.gov" </w:instrText>
      </w:r>
      <w:r>
        <w:fldChar w:fldCharType="separate"/>
      </w:r>
      <w:r w:rsidRPr="000402BF">
        <w:rPr>
          <w:rStyle w:val="Hyperlink"/>
          <w:szCs w:val="24"/>
        </w:rPr>
        <w:t>terry.etter@occ.ohio.gov</w:t>
      </w:r>
      <w:r>
        <w:fldChar w:fldCharType="end"/>
      </w:r>
      <w:r>
        <w:rPr>
          <w:szCs w:val="24"/>
        </w:rPr>
        <w:t xml:space="preserve"> </w:t>
      </w:r>
    </w:p>
    <w:p w:rsidR="00614CD5" w:rsidRPr="00F257DB" w:rsidP="00614CD5">
      <w:pPr>
        <w:ind w:left="4320"/>
        <w:rPr>
          <w:szCs w:val="24"/>
        </w:rPr>
      </w:pPr>
      <w:r w:rsidRPr="00F257DB">
        <w:rPr>
          <w:szCs w:val="24"/>
        </w:rPr>
        <w:t>(</w:t>
      </w:r>
      <w:r w:rsidR="00242E88">
        <w:rPr>
          <w:szCs w:val="24"/>
        </w:rPr>
        <w:t>Both w</w:t>
      </w:r>
      <w:r>
        <w:rPr>
          <w:szCs w:val="24"/>
        </w:rPr>
        <w:t>ill</w:t>
      </w:r>
      <w:r w:rsidRPr="00F257DB">
        <w:rPr>
          <w:szCs w:val="24"/>
        </w:rPr>
        <w:t xml:space="preserve"> accept service via email)</w:t>
      </w:r>
    </w:p>
    <w:p w:rsidR="00614CD5">
      <w:pPr>
        <w:pStyle w:val="HTMLPreformatted"/>
        <w:jc w:val="center"/>
        <w:rPr>
          <w:rFonts w:ascii="Times New Roman" w:hAnsi="Times New Roman"/>
          <w:b/>
          <w:bCs/>
          <w:sz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614CD5" w:rsidP="00614CD5">
      <w:pPr>
        <w:jc w:val="center"/>
        <w:rPr>
          <w:b/>
          <w:bCs/>
          <w:u w:val="single"/>
        </w:rPr>
      </w:pPr>
      <w:r>
        <w:rPr>
          <w:b/>
          <w:bCs/>
          <w:u w:val="single"/>
        </w:rPr>
        <w:t>CERTIFICATE OF SERVICE</w:t>
      </w:r>
    </w:p>
    <w:p w:rsidR="00614CD5" w:rsidRPr="001E4C2F" w:rsidP="00614CD5">
      <w:pPr>
        <w:spacing w:line="480" w:lineRule="atLeast"/>
        <w:ind w:firstLine="720"/>
      </w:pPr>
      <w:r w:rsidRPr="001E4C2F">
        <w:t>I hereby certify that a copy of th</w:t>
      </w:r>
      <w:r w:rsidR="00E04F14">
        <w:t>ese</w:t>
      </w:r>
      <w:r w:rsidRPr="001E4C2F">
        <w:t xml:space="preserve"> </w:t>
      </w:r>
      <w:r w:rsidR="00E04F14">
        <w:t>Comments</w:t>
      </w:r>
      <w:r w:rsidRPr="001E4C2F">
        <w:t xml:space="preserve"> was served on the persons stated below via electronic transmission, this </w:t>
      </w:r>
      <w:r w:rsidR="00F575E1">
        <w:t>14th</w:t>
      </w:r>
      <w:r w:rsidRPr="001E4C2F">
        <w:t xml:space="preserve"> day of </w:t>
      </w:r>
      <w:r w:rsidR="00E04F14">
        <w:t>June</w:t>
      </w:r>
      <w:r w:rsidRPr="001E4C2F">
        <w:t xml:space="preserve"> 2017.</w:t>
      </w:r>
    </w:p>
    <w:p w:rsidR="00614CD5">
      <w:pPr>
        <w:spacing w:line="480" w:lineRule="atLeast"/>
      </w:pPr>
    </w:p>
    <w:p w:rsidR="00614CD5">
      <w:pPr>
        <w:tabs>
          <w:tab w:val="left" w:pos="4320"/>
        </w:tabs>
      </w:pPr>
      <w:r>
        <w:tab/>
      </w:r>
      <w:r>
        <w:rPr>
          <w:i/>
          <w:u w:val="single"/>
        </w:rPr>
        <w:t>/s/ Christopher M. Healey</w:t>
      </w:r>
      <w:r>
        <w:rPr>
          <w:i/>
          <w:u w:val="single"/>
        </w:rPr>
        <w:tab/>
      </w:r>
    </w:p>
    <w:p w:rsidR="00614CD5">
      <w:pPr>
        <w:tabs>
          <w:tab w:val="left" w:pos="4320"/>
        </w:tabs>
      </w:pPr>
      <w:r>
        <w:tab/>
        <w:t>Christopher M. Healey</w:t>
      </w:r>
    </w:p>
    <w:p w:rsidR="00614CD5">
      <w:pPr>
        <w:tabs>
          <w:tab w:val="left" w:pos="4320"/>
        </w:tabs>
      </w:pPr>
      <w:r>
        <w:tab/>
        <w:t>Assistant Consumers' Counsel</w:t>
      </w:r>
    </w:p>
    <w:p w:rsidR="00614CD5">
      <w:pPr>
        <w:pStyle w:val="CommentSubject"/>
      </w:pPr>
    </w:p>
    <w:p w:rsidR="00614CD5" w:rsidP="00614CD5">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428"/>
        <w:gridCol w:w="4428"/>
      </w:tblGrid>
      <w:tr w:rsidTr="00614CD5">
        <w:tblPrEx>
          <w:tblW w:w="0" w:type="auto"/>
          <w:tblInd w:w="0" w:type="dxa"/>
          <w:tblCellMar>
            <w:top w:w="0" w:type="dxa"/>
            <w:left w:w="108" w:type="dxa"/>
            <w:bottom w:w="0" w:type="dxa"/>
            <w:right w:w="108" w:type="dxa"/>
          </w:tblCellMar>
          <w:tblLook w:val="04A0"/>
        </w:tblPrEx>
        <w:tc>
          <w:tcPr>
            <w:tcW w:w="4428" w:type="dxa"/>
            <w:shd w:val="clear" w:color="auto" w:fill="auto"/>
          </w:tcPr>
          <w:p w:rsidR="00614CD5" w:rsidRPr="00F7490A" w:rsidP="00614CD5">
            <w:pPr>
              <w:pStyle w:val="CommentText"/>
              <w:rPr>
                <w:rStyle w:val="DefaultParagraphFont"/>
                <w:sz w:val="24"/>
                <w:szCs w:val="24"/>
                <w:lang w:val="en-US" w:eastAsia="en-US" w:bidi="ar-SA"/>
              </w:rPr>
            </w:pPr>
          </w:p>
        </w:tc>
        <w:tc>
          <w:tcPr>
            <w:tcW w:w="4428" w:type="dxa"/>
            <w:shd w:val="clear" w:color="auto" w:fill="auto"/>
          </w:tcPr>
          <w:p w:rsidR="00614CD5" w:rsidRPr="00F7490A" w:rsidP="00614CD5">
            <w:pPr>
              <w:pStyle w:val="CommentText"/>
              <w:rPr>
                <w:rStyle w:val="DefaultParagraphFont"/>
                <w:sz w:val="24"/>
                <w:szCs w:val="24"/>
                <w:lang w:val="en-US" w:eastAsia="en-US" w:bidi="ar-SA"/>
              </w:rPr>
            </w:pPr>
          </w:p>
        </w:tc>
      </w:tr>
    </w:tbl>
    <w:p w:rsidR="00F575E1" w:rsidP="00F575E1">
      <w:pPr>
        <w:pStyle w:val="CommentText"/>
        <w:jc w:val="center"/>
        <w:rPr>
          <w:b/>
          <w:u w:val="single"/>
        </w:rPr>
      </w:pPr>
      <w:r w:rsidRPr="00FB7D74">
        <w:rPr>
          <w:b/>
          <w:u w:val="single"/>
        </w:rPr>
        <w:t>SERVICE LIST</w:t>
      </w:r>
    </w:p>
    <w:p w:rsidR="00F575E1" w:rsidP="00F575E1">
      <w:pPr>
        <w:pStyle w:val="CommentText"/>
        <w:jc w:val="center"/>
        <w:rPr>
          <w:b/>
          <w:u w:val="single"/>
        </w:rPr>
      </w:pPr>
    </w:p>
    <w:p w:rsidR="00F575E1" w:rsidP="00F575E1">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C8210A">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F575E1" w:rsidRPr="009B52AB" w:rsidP="00C8210A">
            <w:pPr>
              <w:autoSpaceDE w:val="0"/>
              <w:autoSpaceDN w:val="0"/>
              <w:adjustRightInd w:val="0"/>
              <w:rPr>
                <w:rStyle w:val="DefaultParagraphFont"/>
                <w:bCs/>
                <w:sz w:val="24"/>
                <w:lang w:val="en-US" w:eastAsia="en-US" w:bidi="ar-SA"/>
              </w:rPr>
            </w:pPr>
            <w:r w:rsidRPr="009B52AB">
              <w:rPr>
                <w:bCs/>
                <w:sz w:val="24"/>
                <w:lang w:val="en-US" w:eastAsia="en-US" w:bidi="ar-SA"/>
              </w:rPr>
              <w:t>William Wright</w:t>
            </w:r>
          </w:p>
          <w:p w:rsidR="00F575E1" w:rsidRPr="009B52AB" w:rsidP="00C8210A">
            <w:pPr>
              <w:autoSpaceDE w:val="0"/>
              <w:autoSpaceDN w:val="0"/>
              <w:adjustRightInd w:val="0"/>
              <w:rPr>
                <w:rStyle w:val="DefaultParagraphFont"/>
                <w:bCs/>
                <w:sz w:val="24"/>
                <w:lang w:val="en-US" w:eastAsia="en-US" w:bidi="ar-SA"/>
              </w:rPr>
            </w:pPr>
            <w:r w:rsidRPr="009B52AB">
              <w:rPr>
                <w:bCs/>
                <w:sz w:val="24"/>
                <w:lang w:val="en-US" w:eastAsia="en-US" w:bidi="ar-SA"/>
              </w:rPr>
              <w:t>Ohio Attorney General’s Office</w:t>
            </w:r>
          </w:p>
          <w:p w:rsidR="00F575E1" w:rsidRPr="009B52AB" w:rsidP="00C8210A">
            <w:pPr>
              <w:autoSpaceDE w:val="0"/>
              <w:autoSpaceDN w:val="0"/>
              <w:adjustRightInd w:val="0"/>
              <w:rPr>
                <w:rStyle w:val="DefaultParagraphFont"/>
                <w:bCs/>
                <w:sz w:val="24"/>
                <w:lang w:val="en-US" w:eastAsia="en-US" w:bidi="ar-SA"/>
              </w:rPr>
            </w:pPr>
            <w:r w:rsidRPr="009B52AB">
              <w:rPr>
                <w:bCs/>
                <w:sz w:val="24"/>
                <w:lang w:val="en-US" w:eastAsia="en-US" w:bidi="ar-SA"/>
              </w:rPr>
              <w:t>Public Utilities Commission of Ohio</w:t>
            </w:r>
          </w:p>
          <w:p w:rsidR="00F575E1" w:rsidRPr="00F71EF5" w:rsidP="00C8210A">
            <w:pPr>
              <w:autoSpaceDE w:val="0"/>
              <w:autoSpaceDN w:val="0"/>
              <w:adjustRightInd w:val="0"/>
              <w:rPr>
                <w:rStyle w:val="DefaultParagraphFont"/>
                <w:bCs/>
                <w:sz w:val="24"/>
                <w:szCs w:val="24"/>
                <w:lang w:val="en-US" w:eastAsia="en-US" w:bidi="ar-SA"/>
              </w:rPr>
            </w:pPr>
            <w:r w:rsidRPr="00F71EF5">
              <w:rPr>
                <w:bCs/>
                <w:sz w:val="24"/>
                <w:szCs w:val="24"/>
                <w:lang w:val="en-US" w:eastAsia="en-US" w:bidi="ar-SA"/>
              </w:rPr>
              <w:t>30 E. Broad St., 16</w:t>
            </w:r>
            <w:r w:rsidRPr="00F71EF5">
              <w:rPr>
                <w:bCs/>
                <w:sz w:val="24"/>
                <w:szCs w:val="24"/>
                <w:vertAlign w:val="superscript"/>
                <w:lang w:val="en-US" w:eastAsia="en-US" w:bidi="ar-SA"/>
              </w:rPr>
              <w:t>th</w:t>
            </w:r>
            <w:r w:rsidRPr="00F71EF5">
              <w:rPr>
                <w:bCs/>
                <w:sz w:val="24"/>
                <w:szCs w:val="24"/>
                <w:lang w:val="en-US" w:eastAsia="en-US" w:bidi="ar-SA"/>
              </w:rPr>
              <w:t xml:space="preserve"> Floor</w:t>
            </w:r>
          </w:p>
          <w:p w:rsidR="00F575E1" w:rsidRPr="009B52AB" w:rsidP="00C8210A">
            <w:pPr>
              <w:autoSpaceDE w:val="0"/>
              <w:autoSpaceDN w:val="0"/>
              <w:adjustRightInd w:val="0"/>
              <w:rPr>
                <w:rStyle w:val="DefaultParagraphFont"/>
                <w:bCs/>
                <w:sz w:val="24"/>
                <w:lang w:val="en-US" w:eastAsia="en-US" w:bidi="ar-SA"/>
              </w:rPr>
            </w:pPr>
            <w:r w:rsidRPr="00F71EF5">
              <w:rPr>
                <w:bCs/>
                <w:sz w:val="24"/>
                <w:szCs w:val="24"/>
                <w:lang w:val="en-US" w:eastAsia="en-US" w:bidi="ar-SA"/>
              </w:rPr>
              <w:t>Columbus, Ohio 43215</w:t>
            </w:r>
          </w:p>
          <w:p w:rsidR="00F575E1" w:rsidRPr="009B52AB" w:rsidP="00C8210A">
            <w:pPr>
              <w:autoSpaceDE w:val="0"/>
              <w:autoSpaceDN w:val="0"/>
              <w:adjustRightInd w:val="0"/>
              <w:rPr>
                <w:rStyle w:val="DefaultParagraphFont"/>
                <w:bCs/>
                <w:sz w:val="24"/>
                <w:lang w:val="en-US" w:eastAsia="en-US" w:bidi="ar-SA"/>
              </w:rPr>
            </w:pPr>
            <w:r>
              <w:fldChar w:fldCharType="begin"/>
            </w:r>
            <w:r>
              <w:rPr>
                <w:sz w:val="24"/>
                <w:lang w:val="en-US" w:eastAsia="en-US" w:bidi="ar-SA"/>
              </w:rPr>
              <w:instrText xml:space="preserve"> HYPERLINK "mailto:william.wright@ohioattorneygeneral.gov" </w:instrText>
            </w:r>
            <w:r>
              <w:fldChar w:fldCharType="separate"/>
            </w:r>
            <w:r w:rsidRPr="00011932">
              <w:rPr>
                <w:rStyle w:val="Hyperlink"/>
                <w:bCs/>
                <w:color w:val="0000FF"/>
                <w:sz w:val="24"/>
                <w:szCs w:val="24"/>
                <w:u w:val="single"/>
                <w:lang w:val="en-US" w:eastAsia="en-US" w:bidi="ar-SA"/>
              </w:rPr>
              <w:t>william.wright@ohioattorneygeneral.gov</w:t>
            </w:r>
            <w:r>
              <w:fldChar w:fldCharType="end"/>
            </w:r>
          </w:p>
          <w:p w:rsidR="00F575E1" w:rsidP="00C8210A">
            <w:pPr>
              <w:pStyle w:val="CommentText"/>
              <w:jc w:val="center"/>
              <w:rPr>
                <w:rStyle w:val="DefaultParagraphFont"/>
                <w:b/>
                <w:sz w:val="24"/>
                <w:szCs w:val="24"/>
                <w:u w:val="single"/>
                <w:lang w:val="en-US" w:eastAsia="en-US" w:bidi="ar-SA"/>
              </w:rPr>
            </w:pPr>
          </w:p>
        </w:tc>
        <w:tc>
          <w:tcPr>
            <w:tcW w:w="4428" w:type="dxa"/>
          </w:tcPr>
          <w:p w:rsidR="00F575E1" w:rsidP="00C8210A">
            <w:pPr>
              <w:autoSpaceDE w:val="0"/>
              <w:autoSpaceDN w:val="0"/>
              <w:adjustRightInd w:val="0"/>
              <w:ind w:left="612"/>
              <w:rPr>
                <w:rStyle w:val="DefaultParagraphFont"/>
                <w:color w:val="000000"/>
                <w:sz w:val="24"/>
                <w:szCs w:val="24"/>
                <w:lang w:val="en-US" w:eastAsia="en-US" w:bidi="ar-SA"/>
              </w:rPr>
            </w:pPr>
            <w:r>
              <w:rPr>
                <w:color w:val="000000"/>
                <w:sz w:val="24"/>
                <w:szCs w:val="24"/>
                <w:lang w:val="en-US" w:eastAsia="en-US" w:bidi="ar-SA"/>
              </w:rPr>
              <w:t>Steven T. Nourse</w:t>
            </w:r>
          </w:p>
          <w:p w:rsidR="00F575E1" w:rsidP="00C8210A">
            <w:pPr>
              <w:autoSpaceDE w:val="0"/>
              <w:autoSpaceDN w:val="0"/>
              <w:adjustRightInd w:val="0"/>
              <w:ind w:left="612"/>
              <w:rPr>
                <w:rStyle w:val="DefaultParagraphFont"/>
                <w:color w:val="000000"/>
                <w:sz w:val="24"/>
                <w:szCs w:val="24"/>
                <w:lang w:val="en-US" w:eastAsia="en-US" w:bidi="ar-SA"/>
              </w:rPr>
            </w:pPr>
            <w:r>
              <w:rPr>
                <w:color w:val="000000"/>
                <w:sz w:val="24"/>
                <w:szCs w:val="24"/>
                <w:lang w:val="en-US" w:eastAsia="en-US" w:bidi="ar-SA"/>
              </w:rPr>
              <w:t>AEP Service Corporation</w:t>
            </w:r>
          </w:p>
          <w:p w:rsidR="00F575E1" w:rsidP="00C8210A">
            <w:pPr>
              <w:autoSpaceDE w:val="0"/>
              <w:autoSpaceDN w:val="0"/>
              <w:adjustRightInd w:val="0"/>
              <w:ind w:left="612"/>
              <w:rPr>
                <w:rStyle w:val="DefaultParagraphFont"/>
                <w:color w:val="000000"/>
                <w:sz w:val="24"/>
                <w:szCs w:val="24"/>
                <w:lang w:val="en-US" w:eastAsia="en-US" w:bidi="ar-SA"/>
              </w:rPr>
            </w:pPr>
            <w:r>
              <w:rPr>
                <w:color w:val="000000"/>
                <w:sz w:val="24"/>
                <w:szCs w:val="24"/>
                <w:lang w:val="en-US" w:eastAsia="en-US" w:bidi="ar-SA"/>
              </w:rPr>
              <w:t>1 Riverside Plaza, 29</w:t>
            </w:r>
            <w:r>
              <w:rPr>
                <w:color w:val="000000"/>
                <w:sz w:val="16"/>
                <w:szCs w:val="16"/>
                <w:lang w:val="en-US" w:eastAsia="en-US" w:bidi="ar-SA"/>
              </w:rPr>
              <w:t xml:space="preserve">th </w:t>
            </w:r>
            <w:r>
              <w:rPr>
                <w:color w:val="000000"/>
                <w:sz w:val="24"/>
                <w:szCs w:val="24"/>
                <w:lang w:val="en-US" w:eastAsia="en-US" w:bidi="ar-SA"/>
              </w:rPr>
              <w:t>Floor</w:t>
            </w:r>
          </w:p>
          <w:p w:rsidR="00F575E1" w:rsidP="00C8210A">
            <w:pPr>
              <w:autoSpaceDE w:val="0"/>
              <w:autoSpaceDN w:val="0"/>
              <w:adjustRightInd w:val="0"/>
              <w:ind w:left="612"/>
              <w:rPr>
                <w:rStyle w:val="DefaultParagraphFont"/>
                <w:color w:val="000000"/>
                <w:sz w:val="24"/>
                <w:szCs w:val="24"/>
                <w:lang w:val="en-US" w:eastAsia="en-US" w:bidi="ar-SA"/>
              </w:rPr>
            </w:pPr>
            <w:r>
              <w:rPr>
                <w:color w:val="000000"/>
                <w:sz w:val="24"/>
                <w:szCs w:val="24"/>
                <w:lang w:val="en-US" w:eastAsia="en-US" w:bidi="ar-SA"/>
              </w:rPr>
              <w:t>Columbus, Ohio 43215-2373</w:t>
            </w:r>
          </w:p>
          <w:p w:rsidR="00F575E1" w:rsidP="00C8210A">
            <w:pPr>
              <w:autoSpaceDE w:val="0"/>
              <w:autoSpaceDN w:val="0"/>
              <w:adjustRightInd w:val="0"/>
              <w:ind w:left="612"/>
              <w:rPr>
                <w:rStyle w:val="DefaultParagraphFont"/>
                <w:color w:val="0000FF"/>
                <w:sz w:val="24"/>
                <w:szCs w:val="24"/>
                <w:lang w:val="en-US" w:eastAsia="en-US" w:bidi="ar-SA"/>
              </w:rPr>
            </w:pPr>
            <w:r>
              <w:fldChar w:fldCharType="begin"/>
            </w:r>
            <w:r>
              <w:rPr>
                <w:sz w:val="24"/>
                <w:lang w:val="en-US" w:eastAsia="en-US" w:bidi="ar-SA"/>
              </w:rPr>
              <w:instrText xml:space="preserve"> HYPERLINK "mailto:stnourse@aep.com" </w:instrText>
            </w:r>
            <w:r>
              <w:fldChar w:fldCharType="separate"/>
            </w:r>
            <w:r w:rsidRPr="0061447E">
              <w:rPr>
                <w:rStyle w:val="Hyperlink"/>
                <w:color w:val="0000FF"/>
                <w:sz w:val="24"/>
                <w:szCs w:val="24"/>
                <w:u w:val="single"/>
                <w:lang w:val="en-US" w:eastAsia="en-US" w:bidi="ar-SA"/>
              </w:rPr>
              <w:t>stnourse@aep.com</w:t>
            </w:r>
            <w:r>
              <w:fldChar w:fldCharType="end"/>
            </w:r>
          </w:p>
          <w:p w:rsidR="00F575E1" w:rsidP="00C8210A">
            <w:pPr>
              <w:autoSpaceDE w:val="0"/>
              <w:autoSpaceDN w:val="0"/>
              <w:adjustRightInd w:val="0"/>
              <w:ind w:left="612"/>
              <w:rPr>
                <w:rStyle w:val="DefaultParagraphFont"/>
                <w:color w:val="0000FF"/>
                <w:sz w:val="24"/>
                <w:szCs w:val="24"/>
                <w:lang w:val="en-US" w:eastAsia="en-US" w:bidi="ar-SA"/>
              </w:rPr>
            </w:pPr>
          </w:p>
          <w:p w:rsidR="00F575E1" w:rsidP="00C8210A">
            <w:pPr>
              <w:pStyle w:val="CommentText"/>
              <w:ind w:left="612"/>
              <w:rPr>
                <w:rStyle w:val="DefaultParagraphFont"/>
                <w:b/>
                <w:sz w:val="24"/>
                <w:szCs w:val="24"/>
                <w:u w:val="single"/>
                <w:lang w:val="en-US" w:eastAsia="en-US" w:bidi="ar-SA"/>
              </w:rPr>
            </w:pPr>
            <w:r>
              <w:rPr>
                <w:i/>
                <w:iCs/>
                <w:color w:val="000000"/>
                <w:sz w:val="24"/>
                <w:szCs w:val="24"/>
                <w:lang w:val="en-US" w:eastAsia="en-US" w:bidi="ar-SA"/>
              </w:rPr>
              <w:t>Counsel for Ohio Power Company</w:t>
            </w:r>
          </w:p>
        </w:tc>
      </w:tr>
    </w:tbl>
    <w:p w:rsidR="00F575E1" w:rsidP="00F575E1">
      <w:pPr>
        <w:pStyle w:val="CommentText"/>
        <w:jc w:val="center"/>
        <w:rPr>
          <w:b/>
          <w:u w:val="single"/>
        </w:rPr>
      </w:pPr>
    </w:p>
    <w:p w:rsidR="00614CD5">
      <w:pPr>
        <w:pStyle w:val="BodyText"/>
        <w:rPr>
          <w:b/>
          <w:bCs/>
        </w:rPr>
      </w:pPr>
    </w:p>
    <w:sectPr>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14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670F10">
    <w:pPr>
      <w:pStyle w:val="Footer"/>
      <w:jc w:val="center"/>
      <w:rPr>
        <w:sz w:val="24"/>
        <w:szCs w:val="24"/>
      </w:rPr>
    </w:pPr>
    <w:r w:rsidRPr="00670F10">
      <w:rPr>
        <w:rStyle w:val="PageNumber"/>
        <w:sz w:val="24"/>
        <w:szCs w:val="24"/>
      </w:rPr>
      <w:fldChar w:fldCharType="begin"/>
    </w:r>
    <w:r w:rsidRPr="00670F10">
      <w:rPr>
        <w:rStyle w:val="PageNumber"/>
        <w:sz w:val="24"/>
        <w:szCs w:val="24"/>
      </w:rPr>
      <w:instrText xml:space="preserve"> PAGE </w:instrText>
    </w:r>
    <w:r w:rsidRPr="00670F10">
      <w:rPr>
        <w:rStyle w:val="PageNumber"/>
        <w:sz w:val="24"/>
        <w:szCs w:val="24"/>
      </w:rPr>
      <w:fldChar w:fldCharType="separate"/>
    </w:r>
    <w:r w:rsidR="00242E88">
      <w:rPr>
        <w:rStyle w:val="PageNumber"/>
        <w:noProof/>
        <w:sz w:val="24"/>
        <w:szCs w:val="24"/>
      </w:rPr>
      <w:t>3</w:t>
    </w:r>
    <w:r w:rsidRPr="00670F1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0F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670F10">
    <w:pPr>
      <w:pStyle w:val="Footer"/>
      <w:framePr w:wrap="around" w:vAnchor="text" w:hAnchor="margin" w:xAlign="center" w:y="1"/>
      <w:jc w:val="center"/>
      <w:rPr>
        <w:rStyle w:val="PageNumber"/>
        <w:sz w:val="24"/>
        <w:szCs w:val="24"/>
      </w:rPr>
    </w:pPr>
    <w:r w:rsidRPr="00670F10">
      <w:rPr>
        <w:rStyle w:val="PageNumber"/>
        <w:sz w:val="24"/>
        <w:szCs w:val="24"/>
      </w:rPr>
      <w:fldChar w:fldCharType="begin"/>
    </w:r>
    <w:r w:rsidRPr="00670F10">
      <w:rPr>
        <w:rStyle w:val="PageNumber"/>
        <w:sz w:val="24"/>
        <w:szCs w:val="24"/>
      </w:rPr>
      <w:instrText xml:space="preserve">PAGE  </w:instrText>
    </w:r>
    <w:r w:rsidRPr="00670F10">
      <w:rPr>
        <w:rStyle w:val="PageNumber"/>
        <w:sz w:val="24"/>
        <w:szCs w:val="24"/>
      </w:rPr>
      <w:fldChar w:fldCharType="separate"/>
    </w:r>
    <w:r w:rsidRPr="00670F10" w:rsidR="00D9594A">
      <w:rPr>
        <w:rStyle w:val="PageNumber"/>
        <w:noProof/>
        <w:sz w:val="24"/>
        <w:szCs w:val="24"/>
      </w:rPr>
      <w:t>4</w:t>
    </w:r>
    <w:r w:rsidRPr="00670F10">
      <w:rPr>
        <w:rStyle w:val="PageNumber"/>
        <w:sz w:val="24"/>
        <w:szCs w:val="24"/>
      </w:rPr>
      <w:fldChar w:fldCharType="end"/>
    </w:r>
  </w:p>
  <w:p w:rsidR="00614CD5" w:rsidRPr="00670F10">
    <w:pPr>
      <w:pStyle w:val="Footer"/>
      <w:framePr w:wrap="around" w:vAnchor="text" w:hAnchor="margin" w:xAlign="center" w:y="1"/>
      <w:rPr>
        <w:rStyle w:val="PageNumber"/>
      </w:rPr>
    </w:pPr>
  </w:p>
  <w:p w:rsidR="00614CD5" w:rsidRPr="00670F1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670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B5CCD">
      <w:r>
        <w:separator/>
      </w:r>
    </w:p>
  </w:footnote>
  <w:footnote w:type="continuationSeparator" w:id="1">
    <w:p w:rsidR="008B5CCD">
      <w:r>
        <w:continuationSeparator/>
      </w:r>
    </w:p>
  </w:footnote>
  <w:footnote w:id="2">
    <w:p w:rsidR="00544BCD" w:rsidP="00670F10">
      <w:pPr>
        <w:pStyle w:val="FootnoteText"/>
        <w:spacing w:after="120"/>
      </w:pPr>
      <w:r>
        <w:rPr>
          <w:rStyle w:val="FootnoteReference"/>
        </w:rPr>
        <w:footnoteRef/>
      </w:r>
      <w:r>
        <w:t xml:space="preserve"> "AEP Ohio"</w:t>
      </w:r>
    </w:p>
  </w:footnote>
  <w:footnote w:id="3">
    <w:p w:rsidR="00544BCD" w:rsidP="00670F10">
      <w:pPr>
        <w:pStyle w:val="FootnoteText"/>
        <w:spacing w:after="120"/>
      </w:pPr>
      <w:r>
        <w:rPr>
          <w:rStyle w:val="FootnoteReference"/>
        </w:rPr>
        <w:footnoteRef/>
      </w:r>
      <w:r>
        <w:t xml:space="preserve"> </w:t>
      </w:r>
      <w:r w:rsidRPr="00E542D8">
        <w:rPr>
          <w:i/>
        </w:rPr>
        <w:t>In re Application of Ohio Power Co. for Approval of its Energy Efficiency/Peak Demand Reduction Portfolio Plan</w:t>
      </w:r>
      <w:r>
        <w:t>, Case No. 16-574-EL-POR.</w:t>
      </w:r>
    </w:p>
  </w:footnote>
  <w:footnote w:id="4">
    <w:p w:rsidR="00A432FC" w:rsidP="00670F10">
      <w:pPr>
        <w:pStyle w:val="FootnoteText"/>
        <w:spacing w:after="120"/>
      </w:pPr>
      <w:r>
        <w:rPr>
          <w:rStyle w:val="FootnoteReference"/>
        </w:rPr>
        <w:footnoteRef/>
      </w:r>
      <w:r w:rsidR="00125280">
        <w:t xml:space="preserve"> "</w:t>
      </w:r>
      <w:r>
        <w:t>PUCO</w:t>
      </w:r>
      <w:r w:rsidR="00125280">
        <w:t>"</w:t>
      </w:r>
    </w:p>
  </w:footnote>
  <w:footnote w:id="5">
    <w:p w:rsidR="0048076C" w:rsidP="00670F10">
      <w:pPr>
        <w:pStyle w:val="FootnoteText"/>
        <w:spacing w:after="120"/>
      </w:pPr>
      <w:r>
        <w:rPr>
          <w:rStyle w:val="FootnoteReference"/>
        </w:rPr>
        <w:footnoteRef/>
      </w:r>
      <w:r>
        <w:t xml:space="preserve"> The "Portfolio Settlement"</w:t>
      </w:r>
    </w:p>
  </w:footnote>
  <w:footnote w:id="6">
    <w:p w:rsidR="00544BCD" w:rsidP="00670F10">
      <w:pPr>
        <w:pStyle w:val="FootnoteText"/>
        <w:spacing w:after="120"/>
      </w:pPr>
      <w:r>
        <w:rPr>
          <w:rStyle w:val="FootnoteReference"/>
        </w:rPr>
        <w:footnoteRef/>
      </w:r>
      <w:r>
        <w:t xml:space="preserve"> Opinion &amp; Order (Jan. 18, 2017), Case No. 16-574-EL-POR.</w:t>
      </w:r>
    </w:p>
  </w:footnote>
  <w:footnote w:id="7">
    <w:p w:rsidR="00A432FC" w:rsidP="00670F10">
      <w:pPr>
        <w:pStyle w:val="FootnoteText"/>
        <w:spacing w:after="120"/>
      </w:pPr>
      <w:r>
        <w:rPr>
          <w:rStyle w:val="FootnoteReference"/>
        </w:rPr>
        <w:footnoteRef/>
      </w:r>
      <w:r w:rsidR="00125280">
        <w:t xml:space="preserve"> "OCC"</w:t>
      </w:r>
    </w:p>
  </w:footnote>
  <w:footnote w:id="8">
    <w:p w:rsidR="00544BCD" w:rsidP="00670F10">
      <w:pPr>
        <w:pStyle w:val="FootnoteText"/>
        <w:spacing w:after="120"/>
      </w:pPr>
      <w:r>
        <w:rPr>
          <w:rStyle w:val="FootnoteReference"/>
        </w:rPr>
        <w:footnoteRef/>
      </w:r>
      <w:r>
        <w:t xml:space="preserve"> See Correspondence (Dec. 12, 2016), Case No. 16-574-EL-POR, available at </w:t>
      </w:r>
      <w:r>
        <w:fldChar w:fldCharType="begin"/>
      </w:r>
      <w:r>
        <w:instrText xml:space="preserve"> HYPERLINK "http://dis.puc.state.oh.us/DocumentRecord.aspx?DocID=17523c7d-cf21-48a3-9d18-88da87bab062" </w:instrText>
      </w:r>
      <w:r>
        <w:fldChar w:fldCharType="separate"/>
      </w:r>
      <w:r w:rsidRPr="00D051F0">
        <w:rPr>
          <w:rStyle w:val="Hyperlink"/>
        </w:rPr>
        <w:t>http://dis.puc.state.oh.us/DocumentRecord.aspx?DocID=17523c7d-cf21-48a3-9d18-88da87bab062</w:t>
      </w:r>
      <w:r>
        <w:fldChar w:fldCharType="end"/>
      </w:r>
      <w:r>
        <w:t xml:space="preserve">. </w:t>
      </w:r>
    </w:p>
  </w:footnote>
  <w:footnote w:id="9">
    <w:p w:rsidR="003C3EF5" w:rsidP="00670F10">
      <w:pPr>
        <w:pStyle w:val="FootnoteText"/>
        <w:spacing w:after="120"/>
      </w:pPr>
      <w:r>
        <w:rPr>
          <w:rStyle w:val="FootnoteReference"/>
        </w:rPr>
        <w:footnoteRef/>
      </w:r>
      <w:r>
        <w:t xml:space="preserve"> Stipulation &amp; Recommendation § IV.D (Dec. 9, 2016), Case No. 16-574-EL-POR.</w:t>
      </w:r>
    </w:p>
  </w:footnote>
  <w:footnote w:id="10">
    <w:p w:rsidR="003C3EF5" w:rsidP="00670F10">
      <w:pPr>
        <w:pStyle w:val="FootnoteText"/>
        <w:spacing w:after="120"/>
      </w:pPr>
      <w:r>
        <w:rPr>
          <w:rStyle w:val="FootnoteReference"/>
        </w:rPr>
        <w:footnoteRef/>
      </w:r>
      <w:r>
        <w:t xml:space="preserve"> See Application, </w:t>
      </w:r>
      <w:r w:rsidRPr="00E542D8">
        <w:rPr>
          <w:i/>
        </w:rPr>
        <w:t xml:space="preserve">In re Application of the Ohio Power Co. to Update the Energy Efficiency &amp; Peak Demand Reduction Rider </w:t>
      </w:r>
      <w:r>
        <w:t>at Schedule 1 (May 15. 2017) (the "Application") (showing projected shared savings of $124,903,980 over four years, or $31.2 million per year).</w:t>
      </w:r>
    </w:p>
  </w:footnote>
  <w:footnote w:id="11">
    <w:p w:rsidR="00E04F14" w:rsidP="00670F10">
      <w:pPr>
        <w:pStyle w:val="FootnoteText"/>
        <w:spacing w:after="120"/>
      </w:pPr>
      <w:r>
        <w:rPr>
          <w:rStyle w:val="FootnoteReference"/>
        </w:rPr>
        <w:footnoteRef/>
      </w:r>
      <w:r>
        <w:t xml:space="preserve"> </w:t>
      </w:r>
      <w:r w:rsidR="00783E16">
        <w:t>Application at Schedule 2.</w:t>
      </w:r>
    </w:p>
  </w:footnote>
  <w:footnote w:id="12">
    <w:p w:rsidR="00670F10" w:rsidP="00670F10">
      <w:pPr>
        <w:pStyle w:val="FootnoteText"/>
        <w:spacing w:after="120"/>
      </w:pPr>
      <w:r>
        <w:rPr>
          <w:rStyle w:val="FootnoteReference"/>
        </w:rPr>
        <w:footnoteRef/>
      </w:r>
      <w:r>
        <w:t xml:space="preserve"> By filing these comments, OCC does not concede for future cases that customers should pay up to $31.2 million per year in shared savings.</w:t>
      </w:r>
    </w:p>
  </w:footnote>
  <w:footnote w:id="13">
    <w:p w:rsidR="00496B9D" w:rsidP="00670F10">
      <w:pPr>
        <w:pStyle w:val="FootnoteText"/>
        <w:spacing w:after="120"/>
      </w:pPr>
      <w:r>
        <w:rPr>
          <w:rStyle w:val="FootnoteReference"/>
        </w:rPr>
        <w:footnoteRef/>
      </w:r>
      <w:r>
        <w:t xml:space="preserve"> $60,659,901 - $31.2 million cap = $29.4 million</w:t>
      </w:r>
      <w:r w:rsidR="00783E16">
        <w:t xml:space="preserve"> in savings.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0F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0F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FootnoteTextChar">
    <w:name w:val="Footnote Text Char"/>
    <w:link w:val="FootnoteText"/>
    <w:locked/>
    <w:rsid w:val="00C0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AEP 17-1266 - OCC Comments.DOCX</vt:lpstr>
    </vt:vector>
  </TitlesOfParts>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2017-06-14T18:11:01Z</dcterms:created>
  <dcterms:modified xsi:type="dcterms:W3CDTF">2017-06-14T18:11:01Z</dcterms:modified>
</cp:coreProperties>
</file>