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42" w:rsidRPr="002D54AC" w:rsidRDefault="006E0942" w:rsidP="006E0942">
      <w:pPr>
        <w:jc w:val="center"/>
        <w:rPr>
          <w:b/>
          <w:sz w:val="26"/>
          <w:szCs w:val="26"/>
        </w:rPr>
      </w:pPr>
      <w:bookmarkStart w:id="0" w:name="_Toc260212957"/>
      <w:bookmarkStart w:id="1" w:name="_GoBack"/>
      <w:bookmarkEnd w:id="1"/>
      <w:r w:rsidRPr="002D54AC">
        <w:rPr>
          <w:b/>
          <w:sz w:val="26"/>
          <w:szCs w:val="26"/>
        </w:rPr>
        <w:t>BEFORE</w:t>
      </w:r>
    </w:p>
    <w:p w:rsidR="006E0942" w:rsidRPr="002D54AC" w:rsidRDefault="006E0942" w:rsidP="006E0942">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E0942" w:rsidRDefault="006E0942" w:rsidP="006E0942">
      <w:pPr>
        <w:pStyle w:val="Title"/>
        <w:tabs>
          <w:tab w:val="left" w:pos="5130"/>
          <w:tab w:val="left" w:pos="5670"/>
        </w:tabs>
        <w:rPr>
          <w:rFonts w:ascii="Times New Roman" w:hAnsi="Times New Roman"/>
          <w:sz w:val="26"/>
          <w:szCs w:val="26"/>
        </w:rPr>
      </w:pPr>
    </w:p>
    <w:p w:rsidR="006E0942" w:rsidRDefault="006E0942" w:rsidP="006E0942">
      <w:pPr>
        <w:pStyle w:val="Title"/>
        <w:tabs>
          <w:tab w:val="left" w:pos="5130"/>
          <w:tab w:val="left" w:pos="5670"/>
        </w:tabs>
        <w:rPr>
          <w:rFonts w:ascii="Times New Roman" w:hAnsi="Times New Roman"/>
          <w:sz w:val="26"/>
          <w:szCs w:val="26"/>
        </w:rPr>
      </w:pPr>
    </w:p>
    <w:p w:rsidR="006E0942" w:rsidRDefault="006E0942" w:rsidP="006E0942">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6E0942" w:rsidTr="00833776">
        <w:tc>
          <w:tcPr>
            <w:tcW w:w="4698" w:type="dxa"/>
          </w:tcPr>
          <w:p w:rsidR="006E0942" w:rsidRPr="00221496" w:rsidRDefault="006E0942" w:rsidP="00833776">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Application of the Dayton Power and Light Company to Establish a Fuel Rider.</w:t>
            </w:r>
          </w:p>
        </w:tc>
        <w:tc>
          <w:tcPr>
            <w:tcW w:w="270" w:type="dxa"/>
          </w:tcPr>
          <w:p w:rsidR="006E0942" w:rsidRPr="00221496" w:rsidRDefault="006E0942" w:rsidP="0083377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E0942" w:rsidRPr="00221496" w:rsidRDefault="006E0942" w:rsidP="0083377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E0942" w:rsidRPr="00221496" w:rsidRDefault="006E0942" w:rsidP="0083377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rsidR="006E0942" w:rsidRPr="00221496" w:rsidRDefault="006E0942" w:rsidP="00833776">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ab/>
              <w:t>12-2881-EL-FAC</w:t>
            </w:r>
          </w:p>
        </w:tc>
      </w:tr>
    </w:tbl>
    <w:p w:rsidR="006E0942" w:rsidRPr="002D54AC" w:rsidRDefault="006E0942" w:rsidP="006E0942">
      <w:pPr>
        <w:pStyle w:val="Title"/>
        <w:tabs>
          <w:tab w:val="left" w:pos="5130"/>
          <w:tab w:val="left" w:pos="5670"/>
        </w:tabs>
        <w:rPr>
          <w:rFonts w:ascii="Times New Roman" w:hAnsi="Times New Roman"/>
          <w:sz w:val="26"/>
          <w:szCs w:val="26"/>
        </w:rPr>
      </w:pPr>
    </w:p>
    <w:p w:rsidR="006E0942" w:rsidRDefault="006E0942" w:rsidP="006E0942">
      <w:pPr>
        <w:pStyle w:val="Title"/>
        <w:tabs>
          <w:tab w:val="left" w:pos="5130"/>
          <w:tab w:val="left" w:pos="5670"/>
        </w:tabs>
        <w:jc w:val="left"/>
        <w:rPr>
          <w:rFonts w:ascii="Times New Roman" w:hAnsi="Times New Roman"/>
          <w:sz w:val="26"/>
          <w:szCs w:val="26"/>
        </w:rPr>
      </w:pPr>
    </w:p>
    <w:p w:rsidR="006E0942" w:rsidRDefault="006E0942" w:rsidP="006E0942">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6E0942" w:rsidRPr="006E0942" w:rsidRDefault="006E0942" w:rsidP="006E0942">
      <w:pPr>
        <w:pStyle w:val="Title"/>
        <w:tabs>
          <w:tab w:val="left" w:pos="9360"/>
        </w:tabs>
        <w:rPr>
          <w:rFonts w:ascii="Times New Roman" w:hAnsi="Times New Roman"/>
          <w:b/>
          <w:szCs w:val="28"/>
        </w:rPr>
      </w:pPr>
      <w:r w:rsidRPr="006E0942">
        <w:rPr>
          <w:rFonts w:ascii="Times New Roman" w:hAnsi="Times New Roman"/>
          <w:b/>
          <w:szCs w:val="28"/>
        </w:rPr>
        <w:t>MEMORANDUM CONTRA</w:t>
      </w:r>
    </w:p>
    <w:p w:rsidR="006E0942" w:rsidRPr="006E0942" w:rsidRDefault="006E0942" w:rsidP="006E0942">
      <w:pPr>
        <w:pStyle w:val="Title"/>
        <w:tabs>
          <w:tab w:val="left" w:pos="9360"/>
        </w:tabs>
        <w:rPr>
          <w:rFonts w:ascii="Times New Roman" w:hAnsi="Times New Roman"/>
          <w:b/>
          <w:szCs w:val="28"/>
        </w:rPr>
      </w:pPr>
      <w:r w:rsidRPr="006E0942">
        <w:rPr>
          <w:rFonts w:ascii="Times New Roman" w:hAnsi="Times New Roman"/>
          <w:b/>
          <w:szCs w:val="28"/>
        </w:rPr>
        <w:t>MOTION OF DAYTON POWER AND LIGHT COMPANY</w:t>
      </w:r>
    </w:p>
    <w:p w:rsidR="006E0942" w:rsidRPr="006E0942" w:rsidRDefault="006E0942" w:rsidP="006E0942">
      <w:pPr>
        <w:pStyle w:val="Title"/>
        <w:tabs>
          <w:tab w:val="left" w:pos="9360"/>
        </w:tabs>
        <w:rPr>
          <w:rFonts w:ascii="Times New Roman" w:hAnsi="Times New Roman"/>
          <w:b/>
          <w:szCs w:val="28"/>
        </w:rPr>
      </w:pPr>
      <w:r w:rsidRPr="006E0942">
        <w:rPr>
          <w:rFonts w:ascii="Times New Roman" w:hAnsi="Times New Roman"/>
          <w:b/>
          <w:szCs w:val="28"/>
        </w:rPr>
        <w:t>FOR MODIFICATION OF THE PROCEDURAL SCHEDULE</w:t>
      </w:r>
    </w:p>
    <w:p w:rsidR="006E0942" w:rsidRPr="006E0942" w:rsidRDefault="006E0942" w:rsidP="006E0942">
      <w:pPr>
        <w:jc w:val="center"/>
        <w:rPr>
          <w:sz w:val="28"/>
          <w:szCs w:val="28"/>
        </w:rPr>
      </w:pPr>
      <w:r w:rsidRPr="006E0942">
        <w:rPr>
          <w:sz w:val="28"/>
          <w:szCs w:val="28"/>
        </w:rPr>
        <w:t>SUBMITTED ON BEHALF OF THE STAFF OF</w:t>
      </w:r>
    </w:p>
    <w:p w:rsidR="006E0942" w:rsidRPr="006E0942" w:rsidRDefault="006E0942" w:rsidP="006E0942">
      <w:pPr>
        <w:jc w:val="center"/>
        <w:rPr>
          <w:sz w:val="28"/>
          <w:szCs w:val="28"/>
        </w:rPr>
      </w:pPr>
      <w:r w:rsidRPr="006E0942">
        <w:rPr>
          <w:sz w:val="28"/>
          <w:szCs w:val="28"/>
        </w:rPr>
        <w:t>THE PUBLIC UTILITIES COMMISSION OF OHIO</w:t>
      </w:r>
    </w:p>
    <w:p w:rsidR="006E0942" w:rsidRDefault="006E0942" w:rsidP="006E0942">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bookmarkEnd w:id="0"/>
    <w:p w:rsidR="00CB5644" w:rsidRPr="00613023" w:rsidRDefault="006E0942" w:rsidP="0064436A">
      <w:pPr>
        <w:pStyle w:val="Heading1"/>
      </w:pPr>
      <w:r>
        <w:t>Argument</w:t>
      </w:r>
    </w:p>
    <w:p w:rsidR="006E0942" w:rsidRDefault="006E0942" w:rsidP="006E0942">
      <w:pPr>
        <w:pStyle w:val="textstyle0"/>
      </w:pPr>
      <w:bookmarkStart w:id="2" w:name="_Toc260212958"/>
      <w:r>
        <w:tab/>
        <w:t>The Staff opposes DP&amp;L’s motion to modify the procedural schedule.  The reason is quite simple.  There is no reason to change.  The Commission has used the same pro</w:t>
      </w:r>
      <w:r>
        <w:softHyphen/>
        <w:t>cedure, simultaneous filing, in many situations for years.  This procedure was used in the former EFC proceedings and is still used in GCR and rate cases.  Put simply, it is a sys</w:t>
      </w:r>
      <w:r>
        <w:softHyphen/>
        <w:t xml:space="preserve">tem that works.  </w:t>
      </w:r>
    </w:p>
    <w:p w:rsidR="006E0942" w:rsidRDefault="006E0942" w:rsidP="006E0942">
      <w:pPr>
        <w:pStyle w:val="textstyle0"/>
      </w:pPr>
      <w:r>
        <w:tab/>
        <w:t>Not only does it work but it works expeditiously.  Altering the procedural schedule as advocated by DP&amp;L, if adopted as the general rule, would stretch out the process applicable in all cases.  There is no reason to add this additional time to cases.</w:t>
      </w:r>
    </w:p>
    <w:p w:rsidR="006E0942" w:rsidRDefault="006E0942" w:rsidP="006E0942">
      <w:pPr>
        <w:pStyle w:val="textstyle0"/>
      </w:pPr>
      <w:r>
        <w:tab/>
        <w:t xml:space="preserve">It should be recognized that it is possible that unanticipated issues could arise which require some opportunity for rebuttal.  That is the purpose of rebuttal testimony.  Should that issue arise, and in Staff’s experience it is quite rare, it can be dealt with then, </w:t>
      </w:r>
      <w:r>
        <w:lastRenderedPageBreak/>
        <w:t>when there is a real dispute that can be analyzed and discussed.  Again this approach has been successfully used in Commission cases for years.  There is no reason to depart from it.</w:t>
      </w:r>
    </w:p>
    <w:p w:rsidR="006E0942" w:rsidRDefault="006E0942" w:rsidP="006E0942">
      <w:pPr>
        <w:pStyle w:val="Heading1"/>
      </w:pPr>
      <w:r>
        <w:t>Conclusion</w:t>
      </w:r>
    </w:p>
    <w:p w:rsidR="006E0942" w:rsidRDefault="006E0942" w:rsidP="006E0942">
      <w:pPr>
        <w:pStyle w:val="textstyle0"/>
      </w:pPr>
      <w:r>
        <w:tab/>
        <w:t>When something works, leave it alone.  We have a system that works, let’s keep it.</w:t>
      </w:r>
    </w:p>
    <w:bookmarkEnd w:id="2"/>
    <w:p w:rsidR="00200A0A" w:rsidRPr="0064436A" w:rsidRDefault="00200A0A" w:rsidP="006E0942">
      <w:pPr>
        <w:tabs>
          <w:tab w:val="left" w:pos="9348"/>
        </w:tabs>
        <w:spacing w:line="480" w:lineRule="auto"/>
        <w:ind w:left="4680"/>
        <w:rPr>
          <w:sz w:val="26"/>
          <w:szCs w:val="26"/>
        </w:rPr>
      </w:pPr>
      <w:r w:rsidRPr="0064436A">
        <w:rPr>
          <w:sz w:val="26"/>
          <w:szCs w:val="26"/>
        </w:rPr>
        <w:t>Respectfully submitted,</w:t>
      </w:r>
    </w:p>
    <w:p w:rsidR="006E0942" w:rsidRDefault="006E0942" w:rsidP="006E0942">
      <w:pPr>
        <w:pStyle w:val="Title"/>
        <w:tabs>
          <w:tab w:val="left" w:pos="4680"/>
        </w:tabs>
        <w:jc w:val="left"/>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William L. Wright</w:t>
      </w:r>
    </w:p>
    <w:p w:rsidR="006E0942" w:rsidRDefault="006E0942" w:rsidP="006E0942">
      <w:pPr>
        <w:pStyle w:val="Title"/>
        <w:tabs>
          <w:tab w:val="left" w:pos="4680"/>
        </w:tabs>
        <w:jc w:val="left"/>
        <w:rPr>
          <w:rFonts w:ascii="Times New Roman" w:hAnsi="Times New Roman"/>
          <w:sz w:val="26"/>
          <w:szCs w:val="26"/>
        </w:rPr>
      </w:pPr>
      <w:r>
        <w:rPr>
          <w:rFonts w:ascii="Times New Roman" w:hAnsi="Times New Roman"/>
          <w:sz w:val="26"/>
          <w:szCs w:val="26"/>
        </w:rPr>
        <w:tab/>
        <w:t>Section Chief</w:t>
      </w:r>
    </w:p>
    <w:p w:rsidR="006E0942" w:rsidRDefault="006E0942" w:rsidP="006E0942">
      <w:pPr>
        <w:pStyle w:val="Title"/>
        <w:tabs>
          <w:tab w:val="left" w:pos="4680"/>
        </w:tabs>
        <w:jc w:val="left"/>
        <w:rPr>
          <w:rFonts w:ascii="Times New Roman" w:hAnsi="Times New Roman"/>
          <w:sz w:val="26"/>
          <w:szCs w:val="26"/>
        </w:rPr>
      </w:pPr>
    </w:p>
    <w:p w:rsidR="006E0942" w:rsidRPr="006E0942" w:rsidRDefault="006E0942" w:rsidP="006E0942">
      <w:pPr>
        <w:pStyle w:val="Title"/>
        <w:tabs>
          <w:tab w:val="left" w:pos="4680"/>
          <w:tab w:val="left" w:pos="9360"/>
        </w:tabs>
        <w:jc w:val="left"/>
        <w:rPr>
          <w:rFonts w:ascii="Times New Roman" w:hAnsi="Times New Roman"/>
          <w:sz w:val="26"/>
          <w:szCs w:val="26"/>
          <w:u w:val="single"/>
        </w:rPr>
      </w:pPr>
      <w:r>
        <w:rPr>
          <w:rFonts w:ascii="Times New Roman" w:hAnsi="Times New Roman"/>
          <w:sz w:val="26"/>
          <w:szCs w:val="26"/>
        </w:rPr>
        <w:tab/>
      </w:r>
      <w:r w:rsidR="0064700C" w:rsidRPr="0064700C">
        <w:rPr>
          <w:rFonts w:ascii="Viner Hand ITC" w:hAnsi="Viner Hand ITC"/>
          <w:sz w:val="32"/>
          <w:szCs w:val="32"/>
          <w:u w:val="single"/>
        </w:rPr>
        <w:t>/s/ Thomas W. McNamee</w:t>
      </w:r>
      <w:r w:rsidR="0064700C">
        <w:rPr>
          <w:rFonts w:ascii="Viner Hand ITC" w:hAnsi="Viner Hand ITC"/>
          <w:sz w:val="32"/>
          <w:szCs w:val="32"/>
          <w:u w:val="single"/>
        </w:rPr>
        <w:tab/>
      </w:r>
    </w:p>
    <w:p w:rsidR="006E0942" w:rsidRDefault="006E0942" w:rsidP="006E0942">
      <w:pPr>
        <w:pStyle w:val="Title"/>
        <w:tabs>
          <w:tab w:val="left" w:pos="4680"/>
        </w:tabs>
        <w:jc w:val="left"/>
        <w:rPr>
          <w:rFonts w:ascii="Times New Roman" w:hAnsi="Times New Roman"/>
          <w:b/>
          <w:sz w:val="26"/>
          <w:szCs w:val="26"/>
        </w:rPr>
      </w:pPr>
      <w:r>
        <w:rPr>
          <w:rFonts w:ascii="Times New Roman" w:hAnsi="Times New Roman"/>
          <w:b/>
          <w:sz w:val="26"/>
          <w:szCs w:val="26"/>
        </w:rPr>
        <w:tab/>
        <w:t>Thomas W. McNamee</w:t>
      </w:r>
    </w:p>
    <w:p w:rsidR="006E0942" w:rsidRDefault="006E0942" w:rsidP="006E0942">
      <w:pPr>
        <w:pStyle w:val="Title"/>
        <w:tabs>
          <w:tab w:val="left" w:pos="4680"/>
        </w:tabs>
        <w:jc w:val="left"/>
        <w:rPr>
          <w:rFonts w:ascii="Times New Roman" w:hAnsi="Times New Roman"/>
          <w:b/>
          <w:sz w:val="26"/>
          <w:szCs w:val="26"/>
        </w:rPr>
      </w:pPr>
      <w:r>
        <w:rPr>
          <w:rFonts w:ascii="Times New Roman" w:hAnsi="Times New Roman"/>
          <w:b/>
          <w:sz w:val="26"/>
          <w:szCs w:val="26"/>
        </w:rPr>
        <w:tab/>
        <w:t>Steven L. Beeler</w:t>
      </w:r>
    </w:p>
    <w:p w:rsidR="006E0942" w:rsidRDefault="006E0942" w:rsidP="006E0942">
      <w:pPr>
        <w:pStyle w:val="Title"/>
        <w:tabs>
          <w:tab w:val="left" w:pos="4680"/>
        </w:tabs>
        <w:jc w:val="left"/>
        <w:rPr>
          <w:rFonts w:ascii="Times New Roman" w:hAnsi="Times New Roman"/>
          <w:sz w:val="26"/>
          <w:szCs w:val="26"/>
        </w:rPr>
      </w:pPr>
      <w:r>
        <w:rPr>
          <w:rFonts w:ascii="Times New Roman" w:hAnsi="Times New Roman"/>
          <w:sz w:val="26"/>
          <w:szCs w:val="26"/>
        </w:rPr>
        <w:tab/>
        <w:t>Assistant Attorneys General</w:t>
      </w:r>
    </w:p>
    <w:p w:rsidR="006E0942" w:rsidRDefault="006E0942" w:rsidP="006E0942">
      <w:pPr>
        <w:pStyle w:val="Title"/>
        <w:tabs>
          <w:tab w:val="left" w:pos="4680"/>
        </w:tabs>
        <w:jc w:val="left"/>
        <w:rPr>
          <w:rFonts w:ascii="Times New Roman" w:hAnsi="Times New Roman"/>
          <w:sz w:val="26"/>
          <w:szCs w:val="26"/>
        </w:rPr>
      </w:pPr>
      <w:r>
        <w:rPr>
          <w:rFonts w:ascii="Times New Roman" w:hAnsi="Times New Roman"/>
          <w:sz w:val="26"/>
          <w:szCs w:val="26"/>
        </w:rPr>
        <w:tab/>
        <w:t>Public Utilities Section</w:t>
      </w:r>
    </w:p>
    <w:p w:rsidR="006E0942" w:rsidRDefault="006E0942" w:rsidP="006E0942">
      <w:pPr>
        <w:pStyle w:val="Title"/>
        <w:tabs>
          <w:tab w:val="left" w:pos="468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6E0942" w:rsidRDefault="006E0942" w:rsidP="006E0942">
      <w:pPr>
        <w:pStyle w:val="Title"/>
        <w:tabs>
          <w:tab w:val="left" w:pos="4680"/>
        </w:tabs>
        <w:jc w:val="left"/>
        <w:rPr>
          <w:rFonts w:ascii="Times New Roman" w:hAnsi="Times New Roman"/>
          <w:sz w:val="26"/>
          <w:szCs w:val="26"/>
        </w:rPr>
      </w:pPr>
      <w:r>
        <w:rPr>
          <w:rFonts w:ascii="Times New Roman" w:hAnsi="Times New Roman"/>
          <w:sz w:val="26"/>
          <w:szCs w:val="26"/>
        </w:rPr>
        <w:tab/>
        <w:t>Columbus, OH  43215-3793</w:t>
      </w:r>
    </w:p>
    <w:p w:rsidR="006E0942" w:rsidRDefault="006E0942" w:rsidP="006E0942">
      <w:pPr>
        <w:pStyle w:val="Title"/>
        <w:tabs>
          <w:tab w:val="left" w:pos="4680"/>
        </w:tabs>
        <w:jc w:val="left"/>
        <w:rPr>
          <w:rFonts w:ascii="Times New Roman" w:hAnsi="Times New Roman"/>
          <w:sz w:val="26"/>
          <w:szCs w:val="26"/>
        </w:rPr>
      </w:pPr>
      <w:r>
        <w:rPr>
          <w:rFonts w:ascii="Times New Roman" w:hAnsi="Times New Roman"/>
          <w:sz w:val="26"/>
          <w:szCs w:val="26"/>
        </w:rPr>
        <w:tab/>
        <w:t>614.466.4397 (telephone)</w:t>
      </w:r>
    </w:p>
    <w:p w:rsidR="006E0942" w:rsidRDefault="006E0942" w:rsidP="006E0942">
      <w:pPr>
        <w:pStyle w:val="Title"/>
        <w:tabs>
          <w:tab w:val="left" w:pos="4680"/>
        </w:tabs>
        <w:jc w:val="left"/>
        <w:rPr>
          <w:rFonts w:ascii="Times New Roman" w:hAnsi="Times New Roman"/>
          <w:sz w:val="26"/>
          <w:szCs w:val="26"/>
        </w:rPr>
      </w:pPr>
      <w:r>
        <w:rPr>
          <w:rFonts w:ascii="Times New Roman" w:hAnsi="Times New Roman"/>
          <w:sz w:val="26"/>
          <w:szCs w:val="26"/>
        </w:rPr>
        <w:tab/>
        <w:t>614.644.8764 (fax)</w:t>
      </w:r>
    </w:p>
    <w:p w:rsidR="006E0942" w:rsidRDefault="006E0942" w:rsidP="006E0942">
      <w:pPr>
        <w:pStyle w:val="Title"/>
        <w:tabs>
          <w:tab w:val="left" w:pos="4680"/>
        </w:tabs>
        <w:jc w:val="left"/>
        <w:rPr>
          <w:rFonts w:ascii="Times New Roman" w:hAnsi="Times New Roman"/>
          <w:sz w:val="26"/>
          <w:szCs w:val="26"/>
        </w:rPr>
      </w:pPr>
      <w:r>
        <w:rPr>
          <w:rFonts w:ascii="Times New Roman" w:hAnsi="Times New Roman"/>
          <w:sz w:val="26"/>
          <w:szCs w:val="26"/>
        </w:rPr>
        <w:tab/>
      </w:r>
      <w:hyperlink r:id="rId8" w:history="1">
        <w:r w:rsidRPr="00B91387">
          <w:rPr>
            <w:rStyle w:val="Hyperlink"/>
            <w:rFonts w:ascii="Times New Roman" w:hAnsi="Times New Roman"/>
            <w:sz w:val="26"/>
            <w:szCs w:val="26"/>
          </w:rPr>
          <w:t>thomas.mcnamee@puc.state.oh.us</w:t>
        </w:r>
      </w:hyperlink>
    </w:p>
    <w:p w:rsidR="006E0942" w:rsidRDefault="006E0942" w:rsidP="006E0942">
      <w:pPr>
        <w:pStyle w:val="Title"/>
        <w:tabs>
          <w:tab w:val="left" w:pos="4680"/>
        </w:tabs>
        <w:jc w:val="left"/>
        <w:rPr>
          <w:rFonts w:ascii="Times New Roman" w:hAnsi="Times New Roman"/>
          <w:sz w:val="26"/>
          <w:szCs w:val="26"/>
        </w:rPr>
      </w:pPr>
      <w:r>
        <w:rPr>
          <w:rFonts w:ascii="Times New Roman" w:hAnsi="Times New Roman"/>
          <w:sz w:val="26"/>
          <w:szCs w:val="26"/>
        </w:rPr>
        <w:tab/>
      </w:r>
      <w:hyperlink r:id="rId9" w:history="1">
        <w:r w:rsidRPr="00B91387">
          <w:rPr>
            <w:rStyle w:val="Hyperlink"/>
            <w:rFonts w:ascii="Times New Roman" w:hAnsi="Times New Roman"/>
            <w:sz w:val="26"/>
            <w:szCs w:val="26"/>
          </w:rPr>
          <w:t>steven.beeler@puc.state.oh.us</w:t>
        </w:r>
      </w:hyperlink>
    </w:p>
    <w:p w:rsidR="006E0942" w:rsidRDefault="006E0942" w:rsidP="006E0942">
      <w:pPr>
        <w:pStyle w:val="Title"/>
        <w:tabs>
          <w:tab w:val="left" w:pos="4680"/>
        </w:tabs>
        <w:jc w:val="left"/>
        <w:rPr>
          <w:rFonts w:ascii="Times New Roman" w:hAnsi="Times New Roman"/>
          <w:sz w:val="26"/>
          <w:szCs w:val="26"/>
        </w:rPr>
      </w:pPr>
    </w:p>
    <w:p w:rsidR="006E0942" w:rsidRPr="006E0942" w:rsidRDefault="006E0942" w:rsidP="006E0942">
      <w:pPr>
        <w:pStyle w:val="Title"/>
        <w:tabs>
          <w:tab w:val="left" w:pos="468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Counsel for the Staff of</w:t>
      </w:r>
      <w:r>
        <w:rPr>
          <w:rFonts w:ascii="Times New Roman" w:hAnsi="Times New Roman"/>
          <w:b/>
          <w:sz w:val="26"/>
          <w:szCs w:val="26"/>
        </w:rPr>
        <w:br/>
      </w:r>
      <w:r>
        <w:rPr>
          <w:rFonts w:ascii="Times New Roman" w:hAnsi="Times New Roman"/>
          <w:b/>
          <w:sz w:val="26"/>
          <w:szCs w:val="26"/>
        </w:rPr>
        <w:tab/>
        <w:t>The Public Utilities Commission of Ohio</w:t>
      </w:r>
    </w:p>
    <w:p w:rsidR="00200A0A" w:rsidRPr="00934B92" w:rsidRDefault="00200A0A" w:rsidP="0064436A">
      <w:pPr>
        <w:pStyle w:val="Heading1"/>
      </w:pPr>
      <w:r w:rsidRPr="00955E20">
        <w:br w:type="page"/>
      </w:r>
      <w:bookmarkStart w:id="3" w:name="_Toc205862526"/>
      <w:bookmarkStart w:id="4" w:name="_Toc260212964"/>
      <w:r w:rsidR="00C95499" w:rsidRPr="00934B92">
        <w:rPr>
          <w:caps w:val="0"/>
        </w:rPr>
        <w:lastRenderedPageBreak/>
        <w:t>PROOF OF SERVICE</w:t>
      </w:r>
      <w:bookmarkEnd w:id="3"/>
      <w:bookmarkEnd w:id="4"/>
    </w:p>
    <w:p w:rsidR="00200A0A" w:rsidRPr="00934B92" w:rsidRDefault="0064436A" w:rsidP="006A3730">
      <w:pPr>
        <w:pStyle w:val="textstyle0"/>
      </w:pPr>
      <w:r>
        <w:tab/>
      </w:r>
      <w:r w:rsidR="00200A0A" w:rsidRPr="00934B92">
        <w:t xml:space="preserve">I hereby certify that a true copy of the foregoing </w:t>
      </w:r>
      <w:r w:rsidR="006E0942">
        <w:rPr>
          <w:b/>
        </w:rPr>
        <w:t>Memorandum Contra Motion of Dayton Power and Light Company for Modification of the Procedural Schedule</w:t>
      </w:r>
      <w:r>
        <w:rPr>
          <w:b/>
        </w:rPr>
        <w:t xml:space="preserve"> </w:t>
      </w:r>
      <w:r w:rsidR="00200A0A" w:rsidRPr="00934B92">
        <w:t>submitted on behalf of the Staff of the Publi</w:t>
      </w:r>
      <w:r w:rsidR="006E0942">
        <w:t>c Utilities Commis</w:t>
      </w:r>
      <w:r w:rsidR="006E0942">
        <w:softHyphen/>
        <w:t xml:space="preserve">sion of Ohio </w:t>
      </w:r>
      <w:r w:rsidR="00200A0A" w:rsidRPr="00934B92">
        <w:t xml:space="preserve">was served </w:t>
      </w:r>
      <w:r w:rsidR="006E0942">
        <w:t>via electronic mail</w:t>
      </w:r>
      <w:r w:rsidR="00200A0A" w:rsidRPr="00934B92">
        <w:t xml:space="preserve"> upon </w:t>
      </w:r>
      <w:r w:rsidR="00977F01">
        <w:t>the following Parties of Record</w:t>
      </w:r>
      <w:r w:rsidR="00721F2D">
        <w:t xml:space="preserve"> </w:t>
      </w:r>
      <w:r w:rsidR="00200A0A" w:rsidRPr="00934B92">
        <w:t xml:space="preserve">this </w:t>
      </w:r>
      <w:r w:rsidR="0064700C">
        <w:t>9</w:t>
      </w:r>
      <w:r w:rsidR="0064700C" w:rsidRPr="0064700C">
        <w:rPr>
          <w:vertAlign w:val="superscript"/>
        </w:rPr>
        <w:t>th</w:t>
      </w:r>
      <w:r w:rsidR="0064700C">
        <w:t xml:space="preserve"> </w:t>
      </w:r>
      <w:r w:rsidR="004B6358">
        <w:t>d</w:t>
      </w:r>
      <w:r w:rsidR="00200A0A" w:rsidRPr="00934B92">
        <w:t xml:space="preserve">ay of </w:t>
      </w:r>
      <w:r w:rsidR="006E0942">
        <w:t>October, 2013</w:t>
      </w:r>
      <w:r w:rsidR="00200A0A" w:rsidRPr="00934B92">
        <w:t>.</w:t>
      </w:r>
    </w:p>
    <w:p w:rsidR="00200A0A" w:rsidRPr="00DF3D54" w:rsidRDefault="00200A0A" w:rsidP="00200A0A">
      <w:pPr>
        <w:spacing w:line="480" w:lineRule="auto"/>
        <w:jc w:val="both"/>
      </w:pPr>
    </w:p>
    <w:p w:rsidR="00200A0A" w:rsidRPr="0064700C" w:rsidRDefault="0064700C" w:rsidP="00200A0A">
      <w:pPr>
        <w:tabs>
          <w:tab w:val="right" w:pos="9360"/>
        </w:tabs>
        <w:ind w:left="4320"/>
        <w:jc w:val="both"/>
        <w:rPr>
          <w:rFonts w:ascii="Viner Hand ITC" w:hAnsi="Viner Hand ITC"/>
          <w:sz w:val="32"/>
          <w:szCs w:val="32"/>
          <w:u w:val="single"/>
        </w:rPr>
      </w:pPr>
      <w:r w:rsidRPr="0064700C">
        <w:rPr>
          <w:rFonts w:ascii="Viner Hand ITC" w:hAnsi="Viner Hand ITC"/>
          <w:sz w:val="32"/>
          <w:szCs w:val="32"/>
          <w:u w:val="single"/>
        </w:rPr>
        <w:t>/s/ Thomas W. McNamee</w:t>
      </w:r>
      <w:r w:rsidR="00200A0A" w:rsidRPr="0064700C">
        <w:rPr>
          <w:rFonts w:ascii="Viner Hand ITC" w:hAnsi="Viner Hand ITC"/>
          <w:sz w:val="32"/>
          <w:szCs w:val="32"/>
          <w:u w:val="single"/>
        </w:rPr>
        <w:tab/>
      </w:r>
    </w:p>
    <w:p w:rsidR="00200A0A" w:rsidRPr="00DF3D54" w:rsidRDefault="006E0942" w:rsidP="00200A0A">
      <w:pPr>
        <w:ind w:left="4332"/>
        <w:jc w:val="both"/>
        <w:rPr>
          <w:b/>
          <w:sz w:val="26"/>
          <w:szCs w:val="26"/>
        </w:rPr>
      </w:pPr>
      <w:r>
        <w:rPr>
          <w:b/>
          <w:sz w:val="26"/>
          <w:szCs w:val="26"/>
        </w:rPr>
        <w:t>Thomas W. McNamee</w:t>
      </w:r>
    </w:p>
    <w:p w:rsidR="00200A0A" w:rsidRDefault="00200A0A" w:rsidP="00200A0A">
      <w:pPr>
        <w:ind w:left="4332"/>
        <w:jc w:val="both"/>
        <w:rPr>
          <w:sz w:val="26"/>
          <w:szCs w:val="26"/>
        </w:rPr>
      </w:pPr>
      <w:r w:rsidRPr="00DF3D54">
        <w:rPr>
          <w:sz w:val="26"/>
          <w:szCs w:val="26"/>
        </w:rPr>
        <w:t>Assistant Attorney General</w:t>
      </w:r>
    </w:p>
    <w:p w:rsidR="00977F01" w:rsidRDefault="00977F01" w:rsidP="00200A0A">
      <w:pPr>
        <w:ind w:left="4332"/>
        <w:jc w:val="both"/>
        <w:rPr>
          <w:sz w:val="26"/>
          <w:szCs w:val="26"/>
        </w:rPr>
      </w:pP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Look w:val="01E0" w:firstRow="1" w:lastRow="1" w:firstColumn="1" w:lastColumn="1" w:noHBand="0" w:noVBand="0"/>
      </w:tblPr>
      <w:tblGrid>
        <w:gridCol w:w="4788"/>
        <w:gridCol w:w="4788"/>
      </w:tblGrid>
      <w:tr w:rsidR="00977F01" w:rsidRPr="00D2703A" w:rsidTr="002273AC">
        <w:tc>
          <w:tcPr>
            <w:tcW w:w="4788" w:type="dxa"/>
          </w:tcPr>
          <w:p w:rsidR="006E0942" w:rsidRDefault="006E0942" w:rsidP="006E0942">
            <w:pPr>
              <w:rPr>
                <w:sz w:val="26"/>
                <w:szCs w:val="26"/>
              </w:rPr>
            </w:pPr>
            <w:r>
              <w:rPr>
                <w:sz w:val="26"/>
                <w:szCs w:val="26"/>
              </w:rPr>
              <w:t>Kyle L. Kern</w:t>
            </w:r>
          </w:p>
          <w:p w:rsidR="00977F01" w:rsidRDefault="00977F01" w:rsidP="006E0942">
            <w:pPr>
              <w:rPr>
                <w:sz w:val="26"/>
                <w:szCs w:val="26"/>
              </w:rPr>
            </w:pPr>
            <w:r>
              <w:rPr>
                <w:sz w:val="26"/>
                <w:szCs w:val="26"/>
              </w:rPr>
              <w:t>Assistant Consumers’ Counsel</w:t>
            </w:r>
          </w:p>
          <w:p w:rsidR="00977F01" w:rsidRDefault="00977F01" w:rsidP="002273AC">
            <w:pPr>
              <w:rPr>
                <w:sz w:val="26"/>
                <w:szCs w:val="26"/>
              </w:rPr>
            </w:pPr>
            <w:r>
              <w:rPr>
                <w:sz w:val="26"/>
                <w:szCs w:val="26"/>
              </w:rPr>
              <w:t>Office of the Ohio Consumers’ Counsel</w:t>
            </w:r>
          </w:p>
          <w:p w:rsidR="00977F01" w:rsidRDefault="00977F01" w:rsidP="002273AC">
            <w:pPr>
              <w:rPr>
                <w:sz w:val="26"/>
                <w:szCs w:val="26"/>
              </w:rPr>
            </w:pPr>
            <w:r>
              <w:rPr>
                <w:sz w:val="26"/>
                <w:szCs w:val="26"/>
              </w:rPr>
              <w:t>10 West Broad Street</w:t>
            </w:r>
          </w:p>
          <w:p w:rsidR="00977F01" w:rsidRDefault="00977F01" w:rsidP="002273AC">
            <w:pPr>
              <w:rPr>
                <w:sz w:val="26"/>
                <w:szCs w:val="26"/>
              </w:rPr>
            </w:pPr>
            <w:r>
              <w:rPr>
                <w:sz w:val="26"/>
                <w:szCs w:val="26"/>
              </w:rPr>
              <w:t>Suite 1800</w:t>
            </w:r>
          </w:p>
          <w:p w:rsidR="00977F01" w:rsidRDefault="00977F01" w:rsidP="002273AC">
            <w:pPr>
              <w:rPr>
                <w:sz w:val="26"/>
                <w:szCs w:val="26"/>
              </w:rPr>
            </w:pPr>
            <w:r>
              <w:rPr>
                <w:sz w:val="26"/>
                <w:szCs w:val="26"/>
              </w:rPr>
              <w:t>Columbus, OH  43215</w:t>
            </w:r>
          </w:p>
          <w:p w:rsidR="00977F01" w:rsidRDefault="00977F01" w:rsidP="002273AC">
            <w:pPr>
              <w:rPr>
                <w:sz w:val="26"/>
                <w:szCs w:val="26"/>
              </w:rPr>
            </w:pPr>
            <w:r>
              <w:rPr>
                <w:sz w:val="26"/>
                <w:szCs w:val="26"/>
              </w:rPr>
              <w:t>614.466.8574 (telephone)</w:t>
            </w:r>
          </w:p>
          <w:p w:rsidR="00977F01" w:rsidRDefault="00977F01" w:rsidP="002273AC">
            <w:pPr>
              <w:rPr>
                <w:sz w:val="26"/>
                <w:szCs w:val="26"/>
              </w:rPr>
            </w:pPr>
            <w:r>
              <w:rPr>
                <w:sz w:val="26"/>
                <w:szCs w:val="26"/>
              </w:rPr>
              <w:t>614.466.9475 (fax)</w:t>
            </w:r>
          </w:p>
          <w:p w:rsidR="00977F01" w:rsidRPr="00221496" w:rsidRDefault="0064700C" w:rsidP="006E0942">
            <w:pPr>
              <w:rPr>
                <w:sz w:val="26"/>
                <w:szCs w:val="26"/>
              </w:rPr>
            </w:pPr>
            <w:hyperlink r:id="rId10" w:history="1">
              <w:r w:rsidR="006E0942" w:rsidRPr="00B91387">
                <w:rPr>
                  <w:rStyle w:val="Hyperlink"/>
                  <w:sz w:val="26"/>
                  <w:szCs w:val="26"/>
                </w:rPr>
                <w:t>kern@occ.state.oh.us</w:t>
              </w:r>
            </w:hyperlink>
          </w:p>
        </w:tc>
        <w:tc>
          <w:tcPr>
            <w:tcW w:w="4788" w:type="dxa"/>
          </w:tcPr>
          <w:p w:rsidR="00977F01" w:rsidRDefault="006E0942" w:rsidP="002273AC">
            <w:pPr>
              <w:ind w:left="720" w:hanging="720"/>
              <w:rPr>
                <w:sz w:val="26"/>
                <w:szCs w:val="26"/>
              </w:rPr>
            </w:pPr>
            <w:r>
              <w:rPr>
                <w:sz w:val="26"/>
                <w:szCs w:val="26"/>
              </w:rPr>
              <w:t>Judi L. Sobecki</w:t>
            </w:r>
          </w:p>
          <w:p w:rsidR="006E0942" w:rsidRDefault="006E0942" w:rsidP="002273AC">
            <w:pPr>
              <w:ind w:left="720" w:hanging="720"/>
              <w:rPr>
                <w:sz w:val="26"/>
                <w:szCs w:val="26"/>
              </w:rPr>
            </w:pPr>
            <w:r>
              <w:rPr>
                <w:sz w:val="26"/>
                <w:szCs w:val="26"/>
              </w:rPr>
              <w:t>Randall J. Griffin</w:t>
            </w:r>
          </w:p>
          <w:p w:rsidR="006E0942" w:rsidRDefault="006E0942" w:rsidP="002273AC">
            <w:pPr>
              <w:ind w:left="720" w:hanging="720"/>
              <w:rPr>
                <w:sz w:val="26"/>
                <w:szCs w:val="26"/>
              </w:rPr>
            </w:pPr>
            <w:r>
              <w:rPr>
                <w:sz w:val="26"/>
                <w:szCs w:val="26"/>
              </w:rPr>
              <w:t>The Dayton Power and Light Company</w:t>
            </w:r>
          </w:p>
          <w:p w:rsidR="006E0942" w:rsidRDefault="006E0942" w:rsidP="002273AC">
            <w:pPr>
              <w:ind w:left="720" w:hanging="720"/>
              <w:rPr>
                <w:sz w:val="26"/>
                <w:szCs w:val="26"/>
              </w:rPr>
            </w:pPr>
            <w:r>
              <w:rPr>
                <w:sz w:val="26"/>
                <w:szCs w:val="26"/>
              </w:rPr>
              <w:t>1065 Woodman Drive</w:t>
            </w:r>
          </w:p>
          <w:p w:rsidR="006E0942" w:rsidRDefault="006E0942" w:rsidP="002273AC">
            <w:pPr>
              <w:ind w:left="720" w:hanging="720"/>
              <w:rPr>
                <w:sz w:val="26"/>
                <w:szCs w:val="26"/>
              </w:rPr>
            </w:pPr>
            <w:r>
              <w:rPr>
                <w:sz w:val="26"/>
                <w:szCs w:val="26"/>
              </w:rPr>
              <w:t>Dayton, OH  45432</w:t>
            </w:r>
          </w:p>
          <w:p w:rsidR="006E0942" w:rsidRDefault="0064700C" w:rsidP="002273AC">
            <w:pPr>
              <w:ind w:left="720" w:hanging="720"/>
              <w:rPr>
                <w:sz w:val="26"/>
                <w:szCs w:val="26"/>
              </w:rPr>
            </w:pPr>
            <w:hyperlink r:id="rId11" w:history="1">
              <w:r w:rsidR="006E0942" w:rsidRPr="00B91387">
                <w:rPr>
                  <w:rStyle w:val="Hyperlink"/>
                  <w:sz w:val="26"/>
                  <w:szCs w:val="26"/>
                </w:rPr>
                <w:t>judi.sobecki@dplinc.com</w:t>
              </w:r>
            </w:hyperlink>
          </w:p>
          <w:p w:rsidR="006E0942" w:rsidRDefault="0064700C" w:rsidP="002273AC">
            <w:pPr>
              <w:ind w:left="720" w:hanging="720"/>
              <w:rPr>
                <w:sz w:val="26"/>
                <w:szCs w:val="26"/>
              </w:rPr>
            </w:pPr>
            <w:hyperlink r:id="rId12" w:history="1">
              <w:r w:rsidR="006E0942" w:rsidRPr="00B91387">
                <w:rPr>
                  <w:rStyle w:val="Hyperlink"/>
                  <w:sz w:val="26"/>
                  <w:szCs w:val="26"/>
                </w:rPr>
                <w:t>randall.griffin@dplinc.com</w:t>
              </w:r>
            </w:hyperlink>
          </w:p>
          <w:p w:rsidR="006E0942" w:rsidRPr="00F70EF6" w:rsidRDefault="006E0942" w:rsidP="002273AC">
            <w:pPr>
              <w:ind w:left="720" w:hanging="720"/>
              <w:rPr>
                <w:sz w:val="26"/>
                <w:szCs w:val="26"/>
              </w:rPr>
            </w:pPr>
          </w:p>
          <w:p w:rsidR="00977F01" w:rsidRPr="00221496" w:rsidRDefault="00977F01" w:rsidP="002273AC">
            <w:pPr>
              <w:rPr>
                <w:sz w:val="26"/>
                <w:szCs w:val="26"/>
              </w:rPr>
            </w:pPr>
          </w:p>
        </w:tc>
      </w:tr>
    </w:tbl>
    <w:p w:rsidR="00977F01" w:rsidRPr="00DF3D54" w:rsidRDefault="00977F01" w:rsidP="00200A0A">
      <w:pPr>
        <w:ind w:left="4332"/>
        <w:jc w:val="both"/>
        <w:rPr>
          <w:sz w:val="26"/>
          <w:szCs w:val="26"/>
        </w:rPr>
      </w:pPr>
    </w:p>
    <w:sectPr w:rsidR="00977F01" w:rsidRPr="00DF3D54" w:rsidSect="003B12DD">
      <w:footerReference w:type="defaul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42" w:rsidRDefault="006E0942" w:rsidP="008866FC">
      <w:pPr>
        <w:pStyle w:val="Title"/>
      </w:pPr>
      <w:r>
        <w:separator/>
      </w:r>
    </w:p>
  </w:endnote>
  <w:endnote w:type="continuationSeparator" w:id="0">
    <w:p w:rsidR="006E0942" w:rsidRDefault="006E0942"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64700C">
      <w:rPr>
        <w:rStyle w:val="PageNumber"/>
        <w:noProof/>
        <w:sz w:val="24"/>
        <w:szCs w:val="24"/>
      </w:rPr>
      <w:t>3</w:t>
    </w:r>
    <w:r w:rsidRPr="007F5520">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42" w:rsidRDefault="006E0942" w:rsidP="00663D6A">
      <w:pPr>
        <w:pStyle w:val="Title"/>
        <w:jc w:val="left"/>
      </w:pPr>
      <w:r>
        <w:separator/>
      </w:r>
    </w:p>
  </w:footnote>
  <w:footnote w:type="continuationSeparator" w:id="0">
    <w:p w:rsidR="006E0942" w:rsidRDefault="006E0942" w:rsidP="008866FC">
      <w:pPr>
        <w:pStyle w:val="Titl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942"/>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00C"/>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42"/>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mcnamee@puc.state.oh.u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ndall.griffin@dpl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udi.sobecki@dplin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rn@occ.state.oh.us" TargetMode="External"/><Relationship Id="rId4" Type="http://schemas.openxmlformats.org/officeDocument/2006/relationships/settings" Target="settings.xml"/><Relationship Id="rId9" Type="http://schemas.openxmlformats.org/officeDocument/2006/relationships/hyperlink" Target="mailto:steven.beeler@puc.state.oh.u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PUCO (or OPSB) Pleading</Template>
  <TotalTime>11</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2986</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2</cp:revision>
  <cp:lastPrinted>2010-04-28T14:16:00Z</cp:lastPrinted>
  <dcterms:created xsi:type="dcterms:W3CDTF">2013-10-09T14:19:00Z</dcterms:created>
  <dcterms:modified xsi:type="dcterms:W3CDTF">2013-10-09T19:02:00Z</dcterms:modified>
</cp:coreProperties>
</file>