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EC44" w14:textId="77777777" w:rsidR="00B705CF" w:rsidRDefault="00844F5D">
      <w:pPr>
        <w:pStyle w:val="Heading1"/>
        <w:spacing w:before="76"/>
        <w:ind w:left="2003" w:right="2003"/>
        <w:jc w:val="center"/>
      </w:pPr>
      <w:r>
        <w:rPr>
          <w:spacing w:val="-2"/>
        </w:rPr>
        <w:t>BEFORE</w:t>
      </w:r>
    </w:p>
    <w:p w14:paraId="47ADEC45" w14:textId="77777777" w:rsidR="00B705CF" w:rsidRDefault="00844F5D">
      <w:pPr>
        <w:ind w:left="2004" w:right="2003"/>
        <w:jc w:val="center"/>
        <w:rPr>
          <w:b/>
          <w:sz w:val="24"/>
        </w:rPr>
      </w:pPr>
      <w:r>
        <w:rPr>
          <w:b/>
          <w:sz w:val="24"/>
        </w:rPr>
        <w:t>THE</w:t>
      </w:r>
      <w:r>
        <w:rPr>
          <w:b/>
          <w:spacing w:val="-3"/>
          <w:sz w:val="24"/>
        </w:rPr>
        <w:t xml:space="preserve"> </w:t>
      </w:r>
      <w:r>
        <w:rPr>
          <w:b/>
          <w:sz w:val="24"/>
        </w:rPr>
        <w:t>PUBLIC</w:t>
      </w:r>
      <w:r>
        <w:rPr>
          <w:b/>
          <w:spacing w:val="-4"/>
          <w:sz w:val="24"/>
        </w:rPr>
        <w:t xml:space="preserve"> </w:t>
      </w:r>
      <w:r>
        <w:rPr>
          <w:b/>
          <w:sz w:val="24"/>
        </w:rPr>
        <w:t>UTILITIES</w:t>
      </w:r>
      <w:r>
        <w:rPr>
          <w:b/>
          <w:spacing w:val="-2"/>
          <w:sz w:val="24"/>
        </w:rPr>
        <w:t xml:space="preserve"> </w:t>
      </w:r>
      <w:r>
        <w:rPr>
          <w:b/>
          <w:sz w:val="24"/>
        </w:rPr>
        <w:t>COMMISSION</w:t>
      </w:r>
      <w:r>
        <w:rPr>
          <w:b/>
          <w:spacing w:val="-4"/>
          <w:sz w:val="24"/>
        </w:rPr>
        <w:t xml:space="preserve"> </w:t>
      </w:r>
      <w:r>
        <w:rPr>
          <w:b/>
          <w:sz w:val="24"/>
        </w:rPr>
        <w:t>OF</w:t>
      </w:r>
      <w:r>
        <w:rPr>
          <w:b/>
          <w:spacing w:val="-3"/>
          <w:sz w:val="24"/>
        </w:rPr>
        <w:t xml:space="preserve"> </w:t>
      </w:r>
      <w:r>
        <w:rPr>
          <w:b/>
          <w:spacing w:val="-4"/>
          <w:sz w:val="24"/>
        </w:rPr>
        <w:t>OHIO</w:t>
      </w:r>
    </w:p>
    <w:p w14:paraId="47ADEC46" w14:textId="77777777" w:rsidR="00B705CF" w:rsidRDefault="00B705CF">
      <w:pPr>
        <w:pStyle w:val="BodyText"/>
        <w:spacing w:before="2"/>
        <w:rPr>
          <w:b/>
          <w:sz w:val="16"/>
        </w:rPr>
      </w:pPr>
    </w:p>
    <w:tbl>
      <w:tblPr>
        <w:tblW w:w="0" w:type="auto"/>
        <w:tblLayout w:type="fixed"/>
        <w:tblLook w:val="01E0" w:firstRow="1" w:lastRow="1" w:firstColumn="1" w:lastColumn="1" w:noHBand="0" w:noVBand="0"/>
      </w:tblPr>
      <w:tblGrid>
        <w:gridCol w:w="4725"/>
        <w:gridCol w:w="630"/>
        <w:gridCol w:w="3915"/>
      </w:tblGrid>
      <w:tr w:rsidR="1CC9BDEF" w14:paraId="3947DF01" w14:textId="77777777" w:rsidTr="1CC9BDEF">
        <w:trPr>
          <w:trHeight w:val="870"/>
        </w:trPr>
        <w:tc>
          <w:tcPr>
            <w:tcW w:w="4725" w:type="dxa"/>
          </w:tcPr>
          <w:p w14:paraId="66021574" w14:textId="0A943588" w:rsidR="1CC9BDEF" w:rsidRPr="00C547A4" w:rsidRDefault="1CC9BDEF" w:rsidP="00C547A4">
            <w:pPr>
              <w:rPr>
                <w:rFonts w:eastAsia="Arial"/>
                <w:sz w:val="24"/>
                <w:szCs w:val="24"/>
              </w:rPr>
            </w:pPr>
            <w:r w:rsidRPr="00C547A4">
              <w:rPr>
                <w:rFonts w:eastAsia="Arial"/>
                <w:sz w:val="24"/>
                <w:szCs w:val="24"/>
              </w:rPr>
              <w:t>In the Matter of the Application of Columbia Gas of Ohio, Inc. for Authority to Amend its Filed Tariffs to Increase the Rates and Charges for Gas Services and Related Matters.</w:t>
            </w:r>
          </w:p>
        </w:tc>
        <w:tc>
          <w:tcPr>
            <w:tcW w:w="630" w:type="dxa"/>
          </w:tcPr>
          <w:p w14:paraId="639BF731" w14:textId="2EB714FD" w:rsidR="1CC9BDEF" w:rsidRPr="00C547A4" w:rsidRDefault="1CC9BDEF" w:rsidP="00C547A4">
            <w:pPr>
              <w:rPr>
                <w:rFonts w:eastAsia="Arial"/>
                <w:sz w:val="24"/>
                <w:szCs w:val="24"/>
              </w:rPr>
            </w:pPr>
            <w:r w:rsidRPr="00C547A4">
              <w:rPr>
                <w:rFonts w:eastAsia="Arial"/>
                <w:sz w:val="24"/>
                <w:szCs w:val="24"/>
              </w:rPr>
              <w:t>)</w:t>
            </w:r>
          </w:p>
          <w:p w14:paraId="79BA3735" w14:textId="284FF4B7" w:rsidR="1CC9BDEF" w:rsidRPr="00C547A4" w:rsidRDefault="1CC9BDEF" w:rsidP="00C547A4">
            <w:pPr>
              <w:rPr>
                <w:rFonts w:eastAsia="Arial"/>
                <w:sz w:val="24"/>
                <w:szCs w:val="24"/>
              </w:rPr>
            </w:pPr>
            <w:r w:rsidRPr="00C547A4">
              <w:rPr>
                <w:rFonts w:eastAsia="Arial"/>
                <w:sz w:val="24"/>
                <w:szCs w:val="24"/>
              </w:rPr>
              <w:t>)</w:t>
            </w:r>
          </w:p>
          <w:p w14:paraId="56E6EFF4" w14:textId="1CABB1C5" w:rsidR="1CC9BDEF" w:rsidRPr="00C547A4" w:rsidRDefault="1CC9BDEF" w:rsidP="00C547A4">
            <w:pPr>
              <w:rPr>
                <w:rFonts w:eastAsia="Arial"/>
                <w:sz w:val="24"/>
                <w:szCs w:val="24"/>
              </w:rPr>
            </w:pPr>
            <w:r w:rsidRPr="00C547A4">
              <w:rPr>
                <w:rFonts w:eastAsia="Arial"/>
                <w:sz w:val="24"/>
                <w:szCs w:val="24"/>
              </w:rPr>
              <w:t>)</w:t>
            </w:r>
          </w:p>
          <w:p w14:paraId="1BB84058" w14:textId="4FC7CA3A" w:rsidR="1CC9BDEF" w:rsidRPr="00C547A4" w:rsidRDefault="1CC9BDEF" w:rsidP="00C547A4">
            <w:pPr>
              <w:rPr>
                <w:rFonts w:eastAsia="Arial"/>
                <w:sz w:val="24"/>
                <w:szCs w:val="24"/>
              </w:rPr>
            </w:pPr>
            <w:r w:rsidRPr="00C547A4">
              <w:rPr>
                <w:rFonts w:eastAsia="Arial"/>
                <w:sz w:val="24"/>
                <w:szCs w:val="24"/>
              </w:rPr>
              <w:t>)</w:t>
            </w:r>
          </w:p>
          <w:p w14:paraId="2E7AC127" w14:textId="62AA4528" w:rsidR="1CC9BDEF" w:rsidRPr="00C547A4" w:rsidRDefault="1CC9BDEF" w:rsidP="00C547A4">
            <w:pPr>
              <w:rPr>
                <w:rFonts w:eastAsia="Arial"/>
                <w:sz w:val="24"/>
                <w:szCs w:val="24"/>
              </w:rPr>
            </w:pPr>
            <w:r w:rsidRPr="00C547A4">
              <w:rPr>
                <w:rFonts w:eastAsia="Arial"/>
                <w:sz w:val="24"/>
                <w:szCs w:val="24"/>
              </w:rPr>
              <w:t>)</w:t>
            </w:r>
          </w:p>
          <w:p w14:paraId="2C2060F9" w14:textId="210F7B8B" w:rsidR="1CC9BDEF" w:rsidRPr="00C547A4" w:rsidRDefault="1CC9BDEF" w:rsidP="00C547A4">
            <w:pPr>
              <w:rPr>
                <w:rFonts w:eastAsia="Arial"/>
                <w:sz w:val="24"/>
                <w:szCs w:val="24"/>
              </w:rPr>
            </w:pPr>
          </w:p>
        </w:tc>
        <w:tc>
          <w:tcPr>
            <w:tcW w:w="3915" w:type="dxa"/>
          </w:tcPr>
          <w:p w14:paraId="1FBD53CB" w14:textId="11208941" w:rsidR="1CC9BDEF" w:rsidRPr="00C547A4" w:rsidRDefault="1CC9BDEF" w:rsidP="00C547A4">
            <w:pPr>
              <w:rPr>
                <w:rFonts w:eastAsia="Arial"/>
                <w:sz w:val="24"/>
                <w:szCs w:val="24"/>
              </w:rPr>
            </w:pPr>
          </w:p>
          <w:p w14:paraId="0E9D9A94" w14:textId="4C5EBD1F" w:rsidR="1CC9BDEF" w:rsidRPr="00C547A4" w:rsidRDefault="1CC9BDEF" w:rsidP="00C547A4">
            <w:pPr>
              <w:rPr>
                <w:rFonts w:eastAsia="Arial"/>
                <w:sz w:val="24"/>
                <w:szCs w:val="24"/>
              </w:rPr>
            </w:pPr>
            <w:r w:rsidRPr="00C547A4">
              <w:rPr>
                <w:rFonts w:eastAsia="Arial"/>
                <w:sz w:val="24"/>
                <w:szCs w:val="24"/>
              </w:rPr>
              <w:t>Case No. 21-637-GA-AIR</w:t>
            </w:r>
          </w:p>
          <w:p w14:paraId="38D54452" w14:textId="53B5B397" w:rsidR="1CC9BDEF" w:rsidRPr="00C547A4" w:rsidRDefault="1CC9BDEF" w:rsidP="00C547A4">
            <w:pPr>
              <w:rPr>
                <w:rFonts w:eastAsia="Arial"/>
                <w:sz w:val="24"/>
                <w:szCs w:val="24"/>
              </w:rPr>
            </w:pPr>
          </w:p>
          <w:p w14:paraId="4672A1FE" w14:textId="3A605124" w:rsidR="1CC9BDEF" w:rsidRPr="00C547A4" w:rsidRDefault="1CC9BDEF" w:rsidP="00C547A4">
            <w:pPr>
              <w:rPr>
                <w:rFonts w:eastAsia="Arial"/>
                <w:sz w:val="24"/>
                <w:szCs w:val="24"/>
              </w:rPr>
            </w:pPr>
          </w:p>
        </w:tc>
      </w:tr>
      <w:tr w:rsidR="1CC9BDEF" w14:paraId="128A7804" w14:textId="77777777" w:rsidTr="1CC9BDEF">
        <w:trPr>
          <w:trHeight w:val="870"/>
        </w:trPr>
        <w:tc>
          <w:tcPr>
            <w:tcW w:w="4725" w:type="dxa"/>
          </w:tcPr>
          <w:p w14:paraId="6C6CB3ED" w14:textId="043A6611" w:rsidR="1CC9BDEF" w:rsidRPr="00C547A4" w:rsidRDefault="1CC9BDEF" w:rsidP="00C547A4">
            <w:pPr>
              <w:rPr>
                <w:rFonts w:eastAsia="Arial"/>
                <w:sz w:val="24"/>
                <w:szCs w:val="24"/>
              </w:rPr>
            </w:pPr>
            <w:r w:rsidRPr="00C547A4">
              <w:rPr>
                <w:rFonts w:eastAsia="Arial"/>
                <w:sz w:val="24"/>
                <w:szCs w:val="24"/>
              </w:rPr>
              <w:t>In the Matter of the Annual Application of Columbia Gas of Ohio, Inc. for Approval of an Alternative Form of Regulation.</w:t>
            </w:r>
          </w:p>
        </w:tc>
        <w:tc>
          <w:tcPr>
            <w:tcW w:w="630" w:type="dxa"/>
          </w:tcPr>
          <w:p w14:paraId="13E272FF" w14:textId="774C906F" w:rsidR="1CC9BDEF" w:rsidRPr="00C547A4" w:rsidRDefault="1CC9BDEF" w:rsidP="00C547A4">
            <w:pPr>
              <w:rPr>
                <w:rFonts w:eastAsia="Arial"/>
                <w:sz w:val="24"/>
                <w:szCs w:val="24"/>
              </w:rPr>
            </w:pPr>
            <w:r w:rsidRPr="00C547A4">
              <w:rPr>
                <w:rFonts w:eastAsia="Arial"/>
                <w:sz w:val="24"/>
                <w:szCs w:val="24"/>
              </w:rPr>
              <w:t>)</w:t>
            </w:r>
          </w:p>
          <w:p w14:paraId="3539B17C" w14:textId="0AA0C32B" w:rsidR="1CC9BDEF" w:rsidRPr="00C547A4" w:rsidRDefault="1CC9BDEF" w:rsidP="00C547A4">
            <w:pPr>
              <w:rPr>
                <w:rFonts w:eastAsia="Arial"/>
                <w:sz w:val="24"/>
                <w:szCs w:val="24"/>
              </w:rPr>
            </w:pPr>
            <w:r w:rsidRPr="00C547A4">
              <w:rPr>
                <w:rFonts w:eastAsia="Arial"/>
                <w:sz w:val="24"/>
                <w:szCs w:val="24"/>
              </w:rPr>
              <w:t>)</w:t>
            </w:r>
          </w:p>
          <w:p w14:paraId="10B73BA3" w14:textId="78B899E9" w:rsidR="1CC9BDEF" w:rsidRPr="00C547A4" w:rsidRDefault="1CC9BDEF" w:rsidP="00C547A4">
            <w:pPr>
              <w:rPr>
                <w:rFonts w:eastAsia="Arial"/>
                <w:sz w:val="24"/>
                <w:szCs w:val="24"/>
              </w:rPr>
            </w:pPr>
            <w:r w:rsidRPr="00C547A4">
              <w:rPr>
                <w:rFonts w:eastAsia="Arial"/>
                <w:sz w:val="24"/>
                <w:szCs w:val="24"/>
              </w:rPr>
              <w:t>)</w:t>
            </w:r>
          </w:p>
          <w:p w14:paraId="03718BD2" w14:textId="4CAD3949" w:rsidR="1CC9BDEF" w:rsidRPr="00C547A4" w:rsidRDefault="1CC9BDEF" w:rsidP="00C547A4">
            <w:pPr>
              <w:rPr>
                <w:rFonts w:eastAsia="Arial"/>
                <w:sz w:val="24"/>
                <w:szCs w:val="24"/>
              </w:rPr>
            </w:pPr>
          </w:p>
        </w:tc>
        <w:tc>
          <w:tcPr>
            <w:tcW w:w="3915" w:type="dxa"/>
          </w:tcPr>
          <w:p w14:paraId="41227688" w14:textId="1C5B3C47" w:rsidR="1CC9BDEF" w:rsidRPr="00C547A4" w:rsidRDefault="1CC9BDEF" w:rsidP="00C547A4">
            <w:pPr>
              <w:rPr>
                <w:rFonts w:eastAsia="Arial"/>
                <w:sz w:val="24"/>
                <w:szCs w:val="24"/>
              </w:rPr>
            </w:pPr>
          </w:p>
          <w:p w14:paraId="7DFA7E60" w14:textId="61738CC5" w:rsidR="1CC9BDEF" w:rsidRPr="00C547A4" w:rsidRDefault="1CC9BDEF" w:rsidP="00C547A4">
            <w:pPr>
              <w:rPr>
                <w:rFonts w:eastAsia="Arial"/>
                <w:sz w:val="24"/>
                <w:szCs w:val="24"/>
              </w:rPr>
            </w:pPr>
            <w:r w:rsidRPr="00C547A4">
              <w:rPr>
                <w:rFonts w:eastAsia="Arial"/>
                <w:sz w:val="24"/>
                <w:szCs w:val="24"/>
              </w:rPr>
              <w:t>Case No. 21-638-GA-ALT</w:t>
            </w:r>
          </w:p>
          <w:p w14:paraId="59F7DDB4" w14:textId="2543D291" w:rsidR="1CC9BDEF" w:rsidRPr="00C547A4" w:rsidRDefault="1CC9BDEF" w:rsidP="00C547A4">
            <w:pPr>
              <w:rPr>
                <w:rFonts w:eastAsia="Arial"/>
                <w:sz w:val="24"/>
                <w:szCs w:val="24"/>
              </w:rPr>
            </w:pPr>
          </w:p>
          <w:p w14:paraId="5045C041" w14:textId="4FBF44EF" w:rsidR="1CC9BDEF" w:rsidRPr="00C547A4" w:rsidRDefault="1CC9BDEF" w:rsidP="00C547A4">
            <w:pPr>
              <w:rPr>
                <w:rFonts w:eastAsia="Arial"/>
                <w:sz w:val="24"/>
                <w:szCs w:val="24"/>
              </w:rPr>
            </w:pPr>
          </w:p>
        </w:tc>
      </w:tr>
      <w:tr w:rsidR="1CC9BDEF" w14:paraId="2BE1D501" w14:textId="77777777" w:rsidTr="1CC9BDEF">
        <w:trPr>
          <w:trHeight w:val="870"/>
        </w:trPr>
        <w:tc>
          <w:tcPr>
            <w:tcW w:w="4725" w:type="dxa"/>
          </w:tcPr>
          <w:p w14:paraId="5ADD1BE7" w14:textId="1F6423CE" w:rsidR="1CC9BDEF" w:rsidRPr="00C547A4" w:rsidRDefault="1CC9BDEF" w:rsidP="00C547A4">
            <w:pPr>
              <w:rPr>
                <w:rFonts w:eastAsia="Arial"/>
                <w:sz w:val="24"/>
                <w:szCs w:val="24"/>
              </w:rPr>
            </w:pPr>
            <w:r w:rsidRPr="00C547A4">
              <w:rPr>
                <w:rFonts w:eastAsia="Arial"/>
                <w:sz w:val="24"/>
                <w:szCs w:val="24"/>
              </w:rPr>
              <w:t>In the Matter of the Application of Columbia Gas of Ohio Inc. for Approval of a Demand Side Management Program for its Residential and Commercial Customers.</w:t>
            </w:r>
          </w:p>
          <w:p w14:paraId="0C10A0A7" w14:textId="0A0E48FC" w:rsidR="1CC9BDEF" w:rsidRPr="00C547A4" w:rsidRDefault="1CC9BDEF" w:rsidP="00C547A4">
            <w:pPr>
              <w:rPr>
                <w:rFonts w:eastAsia="Arial"/>
                <w:sz w:val="24"/>
                <w:szCs w:val="24"/>
              </w:rPr>
            </w:pPr>
          </w:p>
        </w:tc>
        <w:tc>
          <w:tcPr>
            <w:tcW w:w="630" w:type="dxa"/>
          </w:tcPr>
          <w:p w14:paraId="760C527A" w14:textId="131BDB39" w:rsidR="1CC9BDEF" w:rsidRPr="00C547A4" w:rsidRDefault="1CC9BDEF" w:rsidP="00C547A4">
            <w:pPr>
              <w:rPr>
                <w:rFonts w:eastAsia="Arial"/>
                <w:sz w:val="24"/>
                <w:szCs w:val="24"/>
              </w:rPr>
            </w:pPr>
            <w:r w:rsidRPr="00C547A4">
              <w:rPr>
                <w:rFonts w:eastAsia="Arial"/>
                <w:sz w:val="24"/>
                <w:szCs w:val="24"/>
              </w:rPr>
              <w:t>)</w:t>
            </w:r>
          </w:p>
          <w:p w14:paraId="4E4E2900" w14:textId="1034A6D3" w:rsidR="1CC9BDEF" w:rsidRPr="00C547A4" w:rsidRDefault="1CC9BDEF" w:rsidP="00C547A4">
            <w:pPr>
              <w:rPr>
                <w:rFonts w:eastAsia="Arial"/>
                <w:sz w:val="24"/>
                <w:szCs w:val="24"/>
              </w:rPr>
            </w:pPr>
            <w:r w:rsidRPr="00C547A4">
              <w:rPr>
                <w:rFonts w:eastAsia="Arial"/>
                <w:sz w:val="24"/>
                <w:szCs w:val="24"/>
              </w:rPr>
              <w:t>)</w:t>
            </w:r>
          </w:p>
          <w:p w14:paraId="1380A753" w14:textId="440AB500" w:rsidR="1CC9BDEF" w:rsidRPr="00C547A4" w:rsidRDefault="1CC9BDEF" w:rsidP="00C547A4">
            <w:pPr>
              <w:rPr>
                <w:rFonts w:eastAsia="Arial"/>
                <w:sz w:val="24"/>
                <w:szCs w:val="24"/>
              </w:rPr>
            </w:pPr>
            <w:r w:rsidRPr="00C547A4">
              <w:rPr>
                <w:rFonts w:eastAsia="Arial"/>
                <w:sz w:val="24"/>
                <w:szCs w:val="24"/>
              </w:rPr>
              <w:t>)</w:t>
            </w:r>
          </w:p>
          <w:p w14:paraId="14683AA4" w14:textId="1C9139EE" w:rsidR="1CC9BDEF" w:rsidRPr="00C547A4" w:rsidRDefault="1CC9BDEF" w:rsidP="00C547A4">
            <w:pPr>
              <w:rPr>
                <w:rFonts w:eastAsia="Arial"/>
                <w:sz w:val="24"/>
                <w:szCs w:val="24"/>
              </w:rPr>
            </w:pPr>
            <w:r w:rsidRPr="00C547A4">
              <w:rPr>
                <w:rFonts w:eastAsia="Arial"/>
                <w:sz w:val="24"/>
                <w:szCs w:val="24"/>
              </w:rPr>
              <w:t>)</w:t>
            </w:r>
          </w:p>
          <w:p w14:paraId="4D46542E" w14:textId="21A522E0" w:rsidR="1CC9BDEF" w:rsidRPr="00C547A4" w:rsidRDefault="1CC9BDEF" w:rsidP="00C547A4">
            <w:pPr>
              <w:rPr>
                <w:rFonts w:eastAsia="Arial"/>
                <w:sz w:val="24"/>
                <w:szCs w:val="24"/>
              </w:rPr>
            </w:pPr>
          </w:p>
          <w:p w14:paraId="11810D33" w14:textId="47CC8CE2" w:rsidR="1CC9BDEF" w:rsidRPr="00C547A4" w:rsidRDefault="1CC9BDEF" w:rsidP="00C547A4">
            <w:pPr>
              <w:rPr>
                <w:rFonts w:eastAsia="Arial"/>
                <w:sz w:val="24"/>
                <w:szCs w:val="24"/>
              </w:rPr>
            </w:pPr>
            <w:r w:rsidRPr="00C547A4">
              <w:rPr>
                <w:rFonts w:eastAsia="Arial"/>
                <w:sz w:val="24"/>
                <w:szCs w:val="24"/>
              </w:rPr>
              <w:t>)</w:t>
            </w:r>
          </w:p>
        </w:tc>
        <w:tc>
          <w:tcPr>
            <w:tcW w:w="3915" w:type="dxa"/>
          </w:tcPr>
          <w:p w14:paraId="79816685" w14:textId="66AFFCB0" w:rsidR="1CC9BDEF" w:rsidRPr="00C547A4" w:rsidRDefault="1CC9BDEF" w:rsidP="00C547A4">
            <w:pPr>
              <w:rPr>
                <w:rFonts w:eastAsia="Arial"/>
                <w:sz w:val="24"/>
                <w:szCs w:val="24"/>
              </w:rPr>
            </w:pPr>
          </w:p>
          <w:p w14:paraId="65B25759" w14:textId="3D8B23F5" w:rsidR="1CC9BDEF" w:rsidRPr="00C547A4" w:rsidRDefault="1CC9BDEF" w:rsidP="00C547A4">
            <w:pPr>
              <w:rPr>
                <w:rFonts w:eastAsia="Arial"/>
                <w:sz w:val="24"/>
                <w:szCs w:val="24"/>
              </w:rPr>
            </w:pPr>
            <w:r w:rsidRPr="00C547A4">
              <w:rPr>
                <w:rFonts w:eastAsia="Arial"/>
                <w:sz w:val="24"/>
                <w:szCs w:val="24"/>
              </w:rPr>
              <w:t>Case No. 21-639-GA-UNC</w:t>
            </w:r>
          </w:p>
        </w:tc>
      </w:tr>
      <w:tr w:rsidR="1CC9BDEF" w14:paraId="084D7663" w14:textId="77777777" w:rsidTr="1CC9BDEF">
        <w:trPr>
          <w:trHeight w:val="870"/>
        </w:trPr>
        <w:tc>
          <w:tcPr>
            <w:tcW w:w="4725" w:type="dxa"/>
          </w:tcPr>
          <w:p w14:paraId="5FB65392" w14:textId="69C99895" w:rsidR="1CC9BDEF" w:rsidRPr="00C547A4" w:rsidRDefault="1CC9BDEF" w:rsidP="00C547A4">
            <w:pPr>
              <w:rPr>
                <w:rFonts w:eastAsia="Arial"/>
                <w:sz w:val="24"/>
                <w:szCs w:val="24"/>
              </w:rPr>
            </w:pPr>
            <w:r w:rsidRPr="00C547A4">
              <w:rPr>
                <w:rFonts w:eastAsia="Arial"/>
                <w:sz w:val="24"/>
                <w:szCs w:val="24"/>
              </w:rPr>
              <w:t xml:space="preserve">In the Matter of the Application of Columbia Gas of Ohio, Inc. for Approval to Change Accounting Methods. </w:t>
            </w:r>
          </w:p>
          <w:p w14:paraId="21B40510" w14:textId="5F94212D" w:rsidR="1CC9BDEF" w:rsidRPr="00C547A4" w:rsidRDefault="1CC9BDEF" w:rsidP="00C547A4">
            <w:pPr>
              <w:rPr>
                <w:rFonts w:eastAsia="Arial"/>
                <w:sz w:val="24"/>
                <w:szCs w:val="24"/>
              </w:rPr>
            </w:pPr>
          </w:p>
        </w:tc>
        <w:tc>
          <w:tcPr>
            <w:tcW w:w="630" w:type="dxa"/>
          </w:tcPr>
          <w:p w14:paraId="5D19CB0F" w14:textId="5784B0BF" w:rsidR="1CC9BDEF" w:rsidRPr="00C547A4" w:rsidRDefault="1CC9BDEF" w:rsidP="00C547A4">
            <w:pPr>
              <w:rPr>
                <w:rFonts w:eastAsia="Arial"/>
                <w:sz w:val="24"/>
                <w:szCs w:val="24"/>
              </w:rPr>
            </w:pPr>
            <w:r w:rsidRPr="00C547A4">
              <w:rPr>
                <w:rFonts w:eastAsia="Arial"/>
                <w:sz w:val="24"/>
                <w:szCs w:val="24"/>
              </w:rPr>
              <w:t>)</w:t>
            </w:r>
          </w:p>
          <w:p w14:paraId="5EAA4BDE" w14:textId="540FF5EC" w:rsidR="1CC9BDEF" w:rsidRPr="00C547A4" w:rsidRDefault="1CC9BDEF" w:rsidP="00C547A4">
            <w:pPr>
              <w:rPr>
                <w:rFonts w:eastAsia="Arial"/>
                <w:sz w:val="24"/>
                <w:szCs w:val="24"/>
              </w:rPr>
            </w:pPr>
            <w:r w:rsidRPr="00C547A4">
              <w:rPr>
                <w:rFonts w:eastAsia="Arial"/>
                <w:sz w:val="24"/>
                <w:szCs w:val="24"/>
              </w:rPr>
              <w:t>)</w:t>
            </w:r>
          </w:p>
          <w:p w14:paraId="7D3DB7BC" w14:textId="4128FB3C" w:rsidR="1CC9BDEF" w:rsidRPr="00C547A4" w:rsidRDefault="1CC9BDEF" w:rsidP="00C547A4">
            <w:pPr>
              <w:rPr>
                <w:rFonts w:eastAsia="Arial"/>
                <w:sz w:val="24"/>
                <w:szCs w:val="24"/>
              </w:rPr>
            </w:pPr>
            <w:r w:rsidRPr="00C547A4">
              <w:rPr>
                <w:rFonts w:eastAsia="Arial"/>
                <w:sz w:val="24"/>
                <w:szCs w:val="24"/>
              </w:rPr>
              <w:t>)</w:t>
            </w:r>
          </w:p>
          <w:p w14:paraId="20756D63" w14:textId="32A4DD03" w:rsidR="1CC9BDEF" w:rsidRPr="00C547A4" w:rsidRDefault="1CC9BDEF" w:rsidP="00C547A4">
            <w:pPr>
              <w:rPr>
                <w:rFonts w:eastAsia="Arial"/>
                <w:sz w:val="24"/>
                <w:szCs w:val="24"/>
              </w:rPr>
            </w:pPr>
          </w:p>
        </w:tc>
        <w:tc>
          <w:tcPr>
            <w:tcW w:w="3915" w:type="dxa"/>
          </w:tcPr>
          <w:p w14:paraId="0E091728" w14:textId="567BBF23" w:rsidR="1CC9BDEF" w:rsidRPr="00C547A4" w:rsidRDefault="1CC9BDEF" w:rsidP="00C547A4">
            <w:pPr>
              <w:rPr>
                <w:rFonts w:eastAsia="Arial"/>
                <w:sz w:val="24"/>
                <w:szCs w:val="24"/>
              </w:rPr>
            </w:pPr>
          </w:p>
          <w:p w14:paraId="2852914A" w14:textId="103DE1CB" w:rsidR="1CC9BDEF" w:rsidRPr="00C547A4" w:rsidRDefault="1CC9BDEF" w:rsidP="00C547A4">
            <w:pPr>
              <w:rPr>
                <w:rFonts w:eastAsia="Arial"/>
                <w:sz w:val="24"/>
                <w:szCs w:val="24"/>
              </w:rPr>
            </w:pPr>
            <w:r w:rsidRPr="00C547A4">
              <w:rPr>
                <w:rFonts w:eastAsia="Arial"/>
                <w:sz w:val="24"/>
                <w:szCs w:val="24"/>
              </w:rPr>
              <w:t>Case No. 21-640-GA-AAM</w:t>
            </w:r>
          </w:p>
        </w:tc>
      </w:tr>
    </w:tbl>
    <w:p w14:paraId="47ADEC5B" w14:textId="44CA6086" w:rsidR="00B705CF" w:rsidRDefault="009F0DAE">
      <w:pPr>
        <w:pStyle w:val="BodyText"/>
        <w:spacing w:line="28" w:lineRule="exact"/>
        <w:ind w:left="71"/>
        <w:rPr>
          <w:sz w:val="2"/>
        </w:rPr>
      </w:pPr>
      <w:r>
        <w:rPr>
          <w:noProof/>
          <w:sz w:val="2"/>
        </w:rPr>
        <mc:AlternateContent>
          <mc:Choice Requires="wpg">
            <w:drawing>
              <wp:inline distT="0" distB="0" distL="0" distR="0" wp14:anchorId="47ADF06B" wp14:editId="4596C9D9">
                <wp:extent cx="5983605" cy="18415"/>
                <wp:effectExtent l="635" t="1270" r="0" b="0"/>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18415"/>
                          <a:chOff x="0" y="0"/>
                          <a:chExt cx="9423" cy="29"/>
                        </a:xfrm>
                      </wpg:grpSpPr>
                      <wps:wsp>
                        <wps:cNvPr id="6" name="docshape3"/>
                        <wps:cNvSpPr>
                          <a:spLocks noChangeArrowheads="1"/>
                        </wps:cNvSpPr>
                        <wps:spPr bwMode="auto">
                          <a:xfrm>
                            <a:off x="0" y="0"/>
                            <a:ext cx="94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8D3B84" id="docshapegroup2" o:spid="_x0000_s1026" style="width:471.15pt;height:1.45pt;mso-position-horizontal-relative:char;mso-position-vertical-relative:line" coordsize="94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">
                <v:rect id="docshape3" o:spid="_x0000_s1027" style="position:absolute;width:94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47ADEC5C" w14:textId="77777777" w:rsidR="00B705CF" w:rsidRDefault="00B705CF">
      <w:pPr>
        <w:pStyle w:val="BodyText"/>
        <w:spacing w:before="9"/>
        <w:rPr>
          <w:sz w:val="17"/>
        </w:rPr>
      </w:pPr>
    </w:p>
    <w:p w14:paraId="47ADEC5D" w14:textId="585A728B" w:rsidR="00B705CF" w:rsidRDefault="00844F5D">
      <w:pPr>
        <w:pStyle w:val="Heading1"/>
        <w:spacing w:before="90"/>
        <w:ind w:left="1993" w:right="1888" w:firstLine="228"/>
      </w:pPr>
      <w:r>
        <w:t>DIRECT TESTIMONY OF MATTHEW WHITE ON</w:t>
      </w:r>
      <w:r>
        <w:rPr>
          <w:spacing w:val="-6"/>
        </w:rPr>
        <w:t xml:space="preserve"> </w:t>
      </w:r>
      <w:r>
        <w:t>BEHALF</w:t>
      </w:r>
      <w:r>
        <w:rPr>
          <w:spacing w:val="-6"/>
        </w:rPr>
        <w:t xml:space="preserve"> </w:t>
      </w:r>
      <w:r>
        <w:t>OF</w:t>
      </w:r>
      <w:r>
        <w:rPr>
          <w:spacing w:val="-6"/>
        </w:rPr>
        <w:t xml:space="preserve"> </w:t>
      </w:r>
      <w:r>
        <w:t>INTERSTATE</w:t>
      </w:r>
      <w:r>
        <w:rPr>
          <w:spacing w:val="-5"/>
        </w:rPr>
        <w:t xml:space="preserve"> </w:t>
      </w:r>
      <w:r>
        <w:t>GAS</w:t>
      </w:r>
      <w:r>
        <w:rPr>
          <w:spacing w:val="-7"/>
        </w:rPr>
        <w:t xml:space="preserve"> </w:t>
      </w:r>
      <w:r>
        <w:t>SUPPLY,</w:t>
      </w:r>
      <w:r>
        <w:rPr>
          <w:spacing w:val="-6"/>
        </w:rPr>
        <w:t xml:space="preserve"> </w:t>
      </w:r>
      <w:r>
        <w:t>INC.</w:t>
      </w:r>
    </w:p>
    <w:p w14:paraId="2546392D" w14:textId="77777777" w:rsidR="003F2431" w:rsidRDefault="003F2431" w:rsidP="003F2431">
      <w:pPr>
        <w:pStyle w:val="Heading1"/>
        <w:spacing w:before="90"/>
        <w:ind w:left="1993" w:right="1888" w:firstLine="228"/>
        <w:jc w:val="center"/>
      </w:pPr>
      <w:r>
        <w:t>AND</w:t>
      </w:r>
    </w:p>
    <w:p w14:paraId="20E92560" w14:textId="5F5399F5" w:rsidR="003F2431" w:rsidRDefault="003F2431">
      <w:pPr>
        <w:pStyle w:val="Heading1"/>
        <w:spacing w:before="90"/>
        <w:ind w:left="1993" w:right="1888" w:firstLine="228"/>
      </w:pPr>
      <w:r>
        <w:t>THE RETAIL ENERGY SUPPLY ASSOCIATION</w:t>
      </w:r>
    </w:p>
    <w:p w14:paraId="47ADEC5E" w14:textId="7F33961E" w:rsidR="00B705CF" w:rsidRDefault="009F0DAE">
      <w:pPr>
        <w:pStyle w:val="BodyText"/>
        <w:spacing w:before="8"/>
        <w:rPr>
          <w:b/>
          <w:sz w:val="23"/>
        </w:rPr>
      </w:pPr>
      <w:r>
        <w:rPr>
          <w:noProof/>
        </w:rPr>
        <mc:AlternateContent>
          <mc:Choice Requires="wps">
            <w:drawing>
              <wp:anchor distT="0" distB="0" distL="0" distR="0" simplePos="0" relativeHeight="251658240" behindDoc="1" locked="0" layoutInCell="1" allowOverlap="1" wp14:anchorId="47ADF06C" wp14:editId="103C952D">
                <wp:simplePos x="0" y="0"/>
                <wp:positionH relativeFrom="page">
                  <wp:posOffset>895985</wp:posOffset>
                </wp:positionH>
                <wp:positionV relativeFrom="paragraph">
                  <wp:posOffset>188595</wp:posOffset>
                </wp:positionV>
                <wp:extent cx="5982970" cy="18415"/>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9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5334" id="docshape4" o:spid="_x0000_s1026" style="position:absolute;margin-left:70.55pt;margin-top:14.85pt;width:471.1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" fillcolor="black" stroked="f">
                <w10:wrap type="topAndBottom" anchorx="page"/>
              </v:rect>
            </w:pict>
          </mc:Fallback>
        </mc:AlternateContent>
      </w:r>
    </w:p>
    <w:p w14:paraId="47ADEC72" w14:textId="77777777" w:rsidR="00B705CF" w:rsidRDefault="00B705CF">
      <w:pPr>
        <w:pStyle w:val="BodyText"/>
        <w:rPr>
          <w:b/>
          <w:sz w:val="20"/>
        </w:rPr>
      </w:pPr>
    </w:p>
    <w:p w14:paraId="3DCA9F48" w14:textId="77777777" w:rsidR="00EB042B" w:rsidRDefault="00EB042B">
      <w:pPr>
        <w:pStyle w:val="BodyText"/>
        <w:rPr>
          <w:b/>
          <w:sz w:val="20"/>
        </w:rPr>
      </w:pPr>
    </w:p>
    <w:p w14:paraId="2E0E1D7F" w14:textId="77777777" w:rsidR="00EB042B" w:rsidRDefault="00EB042B">
      <w:pPr>
        <w:pStyle w:val="BodyText"/>
        <w:rPr>
          <w:b/>
          <w:sz w:val="20"/>
        </w:rPr>
      </w:pPr>
    </w:p>
    <w:p w14:paraId="66018924" w14:textId="77777777" w:rsidR="00EB042B" w:rsidRDefault="00EB042B">
      <w:pPr>
        <w:pStyle w:val="BodyText"/>
        <w:rPr>
          <w:b/>
          <w:sz w:val="20"/>
        </w:rPr>
      </w:pPr>
    </w:p>
    <w:p w14:paraId="18F3424D" w14:textId="77777777" w:rsidR="00EB042B" w:rsidRDefault="00EB042B">
      <w:pPr>
        <w:pStyle w:val="BodyText"/>
        <w:rPr>
          <w:b/>
          <w:sz w:val="20"/>
        </w:rPr>
      </w:pPr>
    </w:p>
    <w:p w14:paraId="7A50F5D3" w14:textId="77777777" w:rsidR="00EB042B" w:rsidRDefault="00EB042B">
      <w:pPr>
        <w:pStyle w:val="BodyText"/>
        <w:rPr>
          <w:b/>
          <w:sz w:val="20"/>
        </w:rPr>
      </w:pPr>
    </w:p>
    <w:p w14:paraId="3085461F" w14:textId="77777777" w:rsidR="00EB042B" w:rsidRDefault="00EB042B">
      <w:pPr>
        <w:pStyle w:val="BodyText"/>
        <w:rPr>
          <w:b/>
          <w:sz w:val="20"/>
        </w:rPr>
      </w:pPr>
    </w:p>
    <w:p w14:paraId="3E44CAE3" w14:textId="77777777" w:rsidR="00EB042B" w:rsidRDefault="00EB042B">
      <w:pPr>
        <w:pStyle w:val="BodyText"/>
        <w:rPr>
          <w:b/>
          <w:sz w:val="20"/>
        </w:rPr>
      </w:pPr>
    </w:p>
    <w:p w14:paraId="54825322" w14:textId="77777777" w:rsidR="00EB042B" w:rsidRDefault="00EB042B">
      <w:pPr>
        <w:pStyle w:val="BodyText"/>
        <w:rPr>
          <w:b/>
          <w:sz w:val="20"/>
        </w:rPr>
      </w:pPr>
    </w:p>
    <w:p w14:paraId="1CC85451" w14:textId="77777777" w:rsidR="00EB042B" w:rsidRDefault="00EB042B">
      <w:pPr>
        <w:pStyle w:val="BodyText"/>
        <w:rPr>
          <w:b/>
          <w:sz w:val="20"/>
        </w:rPr>
      </w:pPr>
    </w:p>
    <w:p w14:paraId="4E1923A9" w14:textId="77777777" w:rsidR="00EB042B" w:rsidRDefault="00EB042B">
      <w:pPr>
        <w:pStyle w:val="BodyText"/>
        <w:rPr>
          <w:b/>
          <w:sz w:val="20"/>
        </w:rPr>
      </w:pPr>
    </w:p>
    <w:p w14:paraId="1E8676DF" w14:textId="77777777" w:rsidR="00EB042B" w:rsidRDefault="00EB042B">
      <w:pPr>
        <w:pStyle w:val="BodyText"/>
        <w:rPr>
          <w:b/>
          <w:sz w:val="20"/>
        </w:rPr>
      </w:pPr>
    </w:p>
    <w:p w14:paraId="1A9A925C" w14:textId="77777777" w:rsidR="00EB042B" w:rsidRDefault="00EB042B">
      <w:pPr>
        <w:pStyle w:val="BodyText"/>
        <w:rPr>
          <w:b/>
          <w:sz w:val="20"/>
        </w:rPr>
      </w:pPr>
    </w:p>
    <w:p w14:paraId="53AD1C96" w14:textId="77777777" w:rsidR="00EB042B" w:rsidRDefault="00EB042B">
      <w:pPr>
        <w:pStyle w:val="BodyText"/>
        <w:rPr>
          <w:b/>
          <w:sz w:val="20"/>
        </w:rPr>
      </w:pPr>
    </w:p>
    <w:p w14:paraId="192F17DD" w14:textId="77777777" w:rsidR="00EB042B" w:rsidRDefault="00EB042B">
      <w:pPr>
        <w:pStyle w:val="BodyText"/>
        <w:rPr>
          <w:b/>
          <w:sz w:val="20"/>
        </w:rPr>
      </w:pPr>
    </w:p>
    <w:p w14:paraId="7EF096A8" w14:textId="77777777" w:rsidR="00EB042B" w:rsidRDefault="00EB042B">
      <w:pPr>
        <w:pStyle w:val="BodyText"/>
        <w:rPr>
          <w:b/>
          <w:sz w:val="20"/>
        </w:rPr>
      </w:pPr>
    </w:p>
    <w:p w14:paraId="57AA5E82" w14:textId="77777777" w:rsidR="00EB042B" w:rsidRDefault="00EB042B">
      <w:pPr>
        <w:pStyle w:val="BodyText"/>
        <w:rPr>
          <w:b/>
          <w:sz w:val="20"/>
        </w:rPr>
      </w:pPr>
    </w:p>
    <w:p w14:paraId="7FBB96AC" w14:textId="77777777" w:rsidR="00EB042B" w:rsidRDefault="00EB042B">
      <w:pPr>
        <w:pStyle w:val="BodyText"/>
        <w:rPr>
          <w:b/>
          <w:sz w:val="20"/>
        </w:rPr>
      </w:pPr>
    </w:p>
    <w:p w14:paraId="6C881B98" w14:textId="77777777" w:rsidR="00EB042B" w:rsidRDefault="00EB042B">
      <w:pPr>
        <w:pStyle w:val="BodyText"/>
        <w:rPr>
          <w:b/>
          <w:sz w:val="20"/>
        </w:rPr>
      </w:pPr>
    </w:p>
    <w:p w14:paraId="47ADEC78" w14:textId="4B1A0287" w:rsidR="00B705CF" w:rsidRDefault="0003584D" w:rsidP="00361434">
      <w:pPr>
        <w:spacing w:before="90"/>
        <w:ind w:right="724"/>
        <w:rPr>
          <w:b/>
          <w:sz w:val="24"/>
        </w:rPr>
      </w:pPr>
      <w:r>
        <w:rPr>
          <w:b/>
          <w:sz w:val="24"/>
        </w:rPr>
        <w:t xml:space="preserve">May </w:t>
      </w:r>
      <w:r w:rsidR="00433A03">
        <w:rPr>
          <w:b/>
          <w:sz w:val="24"/>
        </w:rPr>
        <w:t>13</w:t>
      </w:r>
      <w:r w:rsidR="00844F5D">
        <w:rPr>
          <w:b/>
          <w:sz w:val="24"/>
        </w:rPr>
        <w:t xml:space="preserve">, </w:t>
      </w:r>
      <w:r w:rsidR="00844F5D">
        <w:rPr>
          <w:b/>
          <w:spacing w:val="-4"/>
          <w:sz w:val="24"/>
        </w:rPr>
        <w:t>202</w:t>
      </w:r>
      <w:r>
        <w:rPr>
          <w:b/>
          <w:spacing w:val="-4"/>
          <w:sz w:val="24"/>
        </w:rPr>
        <w:t>2</w:t>
      </w:r>
    </w:p>
    <w:p w14:paraId="47ADEC79" w14:textId="77777777" w:rsidR="00B705CF" w:rsidRDefault="00B705CF">
      <w:pPr>
        <w:jc w:val="right"/>
        <w:rPr>
          <w:sz w:val="24"/>
        </w:rPr>
        <w:sectPr w:rsidR="00B705CF" w:rsidSect="00E56C79">
          <w:footerReference w:type="default" r:id="rId8"/>
          <w:type w:val="nextColumn"/>
          <w:pgSz w:w="12250" w:h="15710"/>
          <w:pgMar w:top="1360" w:right="1340" w:bottom="1220" w:left="1340" w:header="0" w:footer="1040" w:gutter="0"/>
          <w:cols w:space="720"/>
        </w:sectPr>
      </w:pPr>
    </w:p>
    <w:p w14:paraId="47ADEC7A" w14:textId="77777777" w:rsidR="00B705CF" w:rsidRDefault="00844F5D">
      <w:pPr>
        <w:pStyle w:val="Heading1"/>
        <w:spacing w:before="76"/>
        <w:ind w:left="2003" w:right="2003"/>
        <w:jc w:val="center"/>
      </w:pPr>
      <w:r>
        <w:rPr>
          <w:u w:val="single"/>
        </w:rPr>
        <w:lastRenderedPageBreak/>
        <w:t>TABLE</w:t>
      </w:r>
      <w:r>
        <w:rPr>
          <w:spacing w:val="-1"/>
          <w:u w:val="single"/>
        </w:rPr>
        <w:t xml:space="preserve"> </w:t>
      </w:r>
      <w:r>
        <w:rPr>
          <w:u w:val="single"/>
        </w:rPr>
        <w:t>OF</w:t>
      </w:r>
      <w:r>
        <w:rPr>
          <w:spacing w:val="-1"/>
          <w:u w:val="single"/>
        </w:rPr>
        <w:t xml:space="preserve"> </w:t>
      </w:r>
      <w:r>
        <w:rPr>
          <w:spacing w:val="-2"/>
          <w:u w:val="single"/>
        </w:rPr>
        <w:t>CONTENTS</w:t>
      </w:r>
    </w:p>
    <w:sdt>
      <w:sdtPr>
        <w:id w:val="1747688371"/>
        <w:docPartObj>
          <w:docPartGallery w:val="Table of Contents"/>
          <w:docPartUnique/>
        </w:docPartObj>
      </w:sdtPr>
      <w:sdtEndPr/>
      <w:sdtContent>
        <w:p w14:paraId="47ADEC7B" w14:textId="0F5AFD3D" w:rsidR="00B705CF" w:rsidRDefault="00231803">
          <w:pPr>
            <w:pStyle w:val="TOC1"/>
            <w:numPr>
              <w:ilvl w:val="0"/>
              <w:numId w:val="17"/>
            </w:numPr>
            <w:tabs>
              <w:tab w:val="left" w:pos="759"/>
              <w:tab w:val="left" w:pos="760"/>
              <w:tab w:val="right" w:leader="dot" w:pos="9455"/>
            </w:tabs>
            <w:spacing w:before="240"/>
          </w:pPr>
          <w:hyperlink w:anchor="_bookmark0" w:history="1">
            <w:r w:rsidR="00844F5D">
              <w:rPr>
                <w:spacing w:val="-2"/>
              </w:rPr>
              <w:t>I</w:t>
            </w:r>
            <w:r w:rsidR="00E75C53">
              <w:rPr>
                <w:spacing w:val="-2"/>
              </w:rPr>
              <w:t>NTRODUCTION</w:t>
            </w:r>
            <w:r w:rsidR="00844F5D">
              <w:tab/>
              <w:t>3</w:t>
            </w:r>
          </w:hyperlink>
        </w:p>
        <w:p w14:paraId="30B1D8EA" w14:textId="30147BE5" w:rsidR="000C1759" w:rsidRDefault="000C1759">
          <w:pPr>
            <w:pStyle w:val="TOC1"/>
            <w:numPr>
              <w:ilvl w:val="0"/>
              <w:numId w:val="17"/>
            </w:numPr>
            <w:tabs>
              <w:tab w:val="left" w:pos="759"/>
              <w:tab w:val="left" w:pos="760"/>
              <w:tab w:val="right" w:leader="dot" w:pos="9455"/>
            </w:tabs>
            <w:spacing w:before="240"/>
          </w:pPr>
          <w:r>
            <w:t>CARBON REDUCTION RIDER……………………………………………………….</w:t>
          </w:r>
          <w:r w:rsidR="003A7C22">
            <w:t>.</w:t>
          </w:r>
          <w:r>
            <w:t>4</w:t>
          </w:r>
        </w:p>
        <w:p w14:paraId="36D7843D" w14:textId="7F6CE29C" w:rsidR="003820A4" w:rsidRDefault="003820A4">
          <w:pPr>
            <w:pStyle w:val="TOC1"/>
            <w:numPr>
              <w:ilvl w:val="0"/>
              <w:numId w:val="17"/>
            </w:numPr>
            <w:tabs>
              <w:tab w:val="left" w:pos="759"/>
              <w:tab w:val="left" w:pos="760"/>
              <w:tab w:val="right" w:leader="dot" w:pos="9455"/>
            </w:tabs>
            <w:spacing w:before="240"/>
          </w:pPr>
          <w:r>
            <w:t>PUCO AND OCC ASSESSMENTS……………………………………………………..</w:t>
          </w:r>
          <w:r w:rsidR="000C1759">
            <w:t>9</w:t>
          </w:r>
        </w:p>
        <w:p w14:paraId="0F3E7961" w14:textId="56E5ABF6" w:rsidR="0049224A" w:rsidRDefault="0049224A">
          <w:pPr>
            <w:pStyle w:val="TOC1"/>
            <w:numPr>
              <w:ilvl w:val="0"/>
              <w:numId w:val="17"/>
            </w:numPr>
            <w:tabs>
              <w:tab w:val="left" w:pos="759"/>
              <w:tab w:val="left" w:pos="760"/>
              <w:tab w:val="right" w:leader="dot" w:pos="9455"/>
            </w:tabs>
            <w:spacing w:before="240"/>
          </w:pPr>
          <w:r>
            <w:t>SWITCHING FEES</w:t>
          </w:r>
          <w:r>
            <w:tab/>
            <w:t>13</w:t>
          </w:r>
        </w:p>
        <w:p w14:paraId="745A8D53" w14:textId="4C66A441" w:rsidR="000C1759" w:rsidRDefault="000C1759">
          <w:pPr>
            <w:pStyle w:val="TOC1"/>
            <w:numPr>
              <w:ilvl w:val="0"/>
              <w:numId w:val="17"/>
            </w:numPr>
            <w:tabs>
              <w:tab w:val="left" w:pos="759"/>
              <w:tab w:val="left" w:pos="760"/>
              <w:tab w:val="right" w:leader="dot" w:pos="9455"/>
            </w:tabs>
            <w:spacing w:before="240"/>
          </w:pPr>
          <w:r>
            <w:t>EXIT THE MERCHANT FUNCTION…………………………………………………</w:t>
          </w:r>
          <w:r w:rsidR="000A1C47">
            <w:t>1</w:t>
          </w:r>
          <w:r w:rsidR="0049224A">
            <w:t>4</w:t>
          </w:r>
        </w:p>
        <w:p w14:paraId="47ADEC80" w14:textId="2D5CBD18" w:rsidR="00B705CF" w:rsidRDefault="00231803">
          <w:pPr>
            <w:pStyle w:val="TOC1"/>
            <w:tabs>
              <w:tab w:val="right" w:leader="dot" w:pos="9455"/>
            </w:tabs>
            <w:spacing w:before="374"/>
            <w:ind w:left="100" w:firstLine="0"/>
          </w:pPr>
          <w:hyperlink w:anchor="_bookmark27" w:history="1">
            <w:r w:rsidR="00844F5D">
              <w:t>CERTIFICATE</w:t>
            </w:r>
            <w:r w:rsidR="00844F5D">
              <w:rPr>
                <w:spacing w:val="-3"/>
              </w:rPr>
              <w:t xml:space="preserve"> </w:t>
            </w:r>
            <w:r w:rsidR="00844F5D">
              <w:t>OF</w:t>
            </w:r>
            <w:r w:rsidR="00844F5D">
              <w:rPr>
                <w:spacing w:val="-3"/>
              </w:rPr>
              <w:t xml:space="preserve"> </w:t>
            </w:r>
            <w:r w:rsidR="00844F5D">
              <w:rPr>
                <w:spacing w:val="-2"/>
              </w:rPr>
              <w:t>SERVICE</w:t>
            </w:r>
            <w:r w:rsidR="00844F5D">
              <w:rPr>
                <w:spacing w:val="-2"/>
              </w:rPr>
              <w:tab/>
            </w:r>
          </w:hyperlink>
          <w:r w:rsidR="003A7C22">
            <w:rPr>
              <w:spacing w:val="-2"/>
            </w:rPr>
            <w:t>..</w:t>
          </w:r>
          <w:r w:rsidR="003820A4">
            <w:rPr>
              <w:spacing w:val="-2"/>
            </w:rPr>
            <w:t>1</w:t>
          </w:r>
          <w:r w:rsidR="0049224A">
            <w:rPr>
              <w:spacing w:val="-2"/>
            </w:rPr>
            <w:t>8</w:t>
          </w:r>
        </w:p>
      </w:sdtContent>
    </w:sdt>
    <w:p w14:paraId="47ADEC81" w14:textId="77777777" w:rsidR="00B705CF" w:rsidRDefault="00B705CF">
      <w:pPr>
        <w:pStyle w:val="BodyText"/>
        <w:rPr>
          <w:b/>
          <w:sz w:val="26"/>
        </w:rPr>
      </w:pPr>
    </w:p>
    <w:p w14:paraId="47ADEC82" w14:textId="77777777" w:rsidR="00B705CF" w:rsidRDefault="00B705CF">
      <w:pPr>
        <w:pStyle w:val="BodyText"/>
        <w:rPr>
          <w:b/>
          <w:sz w:val="26"/>
        </w:rPr>
      </w:pPr>
    </w:p>
    <w:p w14:paraId="47ADEC83" w14:textId="77777777" w:rsidR="00B705CF" w:rsidRDefault="00B705CF">
      <w:pPr>
        <w:pStyle w:val="BodyText"/>
        <w:rPr>
          <w:b/>
          <w:sz w:val="26"/>
        </w:rPr>
      </w:pPr>
    </w:p>
    <w:p w14:paraId="47ADEC84" w14:textId="77777777" w:rsidR="00B705CF" w:rsidRDefault="00B705CF">
      <w:pPr>
        <w:pStyle w:val="BodyText"/>
        <w:spacing w:before="7"/>
        <w:rPr>
          <w:b/>
          <w:sz w:val="23"/>
        </w:rPr>
      </w:pPr>
    </w:p>
    <w:p w14:paraId="47ADEC85" w14:textId="77777777" w:rsidR="00B705CF" w:rsidRDefault="00844F5D">
      <w:pPr>
        <w:ind w:left="2004" w:right="2002"/>
        <w:jc w:val="center"/>
        <w:rPr>
          <w:b/>
          <w:sz w:val="24"/>
        </w:rPr>
      </w:pPr>
      <w:r>
        <w:rPr>
          <w:b/>
          <w:spacing w:val="-2"/>
          <w:sz w:val="24"/>
        </w:rPr>
        <w:t>EXHIBITS</w:t>
      </w:r>
    </w:p>
    <w:p w14:paraId="47ADEC86" w14:textId="77777777" w:rsidR="00B705CF" w:rsidRDefault="00B705CF">
      <w:pPr>
        <w:pStyle w:val="BodyText"/>
        <w:rPr>
          <w:b/>
        </w:rPr>
      </w:pPr>
    </w:p>
    <w:p w14:paraId="47ADEC88" w14:textId="276FB961" w:rsidR="00B705CF" w:rsidRPr="009F33C9" w:rsidRDefault="009F33C9">
      <w:pPr>
        <w:spacing w:line="480" w:lineRule="auto"/>
        <w:jc w:val="both"/>
        <w:rPr>
          <w:b/>
          <w:bCs/>
        </w:rPr>
        <w:sectPr w:rsidR="00B705CF" w:rsidRPr="009F33C9" w:rsidSect="00E56C79">
          <w:type w:val="nextColumn"/>
          <w:pgSz w:w="12250" w:h="15710"/>
          <w:pgMar w:top="1360" w:right="1340" w:bottom="1220" w:left="1340" w:header="0" w:footer="1040" w:gutter="0"/>
          <w:cols w:space="720"/>
        </w:sectPr>
      </w:pPr>
      <w:r w:rsidRPr="009F33C9">
        <w:rPr>
          <w:b/>
          <w:bCs/>
        </w:rPr>
        <w:t>MW-1</w:t>
      </w:r>
      <w:r>
        <w:rPr>
          <w:b/>
          <w:bCs/>
        </w:rPr>
        <w:t>……………………………………………………………………………………………………….2</w:t>
      </w:r>
      <w:r w:rsidR="001A2D79">
        <w:rPr>
          <w:b/>
          <w:bCs/>
        </w:rPr>
        <w:t>1</w:t>
      </w:r>
    </w:p>
    <w:p w14:paraId="4BE5198F" w14:textId="4B66B3E4" w:rsidR="000A6B8F" w:rsidRPr="00E23302" w:rsidRDefault="000A6B8F" w:rsidP="00E23302">
      <w:pPr>
        <w:pStyle w:val="ListParagraph"/>
        <w:numPr>
          <w:ilvl w:val="0"/>
          <w:numId w:val="25"/>
        </w:numPr>
        <w:spacing w:line="480" w:lineRule="auto"/>
        <w:rPr>
          <w:b/>
          <w:sz w:val="24"/>
          <w:szCs w:val="24"/>
          <w:u w:val="single"/>
        </w:rPr>
      </w:pPr>
      <w:bookmarkStart w:id="0" w:name="I.____Introduction"/>
      <w:bookmarkStart w:id="1" w:name="_bookmark0"/>
      <w:bookmarkEnd w:id="0"/>
      <w:bookmarkEnd w:id="1"/>
      <w:r w:rsidRPr="00E23302">
        <w:rPr>
          <w:b/>
          <w:sz w:val="24"/>
          <w:szCs w:val="24"/>
          <w:u w:val="single"/>
        </w:rPr>
        <w:lastRenderedPageBreak/>
        <w:t>INTRODUCTION</w:t>
      </w:r>
    </w:p>
    <w:p w14:paraId="169CCBEA" w14:textId="4697E2D0" w:rsidR="00B705CF" w:rsidRPr="006709A4" w:rsidRDefault="00844F5D" w:rsidP="009F33C9">
      <w:pPr>
        <w:spacing w:line="480" w:lineRule="auto"/>
        <w:jc w:val="both"/>
        <w:rPr>
          <w:b/>
          <w:sz w:val="24"/>
          <w:szCs w:val="24"/>
        </w:rPr>
      </w:pPr>
      <w:r w:rsidRPr="006709A4">
        <w:rPr>
          <w:b/>
          <w:sz w:val="24"/>
          <w:szCs w:val="24"/>
        </w:rPr>
        <w:t>Q.</w:t>
      </w:r>
      <w:r w:rsidRPr="006709A4">
        <w:rPr>
          <w:b/>
          <w:sz w:val="24"/>
          <w:szCs w:val="24"/>
        </w:rPr>
        <w:tab/>
        <w:t>Please state your name and business address.</w:t>
      </w:r>
    </w:p>
    <w:p w14:paraId="184787FB" w14:textId="77777777" w:rsidR="00531CE2" w:rsidRPr="006709A4" w:rsidRDefault="00531CE2" w:rsidP="009F33C9">
      <w:pPr>
        <w:spacing w:line="480" w:lineRule="auto"/>
        <w:ind w:left="720" w:hanging="720"/>
        <w:jc w:val="both"/>
        <w:rPr>
          <w:sz w:val="24"/>
          <w:szCs w:val="24"/>
        </w:rPr>
      </w:pPr>
      <w:r w:rsidRPr="006709A4">
        <w:rPr>
          <w:sz w:val="24"/>
          <w:szCs w:val="24"/>
        </w:rPr>
        <w:t>A.</w:t>
      </w:r>
      <w:r w:rsidRPr="006709A4">
        <w:rPr>
          <w:sz w:val="24"/>
          <w:szCs w:val="24"/>
        </w:rPr>
        <w:tab/>
        <w:t>My name is Matthew White. My business address is 6100 Emerald Parkway, Dublin, Ohio</w:t>
      </w:r>
      <w:r>
        <w:rPr>
          <w:sz w:val="24"/>
          <w:szCs w:val="24"/>
        </w:rPr>
        <w:t xml:space="preserve"> </w:t>
      </w:r>
      <w:r w:rsidRPr="006709A4">
        <w:rPr>
          <w:sz w:val="24"/>
          <w:szCs w:val="24"/>
        </w:rPr>
        <w:t>43016.</w:t>
      </w:r>
    </w:p>
    <w:p w14:paraId="0B3875F6" w14:textId="77777777" w:rsidR="00B705CF" w:rsidRPr="006709A4" w:rsidRDefault="00844F5D" w:rsidP="009F33C9">
      <w:pPr>
        <w:spacing w:line="480" w:lineRule="auto"/>
        <w:jc w:val="both"/>
        <w:rPr>
          <w:b/>
          <w:sz w:val="24"/>
          <w:szCs w:val="24"/>
        </w:rPr>
      </w:pPr>
      <w:r w:rsidRPr="006709A4">
        <w:rPr>
          <w:b/>
          <w:sz w:val="24"/>
          <w:szCs w:val="24"/>
        </w:rPr>
        <w:t>Q.</w:t>
      </w:r>
      <w:r w:rsidRPr="006709A4">
        <w:rPr>
          <w:b/>
          <w:sz w:val="24"/>
          <w:szCs w:val="24"/>
        </w:rPr>
        <w:tab/>
        <w:t>On whose behalf are you testifying?</w:t>
      </w:r>
    </w:p>
    <w:p w14:paraId="101226AD" w14:textId="78B58CA8" w:rsidR="00531CE2" w:rsidRPr="006709A4" w:rsidRDefault="00531CE2" w:rsidP="009F33C9">
      <w:pPr>
        <w:spacing w:line="480" w:lineRule="auto"/>
        <w:ind w:left="720" w:hanging="720"/>
        <w:jc w:val="both"/>
        <w:rPr>
          <w:sz w:val="24"/>
          <w:szCs w:val="24"/>
        </w:rPr>
      </w:pPr>
      <w:r w:rsidRPr="006709A4">
        <w:rPr>
          <w:sz w:val="24"/>
          <w:szCs w:val="24"/>
        </w:rPr>
        <w:t xml:space="preserve">A. </w:t>
      </w:r>
      <w:r w:rsidRPr="006709A4">
        <w:rPr>
          <w:sz w:val="24"/>
          <w:szCs w:val="24"/>
        </w:rPr>
        <w:tab/>
        <w:t>I am testifying on behalf of Interstate Gas Supply, Inc. (“IGS Energy” or “IGS”)</w:t>
      </w:r>
      <w:r w:rsidR="003F2431">
        <w:rPr>
          <w:sz w:val="24"/>
          <w:szCs w:val="24"/>
        </w:rPr>
        <w:t xml:space="preserve"> and the Retail Energy Supply Association</w:t>
      </w:r>
      <w:r w:rsidR="00FD4DE6">
        <w:rPr>
          <w:sz w:val="24"/>
          <w:szCs w:val="24"/>
        </w:rPr>
        <w:t xml:space="preserve"> (“RESA”)</w:t>
      </w:r>
      <w:r w:rsidRPr="006709A4">
        <w:rPr>
          <w:sz w:val="24"/>
          <w:szCs w:val="24"/>
        </w:rPr>
        <w:t>.</w:t>
      </w:r>
      <w:r w:rsidR="003F2431">
        <w:rPr>
          <w:sz w:val="24"/>
          <w:szCs w:val="24"/>
        </w:rPr>
        <w:t xml:space="preserve">  </w:t>
      </w:r>
      <w:r w:rsidR="003F2431" w:rsidRPr="003F2431">
        <w:rPr>
          <w:iCs/>
          <w:sz w:val="24"/>
          <w:szCs w:val="24"/>
        </w:rPr>
        <w:t xml:space="preserve">Founded in 1990, </w:t>
      </w:r>
      <w:r w:rsidR="00FD4DE6">
        <w:rPr>
          <w:iCs/>
          <w:sz w:val="24"/>
          <w:szCs w:val="24"/>
        </w:rPr>
        <w:t>RESA</w:t>
      </w:r>
      <w:r w:rsidR="003F2431" w:rsidRPr="003F2431">
        <w:rPr>
          <w:iCs/>
          <w:sz w:val="24"/>
          <w:szCs w:val="24"/>
        </w:rPr>
        <w:t xml:space="preserve"> is a broad and diverse group of retail energy suppliers dedicated to promoting efficient, sustainable and customer-oriented competitive retail energy markets.  RESA members operate throughout the United States delivering value-added electricity and natural gas service at retail to residential, commercial and industrial energy customers.  </w:t>
      </w:r>
      <w:r w:rsidR="003F2431">
        <w:rPr>
          <w:iCs/>
          <w:sz w:val="24"/>
          <w:szCs w:val="24"/>
        </w:rPr>
        <w:t xml:space="preserve">My testimony for </w:t>
      </w:r>
      <w:r w:rsidR="00FD4DE6">
        <w:rPr>
          <w:iCs/>
          <w:sz w:val="24"/>
          <w:szCs w:val="24"/>
        </w:rPr>
        <w:t>RESA</w:t>
      </w:r>
      <w:r w:rsidR="003F2431" w:rsidRPr="003F2431">
        <w:rPr>
          <w:iCs/>
          <w:sz w:val="24"/>
          <w:szCs w:val="24"/>
        </w:rPr>
        <w:t xml:space="preserve"> represents the position of RESA as an organization but may not represent the views of any particular member of the Association.</w:t>
      </w:r>
    </w:p>
    <w:p w14:paraId="23627931" w14:textId="77777777" w:rsidR="00531CE2" w:rsidRPr="006709A4" w:rsidRDefault="00531CE2" w:rsidP="009F33C9">
      <w:pPr>
        <w:spacing w:line="480" w:lineRule="auto"/>
        <w:jc w:val="both"/>
        <w:rPr>
          <w:b/>
          <w:bCs/>
          <w:sz w:val="24"/>
          <w:szCs w:val="24"/>
        </w:rPr>
      </w:pPr>
      <w:r w:rsidRPr="006709A4">
        <w:rPr>
          <w:b/>
          <w:bCs/>
          <w:sz w:val="24"/>
          <w:szCs w:val="24"/>
        </w:rPr>
        <w:t xml:space="preserve">Q.  </w:t>
      </w:r>
      <w:r w:rsidRPr="006709A4">
        <w:rPr>
          <w:b/>
          <w:bCs/>
          <w:sz w:val="24"/>
          <w:szCs w:val="24"/>
        </w:rPr>
        <w:tab/>
        <w:t>Please describe your work history and educational background.</w:t>
      </w:r>
    </w:p>
    <w:p w14:paraId="13D00513" w14:textId="3F7FFF64" w:rsidR="00531CE2" w:rsidRPr="006709A4" w:rsidRDefault="00531CE2" w:rsidP="009F33C9">
      <w:pPr>
        <w:spacing w:line="480" w:lineRule="auto"/>
        <w:ind w:left="720" w:hanging="720"/>
        <w:jc w:val="both"/>
        <w:rPr>
          <w:sz w:val="24"/>
          <w:szCs w:val="24"/>
        </w:rPr>
      </w:pPr>
      <w:r w:rsidRPr="006709A4">
        <w:rPr>
          <w:sz w:val="24"/>
          <w:szCs w:val="24"/>
        </w:rPr>
        <w:t xml:space="preserve">A.   </w:t>
      </w:r>
      <w:r>
        <w:tab/>
      </w:r>
      <w:r w:rsidRPr="006709A4">
        <w:rPr>
          <w:sz w:val="24"/>
          <w:szCs w:val="24"/>
        </w:rPr>
        <w:t>In 2002, I graduated from Ohio University. In 2007, I earned a JD/MBA degree from the</w:t>
      </w:r>
      <w:r>
        <w:rPr>
          <w:sz w:val="24"/>
          <w:szCs w:val="24"/>
        </w:rPr>
        <w:t xml:space="preserve"> </w:t>
      </w:r>
      <w:r w:rsidRPr="006709A4">
        <w:rPr>
          <w:sz w:val="24"/>
          <w:szCs w:val="24"/>
        </w:rPr>
        <w:t>College of William &amp; Mary, and began working at the law firm of Chester, Wilcox &amp;</w:t>
      </w:r>
      <w:r>
        <w:rPr>
          <w:sz w:val="24"/>
          <w:szCs w:val="24"/>
        </w:rPr>
        <w:t xml:space="preserve"> </w:t>
      </w:r>
      <w:r w:rsidRPr="006709A4">
        <w:rPr>
          <w:sz w:val="24"/>
          <w:szCs w:val="24"/>
        </w:rPr>
        <w:t>Saxbe as an energy and utilities lawyer. At Chester Wilcox, I participated in numerous regulatory proceedings relating to utility matters</w:t>
      </w:r>
      <w:r w:rsidR="00FD4DE6">
        <w:rPr>
          <w:sz w:val="24"/>
          <w:szCs w:val="24"/>
        </w:rPr>
        <w:t>,</w:t>
      </w:r>
      <w:r w:rsidRPr="006709A4">
        <w:rPr>
          <w:sz w:val="24"/>
          <w:szCs w:val="24"/>
        </w:rPr>
        <w:t xml:space="preserve"> including natural gas and electric rate cases and electric power siting cases. I also have worked on power and gas sales transactions. At the beginning of 2011, I was hired </w:t>
      </w:r>
      <w:r w:rsidR="357C402E" w:rsidRPr="0E59F066">
        <w:rPr>
          <w:sz w:val="24"/>
          <w:szCs w:val="24"/>
        </w:rPr>
        <w:t>by</w:t>
      </w:r>
      <w:r w:rsidRPr="006709A4">
        <w:rPr>
          <w:sz w:val="24"/>
          <w:szCs w:val="24"/>
        </w:rPr>
        <w:t xml:space="preserve"> IGS </w:t>
      </w:r>
      <w:r w:rsidR="357C402E" w:rsidRPr="43098F3A">
        <w:rPr>
          <w:sz w:val="24"/>
          <w:szCs w:val="24"/>
        </w:rPr>
        <w:t>Energy.</w:t>
      </w:r>
      <w:r w:rsidRPr="006709A4">
        <w:rPr>
          <w:sz w:val="24"/>
          <w:szCs w:val="24"/>
        </w:rPr>
        <w:t xml:space="preserve"> </w:t>
      </w:r>
      <w:r w:rsidR="357C402E" w:rsidRPr="7CBF2B5E">
        <w:rPr>
          <w:sz w:val="24"/>
          <w:szCs w:val="24"/>
        </w:rPr>
        <w:t>At my time at IGS</w:t>
      </w:r>
      <w:r w:rsidR="00FD4DE6">
        <w:rPr>
          <w:sz w:val="24"/>
          <w:szCs w:val="24"/>
        </w:rPr>
        <w:t>,</w:t>
      </w:r>
      <w:r w:rsidR="357C402E" w:rsidRPr="7CBF2B5E">
        <w:rPr>
          <w:sz w:val="24"/>
          <w:szCs w:val="24"/>
        </w:rPr>
        <w:t xml:space="preserve"> I have worked at various roles </w:t>
      </w:r>
      <w:r w:rsidR="357C402E" w:rsidRPr="2A678728">
        <w:rPr>
          <w:sz w:val="24"/>
          <w:szCs w:val="24"/>
        </w:rPr>
        <w:t>throughout the organization</w:t>
      </w:r>
      <w:r w:rsidR="357C402E" w:rsidRPr="4C24BD3A">
        <w:rPr>
          <w:sz w:val="24"/>
          <w:szCs w:val="24"/>
        </w:rPr>
        <w:t xml:space="preserve"> </w:t>
      </w:r>
      <w:r w:rsidR="357C402E" w:rsidRPr="709236E1">
        <w:rPr>
          <w:sz w:val="24"/>
          <w:szCs w:val="24"/>
        </w:rPr>
        <w:t xml:space="preserve">supporting the </w:t>
      </w:r>
      <w:r w:rsidR="357C402E" w:rsidRPr="5ACD6FE6">
        <w:rPr>
          <w:sz w:val="24"/>
          <w:szCs w:val="24"/>
        </w:rPr>
        <w:t xml:space="preserve">legal, </w:t>
      </w:r>
      <w:r w:rsidR="357C402E" w:rsidRPr="50323335">
        <w:rPr>
          <w:sz w:val="24"/>
          <w:szCs w:val="24"/>
        </w:rPr>
        <w:t xml:space="preserve">regulatory and business </w:t>
      </w:r>
      <w:r w:rsidR="357C402E" w:rsidRPr="21719BF5">
        <w:rPr>
          <w:sz w:val="24"/>
          <w:szCs w:val="24"/>
        </w:rPr>
        <w:t xml:space="preserve">needs of </w:t>
      </w:r>
      <w:r w:rsidR="357C402E" w:rsidRPr="44C3B1FC">
        <w:rPr>
          <w:sz w:val="24"/>
          <w:szCs w:val="24"/>
        </w:rPr>
        <w:t>the Company. I</w:t>
      </w:r>
      <w:r w:rsidRPr="006709A4">
        <w:rPr>
          <w:sz w:val="24"/>
          <w:szCs w:val="24"/>
        </w:rPr>
        <w:t xml:space="preserve"> am currently Executive Vice President and Chief Legal Officer for IGS Energy. In my current position</w:t>
      </w:r>
      <w:r w:rsidR="00FD4DE6">
        <w:rPr>
          <w:sz w:val="24"/>
          <w:szCs w:val="24"/>
        </w:rPr>
        <w:t>,</w:t>
      </w:r>
      <w:r w:rsidRPr="006709A4">
        <w:rPr>
          <w:sz w:val="24"/>
          <w:szCs w:val="24"/>
        </w:rPr>
        <w:t xml:space="preserve"> I serve on the IGS Executive Team</w:t>
      </w:r>
      <w:r w:rsidR="00FD4DE6">
        <w:rPr>
          <w:sz w:val="24"/>
          <w:szCs w:val="24"/>
        </w:rPr>
        <w:t>,</w:t>
      </w:r>
      <w:r w:rsidRPr="006709A4">
        <w:rPr>
          <w:sz w:val="24"/>
          <w:szCs w:val="24"/>
        </w:rPr>
        <w:t xml:space="preserve"> </w:t>
      </w:r>
      <w:r w:rsidRPr="006709A4">
        <w:rPr>
          <w:sz w:val="24"/>
          <w:szCs w:val="24"/>
        </w:rPr>
        <w:lastRenderedPageBreak/>
        <w:t>which is responsible for setting and effectuating IGS’s overall business strategy. I also oversee all of IGS Energy’s legal, regulatory and legislative activities throughout the country, as well as IGS Energy’s home warranty and solar businesses.</w:t>
      </w:r>
    </w:p>
    <w:p w14:paraId="2E5F6D30" w14:textId="77777777" w:rsidR="00B705CF" w:rsidRPr="006709A4" w:rsidRDefault="00844F5D" w:rsidP="009F33C9">
      <w:pPr>
        <w:spacing w:line="480" w:lineRule="auto"/>
        <w:jc w:val="both"/>
        <w:rPr>
          <w:b/>
          <w:sz w:val="24"/>
          <w:szCs w:val="24"/>
        </w:rPr>
      </w:pPr>
      <w:r w:rsidRPr="006709A4">
        <w:rPr>
          <w:b/>
          <w:sz w:val="24"/>
          <w:szCs w:val="24"/>
        </w:rPr>
        <w:t>Q.</w:t>
      </w:r>
      <w:r w:rsidRPr="006709A4">
        <w:rPr>
          <w:b/>
          <w:sz w:val="24"/>
          <w:szCs w:val="24"/>
        </w:rPr>
        <w:tab/>
        <w:t>Have you previously submitted testimony in any regulatory proceedings?</w:t>
      </w:r>
    </w:p>
    <w:p w14:paraId="1B0DC1F7" w14:textId="7D778B50" w:rsidR="00531CE2" w:rsidRPr="006709A4" w:rsidRDefault="00844F5D" w:rsidP="003B221F">
      <w:pPr>
        <w:spacing w:line="480" w:lineRule="auto"/>
        <w:ind w:left="720" w:hanging="720"/>
        <w:jc w:val="both"/>
        <w:rPr>
          <w:sz w:val="24"/>
          <w:szCs w:val="24"/>
        </w:rPr>
      </w:pPr>
      <w:r w:rsidRPr="006709A4">
        <w:rPr>
          <w:sz w:val="24"/>
          <w:szCs w:val="24"/>
        </w:rPr>
        <w:t>A.</w:t>
      </w:r>
      <w:r w:rsidRPr="006709A4">
        <w:rPr>
          <w:sz w:val="24"/>
          <w:szCs w:val="24"/>
        </w:rPr>
        <w:tab/>
        <w:t>Yes. I have testified before the Public Utilities Commission of Ohio (“Commission” or</w:t>
      </w:r>
      <w:r w:rsidR="003B221F">
        <w:rPr>
          <w:sz w:val="24"/>
          <w:szCs w:val="24"/>
        </w:rPr>
        <w:t xml:space="preserve"> </w:t>
      </w:r>
      <w:r w:rsidR="00531CE2" w:rsidRPr="006709A4">
        <w:rPr>
          <w:sz w:val="24"/>
          <w:szCs w:val="24"/>
        </w:rPr>
        <w:t>“PUCO”) in several cases. I have also submitted written testimony on utility related matters</w:t>
      </w:r>
      <w:r w:rsidR="00531CE2">
        <w:rPr>
          <w:sz w:val="24"/>
          <w:szCs w:val="24"/>
        </w:rPr>
        <w:t xml:space="preserve"> </w:t>
      </w:r>
      <w:r w:rsidR="00531CE2" w:rsidRPr="006709A4">
        <w:rPr>
          <w:sz w:val="24"/>
          <w:szCs w:val="24"/>
        </w:rPr>
        <w:t>in numerous regulatory proceedings in Pennsylvania, Maryland, Michigan, Kentucky</w:t>
      </w:r>
      <w:r w:rsidR="00531CE2">
        <w:rPr>
          <w:sz w:val="24"/>
          <w:szCs w:val="24"/>
        </w:rPr>
        <w:t xml:space="preserve">, </w:t>
      </w:r>
      <w:r w:rsidR="00531CE2" w:rsidRPr="006709A4">
        <w:rPr>
          <w:sz w:val="24"/>
          <w:szCs w:val="24"/>
        </w:rPr>
        <w:t>West Virginia, and Illinois.</w:t>
      </w:r>
    </w:p>
    <w:p w14:paraId="79D6F146" w14:textId="77777777" w:rsidR="00B705CF" w:rsidRPr="006709A4" w:rsidRDefault="00844F5D" w:rsidP="009F33C9">
      <w:pPr>
        <w:spacing w:line="480" w:lineRule="auto"/>
        <w:jc w:val="both"/>
        <w:rPr>
          <w:b/>
          <w:sz w:val="24"/>
          <w:szCs w:val="24"/>
        </w:rPr>
      </w:pPr>
      <w:r w:rsidRPr="006709A4">
        <w:rPr>
          <w:b/>
          <w:sz w:val="24"/>
          <w:szCs w:val="24"/>
        </w:rPr>
        <w:t>Q.</w:t>
      </w:r>
      <w:r w:rsidRPr="006709A4">
        <w:rPr>
          <w:b/>
          <w:sz w:val="24"/>
          <w:szCs w:val="24"/>
        </w:rPr>
        <w:tab/>
        <w:t>What is the purpose of your testimony?</w:t>
      </w:r>
    </w:p>
    <w:p w14:paraId="56C94F20" w14:textId="5E2B0DF5" w:rsidR="003C5788" w:rsidRDefault="00531CE2" w:rsidP="009F33C9">
      <w:pPr>
        <w:spacing w:line="480" w:lineRule="auto"/>
        <w:ind w:left="720" w:hanging="720"/>
        <w:jc w:val="both"/>
        <w:rPr>
          <w:sz w:val="24"/>
          <w:szCs w:val="24"/>
        </w:rPr>
      </w:pPr>
      <w:r w:rsidRPr="006709A4">
        <w:rPr>
          <w:sz w:val="24"/>
          <w:szCs w:val="24"/>
        </w:rPr>
        <w:t>A.</w:t>
      </w:r>
      <w:r w:rsidRPr="006709A4">
        <w:rPr>
          <w:sz w:val="24"/>
          <w:szCs w:val="24"/>
        </w:rPr>
        <w:tab/>
        <w:t>The purpose of my testimony is to support the Objections to the Staff Report o</w:t>
      </w:r>
      <w:r>
        <w:rPr>
          <w:sz w:val="24"/>
          <w:szCs w:val="24"/>
        </w:rPr>
        <w:t>f</w:t>
      </w:r>
      <w:r w:rsidRPr="006709A4">
        <w:rPr>
          <w:sz w:val="24"/>
          <w:szCs w:val="24"/>
        </w:rPr>
        <w:t xml:space="preserve"> Investigation filed by IGS Energy </w:t>
      </w:r>
      <w:r w:rsidR="00FD4DE6">
        <w:rPr>
          <w:sz w:val="24"/>
          <w:szCs w:val="24"/>
        </w:rPr>
        <w:t xml:space="preserve">and support certain Objections filed by RESA </w:t>
      </w:r>
      <w:r w:rsidRPr="006709A4">
        <w:rPr>
          <w:sz w:val="24"/>
          <w:szCs w:val="24"/>
        </w:rPr>
        <w:t>on May 6, 2022.</w:t>
      </w:r>
      <w:r w:rsidR="00BC5060">
        <w:rPr>
          <w:sz w:val="24"/>
          <w:szCs w:val="24"/>
        </w:rPr>
        <w:t xml:space="preserve">  </w:t>
      </w:r>
      <w:r w:rsidR="002420EE">
        <w:rPr>
          <w:sz w:val="24"/>
          <w:szCs w:val="24"/>
        </w:rPr>
        <w:t>Specifically,</w:t>
      </w:r>
      <w:r w:rsidR="0036583E">
        <w:rPr>
          <w:sz w:val="24"/>
          <w:szCs w:val="24"/>
        </w:rPr>
        <w:t xml:space="preserve"> </w:t>
      </w:r>
      <w:r w:rsidR="00BC5060">
        <w:rPr>
          <w:sz w:val="24"/>
          <w:szCs w:val="24"/>
        </w:rPr>
        <w:t>I</w:t>
      </w:r>
      <w:r w:rsidR="00180568">
        <w:rPr>
          <w:sz w:val="24"/>
          <w:szCs w:val="24"/>
        </w:rPr>
        <w:t xml:space="preserve"> </w:t>
      </w:r>
      <w:r w:rsidR="00D7241F">
        <w:rPr>
          <w:sz w:val="24"/>
          <w:szCs w:val="24"/>
        </w:rPr>
        <w:t>recommend</w:t>
      </w:r>
      <w:r w:rsidR="0036583E">
        <w:rPr>
          <w:sz w:val="24"/>
          <w:szCs w:val="24"/>
        </w:rPr>
        <w:t xml:space="preserve"> that the Commission</w:t>
      </w:r>
      <w:r w:rsidR="00D7241F">
        <w:rPr>
          <w:sz w:val="24"/>
          <w:szCs w:val="24"/>
        </w:rPr>
        <w:t xml:space="preserve"> </w:t>
      </w:r>
      <w:r w:rsidR="001018CF">
        <w:rPr>
          <w:sz w:val="24"/>
          <w:szCs w:val="24"/>
        </w:rPr>
        <w:t xml:space="preserve">reject Columbia’s proposed Carbon Reduction Rider </w:t>
      </w:r>
      <w:r w:rsidR="00FD4DE6">
        <w:rPr>
          <w:sz w:val="24"/>
          <w:szCs w:val="24"/>
        </w:rPr>
        <w:t>(</w:t>
      </w:r>
      <w:r w:rsidR="001018CF">
        <w:rPr>
          <w:sz w:val="24"/>
          <w:szCs w:val="24"/>
        </w:rPr>
        <w:t>“CRR”</w:t>
      </w:r>
      <w:r w:rsidR="00FD4DE6">
        <w:rPr>
          <w:sz w:val="24"/>
          <w:szCs w:val="24"/>
        </w:rPr>
        <w:t>) and Staff’s recommendation for a carbon reduction service</w:t>
      </w:r>
      <w:r w:rsidR="001018CF">
        <w:rPr>
          <w:sz w:val="24"/>
          <w:szCs w:val="24"/>
        </w:rPr>
        <w:t>.</w:t>
      </w:r>
      <w:r w:rsidR="00F82B7A">
        <w:rPr>
          <w:sz w:val="24"/>
          <w:szCs w:val="24"/>
        </w:rPr>
        <w:t xml:space="preserve">  I also</w:t>
      </w:r>
      <w:r w:rsidR="001018CF">
        <w:rPr>
          <w:sz w:val="24"/>
          <w:szCs w:val="24"/>
        </w:rPr>
        <w:t xml:space="preserve"> </w:t>
      </w:r>
      <w:r w:rsidR="005F4A29">
        <w:rPr>
          <w:sz w:val="24"/>
          <w:szCs w:val="24"/>
        </w:rPr>
        <w:t xml:space="preserve">offer testimony </w:t>
      </w:r>
      <w:r w:rsidR="008A46CA">
        <w:rPr>
          <w:sz w:val="24"/>
          <w:szCs w:val="24"/>
        </w:rPr>
        <w:t xml:space="preserve">recommending the removal of OCC/PUCO assessments from </w:t>
      </w:r>
      <w:r w:rsidR="00441871">
        <w:rPr>
          <w:sz w:val="24"/>
          <w:szCs w:val="24"/>
        </w:rPr>
        <w:t xml:space="preserve">distribution </w:t>
      </w:r>
      <w:r w:rsidR="008A46CA">
        <w:rPr>
          <w:sz w:val="24"/>
          <w:szCs w:val="24"/>
        </w:rPr>
        <w:t xml:space="preserve">rates. </w:t>
      </w:r>
      <w:r w:rsidR="001018CF">
        <w:rPr>
          <w:sz w:val="24"/>
          <w:szCs w:val="24"/>
        </w:rPr>
        <w:t xml:space="preserve">Additionally, I provide testimony </w:t>
      </w:r>
      <w:r w:rsidR="00277F7C">
        <w:rPr>
          <w:sz w:val="24"/>
          <w:szCs w:val="24"/>
        </w:rPr>
        <w:t xml:space="preserve">to support </w:t>
      </w:r>
      <w:r w:rsidR="001018CF">
        <w:rPr>
          <w:sz w:val="24"/>
          <w:szCs w:val="24"/>
        </w:rPr>
        <w:t xml:space="preserve">eliminating discriminatory switching fees. </w:t>
      </w:r>
      <w:r w:rsidR="00C74A74">
        <w:rPr>
          <w:sz w:val="24"/>
          <w:szCs w:val="24"/>
        </w:rPr>
        <w:t xml:space="preserve"> Lastly, I </w:t>
      </w:r>
      <w:r w:rsidR="00EF2635">
        <w:rPr>
          <w:sz w:val="24"/>
          <w:szCs w:val="24"/>
        </w:rPr>
        <w:t>offer testimony that</w:t>
      </w:r>
      <w:r w:rsidR="003C5788" w:rsidRPr="00324ADF">
        <w:rPr>
          <w:sz w:val="24"/>
          <w:szCs w:val="24"/>
        </w:rPr>
        <w:t xml:space="preserve"> Columbia </w:t>
      </w:r>
      <w:r w:rsidR="00EF2635">
        <w:rPr>
          <w:sz w:val="24"/>
          <w:szCs w:val="24"/>
        </w:rPr>
        <w:t xml:space="preserve">should </w:t>
      </w:r>
      <w:r w:rsidR="003C5788" w:rsidRPr="00324ADF">
        <w:rPr>
          <w:sz w:val="24"/>
          <w:szCs w:val="24"/>
        </w:rPr>
        <w:t>exit the merchant function</w:t>
      </w:r>
      <w:r w:rsidR="003F057C">
        <w:rPr>
          <w:sz w:val="24"/>
          <w:szCs w:val="24"/>
        </w:rPr>
        <w:t xml:space="preserve">. </w:t>
      </w:r>
    </w:p>
    <w:p w14:paraId="5145E331" w14:textId="27D0FA96" w:rsidR="00F32608" w:rsidRPr="00E23302" w:rsidRDefault="00F32608" w:rsidP="009F33C9">
      <w:pPr>
        <w:pStyle w:val="ListParagraph"/>
        <w:numPr>
          <w:ilvl w:val="0"/>
          <w:numId w:val="25"/>
        </w:numPr>
        <w:jc w:val="both"/>
        <w:textAlignment w:val="baseline"/>
        <w:rPr>
          <w:b/>
          <w:caps/>
          <w:sz w:val="24"/>
        </w:rPr>
      </w:pPr>
      <w:r w:rsidRPr="00E23302">
        <w:rPr>
          <w:b/>
          <w:bCs/>
          <w:caps/>
          <w:sz w:val="24"/>
          <w:szCs w:val="24"/>
          <w:u w:val="single"/>
        </w:rPr>
        <w:t>Carbon REduction Rider</w:t>
      </w:r>
    </w:p>
    <w:p w14:paraId="7BC5C2D6" w14:textId="3918A898" w:rsidR="00F1208F" w:rsidRDefault="00F1208F" w:rsidP="009F33C9">
      <w:pPr>
        <w:jc w:val="both"/>
        <w:textAlignment w:val="baseline"/>
        <w:rPr>
          <w:b/>
          <w:bCs/>
          <w:caps/>
          <w:sz w:val="24"/>
          <w:szCs w:val="24"/>
          <w:u w:val="single"/>
        </w:rPr>
      </w:pPr>
    </w:p>
    <w:p w14:paraId="0129BBAD" w14:textId="77777777" w:rsidR="00F32608" w:rsidRPr="00531CE2" w:rsidRDefault="00F32608" w:rsidP="009F33C9">
      <w:pPr>
        <w:jc w:val="both"/>
        <w:textAlignment w:val="baseline"/>
        <w:rPr>
          <w:rFonts w:eastAsiaTheme="minorHAnsi"/>
          <w:b/>
          <w:caps/>
          <w:sz w:val="24"/>
          <w:szCs w:val="24"/>
        </w:rPr>
      </w:pPr>
    </w:p>
    <w:p w14:paraId="39118C67" w14:textId="77777777" w:rsidR="00F32608" w:rsidRPr="009F25C0" w:rsidRDefault="00F32608" w:rsidP="009F33C9">
      <w:pPr>
        <w:spacing w:line="480" w:lineRule="auto"/>
        <w:jc w:val="both"/>
        <w:rPr>
          <w:b/>
          <w:bCs/>
          <w:sz w:val="24"/>
          <w:szCs w:val="24"/>
        </w:rPr>
      </w:pPr>
      <w:r w:rsidRPr="009F25C0">
        <w:rPr>
          <w:b/>
          <w:bCs/>
          <w:sz w:val="24"/>
          <w:szCs w:val="24"/>
        </w:rPr>
        <w:t>Q.</w:t>
      </w:r>
      <w:r w:rsidRPr="009F25C0">
        <w:rPr>
          <w:b/>
          <w:bCs/>
          <w:sz w:val="24"/>
          <w:szCs w:val="24"/>
        </w:rPr>
        <w:tab/>
        <w:t>Can you please describe the</w:t>
      </w:r>
      <w:r>
        <w:rPr>
          <w:b/>
          <w:bCs/>
          <w:sz w:val="24"/>
          <w:szCs w:val="24"/>
        </w:rPr>
        <w:t xml:space="preserve"> Carbon Reduction Rider</w:t>
      </w:r>
      <w:r w:rsidRPr="009F25C0">
        <w:rPr>
          <w:b/>
          <w:bCs/>
          <w:sz w:val="24"/>
          <w:szCs w:val="24"/>
        </w:rPr>
        <w:t xml:space="preserve"> program?</w:t>
      </w:r>
    </w:p>
    <w:p w14:paraId="24B85194" w14:textId="07A99F6B" w:rsidR="002903BD" w:rsidRDefault="00F32608" w:rsidP="009F33C9">
      <w:pPr>
        <w:spacing w:line="480" w:lineRule="auto"/>
        <w:ind w:left="720" w:hanging="720"/>
        <w:jc w:val="both"/>
        <w:rPr>
          <w:sz w:val="24"/>
          <w:szCs w:val="24"/>
        </w:rPr>
      </w:pPr>
      <w:r w:rsidRPr="009F25C0">
        <w:rPr>
          <w:sz w:val="24"/>
          <w:szCs w:val="24"/>
        </w:rPr>
        <w:t>A.</w:t>
      </w:r>
      <w:r>
        <w:tab/>
      </w:r>
      <w:r w:rsidRPr="00E74E02">
        <w:rPr>
          <w:sz w:val="24"/>
          <w:szCs w:val="24"/>
        </w:rPr>
        <w:t>Yes.</w:t>
      </w:r>
      <w:r w:rsidRPr="009F25C0">
        <w:rPr>
          <w:sz w:val="24"/>
          <w:szCs w:val="24"/>
        </w:rPr>
        <w:t xml:space="preserve">  Through the Direct testimony of </w:t>
      </w:r>
      <w:r w:rsidRPr="00E74E02">
        <w:rPr>
          <w:sz w:val="24"/>
          <w:szCs w:val="24"/>
        </w:rPr>
        <w:t>Melissa Thompson</w:t>
      </w:r>
      <w:r w:rsidRPr="009F25C0">
        <w:rPr>
          <w:sz w:val="24"/>
          <w:szCs w:val="24"/>
        </w:rPr>
        <w:t xml:space="preserve">, </w:t>
      </w:r>
      <w:r w:rsidRPr="00E74E02">
        <w:rPr>
          <w:sz w:val="24"/>
          <w:szCs w:val="24"/>
        </w:rPr>
        <w:t>Columbia Gas of Ohio (“Columbia”)</w:t>
      </w:r>
      <w:r w:rsidRPr="009F25C0">
        <w:rPr>
          <w:sz w:val="24"/>
          <w:szCs w:val="24"/>
        </w:rPr>
        <w:t xml:space="preserve"> proposes a </w:t>
      </w:r>
      <w:r w:rsidRPr="00E74E02">
        <w:rPr>
          <w:sz w:val="24"/>
          <w:szCs w:val="24"/>
        </w:rPr>
        <w:t xml:space="preserve">carbon offset rider. </w:t>
      </w:r>
      <w:r w:rsidRPr="009F25C0">
        <w:rPr>
          <w:sz w:val="24"/>
          <w:szCs w:val="24"/>
        </w:rPr>
        <w:t xml:space="preserve">  </w:t>
      </w:r>
      <w:r w:rsidR="00C1092D">
        <w:rPr>
          <w:sz w:val="24"/>
          <w:szCs w:val="24"/>
        </w:rPr>
        <w:t xml:space="preserve">Ms. Thompson’s testimony </w:t>
      </w:r>
      <w:r w:rsidR="00306892">
        <w:rPr>
          <w:sz w:val="24"/>
          <w:szCs w:val="24"/>
        </w:rPr>
        <w:t xml:space="preserve">describes the </w:t>
      </w:r>
      <w:r w:rsidRPr="00E74E02">
        <w:rPr>
          <w:sz w:val="24"/>
          <w:szCs w:val="24"/>
        </w:rPr>
        <w:t xml:space="preserve">Carbon Reduction Rider (CRR) </w:t>
      </w:r>
      <w:r w:rsidR="00306892">
        <w:rPr>
          <w:sz w:val="24"/>
          <w:szCs w:val="24"/>
        </w:rPr>
        <w:t>as</w:t>
      </w:r>
      <w:r w:rsidRPr="00E74E02">
        <w:rPr>
          <w:sz w:val="24"/>
          <w:szCs w:val="24"/>
        </w:rPr>
        <w:t xml:space="preserve"> an opt-in rider </w:t>
      </w:r>
      <w:r w:rsidR="00CD7BBF">
        <w:rPr>
          <w:sz w:val="24"/>
          <w:szCs w:val="24"/>
        </w:rPr>
        <w:t>where</w:t>
      </w:r>
      <w:r w:rsidRPr="00E74E02">
        <w:rPr>
          <w:sz w:val="24"/>
          <w:szCs w:val="24"/>
        </w:rPr>
        <w:t xml:space="preserve"> customers </w:t>
      </w:r>
      <w:r w:rsidR="00CD7BBF">
        <w:rPr>
          <w:sz w:val="24"/>
          <w:szCs w:val="24"/>
        </w:rPr>
        <w:t>would</w:t>
      </w:r>
      <w:r w:rsidRPr="00E74E02">
        <w:rPr>
          <w:sz w:val="24"/>
          <w:szCs w:val="24"/>
        </w:rPr>
        <w:t xml:space="preserve"> pay </w:t>
      </w:r>
      <w:r w:rsidR="00FD4DE6">
        <w:rPr>
          <w:sz w:val="24"/>
          <w:szCs w:val="24"/>
        </w:rPr>
        <w:t xml:space="preserve">Columbia </w:t>
      </w:r>
      <w:r w:rsidRPr="00E74E02">
        <w:rPr>
          <w:sz w:val="24"/>
          <w:szCs w:val="24"/>
        </w:rPr>
        <w:lastRenderedPageBreak/>
        <w:t>an additional fixed monthly fee to be used toward purchasing carbon offsets.</w:t>
      </w:r>
      <w:r w:rsidR="0064300F">
        <w:rPr>
          <w:rStyle w:val="FootnoteReference"/>
          <w:szCs w:val="24"/>
        </w:rPr>
        <w:footnoteReference w:id="2"/>
      </w:r>
      <w:r w:rsidR="00B82058">
        <w:rPr>
          <w:sz w:val="24"/>
          <w:szCs w:val="24"/>
        </w:rPr>
        <w:t xml:space="preserve"> </w:t>
      </w:r>
      <w:r w:rsidR="002420EE">
        <w:rPr>
          <w:sz w:val="24"/>
          <w:szCs w:val="24"/>
        </w:rPr>
        <w:t xml:space="preserve"> Carbon offsets paired with natural gas are very similar to renewable energy credits on the electric side.</w:t>
      </w:r>
      <w:r w:rsidR="00FD4DE6">
        <w:rPr>
          <w:sz w:val="24"/>
          <w:szCs w:val="24"/>
        </w:rPr>
        <w:t xml:space="preserve"> </w:t>
      </w:r>
    </w:p>
    <w:p w14:paraId="2081CB56" w14:textId="14F33964" w:rsidR="008C064F" w:rsidRPr="009F25C0" w:rsidRDefault="008C064F" w:rsidP="009F33C9">
      <w:pPr>
        <w:spacing w:line="480" w:lineRule="auto"/>
        <w:jc w:val="both"/>
        <w:rPr>
          <w:b/>
          <w:bCs/>
          <w:sz w:val="24"/>
          <w:szCs w:val="24"/>
        </w:rPr>
      </w:pPr>
      <w:r w:rsidRPr="009F25C0">
        <w:rPr>
          <w:b/>
          <w:bCs/>
          <w:sz w:val="24"/>
          <w:szCs w:val="24"/>
        </w:rPr>
        <w:t>Q.</w:t>
      </w:r>
      <w:r w:rsidRPr="009F25C0">
        <w:rPr>
          <w:b/>
          <w:bCs/>
          <w:sz w:val="24"/>
          <w:szCs w:val="24"/>
        </w:rPr>
        <w:tab/>
        <w:t xml:space="preserve">How is </w:t>
      </w:r>
      <w:r>
        <w:rPr>
          <w:b/>
          <w:bCs/>
          <w:sz w:val="24"/>
          <w:szCs w:val="24"/>
        </w:rPr>
        <w:t>Columbia</w:t>
      </w:r>
      <w:r w:rsidRPr="009F25C0">
        <w:rPr>
          <w:b/>
          <w:bCs/>
          <w:sz w:val="24"/>
          <w:szCs w:val="24"/>
        </w:rPr>
        <w:t xml:space="preserve"> proposing to recover the costs of the program?</w:t>
      </w:r>
    </w:p>
    <w:p w14:paraId="002F7717" w14:textId="2C1586E5" w:rsidR="00E50866" w:rsidRPr="00050946" w:rsidRDefault="008C064F" w:rsidP="009F33C9">
      <w:pPr>
        <w:spacing w:line="480" w:lineRule="auto"/>
        <w:ind w:left="720" w:hanging="720"/>
        <w:jc w:val="both"/>
        <w:rPr>
          <w:sz w:val="24"/>
          <w:szCs w:val="24"/>
        </w:rPr>
      </w:pPr>
      <w:r w:rsidRPr="009F25C0">
        <w:rPr>
          <w:sz w:val="24"/>
          <w:szCs w:val="24"/>
        </w:rPr>
        <w:t>A.</w:t>
      </w:r>
      <w:r w:rsidRPr="009F25C0">
        <w:rPr>
          <w:sz w:val="24"/>
          <w:szCs w:val="24"/>
        </w:rPr>
        <w:tab/>
      </w:r>
      <w:r w:rsidR="00E50866">
        <w:rPr>
          <w:sz w:val="24"/>
          <w:szCs w:val="24"/>
        </w:rPr>
        <w:t>Columbia plans to bill the CRR as a separate line item on a customer’s bill.  Columbia does not provide information on how it plans to recover costs associated with information technology, administrative, and other costs necessary to provide this billing service to customers.</w:t>
      </w:r>
      <w:bookmarkStart w:id="2" w:name="DR_11"/>
      <w:bookmarkStart w:id="3" w:name="PUCO_Case_Nos._21-0637-GA-AIR,_et_al."/>
      <w:bookmarkStart w:id="4" w:name="IGS_Interrogatory_Set_2,_No._11"/>
      <w:bookmarkStart w:id="5" w:name="Respondent:_Melissa_L._Thompson"/>
      <w:bookmarkStart w:id="6" w:name="DR_8"/>
      <w:bookmarkStart w:id="7" w:name="IGS_Interrogatory_Set_2,_No._8"/>
      <w:bookmarkEnd w:id="2"/>
      <w:bookmarkEnd w:id="3"/>
      <w:bookmarkEnd w:id="4"/>
      <w:bookmarkEnd w:id="5"/>
      <w:bookmarkEnd w:id="6"/>
      <w:bookmarkEnd w:id="7"/>
      <w:r w:rsidR="00F152BA">
        <w:rPr>
          <w:rStyle w:val="FootnoteReference"/>
          <w:szCs w:val="24"/>
        </w:rPr>
        <w:footnoteReference w:id="3"/>
      </w:r>
    </w:p>
    <w:p w14:paraId="5CA145C5" w14:textId="6632D6C7" w:rsidR="00F32608" w:rsidRPr="009F25C0" w:rsidRDefault="00F32608" w:rsidP="009F33C9">
      <w:pPr>
        <w:spacing w:line="480" w:lineRule="auto"/>
        <w:jc w:val="both"/>
        <w:rPr>
          <w:b/>
          <w:bCs/>
          <w:sz w:val="24"/>
          <w:szCs w:val="24"/>
        </w:rPr>
      </w:pPr>
      <w:r w:rsidRPr="009F25C0">
        <w:rPr>
          <w:b/>
          <w:bCs/>
          <w:sz w:val="24"/>
          <w:szCs w:val="24"/>
        </w:rPr>
        <w:t>Q.</w:t>
      </w:r>
      <w:r w:rsidRPr="009F25C0">
        <w:rPr>
          <w:b/>
          <w:bCs/>
          <w:sz w:val="24"/>
          <w:szCs w:val="24"/>
        </w:rPr>
        <w:tab/>
      </w:r>
      <w:r w:rsidR="00334475">
        <w:rPr>
          <w:b/>
          <w:bCs/>
          <w:sz w:val="24"/>
          <w:szCs w:val="24"/>
        </w:rPr>
        <w:t>Should</w:t>
      </w:r>
      <w:r w:rsidRPr="009F25C0">
        <w:rPr>
          <w:b/>
          <w:bCs/>
          <w:sz w:val="24"/>
          <w:szCs w:val="24"/>
        </w:rPr>
        <w:t xml:space="preserve"> </w:t>
      </w:r>
      <w:r>
        <w:rPr>
          <w:b/>
          <w:bCs/>
          <w:sz w:val="24"/>
          <w:szCs w:val="24"/>
        </w:rPr>
        <w:t>CRR</w:t>
      </w:r>
      <w:r w:rsidRPr="009F25C0">
        <w:rPr>
          <w:b/>
          <w:bCs/>
          <w:sz w:val="24"/>
          <w:szCs w:val="24"/>
        </w:rPr>
        <w:t xml:space="preserve"> proposal</w:t>
      </w:r>
      <w:r w:rsidR="0036583E">
        <w:rPr>
          <w:b/>
          <w:bCs/>
          <w:sz w:val="24"/>
          <w:szCs w:val="24"/>
        </w:rPr>
        <w:t xml:space="preserve"> be approved</w:t>
      </w:r>
      <w:r w:rsidRPr="009F25C0">
        <w:rPr>
          <w:b/>
          <w:bCs/>
          <w:sz w:val="24"/>
          <w:szCs w:val="24"/>
        </w:rPr>
        <w:t>?</w:t>
      </w:r>
    </w:p>
    <w:p w14:paraId="31FE749A" w14:textId="550490EE" w:rsidR="00F32608" w:rsidRPr="009F25C0" w:rsidRDefault="00F32608" w:rsidP="000B4350">
      <w:pPr>
        <w:spacing w:line="480" w:lineRule="auto"/>
        <w:ind w:left="720" w:hanging="720"/>
        <w:jc w:val="both"/>
        <w:rPr>
          <w:sz w:val="24"/>
          <w:szCs w:val="24"/>
        </w:rPr>
      </w:pPr>
      <w:r w:rsidRPr="009F25C0">
        <w:rPr>
          <w:sz w:val="24"/>
          <w:szCs w:val="24"/>
        </w:rPr>
        <w:t>A.</w:t>
      </w:r>
      <w:r w:rsidRPr="009F25C0">
        <w:rPr>
          <w:sz w:val="24"/>
          <w:szCs w:val="24"/>
        </w:rPr>
        <w:tab/>
      </w:r>
      <w:r w:rsidR="0036583E">
        <w:rPr>
          <w:sz w:val="24"/>
          <w:szCs w:val="24"/>
        </w:rPr>
        <w:t>No</w:t>
      </w:r>
      <w:r w:rsidR="0079426A">
        <w:rPr>
          <w:sz w:val="24"/>
          <w:szCs w:val="24"/>
        </w:rPr>
        <w:t>.</w:t>
      </w:r>
      <w:r w:rsidRPr="009F25C0">
        <w:rPr>
          <w:sz w:val="24"/>
          <w:szCs w:val="24"/>
        </w:rPr>
        <w:t xml:space="preserve"> </w:t>
      </w:r>
      <w:r w:rsidR="00316A47">
        <w:rPr>
          <w:sz w:val="24"/>
          <w:szCs w:val="24"/>
        </w:rPr>
        <w:t>There is no need for Columbia to offer this program to customers</w:t>
      </w:r>
      <w:r w:rsidR="00E12082">
        <w:rPr>
          <w:sz w:val="24"/>
          <w:szCs w:val="24"/>
        </w:rPr>
        <w:t xml:space="preserve"> becaus</w:t>
      </w:r>
      <w:r w:rsidR="00FB0082">
        <w:rPr>
          <w:sz w:val="24"/>
          <w:szCs w:val="24"/>
        </w:rPr>
        <w:t xml:space="preserve">e this product is already abundantly available </w:t>
      </w:r>
      <w:r w:rsidR="007E3E05">
        <w:rPr>
          <w:sz w:val="24"/>
          <w:szCs w:val="24"/>
        </w:rPr>
        <w:t>to customers through the competitive market</w:t>
      </w:r>
      <w:r w:rsidR="00FD0757">
        <w:rPr>
          <w:sz w:val="24"/>
          <w:szCs w:val="24"/>
        </w:rPr>
        <w:t>.</w:t>
      </w:r>
      <w:r w:rsidR="00FB0082">
        <w:rPr>
          <w:sz w:val="24"/>
          <w:szCs w:val="24"/>
        </w:rPr>
        <w:t xml:space="preserve"> </w:t>
      </w:r>
      <w:r w:rsidR="008109F4">
        <w:rPr>
          <w:sz w:val="24"/>
          <w:szCs w:val="24"/>
        </w:rPr>
        <w:t>I</w:t>
      </w:r>
      <w:r w:rsidR="00FB0082">
        <w:rPr>
          <w:sz w:val="24"/>
          <w:szCs w:val="24"/>
        </w:rPr>
        <w:t>t is inappropriate for a monopoly utility to provide a competitive service</w:t>
      </w:r>
      <w:r w:rsidR="00FD0757">
        <w:rPr>
          <w:sz w:val="24"/>
          <w:szCs w:val="24"/>
        </w:rPr>
        <w:t xml:space="preserve"> and otherwise use the resources of the distribution rate base to offer a competitive service</w:t>
      </w:r>
      <w:r w:rsidR="00EA0EB2">
        <w:rPr>
          <w:sz w:val="24"/>
          <w:szCs w:val="24"/>
        </w:rPr>
        <w:t>.</w:t>
      </w:r>
      <w:r>
        <w:rPr>
          <w:sz w:val="24"/>
          <w:szCs w:val="24"/>
        </w:rPr>
        <w:t xml:space="preserve"> </w:t>
      </w:r>
      <w:r w:rsidR="005D2297">
        <w:rPr>
          <w:sz w:val="24"/>
          <w:szCs w:val="24"/>
        </w:rPr>
        <w:t>Columbia exited the merchant function several years ago. In so doing, Columbia transferred to competitive suppliers the obligation to provide competitive retail natural gas service to customers.  Just like renewable energy credits</w:t>
      </w:r>
      <w:r w:rsidR="009F0DAE">
        <w:rPr>
          <w:sz w:val="24"/>
          <w:szCs w:val="24"/>
        </w:rPr>
        <w:t xml:space="preserve"> are part </w:t>
      </w:r>
      <w:r w:rsidR="00C41BBF">
        <w:rPr>
          <w:sz w:val="24"/>
          <w:szCs w:val="24"/>
        </w:rPr>
        <w:t>of proving</w:t>
      </w:r>
      <w:r w:rsidR="009F0DAE">
        <w:rPr>
          <w:sz w:val="24"/>
          <w:szCs w:val="24"/>
        </w:rPr>
        <w:t xml:space="preserve"> competitive retail electric service</w:t>
      </w:r>
      <w:r w:rsidR="005D2297">
        <w:rPr>
          <w:sz w:val="24"/>
          <w:szCs w:val="24"/>
        </w:rPr>
        <w:t>, carbon offsets are inextricably linked</w:t>
      </w:r>
      <w:r w:rsidR="009F0DAE">
        <w:rPr>
          <w:sz w:val="24"/>
          <w:szCs w:val="24"/>
        </w:rPr>
        <w:t xml:space="preserve"> with competitive retail natural gas service.  </w:t>
      </w:r>
      <w:r w:rsidR="00FA1693">
        <w:rPr>
          <w:sz w:val="24"/>
          <w:szCs w:val="24"/>
        </w:rPr>
        <w:t xml:space="preserve">In effect, then, authorization of the CRR would permit Columbia to reenter the market for retail natural gas service.  Under the current legal structure affecting Columbia and all other natural gas distribution utilities, </w:t>
      </w:r>
      <w:r w:rsidR="002420EE">
        <w:rPr>
          <w:sz w:val="24"/>
          <w:szCs w:val="24"/>
        </w:rPr>
        <w:t>it</w:t>
      </w:r>
      <w:r w:rsidR="009F0DAE">
        <w:rPr>
          <w:sz w:val="24"/>
          <w:szCs w:val="24"/>
        </w:rPr>
        <w:t xml:space="preserve"> is inappropriate for Columbia to attempt to re-enter the competitive </w:t>
      </w:r>
      <w:r w:rsidR="009F0DAE">
        <w:rPr>
          <w:sz w:val="24"/>
          <w:szCs w:val="24"/>
        </w:rPr>
        <w:lastRenderedPageBreak/>
        <w:t xml:space="preserve">retail natural gas </w:t>
      </w:r>
      <w:r w:rsidR="00C76FA0">
        <w:rPr>
          <w:sz w:val="24"/>
          <w:szCs w:val="24"/>
        </w:rPr>
        <w:t xml:space="preserve">service (“CRNGS”) </w:t>
      </w:r>
      <w:r w:rsidR="009F0DAE">
        <w:rPr>
          <w:sz w:val="24"/>
          <w:szCs w:val="24"/>
        </w:rPr>
        <w:t xml:space="preserve">market.  </w:t>
      </w:r>
      <w:r w:rsidR="005D3A5A">
        <w:rPr>
          <w:sz w:val="24"/>
          <w:szCs w:val="24"/>
        </w:rPr>
        <w:t>Additionally</w:t>
      </w:r>
      <w:r w:rsidR="005409DA">
        <w:rPr>
          <w:sz w:val="24"/>
          <w:szCs w:val="24"/>
        </w:rPr>
        <w:t>,</w:t>
      </w:r>
      <w:r w:rsidR="009F0DAE">
        <w:rPr>
          <w:sz w:val="24"/>
          <w:szCs w:val="24"/>
        </w:rPr>
        <w:t xml:space="preserve"> </w:t>
      </w:r>
      <w:r w:rsidR="009F0DAE" w:rsidRPr="009F0DAE">
        <w:rPr>
          <w:sz w:val="24"/>
          <w:szCs w:val="24"/>
        </w:rPr>
        <w:t xml:space="preserve">the </w:t>
      </w:r>
      <w:r w:rsidR="005409DA">
        <w:rPr>
          <w:sz w:val="24"/>
          <w:szCs w:val="24"/>
        </w:rPr>
        <w:t xml:space="preserve">proposed </w:t>
      </w:r>
      <w:r w:rsidR="009F0DAE" w:rsidRPr="009F0DAE">
        <w:rPr>
          <w:sz w:val="24"/>
          <w:szCs w:val="24"/>
        </w:rPr>
        <w:t>program lacks definition</w:t>
      </w:r>
      <w:r w:rsidR="005409DA">
        <w:rPr>
          <w:sz w:val="24"/>
          <w:szCs w:val="24"/>
        </w:rPr>
        <w:t>,</w:t>
      </w:r>
      <w:r w:rsidR="009F0DAE" w:rsidRPr="009F0DAE">
        <w:rPr>
          <w:sz w:val="24"/>
          <w:szCs w:val="24"/>
        </w:rPr>
        <w:t xml:space="preserve"> </w:t>
      </w:r>
      <w:r w:rsidR="00A80980">
        <w:rPr>
          <w:sz w:val="24"/>
          <w:szCs w:val="24"/>
        </w:rPr>
        <w:t>but</w:t>
      </w:r>
      <w:r w:rsidR="00456E30">
        <w:rPr>
          <w:sz w:val="24"/>
          <w:szCs w:val="24"/>
        </w:rPr>
        <w:t xml:space="preserve"> it</w:t>
      </w:r>
      <w:r w:rsidR="00A80980">
        <w:rPr>
          <w:sz w:val="24"/>
          <w:szCs w:val="24"/>
        </w:rPr>
        <w:t xml:space="preserve"> will almost assuredly rely on</w:t>
      </w:r>
      <w:r w:rsidR="009F0DAE" w:rsidRPr="009F0DAE">
        <w:rPr>
          <w:sz w:val="24"/>
          <w:szCs w:val="24"/>
        </w:rPr>
        <w:t xml:space="preserve"> subsid</w:t>
      </w:r>
      <w:r w:rsidR="009F0DAE">
        <w:rPr>
          <w:sz w:val="24"/>
          <w:szCs w:val="24"/>
        </w:rPr>
        <w:t>ies</w:t>
      </w:r>
      <w:r w:rsidR="009F0DAE" w:rsidRPr="009F0DAE">
        <w:rPr>
          <w:sz w:val="24"/>
          <w:szCs w:val="24"/>
        </w:rPr>
        <w:t xml:space="preserve"> embedded in distribution rates</w:t>
      </w:r>
      <w:r w:rsidR="009F0DAE">
        <w:rPr>
          <w:sz w:val="24"/>
          <w:szCs w:val="24"/>
        </w:rPr>
        <w:t xml:space="preserve">.  </w:t>
      </w:r>
      <w:r w:rsidR="00FA1693">
        <w:rPr>
          <w:sz w:val="24"/>
          <w:szCs w:val="24"/>
        </w:rPr>
        <w:t xml:space="preserve">As I noted above, some portion of the costs associated with the carbon offset program will be underwritten by all distribution customers.  </w:t>
      </w:r>
      <w:r w:rsidR="009F0DAE">
        <w:rPr>
          <w:sz w:val="24"/>
          <w:szCs w:val="24"/>
        </w:rPr>
        <w:t xml:space="preserve">Thus, Columbia’s proposal runs afoul of Ohio law and policy.  </w:t>
      </w:r>
      <w:r w:rsidR="002420EE">
        <w:rPr>
          <w:sz w:val="24"/>
          <w:szCs w:val="24"/>
        </w:rPr>
        <w:t>Specifically,</w:t>
      </w:r>
      <w:r w:rsidR="00AF180D">
        <w:rPr>
          <w:sz w:val="24"/>
          <w:szCs w:val="24"/>
        </w:rPr>
        <w:t xml:space="preserve"> </w:t>
      </w:r>
      <w:r w:rsidRPr="00864758">
        <w:rPr>
          <w:sz w:val="24"/>
          <w:szCs w:val="24"/>
        </w:rPr>
        <w:t>under the CRR proposal, neither Columbia nor the third-party vendor faces the risk of customer default faced by other vendors</w:t>
      </w:r>
      <w:r w:rsidR="00AF180D">
        <w:rPr>
          <w:sz w:val="24"/>
          <w:szCs w:val="24"/>
        </w:rPr>
        <w:t>, but rather such risk will be absorbed by all distribution rate payers regardless of whether they take advantage of Columbia’s offer</w:t>
      </w:r>
      <w:r w:rsidRPr="00864758">
        <w:rPr>
          <w:sz w:val="24"/>
          <w:szCs w:val="24"/>
        </w:rPr>
        <w:t xml:space="preserve">. </w:t>
      </w:r>
      <w:r w:rsidR="000B4350">
        <w:rPr>
          <w:sz w:val="24"/>
          <w:szCs w:val="24"/>
        </w:rPr>
        <w:t xml:space="preserve"> </w:t>
      </w:r>
      <w:r w:rsidR="009F0DAE">
        <w:rPr>
          <w:sz w:val="24"/>
          <w:szCs w:val="24"/>
        </w:rPr>
        <w:t xml:space="preserve">Finally, </w:t>
      </w:r>
      <w:r w:rsidR="00C76FA0">
        <w:rPr>
          <w:sz w:val="24"/>
          <w:szCs w:val="24"/>
        </w:rPr>
        <w:t xml:space="preserve">to my knowledge </w:t>
      </w:r>
      <w:r w:rsidR="00050946" w:rsidRPr="00864758">
        <w:rPr>
          <w:sz w:val="24"/>
          <w:szCs w:val="24"/>
        </w:rPr>
        <w:t>Columbia</w:t>
      </w:r>
      <w:r w:rsidR="009F0DAE">
        <w:rPr>
          <w:sz w:val="24"/>
          <w:szCs w:val="24"/>
        </w:rPr>
        <w:t xml:space="preserve"> </w:t>
      </w:r>
      <w:r w:rsidR="004B6FAB">
        <w:rPr>
          <w:sz w:val="24"/>
          <w:szCs w:val="24"/>
        </w:rPr>
        <w:t>has</w:t>
      </w:r>
      <w:r w:rsidR="009F0DAE">
        <w:rPr>
          <w:sz w:val="24"/>
          <w:szCs w:val="24"/>
        </w:rPr>
        <w:t xml:space="preserve"> </w:t>
      </w:r>
      <w:r w:rsidR="00050946">
        <w:rPr>
          <w:sz w:val="24"/>
          <w:szCs w:val="24"/>
        </w:rPr>
        <w:t>not</w:t>
      </w:r>
      <w:r w:rsidR="00050946" w:rsidRPr="009F25C0">
        <w:rPr>
          <w:sz w:val="24"/>
          <w:szCs w:val="24"/>
        </w:rPr>
        <w:t xml:space="preserve"> </w:t>
      </w:r>
      <w:r w:rsidR="00C33604" w:rsidRPr="009F25C0">
        <w:rPr>
          <w:sz w:val="24"/>
          <w:szCs w:val="24"/>
        </w:rPr>
        <w:t>confer</w:t>
      </w:r>
      <w:r w:rsidR="00C33604">
        <w:rPr>
          <w:sz w:val="24"/>
          <w:szCs w:val="24"/>
        </w:rPr>
        <w:t>red</w:t>
      </w:r>
      <w:r w:rsidRPr="009F25C0">
        <w:rPr>
          <w:sz w:val="24"/>
          <w:szCs w:val="24"/>
        </w:rPr>
        <w:t xml:space="preserve"> with any </w:t>
      </w:r>
      <w:r w:rsidRPr="00864758">
        <w:rPr>
          <w:sz w:val="24"/>
          <w:szCs w:val="24"/>
        </w:rPr>
        <w:t>suppliers</w:t>
      </w:r>
      <w:r w:rsidRPr="009F25C0">
        <w:rPr>
          <w:sz w:val="24"/>
          <w:szCs w:val="24"/>
        </w:rPr>
        <w:t xml:space="preserve"> </w:t>
      </w:r>
      <w:r w:rsidR="007E3E05">
        <w:rPr>
          <w:sz w:val="24"/>
          <w:szCs w:val="24"/>
        </w:rPr>
        <w:t>who are already offering this product in the market</w:t>
      </w:r>
      <w:r w:rsidRPr="009F25C0">
        <w:rPr>
          <w:sz w:val="24"/>
          <w:szCs w:val="24"/>
        </w:rPr>
        <w:t xml:space="preserve"> </w:t>
      </w:r>
      <w:r w:rsidR="009F0DAE">
        <w:rPr>
          <w:sz w:val="24"/>
          <w:szCs w:val="24"/>
        </w:rPr>
        <w:t xml:space="preserve">before proposing </w:t>
      </w:r>
      <w:r w:rsidRPr="009F25C0">
        <w:rPr>
          <w:sz w:val="24"/>
          <w:szCs w:val="24"/>
        </w:rPr>
        <w:t>a competitive program that will be billed on the utility bill.</w:t>
      </w:r>
      <w:r w:rsidRPr="0DA433F6">
        <w:rPr>
          <w:rStyle w:val="FootnoteReference"/>
        </w:rPr>
        <w:footnoteReference w:id="4"/>
      </w:r>
      <w:r w:rsidRPr="009F25C0">
        <w:rPr>
          <w:sz w:val="24"/>
          <w:szCs w:val="24"/>
        </w:rPr>
        <w:t xml:space="preserve"> </w:t>
      </w:r>
      <w:r w:rsidR="005203C7">
        <w:rPr>
          <w:sz w:val="24"/>
          <w:szCs w:val="24"/>
        </w:rPr>
        <w:t xml:space="preserve">To the extent Columbia </w:t>
      </w:r>
      <w:r w:rsidR="00076FFE">
        <w:rPr>
          <w:sz w:val="24"/>
          <w:szCs w:val="24"/>
        </w:rPr>
        <w:t xml:space="preserve">had a desire to encourage customers to purchase carbon off-sets, they could have sought a more competitive means to do so. </w:t>
      </w:r>
      <w:r w:rsidRPr="009F25C0">
        <w:rPr>
          <w:sz w:val="24"/>
          <w:szCs w:val="24"/>
        </w:rPr>
        <w:t xml:space="preserve">  </w:t>
      </w:r>
    </w:p>
    <w:p w14:paraId="762EA6D9" w14:textId="23168D96" w:rsidR="00C54515" w:rsidRPr="009F25C0" w:rsidRDefault="00C54515" w:rsidP="00C54515">
      <w:pPr>
        <w:spacing w:line="480" w:lineRule="auto"/>
        <w:jc w:val="both"/>
        <w:rPr>
          <w:b/>
          <w:bCs/>
          <w:sz w:val="24"/>
          <w:szCs w:val="24"/>
        </w:rPr>
      </w:pPr>
      <w:r>
        <w:rPr>
          <w:b/>
          <w:bCs/>
          <w:sz w:val="24"/>
          <w:szCs w:val="24"/>
        </w:rPr>
        <w:t>Q</w:t>
      </w:r>
      <w:r>
        <w:rPr>
          <w:b/>
          <w:bCs/>
          <w:sz w:val="24"/>
          <w:szCs w:val="24"/>
        </w:rPr>
        <w:tab/>
      </w:r>
      <w:r w:rsidRPr="009F25C0">
        <w:rPr>
          <w:b/>
          <w:bCs/>
          <w:sz w:val="24"/>
          <w:szCs w:val="24"/>
        </w:rPr>
        <w:t xml:space="preserve">Do </w:t>
      </w:r>
      <w:r w:rsidR="002420EE">
        <w:rPr>
          <w:b/>
          <w:bCs/>
          <w:sz w:val="24"/>
          <w:szCs w:val="24"/>
        </w:rPr>
        <w:t>suppliers</w:t>
      </w:r>
      <w:r w:rsidRPr="009F25C0">
        <w:rPr>
          <w:b/>
          <w:bCs/>
          <w:sz w:val="24"/>
          <w:szCs w:val="24"/>
        </w:rPr>
        <w:t xml:space="preserve"> provide similar products to what </w:t>
      </w:r>
      <w:r>
        <w:rPr>
          <w:b/>
          <w:bCs/>
          <w:sz w:val="24"/>
          <w:szCs w:val="24"/>
        </w:rPr>
        <w:t>Columbia</w:t>
      </w:r>
      <w:r w:rsidRPr="009F25C0">
        <w:rPr>
          <w:b/>
          <w:bCs/>
          <w:sz w:val="24"/>
          <w:szCs w:val="24"/>
        </w:rPr>
        <w:t xml:space="preserve"> is proposing here?</w:t>
      </w:r>
    </w:p>
    <w:p w14:paraId="7496C068" w14:textId="6613556E" w:rsidR="00F32608" w:rsidRPr="009F25C0" w:rsidRDefault="00C54515" w:rsidP="00050946">
      <w:pPr>
        <w:spacing w:line="480" w:lineRule="auto"/>
        <w:ind w:left="720" w:hanging="720"/>
        <w:jc w:val="both"/>
        <w:rPr>
          <w:sz w:val="24"/>
          <w:szCs w:val="24"/>
        </w:rPr>
      </w:pPr>
      <w:r w:rsidRPr="009F25C0">
        <w:rPr>
          <w:sz w:val="24"/>
          <w:szCs w:val="24"/>
        </w:rPr>
        <w:t>A.</w:t>
      </w:r>
      <w:r>
        <w:tab/>
      </w:r>
      <w:r w:rsidRPr="009F25C0">
        <w:rPr>
          <w:sz w:val="24"/>
          <w:szCs w:val="24"/>
        </w:rPr>
        <w:t xml:space="preserve">Yes.  </w:t>
      </w:r>
      <w:r w:rsidR="05B16AA2" w:rsidRPr="74A0A8FB">
        <w:rPr>
          <w:sz w:val="24"/>
          <w:szCs w:val="24"/>
        </w:rPr>
        <w:t>Several suppliers, including IGS</w:t>
      </w:r>
      <w:r w:rsidR="0025035A">
        <w:rPr>
          <w:sz w:val="24"/>
          <w:szCs w:val="24"/>
        </w:rPr>
        <w:t>,</w:t>
      </w:r>
      <w:r w:rsidR="05B16AA2" w:rsidRPr="74A0A8FB">
        <w:rPr>
          <w:sz w:val="24"/>
          <w:szCs w:val="24"/>
        </w:rPr>
        <w:t xml:space="preserve"> provide </w:t>
      </w:r>
      <w:r w:rsidR="00B45F6B">
        <w:rPr>
          <w:sz w:val="24"/>
          <w:szCs w:val="24"/>
        </w:rPr>
        <w:t xml:space="preserve">natural gas </w:t>
      </w:r>
      <w:r w:rsidR="006A2284">
        <w:rPr>
          <w:sz w:val="24"/>
          <w:szCs w:val="24"/>
        </w:rPr>
        <w:t>products that are paire</w:t>
      </w:r>
      <w:r w:rsidR="00B45F6B">
        <w:rPr>
          <w:sz w:val="24"/>
          <w:szCs w:val="24"/>
        </w:rPr>
        <w:t>d with carbon off-sets</w:t>
      </w:r>
      <w:r w:rsidR="76CEC6D9" w:rsidRPr="74A0A8FB">
        <w:rPr>
          <w:sz w:val="24"/>
          <w:szCs w:val="24"/>
        </w:rPr>
        <w:t xml:space="preserve">.  </w:t>
      </w:r>
      <w:r w:rsidR="00401642">
        <w:rPr>
          <w:sz w:val="24"/>
          <w:szCs w:val="24"/>
        </w:rPr>
        <w:t>Indeed</w:t>
      </w:r>
      <w:r w:rsidR="00401642" w:rsidRPr="00401642">
        <w:rPr>
          <w:sz w:val="24"/>
          <w:szCs w:val="24"/>
        </w:rPr>
        <w:t xml:space="preserve">, all </w:t>
      </w:r>
      <w:r w:rsidR="76CEC6D9" w:rsidRPr="74A0A8FB">
        <w:rPr>
          <w:sz w:val="24"/>
          <w:szCs w:val="24"/>
        </w:rPr>
        <w:t>of IGS’ current</w:t>
      </w:r>
      <w:r w:rsidR="00401642" w:rsidRPr="00401642">
        <w:rPr>
          <w:sz w:val="24"/>
          <w:szCs w:val="24"/>
        </w:rPr>
        <w:t xml:space="preserve"> residential </w:t>
      </w:r>
      <w:r w:rsidR="00C76FA0">
        <w:rPr>
          <w:sz w:val="24"/>
          <w:szCs w:val="24"/>
        </w:rPr>
        <w:t>CRNGS</w:t>
      </w:r>
      <w:r w:rsidR="00401642" w:rsidRPr="00401642">
        <w:rPr>
          <w:sz w:val="24"/>
          <w:szCs w:val="24"/>
        </w:rPr>
        <w:t xml:space="preserve"> offerings are carbon neutral.</w:t>
      </w:r>
      <w:r w:rsidR="001C1747">
        <w:rPr>
          <w:sz w:val="24"/>
          <w:szCs w:val="24"/>
        </w:rPr>
        <w:t xml:space="preserve"> Thus</w:t>
      </w:r>
      <w:r w:rsidR="005E2F48">
        <w:rPr>
          <w:sz w:val="24"/>
          <w:szCs w:val="24"/>
        </w:rPr>
        <w:t>,</w:t>
      </w:r>
      <w:r w:rsidR="001C1747">
        <w:rPr>
          <w:sz w:val="24"/>
          <w:szCs w:val="24"/>
        </w:rPr>
        <w:t xml:space="preserve"> given the abundance of carbon neutral products on the market</w:t>
      </w:r>
      <w:r w:rsidR="00C86D21">
        <w:rPr>
          <w:sz w:val="24"/>
          <w:szCs w:val="24"/>
        </w:rPr>
        <w:t>, there is no need for Columbia to provide this same offering to customers, given the anti-competitive and subsidization concerns I discuss in my testimony.</w:t>
      </w:r>
    </w:p>
    <w:p w14:paraId="566038FC" w14:textId="0EC14DCE" w:rsidR="00F32608" w:rsidRPr="009F25C0" w:rsidRDefault="00F32608" w:rsidP="00050946">
      <w:pPr>
        <w:spacing w:line="480" w:lineRule="auto"/>
        <w:ind w:left="720" w:hanging="720"/>
        <w:jc w:val="both"/>
        <w:rPr>
          <w:b/>
          <w:bCs/>
          <w:sz w:val="24"/>
          <w:szCs w:val="24"/>
        </w:rPr>
      </w:pPr>
      <w:r w:rsidRPr="009F25C0">
        <w:rPr>
          <w:b/>
          <w:bCs/>
          <w:sz w:val="24"/>
          <w:szCs w:val="24"/>
        </w:rPr>
        <w:t>Q.</w:t>
      </w:r>
      <w:r w:rsidRPr="009F25C0">
        <w:rPr>
          <w:b/>
          <w:bCs/>
          <w:sz w:val="24"/>
          <w:szCs w:val="24"/>
        </w:rPr>
        <w:tab/>
        <w:t xml:space="preserve">Do you have any concerns that </w:t>
      </w:r>
      <w:r w:rsidR="00C76FA0">
        <w:rPr>
          <w:b/>
          <w:bCs/>
          <w:sz w:val="24"/>
          <w:szCs w:val="24"/>
        </w:rPr>
        <w:t>the</w:t>
      </w:r>
      <w:r w:rsidRPr="009F25C0">
        <w:rPr>
          <w:b/>
          <w:bCs/>
          <w:sz w:val="24"/>
          <w:szCs w:val="24"/>
        </w:rPr>
        <w:t xml:space="preserve"> utility is seeking to compete with suppliers that also provide these products for customers? </w:t>
      </w:r>
    </w:p>
    <w:p w14:paraId="7B928B0C" w14:textId="751D5C5F" w:rsidR="00F32608" w:rsidRPr="009F25C0" w:rsidRDefault="00F32608" w:rsidP="00050946">
      <w:pPr>
        <w:spacing w:line="480" w:lineRule="auto"/>
        <w:ind w:left="720" w:hanging="720"/>
        <w:jc w:val="both"/>
        <w:rPr>
          <w:sz w:val="24"/>
          <w:szCs w:val="24"/>
        </w:rPr>
      </w:pPr>
      <w:r w:rsidRPr="009F25C0">
        <w:rPr>
          <w:sz w:val="24"/>
          <w:szCs w:val="24"/>
        </w:rPr>
        <w:t>A.</w:t>
      </w:r>
      <w:r>
        <w:tab/>
      </w:r>
      <w:r w:rsidR="001E536C">
        <w:rPr>
          <w:sz w:val="24"/>
          <w:szCs w:val="24"/>
        </w:rPr>
        <w:t>Yes.</w:t>
      </w:r>
      <w:r w:rsidRPr="009F25C0">
        <w:rPr>
          <w:sz w:val="24"/>
          <w:szCs w:val="24"/>
        </w:rPr>
        <w:t xml:space="preserve"> </w:t>
      </w:r>
      <w:r w:rsidR="00C24C94">
        <w:rPr>
          <w:sz w:val="24"/>
          <w:szCs w:val="24"/>
        </w:rPr>
        <w:t>Allowing Columbia, a monopoly utility</w:t>
      </w:r>
      <w:r w:rsidR="00DF39E8">
        <w:rPr>
          <w:sz w:val="24"/>
          <w:szCs w:val="24"/>
        </w:rPr>
        <w:t>,</w:t>
      </w:r>
      <w:r w:rsidR="00C24C94">
        <w:rPr>
          <w:sz w:val="24"/>
          <w:szCs w:val="24"/>
        </w:rPr>
        <w:t xml:space="preserve"> to offer a competitive product in the market will</w:t>
      </w:r>
      <w:r w:rsidR="00DF39E8">
        <w:rPr>
          <w:sz w:val="24"/>
          <w:szCs w:val="24"/>
        </w:rPr>
        <w:t xml:space="preserve"> </w:t>
      </w:r>
      <w:r w:rsidR="00C33604">
        <w:rPr>
          <w:sz w:val="24"/>
          <w:szCs w:val="24"/>
        </w:rPr>
        <w:t>push other</w:t>
      </w:r>
      <w:r w:rsidR="00DF39E8">
        <w:rPr>
          <w:sz w:val="24"/>
          <w:szCs w:val="24"/>
        </w:rPr>
        <w:t xml:space="preserve"> renewable energy products out of the market, </w:t>
      </w:r>
      <w:r w:rsidR="00114BE6">
        <w:rPr>
          <w:sz w:val="24"/>
          <w:szCs w:val="24"/>
        </w:rPr>
        <w:t xml:space="preserve">unnecessarily harming </w:t>
      </w:r>
      <w:r w:rsidR="00114BE6">
        <w:rPr>
          <w:sz w:val="24"/>
          <w:szCs w:val="24"/>
        </w:rPr>
        <w:lastRenderedPageBreak/>
        <w:t>competition to the detriment of customers</w:t>
      </w:r>
      <w:r w:rsidRPr="009F25C0">
        <w:rPr>
          <w:sz w:val="24"/>
          <w:szCs w:val="24"/>
        </w:rPr>
        <w:t>.</w:t>
      </w:r>
      <w:r w:rsidR="00B90933">
        <w:rPr>
          <w:sz w:val="24"/>
          <w:szCs w:val="24"/>
        </w:rPr>
        <w:t xml:space="preserve"> Whenever Columbia leverages its distribution monopoly, to offer a competitive product in the ma</w:t>
      </w:r>
      <w:r w:rsidR="00EF3EEB">
        <w:rPr>
          <w:sz w:val="24"/>
          <w:szCs w:val="24"/>
        </w:rPr>
        <w:t>rket</w:t>
      </w:r>
      <w:r w:rsidR="004F6D20">
        <w:rPr>
          <w:sz w:val="24"/>
          <w:szCs w:val="24"/>
        </w:rPr>
        <w:t>,</w:t>
      </w:r>
      <w:r w:rsidR="00EF3EEB">
        <w:rPr>
          <w:sz w:val="24"/>
          <w:szCs w:val="24"/>
        </w:rPr>
        <w:t xml:space="preserve"> it is a deterrent for other suppliers to offer that service, because those suppliers do not have an advantage of a subsidized rat</w:t>
      </w:r>
      <w:r w:rsidR="00EB5E02">
        <w:rPr>
          <w:sz w:val="24"/>
          <w:szCs w:val="24"/>
        </w:rPr>
        <w:t>e-</w:t>
      </w:r>
      <w:r w:rsidR="00EF3EEB">
        <w:rPr>
          <w:sz w:val="24"/>
          <w:szCs w:val="24"/>
        </w:rPr>
        <w:t>base.</w:t>
      </w:r>
      <w:r w:rsidR="00EB5E02">
        <w:rPr>
          <w:sz w:val="24"/>
          <w:szCs w:val="24"/>
        </w:rPr>
        <w:t xml:space="preserve"> This example is even more egregious, because there is</w:t>
      </w:r>
      <w:r w:rsidR="001E536C">
        <w:rPr>
          <w:sz w:val="24"/>
          <w:szCs w:val="24"/>
        </w:rPr>
        <w:t xml:space="preserve"> no need for Columbia’s participation in the sale of carbon</w:t>
      </w:r>
      <w:r w:rsidR="00C76FA0">
        <w:rPr>
          <w:sz w:val="24"/>
          <w:szCs w:val="24"/>
        </w:rPr>
        <w:t>-</w:t>
      </w:r>
      <w:r w:rsidR="001E536C">
        <w:rPr>
          <w:sz w:val="24"/>
          <w:szCs w:val="24"/>
        </w:rPr>
        <w:t>neutral products. Carbon</w:t>
      </w:r>
      <w:r w:rsidR="00C76FA0">
        <w:rPr>
          <w:sz w:val="24"/>
          <w:szCs w:val="24"/>
        </w:rPr>
        <w:t>-</w:t>
      </w:r>
      <w:r w:rsidR="001E536C">
        <w:rPr>
          <w:sz w:val="24"/>
          <w:szCs w:val="24"/>
        </w:rPr>
        <w:t xml:space="preserve">neutral products are already available in the competitive market. Thus, </w:t>
      </w:r>
      <w:r w:rsidR="00FD6E12">
        <w:rPr>
          <w:sz w:val="24"/>
          <w:szCs w:val="24"/>
        </w:rPr>
        <w:t>Columbia’s</w:t>
      </w:r>
      <w:r w:rsidR="00C33604">
        <w:rPr>
          <w:sz w:val="24"/>
          <w:szCs w:val="24"/>
        </w:rPr>
        <w:t xml:space="preserve"> </w:t>
      </w:r>
      <w:r w:rsidR="001E536C">
        <w:rPr>
          <w:sz w:val="24"/>
          <w:szCs w:val="24"/>
        </w:rPr>
        <w:t>proposal</w:t>
      </w:r>
      <w:r w:rsidR="008B397C">
        <w:rPr>
          <w:sz w:val="24"/>
          <w:szCs w:val="24"/>
        </w:rPr>
        <w:t xml:space="preserve"> if authorized</w:t>
      </w:r>
      <w:r w:rsidR="001E536C">
        <w:rPr>
          <w:sz w:val="24"/>
          <w:szCs w:val="24"/>
        </w:rPr>
        <w:t xml:space="preserve"> </w:t>
      </w:r>
      <w:r w:rsidR="00FD6E12">
        <w:rPr>
          <w:sz w:val="24"/>
          <w:szCs w:val="24"/>
        </w:rPr>
        <w:t xml:space="preserve">will harm the </w:t>
      </w:r>
      <w:r w:rsidR="00C76FA0">
        <w:rPr>
          <w:sz w:val="24"/>
          <w:szCs w:val="24"/>
        </w:rPr>
        <w:t>CRNGS</w:t>
      </w:r>
      <w:r w:rsidR="00FD6E12">
        <w:rPr>
          <w:sz w:val="24"/>
          <w:szCs w:val="24"/>
        </w:rPr>
        <w:t xml:space="preserve"> market</w:t>
      </w:r>
      <w:r w:rsidR="0050354E">
        <w:rPr>
          <w:sz w:val="24"/>
          <w:szCs w:val="24"/>
        </w:rPr>
        <w:t xml:space="preserve"> and customers</w:t>
      </w:r>
      <w:r w:rsidR="00FD6E12">
        <w:rPr>
          <w:sz w:val="24"/>
          <w:szCs w:val="24"/>
        </w:rPr>
        <w:t xml:space="preserve">. </w:t>
      </w:r>
    </w:p>
    <w:p w14:paraId="4CA5B214" w14:textId="31FD47B7" w:rsidR="00F32608" w:rsidRPr="009F25C0" w:rsidRDefault="00F32608" w:rsidP="00050946">
      <w:pPr>
        <w:spacing w:line="480" w:lineRule="auto"/>
        <w:ind w:left="720" w:hanging="720"/>
        <w:jc w:val="both"/>
        <w:rPr>
          <w:b/>
          <w:bCs/>
          <w:sz w:val="24"/>
          <w:szCs w:val="24"/>
        </w:rPr>
      </w:pPr>
      <w:r w:rsidRPr="009F25C0">
        <w:rPr>
          <w:b/>
          <w:bCs/>
          <w:sz w:val="24"/>
          <w:szCs w:val="24"/>
        </w:rPr>
        <w:t>Q.</w:t>
      </w:r>
      <w:r w:rsidRPr="009F25C0">
        <w:rPr>
          <w:b/>
          <w:bCs/>
          <w:sz w:val="24"/>
          <w:szCs w:val="24"/>
        </w:rPr>
        <w:tab/>
      </w:r>
      <w:r w:rsidR="00E13646">
        <w:rPr>
          <w:b/>
          <w:bCs/>
          <w:sz w:val="24"/>
          <w:szCs w:val="24"/>
        </w:rPr>
        <w:t>Will Columbia be offering its product to competitive supply customers?</w:t>
      </w:r>
    </w:p>
    <w:p w14:paraId="0BAD95D7" w14:textId="41C9A715" w:rsidR="00F32608" w:rsidRPr="009F25C0" w:rsidRDefault="00F32608" w:rsidP="00F32608">
      <w:pPr>
        <w:spacing w:line="480" w:lineRule="auto"/>
        <w:ind w:left="720" w:hanging="720"/>
        <w:jc w:val="both"/>
        <w:rPr>
          <w:sz w:val="24"/>
          <w:szCs w:val="24"/>
        </w:rPr>
      </w:pPr>
      <w:r w:rsidRPr="009F25C0">
        <w:rPr>
          <w:sz w:val="24"/>
          <w:szCs w:val="24"/>
        </w:rPr>
        <w:t>A.</w:t>
      </w:r>
      <w:r w:rsidRPr="009F25C0">
        <w:rPr>
          <w:sz w:val="24"/>
          <w:szCs w:val="24"/>
        </w:rPr>
        <w:tab/>
      </w:r>
      <w:r>
        <w:rPr>
          <w:sz w:val="24"/>
          <w:szCs w:val="24"/>
        </w:rPr>
        <w:t>Ms. Thompson’s</w:t>
      </w:r>
      <w:r w:rsidRPr="009F25C0">
        <w:rPr>
          <w:sz w:val="24"/>
          <w:szCs w:val="24"/>
        </w:rPr>
        <w:t xml:space="preserve"> testimony </w:t>
      </w:r>
      <w:r w:rsidR="00E13646">
        <w:rPr>
          <w:sz w:val="24"/>
          <w:szCs w:val="24"/>
        </w:rPr>
        <w:t>does not mention limitations</w:t>
      </w:r>
      <w:r w:rsidRPr="009F25C0">
        <w:rPr>
          <w:sz w:val="24"/>
          <w:szCs w:val="24"/>
        </w:rPr>
        <w:t xml:space="preserve"> to default service customers or any subgroup.  Rather, it is likely that </w:t>
      </w:r>
      <w:r>
        <w:rPr>
          <w:sz w:val="24"/>
          <w:szCs w:val="24"/>
        </w:rPr>
        <w:t>Columbia</w:t>
      </w:r>
      <w:r w:rsidRPr="009F25C0">
        <w:rPr>
          <w:sz w:val="24"/>
          <w:szCs w:val="24"/>
        </w:rPr>
        <w:t xml:space="preserve"> will market to </w:t>
      </w:r>
      <w:r>
        <w:rPr>
          <w:sz w:val="24"/>
          <w:szCs w:val="24"/>
        </w:rPr>
        <w:t xml:space="preserve">IGS </w:t>
      </w:r>
      <w:r w:rsidR="00C76FA0">
        <w:rPr>
          <w:sz w:val="24"/>
          <w:szCs w:val="24"/>
        </w:rPr>
        <w:t xml:space="preserve">or another supplier’s </w:t>
      </w:r>
      <w:r w:rsidRPr="009F25C0">
        <w:rPr>
          <w:sz w:val="24"/>
          <w:szCs w:val="24"/>
        </w:rPr>
        <w:t>customers, which is problematic from a supplier’s perspective</w:t>
      </w:r>
      <w:r w:rsidR="00487265">
        <w:rPr>
          <w:sz w:val="24"/>
          <w:szCs w:val="24"/>
        </w:rPr>
        <w:t xml:space="preserve"> because IGS customers are already being provided this service</w:t>
      </w:r>
      <w:r w:rsidR="00EF755A">
        <w:rPr>
          <w:sz w:val="24"/>
          <w:szCs w:val="24"/>
        </w:rPr>
        <w:t>, and IGS has spent significant time and resources cultivating that relationship with its customers</w:t>
      </w:r>
      <w:r w:rsidRPr="009F25C0">
        <w:rPr>
          <w:sz w:val="24"/>
          <w:szCs w:val="24"/>
        </w:rPr>
        <w:t xml:space="preserve">. </w:t>
      </w:r>
    </w:p>
    <w:p w14:paraId="1D5A1427" w14:textId="472F1092" w:rsidR="00F32608" w:rsidRPr="009F25C0" w:rsidRDefault="00F32608" w:rsidP="00F32608">
      <w:pPr>
        <w:spacing w:line="480" w:lineRule="auto"/>
        <w:jc w:val="both"/>
        <w:rPr>
          <w:b/>
          <w:bCs/>
          <w:sz w:val="24"/>
          <w:szCs w:val="24"/>
        </w:rPr>
      </w:pPr>
      <w:r w:rsidRPr="009F25C0">
        <w:rPr>
          <w:b/>
          <w:bCs/>
          <w:sz w:val="24"/>
          <w:szCs w:val="24"/>
        </w:rPr>
        <w:t>Q.</w:t>
      </w:r>
      <w:r w:rsidRPr="009F25C0">
        <w:rPr>
          <w:b/>
          <w:bCs/>
          <w:sz w:val="24"/>
          <w:szCs w:val="24"/>
        </w:rPr>
        <w:tab/>
        <w:t xml:space="preserve">Why would it be problematic to allow </w:t>
      </w:r>
      <w:r w:rsidR="00B0012C" w:rsidRPr="00050946">
        <w:rPr>
          <w:b/>
          <w:bCs/>
          <w:sz w:val="24"/>
          <w:szCs w:val="24"/>
        </w:rPr>
        <w:t>Columbia</w:t>
      </w:r>
      <w:r w:rsidRPr="00050946">
        <w:rPr>
          <w:b/>
          <w:bCs/>
          <w:sz w:val="24"/>
          <w:szCs w:val="24"/>
        </w:rPr>
        <w:t xml:space="preserve"> to</w:t>
      </w:r>
      <w:r w:rsidRPr="009F25C0">
        <w:rPr>
          <w:b/>
          <w:bCs/>
          <w:sz w:val="24"/>
          <w:szCs w:val="24"/>
        </w:rPr>
        <w:t xml:space="preserve"> market to</w:t>
      </w:r>
      <w:r>
        <w:rPr>
          <w:b/>
          <w:bCs/>
          <w:sz w:val="24"/>
          <w:szCs w:val="24"/>
        </w:rPr>
        <w:t xml:space="preserve"> </w:t>
      </w:r>
      <w:r w:rsidRPr="009F25C0">
        <w:rPr>
          <w:b/>
          <w:bCs/>
          <w:sz w:val="24"/>
          <w:szCs w:val="24"/>
        </w:rPr>
        <w:t>customers?</w:t>
      </w:r>
    </w:p>
    <w:p w14:paraId="23C3D4BE" w14:textId="7A854E6C" w:rsidR="00F32608" w:rsidRPr="009F25C0" w:rsidRDefault="00F32608" w:rsidP="009F33C9">
      <w:pPr>
        <w:spacing w:line="480" w:lineRule="auto"/>
        <w:ind w:left="720" w:hanging="720"/>
        <w:jc w:val="both"/>
        <w:rPr>
          <w:sz w:val="24"/>
          <w:szCs w:val="24"/>
        </w:rPr>
      </w:pPr>
      <w:r w:rsidRPr="009F25C0">
        <w:rPr>
          <w:sz w:val="24"/>
          <w:szCs w:val="24"/>
        </w:rPr>
        <w:t>A.</w:t>
      </w:r>
      <w:r w:rsidRPr="009F25C0">
        <w:rPr>
          <w:sz w:val="24"/>
          <w:szCs w:val="24"/>
        </w:rPr>
        <w:tab/>
      </w:r>
      <w:r>
        <w:rPr>
          <w:sz w:val="24"/>
          <w:szCs w:val="24"/>
        </w:rPr>
        <w:t>Columbia</w:t>
      </w:r>
      <w:r w:rsidRPr="009F25C0">
        <w:rPr>
          <w:sz w:val="24"/>
          <w:szCs w:val="24"/>
        </w:rPr>
        <w:t xml:space="preserve"> is a monopoly service provider in the </w:t>
      </w:r>
      <w:r w:rsidR="00C76FA0">
        <w:rPr>
          <w:sz w:val="24"/>
          <w:szCs w:val="24"/>
        </w:rPr>
        <w:t xml:space="preserve">business of the </w:t>
      </w:r>
      <w:r w:rsidRPr="009F25C0">
        <w:rPr>
          <w:sz w:val="24"/>
          <w:szCs w:val="24"/>
        </w:rPr>
        <w:t xml:space="preserve">distribution of natural gas and all natural gas distribution companies start out with all the customers and the exclusive means to leverage that relationship via the bill and bill inserts, etc.  Suppliers begin with no customers and must devote significant effort to winning customers away from default service and enroll them.  The same is true for products such as the </w:t>
      </w:r>
      <w:r>
        <w:rPr>
          <w:sz w:val="24"/>
          <w:szCs w:val="24"/>
        </w:rPr>
        <w:t>carbon offset</w:t>
      </w:r>
      <w:r w:rsidRPr="009F25C0">
        <w:rPr>
          <w:sz w:val="24"/>
          <w:szCs w:val="24"/>
        </w:rPr>
        <w:t xml:space="preserve"> offering here, to a certain extent, because the utility has the monthly bill as a means of communication that every customer will open every month.  No supplier has that advantage, and </w:t>
      </w:r>
      <w:r w:rsidR="00C76FA0">
        <w:rPr>
          <w:sz w:val="24"/>
          <w:szCs w:val="24"/>
        </w:rPr>
        <w:t xml:space="preserve">it </w:t>
      </w:r>
      <w:r w:rsidR="00C76FA0" w:rsidRPr="009F25C0">
        <w:rPr>
          <w:sz w:val="24"/>
          <w:szCs w:val="24"/>
        </w:rPr>
        <w:t xml:space="preserve">is inherently unfair and anti-competitive </w:t>
      </w:r>
      <w:r w:rsidRPr="009F25C0">
        <w:rPr>
          <w:sz w:val="24"/>
          <w:szCs w:val="24"/>
        </w:rPr>
        <w:t xml:space="preserve">for </w:t>
      </w:r>
      <w:r>
        <w:rPr>
          <w:sz w:val="24"/>
          <w:szCs w:val="24"/>
        </w:rPr>
        <w:t>Columbia</w:t>
      </w:r>
      <w:r w:rsidRPr="009F25C0">
        <w:rPr>
          <w:sz w:val="24"/>
          <w:szCs w:val="24"/>
        </w:rPr>
        <w:t xml:space="preserve"> or any distribution company to use that advantage to capture market share </w:t>
      </w:r>
      <w:r w:rsidR="0085169C">
        <w:rPr>
          <w:sz w:val="24"/>
          <w:szCs w:val="24"/>
        </w:rPr>
        <w:t xml:space="preserve">discriminates against other </w:t>
      </w:r>
      <w:r w:rsidR="00620078">
        <w:rPr>
          <w:sz w:val="24"/>
          <w:szCs w:val="24"/>
        </w:rPr>
        <w:lastRenderedPageBreak/>
        <w:t>participants</w:t>
      </w:r>
      <w:r w:rsidR="00551FE9">
        <w:rPr>
          <w:sz w:val="24"/>
          <w:szCs w:val="24"/>
        </w:rPr>
        <w:t xml:space="preserve"> in the market</w:t>
      </w:r>
      <w:r w:rsidRPr="009F25C0">
        <w:rPr>
          <w:sz w:val="24"/>
          <w:szCs w:val="24"/>
        </w:rPr>
        <w:t>.</w:t>
      </w:r>
      <w:r w:rsidR="00551FE9">
        <w:rPr>
          <w:sz w:val="24"/>
          <w:szCs w:val="24"/>
        </w:rPr>
        <w:t xml:space="preserve"> Indeed, the Ohio legislature has recognized the inherent harm</w:t>
      </w:r>
      <w:r w:rsidR="00620078">
        <w:rPr>
          <w:sz w:val="24"/>
          <w:szCs w:val="24"/>
        </w:rPr>
        <w:t xml:space="preserve"> of a utility monopoly from </w:t>
      </w:r>
      <w:r w:rsidR="00F5343A">
        <w:rPr>
          <w:sz w:val="24"/>
          <w:szCs w:val="24"/>
        </w:rPr>
        <w:t>participating in competitive offerings and ha</w:t>
      </w:r>
      <w:r w:rsidR="00FA698B">
        <w:rPr>
          <w:sz w:val="24"/>
          <w:szCs w:val="24"/>
        </w:rPr>
        <w:t>s prohibited such offering in statute.</w:t>
      </w:r>
      <w:r w:rsidR="00E60B00">
        <w:rPr>
          <w:rStyle w:val="FootnoteReference"/>
          <w:szCs w:val="24"/>
        </w:rPr>
        <w:footnoteReference w:id="5"/>
      </w:r>
    </w:p>
    <w:p w14:paraId="447D7F9C" w14:textId="7711E432" w:rsidR="00F32608" w:rsidRPr="00ED4839" w:rsidRDefault="00F32608" w:rsidP="009F33C9">
      <w:pPr>
        <w:spacing w:line="480" w:lineRule="auto"/>
        <w:jc w:val="both"/>
        <w:rPr>
          <w:sz w:val="24"/>
          <w:szCs w:val="24"/>
        </w:rPr>
      </w:pPr>
      <w:r w:rsidRPr="00ED4839">
        <w:rPr>
          <w:sz w:val="24"/>
          <w:szCs w:val="24"/>
        </w:rPr>
        <w:t xml:space="preserve">Q:  </w:t>
      </w:r>
      <w:r w:rsidR="00FF58B2">
        <w:rPr>
          <w:sz w:val="24"/>
          <w:szCs w:val="24"/>
        </w:rPr>
        <w:tab/>
      </w:r>
      <w:r w:rsidRPr="00ED4839">
        <w:rPr>
          <w:b/>
          <w:bCs/>
          <w:sz w:val="24"/>
          <w:szCs w:val="24"/>
        </w:rPr>
        <w:t>Does the Staff Report address the Carbon Reduction Rider?</w:t>
      </w:r>
    </w:p>
    <w:p w14:paraId="78BFDFF6" w14:textId="29A9A06C" w:rsidR="00C27258" w:rsidRPr="00ED4839" w:rsidRDefault="00F32608" w:rsidP="009F33C9">
      <w:pPr>
        <w:spacing w:line="480" w:lineRule="auto"/>
        <w:ind w:left="720" w:hanging="720"/>
        <w:jc w:val="both"/>
        <w:rPr>
          <w:sz w:val="24"/>
          <w:szCs w:val="24"/>
        </w:rPr>
      </w:pPr>
      <w:r w:rsidRPr="00ED4839">
        <w:rPr>
          <w:sz w:val="24"/>
          <w:szCs w:val="24"/>
        </w:rPr>
        <w:t xml:space="preserve">A: </w:t>
      </w:r>
      <w:r w:rsidR="00FF58B2">
        <w:rPr>
          <w:sz w:val="24"/>
          <w:szCs w:val="24"/>
        </w:rPr>
        <w:tab/>
      </w:r>
      <w:r w:rsidR="0018655C">
        <w:rPr>
          <w:sz w:val="24"/>
          <w:szCs w:val="24"/>
        </w:rPr>
        <w:t xml:space="preserve">Yes. The Staff </w:t>
      </w:r>
      <w:r w:rsidR="00C76FA0">
        <w:rPr>
          <w:sz w:val="24"/>
          <w:szCs w:val="24"/>
        </w:rPr>
        <w:t>R</w:t>
      </w:r>
      <w:r w:rsidR="0018655C">
        <w:rPr>
          <w:sz w:val="24"/>
          <w:szCs w:val="24"/>
        </w:rPr>
        <w:t xml:space="preserve">eport recommended denial of Columbia Gas’ rider proposal. </w:t>
      </w:r>
      <w:r w:rsidRPr="00ED4839">
        <w:rPr>
          <w:sz w:val="24"/>
          <w:szCs w:val="24"/>
        </w:rPr>
        <w:t xml:space="preserve"> Staff correctly recommends that default risk should fall on Columbia or its vendor.</w:t>
      </w:r>
      <w:r w:rsidR="002D1F90" w:rsidRPr="00ED665C">
        <w:rPr>
          <w:rStyle w:val="FootnoteReference"/>
          <w:szCs w:val="24"/>
        </w:rPr>
        <w:footnoteReference w:id="6"/>
      </w:r>
      <w:r w:rsidR="00C27258" w:rsidRPr="00C27258">
        <w:rPr>
          <w:sz w:val="24"/>
          <w:szCs w:val="24"/>
        </w:rPr>
        <w:t xml:space="preserve"> </w:t>
      </w:r>
      <w:r w:rsidR="007A3172">
        <w:rPr>
          <w:sz w:val="24"/>
          <w:szCs w:val="24"/>
        </w:rPr>
        <w:t>However,</w:t>
      </w:r>
      <w:r w:rsidR="00C27258">
        <w:rPr>
          <w:sz w:val="24"/>
          <w:szCs w:val="24"/>
        </w:rPr>
        <w:t xml:space="preserve"> t</w:t>
      </w:r>
      <w:r w:rsidR="00C27258" w:rsidRPr="00ED665C">
        <w:rPr>
          <w:sz w:val="24"/>
          <w:szCs w:val="24"/>
        </w:rPr>
        <w:t xml:space="preserve">he Staff Report </w:t>
      </w:r>
      <w:r w:rsidR="001A4FEC">
        <w:rPr>
          <w:sz w:val="24"/>
          <w:szCs w:val="24"/>
        </w:rPr>
        <w:t>wrongly</w:t>
      </w:r>
      <w:r w:rsidR="00C27258">
        <w:rPr>
          <w:sz w:val="24"/>
          <w:szCs w:val="24"/>
        </w:rPr>
        <w:t xml:space="preserve"> </w:t>
      </w:r>
      <w:r w:rsidR="00C27258" w:rsidRPr="00ED665C">
        <w:rPr>
          <w:sz w:val="24"/>
          <w:szCs w:val="24"/>
        </w:rPr>
        <w:t xml:space="preserve">recommended that </w:t>
      </w:r>
      <w:r w:rsidR="00243096" w:rsidRPr="00ED665C">
        <w:rPr>
          <w:sz w:val="24"/>
          <w:szCs w:val="24"/>
        </w:rPr>
        <w:t>Columbia</w:t>
      </w:r>
      <w:r w:rsidR="00C27258" w:rsidRPr="00ED665C">
        <w:rPr>
          <w:sz w:val="24"/>
          <w:szCs w:val="24"/>
        </w:rPr>
        <w:t xml:space="preserve"> implement the program as a nonregulated service under the existing “OPTIONAL SERVICES” tariff.</w:t>
      </w:r>
      <w:r w:rsidR="003D5291">
        <w:rPr>
          <w:rStyle w:val="FootnoteReference"/>
          <w:szCs w:val="24"/>
        </w:rPr>
        <w:footnoteReference w:id="7"/>
      </w:r>
      <w:r w:rsidR="00C27258" w:rsidRPr="00ED665C">
        <w:rPr>
          <w:sz w:val="24"/>
          <w:szCs w:val="24"/>
        </w:rPr>
        <w:t xml:space="preserve"> </w:t>
      </w:r>
    </w:p>
    <w:p w14:paraId="08702266" w14:textId="2C0B8FFC" w:rsidR="00F32608" w:rsidRPr="00ED4839" w:rsidRDefault="00F32608" w:rsidP="009F33C9">
      <w:pPr>
        <w:spacing w:line="480" w:lineRule="auto"/>
        <w:jc w:val="both"/>
        <w:rPr>
          <w:b/>
          <w:bCs/>
          <w:sz w:val="24"/>
          <w:szCs w:val="24"/>
        </w:rPr>
      </w:pPr>
      <w:r w:rsidRPr="00ED4839">
        <w:rPr>
          <w:b/>
          <w:bCs/>
          <w:sz w:val="24"/>
          <w:szCs w:val="24"/>
        </w:rPr>
        <w:t xml:space="preserve">Q. </w:t>
      </w:r>
      <w:r w:rsidR="00FD77C9">
        <w:rPr>
          <w:b/>
          <w:bCs/>
          <w:sz w:val="24"/>
          <w:szCs w:val="24"/>
        </w:rPr>
        <w:tab/>
      </w:r>
      <w:r w:rsidRPr="00ED4839">
        <w:rPr>
          <w:b/>
          <w:bCs/>
          <w:sz w:val="24"/>
          <w:szCs w:val="24"/>
        </w:rPr>
        <w:t>Do you have any concerns with Staff’s discussion of the Carbon Reduction Rider?</w:t>
      </w:r>
    </w:p>
    <w:p w14:paraId="16C386CA" w14:textId="022092EA" w:rsidR="002F051B" w:rsidRPr="000A0A4F" w:rsidRDefault="00F32608" w:rsidP="000A0A4F">
      <w:pPr>
        <w:spacing w:line="480" w:lineRule="auto"/>
        <w:ind w:left="720" w:hanging="720"/>
        <w:jc w:val="both"/>
        <w:rPr>
          <w:bCs/>
          <w:sz w:val="24"/>
          <w:szCs w:val="24"/>
        </w:rPr>
      </w:pPr>
      <w:r>
        <w:rPr>
          <w:sz w:val="24"/>
          <w:szCs w:val="24"/>
        </w:rPr>
        <w:t xml:space="preserve">A: </w:t>
      </w:r>
      <w:r>
        <w:tab/>
      </w:r>
      <w:r w:rsidR="002F051B" w:rsidRPr="00125006">
        <w:rPr>
          <w:sz w:val="24"/>
          <w:szCs w:val="24"/>
        </w:rPr>
        <w:t xml:space="preserve">Yes, the </w:t>
      </w:r>
      <w:r w:rsidRPr="00125006">
        <w:rPr>
          <w:sz w:val="24"/>
          <w:szCs w:val="24"/>
        </w:rPr>
        <w:t xml:space="preserve">Staff </w:t>
      </w:r>
      <w:r w:rsidR="00C76FA0">
        <w:rPr>
          <w:sz w:val="24"/>
          <w:szCs w:val="24"/>
        </w:rPr>
        <w:t>R</w:t>
      </w:r>
      <w:r w:rsidRPr="00125006">
        <w:rPr>
          <w:sz w:val="24"/>
          <w:szCs w:val="24"/>
        </w:rPr>
        <w:t>eport</w:t>
      </w:r>
      <w:r w:rsidR="0018655C" w:rsidRPr="00125006">
        <w:rPr>
          <w:sz w:val="24"/>
          <w:szCs w:val="24"/>
        </w:rPr>
        <w:t xml:space="preserve"> </w:t>
      </w:r>
      <w:r w:rsidR="0018655C" w:rsidRPr="00125006">
        <w:rPr>
          <w:bCs/>
          <w:sz w:val="24"/>
          <w:szCs w:val="24"/>
        </w:rPr>
        <w:t xml:space="preserve">relabeling the program as an optional non-jurisdictional service does not remedy the structural problems associated with it.  First, it is not a non-jurisdictional service. The purpose of the rider is to offer customers an opportunity to reduce the greenhouse gas emissions associated with their natural gas usage.  </w:t>
      </w:r>
      <w:r w:rsidR="00F41445" w:rsidRPr="00125006">
        <w:rPr>
          <w:sz w:val="24"/>
          <w:szCs w:val="24"/>
        </w:rPr>
        <w:t xml:space="preserve">Just like renewable energy credits </w:t>
      </w:r>
      <w:r w:rsidR="00AD5776">
        <w:rPr>
          <w:sz w:val="24"/>
          <w:szCs w:val="24"/>
        </w:rPr>
        <w:t xml:space="preserve">are a </w:t>
      </w:r>
      <w:r w:rsidR="00ED075E">
        <w:rPr>
          <w:sz w:val="24"/>
          <w:szCs w:val="24"/>
        </w:rPr>
        <w:t xml:space="preserve">part of </w:t>
      </w:r>
      <w:r w:rsidR="002420EE" w:rsidRPr="00125006">
        <w:rPr>
          <w:sz w:val="24"/>
          <w:szCs w:val="24"/>
        </w:rPr>
        <w:t>competitive</w:t>
      </w:r>
      <w:r w:rsidR="00F41445" w:rsidRPr="00125006">
        <w:rPr>
          <w:sz w:val="24"/>
          <w:szCs w:val="24"/>
        </w:rPr>
        <w:t xml:space="preserve"> retail electric service, carbon offsets are inextricably entwined with </w:t>
      </w:r>
      <w:r w:rsidR="002420EE">
        <w:rPr>
          <w:sz w:val="24"/>
          <w:szCs w:val="24"/>
        </w:rPr>
        <w:t xml:space="preserve">competitive retail natural gas service. </w:t>
      </w:r>
      <w:r w:rsidR="002D1F90">
        <w:rPr>
          <w:bCs/>
          <w:sz w:val="24"/>
          <w:szCs w:val="24"/>
        </w:rPr>
        <w:t>A</w:t>
      </w:r>
      <w:r w:rsidR="00F41445" w:rsidRPr="00125006">
        <w:rPr>
          <w:bCs/>
          <w:sz w:val="24"/>
          <w:szCs w:val="24"/>
        </w:rPr>
        <w:t>s</w:t>
      </w:r>
      <w:r w:rsidR="0018655C" w:rsidRPr="00125006">
        <w:rPr>
          <w:bCs/>
          <w:sz w:val="24"/>
          <w:szCs w:val="24"/>
        </w:rPr>
        <w:t xml:space="preserve"> a result, </w:t>
      </w:r>
      <w:r w:rsidR="00C33604">
        <w:rPr>
          <w:bCs/>
          <w:sz w:val="24"/>
          <w:szCs w:val="24"/>
        </w:rPr>
        <w:t>authorization</w:t>
      </w:r>
      <w:r w:rsidR="002D1F90">
        <w:rPr>
          <w:bCs/>
          <w:sz w:val="24"/>
          <w:szCs w:val="24"/>
        </w:rPr>
        <w:t xml:space="preserve"> of the rider</w:t>
      </w:r>
      <w:r w:rsidR="0018655C" w:rsidRPr="00125006">
        <w:rPr>
          <w:bCs/>
          <w:sz w:val="24"/>
          <w:szCs w:val="24"/>
        </w:rPr>
        <w:t xml:space="preserve"> </w:t>
      </w:r>
      <w:r w:rsidR="002D1F90">
        <w:rPr>
          <w:bCs/>
          <w:sz w:val="24"/>
          <w:szCs w:val="24"/>
        </w:rPr>
        <w:t>would allow Columbia to reenter</w:t>
      </w:r>
      <w:r w:rsidR="0018655C" w:rsidRPr="00125006">
        <w:rPr>
          <w:bCs/>
          <w:sz w:val="24"/>
          <w:szCs w:val="24"/>
        </w:rPr>
        <w:t xml:space="preserve"> into competitive retail natural gas service</w:t>
      </w:r>
      <w:r w:rsidR="00C12078">
        <w:rPr>
          <w:bCs/>
          <w:sz w:val="24"/>
          <w:szCs w:val="24"/>
        </w:rPr>
        <w:t>, which they have already exited under Ohio statute</w:t>
      </w:r>
      <w:r w:rsidR="0044230E">
        <w:rPr>
          <w:bCs/>
          <w:sz w:val="24"/>
          <w:szCs w:val="24"/>
        </w:rPr>
        <w:t xml:space="preserve">, which also prohibits them from re-entering into the market for the sale of natural </w:t>
      </w:r>
      <w:r w:rsidR="00C33604">
        <w:rPr>
          <w:bCs/>
          <w:sz w:val="24"/>
          <w:szCs w:val="24"/>
        </w:rPr>
        <w:t>gas.</w:t>
      </w:r>
      <w:r w:rsidR="0018655C" w:rsidRPr="00125006">
        <w:rPr>
          <w:bCs/>
          <w:sz w:val="24"/>
          <w:szCs w:val="24"/>
        </w:rPr>
        <w:t xml:space="preserve">  </w:t>
      </w:r>
      <w:r w:rsidR="00AB24FF">
        <w:rPr>
          <w:bCs/>
          <w:sz w:val="24"/>
          <w:szCs w:val="24"/>
        </w:rPr>
        <w:t xml:space="preserve">Second, </w:t>
      </w:r>
      <w:r w:rsidR="00D81841" w:rsidRPr="00D81841">
        <w:rPr>
          <w:bCs/>
          <w:sz w:val="24"/>
          <w:szCs w:val="24"/>
        </w:rPr>
        <w:t xml:space="preserve">there are process issues with the rider as well because </w:t>
      </w:r>
      <w:r w:rsidR="00D5242E">
        <w:rPr>
          <w:bCs/>
          <w:sz w:val="24"/>
          <w:szCs w:val="24"/>
        </w:rPr>
        <w:t xml:space="preserve">it discriminates against other competitive carbon neutral products </w:t>
      </w:r>
      <w:r w:rsidR="00D5242E">
        <w:rPr>
          <w:bCs/>
          <w:sz w:val="24"/>
          <w:szCs w:val="24"/>
        </w:rPr>
        <w:lastRenderedPageBreak/>
        <w:t>in the market.</w:t>
      </w:r>
      <w:r w:rsidR="00D81841" w:rsidRPr="00D81841">
        <w:rPr>
          <w:bCs/>
          <w:sz w:val="24"/>
          <w:szCs w:val="24"/>
        </w:rPr>
        <w:t xml:space="preserve"> </w:t>
      </w:r>
      <w:r w:rsidR="00D5242E">
        <w:rPr>
          <w:bCs/>
          <w:sz w:val="24"/>
          <w:szCs w:val="24"/>
        </w:rPr>
        <w:t>T</w:t>
      </w:r>
      <w:r w:rsidR="00D81841" w:rsidRPr="00D81841">
        <w:rPr>
          <w:bCs/>
          <w:sz w:val="24"/>
          <w:szCs w:val="24"/>
        </w:rPr>
        <w:t>he third-party vendor is selected by Columbia without competitive bidding and receives the benefits of both Columbia and Commission endorsement.</w:t>
      </w:r>
      <w:r w:rsidR="00D81841" w:rsidRPr="00C33604">
        <w:rPr>
          <w:sz w:val="24"/>
        </w:rPr>
        <w:t xml:space="preserve"> </w:t>
      </w:r>
      <w:r w:rsidR="00691DC5">
        <w:rPr>
          <w:bCs/>
          <w:sz w:val="24"/>
          <w:szCs w:val="24"/>
        </w:rPr>
        <w:t>This is contrary to Columbia’s tariffs and Ohio law which prohibits it from favoring one competitive entity in the marketplace over another.</w:t>
      </w:r>
      <w:r w:rsidR="00D81841">
        <w:rPr>
          <w:bCs/>
        </w:rPr>
        <w:t xml:space="preserve">  </w:t>
      </w:r>
      <w:r w:rsidR="0018655C">
        <w:rPr>
          <w:bCs/>
        </w:rPr>
        <w:t xml:space="preserve"> </w:t>
      </w:r>
    </w:p>
    <w:p w14:paraId="606BE4F6" w14:textId="56A8EF08" w:rsidR="009A59A5" w:rsidRDefault="00F32608" w:rsidP="009F33C9">
      <w:pPr>
        <w:jc w:val="both"/>
        <w:rPr>
          <w:b/>
          <w:bCs/>
          <w:sz w:val="24"/>
          <w:szCs w:val="24"/>
        </w:rPr>
      </w:pPr>
      <w:r w:rsidRPr="00ED4839">
        <w:rPr>
          <w:b/>
          <w:bCs/>
          <w:sz w:val="24"/>
          <w:szCs w:val="24"/>
        </w:rPr>
        <w:t xml:space="preserve">Q. </w:t>
      </w:r>
      <w:r w:rsidR="009F33C9">
        <w:rPr>
          <w:b/>
          <w:bCs/>
          <w:sz w:val="24"/>
          <w:szCs w:val="24"/>
        </w:rPr>
        <w:tab/>
      </w:r>
      <w:r w:rsidRPr="00ED4839">
        <w:rPr>
          <w:b/>
          <w:bCs/>
          <w:sz w:val="24"/>
          <w:szCs w:val="24"/>
        </w:rPr>
        <w:t>What do you recommend</w:t>
      </w:r>
      <w:r>
        <w:rPr>
          <w:b/>
          <w:bCs/>
          <w:sz w:val="24"/>
          <w:szCs w:val="24"/>
        </w:rPr>
        <w:t xml:space="preserve">? </w:t>
      </w:r>
    </w:p>
    <w:p w14:paraId="58B97AFF" w14:textId="77777777" w:rsidR="009A59A5" w:rsidRDefault="009A59A5" w:rsidP="009F33C9">
      <w:pPr>
        <w:jc w:val="both"/>
        <w:rPr>
          <w:b/>
          <w:bCs/>
          <w:sz w:val="24"/>
          <w:szCs w:val="24"/>
        </w:rPr>
      </w:pPr>
    </w:p>
    <w:p w14:paraId="7EF447C0" w14:textId="7D72AC52" w:rsidR="00957843" w:rsidRPr="000A0A4F" w:rsidRDefault="009A59A5" w:rsidP="000A0A4F">
      <w:pPr>
        <w:spacing w:line="480" w:lineRule="auto"/>
        <w:ind w:left="720" w:hanging="720"/>
        <w:jc w:val="both"/>
        <w:rPr>
          <w:b/>
          <w:sz w:val="24"/>
          <w:szCs w:val="24"/>
        </w:rPr>
      </w:pPr>
      <w:r>
        <w:rPr>
          <w:b/>
          <w:bCs/>
          <w:sz w:val="24"/>
          <w:szCs w:val="24"/>
        </w:rPr>
        <w:t xml:space="preserve">A. </w:t>
      </w:r>
      <w:r>
        <w:rPr>
          <w:b/>
          <w:bCs/>
          <w:sz w:val="24"/>
          <w:szCs w:val="24"/>
        </w:rPr>
        <w:tab/>
      </w:r>
      <w:r w:rsidR="00543609" w:rsidRPr="009A59A5">
        <w:rPr>
          <w:sz w:val="24"/>
          <w:szCs w:val="24"/>
        </w:rPr>
        <w:t xml:space="preserve">I </w:t>
      </w:r>
      <w:r w:rsidRPr="009A59A5">
        <w:rPr>
          <w:sz w:val="24"/>
          <w:szCs w:val="24"/>
        </w:rPr>
        <w:t>recommend</w:t>
      </w:r>
      <w:r w:rsidR="00543609" w:rsidRPr="009A59A5">
        <w:rPr>
          <w:sz w:val="24"/>
          <w:szCs w:val="24"/>
        </w:rPr>
        <w:t xml:space="preserve"> </w:t>
      </w:r>
      <w:r w:rsidRPr="009A59A5">
        <w:rPr>
          <w:sz w:val="24"/>
          <w:szCs w:val="24"/>
        </w:rPr>
        <w:t>that the Commission reject Columbia’s Carbon Reduction Rider. However, if</w:t>
      </w:r>
      <w:r w:rsidR="00DF2F75" w:rsidRPr="009A59A5">
        <w:rPr>
          <w:sz w:val="24"/>
          <w:szCs w:val="24"/>
        </w:rPr>
        <w:t xml:space="preserve"> the Commission decides to approve a carbon reduction program for Columbia, the program should limit Columbia’s participation so that it is not a market participant, directly or by implication.  Columbia’s role should be limited to educating customers of the </w:t>
      </w:r>
      <w:r w:rsidR="00D922F3">
        <w:rPr>
          <w:sz w:val="24"/>
          <w:szCs w:val="24"/>
        </w:rPr>
        <w:t>availability of carbon</w:t>
      </w:r>
      <w:r w:rsidR="00DF2F75" w:rsidRPr="009A59A5">
        <w:rPr>
          <w:sz w:val="24"/>
          <w:szCs w:val="24"/>
        </w:rPr>
        <w:t xml:space="preserve"> product</w:t>
      </w:r>
      <w:r w:rsidR="004F5D73">
        <w:rPr>
          <w:sz w:val="24"/>
          <w:szCs w:val="24"/>
        </w:rPr>
        <w:t xml:space="preserve"> offered in the competitive market</w:t>
      </w:r>
      <w:r w:rsidR="004F3E8D">
        <w:rPr>
          <w:sz w:val="24"/>
          <w:szCs w:val="24"/>
        </w:rPr>
        <w:t xml:space="preserve"> and</w:t>
      </w:r>
      <w:r w:rsidR="00DF2F75" w:rsidRPr="009A59A5">
        <w:rPr>
          <w:sz w:val="24"/>
          <w:szCs w:val="24"/>
        </w:rPr>
        <w:t xml:space="preserve"> administering supplier eligibility</w:t>
      </w:r>
      <w:r w:rsidR="004F3E8D">
        <w:rPr>
          <w:sz w:val="24"/>
          <w:szCs w:val="24"/>
        </w:rPr>
        <w:t>.</w:t>
      </w:r>
      <w:r w:rsidR="00DF2F75">
        <w:tab/>
      </w:r>
      <w:r w:rsidR="00DF2F75" w:rsidRPr="005A6E15">
        <w:t xml:space="preserve"> </w:t>
      </w:r>
    </w:p>
    <w:p w14:paraId="118F87F3" w14:textId="5FF00DFA" w:rsidR="00F32608" w:rsidRPr="00E23302" w:rsidRDefault="00F32608" w:rsidP="009F33C9">
      <w:pPr>
        <w:pStyle w:val="ListParagraph"/>
        <w:numPr>
          <w:ilvl w:val="0"/>
          <w:numId w:val="25"/>
        </w:numPr>
        <w:jc w:val="both"/>
        <w:textAlignment w:val="baseline"/>
        <w:rPr>
          <w:b/>
          <w:bCs/>
          <w:caps/>
          <w:sz w:val="24"/>
          <w:szCs w:val="24"/>
        </w:rPr>
      </w:pPr>
      <w:r w:rsidRPr="00E23302">
        <w:rPr>
          <w:b/>
          <w:bCs/>
          <w:caps/>
          <w:sz w:val="24"/>
          <w:szCs w:val="24"/>
          <w:u w:val="single"/>
        </w:rPr>
        <w:t>PUCO AND OCC ASSESSMENTS</w:t>
      </w:r>
      <w:r w:rsidRPr="00E23302">
        <w:rPr>
          <w:b/>
          <w:bCs/>
          <w:caps/>
          <w:sz w:val="24"/>
          <w:szCs w:val="24"/>
        </w:rPr>
        <w:t> </w:t>
      </w:r>
    </w:p>
    <w:p w14:paraId="4A5F277B" w14:textId="77777777" w:rsidR="00F32608" w:rsidRDefault="00F32608" w:rsidP="009F33C9">
      <w:pPr>
        <w:jc w:val="both"/>
        <w:textAlignment w:val="baseline"/>
        <w:rPr>
          <w:b/>
          <w:bCs/>
          <w:caps/>
          <w:sz w:val="24"/>
          <w:szCs w:val="24"/>
        </w:rPr>
      </w:pPr>
    </w:p>
    <w:p w14:paraId="3F7A67FC" w14:textId="77777777" w:rsidR="00F32608" w:rsidRPr="00527830" w:rsidRDefault="00F32608" w:rsidP="009F33C9">
      <w:pPr>
        <w:jc w:val="both"/>
        <w:textAlignment w:val="baseline"/>
        <w:rPr>
          <w:rFonts w:ascii="Segoe UI" w:hAnsi="Segoe UI" w:cs="Segoe UI"/>
          <w:b/>
          <w:bCs/>
          <w:caps/>
          <w:sz w:val="18"/>
          <w:szCs w:val="18"/>
        </w:rPr>
      </w:pPr>
    </w:p>
    <w:p w14:paraId="1DF4074F" w14:textId="6E453C70" w:rsidR="005D6D22" w:rsidRPr="00527830" w:rsidRDefault="005D6D22" w:rsidP="009F33C9">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Pr>
          <w:rFonts w:ascii="Calibri" w:hAnsi="Calibri" w:cs="Calibri"/>
          <w:sz w:val="24"/>
          <w:szCs w:val="24"/>
        </w:rPr>
        <w:tab/>
      </w:r>
      <w:r w:rsidRPr="00527830">
        <w:rPr>
          <w:b/>
          <w:bCs/>
          <w:sz w:val="24"/>
          <w:szCs w:val="24"/>
        </w:rPr>
        <w:t xml:space="preserve">What did the Staff Report recommend </w:t>
      </w:r>
      <w:r w:rsidR="00FF3F83">
        <w:rPr>
          <w:b/>
          <w:bCs/>
          <w:sz w:val="24"/>
          <w:szCs w:val="24"/>
        </w:rPr>
        <w:t>with respect to the PUCO/OCC assessment</w:t>
      </w:r>
      <w:r w:rsidRPr="00527830">
        <w:rPr>
          <w:b/>
          <w:bCs/>
          <w:sz w:val="24"/>
          <w:szCs w:val="24"/>
        </w:rPr>
        <w:t>?</w:t>
      </w:r>
      <w:r w:rsidRPr="00527830">
        <w:rPr>
          <w:sz w:val="24"/>
          <w:szCs w:val="24"/>
        </w:rPr>
        <w:t> </w:t>
      </w:r>
    </w:p>
    <w:p w14:paraId="35C9195F" w14:textId="65134FB2" w:rsidR="005D6D22" w:rsidRPr="00050946" w:rsidRDefault="005D6D22" w:rsidP="009F33C9">
      <w:pPr>
        <w:spacing w:line="480" w:lineRule="auto"/>
        <w:ind w:left="720"/>
        <w:jc w:val="both"/>
        <w:textAlignment w:val="baseline"/>
        <w:rPr>
          <w:color w:val="FF0000"/>
          <w:sz w:val="24"/>
          <w:szCs w:val="24"/>
        </w:rPr>
      </w:pPr>
      <w:r w:rsidRPr="00527830">
        <w:rPr>
          <w:sz w:val="24"/>
          <w:szCs w:val="24"/>
        </w:rPr>
        <w:t>Staff Report recommends that that the entire PUCO and OCC assessment expense be rebundled into distribution rates.</w:t>
      </w:r>
      <w:r w:rsidRPr="00F820AA">
        <w:rPr>
          <w:sz w:val="24"/>
          <w:szCs w:val="24"/>
        </w:rPr>
        <w:t xml:space="preserve"> For reasons that are unexplained, the Staff Report “finds that the total amount [of the PUCO and OCC assessments] should be recovered through base rates.”</w:t>
      </w:r>
      <w:r w:rsidRPr="00F820AA">
        <w:rPr>
          <w:rStyle w:val="FootnoteReference"/>
          <w:szCs w:val="24"/>
        </w:rPr>
        <w:footnoteReference w:id="8"/>
      </w:r>
      <w:r w:rsidRPr="00F820AA">
        <w:rPr>
          <w:rFonts w:ascii="Arial" w:hAnsi="Arial" w:cs="Arial"/>
          <w:sz w:val="24"/>
          <w:szCs w:val="24"/>
        </w:rPr>
        <w:t xml:space="preserve">  </w:t>
      </w:r>
    </w:p>
    <w:p w14:paraId="780DB680" w14:textId="77777777" w:rsidR="002A4090" w:rsidRDefault="00BD7705" w:rsidP="009F33C9">
      <w:pPr>
        <w:spacing w:line="480" w:lineRule="auto"/>
        <w:ind w:left="720" w:hanging="720"/>
        <w:jc w:val="both"/>
        <w:textAlignment w:val="baseline"/>
        <w:rPr>
          <w:sz w:val="24"/>
          <w:szCs w:val="24"/>
        </w:rPr>
      </w:pPr>
      <w:r w:rsidRPr="007521AC">
        <w:rPr>
          <w:b/>
          <w:bCs/>
          <w:sz w:val="24"/>
          <w:szCs w:val="24"/>
        </w:rPr>
        <w:t>Q.</w:t>
      </w:r>
      <w:r w:rsidRPr="007521AC">
        <w:rPr>
          <w:b/>
          <w:bCs/>
          <w:sz w:val="24"/>
          <w:szCs w:val="24"/>
        </w:rPr>
        <w:tab/>
        <w:t>Should Staff’s recommendation be adopted</w:t>
      </w:r>
      <w:r w:rsidR="001245A4" w:rsidRPr="00C33604">
        <w:rPr>
          <w:sz w:val="24"/>
          <w:szCs w:val="24"/>
        </w:rPr>
        <w:t xml:space="preserve">. </w:t>
      </w:r>
    </w:p>
    <w:p w14:paraId="3232A9DD" w14:textId="2F88A301" w:rsidR="002D5D68" w:rsidRPr="002449B3" w:rsidRDefault="002449B3" w:rsidP="002449B3">
      <w:pPr>
        <w:spacing w:line="480" w:lineRule="auto"/>
        <w:ind w:left="720"/>
        <w:jc w:val="both"/>
        <w:textAlignment w:val="baseline"/>
        <w:rPr>
          <w:sz w:val="24"/>
          <w:szCs w:val="24"/>
        </w:rPr>
      </w:pPr>
      <w:r w:rsidRPr="002449B3">
        <w:rPr>
          <w:sz w:val="24"/>
          <w:szCs w:val="24"/>
        </w:rPr>
        <w:t xml:space="preserve">No. Most importantly what Staff is proposing directly contradicts at least the spirit of Ohio law. While rebundling all of the OCC and PUCO assessment is bad policy, as I will explain further in my testimony, Ohio Revised Code Section 4905.10 directs that the PUCO and </w:t>
      </w:r>
      <w:r w:rsidRPr="002449B3">
        <w:rPr>
          <w:sz w:val="24"/>
          <w:szCs w:val="24"/>
        </w:rPr>
        <w:lastRenderedPageBreak/>
        <w:t>OCC assessment cannot be recovered from competitive suppliers until the Commission “has removed from the base rates of the natural gas company the amount of assessment …that is attributable to the value of commodity sales service… in base rates paid by those customers of the company that do not purchase that service from the natural gas company.” The intent was clearly to recover the assessments in a way that did not distort the assignment of the assessments. The statute also recognizes that assessments for gas supply should be recovered separately from those associated with distribution so that proper cost assignment is advanced. Despite this explicit language in Ohio statute that shopping customers cannot pay for the PUCO and OCC assessment attributable to default service revenue in their base rates, Staff is asking the Commission to put back in the PUCO and OCC assessment which would be paid for by SCO customers in base rates.</w:t>
      </w:r>
    </w:p>
    <w:p w14:paraId="55F40144" w14:textId="1ADDC825"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575F7D">
        <w:rPr>
          <w:rFonts w:ascii="Calibri" w:hAnsi="Calibri" w:cs="Calibri"/>
          <w:sz w:val="24"/>
          <w:szCs w:val="24"/>
        </w:rPr>
        <w:tab/>
      </w:r>
      <w:r w:rsidRPr="00527830">
        <w:rPr>
          <w:b/>
          <w:bCs/>
          <w:sz w:val="24"/>
          <w:szCs w:val="24"/>
        </w:rPr>
        <w:t xml:space="preserve">Did the Commission unbundle the </w:t>
      </w:r>
      <w:r>
        <w:rPr>
          <w:b/>
          <w:bCs/>
          <w:sz w:val="24"/>
          <w:szCs w:val="24"/>
        </w:rPr>
        <w:t>SCO Revenue</w:t>
      </w:r>
      <w:r w:rsidRPr="00527830">
        <w:rPr>
          <w:b/>
          <w:bCs/>
          <w:sz w:val="24"/>
          <w:szCs w:val="24"/>
        </w:rPr>
        <w:t xml:space="preserve"> percentage of the PUCO and OCC assessments from distribution rates in </w:t>
      </w:r>
      <w:r>
        <w:rPr>
          <w:b/>
          <w:bCs/>
          <w:sz w:val="24"/>
          <w:szCs w:val="24"/>
        </w:rPr>
        <w:t>Columbia’s</w:t>
      </w:r>
      <w:r w:rsidRPr="00527830">
        <w:rPr>
          <w:b/>
          <w:bCs/>
          <w:sz w:val="24"/>
          <w:szCs w:val="24"/>
        </w:rPr>
        <w:t xml:space="preserve"> most recent distribution rate case proceeding?</w:t>
      </w:r>
      <w:r w:rsidRPr="00527830">
        <w:rPr>
          <w:sz w:val="24"/>
          <w:szCs w:val="24"/>
        </w:rPr>
        <w:t> </w:t>
      </w:r>
    </w:p>
    <w:p w14:paraId="415BEDFE" w14:textId="5338922A" w:rsidR="00F32608" w:rsidRPr="00527830" w:rsidRDefault="00F32608" w:rsidP="002A3112">
      <w:pPr>
        <w:spacing w:line="480" w:lineRule="auto"/>
        <w:ind w:left="720" w:hanging="720"/>
        <w:jc w:val="both"/>
        <w:textAlignment w:val="baseline"/>
        <w:rPr>
          <w:rFonts w:ascii="Segoe UI" w:hAnsi="Segoe UI" w:cs="Segoe UI"/>
          <w:sz w:val="18"/>
          <w:szCs w:val="18"/>
        </w:rPr>
      </w:pPr>
      <w:r w:rsidRPr="00527830">
        <w:rPr>
          <w:sz w:val="24"/>
          <w:szCs w:val="24"/>
        </w:rPr>
        <w:t>A.</w:t>
      </w:r>
      <w:r w:rsidRPr="00527830">
        <w:rPr>
          <w:rFonts w:ascii="Calibri" w:hAnsi="Calibri" w:cs="Calibri"/>
          <w:sz w:val="24"/>
          <w:szCs w:val="24"/>
        </w:rPr>
        <w:t xml:space="preserve"> </w:t>
      </w:r>
      <w:r>
        <w:rPr>
          <w:color w:val="FF0000"/>
          <w:sz w:val="24"/>
          <w:szCs w:val="24"/>
        </w:rPr>
        <w:t xml:space="preserve"> </w:t>
      </w:r>
      <w:r w:rsidR="00577408">
        <w:rPr>
          <w:color w:val="FF0000"/>
          <w:sz w:val="24"/>
          <w:szCs w:val="24"/>
        </w:rPr>
        <w:tab/>
      </w:r>
      <w:r>
        <w:rPr>
          <w:sz w:val="24"/>
          <w:szCs w:val="24"/>
        </w:rPr>
        <w:t>Yes</w:t>
      </w:r>
      <w:r w:rsidR="00E26841">
        <w:rPr>
          <w:sz w:val="24"/>
          <w:szCs w:val="24"/>
        </w:rPr>
        <w:t>,</w:t>
      </w:r>
      <w:r>
        <w:rPr>
          <w:sz w:val="24"/>
          <w:szCs w:val="24"/>
        </w:rPr>
        <w:t xml:space="preserve"> </w:t>
      </w:r>
      <w:r w:rsidRPr="005408CD">
        <w:rPr>
          <w:sz w:val="24"/>
          <w:szCs w:val="24"/>
        </w:rPr>
        <w:t xml:space="preserve"> </w:t>
      </w:r>
      <w:r w:rsidR="00E26841">
        <w:rPr>
          <w:sz w:val="24"/>
          <w:szCs w:val="24"/>
        </w:rPr>
        <w:t>a</w:t>
      </w:r>
      <w:r w:rsidRPr="005408CD">
        <w:rPr>
          <w:sz w:val="24"/>
          <w:szCs w:val="24"/>
        </w:rPr>
        <w:t>s a result of a settlement adopted by the Commission in an application of Columbia to increase rates in 2008, Columbia has recovered a portion of the PUCO and OCC assessments assignable to default supply service through a rider applicable to only those customers that secure natural gas through Columbia’s default service.</w:t>
      </w:r>
      <w:r w:rsidRPr="005408CD">
        <w:rPr>
          <w:rStyle w:val="FootnoteReference"/>
          <w:szCs w:val="24"/>
        </w:rPr>
        <w:footnoteReference w:id="9"/>
      </w:r>
      <w:r w:rsidR="00577408">
        <w:rPr>
          <w:sz w:val="24"/>
          <w:szCs w:val="24"/>
        </w:rPr>
        <w:t xml:space="preserve">  </w:t>
      </w:r>
      <w:r w:rsidRPr="005408CD">
        <w:rPr>
          <w:sz w:val="24"/>
          <w:szCs w:val="24"/>
        </w:rPr>
        <w:t>Columbia proposed to continue the allocation methodology in its application in the current case.</w:t>
      </w:r>
      <w:r>
        <w:rPr>
          <w:rStyle w:val="FootnoteReference"/>
          <w:szCs w:val="24"/>
        </w:rPr>
        <w:footnoteReference w:id="10"/>
      </w:r>
    </w:p>
    <w:p w14:paraId="6A33FB3D" w14:textId="1FE81E42" w:rsidR="00F32608" w:rsidRPr="00527830" w:rsidRDefault="00F32608" w:rsidP="00F32608">
      <w:pPr>
        <w:spacing w:line="480" w:lineRule="auto"/>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FD77C9">
        <w:rPr>
          <w:rFonts w:ascii="Calibri" w:hAnsi="Calibri" w:cs="Calibri"/>
          <w:sz w:val="24"/>
          <w:szCs w:val="24"/>
        </w:rPr>
        <w:tab/>
      </w:r>
      <w:r w:rsidR="007B79DE">
        <w:rPr>
          <w:b/>
          <w:bCs/>
          <w:sz w:val="24"/>
          <w:szCs w:val="24"/>
        </w:rPr>
        <w:t>Would it be bad policy to adopt Staff’s recommendations</w:t>
      </w:r>
      <w:r w:rsidRPr="00527830">
        <w:rPr>
          <w:b/>
          <w:bCs/>
          <w:sz w:val="24"/>
          <w:szCs w:val="24"/>
        </w:rPr>
        <w:t>?</w:t>
      </w:r>
      <w:r w:rsidRPr="00527830">
        <w:rPr>
          <w:sz w:val="24"/>
          <w:szCs w:val="24"/>
        </w:rPr>
        <w:t> </w:t>
      </w:r>
    </w:p>
    <w:p w14:paraId="673A3ED4" w14:textId="729BE13F" w:rsidR="00F32608" w:rsidRPr="00527830" w:rsidRDefault="00F32608" w:rsidP="00F32608">
      <w:pPr>
        <w:spacing w:line="480" w:lineRule="auto"/>
        <w:ind w:left="720" w:hanging="720"/>
        <w:jc w:val="both"/>
        <w:textAlignment w:val="baseline"/>
        <w:rPr>
          <w:sz w:val="24"/>
          <w:szCs w:val="24"/>
        </w:rPr>
      </w:pPr>
      <w:r w:rsidRPr="00527830">
        <w:rPr>
          <w:sz w:val="24"/>
          <w:szCs w:val="24"/>
        </w:rPr>
        <w:lastRenderedPageBreak/>
        <w:t>A.</w:t>
      </w:r>
      <w:r w:rsidRPr="00527830">
        <w:rPr>
          <w:rFonts w:ascii="Calibri" w:hAnsi="Calibri" w:cs="Calibri"/>
          <w:sz w:val="24"/>
          <w:szCs w:val="24"/>
        </w:rPr>
        <w:t xml:space="preserve"> </w:t>
      </w:r>
      <w:r w:rsidR="00BF04DE">
        <w:rPr>
          <w:rFonts w:ascii="Calibri" w:hAnsi="Calibri" w:cs="Calibri"/>
          <w:sz w:val="24"/>
          <w:szCs w:val="24"/>
        </w:rPr>
        <w:tab/>
      </w:r>
      <w:r w:rsidR="007B79DE">
        <w:rPr>
          <w:sz w:val="24"/>
          <w:szCs w:val="24"/>
        </w:rPr>
        <w:t>Yes</w:t>
      </w:r>
      <w:r w:rsidRPr="00527830">
        <w:rPr>
          <w:sz w:val="24"/>
          <w:szCs w:val="24"/>
        </w:rPr>
        <w:t>.</w:t>
      </w:r>
      <w:r w:rsidR="007B79DE">
        <w:rPr>
          <w:sz w:val="24"/>
          <w:szCs w:val="24"/>
        </w:rPr>
        <w:t xml:space="preserve"> </w:t>
      </w:r>
      <w:r w:rsidR="00231803">
        <w:rPr>
          <w:sz w:val="24"/>
          <w:szCs w:val="24"/>
        </w:rPr>
        <w:t>I</w:t>
      </w:r>
      <w:r w:rsidR="00A3134B">
        <w:rPr>
          <w:sz w:val="24"/>
          <w:szCs w:val="24"/>
        </w:rPr>
        <w:t xml:space="preserve">n additions to my objections stated above </w:t>
      </w:r>
      <w:r w:rsidR="000100E7">
        <w:rPr>
          <w:sz w:val="24"/>
          <w:szCs w:val="24"/>
        </w:rPr>
        <w:t xml:space="preserve">it is not appropriate to make one class of customers (i.e. shopping customers) pay for the </w:t>
      </w:r>
      <w:r w:rsidR="00977DDF">
        <w:rPr>
          <w:sz w:val="24"/>
          <w:szCs w:val="24"/>
        </w:rPr>
        <w:t>costs directly attributable to another class</w:t>
      </w:r>
      <w:r w:rsidR="00C07956">
        <w:rPr>
          <w:sz w:val="24"/>
          <w:szCs w:val="24"/>
        </w:rPr>
        <w:t xml:space="preserve"> of customers (i.e. default service).</w:t>
      </w:r>
      <w:r w:rsidRPr="00527830">
        <w:rPr>
          <w:sz w:val="24"/>
          <w:szCs w:val="24"/>
        </w:rPr>
        <w:t xml:space="preserve">  </w:t>
      </w:r>
      <w:r w:rsidR="00C07956">
        <w:rPr>
          <w:sz w:val="24"/>
          <w:szCs w:val="24"/>
        </w:rPr>
        <w:t xml:space="preserve">Presumably the Ohio legislature understood this principal and that is why </w:t>
      </w:r>
      <w:r w:rsidR="002A4090">
        <w:rPr>
          <w:sz w:val="24"/>
          <w:szCs w:val="24"/>
        </w:rPr>
        <w:t>it</w:t>
      </w:r>
      <w:r w:rsidR="00C07956">
        <w:rPr>
          <w:sz w:val="24"/>
          <w:szCs w:val="24"/>
        </w:rPr>
        <w:t xml:space="preserve"> enacted legislation </w:t>
      </w:r>
      <w:r w:rsidR="00A41C02">
        <w:rPr>
          <w:sz w:val="24"/>
          <w:szCs w:val="24"/>
        </w:rPr>
        <w:t>prohibiting such a practice.</w:t>
      </w:r>
      <w:r w:rsidRPr="00527830">
        <w:rPr>
          <w:sz w:val="24"/>
          <w:szCs w:val="24"/>
        </w:rPr>
        <w:t>  </w:t>
      </w:r>
    </w:p>
    <w:p w14:paraId="40894BE4" w14:textId="650DF02E"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 xml:space="preserve">Q. </w:t>
      </w:r>
      <w:r w:rsidR="00FD77C9">
        <w:rPr>
          <w:b/>
          <w:bCs/>
          <w:sz w:val="24"/>
          <w:szCs w:val="24"/>
        </w:rPr>
        <w:tab/>
      </w:r>
      <w:r w:rsidR="007D727A">
        <w:rPr>
          <w:b/>
          <w:bCs/>
          <w:sz w:val="24"/>
          <w:szCs w:val="24"/>
        </w:rPr>
        <w:t>Is there a direct relationship between SCO sales and the amount Columbia must collect to cover the PUCO and OCC assessments</w:t>
      </w:r>
      <w:r w:rsidRPr="00527830">
        <w:rPr>
          <w:b/>
          <w:bCs/>
          <w:sz w:val="24"/>
          <w:szCs w:val="24"/>
        </w:rPr>
        <w:t>? </w:t>
      </w:r>
      <w:r w:rsidRPr="00527830">
        <w:rPr>
          <w:sz w:val="24"/>
          <w:szCs w:val="24"/>
        </w:rPr>
        <w:t> </w:t>
      </w:r>
    </w:p>
    <w:p w14:paraId="756AACDB" w14:textId="0283DC39" w:rsidR="00F32608" w:rsidRDefault="00F32608" w:rsidP="00050946">
      <w:pPr>
        <w:spacing w:line="480" w:lineRule="auto"/>
        <w:ind w:left="720" w:hanging="720"/>
        <w:jc w:val="both"/>
        <w:textAlignment w:val="baseline"/>
        <w:rPr>
          <w:rFonts w:ascii="Arial" w:hAnsi="Arial" w:cs="Arial"/>
          <w:sz w:val="24"/>
          <w:szCs w:val="24"/>
        </w:rPr>
      </w:pPr>
      <w:r w:rsidRPr="00527830">
        <w:rPr>
          <w:sz w:val="24"/>
          <w:szCs w:val="24"/>
        </w:rPr>
        <w:t xml:space="preserve">A. </w:t>
      </w:r>
      <w:r w:rsidR="00BF04DE">
        <w:rPr>
          <w:sz w:val="24"/>
          <w:szCs w:val="24"/>
        </w:rPr>
        <w:tab/>
      </w:r>
      <w:r w:rsidRPr="00527830">
        <w:rPr>
          <w:sz w:val="24"/>
          <w:szCs w:val="24"/>
        </w:rPr>
        <w:t>Yes. For example, consider two scenarios.  Under Ohio law, an entity’s PUCO and OCC assessments are determined in proportion to the entity’s intrastate gross earnings.</w:t>
      </w:r>
      <w:r w:rsidRPr="00050946">
        <w:rPr>
          <w:sz w:val="24"/>
          <w:szCs w:val="24"/>
        </w:rPr>
        <w:t xml:space="preserve"> In the first scenario,</w:t>
      </w:r>
      <w:r w:rsidR="005C324F" w:rsidRPr="00050946">
        <w:rPr>
          <w:sz w:val="24"/>
          <w:szCs w:val="24"/>
        </w:rPr>
        <w:t xml:space="preserve"> assume</w:t>
      </w:r>
      <w:r w:rsidRPr="00050946">
        <w:rPr>
          <w:sz w:val="24"/>
          <w:szCs w:val="24"/>
        </w:rPr>
        <w:t xml:space="preserve"> </w:t>
      </w:r>
      <w:r w:rsidR="005C324F" w:rsidRPr="00050946">
        <w:rPr>
          <w:sz w:val="24"/>
          <w:szCs w:val="24"/>
        </w:rPr>
        <w:t>Columbia</w:t>
      </w:r>
      <w:r w:rsidRPr="00050946">
        <w:rPr>
          <w:sz w:val="24"/>
          <w:szCs w:val="24"/>
        </w:rPr>
        <w:t xml:space="preserve"> collected a total of $600 million: $300 million for distribution and $300 million for the </w:t>
      </w:r>
      <w:r w:rsidR="00A541D4" w:rsidRPr="00050946">
        <w:rPr>
          <w:sz w:val="24"/>
          <w:szCs w:val="24"/>
        </w:rPr>
        <w:t>SCO suppliers</w:t>
      </w:r>
      <w:r w:rsidRPr="00050946">
        <w:rPr>
          <w:sz w:val="24"/>
          <w:szCs w:val="24"/>
        </w:rPr>
        <w:t xml:space="preserve">.  In the second scenario, </w:t>
      </w:r>
      <w:r w:rsidR="00A541D4" w:rsidRPr="00050946">
        <w:rPr>
          <w:sz w:val="24"/>
          <w:szCs w:val="24"/>
        </w:rPr>
        <w:t>Columbia</w:t>
      </w:r>
      <w:r w:rsidRPr="00050946">
        <w:rPr>
          <w:sz w:val="24"/>
          <w:szCs w:val="24"/>
        </w:rPr>
        <w:t xml:space="preserve"> collected a total of $300 million for distribution because all</w:t>
      </w:r>
      <w:r w:rsidR="00C33604">
        <w:rPr>
          <w:sz w:val="24"/>
          <w:szCs w:val="24"/>
        </w:rPr>
        <w:t xml:space="preserve"> </w:t>
      </w:r>
      <w:r w:rsidRPr="00050946">
        <w:rPr>
          <w:sz w:val="24"/>
          <w:szCs w:val="24"/>
        </w:rPr>
        <w:t>customers shopped for</w:t>
      </w:r>
      <w:r w:rsidR="00A541D4" w:rsidRPr="00050946">
        <w:rPr>
          <w:sz w:val="24"/>
          <w:szCs w:val="24"/>
        </w:rPr>
        <w:t xml:space="preserve"> natural gas</w:t>
      </w:r>
      <w:r w:rsidRPr="00050946">
        <w:rPr>
          <w:sz w:val="24"/>
          <w:szCs w:val="24"/>
        </w:rPr>
        <w:t xml:space="preserve">.  All else being equal, in the second scenario, </w:t>
      </w:r>
      <w:r w:rsidR="00A541D4" w:rsidRPr="00050946">
        <w:rPr>
          <w:sz w:val="24"/>
          <w:szCs w:val="24"/>
        </w:rPr>
        <w:t>Columbia’s</w:t>
      </w:r>
      <w:r w:rsidRPr="00050946">
        <w:rPr>
          <w:sz w:val="24"/>
          <w:szCs w:val="24"/>
        </w:rPr>
        <w:t xml:space="preserve"> PUCO/OCC assessment would be 50% lower due to the reduction in its intrastate revenues. Thus, there is a direct link between the company’s </w:t>
      </w:r>
      <w:r w:rsidR="0016498A">
        <w:rPr>
          <w:sz w:val="24"/>
          <w:szCs w:val="24"/>
        </w:rPr>
        <w:t>natural gas default service</w:t>
      </w:r>
      <w:r w:rsidRPr="00050946">
        <w:rPr>
          <w:sz w:val="24"/>
          <w:szCs w:val="24"/>
        </w:rPr>
        <w:t xml:space="preserve"> revenues and the amount the company is assessed.  </w:t>
      </w:r>
      <w:r w:rsidRPr="00050946">
        <w:rPr>
          <w:rFonts w:ascii="Arial" w:hAnsi="Arial" w:cs="Arial"/>
          <w:sz w:val="24"/>
          <w:szCs w:val="24"/>
        </w:rPr>
        <w:t xml:space="preserve"> </w:t>
      </w:r>
    </w:p>
    <w:p w14:paraId="63451DD7" w14:textId="3C171B55" w:rsidR="007D727A" w:rsidRPr="00C33604" w:rsidRDefault="007D727A" w:rsidP="00050946">
      <w:pPr>
        <w:spacing w:line="480" w:lineRule="auto"/>
        <w:ind w:left="720" w:hanging="720"/>
        <w:jc w:val="both"/>
        <w:textAlignment w:val="baseline"/>
        <w:rPr>
          <w:sz w:val="24"/>
        </w:rPr>
      </w:pPr>
      <w:r w:rsidRPr="00C33604">
        <w:rPr>
          <w:b/>
          <w:sz w:val="24"/>
        </w:rPr>
        <w:t>Q.</w:t>
      </w:r>
      <w:r w:rsidRPr="00C33604">
        <w:rPr>
          <w:sz w:val="24"/>
        </w:rPr>
        <w:t xml:space="preserve"> </w:t>
      </w:r>
      <w:r w:rsidR="005167C7" w:rsidRPr="00C33604">
        <w:rPr>
          <w:b/>
          <w:sz w:val="24"/>
        </w:rPr>
        <w:tab/>
      </w:r>
      <w:r w:rsidR="00A162CA" w:rsidRPr="002420EE">
        <w:rPr>
          <w:b/>
          <w:bCs/>
          <w:sz w:val="24"/>
          <w:szCs w:val="24"/>
        </w:rPr>
        <w:t>Is it harmful for</w:t>
      </w:r>
      <w:r w:rsidRPr="002420EE">
        <w:rPr>
          <w:b/>
          <w:bCs/>
          <w:sz w:val="24"/>
        </w:rPr>
        <w:t xml:space="preserve"> Columbia </w:t>
      </w:r>
      <w:r w:rsidR="008D50E1">
        <w:rPr>
          <w:b/>
          <w:bCs/>
          <w:sz w:val="24"/>
        </w:rPr>
        <w:t xml:space="preserve">to </w:t>
      </w:r>
      <w:r w:rsidRPr="002420EE">
        <w:rPr>
          <w:b/>
          <w:bCs/>
          <w:sz w:val="24"/>
        </w:rPr>
        <w:t>collect the PUCO and OCC assessments as part of the distribution rates?</w:t>
      </w:r>
    </w:p>
    <w:p w14:paraId="3F21809B" w14:textId="38D25B18" w:rsidR="007D727A" w:rsidRPr="00C33604" w:rsidRDefault="007D727A" w:rsidP="00592B11">
      <w:pPr>
        <w:spacing w:line="480" w:lineRule="auto"/>
        <w:ind w:left="720" w:hanging="720"/>
        <w:jc w:val="both"/>
        <w:textAlignment w:val="baseline"/>
        <w:rPr>
          <w:sz w:val="24"/>
          <w:szCs w:val="24"/>
        </w:rPr>
      </w:pPr>
      <w:r w:rsidRPr="00C33604">
        <w:rPr>
          <w:sz w:val="24"/>
        </w:rPr>
        <w:t>A.</w:t>
      </w:r>
      <w:r w:rsidRPr="00C33604">
        <w:rPr>
          <w:sz w:val="24"/>
        </w:rPr>
        <w:tab/>
      </w:r>
      <w:r w:rsidR="00A162CA" w:rsidRPr="00C33604">
        <w:rPr>
          <w:sz w:val="24"/>
          <w:szCs w:val="24"/>
        </w:rPr>
        <w:t xml:space="preserve">Yes. </w:t>
      </w:r>
      <w:r w:rsidR="0013135D" w:rsidRPr="00C33604">
        <w:rPr>
          <w:sz w:val="24"/>
          <w:szCs w:val="24"/>
        </w:rPr>
        <w:t>T</w:t>
      </w:r>
      <w:r w:rsidR="006D5FA7" w:rsidRPr="00C33604">
        <w:rPr>
          <w:sz w:val="24"/>
          <w:szCs w:val="24"/>
        </w:rPr>
        <w:t>he</w:t>
      </w:r>
      <w:r w:rsidR="0013135D" w:rsidRPr="00C33604">
        <w:rPr>
          <w:sz w:val="24"/>
          <w:szCs w:val="24"/>
        </w:rPr>
        <w:t xml:space="preserve"> recommendation would directly shift costs to</w:t>
      </w:r>
      <w:r w:rsidR="008E4432" w:rsidRPr="00C33604">
        <w:rPr>
          <w:sz w:val="24"/>
          <w:szCs w:val="24"/>
        </w:rPr>
        <w:t xml:space="preserve"> shopping</w:t>
      </w:r>
      <w:r w:rsidR="0013135D" w:rsidRPr="00C33604">
        <w:rPr>
          <w:sz w:val="24"/>
          <w:szCs w:val="24"/>
        </w:rPr>
        <w:t xml:space="preserve"> customers</w:t>
      </w:r>
      <w:r w:rsidR="00492FBE" w:rsidRPr="00C33604">
        <w:rPr>
          <w:sz w:val="24"/>
          <w:szCs w:val="24"/>
        </w:rPr>
        <w:t xml:space="preserve"> that are being expressly caused by customers that are on default service</w:t>
      </w:r>
      <w:r w:rsidR="00923114" w:rsidRPr="00C33604">
        <w:rPr>
          <w:sz w:val="24"/>
          <w:szCs w:val="24"/>
        </w:rPr>
        <w:t>.</w:t>
      </w:r>
      <w:r w:rsidR="006D5FA7" w:rsidRPr="00C33604">
        <w:rPr>
          <w:sz w:val="24"/>
        </w:rPr>
        <w:t xml:space="preserve"> By spreading the cost of the assessments related to the SCO to all distribution customers, the cost of the SCO</w:t>
      </w:r>
      <w:r w:rsidR="00AF1B3E" w:rsidRPr="00C33604">
        <w:rPr>
          <w:sz w:val="24"/>
          <w:szCs w:val="24"/>
        </w:rPr>
        <w:t xml:space="preserve"> </w:t>
      </w:r>
      <w:r w:rsidR="00092048" w:rsidRPr="00C33604">
        <w:rPr>
          <w:sz w:val="24"/>
          <w:szCs w:val="24"/>
        </w:rPr>
        <w:t xml:space="preserve">is </w:t>
      </w:r>
      <w:r w:rsidR="002420EE" w:rsidRPr="00C33604">
        <w:rPr>
          <w:sz w:val="24"/>
          <w:szCs w:val="24"/>
        </w:rPr>
        <w:t>reduced,</w:t>
      </w:r>
      <w:r w:rsidR="00092048" w:rsidRPr="00C33604">
        <w:rPr>
          <w:sz w:val="24"/>
          <w:szCs w:val="24"/>
        </w:rPr>
        <w:t xml:space="preserve"> </w:t>
      </w:r>
      <w:r w:rsidR="00AF1B3E" w:rsidRPr="00C33604">
        <w:rPr>
          <w:sz w:val="24"/>
          <w:szCs w:val="24"/>
        </w:rPr>
        <w:t>a</w:t>
      </w:r>
      <w:r w:rsidR="00092048" w:rsidRPr="00C33604">
        <w:rPr>
          <w:sz w:val="24"/>
          <w:szCs w:val="24"/>
        </w:rPr>
        <w:t>nd the cost of</w:t>
      </w:r>
      <w:r w:rsidR="00AF1B3E" w:rsidRPr="00C33604">
        <w:rPr>
          <w:sz w:val="24"/>
          <w:szCs w:val="24"/>
        </w:rPr>
        <w:t xml:space="preserve"> distribution rates</w:t>
      </w:r>
      <w:r w:rsidR="00092048" w:rsidRPr="00C33604">
        <w:rPr>
          <w:sz w:val="24"/>
          <w:szCs w:val="24"/>
        </w:rPr>
        <w:t xml:space="preserve"> </w:t>
      </w:r>
      <w:r w:rsidR="008D50E1">
        <w:rPr>
          <w:sz w:val="24"/>
          <w:szCs w:val="24"/>
        </w:rPr>
        <w:t>are</w:t>
      </w:r>
      <w:r w:rsidR="00092048" w:rsidRPr="00C33604">
        <w:rPr>
          <w:sz w:val="24"/>
          <w:szCs w:val="24"/>
        </w:rPr>
        <w:t xml:space="preserve"> increased</w:t>
      </w:r>
      <w:r w:rsidR="006D5FA7" w:rsidRPr="00C33604">
        <w:rPr>
          <w:sz w:val="24"/>
        </w:rPr>
        <w:t xml:space="preserve">. </w:t>
      </w:r>
      <w:r w:rsidR="005E2008" w:rsidRPr="00C33604">
        <w:rPr>
          <w:sz w:val="24"/>
        </w:rPr>
        <w:t>Mathematically, t</w:t>
      </w:r>
      <w:r w:rsidR="00C17262" w:rsidRPr="00C33604">
        <w:rPr>
          <w:sz w:val="24"/>
        </w:rPr>
        <w:t xml:space="preserve">he effect </w:t>
      </w:r>
      <w:r w:rsidR="005E2008" w:rsidRPr="00C33604">
        <w:rPr>
          <w:sz w:val="24"/>
        </w:rPr>
        <w:t>of the recommendation would be</w:t>
      </w:r>
      <w:r w:rsidR="00C17262" w:rsidRPr="00C33604">
        <w:rPr>
          <w:sz w:val="24"/>
        </w:rPr>
        <w:t xml:space="preserve"> to lower the cost of service to SCO customers</w:t>
      </w:r>
      <w:r w:rsidR="000B53E7" w:rsidRPr="00C33604">
        <w:rPr>
          <w:sz w:val="24"/>
          <w:szCs w:val="24"/>
        </w:rPr>
        <w:t xml:space="preserve"> while correspondingly increas</w:t>
      </w:r>
      <w:r w:rsidR="00CB39AA" w:rsidRPr="00C33604">
        <w:rPr>
          <w:sz w:val="24"/>
          <w:szCs w:val="24"/>
        </w:rPr>
        <w:t>ing</w:t>
      </w:r>
      <w:r w:rsidR="000B53E7" w:rsidRPr="00C33604">
        <w:rPr>
          <w:sz w:val="24"/>
          <w:szCs w:val="24"/>
        </w:rPr>
        <w:t xml:space="preserve"> the </w:t>
      </w:r>
      <w:r w:rsidR="00BF45EE" w:rsidRPr="00C33604">
        <w:rPr>
          <w:sz w:val="24"/>
          <w:szCs w:val="24"/>
        </w:rPr>
        <w:t>costs shopping customers</w:t>
      </w:r>
      <w:r w:rsidR="00966A11" w:rsidRPr="00C33604">
        <w:rPr>
          <w:sz w:val="24"/>
          <w:szCs w:val="24"/>
        </w:rPr>
        <w:t xml:space="preserve"> must pay for gas service</w:t>
      </w:r>
      <w:r w:rsidR="005E7419" w:rsidRPr="00C33604">
        <w:rPr>
          <w:sz w:val="24"/>
          <w:szCs w:val="24"/>
        </w:rPr>
        <w:t xml:space="preserve">, thus </w:t>
      </w:r>
      <w:r w:rsidR="005E7419" w:rsidRPr="00C33604">
        <w:rPr>
          <w:sz w:val="24"/>
          <w:szCs w:val="24"/>
        </w:rPr>
        <w:lastRenderedPageBreak/>
        <w:t>penalizing customers for exercising their right to shop</w:t>
      </w:r>
      <w:r w:rsidR="00966A11" w:rsidRPr="00C33604">
        <w:rPr>
          <w:sz w:val="24"/>
          <w:szCs w:val="24"/>
        </w:rPr>
        <w:t xml:space="preserve"> for gas</w:t>
      </w:r>
      <w:r w:rsidR="00CB6D32" w:rsidRPr="00C33604">
        <w:rPr>
          <w:sz w:val="24"/>
          <w:szCs w:val="24"/>
        </w:rPr>
        <w:t>.</w:t>
      </w:r>
      <w:r w:rsidR="00C17262" w:rsidRPr="00C33604">
        <w:rPr>
          <w:sz w:val="24"/>
          <w:szCs w:val="24"/>
        </w:rPr>
        <w:t xml:space="preserve">  </w:t>
      </w:r>
      <w:r w:rsidR="00A619D2" w:rsidRPr="00C33604">
        <w:rPr>
          <w:sz w:val="24"/>
          <w:szCs w:val="24"/>
        </w:rPr>
        <w:t>The proposal also harms competition. C</w:t>
      </w:r>
      <w:r w:rsidR="006D5FA7" w:rsidRPr="00C33604">
        <w:rPr>
          <w:sz w:val="24"/>
        </w:rPr>
        <w:t>ompetitive suppliers</w:t>
      </w:r>
      <w:r w:rsidR="00A619D2" w:rsidRPr="00C33604">
        <w:rPr>
          <w:sz w:val="24"/>
          <w:szCs w:val="24"/>
        </w:rPr>
        <w:t xml:space="preserve"> must pay the assessments based on their</w:t>
      </w:r>
      <w:r w:rsidR="00A429A0" w:rsidRPr="00C33604">
        <w:rPr>
          <w:sz w:val="24"/>
          <w:szCs w:val="24"/>
        </w:rPr>
        <w:t xml:space="preserve"> revenue but can only recover the costs of the assessment through </w:t>
      </w:r>
      <w:r w:rsidR="006A01CB" w:rsidRPr="00C33604">
        <w:rPr>
          <w:sz w:val="24"/>
          <w:szCs w:val="24"/>
        </w:rPr>
        <w:t>their shopping customers. They do not have the ability to recover those costs in base rate</w:t>
      </w:r>
      <w:r w:rsidR="005870A1" w:rsidRPr="00C33604">
        <w:rPr>
          <w:sz w:val="24"/>
          <w:szCs w:val="24"/>
        </w:rPr>
        <w:t>s</w:t>
      </w:r>
      <w:r w:rsidR="006A01CB" w:rsidRPr="00C33604">
        <w:rPr>
          <w:sz w:val="24"/>
          <w:szCs w:val="24"/>
        </w:rPr>
        <w:t xml:space="preserve">. </w:t>
      </w:r>
      <w:r w:rsidR="002420EE" w:rsidRPr="00C33604">
        <w:rPr>
          <w:sz w:val="24"/>
          <w:szCs w:val="24"/>
        </w:rPr>
        <w:t>Therefore,</w:t>
      </w:r>
      <w:r w:rsidR="00D9349B" w:rsidRPr="00C33604">
        <w:rPr>
          <w:sz w:val="24"/>
          <w:szCs w:val="24"/>
        </w:rPr>
        <w:t xml:space="preserve"> a competitive supplier</w:t>
      </w:r>
      <w:r w:rsidR="00C17262" w:rsidRPr="00C33604">
        <w:rPr>
          <w:sz w:val="24"/>
        </w:rPr>
        <w:t xml:space="preserve"> is placed at a cost disadvantage by the proposal contained in the Staff Report. </w:t>
      </w:r>
      <w:r w:rsidR="005870A1" w:rsidRPr="00C33604">
        <w:rPr>
          <w:sz w:val="24"/>
          <w:szCs w:val="24"/>
        </w:rPr>
        <w:t>Effectively Staff’s proposal is merely favoring</w:t>
      </w:r>
      <w:r w:rsidR="00186CA6" w:rsidRPr="00C33604">
        <w:rPr>
          <w:sz w:val="24"/>
          <w:szCs w:val="24"/>
        </w:rPr>
        <w:t xml:space="preserve"> CR</w:t>
      </w:r>
      <w:r w:rsidR="00FB0F3B" w:rsidRPr="00C33604">
        <w:rPr>
          <w:sz w:val="24"/>
          <w:szCs w:val="24"/>
        </w:rPr>
        <w:t>NG</w:t>
      </w:r>
      <w:r w:rsidR="005870A1" w:rsidRPr="00C33604">
        <w:rPr>
          <w:sz w:val="24"/>
          <w:szCs w:val="24"/>
        </w:rPr>
        <w:t xml:space="preserve"> suppliers of the SCO (because they would not have to pay for the assessment)</w:t>
      </w:r>
      <w:r w:rsidR="00186CA6" w:rsidRPr="00C33604">
        <w:rPr>
          <w:sz w:val="24"/>
          <w:szCs w:val="24"/>
        </w:rPr>
        <w:t xml:space="preserve"> at the expense of other suppliers in the market that do have to pay the assessment.</w:t>
      </w:r>
      <w:r w:rsidR="00592B11">
        <w:rPr>
          <w:sz w:val="24"/>
          <w:szCs w:val="24"/>
        </w:rPr>
        <w:t xml:space="preserve">  </w:t>
      </w:r>
      <w:r w:rsidR="00186CA6" w:rsidRPr="00C33604">
        <w:rPr>
          <w:sz w:val="24"/>
          <w:szCs w:val="24"/>
        </w:rPr>
        <w:t>Finally</w:t>
      </w:r>
      <w:r w:rsidR="00B67030" w:rsidRPr="00C33604">
        <w:rPr>
          <w:sz w:val="24"/>
        </w:rPr>
        <w:t>, as Columbia has pointed out in its objections, customers taking service from competitive suppliers will be charged twice for some portion of the PUCO and OCC assessments,</w:t>
      </w:r>
      <w:r w:rsidR="00B67030" w:rsidRPr="00C33604">
        <w:rPr>
          <w:rStyle w:val="FootnoteReference"/>
          <w:szCs w:val="24"/>
        </w:rPr>
        <w:footnoteReference w:id="11"/>
      </w:r>
      <w:r w:rsidR="00B67030" w:rsidRPr="00C33604">
        <w:rPr>
          <w:sz w:val="24"/>
        </w:rPr>
        <w:t xml:space="preserve"> thus adding </w:t>
      </w:r>
      <w:r w:rsidR="00C17262" w:rsidRPr="00C33604">
        <w:rPr>
          <w:sz w:val="24"/>
        </w:rPr>
        <w:t>another injury</w:t>
      </w:r>
      <w:r w:rsidR="005E2008" w:rsidRPr="00C33604">
        <w:rPr>
          <w:sz w:val="24"/>
        </w:rPr>
        <w:t xml:space="preserve"> that is inflicted solely on </w:t>
      </w:r>
      <w:r w:rsidR="007C6A9D" w:rsidRPr="00C33604">
        <w:rPr>
          <w:sz w:val="24"/>
          <w:szCs w:val="24"/>
        </w:rPr>
        <w:t xml:space="preserve">the </w:t>
      </w:r>
      <w:r w:rsidR="005E2008" w:rsidRPr="00C33604">
        <w:rPr>
          <w:sz w:val="24"/>
        </w:rPr>
        <w:t>supply side of the gas distribution business</w:t>
      </w:r>
      <w:r w:rsidR="00B67030" w:rsidRPr="00C33604">
        <w:rPr>
          <w:sz w:val="24"/>
        </w:rPr>
        <w:t>.</w:t>
      </w:r>
    </w:p>
    <w:p w14:paraId="79DC6006" w14:textId="2BE18986" w:rsidR="008F64BC" w:rsidRPr="00C33604" w:rsidRDefault="008F64BC" w:rsidP="00050946">
      <w:pPr>
        <w:spacing w:line="480" w:lineRule="auto"/>
        <w:ind w:left="720" w:hanging="720"/>
        <w:jc w:val="both"/>
        <w:textAlignment w:val="baseline"/>
        <w:rPr>
          <w:sz w:val="24"/>
        </w:rPr>
      </w:pPr>
      <w:r w:rsidRPr="00C33604">
        <w:rPr>
          <w:b/>
          <w:sz w:val="24"/>
        </w:rPr>
        <w:t>Q.</w:t>
      </w:r>
      <w:r w:rsidRPr="00C33604">
        <w:rPr>
          <w:sz w:val="24"/>
        </w:rPr>
        <w:t xml:space="preserve"> </w:t>
      </w:r>
      <w:r w:rsidR="005167C7">
        <w:rPr>
          <w:sz w:val="24"/>
          <w:szCs w:val="24"/>
        </w:rPr>
        <w:tab/>
      </w:r>
      <w:r w:rsidRPr="00C33604">
        <w:rPr>
          <w:b/>
          <w:sz w:val="24"/>
        </w:rPr>
        <w:t xml:space="preserve">Is there any explanation </w:t>
      </w:r>
      <w:r w:rsidR="007D727A" w:rsidRPr="00C33604">
        <w:rPr>
          <w:b/>
          <w:sz w:val="24"/>
        </w:rPr>
        <w:t xml:space="preserve">in the Staff Report </w:t>
      </w:r>
      <w:r w:rsidRPr="00C33604">
        <w:rPr>
          <w:b/>
          <w:sz w:val="24"/>
        </w:rPr>
        <w:t>for the Staff’s rejection of terms that it agreed to and that</w:t>
      </w:r>
      <w:r w:rsidRPr="00C33604">
        <w:rPr>
          <w:sz w:val="24"/>
        </w:rPr>
        <w:t xml:space="preserve"> </w:t>
      </w:r>
      <w:r w:rsidRPr="00C33604">
        <w:rPr>
          <w:b/>
          <w:sz w:val="24"/>
        </w:rPr>
        <w:t>the Commission approved in the 2008 rate case?</w:t>
      </w:r>
    </w:p>
    <w:p w14:paraId="7A5F39C1" w14:textId="18D32494" w:rsidR="008F64BC" w:rsidRPr="005167C7" w:rsidRDefault="008F64BC" w:rsidP="00050946">
      <w:pPr>
        <w:spacing w:line="480" w:lineRule="auto"/>
        <w:ind w:left="720" w:hanging="720"/>
        <w:jc w:val="both"/>
        <w:textAlignment w:val="baseline"/>
        <w:rPr>
          <w:color w:val="FF0000"/>
          <w:sz w:val="24"/>
          <w:szCs w:val="24"/>
        </w:rPr>
      </w:pPr>
      <w:r w:rsidRPr="00C33604">
        <w:rPr>
          <w:sz w:val="24"/>
        </w:rPr>
        <w:t>A.</w:t>
      </w:r>
      <w:r w:rsidR="007D727A" w:rsidRPr="00C33604">
        <w:rPr>
          <w:sz w:val="24"/>
        </w:rPr>
        <w:tab/>
        <w:t>No. Thus, I cannot address the basis the Staff now believes justifies this material rejection of the terms of the prior Stipulation and the Commission’s prior order.</w:t>
      </w:r>
    </w:p>
    <w:p w14:paraId="187645AC" w14:textId="1CDA2C3B"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8D50E1">
        <w:rPr>
          <w:rFonts w:ascii="Calibri" w:hAnsi="Calibri" w:cs="Calibri"/>
          <w:sz w:val="24"/>
          <w:szCs w:val="24"/>
        </w:rPr>
        <w:tab/>
      </w:r>
      <w:r w:rsidRPr="00527830">
        <w:rPr>
          <w:b/>
          <w:bCs/>
          <w:sz w:val="24"/>
          <w:szCs w:val="24"/>
        </w:rPr>
        <w:t>What do you recommend?</w:t>
      </w:r>
      <w:r w:rsidRPr="00527830">
        <w:rPr>
          <w:sz w:val="24"/>
          <w:szCs w:val="24"/>
        </w:rPr>
        <w:t> </w:t>
      </w:r>
    </w:p>
    <w:p w14:paraId="13381C99" w14:textId="755022A4" w:rsidR="00F32608" w:rsidRDefault="00F32608" w:rsidP="00F32608">
      <w:pPr>
        <w:spacing w:line="480" w:lineRule="auto"/>
        <w:ind w:left="720" w:hanging="720"/>
        <w:jc w:val="both"/>
        <w:textAlignment w:val="baseline"/>
        <w:rPr>
          <w:sz w:val="24"/>
          <w:szCs w:val="24"/>
        </w:rPr>
      </w:pPr>
      <w:r w:rsidRPr="00527830">
        <w:rPr>
          <w:sz w:val="24"/>
          <w:szCs w:val="24"/>
        </w:rPr>
        <w:t>A.</w:t>
      </w:r>
      <w:r w:rsidRPr="00527830">
        <w:rPr>
          <w:rFonts w:ascii="Calibri" w:hAnsi="Calibri" w:cs="Calibri"/>
          <w:sz w:val="24"/>
          <w:szCs w:val="24"/>
        </w:rPr>
        <w:t xml:space="preserve"> </w:t>
      </w:r>
      <w:r w:rsidR="00FA0A93">
        <w:rPr>
          <w:rFonts w:ascii="Calibri" w:hAnsi="Calibri" w:cs="Calibri"/>
          <w:sz w:val="24"/>
          <w:szCs w:val="24"/>
        </w:rPr>
        <w:tab/>
      </w:r>
      <w:r w:rsidRPr="00527830">
        <w:rPr>
          <w:sz w:val="24"/>
          <w:szCs w:val="24"/>
        </w:rPr>
        <w:t xml:space="preserve">I recommend rejecting Staff’s recommendation and requiring </w:t>
      </w:r>
      <w:r>
        <w:rPr>
          <w:sz w:val="24"/>
          <w:szCs w:val="24"/>
        </w:rPr>
        <w:t>Columbia</w:t>
      </w:r>
      <w:r w:rsidRPr="00527830">
        <w:rPr>
          <w:sz w:val="24"/>
          <w:szCs w:val="24"/>
        </w:rPr>
        <w:t xml:space="preserve"> to </w:t>
      </w:r>
      <w:r>
        <w:rPr>
          <w:sz w:val="24"/>
          <w:szCs w:val="24"/>
        </w:rPr>
        <w:t xml:space="preserve">continue </w:t>
      </w:r>
      <w:r w:rsidRPr="00527830">
        <w:rPr>
          <w:sz w:val="24"/>
          <w:szCs w:val="24"/>
        </w:rPr>
        <w:t>the unbundling of the PUCO/OCC assessment expenses related to the S</w:t>
      </w:r>
      <w:r>
        <w:rPr>
          <w:sz w:val="24"/>
          <w:szCs w:val="24"/>
        </w:rPr>
        <w:t>C</w:t>
      </w:r>
      <w:r w:rsidRPr="00527830">
        <w:rPr>
          <w:sz w:val="24"/>
          <w:szCs w:val="24"/>
        </w:rPr>
        <w:t xml:space="preserve">O revenue as ordered by the Commission in the last </w:t>
      </w:r>
      <w:r w:rsidR="007C6A9D">
        <w:rPr>
          <w:sz w:val="24"/>
          <w:szCs w:val="24"/>
        </w:rPr>
        <w:t xml:space="preserve">rate case </w:t>
      </w:r>
      <w:r w:rsidRPr="00527830">
        <w:rPr>
          <w:sz w:val="24"/>
          <w:szCs w:val="24"/>
        </w:rPr>
        <w:t xml:space="preserve">proceeding. </w:t>
      </w:r>
      <w:r w:rsidR="007C6A9D">
        <w:rPr>
          <w:sz w:val="24"/>
          <w:szCs w:val="24"/>
        </w:rPr>
        <w:t xml:space="preserve">The Commission should find that </w:t>
      </w:r>
      <w:r w:rsidRPr="00F820AA">
        <w:rPr>
          <w:sz w:val="24"/>
          <w:szCs w:val="24"/>
        </w:rPr>
        <w:t xml:space="preserve">Staff’s recommendation is unjust and unreasonable for </w:t>
      </w:r>
      <w:r w:rsidR="008D50E1">
        <w:rPr>
          <w:sz w:val="24"/>
          <w:szCs w:val="24"/>
        </w:rPr>
        <w:t>several</w:t>
      </w:r>
      <w:r w:rsidR="007C6A9D" w:rsidRPr="00F820AA">
        <w:rPr>
          <w:sz w:val="24"/>
          <w:szCs w:val="24"/>
        </w:rPr>
        <w:t xml:space="preserve"> </w:t>
      </w:r>
      <w:r w:rsidRPr="00F820AA">
        <w:rPr>
          <w:sz w:val="24"/>
          <w:szCs w:val="24"/>
        </w:rPr>
        <w:t xml:space="preserve">reasons.  First, </w:t>
      </w:r>
      <w:r w:rsidR="008256F2">
        <w:rPr>
          <w:sz w:val="24"/>
          <w:szCs w:val="24"/>
        </w:rPr>
        <w:t xml:space="preserve">its directly </w:t>
      </w:r>
      <w:r w:rsidR="00077E39">
        <w:rPr>
          <w:sz w:val="24"/>
          <w:szCs w:val="24"/>
        </w:rPr>
        <w:t>contradictory to Ohio law explicitly prohibiting such practice. Second</w:t>
      </w:r>
      <w:r w:rsidRPr="00F820AA">
        <w:rPr>
          <w:sz w:val="24"/>
          <w:szCs w:val="24"/>
        </w:rPr>
        <w:t>, shopping customers</w:t>
      </w:r>
      <w:r w:rsidR="00182609">
        <w:rPr>
          <w:sz w:val="24"/>
          <w:szCs w:val="24"/>
        </w:rPr>
        <w:t xml:space="preserve"> (through their distribution rates)</w:t>
      </w:r>
      <w:r w:rsidRPr="00F820AA">
        <w:rPr>
          <w:sz w:val="24"/>
          <w:szCs w:val="24"/>
        </w:rPr>
        <w:t xml:space="preserve"> will be subsidizing costs that are directly </w:t>
      </w:r>
      <w:r w:rsidR="005A794A">
        <w:rPr>
          <w:sz w:val="24"/>
          <w:szCs w:val="24"/>
        </w:rPr>
        <w:t>related</w:t>
      </w:r>
      <w:r w:rsidRPr="00F820AA">
        <w:rPr>
          <w:sz w:val="24"/>
          <w:szCs w:val="24"/>
        </w:rPr>
        <w:t xml:space="preserve"> to </w:t>
      </w:r>
      <w:r w:rsidR="00182609">
        <w:rPr>
          <w:sz w:val="24"/>
          <w:szCs w:val="24"/>
        </w:rPr>
        <w:t xml:space="preserve">default </w:t>
      </w:r>
      <w:r w:rsidR="00182609">
        <w:rPr>
          <w:sz w:val="24"/>
          <w:szCs w:val="24"/>
        </w:rPr>
        <w:lastRenderedPageBreak/>
        <w:t>service commodity</w:t>
      </w:r>
      <w:r w:rsidRPr="00F820AA">
        <w:rPr>
          <w:sz w:val="24"/>
          <w:szCs w:val="24"/>
        </w:rPr>
        <w:t xml:space="preserve"> revenue.  </w:t>
      </w:r>
      <w:r w:rsidR="00077E39">
        <w:rPr>
          <w:sz w:val="24"/>
          <w:szCs w:val="24"/>
        </w:rPr>
        <w:t>And Third</w:t>
      </w:r>
      <w:r w:rsidRPr="00F820AA">
        <w:rPr>
          <w:sz w:val="24"/>
          <w:szCs w:val="24"/>
        </w:rPr>
        <w:t xml:space="preserve">, the effect of the subsidy will have the effect of understating the cost of the default commodity service and provide an unreasonable and unfair price advantage to the default standard offer relative to other sources of retail commodity service.  </w:t>
      </w:r>
    </w:p>
    <w:p w14:paraId="030AAC68" w14:textId="052CF7A2" w:rsidR="00F32608" w:rsidRPr="00E23302" w:rsidRDefault="00F32608" w:rsidP="00E23302">
      <w:pPr>
        <w:pStyle w:val="ListParagraph"/>
        <w:numPr>
          <w:ilvl w:val="0"/>
          <w:numId w:val="25"/>
        </w:numPr>
        <w:spacing w:line="480" w:lineRule="auto"/>
        <w:jc w:val="both"/>
        <w:textAlignment w:val="baseline"/>
        <w:rPr>
          <w:rFonts w:ascii="Segoe UI" w:hAnsi="Segoe UI" w:cs="Segoe UI"/>
          <w:b/>
          <w:bCs/>
          <w:caps/>
          <w:sz w:val="18"/>
          <w:szCs w:val="18"/>
        </w:rPr>
      </w:pPr>
      <w:r w:rsidRPr="00E23302">
        <w:rPr>
          <w:b/>
          <w:bCs/>
          <w:caps/>
          <w:sz w:val="24"/>
          <w:szCs w:val="24"/>
          <w:u w:val="single"/>
        </w:rPr>
        <w:t>SWITCHING FEES</w:t>
      </w:r>
      <w:r w:rsidRPr="00E23302">
        <w:rPr>
          <w:b/>
          <w:bCs/>
          <w:caps/>
          <w:sz w:val="24"/>
          <w:szCs w:val="24"/>
        </w:rPr>
        <w:t> </w:t>
      </w:r>
    </w:p>
    <w:p w14:paraId="4B84B43F" w14:textId="43188882"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FA0A93">
        <w:rPr>
          <w:rFonts w:ascii="Calibri" w:hAnsi="Calibri" w:cs="Calibri"/>
          <w:sz w:val="24"/>
          <w:szCs w:val="24"/>
        </w:rPr>
        <w:tab/>
      </w:r>
      <w:r w:rsidRPr="00527830">
        <w:rPr>
          <w:b/>
          <w:bCs/>
          <w:sz w:val="24"/>
          <w:szCs w:val="24"/>
        </w:rPr>
        <w:t xml:space="preserve">Does </w:t>
      </w:r>
      <w:r>
        <w:rPr>
          <w:b/>
          <w:bCs/>
          <w:sz w:val="24"/>
          <w:szCs w:val="24"/>
        </w:rPr>
        <w:t>Columbia Gas of</w:t>
      </w:r>
      <w:r w:rsidRPr="00527830">
        <w:rPr>
          <w:b/>
          <w:bCs/>
          <w:sz w:val="24"/>
          <w:szCs w:val="24"/>
        </w:rPr>
        <w:t xml:space="preserve"> Ohio assess a fee against a CR</w:t>
      </w:r>
      <w:r w:rsidR="00871E24">
        <w:rPr>
          <w:b/>
          <w:bCs/>
          <w:sz w:val="24"/>
          <w:szCs w:val="24"/>
        </w:rPr>
        <w:t>NG</w:t>
      </w:r>
      <w:r w:rsidR="007C6A9D">
        <w:rPr>
          <w:b/>
          <w:bCs/>
          <w:sz w:val="24"/>
          <w:szCs w:val="24"/>
        </w:rPr>
        <w:t>S</w:t>
      </w:r>
      <w:r w:rsidRPr="00527830">
        <w:rPr>
          <w:b/>
          <w:bCs/>
          <w:sz w:val="24"/>
          <w:szCs w:val="24"/>
        </w:rPr>
        <w:t xml:space="preserve"> </w:t>
      </w:r>
      <w:r w:rsidR="007C6A9D">
        <w:rPr>
          <w:b/>
          <w:bCs/>
          <w:sz w:val="24"/>
          <w:szCs w:val="24"/>
        </w:rPr>
        <w:t>supplier</w:t>
      </w:r>
      <w:r w:rsidR="007C6A9D" w:rsidRPr="00527830">
        <w:rPr>
          <w:b/>
          <w:bCs/>
          <w:sz w:val="24"/>
          <w:szCs w:val="24"/>
        </w:rPr>
        <w:t xml:space="preserve"> </w:t>
      </w:r>
      <w:r w:rsidRPr="00527830">
        <w:rPr>
          <w:b/>
          <w:bCs/>
          <w:sz w:val="24"/>
          <w:szCs w:val="24"/>
        </w:rPr>
        <w:t>when a customer switches to that CR</w:t>
      </w:r>
      <w:r w:rsidR="00871E24">
        <w:rPr>
          <w:b/>
          <w:bCs/>
          <w:sz w:val="24"/>
          <w:szCs w:val="24"/>
        </w:rPr>
        <w:t>NG</w:t>
      </w:r>
      <w:r w:rsidR="006F6F9B">
        <w:rPr>
          <w:b/>
          <w:bCs/>
          <w:sz w:val="24"/>
          <w:szCs w:val="24"/>
        </w:rPr>
        <w:t>S</w:t>
      </w:r>
      <w:r w:rsidRPr="00527830">
        <w:rPr>
          <w:b/>
          <w:bCs/>
          <w:sz w:val="24"/>
          <w:szCs w:val="24"/>
        </w:rPr>
        <w:t xml:space="preserve"> </w:t>
      </w:r>
      <w:r w:rsidR="007C6A9D">
        <w:rPr>
          <w:b/>
          <w:bCs/>
          <w:sz w:val="24"/>
          <w:szCs w:val="24"/>
        </w:rPr>
        <w:t>supplier</w:t>
      </w:r>
      <w:r w:rsidRPr="00527830">
        <w:rPr>
          <w:b/>
          <w:bCs/>
          <w:sz w:val="24"/>
          <w:szCs w:val="24"/>
        </w:rPr>
        <w:t>?</w:t>
      </w:r>
      <w:r w:rsidRPr="00527830">
        <w:rPr>
          <w:sz w:val="24"/>
          <w:szCs w:val="24"/>
        </w:rPr>
        <w:t> </w:t>
      </w:r>
    </w:p>
    <w:p w14:paraId="3D03C402" w14:textId="1F39A8D6"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sz w:val="24"/>
          <w:szCs w:val="24"/>
        </w:rPr>
        <w:t>A.</w:t>
      </w:r>
      <w:r w:rsidRPr="00527830">
        <w:rPr>
          <w:rFonts w:ascii="Calibri" w:hAnsi="Calibri" w:cs="Calibri"/>
          <w:sz w:val="24"/>
          <w:szCs w:val="24"/>
        </w:rPr>
        <w:t xml:space="preserve"> </w:t>
      </w:r>
      <w:r w:rsidR="00FD77C9">
        <w:rPr>
          <w:rFonts w:ascii="Calibri" w:hAnsi="Calibri" w:cs="Calibri"/>
          <w:sz w:val="24"/>
          <w:szCs w:val="24"/>
        </w:rPr>
        <w:tab/>
      </w:r>
      <w:r w:rsidRPr="00527830">
        <w:rPr>
          <w:sz w:val="24"/>
          <w:szCs w:val="24"/>
        </w:rPr>
        <w:t>Yes. A CR</w:t>
      </w:r>
      <w:r w:rsidR="00871E24">
        <w:rPr>
          <w:sz w:val="24"/>
          <w:szCs w:val="24"/>
        </w:rPr>
        <w:t>NG</w:t>
      </w:r>
      <w:r w:rsidRPr="00527830">
        <w:rPr>
          <w:sz w:val="24"/>
          <w:szCs w:val="24"/>
        </w:rPr>
        <w:t xml:space="preserve"> provider is assessed a $5 fee every time a customer enrolls with that </w:t>
      </w:r>
      <w:r w:rsidR="007C6A9D">
        <w:rPr>
          <w:sz w:val="24"/>
          <w:szCs w:val="24"/>
        </w:rPr>
        <w:t>CRNGS</w:t>
      </w:r>
      <w:r w:rsidR="007C6A9D" w:rsidRPr="00527830">
        <w:rPr>
          <w:sz w:val="24"/>
          <w:szCs w:val="24"/>
        </w:rPr>
        <w:t xml:space="preserve"> </w:t>
      </w:r>
      <w:r w:rsidR="007C6A9D">
        <w:rPr>
          <w:sz w:val="24"/>
          <w:szCs w:val="24"/>
        </w:rPr>
        <w:t>supplier</w:t>
      </w:r>
      <w:r w:rsidRPr="00527830">
        <w:rPr>
          <w:sz w:val="24"/>
          <w:szCs w:val="24"/>
        </w:rPr>
        <w:t>.</w:t>
      </w:r>
      <w:r w:rsidRPr="7B1A0692">
        <w:rPr>
          <w:rStyle w:val="FootnoteReference"/>
        </w:rPr>
        <w:footnoteReference w:id="12"/>
      </w:r>
      <w:r w:rsidR="00BF55C3">
        <w:rPr>
          <w:sz w:val="24"/>
          <w:szCs w:val="24"/>
        </w:rPr>
        <w:t xml:space="preserve"> The fee does not apply if the customer returns to the SCO for any reason.</w:t>
      </w:r>
    </w:p>
    <w:p w14:paraId="0A28EB41" w14:textId="203315FA"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FD77C9">
        <w:rPr>
          <w:rFonts w:ascii="Calibri" w:hAnsi="Calibri" w:cs="Calibri"/>
          <w:sz w:val="24"/>
          <w:szCs w:val="24"/>
        </w:rPr>
        <w:tab/>
      </w:r>
      <w:r w:rsidRPr="00527830">
        <w:rPr>
          <w:b/>
          <w:bCs/>
          <w:sz w:val="24"/>
          <w:szCs w:val="24"/>
        </w:rPr>
        <w:t>Does the Staff Report examine the switching fee?</w:t>
      </w:r>
      <w:r w:rsidRPr="00527830">
        <w:rPr>
          <w:sz w:val="24"/>
          <w:szCs w:val="24"/>
        </w:rPr>
        <w:t> </w:t>
      </w:r>
    </w:p>
    <w:p w14:paraId="5ED5E598" w14:textId="020EE9C5" w:rsidR="00F32608" w:rsidRPr="00527830" w:rsidRDefault="00F32608" w:rsidP="00F32608">
      <w:pPr>
        <w:spacing w:line="480" w:lineRule="auto"/>
        <w:ind w:left="720" w:hanging="720"/>
        <w:jc w:val="both"/>
        <w:textAlignment w:val="baseline"/>
        <w:rPr>
          <w:sz w:val="24"/>
          <w:szCs w:val="24"/>
        </w:rPr>
      </w:pPr>
      <w:r w:rsidRPr="00527830">
        <w:rPr>
          <w:sz w:val="24"/>
          <w:szCs w:val="24"/>
        </w:rPr>
        <w:t>A.</w:t>
      </w:r>
      <w:r w:rsidR="00FD77C9">
        <w:rPr>
          <w:sz w:val="24"/>
          <w:szCs w:val="24"/>
        </w:rPr>
        <w:tab/>
      </w:r>
      <w:r w:rsidRPr="00527830">
        <w:rPr>
          <w:sz w:val="24"/>
          <w:szCs w:val="24"/>
        </w:rPr>
        <w:t>No. </w:t>
      </w:r>
    </w:p>
    <w:p w14:paraId="4ED5CEE9" w14:textId="399118EF"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FD77C9">
        <w:rPr>
          <w:rFonts w:ascii="Calibri" w:hAnsi="Calibri" w:cs="Calibri"/>
          <w:sz w:val="24"/>
          <w:szCs w:val="24"/>
        </w:rPr>
        <w:tab/>
      </w:r>
      <w:r w:rsidRPr="00527830">
        <w:rPr>
          <w:b/>
          <w:bCs/>
          <w:sz w:val="24"/>
          <w:szCs w:val="24"/>
        </w:rPr>
        <w:t>Do you oppose the assessment of this fee?</w:t>
      </w:r>
      <w:r w:rsidRPr="00527830">
        <w:rPr>
          <w:sz w:val="24"/>
          <w:szCs w:val="24"/>
        </w:rPr>
        <w:t> </w:t>
      </w:r>
    </w:p>
    <w:p w14:paraId="7B6FA08D" w14:textId="1E8671F4" w:rsidR="00F32608" w:rsidRPr="00527830" w:rsidRDefault="00F32608" w:rsidP="00F32608">
      <w:pPr>
        <w:spacing w:line="480" w:lineRule="auto"/>
        <w:ind w:left="720" w:hanging="720"/>
        <w:jc w:val="both"/>
        <w:textAlignment w:val="baseline"/>
        <w:rPr>
          <w:sz w:val="24"/>
          <w:szCs w:val="24"/>
        </w:rPr>
      </w:pPr>
      <w:r w:rsidRPr="00527830">
        <w:rPr>
          <w:sz w:val="24"/>
          <w:szCs w:val="24"/>
        </w:rPr>
        <w:t>A.</w:t>
      </w:r>
      <w:r w:rsidRPr="00527830">
        <w:rPr>
          <w:rFonts w:ascii="Calibri" w:hAnsi="Calibri" w:cs="Calibri"/>
          <w:sz w:val="24"/>
          <w:szCs w:val="24"/>
        </w:rPr>
        <w:t xml:space="preserve"> </w:t>
      </w:r>
      <w:r w:rsidR="007F59F1">
        <w:rPr>
          <w:rFonts w:ascii="Calibri" w:hAnsi="Calibri" w:cs="Calibri"/>
          <w:sz w:val="24"/>
          <w:szCs w:val="24"/>
        </w:rPr>
        <w:tab/>
      </w:r>
      <w:r w:rsidRPr="00527830">
        <w:rPr>
          <w:sz w:val="24"/>
          <w:szCs w:val="24"/>
        </w:rPr>
        <w:t>Yes.  It is unjust and unreasonable to continue the assessment of this fee on CR</w:t>
      </w:r>
      <w:r w:rsidR="007F59F1">
        <w:rPr>
          <w:sz w:val="24"/>
          <w:szCs w:val="24"/>
        </w:rPr>
        <w:t>NG</w:t>
      </w:r>
      <w:r w:rsidR="007C6A9D">
        <w:rPr>
          <w:sz w:val="24"/>
          <w:szCs w:val="24"/>
        </w:rPr>
        <w:t>S</w:t>
      </w:r>
      <w:r w:rsidRPr="00527830">
        <w:rPr>
          <w:sz w:val="24"/>
          <w:szCs w:val="24"/>
        </w:rPr>
        <w:t xml:space="preserve"> </w:t>
      </w:r>
      <w:r w:rsidR="007C6A9D">
        <w:rPr>
          <w:sz w:val="24"/>
          <w:szCs w:val="24"/>
        </w:rPr>
        <w:t>suppliers</w:t>
      </w:r>
      <w:r w:rsidR="007C6A9D" w:rsidRPr="00527830">
        <w:rPr>
          <w:sz w:val="24"/>
          <w:szCs w:val="24"/>
        </w:rPr>
        <w:t xml:space="preserve"> </w:t>
      </w:r>
      <w:r w:rsidRPr="00527830">
        <w:rPr>
          <w:sz w:val="24"/>
          <w:szCs w:val="24"/>
        </w:rPr>
        <w:t>because the fee amount has not been substantiated and its assessment is discriminatory against shopping customers.  </w:t>
      </w:r>
    </w:p>
    <w:p w14:paraId="046F2E3F" w14:textId="0E764CDD"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FD77C9">
        <w:rPr>
          <w:rFonts w:ascii="Calibri" w:hAnsi="Calibri" w:cs="Calibri"/>
          <w:sz w:val="24"/>
          <w:szCs w:val="24"/>
        </w:rPr>
        <w:tab/>
      </w:r>
      <w:r w:rsidRPr="00527830">
        <w:rPr>
          <w:b/>
          <w:bCs/>
          <w:sz w:val="24"/>
          <w:szCs w:val="24"/>
        </w:rPr>
        <w:t>Has this fee been substantiated?</w:t>
      </w:r>
      <w:r w:rsidRPr="00527830">
        <w:rPr>
          <w:sz w:val="24"/>
          <w:szCs w:val="24"/>
        </w:rPr>
        <w:t> </w:t>
      </w:r>
    </w:p>
    <w:p w14:paraId="384DE574" w14:textId="1FD4247E"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sz w:val="24"/>
          <w:szCs w:val="24"/>
        </w:rPr>
        <w:t>A.</w:t>
      </w:r>
      <w:r w:rsidRPr="00527830">
        <w:rPr>
          <w:rFonts w:ascii="Calibri" w:hAnsi="Calibri" w:cs="Calibri"/>
          <w:sz w:val="24"/>
          <w:szCs w:val="24"/>
        </w:rPr>
        <w:t xml:space="preserve"> </w:t>
      </w:r>
      <w:r w:rsidR="00FD77C9">
        <w:rPr>
          <w:rFonts w:ascii="Calibri" w:hAnsi="Calibri" w:cs="Calibri"/>
          <w:sz w:val="24"/>
          <w:szCs w:val="24"/>
        </w:rPr>
        <w:tab/>
      </w:r>
      <w:r w:rsidRPr="00527830">
        <w:rPr>
          <w:sz w:val="24"/>
          <w:szCs w:val="24"/>
        </w:rPr>
        <w:t xml:space="preserve">No. </w:t>
      </w:r>
      <w:r>
        <w:rPr>
          <w:sz w:val="24"/>
          <w:szCs w:val="24"/>
        </w:rPr>
        <w:t>Columbia Gas</w:t>
      </w:r>
      <w:r w:rsidRPr="00527830">
        <w:rPr>
          <w:sz w:val="24"/>
          <w:szCs w:val="24"/>
        </w:rPr>
        <w:t xml:space="preserve"> did not demonstrate that it incurs any costs associated with switching a customer’s </w:t>
      </w:r>
      <w:r w:rsidR="00050946">
        <w:rPr>
          <w:sz w:val="24"/>
          <w:szCs w:val="24"/>
        </w:rPr>
        <w:t>commodity</w:t>
      </w:r>
      <w:r w:rsidR="00050946" w:rsidRPr="00527830">
        <w:rPr>
          <w:sz w:val="24"/>
          <w:szCs w:val="24"/>
        </w:rPr>
        <w:t xml:space="preserve"> service</w:t>
      </w:r>
      <w:r w:rsidRPr="00527830">
        <w:rPr>
          <w:sz w:val="24"/>
          <w:szCs w:val="24"/>
        </w:rPr>
        <w:t xml:space="preserve">, and the Staff Report did not question </w:t>
      </w:r>
      <w:r w:rsidR="007C6A9D">
        <w:rPr>
          <w:sz w:val="24"/>
          <w:szCs w:val="24"/>
        </w:rPr>
        <w:t xml:space="preserve">or analyze </w:t>
      </w:r>
      <w:r w:rsidRPr="00527830">
        <w:rPr>
          <w:sz w:val="24"/>
          <w:szCs w:val="24"/>
        </w:rPr>
        <w:t>this fee.  </w:t>
      </w:r>
    </w:p>
    <w:p w14:paraId="1F686052" w14:textId="2C6B282B"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FD77C9">
        <w:rPr>
          <w:rFonts w:ascii="Calibri" w:hAnsi="Calibri" w:cs="Calibri"/>
          <w:sz w:val="24"/>
          <w:szCs w:val="24"/>
        </w:rPr>
        <w:tab/>
      </w:r>
      <w:r w:rsidRPr="00527830">
        <w:rPr>
          <w:b/>
          <w:bCs/>
          <w:sz w:val="24"/>
          <w:szCs w:val="24"/>
        </w:rPr>
        <w:t>How is the switching fee discriminatory?</w:t>
      </w:r>
      <w:r w:rsidRPr="00527830">
        <w:rPr>
          <w:sz w:val="24"/>
          <w:szCs w:val="24"/>
        </w:rPr>
        <w:t> </w:t>
      </w:r>
    </w:p>
    <w:p w14:paraId="269B4104" w14:textId="7310B4A9" w:rsidR="00F32608" w:rsidRPr="00050946" w:rsidRDefault="00F32608" w:rsidP="00050946">
      <w:pPr>
        <w:spacing w:line="480" w:lineRule="auto"/>
        <w:ind w:left="720"/>
        <w:jc w:val="both"/>
        <w:textAlignment w:val="baseline"/>
        <w:rPr>
          <w:sz w:val="24"/>
          <w:szCs w:val="24"/>
        </w:rPr>
      </w:pPr>
      <w:r w:rsidRPr="00527830">
        <w:rPr>
          <w:sz w:val="24"/>
          <w:szCs w:val="24"/>
        </w:rPr>
        <w:t xml:space="preserve">The switching fee is unreasonably discriminatory by penalizing customers who exercise their right to choose </w:t>
      </w:r>
      <w:r w:rsidR="00BF55C3">
        <w:rPr>
          <w:sz w:val="24"/>
          <w:szCs w:val="24"/>
        </w:rPr>
        <w:t xml:space="preserve">a </w:t>
      </w:r>
      <w:r w:rsidR="007C6A9D">
        <w:rPr>
          <w:sz w:val="24"/>
          <w:szCs w:val="24"/>
        </w:rPr>
        <w:t>CRNGS</w:t>
      </w:r>
      <w:r w:rsidRPr="00527830">
        <w:rPr>
          <w:sz w:val="24"/>
          <w:szCs w:val="24"/>
        </w:rPr>
        <w:t xml:space="preserve">. </w:t>
      </w:r>
      <w:r>
        <w:rPr>
          <w:sz w:val="24"/>
          <w:szCs w:val="24"/>
        </w:rPr>
        <w:t>Columbia Gas</w:t>
      </w:r>
      <w:r w:rsidRPr="00527830">
        <w:rPr>
          <w:sz w:val="24"/>
          <w:szCs w:val="24"/>
        </w:rPr>
        <w:t xml:space="preserve"> does not assess this fee to customers returning to S</w:t>
      </w:r>
      <w:r>
        <w:rPr>
          <w:sz w:val="24"/>
          <w:szCs w:val="24"/>
        </w:rPr>
        <w:t>C</w:t>
      </w:r>
      <w:r w:rsidRPr="00527830">
        <w:rPr>
          <w:sz w:val="24"/>
          <w:szCs w:val="24"/>
        </w:rPr>
        <w:t>O.</w:t>
      </w:r>
      <w:r>
        <w:rPr>
          <w:sz w:val="19"/>
          <w:szCs w:val="19"/>
          <w:vertAlign w:val="superscript"/>
        </w:rPr>
        <w:t xml:space="preserve"> </w:t>
      </w:r>
      <w:r w:rsidR="004B46B6">
        <w:rPr>
          <w:sz w:val="19"/>
          <w:szCs w:val="19"/>
          <w:vertAlign w:val="superscript"/>
        </w:rPr>
        <w:t xml:space="preserve">  </w:t>
      </w:r>
      <w:r w:rsidRPr="00527830">
        <w:rPr>
          <w:sz w:val="24"/>
          <w:szCs w:val="24"/>
        </w:rPr>
        <w:t xml:space="preserve">Assessing customers </w:t>
      </w:r>
      <w:r w:rsidR="007C6A9D">
        <w:rPr>
          <w:sz w:val="24"/>
          <w:szCs w:val="24"/>
        </w:rPr>
        <w:t xml:space="preserve">only </w:t>
      </w:r>
      <w:r w:rsidRPr="00527830">
        <w:rPr>
          <w:sz w:val="24"/>
          <w:szCs w:val="24"/>
        </w:rPr>
        <w:t>when switching to a CR</w:t>
      </w:r>
      <w:r w:rsidR="007F59F1">
        <w:rPr>
          <w:sz w:val="24"/>
          <w:szCs w:val="24"/>
        </w:rPr>
        <w:t>NG</w:t>
      </w:r>
      <w:r w:rsidR="007C6A9D">
        <w:rPr>
          <w:sz w:val="24"/>
          <w:szCs w:val="24"/>
        </w:rPr>
        <w:t>S</w:t>
      </w:r>
      <w:r w:rsidRPr="00527830">
        <w:rPr>
          <w:sz w:val="24"/>
          <w:szCs w:val="24"/>
        </w:rPr>
        <w:t xml:space="preserve"> </w:t>
      </w:r>
      <w:r w:rsidR="006F6F9B">
        <w:rPr>
          <w:sz w:val="24"/>
          <w:szCs w:val="24"/>
        </w:rPr>
        <w:t>supplier</w:t>
      </w:r>
      <w:r w:rsidRPr="00527830">
        <w:rPr>
          <w:sz w:val="24"/>
          <w:szCs w:val="24"/>
        </w:rPr>
        <w:t xml:space="preserve">, but not </w:t>
      </w:r>
      <w:r w:rsidRPr="00527830">
        <w:rPr>
          <w:sz w:val="24"/>
          <w:szCs w:val="24"/>
        </w:rPr>
        <w:lastRenderedPageBreak/>
        <w:t>when switching to S</w:t>
      </w:r>
      <w:r>
        <w:rPr>
          <w:sz w:val="24"/>
          <w:szCs w:val="24"/>
        </w:rPr>
        <w:t>C</w:t>
      </w:r>
      <w:r w:rsidRPr="00527830">
        <w:rPr>
          <w:sz w:val="24"/>
          <w:szCs w:val="24"/>
        </w:rPr>
        <w:t>O is blatantly discriminatory and this practice should be terminated by the Commission in this proceeding. </w:t>
      </w:r>
    </w:p>
    <w:p w14:paraId="2D1A0248" w14:textId="25F0CE11" w:rsidR="00F32608" w:rsidRPr="00527830" w:rsidRDefault="00F32608" w:rsidP="00F32608">
      <w:pPr>
        <w:spacing w:line="480" w:lineRule="auto"/>
        <w:ind w:left="720" w:hanging="720"/>
        <w:jc w:val="both"/>
        <w:textAlignment w:val="baseline"/>
        <w:rPr>
          <w:rFonts w:ascii="Segoe UI" w:hAnsi="Segoe UI" w:cs="Segoe UI"/>
          <w:sz w:val="18"/>
          <w:szCs w:val="18"/>
        </w:rPr>
      </w:pPr>
      <w:r w:rsidRPr="00527830">
        <w:rPr>
          <w:b/>
          <w:bCs/>
          <w:sz w:val="24"/>
          <w:szCs w:val="24"/>
        </w:rPr>
        <w:t>Q.</w:t>
      </w:r>
      <w:r w:rsidRPr="00527830">
        <w:rPr>
          <w:rFonts w:ascii="Calibri" w:hAnsi="Calibri" w:cs="Calibri"/>
          <w:sz w:val="24"/>
          <w:szCs w:val="24"/>
        </w:rPr>
        <w:t xml:space="preserve"> </w:t>
      </w:r>
      <w:r w:rsidR="00FD77C9">
        <w:rPr>
          <w:rFonts w:ascii="Calibri" w:hAnsi="Calibri" w:cs="Calibri"/>
          <w:sz w:val="24"/>
          <w:szCs w:val="24"/>
        </w:rPr>
        <w:tab/>
      </w:r>
      <w:r w:rsidRPr="00527830">
        <w:rPr>
          <w:b/>
          <w:bCs/>
          <w:sz w:val="24"/>
          <w:szCs w:val="24"/>
        </w:rPr>
        <w:t>What do you recommend?</w:t>
      </w:r>
      <w:r w:rsidRPr="00527830">
        <w:rPr>
          <w:rFonts w:ascii="Calibri" w:hAnsi="Calibri" w:cs="Calibri"/>
          <w:sz w:val="24"/>
          <w:szCs w:val="24"/>
        </w:rPr>
        <w:t xml:space="preserve"> </w:t>
      </w:r>
      <w:r w:rsidRPr="00527830">
        <w:rPr>
          <w:sz w:val="24"/>
          <w:szCs w:val="24"/>
        </w:rPr>
        <w:t> </w:t>
      </w:r>
    </w:p>
    <w:p w14:paraId="5EA12A30" w14:textId="249B8992" w:rsidR="006E4593" w:rsidRDefault="00F32608" w:rsidP="00F32608">
      <w:pPr>
        <w:spacing w:line="480" w:lineRule="auto"/>
        <w:ind w:left="720" w:hanging="720"/>
        <w:jc w:val="both"/>
        <w:textAlignment w:val="baseline"/>
        <w:rPr>
          <w:sz w:val="24"/>
          <w:szCs w:val="24"/>
        </w:rPr>
      </w:pPr>
      <w:r w:rsidRPr="00527830">
        <w:rPr>
          <w:sz w:val="24"/>
          <w:szCs w:val="24"/>
        </w:rPr>
        <w:t>A.</w:t>
      </w:r>
      <w:r w:rsidR="00FD77C9">
        <w:rPr>
          <w:sz w:val="24"/>
          <w:szCs w:val="24"/>
        </w:rPr>
        <w:tab/>
      </w:r>
      <w:r w:rsidRPr="00527830">
        <w:rPr>
          <w:rFonts w:ascii="Calibri" w:hAnsi="Calibri" w:cs="Calibri"/>
          <w:sz w:val="24"/>
          <w:szCs w:val="24"/>
        </w:rPr>
        <w:t xml:space="preserve"> </w:t>
      </w:r>
      <w:r w:rsidRPr="00527830">
        <w:rPr>
          <w:sz w:val="24"/>
          <w:szCs w:val="24"/>
        </w:rPr>
        <w:t xml:space="preserve">I recommend elimination of this </w:t>
      </w:r>
      <w:r w:rsidR="00431112" w:rsidRPr="00527830">
        <w:rPr>
          <w:sz w:val="24"/>
          <w:szCs w:val="24"/>
        </w:rPr>
        <w:t xml:space="preserve">unreasonable </w:t>
      </w:r>
      <w:r w:rsidRPr="00527830">
        <w:rPr>
          <w:sz w:val="24"/>
          <w:szCs w:val="24"/>
        </w:rPr>
        <w:t xml:space="preserve">and </w:t>
      </w:r>
      <w:r w:rsidR="00431112" w:rsidRPr="00527830">
        <w:rPr>
          <w:sz w:val="24"/>
          <w:szCs w:val="24"/>
        </w:rPr>
        <w:t xml:space="preserve">discriminatory </w:t>
      </w:r>
      <w:r w:rsidRPr="00527830">
        <w:rPr>
          <w:sz w:val="24"/>
          <w:szCs w:val="24"/>
        </w:rPr>
        <w:t xml:space="preserve">fee, or, in the alternative, it should </w:t>
      </w:r>
      <w:r w:rsidR="007C6A9D">
        <w:rPr>
          <w:sz w:val="24"/>
          <w:szCs w:val="24"/>
        </w:rPr>
        <w:t xml:space="preserve">also </w:t>
      </w:r>
      <w:r w:rsidRPr="00527830">
        <w:rPr>
          <w:sz w:val="24"/>
          <w:szCs w:val="24"/>
        </w:rPr>
        <w:t xml:space="preserve">be applied to customers that </w:t>
      </w:r>
      <w:r w:rsidR="007C6A9D">
        <w:rPr>
          <w:sz w:val="24"/>
          <w:szCs w:val="24"/>
        </w:rPr>
        <w:t xml:space="preserve">elect to </w:t>
      </w:r>
      <w:r w:rsidRPr="00527830">
        <w:rPr>
          <w:sz w:val="24"/>
          <w:szCs w:val="24"/>
        </w:rPr>
        <w:t>return to the S</w:t>
      </w:r>
      <w:r>
        <w:rPr>
          <w:sz w:val="24"/>
          <w:szCs w:val="24"/>
        </w:rPr>
        <w:t>C</w:t>
      </w:r>
      <w:r w:rsidRPr="00527830">
        <w:rPr>
          <w:sz w:val="24"/>
          <w:szCs w:val="24"/>
        </w:rPr>
        <w:t>O. No justification has ever been provided to continue this unreasonable penalty on choice customers. </w:t>
      </w:r>
    </w:p>
    <w:p w14:paraId="6901F131" w14:textId="00902899" w:rsidR="006E4593" w:rsidRDefault="00E23302" w:rsidP="0049224A">
      <w:pPr>
        <w:spacing w:line="480" w:lineRule="auto"/>
        <w:ind w:firstLine="720"/>
        <w:jc w:val="both"/>
        <w:textAlignment w:val="baseline"/>
        <w:rPr>
          <w:b/>
          <w:bCs/>
          <w:sz w:val="24"/>
          <w:szCs w:val="24"/>
          <w:u w:val="single"/>
        </w:rPr>
      </w:pPr>
      <w:r>
        <w:rPr>
          <w:b/>
          <w:bCs/>
          <w:sz w:val="24"/>
          <w:szCs w:val="24"/>
          <w:u w:val="single"/>
        </w:rPr>
        <w:t xml:space="preserve">V. </w:t>
      </w:r>
      <w:r w:rsidR="00050946">
        <w:rPr>
          <w:b/>
          <w:bCs/>
          <w:sz w:val="24"/>
          <w:szCs w:val="24"/>
          <w:u w:val="single"/>
        </w:rPr>
        <w:t>EXIT THE MERCHANT FUNCTION</w:t>
      </w:r>
    </w:p>
    <w:p w14:paraId="233CB3D8" w14:textId="434BBC88" w:rsidR="006E4593" w:rsidRPr="00781EDC" w:rsidRDefault="00AE1016" w:rsidP="00F32608">
      <w:pPr>
        <w:spacing w:line="480" w:lineRule="auto"/>
        <w:ind w:left="720" w:hanging="720"/>
        <w:jc w:val="both"/>
        <w:textAlignment w:val="baseline"/>
        <w:rPr>
          <w:sz w:val="24"/>
          <w:szCs w:val="24"/>
        </w:rPr>
      </w:pPr>
      <w:r w:rsidRPr="00781EDC">
        <w:rPr>
          <w:b/>
          <w:sz w:val="24"/>
          <w:szCs w:val="24"/>
        </w:rPr>
        <w:t xml:space="preserve">Q. </w:t>
      </w:r>
      <w:r>
        <w:tab/>
      </w:r>
      <w:r w:rsidR="00CB0134" w:rsidRPr="00781EDC">
        <w:rPr>
          <w:b/>
          <w:sz w:val="24"/>
          <w:szCs w:val="24"/>
        </w:rPr>
        <w:t>Did the Staff Report evaluate whether Columbia should take additional steps to exit the merchant function?</w:t>
      </w:r>
    </w:p>
    <w:p w14:paraId="1CFA8BF6" w14:textId="434BBC88" w:rsidR="00F865A4" w:rsidRPr="00781EDC" w:rsidRDefault="00CB0134" w:rsidP="00F32608">
      <w:pPr>
        <w:spacing w:line="480" w:lineRule="auto"/>
        <w:ind w:left="720" w:hanging="720"/>
        <w:jc w:val="both"/>
        <w:textAlignment w:val="baseline"/>
        <w:rPr>
          <w:sz w:val="24"/>
          <w:szCs w:val="24"/>
        </w:rPr>
      </w:pPr>
      <w:r w:rsidRPr="00781EDC">
        <w:rPr>
          <w:sz w:val="24"/>
          <w:szCs w:val="24"/>
        </w:rPr>
        <w:t xml:space="preserve">A: </w:t>
      </w:r>
      <w:r>
        <w:tab/>
      </w:r>
      <w:r w:rsidRPr="00781EDC">
        <w:rPr>
          <w:sz w:val="24"/>
          <w:szCs w:val="24"/>
        </w:rPr>
        <w:t xml:space="preserve">No, </w:t>
      </w:r>
      <w:r w:rsidR="0092383C" w:rsidRPr="00781EDC">
        <w:rPr>
          <w:sz w:val="24"/>
          <w:szCs w:val="24"/>
        </w:rPr>
        <w:t xml:space="preserve">it did not.  I </w:t>
      </w:r>
      <w:r w:rsidR="001D074D" w:rsidRPr="00781EDC">
        <w:rPr>
          <w:sz w:val="24"/>
          <w:szCs w:val="24"/>
        </w:rPr>
        <w:t xml:space="preserve">expected that the Staff Report would evaluate whether Columbia </w:t>
      </w:r>
      <w:r w:rsidR="00B018BF" w:rsidRPr="00781EDC">
        <w:rPr>
          <w:sz w:val="24"/>
          <w:szCs w:val="24"/>
        </w:rPr>
        <w:t xml:space="preserve">should take additional steps to exit the </w:t>
      </w:r>
      <w:r w:rsidR="005F3A7E" w:rsidRPr="00781EDC">
        <w:rPr>
          <w:sz w:val="24"/>
          <w:szCs w:val="24"/>
        </w:rPr>
        <w:t xml:space="preserve">merchant function.  </w:t>
      </w:r>
      <w:r w:rsidR="00361568" w:rsidRPr="00781EDC">
        <w:rPr>
          <w:sz w:val="24"/>
          <w:szCs w:val="24"/>
        </w:rPr>
        <w:t>But it did not do so</w:t>
      </w:r>
      <w:r w:rsidR="00F865A4" w:rsidRPr="00781EDC">
        <w:rPr>
          <w:sz w:val="24"/>
          <w:szCs w:val="24"/>
        </w:rPr>
        <w:t>.</w:t>
      </w:r>
    </w:p>
    <w:p w14:paraId="5F5B6A43" w14:textId="434BBC88" w:rsidR="00D356CE" w:rsidRPr="00A10E06" w:rsidRDefault="00F865A4" w:rsidP="00F32608">
      <w:pPr>
        <w:spacing w:line="480" w:lineRule="auto"/>
        <w:ind w:left="720" w:hanging="720"/>
        <w:jc w:val="both"/>
        <w:textAlignment w:val="baseline"/>
        <w:rPr>
          <w:b/>
          <w:sz w:val="24"/>
          <w:szCs w:val="24"/>
        </w:rPr>
      </w:pPr>
      <w:r w:rsidRPr="00781EDC">
        <w:rPr>
          <w:b/>
          <w:sz w:val="24"/>
          <w:szCs w:val="24"/>
        </w:rPr>
        <w:t>Q:</w:t>
      </w:r>
      <w:r>
        <w:tab/>
      </w:r>
      <w:r w:rsidR="00190036" w:rsidRPr="00A10E06">
        <w:rPr>
          <w:b/>
          <w:sz w:val="24"/>
          <w:szCs w:val="24"/>
        </w:rPr>
        <w:t xml:space="preserve">Can you provide background on Columbia’s </w:t>
      </w:r>
      <w:r w:rsidR="00D356CE" w:rsidRPr="00A10E06">
        <w:rPr>
          <w:b/>
          <w:sz w:val="24"/>
          <w:szCs w:val="24"/>
        </w:rPr>
        <w:t>exit the merchant function?</w:t>
      </w:r>
    </w:p>
    <w:p w14:paraId="610822A7" w14:textId="7DF975AF" w:rsidR="00600770" w:rsidRPr="00A10E06" w:rsidRDefault="00D356CE" w:rsidP="00001158">
      <w:pPr>
        <w:pStyle w:val="ListParagraph"/>
        <w:spacing w:line="480" w:lineRule="auto"/>
        <w:ind w:left="720" w:hanging="720"/>
        <w:jc w:val="both"/>
        <w:textAlignment w:val="baseline"/>
        <w:rPr>
          <w:sz w:val="24"/>
          <w:szCs w:val="24"/>
        </w:rPr>
      </w:pPr>
      <w:r w:rsidRPr="00A10E06">
        <w:rPr>
          <w:sz w:val="24"/>
          <w:szCs w:val="24"/>
        </w:rPr>
        <w:t xml:space="preserve">A:  </w:t>
      </w:r>
      <w:r w:rsidRPr="00A10E06">
        <w:rPr>
          <w:sz w:val="24"/>
          <w:szCs w:val="24"/>
        </w:rPr>
        <w:tab/>
        <w:t>Yes,</w:t>
      </w:r>
      <w:r w:rsidR="00CB0134">
        <w:rPr>
          <w:sz w:val="24"/>
          <w:szCs w:val="24"/>
        </w:rPr>
        <w:t xml:space="preserve"> </w:t>
      </w:r>
      <w:r w:rsidR="00A07B17" w:rsidRPr="001F5ABC">
        <w:rPr>
          <w:sz w:val="24"/>
          <w:szCs w:val="24"/>
        </w:rPr>
        <w:t>Columbia</w:t>
      </w:r>
      <w:r w:rsidR="00A07B17" w:rsidRPr="00A10E06">
        <w:rPr>
          <w:sz w:val="24"/>
          <w:szCs w:val="24"/>
        </w:rPr>
        <w:t xml:space="preserve"> has been in the process of leaving the merchant function since 2008.  </w:t>
      </w:r>
      <w:bookmarkStart w:id="9" w:name="_Hlk102652276"/>
      <w:r w:rsidR="00A07B17" w:rsidRPr="00A10E06">
        <w:rPr>
          <w:i/>
          <w:sz w:val="24"/>
          <w:szCs w:val="24"/>
        </w:rPr>
        <w:t>In the Matter of the Application of Columbia Gas of Ohio, Inc. for Approval of a General Exemption of Certain Natural Gas Commodity Services or Ancillary Services</w:t>
      </w:r>
      <w:r w:rsidR="00A07B17" w:rsidRPr="00A10E06">
        <w:rPr>
          <w:sz w:val="24"/>
          <w:szCs w:val="24"/>
        </w:rPr>
        <w:t xml:space="preserve">, Case No. 08-1344-GA-EXM, Notice of Intent to File an Application Pursuant to Section 4929.04 of the Revised Code (Dec. 31, 2008).  </w:t>
      </w:r>
      <w:bookmarkEnd w:id="9"/>
      <w:r w:rsidR="00A07B17" w:rsidRPr="00A10E06">
        <w:rPr>
          <w:sz w:val="24"/>
          <w:szCs w:val="24"/>
        </w:rPr>
        <w:t xml:space="preserve">In an amended stipulation, the Commission approved a </w:t>
      </w:r>
      <w:r w:rsidR="00212490" w:rsidRPr="00A10E06">
        <w:rPr>
          <w:sz w:val="24"/>
          <w:szCs w:val="24"/>
        </w:rPr>
        <w:t>five</w:t>
      </w:r>
      <w:r w:rsidR="00212490">
        <w:rPr>
          <w:sz w:val="24"/>
          <w:szCs w:val="24"/>
        </w:rPr>
        <w:t>-</w:t>
      </w:r>
      <w:r w:rsidR="00A07B17" w:rsidRPr="00A10E06">
        <w:rPr>
          <w:sz w:val="24"/>
          <w:szCs w:val="24"/>
        </w:rPr>
        <w:t>year plan</w:t>
      </w:r>
      <w:r w:rsidR="00A07B17" w:rsidRPr="00A10E06">
        <w:rPr>
          <w:sz w:val="24"/>
          <w:szCs w:val="24"/>
          <w:vertAlign w:val="superscript"/>
        </w:rPr>
        <w:footnoteReference w:id="13"/>
      </w:r>
      <w:r w:rsidR="00A07B17" w:rsidRPr="00A10E06">
        <w:rPr>
          <w:sz w:val="24"/>
          <w:szCs w:val="24"/>
        </w:rPr>
        <w:t xml:space="preserve"> that included a process for Columbia to exit fully the merchant function for commercial and industrial customers upon the attainment of a customer shopping participation threshold of 70% for three consecutive months.  </w:t>
      </w:r>
      <w:r w:rsidR="00A07B17" w:rsidRPr="00A10E06">
        <w:rPr>
          <w:i/>
          <w:sz w:val="24"/>
          <w:szCs w:val="24"/>
        </w:rPr>
        <w:t xml:space="preserve">In the Matter of the Joint Motion to Modify the December 2, 2009 Opinion and Order and the September 7, 2011 </w:t>
      </w:r>
      <w:r w:rsidR="00A07B17" w:rsidRPr="00A10E06">
        <w:rPr>
          <w:i/>
          <w:sz w:val="24"/>
          <w:szCs w:val="24"/>
        </w:rPr>
        <w:lastRenderedPageBreak/>
        <w:t xml:space="preserve">Second Opinion and Order </w:t>
      </w:r>
      <w:r w:rsidR="00A07B17" w:rsidRPr="00A10E06">
        <w:rPr>
          <w:sz w:val="24"/>
          <w:szCs w:val="24"/>
        </w:rPr>
        <w:t xml:space="preserve">in Case No. 08-1344-GA-EXM, Case No. 12-2637-GA-EXM, Amended Joint Motion to Modify Orders Granting Exemption (Nov. 27, 2012), Opinion and Order (Jan. 9, 2013), and </w:t>
      </w:r>
      <w:r w:rsidR="00A07B17" w:rsidRPr="00C33604">
        <w:rPr>
          <w:sz w:val="24"/>
        </w:rPr>
        <w:t>Entry on Rehearing</w:t>
      </w:r>
      <w:r w:rsidR="00A07B17" w:rsidRPr="00A10E06">
        <w:rPr>
          <w:sz w:val="24"/>
          <w:szCs w:val="24"/>
        </w:rPr>
        <w:t xml:space="preserve"> (Mar. 20, 2013).</w:t>
      </w:r>
    </w:p>
    <w:p w14:paraId="2928D62A" w14:textId="434BBC88" w:rsidR="00600770" w:rsidRPr="00A10E06" w:rsidRDefault="00600770" w:rsidP="00D356CE">
      <w:pPr>
        <w:pStyle w:val="ListParagraph"/>
        <w:spacing w:line="480" w:lineRule="auto"/>
        <w:ind w:left="0" w:firstLine="0"/>
        <w:jc w:val="both"/>
        <w:textAlignment w:val="baseline"/>
        <w:rPr>
          <w:b/>
          <w:sz w:val="24"/>
          <w:szCs w:val="24"/>
        </w:rPr>
      </w:pPr>
      <w:r w:rsidRPr="00A10E06">
        <w:rPr>
          <w:b/>
          <w:sz w:val="24"/>
          <w:szCs w:val="24"/>
        </w:rPr>
        <w:t xml:space="preserve">Q:  </w:t>
      </w:r>
      <w:r w:rsidR="00E67911">
        <w:tab/>
      </w:r>
      <w:r w:rsidRPr="00A10E06">
        <w:rPr>
          <w:b/>
          <w:sz w:val="24"/>
          <w:szCs w:val="24"/>
        </w:rPr>
        <w:t xml:space="preserve">Has Columbia taken steps to transition </w:t>
      </w:r>
      <w:r w:rsidR="00F01F2A" w:rsidRPr="00A10E06">
        <w:rPr>
          <w:b/>
          <w:sz w:val="24"/>
          <w:szCs w:val="24"/>
        </w:rPr>
        <w:t>away from the merchant function?</w:t>
      </w:r>
    </w:p>
    <w:p w14:paraId="47D10DF4" w14:textId="70F1F633" w:rsidR="00A07B17" w:rsidRPr="009F33C9" w:rsidRDefault="009F33C9" w:rsidP="009F33C9">
      <w:pPr>
        <w:spacing w:line="480" w:lineRule="auto"/>
        <w:ind w:left="720" w:hanging="720"/>
        <w:jc w:val="both"/>
        <w:textAlignment w:val="baseline"/>
        <w:rPr>
          <w:sz w:val="24"/>
          <w:szCs w:val="24"/>
        </w:rPr>
      </w:pPr>
      <w:r>
        <w:rPr>
          <w:sz w:val="24"/>
          <w:szCs w:val="24"/>
        </w:rPr>
        <w:t xml:space="preserve">A. </w:t>
      </w:r>
      <w:r w:rsidR="00F01F2A" w:rsidRPr="009F33C9">
        <w:rPr>
          <w:sz w:val="24"/>
          <w:szCs w:val="24"/>
        </w:rPr>
        <w:t xml:space="preserve"> </w:t>
      </w:r>
      <w:r w:rsidR="00F539FF" w:rsidRPr="009F33C9">
        <w:rPr>
          <w:sz w:val="24"/>
          <w:szCs w:val="24"/>
        </w:rPr>
        <w:tab/>
      </w:r>
      <w:r w:rsidR="00F01F2A" w:rsidRPr="009F33C9">
        <w:rPr>
          <w:sz w:val="24"/>
          <w:szCs w:val="24"/>
        </w:rPr>
        <w:t xml:space="preserve">No, it has not.  </w:t>
      </w:r>
      <w:r w:rsidR="00A07B17" w:rsidRPr="009F33C9">
        <w:rPr>
          <w:sz w:val="24"/>
          <w:szCs w:val="24"/>
        </w:rPr>
        <w:t>Because th</w:t>
      </w:r>
      <w:r w:rsidR="00F01F2A" w:rsidRPr="009F33C9">
        <w:rPr>
          <w:sz w:val="24"/>
          <w:szCs w:val="24"/>
        </w:rPr>
        <w:t>e 70%</w:t>
      </w:r>
      <w:r w:rsidR="00A07B17" w:rsidRPr="009F33C9">
        <w:rPr>
          <w:sz w:val="24"/>
          <w:szCs w:val="24"/>
        </w:rPr>
        <w:t xml:space="preserve"> level of shopping was not attained, </w:t>
      </w:r>
      <w:r w:rsidR="009D66C5" w:rsidRPr="009F33C9">
        <w:rPr>
          <w:sz w:val="24"/>
          <w:szCs w:val="24"/>
        </w:rPr>
        <w:t xml:space="preserve">a significant portion of the </w:t>
      </w:r>
      <w:r w:rsidR="00A07B17" w:rsidRPr="009F33C9">
        <w:rPr>
          <w:sz w:val="24"/>
          <w:szCs w:val="24"/>
        </w:rPr>
        <w:t>commercial and industrial customer</w:t>
      </w:r>
      <w:r w:rsidR="00431112" w:rsidRPr="009F33C9">
        <w:rPr>
          <w:sz w:val="24"/>
          <w:szCs w:val="24"/>
        </w:rPr>
        <w:t>s</w:t>
      </w:r>
      <w:r w:rsidR="005D2A4A" w:rsidRPr="009F33C9">
        <w:rPr>
          <w:sz w:val="24"/>
          <w:szCs w:val="24"/>
        </w:rPr>
        <w:t xml:space="preserve"> </w:t>
      </w:r>
      <w:r w:rsidR="009614B5">
        <w:rPr>
          <w:sz w:val="24"/>
          <w:szCs w:val="24"/>
        </w:rPr>
        <w:t>are</w:t>
      </w:r>
      <w:r w:rsidR="00431112" w:rsidRPr="009F33C9">
        <w:rPr>
          <w:sz w:val="24"/>
          <w:szCs w:val="24"/>
        </w:rPr>
        <w:t xml:space="preserve"> </w:t>
      </w:r>
      <w:r w:rsidR="009D66C5" w:rsidRPr="009F33C9">
        <w:rPr>
          <w:sz w:val="24"/>
          <w:szCs w:val="24"/>
        </w:rPr>
        <w:t>still being served by the variable standard choice offer rate</w:t>
      </w:r>
      <w:r w:rsidR="00A07B17" w:rsidRPr="009F33C9">
        <w:rPr>
          <w:sz w:val="24"/>
          <w:szCs w:val="24"/>
        </w:rPr>
        <w:t>.</w:t>
      </w:r>
      <w:r w:rsidR="007D5187" w:rsidRPr="009F33C9">
        <w:rPr>
          <w:sz w:val="24"/>
          <w:szCs w:val="24"/>
        </w:rPr>
        <w:t xml:space="preserve">  </w:t>
      </w:r>
      <w:r w:rsidR="00A07B17" w:rsidRPr="009F33C9">
        <w:rPr>
          <w:sz w:val="24"/>
          <w:szCs w:val="24"/>
        </w:rPr>
        <w:t xml:space="preserve">Although the reasons for Columbia’s exit of the merchant function are as strong as they were in 2013 due to market conditions and circumstances warranting a change from the current exit plan exist, the Application and the Staff Report fail to advance that outcome in this proceeding.  </w:t>
      </w:r>
    </w:p>
    <w:p w14:paraId="1F922D4D" w14:textId="6D62BE8B" w:rsidR="00B15E54" w:rsidRPr="00BA169A" w:rsidRDefault="00E46E61" w:rsidP="009F33C9">
      <w:pPr>
        <w:spacing w:line="480" w:lineRule="auto"/>
        <w:jc w:val="both"/>
        <w:textAlignment w:val="baseline"/>
        <w:rPr>
          <w:b/>
          <w:bCs/>
          <w:sz w:val="24"/>
          <w:szCs w:val="24"/>
        </w:rPr>
      </w:pPr>
      <w:r w:rsidRPr="00AD19FC">
        <w:rPr>
          <w:b/>
          <w:bCs/>
          <w:sz w:val="24"/>
          <w:szCs w:val="24"/>
        </w:rPr>
        <w:t xml:space="preserve">Q.  </w:t>
      </w:r>
      <w:r w:rsidR="00BA169A">
        <w:rPr>
          <w:b/>
          <w:bCs/>
          <w:sz w:val="24"/>
          <w:szCs w:val="24"/>
        </w:rPr>
        <w:tab/>
      </w:r>
      <w:r w:rsidR="00B15E54" w:rsidRPr="00BA169A">
        <w:rPr>
          <w:b/>
          <w:bCs/>
          <w:sz w:val="24"/>
          <w:szCs w:val="24"/>
        </w:rPr>
        <w:t xml:space="preserve">What is the policy of the State of Ohio with respect to natural gas competition? </w:t>
      </w:r>
    </w:p>
    <w:p w14:paraId="245E154A" w14:textId="38C106F6" w:rsidR="00B15E54" w:rsidRDefault="00B15E54" w:rsidP="009F33C9">
      <w:pPr>
        <w:spacing w:line="480" w:lineRule="auto"/>
        <w:ind w:left="720" w:hanging="720"/>
        <w:jc w:val="both"/>
        <w:textAlignment w:val="baseline"/>
        <w:rPr>
          <w:sz w:val="24"/>
          <w:szCs w:val="24"/>
        </w:rPr>
      </w:pPr>
      <w:r w:rsidRPr="00BA169A">
        <w:rPr>
          <w:sz w:val="24"/>
          <w:szCs w:val="24"/>
        </w:rPr>
        <w:t xml:space="preserve">A. </w:t>
      </w:r>
      <w:r w:rsidR="00BA169A" w:rsidRPr="00BA169A">
        <w:rPr>
          <w:sz w:val="24"/>
          <w:szCs w:val="24"/>
        </w:rPr>
        <w:tab/>
      </w:r>
      <w:r w:rsidRPr="00BA169A">
        <w:rPr>
          <w:sz w:val="24"/>
          <w:szCs w:val="24"/>
        </w:rPr>
        <w:t>Among other things, Ohio Revised Code Section 4929.02</w:t>
      </w:r>
      <w:r w:rsidR="0012104F">
        <w:rPr>
          <w:sz w:val="24"/>
          <w:szCs w:val="24"/>
        </w:rPr>
        <w:t>(A)(7)</w:t>
      </w:r>
      <w:r w:rsidRPr="00BA169A">
        <w:rPr>
          <w:sz w:val="24"/>
          <w:szCs w:val="24"/>
        </w:rPr>
        <w:t xml:space="preserve"> states that it is the policy of the State to “</w:t>
      </w:r>
      <w:r w:rsidRPr="00BA169A">
        <w:rPr>
          <w:i/>
          <w:iCs/>
          <w:sz w:val="24"/>
          <w:szCs w:val="24"/>
        </w:rPr>
        <w:t xml:space="preserve">promote an expeditious transition to the provision of natural gas services and goods in a manner that achieves effective competition </w:t>
      </w:r>
      <w:r w:rsidR="00BA169A" w:rsidRPr="00BA169A">
        <w:rPr>
          <w:i/>
          <w:iCs/>
          <w:sz w:val="24"/>
          <w:szCs w:val="24"/>
        </w:rPr>
        <w:t>and transactions</w:t>
      </w:r>
      <w:r w:rsidRPr="00BA169A">
        <w:rPr>
          <w:i/>
          <w:iCs/>
          <w:sz w:val="24"/>
          <w:szCs w:val="24"/>
        </w:rPr>
        <w:t xml:space="preserve"> between willing buyers and willing sellers to reduce or eliminate the need for regulation of natural gas services</w:t>
      </w:r>
      <w:r w:rsidRPr="00BA169A">
        <w:rPr>
          <w:sz w:val="24"/>
          <w:szCs w:val="24"/>
        </w:rPr>
        <w:t xml:space="preserve">.” (Emphasis added.) In enacting this statute, the General Assembly reinforced a policy already </w:t>
      </w:r>
      <w:r w:rsidR="00324ADF" w:rsidRPr="00BA169A">
        <w:rPr>
          <w:sz w:val="24"/>
          <w:szCs w:val="24"/>
        </w:rPr>
        <w:t>being implemented</w:t>
      </w:r>
      <w:r w:rsidRPr="00BA169A">
        <w:rPr>
          <w:sz w:val="24"/>
          <w:szCs w:val="24"/>
        </w:rPr>
        <w:t xml:space="preserve"> by the Commission on a more limited scale of purs</w:t>
      </w:r>
      <w:r w:rsidR="0012104F">
        <w:rPr>
          <w:sz w:val="24"/>
          <w:szCs w:val="24"/>
        </w:rPr>
        <w:t>u</w:t>
      </w:r>
      <w:r w:rsidRPr="00BA169A">
        <w:rPr>
          <w:sz w:val="24"/>
          <w:szCs w:val="24"/>
        </w:rPr>
        <w:t>ing gas choice. That policy was predicated on the understanding that effective competition requires willing buyers and willing sellers to engage in</w:t>
      </w:r>
      <w:r w:rsidR="00BA169A">
        <w:rPr>
          <w:sz w:val="24"/>
          <w:szCs w:val="24"/>
        </w:rPr>
        <w:t xml:space="preserve"> </w:t>
      </w:r>
      <w:r w:rsidRPr="00BA169A">
        <w:rPr>
          <w:sz w:val="24"/>
          <w:szCs w:val="24"/>
        </w:rPr>
        <w:t>the natural gas market and that reducing or eliminating regulation for natural gas services benefits customers</w:t>
      </w:r>
      <w:r w:rsidR="00EA564C">
        <w:rPr>
          <w:sz w:val="24"/>
          <w:szCs w:val="24"/>
        </w:rPr>
        <w:t>.</w:t>
      </w:r>
    </w:p>
    <w:p w14:paraId="70EA6B90" w14:textId="2B46D3B0" w:rsidR="00EA564C" w:rsidRPr="00592F67" w:rsidRDefault="00EA564C" w:rsidP="009F33C9">
      <w:pPr>
        <w:spacing w:line="480" w:lineRule="auto"/>
        <w:ind w:left="720" w:hanging="720"/>
        <w:jc w:val="both"/>
        <w:rPr>
          <w:b/>
          <w:bCs/>
          <w:sz w:val="24"/>
          <w:szCs w:val="24"/>
        </w:rPr>
      </w:pPr>
      <w:r w:rsidRPr="00592F67">
        <w:rPr>
          <w:b/>
          <w:bCs/>
          <w:sz w:val="24"/>
          <w:szCs w:val="24"/>
        </w:rPr>
        <w:t xml:space="preserve">Q. </w:t>
      </w:r>
      <w:r w:rsidRPr="00592F67">
        <w:rPr>
          <w:b/>
          <w:bCs/>
          <w:sz w:val="24"/>
          <w:szCs w:val="24"/>
        </w:rPr>
        <w:tab/>
        <w:t xml:space="preserve">Is the SCO an effective means of moving customers toward choice, i.e., willing buyers and willing sellers to engage in transactions? </w:t>
      </w:r>
    </w:p>
    <w:p w14:paraId="105CA69F" w14:textId="15F5337E" w:rsidR="007B1218" w:rsidRDefault="00EA564C" w:rsidP="009F33C9">
      <w:pPr>
        <w:spacing w:line="480" w:lineRule="auto"/>
        <w:ind w:left="720" w:hanging="720"/>
        <w:jc w:val="both"/>
        <w:rPr>
          <w:sz w:val="24"/>
          <w:szCs w:val="24"/>
        </w:rPr>
      </w:pPr>
      <w:r w:rsidRPr="008E3702">
        <w:t>A.</w:t>
      </w:r>
      <w:r>
        <w:tab/>
      </w:r>
      <w:r w:rsidRPr="008E3702">
        <w:t xml:space="preserve"> </w:t>
      </w:r>
      <w:r w:rsidRPr="00BB4124">
        <w:rPr>
          <w:sz w:val="24"/>
          <w:szCs w:val="24"/>
        </w:rPr>
        <w:t xml:space="preserve">No. While the policy of the State is for willing buyers and willing sellers to </w:t>
      </w:r>
      <w:r w:rsidR="00851DD7" w:rsidRPr="00BB4124">
        <w:rPr>
          <w:sz w:val="24"/>
          <w:szCs w:val="24"/>
        </w:rPr>
        <w:t>engage in</w:t>
      </w:r>
      <w:r w:rsidRPr="00BB4124">
        <w:rPr>
          <w:sz w:val="24"/>
          <w:szCs w:val="24"/>
        </w:rPr>
        <w:t xml:space="preserve"> </w:t>
      </w:r>
      <w:r w:rsidRPr="00BB4124">
        <w:rPr>
          <w:sz w:val="24"/>
          <w:szCs w:val="24"/>
        </w:rPr>
        <w:lastRenderedPageBreak/>
        <w:t xml:space="preserve">natural gas transactions, the SCO, otherwise known as “default service,” encourages the exact opposite. </w:t>
      </w:r>
      <w:r w:rsidR="00592F67" w:rsidRPr="00BB4124">
        <w:rPr>
          <w:sz w:val="24"/>
          <w:szCs w:val="24"/>
        </w:rPr>
        <w:t xml:space="preserve">The Commission has previously found that </w:t>
      </w:r>
      <w:r w:rsidR="00AD1B8A" w:rsidRPr="00BB4124">
        <w:rPr>
          <w:sz w:val="24"/>
          <w:szCs w:val="24"/>
        </w:rPr>
        <w:t>assigning customers to the SC</w:t>
      </w:r>
      <w:r w:rsidR="00BB4124" w:rsidRPr="00BB4124">
        <w:rPr>
          <w:sz w:val="24"/>
          <w:szCs w:val="24"/>
        </w:rPr>
        <w:t>O</w:t>
      </w:r>
      <w:r w:rsidR="00AD1B8A" w:rsidRPr="00BB4124">
        <w:rPr>
          <w:sz w:val="24"/>
          <w:szCs w:val="24"/>
        </w:rPr>
        <w:t>, without a willing tran</w:t>
      </w:r>
      <w:r w:rsidR="00BB4124" w:rsidRPr="00BB4124">
        <w:rPr>
          <w:sz w:val="24"/>
          <w:szCs w:val="24"/>
        </w:rPr>
        <w:t>saction, was a barrier to the development of retail choice.</w:t>
      </w:r>
      <w:r w:rsidR="00BB4124" w:rsidRPr="00BB4124">
        <w:rPr>
          <w:rStyle w:val="FootnoteReference"/>
          <w:szCs w:val="24"/>
        </w:rPr>
        <w:footnoteReference w:id="14"/>
      </w:r>
      <w:r w:rsidR="00431112">
        <w:rPr>
          <w:sz w:val="24"/>
          <w:szCs w:val="24"/>
        </w:rPr>
        <w:t xml:space="preserve"> </w:t>
      </w:r>
      <w:r w:rsidR="00FF07D9">
        <w:rPr>
          <w:sz w:val="24"/>
          <w:szCs w:val="24"/>
        </w:rPr>
        <w:t xml:space="preserve"> </w:t>
      </w:r>
      <w:r w:rsidR="00431112">
        <w:rPr>
          <w:sz w:val="24"/>
          <w:szCs w:val="24"/>
        </w:rPr>
        <w:t xml:space="preserve">The </w:t>
      </w:r>
      <w:r w:rsidR="00431112" w:rsidRPr="00E20ABA">
        <w:rPr>
          <w:sz w:val="24"/>
          <w:szCs w:val="24"/>
        </w:rPr>
        <w:t>Commission</w:t>
      </w:r>
      <w:r w:rsidR="00431112">
        <w:rPr>
          <w:sz w:val="24"/>
          <w:szCs w:val="24"/>
        </w:rPr>
        <w:t xml:space="preserve"> has </w:t>
      </w:r>
      <w:r w:rsidR="00431112" w:rsidRPr="00E20ABA">
        <w:rPr>
          <w:sz w:val="24"/>
          <w:szCs w:val="24"/>
        </w:rPr>
        <w:t xml:space="preserve">determined that </w:t>
      </w:r>
      <w:r w:rsidR="00431112">
        <w:rPr>
          <w:sz w:val="24"/>
          <w:szCs w:val="24"/>
        </w:rPr>
        <w:t>the SCO is “</w:t>
      </w:r>
      <w:r w:rsidR="00431112" w:rsidRPr="00E20ABA">
        <w:rPr>
          <w:sz w:val="24"/>
          <w:szCs w:val="24"/>
        </w:rPr>
        <w:t>negatively affecting all Ohioans by hindering the development of a fully-competitive marketplace.”</w:t>
      </w:r>
      <w:r w:rsidR="00431112">
        <w:rPr>
          <w:rStyle w:val="FootnoteReference"/>
          <w:szCs w:val="24"/>
        </w:rPr>
        <w:footnoteReference w:id="15"/>
      </w:r>
      <w:r w:rsidR="00431112" w:rsidRPr="00E20ABA">
        <w:rPr>
          <w:sz w:val="24"/>
          <w:szCs w:val="24"/>
        </w:rPr>
        <w:t xml:space="preserve"> </w:t>
      </w:r>
      <w:r w:rsidR="00431112">
        <w:rPr>
          <w:sz w:val="24"/>
          <w:szCs w:val="24"/>
        </w:rPr>
        <w:t>For</w:t>
      </w:r>
      <w:r w:rsidR="002420EE">
        <w:rPr>
          <w:sz w:val="24"/>
          <w:szCs w:val="24"/>
        </w:rPr>
        <w:t xml:space="preserve"> </w:t>
      </w:r>
      <w:r w:rsidR="00431112">
        <w:rPr>
          <w:sz w:val="24"/>
          <w:szCs w:val="24"/>
        </w:rPr>
        <w:t>Dominion East Ohio</w:t>
      </w:r>
      <w:r w:rsidR="0012104F">
        <w:rPr>
          <w:sz w:val="24"/>
          <w:szCs w:val="24"/>
        </w:rPr>
        <w:t>’s</w:t>
      </w:r>
      <w:r w:rsidR="00431112">
        <w:rPr>
          <w:sz w:val="24"/>
          <w:szCs w:val="24"/>
        </w:rPr>
        <w:t xml:space="preserve"> commercial and industrial customers</w:t>
      </w:r>
      <w:r w:rsidR="00431112" w:rsidRPr="00E20ABA">
        <w:rPr>
          <w:sz w:val="24"/>
          <w:szCs w:val="24"/>
        </w:rPr>
        <w:t>, the Commission eliminated the availability of the SCO to fulfill the state’s policy objectives, including developing the competitive market for natural gas services</w:t>
      </w:r>
      <w:r w:rsidR="0012104F">
        <w:rPr>
          <w:sz w:val="24"/>
          <w:szCs w:val="24"/>
        </w:rPr>
        <w:t>.</w:t>
      </w:r>
    </w:p>
    <w:p w14:paraId="407C2156" w14:textId="5EA516BA" w:rsidR="00B15E54" w:rsidRPr="00324ADF" w:rsidRDefault="00CE7EDA" w:rsidP="009F33C9">
      <w:pPr>
        <w:spacing w:line="480" w:lineRule="auto"/>
        <w:jc w:val="both"/>
        <w:rPr>
          <w:b/>
          <w:bCs/>
        </w:rPr>
      </w:pPr>
      <w:r w:rsidRPr="00324ADF">
        <w:rPr>
          <w:b/>
          <w:bCs/>
          <w:sz w:val="24"/>
          <w:szCs w:val="24"/>
        </w:rPr>
        <w:t xml:space="preserve">Q.  </w:t>
      </w:r>
      <w:r w:rsidR="00324ADF">
        <w:rPr>
          <w:b/>
          <w:bCs/>
          <w:sz w:val="24"/>
          <w:szCs w:val="24"/>
        </w:rPr>
        <w:tab/>
      </w:r>
      <w:r w:rsidRPr="00324ADF">
        <w:rPr>
          <w:b/>
          <w:bCs/>
          <w:sz w:val="24"/>
          <w:szCs w:val="24"/>
        </w:rPr>
        <w:t xml:space="preserve">Is </w:t>
      </w:r>
      <w:r w:rsidR="00324ADF" w:rsidRPr="00324ADF">
        <w:rPr>
          <w:b/>
          <w:bCs/>
          <w:sz w:val="24"/>
          <w:szCs w:val="24"/>
        </w:rPr>
        <w:t>the S</w:t>
      </w:r>
      <w:r w:rsidR="004B679D">
        <w:rPr>
          <w:b/>
          <w:bCs/>
          <w:sz w:val="24"/>
          <w:szCs w:val="24"/>
        </w:rPr>
        <w:t>C</w:t>
      </w:r>
      <w:r w:rsidR="007D3F4B">
        <w:rPr>
          <w:b/>
          <w:bCs/>
          <w:sz w:val="24"/>
          <w:szCs w:val="24"/>
        </w:rPr>
        <w:t xml:space="preserve">O </w:t>
      </w:r>
      <w:r w:rsidR="0012104F">
        <w:rPr>
          <w:b/>
          <w:bCs/>
          <w:sz w:val="24"/>
          <w:szCs w:val="24"/>
        </w:rPr>
        <w:t>affecting</w:t>
      </w:r>
      <w:r w:rsidR="0012104F" w:rsidRPr="00324ADF">
        <w:rPr>
          <w:b/>
          <w:bCs/>
          <w:sz w:val="24"/>
          <w:szCs w:val="24"/>
        </w:rPr>
        <w:t xml:space="preserve"> </w:t>
      </w:r>
      <w:r w:rsidR="00324ADF" w:rsidRPr="00324ADF">
        <w:rPr>
          <w:b/>
          <w:bCs/>
          <w:sz w:val="24"/>
          <w:szCs w:val="24"/>
        </w:rPr>
        <w:t xml:space="preserve">customers? </w:t>
      </w:r>
    </w:p>
    <w:p w14:paraId="39731BFA" w14:textId="24639942" w:rsidR="00CE1315" w:rsidRDefault="00AD19FC" w:rsidP="009F33C9">
      <w:pPr>
        <w:spacing w:line="480" w:lineRule="auto"/>
        <w:ind w:left="720" w:hanging="720"/>
        <w:jc w:val="both"/>
        <w:textAlignment w:val="baseline"/>
        <w:rPr>
          <w:sz w:val="24"/>
          <w:szCs w:val="24"/>
        </w:rPr>
      </w:pPr>
      <w:r w:rsidRPr="00324ADF">
        <w:rPr>
          <w:sz w:val="24"/>
          <w:szCs w:val="24"/>
        </w:rPr>
        <w:t xml:space="preserve">A.  </w:t>
      </w:r>
      <w:r w:rsidR="00324ADF">
        <w:rPr>
          <w:sz w:val="24"/>
          <w:szCs w:val="24"/>
        </w:rPr>
        <w:tab/>
      </w:r>
      <w:r w:rsidR="004D7D56" w:rsidRPr="00324ADF">
        <w:rPr>
          <w:sz w:val="24"/>
          <w:szCs w:val="24"/>
        </w:rPr>
        <w:t xml:space="preserve">As demonstrated by the testimony of Paul Leanza, </w:t>
      </w:r>
      <w:r w:rsidR="00EC03CA" w:rsidRPr="00324ADF">
        <w:rPr>
          <w:sz w:val="24"/>
          <w:szCs w:val="24"/>
        </w:rPr>
        <w:t xml:space="preserve">we are entering a period of natural gas volatility that we have not experienced since </w:t>
      </w:r>
      <w:r w:rsidR="00906544" w:rsidRPr="00324ADF">
        <w:rPr>
          <w:sz w:val="24"/>
          <w:szCs w:val="24"/>
        </w:rPr>
        <w:t>2008 when Columbia initially took steps to exit the merchant function.</w:t>
      </w:r>
      <w:r w:rsidR="000B7E42" w:rsidRPr="00324ADF">
        <w:rPr>
          <w:sz w:val="24"/>
          <w:szCs w:val="24"/>
        </w:rPr>
        <w:t xml:space="preserve">  This price volatility</w:t>
      </w:r>
      <w:r w:rsidR="00A11544" w:rsidRPr="00324ADF">
        <w:rPr>
          <w:sz w:val="24"/>
          <w:szCs w:val="24"/>
        </w:rPr>
        <w:t xml:space="preserve"> </w:t>
      </w:r>
      <w:r w:rsidR="00E76537" w:rsidRPr="00324ADF">
        <w:rPr>
          <w:sz w:val="24"/>
          <w:szCs w:val="24"/>
        </w:rPr>
        <w:t>has</w:t>
      </w:r>
      <w:r w:rsidR="00D31F2E" w:rsidRPr="00324ADF">
        <w:rPr>
          <w:sz w:val="24"/>
          <w:szCs w:val="24"/>
        </w:rPr>
        <w:t xml:space="preserve"> translated into </w:t>
      </w:r>
      <w:r w:rsidR="007312E0" w:rsidRPr="00324ADF">
        <w:rPr>
          <w:sz w:val="24"/>
          <w:szCs w:val="24"/>
        </w:rPr>
        <w:t>the</w:t>
      </w:r>
      <w:r w:rsidR="00B126E4">
        <w:rPr>
          <w:sz w:val="24"/>
          <w:szCs w:val="24"/>
        </w:rPr>
        <w:t xml:space="preserve"> some of the</w:t>
      </w:r>
      <w:r w:rsidR="007312E0" w:rsidRPr="00324ADF">
        <w:rPr>
          <w:sz w:val="24"/>
          <w:szCs w:val="24"/>
        </w:rPr>
        <w:t xml:space="preserve"> highest and most volatile SCO rates we </w:t>
      </w:r>
      <w:r w:rsidR="005167C7" w:rsidRPr="00324ADF">
        <w:rPr>
          <w:sz w:val="24"/>
          <w:szCs w:val="24"/>
        </w:rPr>
        <w:t>have see</w:t>
      </w:r>
      <w:r w:rsidR="00E21547">
        <w:rPr>
          <w:sz w:val="24"/>
          <w:szCs w:val="24"/>
        </w:rPr>
        <w:t>n</w:t>
      </w:r>
      <w:r w:rsidR="00DA6FF7">
        <w:rPr>
          <w:sz w:val="24"/>
          <w:szCs w:val="24"/>
        </w:rPr>
        <w:t>.</w:t>
      </w:r>
      <w:r w:rsidR="00B126E4">
        <w:rPr>
          <w:sz w:val="24"/>
          <w:szCs w:val="24"/>
        </w:rPr>
        <w:t xml:space="preserve"> </w:t>
      </w:r>
      <w:r w:rsidR="00E20ABA">
        <w:rPr>
          <w:sz w:val="24"/>
          <w:szCs w:val="24"/>
        </w:rPr>
        <w:t xml:space="preserve"> </w:t>
      </w:r>
      <w:r w:rsidR="00112CC1">
        <w:rPr>
          <w:sz w:val="24"/>
          <w:szCs w:val="24"/>
        </w:rPr>
        <w:t xml:space="preserve"> </w:t>
      </w:r>
    </w:p>
    <w:p w14:paraId="1B0A33EF" w14:textId="2F5D12D9" w:rsidR="00781C61" w:rsidRDefault="00300ADF" w:rsidP="009F33C9">
      <w:pPr>
        <w:spacing w:line="480" w:lineRule="auto"/>
        <w:jc w:val="both"/>
        <w:textAlignment w:val="baseline"/>
        <w:rPr>
          <w:sz w:val="24"/>
          <w:szCs w:val="24"/>
        </w:rPr>
      </w:pPr>
      <w:r w:rsidRPr="00300A59">
        <w:rPr>
          <w:b/>
          <w:bCs/>
          <w:sz w:val="24"/>
          <w:szCs w:val="24"/>
        </w:rPr>
        <w:t>Q.</w:t>
      </w:r>
      <w:r>
        <w:rPr>
          <w:sz w:val="24"/>
          <w:szCs w:val="24"/>
        </w:rPr>
        <w:t xml:space="preserve"> </w:t>
      </w:r>
      <w:r w:rsidR="0031708F">
        <w:rPr>
          <w:sz w:val="24"/>
          <w:szCs w:val="24"/>
        </w:rPr>
        <w:tab/>
      </w:r>
      <w:r w:rsidR="005A5100">
        <w:rPr>
          <w:b/>
          <w:bCs/>
          <w:sz w:val="24"/>
          <w:szCs w:val="24"/>
        </w:rPr>
        <w:t xml:space="preserve">What is your recommendation?  </w:t>
      </w:r>
    </w:p>
    <w:p w14:paraId="0E63BE9C" w14:textId="175492DA" w:rsidR="00A535EC" w:rsidRDefault="0031708F" w:rsidP="009F33C9">
      <w:pPr>
        <w:spacing w:line="480" w:lineRule="auto"/>
        <w:ind w:left="720" w:hanging="720"/>
        <w:jc w:val="both"/>
        <w:textAlignment w:val="baseline"/>
        <w:rPr>
          <w:sz w:val="24"/>
          <w:szCs w:val="24"/>
        </w:rPr>
      </w:pPr>
      <w:r>
        <w:rPr>
          <w:sz w:val="24"/>
          <w:szCs w:val="24"/>
        </w:rPr>
        <w:t>A.</w:t>
      </w:r>
      <w:r w:rsidRPr="00C33604">
        <w:rPr>
          <w:rFonts w:ascii="Calibri" w:hAnsi="Calibri"/>
          <w:sz w:val="24"/>
        </w:rPr>
        <w:t xml:space="preserve"> </w:t>
      </w:r>
      <w:r w:rsidRPr="00C33604">
        <w:rPr>
          <w:rFonts w:ascii="Calibri" w:hAnsi="Calibri"/>
          <w:sz w:val="24"/>
        </w:rPr>
        <w:tab/>
      </w:r>
      <w:r w:rsidR="00C74CA6">
        <w:rPr>
          <w:sz w:val="24"/>
          <w:szCs w:val="24"/>
        </w:rPr>
        <w:t>The SCO is clearly hindering the development of the competitive market in Columbia’s service territory.</w:t>
      </w:r>
      <w:r w:rsidR="00922591">
        <w:rPr>
          <w:sz w:val="24"/>
          <w:szCs w:val="24"/>
        </w:rPr>
        <w:t xml:space="preserve"> The lack of development is working against the interest of commercial and industrial customers</w:t>
      </w:r>
      <w:r w:rsidR="00AC1463">
        <w:rPr>
          <w:sz w:val="24"/>
          <w:szCs w:val="24"/>
        </w:rPr>
        <w:t xml:space="preserve">.  </w:t>
      </w:r>
      <w:r w:rsidR="005A5100">
        <w:rPr>
          <w:sz w:val="24"/>
          <w:szCs w:val="24"/>
        </w:rPr>
        <w:t xml:space="preserve">The Commission has </w:t>
      </w:r>
      <w:r w:rsidR="002B2EFD">
        <w:rPr>
          <w:sz w:val="24"/>
          <w:szCs w:val="24"/>
        </w:rPr>
        <w:t xml:space="preserve">previously </w:t>
      </w:r>
      <w:r w:rsidR="005A5100">
        <w:rPr>
          <w:sz w:val="24"/>
          <w:szCs w:val="24"/>
        </w:rPr>
        <w:t xml:space="preserve">identified that </w:t>
      </w:r>
      <w:r w:rsidR="002B46D1">
        <w:rPr>
          <w:sz w:val="24"/>
          <w:szCs w:val="24"/>
        </w:rPr>
        <w:t xml:space="preserve">allowing the </w:t>
      </w:r>
      <w:r w:rsidR="002B2EFD">
        <w:rPr>
          <w:sz w:val="24"/>
          <w:szCs w:val="24"/>
        </w:rPr>
        <w:t xml:space="preserve">natural gas company to exit the merchant function </w:t>
      </w:r>
      <w:r w:rsidR="002B2EFD" w:rsidRPr="00A535EC">
        <w:rPr>
          <w:sz w:val="24"/>
          <w:szCs w:val="24"/>
        </w:rPr>
        <w:t xml:space="preserve">for nonresidential customers will encourage innovation, both in how services are provided and in the variety of available </w:t>
      </w:r>
      <w:r w:rsidR="002B2EFD" w:rsidRPr="00A535EC">
        <w:rPr>
          <w:sz w:val="24"/>
          <w:szCs w:val="24"/>
        </w:rPr>
        <w:lastRenderedPageBreak/>
        <w:t>products.</w:t>
      </w:r>
      <w:r w:rsidR="00EC3154">
        <w:rPr>
          <w:rStyle w:val="FootnoteReference"/>
          <w:szCs w:val="24"/>
        </w:rPr>
        <w:footnoteReference w:id="16"/>
      </w:r>
      <w:r w:rsidR="002B2EFD">
        <w:rPr>
          <w:sz w:val="24"/>
          <w:szCs w:val="24"/>
        </w:rPr>
        <w:t xml:space="preserve"> </w:t>
      </w:r>
      <w:r w:rsidR="00204383" w:rsidRPr="00324ADF">
        <w:rPr>
          <w:sz w:val="24"/>
          <w:szCs w:val="24"/>
        </w:rPr>
        <w:t>Because it has not been and will not be in the public interest for Columbia to remain the default provider of gas supply for commercial and industrial customers</w:t>
      </w:r>
      <w:r w:rsidR="007A4F24">
        <w:rPr>
          <w:sz w:val="24"/>
          <w:szCs w:val="24"/>
        </w:rPr>
        <w:t xml:space="preserve">, </w:t>
      </w:r>
      <w:r w:rsidR="002420EE">
        <w:rPr>
          <w:sz w:val="24"/>
          <w:szCs w:val="24"/>
        </w:rPr>
        <w:t>th</w:t>
      </w:r>
      <w:r w:rsidR="002420EE" w:rsidRPr="00324ADF">
        <w:rPr>
          <w:sz w:val="24"/>
          <w:szCs w:val="24"/>
        </w:rPr>
        <w:t>e</w:t>
      </w:r>
      <w:r w:rsidR="00A07B17" w:rsidRPr="00324ADF">
        <w:rPr>
          <w:sz w:val="24"/>
          <w:szCs w:val="24"/>
        </w:rPr>
        <w:t xml:space="preserve"> Commission should direct in this proceeding that Columbia exit the merchant function</w:t>
      </w:r>
      <w:r w:rsidR="003678C4">
        <w:rPr>
          <w:sz w:val="24"/>
          <w:szCs w:val="24"/>
        </w:rPr>
        <w:t xml:space="preserve"> </w:t>
      </w:r>
      <w:r w:rsidR="0001478C">
        <w:rPr>
          <w:sz w:val="24"/>
          <w:szCs w:val="24"/>
        </w:rPr>
        <w:t xml:space="preserve">and </w:t>
      </w:r>
      <w:r w:rsidR="00A07B17" w:rsidRPr="00324ADF">
        <w:rPr>
          <w:sz w:val="24"/>
          <w:szCs w:val="24"/>
        </w:rPr>
        <w:t>that the provisions for doing so set out in the amended stipulation in Case No. 12-2367-GA-EXM be implemented.</w:t>
      </w:r>
      <w:r w:rsidR="00C74CA6">
        <w:rPr>
          <w:sz w:val="24"/>
          <w:szCs w:val="24"/>
        </w:rPr>
        <w:t xml:space="preserve">  </w:t>
      </w:r>
    </w:p>
    <w:p w14:paraId="3F344BBF" w14:textId="0986A8EA" w:rsidR="0012104F" w:rsidRPr="006F6F9B" w:rsidRDefault="0012104F" w:rsidP="009F33C9">
      <w:pPr>
        <w:spacing w:line="480" w:lineRule="auto"/>
        <w:jc w:val="both"/>
        <w:textAlignment w:val="baseline"/>
        <w:rPr>
          <w:b/>
          <w:sz w:val="24"/>
          <w:szCs w:val="24"/>
        </w:rPr>
      </w:pPr>
      <w:r w:rsidRPr="006F6F9B">
        <w:rPr>
          <w:b/>
          <w:sz w:val="24"/>
          <w:szCs w:val="24"/>
        </w:rPr>
        <w:t>Q.</w:t>
      </w:r>
      <w:r w:rsidRPr="006F6F9B">
        <w:rPr>
          <w:b/>
          <w:sz w:val="24"/>
          <w:szCs w:val="24"/>
        </w:rPr>
        <w:tab/>
        <w:t>Do you have any further testimony?</w:t>
      </w:r>
    </w:p>
    <w:p w14:paraId="79E39D23" w14:textId="35179277" w:rsidR="007F59F1" w:rsidRPr="007F59F1" w:rsidRDefault="0012104F" w:rsidP="009F33C9">
      <w:pPr>
        <w:spacing w:line="480" w:lineRule="auto"/>
        <w:ind w:left="720" w:hanging="720"/>
        <w:jc w:val="both"/>
        <w:textAlignment w:val="baseline"/>
        <w:rPr>
          <w:sz w:val="24"/>
          <w:szCs w:val="24"/>
        </w:rPr>
      </w:pPr>
      <w:r w:rsidRPr="00C33604">
        <w:rPr>
          <w:sz w:val="24"/>
        </w:rPr>
        <w:t>A.</w:t>
      </w:r>
      <w:r w:rsidRPr="00C33604">
        <w:rPr>
          <w:sz w:val="24"/>
        </w:rPr>
        <w:tab/>
        <w:t>No</w:t>
      </w:r>
      <w:r>
        <w:rPr>
          <w:sz w:val="24"/>
          <w:szCs w:val="24"/>
        </w:rPr>
        <w:t>, but I reserve the right to modify or supplement this direct testimony.</w:t>
      </w:r>
    </w:p>
    <w:p w14:paraId="47ADEF30" w14:textId="0A4BCB36" w:rsidR="00433A03" w:rsidRDefault="00433A03" w:rsidP="00433A03">
      <w:pPr>
        <w:tabs>
          <w:tab w:val="left" w:pos="1479"/>
          <w:tab w:val="left" w:pos="1480"/>
        </w:tabs>
        <w:sectPr w:rsidR="00433A03" w:rsidSect="006E4023">
          <w:footerReference w:type="default" r:id="rId9"/>
          <w:pgSz w:w="12240" w:h="15840"/>
          <w:pgMar w:top="1440" w:right="1440" w:bottom="1440" w:left="1440" w:header="0" w:footer="1208" w:gutter="0"/>
          <w:lnNumType w:countBy="1"/>
          <w:cols w:space="720"/>
          <w:docGrid w:linePitch="299"/>
        </w:sectPr>
      </w:pPr>
    </w:p>
    <w:p w14:paraId="47ADEF31" w14:textId="77777777" w:rsidR="00B705CF" w:rsidRDefault="00844F5D">
      <w:pPr>
        <w:pStyle w:val="Heading1"/>
        <w:ind w:left="3846"/>
      </w:pPr>
      <w:bookmarkStart w:id="10" w:name="Certificate_of_Service"/>
      <w:bookmarkEnd w:id="10"/>
      <w:r>
        <w:rPr>
          <w:u w:val="thick"/>
        </w:rPr>
        <w:lastRenderedPageBreak/>
        <w:t>CERTIFICATE</w:t>
      </w:r>
      <w:r>
        <w:rPr>
          <w:spacing w:val="-3"/>
          <w:u w:val="thick"/>
        </w:rPr>
        <w:t xml:space="preserve"> </w:t>
      </w:r>
      <w:r>
        <w:rPr>
          <w:u w:val="thick"/>
        </w:rPr>
        <w:t>OF</w:t>
      </w:r>
      <w:r>
        <w:rPr>
          <w:spacing w:val="-3"/>
          <w:u w:val="thick"/>
        </w:rPr>
        <w:t xml:space="preserve"> </w:t>
      </w:r>
      <w:r>
        <w:rPr>
          <w:spacing w:val="-2"/>
          <w:u w:val="thick"/>
        </w:rPr>
        <w:t>SERVICE</w:t>
      </w:r>
    </w:p>
    <w:p w14:paraId="47ADEF32" w14:textId="77777777" w:rsidR="00B705CF" w:rsidRDefault="00B705CF">
      <w:pPr>
        <w:pStyle w:val="BodyText"/>
        <w:rPr>
          <w:b/>
          <w:sz w:val="17"/>
        </w:rPr>
      </w:pPr>
    </w:p>
    <w:p w14:paraId="47ADEF33" w14:textId="4FB930EE" w:rsidR="00B705CF" w:rsidRDefault="00844F5D">
      <w:pPr>
        <w:pStyle w:val="BodyText"/>
        <w:spacing w:before="90"/>
        <w:ind w:left="760" w:right="158" w:firstLine="720"/>
        <w:jc w:val="both"/>
      </w:pPr>
      <w:r>
        <w:t xml:space="preserve">I hereby certify that a true copy of the foregoing </w:t>
      </w:r>
      <w:r>
        <w:rPr>
          <w:i/>
        </w:rPr>
        <w:t>Direct Testimony of Matthew White on Behalf of Interstate Gas Supply, Inc.</w:t>
      </w:r>
      <w:r w:rsidR="006F6F9B">
        <w:rPr>
          <w:i/>
        </w:rPr>
        <w:t xml:space="preserve"> and the Retail Energy Supply Association</w:t>
      </w:r>
      <w:r>
        <w:rPr>
          <w:i/>
        </w:rPr>
        <w:t xml:space="preserve"> </w:t>
      </w:r>
      <w:r>
        <w:t xml:space="preserve">was filed electronically through the Docketing Information System of the Public Utilities Commission of Ohio on </w:t>
      </w:r>
      <w:r w:rsidR="002A6BD5">
        <w:t xml:space="preserve">May </w:t>
      </w:r>
      <w:r w:rsidR="003B2D3D">
        <w:t>13</w:t>
      </w:r>
      <w:r w:rsidR="002A6BD5">
        <w:t>, 2022</w:t>
      </w:r>
      <w:r>
        <w:t>. The Commission’s e- filing system will electronically serve notice of the filing of this document upon the following parties listed below.</w:t>
      </w:r>
    </w:p>
    <w:p w14:paraId="47ADEF34" w14:textId="77777777" w:rsidR="00B705CF" w:rsidRDefault="00B705CF">
      <w:pPr>
        <w:pStyle w:val="BodyText"/>
        <w:spacing w:before="10"/>
      </w:pPr>
    </w:p>
    <w:p w14:paraId="47ADEF35" w14:textId="70D031A5" w:rsidR="00B705CF" w:rsidRDefault="00844F5D">
      <w:pPr>
        <w:ind w:left="6520"/>
        <w:rPr>
          <w:i/>
          <w:sz w:val="24"/>
          <w:u w:val="single"/>
        </w:rPr>
      </w:pPr>
      <w:r>
        <w:rPr>
          <w:i/>
          <w:sz w:val="24"/>
          <w:u w:val="single"/>
        </w:rPr>
        <w:t>/s/</w:t>
      </w:r>
      <w:r>
        <w:rPr>
          <w:i/>
          <w:spacing w:val="-1"/>
          <w:sz w:val="24"/>
          <w:u w:val="single"/>
        </w:rPr>
        <w:t xml:space="preserve"> </w:t>
      </w:r>
      <w:r w:rsidR="0003584D">
        <w:rPr>
          <w:i/>
          <w:sz w:val="24"/>
          <w:u w:val="single"/>
        </w:rPr>
        <w:t>Stacie Cathcart</w:t>
      </w:r>
    </w:p>
    <w:p w14:paraId="7E0D8D22" w14:textId="3E77AA6E" w:rsidR="0003584D" w:rsidRPr="0003584D" w:rsidRDefault="0003584D">
      <w:pPr>
        <w:ind w:left="6520"/>
        <w:rPr>
          <w:iCs/>
          <w:sz w:val="24"/>
        </w:rPr>
      </w:pPr>
      <w:r>
        <w:rPr>
          <w:iCs/>
          <w:sz w:val="24"/>
        </w:rPr>
        <w:t>Stacie Cathcart</w:t>
      </w:r>
    </w:p>
    <w:p w14:paraId="47ADEF37" w14:textId="77777777" w:rsidR="00B705CF" w:rsidRDefault="00B705CF">
      <w:pPr>
        <w:pStyle w:val="BodyText"/>
        <w:rPr>
          <w:sz w:val="20"/>
        </w:rPr>
      </w:pPr>
    </w:p>
    <w:p w14:paraId="47ADEF38" w14:textId="77777777" w:rsidR="00B705CF" w:rsidRDefault="00B705CF">
      <w:pPr>
        <w:pStyle w:val="BodyText"/>
        <w:spacing w:before="1"/>
        <w:rPr>
          <w:sz w:val="29"/>
        </w:rPr>
      </w:pPr>
    </w:p>
    <w:p w14:paraId="1F396B95" w14:textId="3B6E4D38" w:rsidR="00B705CF" w:rsidRDefault="58CAF297" w:rsidP="58CAF297">
      <w:pPr>
        <w:spacing w:after="200"/>
        <w:jc w:val="center"/>
        <w:rPr>
          <w:rFonts w:ascii="Arial" w:eastAsia="Arial" w:hAnsi="Arial" w:cs="Arial"/>
          <w:color w:val="000000" w:themeColor="text1"/>
          <w:sz w:val="24"/>
          <w:szCs w:val="24"/>
        </w:rPr>
      </w:pPr>
      <w:r w:rsidRPr="0545662C">
        <w:rPr>
          <w:rFonts w:ascii="Arial" w:eastAsia="Arial" w:hAnsi="Arial" w:cs="Arial"/>
          <w:b/>
          <w:bCs/>
          <w:color w:val="000000" w:themeColor="text1"/>
          <w:sz w:val="24"/>
          <w:szCs w:val="24"/>
          <w:u w:val="single"/>
        </w:rPr>
        <w:t>SERVICE</w:t>
      </w:r>
      <w:r w:rsidRPr="58CAF297">
        <w:rPr>
          <w:rFonts w:ascii="Arial" w:eastAsia="Arial" w:hAnsi="Arial" w:cs="Arial"/>
          <w:b/>
          <w:bCs/>
          <w:color w:val="000000" w:themeColor="text1"/>
          <w:sz w:val="24"/>
          <w:szCs w:val="24"/>
          <w:u w:val="single"/>
        </w:rPr>
        <w:t xml:space="preserve"> LIST</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4320"/>
      </w:tblGrid>
      <w:tr w:rsidR="00B014BC" w:rsidRPr="00B014BC" w14:paraId="4AE617F4" w14:textId="77777777" w:rsidTr="00C33604">
        <w:trPr>
          <w:trHeight w:val="832"/>
        </w:trPr>
        <w:tc>
          <w:tcPr>
            <w:tcW w:w="3775" w:type="dxa"/>
          </w:tcPr>
          <w:p w14:paraId="2E339740" w14:textId="5D518663" w:rsidR="00B014BC" w:rsidRPr="00B014BC" w:rsidRDefault="00B014BC" w:rsidP="00B014BC">
            <w:pPr>
              <w:spacing w:before="121"/>
              <w:ind w:left="110"/>
              <w:rPr>
                <w:rFonts w:ascii="Palatino Linotype" w:eastAsia="Palatino Linotype" w:hAnsi="Palatino Linotype" w:cs="Palatino Linotype"/>
                <w:b/>
              </w:rPr>
            </w:pPr>
            <w:r w:rsidRPr="00B014BC">
              <w:rPr>
                <w:rFonts w:ascii="Palatino Linotype" w:eastAsia="Palatino Linotype" w:hAnsi="Palatino Linotype" w:cs="Palatino Linotype"/>
                <w:b/>
              </w:rPr>
              <w:t>Citizens’</w:t>
            </w:r>
            <w:r w:rsidRPr="00B014BC">
              <w:rPr>
                <w:rFonts w:ascii="Palatino Linotype" w:eastAsia="Palatino Linotype" w:hAnsi="Palatino Linotype" w:cs="Palatino Linotype"/>
                <w:b/>
                <w:spacing w:val="-7"/>
              </w:rPr>
              <w:t xml:space="preserve"> </w:t>
            </w:r>
            <w:r w:rsidRPr="00B014BC">
              <w:rPr>
                <w:rFonts w:ascii="Palatino Linotype" w:eastAsia="Palatino Linotype" w:hAnsi="Palatino Linotype" w:cs="Palatino Linotype"/>
                <w:b/>
              </w:rPr>
              <w:t>Utility</w:t>
            </w:r>
            <w:r w:rsidRPr="00B014BC">
              <w:rPr>
                <w:rFonts w:ascii="Palatino Linotype" w:eastAsia="Palatino Linotype" w:hAnsi="Palatino Linotype" w:cs="Palatino Linotype"/>
                <w:b/>
                <w:spacing w:val="-6"/>
              </w:rPr>
              <w:t xml:space="preserve"> </w:t>
            </w:r>
            <w:r w:rsidRPr="00B014BC">
              <w:rPr>
                <w:rFonts w:ascii="Palatino Linotype" w:eastAsia="Palatino Linotype" w:hAnsi="Palatino Linotype" w:cs="Palatino Linotype"/>
                <w:b/>
              </w:rPr>
              <w:t>Board</w:t>
            </w:r>
            <w:r w:rsidRPr="00B014BC">
              <w:rPr>
                <w:rFonts w:ascii="Palatino Linotype" w:eastAsia="Palatino Linotype" w:hAnsi="Palatino Linotype" w:cs="Palatino Linotype"/>
                <w:b/>
                <w:spacing w:val="-6"/>
              </w:rPr>
              <w:t xml:space="preserve"> </w:t>
            </w:r>
            <w:r w:rsidRPr="00B014BC">
              <w:rPr>
                <w:rFonts w:ascii="Palatino Linotype" w:eastAsia="Palatino Linotype" w:hAnsi="Palatino Linotype" w:cs="Palatino Linotype"/>
                <w:b/>
              </w:rPr>
              <w:t>of</w:t>
            </w:r>
            <w:r w:rsidRPr="00B014BC">
              <w:rPr>
                <w:rFonts w:ascii="Palatino Linotype" w:eastAsia="Palatino Linotype" w:hAnsi="Palatino Linotype" w:cs="Palatino Linotype"/>
                <w:b/>
                <w:spacing w:val="-4"/>
              </w:rPr>
              <w:t xml:space="preserve"> Ohio</w:t>
            </w:r>
          </w:p>
        </w:tc>
        <w:tc>
          <w:tcPr>
            <w:tcW w:w="4320" w:type="dxa"/>
          </w:tcPr>
          <w:p w14:paraId="0C3E3E3B" w14:textId="77777777" w:rsidR="00B014BC" w:rsidRPr="00B014BC" w:rsidRDefault="00B014BC" w:rsidP="00B014BC">
            <w:pPr>
              <w:spacing w:before="121"/>
              <w:ind w:left="108" w:right="1187"/>
              <w:rPr>
                <w:rFonts w:ascii="Palatino Linotype" w:eastAsia="Palatino Linotype" w:hAnsi="Palatino Linotype" w:cs="Palatino Linotype"/>
              </w:rPr>
            </w:pPr>
            <w:r w:rsidRPr="00B014BC">
              <w:rPr>
                <w:rFonts w:ascii="Palatino Linotype" w:eastAsia="Palatino Linotype" w:hAnsi="Palatino Linotype" w:cs="Palatino Linotype"/>
              </w:rPr>
              <w:t xml:space="preserve">Trent Dougherty </w:t>
            </w:r>
            <w:hyperlink r:id="rId10">
              <w:r w:rsidRPr="00B014BC">
                <w:rPr>
                  <w:rFonts w:ascii="Palatino Linotype" w:eastAsia="Palatino Linotype" w:hAnsi="Palatino Linotype" w:cs="Palatino Linotype"/>
                  <w:color w:val="0562C1"/>
                  <w:spacing w:val="-2"/>
                  <w:u w:val="single" w:color="0562C1"/>
                </w:rPr>
                <w:t>trent@hubaydougherty.com</w:t>
              </w:r>
            </w:hyperlink>
          </w:p>
        </w:tc>
      </w:tr>
      <w:tr w:rsidR="00B014BC" w:rsidRPr="00B014BC" w14:paraId="1BF20B4A" w14:textId="77777777" w:rsidTr="00C33604">
        <w:trPr>
          <w:trHeight w:val="834"/>
        </w:trPr>
        <w:tc>
          <w:tcPr>
            <w:tcW w:w="3775" w:type="dxa"/>
          </w:tcPr>
          <w:p w14:paraId="7831C028" w14:textId="77777777" w:rsidR="00B014BC" w:rsidRPr="00B014BC" w:rsidRDefault="00B014BC" w:rsidP="00B014BC">
            <w:pPr>
              <w:spacing w:before="121"/>
              <w:ind w:left="110" w:right="148"/>
              <w:rPr>
                <w:rFonts w:ascii="Palatino Linotype" w:eastAsia="Palatino Linotype" w:hAnsi="Palatino Linotype" w:cs="Palatino Linotype"/>
                <w:b/>
              </w:rPr>
            </w:pPr>
            <w:r w:rsidRPr="00B014BC">
              <w:rPr>
                <w:rFonts w:ascii="Palatino Linotype" w:eastAsia="Palatino Linotype" w:hAnsi="Palatino Linotype" w:cs="Palatino Linotype"/>
                <w:b/>
              </w:rPr>
              <w:t>Environmental</w:t>
            </w:r>
            <w:r w:rsidRPr="00B014BC">
              <w:rPr>
                <w:rFonts w:ascii="Palatino Linotype" w:eastAsia="Palatino Linotype" w:hAnsi="Palatino Linotype" w:cs="Palatino Linotype"/>
                <w:b/>
                <w:spacing w:val="-12"/>
              </w:rPr>
              <w:t xml:space="preserve"> </w:t>
            </w:r>
            <w:r w:rsidRPr="00B014BC">
              <w:rPr>
                <w:rFonts w:ascii="Palatino Linotype" w:eastAsia="Palatino Linotype" w:hAnsi="Palatino Linotype" w:cs="Palatino Linotype"/>
                <w:b/>
              </w:rPr>
              <w:t>Law</w:t>
            </w:r>
            <w:r w:rsidRPr="00B014BC">
              <w:rPr>
                <w:rFonts w:ascii="Palatino Linotype" w:eastAsia="Palatino Linotype" w:hAnsi="Palatino Linotype" w:cs="Palatino Linotype"/>
                <w:b/>
                <w:spacing w:val="-12"/>
              </w:rPr>
              <w:t xml:space="preserve"> </w:t>
            </w:r>
            <w:r w:rsidRPr="00B014BC">
              <w:rPr>
                <w:rFonts w:ascii="Palatino Linotype" w:eastAsia="Palatino Linotype" w:hAnsi="Palatino Linotype" w:cs="Palatino Linotype"/>
                <w:b/>
              </w:rPr>
              <w:t>&amp;</w:t>
            </w:r>
            <w:r w:rsidRPr="00B014BC">
              <w:rPr>
                <w:rFonts w:ascii="Palatino Linotype" w:eastAsia="Palatino Linotype" w:hAnsi="Palatino Linotype" w:cs="Palatino Linotype"/>
                <w:b/>
                <w:spacing w:val="-10"/>
              </w:rPr>
              <w:t xml:space="preserve"> </w:t>
            </w:r>
            <w:r w:rsidRPr="00B014BC">
              <w:rPr>
                <w:rFonts w:ascii="Palatino Linotype" w:eastAsia="Palatino Linotype" w:hAnsi="Palatino Linotype" w:cs="Palatino Linotype"/>
                <w:b/>
              </w:rPr>
              <w:t xml:space="preserve">Policy </w:t>
            </w:r>
            <w:r w:rsidRPr="00B014BC">
              <w:rPr>
                <w:rFonts w:ascii="Palatino Linotype" w:eastAsia="Palatino Linotype" w:hAnsi="Palatino Linotype" w:cs="Palatino Linotype"/>
                <w:b/>
                <w:spacing w:val="-2"/>
              </w:rPr>
              <w:t>Center</w:t>
            </w:r>
          </w:p>
        </w:tc>
        <w:tc>
          <w:tcPr>
            <w:tcW w:w="4320" w:type="dxa"/>
          </w:tcPr>
          <w:p w14:paraId="27A5BA8A" w14:textId="77777777" w:rsidR="00B014BC" w:rsidRPr="00B014BC" w:rsidRDefault="00B014BC" w:rsidP="00B014BC">
            <w:pPr>
              <w:spacing w:before="121"/>
              <w:ind w:left="107" w:right="1187"/>
              <w:rPr>
                <w:rFonts w:ascii="Palatino Linotype" w:eastAsia="Palatino Linotype" w:hAnsi="Palatino Linotype" w:cs="Palatino Linotype"/>
              </w:rPr>
            </w:pPr>
            <w:r w:rsidRPr="00B014BC">
              <w:rPr>
                <w:rFonts w:ascii="Palatino Linotype" w:eastAsia="Palatino Linotype" w:hAnsi="Palatino Linotype" w:cs="Palatino Linotype"/>
              </w:rPr>
              <w:t>Janean</w:t>
            </w:r>
            <w:r w:rsidRPr="00B014BC">
              <w:rPr>
                <w:rFonts w:ascii="Palatino Linotype" w:eastAsia="Palatino Linotype" w:hAnsi="Palatino Linotype" w:cs="Palatino Linotype"/>
                <w:spacing w:val="-14"/>
              </w:rPr>
              <w:t xml:space="preserve"> </w:t>
            </w:r>
            <w:r w:rsidRPr="00B014BC">
              <w:rPr>
                <w:rFonts w:ascii="Palatino Linotype" w:eastAsia="Palatino Linotype" w:hAnsi="Palatino Linotype" w:cs="Palatino Linotype"/>
              </w:rPr>
              <w:t>R.</w:t>
            </w:r>
            <w:r w:rsidRPr="00B014BC">
              <w:rPr>
                <w:rFonts w:ascii="Palatino Linotype" w:eastAsia="Palatino Linotype" w:hAnsi="Palatino Linotype" w:cs="Palatino Linotype"/>
                <w:spacing w:val="-14"/>
              </w:rPr>
              <w:t xml:space="preserve"> </w:t>
            </w:r>
            <w:r w:rsidRPr="00B014BC">
              <w:rPr>
                <w:rFonts w:ascii="Palatino Linotype" w:eastAsia="Palatino Linotype" w:hAnsi="Palatino Linotype" w:cs="Palatino Linotype"/>
              </w:rPr>
              <w:t xml:space="preserve">Weber </w:t>
            </w:r>
            <w:hyperlink r:id="rId11">
              <w:r w:rsidRPr="00B014BC">
                <w:rPr>
                  <w:rFonts w:ascii="Palatino Linotype" w:eastAsia="Palatino Linotype" w:hAnsi="Palatino Linotype" w:cs="Palatino Linotype"/>
                  <w:color w:val="0562C1"/>
                  <w:spacing w:val="-2"/>
                  <w:u w:val="single" w:color="0562C1"/>
                </w:rPr>
                <w:t>jweber@elpc.org</w:t>
              </w:r>
            </w:hyperlink>
          </w:p>
        </w:tc>
      </w:tr>
      <w:tr w:rsidR="00B014BC" w:rsidRPr="00B014BC" w14:paraId="04BB862B" w14:textId="77777777" w:rsidTr="00C33604">
        <w:trPr>
          <w:trHeight w:val="2020"/>
        </w:trPr>
        <w:tc>
          <w:tcPr>
            <w:tcW w:w="3775" w:type="dxa"/>
          </w:tcPr>
          <w:p w14:paraId="2FA7D07A" w14:textId="77777777" w:rsidR="00B014BC" w:rsidRPr="00B014BC" w:rsidRDefault="00B014BC" w:rsidP="00B014BC">
            <w:pPr>
              <w:spacing w:before="121"/>
              <w:ind w:left="110"/>
              <w:rPr>
                <w:rFonts w:ascii="Palatino Linotype" w:eastAsia="Palatino Linotype" w:hAnsi="Palatino Linotype" w:cs="Palatino Linotype"/>
                <w:b/>
              </w:rPr>
            </w:pPr>
            <w:r w:rsidRPr="00B014BC">
              <w:rPr>
                <w:rFonts w:ascii="Palatino Linotype" w:eastAsia="Palatino Linotype" w:hAnsi="Palatino Linotype" w:cs="Palatino Linotype"/>
                <w:b/>
              </w:rPr>
              <w:t>Columbia Gas of Ohio</w:t>
            </w:r>
          </w:p>
        </w:tc>
        <w:tc>
          <w:tcPr>
            <w:tcW w:w="4320" w:type="dxa"/>
          </w:tcPr>
          <w:p w14:paraId="53F5B3CF" w14:textId="77777777" w:rsidR="00B014BC" w:rsidRPr="00B014BC" w:rsidRDefault="00B014BC" w:rsidP="00B014BC">
            <w:pPr>
              <w:spacing w:before="121"/>
              <w:ind w:left="108" w:right="2620"/>
              <w:rPr>
                <w:rFonts w:ascii="Palatino Linotype" w:eastAsia="Palatino Linotype" w:hAnsi="Palatino Linotype" w:cs="Palatino Linotype"/>
              </w:rPr>
            </w:pPr>
            <w:r w:rsidRPr="00B014BC">
              <w:rPr>
                <w:rFonts w:ascii="Palatino Linotype" w:eastAsia="Palatino Linotype" w:hAnsi="Palatino Linotype" w:cs="Palatino Linotype"/>
              </w:rPr>
              <w:t>Joseph M. Clark</w:t>
            </w:r>
          </w:p>
          <w:p w14:paraId="13FFDDB9" w14:textId="77777777" w:rsidR="00B014BC" w:rsidRPr="00B014BC" w:rsidRDefault="00B014BC" w:rsidP="00B014BC">
            <w:pPr>
              <w:spacing w:before="121"/>
              <w:ind w:left="108" w:right="2620"/>
              <w:rPr>
                <w:rFonts w:ascii="Palatino Linotype" w:eastAsia="Palatino Linotype" w:hAnsi="Palatino Linotype" w:cs="Palatino Linotype"/>
              </w:rPr>
            </w:pPr>
            <w:r w:rsidRPr="00B014BC">
              <w:rPr>
                <w:rFonts w:ascii="Palatino Linotype" w:eastAsia="Palatino Linotype" w:hAnsi="Palatino Linotype" w:cs="Palatino Linotype"/>
              </w:rPr>
              <w:t>John R. Ryan</w:t>
            </w:r>
          </w:p>
          <w:p w14:paraId="59E9CDA9" w14:textId="77777777" w:rsidR="00B014BC" w:rsidRPr="00B014BC" w:rsidRDefault="00B014BC" w:rsidP="00B014BC">
            <w:pPr>
              <w:spacing w:before="121"/>
              <w:ind w:left="108" w:right="2620"/>
              <w:rPr>
                <w:rFonts w:ascii="Palatino Linotype" w:eastAsia="Palatino Linotype" w:hAnsi="Palatino Linotype" w:cs="Palatino Linotype"/>
              </w:rPr>
            </w:pPr>
            <w:r w:rsidRPr="00B014BC">
              <w:rPr>
                <w:rFonts w:ascii="Palatino Linotype" w:eastAsia="Palatino Linotype" w:hAnsi="Palatino Linotype" w:cs="Palatino Linotype"/>
              </w:rPr>
              <w:t xml:space="preserve">Melissa L. Thompson </w:t>
            </w:r>
          </w:p>
          <w:p w14:paraId="7983A2DC"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josephclark@nisource.com</w:t>
            </w:r>
          </w:p>
          <w:p w14:paraId="4A0BC34A"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johnryan@nisource.com</w:t>
            </w:r>
          </w:p>
          <w:p w14:paraId="404FC0FB"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mlthompson@nisource.com</w:t>
            </w:r>
          </w:p>
          <w:p w14:paraId="4EAB2185"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Eric B. Gallon</w:t>
            </w:r>
          </w:p>
          <w:p w14:paraId="1631B7F9"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Mark Stemm</w:t>
            </w:r>
          </w:p>
          <w:p w14:paraId="0C6B77F8"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L. Bradfield Hughes</w:t>
            </w:r>
          </w:p>
          <w:p w14:paraId="11E61487"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Devan K. Flahive</w:t>
            </w:r>
          </w:p>
          <w:p w14:paraId="42AE31B2"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Porter, Wright, Morris &amp; Arthur LLP</w:t>
            </w:r>
          </w:p>
          <w:p w14:paraId="2FB54B6A"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egallon@porterwright.com</w:t>
            </w:r>
          </w:p>
          <w:p w14:paraId="591ADB80"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mstemm@porterwright.com</w:t>
            </w:r>
          </w:p>
          <w:p w14:paraId="7663ADF7"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bhughes@porterwright.com</w:t>
            </w:r>
          </w:p>
          <w:p w14:paraId="6915CF38" w14:textId="77777777" w:rsidR="00B014BC" w:rsidRPr="00B014BC" w:rsidRDefault="00B014BC" w:rsidP="00B014BC">
            <w:pPr>
              <w:spacing w:before="121"/>
              <w:ind w:left="110"/>
              <w:rPr>
                <w:rFonts w:ascii="Palatino Linotype" w:eastAsia="Palatino Linotype" w:hAnsi="Palatino Linotype" w:cs="Palatino Linotype"/>
              </w:rPr>
            </w:pPr>
            <w:r w:rsidRPr="00B014BC">
              <w:rPr>
                <w:rFonts w:ascii="Palatino Linotype" w:eastAsia="Palatino Linotype" w:hAnsi="Palatino Linotype" w:cs="Palatino Linotype"/>
              </w:rPr>
              <w:t>dflahive@porterwright.com</w:t>
            </w:r>
          </w:p>
        </w:tc>
      </w:tr>
      <w:tr w:rsidR="00B014BC" w:rsidRPr="00B014BC" w14:paraId="7777E24A" w14:textId="77777777" w:rsidTr="00C33604">
        <w:trPr>
          <w:trHeight w:val="1129"/>
        </w:trPr>
        <w:tc>
          <w:tcPr>
            <w:tcW w:w="3775" w:type="dxa"/>
          </w:tcPr>
          <w:p w14:paraId="2916C589" w14:textId="77777777" w:rsidR="00B014BC" w:rsidRPr="00B014BC" w:rsidRDefault="00B014BC" w:rsidP="00B014BC">
            <w:pPr>
              <w:spacing w:before="121"/>
              <w:ind w:left="110"/>
              <w:rPr>
                <w:rFonts w:ascii="Palatino Linotype" w:eastAsia="Palatino Linotype" w:hAnsi="Palatino Linotype" w:cs="Palatino Linotype"/>
                <w:b/>
              </w:rPr>
            </w:pPr>
            <w:r w:rsidRPr="00B014BC">
              <w:rPr>
                <w:rFonts w:ascii="Palatino Linotype" w:eastAsia="Palatino Linotype" w:hAnsi="Palatino Linotype" w:cs="Palatino Linotype"/>
                <w:b/>
              </w:rPr>
              <w:t>The</w:t>
            </w:r>
            <w:r w:rsidRPr="00B014BC">
              <w:rPr>
                <w:rFonts w:ascii="Palatino Linotype" w:eastAsia="Palatino Linotype" w:hAnsi="Palatino Linotype" w:cs="Palatino Linotype"/>
                <w:b/>
                <w:spacing w:val="-3"/>
              </w:rPr>
              <w:t xml:space="preserve"> </w:t>
            </w:r>
            <w:r w:rsidRPr="00B014BC">
              <w:rPr>
                <w:rFonts w:ascii="Palatino Linotype" w:eastAsia="Palatino Linotype" w:hAnsi="Palatino Linotype" w:cs="Palatino Linotype"/>
                <w:b/>
              </w:rPr>
              <w:t>Kroger</w:t>
            </w:r>
            <w:r w:rsidRPr="00B014BC">
              <w:rPr>
                <w:rFonts w:ascii="Palatino Linotype" w:eastAsia="Palatino Linotype" w:hAnsi="Palatino Linotype" w:cs="Palatino Linotype"/>
                <w:b/>
                <w:spacing w:val="-4"/>
              </w:rPr>
              <w:t xml:space="preserve"> </w:t>
            </w:r>
            <w:r w:rsidRPr="00B014BC">
              <w:rPr>
                <w:rFonts w:ascii="Palatino Linotype" w:eastAsia="Palatino Linotype" w:hAnsi="Palatino Linotype" w:cs="Palatino Linotype"/>
                <w:b/>
                <w:spacing w:val="-2"/>
              </w:rPr>
              <w:t>Company</w:t>
            </w:r>
          </w:p>
        </w:tc>
        <w:tc>
          <w:tcPr>
            <w:tcW w:w="4320" w:type="dxa"/>
          </w:tcPr>
          <w:p w14:paraId="69A4EF29" w14:textId="77777777" w:rsidR="00B014BC" w:rsidRPr="00B014BC" w:rsidRDefault="00B014BC" w:rsidP="00B014BC">
            <w:pPr>
              <w:spacing w:before="121"/>
              <w:ind w:left="108" w:right="1187"/>
              <w:rPr>
                <w:rFonts w:ascii="Palatino Linotype" w:eastAsia="Palatino Linotype" w:hAnsi="Palatino Linotype" w:cs="Palatino Linotype"/>
              </w:rPr>
            </w:pPr>
            <w:r w:rsidRPr="00B014BC">
              <w:rPr>
                <w:rFonts w:ascii="Palatino Linotype" w:eastAsia="Palatino Linotype" w:hAnsi="Palatino Linotype" w:cs="Palatino Linotype"/>
              </w:rPr>
              <w:t>Angela Paul Whitfield Carpenter</w:t>
            </w:r>
            <w:r w:rsidRPr="00B014BC">
              <w:rPr>
                <w:rFonts w:ascii="Palatino Linotype" w:eastAsia="Palatino Linotype" w:hAnsi="Palatino Linotype" w:cs="Palatino Linotype"/>
                <w:spacing w:val="-10"/>
              </w:rPr>
              <w:t xml:space="preserve"> </w:t>
            </w:r>
            <w:r w:rsidRPr="00B014BC">
              <w:rPr>
                <w:rFonts w:ascii="Palatino Linotype" w:eastAsia="Palatino Linotype" w:hAnsi="Palatino Linotype" w:cs="Palatino Linotype"/>
              </w:rPr>
              <w:t>Lipps</w:t>
            </w:r>
            <w:r w:rsidRPr="00B014BC">
              <w:rPr>
                <w:rFonts w:ascii="Palatino Linotype" w:eastAsia="Palatino Linotype" w:hAnsi="Palatino Linotype" w:cs="Palatino Linotype"/>
                <w:spacing w:val="-11"/>
              </w:rPr>
              <w:t xml:space="preserve"> </w:t>
            </w:r>
            <w:r w:rsidRPr="00B014BC">
              <w:rPr>
                <w:rFonts w:ascii="Palatino Linotype" w:eastAsia="Palatino Linotype" w:hAnsi="Palatino Linotype" w:cs="Palatino Linotype"/>
              </w:rPr>
              <w:t>&amp;</w:t>
            </w:r>
            <w:r w:rsidRPr="00B014BC">
              <w:rPr>
                <w:rFonts w:ascii="Palatino Linotype" w:eastAsia="Palatino Linotype" w:hAnsi="Palatino Linotype" w:cs="Palatino Linotype"/>
                <w:spacing w:val="-8"/>
              </w:rPr>
              <w:t xml:space="preserve"> </w:t>
            </w:r>
            <w:r w:rsidRPr="00B014BC">
              <w:rPr>
                <w:rFonts w:ascii="Palatino Linotype" w:eastAsia="Palatino Linotype" w:hAnsi="Palatino Linotype" w:cs="Palatino Linotype"/>
              </w:rPr>
              <w:t>Leland</w:t>
            </w:r>
            <w:r w:rsidRPr="00B014BC">
              <w:rPr>
                <w:rFonts w:ascii="Palatino Linotype" w:eastAsia="Palatino Linotype" w:hAnsi="Palatino Linotype" w:cs="Palatino Linotype"/>
                <w:spacing w:val="-10"/>
              </w:rPr>
              <w:t xml:space="preserve"> </w:t>
            </w:r>
            <w:r w:rsidRPr="00B014BC">
              <w:rPr>
                <w:rFonts w:ascii="Palatino Linotype" w:eastAsia="Palatino Linotype" w:hAnsi="Palatino Linotype" w:cs="Palatino Linotype"/>
              </w:rPr>
              <w:t xml:space="preserve">LLP </w:t>
            </w:r>
            <w:hyperlink r:id="rId12">
              <w:r w:rsidRPr="00B014BC">
                <w:rPr>
                  <w:rFonts w:ascii="Palatino Linotype" w:eastAsia="Palatino Linotype" w:hAnsi="Palatino Linotype" w:cs="Palatino Linotype"/>
                  <w:color w:val="0562C1"/>
                  <w:spacing w:val="-2"/>
                  <w:u w:val="single" w:color="0562C1"/>
                </w:rPr>
                <w:t>paul@carpenterlipps.com</w:t>
              </w:r>
            </w:hyperlink>
          </w:p>
        </w:tc>
      </w:tr>
      <w:tr w:rsidR="00B014BC" w:rsidRPr="00B014BC" w14:paraId="1BB2D0E5" w14:textId="77777777" w:rsidTr="00C33604">
        <w:trPr>
          <w:trHeight w:val="2020"/>
        </w:trPr>
        <w:tc>
          <w:tcPr>
            <w:tcW w:w="3775" w:type="dxa"/>
          </w:tcPr>
          <w:p w14:paraId="4D312E63" w14:textId="77777777" w:rsidR="00B014BC" w:rsidRPr="00B014BC" w:rsidRDefault="00B014BC" w:rsidP="00B014BC">
            <w:pPr>
              <w:spacing w:before="1"/>
              <w:ind w:left="110"/>
              <w:rPr>
                <w:rFonts w:ascii="Palatino Linotype" w:eastAsia="Palatino Linotype" w:hAnsi="Palatino Linotype" w:cs="Palatino Linotype"/>
                <w:b/>
              </w:rPr>
            </w:pPr>
            <w:r w:rsidRPr="00B014BC">
              <w:rPr>
                <w:rFonts w:ascii="Palatino Linotype" w:eastAsia="Palatino Linotype" w:hAnsi="Palatino Linotype" w:cs="Palatino Linotype"/>
                <w:b/>
              </w:rPr>
              <w:lastRenderedPageBreak/>
              <w:t>Northeast</w:t>
            </w:r>
            <w:r w:rsidRPr="00B014BC">
              <w:rPr>
                <w:rFonts w:ascii="Palatino Linotype" w:eastAsia="Palatino Linotype" w:hAnsi="Palatino Linotype" w:cs="Palatino Linotype"/>
                <w:b/>
                <w:spacing w:val="-11"/>
              </w:rPr>
              <w:t xml:space="preserve"> </w:t>
            </w:r>
            <w:r w:rsidRPr="00B014BC">
              <w:rPr>
                <w:rFonts w:ascii="Palatino Linotype" w:eastAsia="Palatino Linotype" w:hAnsi="Palatino Linotype" w:cs="Palatino Linotype"/>
                <w:b/>
              </w:rPr>
              <w:t>Ohio</w:t>
            </w:r>
            <w:r w:rsidRPr="00B014BC">
              <w:rPr>
                <w:rFonts w:ascii="Palatino Linotype" w:eastAsia="Palatino Linotype" w:hAnsi="Palatino Linotype" w:cs="Palatino Linotype"/>
                <w:b/>
                <w:spacing w:val="-13"/>
              </w:rPr>
              <w:t xml:space="preserve"> </w:t>
            </w:r>
            <w:r w:rsidRPr="00B014BC">
              <w:rPr>
                <w:rFonts w:ascii="Palatino Linotype" w:eastAsia="Palatino Linotype" w:hAnsi="Palatino Linotype" w:cs="Palatino Linotype"/>
                <w:b/>
              </w:rPr>
              <w:t>Public</w:t>
            </w:r>
            <w:r w:rsidRPr="00B014BC">
              <w:rPr>
                <w:rFonts w:ascii="Palatino Linotype" w:eastAsia="Palatino Linotype" w:hAnsi="Palatino Linotype" w:cs="Palatino Linotype"/>
                <w:b/>
                <w:spacing w:val="-14"/>
              </w:rPr>
              <w:t xml:space="preserve"> </w:t>
            </w:r>
            <w:r w:rsidRPr="00B014BC">
              <w:rPr>
                <w:rFonts w:ascii="Palatino Linotype" w:eastAsia="Palatino Linotype" w:hAnsi="Palatino Linotype" w:cs="Palatino Linotype"/>
                <w:b/>
              </w:rPr>
              <w:t xml:space="preserve">Energy </w:t>
            </w:r>
            <w:r w:rsidRPr="00B014BC">
              <w:rPr>
                <w:rFonts w:ascii="Palatino Linotype" w:eastAsia="Palatino Linotype" w:hAnsi="Palatino Linotype" w:cs="Palatino Linotype"/>
                <w:b/>
                <w:spacing w:val="-2"/>
              </w:rPr>
              <w:t>Council</w:t>
            </w:r>
          </w:p>
        </w:tc>
        <w:tc>
          <w:tcPr>
            <w:tcW w:w="4320" w:type="dxa"/>
          </w:tcPr>
          <w:p w14:paraId="72CD6F64" w14:textId="77777777" w:rsidR="00B014BC" w:rsidRPr="00B014BC" w:rsidRDefault="00B014BC" w:rsidP="00B014BC">
            <w:pPr>
              <w:spacing w:before="121"/>
              <w:ind w:left="108" w:right="1621"/>
              <w:rPr>
                <w:rFonts w:ascii="Palatino Linotype" w:eastAsia="Palatino Linotype" w:hAnsi="Palatino Linotype" w:cs="Palatino Linotype"/>
              </w:rPr>
            </w:pPr>
            <w:r w:rsidRPr="00B014BC">
              <w:rPr>
                <w:rFonts w:ascii="Palatino Linotype" w:eastAsia="Palatino Linotype" w:hAnsi="Palatino Linotype" w:cs="Palatino Linotype"/>
              </w:rPr>
              <w:t>Devin D. Parram BRICKER</w:t>
            </w:r>
            <w:r w:rsidRPr="00B014BC">
              <w:rPr>
                <w:rFonts w:ascii="Palatino Linotype" w:eastAsia="Palatino Linotype" w:hAnsi="Palatino Linotype" w:cs="Palatino Linotype"/>
                <w:spacing w:val="-13"/>
              </w:rPr>
              <w:t xml:space="preserve"> </w:t>
            </w:r>
            <w:r w:rsidRPr="00B014BC">
              <w:rPr>
                <w:rFonts w:ascii="Palatino Linotype" w:eastAsia="Palatino Linotype" w:hAnsi="Palatino Linotype" w:cs="Palatino Linotype"/>
              </w:rPr>
              <w:t>&amp;</w:t>
            </w:r>
            <w:r w:rsidRPr="00B014BC">
              <w:rPr>
                <w:rFonts w:ascii="Palatino Linotype" w:eastAsia="Palatino Linotype" w:hAnsi="Palatino Linotype" w:cs="Palatino Linotype"/>
                <w:spacing w:val="-12"/>
              </w:rPr>
              <w:t xml:space="preserve"> </w:t>
            </w:r>
            <w:r w:rsidRPr="00B014BC">
              <w:rPr>
                <w:rFonts w:ascii="Palatino Linotype" w:eastAsia="Palatino Linotype" w:hAnsi="Palatino Linotype" w:cs="Palatino Linotype"/>
              </w:rPr>
              <w:t>ECKLER</w:t>
            </w:r>
            <w:r w:rsidRPr="00B014BC">
              <w:rPr>
                <w:rFonts w:ascii="Palatino Linotype" w:eastAsia="Palatino Linotype" w:hAnsi="Palatino Linotype" w:cs="Palatino Linotype"/>
                <w:spacing w:val="-13"/>
              </w:rPr>
              <w:t xml:space="preserve"> </w:t>
            </w:r>
            <w:r w:rsidRPr="00B014BC">
              <w:rPr>
                <w:rFonts w:ascii="Palatino Linotype" w:eastAsia="Palatino Linotype" w:hAnsi="Palatino Linotype" w:cs="Palatino Linotype"/>
              </w:rPr>
              <w:t>LLP</w:t>
            </w:r>
          </w:p>
          <w:p w14:paraId="4E3750F4" w14:textId="77777777" w:rsidR="00B014BC" w:rsidRPr="00B014BC" w:rsidRDefault="00231803" w:rsidP="00B014BC">
            <w:pPr>
              <w:spacing w:line="296" w:lineRule="exact"/>
              <w:ind w:left="108"/>
              <w:rPr>
                <w:rFonts w:ascii="Palatino Linotype" w:eastAsia="Palatino Linotype" w:hAnsi="Palatino Linotype" w:cs="Palatino Linotype"/>
              </w:rPr>
            </w:pPr>
            <w:hyperlink r:id="rId13">
              <w:r w:rsidR="00B014BC" w:rsidRPr="00B014BC">
                <w:rPr>
                  <w:rFonts w:ascii="Palatino Linotype" w:eastAsia="Palatino Linotype" w:hAnsi="Palatino Linotype" w:cs="Palatino Linotype"/>
                  <w:color w:val="0000FF"/>
                  <w:spacing w:val="-2"/>
                  <w:u w:val="single" w:color="0000FF"/>
                </w:rPr>
                <w:t>dparram@bricker.com</w:t>
              </w:r>
            </w:hyperlink>
          </w:p>
          <w:p w14:paraId="3B2983C5" w14:textId="77777777" w:rsidR="00B014BC" w:rsidRPr="00B014BC" w:rsidRDefault="00B014BC" w:rsidP="00B014BC">
            <w:pPr>
              <w:spacing w:before="2"/>
              <w:rPr>
                <w:rFonts w:ascii="Palatino Linotype" w:eastAsia="Palatino Linotype" w:hAnsi="Palatino Linotype" w:cs="Palatino Linotype"/>
              </w:rPr>
            </w:pPr>
          </w:p>
          <w:p w14:paraId="42B10252" w14:textId="77777777" w:rsidR="00B014BC" w:rsidRPr="00B014BC" w:rsidRDefault="00B014BC" w:rsidP="00B014BC">
            <w:pPr>
              <w:ind w:left="108" w:right="1187"/>
              <w:rPr>
                <w:rFonts w:ascii="Palatino Linotype" w:eastAsia="Palatino Linotype" w:hAnsi="Palatino Linotype" w:cs="Palatino Linotype"/>
              </w:rPr>
            </w:pPr>
            <w:r w:rsidRPr="00B014BC">
              <w:rPr>
                <w:rFonts w:ascii="Palatino Linotype" w:eastAsia="Palatino Linotype" w:hAnsi="Palatino Linotype" w:cs="Palatino Linotype"/>
              </w:rPr>
              <w:t xml:space="preserve">Glenn S. Krassen </w:t>
            </w:r>
            <w:hyperlink r:id="rId14">
              <w:r w:rsidRPr="00B014BC">
                <w:rPr>
                  <w:rFonts w:ascii="Palatino Linotype" w:eastAsia="Palatino Linotype" w:hAnsi="Palatino Linotype" w:cs="Palatino Linotype"/>
                  <w:color w:val="0000FF"/>
                  <w:spacing w:val="-2"/>
                  <w:u w:val="single" w:color="0000FF"/>
                </w:rPr>
                <w:t>gkrassen@nopec.org</w:t>
              </w:r>
            </w:hyperlink>
          </w:p>
        </w:tc>
      </w:tr>
      <w:tr w:rsidR="00B014BC" w:rsidRPr="00B014BC" w14:paraId="6A580168" w14:textId="77777777" w:rsidTr="00C33604">
        <w:trPr>
          <w:trHeight w:val="1725"/>
        </w:trPr>
        <w:tc>
          <w:tcPr>
            <w:tcW w:w="3775" w:type="dxa"/>
          </w:tcPr>
          <w:p w14:paraId="36049125" w14:textId="77777777" w:rsidR="00B014BC" w:rsidRPr="00B014BC" w:rsidRDefault="00B014BC" w:rsidP="00B014BC">
            <w:pPr>
              <w:spacing w:before="121"/>
              <w:ind w:left="110"/>
              <w:rPr>
                <w:rFonts w:ascii="Palatino Linotype" w:eastAsia="Palatino Linotype" w:hAnsi="Palatino Linotype" w:cs="Palatino Linotype"/>
                <w:b/>
              </w:rPr>
            </w:pPr>
            <w:r w:rsidRPr="00B014BC">
              <w:rPr>
                <w:rFonts w:ascii="Palatino Linotype" w:eastAsia="Palatino Linotype" w:hAnsi="Palatino Linotype" w:cs="Palatino Linotype"/>
                <w:b/>
              </w:rPr>
              <w:t>Office</w:t>
            </w:r>
            <w:r w:rsidRPr="00B014BC">
              <w:rPr>
                <w:rFonts w:ascii="Palatino Linotype" w:eastAsia="Palatino Linotype" w:hAnsi="Palatino Linotype" w:cs="Palatino Linotype"/>
                <w:b/>
                <w:spacing w:val="-9"/>
              </w:rPr>
              <w:t xml:space="preserve"> </w:t>
            </w:r>
            <w:r w:rsidRPr="00B014BC">
              <w:rPr>
                <w:rFonts w:ascii="Palatino Linotype" w:eastAsia="Palatino Linotype" w:hAnsi="Palatino Linotype" w:cs="Palatino Linotype"/>
                <w:b/>
              </w:rPr>
              <w:t>of</w:t>
            </w:r>
            <w:r w:rsidRPr="00B014BC">
              <w:rPr>
                <w:rFonts w:ascii="Palatino Linotype" w:eastAsia="Palatino Linotype" w:hAnsi="Palatino Linotype" w:cs="Palatino Linotype"/>
                <w:b/>
                <w:spacing w:val="-9"/>
              </w:rPr>
              <w:t xml:space="preserve"> </w:t>
            </w:r>
            <w:r w:rsidRPr="00B014BC">
              <w:rPr>
                <w:rFonts w:ascii="Palatino Linotype" w:eastAsia="Palatino Linotype" w:hAnsi="Palatino Linotype" w:cs="Palatino Linotype"/>
                <w:b/>
              </w:rPr>
              <w:t>the</w:t>
            </w:r>
            <w:r w:rsidRPr="00B014BC">
              <w:rPr>
                <w:rFonts w:ascii="Palatino Linotype" w:eastAsia="Palatino Linotype" w:hAnsi="Palatino Linotype" w:cs="Palatino Linotype"/>
                <w:b/>
                <w:spacing w:val="-11"/>
              </w:rPr>
              <w:t xml:space="preserve"> </w:t>
            </w:r>
            <w:r w:rsidRPr="00B014BC">
              <w:rPr>
                <w:rFonts w:ascii="Palatino Linotype" w:eastAsia="Palatino Linotype" w:hAnsi="Palatino Linotype" w:cs="Palatino Linotype"/>
                <w:b/>
              </w:rPr>
              <w:t>Ohio</w:t>
            </w:r>
            <w:r w:rsidRPr="00B014BC">
              <w:rPr>
                <w:rFonts w:ascii="Palatino Linotype" w:eastAsia="Palatino Linotype" w:hAnsi="Palatino Linotype" w:cs="Palatino Linotype"/>
                <w:b/>
                <w:spacing w:val="-10"/>
              </w:rPr>
              <w:t xml:space="preserve"> </w:t>
            </w:r>
            <w:r w:rsidRPr="00B014BC">
              <w:rPr>
                <w:rFonts w:ascii="Palatino Linotype" w:eastAsia="Palatino Linotype" w:hAnsi="Palatino Linotype" w:cs="Palatino Linotype"/>
                <w:b/>
              </w:rPr>
              <w:t xml:space="preserve">Consumers’ </w:t>
            </w:r>
            <w:r w:rsidRPr="00B014BC">
              <w:rPr>
                <w:rFonts w:ascii="Palatino Linotype" w:eastAsia="Palatino Linotype" w:hAnsi="Palatino Linotype" w:cs="Palatino Linotype"/>
                <w:b/>
                <w:spacing w:val="-2"/>
              </w:rPr>
              <w:t>Counsel</w:t>
            </w:r>
          </w:p>
        </w:tc>
        <w:tc>
          <w:tcPr>
            <w:tcW w:w="4320" w:type="dxa"/>
          </w:tcPr>
          <w:p w14:paraId="68411BDE" w14:textId="77777777" w:rsidR="00B014BC" w:rsidRPr="00B014BC" w:rsidRDefault="00B014BC" w:rsidP="00B014BC">
            <w:pPr>
              <w:spacing w:before="121"/>
              <w:ind w:left="108" w:right="1680"/>
              <w:rPr>
                <w:rFonts w:ascii="Palatino Linotype" w:eastAsia="Palatino Linotype" w:hAnsi="Palatino Linotype" w:cs="Palatino Linotype"/>
              </w:rPr>
            </w:pPr>
            <w:r w:rsidRPr="00B014BC">
              <w:rPr>
                <w:rFonts w:ascii="Palatino Linotype" w:eastAsia="Palatino Linotype" w:hAnsi="Palatino Linotype" w:cs="Palatino Linotype"/>
              </w:rPr>
              <w:t>Angela</w:t>
            </w:r>
            <w:r w:rsidRPr="00B014BC">
              <w:rPr>
                <w:rFonts w:ascii="Palatino Linotype" w:eastAsia="Palatino Linotype" w:hAnsi="Palatino Linotype" w:cs="Palatino Linotype"/>
                <w:spacing w:val="-14"/>
              </w:rPr>
              <w:t xml:space="preserve"> </w:t>
            </w:r>
            <w:r w:rsidRPr="00B014BC">
              <w:rPr>
                <w:rFonts w:ascii="Palatino Linotype" w:eastAsia="Palatino Linotype" w:hAnsi="Palatino Linotype" w:cs="Palatino Linotype"/>
              </w:rPr>
              <w:t>D.</w:t>
            </w:r>
            <w:r w:rsidRPr="00B014BC">
              <w:rPr>
                <w:rFonts w:ascii="Palatino Linotype" w:eastAsia="Palatino Linotype" w:hAnsi="Palatino Linotype" w:cs="Palatino Linotype"/>
                <w:spacing w:val="-14"/>
              </w:rPr>
              <w:t xml:space="preserve"> </w:t>
            </w:r>
            <w:r w:rsidRPr="00B014BC">
              <w:rPr>
                <w:rFonts w:ascii="Palatino Linotype" w:eastAsia="Palatino Linotype" w:hAnsi="Palatino Linotype" w:cs="Palatino Linotype"/>
              </w:rPr>
              <w:t>O’Brien William</w:t>
            </w:r>
            <w:r w:rsidRPr="00B014BC">
              <w:rPr>
                <w:rFonts w:ascii="Palatino Linotype" w:eastAsia="Palatino Linotype" w:hAnsi="Palatino Linotype" w:cs="Palatino Linotype"/>
                <w:spacing w:val="-3"/>
              </w:rPr>
              <w:t xml:space="preserve"> </w:t>
            </w:r>
            <w:r w:rsidRPr="00B014BC">
              <w:rPr>
                <w:rFonts w:ascii="Palatino Linotype" w:eastAsia="Palatino Linotype" w:hAnsi="Palatino Linotype" w:cs="Palatino Linotype"/>
              </w:rPr>
              <w:t>J.</w:t>
            </w:r>
            <w:r w:rsidRPr="00B014BC">
              <w:rPr>
                <w:rFonts w:ascii="Palatino Linotype" w:eastAsia="Palatino Linotype" w:hAnsi="Palatino Linotype" w:cs="Palatino Linotype"/>
                <w:spacing w:val="-3"/>
              </w:rPr>
              <w:t xml:space="preserve"> </w:t>
            </w:r>
            <w:r w:rsidRPr="00B014BC">
              <w:rPr>
                <w:rFonts w:ascii="Palatino Linotype" w:eastAsia="Palatino Linotype" w:hAnsi="Palatino Linotype" w:cs="Palatino Linotype"/>
                <w:spacing w:val="-2"/>
              </w:rPr>
              <w:t>Michael</w:t>
            </w:r>
          </w:p>
          <w:p w14:paraId="24D71547" w14:textId="77777777" w:rsidR="00B014BC" w:rsidRPr="00B014BC" w:rsidRDefault="00B014BC" w:rsidP="00B014BC">
            <w:pPr>
              <w:spacing w:before="2"/>
              <w:ind w:left="108" w:right="1187"/>
              <w:rPr>
                <w:rFonts w:ascii="Palatino Linotype" w:eastAsia="Palatino Linotype" w:hAnsi="Palatino Linotype" w:cs="Palatino Linotype"/>
              </w:rPr>
            </w:pPr>
            <w:r w:rsidRPr="00B014BC">
              <w:rPr>
                <w:rFonts w:ascii="Palatino Linotype" w:eastAsia="Palatino Linotype" w:hAnsi="Palatino Linotype" w:cs="Palatino Linotype"/>
              </w:rPr>
              <w:t>Assistant</w:t>
            </w:r>
            <w:r w:rsidRPr="00B014BC">
              <w:rPr>
                <w:rFonts w:ascii="Palatino Linotype" w:eastAsia="Palatino Linotype" w:hAnsi="Palatino Linotype" w:cs="Palatino Linotype"/>
                <w:spacing w:val="-14"/>
              </w:rPr>
              <w:t xml:space="preserve"> </w:t>
            </w:r>
            <w:r w:rsidRPr="00B014BC">
              <w:rPr>
                <w:rFonts w:ascii="Palatino Linotype" w:eastAsia="Palatino Linotype" w:hAnsi="Palatino Linotype" w:cs="Palatino Linotype"/>
              </w:rPr>
              <w:t>Consumers’</w:t>
            </w:r>
            <w:r w:rsidRPr="00B014BC">
              <w:rPr>
                <w:rFonts w:ascii="Palatino Linotype" w:eastAsia="Palatino Linotype" w:hAnsi="Palatino Linotype" w:cs="Palatino Linotype"/>
                <w:spacing w:val="-14"/>
              </w:rPr>
              <w:t xml:space="preserve"> </w:t>
            </w:r>
            <w:r w:rsidRPr="00B014BC">
              <w:rPr>
                <w:rFonts w:ascii="Palatino Linotype" w:eastAsia="Palatino Linotype" w:hAnsi="Palatino Linotype" w:cs="Palatino Linotype"/>
              </w:rPr>
              <w:t xml:space="preserve">Counsel </w:t>
            </w:r>
            <w:hyperlink r:id="rId15">
              <w:r w:rsidRPr="00B014BC">
                <w:rPr>
                  <w:rFonts w:ascii="Palatino Linotype" w:eastAsia="Palatino Linotype" w:hAnsi="Palatino Linotype" w:cs="Palatino Linotype"/>
                  <w:color w:val="0000FF"/>
                  <w:spacing w:val="-2"/>
                  <w:u w:val="single" w:color="0000FF"/>
                </w:rPr>
                <w:t>angela.obrien@occ.ohio.gov</w:t>
              </w:r>
            </w:hyperlink>
            <w:r w:rsidRPr="00B014BC">
              <w:rPr>
                <w:rFonts w:ascii="Palatino Linotype" w:eastAsia="Palatino Linotype" w:hAnsi="Palatino Linotype" w:cs="Palatino Linotype"/>
                <w:color w:val="0000FF"/>
                <w:spacing w:val="-2"/>
              </w:rPr>
              <w:t xml:space="preserve"> </w:t>
            </w:r>
            <w:hyperlink r:id="rId16">
              <w:r w:rsidRPr="00B014BC">
                <w:rPr>
                  <w:rFonts w:ascii="Palatino Linotype" w:eastAsia="Palatino Linotype" w:hAnsi="Palatino Linotype" w:cs="Palatino Linotype"/>
                  <w:color w:val="0000FF"/>
                  <w:spacing w:val="-2"/>
                  <w:u w:val="single" w:color="0000FF"/>
                </w:rPr>
                <w:t>william.michael@occ.ohio.gov</w:t>
              </w:r>
            </w:hyperlink>
          </w:p>
        </w:tc>
      </w:tr>
      <w:tr w:rsidR="00B014BC" w:rsidRPr="00B014BC" w14:paraId="2FC15B78" w14:textId="77777777" w:rsidTr="00C33604">
        <w:trPr>
          <w:trHeight w:val="1725"/>
        </w:trPr>
        <w:tc>
          <w:tcPr>
            <w:tcW w:w="3775" w:type="dxa"/>
            <w:tcBorders>
              <w:top w:val="single" w:sz="4" w:space="0" w:color="000000"/>
              <w:left w:val="single" w:sz="4" w:space="0" w:color="000000"/>
              <w:bottom w:val="single" w:sz="4" w:space="0" w:color="000000"/>
              <w:right w:val="single" w:sz="4" w:space="0" w:color="000000"/>
            </w:tcBorders>
          </w:tcPr>
          <w:p w14:paraId="4D3AF0F6" w14:textId="77777777" w:rsidR="00B014BC" w:rsidRPr="00B014BC" w:rsidRDefault="00B014BC" w:rsidP="00B014BC">
            <w:pPr>
              <w:widowControl/>
              <w:autoSpaceDE/>
              <w:autoSpaceDN/>
              <w:spacing w:after="240"/>
              <w:rPr>
                <w:rFonts w:ascii="Palatino Linotype" w:eastAsia="Palatino Linotype" w:hAnsi="Palatino Linotype" w:cs="Palatino Linotype"/>
                <w:b/>
              </w:rPr>
            </w:pPr>
            <w:r w:rsidRPr="00B014BC">
              <w:rPr>
                <w:rFonts w:ascii="Palatino Linotype" w:eastAsia="Palatino Linotype" w:hAnsi="Palatino Linotype" w:cs="Palatino Linotype"/>
                <w:b/>
              </w:rPr>
              <w:t>Ohio Energy Group (OEG)</w:t>
            </w:r>
          </w:p>
        </w:tc>
        <w:tc>
          <w:tcPr>
            <w:tcW w:w="4320" w:type="dxa"/>
            <w:tcBorders>
              <w:top w:val="single" w:sz="4" w:space="0" w:color="000000"/>
              <w:left w:val="single" w:sz="4" w:space="0" w:color="000000"/>
              <w:bottom w:val="single" w:sz="4" w:space="0" w:color="000000"/>
              <w:right w:val="single" w:sz="4" w:space="0" w:color="000000"/>
            </w:tcBorders>
          </w:tcPr>
          <w:p w14:paraId="693AE2B5" w14:textId="77777777" w:rsidR="00B014BC" w:rsidRPr="00B014BC" w:rsidRDefault="00B014BC" w:rsidP="00B014BC">
            <w:pPr>
              <w:widowControl/>
              <w:autoSpaceDE/>
              <w:autoSpaceDN/>
              <w:spacing w:after="240"/>
              <w:rPr>
                <w:rFonts w:ascii="Palatino Linotype" w:eastAsia="Palatino Linotype" w:hAnsi="Palatino Linotype" w:cs="Palatino Linotype"/>
              </w:rPr>
            </w:pPr>
            <w:r w:rsidRPr="00B014BC">
              <w:rPr>
                <w:rFonts w:ascii="Palatino Linotype" w:eastAsia="Palatino Linotype" w:hAnsi="Palatino Linotype" w:cs="Palatino Linotype"/>
              </w:rPr>
              <w:t>Michael L. Kurtz, Esq. Kurt J. Boehm, Esq.</w:t>
            </w:r>
          </w:p>
          <w:p w14:paraId="131835B0" w14:textId="77777777" w:rsidR="00B014BC" w:rsidRPr="00B014BC" w:rsidRDefault="00B014BC" w:rsidP="00B014BC">
            <w:pPr>
              <w:widowControl/>
              <w:autoSpaceDE/>
              <w:autoSpaceDN/>
              <w:spacing w:before="121"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Jody Kyler Cohn, Esq. BOEHM, KURTZ &amp; LOWRY</w:t>
            </w:r>
          </w:p>
          <w:p w14:paraId="22D0650D" w14:textId="77777777" w:rsidR="00B014BC" w:rsidRPr="00B014BC" w:rsidRDefault="00231803" w:rsidP="00B014BC">
            <w:pPr>
              <w:widowControl/>
              <w:autoSpaceDE/>
              <w:autoSpaceDN/>
              <w:spacing w:before="121" w:after="240"/>
              <w:ind w:right="1680"/>
              <w:rPr>
                <w:rFonts w:ascii="Palatino Linotype" w:eastAsia="Palatino Linotype" w:hAnsi="Palatino Linotype" w:cs="Palatino Linotype"/>
              </w:rPr>
            </w:pPr>
            <w:hyperlink r:id="rId17">
              <w:r w:rsidR="00B014BC" w:rsidRPr="00B014BC">
                <w:rPr>
                  <w:rFonts w:ascii="Palatino Linotype" w:eastAsia="Palatino Linotype" w:hAnsi="Palatino Linotype" w:cs="Palatino Linotype"/>
                  <w:color w:val="0000FF" w:themeColor="hyperlink"/>
                  <w:u w:val="single"/>
                </w:rPr>
                <w:t>mkurtz@BKLlawfirm.com</w:t>
              </w:r>
            </w:hyperlink>
            <w:r w:rsidR="00B014BC" w:rsidRPr="00B014BC">
              <w:rPr>
                <w:rFonts w:ascii="Palatino Linotype" w:eastAsia="Palatino Linotype" w:hAnsi="Palatino Linotype" w:cs="Palatino Linotype"/>
              </w:rPr>
              <w:t xml:space="preserve"> </w:t>
            </w:r>
            <w:hyperlink r:id="rId18">
              <w:r w:rsidR="00B014BC" w:rsidRPr="00B014BC">
                <w:rPr>
                  <w:rFonts w:ascii="Palatino Linotype" w:eastAsia="Palatino Linotype" w:hAnsi="Palatino Linotype" w:cs="Palatino Linotype"/>
                  <w:color w:val="0000FF" w:themeColor="hyperlink"/>
                  <w:u w:val="single"/>
                </w:rPr>
                <w:t>kboehm@BKLlawfirm.com</w:t>
              </w:r>
            </w:hyperlink>
            <w:r w:rsidR="00B014BC" w:rsidRPr="00B014BC">
              <w:rPr>
                <w:rFonts w:ascii="Palatino Linotype" w:eastAsia="Palatino Linotype" w:hAnsi="Palatino Linotype" w:cs="Palatino Linotype"/>
              </w:rPr>
              <w:t xml:space="preserve"> </w:t>
            </w:r>
            <w:hyperlink r:id="rId19">
              <w:r w:rsidR="00B014BC" w:rsidRPr="00B014BC">
                <w:rPr>
                  <w:rFonts w:ascii="Palatino Linotype" w:eastAsia="Palatino Linotype" w:hAnsi="Palatino Linotype" w:cs="Palatino Linotype"/>
                  <w:color w:val="0000FF" w:themeColor="hyperlink"/>
                  <w:u w:val="single"/>
                </w:rPr>
                <w:t>jkylercohn@BKLlawfirm.com</w:t>
              </w:r>
            </w:hyperlink>
          </w:p>
        </w:tc>
      </w:tr>
      <w:tr w:rsidR="00B014BC" w:rsidRPr="00B014BC" w14:paraId="28F1F85E" w14:textId="77777777" w:rsidTr="00C33604">
        <w:trPr>
          <w:trHeight w:val="1725"/>
        </w:trPr>
        <w:tc>
          <w:tcPr>
            <w:tcW w:w="3775" w:type="dxa"/>
            <w:tcBorders>
              <w:top w:val="single" w:sz="4" w:space="0" w:color="000000"/>
              <w:left w:val="single" w:sz="4" w:space="0" w:color="000000"/>
              <w:bottom w:val="single" w:sz="4" w:space="0" w:color="000000"/>
              <w:right w:val="single" w:sz="4" w:space="0" w:color="000000"/>
            </w:tcBorders>
          </w:tcPr>
          <w:p w14:paraId="27DEE9D4" w14:textId="77777777" w:rsidR="00B014BC" w:rsidRPr="00B014BC" w:rsidRDefault="00B014BC" w:rsidP="00B014BC">
            <w:pPr>
              <w:widowControl/>
              <w:autoSpaceDE/>
              <w:autoSpaceDN/>
              <w:spacing w:after="240"/>
              <w:rPr>
                <w:rFonts w:ascii="Palatino Linotype" w:eastAsia="Palatino Linotype" w:hAnsi="Palatino Linotype" w:cs="Palatino Linotype"/>
                <w:b/>
              </w:rPr>
            </w:pPr>
            <w:r w:rsidRPr="00B014BC">
              <w:rPr>
                <w:rFonts w:ascii="Palatino Linotype" w:eastAsia="Palatino Linotype" w:hAnsi="Palatino Linotype" w:cs="Palatino Linotype"/>
                <w:b/>
              </w:rPr>
              <w:t>Ohio Manufacturers’ Association Energy Group</w:t>
            </w:r>
          </w:p>
        </w:tc>
        <w:tc>
          <w:tcPr>
            <w:tcW w:w="4320" w:type="dxa"/>
            <w:tcBorders>
              <w:top w:val="single" w:sz="4" w:space="0" w:color="000000"/>
              <w:left w:val="single" w:sz="4" w:space="0" w:color="000000"/>
              <w:bottom w:val="single" w:sz="4" w:space="0" w:color="000000"/>
              <w:right w:val="single" w:sz="4" w:space="0" w:color="000000"/>
            </w:tcBorders>
          </w:tcPr>
          <w:p w14:paraId="2DBD3EB0" w14:textId="77777777" w:rsidR="00B014BC" w:rsidRPr="00B014BC" w:rsidRDefault="00B014BC" w:rsidP="00B014BC">
            <w:pPr>
              <w:widowControl/>
              <w:autoSpaceDE/>
              <w:autoSpaceDN/>
              <w:spacing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Kimberly W. Bojko Jonathan Wygonski</w:t>
            </w:r>
          </w:p>
          <w:p w14:paraId="501AA327" w14:textId="77777777" w:rsidR="00B014BC" w:rsidRPr="00B014BC" w:rsidRDefault="00B014BC" w:rsidP="00B014BC">
            <w:pPr>
              <w:widowControl/>
              <w:autoSpaceDE/>
              <w:autoSpaceDN/>
              <w:spacing w:before="121"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 xml:space="preserve">Carpenter Lipps &amp; Leland LLP </w:t>
            </w:r>
            <w:hyperlink r:id="rId20">
              <w:r w:rsidRPr="00B014BC">
                <w:rPr>
                  <w:rFonts w:ascii="Palatino Linotype" w:eastAsia="Palatino Linotype" w:hAnsi="Palatino Linotype" w:cs="Palatino Linotype"/>
                  <w:color w:val="0000FF" w:themeColor="hyperlink"/>
                  <w:u w:val="single"/>
                </w:rPr>
                <w:t>Bojko@carpenterlipps.com</w:t>
              </w:r>
            </w:hyperlink>
            <w:r w:rsidRPr="00B014BC">
              <w:rPr>
                <w:rFonts w:ascii="Palatino Linotype" w:eastAsia="Palatino Linotype" w:hAnsi="Palatino Linotype" w:cs="Palatino Linotype"/>
              </w:rPr>
              <w:t xml:space="preserve"> </w:t>
            </w:r>
            <w:hyperlink r:id="rId21">
              <w:r w:rsidRPr="00B014BC">
                <w:rPr>
                  <w:rFonts w:ascii="Palatino Linotype" w:eastAsia="Palatino Linotype" w:hAnsi="Palatino Linotype" w:cs="Palatino Linotype"/>
                  <w:color w:val="0000FF" w:themeColor="hyperlink"/>
                  <w:u w:val="single"/>
                </w:rPr>
                <w:t>Wygonski@carpenterlipps.com</w:t>
              </w:r>
            </w:hyperlink>
          </w:p>
        </w:tc>
      </w:tr>
      <w:tr w:rsidR="00B014BC" w:rsidRPr="00B014BC" w14:paraId="029FCDFB" w14:textId="77777777" w:rsidTr="00C33604">
        <w:trPr>
          <w:trHeight w:val="1725"/>
        </w:trPr>
        <w:tc>
          <w:tcPr>
            <w:tcW w:w="3775" w:type="dxa"/>
            <w:tcBorders>
              <w:top w:val="single" w:sz="4" w:space="0" w:color="000000"/>
              <w:left w:val="single" w:sz="4" w:space="0" w:color="000000"/>
              <w:bottom w:val="single" w:sz="4" w:space="0" w:color="000000"/>
              <w:right w:val="single" w:sz="4" w:space="0" w:color="000000"/>
            </w:tcBorders>
          </w:tcPr>
          <w:p w14:paraId="65D208E2" w14:textId="77777777" w:rsidR="00B014BC" w:rsidRPr="00B014BC" w:rsidRDefault="00B014BC" w:rsidP="00B014BC">
            <w:pPr>
              <w:widowControl/>
              <w:autoSpaceDE/>
              <w:autoSpaceDN/>
              <w:spacing w:after="240"/>
              <w:rPr>
                <w:rFonts w:ascii="Palatino Linotype" w:eastAsia="Palatino Linotype" w:hAnsi="Palatino Linotype" w:cs="Palatino Linotype"/>
                <w:b/>
              </w:rPr>
            </w:pPr>
            <w:r w:rsidRPr="00B014BC">
              <w:rPr>
                <w:rFonts w:ascii="Palatino Linotype" w:eastAsia="Palatino Linotype" w:hAnsi="Palatino Linotype" w:cs="Palatino Linotype"/>
                <w:b/>
              </w:rPr>
              <w:t>Ohio Partners for Affordable Energy</w:t>
            </w:r>
          </w:p>
        </w:tc>
        <w:tc>
          <w:tcPr>
            <w:tcW w:w="4320" w:type="dxa"/>
            <w:tcBorders>
              <w:top w:val="single" w:sz="4" w:space="0" w:color="000000"/>
              <w:left w:val="single" w:sz="4" w:space="0" w:color="000000"/>
              <w:bottom w:val="single" w:sz="4" w:space="0" w:color="000000"/>
              <w:right w:val="single" w:sz="4" w:space="0" w:color="000000"/>
            </w:tcBorders>
          </w:tcPr>
          <w:p w14:paraId="45ABC508" w14:textId="77777777" w:rsidR="00B014BC" w:rsidRPr="00B014BC" w:rsidRDefault="00B014BC" w:rsidP="00B014BC">
            <w:pPr>
              <w:widowControl/>
              <w:autoSpaceDE/>
              <w:autoSpaceDN/>
              <w:spacing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Robert Dove</w:t>
            </w:r>
          </w:p>
          <w:p w14:paraId="69B29234" w14:textId="77777777" w:rsidR="00B014BC" w:rsidRPr="00B014BC" w:rsidRDefault="00B014BC" w:rsidP="00B014BC">
            <w:pPr>
              <w:widowControl/>
              <w:autoSpaceDE/>
              <w:autoSpaceDN/>
              <w:spacing w:before="121"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 xml:space="preserve">Kegler Brown Hill + Ritter Co., L.P.A. </w:t>
            </w:r>
            <w:hyperlink r:id="rId22">
              <w:r w:rsidRPr="00B014BC">
                <w:rPr>
                  <w:rFonts w:ascii="Palatino Linotype" w:eastAsia="Palatino Linotype" w:hAnsi="Palatino Linotype" w:cs="Palatino Linotype"/>
                  <w:color w:val="0000FF" w:themeColor="hyperlink"/>
                  <w:u w:val="single"/>
                </w:rPr>
                <w:t>rdove@keglerbrown.com</w:t>
              </w:r>
            </w:hyperlink>
          </w:p>
        </w:tc>
      </w:tr>
      <w:tr w:rsidR="00B014BC" w:rsidRPr="00B014BC" w14:paraId="67DB372A" w14:textId="77777777" w:rsidTr="00C33604">
        <w:trPr>
          <w:trHeight w:val="1725"/>
        </w:trPr>
        <w:tc>
          <w:tcPr>
            <w:tcW w:w="3775" w:type="dxa"/>
            <w:tcBorders>
              <w:top w:val="single" w:sz="4" w:space="0" w:color="000000"/>
              <w:left w:val="single" w:sz="4" w:space="0" w:color="000000"/>
              <w:bottom w:val="single" w:sz="4" w:space="0" w:color="000000"/>
              <w:right w:val="single" w:sz="4" w:space="0" w:color="000000"/>
            </w:tcBorders>
          </w:tcPr>
          <w:p w14:paraId="47ADB7AD" w14:textId="77777777" w:rsidR="00B014BC" w:rsidRPr="00B014BC" w:rsidRDefault="00B014BC" w:rsidP="00B014BC">
            <w:pPr>
              <w:widowControl/>
              <w:autoSpaceDE/>
              <w:autoSpaceDN/>
              <w:spacing w:before="121" w:after="240"/>
              <w:rPr>
                <w:rFonts w:ascii="Palatino Linotype" w:eastAsia="Palatino Linotype" w:hAnsi="Palatino Linotype" w:cs="Palatino Linotype"/>
                <w:b/>
              </w:rPr>
            </w:pPr>
            <w:r w:rsidRPr="00B014BC">
              <w:rPr>
                <w:rFonts w:ascii="Palatino Linotype" w:eastAsia="Palatino Linotype" w:hAnsi="Palatino Linotype" w:cs="Palatino Linotype"/>
                <w:b/>
              </w:rPr>
              <w:t>Ohio School Council</w:t>
            </w:r>
          </w:p>
        </w:tc>
        <w:tc>
          <w:tcPr>
            <w:tcW w:w="4320" w:type="dxa"/>
            <w:tcBorders>
              <w:top w:val="single" w:sz="4" w:space="0" w:color="000000"/>
              <w:left w:val="single" w:sz="4" w:space="0" w:color="000000"/>
              <w:bottom w:val="single" w:sz="4" w:space="0" w:color="000000"/>
              <w:right w:val="single" w:sz="4" w:space="0" w:color="000000"/>
            </w:tcBorders>
          </w:tcPr>
          <w:p w14:paraId="6E6C491B" w14:textId="77777777" w:rsidR="00B014BC" w:rsidRPr="00B014BC" w:rsidRDefault="00B014BC" w:rsidP="00B014BC">
            <w:pPr>
              <w:widowControl/>
              <w:autoSpaceDE/>
              <w:autoSpaceDN/>
              <w:spacing w:before="121"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Glenn S. Krassen BRICKER &amp; ECKLER LLP</w:t>
            </w:r>
          </w:p>
          <w:p w14:paraId="4B3D78CF" w14:textId="77777777" w:rsidR="00B014BC" w:rsidRPr="00B014BC" w:rsidRDefault="00231803" w:rsidP="00B014BC">
            <w:pPr>
              <w:widowControl/>
              <w:autoSpaceDE/>
              <w:autoSpaceDN/>
              <w:spacing w:before="121" w:after="240"/>
              <w:ind w:right="1680"/>
              <w:rPr>
                <w:rFonts w:ascii="Palatino Linotype" w:eastAsia="Palatino Linotype" w:hAnsi="Palatino Linotype" w:cs="Palatino Linotype"/>
              </w:rPr>
            </w:pPr>
            <w:hyperlink r:id="rId23">
              <w:r w:rsidR="00B014BC" w:rsidRPr="00B014BC">
                <w:rPr>
                  <w:rFonts w:ascii="Palatino Linotype" w:eastAsia="Palatino Linotype" w:hAnsi="Palatino Linotype" w:cs="Palatino Linotype"/>
                  <w:color w:val="0000FF" w:themeColor="hyperlink"/>
                  <w:u w:val="single"/>
                </w:rPr>
                <w:t>gkrassen@bricker.com</w:t>
              </w:r>
            </w:hyperlink>
            <w:r w:rsidR="00B014BC" w:rsidRPr="00B014BC">
              <w:rPr>
                <w:rFonts w:ascii="Palatino Linotype" w:eastAsia="Palatino Linotype" w:hAnsi="Palatino Linotype" w:cs="Palatino Linotype"/>
              </w:rPr>
              <w:t xml:space="preserve"> Dane Stinson</w:t>
            </w:r>
          </w:p>
          <w:p w14:paraId="10507B8A" w14:textId="77777777" w:rsidR="00B014BC" w:rsidRPr="00B014BC" w:rsidRDefault="00B014BC" w:rsidP="00B014BC">
            <w:pPr>
              <w:widowControl/>
              <w:autoSpaceDE/>
              <w:autoSpaceDN/>
              <w:spacing w:before="121"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BRICKER &amp; ECKLER LLP</w:t>
            </w:r>
          </w:p>
          <w:p w14:paraId="7AA0048B" w14:textId="77777777" w:rsidR="00B014BC" w:rsidRPr="00B014BC" w:rsidRDefault="00231803" w:rsidP="00B014BC">
            <w:pPr>
              <w:widowControl/>
              <w:autoSpaceDE/>
              <w:autoSpaceDN/>
              <w:spacing w:before="121" w:after="240"/>
              <w:ind w:right="1680"/>
              <w:rPr>
                <w:rFonts w:ascii="Palatino Linotype" w:eastAsia="Palatino Linotype" w:hAnsi="Palatino Linotype" w:cs="Palatino Linotype"/>
              </w:rPr>
            </w:pPr>
            <w:hyperlink r:id="rId24">
              <w:r w:rsidR="00B014BC" w:rsidRPr="00B014BC">
                <w:rPr>
                  <w:rFonts w:ascii="Palatino Linotype" w:eastAsia="Palatino Linotype" w:hAnsi="Palatino Linotype" w:cs="Palatino Linotype"/>
                  <w:color w:val="0000FF" w:themeColor="hyperlink"/>
                  <w:u w:val="single"/>
                </w:rPr>
                <w:t>dstinson@bricker.com</w:t>
              </w:r>
            </w:hyperlink>
          </w:p>
        </w:tc>
      </w:tr>
      <w:tr w:rsidR="00B014BC" w:rsidRPr="00B014BC" w14:paraId="50C221B1" w14:textId="77777777" w:rsidTr="00C33604">
        <w:trPr>
          <w:trHeight w:val="1725"/>
        </w:trPr>
        <w:tc>
          <w:tcPr>
            <w:tcW w:w="3775" w:type="dxa"/>
            <w:tcBorders>
              <w:top w:val="single" w:sz="4" w:space="0" w:color="000000"/>
              <w:left w:val="single" w:sz="4" w:space="0" w:color="000000"/>
              <w:bottom w:val="single" w:sz="4" w:space="0" w:color="000000"/>
              <w:right w:val="single" w:sz="4" w:space="0" w:color="000000"/>
            </w:tcBorders>
          </w:tcPr>
          <w:p w14:paraId="5FE02B09" w14:textId="77777777" w:rsidR="00B014BC" w:rsidRPr="00B014BC" w:rsidRDefault="00B014BC" w:rsidP="00B014BC">
            <w:pPr>
              <w:widowControl/>
              <w:autoSpaceDE/>
              <w:autoSpaceDN/>
              <w:spacing w:after="240"/>
              <w:rPr>
                <w:rFonts w:ascii="Palatino Linotype" w:eastAsia="Palatino Linotype" w:hAnsi="Palatino Linotype" w:cs="Palatino Linotype"/>
                <w:b/>
              </w:rPr>
            </w:pPr>
            <w:r w:rsidRPr="00B014BC">
              <w:rPr>
                <w:rFonts w:ascii="Palatino Linotype" w:eastAsia="Palatino Linotype" w:hAnsi="Palatino Linotype" w:cs="Palatino Linotype"/>
                <w:b/>
              </w:rPr>
              <w:lastRenderedPageBreak/>
              <w:t>Retail Energy Supply Association</w:t>
            </w:r>
          </w:p>
        </w:tc>
        <w:tc>
          <w:tcPr>
            <w:tcW w:w="4320" w:type="dxa"/>
            <w:tcBorders>
              <w:top w:val="single" w:sz="4" w:space="0" w:color="000000"/>
              <w:left w:val="single" w:sz="4" w:space="0" w:color="000000"/>
              <w:bottom w:val="single" w:sz="4" w:space="0" w:color="000000"/>
              <w:right w:val="single" w:sz="4" w:space="0" w:color="000000"/>
            </w:tcBorders>
          </w:tcPr>
          <w:p w14:paraId="35DFDDE0" w14:textId="77777777" w:rsidR="00B014BC" w:rsidRPr="00B014BC" w:rsidRDefault="00B014BC" w:rsidP="00B014BC">
            <w:pPr>
              <w:widowControl/>
              <w:autoSpaceDE/>
              <w:autoSpaceDN/>
              <w:spacing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Michael J. Settineri Gretchen L. Petrucci</w:t>
            </w:r>
          </w:p>
          <w:p w14:paraId="684F998A" w14:textId="77777777" w:rsidR="00B014BC" w:rsidRPr="00B014BC" w:rsidRDefault="00B014BC" w:rsidP="00B014BC">
            <w:pPr>
              <w:widowControl/>
              <w:autoSpaceDE/>
              <w:autoSpaceDN/>
              <w:spacing w:before="121" w:after="240"/>
              <w:ind w:right="1680"/>
              <w:rPr>
                <w:rFonts w:ascii="Palatino Linotype" w:eastAsia="Palatino Linotype" w:hAnsi="Palatino Linotype" w:cs="Palatino Linotype"/>
              </w:rPr>
            </w:pPr>
            <w:r w:rsidRPr="00B014BC">
              <w:rPr>
                <w:rFonts w:ascii="Palatino Linotype" w:eastAsia="Palatino Linotype" w:hAnsi="Palatino Linotype" w:cs="Palatino Linotype"/>
              </w:rPr>
              <w:t xml:space="preserve">Vorys, Sater, Seymour and Pease LLP </w:t>
            </w:r>
            <w:hyperlink r:id="rId25">
              <w:r w:rsidRPr="00B014BC">
                <w:rPr>
                  <w:rFonts w:ascii="Palatino Linotype" w:eastAsia="Palatino Linotype" w:hAnsi="Palatino Linotype" w:cs="Palatino Linotype"/>
                  <w:color w:val="0000FF" w:themeColor="hyperlink"/>
                  <w:u w:val="single"/>
                </w:rPr>
                <w:t>mjsettineri@vorys.com</w:t>
              </w:r>
            </w:hyperlink>
            <w:r w:rsidRPr="00B014BC">
              <w:rPr>
                <w:rFonts w:ascii="Palatino Linotype" w:eastAsia="Palatino Linotype" w:hAnsi="Palatino Linotype" w:cs="Palatino Linotype"/>
              </w:rPr>
              <w:t xml:space="preserve"> </w:t>
            </w:r>
            <w:hyperlink r:id="rId26">
              <w:r w:rsidRPr="00B014BC">
                <w:rPr>
                  <w:rFonts w:ascii="Palatino Linotype" w:eastAsia="Palatino Linotype" w:hAnsi="Palatino Linotype" w:cs="Palatino Linotype"/>
                  <w:color w:val="0000FF" w:themeColor="hyperlink"/>
                  <w:u w:val="single"/>
                </w:rPr>
                <w:t>glpetrucci@vorys.com</w:t>
              </w:r>
            </w:hyperlink>
          </w:p>
        </w:tc>
      </w:tr>
      <w:tr w:rsidR="00B014BC" w:rsidRPr="00B014BC" w14:paraId="3F9742B1" w14:textId="77777777" w:rsidTr="00C33604">
        <w:trPr>
          <w:trHeight w:val="1725"/>
        </w:trPr>
        <w:tc>
          <w:tcPr>
            <w:tcW w:w="3775" w:type="dxa"/>
            <w:tcBorders>
              <w:top w:val="single" w:sz="4" w:space="0" w:color="000000"/>
              <w:left w:val="single" w:sz="4" w:space="0" w:color="000000"/>
              <w:bottom w:val="single" w:sz="4" w:space="0" w:color="000000"/>
              <w:right w:val="single" w:sz="4" w:space="0" w:color="000000"/>
            </w:tcBorders>
          </w:tcPr>
          <w:p w14:paraId="429365FB" w14:textId="77777777" w:rsidR="00B014BC" w:rsidRPr="00B014BC" w:rsidRDefault="00B014BC" w:rsidP="00B014BC">
            <w:pPr>
              <w:widowControl/>
              <w:autoSpaceDE/>
              <w:autoSpaceDN/>
              <w:spacing w:after="240"/>
              <w:jc w:val="center"/>
              <w:rPr>
                <w:rFonts w:ascii="Palatino Linotype" w:eastAsia="Palatino Linotype" w:hAnsi="Palatino Linotype" w:cs="Palatino Linotype"/>
                <w:b/>
              </w:rPr>
            </w:pPr>
          </w:p>
          <w:p w14:paraId="2BBC307E" w14:textId="77777777" w:rsidR="00B014BC" w:rsidRPr="00B014BC" w:rsidRDefault="00B014BC" w:rsidP="00B014BC">
            <w:pPr>
              <w:widowControl/>
              <w:autoSpaceDE/>
              <w:autoSpaceDN/>
              <w:spacing w:after="240"/>
              <w:jc w:val="center"/>
              <w:rPr>
                <w:rFonts w:ascii="Palatino Linotype" w:eastAsia="Palatino Linotype" w:hAnsi="Palatino Linotype" w:cs="Palatino Linotype"/>
                <w:b/>
              </w:rPr>
            </w:pPr>
            <w:r w:rsidRPr="00B014BC">
              <w:rPr>
                <w:rFonts w:ascii="Palatino Linotype" w:eastAsia="Palatino Linotype" w:hAnsi="Palatino Linotype" w:cs="Palatino Linotype"/>
                <w:b/>
              </w:rPr>
              <w:t>IEU-Ohio</w:t>
            </w:r>
          </w:p>
        </w:tc>
        <w:tc>
          <w:tcPr>
            <w:tcW w:w="4320" w:type="dxa"/>
            <w:tcBorders>
              <w:top w:val="single" w:sz="4" w:space="0" w:color="000000"/>
              <w:left w:val="single" w:sz="4" w:space="0" w:color="000000"/>
              <w:bottom w:val="single" w:sz="4" w:space="0" w:color="000000"/>
              <w:right w:val="single" w:sz="4" w:space="0" w:color="000000"/>
            </w:tcBorders>
          </w:tcPr>
          <w:p w14:paraId="6D9D113C" w14:textId="77777777" w:rsidR="00B014BC" w:rsidRPr="00B014BC" w:rsidRDefault="00B014BC" w:rsidP="00B014BC">
            <w:pPr>
              <w:widowControl/>
              <w:autoSpaceDE/>
              <w:autoSpaceDN/>
              <w:rPr>
                <w:rFonts w:eastAsiaTheme="minorHAnsi"/>
                <w:sz w:val="24"/>
                <w:szCs w:val="24"/>
              </w:rPr>
            </w:pPr>
            <w:r w:rsidRPr="00B014BC">
              <w:rPr>
                <w:rFonts w:eastAsiaTheme="minorHAnsi"/>
                <w:sz w:val="24"/>
                <w:szCs w:val="24"/>
              </w:rPr>
              <w:t xml:space="preserve"> Matthew Pritchard</w:t>
            </w:r>
          </w:p>
          <w:p w14:paraId="3DAB253B" w14:textId="77777777" w:rsidR="00B014BC" w:rsidRPr="00B014BC" w:rsidRDefault="00B014BC" w:rsidP="00B014BC">
            <w:pPr>
              <w:widowControl/>
              <w:autoSpaceDE/>
              <w:autoSpaceDN/>
              <w:rPr>
                <w:rFonts w:eastAsiaTheme="minorHAnsi"/>
                <w:sz w:val="24"/>
                <w:szCs w:val="24"/>
              </w:rPr>
            </w:pPr>
            <w:r w:rsidRPr="00B014BC">
              <w:rPr>
                <w:rFonts w:eastAsiaTheme="minorHAnsi"/>
                <w:sz w:val="24"/>
                <w:szCs w:val="24"/>
              </w:rPr>
              <w:t>Bryce Mckenney</w:t>
            </w:r>
          </w:p>
          <w:p w14:paraId="69C01AC7" w14:textId="77777777" w:rsidR="00B014BC" w:rsidRPr="00B014BC" w:rsidRDefault="00B014BC" w:rsidP="00B014BC">
            <w:pPr>
              <w:widowControl/>
              <w:autoSpaceDE/>
              <w:autoSpaceDN/>
              <w:rPr>
                <w:rFonts w:eastAsiaTheme="minorHAnsi"/>
                <w:sz w:val="24"/>
                <w:szCs w:val="24"/>
              </w:rPr>
            </w:pPr>
            <w:r w:rsidRPr="00B014BC">
              <w:rPr>
                <w:rFonts w:eastAsiaTheme="minorHAnsi"/>
                <w:sz w:val="24"/>
                <w:szCs w:val="24"/>
              </w:rPr>
              <w:t>MCNEES WALLACE &amp; NURICK LLC</w:t>
            </w:r>
          </w:p>
          <w:p w14:paraId="09D0360A" w14:textId="77777777" w:rsidR="00B014BC" w:rsidRPr="00B014BC" w:rsidRDefault="00B014BC" w:rsidP="00B014BC">
            <w:pPr>
              <w:widowControl/>
              <w:autoSpaceDE/>
              <w:autoSpaceDN/>
              <w:rPr>
                <w:rFonts w:eastAsiaTheme="minorHAnsi"/>
                <w:sz w:val="24"/>
                <w:szCs w:val="24"/>
              </w:rPr>
            </w:pPr>
            <w:r w:rsidRPr="00B014BC">
              <w:rPr>
                <w:rFonts w:eastAsiaTheme="minorHAnsi"/>
                <w:sz w:val="24"/>
                <w:szCs w:val="24"/>
              </w:rPr>
              <w:t>mpritchard@mcneeslaw.com</w:t>
            </w:r>
          </w:p>
          <w:p w14:paraId="13B5C6C5" w14:textId="77777777" w:rsidR="00B014BC" w:rsidRPr="00B014BC" w:rsidRDefault="00B014BC" w:rsidP="00B014BC">
            <w:pPr>
              <w:widowControl/>
              <w:autoSpaceDE/>
              <w:autoSpaceDN/>
              <w:rPr>
                <w:rFonts w:eastAsiaTheme="minorHAnsi"/>
                <w:sz w:val="24"/>
                <w:szCs w:val="24"/>
              </w:rPr>
            </w:pPr>
            <w:r w:rsidRPr="00B014BC">
              <w:rPr>
                <w:rFonts w:eastAsiaTheme="minorHAnsi"/>
                <w:sz w:val="24"/>
                <w:szCs w:val="24"/>
              </w:rPr>
              <w:t>bmckenney@mcneeslaw.com</w:t>
            </w:r>
          </w:p>
        </w:tc>
      </w:tr>
    </w:tbl>
    <w:p w14:paraId="47ADF069" w14:textId="52A7B128" w:rsidR="00B705CF" w:rsidRDefault="00B705CF" w:rsidP="0037474E">
      <w:pPr>
        <w:spacing w:after="200"/>
        <w:rPr>
          <w:rFonts w:ascii="Arial"/>
        </w:rPr>
      </w:pPr>
    </w:p>
    <w:sectPr w:rsidR="00B705CF" w:rsidSect="00E56C79">
      <w:footerReference w:type="default" r:id="rId27"/>
      <w:type w:val="nextColumn"/>
      <w:pgSz w:w="12240" w:h="15840"/>
      <w:pgMar w:top="1500" w:right="96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02B7" w14:textId="77777777" w:rsidR="00956A18" w:rsidRDefault="00956A18">
      <w:r>
        <w:separator/>
      </w:r>
    </w:p>
  </w:endnote>
  <w:endnote w:type="continuationSeparator" w:id="0">
    <w:p w14:paraId="7E5D7ED6" w14:textId="77777777" w:rsidR="00956A18" w:rsidRDefault="00956A18">
      <w:r>
        <w:continuationSeparator/>
      </w:r>
    </w:p>
  </w:endnote>
  <w:endnote w:type="continuationNotice" w:id="1">
    <w:p w14:paraId="6A44F381" w14:textId="77777777" w:rsidR="00956A18" w:rsidRDefault="00956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F07A" w14:textId="4520C1F9" w:rsidR="00C33604" w:rsidRDefault="00C3360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7ADF083" wp14:editId="7BE61782">
              <wp:simplePos x="0" y="0"/>
              <wp:positionH relativeFrom="page">
                <wp:posOffset>3806825</wp:posOffset>
              </wp:positionH>
              <wp:positionV relativeFrom="page">
                <wp:posOffset>9171940</wp:posOffset>
              </wp:positionV>
              <wp:extent cx="173990" cy="1962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F088" w14:textId="69DB15BE" w:rsidR="00C33604" w:rsidRDefault="00C33604">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noProof/>
                            </w:rPr>
                            <w:t>3</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DF083" id="_x0000_t202" coordsize="21600,21600" o:spt="202" path="m,l,21600r21600,l21600,xe">
              <v:stroke joinstyle="miter"/>
              <v:path gradientshapeok="t" o:connecttype="rect"/>
            </v:shapetype>
            <v:shape id="docshape1" o:spid="_x0000_s1026" type="#_x0000_t202" style="position:absolute;margin-left:299.75pt;margin-top:722.2pt;width:13.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" filled="f" stroked="f">
              <v:textbox inset="0,0,0,0">
                <w:txbxContent>
                  <w:p w14:paraId="47ADF088" w14:textId="69DB15BE" w:rsidR="00C33604" w:rsidRDefault="00C33604">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noProof/>
                      </w:rPr>
                      <w:t>3</w:t>
                    </w:r>
                    <w:r>
                      <w:rPr>
                        <w:rFonts w:ascii="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F07D" w14:textId="61A0A45B" w:rsidR="00C33604" w:rsidRDefault="00C3360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7ADF087" wp14:editId="571F2A25">
              <wp:simplePos x="0" y="0"/>
              <wp:positionH relativeFrom="page">
                <wp:posOffset>3771900</wp:posOffset>
              </wp:positionH>
              <wp:positionV relativeFrom="page">
                <wp:posOffset>9106535</wp:posOffset>
              </wp:positionV>
              <wp:extent cx="241300" cy="194310"/>
              <wp:effectExtent l="0" t="0" r="0" b="0"/>
              <wp:wrapNone/>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F08B" w14:textId="50BC09FC" w:rsidR="00C33604" w:rsidRDefault="00C3360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DF087" id="_x0000_t202" coordsize="21600,21600" o:spt="202" path="m,l,21600r21600,l21600,xe">
              <v:stroke joinstyle="miter"/>
              <v:path gradientshapeok="t" o:connecttype="rect"/>
            </v:shapetype>
            <v:shape id="docshape11" o:spid="_x0000_s1027" type="#_x0000_t202" style="position:absolute;margin-left:297pt;margin-top:717.05pt;width:19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" filled="f" stroked="f">
              <v:textbox inset="0,0,0,0">
                <w:txbxContent>
                  <w:p w14:paraId="47ADF08B" w14:textId="50BC09FC" w:rsidR="00C33604" w:rsidRDefault="00C3360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661392"/>
      <w:docPartObj>
        <w:docPartGallery w:val="Page Numbers (Bottom of Page)"/>
        <w:docPartUnique/>
      </w:docPartObj>
    </w:sdtPr>
    <w:sdtEndPr>
      <w:rPr>
        <w:noProof/>
      </w:rPr>
    </w:sdtEndPr>
    <w:sdtContent>
      <w:p w14:paraId="280B1E1A" w14:textId="712BD86F" w:rsidR="00EB7C81" w:rsidRDefault="00EB7C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DF082" w14:textId="77777777" w:rsidR="00C33604" w:rsidRDefault="00C3360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5E07" w14:textId="77777777" w:rsidR="00956A18" w:rsidRDefault="00956A18">
      <w:r>
        <w:separator/>
      </w:r>
    </w:p>
  </w:footnote>
  <w:footnote w:type="continuationSeparator" w:id="0">
    <w:p w14:paraId="09598B7D" w14:textId="77777777" w:rsidR="00956A18" w:rsidRDefault="00956A18">
      <w:r>
        <w:continuationSeparator/>
      </w:r>
    </w:p>
  </w:footnote>
  <w:footnote w:type="continuationNotice" w:id="1">
    <w:p w14:paraId="45BBA794" w14:textId="77777777" w:rsidR="00956A18" w:rsidRDefault="00956A18"/>
  </w:footnote>
  <w:footnote w:id="2">
    <w:p w14:paraId="0B13A784" w14:textId="14EA8529" w:rsidR="00C33604" w:rsidRDefault="00C33604">
      <w:pPr>
        <w:pStyle w:val="FootnoteText"/>
        <w:rPr>
          <w:rFonts w:ascii="Times New Roman" w:hAnsi="Times New Roman" w:cs="Times New Roman"/>
        </w:rPr>
      </w:pPr>
      <w:r w:rsidRPr="009F33C9">
        <w:rPr>
          <w:rStyle w:val="FootnoteReference"/>
          <w:rFonts w:cs="Times New Roman"/>
        </w:rPr>
        <w:footnoteRef/>
      </w:r>
      <w:r w:rsidRPr="009F33C9">
        <w:rPr>
          <w:rFonts w:ascii="Times New Roman" w:hAnsi="Times New Roman" w:cs="Times New Roman"/>
        </w:rPr>
        <w:t xml:space="preserve"> Application, Prepared Direct Testimony of Melissa Thompson on Behalf of Columbia Gas of Ohio, Inc. at 33 (June 14, 2021).  </w:t>
      </w:r>
    </w:p>
    <w:p w14:paraId="04032BC6" w14:textId="77777777" w:rsidR="00DC2874" w:rsidRPr="009F33C9" w:rsidRDefault="00DC2874">
      <w:pPr>
        <w:pStyle w:val="FootnoteText"/>
        <w:rPr>
          <w:rFonts w:ascii="Times New Roman" w:hAnsi="Times New Roman" w:cs="Times New Roman"/>
        </w:rPr>
      </w:pPr>
    </w:p>
  </w:footnote>
  <w:footnote w:id="3">
    <w:p w14:paraId="1B20FD38" w14:textId="290F05CD" w:rsidR="00C33604" w:rsidRPr="009F33C9" w:rsidRDefault="00C33604">
      <w:pPr>
        <w:pStyle w:val="FootnoteText"/>
        <w:rPr>
          <w:rFonts w:ascii="Times New Roman" w:hAnsi="Times New Roman" w:cs="Times New Roman"/>
        </w:rPr>
      </w:pPr>
      <w:r w:rsidRPr="009F33C9">
        <w:rPr>
          <w:rStyle w:val="FootnoteReference"/>
          <w:rFonts w:cs="Times New Roman"/>
        </w:rPr>
        <w:footnoteRef/>
      </w:r>
      <w:r w:rsidRPr="009F33C9">
        <w:rPr>
          <w:rFonts w:ascii="Times New Roman" w:hAnsi="Times New Roman" w:cs="Times New Roman"/>
        </w:rPr>
        <w:t xml:space="preserve">  </w:t>
      </w:r>
      <w:r w:rsidR="009F33C9">
        <w:rPr>
          <w:rFonts w:ascii="Times New Roman" w:hAnsi="Times New Roman" w:cs="Times New Roman"/>
        </w:rPr>
        <w:t>Ex. MW-1 (</w:t>
      </w:r>
      <w:r w:rsidRPr="009F33C9">
        <w:rPr>
          <w:rFonts w:ascii="Times New Roman" w:hAnsi="Times New Roman" w:cs="Times New Roman"/>
        </w:rPr>
        <w:t>Columbia Gas of Ohio, Inc. Response to Interstate Gas Supply, Inc.’s Interrogatory Dated September 17, 2021. Interrogatory Set 2, No. 11</w:t>
      </w:r>
      <w:r w:rsidR="009F33C9">
        <w:rPr>
          <w:rFonts w:ascii="Times New Roman" w:hAnsi="Times New Roman" w:cs="Times New Roman"/>
        </w:rPr>
        <w:t>)</w:t>
      </w:r>
      <w:r w:rsidRPr="009F33C9">
        <w:rPr>
          <w:rFonts w:ascii="Times New Roman" w:hAnsi="Times New Roman" w:cs="Times New Roman"/>
        </w:rPr>
        <w:t>.</w:t>
      </w:r>
    </w:p>
  </w:footnote>
  <w:footnote w:id="4">
    <w:p w14:paraId="136A32B0" w14:textId="365A5301" w:rsidR="00C33604" w:rsidRDefault="00C33604" w:rsidP="00F32608">
      <w:pPr>
        <w:pStyle w:val="FootnoteText"/>
      </w:pPr>
      <w:r>
        <w:rPr>
          <w:rStyle w:val="FootnoteReference"/>
        </w:rPr>
        <w:footnoteRef/>
      </w:r>
      <w:r>
        <w:t xml:space="preserve"> </w:t>
      </w:r>
      <w:bookmarkStart w:id="8" w:name="_Hlk103161808"/>
      <w:r w:rsidRPr="00B25855">
        <w:rPr>
          <w:rFonts w:ascii="Times New Roman" w:hAnsi="Times New Roman" w:cs="Times New Roman"/>
        </w:rPr>
        <w:t xml:space="preserve">Application, Prepared Direct Testimony of </w:t>
      </w:r>
      <w:r>
        <w:rPr>
          <w:rFonts w:ascii="Times New Roman" w:hAnsi="Times New Roman" w:cs="Times New Roman"/>
        </w:rPr>
        <w:t>Melissa Thompson</w:t>
      </w:r>
      <w:r w:rsidRPr="00B25855">
        <w:rPr>
          <w:rFonts w:ascii="Times New Roman" w:hAnsi="Times New Roman" w:cs="Times New Roman"/>
        </w:rPr>
        <w:t xml:space="preserve"> on Behalf of Columbia Gas of Ohio, Inc. at </w:t>
      </w:r>
      <w:r>
        <w:rPr>
          <w:rFonts w:ascii="Times New Roman" w:hAnsi="Times New Roman" w:cs="Times New Roman"/>
        </w:rPr>
        <w:t>33</w:t>
      </w:r>
      <w:r w:rsidRPr="00B25855">
        <w:rPr>
          <w:rFonts w:ascii="Times New Roman" w:hAnsi="Times New Roman" w:cs="Times New Roman"/>
        </w:rPr>
        <w:t xml:space="preserve"> (June 14, 2021).</w:t>
      </w:r>
      <w:r>
        <w:rPr>
          <w:rFonts w:ascii="Arial" w:hAnsi="Arial" w:cs="Arial"/>
          <w:sz w:val="24"/>
          <w:szCs w:val="24"/>
        </w:rPr>
        <w:t xml:space="preserve">  </w:t>
      </w:r>
      <w:bookmarkEnd w:id="8"/>
    </w:p>
  </w:footnote>
  <w:footnote w:id="5">
    <w:p w14:paraId="671E8EF3" w14:textId="794F5537" w:rsidR="00E60B00" w:rsidRDefault="00E60B00">
      <w:pPr>
        <w:pStyle w:val="FootnoteText"/>
        <w:rPr>
          <w:rFonts w:ascii="Times New Roman" w:hAnsi="Times New Roman" w:cs="Times New Roman"/>
        </w:rPr>
      </w:pPr>
      <w:r>
        <w:rPr>
          <w:rStyle w:val="FootnoteReference"/>
        </w:rPr>
        <w:footnoteRef/>
      </w:r>
      <w:r>
        <w:t xml:space="preserve"> </w:t>
      </w:r>
      <w:r w:rsidRPr="00E60B00">
        <w:rPr>
          <w:rFonts w:ascii="Times New Roman" w:hAnsi="Times New Roman" w:cs="Times New Roman"/>
        </w:rPr>
        <w:t>Ohio Revised Code 4929.29</w:t>
      </w:r>
      <w:r w:rsidR="009F33C9">
        <w:rPr>
          <w:rFonts w:ascii="Times New Roman" w:hAnsi="Times New Roman" w:cs="Times New Roman"/>
        </w:rPr>
        <w:t>.</w:t>
      </w:r>
    </w:p>
    <w:p w14:paraId="738504CE" w14:textId="77777777" w:rsidR="009F33C9" w:rsidRDefault="009F33C9">
      <w:pPr>
        <w:pStyle w:val="FootnoteText"/>
      </w:pPr>
    </w:p>
  </w:footnote>
  <w:footnote w:id="6">
    <w:p w14:paraId="77F387F0" w14:textId="51164D58" w:rsidR="00C33604" w:rsidRDefault="00C33604" w:rsidP="002D1F90">
      <w:pPr>
        <w:pStyle w:val="FootnoteText"/>
        <w:rPr>
          <w:rFonts w:ascii="Times New Roman" w:hAnsi="Times New Roman" w:cs="Times New Roman"/>
        </w:rPr>
      </w:pPr>
      <w:r>
        <w:rPr>
          <w:rStyle w:val="FootnoteReference"/>
        </w:rPr>
        <w:footnoteRef/>
      </w:r>
      <w:r>
        <w:t xml:space="preserve"> </w:t>
      </w:r>
      <w:r w:rsidRPr="00614DB2">
        <w:rPr>
          <w:rFonts w:ascii="Times New Roman" w:hAnsi="Times New Roman" w:cs="Times New Roman"/>
        </w:rPr>
        <w:t>Staff Report at 50-51.</w:t>
      </w:r>
    </w:p>
    <w:p w14:paraId="5FA20235" w14:textId="77777777" w:rsidR="009F33C9" w:rsidRDefault="009F33C9" w:rsidP="002D1F90">
      <w:pPr>
        <w:pStyle w:val="FootnoteText"/>
      </w:pPr>
    </w:p>
  </w:footnote>
  <w:footnote w:id="7">
    <w:p w14:paraId="62E7504A" w14:textId="07BD94F7" w:rsidR="00C33604" w:rsidRDefault="00C33604">
      <w:pPr>
        <w:pStyle w:val="FootnoteText"/>
      </w:pPr>
      <w:r>
        <w:rPr>
          <w:rStyle w:val="FootnoteReference"/>
        </w:rPr>
        <w:footnoteRef/>
      </w:r>
      <w:r>
        <w:t xml:space="preserve"> </w:t>
      </w:r>
      <w:r w:rsidRPr="00E60B00">
        <w:rPr>
          <w:rFonts w:ascii="Times New Roman" w:hAnsi="Times New Roman" w:cs="Times New Roman"/>
        </w:rPr>
        <w:t>Columbia has raised its own objection of recommendation to implement the program as a nonregulated service under the Optional Services tariff because the tariff is limited to products billed for third parties. See Objections of Columbia Gas of Ohio, Inc. at 60 (May 6, 2022).</w:t>
      </w:r>
      <w:r>
        <w:t xml:space="preserve"> </w:t>
      </w:r>
    </w:p>
  </w:footnote>
  <w:footnote w:id="8">
    <w:p w14:paraId="52529015" w14:textId="46BEEACA" w:rsidR="00C33604" w:rsidRDefault="00C33604" w:rsidP="005D6D22">
      <w:pPr>
        <w:pStyle w:val="FootnoteText"/>
      </w:pPr>
      <w:r>
        <w:rPr>
          <w:rStyle w:val="FootnoteReference"/>
        </w:rPr>
        <w:footnoteRef/>
      </w:r>
      <w:r>
        <w:t xml:space="preserve"> </w:t>
      </w:r>
      <w:r w:rsidRPr="00F820AA">
        <w:rPr>
          <w:rFonts w:ascii="Times New Roman" w:hAnsi="Times New Roman" w:cs="Times New Roman"/>
        </w:rPr>
        <w:t>Staff Report at 24</w:t>
      </w:r>
      <w:r w:rsidR="003867CA">
        <w:rPr>
          <w:rFonts w:ascii="Times New Roman" w:hAnsi="Times New Roman" w:cs="Times New Roman"/>
        </w:rPr>
        <w:t xml:space="preserve"> and </w:t>
      </w:r>
      <w:r w:rsidR="006F346C">
        <w:rPr>
          <w:rFonts w:ascii="Times New Roman" w:hAnsi="Times New Roman" w:cs="Times New Roman"/>
        </w:rPr>
        <w:t>Ohio Revised Code 4905.10 and 4911.18</w:t>
      </w:r>
    </w:p>
  </w:footnote>
  <w:footnote w:id="9">
    <w:p w14:paraId="6C275816" w14:textId="2275AE55" w:rsidR="00C33604" w:rsidRDefault="00C33604" w:rsidP="00F32608">
      <w:pPr>
        <w:pStyle w:val="FootnoteText"/>
        <w:rPr>
          <w:rFonts w:ascii="Times New Roman" w:hAnsi="Times New Roman" w:cs="Times New Roman"/>
        </w:rPr>
      </w:pPr>
      <w:r>
        <w:rPr>
          <w:rStyle w:val="FootnoteReference"/>
        </w:rPr>
        <w:footnoteRef/>
      </w:r>
      <w:r>
        <w:t xml:space="preserve"> </w:t>
      </w:r>
      <w:r w:rsidRPr="00614DB2">
        <w:rPr>
          <w:rFonts w:ascii="Times New Roman" w:hAnsi="Times New Roman" w:cs="Times New Roman"/>
          <w:i/>
        </w:rPr>
        <w:t>In the Matter of the Application of Columbia Gas of Ohio, Inc., for Authority to Amend Filed Tariffs to Increase the Rates and Charges for Gas Distribution Service</w:t>
      </w:r>
      <w:r w:rsidRPr="00B25855">
        <w:rPr>
          <w:rFonts w:ascii="Times New Roman" w:hAnsi="Times New Roman" w:cs="Times New Roman"/>
        </w:rPr>
        <w:t xml:space="preserve">, Case Nos. 08-72-GA-AIR, et al., Stipulation at 6 (Oct. 24, 2008) and Opinion and Order at 7 (Dec. 3, 2008).  </w:t>
      </w:r>
    </w:p>
    <w:p w14:paraId="17ADC321" w14:textId="77777777" w:rsidR="009F33C9" w:rsidRPr="00B25855" w:rsidRDefault="009F33C9" w:rsidP="00F32608">
      <w:pPr>
        <w:pStyle w:val="FootnoteText"/>
        <w:rPr>
          <w:rFonts w:ascii="Times New Roman" w:hAnsi="Times New Roman" w:cs="Times New Roman"/>
        </w:rPr>
      </w:pPr>
    </w:p>
  </w:footnote>
  <w:footnote w:id="10">
    <w:p w14:paraId="3C6B2F24" w14:textId="79001A93" w:rsidR="00C33604" w:rsidRDefault="00C33604" w:rsidP="00F32608">
      <w:pPr>
        <w:pStyle w:val="FootnoteText"/>
      </w:pPr>
      <w:r w:rsidRPr="00B25855">
        <w:rPr>
          <w:rStyle w:val="FootnoteReference"/>
          <w:rFonts w:cs="Times New Roman"/>
          <w:sz w:val="20"/>
        </w:rPr>
        <w:footnoteRef/>
      </w:r>
      <w:r w:rsidRPr="00B25855">
        <w:rPr>
          <w:rFonts w:ascii="Times New Roman" w:hAnsi="Times New Roman" w:cs="Times New Roman"/>
        </w:rPr>
        <w:t xml:space="preserve"> Application, Prepared Direct Testimony of Bryan Trapp on Behalf of Columbia Gas of Ohio, Inc. at 8 (June 14, 2021).</w:t>
      </w:r>
      <w:r>
        <w:rPr>
          <w:rFonts w:ascii="Arial" w:hAnsi="Arial" w:cs="Arial"/>
          <w:sz w:val="24"/>
          <w:szCs w:val="24"/>
        </w:rPr>
        <w:t xml:space="preserve">  </w:t>
      </w:r>
    </w:p>
  </w:footnote>
  <w:footnote w:id="11">
    <w:p w14:paraId="31E01F3A" w14:textId="378F84DD" w:rsidR="00C33604" w:rsidRPr="006F250D" w:rsidRDefault="00C33604">
      <w:pPr>
        <w:pStyle w:val="FootnoteText"/>
        <w:rPr>
          <w:rFonts w:ascii="Times New Roman" w:hAnsi="Times New Roman" w:cs="Times New Roman"/>
        </w:rPr>
      </w:pPr>
      <w:r w:rsidRPr="006F250D">
        <w:rPr>
          <w:rStyle w:val="FootnoteReference"/>
          <w:rFonts w:cs="Times New Roman"/>
        </w:rPr>
        <w:footnoteRef/>
      </w:r>
      <w:r w:rsidRPr="006F250D">
        <w:rPr>
          <w:rFonts w:ascii="Times New Roman" w:hAnsi="Times New Roman" w:cs="Times New Roman"/>
        </w:rPr>
        <w:t xml:space="preserve"> Objections of Columbia Gas of Ohio, Inc. at 38 (May 6, 2022).</w:t>
      </w:r>
    </w:p>
  </w:footnote>
  <w:footnote w:id="12">
    <w:p w14:paraId="476F8699" w14:textId="77777777" w:rsidR="00C33604" w:rsidRPr="004B46B6" w:rsidRDefault="00C33604" w:rsidP="00F32608">
      <w:pPr>
        <w:pStyle w:val="FootnoteText"/>
      </w:pPr>
      <w:r w:rsidRPr="004B46B6">
        <w:rPr>
          <w:rStyle w:val="FootnoteReference"/>
          <w:sz w:val="20"/>
        </w:rPr>
        <w:footnoteRef/>
      </w:r>
      <w:r w:rsidRPr="004B46B6">
        <w:t xml:space="preserve"> </w:t>
      </w:r>
      <w:r w:rsidRPr="004B46B6">
        <w:rPr>
          <w:rFonts w:ascii="Times New Roman" w:hAnsi="Times New Roman" w:cs="Times New Roman"/>
        </w:rPr>
        <w:t>Section VII, Fourth Revised Sheet No. 25, para. 25.3, Section VII, Fifth Revised Sheet No. 27, para. 27.3, and Section VII, Ninth Revised Sheet No. 28, para. 28.3</w:t>
      </w:r>
      <w:r w:rsidRPr="004B46B6">
        <w:rPr>
          <w:rFonts w:ascii="Arial" w:hAnsi="Arial" w:cs="Arial"/>
        </w:rPr>
        <w:t xml:space="preserve">  </w:t>
      </w:r>
    </w:p>
  </w:footnote>
  <w:footnote w:id="13">
    <w:p w14:paraId="3ECFF441" w14:textId="1408721D" w:rsidR="00C33604" w:rsidRDefault="00C33604" w:rsidP="00A07B17">
      <w:pPr>
        <w:pStyle w:val="FootnoteText"/>
      </w:pPr>
      <w:r>
        <w:rPr>
          <w:rStyle w:val="FootnoteReference"/>
        </w:rPr>
        <w:footnoteRef/>
      </w:r>
      <w:r>
        <w:t xml:space="preserve"> </w:t>
      </w:r>
      <w:r w:rsidRPr="00614DB2">
        <w:rPr>
          <w:rFonts w:ascii="Times New Roman" w:hAnsi="Times New Roman" w:cs="Times New Roman"/>
        </w:rPr>
        <w:t>Although the plan had a five</w:t>
      </w:r>
      <w:r>
        <w:rPr>
          <w:rFonts w:ascii="Times New Roman" w:hAnsi="Times New Roman" w:cs="Times New Roman"/>
        </w:rPr>
        <w:t>-</w:t>
      </w:r>
      <w:r w:rsidRPr="00614DB2">
        <w:rPr>
          <w:rFonts w:ascii="Times New Roman" w:hAnsi="Times New Roman" w:cs="Times New Roman"/>
        </w:rPr>
        <w:t xml:space="preserve">year term, it also contains a provision to continue the plan until it is modified following the five year term.  </w:t>
      </w:r>
      <w:r w:rsidRPr="00C33604">
        <w:rPr>
          <w:rFonts w:ascii="Times New Roman" w:hAnsi="Times New Roman"/>
          <w:i/>
        </w:rPr>
        <w:t>In the Matter of the Application to Modify, in Accordance with R.C. 4929.08, the Exemption Granted Columbia Gas of Ohio, Inc., in Case No. 08-1344-GA-EXM</w:t>
      </w:r>
      <w:r w:rsidRPr="00614DB2">
        <w:rPr>
          <w:rFonts w:ascii="Times New Roman" w:hAnsi="Times New Roman" w:cs="Times New Roman"/>
        </w:rPr>
        <w:t>, Case No. 12-2637-GA-EXM, Entry (Nov. 7, 2018).</w:t>
      </w:r>
    </w:p>
  </w:footnote>
  <w:footnote w:id="14">
    <w:p w14:paraId="5CD3FCBC" w14:textId="11398D77" w:rsidR="00C33604" w:rsidRPr="009F33C9" w:rsidRDefault="00C33604">
      <w:pPr>
        <w:pStyle w:val="FootnoteText"/>
        <w:rPr>
          <w:rFonts w:ascii="Times New Roman" w:hAnsi="Times New Roman" w:cs="Times New Roman"/>
        </w:rPr>
      </w:pPr>
      <w:r w:rsidRPr="009F33C9">
        <w:rPr>
          <w:rStyle w:val="FootnoteReference"/>
          <w:rFonts w:cs="Times New Roman"/>
          <w:sz w:val="20"/>
        </w:rPr>
        <w:footnoteRef/>
      </w:r>
      <w:r w:rsidRPr="009F33C9">
        <w:rPr>
          <w:rFonts w:ascii="Times New Roman" w:hAnsi="Times New Roman" w:cs="Times New Roman"/>
        </w:rPr>
        <w:t xml:space="preserve"> </w:t>
      </w:r>
      <w:r w:rsidRPr="009F33C9">
        <w:rPr>
          <w:rFonts w:ascii="Times New Roman" w:hAnsi="Times New Roman" w:cs="Times New Roman"/>
          <w:i/>
          <w:iCs/>
        </w:rPr>
        <w:t>See In re the Application to Modify, in Accordance with R.C. 4929.08, the Exemption Granted to The East Ohio Gas Company d/b/a Dominion Energy Ohio</w:t>
      </w:r>
      <w:r w:rsidRPr="009F33C9">
        <w:rPr>
          <w:rFonts w:ascii="Times New Roman" w:hAnsi="Times New Roman" w:cs="Times New Roman"/>
        </w:rPr>
        <w:t xml:space="preserve"> in Case No. 07-1224-GA-EXM, Case No. 12-1842- GA-EXM, Opinion and Order (Jan. 9, 2013) (“2013 Order”) at 8.</w:t>
      </w:r>
    </w:p>
    <w:p w14:paraId="67F4DB54" w14:textId="77777777" w:rsidR="009F33C9" w:rsidRPr="009F33C9" w:rsidRDefault="009F33C9">
      <w:pPr>
        <w:pStyle w:val="FootnoteText"/>
        <w:rPr>
          <w:rFonts w:ascii="Times New Roman" w:hAnsi="Times New Roman" w:cs="Times New Roman"/>
        </w:rPr>
      </w:pPr>
    </w:p>
  </w:footnote>
  <w:footnote w:id="15">
    <w:p w14:paraId="726E79AC" w14:textId="05ABE7DD" w:rsidR="00C33604" w:rsidRDefault="00C33604" w:rsidP="00431112">
      <w:pPr>
        <w:pStyle w:val="FootnoteText"/>
      </w:pPr>
      <w:r w:rsidRPr="009F33C9">
        <w:rPr>
          <w:rStyle w:val="FootnoteReference"/>
          <w:rFonts w:cs="Times New Roman"/>
          <w:sz w:val="20"/>
        </w:rPr>
        <w:footnoteRef/>
      </w:r>
      <w:r w:rsidRPr="009F33C9">
        <w:rPr>
          <w:rFonts w:ascii="Times New Roman" w:hAnsi="Times New Roman" w:cs="Times New Roman"/>
        </w:rPr>
        <w:t xml:space="preserve"> </w:t>
      </w:r>
      <w:r w:rsidRPr="009F33C9">
        <w:rPr>
          <w:rFonts w:ascii="Times New Roman" w:hAnsi="Times New Roman" w:cs="Times New Roman"/>
          <w:i/>
          <w:iCs/>
        </w:rPr>
        <w:t>Id.</w:t>
      </w:r>
      <w:r>
        <w:t xml:space="preserve"> </w:t>
      </w:r>
    </w:p>
    <w:p w14:paraId="2EEABEEF" w14:textId="77777777" w:rsidR="00E21547" w:rsidRDefault="00E21547" w:rsidP="00431112">
      <w:pPr>
        <w:pStyle w:val="FootnoteText"/>
      </w:pPr>
    </w:p>
  </w:footnote>
  <w:footnote w:id="16">
    <w:p w14:paraId="102D15A4" w14:textId="470D8526" w:rsidR="00C33604" w:rsidRPr="009F33C9" w:rsidRDefault="00C33604">
      <w:pPr>
        <w:pStyle w:val="FootnoteText"/>
        <w:rPr>
          <w:rFonts w:ascii="Times New Roman" w:hAnsi="Times New Roman" w:cs="Times New Roman"/>
        </w:rPr>
      </w:pPr>
      <w:r w:rsidRPr="009F33C9">
        <w:rPr>
          <w:rStyle w:val="FootnoteReference"/>
          <w:rFonts w:cs="Times New Roman"/>
        </w:rPr>
        <w:footnoteRef/>
      </w:r>
      <w:r w:rsidRPr="009F33C9">
        <w:rPr>
          <w:rFonts w:ascii="Times New Roman" w:hAnsi="Times New Roman" w:cs="Times New Roman"/>
        </w:rPr>
        <w:t xml:space="preserve"> </w:t>
      </w:r>
      <w:r w:rsidRPr="009F33C9">
        <w:rPr>
          <w:rFonts w:ascii="Times New Roman" w:hAnsi="Times New Roman" w:cs="Times New Roman"/>
          <w:i/>
          <w:iCs/>
        </w:rPr>
        <w:t>2013 Order</w:t>
      </w:r>
      <w:r w:rsidRPr="009F33C9">
        <w:rPr>
          <w:rFonts w:ascii="Times New Roman" w:hAnsi="Times New Roman" w:cs="Times New Roman"/>
        </w:rPr>
        <w:t xml:space="preserve"> at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66A"/>
    <w:multiLevelType w:val="hybridMultilevel"/>
    <w:tmpl w:val="44CCCB14"/>
    <w:lvl w:ilvl="0" w:tplc="F6E8ADBA">
      <w:start w:val="3"/>
      <w:numFmt w:val="upperRoman"/>
      <w:lvlText w:val="%1."/>
      <w:lvlJc w:val="left"/>
      <w:pPr>
        <w:ind w:left="820" w:hanging="720"/>
      </w:pPr>
      <w:rPr>
        <w:rFonts w:hint="default"/>
        <w:u w:val="singl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2040ACE"/>
    <w:multiLevelType w:val="hybridMultilevel"/>
    <w:tmpl w:val="D012EF78"/>
    <w:lvl w:ilvl="0" w:tplc="831A06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B7F3A"/>
    <w:multiLevelType w:val="hybridMultilevel"/>
    <w:tmpl w:val="767E2006"/>
    <w:lvl w:ilvl="0" w:tplc="FA3EEA12">
      <w:start w:val="1"/>
      <w:numFmt w:val="lowerLetter"/>
      <w:lvlText w:val="%1)"/>
      <w:lvlJc w:val="left"/>
      <w:pPr>
        <w:ind w:left="1260" w:hanging="361"/>
      </w:pPr>
      <w:rPr>
        <w:rFonts w:ascii="Times New Roman" w:eastAsia="Times New Roman" w:hAnsi="Times New Roman" w:cs="Times New Roman" w:hint="default"/>
        <w:b w:val="0"/>
        <w:bCs w:val="0"/>
        <w:i w:val="0"/>
        <w:iCs w:val="0"/>
        <w:spacing w:val="-1"/>
        <w:w w:val="100"/>
        <w:sz w:val="24"/>
        <w:szCs w:val="24"/>
      </w:rPr>
    </w:lvl>
    <w:lvl w:ilvl="1" w:tplc="5ACE0D92">
      <w:start w:val="1"/>
      <w:numFmt w:val="lowerLetter"/>
      <w:lvlText w:val="%2."/>
      <w:lvlJc w:val="left"/>
      <w:pPr>
        <w:ind w:left="3559" w:hanging="360"/>
      </w:pPr>
      <w:rPr>
        <w:rFonts w:ascii="Times New Roman" w:eastAsia="Times New Roman" w:hAnsi="Times New Roman" w:cs="Times New Roman" w:hint="default"/>
        <w:b w:val="0"/>
        <w:bCs w:val="0"/>
        <w:i w:val="0"/>
        <w:iCs w:val="0"/>
        <w:spacing w:val="-1"/>
        <w:w w:val="100"/>
        <w:sz w:val="24"/>
        <w:szCs w:val="24"/>
      </w:rPr>
    </w:lvl>
    <w:lvl w:ilvl="2" w:tplc="02BA1C7A">
      <w:numFmt w:val="bullet"/>
      <w:lvlText w:val="•"/>
      <w:lvlJc w:val="left"/>
      <w:pPr>
        <w:ind w:left="4317" w:hanging="360"/>
      </w:pPr>
      <w:rPr>
        <w:rFonts w:hint="default"/>
      </w:rPr>
    </w:lvl>
    <w:lvl w:ilvl="3" w:tplc="F28EEC6A">
      <w:numFmt w:val="bullet"/>
      <w:lvlText w:val="•"/>
      <w:lvlJc w:val="left"/>
      <w:pPr>
        <w:ind w:left="5075" w:hanging="360"/>
      </w:pPr>
      <w:rPr>
        <w:rFonts w:hint="default"/>
      </w:rPr>
    </w:lvl>
    <w:lvl w:ilvl="4" w:tplc="2F4E2F38">
      <w:numFmt w:val="bullet"/>
      <w:lvlText w:val="•"/>
      <w:lvlJc w:val="left"/>
      <w:pPr>
        <w:ind w:left="5833" w:hanging="360"/>
      </w:pPr>
      <w:rPr>
        <w:rFonts w:hint="default"/>
      </w:rPr>
    </w:lvl>
    <w:lvl w:ilvl="5" w:tplc="FFCE1878">
      <w:numFmt w:val="bullet"/>
      <w:lvlText w:val="•"/>
      <w:lvlJc w:val="left"/>
      <w:pPr>
        <w:ind w:left="6591" w:hanging="360"/>
      </w:pPr>
      <w:rPr>
        <w:rFonts w:hint="default"/>
      </w:rPr>
    </w:lvl>
    <w:lvl w:ilvl="6" w:tplc="2CB8FB32">
      <w:numFmt w:val="bullet"/>
      <w:lvlText w:val="•"/>
      <w:lvlJc w:val="left"/>
      <w:pPr>
        <w:ind w:left="7348" w:hanging="360"/>
      </w:pPr>
      <w:rPr>
        <w:rFonts w:hint="default"/>
      </w:rPr>
    </w:lvl>
    <w:lvl w:ilvl="7" w:tplc="5C5EEE1C">
      <w:numFmt w:val="bullet"/>
      <w:lvlText w:val="•"/>
      <w:lvlJc w:val="left"/>
      <w:pPr>
        <w:ind w:left="8106" w:hanging="360"/>
      </w:pPr>
      <w:rPr>
        <w:rFonts w:hint="default"/>
      </w:rPr>
    </w:lvl>
    <w:lvl w:ilvl="8" w:tplc="2AD806CC">
      <w:numFmt w:val="bullet"/>
      <w:lvlText w:val="•"/>
      <w:lvlJc w:val="left"/>
      <w:pPr>
        <w:ind w:left="8864" w:hanging="360"/>
      </w:pPr>
      <w:rPr>
        <w:rFonts w:hint="default"/>
      </w:rPr>
    </w:lvl>
  </w:abstractNum>
  <w:abstractNum w:abstractNumId="3" w15:restartNumberingAfterBreak="0">
    <w:nsid w:val="0B53296D"/>
    <w:multiLevelType w:val="hybridMultilevel"/>
    <w:tmpl w:val="F80C7ACA"/>
    <w:lvl w:ilvl="0" w:tplc="2528FB72">
      <w:start w:val="1"/>
      <w:numFmt w:val="decimal"/>
      <w:lvlText w:val="%1"/>
      <w:lvlJc w:val="left"/>
      <w:pPr>
        <w:ind w:left="760" w:hanging="480"/>
        <w:jc w:val="right"/>
      </w:pPr>
      <w:rPr>
        <w:rFonts w:ascii="Times New Roman" w:eastAsia="Times New Roman" w:hAnsi="Times New Roman" w:cs="Times New Roman" w:hint="default"/>
        <w:b w:val="0"/>
        <w:bCs w:val="0"/>
        <w:i w:val="0"/>
        <w:iCs w:val="0"/>
        <w:w w:val="100"/>
        <w:sz w:val="24"/>
        <w:szCs w:val="24"/>
      </w:rPr>
    </w:lvl>
    <w:lvl w:ilvl="1" w:tplc="CC0EE3B4">
      <w:numFmt w:val="bullet"/>
      <w:lvlText w:val="•"/>
      <w:lvlJc w:val="left"/>
      <w:pPr>
        <w:ind w:left="1712" w:hanging="480"/>
      </w:pPr>
      <w:rPr>
        <w:rFonts w:hint="default"/>
      </w:rPr>
    </w:lvl>
    <w:lvl w:ilvl="2" w:tplc="EE84EA1A">
      <w:numFmt w:val="bullet"/>
      <w:lvlText w:val="•"/>
      <w:lvlJc w:val="left"/>
      <w:pPr>
        <w:ind w:left="2664" w:hanging="480"/>
      </w:pPr>
      <w:rPr>
        <w:rFonts w:hint="default"/>
      </w:rPr>
    </w:lvl>
    <w:lvl w:ilvl="3" w:tplc="87869DE2">
      <w:numFmt w:val="bullet"/>
      <w:lvlText w:val="•"/>
      <w:lvlJc w:val="left"/>
      <w:pPr>
        <w:ind w:left="3616" w:hanging="480"/>
      </w:pPr>
      <w:rPr>
        <w:rFonts w:hint="default"/>
      </w:rPr>
    </w:lvl>
    <w:lvl w:ilvl="4" w:tplc="5F8A86AC">
      <w:numFmt w:val="bullet"/>
      <w:lvlText w:val="•"/>
      <w:lvlJc w:val="left"/>
      <w:pPr>
        <w:ind w:left="4568" w:hanging="480"/>
      </w:pPr>
      <w:rPr>
        <w:rFonts w:hint="default"/>
      </w:rPr>
    </w:lvl>
    <w:lvl w:ilvl="5" w:tplc="D8F25E8C">
      <w:numFmt w:val="bullet"/>
      <w:lvlText w:val="•"/>
      <w:lvlJc w:val="left"/>
      <w:pPr>
        <w:ind w:left="5520" w:hanging="480"/>
      </w:pPr>
      <w:rPr>
        <w:rFonts w:hint="default"/>
      </w:rPr>
    </w:lvl>
    <w:lvl w:ilvl="6" w:tplc="A2EA8ACA">
      <w:numFmt w:val="bullet"/>
      <w:lvlText w:val="•"/>
      <w:lvlJc w:val="left"/>
      <w:pPr>
        <w:ind w:left="6472" w:hanging="480"/>
      </w:pPr>
      <w:rPr>
        <w:rFonts w:hint="default"/>
      </w:rPr>
    </w:lvl>
    <w:lvl w:ilvl="7" w:tplc="CC347512">
      <w:numFmt w:val="bullet"/>
      <w:lvlText w:val="•"/>
      <w:lvlJc w:val="left"/>
      <w:pPr>
        <w:ind w:left="7424" w:hanging="480"/>
      </w:pPr>
      <w:rPr>
        <w:rFonts w:hint="default"/>
      </w:rPr>
    </w:lvl>
    <w:lvl w:ilvl="8" w:tplc="D74C0CEC">
      <w:numFmt w:val="bullet"/>
      <w:lvlText w:val="•"/>
      <w:lvlJc w:val="left"/>
      <w:pPr>
        <w:ind w:left="8376" w:hanging="480"/>
      </w:pPr>
      <w:rPr>
        <w:rFonts w:hint="default"/>
      </w:rPr>
    </w:lvl>
  </w:abstractNum>
  <w:abstractNum w:abstractNumId="4" w15:restartNumberingAfterBreak="0">
    <w:nsid w:val="0D54134D"/>
    <w:multiLevelType w:val="hybridMultilevel"/>
    <w:tmpl w:val="6C6AADA8"/>
    <w:lvl w:ilvl="0" w:tplc="7C48647E">
      <w:start w:val="1"/>
      <w:numFmt w:val="decimal"/>
      <w:lvlText w:val="%1"/>
      <w:lvlJc w:val="left"/>
      <w:pPr>
        <w:ind w:left="1480" w:hanging="1200"/>
        <w:jc w:val="right"/>
      </w:pPr>
      <w:rPr>
        <w:rFonts w:ascii="Times New Roman" w:eastAsia="Times New Roman" w:hAnsi="Times New Roman" w:cs="Times New Roman" w:hint="default"/>
        <w:b w:val="0"/>
        <w:bCs w:val="0"/>
        <w:i w:val="0"/>
        <w:iCs w:val="0"/>
        <w:w w:val="100"/>
        <w:sz w:val="24"/>
        <w:szCs w:val="24"/>
      </w:rPr>
    </w:lvl>
    <w:lvl w:ilvl="1" w:tplc="90BAB3BE">
      <w:numFmt w:val="bullet"/>
      <w:lvlText w:val="•"/>
      <w:lvlJc w:val="left"/>
      <w:pPr>
        <w:ind w:left="2360" w:hanging="1200"/>
      </w:pPr>
      <w:rPr>
        <w:rFonts w:hint="default"/>
      </w:rPr>
    </w:lvl>
    <w:lvl w:ilvl="2" w:tplc="097E6F62">
      <w:numFmt w:val="bullet"/>
      <w:lvlText w:val="•"/>
      <w:lvlJc w:val="left"/>
      <w:pPr>
        <w:ind w:left="3240" w:hanging="1200"/>
      </w:pPr>
      <w:rPr>
        <w:rFonts w:hint="default"/>
      </w:rPr>
    </w:lvl>
    <w:lvl w:ilvl="3" w:tplc="66C4E21C">
      <w:numFmt w:val="bullet"/>
      <w:lvlText w:val="•"/>
      <w:lvlJc w:val="left"/>
      <w:pPr>
        <w:ind w:left="4120" w:hanging="1200"/>
      </w:pPr>
      <w:rPr>
        <w:rFonts w:hint="default"/>
      </w:rPr>
    </w:lvl>
    <w:lvl w:ilvl="4" w:tplc="CD920490">
      <w:numFmt w:val="bullet"/>
      <w:lvlText w:val="•"/>
      <w:lvlJc w:val="left"/>
      <w:pPr>
        <w:ind w:left="5000" w:hanging="1200"/>
      </w:pPr>
      <w:rPr>
        <w:rFonts w:hint="default"/>
      </w:rPr>
    </w:lvl>
    <w:lvl w:ilvl="5" w:tplc="7FB82E0A">
      <w:numFmt w:val="bullet"/>
      <w:lvlText w:val="•"/>
      <w:lvlJc w:val="left"/>
      <w:pPr>
        <w:ind w:left="5880" w:hanging="1200"/>
      </w:pPr>
      <w:rPr>
        <w:rFonts w:hint="default"/>
      </w:rPr>
    </w:lvl>
    <w:lvl w:ilvl="6" w:tplc="9E1293AE">
      <w:numFmt w:val="bullet"/>
      <w:lvlText w:val="•"/>
      <w:lvlJc w:val="left"/>
      <w:pPr>
        <w:ind w:left="6760" w:hanging="1200"/>
      </w:pPr>
      <w:rPr>
        <w:rFonts w:hint="default"/>
      </w:rPr>
    </w:lvl>
    <w:lvl w:ilvl="7" w:tplc="FADEBB38">
      <w:numFmt w:val="bullet"/>
      <w:lvlText w:val="•"/>
      <w:lvlJc w:val="left"/>
      <w:pPr>
        <w:ind w:left="7640" w:hanging="1200"/>
      </w:pPr>
      <w:rPr>
        <w:rFonts w:hint="default"/>
      </w:rPr>
    </w:lvl>
    <w:lvl w:ilvl="8" w:tplc="E5D605AA">
      <w:numFmt w:val="bullet"/>
      <w:lvlText w:val="•"/>
      <w:lvlJc w:val="left"/>
      <w:pPr>
        <w:ind w:left="8520" w:hanging="1200"/>
      </w:pPr>
      <w:rPr>
        <w:rFonts w:hint="default"/>
      </w:rPr>
    </w:lvl>
  </w:abstractNum>
  <w:abstractNum w:abstractNumId="5" w15:restartNumberingAfterBreak="0">
    <w:nsid w:val="155347D4"/>
    <w:multiLevelType w:val="hybridMultilevel"/>
    <w:tmpl w:val="B2DEA450"/>
    <w:lvl w:ilvl="0" w:tplc="FB3CD71C">
      <w:start w:val="1"/>
      <w:numFmt w:val="decimal"/>
      <w:lvlText w:val="%1"/>
      <w:lvlJc w:val="left"/>
      <w:pPr>
        <w:ind w:left="1480" w:hanging="1200"/>
        <w:jc w:val="right"/>
      </w:pPr>
      <w:rPr>
        <w:rFonts w:ascii="Times New Roman" w:eastAsia="Times New Roman" w:hAnsi="Times New Roman" w:cs="Times New Roman" w:hint="default"/>
        <w:b w:val="0"/>
        <w:bCs w:val="0"/>
        <w:i w:val="0"/>
        <w:iCs w:val="0"/>
        <w:w w:val="100"/>
        <w:sz w:val="24"/>
        <w:szCs w:val="24"/>
      </w:rPr>
    </w:lvl>
    <w:lvl w:ilvl="1" w:tplc="F58E03EA">
      <w:numFmt w:val="bullet"/>
      <w:lvlText w:val="•"/>
      <w:lvlJc w:val="left"/>
      <w:pPr>
        <w:ind w:left="2360" w:hanging="1200"/>
      </w:pPr>
      <w:rPr>
        <w:rFonts w:hint="default"/>
      </w:rPr>
    </w:lvl>
    <w:lvl w:ilvl="2" w:tplc="98268C06">
      <w:numFmt w:val="bullet"/>
      <w:lvlText w:val="•"/>
      <w:lvlJc w:val="left"/>
      <w:pPr>
        <w:ind w:left="3240" w:hanging="1200"/>
      </w:pPr>
      <w:rPr>
        <w:rFonts w:hint="default"/>
      </w:rPr>
    </w:lvl>
    <w:lvl w:ilvl="3" w:tplc="32B256C0">
      <w:numFmt w:val="bullet"/>
      <w:lvlText w:val="•"/>
      <w:lvlJc w:val="left"/>
      <w:pPr>
        <w:ind w:left="4120" w:hanging="1200"/>
      </w:pPr>
      <w:rPr>
        <w:rFonts w:hint="default"/>
      </w:rPr>
    </w:lvl>
    <w:lvl w:ilvl="4" w:tplc="8AE6251E">
      <w:numFmt w:val="bullet"/>
      <w:lvlText w:val="•"/>
      <w:lvlJc w:val="left"/>
      <w:pPr>
        <w:ind w:left="5000" w:hanging="1200"/>
      </w:pPr>
      <w:rPr>
        <w:rFonts w:hint="default"/>
      </w:rPr>
    </w:lvl>
    <w:lvl w:ilvl="5" w:tplc="4014A46C">
      <w:numFmt w:val="bullet"/>
      <w:lvlText w:val="•"/>
      <w:lvlJc w:val="left"/>
      <w:pPr>
        <w:ind w:left="5880" w:hanging="1200"/>
      </w:pPr>
      <w:rPr>
        <w:rFonts w:hint="default"/>
      </w:rPr>
    </w:lvl>
    <w:lvl w:ilvl="6" w:tplc="4A6A5076">
      <w:numFmt w:val="bullet"/>
      <w:lvlText w:val="•"/>
      <w:lvlJc w:val="left"/>
      <w:pPr>
        <w:ind w:left="6760" w:hanging="1200"/>
      </w:pPr>
      <w:rPr>
        <w:rFonts w:hint="default"/>
      </w:rPr>
    </w:lvl>
    <w:lvl w:ilvl="7" w:tplc="3C18D836">
      <w:numFmt w:val="bullet"/>
      <w:lvlText w:val="•"/>
      <w:lvlJc w:val="left"/>
      <w:pPr>
        <w:ind w:left="7640" w:hanging="1200"/>
      </w:pPr>
      <w:rPr>
        <w:rFonts w:hint="default"/>
      </w:rPr>
    </w:lvl>
    <w:lvl w:ilvl="8" w:tplc="1D989AA2">
      <w:numFmt w:val="bullet"/>
      <w:lvlText w:val="•"/>
      <w:lvlJc w:val="left"/>
      <w:pPr>
        <w:ind w:left="8520" w:hanging="1200"/>
      </w:pPr>
      <w:rPr>
        <w:rFonts w:hint="default"/>
      </w:rPr>
    </w:lvl>
  </w:abstractNum>
  <w:abstractNum w:abstractNumId="6" w15:restartNumberingAfterBreak="0">
    <w:nsid w:val="1AE630D9"/>
    <w:multiLevelType w:val="hybridMultilevel"/>
    <w:tmpl w:val="82C43FA2"/>
    <w:lvl w:ilvl="0" w:tplc="BFFCA042">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ECA6A21"/>
    <w:multiLevelType w:val="hybridMultilevel"/>
    <w:tmpl w:val="66D808A8"/>
    <w:lvl w:ilvl="0" w:tplc="7318FFEA">
      <w:start w:val="1"/>
      <w:numFmt w:val="decimal"/>
      <w:lvlText w:val="%1"/>
      <w:lvlJc w:val="left"/>
      <w:pPr>
        <w:ind w:left="1480" w:hanging="1200"/>
        <w:jc w:val="right"/>
      </w:pPr>
      <w:rPr>
        <w:rFonts w:ascii="Times New Roman" w:eastAsia="Times New Roman" w:hAnsi="Times New Roman" w:cs="Times New Roman" w:hint="default"/>
        <w:b w:val="0"/>
        <w:bCs w:val="0"/>
        <w:i w:val="0"/>
        <w:iCs w:val="0"/>
        <w:w w:val="100"/>
        <w:sz w:val="24"/>
        <w:szCs w:val="24"/>
      </w:rPr>
    </w:lvl>
    <w:lvl w:ilvl="1" w:tplc="678CD762">
      <w:numFmt w:val="bullet"/>
      <w:lvlText w:val="•"/>
      <w:lvlJc w:val="left"/>
      <w:pPr>
        <w:ind w:left="2360" w:hanging="1200"/>
      </w:pPr>
      <w:rPr>
        <w:rFonts w:hint="default"/>
      </w:rPr>
    </w:lvl>
    <w:lvl w:ilvl="2" w:tplc="6608BD0C">
      <w:numFmt w:val="bullet"/>
      <w:lvlText w:val="•"/>
      <w:lvlJc w:val="left"/>
      <w:pPr>
        <w:ind w:left="3240" w:hanging="1200"/>
      </w:pPr>
      <w:rPr>
        <w:rFonts w:hint="default"/>
      </w:rPr>
    </w:lvl>
    <w:lvl w:ilvl="3" w:tplc="F872C9C6">
      <w:numFmt w:val="bullet"/>
      <w:lvlText w:val="•"/>
      <w:lvlJc w:val="left"/>
      <w:pPr>
        <w:ind w:left="4120" w:hanging="1200"/>
      </w:pPr>
      <w:rPr>
        <w:rFonts w:hint="default"/>
      </w:rPr>
    </w:lvl>
    <w:lvl w:ilvl="4" w:tplc="322E9AB8">
      <w:numFmt w:val="bullet"/>
      <w:lvlText w:val="•"/>
      <w:lvlJc w:val="left"/>
      <w:pPr>
        <w:ind w:left="5000" w:hanging="1200"/>
      </w:pPr>
      <w:rPr>
        <w:rFonts w:hint="default"/>
      </w:rPr>
    </w:lvl>
    <w:lvl w:ilvl="5" w:tplc="344234E0">
      <w:numFmt w:val="bullet"/>
      <w:lvlText w:val="•"/>
      <w:lvlJc w:val="left"/>
      <w:pPr>
        <w:ind w:left="5880" w:hanging="1200"/>
      </w:pPr>
      <w:rPr>
        <w:rFonts w:hint="default"/>
      </w:rPr>
    </w:lvl>
    <w:lvl w:ilvl="6" w:tplc="01C64BB8">
      <w:numFmt w:val="bullet"/>
      <w:lvlText w:val="•"/>
      <w:lvlJc w:val="left"/>
      <w:pPr>
        <w:ind w:left="6760" w:hanging="1200"/>
      </w:pPr>
      <w:rPr>
        <w:rFonts w:hint="default"/>
      </w:rPr>
    </w:lvl>
    <w:lvl w:ilvl="7" w:tplc="4030DDB6">
      <w:numFmt w:val="bullet"/>
      <w:lvlText w:val="•"/>
      <w:lvlJc w:val="left"/>
      <w:pPr>
        <w:ind w:left="7640" w:hanging="1200"/>
      </w:pPr>
      <w:rPr>
        <w:rFonts w:hint="default"/>
      </w:rPr>
    </w:lvl>
    <w:lvl w:ilvl="8" w:tplc="3834789C">
      <w:numFmt w:val="bullet"/>
      <w:lvlText w:val="•"/>
      <w:lvlJc w:val="left"/>
      <w:pPr>
        <w:ind w:left="8520" w:hanging="1200"/>
      </w:pPr>
      <w:rPr>
        <w:rFonts w:hint="default"/>
      </w:rPr>
    </w:lvl>
  </w:abstractNum>
  <w:abstractNum w:abstractNumId="8" w15:restartNumberingAfterBreak="0">
    <w:nsid w:val="23C03C0E"/>
    <w:multiLevelType w:val="hybridMultilevel"/>
    <w:tmpl w:val="2D8A6420"/>
    <w:lvl w:ilvl="0" w:tplc="BB1220C6">
      <w:start w:val="1"/>
      <w:numFmt w:val="decimal"/>
      <w:lvlText w:val="%1"/>
      <w:lvlJc w:val="left"/>
      <w:pPr>
        <w:ind w:left="760" w:hanging="480"/>
      </w:pPr>
      <w:rPr>
        <w:rFonts w:ascii="Times New Roman" w:eastAsia="Times New Roman" w:hAnsi="Times New Roman" w:cs="Times New Roman" w:hint="default"/>
        <w:b w:val="0"/>
        <w:bCs w:val="0"/>
        <w:i w:val="0"/>
        <w:iCs w:val="0"/>
        <w:w w:val="100"/>
        <w:sz w:val="24"/>
        <w:szCs w:val="24"/>
      </w:rPr>
    </w:lvl>
    <w:lvl w:ilvl="1" w:tplc="D6E807E4">
      <w:numFmt w:val="bullet"/>
      <w:lvlText w:val="•"/>
      <w:lvlJc w:val="left"/>
      <w:pPr>
        <w:ind w:left="1712" w:hanging="480"/>
      </w:pPr>
      <w:rPr>
        <w:rFonts w:hint="default"/>
      </w:rPr>
    </w:lvl>
    <w:lvl w:ilvl="2" w:tplc="F474900A">
      <w:numFmt w:val="bullet"/>
      <w:lvlText w:val="•"/>
      <w:lvlJc w:val="left"/>
      <w:pPr>
        <w:ind w:left="2664" w:hanging="480"/>
      </w:pPr>
      <w:rPr>
        <w:rFonts w:hint="default"/>
      </w:rPr>
    </w:lvl>
    <w:lvl w:ilvl="3" w:tplc="38E40A64">
      <w:numFmt w:val="bullet"/>
      <w:lvlText w:val="•"/>
      <w:lvlJc w:val="left"/>
      <w:pPr>
        <w:ind w:left="3616" w:hanging="480"/>
      </w:pPr>
      <w:rPr>
        <w:rFonts w:hint="default"/>
      </w:rPr>
    </w:lvl>
    <w:lvl w:ilvl="4" w:tplc="F7F280A2">
      <w:numFmt w:val="bullet"/>
      <w:lvlText w:val="•"/>
      <w:lvlJc w:val="left"/>
      <w:pPr>
        <w:ind w:left="4568" w:hanging="480"/>
      </w:pPr>
      <w:rPr>
        <w:rFonts w:hint="default"/>
      </w:rPr>
    </w:lvl>
    <w:lvl w:ilvl="5" w:tplc="3954DF48">
      <w:numFmt w:val="bullet"/>
      <w:lvlText w:val="•"/>
      <w:lvlJc w:val="left"/>
      <w:pPr>
        <w:ind w:left="5520" w:hanging="480"/>
      </w:pPr>
      <w:rPr>
        <w:rFonts w:hint="default"/>
      </w:rPr>
    </w:lvl>
    <w:lvl w:ilvl="6" w:tplc="510C9820">
      <w:numFmt w:val="bullet"/>
      <w:lvlText w:val="•"/>
      <w:lvlJc w:val="left"/>
      <w:pPr>
        <w:ind w:left="6472" w:hanging="480"/>
      </w:pPr>
      <w:rPr>
        <w:rFonts w:hint="default"/>
      </w:rPr>
    </w:lvl>
    <w:lvl w:ilvl="7" w:tplc="706C54C4">
      <w:numFmt w:val="bullet"/>
      <w:lvlText w:val="•"/>
      <w:lvlJc w:val="left"/>
      <w:pPr>
        <w:ind w:left="7424" w:hanging="480"/>
      </w:pPr>
      <w:rPr>
        <w:rFonts w:hint="default"/>
      </w:rPr>
    </w:lvl>
    <w:lvl w:ilvl="8" w:tplc="35846ECA">
      <w:numFmt w:val="bullet"/>
      <w:lvlText w:val="•"/>
      <w:lvlJc w:val="left"/>
      <w:pPr>
        <w:ind w:left="8376" w:hanging="480"/>
      </w:pPr>
      <w:rPr>
        <w:rFonts w:hint="default"/>
      </w:rPr>
    </w:lvl>
  </w:abstractNum>
  <w:abstractNum w:abstractNumId="9" w15:restartNumberingAfterBreak="0">
    <w:nsid w:val="2B64608D"/>
    <w:multiLevelType w:val="hybridMultilevel"/>
    <w:tmpl w:val="7AEE7788"/>
    <w:lvl w:ilvl="0" w:tplc="2174EB90">
      <w:start w:val="1"/>
      <w:numFmt w:val="decimal"/>
      <w:lvlText w:val="%1"/>
      <w:lvlJc w:val="left"/>
      <w:pPr>
        <w:ind w:left="1480" w:hanging="1200"/>
        <w:jc w:val="right"/>
      </w:pPr>
      <w:rPr>
        <w:rFonts w:ascii="Times New Roman" w:eastAsia="Times New Roman" w:hAnsi="Times New Roman" w:cs="Times New Roman" w:hint="default"/>
        <w:b w:val="0"/>
        <w:bCs w:val="0"/>
        <w:i w:val="0"/>
        <w:iCs w:val="0"/>
        <w:w w:val="100"/>
        <w:sz w:val="24"/>
        <w:szCs w:val="24"/>
      </w:rPr>
    </w:lvl>
    <w:lvl w:ilvl="1" w:tplc="753CDC04">
      <w:numFmt w:val="bullet"/>
      <w:lvlText w:val="•"/>
      <w:lvlJc w:val="left"/>
      <w:pPr>
        <w:ind w:left="2360" w:hanging="1200"/>
      </w:pPr>
      <w:rPr>
        <w:rFonts w:hint="default"/>
      </w:rPr>
    </w:lvl>
    <w:lvl w:ilvl="2" w:tplc="17821E6A">
      <w:numFmt w:val="bullet"/>
      <w:lvlText w:val="•"/>
      <w:lvlJc w:val="left"/>
      <w:pPr>
        <w:ind w:left="3240" w:hanging="1200"/>
      </w:pPr>
      <w:rPr>
        <w:rFonts w:hint="default"/>
      </w:rPr>
    </w:lvl>
    <w:lvl w:ilvl="3" w:tplc="2DE03CE4">
      <w:numFmt w:val="bullet"/>
      <w:lvlText w:val="•"/>
      <w:lvlJc w:val="left"/>
      <w:pPr>
        <w:ind w:left="4120" w:hanging="1200"/>
      </w:pPr>
      <w:rPr>
        <w:rFonts w:hint="default"/>
      </w:rPr>
    </w:lvl>
    <w:lvl w:ilvl="4" w:tplc="6C5ED440">
      <w:numFmt w:val="bullet"/>
      <w:lvlText w:val="•"/>
      <w:lvlJc w:val="left"/>
      <w:pPr>
        <w:ind w:left="5000" w:hanging="1200"/>
      </w:pPr>
      <w:rPr>
        <w:rFonts w:hint="default"/>
      </w:rPr>
    </w:lvl>
    <w:lvl w:ilvl="5" w:tplc="5378B502">
      <w:numFmt w:val="bullet"/>
      <w:lvlText w:val="•"/>
      <w:lvlJc w:val="left"/>
      <w:pPr>
        <w:ind w:left="5880" w:hanging="1200"/>
      </w:pPr>
      <w:rPr>
        <w:rFonts w:hint="default"/>
      </w:rPr>
    </w:lvl>
    <w:lvl w:ilvl="6" w:tplc="7A3CC19A">
      <w:numFmt w:val="bullet"/>
      <w:lvlText w:val="•"/>
      <w:lvlJc w:val="left"/>
      <w:pPr>
        <w:ind w:left="6760" w:hanging="1200"/>
      </w:pPr>
      <w:rPr>
        <w:rFonts w:hint="default"/>
      </w:rPr>
    </w:lvl>
    <w:lvl w:ilvl="7" w:tplc="A5726E9A">
      <w:numFmt w:val="bullet"/>
      <w:lvlText w:val="•"/>
      <w:lvlJc w:val="left"/>
      <w:pPr>
        <w:ind w:left="7640" w:hanging="1200"/>
      </w:pPr>
      <w:rPr>
        <w:rFonts w:hint="default"/>
      </w:rPr>
    </w:lvl>
    <w:lvl w:ilvl="8" w:tplc="936616A0">
      <w:numFmt w:val="bullet"/>
      <w:lvlText w:val="•"/>
      <w:lvlJc w:val="left"/>
      <w:pPr>
        <w:ind w:left="8520" w:hanging="1200"/>
      </w:pPr>
      <w:rPr>
        <w:rFonts w:hint="default"/>
      </w:rPr>
    </w:lvl>
  </w:abstractNum>
  <w:abstractNum w:abstractNumId="10" w15:restartNumberingAfterBreak="0">
    <w:nsid w:val="2BFE57F1"/>
    <w:multiLevelType w:val="hybridMultilevel"/>
    <w:tmpl w:val="0FD25FE4"/>
    <w:lvl w:ilvl="0" w:tplc="2940C2E8">
      <w:start w:val="1"/>
      <w:numFmt w:val="decimal"/>
      <w:lvlText w:val="%1"/>
      <w:lvlJc w:val="left"/>
      <w:pPr>
        <w:ind w:left="760" w:hanging="480"/>
        <w:jc w:val="right"/>
      </w:pPr>
      <w:rPr>
        <w:rFonts w:ascii="Times New Roman" w:eastAsia="Times New Roman" w:hAnsi="Times New Roman" w:cs="Times New Roman" w:hint="default"/>
        <w:b w:val="0"/>
        <w:bCs w:val="0"/>
        <w:i w:val="0"/>
        <w:iCs w:val="0"/>
        <w:w w:val="100"/>
        <w:sz w:val="24"/>
        <w:szCs w:val="24"/>
      </w:rPr>
    </w:lvl>
    <w:lvl w:ilvl="1" w:tplc="F966496C">
      <w:start w:val="1"/>
      <w:numFmt w:val="decimal"/>
      <w:lvlText w:val="%2"/>
      <w:lvlJc w:val="left"/>
      <w:pPr>
        <w:ind w:left="760" w:hanging="480"/>
        <w:jc w:val="right"/>
      </w:pPr>
      <w:rPr>
        <w:rFonts w:ascii="Times New Roman" w:eastAsia="Times New Roman" w:hAnsi="Times New Roman" w:cs="Times New Roman" w:hint="default"/>
        <w:b w:val="0"/>
        <w:bCs w:val="0"/>
        <w:i w:val="0"/>
        <w:iCs w:val="0"/>
        <w:w w:val="100"/>
        <w:sz w:val="24"/>
        <w:szCs w:val="24"/>
      </w:rPr>
    </w:lvl>
    <w:lvl w:ilvl="2" w:tplc="2F428738">
      <w:numFmt w:val="bullet"/>
      <w:lvlText w:val="•"/>
      <w:lvlJc w:val="left"/>
      <w:pPr>
        <w:ind w:left="1571" w:hanging="480"/>
      </w:pPr>
      <w:rPr>
        <w:rFonts w:hint="default"/>
      </w:rPr>
    </w:lvl>
    <w:lvl w:ilvl="3" w:tplc="0D58618C">
      <w:numFmt w:val="bullet"/>
      <w:lvlText w:val="•"/>
      <w:lvlJc w:val="left"/>
      <w:pPr>
        <w:ind w:left="1977" w:hanging="480"/>
      </w:pPr>
      <w:rPr>
        <w:rFonts w:hint="default"/>
      </w:rPr>
    </w:lvl>
    <w:lvl w:ilvl="4" w:tplc="D5F4A6A6">
      <w:numFmt w:val="bullet"/>
      <w:lvlText w:val="•"/>
      <w:lvlJc w:val="left"/>
      <w:pPr>
        <w:ind w:left="2383" w:hanging="480"/>
      </w:pPr>
      <w:rPr>
        <w:rFonts w:hint="default"/>
      </w:rPr>
    </w:lvl>
    <w:lvl w:ilvl="5" w:tplc="B3C06D26">
      <w:numFmt w:val="bullet"/>
      <w:lvlText w:val="•"/>
      <w:lvlJc w:val="left"/>
      <w:pPr>
        <w:ind w:left="2789" w:hanging="480"/>
      </w:pPr>
      <w:rPr>
        <w:rFonts w:hint="default"/>
      </w:rPr>
    </w:lvl>
    <w:lvl w:ilvl="6" w:tplc="A846052C">
      <w:numFmt w:val="bullet"/>
      <w:lvlText w:val="•"/>
      <w:lvlJc w:val="left"/>
      <w:pPr>
        <w:ind w:left="3195" w:hanging="480"/>
      </w:pPr>
      <w:rPr>
        <w:rFonts w:hint="default"/>
      </w:rPr>
    </w:lvl>
    <w:lvl w:ilvl="7" w:tplc="E556CAE2">
      <w:numFmt w:val="bullet"/>
      <w:lvlText w:val="•"/>
      <w:lvlJc w:val="left"/>
      <w:pPr>
        <w:ind w:left="3601" w:hanging="480"/>
      </w:pPr>
      <w:rPr>
        <w:rFonts w:hint="default"/>
      </w:rPr>
    </w:lvl>
    <w:lvl w:ilvl="8" w:tplc="EEBEB064">
      <w:numFmt w:val="bullet"/>
      <w:lvlText w:val="•"/>
      <w:lvlJc w:val="left"/>
      <w:pPr>
        <w:ind w:left="4007" w:hanging="480"/>
      </w:pPr>
      <w:rPr>
        <w:rFonts w:hint="default"/>
      </w:rPr>
    </w:lvl>
  </w:abstractNum>
  <w:abstractNum w:abstractNumId="11" w15:restartNumberingAfterBreak="0">
    <w:nsid w:val="3403219D"/>
    <w:multiLevelType w:val="hybridMultilevel"/>
    <w:tmpl w:val="995AAACE"/>
    <w:lvl w:ilvl="0" w:tplc="0A48C26A">
      <w:start w:val="5"/>
      <w:numFmt w:val="decimal"/>
      <w:lvlText w:val="%1"/>
      <w:lvlJc w:val="left"/>
      <w:pPr>
        <w:ind w:left="660" w:hanging="480"/>
        <w:jc w:val="right"/>
      </w:pPr>
      <w:rPr>
        <w:rFonts w:ascii="Times New Roman" w:eastAsia="Times New Roman" w:hAnsi="Times New Roman" w:cs="Times New Roman" w:hint="default"/>
        <w:b w:val="0"/>
        <w:bCs w:val="0"/>
        <w:i w:val="0"/>
        <w:iCs w:val="0"/>
        <w:w w:val="100"/>
        <w:sz w:val="24"/>
        <w:szCs w:val="24"/>
      </w:rPr>
    </w:lvl>
    <w:lvl w:ilvl="1" w:tplc="CDEC7300">
      <w:numFmt w:val="bullet"/>
      <w:lvlText w:val="•"/>
      <w:lvlJc w:val="left"/>
      <w:pPr>
        <w:ind w:left="1712" w:hanging="480"/>
      </w:pPr>
      <w:rPr>
        <w:rFonts w:hint="default"/>
      </w:rPr>
    </w:lvl>
    <w:lvl w:ilvl="2" w:tplc="6B0AF860">
      <w:numFmt w:val="bullet"/>
      <w:lvlText w:val="•"/>
      <w:lvlJc w:val="left"/>
      <w:pPr>
        <w:ind w:left="2664" w:hanging="480"/>
      </w:pPr>
      <w:rPr>
        <w:rFonts w:hint="default"/>
      </w:rPr>
    </w:lvl>
    <w:lvl w:ilvl="3" w:tplc="3A508C70">
      <w:numFmt w:val="bullet"/>
      <w:lvlText w:val="•"/>
      <w:lvlJc w:val="left"/>
      <w:pPr>
        <w:ind w:left="3616" w:hanging="480"/>
      </w:pPr>
      <w:rPr>
        <w:rFonts w:hint="default"/>
      </w:rPr>
    </w:lvl>
    <w:lvl w:ilvl="4" w:tplc="3028EC86">
      <w:numFmt w:val="bullet"/>
      <w:lvlText w:val="•"/>
      <w:lvlJc w:val="left"/>
      <w:pPr>
        <w:ind w:left="4568" w:hanging="480"/>
      </w:pPr>
      <w:rPr>
        <w:rFonts w:hint="default"/>
      </w:rPr>
    </w:lvl>
    <w:lvl w:ilvl="5" w:tplc="60843CD2">
      <w:numFmt w:val="bullet"/>
      <w:lvlText w:val="•"/>
      <w:lvlJc w:val="left"/>
      <w:pPr>
        <w:ind w:left="5520" w:hanging="480"/>
      </w:pPr>
      <w:rPr>
        <w:rFonts w:hint="default"/>
      </w:rPr>
    </w:lvl>
    <w:lvl w:ilvl="6" w:tplc="A6687D92">
      <w:numFmt w:val="bullet"/>
      <w:lvlText w:val="•"/>
      <w:lvlJc w:val="left"/>
      <w:pPr>
        <w:ind w:left="6472" w:hanging="480"/>
      </w:pPr>
      <w:rPr>
        <w:rFonts w:hint="default"/>
      </w:rPr>
    </w:lvl>
    <w:lvl w:ilvl="7" w:tplc="B8BA5846">
      <w:numFmt w:val="bullet"/>
      <w:lvlText w:val="•"/>
      <w:lvlJc w:val="left"/>
      <w:pPr>
        <w:ind w:left="7424" w:hanging="480"/>
      </w:pPr>
      <w:rPr>
        <w:rFonts w:hint="default"/>
      </w:rPr>
    </w:lvl>
    <w:lvl w:ilvl="8" w:tplc="080643A6">
      <w:numFmt w:val="bullet"/>
      <w:lvlText w:val="•"/>
      <w:lvlJc w:val="left"/>
      <w:pPr>
        <w:ind w:left="8376" w:hanging="480"/>
      </w:pPr>
      <w:rPr>
        <w:rFonts w:hint="default"/>
      </w:rPr>
    </w:lvl>
  </w:abstractNum>
  <w:abstractNum w:abstractNumId="12" w15:restartNumberingAfterBreak="0">
    <w:nsid w:val="398613A7"/>
    <w:multiLevelType w:val="hybridMultilevel"/>
    <w:tmpl w:val="2E1E96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0536F"/>
    <w:multiLevelType w:val="hybridMultilevel"/>
    <w:tmpl w:val="FDB6CE82"/>
    <w:lvl w:ilvl="0" w:tplc="E5128454">
      <w:start w:val="1"/>
      <w:numFmt w:val="decimal"/>
      <w:lvlText w:val="%1"/>
      <w:lvlJc w:val="left"/>
      <w:pPr>
        <w:ind w:left="1480" w:hanging="1200"/>
        <w:jc w:val="right"/>
      </w:pPr>
      <w:rPr>
        <w:rFonts w:ascii="Times New Roman" w:eastAsia="Times New Roman" w:hAnsi="Times New Roman" w:cs="Times New Roman" w:hint="default"/>
        <w:b w:val="0"/>
        <w:bCs w:val="0"/>
        <w:i w:val="0"/>
        <w:iCs w:val="0"/>
        <w:w w:val="100"/>
        <w:sz w:val="24"/>
        <w:szCs w:val="24"/>
      </w:rPr>
    </w:lvl>
    <w:lvl w:ilvl="1" w:tplc="0CF43BFE">
      <w:numFmt w:val="bullet"/>
      <w:lvlText w:val="•"/>
      <w:lvlJc w:val="left"/>
      <w:pPr>
        <w:ind w:left="2360" w:hanging="1200"/>
      </w:pPr>
      <w:rPr>
        <w:rFonts w:hint="default"/>
      </w:rPr>
    </w:lvl>
    <w:lvl w:ilvl="2" w:tplc="F628219A">
      <w:numFmt w:val="bullet"/>
      <w:lvlText w:val="•"/>
      <w:lvlJc w:val="left"/>
      <w:pPr>
        <w:ind w:left="3240" w:hanging="1200"/>
      </w:pPr>
      <w:rPr>
        <w:rFonts w:hint="default"/>
      </w:rPr>
    </w:lvl>
    <w:lvl w:ilvl="3" w:tplc="7C400598">
      <w:numFmt w:val="bullet"/>
      <w:lvlText w:val="•"/>
      <w:lvlJc w:val="left"/>
      <w:pPr>
        <w:ind w:left="4120" w:hanging="1200"/>
      </w:pPr>
      <w:rPr>
        <w:rFonts w:hint="default"/>
      </w:rPr>
    </w:lvl>
    <w:lvl w:ilvl="4" w:tplc="FB8858FA">
      <w:numFmt w:val="bullet"/>
      <w:lvlText w:val="•"/>
      <w:lvlJc w:val="left"/>
      <w:pPr>
        <w:ind w:left="5000" w:hanging="1200"/>
      </w:pPr>
      <w:rPr>
        <w:rFonts w:hint="default"/>
      </w:rPr>
    </w:lvl>
    <w:lvl w:ilvl="5" w:tplc="DD26BF0C">
      <w:numFmt w:val="bullet"/>
      <w:lvlText w:val="•"/>
      <w:lvlJc w:val="left"/>
      <w:pPr>
        <w:ind w:left="5880" w:hanging="1200"/>
      </w:pPr>
      <w:rPr>
        <w:rFonts w:hint="default"/>
      </w:rPr>
    </w:lvl>
    <w:lvl w:ilvl="6" w:tplc="D2EE7896">
      <w:numFmt w:val="bullet"/>
      <w:lvlText w:val="•"/>
      <w:lvlJc w:val="left"/>
      <w:pPr>
        <w:ind w:left="6760" w:hanging="1200"/>
      </w:pPr>
      <w:rPr>
        <w:rFonts w:hint="default"/>
      </w:rPr>
    </w:lvl>
    <w:lvl w:ilvl="7" w:tplc="7F28A3FA">
      <w:numFmt w:val="bullet"/>
      <w:lvlText w:val="•"/>
      <w:lvlJc w:val="left"/>
      <w:pPr>
        <w:ind w:left="7640" w:hanging="1200"/>
      </w:pPr>
      <w:rPr>
        <w:rFonts w:hint="default"/>
      </w:rPr>
    </w:lvl>
    <w:lvl w:ilvl="8" w:tplc="20D86996">
      <w:numFmt w:val="bullet"/>
      <w:lvlText w:val="•"/>
      <w:lvlJc w:val="left"/>
      <w:pPr>
        <w:ind w:left="8520" w:hanging="1200"/>
      </w:pPr>
      <w:rPr>
        <w:rFonts w:hint="default"/>
      </w:rPr>
    </w:lvl>
  </w:abstractNum>
  <w:abstractNum w:abstractNumId="14" w15:restartNumberingAfterBreak="0">
    <w:nsid w:val="3E0F0A14"/>
    <w:multiLevelType w:val="hybridMultilevel"/>
    <w:tmpl w:val="28A80CC6"/>
    <w:lvl w:ilvl="0" w:tplc="EE980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62158"/>
    <w:multiLevelType w:val="hybridMultilevel"/>
    <w:tmpl w:val="DF2AEC5A"/>
    <w:lvl w:ilvl="0" w:tplc="F66ADD4C">
      <w:start w:val="14"/>
      <w:numFmt w:val="decimal"/>
      <w:lvlText w:val="%1"/>
      <w:lvlJc w:val="left"/>
      <w:pPr>
        <w:ind w:left="1480" w:hanging="1320"/>
      </w:pPr>
      <w:rPr>
        <w:rFonts w:ascii="Times New Roman" w:eastAsia="Times New Roman" w:hAnsi="Times New Roman" w:cs="Times New Roman" w:hint="default"/>
        <w:b w:val="0"/>
        <w:bCs w:val="0"/>
        <w:i w:val="0"/>
        <w:iCs w:val="0"/>
        <w:w w:val="100"/>
        <w:sz w:val="24"/>
        <w:szCs w:val="24"/>
      </w:rPr>
    </w:lvl>
    <w:lvl w:ilvl="1" w:tplc="68FE3D2A">
      <w:start w:val="1"/>
      <w:numFmt w:val="decimal"/>
      <w:lvlText w:val="%2"/>
      <w:lvlJc w:val="left"/>
      <w:pPr>
        <w:ind w:left="760" w:hanging="480"/>
        <w:jc w:val="right"/>
      </w:pPr>
      <w:rPr>
        <w:rFonts w:ascii="Times New Roman" w:eastAsia="Times New Roman" w:hAnsi="Times New Roman" w:cs="Times New Roman" w:hint="default"/>
        <w:b w:val="0"/>
        <w:bCs w:val="0"/>
        <w:i w:val="0"/>
        <w:iCs w:val="0"/>
        <w:w w:val="100"/>
        <w:sz w:val="24"/>
        <w:szCs w:val="24"/>
      </w:rPr>
    </w:lvl>
    <w:lvl w:ilvl="2" w:tplc="02D272E4">
      <w:numFmt w:val="bullet"/>
      <w:lvlText w:val="•"/>
      <w:lvlJc w:val="left"/>
      <w:pPr>
        <w:ind w:left="2457" w:hanging="480"/>
      </w:pPr>
      <w:rPr>
        <w:rFonts w:hint="default"/>
      </w:rPr>
    </w:lvl>
    <w:lvl w:ilvl="3" w:tplc="1BFE2C82">
      <w:numFmt w:val="bullet"/>
      <w:lvlText w:val="•"/>
      <w:lvlJc w:val="left"/>
      <w:pPr>
        <w:ind w:left="3435" w:hanging="480"/>
      </w:pPr>
      <w:rPr>
        <w:rFonts w:hint="default"/>
      </w:rPr>
    </w:lvl>
    <w:lvl w:ilvl="4" w:tplc="008C795A">
      <w:numFmt w:val="bullet"/>
      <w:lvlText w:val="•"/>
      <w:lvlJc w:val="left"/>
      <w:pPr>
        <w:ind w:left="4413" w:hanging="480"/>
      </w:pPr>
      <w:rPr>
        <w:rFonts w:hint="default"/>
      </w:rPr>
    </w:lvl>
    <w:lvl w:ilvl="5" w:tplc="DC22863C">
      <w:numFmt w:val="bullet"/>
      <w:lvlText w:val="•"/>
      <w:lvlJc w:val="left"/>
      <w:pPr>
        <w:ind w:left="5391" w:hanging="480"/>
      </w:pPr>
      <w:rPr>
        <w:rFonts w:hint="default"/>
      </w:rPr>
    </w:lvl>
    <w:lvl w:ilvl="6" w:tplc="4374203E">
      <w:numFmt w:val="bullet"/>
      <w:lvlText w:val="•"/>
      <w:lvlJc w:val="left"/>
      <w:pPr>
        <w:ind w:left="6368" w:hanging="480"/>
      </w:pPr>
      <w:rPr>
        <w:rFonts w:hint="default"/>
      </w:rPr>
    </w:lvl>
    <w:lvl w:ilvl="7" w:tplc="47863604">
      <w:numFmt w:val="bullet"/>
      <w:lvlText w:val="•"/>
      <w:lvlJc w:val="left"/>
      <w:pPr>
        <w:ind w:left="7346" w:hanging="480"/>
      </w:pPr>
      <w:rPr>
        <w:rFonts w:hint="default"/>
      </w:rPr>
    </w:lvl>
    <w:lvl w:ilvl="8" w:tplc="8CC623FA">
      <w:numFmt w:val="bullet"/>
      <w:lvlText w:val="•"/>
      <w:lvlJc w:val="left"/>
      <w:pPr>
        <w:ind w:left="8324" w:hanging="480"/>
      </w:pPr>
      <w:rPr>
        <w:rFonts w:hint="default"/>
      </w:rPr>
    </w:lvl>
  </w:abstractNum>
  <w:abstractNum w:abstractNumId="16" w15:restartNumberingAfterBreak="0">
    <w:nsid w:val="420329BC"/>
    <w:multiLevelType w:val="hybridMultilevel"/>
    <w:tmpl w:val="0A54A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0F53"/>
    <w:multiLevelType w:val="hybridMultilevel"/>
    <w:tmpl w:val="0A2CBA84"/>
    <w:lvl w:ilvl="0" w:tplc="01F46658">
      <w:start w:val="1"/>
      <w:numFmt w:val="decimal"/>
      <w:lvlText w:val="%1"/>
      <w:lvlJc w:val="left"/>
      <w:pPr>
        <w:ind w:left="760" w:hanging="480"/>
        <w:jc w:val="right"/>
      </w:pPr>
      <w:rPr>
        <w:rFonts w:ascii="Times New Roman" w:eastAsia="Times New Roman" w:hAnsi="Times New Roman" w:cs="Times New Roman" w:hint="default"/>
        <w:b w:val="0"/>
        <w:bCs w:val="0"/>
        <w:i w:val="0"/>
        <w:iCs w:val="0"/>
        <w:w w:val="100"/>
        <w:sz w:val="24"/>
        <w:szCs w:val="24"/>
      </w:rPr>
    </w:lvl>
    <w:lvl w:ilvl="1" w:tplc="DA021B36">
      <w:numFmt w:val="bullet"/>
      <w:lvlText w:val="•"/>
      <w:lvlJc w:val="left"/>
      <w:pPr>
        <w:ind w:left="1712" w:hanging="480"/>
      </w:pPr>
      <w:rPr>
        <w:rFonts w:hint="default"/>
      </w:rPr>
    </w:lvl>
    <w:lvl w:ilvl="2" w:tplc="5B72B82A">
      <w:numFmt w:val="bullet"/>
      <w:lvlText w:val="•"/>
      <w:lvlJc w:val="left"/>
      <w:pPr>
        <w:ind w:left="2664" w:hanging="480"/>
      </w:pPr>
      <w:rPr>
        <w:rFonts w:hint="default"/>
      </w:rPr>
    </w:lvl>
    <w:lvl w:ilvl="3" w:tplc="A548662C">
      <w:numFmt w:val="bullet"/>
      <w:lvlText w:val="•"/>
      <w:lvlJc w:val="left"/>
      <w:pPr>
        <w:ind w:left="3616" w:hanging="480"/>
      </w:pPr>
      <w:rPr>
        <w:rFonts w:hint="default"/>
      </w:rPr>
    </w:lvl>
    <w:lvl w:ilvl="4" w:tplc="2998F386">
      <w:numFmt w:val="bullet"/>
      <w:lvlText w:val="•"/>
      <w:lvlJc w:val="left"/>
      <w:pPr>
        <w:ind w:left="4568" w:hanging="480"/>
      </w:pPr>
      <w:rPr>
        <w:rFonts w:hint="default"/>
      </w:rPr>
    </w:lvl>
    <w:lvl w:ilvl="5" w:tplc="0E8A36D0">
      <w:numFmt w:val="bullet"/>
      <w:lvlText w:val="•"/>
      <w:lvlJc w:val="left"/>
      <w:pPr>
        <w:ind w:left="5520" w:hanging="480"/>
      </w:pPr>
      <w:rPr>
        <w:rFonts w:hint="default"/>
      </w:rPr>
    </w:lvl>
    <w:lvl w:ilvl="6" w:tplc="2C40EF1A">
      <w:numFmt w:val="bullet"/>
      <w:lvlText w:val="•"/>
      <w:lvlJc w:val="left"/>
      <w:pPr>
        <w:ind w:left="6472" w:hanging="480"/>
      </w:pPr>
      <w:rPr>
        <w:rFonts w:hint="default"/>
      </w:rPr>
    </w:lvl>
    <w:lvl w:ilvl="7" w:tplc="58AA052A">
      <w:numFmt w:val="bullet"/>
      <w:lvlText w:val="•"/>
      <w:lvlJc w:val="left"/>
      <w:pPr>
        <w:ind w:left="7424" w:hanging="480"/>
      </w:pPr>
      <w:rPr>
        <w:rFonts w:hint="default"/>
      </w:rPr>
    </w:lvl>
    <w:lvl w:ilvl="8" w:tplc="9ADC6696">
      <w:numFmt w:val="bullet"/>
      <w:lvlText w:val="•"/>
      <w:lvlJc w:val="left"/>
      <w:pPr>
        <w:ind w:left="8376" w:hanging="480"/>
      </w:pPr>
      <w:rPr>
        <w:rFonts w:hint="default"/>
      </w:rPr>
    </w:lvl>
  </w:abstractNum>
  <w:abstractNum w:abstractNumId="18" w15:restartNumberingAfterBreak="0">
    <w:nsid w:val="46CD697E"/>
    <w:multiLevelType w:val="hybridMultilevel"/>
    <w:tmpl w:val="23E2157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F8F75B8"/>
    <w:multiLevelType w:val="hybridMultilevel"/>
    <w:tmpl w:val="EBE2EEAC"/>
    <w:lvl w:ilvl="0" w:tplc="EA1CCD92">
      <w:start w:val="1"/>
      <w:numFmt w:val="decimal"/>
      <w:lvlText w:val="%1"/>
      <w:lvlJc w:val="left"/>
      <w:pPr>
        <w:ind w:left="1480" w:hanging="1200"/>
        <w:jc w:val="right"/>
      </w:pPr>
      <w:rPr>
        <w:rFonts w:ascii="Times New Roman" w:eastAsia="Times New Roman" w:hAnsi="Times New Roman" w:cs="Times New Roman" w:hint="default"/>
        <w:b w:val="0"/>
        <w:bCs w:val="0"/>
        <w:i w:val="0"/>
        <w:iCs w:val="0"/>
        <w:w w:val="100"/>
        <w:sz w:val="24"/>
        <w:szCs w:val="24"/>
      </w:rPr>
    </w:lvl>
    <w:lvl w:ilvl="1" w:tplc="D36A41F8">
      <w:numFmt w:val="bullet"/>
      <w:lvlText w:val="•"/>
      <w:lvlJc w:val="left"/>
      <w:pPr>
        <w:ind w:left="2360" w:hanging="1200"/>
      </w:pPr>
      <w:rPr>
        <w:rFonts w:hint="default"/>
      </w:rPr>
    </w:lvl>
    <w:lvl w:ilvl="2" w:tplc="2DE2A1BA">
      <w:numFmt w:val="bullet"/>
      <w:lvlText w:val="•"/>
      <w:lvlJc w:val="left"/>
      <w:pPr>
        <w:ind w:left="3240" w:hanging="1200"/>
      </w:pPr>
      <w:rPr>
        <w:rFonts w:hint="default"/>
      </w:rPr>
    </w:lvl>
    <w:lvl w:ilvl="3" w:tplc="F4BEBFB0">
      <w:numFmt w:val="bullet"/>
      <w:lvlText w:val="•"/>
      <w:lvlJc w:val="left"/>
      <w:pPr>
        <w:ind w:left="4120" w:hanging="1200"/>
      </w:pPr>
      <w:rPr>
        <w:rFonts w:hint="default"/>
      </w:rPr>
    </w:lvl>
    <w:lvl w:ilvl="4" w:tplc="32B0E736">
      <w:numFmt w:val="bullet"/>
      <w:lvlText w:val="•"/>
      <w:lvlJc w:val="left"/>
      <w:pPr>
        <w:ind w:left="5000" w:hanging="1200"/>
      </w:pPr>
      <w:rPr>
        <w:rFonts w:hint="default"/>
      </w:rPr>
    </w:lvl>
    <w:lvl w:ilvl="5" w:tplc="8E0A7FBE">
      <w:numFmt w:val="bullet"/>
      <w:lvlText w:val="•"/>
      <w:lvlJc w:val="left"/>
      <w:pPr>
        <w:ind w:left="5880" w:hanging="1200"/>
      </w:pPr>
      <w:rPr>
        <w:rFonts w:hint="default"/>
      </w:rPr>
    </w:lvl>
    <w:lvl w:ilvl="6" w:tplc="2662DB54">
      <w:numFmt w:val="bullet"/>
      <w:lvlText w:val="•"/>
      <w:lvlJc w:val="left"/>
      <w:pPr>
        <w:ind w:left="6760" w:hanging="1200"/>
      </w:pPr>
      <w:rPr>
        <w:rFonts w:hint="default"/>
      </w:rPr>
    </w:lvl>
    <w:lvl w:ilvl="7" w:tplc="BA827B54">
      <w:numFmt w:val="bullet"/>
      <w:lvlText w:val="•"/>
      <w:lvlJc w:val="left"/>
      <w:pPr>
        <w:ind w:left="7640" w:hanging="1200"/>
      </w:pPr>
      <w:rPr>
        <w:rFonts w:hint="default"/>
      </w:rPr>
    </w:lvl>
    <w:lvl w:ilvl="8" w:tplc="A502AD26">
      <w:numFmt w:val="bullet"/>
      <w:lvlText w:val="•"/>
      <w:lvlJc w:val="left"/>
      <w:pPr>
        <w:ind w:left="8520" w:hanging="1200"/>
      </w:pPr>
      <w:rPr>
        <w:rFonts w:hint="default"/>
      </w:rPr>
    </w:lvl>
  </w:abstractNum>
  <w:abstractNum w:abstractNumId="20" w15:restartNumberingAfterBreak="0">
    <w:nsid w:val="600C0A8C"/>
    <w:multiLevelType w:val="hybridMultilevel"/>
    <w:tmpl w:val="B3CC4B42"/>
    <w:lvl w:ilvl="0" w:tplc="9760B5C6">
      <w:start w:val="5"/>
      <w:numFmt w:val="decimal"/>
      <w:lvlText w:val="%1"/>
      <w:lvlJc w:val="left"/>
      <w:pPr>
        <w:ind w:left="760" w:hanging="480"/>
        <w:jc w:val="right"/>
      </w:pPr>
      <w:rPr>
        <w:rFonts w:ascii="Times New Roman" w:eastAsia="Times New Roman" w:hAnsi="Times New Roman" w:cs="Times New Roman" w:hint="default"/>
        <w:b w:val="0"/>
        <w:bCs w:val="0"/>
        <w:i w:val="0"/>
        <w:iCs w:val="0"/>
        <w:w w:val="100"/>
        <w:sz w:val="24"/>
        <w:szCs w:val="24"/>
      </w:rPr>
    </w:lvl>
    <w:lvl w:ilvl="1" w:tplc="233AA968">
      <w:numFmt w:val="bullet"/>
      <w:lvlText w:val="•"/>
      <w:lvlJc w:val="left"/>
      <w:pPr>
        <w:ind w:left="1712" w:hanging="480"/>
      </w:pPr>
      <w:rPr>
        <w:rFonts w:hint="default"/>
      </w:rPr>
    </w:lvl>
    <w:lvl w:ilvl="2" w:tplc="743C8730">
      <w:numFmt w:val="bullet"/>
      <w:lvlText w:val="•"/>
      <w:lvlJc w:val="left"/>
      <w:pPr>
        <w:ind w:left="2664" w:hanging="480"/>
      </w:pPr>
      <w:rPr>
        <w:rFonts w:hint="default"/>
      </w:rPr>
    </w:lvl>
    <w:lvl w:ilvl="3" w:tplc="B5283BCC">
      <w:numFmt w:val="bullet"/>
      <w:lvlText w:val="•"/>
      <w:lvlJc w:val="left"/>
      <w:pPr>
        <w:ind w:left="3616" w:hanging="480"/>
      </w:pPr>
      <w:rPr>
        <w:rFonts w:hint="default"/>
      </w:rPr>
    </w:lvl>
    <w:lvl w:ilvl="4" w:tplc="51DCDC2E">
      <w:numFmt w:val="bullet"/>
      <w:lvlText w:val="•"/>
      <w:lvlJc w:val="left"/>
      <w:pPr>
        <w:ind w:left="4568" w:hanging="480"/>
      </w:pPr>
      <w:rPr>
        <w:rFonts w:hint="default"/>
      </w:rPr>
    </w:lvl>
    <w:lvl w:ilvl="5" w:tplc="725E0DE4">
      <w:numFmt w:val="bullet"/>
      <w:lvlText w:val="•"/>
      <w:lvlJc w:val="left"/>
      <w:pPr>
        <w:ind w:left="5520" w:hanging="480"/>
      </w:pPr>
      <w:rPr>
        <w:rFonts w:hint="default"/>
      </w:rPr>
    </w:lvl>
    <w:lvl w:ilvl="6" w:tplc="2C40EE92">
      <w:numFmt w:val="bullet"/>
      <w:lvlText w:val="•"/>
      <w:lvlJc w:val="left"/>
      <w:pPr>
        <w:ind w:left="6472" w:hanging="480"/>
      </w:pPr>
      <w:rPr>
        <w:rFonts w:hint="default"/>
      </w:rPr>
    </w:lvl>
    <w:lvl w:ilvl="7" w:tplc="FBB87CF0">
      <w:numFmt w:val="bullet"/>
      <w:lvlText w:val="•"/>
      <w:lvlJc w:val="left"/>
      <w:pPr>
        <w:ind w:left="7424" w:hanging="480"/>
      </w:pPr>
      <w:rPr>
        <w:rFonts w:hint="default"/>
      </w:rPr>
    </w:lvl>
    <w:lvl w:ilvl="8" w:tplc="73782D54">
      <w:numFmt w:val="bullet"/>
      <w:lvlText w:val="•"/>
      <w:lvlJc w:val="left"/>
      <w:pPr>
        <w:ind w:left="8376" w:hanging="480"/>
      </w:pPr>
      <w:rPr>
        <w:rFonts w:hint="default"/>
      </w:rPr>
    </w:lvl>
  </w:abstractNum>
  <w:abstractNum w:abstractNumId="21" w15:restartNumberingAfterBreak="0">
    <w:nsid w:val="61CE553E"/>
    <w:multiLevelType w:val="hybridMultilevel"/>
    <w:tmpl w:val="CC36D142"/>
    <w:lvl w:ilvl="0" w:tplc="7A9E83F6">
      <w:start w:val="1"/>
      <w:numFmt w:val="upperRoman"/>
      <w:lvlText w:val="%1."/>
      <w:lvlJc w:val="righ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CB40F4"/>
    <w:multiLevelType w:val="hybridMultilevel"/>
    <w:tmpl w:val="12ACB6C2"/>
    <w:lvl w:ilvl="0" w:tplc="DF74F3F6">
      <w:start w:val="1"/>
      <w:numFmt w:val="upperRoman"/>
      <w:lvlText w:val="%1."/>
      <w:lvlJc w:val="left"/>
      <w:pPr>
        <w:ind w:left="760" w:hanging="660"/>
      </w:pPr>
      <w:rPr>
        <w:rFonts w:ascii="Times New Roman" w:eastAsia="Times New Roman" w:hAnsi="Times New Roman" w:cs="Times New Roman" w:hint="default"/>
        <w:b/>
        <w:bCs/>
        <w:i w:val="0"/>
        <w:iCs w:val="0"/>
        <w:w w:val="100"/>
        <w:sz w:val="24"/>
        <w:szCs w:val="24"/>
      </w:rPr>
    </w:lvl>
    <w:lvl w:ilvl="1" w:tplc="C54A4246">
      <w:start w:val="1"/>
      <w:numFmt w:val="decimal"/>
      <w:lvlText w:val="%2"/>
      <w:lvlJc w:val="left"/>
      <w:pPr>
        <w:ind w:left="660" w:hanging="480"/>
      </w:pPr>
      <w:rPr>
        <w:rFonts w:ascii="Times New Roman" w:eastAsia="Times New Roman" w:hAnsi="Times New Roman" w:cs="Times New Roman" w:hint="default"/>
        <w:b w:val="0"/>
        <w:bCs w:val="0"/>
        <w:i w:val="0"/>
        <w:iCs w:val="0"/>
        <w:w w:val="100"/>
        <w:sz w:val="24"/>
        <w:szCs w:val="24"/>
      </w:rPr>
    </w:lvl>
    <w:lvl w:ilvl="2" w:tplc="ECAC0C40">
      <w:numFmt w:val="bullet"/>
      <w:lvlText w:val="•"/>
      <w:lvlJc w:val="left"/>
      <w:pPr>
        <w:ind w:left="2520" w:hanging="480"/>
      </w:pPr>
      <w:rPr>
        <w:rFonts w:hint="default"/>
      </w:rPr>
    </w:lvl>
    <w:lvl w:ilvl="3" w:tplc="45180A6A">
      <w:numFmt w:val="bullet"/>
      <w:lvlText w:val="•"/>
      <w:lvlJc w:val="left"/>
      <w:pPr>
        <w:ind w:left="3401" w:hanging="480"/>
      </w:pPr>
      <w:rPr>
        <w:rFonts w:hint="default"/>
      </w:rPr>
    </w:lvl>
    <w:lvl w:ilvl="4" w:tplc="D8EEB306">
      <w:numFmt w:val="bullet"/>
      <w:lvlText w:val="•"/>
      <w:lvlJc w:val="left"/>
      <w:pPr>
        <w:ind w:left="4281" w:hanging="480"/>
      </w:pPr>
      <w:rPr>
        <w:rFonts w:hint="default"/>
      </w:rPr>
    </w:lvl>
    <w:lvl w:ilvl="5" w:tplc="95961420">
      <w:numFmt w:val="bullet"/>
      <w:lvlText w:val="•"/>
      <w:lvlJc w:val="left"/>
      <w:pPr>
        <w:ind w:left="5162" w:hanging="480"/>
      </w:pPr>
      <w:rPr>
        <w:rFonts w:hint="default"/>
      </w:rPr>
    </w:lvl>
    <w:lvl w:ilvl="6" w:tplc="987AF3CE">
      <w:numFmt w:val="bullet"/>
      <w:lvlText w:val="•"/>
      <w:lvlJc w:val="left"/>
      <w:pPr>
        <w:ind w:left="6042" w:hanging="480"/>
      </w:pPr>
      <w:rPr>
        <w:rFonts w:hint="default"/>
      </w:rPr>
    </w:lvl>
    <w:lvl w:ilvl="7" w:tplc="BB068DF8">
      <w:numFmt w:val="bullet"/>
      <w:lvlText w:val="•"/>
      <w:lvlJc w:val="left"/>
      <w:pPr>
        <w:ind w:left="6923" w:hanging="480"/>
      </w:pPr>
      <w:rPr>
        <w:rFonts w:hint="default"/>
      </w:rPr>
    </w:lvl>
    <w:lvl w:ilvl="8" w:tplc="EC5E6B60">
      <w:numFmt w:val="bullet"/>
      <w:lvlText w:val="•"/>
      <w:lvlJc w:val="left"/>
      <w:pPr>
        <w:ind w:left="7803" w:hanging="480"/>
      </w:pPr>
      <w:rPr>
        <w:rFonts w:hint="default"/>
      </w:rPr>
    </w:lvl>
  </w:abstractNum>
  <w:abstractNum w:abstractNumId="23" w15:restartNumberingAfterBreak="0">
    <w:nsid w:val="687231D3"/>
    <w:multiLevelType w:val="hybridMultilevel"/>
    <w:tmpl w:val="2F60FA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CE0726"/>
    <w:multiLevelType w:val="hybridMultilevel"/>
    <w:tmpl w:val="C31A568E"/>
    <w:lvl w:ilvl="0" w:tplc="FA6A4968">
      <w:start w:val="1"/>
      <w:numFmt w:val="decimal"/>
      <w:lvlText w:val="%1"/>
      <w:lvlJc w:val="left"/>
      <w:pPr>
        <w:ind w:left="760" w:hanging="480"/>
        <w:jc w:val="right"/>
      </w:pPr>
      <w:rPr>
        <w:rFonts w:ascii="Times New Roman" w:eastAsia="Times New Roman" w:hAnsi="Times New Roman" w:cs="Times New Roman" w:hint="default"/>
        <w:b w:val="0"/>
        <w:bCs w:val="0"/>
        <w:i w:val="0"/>
        <w:iCs w:val="0"/>
        <w:w w:val="100"/>
        <w:sz w:val="24"/>
        <w:szCs w:val="24"/>
      </w:rPr>
    </w:lvl>
    <w:lvl w:ilvl="1" w:tplc="7E109172">
      <w:numFmt w:val="bullet"/>
      <w:lvlText w:val="•"/>
      <w:lvlJc w:val="left"/>
      <w:pPr>
        <w:ind w:left="1712" w:hanging="480"/>
      </w:pPr>
      <w:rPr>
        <w:rFonts w:hint="default"/>
      </w:rPr>
    </w:lvl>
    <w:lvl w:ilvl="2" w:tplc="3AB21E78">
      <w:numFmt w:val="bullet"/>
      <w:lvlText w:val="•"/>
      <w:lvlJc w:val="left"/>
      <w:pPr>
        <w:ind w:left="2664" w:hanging="480"/>
      </w:pPr>
      <w:rPr>
        <w:rFonts w:hint="default"/>
      </w:rPr>
    </w:lvl>
    <w:lvl w:ilvl="3" w:tplc="2C484234">
      <w:numFmt w:val="bullet"/>
      <w:lvlText w:val="•"/>
      <w:lvlJc w:val="left"/>
      <w:pPr>
        <w:ind w:left="3616" w:hanging="480"/>
      </w:pPr>
      <w:rPr>
        <w:rFonts w:hint="default"/>
      </w:rPr>
    </w:lvl>
    <w:lvl w:ilvl="4" w:tplc="1160D158">
      <w:numFmt w:val="bullet"/>
      <w:lvlText w:val="•"/>
      <w:lvlJc w:val="left"/>
      <w:pPr>
        <w:ind w:left="4568" w:hanging="480"/>
      </w:pPr>
      <w:rPr>
        <w:rFonts w:hint="default"/>
      </w:rPr>
    </w:lvl>
    <w:lvl w:ilvl="5" w:tplc="BCF821C0">
      <w:numFmt w:val="bullet"/>
      <w:lvlText w:val="•"/>
      <w:lvlJc w:val="left"/>
      <w:pPr>
        <w:ind w:left="5520" w:hanging="480"/>
      </w:pPr>
      <w:rPr>
        <w:rFonts w:hint="default"/>
      </w:rPr>
    </w:lvl>
    <w:lvl w:ilvl="6" w:tplc="3A3436C2">
      <w:numFmt w:val="bullet"/>
      <w:lvlText w:val="•"/>
      <w:lvlJc w:val="left"/>
      <w:pPr>
        <w:ind w:left="6472" w:hanging="480"/>
      </w:pPr>
      <w:rPr>
        <w:rFonts w:hint="default"/>
      </w:rPr>
    </w:lvl>
    <w:lvl w:ilvl="7" w:tplc="02001790">
      <w:numFmt w:val="bullet"/>
      <w:lvlText w:val="•"/>
      <w:lvlJc w:val="left"/>
      <w:pPr>
        <w:ind w:left="7424" w:hanging="480"/>
      </w:pPr>
      <w:rPr>
        <w:rFonts w:hint="default"/>
      </w:rPr>
    </w:lvl>
    <w:lvl w:ilvl="8" w:tplc="5D88BE54">
      <w:numFmt w:val="bullet"/>
      <w:lvlText w:val="•"/>
      <w:lvlJc w:val="left"/>
      <w:pPr>
        <w:ind w:left="8376" w:hanging="480"/>
      </w:pPr>
      <w:rPr>
        <w:rFonts w:hint="default"/>
      </w:rPr>
    </w:lvl>
  </w:abstractNum>
  <w:abstractNum w:abstractNumId="25" w15:restartNumberingAfterBreak="0">
    <w:nsid w:val="764C1EE3"/>
    <w:multiLevelType w:val="hybridMultilevel"/>
    <w:tmpl w:val="3DF2CEA0"/>
    <w:lvl w:ilvl="0" w:tplc="45288442">
      <w:start w:val="1"/>
      <w:numFmt w:val="lowerLetter"/>
      <w:lvlText w:val="%1."/>
      <w:lvlJc w:val="left"/>
      <w:pPr>
        <w:ind w:left="3559" w:hanging="360"/>
      </w:pPr>
      <w:rPr>
        <w:rFonts w:ascii="Times New Roman" w:eastAsia="Times New Roman" w:hAnsi="Times New Roman" w:cs="Times New Roman" w:hint="default"/>
        <w:b w:val="0"/>
        <w:bCs w:val="0"/>
        <w:i w:val="0"/>
        <w:iCs w:val="0"/>
        <w:spacing w:val="-1"/>
        <w:w w:val="100"/>
        <w:sz w:val="24"/>
        <w:szCs w:val="24"/>
      </w:rPr>
    </w:lvl>
    <w:lvl w:ilvl="1" w:tplc="392CCB30">
      <w:numFmt w:val="bullet"/>
      <w:lvlText w:val="•"/>
      <w:lvlJc w:val="left"/>
      <w:pPr>
        <w:ind w:left="4242" w:hanging="360"/>
      </w:pPr>
      <w:rPr>
        <w:rFonts w:hint="default"/>
      </w:rPr>
    </w:lvl>
    <w:lvl w:ilvl="2" w:tplc="91FE2228">
      <w:numFmt w:val="bullet"/>
      <w:lvlText w:val="•"/>
      <w:lvlJc w:val="left"/>
      <w:pPr>
        <w:ind w:left="4924" w:hanging="360"/>
      </w:pPr>
      <w:rPr>
        <w:rFonts w:hint="default"/>
      </w:rPr>
    </w:lvl>
    <w:lvl w:ilvl="3" w:tplc="D91C8E02">
      <w:numFmt w:val="bullet"/>
      <w:lvlText w:val="•"/>
      <w:lvlJc w:val="left"/>
      <w:pPr>
        <w:ind w:left="5606" w:hanging="360"/>
      </w:pPr>
      <w:rPr>
        <w:rFonts w:hint="default"/>
      </w:rPr>
    </w:lvl>
    <w:lvl w:ilvl="4" w:tplc="82F2FA40">
      <w:numFmt w:val="bullet"/>
      <w:lvlText w:val="•"/>
      <w:lvlJc w:val="left"/>
      <w:pPr>
        <w:ind w:left="6288" w:hanging="360"/>
      </w:pPr>
      <w:rPr>
        <w:rFonts w:hint="default"/>
      </w:rPr>
    </w:lvl>
    <w:lvl w:ilvl="5" w:tplc="2C644A9A">
      <w:numFmt w:val="bullet"/>
      <w:lvlText w:val="•"/>
      <w:lvlJc w:val="left"/>
      <w:pPr>
        <w:ind w:left="6970" w:hanging="360"/>
      </w:pPr>
      <w:rPr>
        <w:rFonts w:hint="default"/>
      </w:rPr>
    </w:lvl>
    <w:lvl w:ilvl="6" w:tplc="45D2D9C4">
      <w:numFmt w:val="bullet"/>
      <w:lvlText w:val="•"/>
      <w:lvlJc w:val="left"/>
      <w:pPr>
        <w:ind w:left="7652" w:hanging="360"/>
      </w:pPr>
      <w:rPr>
        <w:rFonts w:hint="default"/>
      </w:rPr>
    </w:lvl>
    <w:lvl w:ilvl="7" w:tplc="F724C80E">
      <w:numFmt w:val="bullet"/>
      <w:lvlText w:val="•"/>
      <w:lvlJc w:val="left"/>
      <w:pPr>
        <w:ind w:left="8334" w:hanging="360"/>
      </w:pPr>
      <w:rPr>
        <w:rFonts w:hint="default"/>
      </w:rPr>
    </w:lvl>
    <w:lvl w:ilvl="8" w:tplc="501CC55E">
      <w:numFmt w:val="bullet"/>
      <w:lvlText w:val="•"/>
      <w:lvlJc w:val="left"/>
      <w:pPr>
        <w:ind w:left="9016" w:hanging="360"/>
      </w:pPr>
      <w:rPr>
        <w:rFonts w:hint="default"/>
      </w:rPr>
    </w:lvl>
  </w:abstractNum>
  <w:abstractNum w:abstractNumId="26" w15:restartNumberingAfterBreak="0">
    <w:nsid w:val="7A8A5BFF"/>
    <w:multiLevelType w:val="hybridMultilevel"/>
    <w:tmpl w:val="9ED02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7"/>
  </w:num>
  <w:num w:numId="4">
    <w:abstractNumId w:val="2"/>
  </w:num>
  <w:num w:numId="5">
    <w:abstractNumId w:val="3"/>
  </w:num>
  <w:num w:numId="6">
    <w:abstractNumId w:val="4"/>
  </w:num>
  <w:num w:numId="7">
    <w:abstractNumId w:val="20"/>
  </w:num>
  <w:num w:numId="8">
    <w:abstractNumId w:val="8"/>
  </w:num>
  <w:num w:numId="9">
    <w:abstractNumId w:val="19"/>
  </w:num>
  <w:num w:numId="10">
    <w:abstractNumId w:val="7"/>
  </w:num>
  <w:num w:numId="11">
    <w:abstractNumId w:val="15"/>
  </w:num>
  <w:num w:numId="12">
    <w:abstractNumId w:val="13"/>
  </w:num>
  <w:num w:numId="13">
    <w:abstractNumId w:val="5"/>
  </w:num>
  <w:num w:numId="14">
    <w:abstractNumId w:val="24"/>
  </w:num>
  <w:num w:numId="15">
    <w:abstractNumId w:val="9"/>
  </w:num>
  <w:num w:numId="16">
    <w:abstractNumId w:val="11"/>
  </w:num>
  <w:num w:numId="17">
    <w:abstractNumId w:val="2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26"/>
  </w:num>
  <w:num w:numId="22">
    <w:abstractNumId w:val="18"/>
  </w:num>
  <w:num w:numId="23">
    <w:abstractNumId w:val="0"/>
  </w:num>
  <w:num w:numId="24">
    <w:abstractNumId w:val="12"/>
  </w:num>
  <w:num w:numId="25">
    <w:abstractNumId w:val="21"/>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CF"/>
    <w:rsid w:val="00001158"/>
    <w:rsid w:val="00007254"/>
    <w:rsid w:val="000100E7"/>
    <w:rsid w:val="0001478C"/>
    <w:rsid w:val="00015557"/>
    <w:rsid w:val="00035118"/>
    <w:rsid w:val="0003584D"/>
    <w:rsid w:val="00050946"/>
    <w:rsid w:val="0006450C"/>
    <w:rsid w:val="000668F8"/>
    <w:rsid w:val="00076FFE"/>
    <w:rsid w:val="00077E39"/>
    <w:rsid w:val="0008340C"/>
    <w:rsid w:val="00092048"/>
    <w:rsid w:val="000A040E"/>
    <w:rsid w:val="000A0A4F"/>
    <w:rsid w:val="000A1C47"/>
    <w:rsid w:val="000A6B8F"/>
    <w:rsid w:val="000B4350"/>
    <w:rsid w:val="000B53E7"/>
    <w:rsid w:val="000B7E42"/>
    <w:rsid w:val="000C1759"/>
    <w:rsid w:val="000D5E46"/>
    <w:rsid w:val="000E7174"/>
    <w:rsid w:val="000F0BD8"/>
    <w:rsid w:val="000F4E60"/>
    <w:rsid w:val="001018CF"/>
    <w:rsid w:val="00103A2F"/>
    <w:rsid w:val="001044E6"/>
    <w:rsid w:val="0011204B"/>
    <w:rsid w:val="00112CC1"/>
    <w:rsid w:val="00114BE6"/>
    <w:rsid w:val="00114F6E"/>
    <w:rsid w:val="0011712E"/>
    <w:rsid w:val="0012104F"/>
    <w:rsid w:val="00123AB0"/>
    <w:rsid w:val="001245A4"/>
    <w:rsid w:val="00125006"/>
    <w:rsid w:val="0013135D"/>
    <w:rsid w:val="001334FA"/>
    <w:rsid w:val="0015160B"/>
    <w:rsid w:val="00160596"/>
    <w:rsid w:val="0016498A"/>
    <w:rsid w:val="001749DD"/>
    <w:rsid w:val="0017673B"/>
    <w:rsid w:val="00180568"/>
    <w:rsid w:val="001813BE"/>
    <w:rsid w:val="00182609"/>
    <w:rsid w:val="0018655C"/>
    <w:rsid w:val="00186CA6"/>
    <w:rsid w:val="00190036"/>
    <w:rsid w:val="00194115"/>
    <w:rsid w:val="001A2D79"/>
    <w:rsid w:val="001A4FEC"/>
    <w:rsid w:val="001B7BB7"/>
    <w:rsid w:val="001C1747"/>
    <w:rsid w:val="001C5E4A"/>
    <w:rsid w:val="001D074D"/>
    <w:rsid w:val="001D4126"/>
    <w:rsid w:val="001E390D"/>
    <w:rsid w:val="001E536C"/>
    <w:rsid w:val="001F557B"/>
    <w:rsid w:val="001F5ABC"/>
    <w:rsid w:val="00204383"/>
    <w:rsid w:val="00211DBC"/>
    <w:rsid w:val="00212490"/>
    <w:rsid w:val="002215A2"/>
    <w:rsid w:val="00222B6F"/>
    <w:rsid w:val="00231803"/>
    <w:rsid w:val="002420EE"/>
    <w:rsid w:val="00243096"/>
    <w:rsid w:val="00243BED"/>
    <w:rsid w:val="002441BF"/>
    <w:rsid w:val="002449B3"/>
    <w:rsid w:val="00244A7F"/>
    <w:rsid w:val="0025035A"/>
    <w:rsid w:val="002512F4"/>
    <w:rsid w:val="00273D3B"/>
    <w:rsid w:val="00277F7C"/>
    <w:rsid w:val="002848C3"/>
    <w:rsid w:val="002903BD"/>
    <w:rsid w:val="002A3112"/>
    <w:rsid w:val="002A4090"/>
    <w:rsid w:val="002A4D9F"/>
    <w:rsid w:val="002A6BD5"/>
    <w:rsid w:val="002B2C86"/>
    <w:rsid w:val="002B2EFD"/>
    <w:rsid w:val="002B3BB1"/>
    <w:rsid w:val="002B45D2"/>
    <w:rsid w:val="002B46D1"/>
    <w:rsid w:val="002D1F90"/>
    <w:rsid w:val="002D4E0D"/>
    <w:rsid w:val="002D5D68"/>
    <w:rsid w:val="002E0310"/>
    <w:rsid w:val="002E49CA"/>
    <w:rsid w:val="002F051B"/>
    <w:rsid w:val="002F4D39"/>
    <w:rsid w:val="00300A59"/>
    <w:rsid w:val="00300ADF"/>
    <w:rsid w:val="00306892"/>
    <w:rsid w:val="003072EC"/>
    <w:rsid w:val="00316A47"/>
    <w:rsid w:val="0031708F"/>
    <w:rsid w:val="00324ADF"/>
    <w:rsid w:val="00332B2F"/>
    <w:rsid w:val="00334475"/>
    <w:rsid w:val="003376E3"/>
    <w:rsid w:val="00343624"/>
    <w:rsid w:val="00346104"/>
    <w:rsid w:val="003519A1"/>
    <w:rsid w:val="0035623C"/>
    <w:rsid w:val="00356809"/>
    <w:rsid w:val="00357344"/>
    <w:rsid w:val="00361434"/>
    <w:rsid w:val="00361568"/>
    <w:rsid w:val="00361595"/>
    <w:rsid w:val="00361695"/>
    <w:rsid w:val="0036583E"/>
    <w:rsid w:val="003678C4"/>
    <w:rsid w:val="00367C93"/>
    <w:rsid w:val="0037474E"/>
    <w:rsid w:val="00380E08"/>
    <w:rsid w:val="003820A4"/>
    <w:rsid w:val="003867CA"/>
    <w:rsid w:val="00386CC7"/>
    <w:rsid w:val="00397385"/>
    <w:rsid w:val="003A3197"/>
    <w:rsid w:val="003A7C22"/>
    <w:rsid w:val="003B221F"/>
    <w:rsid w:val="003B2D3D"/>
    <w:rsid w:val="003B6D31"/>
    <w:rsid w:val="003B75DE"/>
    <w:rsid w:val="003B7BD3"/>
    <w:rsid w:val="003C5788"/>
    <w:rsid w:val="003C5AAF"/>
    <w:rsid w:val="003D4CCB"/>
    <w:rsid w:val="003D5291"/>
    <w:rsid w:val="003F0459"/>
    <w:rsid w:val="003F057C"/>
    <w:rsid w:val="003F2431"/>
    <w:rsid w:val="003F244E"/>
    <w:rsid w:val="003F6ADF"/>
    <w:rsid w:val="00401642"/>
    <w:rsid w:val="00415413"/>
    <w:rsid w:val="00421705"/>
    <w:rsid w:val="004230C6"/>
    <w:rsid w:val="00431112"/>
    <w:rsid w:val="00433A03"/>
    <w:rsid w:val="004350E0"/>
    <w:rsid w:val="00441871"/>
    <w:rsid w:val="0044230E"/>
    <w:rsid w:val="00451534"/>
    <w:rsid w:val="00456379"/>
    <w:rsid w:val="004567E8"/>
    <w:rsid w:val="00456E23"/>
    <w:rsid w:val="00456E30"/>
    <w:rsid w:val="00477D88"/>
    <w:rsid w:val="00487265"/>
    <w:rsid w:val="00487F01"/>
    <w:rsid w:val="00490F6F"/>
    <w:rsid w:val="0049224A"/>
    <w:rsid w:val="00492FBE"/>
    <w:rsid w:val="004A74A2"/>
    <w:rsid w:val="004A7BC7"/>
    <w:rsid w:val="004B1EE5"/>
    <w:rsid w:val="004B2646"/>
    <w:rsid w:val="004B46B6"/>
    <w:rsid w:val="004B53C4"/>
    <w:rsid w:val="004B679D"/>
    <w:rsid w:val="004B6FAB"/>
    <w:rsid w:val="004D7D56"/>
    <w:rsid w:val="004F08F6"/>
    <w:rsid w:val="004F13C6"/>
    <w:rsid w:val="004F25B9"/>
    <w:rsid w:val="004F3E8D"/>
    <w:rsid w:val="004F5D73"/>
    <w:rsid w:val="004F6D20"/>
    <w:rsid w:val="00501479"/>
    <w:rsid w:val="0050354E"/>
    <w:rsid w:val="00510270"/>
    <w:rsid w:val="00515A51"/>
    <w:rsid w:val="005167C7"/>
    <w:rsid w:val="005203C7"/>
    <w:rsid w:val="0052626E"/>
    <w:rsid w:val="00531CE2"/>
    <w:rsid w:val="00532BC5"/>
    <w:rsid w:val="00535F93"/>
    <w:rsid w:val="00535FDC"/>
    <w:rsid w:val="00540663"/>
    <w:rsid w:val="005409DA"/>
    <w:rsid w:val="00543609"/>
    <w:rsid w:val="00545381"/>
    <w:rsid w:val="00551FE9"/>
    <w:rsid w:val="005528D6"/>
    <w:rsid w:val="00552E01"/>
    <w:rsid w:val="00575F7D"/>
    <w:rsid w:val="00577408"/>
    <w:rsid w:val="005870A1"/>
    <w:rsid w:val="00590A84"/>
    <w:rsid w:val="00592B11"/>
    <w:rsid w:val="00592F67"/>
    <w:rsid w:val="005937B5"/>
    <w:rsid w:val="0059551D"/>
    <w:rsid w:val="005A1CD1"/>
    <w:rsid w:val="005A5100"/>
    <w:rsid w:val="005A794A"/>
    <w:rsid w:val="005C093B"/>
    <w:rsid w:val="005C324F"/>
    <w:rsid w:val="005D2297"/>
    <w:rsid w:val="005D2A4A"/>
    <w:rsid w:val="005D3A5A"/>
    <w:rsid w:val="005D6D22"/>
    <w:rsid w:val="005E04B5"/>
    <w:rsid w:val="005E13A8"/>
    <w:rsid w:val="005E2008"/>
    <w:rsid w:val="005E2F48"/>
    <w:rsid w:val="005E50D1"/>
    <w:rsid w:val="005E6C6D"/>
    <w:rsid w:val="005E7419"/>
    <w:rsid w:val="005F3A7E"/>
    <w:rsid w:val="005F4A29"/>
    <w:rsid w:val="00600770"/>
    <w:rsid w:val="00606AB5"/>
    <w:rsid w:val="00614DB2"/>
    <w:rsid w:val="00620078"/>
    <w:rsid w:val="006349DF"/>
    <w:rsid w:val="00635D5F"/>
    <w:rsid w:val="00641D11"/>
    <w:rsid w:val="0064300F"/>
    <w:rsid w:val="00643315"/>
    <w:rsid w:val="006450D4"/>
    <w:rsid w:val="00645885"/>
    <w:rsid w:val="00653E79"/>
    <w:rsid w:val="00663F7F"/>
    <w:rsid w:val="00671376"/>
    <w:rsid w:val="00671DCC"/>
    <w:rsid w:val="0067688C"/>
    <w:rsid w:val="00691DC5"/>
    <w:rsid w:val="006938C0"/>
    <w:rsid w:val="00693D9C"/>
    <w:rsid w:val="00693DEF"/>
    <w:rsid w:val="00694B72"/>
    <w:rsid w:val="0069591D"/>
    <w:rsid w:val="00697BCC"/>
    <w:rsid w:val="006A01CB"/>
    <w:rsid w:val="006A21B9"/>
    <w:rsid w:val="006A2284"/>
    <w:rsid w:val="006A6787"/>
    <w:rsid w:val="006B16CD"/>
    <w:rsid w:val="006B214B"/>
    <w:rsid w:val="006C5653"/>
    <w:rsid w:val="006D5FA7"/>
    <w:rsid w:val="006E4023"/>
    <w:rsid w:val="006E4593"/>
    <w:rsid w:val="006F250D"/>
    <w:rsid w:val="006F346C"/>
    <w:rsid w:val="006F6577"/>
    <w:rsid w:val="006F6F9B"/>
    <w:rsid w:val="006F76BD"/>
    <w:rsid w:val="00701241"/>
    <w:rsid w:val="0070587F"/>
    <w:rsid w:val="0071555E"/>
    <w:rsid w:val="00716CA1"/>
    <w:rsid w:val="00724192"/>
    <w:rsid w:val="00730905"/>
    <w:rsid w:val="007312E0"/>
    <w:rsid w:val="00731640"/>
    <w:rsid w:val="0073312D"/>
    <w:rsid w:val="00736C04"/>
    <w:rsid w:val="007417F0"/>
    <w:rsid w:val="007426E0"/>
    <w:rsid w:val="00747D34"/>
    <w:rsid w:val="0075051B"/>
    <w:rsid w:val="007521AC"/>
    <w:rsid w:val="00757299"/>
    <w:rsid w:val="007611C9"/>
    <w:rsid w:val="00763A19"/>
    <w:rsid w:val="00773F1D"/>
    <w:rsid w:val="00781C61"/>
    <w:rsid w:val="00781EDC"/>
    <w:rsid w:val="0079426A"/>
    <w:rsid w:val="007A3172"/>
    <w:rsid w:val="007A4F24"/>
    <w:rsid w:val="007B0D05"/>
    <w:rsid w:val="007B1218"/>
    <w:rsid w:val="007B152D"/>
    <w:rsid w:val="007B79DE"/>
    <w:rsid w:val="007C2DF9"/>
    <w:rsid w:val="007C6A9D"/>
    <w:rsid w:val="007D3F4B"/>
    <w:rsid w:val="007D5187"/>
    <w:rsid w:val="007D6046"/>
    <w:rsid w:val="007D727A"/>
    <w:rsid w:val="007E105E"/>
    <w:rsid w:val="007E3E05"/>
    <w:rsid w:val="007E4080"/>
    <w:rsid w:val="007E4B35"/>
    <w:rsid w:val="007E7570"/>
    <w:rsid w:val="007F0031"/>
    <w:rsid w:val="007F08E1"/>
    <w:rsid w:val="007F0A5D"/>
    <w:rsid w:val="007F3EE2"/>
    <w:rsid w:val="007F4D8F"/>
    <w:rsid w:val="007F59F1"/>
    <w:rsid w:val="00806407"/>
    <w:rsid w:val="008109F4"/>
    <w:rsid w:val="00820CC2"/>
    <w:rsid w:val="008256F2"/>
    <w:rsid w:val="00834A69"/>
    <w:rsid w:val="00844F5D"/>
    <w:rsid w:val="00845072"/>
    <w:rsid w:val="0085169C"/>
    <w:rsid w:val="00851DD7"/>
    <w:rsid w:val="008526B0"/>
    <w:rsid w:val="0085420C"/>
    <w:rsid w:val="00854ACD"/>
    <w:rsid w:val="00856EA0"/>
    <w:rsid w:val="0087132A"/>
    <w:rsid w:val="00871E24"/>
    <w:rsid w:val="008750DE"/>
    <w:rsid w:val="00880BB3"/>
    <w:rsid w:val="00886D7B"/>
    <w:rsid w:val="008A46CA"/>
    <w:rsid w:val="008A60BF"/>
    <w:rsid w:val="008B397C"/>
    <w:rsid w:val="008B48DB"/>
    <w:rsid w:val="008C064F"/>
    <w:rsid w:val="008C7D6A"/>
    <w:rsid w:val="008D01A4"/>
    <w:rsid w:val="008D50E1"/>
    <w:rsid w:val="008E4432"/>
    <w:rsid w:val="008E72DF"/>
    <w:rsid w:val="008F2A06"/>
    <w:rsid w:val="008F3B4B"/>
    <w:rsid w:val="008F4A96"/>
    <w:rsid w:val="008F64BC"/>
    <w:rsid w:val="00905F1D"/>
    <w:rsid w:val="00906544"/>
    <w:rsid w:val="00922591"/>
    <w:rsid w:val="00923114"/>
    <w:rsid w:val="0092383C"/>
    <w:rsid w:val="00930290"/>
    <w:rsid w:val="00931BC4"/>
    <w:rsid w:val="00932A87"/>
    <w:rsid w:val="00956A18"/>
    <w:rsid w:val="00957843"/>
    <w:rsid w:val="009614B5"/>
    <w:rsid w:val="00966A11"/>
    <w:rsid w:val="00977DDF"/>
    <w:rsid w:val="00982516"/>
    <w:rsid w:val="00983852"/>
    <w:rsid w:val="00992BAC"/>
    <w:rsid w:val="009A50D2"/>
    <w:rsid w:val="009A59A5"/>
    <w:rsid w:val="009B1370"/>
    <w:rsid w:val="009B4895"/>
    <w:rsid w:val="009B68B0"/>
    <w:rsid w:val="009D0ADB"/>
    <w:rsid w:val="009D66C5"/>
    <w:rsid w:val="009F0DAE"/>
    <w:rsid w:val="009F33C9"/>
    <w:rsid w:val="009F62B2"/>
    <w:rsid w:val="00A01282"/>
    <w:rsid w:val="00A01B95"/>
    <w:rsid w:val="00A03319"/>
    <w:rsid w:val="00A07B17"/>
    <w:rsid w:val="00A10E06"/>
    <w:rsid w:val="00A11544"/>
    <w:rsid w:val="00A162CA"/>
    <w:rsid w:val="00A30397"/>
    <w:rsid w:val="00A311AA"/>
    <w:rsid w:val="00A3134B"/>
    <w:rsid w:val="00A41C02"/>
    <w:rsid w:val="00A426C4"/>
    <w:rsid w:val="00A429A0"/>
    <w:rsid w:val="00A447E6"/>
    <w:rsid w:val="00A535EC"/>
    <w:rsid w:val="00A541D4"/>
    <w:rsid w:val="00A558F4"/>
    <w:rsid w:val="00A606AC"/>
    <w:rsid w:val="00A619D2"/>
    <w:rsid w:val="00A64054"/>
    <w:rsid w:val="00A80807"/>
    <w:rsid w:val="00A80980"/>
    <w:rsid w:val="00A94C86"/>
    <w:rsid w:val="00A9589D"/>
    <w:rsid w:val="00AA0997"/>
    <w:rsid w:val="00AA1F4B"/>
    <w:rsid w:val="00AA2B22"/>
    <w:rsid w:val="00AA59C0"/>
    <w:rsid w:val="00AB24FF"/>
    <w:rsid w:val="00AC1463"/>
    <w:rsid w:val="00AD006E"/>
    <w:rsid w:val="00AD19FC"/>
    <w:rsid w:val="00AD1B8A"/>
    <w:rsid w:val="00AD2CD5"/>
    <w:rsid w:val="00AD5776"/>
    <w:rsid w:val="00AD7BF0"/>
    <w:rsid w:val="00AE1016"/>
    <w:rsid w:val="00AE5701"/>
    <w:rsid w:val="00AF180D"/>
    <w:rsid w:val="00AF1B3E"/>
    <w:rsid w:val="00B0012C"/>
    <w:rsid w:val="00B014BC"/>
    <w:rsid w:val="00B018BF"/>
    <w:rsid w:val="00B126E4"/>
    <w:rsid w:val="00B15E54"/>
    <w:rsid w:val="00B27D60"/>
    <w:rsid w:val="00B36049"/>
    <w:rsid w:val="00B41C4B"/>
    <w:rsid w:val="00B45566"/>
    <w:rsid w:val="00B45F6B"/>
    <w:rsid w:val="00B510DA"/>
    <w:rsid w:val="00B51925"/>
    <w:rsid w:val="00B65175"/>
    <w:rsid w:val="00B67030"/>
    <w:rsid w:val="00B705CF"/>
    <w:rsid w:val="00B75E84"/>
    <w:rsid w:val="00B80D39"/>
    <w:rsid w:val="00B82058"/>
    <w:rsid w:val="00B86BCE"/>
    <w:rsid w:val="00B872A9"/>
    <w:rsid w:val="00B90933"/>
    <w:rsid w:val="00B93B25"/>
    <w:rsid w:val="00B943C3"/>
    <w:rsid w:val="00B94F5B"/>
    <w:rsid w:val="00BA169A"/>
    <w:rsid w:val="00BB3611"/>
    <w:rsid w:val="00BB4124"/>
    <w:rsid w:val="00BB6962"/>
    <w:rsid w:val="00BB72F2"/>
    <w:rsid w:val="00BC1562"/>
    <w:rsid w:val="00BC3C33"/>
    <w:rsid w:val="00BC5060"/>
    <w:rsid w:val="00BD300E"/>
    <w:rsid w:val="00BD4C84"/>
    <w:rsid w:val="00BD7705"/>
    <w:rsid w:val="00BE73CC"/>
    <w:rsid w:val="00BF04DE"/>
    <w:rsid w:val="00BF45EE"/>
    <w:rsid w:val="00BF4977"/>
    <w:rsid w:val="00BF55C3"/>
    <w:rsid w:val="00C06B30"/>
    <w:rsid w:val="00C07956"/>
    <w:rsid w:val="00C10903"/>
    <w:rsid w:val="00C1092D"/>
    <w:rsid w:val="00C12078"/>
    <w:rsid w:val="00C17262"/>
    <w:rsid w:val="00C24C94"/>
    <w:rsid w:val="00C27258"/>
    <w:rsid w:val="00C33604"/>
    <w:rsid w:val="00C370CD"/>
    <w:rsid w:val="00C41BBF"/>
    <w:rsid w:val="00C41D8D"/>
    <w:rsid w:val="00C41EDD"/>
    <w:rsid w:val="00C45575"/>
    <w:rsid w:val="00C47F1E"/>
    <w:rsid w:val="00C51FAC"/>
    <w:rsid w:val="00C53ABF"/>
    <w:rsid w:val="00C54515"/>
    <w:rsid w:val="00C547A4"/>
    <w:rsid w:val="00C623F0"/>
    <w:rsid w:val="00C67E13"/>
    <w:rsid w:val="00C70DA5"/>
    <w:rsid w:val="00C72A97"/>
    <w:rsid w:val="00C74A74"/>
    <w:rsid w:val="00C74CA6"/>
    <w:rsid w:val="00C76FA0"/>
    <w:rsid w:val="00C83BE4"/>
    <w:rsid w:val="00C86D21"/>
    <w:rsid w:val="00C96246"/>
    <w:rsid w:val="00CA7DBE"/>
    <w:rsid w:val="00CB0134"/>
    <w:rsid w:val="00CB020A"/>
    <w:rsid w:val="00CB39AA"/>
    <w:rsid w:val="00CB6D32"/>
    <w:rsid w:val="00CC727B"/>
    <w:rsid w:val="00CD4331"/>
    <w:rsid w:val="00CD7BBF"/>
    <w:rsid w:val="00CE1315"/>
    <w:rsid w:val="00CE57B6"/>
    <w:rsid w:val="00CE63F0"/>
    <w:rsid w:val="00CE7EDA"/>
    <w:rsid w:val="00CF5D18"/>
    <w:rsid w:val="00D0772A"/>
    <w:rsid w:val="00D11533"/>
    <w:rsid w:val="00D3101A"/>
    <w:rsid w:val="00D31F2E"/>
    <w:rsid w:val="00D356CE"/>
    <w:rsid w:val="00D4688A"/>
    <w:rsid w:val="00D469BA"/>
    <w:rsid w:val="00D5242E"/>
    <w:rsid w:val="00D53E98"/>
    <w:rsid w:val="00D6194E"/>
    <w:rsid w:val="00D70EA7"/>
    <w:rsid w:val="00D7241F"/>
    <w:rsid w:val="00D77705"/>
    <w:rsid w:val="00D81841"/>
    <w:rsid w:val="00D86F6E"/>
    <w:rsid w:val="00D91B65"/>
    <w:rsid w:val="00D922F3"/>
    <w:rsid w:val="00D9349B"/>
    <w:rsid w:val="00DA1DC7"/>
    <w:rsid w:val="00DA25B1"/>
    <w:rsid w:val="00DA3F12"/>
    <w:rsid w:val="00DA6FF7"/>
    <w:rsid w:val="00DA7C15"/>
    <w:rsid w:val="00DB1536"/>
    <w:rsid w:val="00DC126E"/>
    <w:rsid w:val="00DC2874"/>
    <w:rsid w:val="00DC79FC"/>
    <w:rsid w:val="00DE5C1A"/>
    <w:rsid w:val="00DF0544"/>
    <w:rsid w:val="00DF2F75"/>
    <w:rsid w:val="00DF39E8"/>
    <w:rsid w:val="00E02328"/>
    <w:rsid w:val="00E10396"/>
    <w:rsid w:val="00E1043D"/>
    <w:rsid w:val="00E10B25"/>
    <w:rsid w:val="00E12082"/>
    <w:rsid w:val="00E13646"/>
    <w:rsid w:val="00E16447"/>
    <w:rsid w:val="00E20ABA"/>
    <w:rsid w:val="00E21547"/>
    <w:rsid w:val="00E23302"/>
    <w:rsid w:val="00E26841"/>
    <w:rsid w:val="00E431F5"/>
    <w:rsid w:val="00E44182"/>
    <w:rsid w:val="00E46E61"/>
    <w:rsid w:val="00E50866"/>
    <w:rsid w:val="00E56660"/>
    <w:rsid w:val="00E56C79"/>
    <w:rsid w:val="00E60B00"/>
    <w:rsid w:val="00E67911"/>
    <w:rsid w:val="00E75C53"/>
    <w:rsid w:val="00E76537"/>
    <w:rsid w:val="00E765FB"/>
    <w:rsid w:val="00E767B3"/>
    <w:rsid w:val="00E8437D"/>
    <w:rsid w:val="00EA0EB2"/>
    <w:rsid w:val="00EA2E37"/>
    <w:rsid w:val="00EA564C"/>
    <w:rsid w:val="00EA6D78"/>
    <w:rsid w:val="00EA7883"/>
    <w:rsid w:val="00EB042B"/>
    <w:rsid w:val="00EB5E02"/>
    <w:rsid w:val="00EB7C81"/>
    <w:rsid w:val="00EC03CA"/>
    <w:rsid w:val="00EC3088"/>
    <w:rsid w:val="00EC3154"/>
    <w:rsid w:val="00EC392D"/>
    <w:rsid w:val="00ED075E"/>
    <w:rsid w:val="00ED665C"/>
    <w:rsid w:val="00EE0521"/>
    <w:rsid w:val="00EE7FB2"/>
    <w:rsid w:val="00EF2635"/>
    <w:rsid w:val="00EF3EEB"/>
    <w:rsid w:val="00EF755A"/>
    <w:rsid w:val="00F01F2A"/>
    <w:rsid w:val="00F03449"/>
    <w:rsid w:val="00F0723B"/>
    <w:rsid w:val="00F1208F"/>
    <w:rsid w:val="00F152BA"/>
    <w:rsid w:val="00F167F2"/>
    <w:rsid w:val="00F23B1E"/>
    <w:rsid w:val="00F2549D"/>
    <w:rsid w:val="00F27945"/>
    <w:rsid w:val="00F31CEF"/>
    <w:rsid w:val="00F32608"/>
    <w:rsid w:val="00F33EB9"/>
    <w:rsid w:val="00F347FD"/>
    <w:rsid w:val="00F34FF9"/>
    <w:rsid w:val="00F36556"/>
    <w:rsid w:val="00F41445"/>
    <w:rsid w:val="00F5343A"/>
    <w:rsid w:val="00F539FF"/>
    <w:rsid w:val="00F64BE1"/>
    <w:rsid w:val="00F82B7A"/>
    <w:rsid w:val="00F85ACF"/>
    <w:rsid w:val="00F865A4"/>
    <w:rsid w:val="00F94044"/>
    <w:rsid w:val="00F97742"/>
    <w:rsid w:val="00FA0A93"/>
    <w:rsid w:val="00FA0C3B"/>
    <w:rsid w:val="00FA1693"/>
    <w:rsid w:val="00FA20DE"/>
    <w:rsid w:val="00FA698B"/>
    <w:rsid w:val="00FB0082"/>
    <w:rsid w:val="00FB0F3B"/>
    <w:rsid w:val="00FB38EE"/>
    <w:rsid w:val="00FD0757"/>
    <w:rsid w:val="00FD3E55"/>
    <w:rsid w:val="00FD4DE6"/>
    <w:rsid w:val="00FD6E12"/>
    <w:rsid w:val="00FD77C9"/>
    <w:rsid w:val="00FE0D8F"/>
    <w:rsid w:val="00FE2308"/>
    <w:rsid w:val="00FE4926"/>
    <w:rsid w:val="00FE592E"/>
    <w:rsid w:val="00FF07D9"/>
    <w:rsid w:val="00FF3F4F"/>
    <w:rsid w:val="00FF3F83"/>
    <w:rsid w:val="00FF58B2"/>
    <w:rsid w:val="045D13A4"/>
    <w:rsid w:val="0545662C"/>
    <w:rsid w:val="05B16AA2"/>
    <w:rsid w:val="05FE31C9"/>
    <w:rsid w:val="07157121"/>
    <w:rsid w:val="0B23E33B"/>
    <w:rsid w:val="0B41A273"/>
    <w:rsid w:val="0DA433F6"/>
    <w:rsid w:val="0E15F596"/>
    <w:rsid w:val="0E59F066"/>
    <w:rsid w:val="1AEC8C13"/>
    <w:rsid w:val="1CC9BDEF"/>
    <w:rsid w:val="1D1F2F0B"/>
    <w:rsid w:val="1E3B8ECA"/>
    <w:rsid w:val="21719BF5"/>
    <w:rsid w:val="2361403C"/>
    <w:rsid w:val="23ACB47E"/>
    <w:rsid w:val="28D6CB7B"/>
    <w:rsid w:val="29C77556"/>
    <w:rsid w:val="2A678728"/>
    <w:rsid w:val="2C8F0BCF"/>
    <w:rsid w:val="2E04FA5B"/>
    <w:rsid w:val="301CDF50"/>
    <w:rsid w:val="3094C715"/>
    <w:rsid w:val="3116CBE6"/>
    <w:rsid w:val="327E423C"/>
    <w:rsid w:val="3286CA35"/>
    <w:rsid w:val="357C402E"/>
    <w:rsid w:val="361F2398"/>
    <w:rsid w:val="39383C01"/>
    <w:rsid w:val="39BEAF47"/>
    <w:rsid w:val="3DCD61E7"/>
    <w:rsid w:val="40714512"/>
    <w:rsid w:val="418DA4D1"/>
    <w:rsid w:val="43098F3A"/>
    <w:rsid w:val="44C3B1FC"/>
    <w:rsid w:val="4B6A6E3E"/>
    <w:rsid w:val="4B93BCB7"/>
    <w:rsid w:val="4C24BD3A"/>
    <w:rsid w:val="4E3F2ED0"/>
    <w:rsid w:val="50323335"/>
    <w:rsid w:val="52E6CDE1"/>
    <w:rsid w:val="53AB37F7"/>
    <w:rsid w:val="53E6DD1C"/>
    <w:rsid w:val="57839114"/>
    <w:rsid w:val="58CAF297"/>
    <w:rsid w:val="5971399F"/>
    <w:rsid w:val="599B7A8D"/>
    <w:rsid w:val="5ACD6FE6"/>
    <w:rsid w:val="60D148BE"/>
    <w:rsid w:val="624770B0"/>
    <w:rsid w:val="66B2FFD6"/>
    <w:rsid w:val="67A1C30C"/>
    <w:rsid w:val="67D1CD33"/>
    <w:rsid w:val="6A521DEE"/>
    <w:rsid w:val="6AC3DF8E"/>
    <w:rsid w:val="6B6C856F"/>
    <w:rsid w:val="709236E1"/>
    <w:rsid w:val="71390F40"/>
    <w:rsid w:val="71CA267A"/>
    <w:rsid w:val="740A3364"/>
    <w:rsid w:val="74A0A8FB"/>
    <w:rsid w:val="76CEC6D9"/>
    <w:rsid w:val="7B1A0692"/>
    <w:rsid w:val="7CBF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ADEC44"/>
  <w15:docId w15:val="{18C2DE39-07B2-49AD-A600-A3C573DB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9"/>
      <w:ind w:left="760"/>
      <w:outlineLvl w:val="0"/>
    </w:pPr>
    <w:rPr>
      <w:b/>
      <w:bCs/>
      <w:sz w:val="24"/>
      <w:szCs w:val="24"/>
    </w:rPr>
  </w:style>
  <w:style w:type="paragraph" w:styleId="Heading2">
    <w:name w:val="heading 2"/>
    <w:basedOn w:val="Normal"/>
    <w:uiPriority w:val="9"/>
    <w:unhideWhenUsed/>
    <w:qFormat/>
    <w:pPr>
      <w:spacing w:before="90"/>
      <w:ind w:left="760" w:hanging="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7"/>
      <w:ind w:left="760" w:hanging="66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0"/>
      <w:ind w:left="1480" w:hanging="1320"/>
    </w:pPr>
  </w:style>
  <w:style w:type="paragraph" w:customStyle="1" w:styleId="TableParagraph">
    <w:name w:val="Table Paragraph"/>
    <w:basedOn w:val="Normal"/>
    <w:uiPriority w:val="1"/>
    <w:qFormat/>
    <w:pPr>
      <w:spacing w:before="193"/>
    </w:pPr>
  </w:style>
  <w:style w:type="paragraph" w:styleId="Header">
    <w:name w:val="header"/>
    <w:basedOn w:val="Normal"/>
    <w:link w:val="HeaderChar"/>
    <w:uiPriority w:val="99"/>
    <w:unhideWhenUsed/>
    <w:rsid w:val="00671376"/>
    <w:pPr>
      <w:tabs>
        <w:tab w:val="center" w:pos="4680"/>
        <w:tab w:val="right" w:pos="9360"/>
      </w:tabs>
    </w:pPr>
  </w:style>
  <w:style w:type="character" w:customStyle="1" w:styleId="HeaderChar">
    <w:name w:val="Header Char"/>
    <w:basedOn w:val="DefaultParagraphFont"/>
    <w:link w:val="Header"/>
    <w:uiPriority w:val="99"/>
    <w:rsid w:val="00671376"/>
    <w:rPr>
      <w:rFonts w:ascii="Times New Roman" w:eastAsia="Times New Roman" w:hAnsi="Times New Roman" w:cs="Times New Roman"/>
    </w:rPr>
  </w:style>
  <w:style w:type="paragraph" w:styleId="Footer">
    <w:name w:val="footer"/>
    <w:basedOn w:val="Normal"/>
    <w:link w:val="FooterChar"/>
    <w:uiPriority w:val="99"/>
    <w:unhideWhenUsed/>
    <w:rsid w:val="00671376"/>
    <w:pPr>
      <w:tabs>
        <w:tab w:val="center" w:pos="4680"/>
        <w:tab w:val="right" w:pos="9360"/>
      </w:tabs>
    </w:pPr>
  </w:style>
  <w:style w:type="character" w:customStyle="1" w:styleId="FooterChar">
    <w:name w:val="Footer Char"/>
    <w:basedOn w:val="DefaultParagraphFont"/>
    <w:link w:val="Footer"/>
    <w:uiPriority w:val="99"/>
    <w:rsid w:val="00671376"/>
    <w:rPr>
      <w:rFonts w:ascii="Times New Roman" w:eastAsia="Times New Roman" w:hAnsi="Times New Roman" w:cs="Times New Roman"/>
    </w:rPr>
  </w:style>
  <w:style w:type="table" w:styleId="TableGrid">
    <w:name w:val="Table Grid"/>
    <w:basedOn w:val="TableNormal"/>
    <w:uiPriority w:val="59"/>
    <w:rsid w:val="006713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D4331"/>
    <w:rPr>
      <w:color w:val="0000FF" w:themeColor="hyperlink"/>
      <w:u w:val="single"/>
    </w:rPr>
  </w:style>
  <w:style w:type="paragraph" w:styleId="FootnoteText">
    <w:name w:val="footnote text"/>
    <w:basedOn w:val="Normal"/>
    <w:link w:val="FootnoteTextChar"/>
    <w:uiPriority w:val="99"/>
    <w:semiHidden/>
    <w:unhideWhenUsed/>
    <w:rsid w:val="00F32608"/>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2608"/>
    <w:rPr>
      <w:sz w:val="20"/>
      <w:szCs w:val="20"/>
    </w:rPr>
  </w:style>
  <w:style w:type="character" w:styleId="FootnoteReference">
    <w:name w:val="footnote reference"/>
    <w:basedOn w:val="DefaultParagraphFont"/>
    <w:uiPriority w:val="99"/>
    <w:semiHidden/>
    <w:unhideWhenUsed/>
    <w:qFormat/>
    <w:rsid w:val="00F32608"/>
    <w:rPr>
      <w:rFonts w:ascii="Times New Roman" w:hAnsi="Times New Roman"/>
      <w:sz w:val="24"/>
      <w:vertAlign w:val="superscript"/>
    </w:rPr>
  </w:style>
  <w:style w:type="character" w:styleId="CommentReference">
    <w:name w:val="annotation reference"/>
    <w:basedOn w:val="DefaultParagraphFont"/>
    <w:uiPriority w:val="99"/>
    <w:semiHidden/>
    <w:unhideWhenUsed/>
    <w:rsid w:val="00F32608"/>
    <w:rPr>
      <w:sz w:val="16"/>
      <w:szCs w:val="16"/>
    </w:rPr>
  </w:style>
  <w:style w:type="paragraph" w:styleId="CommentText">
    <w:name w:val="annotation text"/>
    <w:basedOn w:val="Normal"/>
    <w:link w:val="CommentTextChar"/>
    <w:uiPriority w:val="99"/>
    <w:unhideWhenUsed/>
    <w:rsid w:val="00F32608"/>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32608"/>
    <w:rPr>
      <w:sz w:val="20"/>
      <w:szCs w:val="20"/>
    </w:rPr>
  </w:style>
  <w:style w:type="paragraph" w:styleId="CommentSubject">
    <w:name w:val="annotation subject"/>
    <w:basedOn w:val="CommentText"/>
    <w:next w:val="CommentText"/>
    <w:link w:val="CommentSubjectChar"/>
    <w:uiPriority w:val="99"/>
    <w:semiHidden/>
    <w:unhideWhenUsed/>
    <w:rsid w:val="00D0772A"/>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0772A"/>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9B1370"/>
  </w:style>
  <w:style w:type="paragraph" w:styleId="Revision">
    <w:name w:val="Revision"/>
    <w:hidden/>
    <w:uiPriority w:val="99"/>
    <w:semiHidden/>
    <w:rsid w:val="00FD3E55"/>
    <w:pPr>
      <w:widowControl/>
      <w:autoSpaceDE/>
      <w:autoSpaceDN/>
    </w:pPr>
    <w:rPr>
      <w:rFonts w:ascii="Times New Roman" w:eastAsia="Times New Roman" w:hAnsi="Times New Roman" w:cs="Times New Roman"/>
    </w:rPr>
  </w:style>
  <w:style w:type="character" w:customStyle="1" w:styleId="vsDraft">
    <w:name w:val="vsDraft"/>
    <w:basedOn w:val="DefaultParagraphFont"/>
    <w:rsid w:val="003F2431"/>
    <w:rPr>
      <w:b/>
      <w:noProof/>
      <w:spacing w:val="-2"/>
    </w:rPr>
  </w:style>
  <w:style w:type="paragraph" w:customStyle="1" w:styleId="PartnerList">
    <w:name w:val="PartnerList"/>
    <w:basedOn w:val="Normal"/>
    <w:link w:val="PartnerListChar"/>
    <w:rsid w:val="003F2431"/>
    <w:pPr>
      <w:spacing w:before="76"/>
      <w:ind w:left="2003" w:right="2003"/>
      <w:jc w:val="center"/>
    </w:pPr>
    <w:rPr>
      <w:rFonts w:ascii="Tahoma" w:hAnsi="Tahoma"/>
      <w:b/>
      <w:color w:val="404040"/>
      <w:spacing w:val="-2"/>
      <w:sz w:val="8"/>
      <w:szCs w:val="24"/>
    </w:rPr>
  </w:style>
  <w:style w:type="character" w:customStyle="1" w:styleId="Heading1Char">
    <w:name w:val="Heading 1 Char"/>
    <w:basedOn w:val="DefaultParagraphFont"/>
    <w:link w:val="Heading1"/>
    <w:uiPriority w:val="9"/>
    <w:rsid w:val="003F2431"/>
    <w:rPr>
      <w:rFonts w:ascii="Times New Roman" w:eastAsia="Times New Roman" w:hAnsi="Times New Roman" w:cs="Times New Roman"/>
      <w:b/>
      <w:bCs/>
      <w:sz w:val="24"/>
      <w:szCs w:val="24"/>
    </w:rPr>
  </w:style>
  <w:style w:type="character" w:customStyle="1" w:styleId="PartnerListChar">
    <w:name w:val="PartnerList Char"/>
    <w:basedOn w:val="Heading1Char"/>
    <w:link w:val="PartnerList"/>
    <w:rsid w:val="003F2431"/>
    <w:rPr>
      <w:rFonts w:ascii="Tahoma" w:eastAsia="Times New Roman" w:hAnsi="Tahoma" w:cs="Times New Roman"/>
      <w:b/>
      <w:bCs w:val="0"/>
      <w:color w:val="404040"/>
      <w:spacing w:val="-2"/>
      <w:sz w:val="8"/>
      <w:szCs w:val="24"/>
    </w:rPr>
  </w:style>
  <w:style w:type="character" w:customStyle="1" w:styleId="HeaderFooterOfficeInfo">
    <w:name w:val="HeaderFooterOfficeInfo"/>
    <w:basedOn w:val="DefaultParagraphFont"/>
    <w:rsid w:val="003F2431"/>
    <w:rPr>
      <w:rFonts w:ascii="Century Schoolbook" w:hAnsi="Century Schoolbook"/>
      <w:b/>
      <w:noProof/>
      <w:vanish w:val="0"/>
      <w:color w:val="auto"/>
      <w:spacing w:val="-2"/>
      <w:sz w:val="16"/>
    </w:rPr>
  </w:style>
  <w:style w:type="paragraph" w:customStyle="1" w:styleId="vsLastFooter">
    <w:name w:val="vsLastFooter"/>
    <w:basedOn w:val="Heading1"/>
    <w:next w:val="Normal"/>
    <w:rsid w:val="003F2431"/>
    <w:pPr>
      <w:spacing w:before="76" w:after="240" w:line="240" w:lineRule="exact"/>
      <w:ind w:left="2003" w:right="2003"/>
    </w:pPr>
    <w:rPr>
      <w:rFonts w:ascii="Arial" w:hAnsi="Arial" w:cs="Arial"/>
      <w:noProof/>
      <w:color w:val="FF0000"/>
      <w:spacing w:val="-2"/>
      <w:sz w:val="14"/>
    </w:rPr>
  </w:style>
  <w:style w:type="paragraph" w:styleId="BalloonText">
    <w:name w:val="Balloon Text"/>
    <w:basedOn w:val="Normal"/>
    <w:link w:val="BalloonTextChar"/>
    <w:uiPriority w:val="99"/>
    <w:semiHidden/>
    <w:unhideWhenUsed/>
    <w:rsid w:val="003F2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7959">
      <w:bodyDiv w:val="1"/>
      <w:marLeft w:val="0"/>
      <w:marRight w:val="0"/>
      <w:marTop w:val="0"/>
      <w:marBottom w:val="0"/>
      <w:divBdr>
        <w:top w:val="none" w:sz="0" w:space="0" w:color="auto"/>
        <w:left w:val="none" w:sz="0" w:space="0" w:color="auto"/>
        <w:bottom w:val="none" w:sz="0" w:space="0" w:color="auto"/>
        <w:right w:val="none" w:sz="0" w:space="0" w:color="auto"/>
      </w:divBdr>
    </w:div>
    <w:div w:id="197343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arram@bricker.com" TargetMode="External"/><Relationship Id="rId18" Type="http://schemas.openxmlformats.org/officeDocument/2006/relationships/hyperlink" Target="mailto:kboehm@BKLlawfirm.com" TargetMode="External"/><Relationship Id="rId26" Type="http://schemas.openxmlformats.org/officeDocument/2006/relationships/hyperlink" Target="mailto:glpetrucci@vorys.com" TargetMode="External"/><Relationship Id="rId3" Type="http://schemas.openxmlformats.org/officeDocument/2006/relationships/styles" Target="styles.xml"/><Relationship Id="rId21" Type="http://schemas.openxmlformats.org/officeDocument/2006/relationships/hyperlink" Target="mailto:Wygonski@carpenterlipps.com" TargetMode="External"/><Relationship Id="rId7" Type="http://schemas.openxmlformats.org/officeDocument/2006/relationships/endnotes" Target="endnotes.xml"/><Relationship Id="rId12" Type="http://schemas.openxmlformats.org/officeDocument/2006/relationships/hyperlink" Target="mailto:paul@carpenterlipps.com" TargetMode="External"/><Relationship Id="rId17" Type="http://schemas.openxmlformats.org/officeDocument/2006/relationships/hyperlink" Target="mailto:mkurtz@BKLlawfirm.com" TargetMode="External"/><Relationship Id="rId25" Type="http://schemas.openxmlformats.org/officeDocument/2006/relationships/hyperlink" Target="mailto:mjsettineri@vorys.com" TargetMode="External"/><Relationship Id="rId2" Type="http://schemas.openxmlformats.org/officeDocument/2006/relationships/numbering" Target="numbering.xml"/><Relationship Id="rId16" Type="http://schemas.openxmlformats.org/officeDocument/2006/relationships/hyperlink" Target="mailto:william.michael@occ.ohio.gov" TargetMode="External"/><Relationship Id="rId20" Type="http://schemas.openxmlformats.org/officeDocument/2006/relationships/hyperlink" Target="mailto:Bojko@carpenterlipp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eber@elpc.org" TargetMode="External"/><Relationship Id="rId24" Type="http://schemas.openxmlformats.org/officeDocument/2006/relationships/hyperlink" Target="mailto:dstinson@bricker.com" TargetMode="External"/><Relationship Id="rId5" Type="http://schemas.openxmlformats.org/officeDocument/2006/relationships/webSettings" Target="webSettings.xml"/><Relationship Id="rId15" Type="http://schemas.openxmlformats.org/officeDocument/2006/relationships/hyperlink" Target="mailto:angela.obrien@occ.ohio.gov" TargetMode="External"/><Relationship Id="rId23" Type="http://schemas.openxmlformats.org/officeDocument/2006/relationships/hyperlink" Target="mailto:gkrassen@bricker.com" TargetMode="External"/><Relationship Id="rId28" Type="http://schemas.openxmlformats.org/officeDocument/2006/relationships/fontTable" Target="fontTable.xml"/><Relationship Id="rId10" Type="http://schemas.openxmlformats.org/officeDocument/2006/relationships/hyperlink" Target="mailto:trent@hubaydougherty.com" TargetMode="External"/><Relationship Id="rId19" Type="http://schemas.openxmlformats.org/officeDocument/2006/relationships/hyperlink" Target="mailto:jkylercohn@BKLlawfirm.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krassen@nopec.org" TargetMode="External"/><Relationship Id="rId22" Type="http://schemas.openxmlformats.org/officeDocument/2006/relationships/hyperlink" Target="mailto:rdove@keglerbrown.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2A08-DDEB-4A52-AB24-E102CE52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4204</Words>
  <Characters>23966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IGS</Company>
  <LinksUpToDate>false</LinksUpToDate>
  <CharactersWithSpaces>28114</CharactersWithSpaces>
  <SharedDoc>false</SharedDoc>
  <HLinks>
    <vt:vector size="126" baseType="variant">
      <vt:variant>
        <vt:i4>47</vt:i4>
      </vt:variant>
      <vt:variant>
        <vt:i4>60</vt:i4>
      </vt:variant>
      <vt:variant>
        <vt:i4>0</vt:i4>
      </vt:variant>
      <vt:variant>
        <vt:i4>5</vt:i4>
      </vt:variant>
      <vt:variant>
        <vt:lpwstr>mailto:glpetrucci@vorys.com</vt:lpwstr>
      </vt:variant>
      <vt:variant>
        <vt:lpwstr/>
      </vt:variant>
      <vt:variant>
        <vt:i4>1310778</vt:i4>
      </vt:variant>
      <vt:variant>
        <vt:i4>57</vt:i4>
      </vt:variant>
      <vt:variant>
        <vt:i4>0</vt:i4>
      </vt:variant>
      <vt:variant>
        <vt:i4>5</vt:i4>
      </vt:variant>
      <vt:variant>
        <vt:lpwstr>mailto:mjsettineri@vorys.com</vt:lpwstr>
      </vt:variant>
      <vt:variant>
        <vt:lpwstr/>
      </vt:variant>
      <vt:variant>
        <vt:i4>524341</vt:i4>
      </vt:variant>
      <vt:variant>
        <vt:i4>54</vt:i4>
      </vt:variant>
      <vt:variant>
        <vt:i4>0</vt:i4>
      </vt:variant>
      <vt:variant>
        <vt:i4>5</vt:i4>
      </vt:variant>
      <vt:variant>
        <vt:lpwstr>mailto:angela.obrien@occ.ohio.gov</vt:lpwstr>
      </vt:variant>
      <vt:variant>
        <vt:lpwstr/>
      </vt:variant>
      <vt:variant>
        <vt:i4>131135</vt:i4>
      </vt:variant>
      <vt:variant>
        <vt:i4>51</vt:i4>
      </vt:variant>
      <vt:variant>
        <vt:i4>0</vt:i4>
      </vt:variant>
      <vt:variant>
        <vt:i4>5</vt:i4>
      </vt:variant>
      <vt:variant>
        <vt:lpwstr>mailto:christopher.healey@occ.ohio.gov</vt:lpwstr>
      </vt:variant>
      <vt:variant>
        <vt:lpwstr/>
      </vt:variant>
      <vt:variant>
        <vt:i4>1966119</vt:i4>
      </vt:variant>
      <vt:variant>
        <vt:i4>48</vt:i4>
      </vt:variant>
      <vt:variant>
        <vt:i4>0</vt:i4>
      </vt:variant>
      <vt:variant>
        <vt:i4>5</vt:i4>
      </vt:variant>
      <vt:variant>
        <vt:lpwstr>mailto:rdove@keglerbrown.com</vt:lpwstr>
      </vt:variant>
      <vt:variant>
        <vt:lpwstr/>
      </vt:variant>
      <vt:variant>
        <vt:i4>3276817</vt:i4>
      </vt:variant>
      <vt:variant>
        <vt:i4>45</vt:i4>
      </vt:variant>
      <vt:variant>
        <vt:i4>0</vt:i4>
      </vt:variant>
      <vt:variant>
        <vt:i4>5</vt:i4>
      </vt:variant>
      <vt:variant>
        <vt:lpwstr>mailto:dflahive@porterwright.com</vt:lpwstr>
      </vt:variant>
      <vt:variant>
        <vt:lpwstr/>
      </vt:variant>
      <vt:variant>
        <vt:i4>5242977</vt:i4>
      </vt:variant>
      <vt:variant>
        <vt:i4>42</vt:i4>
      </vt:variant>
      <vt:variant>
        <vt:i4>0</vt:i4>
      </vt:variant>
      <vt:variant>
        <vt:i4>5</vt:i4>
      </vt:variant>
      <vt:variant>
        <vt:lpwstr>mailto:mstemm@porterwright.com</vt:lpwstr>
      </vt:variant>
      <vt:variant>
        <vt:lpwstr/>
      </vt:variant>
      <vt:variant>
        <vt:i4>4063243</vt:i4>
      </vt:variant>
      <vt:variant>
        <vt:i4>39</vt:i4>
      </vt:variant>
      <vt:variant>
        <vt:i4>0</vt:i4>
      </vt:variant>
      <vt:variant>
        <vt:i4>5</vt:i4>
      </vt:variant>
      <vt:variant>
        <vt:lpwstr>mailto:bhughes@porterwright.com</vt:lpwstr>
      </vt:variant>
      <vt:variant>
        <vt:lpwstr/>
      </vt:variant>
      <vt:variant>
        <vt:i4>3407877</vt:i4>
      </vt:variant>
      <vt:variant>
        <vt:i4>36</vt:i4>
      </vt:variant>
      <vt:variant>
        <vt:i4>0</vt:i4>
      </vt:variant>
      <vt:variant>
        <vt:i4>5</vt:i4>
      </vt:variant>
      <vt:variant>
        <vt:lpwstr>mailto:egallon@porterwright.com</vt:lpwstr>
      </vt:variant>
      <vt:variant>
        <vt:lpwstr/>
      </vt:variant>
      <vt:variant>
        <vt:i4>2883606</vt:i4>
      </vt:variant>
      <vt:variant>
        <vt:i4>33</vt:i4>
      </vt:variant>
      <vt:variant>
        <vt:i4>0</vt:i4>
      </vt:variant>
      <vt:variant>
        <vt:i4>5</vt:i4>
      </vt:variant>
      <vt:variant>
        <vt:lpwstr>mailto:johnryan@nisource.com</vt:lpwstr>
      </vt:variant>
      <vt:variant>
        <vt:lpwstr/>
      </vt:variant>
      <vt:variant>
        <vt:i4>5505140</vt:i4>
      </vt:variant>
      <vt:variant>
        <vt:i4>30</vt:i4>
      </vt:variant>
      <vt:variant>
        <vt:i4>0</vt:i4>
      </vt:variant>
      <vt:variant>
        <vt:i4>5</vt:i4>
      </vt:variant>
      <vt:variant>
        <vt:lpwstr>mailto:Mlthompson@nisource.com</vt:lpwstr>
      </vt:variant>
      <vt:variant>
        <vt:lpwstr/>
      </vt:variant>
      <vt:variant>
        <vt:i4>2621444</vt:i4>
      </vt:variant>
      <vt:variant>
        <vt:i4>27</vt:i4>
      </vt:variant>
      <vt:variant>
        <vt:i4>0</vt:i4>
      </vt:variant>
      <vt:variant>
        <vt:i4>5</vt:i4>
      </vt:variant>
      <vt:variant>
        <vt:lpwstr>mailto:josephclark@nisource.com</vt:lpwstr>
      </vt:variant>
      <vt:variant>
        <vt:lpwstr/>
      </vt:variant>
      <vt:variant>
        <vt:i4>2424836</vt:i4>
      </vt:variant>
      <vt:variant>
        <vt:i4>24</vt:i4>
      </vt:variant>
      <vt:variant>
        <vt:i4>0</vt:i4>
      </vt:variant>
      <vt:variant>
        <vt:i4>5</vt:i4>
      </vt:variant>
      <vt:variant>
        <vt:lpwstr>mailto:jkylercohn@BKLlawfirm.com</vt:lpwstr>
      </vt:variant>
      <vt:variant>
        <vt:lpwstr/>
      </vt:variant>
      <vt:variant>
        <vt:i4>3407898</vt:i4>
      </vt:variant>
      <vt:variant>
        <vt:i4>21</vt:i4>
      </vt:variant>
      <vt:variant>
        <vt:i4>0</vt:i4>
      </vt:variant>
      <vt:variant>
        <vt:i4>5</vt:i4>
      </vt:variant>
      <vt:variant>
        <vt:lpwstr>mailto:kboehm@BKLlawfirm.com</vt:lpwstr>
      </vt:variant>
      <vt:variant>
        <vt:lpwstr/>
      </vt:variant>
      <vt:variant>
        <vt:i4>3407891</vt:i4>
      </vt:variant>
      <vt:variant>
        <vt:i4>18</vt:i4>
      </vt:variant>
      <vt:variant>
        <vt:i4>0</vt:i4>
      </vt:variant>
      <vt:variant>
        <vt:i4>5</vt:i4>
      </vt:variant>
      <vt:variant>
        <vt:lpwstr>mailto:mkurtz@BKLlawfirm.com</vt:lpwstr>
      </vt:variant>
      <vt:variant>
        <vt:lpwstr/>
      </vt:variant>
      <vt:variant>
        <vt:i4>3866650</vt:i4>
      </vt:variant>
      <vt:variant>
        <vt:i4>15</vt:i4>
      </vt:variant>
      <vt:variant>
        <vt:i4>0</vt:i4>
      </vt:variant>
      <vt:variant>
        <vt:i4>5</vt:i4>
      </vt:variant>
      <vt:variant>
        <vt:lpwstr>mailto:dboehm@BKLlawfirm.com</vt:lpwstr>
      </vt:variant>
      <vt:variant>
        <vt:lpwstr/>
      </vt:variant>
      <vt:variant>
        <vt:i4>3342429</vt:i4>
      </vt:variant>
      <vt:variant>
        <vt:i4>12</vt:i4>
      </vt:variant>
      <vt:variant>
        <vt:i4>0</vt:i4>
      </vt:variant>
      <vt:variant>
        <vt:i4>5</vt:i4>
      </vt:variant>
      <vt:variant>
        <vt:lpwstr>mailto:werner.margard@ohioattorneygeneral.gov</vt:lpwstr>
      </vt:variant>
      <vt:variant>
        <vt:lpwstr/>
      </vt:variant>
      <vt:variant>
        <vt:i4>2949211</vt:i4>
      </vt:variant>
      <vt:variant>
        <vt:i4>9</vt:i4>
      </vt:variant>
      <vt:variant>
        <vt:i4>0</vt:i4>
      </vt:variant>
      <vt:variant>
        <vt:i4>5</vt:i4>
      </vt:variant>
      <vt:variant>
        <vt:lpwstr>mailto:Thomas.shepherd@ohioattorneygeneral.gov</vt:lpwstr>
      </vt:variant>
      <vt:variant>
        <vt:lpwstr/>
      </vt:variant>
      <vt:variant>
        <vt:i4>4325412</vt:i4>
      </vt:variant>
      <vt:variant>
        <vt:i4>6</vt:i4>
      </vt:variant>
      <vt:variant>
        <vt:i4>0</vt:i4>
      </vt:variant>
      <vt:variant>
        <vt:i4>5</vt:i4>
      </vt:variant>
      <vt:variant>
        <vt:lpwstr>mailto:Kyle.Kern@ohioattorneygeneral.gov</vt:lpwstr>
      </vt:variant>
      <vt:variant>
        <vt:lpwstr/>
      </vt:variant>
      <vt:variant>
        <vt:i4>2097233</vt:i4>
      </vt:variant>
      <vt:variant>
        <vt:i4>3</vt:i4>
      </vt:variant>
      <vt:variant>
        <vt:i4>0</vt:i4>
      </vt:variant>
      <vt:variant>
        <vt:i4>5</vt:i4>
      </vt:variant>
      <vt:variant>
        <vt:lpwstr/>
      </vt:variant>
      <vt:variant>
        <vt:lpwstr>_bookmark27</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Cathcart</dc:creator>
  <cp:keywords/>
  <cp:lastModifiedBy>Joe Oliker</cp:lastModifiedBy>
  <cp:revision>6</cp:revision>
  <dcterms:created xsi:type="dcterms:W3CDTF">2022-05-13T18:13:00Z</dcterms:created>
  <dcterms:modified xsi:type="dcterms:W3CDTF">2022-05-13T18:50:00Z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Acrobat PDFMaker 21 for Word</vt:lpwstr>
  </property>
  <property fmtid="{D5CDD505-2E9C-101B-9397-08002B2CF9AE}" pid="4" name="LastSaved">
    <vt:filetime>2022-04-18T00:00:00Z</vt:filetime>
  </property>
</Properties>
</file>