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EA4C02" w:rsidRPr="00C136E3" w:rsidP="00EA4C02" w14:paraId="4F8D154E" w14:textId="7AA73DCA">
      <w:pPr>
        <w:jc w:val="center"/>
        <w:rPr>
          <w:b/>
        </w:rPr>
      </w:pPr>
      <w:bookmarkStart w:id="0" w:name="_GoBack"/>
      <w:bookmarkEnd w:id="0"/>
      <w:r w:rsidRPr="00C136E3">
        <w:rPr>
          <w:b/>
        </w:rPr>
        <w:t>BEFORE</w:t>
      </w:r>
    </w:p>
    <w:p w:rsidR="00EA4C02" w:rsidRPr="00C136E3" w:rsidP="00EA4C02" w14:paraId="727721F5" w14:textId="77777777">
      <w:pPr>
        <w:jc w:val="center"/>
        <w:rPr>
          <w:b/>
        </w:rPr>
      </w:pPr>
      <w:r w:rsidRPr="00C136E3">
        <w:rPr>
          <w:b/>
        </w:rPr>
        <w:t xml:space="preserve"> THE PUBLIC UTILITIES COMMISSION OF OHIO</w:t>
      </w:r>
    </w:p>
    <w:tbl>
      <w:tblPr>
        <w:tblW w:w="4906" w:type="pct"/>
        <w:tblLook w:val="01E0"/>
      </w:tblPr>
      <w:tblGrid>
        <w:gridCol w:w="4419"/>
        <w:gridCol w:w="621"/>
        <w:gridCol w:w="4144"/>
      </w:tblGrid>
      <w:tr w14:paraId="7DE8D955" w14:textId="77777777" w:rsidTr="002C6F6C">
        <w:tblPrEx>
          <w:tblW w:w="4906" w:type="pct"/>
          <w:tblLook w:val="01E0"/>
        </w:tblPrEx>
        <w:trPr>
          <w:trHeight w:val="1616"/>
        </w:trPr>
        <w:tc>
          <w:tcPr>
            <w:tcW w:w="2406" w:type="pct"/>
          </w:tcPr>
          <w:p w:rsidR="00EA4C02" w:rsidRPr="00C136E3" w:rsidP="002C6F6C" w14:paraId="5F5E9EED" w14:textId="77777777">
            <w:pPr>
              <w:spacing w:line="276" w:lineRule="auto"/>
              <w:jc w:val="both"/>
            </w:pPr>
          </w:p>
          <w:p w:rsidR="00EA4C02" w:rsidRPr="00C136E3" w:rsidP="002C6F6C" w14:paraId="4C03CBBB" w14:textId="77777777">
            <w:r w:rsidRPr="00C136E3">
              <w:t>In the Matter of the Review of the Initial Certification Application of Suvon, LLC d/b/a FirstEnergy Advisors to Provide Aggregation and Broker Services in the State of Ohio.</w:t>
            </w:r>
          </w:p>
        </w:tc>
        <w:tc>
          <w:tcPr>
            <w:tcW w:w="338" w:type="pct"/>
          </w:tcPr>
          <w:p w:rsidR="00EA4C02" w:rsidRPr="00C136E3" w:rsidP="002C6F6C" w14:paraId="48AB9269" w14:textId="77777777">
            <w:pPr>
              <w:jc w:val="center"/>
            </w:pPr>
            <w:r w:rsidRPr="00C136E3">
              <w:br/>
              <w:t>)</w:t>
            </w:r>
            <w:r w:rsidRPr="00C136E3">
              <w:br/>
              <w:t>)</w:t>
            </w:r>
            <w:r w:rsidRPr="00C136E3">
              <w:br/>
              <w:t>)</w:t>
            </w:r>
            <w:r w:rsidRPr="00C136E3">
              <w:br/>
              <w:t>)</w:t>
            </w:r>
          </w:p>
          <w:p w:rsidR="00EA4C02" w:rsidRPr="00C136E3" w:rsidP="002C6F6C" w14:paraId="791C98F0" w14:textId="77777777">
            <w:pPr>
              <w:jc w:val="center"/>
            </w:pPr>
            <w:r w:rsidRPr="00C136E3">
              <w:t>)</w:t>
            </w:r>
          </w:p>
        </w:tc>
        <w:tc>
          <w:tcPr>
            <w:tcW w:w="2256" w:type="pct"/>
          </w:tcPr>
          <w:p w:rsidR="00EA4C02" w:rsidRPr="00C136E3" w:rsidP="002C6F6C" w14:paraId="59242460" w14:textId="77777777">
            <w:pPr>
              <w:spacing w:line="276" w:lineRule="auto"/>
            </w:pPr>
          </w:p>
          <w:p w:rsidR="00EA4C02" w:rsidRPr="00C136E3" w:rsidP="002C6F6C" w14:paraId="5A945402" w14:textId="77777777">
            <w:pPr>
              <w:spacing w:line="276" w:lineRule="auto"/>
            </w:pPr>
          </w:p>
          <w:p w:rsidR="00EA4C02" w:rsidRPr="00C136E3" w:rsidP="002C6F6C" w14:paraId="0767C877" w14:textId="77777777">
            <w:pPr>
              <w:spacing w:line="276" w:lineRule="auto"/>
            </w:pPr>
            <w:r w:rsidRPr="00C136E3">
              <w:t>Case No. 20-103-EL-AGG</w:t>
            </w:r>
          </w:p>
          <w:p w:rsidR="00EA4C02" w:rsidRPr="00C136E3" w:rsidP="002C6F6C" w14:paraId="33823ABF" w14:textId="77777777">
            <w:pPr>
              <w:spacing w:line="276" w:lineRule="auto"/>
            </w:pPr>
          </w:p>
          <w:p w:rsidR="00EA4C02" w:rsidRPr="00C136E3" w:rsidP="002C6F6C" w14:paraId="26149019" w14:textId="77777777">
            <w:pPr>
              <w:spacing w:line="276" w:lineRule="auto"/>
            </w:pPr>
          </w:p>
        </w:tc>
      </w:tr>
    </w:tbl>
    <w:p w:rsidR="00EA4C02" w:rsidRPr="00C136E3" w:rsidP="00EA4C02" w14:paraId="68E6924E" w14:textId="77777777">
      <w:pPr>
        <w:rPr>
          <w:b/>
        </w:rPr>
      </w:pPr>
      <w:r w:rsidRPr="00C136E3">
        <w:rPr>
          <w:b/>
        </w:rPr>
        <w:t>________________________________________________________________________</w:t>
      </w:r>
    </w:p>
    <w:p w:rsidR="00EA4C02" w:rsidRPr="00C136E3" w:rsidP="00EA4C02" w14:paraId="7087A10F" w14:textId="77777777">
      <w:pPr>
        <w:rPr>
          <w:b/>
        </w:rPr>
      </w:pPr>
    </w:p>
    <w:p w:rsidR="00EA4C02" w:rsidRPr="00C136E3" w:rsidP="00EA4C02" w14:paraId="1E3ABDC7" w14:textId="77777777">
      <w:pPr>
        <w:jc w:val="center"/>
        <w:rPr>
          <w:b/>
        </w:rPr>
      </w:pPr>
      <w:r w:rsidRPr="00C136E3">
        <w:rPr>
          <w:b/>
        </w:rPr>
        <w:t>APPLICATION FOR REHEARING</w:t>
      </w:r>
    </w:p>
    <w:p w:rsidR="00EA4C02" w:rsidRPr="00C136E3" w:rsidP="00EA4C02" w14:paraId="4E8F428D" w14:textId="77777777">
      <w:pPr>
        <w:jc w:val="center"/>
        <w:rPr>
          <w:b/>
        </w:rPr>
      </w:pPr>
      <w:r w:rsidRPr="00C136E3">
        <w:rPr>
          <w:b/>
        </w:rPr>
        <w:t xml:space="preserve">BY </w:t>
      </w:r>
    </w:p>
    <w:p w:rsidR="00EA4C02" w:rsidRPr="00C136E3" w:rsidP="00EA4C02" w14:paraId="68F8EB18" w14:textId="77777777">
      <w:pPr>
        <w:jc w:val="center"/>
        <w:rPr>
          <w:b/>
        </w:rPr>
      </w:pPr>
      <w:r w:rsidRPr="00C136E3">
        <w:rPr>
          <w:b/>
        </w:rPr>
        <w:t>THE OFFICE OF THE OHIO CONSUMERS’ COUNSEL</w:t>
      </w:r>
    </w:p>
    <w:p w:rsidR="00EA4C02" w:rsidRPr="00C136E3" w:rsidP="00EA4C02" w14:paraId="305FE9B0" w14:textId="77777777">
      <w:r w:rsidRPr="00C136E3">
        <w:t>________________________________________________________________________</w:t>
      </w:r>
    </w:p>
    <w:p w:rsidR="00EA4C02" w:rsidRPr="00C136E3" w:rsidP="00EA4C02" w14:paraId="6A94C2FA" w14:textId="77777777">
      <w:pPr>
        <w:jc w:val="center"/>
      </w:pPr>
    </w:p>
    <w:p w:rsidR="00E36EB7" w:rsidRPr="00C136E3" w:rsidP="00EA4C02" w14:paraId="7EAC7DF8" w14:textId="77777777">
      <w:pPr>
        <w:ind w:left="3960"/>
      </w:pPr>
    </w:p>
    <w:p w:rsidR="001D14EC" w:rsidRPr="00C136E3" w:rsidP="00EA4C02" w14:paraId="3904BEEF" w14:textId="77777777">
      <w:pPr>
        <w:ind w:left="3960"/>
      </w:pPr>
    </w:p>
    <w:p w:rsidR="00EA4C02" w:rsidRPr="00C136E3" w:rsidP="00EA4C02" w14:paraId="2E606FA4" w14:textId="42EA7E86">
      <w:pPr>
        <w:ind w:left="3960"/>
      </w:pPr>
      <w:r w:rsidRPr="00C136E3">
        <w:t>Bruce Weston (0016973)</w:t>
      </w:r>
    </w:p>
    <w:p w:rsidR="00EA4C02" w:rsidRPr="00C136E3" w:rsidP="00EA4C02" w14:paraId="44A7C0A4" w14:textId="77777777">
      <w:pPr>
        <w:ind w:left="3960"/>
      </w:pPr>
      <w:r w:rsidRPr="00C136E3">
        <w:t>Ohio Consumers’ Counsel</w:t>
      </w:r>
    </w:p>
    <w:p w:rsidR="00EA4C02" w:rsidRPr="00C136E3" w:rsidP="00EA4C02" w14:paraId="72963A27" w14:textId="77777777">
      <w:pPr>
        <w:ind w:left="3960"/>
      </w:pPr>
    </w:p>
    <w:p w:rsidR="00EA4C02" w:rsidRPr="00C136E3" w:rsidP="00EA4C02" w14:paraId="0841DD90" w14:textId="77777777">
      <w:pPr>
        <w:tabs>
          <w:tab w:val="left" w:pos="4320"/>
        </w:tabs>
        <w:ind w:left="3960"/>
        <w:rPr>
          <w:rFonts w:eastAsiaTheme="minorHAnsi"/>
        </w:rPr>
      </w:pPr>
      <w:r w:rsidRPr="00C136E3">
        <w:rPr>
          <w:rFonts w:eastAsiaTheme="minorHAnsi"/>
        </w:rPr>
        <w:t>Angela D. O’Brien (0097579)</w:t>
      </w:r>
    </w:p>
    <w:p w:rsidR="00EA4C02" w:rsidRPr="00C136E3" w:rsidP="00EA4C02" w14:paraId="61DD864C" w14:textId="77777777">
      <w:pPr>
        <w:tabs>
          <w:tab w:val="left" w:pos="4320"/>
        </w:tabs>
        <w:ind w:left="3960"/>
        <w:rPr>
          <w:rFonts w:eastAsiaTheme="minorHAnsi"/>
        </w:rPr>
      </w:pPr>
      <w:r w:rsidRPr="00C136E3">
        <w:rPr>
          <w:rFonts w:eastAsiaTheme="minorHAnsi"/>
        </w:rPr>
        <w:t xml:space="preserve">Counsel of Record </w:t>
      </w:r>
    </w:p>
    <w:p w:rsidR="00EA4C02" w:rsidRPr="00C136E3" w:rsidP="00EA4C02" w14:paraId="0A75F92A" w14:textId="77777777">
      <w:pPr>
        <w:tabs>
          <w:tab w:val="left" w:pos="4320"/>
        </w:tabs>
        <w:ind w:left="3960"/>
        <w:rPr>
          <w:rFonts w:eastAsiaTheme="minorHAnsi"/>
        </w:rPr>
      </w:pPr>
      <w:r w:rsidRPr="00C136E3">
        <w:rPr>
          <w:rFonts w:eastAsiaTheme="minorHAnsi"/>
        </w:rPr>
        <w:t>Assistant Consumers’ Counsel</w:t>
      </w:r>
    </w:p>
    <w:p w:rsidR="00EA4C02" w:rsidRPr="00C136E3" w:rsidP="00EA4C02" w14:paraId="6AE474C8" w14:textId="77777777">
      <w:pPr>
        <w:tabs>
          <w:tab w:val="left" w:pos="4320"/>
        </w:tabs>
        <w:ind w:left="3960"/>
        <w:rPr>
          <w:rFonts w:eastAsiaTheme="minorHAnsi"/>
        </w:rPr>
      </w:pPr>
    </w:p>
    <w:p w:rsidR="00EA4C02" w:rsidRPr="00C136E3" w:rsidP="00EA4C02" w14:paraId="59610328" w14:textId="77777777">
      <w:pPr>
        <w:spacing w:before="120"/>
        <w:ind w:left="3960"/>
        <w:rPr>
          <w:b/>
        </w:rPr>
      </w:pPr>
      <w:r w:rsidRPr="00C136E3">
        <w:rPr>
          <w:b/>
        </w:rPr>
        <w:t>Office of the Ohio Consumers’ Counsel</w:t>
      </w:r>
    </w:p>
    <w:p w:rsidR="00EA4C02" w:rsidRPr="00C136E3" w:rsidP="00EA4C02" w14:paraId="79C301F3" w14:textId="77777777">
      <w:pPr>
        <w:ind w:left="3960"/>
      </w:pPr>
      <w:r w:rsidRPr="00C136E3">
        <w:t>65 East State Street, 7th Floor</w:t>
      </w:r>
    </w:p>
    <w:p w:rsidR="00EA4C02" w:rsidRPr="00C136E3" w:rsidP="00EA4C02" w14:paraId="492EC11C" w14:textId="77777777">
      <w:pPr>
        <w:ind w:left="3960"/>
      </w:pPr>
      <w:r w:rsidRPr="00C136E3">
        <w:t>Columbus, Ohio 43215-3485</w:t>
      </w:r>
    </w:p>
    <w:p w:rsidR="00EA4C02" w:rsidRPr="00C136E3" w:rsidP="00EA4C02" w14:paraId="21B33680" w14:textId="77777777">
      <w:pPr>
        <w:autoSpaceDE w:val="0"/>
        <w:autoSpaceDN w:val="0"/>
        <w:adjustRightInd w:val="0"/>
        <w:ind w:left="3960"/>
        <w:rPr>
          <w:rFonts w:eastAsiaTheme="minorHAnsi"/>
        </w:rPr>
      </w:pPr>
      <w:r w:rsidRPr="00C136E3">
        <w:rPr>
          <w:rFonts w:eastAsiaTheme="minorHAnsi"/>
        </w:rPr>
        <w:t>Telephone [O’Brien]: (614) 466-9531</w:t>
      </w:r>
    </w:p>
    <w:p w:rsidR="00EA4C02" w:rsidRPr="00C136E3" w:rsidP="00EA4C02" w14:paraId="733E927B" w14:textId="77777777">
      <w:pPr>
        <w:autoSpaceDE w:val="0"/>
        <w:autoSpaceDN w:val="0"/>
        <w:adjustRightInd w:val="0"/>
        <w:ind w:left="3960"/>
        <w:rPr>
          <w:rFonts w:eastAsiaTheme="minorHAnsi"/>
          <w:color w:val="0563C1" w:themeColor="hyperlink"/>
          <w:u w:val="single"/>
        </w:rPr>
      </w:pPr>
      <w:hyperlink r:id="rId6" w:history="1">
        <w:r w:rsidRPr="00C136E3" w:rsidR="00092220">
          <w:rPr>
            <w:rFonts w:eastAsiaTheme="minorHAnsi"/>
            <w:color w:val="0563C1" w:themeColor="hyperlink"/>
            <w:u w:val="single"/>
          </w:rPr>
          <w:t>angela.obrien@occ.ohio.gov</w:t>
        </w:r>
      </w:hyperlink>
    </w:p>
    <w:p w:rsidR="00EA4C02" w:rsidRPr="00C136E3" w:rsidP="00EA4C02" w14:paraId="42866B8D" w14:textId="77777777">
      <w:pPr>
        <w:tabs>
          <w:tab w:val="center" w:pos="4680"/>
          <w:tab w:val="right" w:pos="9360"/>
        </w:tabs>
        <w:ind w:left="3960"/>
        <w:rPr>
          <w:rFonts w:eastAsiaTheme="minorHAnsi"/>
        </w:rPr>
      </w:pPr>
      <w:r w:rsidRPr="00C136E3">
        <w:rPr>
          <w:rFonts w:eastAsiaTheme="minorHAnsi"/>
        </w:rPr>
        <w:t>(willing to accept service by e-mail)</w:t>
      </w:r>
    </w:p>
    <w:p w:rsidR="00EA4C02" w:rsidRPr="00C136E3" w:rsidP="00EA4C02" w14:paraId="39D8C53B" w14:textId="77777777">
      <w:pPr>
        <w:ind w:left="3960"/>
      </w:pPr>
    </w:p>
    <w:p w:rsidR="00EA4C02" w:rsidRPr="00C136E3" w:rsidP="00EA4C02" w14:paraId="1B8E95D6" w14:textId="77777777">
      <w:pPr>
        <w:widowControl w:val="0"/>
        <w:tabs>
          <w:tab w:val="center" w:pos="4680"/>
          <w:tab w:val="right" w:pos="9360"/>
        </w:tabs>
        <w:ind w:left="3960"/>
        <w:rPr>
          <w:rFonts w:eastAsiaTheme="minorHAnsi"/>
        </w:rPr>
      </w:pPr>
      <w:r w:rsidRPr="00C136E3">
        <w:rPr>
          <w:rFonts w:eastAsiaTheme="minorHAnsi"/>
        </w:rPr>
        <w:t>Kimberly W. Bojko (0069402)</w:t>
      </w:r>
    </w:p>
    <w:p w:rsidR="00EA4C02" w:rsidRPr="00C136E3" w:rsidP="00EA4C02" w14:paraId="4816E58B" w14:textId="77777777">
      <w:pPr>
        <w:widowControl w:val="0"/>
        <w:tabs>
          <w:tab w:val="center" w:pos="4680"/>
          <w:tab w:val="right" w:pos="9360"/>
        </w:tabs>
        <w:ind w:left="3960"/>
        <w:rPr>
          <w:rFonts w:eastAsiaTheme="minorHAnsi"/>
        </w:rPr>
      </w:pPr>
      <w:r w:rsidRPr="00C136E3">
        <w:rPr>
          <w:rFonts w:eastAsiaTheme="minorHAnsi"/>
        </w:rPr>
        <w:t>Carpenter Lipps &amp; Leland LLP</w:t>
      </w:r>
    </w:p>
    <w:p w:rsidR="00EA4C02" w:rsidRPr="00C136E3" w:rsidP="00EA4C02" w14:paraId="3170E52E" w14:textId="77777777">
      <w:pPr>
        <w:widowControl w:val="0"/>
        <w:tabs>
          <w:tab w:val="center" w:pos="4680"/>
          <w:tab w:val="right" w:pos="9360"/>
        </w:tabs>
        <w:ind w:left="3960"/>
        <w:rPr>
          <w:rFonts w:eastAsiaTheme="minorHAnsi"/>
        </w:rPr>
      </w:pPr>
      <w:r w:rsidRPr="00C136E3">
        <w:rPr>
          <w:rFonts w:eastAsiaTheme="minorHAnsi"/>
        </w:rPr>
        <w:t>280 North High Street, Suite 1300</w:t>
      </w:r>
    </w:p>
    <w:p w:rsidR="00EA4C02" w:rsidRPr="00C136E3" w:rsidP="00EA4C02" w14:paraId="5314EDD3" w14:textId="77777777">
      <w:pPr>
        <w:widowControl w:val="0"/>
        <w:tabs>
          <w:tab w:val="center" w:pos="4680"/>
          <w:tab w:val="right" w:pos="9360"/>
        </w:tabs>
        <w:ind w:left="3960"/>
        <w:rPr>
          <w:rFonts w:eastAsiaTheme="minorHAnsi"/>
        </w:rPr>
      </w:pPr>
      <w:r w:rsidRPr="00C136E3">
        <w:rPr>
          <w:rFonts w:eastAsiaTheme="minorHAnsi"/>
        </w:rPr>
        <w:t>Columbus, Ohio 43215</w:t>
      </w:r>
    </w:p>
    <w:p w:rsidR="00EA4C02" w:rsidRPr="00C136E3" w:rsidP="00EA4C02" w14:paraId="64F4A8DE" w14:textId="77777777">
      <w:pPr>
        <w:widowControl w:val="0"/>
        <w:tabs>
          <w:tab w:val="center" w:pos="4680"/>
          <w:tab w:val="right" w:pos="9360"/>
        </w:tabs>
        <w:ind w:left="3960"/>
        <w:rPr>
          <w:rFonts w:eastAsiaTheme="minorHAnsi"/>
        </w:rPr>
      </w:pPr>
      <w:r w:rsidRPr="00C136E3">
        <w:rPr>
          <w:rFonts w:eastAsiaTheme="minorHAnsi"/>
        </w:rPr>
        <w:t>Telephone: (614) 365-4100</w:t>
      </w:r>
    </w:p>
    <w:p w:rsidR="00EA4C02" w:rsidRPr="00C136E3" w:rsidP="00EA4C02" w14:paraId="18FF3819" w14:textId="77777777">
      <w:pPr>
        <w:widowControl w:val="0"/>
        <w:tabs>
          <w:tab w:val="center" w:pos="4680"/>
          <w:tab w:val="right" w:pos="9360"/>
        </w:tabs>
        <w:ind w:left="3960"/>
        <w:rPr>
          <w:rFonts w:eastAsiaTheme="minorHAnsi"/>
        </w:rPr>
      </w:pPr>
      <w:hyperlink r:id="rId7" w:history="1">
        <w:r w:rsidRPr="00C136E3" w:rsidR="00092220">
          <w:rPr>
            <w:rFonts w:eastAsiaTheme="minorHAnsi"/>
            <w:color w:val="0563C1" w:themeColor="hyperlink"/>
            <w:u w:val="single"/>
          </w:rPr>
          <w:t>bojko@carpenterlipps.com</w:t>
        </w:r>
      </w:hyperlink>
    </w:p>
    <w:p w:rsidR="00EA4C02" w:rsidRPr="00C136E3" w:rsidP="00EA4C02" w14:paraId="1217DCB2" w14:textId="77777777">
      <w:pPr>
        <w:widowControl w:val="0"/>
        <w:tabs>
          <w:tab w:val="center" w:pos="4680"/>
          <w:tab w:val="right" w:pos="9360"/>
        </w:tabs>
        <w:ind w:left="3960"/>
        <w:rPr>
          <w:rFonts w:eastAsiaTheme="minorHAnsi"/>
        </w:rPr>
      </w:pPr>
      <w:r w:rsidRPr="00C136E3">
        <w:rPr>
          <w:rFonts w:eastAsiaTheme="minorHAnsi"/>
        </w:rPr>
        <w:t>(willing to accept service by e-mail)</w:t>
      </w:r>
    </w:p>
    <w:p w:rsidR="00EA4C02" w:rsidRPr="00C136E3" w:rsidP="00EA4C02" w14:paraId="387A4253" w14:textId="77777777">
      <w:pPr>
        <w:widowControl w:val="0"/>
        <w:tabs>
          <w:tab w:val="center" w:pos="4680"/>
          <w:tab w:val="right" w:pos="9360"/>
        </w:tabs>
        <w:ind w:left="3960" w:firstLine="4320"/>
        <w:rPr>
          <w:rFonts w:eastAsiaTheme="minorHAnsi"/>
        </w:rPr>
      </w:pPr>
    </w:p>
    <w:p w:rsidR="00EA4C02" w:rsidRPr="00C136E3" w:rsidP="00EA4C02" w14:paraId="0300BEC1" w14:textId="77777777">
      <w:pPr>
        <w:widowControl w:val="0"/>
        <w:ind w:left="3600" w:firstLine="360"/>
        <w:rPr>
          <w:rFonts w:eastAsiaTheme="minorHAnsi"/>
          <w:i/>
        </w:rPr>
      </w:pPr>
      <w:r w:rsidRPr="00C136E3">
        <w:rPr>
          <w:rFonts w:eastAsiaTheme="minorHAnsi"/>
          <w:i/>
        </w:rPr>
        <w:t>Special Counsel for the</w:t>
      </w:r>
    </w:p>
    <w:p w:rsidR="00EA4C02" w:rsidRPr="00C136E3" w:rsidP="00EA4C02" w14:paraId="4EA2A597" w14:textId="3B71F3C2">
      <w:pPr>
        <w:widowControl w:val="0"/>
        <w:rPr>
          <w:rFonts w:eastAsiaTheme="minorHAnsi"/>
          <w:i/>
        </w:rPr>
      </w:pPr>
      <w:r w:rsidRPr="00C136E3">
        <w:rPr>
          <w:rFonts w:eastAsiaTheme="minorHAnsi"/>
          <w:iCs/>
        </w:rPr>
        <w:t>May 22, 2020</w:t>
      </w:r>
      <w:r w:rsidRPr="00C136E3">
        <w:rPr>
          <w:rFonts w:eastAsiaTheme="minorHAnsi"/>
          <w:iCs/>
        </w:rPr>
        <w:tab/>
      </w:r>
      <w:r w:rsidRPr="00C136E3">
        <w:rPr>
          <w:rFonts w:eastAsiaTheme="minorHAnsi"/>
          <w:i/>
        </w:rPr>
        <w:tab/>
      </w:r>
      <w:r w:rsidRPr="00C136E3">
        <w:rPr>
          <w:rFonts w:eastAsiaTheme="minorHAnsi"/>
          <w:i/>
        </w:rPr>
        <w:tab/>
      </w:r>
      <w:r w:rsidRPr="00C136E3">
        <w:rPr>
          <w:rFonts w:eastAsiaTheme="minorHAnsi"/>
          <w:i/>
        </w:rPr>
        <w:tab/>
        <w:t xml:space="preserve">     Office of the Ohio Consumers’ Counsel</w:t>
      </w:r>
    </w:p>
    <w:p w:rsidR="00EA4C02" w:rsidRPr="00C136E3" w:rsidP="00EA4C02" w14:paraId="454F43B1" w14:textId="7B70AD9E">
      <w:pPr>
        <w:widowControl w:val="0"/>
        <w:ind w:left="3600" w:firstLine="360"/>
        <w:rPr>
          <w:rFonts w:eastAsiaTheme="minorHAnsi"/>
          <w:i/>
        </w:rPr>
      </w:pPr>
    </w:p>
    <w:p w:rsidR="001D14EC" w:rsidRPr="00C136E3" w:rsidP="00D22444" w14:paraId="705B3661" w14:textId="77777777">
      <w:pPr>
        <w:jc w:val="center"/>
        <w:rPr>
          <w:b/>
        </w:rPr>
        <w:sectPr w:rsidSect="0088764A">
          <w:footerReference w:type="default" r:id="rId8"/>
          <w:footerReference w:type="first" r:id="rId9"/>
          <w:pgSz w:w="12240" w:h="15840"/>
          <w:pgMar w:top="1440" w:right="1440" w:bottom="1440" w:left="1440" w:header="720" w:footer="720" w:gutter="0"/>
          <w:pgNumType w:start="1"/>
          <w:cols w:space="720"/>
          <w:titlePg/>
          <w:docGrid w:linePitch="360"/>
        </w:sectPr>
      </w:pPr>
    </w:p>
    <w:p w:rsidR="00D22444" w:rsidRPr="00C136E3" w:rsidP="00D22444" w14:paraId="2B5E21B1" w14:textId="0F9B92C6">
      <w:pPr>
        <w:jc w:val="center"/>
        <w:rPr>
          <w:b/>
        </w:rPr>
      </w:pPr>
      <w:r w:rsidRPr="00C136E3">
        <w:rPr>
          <w:b/>
        </w:rPr>
        <w:t>BEFORE</w:t>
      </w:r>
    </w:p>
    <w:p w:rsidR="00D22444" w:rsidRPr="00C136E3" w:rsidP="00D22444" w14:paraId="553F581E" w14:textId="77777777">
      <w:pPr>
        <w:jc w:val="center"/>
        <w:rPr>
          <w:b/>
        </w:rPr>
      </w:pPr>
      <w:r w:rsidRPr="00C136E3">
        <w:rPr>
          <w:b/>
        </w:rPr>
        <w:t xml:space="preserve"> THE PUBLIC UTILITIES COMMISSION OF OHIO</w:t>
      </w:r>
    </w:p>
    <w:tbl>
      <w:tblPr>
        <w:tblW w:w="4906" w:type="pct"/>
        <w:tblLook w:val="01E0"/>
      </w:tblPr>
      <w:tblGrid>
        <w:gridCol w:w="4419"/>
        <w:gridCol w:w="621"/>
        <w:gridCol w:w="4144"/>
      </w:tblGrid>
      <w:tr w14:paraId="5618B91C" w14:textId="77777777" w:rsidTr="00980138">
        <w:tblPrEx>
          <w:tblW w:w="4906" w:type="pct"/>
          <w:tblLook w:val="01E0"/>
        </w:tblPrEx>
        <w:trPr>
          <w:trHeight w:val="1616"/>
        </w:trPr>
        <w:tc>
          <w:tcPr>
            <w:tcW w:w="2406" w:type="pct"/>
          </w:tcPr>
          <w:p w:rsidR="00D22444" w:rsidRPr="00C136E3" w:rsidP="00980138" w14:paraId="7A246869" w14:textId="77777777">
            <w:pPr>
              <w:spacing w:line="276" w:lineRule="auto"/>
              <w:jc w:val="both"/>
            </w:pPr>
          </w:p>
          <w:p w:rsidR="00D22444" w:rsidRPr="00C136E3" w:rsidP="00980138" w14:paraId="61C68B77" w14:textId="77777777">
            <w:r w:rsidRPr="00C136E3">
              <w:t>In the Matter of the Review of the Initial Certification Application of Suvon, LLC d/b/a FirstEnergy Advisors to Provide Aggregation and Broker Services in the State of Ohio.</w:t>
            </w:r>
          </w:p>
        </w:tc>
        <w:tc>
          <w:tcPr>
            <w:tcW w:w="338" w:type="pct"/>
          </w:tcPr>
          <w:p w:rsidR="00D22444" w:rsidRPr="00C136E3" w:rsidP="00980138" w14:paraId="18E12FDF" w14:textId="77777777">
            <w:pPr>
              <w:jc w:val="center"/>
            </w:pPr>
            <w:r w:rsidRPr="00C136E3">
              <w:br/>
              <w:t>)</w:t>
            </w:r>
            <w:r w:rsidRPr="00C136E3">
              <w:br/>
              <w:t>)</w:t>
            </w:r>
            <w:r w:rsidRPr="00C136E3">
              <w:br/>
              <w:t>)</w:t>
            </w:r>
            <w:r w:rsidRPr="00C136E3">
              <w:br/>
              <w:t>)</w:t>
            </w:r>
          </w:p>
          <w:p w:rsidR="00D22444" w:rsidRPr="00C136E3" w:rsidP="00980138" w14:paraId="11F6371C" w14:textId="77777777">
            <w:pPr>
              <w:jc w:val="center"/>
            </w:pPr>
            <w:r w:rsidRPr="00C136E3">
              <w:t>)</w:t>
            </w:r>
          </w:p>
        </w:tc>
        <w:tc>
          <w:tcPr>
            <w:tcW w:w="2256" w:type="pct"/>
          </w:tcPr>
          <w:p w:rsidR="00D22444" w:rsidRPr="00C136E3" w:rsidP="00980138" w14:paraId="2DACF062" w14:textId="77777777">
            <w:pPr>
              <w:spacing w:line="276" w:lineRule="auto"/>
            </w:pPr>
          </w:p>
          <w:p w:rsidR="00D22444" w:rsidRPr="00C136E3" w:rsidP="00980138" w14:paraId="5E8EB6D1" w14:textId="77777777">
            <w:pPr>
              <w:spacing w:line="276" w:lineRule="auto"/>
            </w:pPr>
          </w:p>
          <w:p w:rsidR="00D22444" w:rsidRPr="00C136E3" w:rsidP="00980138" w14:paraId="24085A40" w14:textId="77777777">
            <w:pPr>
              <w:spacing w:line="276" w:lineRule="auto"/>
            </w:pPr>
            <w:r w:rsidRPr="00C136E3">
              <w:t>Case No. 20-103-EL-AGG</w:t>
            </w:r>
          </w:p>
          <w:p w:rsidR="00D22444" w:rsidRPr="00C136E3" w:rsidP="00980138" w14:paraId="6F7B196C" w14:textId="77777777">
            <w:pPr>
              <w:spacing w:line="276" w:lineRule="auto"/>
            </w:pPr>
          </w:p>
          <w:p w:rsidR="00D22444" w:rsidRPr="00C136E3" w:rsidP="00980138" w14:paraId="608B2BB5" w14:textId="77777777">
            <w:pPr>
              <w:spacing w:line="276" w:lineRule="auto"/>
            </w:pPr>
          </w:p>
        </w:tc>
      </w:tr>
    </w:tbl>
    <w:p w:rsidR="00D22444" w:rsidRPr="00C136E3" w:rsidP="00D22444" w14:paraId="0D8258C4" w14:textId="77777777">
      <w:pPr>
        <w:rPr>
          <w:b/>
        </w:rPr>
      </w:pPr>
      <w:r w:rsidRPr="00C136E3">
        <w:rPr>
          <w:b/>
        </w:rPr>
        <w:t>________________________________________________________________________</w:t>
      </w:r>
    </w:p>
    <w:p w:rsidR="00D22444" w:rsidRPr="00C136E3" w:rsidP="00D22444" w14:paraId="5C9418C4" w14:textId="77777777">
      <w:pPr>
        <w:rPr>
          <w:b/>
        </w:rPr>
      </w:pPr>
    </w:p>
    <w:p w:rsidR="00D22444" w:rsidRPr="00C136E3" w:rsidP="00D22444" w14:paraId="3886EE92" w14:textId="77777777">
      <w:pPr>
        <w:jc w:val="center"/>
        <w:rPr>
          <w:b/>
        </w:rPr>
      </w:pPr>
      <w:r w:rsidRPr="00C136E3">
        <w:rPr>
          <w:b/>
        </w:rPr>
        <w:t>APPLICATION FOR REHEARING</w:t>
      </w:r>
    </w:p>
    <w:p w:rsidR="00D22444" w:rsidRPr="00C136E3" w:rsidP="00D22444" w14:paraId="2B7B28F0" w14:textId="77777777">
      <w:pPr>
        <w:jc w:val="center"/>
        <w:rPr>
          <w:b/>
        </w:rPr>
      </w:pPr>
      <w:r w:rsidRPr="00C136E3">
        <w:rPr>
          <w:b/>
        </w:rPr>
        <w:t xml:space="preserve">BY </w:t>
      </w:r>
    </w:p>
    <w:p w:rsidR="00D22444" w:rsidRPr="00C136E3" w:rsidP="00D22444" w14:paraId="2EDE471F" w14:textId="77777777">
      <w:pPr>
        <w:jc w:val="center"/>
        <w:rPr>
          <w:b/>
        </w:rPr>
      </w:pPr>
      <w:r w:rsidRPr="00C136E3">
        <w:rPr>
          <w:b/>
        </w:rPr>
        <w:t>THE OFFICE OF THE OHIO CONSUMERS’ COUNSEL</w:t>
      </w:r>
    </w:p>
    <w:p w:rsidR="00D22444" w:rsidRPr="00C136E3" w:rsidP="00D22444" w14:paraId="205B3220" w14:textId="77777777">
      <w:r w:rsidRPr="00C136E3">
        <w:t>________________________________________________________________________</w:t>
      </w:r>
    </w:p>
    <w:p w:rsidR="00D22444" w:rsidRPr="00C136E3" w:rsidP="00D22444" w14:paraId="659EC280" w14:textId="77777777">
      <w:pPr>
        <w:jc w:val="center"/>
      </w:pPr>
    </w:p>
    <w:p w:rsidR="00D22444" w:rsidRPr="00C136E3" w:rsidP="00F50681" w14:paraId="16989047" w14:textId="77777777"/>
    <w:p w:rsidR="001866AA" w:rsidRPr="00C136E3" w:rsidP="001866AA" w14:paraId="15EB035E" w14:textId="7D38FEED">
      <w:pPr>
        <w:spacing w:line="480" w:lineRule="auto"/>
        <w:ind w:firstLine="720"/>
      </w:pPr>
      <w:r w:rsidRPr="00C136E3">
        <w:t>Suvon LLC d/b/a FirstEnergy Advisors (“FirstEnergy Advisors”)</w:t>
      </w:r>
      <w:r w:rsidRPr="00C136E3" w:rsidR="00C40830">
        <w:t xml:space="preserve"> is an affiliate of the </w:t>
      </w:r>
      <w:r w:rsidRPr="00C136E3" w:rsidR="00037C15">
        <w:t xml:space="preserve">regulated </w:t>
      </w:r>
      <w:r w:rsidRPr="00C136E3" w:rsidR="00C40830">
        <w:t>FirstEnergy electric distribution companies (“FirstEnergy Utilities</w:t>
      </w:r>
      <w:r w:rsidRPr="00C136E3" w:rsidR="00037C15">
        <w:t>”)</w:t>
      </w:r>
      <w:r w:rsidRPr="00C136E3" w:rsidR="004C1C57">
        <w:t xml:space="preserve"> that serve two million consumers</w:t>
      </w:r>
      <w:r w:rsidRPr="00C136E3" w:rsidR="00C40830">
        <w:t xml:space="preserve">. </w:t>
      </w:r>
      <w:r w:rsidRPr="00C136E3" w:rsidR="008C33D9">
        <w:t xml:space="preserve"> </w:t>
      </w:r>
      <w:r w:rsidRPr="00C136E3">
        <w:t xml:space="preserve">As an affiliate of the </w:t>
      </w:r>
      <w:r w:rsidRPr="00C136E3" w:rsidR="008C33D9">
        <w:t xml:space="preserve">regulated </w:t>
      </w:r>
      <w:r w:rsidRPr="00C136E3">
        <w:t xml:space="preserve">FirstEnergy </w:t>
      </w:r>
      <w:r w:rsidRPr="00C136E3" w:rsidR="008C33D9">
        <w:t>U</w:t>
      </w:r>
      <w:r w:rsidRPr="00C136E3">
        <w:t xml:space="preserve">tilities and as a would-be participant in Ohio’s deregulated electricity markets, FirstEnergy Advisors (and the FirstEnergy Utilities) must comply with Ohio law and the PUCO’s rules regarding corporate separation.  Corporate separation laws and rules are put in place to protect competition and the benefits </w:t>
      </w:r>
      <w:r w:rsidRPr="00C136E3" w:rsidR="00976AF8">
        <w:t xml:space="preserve">of lower prices and greater innovation </w:t>
      </w:r>
      <w:r w:rsidRPr="00C136E3">
        <w:t>it brings to consumers</w:t>
      </w:r>
      <w:r w:rsidRPr="00C136E3" w:rsidR="00976AF8">
        <w:t>.</w:t>
      </w:r>
      <w:r w:rsidRPr="00C136E3">
        <w:t xml:space="preserve"> </w:t>
      </w:r>
      <w:r w:rsidRPr="00C136E3" w:rsidR="00771CED">
        <w:t>FirstEnergy Advisors presents a risk to those consumer benefits</w:t>
      </w:r>
      <w:r w:rsidRPr="00C136E3" w:rsidR="007B7790">
        <w:t xml:space="preserve"> of competition</w:t>
      </w:r>
      <w:r w:rsidRPr="00C136E3" w:rsidR="006C7694">
        <w:t xml:space="preserve">, as was the concern of NOPEC, OCC, </w:t>
      </w:r>
      <w:r w:rsidRPr="00C136E3" w:rsidR="00F407CE">
        <w:t>Vistra Energy Corp.</w:t>
      </w:r>
      <w:r w:rsidRPr="00C136E3" w:rsidR="006D24E7">
        <w:t xml:space="preserve"> (“Vistra”)</w:t>
      </w:r>
      <w:r w:rsidRPr="00C136E3" w:rsidR="00F407CE">
        <w:t>, the Northwest Aggregation Coalition (“NOAC”)</w:t>
      </w:r>
      <w:r w:rsidRPr="00C136E3" w:rsidR="006D24E7">
        <w:t>, Palmer Energy Company, Inc. (“Palmer”), Energy Professionals of Ohio LLC (“EPO”), the Retail Energy Supply Association (“RESA”), and Interstate Gas Supp</w:t>
      </w:r>
      <w:r w:rsidRPr="00C136E3" w:rsidR="003503B9">
        <w:t>l</w:t>
      </w:r>
      <w:r w:rsidRPr="00C136E3" w:rsidR="006D24E7">
        <w:t xml:space="preserve">y (“IGS”). </w:t>
      </w:r>
      <w:r w:rsidRPr="00C136E3" w:rsidR="006C7694">
        <w:t xml:space="preserve">. </w:t>
      </w:r>
    </w:p>
    <w:p w:rsidR="001D14EC" w:rsidRPr="00C136E3" w:rsidP="00564791" w14:paraId="2C36B638" w14:textId="77777777">
      <w:pPr>
        <w:spacing w:line="480" w:lineRule="auto"/>
        <w:ind w:firstLine="720"/>
        <w:contextualSpacing/>
        <w:sectPr w:rsidSect="001D14EC">
          <w:headerReference w:type="first" r:id="rId10"/>
          <w:footerReference w:type="first" r:id="rId11"/>
          <w:pgSz w:w="12240" w:h="15840"/>
          <w:pgMar w:top="1440" w:right="1440" w:bottom="1440" w:left="1440" w:header="720" w:footer="720" w:gutter="0"/>
          <w:pgNumType w:start="2"/>
          <w:cols w:space="720"/>
          <w:titlePg/>
          <w:docGrid w:linePitch="360"/>
        </w:sectPr>
      </w:pPr>
      <w:r w:rsidRPr="00C136E3">
        <w:t>FirstEnergy Advisors’ filed its initial certification application in the above</w:t>
      </w:r>
      <w:r w:rsidRPr="00C136E3" w:rsidR="009C419F">
        <w:t>-</w:t>
      </w:r>
      <w:r w:rsidRPr="00C136E3">
        <w:t>captioned proceeding on January 17, 2020</w:t>
      </w:r>
      <w:r w:rsidRPr="00C136E3" w:rsidR="00771CED">
        <w:t>,</w:t>
      </w:r>
      <w:r w:rsidRPr="00C136E3" w:rsidR="001866AA">
        <w:t xml:space="preserve"> with the Public Utilities Commission of Ohio (“PUCO”)</w:t>
      </w:r>
      <w:r w:rsidRPr="00C136E3">
        <w:t xml:space="preserve">. </w:t>
      </w:r>
      <w:r w:rsidRPr="00C136E3" w:rsidR="004324F5">
        <w:t xml:space="preserve"> </w:t>
      </w:r>
    </w:p>
    <w:p w:rsidR="00435C44" w:rsidRPr="00C136E3" w:rsidP="00564791" w14:paraId="7EF98A08" w14:textId="066001EE">
      <w:pPr>
        <w:spacing w:line="480" w:lineRule="auto"/>
        <w:ind w:firstLine="720"/>
        <w:contextualSpacing/>
      </w:pPr>
      <w:r w:rsidRPr="00C136E3">
        <w:t xml:space="preserve">However, the PUCO declined to </w:t>
      </w:r>
      <w:r w:rsidRPr="00C136E3" w:rsidR="00686298">
        <w:t>adopt a procedural schedule</w:t>
      </w:r>
      <w:r>
        <w:rPr>
          <w:rStyle w:val="FootnoteReference"/>
        </w:rPr>
        <w:footnoteReference w:id="2"/>
      </w:r>
      <w:r w:rsidRPr="00C136E3" w:rsidR="00686298">
        <w:t xml:space="preserve"> or compel discovery</w:t>
      </w:r>
      <w:r>
        <w:rPr>
          <w:rStyle w:val="FootnoteReference"/>
        </w:rPr>
        <w:footnoteReference w:id="3"/>
      </w:r>
      <w:r w:rsidRPr="00C136E3">
        <w:t xml:space="preserve"> to fully explore the serious issues related to FirstEnergy Advisors’ Application.</w:t>
      </w:r>
      <w:r w:rsidRPr="00C136E3" w:rsidR="00686298">
        <w:t xml:space="preserve"> </w:t>
      </w:r>
      <w:r w:rsidRPr="00C136E3" w:rsidR="009D3537">
        <w:t>Over the objections of several parties</w:t>
      </w:r>
      <w:r w:rsidRPr="00C136E3" w:rsidR="002D4782">
        <w:t>, the PUCO</w:t>
      </w:r>
      <w:r w:rsidRPr="00C136E3">
        <w:t xml:space="preserve"> approved FirstEnergy Advisors’ Application as supplemented</w:t>
      </w:r>
      <w:r w:rsidRPr="00C136E3" w:rsidR="00552ED8">
        <w:t>,</w:t>
      </w:r>
      <w:r w:rsidRPr="00C136E3" w:rsidR="009D3537">
        <w:t xml:space="preserve"> without </w:t>
      </w:r>
      <w:r w:rsidRPr="00C136E3" w:rsidR="00552ED8">
        <w:t xml:space="preserve">allowing </w:t>
      </w:r>
      <w:r w:rsidRPr="00C136E3" w:rsidR="009D3537">
        <w:t>due process</w:t>
      </w:r>
      <w:r w:rsidRPr="00C136E3">
        <w:t>.</w:t>
      </w:r>
      <w:r>
        <w:rPr>
          <w:rStyle w:val="FootnoteReference"/>
        </w:rPr>
        <w:footnoteReference w:id="4"/>
      </w:r>
      <w:r w:rsidRPr="00C136E3" w:rsidR="00945198">
        <w:t xml:space="preserve"> </w:t>
      </w:r>
      <w:r w:rsidRPr="00C136E3" w:rsidR="00AE3F78">
        <w:t xml:space="preserve"> </w:t>
      </w:r>
      <w:r w:rsidRPr="00C136E3" w:rsidR="00945198">
        <w:t>The Order approving the Application is unlawful and unreasonable in the following respects</w:t>
      </w:r>
      <w:r w:rsidRPr="00C136E3" w:rsidR="00302E39">
        <w:t xml:space="preserve"> and the Application should have been denied</w:t>
      </w:r>
      <w:r w:rsidRPr="00C136E3" w:rsidR="00945198">
        <w:t>:</w:t>
      </w:r>
    </w:p>
    <w:p w:rsidR="003503B9" w:rsidRPr="00C136E3" w:rsidP="00564791" w14:paraId="15B867C1" w14:textId="77777777">
      <w:pPr>
        <w:ind w:left="720"/>
        <w:contextualSpacing/>
        <w:rPr>
          <w:b/>
        </w:rPr>
      </w:pPr>
      <w:r w:rsidRPr="00C136E3">
        <w:rPr>
          <w:b/>
        </w:rPr>
        <w:t xml:space="preserve">ASSIGNMENT OF ERROR NO. 1: </w:t>
      </w:r>
    </w:p>
    <w:p w:rsidR="00AE3F78" w:rsidRPr="00C136E3" w:rsidP="00564791" w14:paraId="46315FAC" w14:textId="0E98C489">
      <w:pPr>
        <w:ind w:left="720"/>
        <w:contextualSpacing/>
      </w:pPr>
      <w:r w:rsidRPr="00C136E3">
        <w:t xml:space="preserve">The PUCO erred by failing to find that FirstEnergy Advisors’ Application (as supplemented) violates R.C. 4928.08(B) and Ohio Adm. Code 4901:1-24-10(C), and therefore </w:t>
      </w:r>
      <w:r w:rsidRPr="00C136E3" w:rsidR="001E31F4">
        <w:t xml:space="preserve">it </w:t>
      </w:r>
      <w:r w:rsidRPr="00C136E3">
        <w:t>should be denied.</w:t>
      </w:r>
    </w:p>
    <w:p w:rsidR="00AE3F78" w:rsidRPr="00C136E3" w:rsidP="00AE3F78" w14:paraId="6F30329B" w14:textId="77777777">
      <w:pPr>
        <w:contextualSpacing/>
        <w:jc w:val="both"/>
        <w:rPr>
          <w:b/>
        </w:rPr>
      </w:pPr>
    </w:p>
    <w:p w:rsidR="002C6F6C" w:rsidRPr="00C136E3" w:rsidP="002C6F6C" w14:paraId="739EBBA1" w14:textId="77777777">
      <w:pPr>
        <w:ind w:left="720"/>
        <w:contextualSpacing/>
      </w:pPr>
      <w:r w:rsidRPr="00C136E3">
        <w:rPr>
          <w:b/>
        </w:rPr>
        <w:t xml:space="preserve">ASSIGNMENT OF ERROR NO. 2: </w:t>
      </w:r>
    </w:p>
    <w:p w:rsidR="00B40470" w:rsidRPr="00C136E3" w:rsidP="002C6F6C" w14:paraId="0FC19A94" w14:textId="5E35D8AA">
      <w:pPr>
        <w:ind w:left="720"/>
        <w:contextualSpacing/>
      </w:pPr>
      <w:r w:rsidRPr="00C136E3">
        <w:t xml:space="preserve">The PUCO erred by denying </w:t>
      </w:r>
      <w:r w:rsidR="00D84759">
        <w:t xml:space="preserve">the </w:t>
      </w:r>
      <w:r w:rsidRPr="00C136E3">
        <w:t>discovery</w:t>
      </w:r>
      <w:r w:rsidRPr="00C136E3" w:rsidR="003503B9">
        <w:t>,</w:t>
      </w:r>
      <w:r w:rsidRPr="00C136E3">
        <w:t xml:space="preserve"> which interven</w:t>
      </w:r>
      <w:r w:rsidRPr="00C136E3" w:rsidR="003503B9">
        <w:t>o</w:t>
      </w:r>
      <w:r w:rsidRPr="00C136E3">
        <w:t>rs are entitled to conduct (in violation of R.C. 4903.082, Ohio Adm. Code 4901-1-16(A) and Ohio Adm. Code 4901-1-17(A)),</w:t>
      </w:r>
      <w:r w:rsidRPr="00C136E3" w:rsidR="004230CD">
        <w:t xml:space="preserve"> </w:t>
      </w:r>
      <w:r w:rsidRPr="00C136E3">
        <w:t>by failing to hold a hearing</w:t>
      </w:r>
      <w:r w:rsidRPr="00C136E3" w:rsidR="004230CD">
        <w:t>,</w:t>
      </w:r>
      <w:r w:rsidRPr="00C136E3">
        <w:t xml:space="preserve"> and by failing to afford due process to intervenors. The Application should be denied.</w:t>
      </w:r>
    </w:p>
    <w:p w:rsidR="00B40470" w:rsidRPr="00C136E3" w:rsidP="002C6F6C" w14:paraId="591DB4B6" w14:textId="77777777">
      <w:pPr>
        <w:ind w:left="720"/>
        <w:contextualSpacing/>
      </w:pPr>
    </w:p>
    <w:p w:rsidR="00B40470" w:rsidRPr="00C136E3" w:rsidP="002C6F6C" w14:paraId="1F55E286" w14:textId="00D78FF0">
      <w:pPr>
        <w:ind w:left="720"/>
        <w:contextualSpacing/>
        <w:rPr>
          <w:b/>
          <w:bCs/>
        </w:rPr>
      </w:pPr>
      <w:r w:rsidRPr="00C136E3">
        <w:rPr>
          <w:b/>
          <w:bCs/>
        </w:rPr>
        <w:t>ASSIGNMENT OF ERROR NO. 3:</w:t>
      </w:r>
    </w:p>
    <w:p w:rsidR="009D3537" w:rsidRPr="00C136E3" w:rsidP="0086673A" w14:paraId="1B02448F" w14:textId="2DDBDE5A">
      <w:pPr>
        <w:ind w:left="720"/>
        <w:contextualSpacing/>
        <w:jc w:val="both"/>
      </w:pPr>
      <w:r w:rsidRPr="00C136E3">
        <w:t>T</w:t>
      </w:r>
      <w:r w:rsidRPr="00C136E3" w:rsidR="002C6F6C">
        <w:t xml:space="preserve">he PUCO’s decision approving the Application is </w:t>
      </w:r>
      <w:r w:rsidRPr="00C136E3" w:rsidR="001E31F4">
        <w:t xml:space="preserve">unlawful and is </w:t>
      </w:r>
      <w:r w:rsidRPr="00C136E3" w:rsidR="002C6F6C">
        <w:t>unsupported by record evidence in violation of R.C. 4903.09.</w:t>
      </w:r>
      <w:r w:rsidRPr="00C136E3" w:rsidR="00CD6579">
        <w:t xml:space="preserve"> The Application should be denied.</w:t>
      </w:r>
      <w:r w:rsidRPr="00C136E3" w:rsidR="00B40470">
        <w:t xml:space="preserve"> </w:t>
      </w:r>
    </w:p>
    <w:p w:rsidR="0086673A" w:rsidRPr="00C136E3" w:rsidP="0086673A" w14:paraId="66EDF244" w14:textId="77777777">
      <w:pPr>
        <w:contextualSpacing/>
        <w:jc w:val="both"/>
      </w:pPr>
    </w:p>
    <w:p w:rsidR="003503B9" w:rsidRPr="00C136E3" w:rsidP="00564791" w14:paraId="3EAD13AF" w14:textId="77777777">
      <w:pPr>
        <w:ind w:left="720"/>
        <w:contextualSpacing/>
        <w:rPr>
          <w:b/>
        </w:rPr>
      </w:pPr>
      <w:r w:rsidRPr="00C136E3">
        <w:rPr>
          <w:b/>
        </w:rPr>
        <w:t xml:space="preserve">ASSIGNMENT OF ERROR NO. </w:t>
      </w:r>
      <w:r w:rsidRPr="00C136E3" w:rsidR="00B40470">
        <w:rPr>
          <w:b/>
        </w:rPr>
        <w:t>4</w:t>
      </w:r>
      <w:r w:rsidRPr="00C136E3">
        <w:rPr>
          <w:b/>
        </w:rPr>
        <w:t xml:space="preserve">: </w:t>
      </w:r>
    </w:p>
    <w:p w:rsidR="00AE3F78" w:rsidRPr="00C136E3" w:rsidP="00564791" w14:paraId="27125E72" w14:textId="7A1A6B6D">
      <w:pPr>
        <w:ind w:left="720"/>
        <w:contextualSpacing/>
      </w:pPr>
      <w:r w:rsidRPr="00C136E3">
        <w:t>The PUCO erred by failing to render a decision in this case on the inseparable issues pending i</w:t>
      </w:r>
      <w:r w:rsidR="00D84759">
        <w:t>n</w:t>
      </w:r>
      <w:r w:rsidRPr="00C136E3">
        <w:t xml:space="preserve"> its audit of the FirstEnergy Utilities’ corporate separation, Case No. </w:t>
      </w:r>
      <w:r w:rsidRPr="00C136E3" w:rsidR="00B40470">
        <w:t>17-974-EL-UNC</w:t>
      </w:r>
      <w:r w:rsidRPr="00C136E3">
        <w:t xml:space="preserve">. Alternatively, the PUCO erred by failing to hold its decision in abeyance in this case until it fulfills its intention to render a decision in the audit case, </w:t>
      </w:r>
      <w:r w:rsidRPr="00C136E3" w:rsidR="003503B9">
        <w:t xml:space="preserve">Case </w:t>
      </w:r>
      <w:r w:rsidRPr="00C136E3">
        <w:t xml:space="preserve">No. </w:t>
      </w:r>
      <w:r w:rsidRPr="00C136E3" w:rsidR="00B40470">
        <w:t>17-974-EL-UNC</w:t>
      </w:r>
      <w:r w:rsidRPr="00C136E3">
        <w:t xml:space="preserve">. FirstEnergy Advisors’ Application should be denied or held in abeyance pending </w:t>
      </w:r>
      <w:r w:rsidRPr="00C136E3" w:rsidR="003E0A3B">
        <w:t xml:space="preserve">due process and a </w:t>
      </w:r>
      <w:r w:rsidRPr="00C136E3">
        <w:t>decision in the audit case.</w:t>
      </w:r>
    </w:p>
    <w:p w:rsidR="00D81963" w:rsidRPr="00C136E3" w:rsidP="00D81963" w14:paraId="06BDF1E4" w14:textId="77777777">
      <w:pPr>
        <w:ind w:firstLine="720"/>
        <w:contextualSpacing/>
        <w:jc w:val="both"/>
        <w:rPr>
          <w:b/>
        </w:rPr>
      </w:pPr>
    </w:p>
    <w:p w:rsidR="00D81963" w:rsidRPr="00C136E3" w:rsidP="00D81963" w14:paraId="456FFD84" w14:textId="77777777">
      <w:pPr>
        <w:ind w:firstLine="720"/>
        <w:contextualSpacing/>
        <w:jc w:val="both"/>
        <w:rPr>
          <w:b/>
        </w:rPr>
      </w:pPr>
    </w:p>
    <w:p w:rsidR="00AE3F78" w:rsidRPr="00C136E3" w:rsidP="00564791" w14:paraId="4423B999" w14:textId="0824E3BE">
      <w:pPr>
        <w:spacing w:line="480" w:lineRule="auto"/>
        <w:ind w:firstLine="720"/>
        <w:contextualSpacing/>
      </w:pPr>
      <w:r w:rsidRPr="00C136E3">
        <w:t>Under</w:t>
      </w:r>
      <w:r w:rsidRPr="00C136E3" w:rsidR="001866AA">
        <w:t xml:space="preserve"> R.C. 4903.10 and O.A.C. 4901-1-35, </w:t>
      </w:r>
      <w:r w:rsidRPr="00C136E3" w:rsidR="009D3537">
        <w:t xml:space="preserve">OCC </w:t>
      </w:r>
      <w:r w:rsidRPr="00C136E3" w:rsidR="001866AA">
        <w:t>respectfully requests rehearing of the PUCO</w:t>
      </w:r>
      <w:r w:rsidRPr="00C136E3" w:rsidR="009D3537">
        <w:t>’s</w:t>
      </w:r>
      <w:r w:rsidRPr="00C136E3" w:rsidR="001866AA">
        <w:t xml:space="preserve"> April 22, 2020 Finding and Order (“Order”) approving FirstEnergy Advisors’ application for certification as a competitive retail electric service power broker and aggregator.  </w:t>
      </w:r>
      <w:r w:rsidRPr="00C136E3">
        <w:t xml:space="preserve">The reasons in support of this application for rehearing are set forth in the accompanying Memorandum in Support. The </w:t>
      </w:r>
      <w:r w:rsidRPr="00C136E3" w:rsidR="002D4782">
        <w:t>PUCO</w:t>
      </w:r>
      <w:r w:rsidRPr="00C136E3">
        <w:t xml:space="preserve"> should grant rehearing and abrogate or modify its April 22, 2020 Order as requested by OCC.</w:t>
      </w:r>
    </w:p>
    <w:p w:rsidR="00D81963" w:rsidRPr="00C136E3" w:rsidP="00AE3F78" w14:paraId="63AB742C" w14:textId="77777777"/>
    <w:p w:rsidR="00D22444" w:rsidRPr="00C136E3" w:rsidP="00D22444" w14:paraId="43949B71" w14:textId="37FA52D0">
      <w:pPr>
        <w:ind w:left="3960"/>
      </w:pPr>
      <w:r w:rsidRPr="00C136E3">
        <w:t>Respectfully submitted,</w:t>
      </w:r>
    </w:p>
    <w:p w:rsidR="002A4E7F" w:rsidRPr="00C136E3" w:rsidP="00D22444" w14:paraId="73CAAC6E" w14:textId="77777777">
      <w:pPr>
        <w:ind w:left="3960"/>
      </w:pPr>
    </w:p>
    <w:p w:rsidR="00D22444" w:rsidRPr="00C136E3" w:rsidP="00D22444" w14:paraId="15657FEE" w14:textId="77777777">
      <w:pPr>
        <w:ind w:left="3960"/>
      </w:pPr>
      <w:r w:rsidRPr="00C136E3">
        <w:t>Bruce Weston (0016973)</w:t>
      </w:r>
    </w:p>
    <w:p w:rsidR="00D22444" w:rsidRPr="00C136E3" w:rsidP="00D22444" w14:paraId="71E99DA2" w14:textId="77777777">
      <w:pPr>
        <w:ind w:left="3960"/>
      </w:pPr>
      <w:r w:rsidRPr="00C136E3">
        <w:t>Ohio Consumers’ Counsel</w:t>
      </w:r>
    </w:p>
    <w:p w:rsidR="00D22444" w:rsidRPr="00C136E3" w:rsidP="00D22444" w14:paraId="2A513754" w14:textId="6F8B30A9">
      <w:pPr>
        <w:ind w:left="3960"/>
      </w:pPr>
    </w:p>
    <w:p w:rsidR="00D22444" w:rsidRPr="00C136E3" w:rsidP="00D22444" w14:paraId="08C46584" w14:textId="77777777">
      <w:pPr>
        <w:tabs>
          <w:tab w:val="left" w:pos="4320"/>
        </w:tabs>
        <w:ind w:left="3960"/>
        <w:rPr>
          <w:rFonts w:eastAsiaTheme="minorHAnsi"/>
        </w:rPr>
      </w:pPr>
      <w:r w:rsidRPr="00C136E3">
        <w:rPr>
          <w:rFonts w:eastAsiaTheme="minorHAnsi"/>
        </w:rPr>
        <w:t>Angela D. O’Brien (0097579)</w:t>
      </w:r>
    </w:p>
    <w:p w:rsidR="00D22444" w:rsidRPr="00C136E3" w:rsidP="00D22444" w14:paraId="71771DD1" w14:textId="77777777">
      <w:pPr>
        <w:tabs>
          <w:tab w:val="left" w:pos="4320"/>
        </w:tabs>
        <w:ind w:left="3960"/>
        <w:rPr>
          <w:rFonts w:eastAsiaTheme="minorHAnsi"/>
        </w:rPr>
      </w:pPr>
      <w:r w:rsidRPr="00C136E3">
        <w:rPr>
          <w:rFonts w:eastAsiaTheme="minorHAnsi"/>
        </w:rPr>
        <w:t xml:space="preserve">Counsel of Record </w:t>
      </w:r>
    </w:p>
    <w:p w:rsidR="00D22444" w:rsidRPr="00C136E3" w:rsidP="00D22444" w14:paraId="01BFC2DB" w14:textId="77777777">
      <w:pPr>
        <w:tabs>
          <w:tab w:val="left" w:pos="4320"/>
        </w:tabs>
        <w:ind w:left="3960"/>
        <w:rPr>
          <w:rFonts w:eastAsiaTheme="minorHAnsi"/>
        </w:rPr>
      </w:pPr>
      <w:r w:rsidRPr="00C136E3">
        <w:rPr>
          <w:rFonts w:eastAsiaTheme="minorHAnsi"/>
        </w:rPr>
        <w:t>Assistant Consumers’ Counsel</w:t>
      </w:r>
    </w:p>
    <w:p w:rsidR="00D22444" w:rsidRPr="00C136E3" w:rsidP="00D22444" w14:paraId="34A2FCA3" w14:textId="77777777">
      <w:pPr>
        <w:tabs>
          <w:tab w:val="left" w:pos="4320"/>
        </w:tabs>
        <w:ind w:left="3960"/>
        <w:rPr>
          <w:rFonts w:eastAsiaTheme="minorHAnsi"/>
        </w:rPr>
      </w:pPr>
    </w:p>
    <w:p w:rsidR="00D22444" w:rsidRPr="00C136E3" w:rsidP="00D22444" w14:paraId="6BC2D214" w14:textId="77777777">
      <w:pPr>
        <w:spacing w:before="120"/>
        <w:ind w:left="3960"/>
        <w:rPr>
          <w:b/>
        </w:rPr>
      </w:pPr>
      <w:r w:rsidRPr="00C136E3">
        <w:rPr>
          <w:b/>
        </w:rPr>
        <w:t>Office of the Ohio Consumers’ Counsel</w:t>
      </w:r>
    </w:p>
    <w:p w:rsidR="00D22444" w:rsidRPr="00C136E3" w:rsidP="00D22444" w14:paraId="2C024A72" w14:textId="77777777">
      <w:pPr>
        <w:ind w:left="3960"/>
      </w:pPr>
      <w:r w:rsidRPr="00C136E3">
        <w:t>65 East State Street, 7th Floor</w:t>
      </w:r>
    </w:p>
    <w:p w:rsidR="00D22444" w:rsidRPr="00C136E3" w:rsidP="00D22444" w14:paraId="6EEEB095" w14:textId="77777777">
      <w:pPr>
        <w:ind w:left="3960"/>
      </w:pPr>
      <w:r w:rsidRPr="00C136E3">
        <w:t>Columbus, Ohio 43215-3485</w:t>
      </w:r>
    </w:p>
    <w:p w:rsidR="00D22444" w:rsidRPr="00C136E3" w:rsidP="00D22444" w14:paraId="55F934AC" w14:textId="77777777">
      <w:pPr>
        <w:autoSpaceDE w:val="0"/>
        <w:autoSpaceDN w:val="0"/>
        <w:adjustRightInd w:val="0"/>
        <w:ind w:left="3960"/>
        <w:rPr>
          <w:rFonts w:eastAsiaTheme="minorHAnsi"/>
        </w:rPr>
      </w:pPr>
      <w:r w:rsidRPr="00C136E3">
        <w:rPr>
          <w:rFonts w:eastAsiaTheme="minorHAnsi"/>
        </w:rPr>
        <w:t>Telephone [O’Brien]: (614) 466-9531</w:t>
      </w:r>
    </w:p>
    <w:p w:rsidR="00D22444" w:rsidRPr="00C136E3" w:rsidP="00D22444" w14:paraId="54667DBB" w14:textId="77777777">
      <w:pPr>
        <w:autoSpaceDE w:val="0"/>
        <w:autoSpaceDN w:val="0"/>
        <w:adjustRightInd w:val="0"/>
        <w:ind w:left="3960"/>
        <w:rPr>
          <w:rFonts w:eastAsiaTheme="minorHAnsi"/>
          <w:color w:val="0563C1" w:themeColor="hyperlink"/>
          <w:u w:val="single"/>
        </w:rPr>
      </w:pPr>
      <w:hyperlink r:id="rId6" w:history="1">
        <w:r w:rsidRPr="00C136E3" w:rsidR="00092220">
          <w:rPr>
            <w:rFonts w:eastAsiaTheme="minorHAnsi"/>
            <w:color w:val="0563C1" w:themeColor="hyperlink"/>
            <w:u w:val="single"/>
          </w:rPr>
          <w:t>angela.obrien@occ.ohio.gov</w:t>
        </w:r>
      </w:hyperlink>
    </w:p>
    <w:p w:rsidR="00D22444" w:rsidRPr="00C136E3" w:rsidP="00D22444" w14:paraId="7AF24134" w14:textId="77777777">
      <w:pPr>
        <w:tabs>
          <w:tab w:val="center" w:pos="4680"/>
          <w:tab w:val="right" w:pos="9360"/>
        </w:tabs>
        <w:ind w:left="3960"/>
        <w:rPr>
          <w:rFonts w:eastAsiaTheme="minorHAnsi"/>
        </w:rPr>
      </w:pPr>
      <w:r w:rsidRPr="00C136E3">
        <w:rPr>
          <w:rFonts w:eastAsiaTheme="minorHAnsi"/>
        </w:rPr>
        <w:t>(willing to accept service by e-mail)</w:t>
      </w:r>
    </w:p>
    <w:p w:rsidR="00D22444" w:rsidRPr="00C136E3" w:rsidP="00D22444" w14:paraId="3ABC52AA" w14:textId="77777777">
      <w:pPr>
        <w:ind w:left="3960"/>
      </w:pPr>
    </w:p>
    <w:p w:rsidR="009D7FBD" w:rsidRPr="00C136E3" w:rsidP="009D7FBD" w14:paraId="4C88E17C" w14:textId="4E1C0AAD">
      <w:pPr>
        <w:ind w:left="3960"/>
        <w:rPr>
          <w:i/>
          <w:iCs/>
          <w:u w:val="single"/>
        </w:rPr>
      </w:pPr>
      <w:r w:rsidRPr="00C136E3">
        <w:rPr>
          <w:i/>
          <w:iCs/>
          <w:u w:val="single"/>
        </w:rPr>
        <w:t>/s/ Kimberly W. Bojko</w:t>
      </w:r>
    </w:p>
    <w:p w:rsidR="00D22444" w:rsidRPr="00C136E3" w:rsidP="00D22444" w14:paraId="65BC1773" w14:textId="0BD8A8E0">
      <w:pPr>
        <w:widowControl w:val="0"/>
        <w:tabs>
          <w:tab w:val="center" w:pos="4680"/>
          <w:tab w:val="right" w:pos="9360"/>
        </w:tabs>
        <w:ind w:left="3960"/>
        <w:rPr>
          <w:rFonts w:eastAsiaTheme="minorHAnsi"/>
        </w:rPr>
      </w:pPr>
      <w:r w:rsidRPr="00C136E3">
        <w:rPr>
          <w:rFonts w:eastAsiaTheme="minorHAnsi"/>
        </w:rPr>
        <w:t>Kimberly W. Bojko (0069402)</w:t>
      </w:r>
    </w:p>
    <w:p w:rsidR="00D22444" w:rsidRPr="00C136E3" w:rsidP="00D22444" w14:paraId="7BDC92DB" w14:textId="77777777">
      <w:pPr>
        <w:widowControl w:val="0"/>
        <w:tabs>
          <w:tab w:val="center" w:pos="4680"/>
          <w:tab w:val="right" w:pos="9360"/>
        </w:tabs>
        <w:ind w:left="3960"/>
        <w:rPr>
          <w:rFonts w:eastAsiaTheme="minorHAnsi"/>
        </w:rPr>
      </w:pPr>
      <w:r w:rsidRPr="00C136E3">
        <w:rPr>
          <w:rFonts w:eastAsiaTheme="minorHAnsi"/>
        </w:rPr>
        <w:t>Carpenter Lipps &amp; Leland LLP</w:t>
      </w:r>
    </w:p>
    <w:p w:rsidR="00D22444" w:rsidRPr="00C136E3" w:rsidP="00D22444" w14:paraId="57FAD3F8" w14:textId="77777777">
      <w:pPr>
        <w:widowControl w:val="0"/>
        <w:tabs>
          <w:tab w:val="center" w:pos="4680"/>
          <w:tab w:val="right" w:pos="9360"/>
        </w:tabs>
        <w:ind w:left="3960"/>
        <w:rPr>
          <w:rFonts w:eastAsiaTheme="minorHAnsi"/>
        </w:rPr>
      </w:pPr>
      <w:r w:rsidRPr="00C136E3">
        <w:rPr>
          <w:rFonts w:eastAsiaTheme="minorHAnsi"/>
        </w:rPr>
        <w:t>280 North High Street, Suite 1300</w:t>
      </w:r>
    </w:p>
    <w:p w:rsidR="00D22444" w:rsidRPr="00C136E3" w:rsidP="00D22444" w14:paraId="4CA2A709" w14:textId="77777777">
      <w:pPr>
        <w:widowControl w:val="0"/>
        <w:tabs>
          <w:tab w:val="center" w:pos="4680"/>
          <w:tab w:val="right" w:pos="9360"/>
        </w:tabs>
        <w:ind w:left="3960"/>
        <w:rPr>
          <w:rFonts w:eastAsiaTheme="minorHAnsi"/>
        </w:rPr>
      </w:pPr>
      <w:r w:rsidRPr="00C136E3">
        <w:rPr>
          <w:rFonts w:eastAsiaTheme="minorHAnsi"/>
        </w:rPr>
        <w:t>Columbus, Ohio 43215</w:t>
      </w:r>
    </w:p>
    <w:p w:rsidR="00D22444" w:rsidRPr="00C136E3" w:rsidP="00D22444" w14:paraId="16EEEB39" w14:textId="77777777">
      <w:pPr>
        <w:widowControl w:val="0"/>
        <w:tabs>
          <w:tab w:val="center" w:pos="4680"/>
          <w:tab w:val="right" w:pos="9360"/>
        </w:tabs>
        <w:ind w:left="3960"/>
        <w:rPr>
          <w:rFonts w:eastAsiaTheme="minorHAnsi"/>
        </w:rPr>
      </w:pPr>
      <w:r w:rsidRPr="00C136E3">
        <w:rPr>
          <w:rFonts w:eastAsiaTheme="minorHAnsi"/>
        </w:rPr>
        <w:t>Telephone: (614) 365-4100</w:t>
      </w:r>
    </w:p>
    <w:p w:rsidR="00D22444" w:rsidRPr="00C136E3" w:rsidP="00D22444" w14:paraId="66C2B336" w14:textId="77777777">
      <w:pPr>
        <w:widowControl w:val="0"/>
        <w:tabs>
          <w:tab w:val="center" w:pos="4680"/>
          <w:tab w:val="right" w:pos="9360"/>
        </w:tabs>
        <w:ind w:left="3960"/>
        <w:rPr>
          <w:rFonts w:eastAsiaTheme="minorHAnsi"/>
        </w:rPr>
      </w:pPr>
      <w:hyperlink r:id="rId7" w:history="1">
        <w:r w:rsidRPr="00C136E3" w:rsidR="00092220">
          <w:rPr>
            <w:rFonts w:eastAsiaTheme="minorHAnsi"/>
            <w:color w:val="0563C1" w:themeColor="hyperlink"/>
            <w:u w:val="single"/>
          </w:rPr>
          <w:t>bojko@carpenterlipps.com</w:t>
        </w:r>
      </w:hyperlink>
    </w:p>
    <w:p w:rsidR="00D22444" w:rsidRPr="00C136E3" w:rsidP="00D22444" w14:paraId="5661FFB9" w14:textId="77777777">
      <w:pPr>
        <w:widowControl w:val="0"/>
        <w:tabs>
          <w:tab w:val="center" w:pos="4680"/>
          <w:tab w:val="right" w:pos="9360"/>
        </w:tabs>
        <w:ind w:left="3960"/>
        <w:rPr>
          <w:rFonts w:eastAsiaTheme="minorHAnsi"/>
        </w:rPr>
      </w:pPr>
      <w:r w:rsidRPr="00C136E3">
        <w:rPr>
          <w:rFonts w:eastAsiaTheme="minorHAnsi"/>
        </w:rPr>
        <w:t>(willing to accept service by e-mail)</w:t>
      </w:r>
    </w:p>
    <w:p w:rsidR="00D22444" w:rsidRPr="00C136E3" w:rsidP="00D22444" w14:paraId="089C45A3" w14:textId="77777777">
      <w:pPr>
        <w:widowControl w:val="0"/>
        <w:tabs>
          <w:tab w:val="center" w:pos="4680"/>
          <w:tab w:val="right" w:pos="9360"/>
        </w:tabs>
        <w:ind w:left="3960" w:firstLine="4320"/>
        <w:rPr>
          <w:rFonts w:eastAsiaTheme="minorHAnsi"/>
        </w:rPr>
      </w:pPr>
    </w:p>
    <w:p w:rsidR="00D22444" w:rsidRPr="00C136E3" w:rsidP="00D22444" w14:paraId="6E282121" w14:textId="77777777">
      <w:pPr>
        <w:widowControl w:val="0"/>
        <w:ind w:left="3600" w:firstLine="360"/>
        <w:rPr>
          <w:rFonts w:eastAsiaTheme="minorHAnsi"/>
          <w:i/>
        </w:rPr>
      </w:pPr>
      <w:r w:rsidRPr="00C136E3">
        <w:rPr>
          <w:rFonts w:eastAsiaTheme="minorHAnsi"/>
          <w:i/>
        </w:rPr>
        <w:t>Special Counsel for the</w:t>
      </w:r>
    </w:p>
    <w:p w:rsidR="007F3B70" w:rsidRPr="00C136E3" w:rsidP="00D22444" w14:paraId="148BE18E" w14:textId="71CDBDA6">
      <w:pPr>
        <w:widowControl w:val="0"/>
        <w:ind w:left="3600" w:firstLine="360"/>
        <w:rPr>
          <w:rFonts w:eastAsiaTheme="minorHAnsi"/>
          <w:i/>
        </w:rPr>
      </w:pPr>
      <w:r w:rsidRPr="00C136E3">
        <w:rPr>
          <w:rFonts w:eastAsiaTheme="minorHAnsi"/>
          <w:i/>
        </w:rPr>
        <w:t>Office of the Ohio Consumers’ Counsel</w:t>
      </w:r>
    </w:p>
    <w:p w:rsidR="009D7FBD" w:rsidRPr="00C136E3" w:rsidP="00D22444" w14:paraId="3A2335C9" w14:textId="77777777">
      <w:pPr>
        <w:widowControl w:val="0"/>
        <w:ind w:left="3600" w:firstLine="360"/>
        <w:rPr>
          <w:rFonts w:eastAsiaTheme="minorHAnsi"/>
          <w:i/>
        </w:rPr>
      </w:pPr>
    </w:p>
    <w:p w:rsidR="001D14EC" w:rsidRPr="00C136E3" w:rsidP="00D22444" w14:paraId="4155E660" w14:textId="77777777">
      <w:pPr>
        <w:widowControl w:val="0"/>
        <w:ind w:left="3600" w:firstLine="360"/>
        <w:rPr>
          <w:rFonts w:eastAsiaTheme="minorHAnsi"/>
          <w:i/>
        </w:rPr>
        <w:sectPr w:rsidSect="001D14EC">
          <w:footerReference w:type="first" r:id="rId12"/>
          <w:pgSz w:w="12240" w:h="15840"/>
          <w:pgMar w:top="1440" w:right="1440" w:bottom="1440" w:left="1440" w:header="720" w:footer="720" w:gutter="0"/>
          <w:pgNumType w:start="2"/>
          <w:cols w:space="720"/>
          <w:titlePg/>
          <w:docGrid w:linePitch="360"/>
        </w:sectPr>
      </w:pPr>
    </w:p>
    <w:p w:rsidR="009D7FBD" w:rsidRPr="00C136E3" w:rsidP="00D22444" w14:paraId="44BDCA84" w14:textId="77777777">
      <w:pPr>
        <w:widowControl w:val="0"/>
        <w:ind w:left="3600" w:firstLine="360"/>
        <w:rPr>
          <w:rFonts w:eastAsiaTheme="minorHAnsi"/>
          <w:b/>
          <w:bCs/>
          <w:iCs/>
          <w:u w:val="single"/>
        </w:rPr>
      </w:pPr>
      <w:r w:rsidRPr="00C136E3">
        <w:rPr>
          <w:rFonts w:eastAsiaTheme="minorHAnsi"/>
          <w:b/>
          <w:bCs/>
          <w:iCs/>
          <w:u w:val="single"/>
        </w:rPr>
        <w:t>TABLE OF CONTENTS</w:t>
      </w:r>
    </w:p>
    <w:p w:rsidR="009D7FBD" w:rsidRPr="00C136E3" w:rsidP="00D22444" w14:paraId="18E96D40" w14:textId="77777777">
      <w:pPr>
        <w:widowControl w:val="0"/>
        <w:ind w:left="3600" w:firstLine="360"/>
        <w:rPr>
          <w:rFonts w:eastAsiaTheme="minorHAnsi"/>
          <w:i/>
        </w:rPr>
      </w:pPr>
    </w:p>
    <w:p w:rsidR="009D7FBD" w:rsidRPr="00C136E3" w:rsidP="00D22444" w14:paraId="58C715C3" w14:textId="4651E5C3">
      <w:pPr>
        <w:widowControl w:val="0"/>
        <w:ind w:left="3600" w:firstLine="360"/>
        <w:rPr>
          <w:rFonts w:eastAsiaTheme="minorHAnsi"/>
          <w:b/>
          <w:bCs/>
          <w:iCs/>
        </w:rPr>
      </w:pPr>
      <w:r w:rsidRPr="00C136E3">
        <w:rPr>
          <w:rFonts w:eastAsiaTheme="minorHAnsi"/>
          <w:iCs/>
        </w:rPr>
        <w:tab/>
      </w:r>
      <w:r w:rsidRPr="00C136E3">
        <w:rPr>
          <w:rFonts w:eastAsiaTheme="minorHAnsi"/>
          <w:iCs/>
        </w:rPr>
        <w:tab/>
      </w:r>
      <w:r w:rsidRPr="00C136E3">
        <w:rPr>
          <w:rFonts w:eastAsiaTheme="minorHAnsi"/>
          <w:iCs/>
        </w:rPr>
        <w:tab/>
      </w:r>
      <w:r w:rsidRPr="00C136E3">
        <w:rPr>
          <w:rFonts w:eastAsiaTheme="minorHAnsi"/>
          <w:iCs/>
        </w:rPr>
        <w:tab/>
      </w:r>
      <w:r w:rsidRPr="00C136E3">
        <w:rPr>
          <w:rFonts w:eastAsiaTheme="minorHAnsi"/>
          <w:iCs/>
        </w:rPr>
        <w:tab/>
      </w:r>
      <w:r w:rsidRPr="00C136E3">
        <w:rPr>
          <w:rFonts w:eastAsiaTheme="minorHAnsi"/>
          <w:iCs/>
        </w:rPr>
        <w:tab/>
      </w:r>
      <w:r w:rsidRPr="00C136E3" w:rsidR="00EA4C02">
        <w:rPr>
          <w:rFonts w:eastAsiaTheme="minorHAnsi"/>
          <w:iCs/>
        </w:rPr>
        <w:tab/>
      </w:r>
      <w:r w:rsidRPr="00C136E3">
        <w:rPr>
          <w:rFonts w:eastAsiaTheme="minorHAnsi"/>
          <w:b/>
          <w:bCs/>
          <w:iCs/>
        </w:rPr>
        <w:t>PAGE</w:t>
      </w:r>
    </w:p>
    <w:p w:rsidR="00C136E3" w:rsidRPr="00C136E3" w:rsidP="00D22444" w14:paraId="4EE837C4" w14:textId="77777777">
      <w:pPr>
        <w:widowControl w:val="0"/>
        <w:ind w:left="3600" w:firstLine="360"/>
        <w:rPr>
          <w:rFonts w:eastAsiaTheme="minorHAnsi"/>
          <w:b/>
          <w:bCs/>
          <w:iCs/>
        </w:rPr>
      </w:pPr>
    </w:p>
    <w:p w:rsidR="00C20A5E" w14:paraId="2B8263D2" w14:textId="255818F6">
      <w:pPr>
        <w:pStyle w:val="TOC1"/>
        <w:tabs>
          <w:tab w:val="left" w:pos="720"/>
        </w:tabs>
        <w:rPr>
          <w:rFonts w:asciiTheme="minorHAnsi" w:eastAsiaTheme="minorEastAsia" w:hAnsiTheme="minorHAnsi" w:cstheme="minorBidi"/>
          <w:caps w:val="0"/>
          <w:noProof/>
          <w:sz w:val="22"/>
          <w:szCs w:val="22"/>
        </w:rPr>
      </w:pPr>
      <w:r w:rsidRPr="00C136E3">
        <w:rPr>
          <w:b/>
        </w:rPr>
        <w:fldChar w:fldCharType="begin"/>
      </w:r>
      <w:r w:rsidRPr="00C136E3">
        <w:rPr>
          <w:b/>
        </w:rPr>
        <w:instrText xml:space="preserve"> TOC \o "1-2" \h \z \u </w:instrText>
      </w:r>
      <w:r w:rsidRPr="00C136E3">
        <w:rPr>
          <w:b/>
        </w:rPr>
        <w:fldChar w:fldCharType="separate"/>
      </w:r>
      <w:hyperlink w:anchor="_Toc41056294" w:history="1">
        <w:r w:rsidRPr="000B4746">
          <w:rPr>
            <w:rStyle w:val="Hyperlink"/>
            <w:noProof/>
          </w:rPr>
          <w:t>i.</w:t>
        </w:r>
        <w:r>
          <w:rPr>
            <w:rFonts w:asciiTheme="minorHAnsi" w:eastAsiaTheme="minorEastAsia" w:hAnsiTheme="minorHAnsi" w:cstheme="minorBidi"/>
            <w:caps w:val="0"/>
            <w:noProof/>
            <w:sz w:val="22"/>
            <w:szCs w:val="22"/>
          </w:rPr>
          <w:tab/>
        </w:r>
        <w:r w:rsidRPr="000B4746">
          <w:rPr>
            <w:rStyle w:val="Hyperlink"/>
            <w:noProof/>
          </w:rPr>
          <w:t>INTRODUCTION</w:t>
        </w:r>
        <w:r>
          <w:rPr>
            <w:noProof/>
            <w:webHidden/>
          </w:rPr>
          <w:tab/>
        </w:r>
        <w:r>
          <w:rPr>
            <w:noProof/>
            <w:webHidden/>
          </w:rPr>
          <w:fldChar w:fldCharType="begin"/>
        </w:r>
        <w:r>
          <w:rPr>
            <w:noProof/>
            <w:webHidden/>
          </w:rPr>
          <w:instrText xml:space="preserve"> PAGEREF _Toc41056294 \h </w:instrText>
        </w:r>
        <w:r>
          <w:rPr>
            <w:noProof/>
            <w:webHidden/>
          </w:rPr>
          <w:fldChar w:fldCharType="separate"/>
        </w:r>
        <w:r>
          <w:rPr>
            <w:noProof/>
            <w:webHidden/>
          </w:rPr>
          <w:t>1</w:t>
        </w:r>
        <w:r>
          <w:rPr>
            <w:noProof/>
            <w:webHidden/>
          </w:rPr>
          <w:fldChar w:fldCharType="end"/>
        </w:r>
      </w:hyperlink>
    </w:p>
    <w:p w:rsidR="00C20A5E" w14:paraId="443C4575" w14:textId="47481979">
      <w:pPr>
        <w:pStyle w:val="TOC1"/>
        <w:tabs>
          <w:tab w:val="left" w:pos="720"/>
        </w:tabs>
        <w:rPr>
          <w:rFonts w:asciiTheme="minorHAnsi" w:eastAsiaTheme="minorEastAsia" w:hAnsiTheme="minorHAnsi" w:cstheme="minorBidi"/>
          <w:caps w:val="0"/>
          <w:noProof/>
          <w:sz w:val="22"/>
          <w:szCs w:val="22"/>
        </w:rPr>
      </w:pPr>
      <w:hyperlink w:anchor="_Toc41056295" w:history="1">
        <w:r w:rsidRPr="000B4746">
          <w:rPr>
            <w:rStyle w:val="Hyperlink"/>
            <w:noProof/>
          </w:rPr>
          <w:t>ii.</w:t>
        </w:r>
        <w:r>
          <w:rPr>
            <w:rFonts w:asciiTheme="minorHAnsi" w:eastAsiaTheme="minorEastAsia" w:hAnsiTheme="minorHAnsi" w:cstheme="minorBidi"/>
            <w:caps w:val="0"/>
            <w:noProof/>
            <w:sz w:val="22"/>
            <w:szCs w:val="22"/>
          </w:rPr>
          <w:tab/>
        </w:r>
        <w:r w:rsidRPr="000B4746">
          <w:rPr>
            <w:rStyle w:val="Hyperlink"/>
            <w:noProof/>
          </w:rPr>
          <w:t>ASSIGNMENTS OF ERROR</w:t>
        </w:r>
        <w:r>
          <w:rPr>
            <w:noProof/>
            <w:webHidden/>
          </w:rPr>
          <w:tab/>
        </w:r>
        <w:r>
          <w:rPr>
            <w:noProof/>
            <w:webHidden/>
          </w:rPr>
          <w:fldChar w:fldCharType="begin"/>
        </w:r>
        <w:r>
          <w:rPr>
            <w:noProof/>
            <w:webHidden/>
          </w:rPr>
          <w:instrText xml:space="preserve"> PAGEREF _Toc41056295 \h </w:instrText>
        </w:r>
        <w:r>
          <w:rPr>
            <w:noProof/>
            <w:webHidden/>
          </w:rPr>
          <w:fldChar w:fldCharType="separate"/>
        </w:r>
        <w:r>
          <w:rPr>
            <w:noProof/>
            <w:webHidden/>
          </w:rPr>
          <w:t>3</w:t>
        </w:r>
        <w:r>
          <w:rPr>
            <w:noProof/>
            <w:webHidden/>
          </w:rPr>
          <w:fldChar w:fldCharType="end"/>
        </w:r>
      </w:hyperlink>
    </w:p>
    <w:p w:rsidR="00C20A5E" w14:paraId="57416EFF" w14:textId="666018C0">
      <w:pPr>
        <w:pStyle w:val="TOC2"/>
        <w:rPr>
          <w:rFonts w:asciiTheme="minorHAnsi" w:eastAsiaTheme="minorEastAsia" w:hAnsiTheme="minorHAnsi" w:cstheme="minorBidi"/>
          <w:noProof/>
          <w:sz w:val="22"/>
          <w:szCs w:val="22"/>
        </w:rPr>
      </w:pPr>
      <w:hyperlink w:anchor="_Toc41056296" w:history="1">
        <w:r w:rsidRPr="000B4746">
          <w:rPr>
            <w:rStyle w:val="Hyperlink"/>
            <w:noProof/>
          </w:rPr>
          <w:t>ASSIGNMENT OF ERROR NO. 1:  The PUCO erred by failing to find that FirstEnergy Advisors’ Application (as supplemented) violates R.C. 4928.08(B) and Ohio Adm. Code 4901:1-24-10(C), and therefore it should be denied.</w:t>
        </w:r>
        <w:r>
          <w:rPr>
            <w:noProof/>
            <w:webHidden/>
          </w:rPr>
          <w:tab/>
        </w:r>
        <w:r>
          <w:rPr>
            <w:noProof/>
            <w:webHidden/>
          </w:rPr>
          <w:fldChar w:fldCharType="begin"/>
        </w:r>
        <w:r>
          <w:rPr>
            <w:noProof/>
            <w:webHidden/>
          </w:rPr>
          <w:instrText xml:space="preserve"> PAGEREF _Toc41056296 \h </w:instrText>
        </w:r>
        <w:r>
          <w:rPr>
            <w:noProof/>
            <w:webHidden/>
          </w:rPr>
          <w:fldChar w:fldCharType="separate"/>
        </w:r>
        <w:r>
          <w:rPr>
            <w:noProof/>
            <w:webHidden/>
          </w:rPr>
          <w:t>3</w:t>
        </w:r>
        <w:r>
          <w:rPr>
            <w:noProof/>
            <w:webHidden/>
          </w:rPr>
          <w:fldChar w:fldCharType="end"/>
        </w:r>
      </w:hyperlink>
    </w:p>
    <w:p w:rsidR="00C20A5E" w14:paraId="044C1025" w14:textId="46A30462">
      <w:pPr>
        <w:pStyle w:val="TOC2"/>
        <w:rPr>
          <w:rFonts w:asciiTheme="minorHAnsi" w:eastAsiaTheme="minorEastAsia" w:hAnsiTheme="minorHAnsi" w:cstheme="minorBidi"/>
          <w:noProof/>
          <w:sz w:val="22"/>
          <w:szCs w:val="22"/>
        </w:rPr>
      </w:pPr>
      <w:hyperlink w:anchor="_Toc41056297" w:history="1">
        <w:r w:rsidRPr="000B4746">
          <w:rPr>
            <w:rStyle w:val="Hyperlink"/>
            <w:noProof/>
          </w:rPr>
          <w:t>ASSIGNMENT OF ERROR NO. 2:  The PUCO erred by denying the discovery, which intervenors are entitled to conduct (in violation of R.C. 4903.082, Ohio Adm. Code 4901-1-16(A) and Ohio Adm. Code 4901-1-17(A)), by failing to hold a hearing, and by failing to afford due process to intervenors. The Application should be denied.</w:t>
        </w:r>
        <w:r>
          <w:rPr>
            <w:noProof/>
            <w:webHidden/>
          </w:rPr>
          <w:tab/>
        </w:r>
        <w:r>
          <w:rPr>
            <w:noProof/>
            <w:webHidden/>
          </w:rPr>
          <w:fldChar w:fldCharType="begin"/>
        </w:r>
        <w:r>
          <w:rPr>
            <w:noProof/>
            <w:webHidden/>
          </w:rPr>
          <w:instrText xml:space="preserve"> PAGEREF _Toc41056297 \h </w:instrText>
        </w:r>
        <w:r>
          <w:rPr>
            <w:noProof/>
            <w:webHidden/>
          </w:rPr>
          <w:fldChar w:fldCharType="separate"/>
        </w:r>
        <w:r>
          <w:rPr>
            <w:noProof/>
            <w:webHidden/>
          </w:rPr>
          <w:t>6</w:t>
        </w:r>
        <w:r>
          <w:rPr>
            <w:noProof/>
            <w:webHidden/>
          </w:rPr>
          <w:fldChar w:fldCharType="end"/>
        </w:r>
      </w:hyperlink>
    </w:p>
    <w:p w:rsidR="00C20A5E" w14:paraId="7514174E" w14:textId="31EA2DBB">
      <w:pPr>
        <w:pStyle w:val="TOC2"/>
        <w:rPr>
          <w:rFonts w:asciiTheme="minorHAnsi" w:eastAsiaTheme="minorEastAsia" w:hAnsiTheme="minorHAnsi" w:cstheme="minorBidi"/>
          <w:noProof/>
          <w:sz w:val="22"/>
          <w:szCs w:val="22"/>
        </w:rPr>
      </w:pPr>
      <w:hyperlink w:anchor="_Toc41056298" w:history="1">
        <w:r w:rsidRPr="000B4746">
          <w:rPr>
            <w:rStyle w:val="Hyperlink"/>
            <w:noProof/>
          </w:rPr>
          <w:t>ASSIGNMENT OF ERROR NO. 3:  The PUCO’s decision approving the Application is unlawful and is unsupported by record evidence in violation of R.C. 4903.09. The Application should be denied.</w:t>
        </w:r>
        <w:r>
          <w:rPr>
            <w:noProof/>
            <w:webHidden/>
          </w:rPr>
          <w:tab/>
        </w:r>
        <w:r>
          <w:rPr>
            <w:noProof/>
            <w:webHidden/>
          </w:rPr>
          <w:fldChar w:fldCharType="begin"/>
        </w:r>
        <w:r>
          <w:rPr>
            <w:noProof/>
            <w:webHidden/>
          </w:rPr>
          <w:instrText xml:space="preserve"> PAGEREF _Toc41056298 \h </w:instrText>
        </w:r>
        <w:r>
          <w:rPr>
            <w:noProof/>
            <w:webHidden/>
          </w:rPr>
          <w:fldChar w:fldCharType="separate"/>
        </w:r>
        <w:r>
          <w:rPr>
            <w:noProof/>
            <w:webHidden/>
          </w:rPr>
          <w:t>9</w:t>
        </w:r>
        <w:r>
          <w:rPr>
            <w:noProof/>
            <w:webHidden/>
          </w:rPr>
          <w:fldChar w:fldCharType="end"/>
        </w:r>
      </w:hyperlink>
    </w:p>
    <w:p w:rsidR="00C20A5E" w14:paraId="1ECF1090" w14:textId="47F408AC">
      <w:pPr>
        <w:pStyle w:val="TOC2"/>
        <w:rPr>
          <w:rFonts w:asciiTheme="minorHAnsi" w:eastAsiaTheme="minorEastAsia" w:hAnsiTheme="minorHAnsi" w:cstheme="minorBidi"/>
          <w:noProof/>
          <w:sz w:val="22"/>
          <w:szCs w:val="22"/>
        </w:rPr>
      </w:pPr>
      <w:hyperlink w:anchor="_Toc41056299" w:history="1">
        <w:r w:rsidRPr="000B4746">
          <w:rPr>
            <w:rStyle w:val="Hyperlink"/>
            <w:bCs/>
            <w:noProof/>
          </w:rPr>
          <w:t>ASSIGNMENT OF ERROR NO. 4:</w:t>
        </w:r>
        <w:r w:rsidRPr="000B4746">
          <w:rPr>
            <w:rStyle w:val="Hyperlink"/>
            <w:noProof/>
          </w:rPr>
          <w:t xml:space="preserve">  The PUCO erred by failing to render a decision in this case on the inseparable issues pending in its audit of the FirstEnergy Utilities’ corporate separation, Case No. 17-974-EL-UNC. Alternatively, the PUCO erred by failing to hold its decision in abeyance in this case until it fulfills its intention to render a decision in the audit case, No. 17-974-EL-UNC. FirstEnergy Advisors’ Application should be denied or held in abeyance pending due process and a decision in the audit case.</w:t>
        </w:r>
        <w:r>
          <w:rPr>
            <w:noProof/>
            <w:webHidden/>
          </w:rPr>
          <w:tab/>
        </w:r>
        <w:r>
          <w:rPr>
            <w:noProof/>
            <w:webHidden/>
          </w:rPr>
          <w:fldChar w:fldCharType="begin"/>
        </w:r>
        <w:r>
          <w:rPr>
            <w:noProof/>
            <w:webHidden/>
          </w:rPr>
          <w:instrText xml:space="preserve"> PAGEREF _Toc41056299 \h </w:instrText>
        </w:r>
        <w:r>
          <w:rPr>
            <w:noProof/>
            <w:webHidden/>
          </w:rPr>
          <w:fldChar w:fldCharType="separate"/>
        </w:r>
        <w:r>
          <w:rPr>
            <w:noProof/>
            <w:webHidden/>
          </w:rPr>
          <w:t>10</w:t>
        </w:r>
        <w:r>
          <w:rPr>
            <w:noProof/>
            <w:webHidden/>
          </w:rPr>
          <w:fldChar w:fldCharType="end"/>
        </w:r>
      </w:hyperlink>
    </w:p>
    <w:p w:rsidR="00C20A5E" w14:paraId="08BB164B" w14:textId="17148643">
      <w:pPr>
        <w:pStyle w:val="TOC1"/>
        <w:tabs>
          <w:tab w:val="left" w:pos="720"/>
        </w:tabs>
        <w:rPr>
          <w:rFonts w:asciiTheme="minorHAnsi" w:eastAsiaTheme="minorEastAsia" w:hAnsiTheme="minorHAnsi" w:cstheme="minorBidi"/>
          <w:caps w:val="0"/>
          <w:noProof/>
          <w:sz w:val="22"/>
          <w:szCs w:val="22"/>
        </w:rPr>
      </w:pPr>
      <w:hyperlink w:anchor="_Toc41056300" w:history="1">
        <w:r w:rsidRPr="000B4746">
          <w:rPr>
            <w:rStyle w:val="Hyperlink"/>
            <w:noProof/>
          </w:rPr>
          <w:t>Iii.</w:t>
        </w:r>
        <w:r>
          <w:rPr>
            <w:rFonts w:asciiTheme="minorHAnsi" w:eastAsiaTheme="minorEastAsia" w:hAnsiTheme="minorHAnsi" w:cstheme="minorBidi"/>
            <w:caps w:val="0"/>
            <w:noProof/>
            <w:sz w:val="22"/>
            <w:szCs w:val="22"/>
          </w:rPr>
          <w:tab/>
        </w:r>
        <w:r w:rsidRPr="000B4746">
          <w:rPr>
            <w:rStyle w:val="Hyperlink"/>
            <w:noProof/>
          </w:rPr>
          <w:t>CONCLUSION</w:t>
        </w:r>
        <w:r>
          <w:rPr>
            <w:noProof/>
            <w:webHidden/>
          </w:rPr>
          <w:tab/>
        </w:r>
        <w:r>
          <w:rPr>
            <w:noProof/>
            <w:webHidden/>
          </w:rPr>
          <w:fldChar w:fldCharType="begin"/>
        </w:r>
        <w:r>
          <w:rPr>
            <w:noProof/>
            <w:webHidden/>
          </w:rPr>
          <w:instrText xml:space="preserve"> PAGEREF _Toc41056300 \h </w:instrText>
        </w:r>
        <w:r>
          <w:rPr>
            <w:noProof/>
            <w:webHidden/>
          </w:rPr>
          <w:fldChar w:fldCharType="separate"/>
        </w:r>
        <w:r>
          <w:rPr>
            <w:noProof/>
            <w:webHidden/>
          </w:rPr>
          <w:t>13</w:t>
        </w:r>
        <w:r>
          <w:rPr>
            <w:noProof/>
            <w:webHidden/>
          </w:rPr>
          <w:fldChar w:fldCharType="end"/>
        </w:r>
      </w:hyperlink>
    </w:p>
    <w:p w:rsidR="00C136E3" w:rsidRPr="00C136E3" w:rsidP="001D14EC" w14:paraId="3AEFF834" w14:textId="1D0A343A">
      <w:pPr>
        <w:spacing w:after="160" w:line="259" w:lineRule="auto"/>
        <w:rPr>
          <w:b/>
        </w:rPr>
        <w:sectPr w:rsidSect="00C136E3">
          <w:footerReference w:type="first" r:id="rId13"/>
          <w:pgSz w:w="12240" w:h="15840"/>
          <w:pgMar w:top="1440" w:right="1440" w:bottom="1440" w:left="1440" w:header="720" w:footer="720" w:gutter="0"/>
          <w:pgNumType w:fmt="lowerRoman" w:start="1"/>
          <w:cols w:space="720"/>
          <w:titlePg/>
          <w:docGrid w:linePitch="360"/>
        </w:sectPr>
      </w:pPr>
      <w:r w:rsidRPr="00C136E3">
        <w:rPr>
          <w:b/>
        </w:rPr>
        <w:fldChar w:fldCharType="end"/>
      </w:r>
      <w:r w:rsidRPr="00C136E3" w:rsidR="003503B9">
        <w:rPr>
          <w:b/>
        </w:rPr>
        <w:br w:type="page"/>
      </w:r>
    </w:p>
    <w:p w:rsidR="00BB71F3" w:rsidRPr="00C136E3" w:rsidP="00BB71F3" w14:paraId="4BCD1F1E" w14:textId="1435FFFF">
      <w:pPr>
        <w:jc w:val="center"/>
        <w:rPr>
          <w:b/>
        </w:rPr>
      </w:pPr>
      <w:r w:rsidRPr="00C136E3">
        <w:rPr>
          <w:b/>
        </w:rPr>
        <w:t>BEFORE</w:t>
      </w:r>
    </w:p>
    <w:p w:rsidR="00BB71F3" w:rsidRPr="00C136E3" w:rsidP="00BB71F3" w14:paraId="172F948C" w14:textId="77777777">
      <w:pPr>
        <w:jc w:val="center"/>
        <w:rPr>
          <w:b/>
        </w:rPr>
      </w:pPr>
      <w:r w:rsidRPr="00C136E3">
        <w:rPr>
          <w:b/>
        </w:rPr>
        <w:t xml:space="preserve"> THE PUBLIC UTILITIES COMMISSION OF OHIO</w:t>
      </w:r>
    </w:p>
    <w:tbl>
      <w:tblPr>
        <w:tblW w:w="4906" w:type="pct"/>
        <w:tblLook w:val="01E0"/>
      </w:tblPr>
      <w:tblGrid>
        <w:gridCol w:w="4419"/>
        <w:gridCol w:w="621"/>
        <w:gridCol w:w="4144"/>
      </w:tblGrid>
      <w:tr w14:paraId="2D3A7EF8" w14:textId="77777777" w:rsidTr="00980138">
        <w:tblPrEx>
          <w:tblW w:w="4906" w:type="pct"/>
          <w:tblLook w:val="01E0"/>
        </w:tblPrEx>
        <w:trPr>
          <w:trHeight w:val="1616"/>
        </w:trPr>
        <w:tc>
          <w:tcPr>
            <w:tcW w:w="2406" w:type="pct"/>
          </w:tcPr>
          <w:p w:rsidR="00BB71F3" w:rsidRPr="00C136E3" w:rsidP="00980138" w14:paraId="17627FC0" w14:textId="77777777">
            <w:pPr>
              <w:spacing w:line="276" w:lineRule="auto"/>
              <w:jc w:val="both"/>
            </w:pPr>
          </w:p>
          <w:p w:rsidR="00BB71F3" w:rsidRPr="00C136E3" w:rsidP="00980138" w14:paraId="38CBA7C4" w14:textId="77777777">
            <w:r w:rsidRPr="00C136E3">
              <w:t>In the Matter of the Review of the Initial Certification Application of Suvon, LLC d/b/a FirstEnergy Advisors to Provide Aggregation and Broker Services in the State of Ohio.</w:t>
            </w:r>
          </w:p>
        </w:tc>
        <w:tc>
          <w:tcPr>
            <w:tcW w:w="338" w:type="pct"/>
          </w:tcPr>
          <w:p w:rsidR="00BB71F3" w:rsidRPr="00C136E3" w:rsidP="00980138" w14:paraId="77EFDAD3" w14:textId="77777777">
            <w:pPr>
              <w:jc w:val="center"/>
            </w:pPr>
            <w:r w:rsidRPr="00C136E3">
              <w:br/>
              <w:t>)</w:t>
            </w:r>
            <w:r w:rsidRPr="00C136E3">
              <w:br/>
              <w:t>)</w:t>
            </w:r>
            <w:r w:rsidRPr="00C136E3">
              <w:br/>
              <w:t>)</w:t>
            </w:r>
            <w:r w:rsidRPr="00C136E3">
              <w:br/>
              <w:t>)</w:t>
            </w:r>
          </w:p>
          <w:p w:rsidR="00BB71F3" w:rsidRPr="00C136E3" w:rsidP="00980138" w14:paraId="47AABB93" w14:textId="77777777">
            <w:pPr>
              <w:jc w:val="center"/>
            </w:pPr>
            <w:r w:rsidRPr="00C136E3">
              <w:t>)</w:t>
            </w:r>
          </w:p>
        </w:tc>
        <w:tc>
          <w:tcPr>
            <w:tcW w:w="2256" w:type="pct"/>
          </w:tcPr>
          <w:p w:rsidR="00BB71F3" w:rsidRPr="00C136E3" w:rsidP="00980138" w14:paraId="7BEAD808" w14:textId="77777777">
            <w:pPr>
              <w:spacing w:line="276" w:lineRule="auto"/>
            </w:pPr>
          </w:p>
          <w:p w:rsidR="00BB71F3" w:rsidRPr="00C136E3" w:rsidP="00980138" w14:paraId="7B6E9EBE" w14:textId="77777777">
            <w:pPr>
              <w:spacing w:line="276" w:lineRule="auto"/>
            </w:pPr>
          </w:p>
          <w:p w:rsidR="00BB71F3" w:rsidRPr="00C136E3" w:rsidP="00980138" w14:paraId="5DCCD855" w14:textId="77777777">
            <w:pPr>
              <w:spacing w:line="276" w:lineRule="auto"/>
            </w:pPr>
            <w:r w:rsidRPr="00C136E3">
              <w:t>Case No. 20-103-EL-AGG</w:t>
            </w:r>
          </w:p>
          <w:p w:rsidR="00BB71F3" w:rsidRPr="00C136E3" w:rsidP="00980138" w14:paraId="169411B8" w14:textId="77777777">
            <w:pPr>
              <w:spacing w:line="276" w:lineRule="auto"/>
            </w:pPr>
          </w:p>
          <w:p w:rsidR="00BB71F3" w:rsidRPr="00C136E3" w:rsidP="00980138" w14:paraId="49787558" w14:textId="77777777">
            <w:pPr>
              <w:spacing w:line="276" w:lineRule="auto"/>
            </w:pPr>
          </w:p>
        </w:tc>
      </w:tr>
    </w:tbl>
    <w:p w:rsidR="00BB71F3" w:rsidRPr="00C136E3" w:rsidP="00BB71F3" w14:paraId="3825CD4E" w14:textId="77777777">
      <w:pPr>
        <w:rPr>
          <w:b/>
        </w:rPr>
      </w:pPr>
      <w:r w:rsidRPr="00C136E3">
        <w:rPr>
          <w:b/>
        </w:rPr>
        <w:t>________________________________________________________________________</w:t>
      </w:r>
    </w:p>
    <w:p w:rsidR="00BB71F3" w:rsidRPr="00C136E3" w:rsidP="00BB71F3" w14:paraId="1D4201AE" w14:textId="77777777">
      <w:pPr>
        <w:rPr>
          <w:b/>
        </w:rPr>
      </w:pPr>
    </w:p>
    <w:p w:rsidR="00BB71F3" w:rsidRPr="00C136E3" w:rsidP="00BB71F3" w14:paraId="0847299C" w14:textId="77777777">
      <w:pPr>
        <w:jc w:val="center"/>
        <w:rPr>
          <w:b/>
        </w:rPr>
      </w:pPr>
      <w:r w:rsidRPr="00C136E3">
        <w:rPr>
          <w:b/>
        </w:rPr>
        <w:t>MEMORANDUM IN SUPPORT</w:t>
      </w:r>
    </w:p>
    <w:p w:rsidR="00BB71F3" w:rsidRPr="00C136E3" w:rsidP="00BB71F3" w14:paraId="2D13FE65" w14:textId="77777777">
      <w:r w:rsidRPr="00C136E3">
        <w:t>________________________________________________________________________</w:t>
      </w:r>
    </w:p>
    <w:p w:rsidR="00BB71F3" w:rsidRPr="00C136E3" w:rsidP="00BB71F3" w14:paraId="73132F6C" w14:textId="77777777">
      <w:pPr>
        <w:jc w:val="center"/>
      </w:pPr>
    </w:p>
    <w:p w:rsidR="00BB71F3" w:rsidRPr="00C136E3" w:rsidP="00C136E3" w14:paraId="420F2E0E" w14:textId="1F8D60C6">
      <w:pPr>
        <w:pStyle w:val="Heading1"/>
        <w:rPr>
          <w:rFonts w:ascii="Times New Roman" w:hAnsi="Times New Roman" w:cs="Times New Roman"/>
          <w:szCs w:val="24"/>
        </w:rPr>
      </w:pPr>
      <w:bookmarkStart w:id="1" w:name="_Toc40876756"/>
      <w:bookmarkStart w:id="2" w:name="_Toc41050097"/>
      <w:bookmarkStart w:id="3" w:name="_Toc41050331"/>
      <w:bookmarkStart w:id="4" w:name="_Toc41056294"/>
      <w:r w:rsidRPr="00C136E3">
        <w:rPr>
          <w:rFonts w:ascii="Times New Roman" w:hAnsi="Times New Roman" w:cs="Times New Roman"/>
          <w:szCs w:val="24"/>
        </w:rPr>
        <w:t>i.</w:t>
      </w:r>
      <w:r w:rsidRPr="00C136E3">
        <w:rPr>
          <w:rFonts w:ascii="Times New Roman" w:hAnsi="Times New Roman" w:cs="Times New Roman"/>
          <w:szCs w:val="24"/>
        </w:rPr>
        <w:tab/>
      </w:r>
      <w:r w:rsidRPr="00C136E3" w:rsidR="004705BB">
        <w:rPr>
          <w:rFonts w:ascii="Times New Roman" w:hAnsi="Times New Roman" w:cs="Times New Roman"/>
          <w:szCs w:val="24"/>
        </w:rPr>
        <w:t>INTRODUCTION</w:t>
      </w:r>
      <w:bookmarkEnd w:id="1"/>
      <w:bookmarkEnd w:id="2"/>
      <w:bookmarkEnd w:id="3"/>
      <w:bookmarkEnd w:id="4"/>
    </w:p>
    <w:p w:rsidR="009D7FBD" w:rsidRPr="00C136E3" w:rsidP="006C7694" w14:paraId="2301412C" w14:textId="5C3B4C64">
      <w:pPr>
        <w:widowControl w:val="0"/>
        <w:spacing w:line="480" w:lineRule="auto"/>
        <w:ind w:firstLine="720"/>
        <w:contextualSpacing/>
        <w:rPr>
          <w:rFonts w:eastAsiaTheme="minorHAnsi"/>
        </w:rPr>
        <w:sectPr w:rsidSect="0088764A">
          <w:pgSz w:w="12240" w:h="15840"/>
          <w:pgMar w:top="1440" w:right="1440" w:bottom="1440" w:left="1440" w:header="720" w:footer="720" w:gutter="0"/>
          <w:pgNumType w:start="1"/>
          <w:cols w:space="720"/>
          <w:titlePg/>
          <w:docGrid w:linePitch="360"/>
        </w:sectPr>
      </w:pPr>
      <w:r w:rsidRPr="00C136E3">
        <w:rPr>
          <w:rFonts w:eastAsiaTheme="minorHAnsi"/>
        </w:rPr>
        <w:t>In seeking</w:t>
      </w:r>
      <w:r w:rsidRPr="00C136E3" w:rsidR="0088764A">
        <w:rPr>
          <w:rFonts w:eastAsiaTheme="minorHAnsi"/>
        </w:rPr>
        <w:t xml:space="preserve"> to be certified as an aggregator and power broker, a would-be participant in Ohio’s deregulated electricity markets</w:t>
      </w:r>
      <w:r w:rsidRPr="00C136E3">
        <w:rPr>
          <w:rFonts w:eastAsiaTheme="minorHAnsi"/>
        </w:rPr>
        <w:t xml:space="preserve"> must demonstrate that </w:t>
      </w:r>
      <w:r w:rsidRPr="00C136E3" w:rsidR="00807D13">
        <w:rPr>
          <w:rFonts w:eastAsiaTheme="minorHAnsi"/>
        </w:rPr>
        <w:t xml:space="preserve">it </w:t>
      </w:r>
      <w:r w:rsidRPr="00C136E3">
        <w:rPr>
          <w:rFonts w:eastAsiaTheme="minorHAnsi"/>
        </w:rPr>
        <w:t xml:space="preserve">can and will </w:t>
      </w:r>
      <w:r w:rsidRPr="00C136E3" w:rsidR="0088764A">
        <w:rPr>
          <w:rFonts w:eastAsiaTheme="minorHAnsi"/>
        </w:rPr>
        <w:t>comply with Ohio law and the PUCO</w:t>
      </w:r>
      <w:r w:rsidRPr="00C136E3" w:rsidR="00807D13">
        <w:rPr>
          <w:rFonts w:eastAsiaTheme="minorHAnsi"/>
        </w:rPr>
        <w:t>’s</w:t>
      </w:r>
      <w:r w:rsidRPr="00C136E3" w:rsidR="0088764A">
        <w:rPr>
          <w:rFonts w:eastAsiaTheme="minorHAnsi"/>
        </w:rPr>
        <w:t xml:space="preserve"> rules regarding corporate separation.</w:t>
      </w:r>
      <w:r>
        <w:rPr>
          <w:rStyle w:val="FootnoteReference"/>
          <w:rFonts w:eastAsiaTheme="minorHAnsi"/>
        </w:rPr>
        <w:footnoteReference w:id="5"/>
      </w:r>
      <w:r w:rsidRPr="00C136E3" w:rsidR="0088764A">
        <w:rPr>
          <w:rFonts w:eastAsiaTheme="minorHAnsi"/>
        </w:rPr>
        <w:t xml:space="preserve"> </w:t>
      </w:r>
      <w:r w:rsidRPr="00C136E3">
        <w:rPr>
          <w:rFonts w:eastAsiaTheme="minorHAnsi"/>
        </w:rPr>
        <w:t xml:space="preserve"> </w:t>
      </w:r>
      <w:r w:rsidRPr="00C136E3" w:rsidR="00807D13">
        <w:rPr>
          <w:rFonts w:eastAsiaTheme="minorHAnsi"/>
        </w:rPr>
        <w:t>For reasons this case makes obvious, t</w:t>
      </w:r>
      <w:r w:rsidRPr="00C136E3" w:rsidR="0088764A">
        <w:rPr>
          <w:rFonts w:eastAsiaTheme="minorHAnsi"/>
        </w:rPr>
        <w:t xml:space="preserve">hese rules and laws exist </w:t>
      </w:r>
      <w:r w:rsidRPr="00C136E3" w:rsidR="00807D13">
        <w:rPr>
          <w:rFonts w:eastAsiaTheme="minorHAnsi"/>
        </w:rPr>
        <w:t xml:space="preserve">to prevent affiliates of monopoly utilities from leveraging that relationship to gain an unfair advantage to the detriment of </w:t>
      </w:r>
      <w:r w:rsidRPr="00C136E3" w:rsidR="00775331">
        <w:rPr>
          <w:rFonts w:eastAsiaTheme="minorHAnsi"/>
        </w:rPr>
        <w:t xml:space="preserve">both </w:t>
      </w:r>
      <w:r w:rsidRPr="00C136E3" w:rsidR="00807D13">
        <w:rPr>
          <w:rFonts w:eastAsiaTheme="minorHAnsi"/>
        </w:rPr>
        <w:t xml:space="preserve">other competitors and </w:t>
      </w:r>
      <w:r w:rsidRPr="00C136E3" w:rsidR="00775331">
        <w:rPr>
          <w:rFonts w:eastAsiaTheme="minorHAnsi"/>
        </w:rPr>
        <w:t>consumers who benefit from competition</w:t>
      </w:r>
      <w:r w:rsidRPr="00C136E3" w:rsidR="00807D13">
        <w:rPr>
          <w:rFonts w:eastAsiaTheme="minorHAnsi"/>
        </w:rPr>
        <w:t>.</w:t>
      </w:r>
      <w:r>
        <w:rPr>
          <w:rStyle w:val="FootnoteReference"/>
          <w:rFonts w:eastAsiaTheme="minorHAnsi"/>
        </w:rPr>
        <w:footnoteReference w:id="6"/>
      </w:r>
      <w:r w:rsidRPr="00C136E3" w:rsidR="00775331">
        <w:rPr>
          <w:rFonts w:eastAsiaTheme="minorHAnsi"/>
        </w:rPr>
        <w:t xml:space="preserve">  </w:t>
      </w:r>
      <w:r w:rsidRPr="00C136E3" w:rsidR="0088764A">
        <w:rPr>
          <w:rFonts w:eastAsiaTheme="minorHAnsi"/>
        </w:rPr>
        <w:t>First</w:t>
      </w:r>
      <w:r w:rsidRPr="00C136E3" w:rsidR="00037C15">
        <w:rPr>
          <w:rFonts w:eastAsiaTheme="minorHAnsi"/>
        </w:rPr>
        <w:t>Energy Advisors</w:t>
      </w:r>
      <w:r w:rsidRPr="00C136E3" w:rsidR="00775331">
        <w:rPr>
          <w:rFonts w:eastAsiaTheme="minorHAnsi"/>
        </w:rPr>
        <w:t xml:space="preserve"> </w:t>
      </w:r>
      <w:r w:rsidRPr="00C136E3" w:rsidR="0088764A">
        <w:rPr>
          <w:rFonts w:eastAsiaTheme="minorHAnsi"/>
        </w:rPr>
        <w:t>fail</w:t>
      </w:r>
      <w:r w:rsidRPr="00C136E3" w:rsidR="00775331">
        <w:rPr>
          <w:rFonts w:eastAsiaTheme="minorHAnsi"/>
        </w:rPr>
        <w:t>ed</w:t>
      </w:r>
      <w:r w:rsidRPr="00C136E3" w:rsidR="0088764A">
        <w:rPr>
          <w:rFonts w:eastAsiaTheme="minorHAnsi"/>
        </w:rPr>
        <w:t xml:space="preserve"> to meet its burden to demonstrate </w:t>
      </w:r>
      <w:r w:rsidRPr="00C136E3" w:rsidR="00976AF8">
        <w:rPr>
          <w:rFonts w:eastAsiaTheme="minorHAnsi"/>
        </w:rPr>
        <w:t xml:space="preserve">that </w:t>
      </w:r>
      <w:r w:rsidRPr="00C136E3" w:rsidR="00775331">
        <w:rPr>
          <w:rFonts w:eastAsiaTheme="minorHAnsi"/>
        </w:rPr>
        <w:t>it</w:t>
      </w:r>
      <w:r w:rsidRPr="00C136E3" w:rsidR="00976AF8">
        <w:rPr>
          <w:rFonts w:eastAsiaTheme="minorHAnsi"/>
        </w:rPr>
        <w:t xml:space="preserve"> is able</w:t>
      </w:r>
      <w:r w:rsidRPr="00C136E3" w:rsidR="0088764A">
        <w:rPr>
          <w:rFonts w:eastAsiaTheme="minorHAnsi"/>
        </w:rPr>
        <w:t xml:space="preserve"> to comply with PUCO rules, orders, and Ohio law on corporate separation.</w:t>
      </w:r>
      <w:r>
        <w:rPr>
          <w:rStyle w:val="FootnoteReference"/>
          <w:rFonts w:eastAsiaTheme="minorHAnsi"/>
        </w:rPr>
        <w:footnoteReference w:id="7"/>
      </w:r>
      <w:r w:rsidRPr="00C136E3" w:rsidR="009019A6">
        <w:rPr>
          <w:rFonts w:eastAsiaTheme="minorHAnsi"/>
        </w:rPr>
        <w:t xml:space="preserve"> </w:t>
      </w:r>
      <w:r w:rsidRPr="00C136E3" w:rsidR="00A22420">
        <w:rPr>
          <w:rFonts w:eastAsiaTheme="minorHAnsi"/>
        </w:rPr>
        <w:t xml:space="preserve"> </w:t>
      </w:r>
    </w:p>
    <w:p w:rsidR="001838BC" w:rsidRPr="00C136E3" w:rsidP="00564791" w14:paraId="14B9C552" w14:textId="311DACA3">
      <w:pPr>
        <w:widowControl w:val="0"/>
        <w:spacing w:line="480" w:lineRule="auto"/>
        <w:ind w:firstLine="720"/>
        <w:contextualSpacing/>
        <w:rPr>
          <w:rFonts w:eastAsiaTheme="minorHAnsi"/>
        </w:rPr>
      </w:pPr>
      <w:r w:rsidRPr="00C136E3">
        <w:rPr>
          <w:rFonts w:eastAsiaTheme="minorHAnsi"/>
        </w:rPr>
        <w:t>It should be quite</w:t>
      </w:r>
      <w:r w:rsidRPr="00C136E3" w:rsidR="009019A6">
        <w:rPr>
          <w:rFonts w:eastAsiaTheme="minorHAnsi"/>
        </w:rPr>
        <w:t xml:space="preserve"> concerning</w:t>
      </w:r>
      <w:r w:rsidRPr="00C136E3">
        <w:rPr>
          <w:rFonts w:eastAsiaTheme="minorHAnsi"/>
        </w:rPr>
        <w:t xml:space="preserve"> to regulators</w:t>
      </w:r>
      <w:r w:rsidRPr="00C136E3" w:rsidR="009019A6">
        <w:rPr>
          <w:rFonts w:eastAsiaTheme="minorHAnsi"/>
        </w:rPr>
        <w:t xml:space="preserve"> that FirstEnergy Advisors will be managed and</w:t>
      </w:r>
      <w:r w:rsidRPr="00C136E3" w:rsidR="0001173C">
        <w:rPr>
          <w:rFonts w:eastAsiaTheme="minorHAnsi"/>
        </w:rPr>
        <w:t xml:space="preserve"> </w:t>
      </w:r>
      <w:r w:rsidRPr="00C136E3" w:rsidR="009019A6">
        <w:rPr>
          <w:rFonts w:eastAsiaTheme="minorHAnsi"/>
        </w:rPr>
        <w:t>controlled by the same executives who manage and control Fi</w:t>
      </w:r>
      <w:r w:rsidRPr="00C136E3" w:rsidR="0001173C">
        <w:rPr>
          <w:rFonts w:eastAsiaTheme="minorHAnsi"/>
        </w:rPr>
        <w:t>rstEnergy</w:t>
      </w:r>
      <w:r w:rsidRPr="00C136E3">
        <w:rPr>
          <w:rFonts w:eastAsiaTheme="minorHAnsi"/>
        </w:rPr>
        <w:t>’s</w:t>
      </w:r>
      <w:r w:rsidRPr="00C136E3" w:rsidR="0001173C">
        <w:rPr>
          <w:rFonts w:eastAsiaTheme="minorHAnsi"/>
        </w:rPr>
        <w:t xml:space="preserve"> regulated utilities</w:t>
      </w:r>
      <w:r w:rsidRPr="00C136E3" w:rsidR="009019A6">
        <w:rPr>
          <w:rFonts w:eastAsiaTheme="minorHAnsi"/>
        </w:rPr>
        <w:t>.</w:t>
      </w:r>
      <w:r>
        <w:rPr>
          <w:rStyle w:val="FootnoteReference"/>
          <w:rFonts w:eastAsiaTheme="minorHAnsi"/>
        </w:rPr>
        <w:footnoteReference w:id="8"/>
      </w:r>
      <w:r w:rsidRPr="00C136E3" w:rsidR="009019A6">
        <w:rPr>
          <w:rFonts w:eastAsiaTheme="minorHAnsi"/>
        </w:rPr>
        <w:t xml:space="preserve"> </w:t>
      </w:r>
      <w:r w:rsidRPr="00C136E3" w:rsidR="00236CC0">
        <w:rPr>
          <w:rFonts w:eastAsiaTheme="minorHAnsi"/>
        </w:rPr>
        <w:t xml:space="preserve"> </w:t>
      </w:r>
      <w:r w:rsidRPr="00C136E3" w:rsidR="009019A6">
        <w:rPr>
          <w:rFonts w:eastAsiaTheme="minorHAnsi"/>
        </w:rPr>
        <w:t>FirstEnergy Advisors also plans to do business under the “FirstEnergy” name</w:t>
      </w:r>
      <w:r w:rsidRPr="00C136E3">
        <w:rPr>
          <w:rFonts w:eastAsiaTheme="minorHAnsi"/>
        </w:rPr>
        <w:t>. That approach</w:t>
      </w:r>
      <w:r w:rsidRPr="00C136E3" w:rsidR="009019A6">
        <w:rPr>
          <w:rFonts w:eastAsiaTheme="minorHAnsi"/>
        </w:rPr>
        <w:t xml:space="preserve"> could cause customer confusion and give FirstEnergy Advisors an unfair competitive advantage over other competitive brokers and aggregators</w:t>
      </w:r>
      <w:r w:rsidRPr="00C136E3">
        <w:rPr>
          <w:rFonts w:eastAsiaTheme="minorHAnsi"/>
        </w:rPr>
        <w:t>,</w:t>
      </w:r>
      <w:r w:rsidRPr="00C136E3" w:rsidR="009019A6">
        <w:rPr>
          <w:rFonts w:eastAsiaTheme="minorHAnsi"/>
        </w:rPr>
        <w:t xml:space="preserve"> in </w:t>
      </w:r>
      <w:r w:rsidRPr="00C136E3" w:rsidR="00373660">
        <w:rPr>
          <w:rFonts w:eastAsiaTheme="minorHAnsi"/>
        </w:rPr>
        <w:t>violation of the PUCO’s rules.</w:t>
      </w:r>
      <w:r>
        <w:rPr>
          <w:rStyle w:val="FootnoteReference"/>
          <w:rFonts w:eastAsiaTheme="minorHAnsi"/>
        </w:rPr>
        <w:footnoteReference w:id="9"/>
      </w:r>
      <w:r w:rsidRPr="00C136E3" w:rsidR="00820385">
        <w:rPr>
          <w:rFonts w:eastAsiaTheme="minorHAnsi"/>
        </w:rPr>
        <w:t xml:space="preserve"> </w:t>
      </w:r>
    </w:p>
    <w:p w:rsidR="00373660" w:rsidRPr="00C136E3" w:rsidP="00564791" w14:paraId="5BB313CA" w14:textId="7055CE5D">
      <w:pPr>
        <w:widowControl w:val="0"/>
        <w:spacing w:line="480" w:lineRule="auto"/>
        <w:ind w:firstLine="720"/>
        <w:contextualSpacing/>
        <w:rPr>
          <w:rFonts w:eastAsiaTheme="minorHAnsi"/>
        </w:rPr>
      </w:pPr>
      <w:r w:rsidRPr="00C136E3">
        <w:rPr>
          <w:rFonts w:eastAsiaTheme="minorHAnsi"/>
        </w:rPr>
        <w:t>T</w:t>
      </w:r>
      <w:r w:rsidRPr="00C136E3" w:rsidR="00174463">
        <w:rPr>
          <w:rFonts w:eastAsiaTheme="minorHAnsi"/>
        </w:rPr>
        <w:t>he</w:t>
      </w:r>
      <w:r w:rsidRPr="00C136E3">
        <w:rPr>
          <w:rFonts w:eastAsiaTheme="minorHAnsi"/>
        </w:rPr>
        <w:t xml:space="preserve"> PUCO-approved </w:t>
      </w:r>
      <w:r w:rsidRPr="00C136E3" w:rsidR="00A22420">
        <w:rPr>
          <w:rFonts w:eastAsiaTheme="minorHAnsi"/>
        </w:rPr>
        <w:t>a</w:t>
      </w:r>
      <w:r w:rsidRPr="00C136E3">
        <w:rPr>
          <w:rFonts w:eastAsiaTheme="minorHAnsi"/>
        </w:rPr>
        <w:t>uditor</w:t>
      </w:r>
      <w:r w:rsidRPr="00C136E3" w:rsidR="00775331">
        <w:rPr>
          <w:rFonts w:eastAsiaTheme="minorHAnsi"/>
        </w:rPr>
        <w:t>,</w:t>
      </w:r>
      <w:r w:rsidRPr="00C136E3">
        <w:rPr>
          <w:rFonts w:eastAsiaTheme="minorHAnsi"/>
        </w:rPr>
        <w:t xml:space="preserve"> in </w:t>
      </w:r>
      <w:r w:rsidRPr="00C136E3" w:rsidR="00FE393F">
        <w:rPr>
          <w:rFonts w:eastAsiaTheme="minorHAnsi"/>
        </w:rPr>
        <w:t xml:space="preserve">the </w:t>
      </w:r>
      <w:r w:rsidRPr="00C136E3">
        <w:rPr>
          <w:rFonts w:eastAsiaTheme="minorHAnsi"/>
        </w:rPr>
        <w:t>FirstEnergy</w:t>
      </w:r>
      <w:r w:rsidRPr="00C136E3" w:rsidR="00FE393F">
        <w:rPr>
          <w:rFonts w:eastAsiaTheme="minorHAnsi"/>
        </w:rPr>
        <w:t xml:space="preserve"> Utilities</w:t>
      </w:r>
      <w:r w:rsidRPr="00C136E3">
        <w:rPr>
          <w:rFonts w:eastAsiaTheme="minorHAnsi"/>
        </w:rPr>
        <w:t xml:space="preserve">’ corporate separation </w:t>
      </w:r>
      <w:r w:rsidRPr="00C136E3" w:rsidR="002809F8">
        <w:rPr>
          <w:rFonts w:eastAsiaTheme="minorHAnsi"/>
        </w:rPr>
        <w:t>a</w:t>
      </w:r>
      <w:r w:rsidRPr="00C136E3">
        <w:rPr>
          <w:rFonts w:eastAsiaTheme="minorHAnsi"/>
        </w:rPr>
        <w:t xml:space="preserve">udit </w:t>
      </w:r>
      <w:r w:rsidRPr="00C136E3" w:rsidR="002809F8">
        <w:rPr>
          <w:rFonts w:eastAsiaTheme="minorHAnsi"/>
        </w:rPr>
        <w:t>c</w:t>
      </w:r>
      <w:r w:rsidRPr="00C136E3">
        <w:rPr>
          <w:rFonts w:eastAsiaTheme="minorHAnsi"/>
        </w:rPr>
        <w:t xml:space="preserve">ase, recommended against </w:t>
      </w:r>
      <w:r w:rsidRPr="00C136E3" w:rsidR="00FE393F">
        <w:rPr>
          <w:rFonts w:eastAsiaTheme="minorHAnsi"/>
        </w:rPr>
        <w:t xml:space="preserve">the </w:t>
      </w:r>
      <w:r w:rsidRPr="00C136E3">
        <w:rPr>
          <w:rFonts w:eastAsiaTheme="minorHAnsi"/>
        </w:rPr>
        <w:t>use of the “FirstEnergy” name in providing competitive services.</w:t>
      </w:r>
      <w:r>
        <w:rPr>
          <w:rStyle w:val="FootnoteReference"/>
          <w:rFonts w:eastAsiaTheme="minorHAnsi"/>
        </w:rPr>
        <w:footnoteReference w:id="10"/>
      </w:r>
      <w:r w:rsidRPr="00C136E3" w:rsidR="001838BC">
        <w:rPr>
          <w:rFonts w:eastAsiaTheme="minorHAnsi"/>
        </w:rPr>
        <w:t xml:space="preserve"> </w:t>
      </w:r>
      <w:r w:rsidRPr="00C136E3">
        <w:rPr>
          <w:rFonts w:eastAsiaTheme="minorHAnsi"/>
        </w:rPr>
        <w:t xml:space="preserve"> </w:t>
      </w:r>
      <w:r w:rsidRPr="00C136E3" w:rsidR="001838BC">
        <w:rPr>
          <w:rFonts w:eastAsiaTheme="minorHAnsi"/>
        </w:rPr>
        <w:t xml:space="preserve">The </w:t>
      </w:r>
      <w:r w:rsidRPr="00C136E3" w:rsidR="002809F8">
        <w:rPr>
          <w:rFonts w:eastAsiaTheme="minorHAnsi"/>
        </w:rPr>
        <w:t>a</w:t>
      </w:r>
      <w:r w:rsidRPr="00C136E3" w:rsidR="001838BC">
        <w:rPr>
          <w:rFonts w:eastAsiaTheme="minorHAnsi"/>
        </w:rPr>
        <w:t xml:space="preserve">uditor concluded that allowing FirstEnergy </w:t>
      </w:r>
      <w:r w:rsidRPr="00C136E3" w:rsidR="00FE393F">
        <w:rPr>
          <w:rFonts w:eastAsiaTheme="minorHAnsi"/>
        </w:rPr>
        <w:t>competitive affiliates</w:t>
      </w:r>
      <w:r w:rsidRPr="00C136E3" w:rsidR="001838BC">
        <w:rPr>
          <w:rFonts w:eastAsiaTheme="minorHAnsi"/>
        </w:rPr>
        <w:t xml:space="preserve"> to do business under the “FirstEnergy” name “implies</w:t>
      </w:r>
      <w:r w:rsidRPr="00C136E3" w:rsidR="00236CC0">
        <w:rPr>
          <w:rFonts w:eastAsiaTheme="minorHAnsi"/>
        </w:rPr>
        <w:t xml:space="preserve"> an endorsement </w:t>
      </w:r>
      <w:r w:rsidRPr="00C136E3" w:rsidR="001838BC">
        <w:rPr>
          <w:rFonts w:eastAsiaTheme="minorHAnsi"/>
        </w:rPr>
        <w:t>by the FirstEnergy Ohio Companies.”</w:t>
      </w:r>
      <w:r>
        <w:rPr>
          <w:rStyle w:val="FootnoteReference"/>
          <w:rFonts w:eastAsiaTheme="minorHAnsi"/>
        </w:rPr>
        <w:footnoteReference w:id="11"/>
      </w:r>
      <w:r w:rsidRPr="00C136E3" w:rsidR="00236CC0">
        <w:rPr>
          <w:rFonts w:eastAsiaTheme="minorHAnsi"/>
        </w:rPr>
        <w:t xml:space="preserve">  The </w:t>
      </w:r>
      <w:r w:rsidRPr="00C136E3" w:rsidR="002809F8">
        <w:rPr>
          <w:rFonts w:eastAsiaTheme="minorHAnsi"/>
        </w:rPr>
        <w:t>a</w:t>
      </w:r>
      <w:r w:rsidRPr="00C136E3" w:rsidR="00236CC0">
        <w:rPr>
          <w:rFonts w:eastAsiaTheme="minorHAnsi"/>
        </w:rPr>
        <w:t xml:space="preserve">uditor </w:t>
      </w:r>
      <w:r w:rsidRPr="00C136E3" w:rsidR="001838BC">
        <w:rPr>
          <w:rFonts w:eastAsiaTheme="minorHAnsi"/>
        </w:rPr>
        <w:t>found that preventing FirstEnergy</w:t>
      </w:r>
      <w:r w:rsidRPr="00C136E3" w:rsidR="00FE393F">
        <w:rPr>
          <w:rFonts w:eastAsiaTheme="minorHAnsi"/>
        </w:rPr>
        <w:t xml:space="preserve"> Utilities’ affiliates</w:t>
      </w:r>
      <w:r w:rsidRPr="00C136E3" w:rsidR="00775331">
        <w:rPr>
          <w:rFonts w:eastAsiaTheme="minorHAnsi"/>
        </w:rPr>
        <w:t xml:space="preserve"> </w:t>
      </w:r>
      <w:r w:rsidRPr="00C136E3" w:rsidR="001838BC">
        <w:rPr>
          <w:rFonts w:eastAsiaTheme="minorHAnsi"/>
        </w:rPr>
        <w:t xml:space="preserve">from using the </w:t>
      </w:r>
      <w:r w:rsidRPr="00C136E3" w:rsidR="00775331">
        <w:rPr>
          <w:rFonts w:eastAsiaTheme="minorHAnsi"/>
        </w:rPr>
        <w:t xml:space="preserve">FirstEnergy brand </w:t>
      </w:r>
      <w:r w:rsidRPr="00C136E3" w:rsidR="001838BC">
        <w:rPr>
          <w:rFonts w:eastAsiaTheme="minorHAnsi"/>
        </w:rPr>
        <w:t>name would help “eliminate affiliate bias.”</w:t>
      </w:r>
      <w:r>
        <w:rPr>
          <w:rStyle w:val="FootnoteReference"/>
          <w:rFonts w:eastAsiaTheme="minorHAnsi"/>
        </w:rPr>
        <w:footnoteReference w:id="12"/>
      </w:r>
      <w:r w:rsidRPr="00C136E3" w:rsidR="00775331">
        <w:rPr>
          <w:rFonts w:eastAsiaTheme="minorHAnsi"/>
        </w:rPr>
        <w:t xml:space="preserve"> </w:t>
      </w:r>
      <w:r w:rsidRPr="00C136E3" w:rsidR="00757298">
        <w:rPr>
          <w:rFonts w:eastAsiaTheme="minorHAnsi"/>
        </w:rPr>
        <w:t>Contrarily</w:t>
      </w:r>
      <w:r w:rsidRPr="00C136E3" w:rsidR="00775331">
        <w:rPr>
          <w:rFonts w:eastAsiaTheme="minorHAnsi"/>
        </w:rPr>
        <w:t>, FirstEnergy Advisors is using the FirstEnergy name</w:t>
      </w:r>
      <w:r w:rsidRPr="00C136E3" w:rsidR="00D54B59">
        <w:rPr>
          <w:rFonts w:eastAsiaTheme="minorHAnsi"/>
        </w:rPr>
        <w:t xml:space="preserve"> and FirstEnergy logo</w:t>
      </w:r>
      <w:r w:rsidRPr="00C136E3" w:rsidR="00775331">
        <w:rPr>
          <w:rFonts w:eastAsiaTheme="minorHAnsi"/>
        </w:rPr>
        <w:t>.</w:t>
      </w:r>
    </w:p>
    <w:p w:rsidR="00820385" w:rsidRPr="00C136E3" w:rsidP="00564791" w14:paraId="59324F01" w14:textId="7EB64506">
      <w:pPr>
        <w:widowControl w:val="0"/>
        <w:spacing w:line="480" w:lineRule="auto"/>
        <w:ind w:firstLine="720"/>
        <w:contextualSpacing/>
        <w:rPr>
          <w:rFonts w:eastAsiaTheme="minorHAnsi"/>
        </w:rPr>
      </w:pPr>
      <w:r w:rsidRPr="00C136E3">
        <w:rPr>
          <w:rFonts w:eastAsiaTheme="minorHAnsi"/>
        </w:rPr>
        <w:t>The</w:t>
      </w:r>
      <w:r w:rsidRPr="00C136E3" w:rsidR="00757298">
        <w:rPr>
          <w:rFonts w:eastAsiaTheme="minorHAnsi"/>
        </w:rPr>
        <w:t xml:space="preserve"> </w:t>
      </w:r>
      <w:r w:rsidRPr="00C136E3" w:rsidR="002A5CA1">
        <w:rPr>
          <w:rFonts w:eastAsiaTheme="minorHAnsi"/>
        </w:rPr>
        <w:t xml:space="preserve">one-page </w:t>
      </w:r>
      <w:r w:rsidRPr="00C136E3" w:rsidR="00757298">
        <w:rPr>
          <w:rFonts w:eastAsiaTheme="minorHAnsi"/>
        </w:rPr>
        <w:t>PUCO Staff Report and the</w:t>
      </w:r>
      <w:r w:rsidRPr="00C136E3">
        <w:rPr>
          <w:rFonts w:eastAsiaTheme="minorHAnsi"/>
        </w:rPr>
        <w:t xml:space="preserve"> Supplemental Application</w:t>
      </w:r>
      <w:r>
        <w:rPr>
          <w:rStyle w:val="FootnoteReference"/>
          <w:rFonts w:eastAsiaTheme="minorHAnsi"/>
        </w:rPr>
        <w:footnoteReference w:id="13"/>
      </w:r>
      <w:r w:rsidRPr="00C136E3">
        <w:rPr>
          <w:rFonts w:eastAsiaTheme="minorHAnsi"/>
        </w:rPr>
        <w:t xml:space="preserve"> filed by FirstEnergy Advisors </w:t>
      </w:r>
      <w:r w:rsidRPr="00C136E3" w:rsidR="001838BC">
        <w:rPr>
          <w:rFonts w:eastAsiaTheme="minorHAnsi"/>
        </w:rPr>
        <w:t>fail to</w:t>
      </w:r>
      <w:r w:rsidRPr="00C136E3">
        <w:rPr>
          <w:rFonts w:eastAsiaTheme="minorHAnsi"/>
        </w:rPr>
        <w:t xml:space="preserve"> alleviate the concerns </w:t>
      </w:r>
      <w:r w:rsidRPr="00C136E3" w:rsidR="002E752D">
        <w:rPr>
          <w:rFonts w:eastAsiaTheme="minorHAnsi"/>
        </w:rPr>
        <w:t>under law and rule</w:t>
      </w:r>
      <w:r w:rsidRPr="00C136E3">
        <w:rPr>
          <w:rFonts w:eastAsiaTheme="minorHAnsi"/>
        </w:rPr>
        <w:t xml:space="preserve">. </w:t>
      </w:r>
      <w:r w:rsidRPr="00C136E3" w:rsidR="00FE393F">
        <w:rPr>
          <w:rFonts w:eastAsiaTheme="minorHAnsi"/>
        </w:rPr>
        <w:t xml:space="preserve"> </w:t>
      </w:r>
      <w:r w:rsidRPr="00C136E3" w:rsidR="00B74641">
        <w:rPr>
          <w:rFonts w:eastAsiaTheme="minorHAnsi"/>
        </w:rPr>
        <w:t xml:space="preserve">Moreover, </w:t>
      </w:r>
      <w:r w:rsidRPr="00C136E3" w:rsidR="002E4C02">
        <w:rPr>
          <w:rFonts w:eastAsiaTheme="minorHAnsi"/>
        </w:rPr>
        <w:t>interven</w:t>
      </w:r>
      <w:r w:rsidRPr="00C136E3" w:rsidR="00E34584">
        <w:rPr>
          <w:rFonts w:eastAsiaTheme="minorHAnsi"/>
        </w:rPr>
        <w:t>o</w:t>
      </w:r>
      <w:r w:rsidRPr="00C136E3" w:rsidR="002E4C02">
        <w:rPr>
          <w:rFonts w:eastAsiaTheme="minorHAnsi"/>
        </w:rPr>
        <w:t xml:space="preserve">rs were precluded from supporting their positions with more information than what </w:t>
      </w:r>
      <w:r w:rsidRPr="00C136E3" w:rsidR="001838BC">
        <w:rPr>
          <w:rFonts w:eastAsiaTheme="minorHAnsi"/>
        </w:rPr>
        <w:t>FirstEnergy Advisors</w:t>
      </w:r>
      <w:r w:rsidRPr="00C136E3" w:rsidR="002E4C02">
        <w:rPr>
          <w:rFonts w:eastAsiaTheme="minorHAnsi"/>
        </w:rPr>
        <w:t xml:space="preserve"> filed, because FirstEnergy Advisors declined to answer discovery and the PUCO allowed that. </w:t>
      </w:r>
      <w:r w:rsidRPr="00C136E3" w:rsidR="001838BC">
        <w:rPr>
          <w:rFonts w:eastAsiaTheme="minorHAnsi"/>
        </w:rPr>
        <w:t xml:space="preserve"> </w:t>
      </w:r>
      <w:r w:rsidRPr="00C136E3" w:rsidR="002E4C02">
        <w:rPr>
          <w:rFonts w:eastAsiaTheme="minorHAnsi"/>
        </w:rPr>
        <w:t xml:space="preserve">It also is not known </w:t>
      </w:r>
      <w:r w:rsidRPr="00C136E3" w:rsidR="001838BC">
        <w:rPr>
          <w:rFonts w:eastAsiaTheme="minorHAnsi"/>
        </w:rPr>
        <w:t xml:space="preserve">what, if any, additional information </w:t>
      </w:r>
      <w:r w:rsidRPr="00C136E3" w:rsidR="002E4C02">
        <w:rPr>
          <w:rFonts w:eastAsiaTheme="minorHAnsi"/>
        </w:rPr>
        <w:t>FirstEnergy Advisors</w:t>
      </w:r>
      <w:r w:rsidRPr="00C136E3" w:rsidR="001838BC">
        <w:rPr>
          <w:rFonts w:eastAsiaTheme="minorHAnsi"/>
        </w:rPr>
        <w:t xml:space="preserve"> provided to the PUCO Staff.</w:t>
      </w:r>
      <w:r w:rsidRPr="00C136E3" w:rsidR="00FE393F">
        <w:rPr>
          <w:rFonts w:eastAsiaTheme="minorHAnsi"/>
        </w:rPr>
        <w:t xml:space="preserve"> </w:t>
      </w:r>
      <w:r w:rsidRPr="00C136E3" w:rsidR="001838BC">
        <w:rPr>
          <w:rFonts w:eastAsiaTheme="minorHAnsi"/>
        </w:rPr>
        <w:t xml:space="preserve"> Instead, </w:t>
      </w:r>
      <w:r w:rsidRPr="00C136E3">
        <w:rPr>
          <w:rFonts w:eastAsiaTheme="minorHAnsi"/>
        </w:rPr>
        <w:t xml:space="preserve">FirstEnergy Advisors seems intent on keeping secret </w:t>
      </w:r>
      <w:r w:rsidRPr="00C136E3" w:rsidR="002E4C02">
        <w:rPr>
          <w:rFonts w:eastAsiaTheme="minorHAnsi"/>
        </w:rPr>
        <w:t>relevant</w:t>
      </w:r>
      <w:r w:rsidRPr="00C136E3">
        <w:rPr>
          <w:rFonts w:eastAsiaTheme="minorHAnsi"/>
        </w:rPr>
        <w:t xml:space="preserve"> details regarding how it wi</w:t>
      </w:r>
      <w:r w:rsidRPr="00C136E3" w:rsidR="001838BC">
        <w:rPr>
          <w:rFonts w:eastAsiaTheme="minorHAnsi"/>
        </w:rPr>
        <w:t>ll provide service to Ohioans.</w:t>
      </w:r>
      <w:r>
        <w:rPr>
          <w:rStyle w:val="FootnoteReference"/>
          <w:rFonts w:eastAsiaTheme="minorHAnsi"/>
        </w:rPr>
        <w:footnoteReference w:id="14"/>
      </w:r>
      <w:r w:rsidRPr="00C136E3" w:rsidR="001838BC">
        <w:rPr>
          <w:rFonts w:eastAsiaTheme="minorHAnsi"/>
        </w:rPr>
        <w:t xml:space="preserve"> </w:t>
      </w:r>
      <w:r w:rsidRPr="00C136E3" w:rsidR="00FE393F">
        <w:rPr>
          <w:rFonts w:eastAsiaTheme="minorHAnsi"/>
        </w:rPr>
        <w:t xml:space="preserve"> </w:t>
      </w:r>
    </w:p>
    <w:p w:rsidR="004A5CE0" w:rsidRPr="00C136E3" w:rsidP="00564791" w14:paraId="7BBB41BE" w14:textId="456F8E70">
      <w:pPr>
        <w:spacing w:line="480" w:lineRule="auto"/>
        <w:ind w:firstLine="720"/>
        <w:rPr>
          <w:rFonts w:eastAsiaTheme="minorHAnsi"/>
        </w:rPr>
      </w:pPr>
      <w:r w:rsidRPr="00C136E3">
        <w:rPr>
          <w:rFonts w:eastAsiaTheme="minorHAnsi"/>
        </w:rPr>
        <w:t>D</w:t>
      </w:r>
      <w:r w:rsidRPr="00C136E3" w:rsidR="00664C8E">
        <w:rPr>
          <w:rFonts w:eastAsiaTheme="minorHAnsi"/>
        </w:rPr>
        <w:t xml:space="preserve">espite the serious deficiencies in the Application as supplemented, the PUCO approved the Application, without </w:t>
      </w:r>
      <w:r w:rsidRPr="00C136E3">
        <w:rPr>
          <w:rFonts w:eastAsiaTheme="minorHAnsi"/>
        </w:rPr>
        <w:t>allowing discovery on FirstEnergy Advisors, without holding a hearing and without a</w:t>
      </w:r>
      <w:r w:rsidRPr="00C136E3" w:rsidR="00236CC0">
        <w:rPr>
          <w:rFonts w:eastAsiaTheme="minorHAnsi"/>
        </w:rPr>
        <w:t>waiting the outcome of the Audit Case</w:t>
      </w:r>
      <w:r w:rsidRPr="00C136E3">
        <w:rPr>
          <w:rFonts w:eastAsiaTheme="minorHAnsi"/>
        </w:rPr>
        <w:t xml:space="preserve"> investigation of the FirstEnergy Utilities</w:t>
      </w:r>
      <w:r w:rsidRPr="00C136E3" w:rsidR="00731CA1">
        <w:rPr>
          <w:rFonts w:eastAsiaTheme="minorHAnsi"/>
        </w:rPr>
        <w:t>’</w:t>
      </w:r>
      <w:r w:rsidRPr="00C136E3">
        <w:rPr>
          <w:rFonts w:eastAsiaTheme="minorHAnsi"/>
        </w:rPr>
        <w:t xml:space="preserve"> </w:t>
      </w:r>
      <w:r w:rsidRPr="00C136E3" w:rsidR="00731CA1">
        <w:rPr>
          <w:rFonts w:eastAsiaTheme="minorHAnsi"/>
        </w:rPr>
        <w:t xml:space="preserve">corporate separation </w:t>
      </w:r>
      <w:r w:rsidRPr="00C136E3">
        <w:rPr>
          <w:rFonts w:eastAsiaTheme="minorHAnsi"/>
        </w:rPr>
        <w:t xml:space="preserve">that has been pending at the PUCO for </w:t>
      </w:r>
      <w:r w:rsidRPr="00C136E3" w:rsidR="00C03FB2">
        <w:rPr>
          <w:rFonts w:eastAsiaTheme="minorHAnsi"/>
        </w:rPr>
        <w:t>over three</w:t>
      </w:r>
      <w:r w:rsidRPr="00C136E3">
        <w:rPr>
          <w:rFonts w:eastAsiaTheme="minorHAnsi"/>
        </w:rPr>
        <w:t xml:space="preserve"> years</w:t>
      </w:r>
      <w:r w:rsidRPr="00C136E3" w:rsidR="002A4E7F">
        <w:rPr>
          <w:rFonts w:eastAsiaTheme="minorHAnsi"/>
        </w:rPr>
        <w:t xml:space="preserve">. </w:t>
      </w:r>
    </w:p>
    <w:p w:rsidR="00664C8E" w:rsidRPr="00C136E3" w:rsidP="00564791" w14:paraId="7652F01D" w14:textId="63B843C4">
      <w:pPr>
        <w:spacing w:line="480" w:lineRule="auto"/>
        <w:ind w:firstLine="720"/>
      </w:pPr>
      <w:r w:rsidRPr="00C136E3">
        <w:rPr>
          <w:rFonts w:eastAsiaTheme="minorHAnsi"/>
        </w:rPr>
        <w:t xml:space="preserve">The PUCO </w:t>
      </w:r>
      <w:r w:rsidRPr="00C136E3" w:rsidR="00566C5A">
        <w:rPr>
          <w:rFonts w:eastAsiaTheme="minorHAnsi"/>
        </w:rPr>
        <w:t>denied</w:t>
      </w:r>
      <w:r w:rsidRPr="00C136E3" w:rsidR="0079251E">
        <w:rPr>
          <w:rFonts w:eastAsiaTheme="minorHAnsi"/>
        </w:rPr>
        <w:t xml:space="preserve"> </w:t>
      </w:r>
      <w:r w:rsidRPr="00C136E3" w:rsidR="00236CC0">
        <w:rPr>
          <w:rFonts w:eastAsiaTheme="minorHAnsi"/>
        </w:rPr>
        <w:t xml:space="preserve">the intervening parties </w:t>
      </w:r>
      <w:r w:rsidRPr="00C136E3" w:rsidR="0079251E">
        <w:rPr>
          <w:rFonts w:eastAsiaTheme="minorHAnsi"/>
        </w:rPr>
        <w:t>due process</w:t>
      </w:r>
      <w:r w:rsidRPr="00C136E3" w:rsidR="004A5CE0">
        <w:rPr>
          <w:rFonts w:eastAsiaTheme="minorHAnsi"/>
        </w:rPr>
        <w:t xml:space="preserve"> and gave FirstEnergy Advisors the benefit of that constraint on parties. </w:t>
      </w:r>
      <w:r w:rsidRPr="00C136E3" w:rsidR="00566C5A">
        <w:rPr>
          <w:rFonts w:eastAsiaTheme="minorHAnsi"/>
        </w:rPr>
        <w:t>T</w:t>
      </w:r>
      <w:r w:rsidRPr="00C136E3" w:rsidR="00236CC0">
        <w:rPr>
          <w:rFonts w:eastAsiaTheme="minorHAnsi"/>
        </w:rPr>
        <w:t>he PUCO should have rejected the Application outright</w:t>
      </w:r>
      <w:r w:rsidRPr="00C136E3" w:rsidR="00624649">
        <w:rPr>
          <w:rFonts w:eastAsiaTheme="minorHAnsi"/>
        </w:rPr>
        <w:t xml:space="preserve"> or</w:t>
      </w:r>
      <w:r w:rsidRPr="00C136E3" w:rsidR="00236CC0">
        <w:rPr>
          <w:rFonts w:eastAsiaTheme="minorHAnsi"/>
        </w:rPr>
        <w:t xml:space="preserve"> allowed the parties the opportunity to conduct</w:t>
      </w:r>
      <w:r w:rsidRPr="00C136E3" w:rsidR="0079251E">
        <w:rPr>
          <w:rFonts w:eastAsiaTheme="minorHAnsi"/>
        </w:rPr>
        <w:t xml:space="preserve"> discovery and participate in</w:t>
      </w:r>
      <w:r w:rsidRPr="00C136E3" w:rsidR="00236CC0">
        <w:rPr>
          <w:rFonts w:eastAsiaTheme="minorHAnsi"/>
        </w:rPr>
        <w:t xml:space="preserve"> an evidentiary hearing</w:t>
      </w:r>
      <w:r w:rsidRPr="00C136E3" w:rsidR="00FE393F">
        <w:rPr>
          <w:rFonts w:eastAsiaTheme="minorHAnsi"/>
        </w:rPr>
        <w:t xml:space="preserve"> or held </w:t>
      </w:r>
      <w:r w:rsidRPr="00C136E3" w:rsidR="00624649">
        <w:rPr>
          <w:rFonts w:eastAsiaTheme="minorHAnsi"/>
        </w:rPr>
        <w:t xml:space="preserve">its </w:t>
      </w:r>
      <w:r w:rsidRPr="00C136E3" w:rsidR="00FE393F">
        <w:rPr>
          <w:rFonts w:eastAsiaTheme="minorHAnsi"/>
        </w:rPr>
        <w:t>decision in abeyance pending the outcome of the FirstEnergy Utilities’ Audit Case.</w:t>
      </w:r>
      <w:r w:rsidRPr="00C136E3" w:rsidR="00236CC0">
        <w:rPr>
          <w:rFonts w:eastAsiaTheme="minorHAnsi"/>
        </w:rPr>
        <w:t xml:space="preserve">  </w:t>
      </w:r>
    </w:p>
    <w:p w:rsidR="0088764A" w:rsidRPr="00C136E3" w:rsidP="0088764A" w14:paraId="12662414" w14:textId="77777777">
      <w:pPr>
        <w:widowControl w:val="0"/>
        <w:rPr>
          <w:rFonts w:eastAsiaTheme="minorHAnsi"/>
        </w:rPr>
      </w:pPr>
    </w:p>
    <w:p w:rsidR="00EA20A0" w:rsidRPr="00C136E3" w:rsidP="00C136E3" w14:paraId="5B66B79C" w14:textId="3F98B719">
      <w:pPr>
        <w:pStyle w:val="Heading1"/>
        <w:rPr>
          <w:rFonts w:ascii="Times New Roman" w:hAnsi="Times New Roman" w:cs="Times New Roman"/>
          <w:szCs w:val="24"/>
        </w:rPr>
      </w:pPr>
      <w:bookmarkStart w:id="5" w:name="_Toc40876757"/>
      <w:bookmarkStart w:id="6" w:name="_Toc41050098"/>
      <w:bookmarkStart w:id="7" w:name="_Toc41050332"/>
      <w:bookmarkStart w:id="8" w:name="_Toc41056295"/>
      <w:r w:rsidRPr="00C136E3">
        <w:rPr>
          <w:rFonts w:ascii="Times New Roman" w:hAnsi="Times New Roman" w:cs="Times New Roman"/>
          <w:szCs w:val="24"/>
        </w:rPr>
        <w:t>ii.</w:t>
      </w:r>
      <w:r w:rsidRPr="00C136E3">
        <w:rPr>
          <w:rFonts w:ascii="Times New Roman" w:hAnsi="Times New Roman" w:cs="Times New Roman"/>
          <w:szCs w:val="24"/>
        </w:rPr>
        <w:tab/>
        <w:t>ASSIGNMENTS OF ERROR</w:t>
      </w:r>
      <w:bookmarkEnd w:id="5"/>
      <w:bookmarkEnd w:id="6"/>
      <w:bookmarkEnd w:id="7"/>
      <w:bookmarkEnd w:id="8"/>
    </w:p>
    <w:p w:rsidR="00BB5D64" w:rsidRPr="00C136E3" w:rsidP="001D14EC" w14:paraId="2D20D50C" w14:textId="58A59894">
      <w:pPr>
        <w:pStyle w:val="Heading2"/>
        <w:rPr>
          <w:rFonts w:ascii="Times New Roman" w:hAnsi="Times New Roman" w:cs="Times New Roman"/>
          <w:szCs w:val="24"/>
        </w:rPr>
      </w:pPr>
      <w:bookmarkStart w:id="9" w:name="_Toc40876758"/>
      <w:bookmarkStart w:id="10" w:name="_Toc41050099"/>
      <w:bookmarkStart w:id="11" w:name="_Toc41050333"/>
      <w:bookmarkStart w:id="12" w:name="_Toc41056296"/>
      <w:r w:rsidRPr="00C136E3">
        <w:rPr>
          <w:rFonts w:ascii="Times New Roman" w:hAnsi="Times New Roman" w:cs="Times New Roman"/>
          <w:szCs w:val="24"/>
        </w:rPr>
        <w:t xml:space="preserve">ASSIGNMENT OF ERROR NO. 1:  </w:t>
      </w:r>
      <w:r w:rsidRPr="00C136E3" w:rsidR="005F607A">
        <w:rPr>
          <w:rFonts w:ascii="Times New Roman" w:hAnsi="Times New Roman" w:cs="Times New Roman"/>
          <w:szCs w:val="24"/>
        </w:rPr>
        <w:t>The PUCO erred by failing to find that FirstEnergy Advisors’ Application (as supplemented) violates R.C. 4928.08(B) and Ohio Adm. Code 4901:1-24-10(C), and therefore it should be denied.</w:t>
      </w:r>
      <w:bookmarkEnd w:id="9"/>
      <w:bookmarkEnd w:id="10"/>
      <w:bookmarkEnd w:id="11"/>
      <w:bookmarkEnd w:id="12"/>
    </w:p>
    <w:p w:rsidR="00236CC0" w:rsidRPr="00C136E3" w:rsidP="00564791" w14:paraId="2372D387" w14:textId="5A47E3A3">
      <w:pPr>
        <w:ind w:left="720"/>
        <w:contextualSpacing/>
      </w:pPr>
    </w:p>
    <w:p w:rsidR="00955E43" w:rsidRPr="00C136E3" w:rsidP="00564791" w14:paraId="58645D23" w14:textId="2F0C9151">
      <w:pPr>
        <w:spacing w:line="480" w:lineRule="auto"/>
        <w:ind w:firstLine="720"/>
        <w:contextualSpacing/>
      </w:pPr>
      <w:r w:rsidRPr="00C136E3">
        <w:t>Ohio law requires regulated electric distribution utilities to maintain full separation from competitive affiliates</w:t>
      </w:r>
      <w:r w:rsidRPr="00C136E3" w:rsidR="002B34B6">
        <w:t>,</w:t>
      </w:r>
      <w:r w:rsidRPr="00C136E3">
        <w:t xml:space="preserve"> to protect consumers from subsidizing any affiliate’s unregulated activities.</w:t>
      </w:r>
      <w:r>
        <w:rPr>
          <w:rStyle w:val="FootnoteReference"/>
        </w:rPr>
        <w:footnoteReference w:id="15"/>
      </w:r>
      <w:r w:rsidRPr="00C136E3">
        <w:t xml:space="preserve"> </w:t>
      </w:r>
      <w:r w:rsidRPr="00C136E3" w:rsidR="001C2324">
        <w:t xml:space="preserve"> To </w:t>
      </w:r>
      <w:r w:rsidRPr="00C136E3" w:rsidR="009C419F">
        <w:t xml:space="preserve">confirm </w:t>
      </w:r>
      <w:r w:rsidRPr="00C136E3" w:rsidR="001C2324">
        <w:t>adherence with affiliate restrictions and to prevent the abuses of market power, a regulated utility must create, file, and implement a PUCO-approved corporate separation plan in order to offer both noncompetitive retail electric service and a competitive retail electric service</w:t>
      </w:r>
      <w:r w:rsidRPr="00C136E3" w:rsidR="00C40830">
        <w:t xml:space="preserve"> (“CRES”)</w:t>
      </w:r>
      <w:r w:rsidRPr="00C136E3" w:rsidR="001C2324">
        <w:t>, including through affiliates.</w:t>
      </w:r>
      <w:r>
        <w:rPr>
          <w:rStyle w:val="FootnoteReference"/>
        </w:rPr>
        <w:footnoteReference w:id="16"/>
      </w:r>
      <w:r w:rsidRPr="00C136E3" w:rsidR="001C2324">
        <w:t xml:space="preserve"> </w:t>
      </w:r>
      <w:r w:rsidRPr="00C136E3" w:rsidR="002C405E">
        <w:t xml:space="preserve"> These corporate separation plans must meet a</w:t>
      </w:r>
      <w:r w:rsidRPr="00C136E3" w:rsidR="001C2324">
        <w:t xml:space="preserve"> minimum content </w:t>
      </w:r>
      <w:r w:rsidRPr="00C136E3" w:rsidR="002C405E">
        <w:t>threshold.</w:t>
      </w:r>
      <w:r>
        <w:rPr>
          <w:rStyle w:val="FootnoteReference"/>
        </w:rPr>
        <w:footnoteReference w:id="17"/>
      </w:r>
      <w:r w:rsidRPr="00C136E3" w:rsidR="00026F72">
        <w:t xml:space="preserve">  </w:t>
      </w:r>
      <w:r w:rsidRPr="00C136E3">
        <w:t>Additionally, in order to obtain certification to provide competitive electric retail services, a</w:t>
      </w:r>
      <w:r w:rsidRPr="00C136E3" w:rsidR="002809F8">
        <w:t xml:space="preserve"> CRES</w:t>
      </w:r>
      <w:r w:rsidRPr="00C136E3">
        <w:t xml:space="preserve"> application must </w:t>
      </w:r>
      <w:r w:rsidRPr="00C136E3" w:rsidR="005A0BB6">
        <w:t xml:space="preserve">provide </w:t>
      </w:r>
      <w:r w:rsidRPr="00C136E3">
        <w:t xml:space="preserve">sufficient information to enable the PUCO to assess an applicant's managerial, financial, and technical capability to provide the service it intends to offer and its ability to comply with </w:t>
      </w:r>
      <w:r w:rsidRPr="00C136E3" w:rsidR="009C419F">
        <w:t xml:space="preserve">PUCO </w:t>
      </w:r>
      <w:r w:rsidRPr="00C136E3">
        <w:t xml:space="preserve">rules </w:t>
      </w:r>
      <w:r w:rsidRPr="00C136E3" w:rsidR="009C419F">
        <w:t xml:space="preserve">and </w:t>
      </w:r>
      <w:r w:rsidRPr="00C136E3">
        <w:t>orders a</w:t>
      </w:r>
      <w:r w:rsidRPr="00C136E3" w:rsidR="00026F72">
        <w:t xml:space="preserve">dopted </w:t>
      </w:r>
      <w:r w:rsidRPr="00C136E3" w:rsidR="00D54B59">
        <w:t>under</w:t>
      </w:r>
      <w:r w:rsidRPr="00C136E3" w:rsidR="00026F72">
        <w:t xml:space="preserve"> Chapter 4928</w:t>
      </w:r>
      <w:r w:rsidRPr="00C136E3">
        <w:t xml:space="preserve"> of the Revised Code</w:t>
      </w:r>
      <w:r w:rsidRPr="00C136E3" w:rsidR="00980138">
        <w:t>, including adherence to corporate separation rules and law</w:t>
      </w:r>
      <w:r w:rsidRPr="00C136E3">
        <w:t>.</w:t>
      </w:r>
      <w:r>
        <w:rPr>
          <w:rStyle w:val="FootnoteReference"/>
        </w:rPr>
        <w:footnoteReference w:id="18"/>
      </w:r>
    </w:p>
    <w:p w:rsidR="00B32605" w:rsidRPr="00C136E3" w:rsidP="00564791" w14:paraId="700CE15D" w14:textId="3B5EC144">
      <w:pPr>
        <w:spacing w:line="480" w:lineRule="auto"/>
        <w:ind w:firstLine="720"/>
        <w:contextualSpacing/>
      </w:pPr>
      <w:r w:rsidRPr="00C136E3">
        <w:t>In a case</w:t>
      </w:r>
      <w:r w:rsidRPr="00C136E3" w:rsidR="002B34B6">
        <w:t xml:space="preserve"> pending since </w:t>
      </w:r>
      <w:r w:rsidRPr="00C136E3" w:rsidR="00C03FB2">
        <w:t>2017</w:t>
      </w:r>
      <w:r w:rsidRPr="00C136E3">
        <w:t xml:space="preserve">, the PUCO is reviewing </w:t>
      </w:r>
      <w:r w:rsidRPr="00C136E3" w:rsidR="008C33D9">
        <w:t xml:space="preserve">FirstEnergy Advisors’ </w:t>
      </w:r>
      <w:r w:rsidRPr="00C136E3" w:rsidR="00A22420">
        <w:t xml:space="preserve">affiliated regulated utilities’ </w:t>
      </w:r>
      <w:r w:rsidRPr="00C136E3" w:rsidR="001C2324">
        <w:t>current corporate separation p</w:t>
      </w:r>
      <w:r w:rsidRPr="00C136E3" w:rsidR="00980138">
        <w:t>lan</w:t>
      </w:r>
      <w:r w:rsidRPr="00C136E3" w:rsidR="002C405E">
        <w:t>.</w:t>
      </w:r>
      <w:r>
        <w:rPr>
          <w:rStyle w:val="FootnoteReference"/>
        </w:rPr>
        <w:footnoteReference w:id="19"/>
      </w:r>
      <w:r w:rsidRPr="00C136E3" w:rsidR="001C2324">
        <w:t xml:space="preserve"> </w:t>
      </w:r>
      <w:r w:rsidRPr="00C136E3" w:rsidR="002C405E">
        <w:t xml:space="preserve"> </w:t>
      </w:r>
      <w:r w:rsidRPr="00C136E3" w:rsidR="001C2324">
        <w:t xml:space="preserve">In that case, the PUCO retained an independent auditor to review the corporate separation plan. </w:t>
      </w:r>
      <w:r w:rsidRPr="00C136E3" w:rsidR="002C405E">
        <w:t xml:space="preserve"> </w:t>
      </w:r>
      <w:r w:rsidRPr="00C136E3" w:rsidR="00EA0009">
        <w:t xml:space="preserve">In </w:t>
      </w:r>
      <w:r w:rsidRPr="00C136E3" w:rsidR="00C03FB2">
        <w:t>2018</w:t>
      </w:r>
      <w:r w:rsidRPr="00C136E3" w:rsidR="00EA0009">
        <w:t xml:space="preserve">, </w:t>
      </w:r>
      <w:r w:rsidRPr="00C136E3">
        <w:t xml:space="preserve">the PUCO </w:t>
      </w:r>
      <w:r w:rsidRPr="00C136E3" w:rsidR="002809F8">
        <w:t>a</w:t>
      </w:r>
      <w:r w:rsidRPr="00C136E3" w:rsidR="001C2324">
        <w:t>uditor</w:t>
      </w:r>
      <w:r w:rsidRPr="00C136E3" w:rsidR="002C405E">
        <w:t xml:space="preserve"> </w:t>
      </w:r>
      <w:r w:rsidRPr="00C136E3" w:rsidR="001C2324">
        <w:t>critic</w:t>
      </w:r>
      <w:r w:rsidRPr="00C136E3" w:rsidR="00037C15">
        <w:t>ized the FirstEnergy U</w:t>
      </w:r>
      <w:r w:rsidRPr="00C136E3" w:rsidR="001C2324">
        <w:t>tilities’ co-mingling of senior officers of regulated and non-regulated affiliates</w:t>
      </w:r>
      <w:r w:rsidRPr="00C136E3" w:rsidR="00D54B59">
        <w:t xml:space="preserve"> and recommended changes.</w:t>
      </w:r>
      <w:r>
        <w:rPr>
          <w:rStyle w:val="FootnoteReference"/>
        </w:rPr>
        <w:footnoteReference w:id="20"/>
      </w:r>
      <w:r w:rsidRPr="00C136E3" w:rsidR="001C2324">
        <w:t xml:space="preserve"> </w:t>
      </w:r>
      <w:r w:rsidRPr="00C136E3" w:rsidR="00980138">
        <w:t xml:space="preserve"> </w:t>
      </w:r>
      <w:bookmarkStart w:id="13" w:name="_Hlk41044727"/>
      <w:r w:rsidRPr="00C136E3" w:rsidR="002C405E">
        <w:t xml:space="preserve">The </w:t>
      </w:r>
      <w:r w:rsidRPr="00C136E3">
        <w:t xml:space="preserve">PUCO </w:t>
      </w:r>
      <w:r w:rsidRPr="00C136E3" w:rsidR="002809F8">
        <w:t>a</w:t>
      </w:r>
      <w:r w:rsidRPr="00C136E3" w:rsidR="002C405E">
        <w:t>uditor also</w:t>
      </w:r>
      <w:r w:rsidRPr="00C136E3" w:rsidR="001C2324">
        <w:t xml:space="preserve"> criticized the use of the “FirstEnergy” name by the utilities’ non-regulated affiliate,</w:t>
      </w:r>
      <w:r w:rsidRPr="00C136E3" w:rsidR="00340CC0">
        <w:t xml:space="preserve"> and recommended that the non-regulated affiliate use</w:t>
      </w:r>
      <w:r w:rsidRPr="00C136E3" w:rsidR="0086673A">
        <w:t xml:space="preserve"> a name that does not contain</w:t>
      </w:r>
      <w:r w:rsidRPr="00C136E3" w:rsidR="00340CC0">
        <w:t xml:space="preserve"> the “FirstEnergy” name or any name </w:t>
      </w:r>
      <w:r w:rsidRPr="00C136E3" w:rsidR="0086673A">
        <w:t xml:space="preserve">implying </w:t>
      </w:r>
      <w:r w:rsidRPr="00C136E3" w:rsidR="00340CC0">
        <w:t>a connection to the FirstEnergy Utilities.</w:t>
      </w:r>
      <w:bookmarkEnd w:id="13"/>
      <w:r>
        <w:rPr>
          <w:rStyle w:val="FootnoteReference"/>
        </w:rPr>
        <w:footnoteReference w:id="21"/>
      </w:r>
      <w:r w:rsidRPr="00C136E3" w:rsidR="002809F8">
        <w:t xml:space="preserve">  </w:t>
      </w:r>
    </w:p>
    <w:p w:rsidR="00955E43" w:rsidRPr="00C136E3" w:rsidP="00564791" w14:paraId="64E902DF" w14:textId="3D292658">
      <w:pPr>
        <w:spacing w:line="480" w:lineRule="auto"/>
        <w:ind w:firstLine="720"/>
        <w:contextualSpacing/>
      </w:pPr>
      <w:r w:rsidRPr="00C136E3">
        <w:t>Despite that pending case, FirstEnergy Advisors failed to</w:t>
      </w:r>
      <w:r w:rsidRPr="00C136E3" w:rsidR="00B32605">
        <w:t xml:space="preserve"> prove th</w:t>
      </w:r>
      <w:r w:rsidRPr="00C136E3" w:rsidR="00C67298">
        <w:t xml:space="preserve">at its operational plan adequately addresses </w:t>
      </w:r>
      <w:r w:rsidRPr="00C136E3">
        <w:t>corporate separation requirements.</w:t>
      </w:r>
      <w:r w:rsidRPr="00C136E3" w:rsidR="00980138">
        <w:t xml:space="preserve"> </w:t>
      </w:r>
      <w:r w:rsidRPr="00C136E3" w:rsidR="00026F72">
        <w:t xml:space="preserve"> The Supplemental Application </w:t>
      </w:r>
      <w:r w:rsidRPr="00C136E3" w:rsidR="00147781">
        <w:t>vaguely promises to prevent FirstEnergy Advisors from accessing information not available to nonaffiliated competitors, by limiting employee access to information.</w:t>
      </w:r>
      <w:r>
        <w:rPr>
          <w:rStyle w:val="FootnoteReference"/>
        </w:rPr>
        <w:footnoteReference w:id="22"/>
      </w:r>
      <w:r w:rsidRPr="00C136E3" w:rsidR="00147781">
        <w:t xml:space="preserve"> </w:t>
      </w:r>
      <w:r w:rsidRPr="00C136E3" w:rsidR="00980138">
        <w:t xml:space="preserve"> </w:t>
      </w:r>
      <w:r w:rsidRPr="00C136E3" w:rsidR="00147781">
        <w:t>However, just a few sentences later, FirstEnergy Advisors admits that its corporate structure will include “shared representatives and/or employees” who will have access to that exact information.</w:t>
      </w:r>
      <w:r>
        <w:rPr>
          <w:rStyle w:val="FootnoteReference"/>
        </w:rPr>
        <w:footnoteReference w:id="23"/>
      </w:r>
      <w:r w:rsidRPr="00C136E3" w:rsidR="00147781">
        <w:t xml:space="preserve"> </w:t>
      </w:r>
      <w:r w:rsidRPr="00C136E3" w:rsidR="00980138">
        <w:t xml:space="preserve"> </w:t>
      </w:r>
      <w:r w:rsidRPr="00C136E3" w:rsidR="00147781">
        <w:t>To deal with this fact, FirstEnergy Advisors merely states an intent to conduct employee training and to disclose this corporate structure to clients.</w:t>
      </w:r>
      <w:r>
        <w:rPr>
          <w:rStyle w:val="FootnoteReference"/>
        </w:rPr>
        <w:footnoteReference w:id="24"/>
      </w:r>
      <w:r w:rsidRPr="00C136E3" w:rsidR="00147781">
        <w:t xml:space="preserve"> </w:t>
      </w:r>
    </w:p>
    <w:p w:rsidR="00147781" w:rsidRPr="00C136E3" w:rsidP="00564791" w14:paraId="49C542CC" w14:textId="6EB0D33C">
      <w:pPr>
        <w:spacing w:line="480" w:lineRule="auto"/>
        <w:ind w:firstLine="720"/>
        <w:contextualSpacing/>
      </w:pPr>
      <w:r w:rsidRPr="00C136E3">
        <w:t>However, the Supplemental Application makes no attempt to explain how FirstEnergy Advisors plans to stop the flow of information between shared employees</w:t>
      </w:r>
      <w:r w:rsidRPr="00C136E3" w:rsidR="00B32605">
        <w:t>. Not does it explain</w:t>
      </w:r>
      <w:r w:rsidRPr="00C136E3">
        <w:t xml:space="preserve"> how </w:t>
      </w:r>
      <w:r w:rsidRPr="00C136E3" w:rsidR="00B32605">
        <w:t xml:space="preserve">each of </w:t>
      </w:r>
      <w:r w:rsidRPr="00C136E3">
        <w:t>the same executives will be able</w:t>
      </w:r>
      <w:r w:rsidRPr="00C136E3" w:rsidR="00B32605">
        <w:t xml:space="preserve"> individually</w:t>
      </w:r>
      <w:r w:rsidRPr="00C136E3">
        <w:t xml:space="preserve"> to manage and control </w:t>
      </w:r>
      <w:r w:rsidRPr="00C136E3" w:rsidR="00B32605">
        <w:t>the information that each know</w:t>
      </w:r>
      <w:r w:rsidRPr="00C136E3" w:rsidR="002632D4">
        <w:t>s</w:t>
      </w:r>
      <w:r w:rsidRPr="00C136E3" w:rsidR="00B32605">
        <w:t xml:space="preserve"> about </w:t>
      </w:r>
      <w:r w:rsidRPr="00C136E3">
        <w:t xml:space="preserve">both FirstEnergy Advisors and the affiliated regulated utilities. </w:t>
      </w:r>
      <w:r w:rsidRPr="00C136E3" w:rsidR="005A0BB6">
        <w:t xml:space="preserve"> </w:t>
      </w:r>
      <w:r w:rsidRPr="00C136E3" w:rsidR="00174463">
        <w:t xml:space="preserve">Additionally, the </w:t>
      </w:r>
      <w:r w:rsidRPr="00C136E3" w:rsidR="00714235">
        <w:t xml:space="preserve">disclaimer featured in the Supplemental Application fails to lessen the </w:t>
      </w:r>
      <w:r w:rsidRPr="00C136E3" w:rsidR="000E4FD9">
        <w:t>anti</w:t>
      </w:r>
      <w:r w:rsidRPr="00C136E3" w:rsidR="00714235">
        <w:t xml:space="preserve">competitive concerns surrounding </w:t>
      </w:r>
      <w:r w:rsidRPr="00C136E3" w:rsidR="00980138">
        <w:t xml:space="preserve">the </w:t>
      </w:r>
      <w:r w:rsidRPr="00C136E3" w:rsidR="00714235">
        <w:t>use of the “FirstEnergy” name noted by the Auditor.</w:t>
      </w:r>
      <w:r>
        <w:rPr>
          <w:rStyle w:val="FootnoteReference"/>
        </w:rPr>
        <w:footnoteReference w:id="25"/>
      </w:r>
      <w:r w:rsidRPr="00C136E3" w:rsidR="005A0BB6">
        <w:t xml:space="preserve"> </w:t>
      </w:r>
      <w:r w:rsidRPr="00C136E3" w:rsidR="00714235">
        <w:t xml:space="preserve"> In fact, the disclaimer only serves to elevate these concerns, by emphasizing that FirstEnergy Advisors is a subsidiary of FirstEnergy Corp.</w:t>
      </w:r>
      <w:r>
        <w:rPr>
          <w:rStyle w:val="FootnoteReference"/>
        </w:rPr>
        <w:footnoteReference w:id="26"/>
      </w:r>
    </w:p>
    <w:p w:rsidR="00BB5D64" w:rsidRPr="00C136E3" w:rsidP="00BB5D64" w14:paraId="6581DF95" w14:textId="540BDE5F">
      <w:pPr>
        <w:spacing w:line="480" w:lineRule="auto"/>
        <w:ind w:firstLine="720"/>
      </w:pPr>
      <w:r w:rsidRPr="00C136E3">
        <w:t>Finally, rather than address the shortcomings of FirstEnergy Advisors’ Application and Supplemental Application, the Staff Report onl</w:t>
      </w:r>
      <w:r w:rsidRPr="00C136E3" w:rsidR="005A0BB6">
        <w:t>y highlights their deficiencies.  The</w:t>
      </w:r>
      <w:r w:rsidRPr="00C136E3" w:rsidR="00F46CDA">
        <w:t xml:space="preserve"> single-page</w:t>
      </w:r>
      <w:r w:rsidRPr="00C136E3" w:rsidR="005A0BB6">
        <w:t xml:space="preserve"> </w:t>
      </w:r>
      <w:r w:rsidRPr="00C136E3">
        <w:t xml:space="preserve">Staff </w:t>
      </w:r>
      <w:r w:rsidRPr="00C136E3" w:rsidR="005A0BB6">
        <w:t>Report notes that FirstEnergy Advisors “has stated that it intends to comply with all commission rules.”</w:t>
      </w:r>
      <w:r>
        <w:rPr>
          <w:rStyle w:val="FootnoteReference"/>
        </w:rPr>
        <w:footnoteReference w:id="27"/>
      </w:r>
      <w:r w:rsidRPr="00C136E3">
        <w:t xml:space="preserve">  </w:t>
      </w:r>
      <w:r w:rsidRPr="00C136E3" w:rsidR="00B32605">
        <w:t>It’s easy for</w:t>
      </w:r>
      <w:r w:rsidRPr="00C136E3">
        <w:t xml:space="preserve"> an applicant </w:t>
      </w:r>
      <w:r w:rsidRPr="00C136E3" w:rsidR="00B32605">
        <w:t xml:space="preserve">to </w:t>
      </w:r>
      <w:r w:rsidRPr="00C136E3">
        <w:t xml:space="preserve">show </w:t>
      </w:r>
      <w:r w:rsidRPr="00C136E3" w:rsidR="00B32605">
        <w:t xml:space="preserve">merely </w:t>
      </w:r>
      <w:r w:rsidRPr="00C136E3">
        <w:t>an intent to comply</w:t>
      </w:r>
      <w:r w:rsidRPr="00C136E3" w:rsidR="00B32605">
        <w:t>. But an applicant</w:t>
      </w:r>
      <w:r w:rsidRPr="00C136E3">
        <w:t xml:space="preserve"> must demonstrate “an ability to comply.”</w:t>
      </w:r>
      <w:r>
        <w:rPr>
          <w:rStyle w:val="FootnoteReference"/>
        </w:rPr>
        <w:footnoteReference w:id="28"/>
      </w:r>
      <w:r w:rsidRPr="00C136E3">
        <w:t xml:space="preserve">  FirstEnergy Advisors has failed to </w:t>
      </w:r>
      <w:r w:rsidRPr="00C136E3" w:rsidR="00B32605">
        <w:t xml:space="preserve">show </w:t>
      </w:r>
      <w:r w:rsidRPr="00C136E3">
        <w:t>specific</w:t>
      </w:r>
      <w:r w:rsidRPr="00C136E3" w:rsidR="00B32605">
        <w:t xml:space="preserve">ally </w:t>
      </w:r>
      <w:r w:rsidRPr="00C136E3">
        <w:t>how</w:t>
      </w:r>
      <w:r w:rsidRPr="00C136E3" w:rsidR="00A22420">
        <w:t xml:space="preserve"> it</w:t>
      </w:r>
      <w:r w:rsidRPr="00C136E3">
        <w:t xml:space="preserve"> </w:t>
      </w:r>
      <w:r w:rsidRPr="00C136E3" w:rsidR="00980138">
        <w:t>will</w:t>
      </w:r>
      <w:r w:rsidRPr="00C136E3">
        <w:t xml:space="preserve"> comply with the applicable </w:t>
      </w:r>
      <w:r w:rsidRPr="00C136E3" w:rsidR="00980138">
        <w:t xml:space="preserve">corporate separation </w:t>
      </w:r>
      <w:r w:rsidRPr="00C136E3">
        <w:t>rules, orders, and law while maintaining a shared corporate structure, comingled assets</w:t>
      </w:r>
      <w:r w:rsidRPr="00C136E3" w:rsidR="009D5196">
        <w:t xml:space="preserve"> and competitively sensitive information</w:t>
      </w:r>
      <w:r w:rsidRPr="00C136E3">
        <w:t xml:space="preserve">, and the FirstEnergy name. </w:t>
      </w:r>
    </w:p>
    <w:p w:rsidR="005A0BB6" w:rsidRPr="00C136E3" w:rsidP="00564791" w14:paraId="3A7F2696" w14:textId="17084F7D">
      <w:pPr>
        <w:spacing w:line="480" w:lineRule="auto"/>
        <w:ind w:firstLine="720"/>
      </w:pPr>
      <w:r w:rsidRPr="00C136E3">
        <w:t xml:space="preserve">Based upon the information filed in the Application, as supplemented, the Application on its face violates Ohio law and fails to satisfy Ohio Adm. Code 4901:1-24-10.  FirstEnergy Advisors has </w:t>
      </w:r>
      <w:r w:rsidRPr="00C136E3" w:rsidR="00B32605">
        <w:t xml:space="preserve">failed to </w:t>
      </w:r>
      <w:r w:rsidRPr="00C136E3">
        <w:t xml:space="preserve">demonstrate </w:t>
      </w:r>
      <w:r w:rsidRPr="00C136E3" w:rsidR="00B32605">
        <w:t xml:space="preserve">that </w:t>
      </w:r>
      <w:r w:rsidRPr="00C136E3">
        <w:t>it satisfies the certification requirements to become a CRES provider</w:t>
      </w:r>
      <w:r w:rsidRPr="00C136E3" w:rsidR="00B32605">
        <w:t>. It failed to show that it</w:t>
      </w:r>
      <w:r w:rsidRPr="00C136E3">
        <w:t xml:space="preserve"> is managerially, technically, and financially capable to perform the services it intends to provide</w:t>
      </w:r>
      <w:r w:rsidRPr="00C136E3" w:rsidR="00B32605">
        <w:t>. It failed to show it will</w:t>
      </w:r>
      <w:r w:rsidRPr="00C136E3">
        <w:t xml:space="preserve"> comply with applicable PUCO rules and orders</w:t>
      </w:r>
      <w:r w:rsidRPr="00C136E3" w:rsidR="00B32605">
        <w:t>. A</w:t>
      </w:r>
      <w:r w:rsidRPr="00C136E3">
        <w:t xml:space="preserve">nd </w:t>
      </w:r>
      <w:r w:rsidRPr="00C136E3" w:rsidR="00B32605">
        <w:t xml:space="preserve">it failed to show it </w:t>
      </w:r>
      <w:r w:rsidRPr="00C136E3">
        <w:t xml:space="preserve">has financial assurances sufficient to protect the distribution utility and customers from default as required in Ohio Adm. Code 4901:1-24-10(C) and R.C. 4928.08(B).  </w:t>
      </w:r>
    </w:p>
    <w:p w:rsidR="009A7555" w:rsidRPr="00C136E3" w:rsidP="00C136E3" w14:paraId="3ADC80DD" w14:textId="40AA5E69">
      <w:pPr>
        <w:pStyle w:val="Heading2"/>
        <w:rPr>
          <w:rFonts w:ascii="Times New Roman" w:hAnsi="Times New Roman" w:cs="Times New Roman"/>
          <w:szCs w:val="24"/>
        </w:rPr>
      </w:pPr>
      <w:bookmarkStart w:id="14" w:name="_Toc41050334"/>
      <w:bookmarkStart w:id="15" w:name="_Toc41056297"/>
      <w:bookmarkStart w:id="16" w:name="_Toc40876759"/>
      <w:r w:rsidRPr="00C136E3">
        <w:rPr>
          <w:rFonts w:ascii="Times New Roman" w:hAnsi="Times New Roman" w:cs="Times New Roman"/>
          <w:szCs w:val="24"/>
        </w:rPr>
        <w:t>ASSIGNMENT OF ERROR NO. 2:</w:t>
      </w:r>
      <w:bookmarkEnd w:id="14"/>
      <w:r w:rsidRPr="00C136E3">
        <w:rPr>
          <w:rFonts w:ascii="Times New Roman" w:hAnsi="Times New Roman" w:cs="Times New Roman"/>
          <w:szCs w:val="24"/>
        </w:rPr>
        <w:t xml:space="preserve"> </w:t>
      </w:r>
      <w:r w:rsidRPr="00C136E3" w:rsidR="00583679">
        <w:rPr>
          <w:rFonts w:ascii="Times New Roman" w:hAnsi="Times New Roman" w:cs="Times New Roman"/>
          <w:szCs w:val="24"/>
        </w:rPr>
        <w:t xml:space="preserve"> </w:t>
      </w:r>
      <w:bookmarkStart w:id="17" w:name="_Toc41050100"/>
      <w:bookmarkStart w:id="18" w:name="_Toc41050335"/>
      <w:r w:rsidRPr="00C136E3" w:rsidR="007F6F79">
        <w:rPr>
          <w:rFonts w:ascii="Times New Roman" w:hAnsi="Times New Roman" w:cs="Times New Roman"/>
          <w:szCs w:val="24"/>
        </w:rPr>
        <w:t>The PUCO erred by denying the discovery</w:t>
      </w:r>
      <w:r w:rsidRPr="00C136E3" w:rsidR="002632D4">
        <w:rPr>
          <w:rFonts w:ascii="Times New Roman" w:hAnsi="Times New Roman" w:cs="Times New Roman"/>
          <w:szCs w:val="24"/>
        </w:rPr>
        <w:t>,</w:t>
      </w:r>
      <w:r w:rsidRPr="00C136E3" w:rsidR="007F6F79">
        <w:rPr>
          <w:rFonts w:ascii="Times New Roman" w:hAnsi="Times New Roman" w:cs="Times New Roman"/>
          <w:szCs w:val="24"/>
        </w:rPr>
        <w:t xml:space="preserve"> which interven</w:t>
      </w:r>
      <w:r w:rsidRPr="00C136E3">
        <w:rPr>
          <w:rFonts w:ascii="Times New Roman" w:hAnsi="Times New Roman" w:cs="Times New Roman"/>
          <w:szCs w:val="24"/>
        </w:rPr>
        <w:t>o</w:t>
      </w:r>
      <w:r w:rsidRPr="00C136E3" w:rsidR="007F6F79">
        <w:rPr>
          <w:rFonts w:ascii="Times New Roman" w:hAnsi="Times New Roman" w:cs="Times New Roman"/>
          <w:szCs w:val="24"/>
        </w:rPr>
        <w:t>rs are entitled to conduct (in violation of R.C. 4903.082, Ohio Adm. Code 4901-1-16(A) and Ohio Adm. Code 4901-1-17(A)), by failing to hold a hearing</w:t>
      </w:r>
      <w:r w:rsidRPr="00C136E3" w:rsidR="00ED0DA4">
        <w:rPr>
          <w:rFonts w:ascii="Times New Roman" w:hAnsi="Times New Roman" w:cs="Times New Roman"/>
          <w:szCs w:val="24"/>
        </w:rPr>
        <w:t>,</w:t>
      </w:r>
      <w:r w:rsidRPr="00C136E3" w:rsidR="007F6F79">
        <w:rPr>
          <w:rFonts w:ascii="Times New Roman" w:hAnsi="Times New Roman" w:cs="Times New Roman"/>
          <w:szCs w:val="24"/>
        </w:rPr>
        <w:t xml:space="preserve"> and by failing to afford due process to intervenors. </w:t>
      </w:r>
      <w:r w:rsidRPr="00C136E3" w:rsidR="00ED0DA4">
        <w:rPr>
          <w:rFonts w:ascii="Times New Roman" w:hAnsi="Times New Roman" w:cs="Times New Roman"/>
          <w:szCs w:val="24"/>
        </w:rPr>
        <w:t>The Application should be denied.</w:t>
      </w:r>
      <w:bookmarkEnd w:id="17"/>
      <w:bookmarkEnd w:id="18"/>
      <w:bookmarkEnd w:id="15"/>
    </w:p>
    <w:p w:rsidR="00583679" w:rsidRPr="00C136E3" w:rsidP="009A7555" w14:paraId="58BE8048" w14:textId="3DC49D8A">
      <w:pPr>
        <w:pStyle w:val="Heading2"/>
        <w:rPr>
          <w:rFonts w:ascii="Times New Roman" w:hAnsi="Times New Roman" w:cs="Times New Roman"/>
          <w:szCs w:val="24"/>
        </w:rPr>
      </w:pPr>
      <w:r w:rsidRPr="00C136E3">
        <w:rPr>
          <w:rFonts w:ascii="Times New Roman" w:hAnsi="Times New Roman" w:cs="Times New Roman"/>
          <w:szCs w:val="24"/>
        </w:rPr>
        <w:t xml:space="preserve"> </w:t>
      </w:r>
      <w:bookmarkEnd w:id="16"/>
    </w:p>
    <w:p w:rsidR="00D269A2" w:rsidP="002632D4" w14:paraId="528DFB60" w14:textId="77777777">
      <w:pPr>
        <w:widowControl w:val="0"/>
        <w:spacing w:line="480" w:lineRule="auto"/>
        <w:ind w:firstLine="720"/>
        <w:contextualSpacing/>
        <w:rPr>
          <w:rFonts w:eastAsiaTheme="minorHAnsi"/>
        </w:rPr>
        <w:sectPr w:rsidSect="009D7FBD">
          <w:headerReference w:type="first" r:id="rId14"/>
          <w:pgSz w:w="12240" w:h="15840"/>
          <w:pgMar w:top="1440" w:right="1440" w:bottom="1440" w:left="1440" w:header="720" w:footer="720" w:gutter="0"/>
          <w:cols w:space="720"/>
          <w:titlePg/>
          <w:docGrid w:linePitch="360"/>
        </w:sectPr>
      </w:pPr>
      <w:r w:rsidRPr="00C136E3">
        <w:rPr>
          <w:rFonts w:eastAsiaTheme="minorHAnsi"/>
        </w:rPr>
        <w:t>A</w:t>
      </w:r>
      <w:r w:rsidRPr="00C136E3" w:rsidR="00BB5D64">
        <w:rPr>
          <w:rFonts w:eastAsiaTheme="minorHAnsi"/>
        </w:rPr>
        <w:t>s requested in OCC and NOPEC’s Joint Motion to Suspend</w:t>
      </w:r>
      <w:r>
        <w:rPr>
          <w:rStyle w:val="FootnoteReference"/>
          <w:rFonts w:eastAsiaTheme="minorHAnsi"/>
        </w:rPr>
        <w:footnoteReference w:id="29"/>
      </w:r>
      <w:r w:rsidRPr="00C136E3" w:rsidR="00BB5D64">
        <w:rPr>
          <w:rFonts w:eastAsiaTheme="minorHAnsi"/>
        </w:rPr>
        <w:t xml:space="preserve"> and as requested by other</w:t>
      </w:r>
      <w:r w:rsidRPr="00C136E3" w:rsidR="009A5799">
        <w:rPr>
          <w:rFonts w:eastAsiaTheme="minorHAnsi"/>
        </w:rPr>
        <w:t xml:space="preserve"> intervening</w:t>
      </w:r>
      <w:r w:rsidRPr="00C136E3" w:rsidR="00BB5D64">
        <w:rPr>
          <w:rFonts w:eastAsiaTheme="minorHAnsi"/>
        </w:rPr>
        <w:t xml:space="preserve"> parties, the PUCO should </w:t>
      </w:r>
      <w:r w:rsidRPr="00C136E3" w:rsidR="00AD773B">
        <w:rPr>
          <w:rFonts w:eastAsiaTheme="minorHAnsi"/>
        </w:rPr>
        <w:t xml:space="preserve">have </w:t>
      </w:r>
      <w:r w:rsidRPr="00C136E3" w:rsidR="00BB5D64">
        <w:rPr>
          <w:rFonts w:eastAsiaTheme="minorHAnsi"/>
        </w:rPr>
        <w:t>adopt</w:t>
      </w:r>
      <w:r w:rsidRPr="00C136E3" w:rsidR="00AD773B">
        <w:rPr>
          <w:rFonts w:eastAsiaTheme="minorHAnsi"/>
        </w:rPr>
        <w:t>ed</w:t>
      </w:r>
      <w:r w:rsidRPr="00C136E3" w:rsidR="00BB5D64">
        <w:rPr>
          <w:rFonts w:eastAsiaTheme="minorHAnsi"/>
        </w:rPr>
        <w:t xml:space="preserve"> a procedural schedule that allow</w:t>
      </w:r>
      <w:r w:rsidRPr="00C136E3" w:rsidR="00AD773B">
        <w:rPr>
          <w:rFonts w:eastAsiaTheme="minorHAnsi"/>
        </w:rPr>
        <w:t>ed</w:t>
      </w:r>
      <w:r w:rsidRPr="00C136E3" w:rsidR="00BB5D64">
        <w:rPr>
          <w:rFonts w:eastAsiaTheme="minorHAnsi"/>
        </w:rPr>
        <w:t xml:space="preserve"> for the full development of a factual record for the benefit of the PUCO’s decision-making. That schedule should</w:t>
      </w:r>
      <w:r w:rsidRPr="00C136E3" w:rsidR="00AD773B">
        <w:rPr>
          <w:rFonts w:eastAsiaTheme="minorHAnsi"/>
        </w:rPr>
        <w:t xml:space="preserve"> have</w:t>
      </w:r>
      <w:r w:rsidRPr="00C136E3" w:rsidR="00BB5D64">
        <w:rPr>
          <w:rFonts w:eastAsiaTheme="minorHAnsi"/>
        </w:rPr>
        <w:t xml:space="preserve"> include</w:t>
      </w:r>
      <w:r w:rsidRPr="00C136E3" w:rsidR="00AD773B">
        <w:rPr>
          <w:rFonts w:eastAsiaTheme="minorHAnsi"/>
        </w:rPr>
        <w:t>d</w:t>
      </w:r>
      <w:r w:rsidRPr="00C136E3" w:rsidR="00BB5D64">
        <w:rPr>
          <w:rFonts w:eastAsiaTheme="minorHAnsi"/>
        </w:rPr>
        <w:t xml:space="preserve"> conducting a hearing on whether FirstEnergy Advisors possesses the manag</w:t>
      </w:r>
      <w:r w:rsidRPr="00C136E3" w:rsidR="00606DD6">
        <w:rPr>
          <w:rFonts w:eastAsiaTheme="minorHAnsi"/>
        </w:rPr>
        <w:t>erial</w:t>
      </w:r>
      <w:r w:rsidRPr="00C136E3" w:rsidR="00BB5D64">
        <w:rPr>
          <w:rFonts w:eastAsiaTheme="minorHAnsi"/>
        </w:rPr>
        <w:t>, financial and technical capability to provide service and compl</w:t>
      </w:r>
      <w:r w:rsidRPr="00C136E3" w:rsidR="00AD773B">
        <w:rPr>
          <w:rFonts w:eastAsiaTheme="minorHAnsi"/>
        </w:rPr>
        <w:t>ies</w:t>
      </w:r>
      <w:r w:rsidRPr="00C136E3" w:rsidR="00BB5D64">
        <w:rPr>
          <w:rFonts w:eastAsiaTheme="minorHAnsi"/>
        </w:rPr>
        <w:t xml:space="preserve"> with Ohio law, rules, and orders.  Parties should have </w:t>
      </w:r>
      <w:r w:rsidRPr="00C136E3" w:rsidR="00AD773B">
        <w:rPr>
          <w:rFonts w:eastAsiaTheme="minorHAnsi"/>
        </w:rPr>
        <w:t xml:space="preserve">had </w:t>
      </w:r>
      <w:r w:rsidRPr="00C136E3" w:rsidR="00BB5D64">
        <w:rPr>
          <w:rFonts w:eastAsiaTheme="minorHAnsi"/>
        </w:rPr>
        <w:t xml:space="preserve">the opportunity to conduct discovery on the issues raised in the Application, as supplemented, and </w:t>
      </w:r>
      <w:r w:rsidRPr="00C136E3" w:rsidR="002C6F6C">
        <w:rPr>
          <w:rFonts w:eastAsiaTheme="minorHAnsi"/>
        </w:rPr>
        <w:t xml:space="preserve">to </w:t>
      </w:r>
      <w:r w:rsidRPr="00C136E3" w:rsidR="00BB5D64">
        <w:rPr>
          <w:rFonts w:eastAsiaTheme="minorHAnsi"/>
        </w:rPr>
        <w:t xml:space="preserve">provide testimony and evidence demonstrating </w:t>
      </w:r>
    </w:p>
    <w:p w:rsidR="00BB5D64" w:rsidRPr="00C136E3" w:rsidP="00D269A2" w14:paraId="67EC7B53" w14:textId="3AC5D520">
      <w:pPr>
        <w:widowControl w:val="0"/>
        <w:spacing w:line="480" w:lineRule="auto"/>
        <w:contextualSpacing/>
        <w:rPr>
          <w:rFonts w:eastAsiaTheme="minorHAnsi"/>
        </w:rPr>
      </w:pPr>
      <w:r w:rsidRPr="00C136E3">
        <w:rPr>
          <w:rFonts w:eastAsiaTheme="minorHAnsi"/>
        </w:rPr>
        <w:t>how the Application does not satisfy Ohio law or the PUCO’s rules for certification to operate in the state of Ohio.</w:t>
      </w:r>
    </w:p>
    <w:p w:rsidR="00BB5D64" w:rsidRPr="00C136E3" w:rsidP="002632D4" w14:paraId="76441756" w14:textId="4C013D66">
      <w:pPr>
        <w:widowControl w:val="0"/>
        <w:spacing w:line="480" w:lineRule="auto"/>
        <w:ind w:firstLine="720"/>
        <w:contextualSpacing/>
        <w:rPr>
          <w:rFonts w:eastAsiaTheme="minorHAnsi"/>
        </w:rPr>
      </w:pPr>
      <w:r w:rsidRPr="00C136E3">
        <w:rPr>
          <w:rFonts w:eastAsiaTheme="minorHAnsi"/>
        </w:rPr>
        <w:t>OCC and NOPEC requested an evidentiary hearing on February 10, 2020 and February 25, 2020</w:t>
      </w:r>
      <w:r w:rsidRPr="00C136E3" w:rsidR="002C6F6C">
        <w:rPr>
          <w:rFonts w:eastAsiaTheme="minorHAnsi"/>
        </w:rPr>
        <w:t>.</w:t>
      </w:r>
      <w:r>
        <w:rPr>
          <w:rStyle w:val="FootnoteReference"/>
          <w:rFonts w:eastAsiaTheme="minorHAnsi"/>
        </w:rPr>
        <w:footnoteReference w:id="30"/>
      </w:r>
      <w:r w:rsidRPr="00C136E3">
        <w:rPr>
          <w:rFonts w:eastAsiaTheme="minorHAnsi"/>
        </w:rPr>
        <w:t xml:space="preserve"> NOPEC again requested a hearing on April 14, 2020</w:t>
      </w:r>
      <w:r w:rsidRPr="00C136E3" w:rsidR="009A7555">
        <w:rPr>
          <w:rFonts w:eastAsiaTheme="minorHAnsi"/>
        </w:rPr>
        <w:t>.</w:t>
      </w:r>
      <w:r>
        <w:rPr>
          <w:rStyle w:val="FootnoteReference"/>
          <w:rFonts w:eastAsiaTheme="minorHAnsi"/>
        </w:rPr>
        <w:footnoteReference w:id="31"/>
      </w:r>
      <w:r w:rsidRPr="00C136E3">
        <w:rPr>
          <w:rFonts w:eastAsiaTheme="minorHAnsi"/>
        </w:rPr>
        <w:t xml:space="preserve"> Vistra requested a hearing on February 11, 2020, April 1, 2020, April 14, 2020</w:t>
      </w:r>
      <w:r w:rsidRPr="00C136E3" w:rsidR="009A7555">
        <w:rPr>
          <w:rFonts w:eastAsiaTheme="minorHAnsi"/>
        </w:rPr>
        <w:t>.</w:t>
      </w:r>
      <w:r>
        <w:rPr>
          <w:rStyle w:val="FootnoteReference"/>
          <w:rFonts w:eastAsiaTheme="minorHAnsi"/>
        </w:rPr>
        <w:footnoteReference w:id="32"/>
      </w:r>
      <w:r w:rsidRPr="00C136E3">
        <w:rPr>
          <w:rFonts w:eastAsiaTheme="minorHAnsi"/>
        </w:rPr>
        <w:t xml:space="preserve"> </w:t>
      </w:r>
      <w:r w:rsidRPr="00C136E3" w:rsidR="009A7555">
        <w:rPr>
          <w:rFonts w:eastAsiaTheme="minorHAnsi"/>
        </w:rPr>
        <w:t>T</w:t>
      </w:r>
      <w:r w:rsidRPr="00C136E3">
        <w:rPr>
          <w:rFonts w:eastAsiaTheme="minorHAnsi"/>
        </w:rPr>
        <w:t>he Northwest Ohio Aggregation Coalition requested a hearing on February 17, 2020,</w:t>
      </w:r>
      <w:r>
        <w:rPr>
          <w:rStyle w:val="FootnoteReference"/>
          <w:rFonts w:eastAsiaTheme="minorHAnsi"/>
        </w:rPr>
        <w:footnoteReference w:id="33"/>
      </w:r>
      <w:r w:rsidRPr="00C136E3">
        <w:rPr>
          <w:rFonts w:eastAsiaTheme="minorHAnsi"/>
        </w:rPr>
        <w:t xml:space="preserve"> and Interstate Gas Supply, Inc. requested a hearing on March 25, 2020.</w:t>
      </w:r>
      <w:r>
        <w:rPr>
          <w:rStyle w:val="FootnoteReference"/>
          <w:rFonts w:eastAsiaTheme="minorHAnsi"/>
        </w:rPr>
        <w:footnoteReference w:id="34"/>
      </w:r>
      <w:r w:rsidRPr="00C136E3" w:rsidR="00B64F22">
        <w:rPr>
          <w:rFonts w:eastAsiaTheme="minorHAnsi"/>
        </w:rPr>
        <w:t xml:space="preserve"> The PUCO denied these requests.</w:t>
      </w:r>
      <w:r w:rsidRPr="00C136E3">
        <w:rPr>
          <w:rFonts w:eastAsiaTheme="minorHAnsi"/>
        </w:rPr>
        <w:t xml:space="preserve">  </w:t>
      </w:r>
    </w:p>
    <w:p w:rsidR="00253BA2" w:rsidRPr="00C136E3" w:rsidP="009A7555" w14:paraId="2FC45F15" w14:textId="441797E3">
      <w:pPr>
        <w:widowControl w:val="0"/>
        <w:spacing w:line="480" w:lineRule="auto"/>
        <w:ind w:firstLine="720"/>
        <w:contextualSpacing/>
        <w:rPr>
          <w:rFonts w:eastAsiaTheme="minorHAnsi"/>
        </w:rPr>
      </w:pPr>
      <w:r w:rsidRPr="00C136E3">
        <w:rPr>
          <w:rFonts w:eastAsiaTheme="minorHAnsi"/>
        </w:rPr>
        <w:t xml:space="preserve">Under Ohio Adm. Code 4901:1-24-10(A)(2)(c), the PUCO should conduct a hearing </w:t>
      </w:r>
      <w:r w:rsidRPr="00C136E3" w:rsidR="008965F3">
        <w:rPr>
          <w:rFonts w:eastAsiaTheme="minorHAnsi"/>
        </w:rPr>
        <w:t xml:space="preserve">on the suspended application </w:t>
      </w:r>
      <w:r w:rsidRPr="00C136E3">
        <w:rPr>
          <w:rFonts w:eastAsiaTheme="minorHAnsi"/>
        </w:rPr>
        <w:t xml:space="preserve">with a schedule that provides ample opportunity to conduct discovery.  Further, the schedule should allow for appropriate due process in this case by allowing discovery </w:t>
      </w:r>
      <w:r w:rsidRPr="00C136E3" w:rsidR="008D0500">
        <w:rPr>
          <w:rFonts w:eastAsiaTheme="minorHAnsi"/>
        </w:rPr>
        <w:t xml:space="preserve"> </w:t>
      </w:r>
      <w:r w:rsidRPr="00C136E3">
        <w:rPr>
          <w:rFonts w:eastAsiaTheme="minorHAnsi"/>
        </w:rPr>
        <w:t>to be conducted as required by R.C. 4903.082,</w:t>
      </w:r>
      <w:r>
        <w:rPr>
          <w:rStyle w:val="FootnoteReference"/>
          <w:rFonts w:eastAsiaTheme="minorHAnsi"/>
        </w:rPr>
        <w:footnoteReference w:id="35"/>
      </w:r>
      <w:r w:rsidRPr="00C136E3">
        <w:rPr>
          <w:rFonts w:eastAsiaTheme="minorHAnsi"/>
        </w:rPr>
        <w:t xml:space="preserve"> testimony to be filed, and a public hearing to be held</w:t>
      </w:r>
      <w:r w:rsidRPr="00C136E3" w:rsidR="008965F3">
        <w:rPr>
          <w:rFonts w:eastAsiaTheme="minorHAnsi"/>
        </w:rPr>
        <w:t xml:space="preserve"> </w:t>
      </w:r>
      <w:r w:rsidRPr="00C136E3">
        <w:rPr>
          <w:rFonts w:eastAsiaTheme="minorHAnsi"/>
        </w:rPr>
        <w:t>to develop a complete record that will assist the PUCO in a full and fair consideration of the Application.</w:t>
      </w:r>
      <w:r>
        <w:rPr>
          <w:rStyle w:val="FootnoteReference"/>
          <w:rFonts w:eastAsiaTheme="minorHAnsi"/>
        </w:rPr>
        <w:footnoteReference w:id="36"/>
      </w:r>
      <w:r w:rsidRPr="00C136E3">
        <w:rPr>
          <w:rFonts w:eastAsiaTheme="minorHAnsi"/>
        </w:rPr>
        <w:t xml:space="preserve">  The PUCO routinely relies on testimony in contested cases and a hearing is an important part of any contested matter before the PUCO. </w:t>
      </w:r>
    </w:p>
    <w:p w:rsidR="00AD773B" w:rsidRPr="00C136E3" w:rsidP="00EA4C02" w14:paraId="58B4E85E" w14:textId="3A8C8C57">
      <w:pPr>
        <w:spacing w:line="480" w:lineRule="auto"/>
        <w:rPr>
          <w:rFonts w:eastAsiaTheme="minorHAnsi"/>
        </w:rPr>
      </w:pPr>
      <w:r w:rsidRPr="00C136E3">
        <w:rPr>
          <w:rFonts w:eastAsiaTheme="minorHAnsi"/>
        </w:rPr>
        <w:tab/>
      </w:r>
      <w:r w:rsidRPr="00C136E3" w:rsidR="00432F6D">
        <w:rPr>
          <w:rFonts w:eastAsiaTheme="minorHAnsi"/>
        </w:rPr>
        <w:t>T</w:t>
      </w:r>
      <w:r w:rsidRPr="00C136E3" w:rsidR="00253BA2">
        <w:t>he PUCO’s rules and Ohio law permit ample discovery in PUCO proceedings.</w:t>
      </w:r>
      <w:r>
        <w:rPr>
          <w:rStyle w:val="FootnoteReference"/>
        </w:rPr>
        <w:footnoteReference w:id="37"/>
      </w:r>
      <w:r w:rsidRPr="00C136E3" w:rsidR="00253BA2">
        <w:t xml:space="preserve">  Ohio Adm. Code 4901-1-16(H) plainly allows discovery to begin upon the filing of a motion to intervene, even before it is granted.  </w:t>
      </w:r>
      <w:r w:rsidRPr="00C136E3" w:rsidR="00FC1357">
        <w:t xml:space="preserve">Ohio Adm. Code 4901-1-17(A) further provides that “discovery may begin immediately after a </w:t>
      </w:r>
      <w:r w:rsidRPr="00C136E3" w:rsidR="00B80814">
        <w:t xml:space="preserve">proceeding is commenced and should be completed as expeditiously as possible.” </w:t>
      </w:r>
      <w:r w:rsidRPr="00C136E3">
        <w:t>But</w:t>
      </w:r>
      <w:r w:rsidRPr="00C136E3" w:rsidR="00B80814">
        <w:t xml:space="preserve"> in this case,</w:t>
      </w:r>
      <w:r w:rsidRPr="00C136E3">
        <w:t xml:space="preserve"> </w:t>
      </w:r>
      <w:r w:rsidRPr="00C136E3">
        <w:rPr>
          <w:rFonts w:eastAsiaTheme="minorHAnsi"/>
        </w:rPr>
        <w:t>FirstEnergy Advisors simply refused all requests for discovery by the parties.</w:t>
      </w:r>
      <w:r>
        <w:rPr>
          <w:rStyle w:val="FootnoteReference"/>
          <w:rFonts w:eastAsiaTheme="minorHAnsi"/>
        </w:rPr>
        <w:footnoteReference w:id="38"/>
      </w:r>
      <w:r w:rsidRPr="00C136E3">
        <w:rPr>
          <w:rFonts w:eastAsiaTheme="minorHAnsi"/>
        </w:rPr>
        <w:t xml:space="preserve">  </w:t>
      </w:r>
      <w:r w:rsidRPr="00C136E3" w:rsidR="00CE78A2">
        <w:t>In a recent PUCO certification case, the PUCO correctly acknowledged that, under the PUCO’s rules, parties have a right to discovery (which begins as soon as a motion to intervene is filed) in certification cases.</w:t>
      </w:r>
      <w:r>
        <w:rPr>
          <w:rStyle w:val="FootnoteReference"/>
        </w:rPr>
        <w:footnoteReference w:id="39"/>
      </w:r>
      <w:r w:rsidRPr="00C136E3" w:rsidR="00CE78A2">
        <w:t xml:space="preserve">  And, in that certification case, the PUCO directed the applicant requesting CRES certification to respond to discovery.</w:t>
      </w:r>
      <w:r>
        <w:rPr>
          <w:rStyle w:val="FootnoteReference"/>
        </w:rPr>
        <w:footnoteReference w:id="40"/>
      </w:r>
      <w:r w:rsidRPr="00C136E3" w:rsidR="00CE78A2">
        <w:t xml:space="preserve"> </w:t>
      </w:r>
      <w:r w:rsidRPr="00C136E3" w:rsidR="008965F3">
        <w:rPr>
          <w:rFonts w:eastAsiaTheme="minorHAnsi"/>
        </w:rPr>
        <w:tab/>
      </w:r>
      <w:r w:rsidRPr="00C136E3" w:rsidR="00CE78A2">
        <w:rPr>
          <w:rFonts w:eastAsiaTheme="minorHAnsi"/>
        </w:rPr>
        <w:t>Similarly, i</w:t>
      </w:r>
      <w:r w:rsidRPr="00C136E3" w:rsidR="00BB5D64">
        <w:rPr>
          <w:rFonts w:eastAsiaTheme="minorHAnsi"/>
        </w:rPr>
        <w:t xml:space="preserve">n the instant case, </w:t>
      </w:r>
      <w:r w:rsidRPr="00C136E3" w:rsidR="008965F3">
        <w:rPr>
          <w:rFonts w:eastAsiaTheme="minorHAnsi"/>
        </w:rPr>
        <w:t xml:space="preserve">the </w:t>
      </w:r>
      <w:r w:rsidRPr="00C136E3" w:rsidR="000A79C3">
        <w:rPr>
          <w:rFonts w:eastAsiaTheme="minorHAnsi"/>
        </w:rPr>
        <w:t xml:space="preserve">PUCO </w:t>
      </w:r>
      <w:r w:rsidRPr="00C136E3" w:rsidR="00CE78A2">
        <w:rPr>
          <w:rFonts w:eastAsiaTheme="minorHAnsi"/>
        </w:rPr>
        <w:t xml:space="preserve">should </w:t>
      </w:r>
      <w:r w:rsidRPr="00C136E3">
        <w:rPr>
          <w:rFonts w:eastAsiaTheme="minorHAnsi"/>
        </w:rPr>
        <w:t xml:space="preserve">have </w:t>
      </w:r>
      <w:r w:rsidRPr="00C136E3" w:rsidR="00CE78A2">
        <w:rPr>
          <w:rFonts w:eastAsiaTheme="minorHAnsi"/>
        </w:rPr>
        <w:t>afford</w:t>
      </w:r>
      <w:r w:rsidRPr="00C136E3">
        <w:rPr>
          <w:rFonts w:eastAsiaTheme="minorHAnsi"/>
        </w:rPr>
        <w:t>ed</w:t>
      </w:r>
      <w:r w:rsidRPr="00C136E3" w:rsidR="00CE78A2">
        <w:rPr>
          <w:rFonts w:eastAsiaTheme="minorHAnsi"/>
        </w:rPr>
        <w:t xml:space="preserve"> parties ample rights to discovery to allow the parties </w:t>
      </w:r>
      <w:r w:rsidRPr="00C136E3" w:rsidR="008965F3">
        <w:rPr>
          <w:rFonts w:eastAsiaTheme="minorHAnsi"/>
        </w:rPr>
        <w:t xml:space="preserve">to </w:t>
      </w:r>
      <w:r w:rsidRPr="00C136E3" w:rsidR="00CE78A2">
        <w:rPr>
          <w:rFonts w:eastAsiaTheme="minorHAnsi"/>
        </w:rPr>
        <w:t>produce evidence</w:t>
      </w:r>
      <w:r w:rsidRPr="00C136E3" w:rsidR="00BB5D64">
        <w:rPr>
          <w:rFonts w:eastAsiaTheme="minorHAnsi"/>
        </w:rPr>
        <w:t xml:space="preserve"> regarding FirstEnergy Advisors’ </w:t>
      </w:r>
      <w:r w:rsidRPr="00C136E3" w:rsidR="003E5758">
        <w:rPr>
          <w:rFonts w:eastAsiaTheme="minorHAnsi"/>
        </w:rPr>
        <w:t xml:space="preserve">ability to comply with </w:t>
      </w:r>
      <w:r w:rsidRPr="00C136E3" w:rsidR="00BB5D64">
        <w:rPr>
          <w:rFonts w:eastAsiaTheme="minorHAnsi"/>
        </w:rPr>
        <w:t xml:space="preserve">corporate separation </w:t>
      </w:r>
      <w:r w:rsidRPr="00C136E3" w:rsidR="003E5758">
        <w:rPr>
          <w:rFonts w:eastAsiaTheme="minorHAnsi"/>
        </w:rPr>
        <w:t>rules and Ohio law</w:t>
      </w:r>
      <w:r w:rsidRPr="00C136E3" w:rsidR="00BB5D64">
        <w:rPr>
          <w:rFonts w:eastAsiaTheme="minorHAnsi"/>
        </w:rPr>
        <w:t>.</w:t>
      </w:r>
      <w:r>
        <w:rPr>
          <w:rStyle w:val="FootnoteReference"/>
          <w:rFonts w:eastAsiaTheme="minorHAnsi"/>
        </w:rPr>
        <w:footnoteReference w:id="41"/>
      </w:r>
      <w:r w:rsidRPr="00C136E3" w:rsidR="00BB5D64">
        <w:rPr>
          <w:rFonts w:eastAsiaTheme="minorHAnsi"/>
        </w:rPr>
        <w:t xml:space="preserve">  Without an opportunity to </w:t>
      </w:r>
      <w:r w:rsidRPr="00C136E3" w:rsidR="00CE78A2">
        <w:rPr>
          <w:rFonts w:eastAsiaTheme="minorHAnsi"/>
        </w:rPr>
        <w:t xml:space="preserve">conduct discovery and </w:t>
      </w:r>
      <w:r w:rsidRPr="00C136E3" w:rsidR="00BB5D64">
        <w:rPr>
          <w:rFonts w:eastAsiaTheme="minorHAnsi"/>
        </w:rPr>
        <w:t>present their case at a hearing</w:t>
      </w:r>
      <w:r w:rsidRPr="00C136E3" w:rsidR="008965F3">
        <w:rPr>
          <w:rFonts w:eastAsiaTheme="minorHAnsi"/>
        </w:rPr>
        <w:t xml:space="preserve"> and be heard</w:t>
      </w:r>
      <w:r w:rsidRPr="00C136E3" w:rsidR="00BB5D64">
        <w:rPr>
          <w:rFonts w:eastAsiaTheme="minorHAnsi"/>
        </w:rPr>
        <w:t xml:space="preserve">, the parties </w:t>
      </w:r>
      <w:r w:rsidRPr="00C136E3">
        <w:rPr>
          <w:rFonts w:eastAsiaTheme="minorHAnsi"/>
        </w:rPr>
        <w:t>were</w:t>
      </w:r>
      <w:r w:rsidRPr="00C136E3" w:rsidR="00BB5D64">
        <w:rPr>
          <w:rFonts w:eastAsiaTheme="minorHAnsi"/>
        </w:rPr>
        <w:t xml:space="preserve"> unable to fully develop a record</w:t>
      </w:r>
      <w:r w:rsidRPr="00C136E3" w:rsidR="008965F3">
        <w:rPr>
          <w:rFonts w:eastAsiaTheme="minorHAnsi"/>
        </w:rPr>
        <w:t xml:space="preserve"> </w:t>
      </w:r>
      <w:r w:rsidRPr="00C136E3" w:rsidR="00B80814">
        <w:rPr>
          <w:rFonts w:eastAsiaTheme="minorHAnsi"/>
        </w:rPr>
        <w:t xml:space="preserve">in this contested case </w:t>
      </w:r>
      <w:r w:rsidRPr="00C136E3" w:rsidR="008965F3">
        <w:rPr>
          <w:rFonts w:eastAsiaTheme="minorHAnsi"/>
        </w:rPr>
        <w:t>for the PUCO to rely upon</w:t>
      </w:r>
      <w:r w:rsidRPr="00C136E3" w:rsidR="00BB5D64">
        <w:rPr>
          <w:rFonts w:eastAsiaTheme="minorHAnsi"/>
        </w:rPr>
        <w:t xml:space="preserve">. </w:t>
      </w:r>
      <w:r w:rsidRPr="00C136E3" w:rsidR="008965F3">
        <w:rPr>
          <w:rFonts w:eastAsiaTheme="minorHAnsi"/>
        </w:rPr>
        <w:t xml:space="preserve"> </w:t>
      </w:r>
      <w:r w:rsidRPr="00C136E3" w:rsidR="00BB5D64">
        <w:rPr>
          <w:rFonts w:eastAsiaTheme="minorHAnsi"/>
        </w:rPr>
        <w:t>Additionally, the Staff Report</w:t>
      </w:r>
      <w:r>
        <w:rPr>
          <w:rStyle w:val="FootnoteReference"/>
          <w:rFonts w:eastAsiaTheme="minorHAnsi"/>
        </w:rPr>
        <w:footnoteReference w:id="42"/>
      </w:r>
      <w:r w:rsidRPr="00C136E3" w:rsidR="00BB5D64">
        <w:rPr>
          <w:rFonts w:eastAsiaTheme="minorHAnsi"/>
        </w:rPr>
        <w:t xml:space="preserve"> d</w:t>
      </w:r>
      <w:r w:rsidRPr="00C136E3">
        <w:rPr>
          <w:rFonts w:eastAsiaTheme="minorHAnsi"/>
        </w:rPr>
        <w:t>id</w:t>
      </w:r>
      <w:r w:rsidRPr="00C136E3" w:rsidR="00BB5D64">
        <w:rPr>
          <w:rFonts w:eastAsiaTheme="minorHAnsi"/>
        </w:rPr>
        <w:t xml:space="preserve"> little to add to the record, and instead summarily accepts the limited information put forth in FirstEnergy Advisors’ Supplemental Application.</w:t>
      </w:r>
      <w:r>
        <w:rPr>
          <w:rStyle w:val="FootnoteReference"/>
          <w:rFonts w:eastAsiaTheme="minorHAnsi"/>
        </w:rPr>
        <w:footnoteReference w:id="43"/>
      </w:r>
      <w:r w:rsidRPr="00C136E3" w:rsidR="00BB5D64">
        <w:rPr>
          <w:rFonts w:eastAsiaTheme="minorHAnsi"/>
        </w:rPr>
        <w:t xml:space="preserve">  </w:t>
      </w:r>
      <w:r w:rsidRPr="00C136E3" w:rsidR="003E5758">
        <w:rPr>
          <w:rFonts w:eastAsiaTheme="minorHAnsi"/>
        </w:rPr>
        <w:t xml:space="preserve"> </w:t>
      </w:r>
    </w:p>
    <w:p w:rsidR="009A7555" w:rsidRPr="00C136E3" w:rsidP="009A7555" w14:paraId="542E97B6" w14:textId="77777777">
      <w:pPr>
        <w:spacing w:line="480" w:lineRule="auto"/>
      </w:pPr>
      <w:r w:rsidRPr="00C136E3">
        <w:rPr>
          <w:rFonts w:eastAsiaTheme="minorHAnsi"/>
        </w:rPr>
        <w:tab/>
      </w:r>
      <w:r w:rsidRPr="00C136E3" w:rsidR="00A875F0">
        <w:t xml:space="preserve">The </w:t>
      </w:r>
      <w:r w:rsidRPr="00C136E3" w:rsidR="007E4E9F">
        <w:t xml:space="preserve"> PUCO </w:t>
      </w:r>
      <w:r w:rsidRPr="00C136E3" w:rsidR="00A875F0">
        <w:t xml:space="preserve">has long held that it is in the public interest for </w:t>
      </w:r>
      <w:r w:rsidRPr="00C136E3" w:rsidR="007E4E9F">
        <w:t xml:space="preserve">it </w:t>
      </w:r>
      <w:r w:rsidRPr="00C136E3" w:rsidR="00A875F0">
        <w:t>“to base its decisions on as full and complete a record as possible.”</w:t>
      </w:r>
      <w:r>
        <w:rPr>
          <w:rStyle w:val="FootnoteReference"/>
        </w:rPr>
        <w:footnoteReference w:id="44"/>
      </w:r>
      <w:r w:rsidRPr="00C136E3" w:rsidR="00606DD6">
        <w:t xml:space="preserve"> </w:t>
      </w:r>
      <w:r w:rsidRPr="00C136E3" w:rsidR="00A875F0">
        <w:t xml:space="preserve">Accordingly, FirstEnergy’s Application should </w:t>
      </w:r>
      <w:r w:rsidRPr="00C136E3" w:rsidR="006B2FAE">
        <w:t>have been</w:t>
      </w:r>
      <w:r w:rsidRPr="00C136E3" w:rsidR="00A875F0">
        <w:t xml:space="preserve"> subject to a full hearing where all parties offer</w:t>
      </w:r>
      <w:r w:rsidRPr="00C136E3" w:rsidR="006B2FAE">
        <w:t>ed</w:t>
      </w:r>
      <w:r w:rsidRPr="00C136E3" w:rsidR="00A875F0">
        <w:t xml:space="preserve"> testimony and cross-examine</w:t>
      </w:r>
      <w:r w:rsidRPr="00C136E3" w:rsidR="006B2FAE">
        <w:t>d</w:t>
      </w:r>
      <w:r w:rsidRPr="00C136E3" w:rsidR="00A875F0">
        <w:t xml:space="preserve"> witnesses regarding the Application. Such a hearing would</w:t>
      </w:r>
      <w:r w:rsidRPr="00C136E3" w:rsidR="006B2FAE">
        <w:t xml:space="preserve"> have</w:t>
      </w:r>
      <w:r w:rsidRPr="00C136E3" w:rsidR="00A875F0">
        <w:t xml:space="preserve"> </w:t>
      </w:r>
      <w:r w:rsidRPr="00C136E3" w:rsidR="005C58C9">
        <w:t>allowed</w:t>
      </w:r>
      <w:r w:rsidRPr="00C136E3" w:rsidR="007E4E9F">
        <w:t xml:space="preserve"> </w:t>
      </w:r>
      <w:r w:rsidRPr="00C136E3" w:rsidR="00A875F0">
        <w:t>due process for the parties and result</w:t>
      </w:r>
      <w:r w:rsidRPr="00C136E3" w:rsidR="006B2FAE">
        <w:t>ed</w:t>
      </w:r>
      <w:r w:rsidRPr="00C136E3" w:rsidR="00A875F0">
        <w:t xml:space="preserve"> in the development of a record upon which the </w:t>
      </w:r>
      <w:r w:rsidRPr="00C136E3" w:rsidR="007E4E9F">
        <w:t xml:space="preserve">PUCO </w:t>
      </w:r>
      <w:r w:rsidRPr="00C136E3" w:rsidR="00A875F0">
        <w:t xml:space="preserve">should base its decision. </w:t>
      </w:r>
      <w:bookmarkStart w:id="19" w:name="_Toc40876760"/>
    </w:p>
    <w:p w:rsidR="00CF7EAF" w:rsidRPr="00C136E3" w:rsidP="00C136E3" w14:paraId="28A2A7F4" w14:textId="488D274E">
      <w:pPr>
        <w:pStyle w:val="Heading2"/>
        <w:rPr>
          <w:rStyle w:val="Heading2Char"/>
          <w:rFonts w:ascii="Times New Roman" w:hAnsi="Times New Roman" w:cs="Times New Roman"/>
          <w:bCs/>
          <w:szCs w:val="24"/>
        </w:rPr>
      </w:pPr>
      <w:bookmarkStart w:id="20" w:name="_Toc41050101"/>
      <w:bookmarkStart w:id="21" w:name="_Toc41050336"/>
      <w:bookmarkStart w:id="22" w:name="_Toc41056298"/>
      <w:r w:rsidRPr="00C136E3">
        <w:rPr>
          <w:rFonts w:ascii="Times New Roman" w:hAnsi="Times New Roman" w:cs="Times New Roman"/>
          <w:szCs w:val="24"/>
        </w:rPr>
        <w:t>ASSIGNMENT OF ERROR NO. 3:</w:t>
      </w:r>
      <w:bookmarkEnd w:id="20"/>
      <w:bookmarkEnd w:id="21"/>
      <w:r w:rsidRPr="00C136E3" w:rsidR="00C136E3">
        <w:rPr>
          <w:rFonts w:ascii="Times New Roman" w:hAnsi="Times New Roman" w:cs="Times New Roman"/>
          <w:szCs w:val="24"/>
        </w:rPr>
        <w:t xml:space="preserve">  </w:t>
      </w:r>
      <w:bookmarkStart w:id="23" w:name="_Toc41050102"/>
      <w:bookmarkStart w:id="24" w:name="_Toc41050337"/>
      <w:r w:rsidRPr="00C136E3">
        <w:rPr>
          <w:rFonts w:ascii="Times New Roman" w:eastAsia="Times New Roman" w:hAnsi="Times New Roman" w:cs="Times New Roman"/>
          <w:szCs w:val="24"/>
        </w:rPr>
        <w:t>The PUCO’s decision approving the Application is unlawful and is unsupported by record evidence in violation of R.C. 4903.09. The Application should be denied.</w:t>
      </w:r>
      <w:bookmarkEnd w:id="23"/>
      <w:bookmarkEnd w:id="24"/>
      <w:bookmarkEnd w:id="22"/>
    </w:p>
    <w:p w:rsidR="00CF7EAF" w:rsidRPr="00C136E3" w:rsidP="00BB5D64" w14:paraId="67088A47" w14:textId="0C5B1FC5">
      <w:pPr>
        <w:ind w:left="720"/>
        <w:contextualSpacing/>
        <w:jc w:val="both"/>
        <w:rPr>
          <w:rStyle w:val="Heading2Char"/>
          <w:rFonts w:ascii="Times New Roman" w:hAnsi="Times New Roman" w:cs="Times New Roman"/>
          <w:szCs w:val="24"/>
        </w:rPr>
      </w:pPr>
    </w:p>
    <w:p w:rsidR="00CF7EAF" w:rsidRPr="00C136E3" w:rsidP="00CF7EAF" w14:paraId="794844CB" w14:textId="724E7D66">
      <w:pPr>
        <w:spacing w:line="480" w:lineRule="auto"/>
        <w:ind w:firstLine="720"/>
        <w:rPr>
          <w:rFonts w:eastAsiaTheme="minorHAnsi"/>
        </w:rPr>
      </w:pPr>
      <w:r w:rsidRPr="00C136E3">
        <w:rPr>
          <w:rFonts w:eastAsiaTheme="minorHAnsi"/>
        </w:rPr>
        <w:t>Eight parties intervened in this proceeding to raise questions regarding FirstEnergy Advisors’ Application. There is no question that this proceeding is a “contested case” for purposes of R.C. 4903.09. R.C. 4901.09 expressly states:</w:t>
      </w:r>
    </w:p>
    <w:p w:rsidR="00CF7EAF" w:rsidRPr="00C136E3" w:rsidP="001A2645" w14:paraId="17E18379" w14:textId="7D39D86F">
      <w:pPr>
        <w:ind w:left="720" w:right="720"/>
        <w:rPr>
          <w:rFonts w:eastAsiaTheme="minorHAnsi"/>
        </w:rPr>
      </w:pPr>
      <w:r w:rsidRPr="00C136E3">
        <w:rPr>
          <w:rFonts w:eastAsiaTheme="minorHAnsi"/>
        </w:rPr>
        <w:t xml:space="preserve">In </w:t>
      </w:r>
      <w:r w:rsidRPr="00C136E3">
        <w:rPr>
          <w:rFonts w:eastAsiaTheme="minorHAnsi"/>
          <w:i/>
          <w:iCs/>
        </w:rPr>
        <w:t>all contested cases</w:t>
      </w:r>
      <w:r w:rsidRPr="00C136E3">
        <w:rPr>
          <w:rFonts w:eastAsiaTheme="minorHAnsi"/>
        </w:rPr>
        <w:t xml:space="preserve"> heard by the public utilities commission, a complete record of all the proceedings shall be made, including a transcript of all testimony and of all exhibits, and the commission shall file, with the records of such cases, findings of fact and written opinions setting forth the reasons prompting the decision arrived at, based upon said findings of fact. (emphasis added).</w:t>
      </w:r>
    </w:p>
    <w:p w:rsidR="001A2645" w:rsidRPr="00C136E3" w:rsidP="0086673A" w14:paraId="2F311176" w14:textId="77777777">
      <w:pPr>
        <w:ind w:left="720" w:right="720"/>
        <w:rPr>
          <w:rFonts w:eastAsiaTheme="minorHAnsi"/>
        </w:rPr>
      </w:pPr>
    </w:p>
    <w:p w:rsidR="00CF7EAF" w:rsidRPr="00C136E3" w:rsidP="00456122" w14:paraId="3CE55B02" w14:textId="26D5C34B">
      <w:pPr>
        <w:spacing w:line="480" w:lineRule="auto"/>
        <w:rPr>
          <w:rFonts w:eastAsiaTheme="minorHAnsi"/>
        </w:rPr>
      </w:pPr>
      <w:r w:rsidRPr="00C136E3">
        <w:rPr>
          <w:rFonts w:eastAsiaTheme="minorHAnsi"/>
        </w:rPr>
        <w:t xml:space="preserve">Despite the </w:t>
      </w:r>
      <w:r w:rsidRPr="00C136E3">
        <w:t>numerous</w:t>
      </w:r>
      <w:r w:rsidRPr="00C136E3">
        <w:rPr>
          <w:rFonts w:eastAsiaTheme="minorHAnsi"/>
        </w:rPr>
        <w:t xml:space="preserve"> requests for a hearing in this contested case, the PUCO </w:t>
      </w:r>
      <w:r w:rsidRPr="00C136E3" w:rsidR="00025130">
        <w:rPr>
          <w:rFonts w:eastAsiaTheme="minorHAnsi"/>
        </w:rPr>
        <w:t>refused</w:t>
      </w:r>
      <w:r w:rsidRPr="00C136E3">
        <w:rPr>
          <w:rFonts w:eastAsiaTheme="minorHAnsi"/>
        </w:rPr>
        <w:t xml:space="preserve"> to conduct a hearing to develop a record on which to base its decision, as required by R.C. 4903.09.</w:t>
      </w:r>
      <w:r>
        <w:rPr>
          <w:rStyle w:val="FootnoteReference"/>
          <w:rFonts w:eastAsiaTheme="minorHAnsi"/>
        </w:rPr>
        <w:footnoteReference w:id="45"/>
      </w:r>
    </w:p>
    <w:p w:rsidR="00456122" w:rsidRPr="00C136E3" w:rsidP="0086673A" w14:paraId="6E1CE25E" w14:textId="667D93C6">
      <w:pPr>
        <w:spacing w:line="480" w:lineRule="auto"/>
        <w:rPr>
          <w:rStyle w:val="Heading2Char"/>
          <w:rFonts w:ascii="Times New Roman" w:hAnsi="Times New Roman" w:cs="Times New Roman"/>
          <w:szCs w:val="24"/>
        </w:rPr>
      </w:pPr>
      <w:r w:rsidRPr="00C136E3">
        <w:rPr>
          <w:rFonts w:eastAsiaTheme="minorHAnsi"/>
        </w:rPr>
        <w:tab/>
        <w:t>As note</w:t>
      </w:r>
      <w:r w:rsidRPr="00C136E3" w:rsidR="00605DE4">
        <w:rPr>
          <w:rFonts w:eastAsiaTheme="minorHAnsi"/>
        </w:rPr>
        <w:t>d</w:t>
      </w:r>
      <w:r w:rsidRPr="00C136E3">
        <w:rPr>
          <w:rFonts w:eastAsiaTheme="minorHAnsi"/>
        </w:rPr>
        <w:t xml:space="preserve"> above, the PUCO denied the opposing parties an opportunity to conduct discovery and an evidentiary hearing. </w:t>
      </w:r>
      <w:r w:rsidRPr="00C136E3" w:rsidR="00B423E1">
        <w:t>Thus, there is no evidentiary record in this contested case to support the PUCO’s determination that FirstEnergy Advisors has the managerial capability to provide service to Ohio consumers as required by R.C. 4928.08</w:t>
      </w:r>
      <w:r w:rsidRPr="00C136E3" w:rsidR="00AF1E48">
        <w:t>(B)</w:t>
      </w:r>
      <w:r w:rsidRPr="00C136E3" w:rsidR="00B423E1">
        <w:t xml:space="preserve"> and O</w:t>
      </w:r>
      <w:r w:rsidRPr="00C136E3" w:rsidR="00AF1E48">
        <w:t>hio Adm. Code</w:t>
      </w:r>
      <w:r w:rsidRPr="00C136E3" w:rsidR="00B423E1">
        <w:t xml:space="preserve"> 4901:1-24-10(C)(2).  </w:t>
      </w:r>
      <w:r w:rsidRPr="00C136E3" w:rsidR="00AF1E48">
        <w:t>Instead, t</w:t>
      </w:r>
      <w:r w:rsidRPr="00C136E3" w:rsidR="00B423E1">
        <w:t>he PUCO relied solely on Staff’s one-page recommendation, which also contained no factual determinations to support the Application.</w:t>
      </w:r>
      <w:r w:rsidRPr="00C136E3" w:rsidR="00AF1E48">
        <w:t xml:space="preserve"> For this additional reason, the PUCO should grant rehearing and deny the Application.</w:t>
      </w:r>
    </w:p>
    <w:p w:rsidR="00A22420" w:rsidRPr="00C136E3" w:rsidP="00C136E3" w14:paraId="75ED9497" w14:textId="7985A7B6">
      <w:pPr>
        <w:pStyle w:val="Heading2"/>
        <w:rPr>
          <w:rFonts w:ascii="Times New Roman" w:hAnsi="Times New Roman" w:cs="Times New Roman"/>
          <w:szCs w:val="24"/>
        </w:rPr>
      </w:pPr>
      <w:bookmarkStart w:id="25" w:name="_Toc41050103"/>
      <w:bookmarkStart w:id="26" w:name="_Toc41050338"/>
      <w:bookmarkStart w:id="27" w:name="_Toc41056299"/>
      <w:r w:rsidRPr="00D269A2">
        <w:rPr>
          <w:rStyle w:val="Heading2Char"/>
          <w:rFonts w:ascii="Times New Roman" w:hAnsi="Times New Roman" w:cs="Times New Roman"/>
          <w:b/>
          <w:bCs/>
          <w:szCs w:val="24"/>
        </w:rPr>
        <w:t xml:space="preserve">ASSIGNMENT OF ERROR NO. </w:t>
      </w:r>
      <w:r w:rsidRPr="00D269A2" w:rsidR="00465B9C">
        <w:rPr>
          <w:rStyle w:val="Heading2Char"/>
          <w:rFonts w:ascii="Times New Roman" w:hAnsi="Times New Roman" w:cs="Times New Roman"/>
          <w:b/>
          <w:bCs/>
          <w:szCs w:val="24"/>
        </w:rPr>
        <w:t>4</w:t>
      </w:r>
      <w:r w:rsidRPr="00D269A2">
        <w:rPr>
          <w:rStyle w:val="Heading2Char"/>
          <w:rFonts w:ascii="Times New Roman" w:hAnsi="Times New Roman" w:cs="Times New Roman"/>
          <w:b/>
          <w:bCs/>
          <w:szCs w:val="24"/>
        </w:rPr>
        <w:t>:</w:t>
      </w:r>
      <w:bookmarkEnd w:id="25"/>
      <w:bookmarkEnd w:id="26"/>
      <w:r w:rsidRPr="00C136E3" w:rsidR="00C136E3">
        <w:rPr>
          <w:rStyle w:val="Heading2Char"/>
          <w:rFonts w:ascii="Times New Roman" w:hAnsi="Times New Roman" w:cs="Times New Roman"/>
          <w:szCs w:val="24"/>
        </w:rPr>
        <w:t xml:space="preserve">  </w:t>
      </w:r>
      <w:bookmarkStart w:id="28" w:name="_Toc41050339"/>
      <w:r w:rsidRPr="00C136E3" w:rsidR="00584545">
        <w:rPr>
          <w:rFonts w:ascii="Times New Roman" w:hAnsi="Times New Roman" w:cs="Times New Roman"/>
          <w:szCs w:val="24"/>
        </w:rPr>
        <w:t>The PUCO erred by failing to render a decision in this case on the inseparable issues pending i</w:t>
      </w:r>
      <w:r w:rsidR="003315AD">
        <w:rPr>
          <w:rFonts w:ascii="Times New Roman" w:hAnsi="Times New Roman" w:cs="Times New Roman"/>
          <w:szCs w:val="24"/>
        </w:rPr>
        <w:t>n</w:t>
      </w:r>
      <w:r w:rsidRPr="00C136E3" w:rsidR="00584545">
        <w:rPr>
          <w:rFonts w:ascii="Times New Roman" w:hAnsi="Times New Roman" w:cs="Times New Roman"/>
          <w:szCs w:val="24"/>
        </w:rPr>
        <w:t xml:space="preserve"> its audit of the FirstEnergy Utilities’ corporate separation, Case No. </w:t>
      </w:r>
      <w:r w:rsidRPr="00C136E3" w:rsidR="00AF1E48">
        <w:rPr>
          <w:rFonts w:ascii="Times New Roman" w:hAnsi="Times New Roman" w:cs="Times New Roman"/>
          <w:szCs w:val="24"/>
        </w:rPr>
        <w:t>17-974-EL-UNC</w:t>
      </w:r>
      <w:r w:rsidRPr="00C136E3" w:rsidR="00584545">
        <w:rPr>
          <w:rFonts w:ascii="Times New Roman" w:hAnsi="Times New Roman" w:cs="Times New Roman"/>
          <w:szCs w:val="24"/>
        </w:rPr>
        <w:t>. Alternatively, the PUCO erred by failing to hold its decision in abeyance in this case until it fulfills its intention to render a decision in the audit case, No.</w:t>
      </w:r>
      <w:r w:rsidRPr="00C136E3" w:rsidR="00AF1E48">
        <w:rPr>
          <w:rFonts w:ascii="Times New Roman" w:hAnsi="Times New Roman" w:cs="Times New Roman"/>
          <w:szCs w:val="24"/>
        </w:rPr>
        <w:t xml:space="preserve"> 17-974-EL-UNC</w:t>
      </w:r>
      <w:r w:rsidRPr="00C136E3" w:rsidR="00584545">
        <w:rPr>
          <w:rFonts w:ascii="Times New Roman" w:hAnsi="Times New Roman" w:cs="Times New Roman"/>
          <w:szCs w:val="24"/>
        </w:rPr>
        <w:t>. FirstEnergy Advisors’ Application should be denied or held in abeyance pending due process and a decision in the audit case.</w:t>
      </w:r>
      <w:bookmarkEnd w:id="19"/>
      <w:bookmarkEnd w:id="28"/>
      <w:bookmarkEnd w:id="27"/>
    </w:p>
    <w:p w:rsidR="0031127A" w:rsidRPr="00C136E3" w:rsidP="00BB5D64" w14:paraId="04F99583" w14:textId="392FD687">
      <w:pPr>
        <w:ind w:left="720"/>
        <w:contextualSpacing/>
        <w:jc w:val="both"/>
      </w:pPr>
    </w:p>
    <w:p w:rsidR="00FF4AE5" w:rsidRPr="00C136E3" w:rsidP="00D61252" w14:paraId="0E7A2971" w14:textId="54A3E0DA">
      <w:pPr>
        <w:spacing w:line="480" w:lineRule="auto"/>
        <w:ind w:firstLine="720"/>
      </w:pPr>
      <w:r w:rsidRPr="00C136E3">
        <w:t>As explained previously, a</w:t>
      </w:r>
      <w:r w:rsidRPr="00C136E3" w:rsidR="00BE1ABC">
        <w:t xml:space="preserve">n application for certification as a CRES provider requires that the applicant demonstrate an “ability to comply with [PUCO] rules or orders adopted </w:t>
      </w:r>
      <w:r w:rsidRPr="00C136E3" w:rsidR="00C67298">
        <w:t>under</w:t>
      </w:r>
      <w:r w:rsidRPr="00C136E3" w:rsidR="00BE1ABC">
        <w:t xml:space="preserve"> Chapter 4928 of the Revised Code.”</w:t>
      </w:r>
      <w:r>
        <w:rPr>
          <w:rStyle w:val="FootnoteReference"/>
        </w:rPr>
        <w:footnoteReference w:id="46"/>
      </w:r>
      <w:r w:rsidRPr="00C136E3" w:rsidR="00BE1ABC">
        <w:t xml:space="preserve"> </w:t>
      </w:r>
      <w:r w:rsidRPr="00C136E3" w:rsidR="007F4F85">
        <w:t xml:space="preserve"> Ohio law requires regulated electric distribution utilities to be fully separated from competitive affiliates to protect consumers from subsidizing any affiliate’s unregulated activities.</w:t>
      </w:r>
      <w:r>
        <w:rPr>
          <w:rStyle w:val="FootnoteReference"/>
        </w:rPr>
        <w:footnoteReference w:id="47"/>
      </w:r>
      <w:r w:rsidRPr="00C136E3" w:rsidR="007F4F85">
        <w:t xml:space="preserve">  To </w:t>
      </w:r>
      <w:r w:rsidRPr="00C136E3" w:rsidR="007E4E9F">
        <w:t xml:space="preserve">maintain </w:t>
      </w:r>
      <w:r w:rsidRPr="00C136E3" w:rsidR="007F4F85">
        <w:t>adherence with affiliate restrictions and to prevent the abuses of market power, R.C. 4928.17(A) require</w:t>
      </w:r>
      <w:r w:rsidRPr="00C136E3" w:rsidR="00D61252">
        <w:t>s</w:t>
      </w:r>
      <w:r w:rsidRPr="00C136E3" w:rsidR="007F4F85">
        <w:t xml:space="preserve"> regulated utilities to create, file, and implement corporate separation plans approved by the PUCO.  </w:t>
      </w:r>
    </w:p>
    <w:p w:rsidR="00BE1ABC" w:rsidRPr="00C136E3" w:rsidP="00D61252" w14:paraId="0DFBC1DC" w14:textId="50AF9C77">
      <w:pPr>
        <w:spacing w:line="480" w:lineRule="auto"/>
        <w:ind w:firstLine="720"/>
      </w:pPr>
      <w:r w:rsidRPr="00C136E3">
        <w:t>FirstEnergy</w:t>
      </w:r>
      <w:r w:rsidRPr="00C136E3" w:rsidR="006B2FAE">
        <w:t xml:space="preserve"> Advisors’ affiliated regulated u</w:t>
      </w:r>
      <w:r w:rsidRPr="00C136E3">
        <w:t>tilities filed two corporate separation plans</w:t>
      </w:r>
      <w:r w:rsidRPr="00C136E3" w:rsidR="00892F68">
        <w:t>;</w:t>
      </w:r>
      <w:r w:rsidRPr="00C136E3">
        <w:t xml:space="preserve"> the latest one was approved in 2010.</w:t>
      </w:r>
      <w:r>
        <w:rPr>
          <w:rStyle w:val="FootnoteReference"/>
        </w:rPr>
        <w:footnoteReference w:id="48"/>
      </w:r>
      <w:r w:rsidRPr="00C136E3">
        <w:t xml:space="preserve">  In order to </w:t>
      </w:r>
      <w:r w:rsidRPr="00C136E3" w:rsidR="007E4E9F">
        <w:t xml:space="preserve">verify </w:t>
      </w:r>
      <w:r w:rsidRPr="00C136E3">
        <w:t>compliance with Ohio Adm. Code 4901:1-37 and R.C. 4928</w:t>
      </w:r>
      <w:r w:rsidRPr="00C136E3" w:rsidR="00AF1E48">
        <w:t>.17</w:t>
      </w:r>
      <w:r w:rsidRPr="00C136E3">
        <w:t>, the PUCO conducts audit cases reviewing the corporate separation plans of regulated utilities and their nonregulated CRES affiliates.</w:t>
      </w:r>
      <w:r>
        <w:rPr>
          <w:rStyle w:val="FootnoteReference"/>
        </w:rPr>
        <w:footnoteReference w:id="49"/>
      </w:r>
      <w:r w:rsidRPr="00C136E3" w:rsidR="006B2FAE">
        <w:t xml:space="preserve"> </w:t>
      </w:r>
      <w:r w:rsidRPr="00C136E3" w:rsidR="00C22751">
        <w:t>As discussed above, a separate Audit Case concerning the corporate separation between the FirstEnergy Utilities and various affiliates is currently pending before the PUCO.</w:t>
      </w:r>
      <w:r>
        <w:rPr>
          <w:rStyle w:val="FootnoteReference"/>
        </w:rPr>
        <w:footnoteReference w:id="50"/>
      </w:r>
      <w:r w:rsidRPr="00C136E3" w:rsidR="00C22751">
        <w:t xml:space="preserve">  In that case, the </w:t>
      </w:r>
      <w:r w:rsidRPr="00C136E3" w:rsidR="006B2FAE">
        <w:t>a</w:t>
      </w:r>
      <w:r w:rsidRPr="00C136E3" w:rsidR="00C22751">
        <w:t>uditor raised specific concerns regarding the use of the FirstEnergy name and the shared corporate structure between regulated utilities and their nonregulated affiliates</w:t>
      </w:r>
      <w:r w:rsidRPr="00C136E3" w:rsidR="0031127A">
        <w:t>.</w:t>
      </w:r>
      <w:r>
        <w:rPr>
          <w:rStyle w:val="FootnoteReference"/>
        </w:rPr>
        <w:footnoteReference w:id="51"/>
      </w:r>
      <w:r w:rsidRPr="00C136E3" w:rsidR="0031127A">
        <w:t xml:space="preserve">  To protect the public interest</w:t>
      </w:r>
      <w:r w:rsidRPr="00C136E3" w:rsidR="007E4E9F">
        <w:t xml:space="preserve"> and to establish a level playing field for competitors to benefit consumers</w:t>
      </w:r>
      <w:r w:rsidRPr="00C136E3" w:rsidR="0031127A">
        <w:t>, it is imperative that the PUCO eliminate any affiliate abuses that have occurred, are currently occurring</w:t>
      </w:r>
      <w:r w:rsidRPr="00C136E3" w:rsidR="00C40830">
        <w:t xml:space="preserve">, and may occur in the future. </w:t>
      </w:r>
    </w:p>
    <w:p w:rsidR="00C40830" w:rsidRPr="00C136E3" w:rsidP="00C22751" w14:paraId="28F41CD4" w14:textId="559C39DE">
      <w:pPr>
        <w:spacing w:line="480" w:lineRule="auto"/>
        <w:ind w:firstLine="720"/>
      </w:pPr>
      <w:r w:rsidRPr="00C136E3">
        <w:t>In its Order approving FirstEnergy Advisors’ Application, the PUCO stated that “issues regarding [FirstEnergy Advisors’] use of the trade name and compliance with corporate separation requirements by FirstEnergy Corp. affiliates are best raised in” the Audit Case.</w:t>
      </w:r>
      <w:r>
        <w:rPr>
          <w:rStyle w:val="FootnoteReference"/>
        </w:rPr>
        <w:footnoteReference w:id="52"/>
      </w:r>
      <w:r w:rsidRPr="00C136E3" w:rsidR="00CD35AC">
        <w:t xml:space="preserve">  The PUCO notes that these concerns are “essential elements” of the Audit Report, and must be fully addressed in the Audit Case.</w:t>
      </w:r>
      <w:r>
        <w:rPr>
          <w:rStyle w:val="FootnoteReference"/>
        </w:rPr>
        <w:footnoteReference w:id="53"/>
      </w:r>
    </w:p>
    <w:p w:rsidR="00CD35AC" w:rsidRPr="00C136E3" w:rsidP="00BE1ABC" w14:paraId="161329F5" w14:textId="5CBB180A">
      <w:pPr>
        <w:spacing w:line="480" w:lineRule="auto"/>
        <w:ind w:firstLine="720"/>
      </w:pPr>
      <w:r w:rsidRPr="00C136E3">
        <w:t xml:space="preserve">However, the fact that these corporate separation issues are essential elements of the Audit Case does not make them any less determinative in the instant case. </w:t>
      </w:r>
      <w:r w:rsidRPr="00C136E3" w:rsidR="00F84F43">
        <w:t xml:space="preserve"> </w:t>
      </w:r>
      <w:r w:rsidRPr="00C136E3" w:rsidR="00BE1ABC">
        <w:t xml:space="preserve">As noted above, a successful </w:t>
      </w:r>
      <w:r w:rsidRPr="00C136E3" w:rsidR="00F84F43">
        <w:t xml:space="preserve">certification </w:t>
      </w:r>
      <w:r w:rsidRPr="00C136E3" w:rsidR="00BE1ABC">
        <w:t xml:space="preserve">application requires the applicant </w:t>
      </w:r>
      <w:r w:rsidRPr="00C136E3" w:rsidR="00F84F43">
        <w:t xml:space="preserve">to </w:t>
      </w:r>
      <w:r w:rsidRPr="00C136E3" w:rsidR="00BE1ABC">
        <w:t xml:space="preserve">demonstrate compliance with all applicable PUCO rules, orders, and Ohio laws, </w:t>
      </w:r>
      <w:r w:rsidRPr="00C136E3" w:rsidR="00F84F43">
        <w:t>including compliance with the PUCO’s corporate separation rules and Ohio law</w:t>
      </w:r>
      <w:r w:rsidRPr="00C136E3" w:rsidR="00BE1ABC">
        <w:t xml:space="preserve">. </w:t>
      </w:r>
      <w:r w:rsidRPr="00C136E3" w:rsidR="00DF7B5A">
        <w:t xml:space="preserve"> </w:t>
      </w:r>
      <w:r w:rsidRPr="00C136E3">
        <w:t xml:space="preserve">Simply put, if the </w:t>
      </w:r>
      <w:r w:rsidRPr="00C136E3" w:rsidR="000937C3">
        <w:t xml:space="preserve">PUCO finds that FirstEnergy Utilities’ </w:t>
      </w:r>
      <w:r w:rsidRPr="00C136E3">
        <w:t>corporate separation plan fails</w:t>
      </w:r>
      <w:r w:rsidRPr="00C136E3" w:rsidR="000937C3">
        <w:t xml:space="preserve"> to meet applicable standards</w:t>
      </w:r>
      <w:r w:rsidRPr="00C136E3">
        <w:t xml:space="preserve"> </w:t>
      </w:r>
      <w:r w:rsidRPr="00C136E3" w:rsidR="000937C3">
        <w:t>in the Audit Case</w:t>
      </w:r>
      <w:r w:rsidRPr="00C136E3">
        <w:t xml:space="preserve">, then </w:t>
      </w:r>
      <w:r w:rsidRPr="00C136E3" w:rsidR="00BE1ABC">
        <w:t xml:space="preserve">FirstEnergy Advisors’ Application also fails as a matter of law. </w:t>
      </w:r>
    </w:p>
    <w:p w:rsidR="0031127A" w:rsidRPr="00C136E3" w:rsidP="0031127A" w14:paraId="7BB10587" w14:textId="2868DA83">
      <w:pPr>
        <w:spacing w:line="480" w:lineRule="auto"/>
        <w:ind w:firstLine="720"/>
      </w:pPr>
      <w:r w:rsidRPr="00C136E3">
        <w:t xml:space="preserve">Enforcing the corporate separation laws and rules and/or strengthening the </w:t>
      </w:r>
      <w:r w:rsidRPr="00C136E3" w:rsidR="00F84F43">
        <w:t xml:space="preserve">FirstEnergy Utilities’ </w:t>
      </w:r>
      <w:r w:rsidRPr="00C136E3">
        <w:t xml:space="preserve">corporate separation plan is particularly important with regard to the sharing or co-mingling of senior management </w:t>
      </w:r>
      <w:r w:rsidRPr="00C136E3" w:rsidR="009D5196">
        <w:t>(and the competitively</w:t>
      </w:r>
      <w:r w:rsidRPr="00C136E3" w:rsidR="00465B9C">
        <w:t xml:space="preserve"> </w:t>
      </w:r>
      <w:r w:rsidRPr="00C136E3" w:rsidR="009D5196">
        <w:t xml:space="preserve">sensitive information possessed) </w:t>
      </w:r>
      <w:r w:rsidRPr="00C136E3">
        <w:t xml:space="preserve">in the instant case. Neither the FirstEnergy </w:t>
      </w:r>
      <w:r w:rsidRPr="00C136E3" w:rsidR="00F84F43">
        <w:t>U</w:t>
      </w:r>
      <w:r w:rsidRPr="00C136E3">
        <w:t xml:space="preserve">tilities </w:t>
      </w:r>
      <w:r w:rsidRPr="00C136E3" w:rsidR="007E4E9F">
        <w:t>n</w:t>
      </w:r>
      <w:r w:rsidRPr="00C136E3">
        <w:t xml:space="preserve">or FirstEnergy Advisors explain how the same managers who run the regulated utilities and unregulated competitive affiliate, FirstEnergy Advisors, can separate their knowledge of the regulated business, operations, and market information from their knowledge of the affiliate’s business, operations, and market information. </w:t>
      </w:r>
      <w:r w:rsidRPr="00C136E3" w:rsidR="00F84F43">
        <w:t xml:space="preserve"> </w:t>
      </w:r>
      <w:r w:rsidRPr="00C136E3">
        <w:t xml:space="preserve">In fact, it </w:t>
      </w:r>
      <w:r w:rsidRPr="00C136E3" w:rsidR="007E4E9F">
        <w:t xml:space="preserve">is </w:t>
      </w:r>
      <w:r w:rsidRPr="00C136E3">
        <w:t xml:space="preserve">clear that real separation cannot occur to protect competitive markets.  </w:t>
      </w:r>
      <w:r w:rsidRPr="00C136E3" w:rsidR="007E4E9F">
        <w:t>T</w:t>
      </w:r>
      <w:r w:rsidRPr="00C136E3">
        <w:t xml:space="preserve">he corporate separation law and rules need to be enforced to protect captive customers from subsidizing competitive affiliates and to </w:t>
      </w:r>
      <w:r w:rsidRPr="00C136E3" w:rsidR="007E4E9F">
        <w:t xml:space="preserve">make sure </w:t>
      </w:r>
      <w:r w:rsidRPr="00C136E3">
        <w:t xml:space="preserve">that FirstEnergy is not providing an affiliated CRES provider an unfair preference.  Allowing FirstEnergy Advisors to use the “FirstEnergy” brand offers that unfair advantage, as noted by the </w:t>
      </w:r>
      <w:r w:rsidRPr="00C136E3" w:rsidR="00DF7B5A">
        <w:t>a</w:t>
      </w:r>
      <w:r w:rsidRPr="00C136E3">
        <w:t>uditor.</w:t>
      </w:r>
      <w:r>
        <w:rPr>
          <w:rStyle w:val="FootnoteReference"/>
        </w:rPr>
        <w:footnoteReference w:id="54"/>
      </w:r>
    </w:p>
    <w:p w:rsidR="0031127A" w:rsidRPr="00C136E3" w:rsidP="00465B9C" w14:paraId="7B45BD86" w14:textId="5C78D18F">
      <w:pPr>
        <w:spacing w:line="480" w:lineRule="auto"/>
        <w:ind w:firstLine="720"/>
        <w:contextualSpacing/>
      </w:pPr>
      <w:r w:rsidRPr="00C136E3">
        <w:t>Therefore, if the PUCO finds that these issues are best addressed in the Audit Case, then approving FirstEnergy Advisors’ Application in the instant case proves premature. Instead, the PUCO should refrain from entering a decision in this case until a review of the FirstEnergy Utilities’ corporate separation plan is complete.</w:t>
      </w:r>
      <w:r w:rsidRPr="00C136E3" w:rsidR="00F84F43">
        <w:t xml:space="preserve"> </w:t>
      </w:r>
      <w:r w:rsidRPr="00C136E3">
        <w:t xml:space="preserve"> A</w:t>
      </w:r>
      <w:r w:rsidRPr="00C136E3" w:rsidR="00F84F43">
        <w:t>s explained previously, a</w:t>
      </w:r>
      <w:r w:rsidRPr="00C136E3">
        <w:t xml:space="preserve"> finding in th</w:t>
      </w:r>
      <w:r w:rsidRPr="00C136E3" w:rsidR="00F84F43">
        <w:t>e Audit C</w:t>
      </w:r>
      <w:r w:rsidRPr="00C136E3">
        <w:t xml:space="preserve">ase that the corporate separation plan fails to comply with PUCO rules, orders, and Ohio law would mean that FirstEnergy Advisors’ </w:t>
      </w:r>
      <w:r w:rsidRPr="00C136E3" w:rsidR="00F84F43">
        <w:t>A</w:t>
      </w:r>
      <w:r w:rsidRPr="00C136E3">
        <w:t xml:space="preserve">pplication also fails. </w:t>
      </w:r>
      <w:r w:rsidRPr="00C136E3" w:rsidR="00F84F43">
        <w:t xml:space="preserve"> </w:t>
      </w:r>
      <w:r w:rsidRPr="00C136E3">
        <w:t>If the PUCO chooses not to fully address corporate separation issues in the instant case, then waiting for the outcome of the Audit Case will allow the PUCO to establish the appropriate guidelines for the interactions bet</w:t>
      </w:r>
      <w:r w:rsidRPr="00C136E3" w:rsidR="00037C15">
        <w:t>ween the regulated FirstEnergy U</w:t>
      </w:r>
      <w:r w:rsidRPr="00C136E3">
        <w:t xml:space="preserve">tilities and </w:t>
      </w:r>
      <w:r w:rsidRPr="00C136E3" w:rsidR="00F84F43">
        <w:t xml:space="preserve">its affiliate, </w:t>
      </w:r>
      <w:r w:rsidRPr="00C136E3">
        <w:t xml:space="preserve">FirstEnergy Advisors. </w:t>
      </w:r>
      <w:r w:rsidRPr="00C136E3" w:rsidR="00DF7B5A">
        <w:t xml:space="preserve"> </w:t>
      </w:r>
      <w:r w:rsidRPr="00C136E3">
        <w:t>Setting such guidelines prior to FirstEnergy Advisors receiving a certificate to operate and begin operations will provide needed assurance that customers can likely be protected from market power abuses as outlined in the Audit Report</w:t>
      </w:r>
      <w:r w:rsidRPr="00C136E3" w:rsidR="00C22751">
        <w:t>.</w:t>
      </w:r>
    </w:p>
    <w:p w:rsidR="00E24839" w:rsidRPr="00C136E3" w:rsidP="00C136E3" w14:paraId="12525D2F" w14:textId="5C1073D7">
      <w:pPr>
        <w:pStyle w:val="Heading1"/>
        <w:rPr>
          <w:rFonts w:ascii="Times New Roman" w:hAnsi="Times New Roman" w:cs="Times New Roman"/>
          <w:szCs w:val="24"/>
        </w:rPr>
      </w:pPr>
      <w:bookmarkStart w:id="29" w:name="_Toc40876761"/>
      <w:bookmarkStart w:id="30" w:name="_Toc41050104"/>
      <w:bookmarkStart w:id="31" w:name="_Toc41050340"/>
      <w:bookmarkStart w:id="32" w:name="_Toc41056300"/>
      <w:r w:rsidRPr="00C136E3">
        <w:rPr>
          <w:rFonts w:ascii="Times New Roman" w:hAnsi="Times New Roman" w:cs="Times New Roman"/>
          <w:szCs w:val="24"/>
        </w:rPr>
        <w:t>I</w:t>
      </w:r>
      <w:r w:rsidRPr="00C136E3" w:rsidR="00EA4C02">
        <w:rPr>
          <w:rFonts w:ascii="Times New Roman" w:hAnsi="Times New Roman" w:cs="Times New Roman"/>
          <w:szCs w:val="24"/>
        </w:rPr>
        <w:t>ii.</w:t>
      </w:r>
      <w:r w:rsidRPr="00C136E3" w:rsidR="00EA4C02">
        <w:rPr>
          <w:rFonts w:ascii="Times New Roman" w:hAnsi="Times New Roman" w:cs="Times New Roman"/>
          <w:szCs w:val="24"/>
        </w:rPr>
        <w:tab/>
      </w:r>
      <w:r w:rsidRPr="00C136E3" w:rsidR="002D4782">
        <w:rPr>
          <w:rFonts w:ascii="Times New Roman" w:hAnsi="Times New Roman" w:cs="Times New Roman"/>
          <w:szCs w:val="24"/>
        </w:rPr>
        <w:t>CONCLUSION</w:t>
      </w:r>
      <w:bookmarkEnd w:id="29"/>
      <w:bookmarkEnd w:id="30"/>
      <w:bookmarkEnd w:id="31"/>
      <w:bookmarkEnd w:id="32"/>
    </w:p>
    <w:p w:rsidR="00FA1CF2" w:rsidRPr="00C136E3" w:rsidP="00E24839" w14:paraId="76B8EB08" w14:textId="0A21EABC">
      <w:pPr>
        <w:widowControl w:val="0"/>
        <w:spacing w:line="480" w:lineRule="auto"/>
        <w:ind w:firstLine="720"/>
        <w:contextualSpacing/>
        <w:jc w:val="both"/>
        <w:rPr>
          <w:rFonts w:eastAsiaTheme="minorHAnsi"/>
        </w:rPr>
      </w:pPr>
      <w:r w:rsidRPr="00C136E3">
        <w:rPr>
          <w:rFonts w:eastAsiaTheme="minorHAnsi"/>
        </w:rPr>
        <w:t xml:space="preserve">For the reasons stated, FirstEnergy Advisors failed to carry its burden to prove it merits a certificate to operate under applicable law and rule. The PUCO’s decision violates law relating to the discovery rights of OCC and other parties, violates law regarding the standards </w:t>
      </w:r>
      <w:r w:rsidRPr="00C136E3" w:rsidR="003E7DD0">
        <w:rPr>
          <w:rFonts w:eastAsiaTheme="minorHAnsi"/>
        </w:rPr>
        <w:t>for granting a certificate and violates law regarding the standards for corporate separation between an entity claiming competitive status (FirstEnergy Advisors) and its monopoly utility affiliates (FirstEnergy Utilities</w:t>
      </w:r>
      <w:r w:rsidRPr="00C136E3" w:rsidR="0062095E">
        <w:rPr>
          <w:rFonts w:eastAsiaTheme="minorHAnsi"/>
        </w:rPr>
        <w:t>)</w:t>
      </w:r>
      <w:r w:rsidRPr="00C136E3" w:rsidR="003E7DD0">
        <w:rPr>
          <w:rFonts w:eastAsiaTheme="minorHAnsi"/>
        </w:rPr>
        <w:t>.</w:t>
      </w:r>
      <w:r w:rsidRPr="00C136E3" w:rsidR="00F4742A">
        <w:rPr>
          <w:rFonts w:eastAsiaTheme="minorHAnsi"/>
        </w:rPr>
        <w:t xml:space="preserve"> All of these violations </w:t>
      </w:r>
      <w:r w:rsidRPr="00C136E3" w:rsidR="00BC1D64">
        <w:rPr>
          <w:rFonts w:eastAsiaTheme="minorHAnsi"/>
        </w:rPr>
        <w:t xml:space="preserve">abdicate consumer protection </w:t>
      </w:r>
      <w:r w:rsidRPr="00C136E3">
        <w:rPr>
          <w:rFonts w:eastAsiaTheme="minorHAnsi"/>
        </w:rPr>
        <w:t xml:space="preserve">by the state </w:t>
      </w:r>
      <w:r w:rsidRPr="00C136E3" w:rsidR="00BC1D64">
        <w:rPr>
          <w:rFonts w:eastAsiaTheme="minorHAnsi"/>
        </w:rPr>
        <w:t xml:space="preserve">from this affiliate of the FirstEnergy monopoly utilities that </w:t>
      </w:r>
      <w:r w:rsidRPr="00C136E3" w:rsidR="00562A7D">
        <w:rPr>
          <w:rFonts w:eastAsiaTheme="minorHAnsi"/>
        </w:rPr>
        <w:t xml:space="preserve">can </w:t>
      </w:r>
      <w:r w:rsidRPr="00C136E3" w:rsidR="00BC1D64">
        <w:rPr>
          <w:rFonts w:eastAsiaTheme="minorHAnsi"/>
        </w:rPr>
        <w:t>impair fair competition</w:t>
      </w:r>
      <w:r w:rsidRPr="00C136E3" w:rsidR="00562A7D">
        <w:rPr>
          <w:rFonts w:eastAsiaTheme="minorHAnsi"/>
        </w:rPr>
        <w:t xml:space="preserve"> despite its claims otherwise</w:t>
      </w:r>
      <w:r w:rsidRPr="00C136E3" w:rsidR="00BC1D64">
        <w:rPr>
          <w:rFonts w:eastAsiaTheme="minorHAnsi"/>
        </w:rPr>
        <w:t>.</w:t>
      </w:r>
      <w:r w:rsidRPr="00C136E3" w:rsidR="003E7DD0">
        <w:rPr>
          <w:rFonts w:eastAsiaTheme="minorHAnsi"/>
        </w:rPr>
        <w:t xml:space="preserve"> </w:t>
      </w:r>
    </w:p>
    <w:p w:rsidR="00C2210A" w:rsidRPr="00C136E3" w:rsidP="00E24839" w14:paraId="33A6C7E8" w14:textId="4E910E3B">
      <w:pPr>
        <w:widowControl w:val="0"/>
        <w:spacing w:line="480" w:lineRule="auto"/>
        <w:ind w:firstLine="720"/>
        <w:contextualSpacing/>
        <w:jc w:val="both"/>
        <w:rPr>
          <w:rFonts w:eastAsiaTheme="minorHAnsi"/>
        </w:rPr>
      </w:pPr>
      <w:r w:rsidRPr="00C136E3">
        <w:rPr>
          <w:rFonts w:eastAsiaTheme="minorHAnsi"/>
        </w:rPr>
        <w:t xml:space="preserve">Therefore, under R.C. 4903.10(B) the PUCO should abrogate its decision granting the Application of FirstEnergy Advisors, or conduct a hearing process and then modify its decision </w:t>
      </w:r>
      <w:r w:rsidRPr="00C136E3" w:rsidR="00A80618">
        <w:rPr>
          <w:rFonts w:eastAsiaTheme="minorHAnsi"/>
        </w:rPr>
        <w:t>by</w:t>
      </w:r>
      <w:r w:rsidRPr="00C136E3">
        <w:rPr>
          <w:rFonts w:eastAsiaTheme="minorHAnsi"/>
        </w:rPr>
        <w:t xml:space="preserve"> prohibit</w:t>
      </w:r>
      <w:r w:rsidRPr="00C136E3" w:rsidR="00A80618">
        <w:rPr>
          <w:rFonts w:eastAsiaTheme="minorHAnsi"/>
        </w:rPr>
        <w:t>ing</w:t>
      </w:r>
      <w:r w:rsidRPr="00C136E3">
        <w:rPr>
          <w:rFonts w:eastAsiaTheme="minorHAnsi"/>
        </w:rPr>
        <w:t xml:space="preserve"> (among other things) the structure of FirstEnergy Advisors that is in violation of corporate separation standards, or hold its decision in abeyance pending due process and its stated intention to decide the corporate separation issues in Case </w:t>
      </w:r>
      <w:r w:rsidRPr="00C136E3" w:rsidR="00AF1E48">
        <w:rPr>
          <w:rFonts w:eastAsiaTheme="minorHAnsi"/>
        </w:rPr>
        <w:t>No. 17-974-EL-UNC</w:t>
      </w:r>
      <w:r w:rsidRPr="00C136E3">
        <w:rPr>
          <w:rFonts w:eastAsiaTheme="minorHAnsi"/>
        </w:rPr>
        <w:t xml:space="preserve"> </w:t>
      </w:r>
      <w:r w:rsidRPr="00C136E3" w:rsidR="00F4742A">
        <w:rPr>
          <w:rFonts w:eastAsiaTheme="minorHAnsi"/>
        </w:rPr>
        <w:t>that are applicable here.</w:t>
      </w:r>
    </w:p>
    <w:p w:rsidR="009D7FBD" w:rsidRPr="00C136E3" w:rsidP="009D7FBD" w14:paraId="4624C59C" w14:textId="77777777">
      <w:pPr>
        <w:ind w:left="3960"/>
      </w:pPr>
      <w:r w:rsidRPr="00C136E3">
        <w:t>Respectfully submitted,</w:t>
      </w:r>
    </w:p>
    <w:p w:rsidR="009D7FBD" w:rsidRPr="00C136E3" w:rsidP="009D7FBD" w14:paraId="0BBDC166" w14:textId="77777777">
      <w:pPr>
        <w:ind w:left="3960"/>
      </w:pPr>
    </w:p>
    <w:p w:rsidR="009D7FBD" w:rsidRPr="00C136E3" w:rsidP="009D7FBD" w14:paraId="09B123B9" w14:textId="77777777">
      <w:pPr>
        <w:ind w:left="3960"/>
      </w:pPr>
      <w:r w:rsidRPr="00C136E3">
        <w:t>Bruce Weston (0016973)</w:t>
      </w:r>
    </w:p>
    <w:p w:rsidR="009D7FBD" w:rsidRPr="00C136E3" w:rsidP="009D7FBD" w14:paraId="6BB4367D" w14:textId="77777777">
      <w:pPr>
        <w:ind w:left="3960"/>
      </w:pPr>
      <w:r w:rsidRPr="00C136E3">
        <w:t>Ohio Consumers’ Counsel</w:t>
      </w:r>
    </w:p>
    <w:p w:rsidR="009D7FBD" w:rsidRPr="00C136E3" w:rsidP="009D7FBD" w14:paraId="7B9B41C8" w14:textId="77777777">
      <w:pPr>
        <w:ind w:left="3960"/>
      </w:pPr>
    </w:p>
    <w:p w:rsidR="009D7FBD" w:rsidRPr="00C136E3" w:rsidP="009D7FBD" w14:paraId="05A528DD" w14:textId="77777777">
      <w:pPr>
        <w:tabs>
          <w:tab w:val="left" w:pos="4320"/>
        </w:tabs>
        <w:ind w:left="3960"/>
        <w:rPr>
          <w:rFonts w:eastAsiaTheme="minorHAnsi"/>
        </w:rPr>
      </w:pPr>
      <w:r w:rsidRPr="00C136E3">
        <w:rPr>
          <w:rFonts w:eastAsiaTheme="minorHAnsi"/>
        </w:rPr>
        <w:t>Angela D. O’Brien (0097579)</w:t>
      </w:r>
    </w:p>
    <w:p w:rsidR="009D7FBD" w:rsidRPr="00C136E3" w:rsidP="009D7FBD" w14:paraId="2C1D4CF3" w14:textId="77777777">
      <w:pPr>
        <w:tabs>
          <w:tab w:val="left" w:pos="4320"/>
        </w:tabs>
        <w:ind w:left="3960"/>
        <w:rPr>
          <w:rFonts w:eastAsiaTheme="minorHAnsi"/>
        </w:rPr>
      </w:pPr>
      <w:r w:rsidRPr="00C136E3">
        <w:rPr>
          <w:rFonts w:eastAsiaTheme="minorHAnsi"/>
        </w:rPr>
        <w:t xml:space="preserve">Counsel of Record </w:t>
      </w:r>
    </w:p>
    <w:p w:rsidR="009D7FBD" w:rsidRPr="00C136E3" w:rsidP="009D7FBD" w14:paraId="7B1DD5A0" w14:textId="77777777">
      <w:pPr>
        <w:tabs>
          <w:tab w:val="left" w:pos="4320"/>
        </w:tabs>
        <w:ind w:left="3960"/>
        <w:rPr>
          <w:rFonts w:eastAsiaTheme="minorHAnsi"/>
        </w:rPr>
      </w:pPr>
      <w:r w:rsidRPr="00C136E3">
        <w:rPr>
          <w:rFonts w:eastAsiaTheme="minorHAnsi"/>
        </w:rPr>
        <w:t>Assistant Consumers’ Counsel</w:t>
      </w:r>
    </w:p>
    <w:p w:rsidR="009D7FBD" w:rsidRPr="00C136E3" w:rsidP="009D7FBD" w14:paraId="429942AD" w14:textId="77777777">
      <w:pPr>
        <w:tabs>
          <w:tab w:val="left" w:pos="4320"/>
        </w:tabs>
        <w:ind w:left="3960"/>
        <w:rPr>
          <w:rFonts w:eastAsiaTheme="minorHAnsi"/>
        </w:rPr>
      </w:pPr>
    </w:p>
    <w:p w:rsidR="009D7FBD" w:rsidRPr="00C136E3" w:rsidP="009D7FBD" w14:paraId="0C9FC1E4" w14:textId="77777777">
      <w:pPr>
        <w:spacing w:before="120"/>
        <w:ind w:left="3960"/>
        <w:rPr>
          <w:b/>
        </w:rPr>
      </w:pPr>
      <w:r w:rsidRPr="00C136E3">
        <w:rPr>
          <w:b/>
        </w:rPr>
        <w:t>Office of the Ohio Consumers’ Counsel</w:t>
      </w:r>
    </w:p>
    <w:p w:rsidR="009D7FBD" w:rsidRPr="00C136E3" w:rsidP="009D7FBD" w14:paraId="67DDEF8A" w14:textId="77777777">
      <w:pPr>
        <w:ind w:left="3960"/>
      </w:pPr>
      <w:r w:rsidRPr="00C136E3">
        <w:t>65 East State Street, 7th Floor</w:t>
      </w:r>
    </w:p>
    <w:p w:rsidR="009D7FBD" w:rsidRPr="00C136E3" w:rsidP="009D7FBD" w14:paraId="483B6550" w14:textId="77777777">
      <w:pPr>
        <w:ind w:left="3960"/>
      </w:pPr>
      <w:r w:rsidRPr="00C136E3">
        <w:t>Columbus, Ohio 43215-3485</w:t>
      </w:r>
    </w:p>
    <w:p w:rsidR="009D7FBD" w:rsidRPr="00C136E3" w:rsidP="009D7FBD" w14:paraId="29AA8249" w14:textId="77777777">
      <w:pPr>
        <w:autoSpaceDE w:val="0"/>
        <w:autoSpaceDN w:val="0"/>
        <w:adjustRightInd w:val="0"/>
        <w:ind w:left="3960"/>
        <w:rPr>
          <w:rFonts w:eastAsiaTheme="minorHAnsi"/>
        </w:rPr>
      </w:pPr>
      <w:r w:rsidRPr="00C136E3">
        <w:rPr>
          <w:rFonts w:eastAsiaTheme="minorHAnsi"/>
        </w:rPr>
        <w:t>Telephone [O’Brien]: (614) 466-9531</w:t>
      </w:r>
    </w:p>
    <w:p w:rsidR="009D7FBD" w:rsidRPr="00C136E3" w:rsidP="009D7FBD" w14:paraId="0D54E44B" w14:textId="77777777">
      <w:pPr>
        <w:autoSpaceDE w:val="0"/>
        <w:autoSpaceDN w:val="0"/>
        <w:adjustRightInd w:val="0"/>
        <w:ind w:left="3960"/>
        <w:rPr>
          <w:rFonts w:eastAsiaTheme="minorHAnsi"/>
          <w:color w:val="0563C1" w:themeColor="hyperlink"/>
          <w:u w:val="single"/>
        </w:rPr>
      </w:pPr>
      <w:hyperlink r:id="rId6" w:history="1">
        <w:r w:rsidRPr="00C136E3" w:rsidR="00092220">
          <w:rPr>
            <w:rFonts w:eastAsiaTheme="minorHAnsi"/>
            <w:color w:val="0563C1" w:themeColor="hyperlink"/>
            <w:u w:val="single"/>
          </w:rPr>
          <w:t>angela.obrien@occ.ohio.gov</w:t>
        </w:r>
      </w:hyperlink>
    </w:p>
    <w:p w:rsidR="009D7FBD" w:rsidRPr="00C136E3" w:rsidP="009D7FBD" w14:paraId="0CC6C673" w14:textId="77777777">
      <w:pPr>
        <w:tabs>
          <w:tab w:val="center" w:pos="4680"/>
          <w:tab w:val="right" w:pos="9360"/>
        </w:tabs>
        <w:ind w:left="3960"/>
        <w:rPr>
          <w:rFonts w:eastAsiaTheme="minorHAnsi"/>
        </w:rPr>
      </w:pPr>
      <w:r w:rsidRPr="00C136E3">
        <w:rPr>
          <w:rFonts w:eastAsiaTheme="minorHAnsi"/>
        </w:rPr>
        <w:t>(willing to accept service by e-mail)</w:t>
      </w:r>
    </w:p>
    <w:p w:rsidR="009D7FBD" w:rsidRPr="00C136E3" w:rsidP="009D7FBD" w14:paraId="40B7DBE8" w14:textId="77777777">
      <w:pPr>
        <w:ind w:left="3960"/>
      </w:pPr>
    </w:p>
    <w:p w:rsidR="009D7FBD" w:rsidRPr="00C136E3" w:rsidP="009D7FBD" w14:paraId="6FB5D204" w14:textId="77777777">
      <w:pPr>
        <w:ind w:left="3960"/>
        <w:rPr>
          <w:i/>
          <w:iCs/>
          <w:u w:val="single"/>
        </w:rPr>
      </w:pPr>
    </w:p>
    <w:p w:rsidR="00D269A2" w:rsidP="009D7FBD" w14:paraId="28C64302" w14:textId="77777777">
      <w:pPr>
        <w:ind w:left="3960"/>
        <w:rPr>
          <w:i/>
          <w:iCs/>
          <w:u w:val="single"/>
        </w:rPr>
        <w:sectPr w:rsidSect="009D7FBD">
          <w:pgSz w:w="12240" w:h="15840"/>
          <w:pgMar w:top="1440" w:right="1440" w:bottom="1440" w:left="1440" w:header="720" w:footer="720" w:gutter="0"/>
          <w:cols w:space="720"/>
          <w:titlePg/>
          <w:docGrid w:linePitch="360"/>
        </w:sectPr>
      </w:pPr>
    </w:p>
    <w:p w:rsidR="009D7FBD" w:rsidRPr="00C136E3" w:rsidP="009D7FBD" w14:paraId="657A4C82" w14:textId="585AA705">
      <w:pPr>
        <w:ind w:left="3960"/>
        <w:rPr>
          <w:i/>
          <w:iCs/>
          <w:u w:val="single"/>
        </w:rPr>
      </w:pPr>
      <w:r w:rsidRPr="00C136E3">
        <w:rPr>
          <w:i/>
          <w:iCs/>
          <w:u w:val="single"/>
        </w:rPr>
        <w:t>/s/ Kimberly W. Bojko</w:t>
      </w:r>
    </w:p>
    <w:p w:rsidR="009D7FBD" w:rsidRPr="00C136E3" w:rsidP="009D7FBD" w14:paraId="7C15CFE0" w14:textId="77777777">
      <w:pPr>
        <w:widowControl w:val="0"/>
        <w:tabs>
          <w:tab w:val="center" w:pos="4680"/>
          <w:tab w:val="right" w:pos="9360"/>
        </w:tabs>
        <w:ind w:left="3960"/>
        <w:rPr>
          <w:rFonts w:eastAsiaTheme="minorHAnsi"/>
        </w:rPr>
      </w:pPr>
      <w:r w:rsidRPr="00C136E3">
        <w:rPr>
          <w:rFonts w:eastAsiaTheme="minorHAnsi"/>
        </w:rPr>
        <w:t>Kimberly W. Bojko (0069402)</w:t>
      </w:r>
    </w:p>
    <w:p w:rsidR="009D7FBD" w:rsidRPr="00C136E3" w:rsidP="009D7FBD" w14:paraId="6BD4B238" w14:textId="77777777">
      <w:pPr>
        <w:widowControl w:val="0"/>
        <w:tabs>
          <w:tab w:val="center" w:pos="4680"/>
          <w:tab w:val="right" w:pos="9360"/>
        </w:tabs>
        <w:ind w:left="3960"/>
        <w:rPr>
          <w:rFonts w:eastAsiaTheme="minorHAnsi"/>
        </w:rPr>
      </w:pPr>
      <w:r w:rsidRPr="00C136E3">
        <w:rPr>
          <w:rFonts w:eastAsiaTheme="minorHAnsi"/>
        </w:rPr>
        <w:t>Carpenter Lipps &amp; Leland LLP</w:t>
      </w:r>
    </w:p>
    <w:p w:rsidR="009D7FBD" w:rsidRPr="00C136E3" w:rsidP="009D7FBD" w14:paraId="59C5F345" w14:textId="77777777">
      <w:pPr>
        <w:widowControl w:val="0"/>
        <w:tabs>
          <w:tab w:val="center" w:pos="4680"/>
          <w:tab w:val="right" w:pos="9360"/>
        </w:tabs>
        <w:ind w:left="3960"/>
        <w:rPr>
          <w:rFonts w:eastAsiaTheme="minorHAnsi"/>
        </w:rPr>
      </w:pPr>
      <w:r w:rsidRPr="00C136E3">
        <w:rPr>
          <w:rFonts w:eastAsiaTheme="minorHAnsi"/>
        </w:rPr>
        <w:t>280 North High Street, Suite 1300</w:t>
      </w:r>
    </w:p>
    <w:p w:rsidR="009D7FBD" w:rsidRPr="00C136E3" w:rsidP="009D7FBD" w14:paraId="1A1291AF" w14:textId="77777777">
      <w:pPr>
        <w:widowControl w:val="0"/>
        <w:tabs>
          <w:tab w:val="center" w:pos="4680"/>
          <w:tab w:val="right" w:pos="9360"/>
        </w:tabs>
        <w:ind w:left="3960"/>
        <w:rPr>
          <w:rFonts w:eastAsiaTheme="minorHAnsi"/>
        </w:rPr>
      </w:pPr>
      <w:r w:rsidRPr="00C136E3">
        <w:rPr>
          <w:rFonts w:eastAsiaTheme="minorHAnsi"/>
        </w:rPr>
        <w:t>Columbus, Ohio 43215</w:t>
      </w:r>
    </w:p>
    <w:p w:rsidR="009D7FBD" w:rsidRPr="00C136E3" w:rsidP="009D7FBD" w14:paraId="556BA477" w14:textId="77777777">
      <w:pPr>
        <w:widowControl w:val="0"/>
        <w:tabs>
          <w:tab w:val="center" w:pos="4680"/>
          <w:tab w:val="right" w:pos="9360"/>
        </w:tabs>
        <w:ind w:left="3960"/>
        <w:rPr>
          <w:rFonts w:eastAsiaTheme="minorHAnsi"/>
        </w:rPr>
      </w:pPr>
      <w:r w:rsidRPr="00C136E3">
        <w:rPr>
          <w:rFonts w:eastAsiaTheme="minorHAnsi"/>
        </w:rPr>
        <w:t>Telephone: (614) 365-4100</w:t>
      </w:r>
    </w:p>
    <w:p w:rsidR="009D7FBD" w:rsidRPr="00C136E3" w:rsidP="009D7FBD" w14:paraId="1D91446C" w14:textId="77777777">
      <w:pPr>
        <w:widowControl w:val="0"/>
        <w:tabs>
          <w:tab w:val="center" w:pos="4680"/>
          <w:tab w:val="right" w:pos="9360"/>
        </w:tabs>
        <w:ind w:left="3960"/>
        <w:rPr>
          <w:rFonts w:eastAsiaTheme="minorHAnsi"/>
        </w:rPr>
      </w:pPr>
      <w:hyperlink r:id="rId7" w:history="1">
        <w:r w:rsidRPr="00C136E3" w:rsidR="00092220">
          <w:rPr>
            <w:rFonts w:eastAsiaTheme="minorHAnsi"/>
            <w:color w:val="0563C1" w:themeColor="hyperlink"/>
            <w:u w:val="single"/>
          </w:rPr>
          <w:t>bojko@carpenterlipps.com</w:t>
        </w:r>
      </w:hyperlink>
    </w:p>
    <w:p w:rsidR="009D7FBD" w:rsidRPr="00C136E3" w:rsidP="009D7FBD" w14:paraId="68FA98E2" w14:textId="77777777">
      <w:pPr>
        <w:widowControl w:val="0"/>
        <w:tabs>
          <w:tab w:val="center" w:pos="4680"/>
          <w:tab w:val="right" w:pos="9360"/>
        </w:tabs>
        <w:ind w:left="3960"/>
        <w:rPr>
          <w:rFonts w:eastAsiaTheme="minorHAnsi"/>
        </w:rPr>
      </w:pPr>
      <w:r w:rsidRPr="00C136E3">
        <w:rPr>
          <w:rFonts w:eastAsiaTheme="minorHAnsi"/>
        </w:rPr>
        <w:t>(willing to accept service by e-mail)</w:t>
      </w:r>
    </w:p>
    <w:p w:rsidR="009D7FBD" w:rsidRPr="00C136E3" w:rsidP="009D7FBD" w14:paraId="70C7F209" w14:textId="77777777">
      <w:pPr>
        <w:widowControl w:val="0"/>
        <w:tabs>
          <w:tab w:val="center" w:pos="4680"/>
          <w:tab w:val="right" w:pos="9360"/>
        </w:tabs>
        <w:ind w:left="3960" w:firstLine="4320"/>
        <w:rPr>
          <w:rFonts w:eastAsiaTheme="minorHAnsi"/>
        </w:rPr>
      </w:pPr>
    </w:p>
    <w:p w:rsidR="009D7FBD" w:rsidRPr="00C136E3" w:rsidP="009D7FBD" w14:paraId="419D3E9A" w14:textId="77777777">
      <w:pPr>
        <w:widowControl w:val="0"/>
        <w:ind w:left="3600" w:firstLine="360"/>
        <w:rPr>
          <w:rFonts w:eastAsiaTheme="minorHAnsi"/>
          <w:i/>
        </w:rPr>
      </w:pPr>
      <w:r w:rsidRPr="00C136E3">
        <w:rPr>
          <w:rFonts w:eastAsiaTheme="minorHAnsi"/>
          <w:i/>
        </w:rPr>
        <w:t>Special Counsel for the</w:t>
      </w:r>
    </w:p>
    <w:p w:rsidR="009D7FBD" w:rsidRPr="00C136E3" w:rsidP="009D7FBD" w14:paraId="4877732F" w14:textId="77777777">
      <w:pPr>
        <w:widowControl w:val="0"/>
        <w:ind w:left="3600" w:firstLine="360"/>
        <w:rPr>
          <w:rFonts w:eastAsiaTheme="minorHAnsi"/>
          <w:i/>
        </w:rPr>
      </w:pPr>
      <w:r w:rsidRPr="00C136E3">
        <w:rPr>
          <w:rFonts w:eastAsiaTheme="minorHAnsi"/>
          <w:i/>
        </w:rPr>
        <w:t>Office of the Ohio Consumers’ Counsel</w:t>
      </w:r>
    </w:p>
    <w:p w:rsidR="00F062C7" w:rsidRPr="00C136E3" w:rsidP="00F062C7" w14:paraId="284E5DDC" w14:textId="79B55E4C">
      <w:pPr>
        <w:widowControl w:val="0"/>
        <w:spacing w:line="480" w:lineRule="auto"/>
        <w:contextualSpacing/>
        <w:jc w:val="both"/>
        <w:rPr>
          <w:rFonts w:eastAsiaTheme="minorHAnsi"/>
        </w:rPr>
      </w:pPr>
    </w:p>
    <w:p w:rsidR="00F062C7" w:rsidRPr="00C136E3" w:rsidP="00F062C7" w14:paraId="3DEF81DF" w14:textId="16A2A110">
      <w:pPr>
        <w:widowControl w:val="0"/>
        <w:spacing w:line="480" w:lineRule="auto"/>
        <w:contextualSpacing/>
        <w:jc w:val="both"/>
        <w:rPr>
          <w:rFonts w:eastAsiaTheme="minorHAnsi"/>
        </w:rPr>
      </w:pPr>
    </w:p>
    <w:p w:rsidR="00F062C7" w:rsidRPr="00C136E3" w:rsidP="00F062C7" w14:paraId="7809A499" w14:textId="78B7B1A4">
      <w:pPr>
        <w:widowControl w:val="0"/>
        <w:spacing w:line="480" w:lineRule="auto"/>
        <w:contextualSpacing/>
        <w:jc w:val="both"/>
        <w:rPr>
          <w:rFonts w:eastAsiaTheme="minorHAnsi"/>
        </w:rPr>
      </w:pPr>
    </w:p>
    <w:p w:rsidR="00F062C7" w:rsidRPr="00C136E3" w:rsidP="00F062C7" w14:paraId="3A26E07C" w14:textId="2EA39B22">
      <w:pPr>
        <w:widowControl w:val="0"/>
        <w:spacing w:line="480" w:lineRule="auto"/>
        <w:contextualSpacing/>
        <w:jc w:val="both"/>
        <w:rPr>
          <w:rFonts w:eastAsiaTheme="minorHAnsi"/>
        </w:rPr>
      </w:pPr>
    </w:p>
    <w:p w:rsidR="00F062C7" w:rsidRPr="00C136E3" w:rsidP="00F062C7" w14:paraId="55832641" w14:textId="32659899">
      <w:pPr>
        <w:widowControl w:val="0"/>
        <w:spacing w:line="480" w:lineRule="auto"/>
        <w:contextualSpacing/>
        <w:jc w:val="both"/>
        <w:rPr>
          <w:rFonts w:eastAsiaTheme="minorHAnsi"/>
        </w:rPr>
      </w:pPr>
    </w:p>
    <w:p w:rsidR="00F062C7" w:rsidRPr="00C136E3" w:rsidP="00F062C7" w14:paraId="7E9C027D" w14:textId="4C0550E5">
      <w:pPr>
        <w:widowControl w:val="0"/>
        <w:spacing w:line="480" w:lineRule="auto"/>
        <w:contextualSpacing/>
        <w:jc w:val="both"/>
        <w:rPr>
          <w:rFonts w:eastAsiaTheme="minorHAnsi"/>
        </w:rPr>
      </w:pPr>
    </w:p>
    <w:p w:rsidR="00F062C7" w:rsidRPr="00C136E3" w:rsidP="00F062C7" w14:paraId="02FD31E5" w14:textId="30778106">
      <w:pPr>
        <w:widowControl w:val="0"/>
        <w:spacing w:line="480" w:lineRule="auto"/>
        <w:contextualSpacing/>
        <w:jc w:val="both"/>
        <w:rPr>
          <w:rFonts w:eastAsiaTheme="minorHAnsi"/>
        </w:rPr>
      </w:pPr>
    </w:p>
    <w:p w:rsidR="00F062C7" w:rsidRPr="00C136E3" w:rsidP="00F062C7" w14:paraId="739D8D81" w14:textId="62719D1B">
      <w:pPr>
        <w:widowControl w:val="0"/>
        <w:spacing w:line="480" w:lineRule="auto"/>
        <w:contextualSpacing/>
        <w:jc w:val="both"/>
        <w:rPr>
          <w:rFonts w:eastAsiaTheme="minorHAnsi"/>
        </w:rPr>
      </w:pPr>
    </w:p>
    <w:p w:rsidR="00564791" w:rsidRPr="00C136E3" w14:paraId="60371EFE" w14:textId="77777777">
      <w:pPr>
        <w:spacing w:after="160" w:line="259" w:lineRule="auto"/>
        <w:rPr>
          <w:b/>
          <w:u w:val="single"/>
        </w:rPr>
      </w:pPr>
      <w:r w:rsidRPr="00C136E3">
        <w:rPr>
          <w:b/>
          <w:u w:val="single"/>
        </w:rPr>
        <w:br w:type="page"/>
      </w:r>
    </w:p>
    <w:p w:rsidR="00F062C7" w:rsidRPr="00C136E3" w:rsidP="00F062C7" w14:paraId="1827425A" w14:textId="24EAD697">
      <w:pPr>
        <w:spacing w:line="480" w:lineRule="auto"/>
        <w:ind w:hanging="360"/>
        <w:jc w:val="center"/>
        <w:rPr>
          <w:b/>
          <w:u w:val="single"/>
        </w:rPr>
      </w:pPr>
      <w:r w:rsidRPr="00C136E3">
        <w:rPr>
          <w:b/>
          <w:u w:val="single"/>
        </w:rPr>
        <w:t>CERTIFICATE OF SERVICE</w:t>
      </w:r>
    </w:p>
    <w:p w:rsidR="00F062C7" w:rsidRPr="00C136E3" w:rsidP="00F062C7" w14:paraId="352940A7" w14:textId="2B749951">
      <w:pPr>
        <w:spacing w:line="480" w:lineRule="auto"/>
        <w:ind w:firstLine="720"/>
      </w:pPr>
      <w:bookmarkStart w:id="33" w:name="_Toc20390392"/>
      <w:bookmarkStart w:id="34" w:name="_Toc20390523"/>
      <w:bookmarkStart w:id="35" w:name="_Toc20391399"/>
      <w:r w:rsidRPr="00C136E3">
        <w:t xml:space="preserve">I hereby certify that a copy of the foregoing </w:t>
      </w:r>
      <w:r w:rsidRPr="00C136E3" w:rsidR="001D14EC">
        <w:t>Application for Rehearing</w:t>
      </w:r>
      <w:r w:rsidRPr="00C136E3">
        <w:t xml:space="preserve"> w</w:t>
      </w:r>
      <w:r w:rsidRPr="00C136E3" w:rsidR="001D14EC">
        <w:t>as</w:t>
      </w:r>
      <w:r w:rsidRPr="00C136E3">
        <w:t xml:space="preserve"> served via electronic transmission upon the parties this </w:t>
      </w:r>
      <w:r w:rsidRPr="00C136E3" w:rsidR="009D7FBD">
        <w:t>22nd</w:t>
      </w:r>
      <w:r w:rsidRPr="00C136E3">
        <w:t xml:space="preserve"> day of </w:t>
      </w:r>
      <w:r w:rsidRPr="00C136E3" w:rsidR="00D74D75">
        <w:t>May</w:t>
      </w:r>
      <w:r w:rsidRPr="00C136E3">
        <w:t xml:space="preserve"> 2020.</w:t>
      </w:r>
      <w:bookmarkEnd w:id="33"/>
      <w:bookmarkEnd w:id="34"/>
      <w:bookmarkEnd w:id="35"/>
      <w:r w:rsidRPr="00C136E3">
        <w:t xml:space="preserve"> </w:t>
      </w:r>
    </w:p>
    <w:p w:rsidR="00F062C7" w:rsidRPr="00C136E3" w:rsidP="00F062C7" w14:paraId="0AA204DD" w14:textId="77777777">
      <w:pPr>
        <w:ind w:left="4320"/>
        <w:jc w:val="both"/>
      </w:pPr>
      <w:r w:rsidRPr="00C136E3">
        <w:rPr>
          <w:i/>
          <w:u w:val="single"/>
        </w:rPr>
        <w:t>/s/ Kimberly W. Bojko</w:t>
      </w:r>
      <w:r w:rsidRPr="00C136E3">
        <w:rPr>
          <w:i/>
          <w:u w:val="single"/>
        </w:rPr>
        <w:tab/>
      </w:r>
      <w:r w:rsidRPr="00C136E3">
        <w:br/>
        <w:t>Kimberly W. Bojko</w:t>
      </w:r>
    </w:p>
    <w:p w:rsidR="00F062C7" w:rsidRPr="00C136E3" w:rsidP="00F062C7" w14:paraId="04A13CA0" w14:textId="77777777">
      <w:pPr>
        <w:tabs>
          <w:tab w:val="left" w:pos="4320"/>
        </w:tabs>
      </w:pPr>
      <w:r w:rsidRPr="00C136E3">
        <w:tab/>
        <w:t>Special Counsel for OCC</w:t>
      </w:r>
    </w:p>
    <w:p w:rsidR="00F062C7" w:rsidRPr="00C136E3" w:rsidP="00F062C7" w14:paraId="389F6B4A" w14:textId="77777777">
      <w:pPr>
        <w:tabs>
          <w:tab w:val="left" w:pos="4320"/>
        </w:tabs>
        <w:rPr>
          <w:b/>
          <w:u w:val="single"/>
        </w:rPr>
      </w:pPr>
    </w:p>
    <w:p w:rsidR="00F062C7" w:rsidRPr="00C136E3" w:rsidP="00F062C7" w14:paraId="56E3D351" w14:textId="77777777">
      <w:pPr>
        <w:pStyle w:val="CommentText"/>
        <w:jc w:val="center"/>
        <w:rPr>
          <w:b/>
          <w:sz w:val="24"/>
          <w:szCs w:val="24"/>
          <w:u w:val="single"/>
        </w:rPr>
      </w:pPr>
    </w:p>
    <w:p w:rsidR="00F062C7" w:rsidRPr="00C136E3" w:rsidP="00F062C7" w14:paraId="7D2EB7AB" w14:textId="77777777">
      <w:pPr>
        <w:pStyle w:val="CommentText"/>
        <w:rPr>
          <w:sz w:val="24"/>
          <w:szCs w:val="24"/>
        </w:rPr>
      </w:pPr>
      <w:r w:rsidRPr="00C136E3">
        <w:rPr>
          <w:sz w:val="24"/>
          <w:szCs w:val="24"/>
        </w:rPr>
        <w:t>The PUCO’s e-filing system will electronically serve notice of the filing of this document on the following parties:</w:t>
      </w:r>
    </w:p>
    <w:p w:rsidR="00F062C7" w:rsidRPr="00C136E3" w:rsidP="00F062C7" w14:paraId="044914E2" w14:textId="77777777">
      <w:pPr>
        <w:pStyle w:val="CommentText"/>
        <w:jc w:val="center"/>
        <w:rPr>
          <w:b/>
          <w:sz w:val="24"/>
          <w:szCs w:val="24"/>
          <w:u w:val="single"/>
        </w:rPr>
      </w:pPr>
    </w:p>
    <w:p w:rsidR="00F062C7" w:rsidRPr="00C136E3" w:rsidP="00F062C7" w14:paraId="02B2DC06" w14:textId="77777777">
      <w:pPr>
        <w:pStyle w:val="CommentText"/>
        <w:jc w:val="center"/>
        <w:rPr>
          <w:b/>
          <w:sz w:val="24"/>
          <w:szCs w:val="24"/>
          <w:u w:val="single"/>
        </w:rPr>
      </w:pPr>
    </w:p>
    <w:p w:rsidR="00F062C7" w:rsidRPr="00C136E3" w:rsidP="00F062C7" w14:paraId="22AF9551" w14:textId="77777777">
      <w:pPr>
        <w:pStyle w:val="CommentText"/>
        <w:jc w:val="center"/>
        <w:rPr>
          <w:b/>
          <w:sz w:val="24"/>
          <w:szCs w:val="24"/>
          <w:u w:val="single"/>
        </w:rPr>
      </w:pPr>
      <w:r w:rsidRPr="00C136E3">
        <w:rPr>
          <w:b/>
          <w:sz w:val="24"/>
          <w:szCs w:val="24"/>
          <w:u w:val="single"/>
        </w:rPr>
        <w:t>SERVICE LIST</w:t>
      </w:r>
    </w:p>
    <w:p w:rsidR="00F062C7" w:rsidRPr="00C136E3" w:rsidP="00F062C7" w14:paraId="450014AD" w14:textId="77777777">
      <w:pPr>
        <w:pStyle w:val="CommentText"/>
        <w:jc w:val="center"/>
        <w:rPr>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4C16EFD4" w14:textId="77777777" w:rsidTr="001D14E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F062C7" w:rsidRPr="00C136E3" w:rsidP="00980138" w14:paraId="2F260FEF" w14:textId="77777777">
            <w:pPr>
              <w:rPr>
                <w:color w:val="0000FF"/>
                <w:u w:val="single"/>
              </w:rPr>
            </w:pPr>
            <w:r w:rsidRPr="00C136E3">
              <w:rPr>
                <w:color w:val="0000FF"/>
                <w:u w:val="single"/>
              </w:rPr>
              <w:t>John.jones@ohioattorneygeneral.gov</w:t>
            </w:r>
          </w:p>
          <w:p w:rsidR="00F062C7" w:rsidRPr="00C136E3" w:rsidP="00980138" w14:paraId="623E0A8E" w14:textId="77777777">
            <w:pPr>
              <w:autoSpaceDE w:val="0"/>
              <w:autoSpaceDN w:val="0"/>
              <w:adjustRightInd w:val="0"/>
              <w:rPr>
                <w:bCs/>
              </w:rPr>
            </w:pPr>
            <w:hyperlink r:id="rId15" w:history="1">
              <w:r w:rsidRPr="00C136E3" w:rsidR="00092220">
                <w:rPr>
                  <w:rStyle w:val="Hyperlink"/>
                  <w:bCs/>
                </w:rPr>
                <w:t>trhayslaw@gmail.com</w:t>
              </w:r>
            </w:hyperlink>
          </w:p>
          <w:p w:rsidR="00F062C7" w:rsidRPr="00C136E3" w:rsidP="00980138" w14:paraId="0127D569" w14:textId="77777777">
            <w:pPr>
              <w:autoSpaceDE w:val="0"/>
              <w:autoSpaceDN w:val="0"/>
              <w:adjustRightInd w:val="0"/>
              <w:rPr>
                <w:bCs/>
              </w:rPr>
            </w:pPr>
            <w:hyperlink r:id="rId16" w:history="1">
              <w:r w:rsidRPr="00C136E3" w:rsidR="00092220">
                <w:rPr>
                  <w:rStyle w:val="Hyperlink"/>
                  <w:bCs/>
                </w:rPr>
                <w:t>mwager@taftlaw.com</w:t>
              </w:r>
            </w:hyperlink>
          </w:p>
          <w:p w:rsidR="00F062C7" w:rsidRPr="00C136E3" w:rsidP="00980138" w14:paraId="7032DF3B" w14:textId="77777777">
            <w:pPr>
              <w:autoSpaceDE w:val="0"/>
              <w:autoSpaceDN w:val="0"/>
              <w:adjustRightInd w:val="0"/>
              <w:rPr>
                <w:rStyle w:val="Hyperlink"/>
              </w:rPr>
            </w:pPr>
            <w:hyperlink r:id="rId17" w:history="1">
              <w:r w:rsidRPr="00C136E3" w:rsidR="00092220">
                <w:rPr>
                  <w:rStyle w:val="Hyperlink"/>
                  <w:bCs/>
                </w:rPr>
                <w:t>iavalon@taftlaw.com</w:t>
              </w:r>
            </w:hyperlink>
          </w:p>
          <w:p w:rsidR="00F062C7" w:rsidRPr="00C136E3" w:rsidP="00980138" w14:paraId="6AAABC37" w14:textId="77777777">
            <w:pPr>
              <w:autoSpaceDE w:val="0"/>
              <w:autoSpaceDN w:val="0"/>
              <w:adjustRightInd w:val="0"/>
            </w:pPr>
            <w:hyperlink r:id="rId18" w:history="1">
              <w:r w:rsidRPr="00C136E3" w:rsidR="00092220">
                <w:rPr>
                  <w:rStyle w:val="Hyperlink"/>
                </w:rPr>
                <w:t>mjsettineri@vorys.com</w:t>
              </w:r>
            </w:hyperlink>
          </w:p>
          <w:p w:rsidR="00F062C7" w:rsidRPr="00C136E3" w:rsidP="00980138" w14:paraId="33037102" w14:textId="77777777">
            <w:pPr>
              <w:autoSpaceDE w:val="0"/>
              <w:autoSpaceDN w:val="0"/>
              <w:adjustRightInd w:val="0"/>
              <w:rPr>
                <w:rStyle w:val="Hyperlink"/>
              </w:rPr>
            </w:pPr>
            <w:hyperlink r:id="rId19" w:history="1">
              <w:r w:rsidRPr="00C136E3" w:rsidR="00092220">
                <w:rPr>
                  <w:rStyle w:val="Hyperlink"/>
                </w:rPr>
                <w:t>glpetrucci@vorys.com</w:t>
              </w:r>
            </w:hyperlink>
          </w:p>
          <w:p w:rsidR="00F062C7" w:rsidRPr="00C136E3" w:rsidP="00980138" w14:paraId="26132A34" w14:textId="77777777">
            <w:pPr>
              <w:autoSpaceDE w:val="0"/>
              <w:autoSpaceDN w:val="0"/>
              <w:adjustRightInd w:val="0"/>
              <w:rPr>
                <w:rStyle w:val="Hyperlink"/>
              </w:rPr>
            </w:pPr>
            <w:hyperlink r:id="rId20" w:history="1">
              <w:r w:rsidRPr="00C136E3" w:rsidR="00092220">
                <w:rPr>
                  <w:rStyle w:val="Hyperlink"/>
                </w:rPr>
                <w:t>whitt@whitt-sturtevant.com</w:t>
              </w:r>
            </w:hyperlink>
          </w:p>
          <w:p w:rsidR="00F062C7" w:rsidRPr="00C136E3" w:rsidP="00980138" w14:paraId="4846C383" w14:textId="77777777">
            <w:pPr>
              <w:autoSpaceDE w:val="0"/>
              <w:autoSpaceDN w:val="0"/>
              <w:adjustRightInd w:val="0"/>
              <w:rPr>
                <w:rStyle w:val="Hyperlink"/>
              </w:rPr>
            </w:pPr>
            <w:hyperlink r:id="rId21" w:history="1">
              <w:r w:rsidRPr="00C136E3" w:rsidR="00092220">
                <w:rPr>
                  <w:rStyle w:val="Hyperlink"/>
                </w:rPr>
                <w:t>fykes@whitt-sturtevant.com</w:t>
              </w:r>
            </w:hyperlink>
          </w:p>
          <w:p w:rsidR="00F062C7" w:rsidRPr="00C136E3" w:rsidP="00980138" w14:paraId="5DC76263" w14:textId="77777777">
            <w:pPr>
              <w:pStyle w:val="CommentText"/>
              <w:rPr>
                <w:b/>
                <w:sz w:val="24"/>
                <w:szCs w:val="24"/>
                <w:u w:val="single"/>
              </w:rPr>
            </w:pPr>
          </w:p>
        </w:tc>
        <w:tc>
          <w:tcPr>
            <w:tcW w:w="4315" w:type="dxa"/>
          </w:tcPr>
          <w:p w:rsidR="00F062C7" w:rsidRPr="00C136E3" w:rsidP="00980138" w14:paraId="45165C16" w14:textId="77777777">
            <w:pPr>
              <w:pStyle w:val="BodyText"/>
              <w:tabs>
                <w:tab w:val="clear" w:pos="0"/>
                <w:tab w:val="clear" w:pos="720"/>
              </w:tabs>
              <w:spacing w:line="240" w:lineRule="auto"/>
              <w:ind w:left="708" w:firstLine="0"/>
              <w:rPr>
                <w:rStyle w:val="Hyperlink"/>
                <w:szCs w:val="24"/>
              </w:rPr>
            </w:pPr>
            <w:hyperlink r:id="rId22" w:history="1">
              <w:r w:rsidRPr="00C136E3" w:rsidR="00092220">
                <w:rPr>
                  <w:rStyle w:val="Hyperlink"/>
                  <w:szCs w:val="24"/>
                </w:rPr>
                <w:t>lrader@firstenergycorp.com</w:t>
              </w:r>
            </w:hyperlink>
          </w:p>
          <w:p w:rsidR="00F062C7" w:rsidRPr="00C136E3" w:rsidP="00980138" w14:paraId="05D795F5" w14:textId="77777777">
            <w:pPr>
              <w:autoSpaceDE w:val="0"/>
              <w:autoSpaceDN w:val="0"/>
              <w:adjustRightInd w:val="0"/>
              <w:ind w:left="708"/>
              <w:rPr>
                <w:color w:val="0563C2"/>
              </w:rPr>
            </w:pPr>
            <w:hyperlink r:id="rId23" w:history="1">
              <w:r w:rsidRPr="00C136E3" w:rsidR="00092220">
                <w:rPr>
                  <w:rStyle w:val="Hyperlink"/>
                </w:rPr>
                <w:t>talexander@calfee.com</w:t>
              </w:r>
            </w:hyperlink>
          </w:p>
          <w:p w:rsidR="00F062C7" w:rsidRPr="00C136E3" w:rsidP="00980138" w14:paraId="3AA082F0" w14:textId="77777777">
            <w:pPr>
              <w:pStyle w:val="BodyText"/>
              <w:tabs>
                <w:tab w:val="clear" w:pos="0"/>
                <w:tab w:val="clear" w:pos="720"/>
              </w:tabs>
              <w:spacing w:line="240" w:lineRule="auto"/>
              <w:ind w:left="708" w:firstLine="0"/>
              <w:rPr>
                <w:color w:val="0563C2"/>
                <w:szCs w:val="24"/>
              </w:rPr>
            </w:pPr>
            <w:hyperlink r:id="rId24" w:history="1">
              <w:r w:rsidRPr="00C136E3" w:rsidR="00092220">
                <w:rPr>
                  <w:rStyle w:val="Hyperlink"/>
                  <w:szCs w:val="24"/>
                </w:rPr>
                <w:t>khehmeyer@calfee.com</w:t>
              </w:r>
            </w:hyperlink>
          </w:p>
          <w:p w:rsidR="00F062C7" w:rsidRPr="00C136E3" w:rsidP="00980138" w14:paraId="3ACC0E19" w14:textId="77777777">
            <w:pPr>
              <w:pStyle w:val="BodyText"/>
              <w:tabs>
                <w:tab w:val="clear" w:pos="0"/>
                <w:tab w:val="clear" w:pos="720"/>
              </w:tabs>
              <w:spacing w:line="240" w:lineRule="auto"/>
              <w:ind w:left="708" w:firstLine="0"/>
              <w:rPr>
                <w:bCs/>
                <w:color w:val="0000FF"/>
                <w:szCs w:val="24"/>
                <w:u w:val="single"/>
              </w:rPr>
            </w:pPr>
            <w:hyperlink r:id="rId25" w:history="1">
              <w:r w:rsidRPr="00C136E3" w:rsidR="00092220">
                <w:rPr>
                  <w:rStyle w:val="Hyperlink"/>
                  <w:bCs/>
                  <w:szCs w:val="24"/>
                </w:rPr>
                <w:t>dstinson@bricker.com</w:t>
              </w:r>
            </w:hyperlink>
          </w:p>
          <w:p w:rsidR="00F062C7" w:rsidRPr="00C136E3" w:rsidP="00980138" w14:paraId="4145B7EA" w14:textId="77777777">
            <w:pPr>
              <w:pStyle w:val="BodyText"/>
              <w:tabs>
                <w:tab w:val="clear" w:pos="0"/>
                <w:tab w:val="clear" w:pos="720"/>
              </w:tabs>
              <w:spacing w:line="240" w:lineRule="auto"/>
              <w:ind w:left="708" w:firstLine="0"/>
              <w:rPr>
                <w:rStyle w:val="Hyperlink"/>
                <w:szCs w:val="24"/>
              </w:rPr>
            </w:pPr>
            <w:hyperlink r:id="rId26" w:history="1">
              <w:r w:rsidRPr="00C136E3" w:rsidR="00092220">
                <w:rPr>
                  <w:rStyle w:val="Hyperlink"/>
                  <w:bCs/>
                  <w:szCs w:val="24"/>
                </w:rPr>
                <w:t>gkrassen@bricker.com</w:t>
              </w:r>
            </w:hyperlink>
          </w:p>
          <w:p w:rsidR="00F062C7" w:rsidRPr="00C136E3" w:rsidP="00980138" w14:paraId="2AAD55E4" w14:textId="77777777">
            <w:pPr>
              <w:pStyle w:val="BodyText"/>
              <w:tabs>
                <w:tab w:val="clear" w:pos="0"/>
                <w:tab w:val="clear" w:pos="720"/>
              </w:tabs>
              <w:spacing w:line="240" w:lineRule="auto"/>
              <w:ind w:left="708" w:firstLine="0"/>
              <w:rPr>
                <w:rStyle w:val="Hyperlink"/>
                <w:szCs w:val="24"/>
              </w:rPr>
            </w:pPr>
            <w:hyperlink r:id="rId27" w:history="1">
              <w:r w:rsidRPr="00C136E3" w:rsidR="00092220">
                <w:rPr>
                  <w:rStyle w:val="Hyperlink"/>
                  <w:szCs w:val="24"/>
                </w:rPr>
                <w:t>schmidt@sppgrp.com</w:t>
              </w:r>
            </w:hyperlink>
          </w:p>
          <w:p w:rsidR="00F062C7" w:rsidRPr="00C136E3" w:rsidP="00980138" w14:paraId="56C4C30D" w14:textId="77777777">
            <w:pPr>
              <w:autoSpaceDE w:val="0"/>
              <w:autoSpaceDN w:val="0"/>
              <w:adjustRightInd w:val="0"/>
              <w:ind w:left="708"/>
              <w:rPr>
                <w:rFonts w:eastAsiaTheme="minorHAnsi"/>
                <w:color w:val="0000FF"/>
              </w:rPr>
            </w:pPr>
            <w:hyperlink r:id="rId28" w:history="1">
              <w:r w:rsidRPr="00C136E3" w:rsidR="00092220">
                <w:rPr>
                  <w:rStyle w:val="Hyperlink"/>
                  <w:rFonts w:eastAsiaTheme="minorHAnsi"/>
                </w:rPr>
                <w:t>bethany.allen@igs.com</w:t>
              </w:r>
            </w:hyperlink>
          </w:p>
          <w:p w:rsidR="00F062C7" w:rsidRPr="00C136E3" w:rsidP="00980138" w14:paraId="557B9E8A" w14:textId="77777777">
            <w:pPr>
              <w:autoSpaceDE w:val="0"/>
              <w:autoSpaceDN w:val="0"/>
              <w:adjustRightInd w:val="0"/>
              <w:ind w:left="708"/>
              <w:rPr>
                <w:rFonts w:eastAsiaTheme="minorHAnsi"/>
                <w:color w:val="0000FF"/>
              </w:rPr>
            </w:pPr>
            <w:hyperlink r:id="rId29" w:history="1">
              <w:r w:rsidRPr="00C136E3" w:rsidR="00092220">
                <w:rPr>
                  <w:rStyle w:val="Hyperlink"/>
                  <w:rFonts w:eastAsiaTheme="minorHAnsi"/>
                </w:rPr>
                <w:t>joe.oliker@igs.com</w:t>
              </w:r>
            </w:hyperlink>
          </w:p>
          <w:p w:rsidR="00F062C7" w:rsidRPr="00C136E3" w:rsidP="00980138" w14:paraId="027E05A7" w14:textId="77777777">
            <w:pPr>
              <w:pStyle w:val="BodyText"/>
              <w:spacing w:line="240" w:lineRule="auto"/>
              <w:ind w:left="708" w:firstLine="0"/>
              <w:rPr>
                <w:rFonts w:eastAsiaTheme="minorHAnsi"/>
                <w:color w:val="0000FF"/>
                <w:szCs w:val="24"/>
              </w:rPr>
            </w:pPr>
            <w:hyperlink r:id="rId30" w:history="1">
              <w:r w:rsidRPr="00C136E3" w:rsidR="00092220">
                <w:rPr>
                  <w:rStyle w:val="Hyperlink"/>
                  <w:rFonts w:eastAsiaTheme="minorHAnsi"/>
                  <w:szCs w:val="24"/>
                </w:rPr>
                <w:t>michael.nugent@igs.com</w:t>
              </w:r>
            </w:hyperlink>
          </w:p>
          <w:p w:rsidR="00F062C7" w:rsidRPr="00C136E3" w:rsidP="00980138" w14:paraId="37AB9243" w14:textId="77777777">
            <w:pPr>
              <w:pStyle w:val="CommentText"/>
              <w:rPr>
                <w:b/>
                <w:sz w:val="24"/>
                <w:szCs w:val="24"/>
                <w:u w:val="single"/>
              </w:rPr>
            </w:pPr>
          </w:p>
        </w:tc>
      </w:tr>
    </w:tbl>
    <w:p w:rsidR="00F062C7" w:rsidRPr="00C136E3" w:rsidP="00F062C7" w14:paraId="3BA4F910" w14:textId="77777777">
      <w:pPr>
        <w:widowControl w:val="0"/>
        <w:spacing w:line="480" w:lineRule="auto"/>
        <w:contextualSpacing/>
        <w:jc w:val="both"/>
        <w:rPr>
          <w:rFonts w:eastAsiaTheme="minorHAnsi"/>
        </w:rPr>
      </w:pPr>
    </w:p>
    <w:sectPr w:rsidSect="009D7FBD">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6641014"/>
      <w:docPartObj>
        <w:docPartGallery w:val="Page Numbers (Bottom of Page)"/>
        <w:docPartUnique/>
      </w:docPartObj>
    </w:sdtPr>
    <w:sdtEndPr>
      <w:rPr>
        <w:noProof/>
      </w:rPr>
    </w:sdtEndPr>
    <w:sdtContent>
      <w:p w:rsidR="00B40470" w14:paraId="38294AD5" w14:textId="6691396C">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B40470" w:rsidP="009612A1" w14:paraId="24D5A1F8"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470" w14:paraId="07315D24" w14:textId="09BA15FF">
    <w:pPr>
      <w:pStyle w:val="Footer"/>
      <w:jc w:val="center"/>
    </w:pPr>
  </w:p>
  <w:p w:rsidR="00B40470" w14:paraId="04A865F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14EC" w14:paraId="18B5BC9F" w14:textId="304BCF79">
    <w:pPr>
      <w:pStyle w:val="Footer"/>
      <w:jc w:val="center"/>
    </w:pPr>
  </w:p>
  <w:p w:rsidR="00B40470" w14:paraId="5AFAB6B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1134755"/>
      <w:docPartObj>
        <w:docPartGallery w:val="Page Numbers (Bottom of Page)"/>
        <w:docPartUnique/>
      </w:docPartObj>
    </w:sdtPr>
    <w:sdtEndPr>
      <w:rPr>
        <w:noProof/>
      </w:rPr>
    </w:sdtEndPr>
    <w:sdtContent>
      <w:p w:rsidR="001D14EC" w14:paraId="236CF62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D14EC" w14:paraId="262D3C3F"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154438"/>
      <w:docPartObj>
        <w:docPartGallery w:val="Page Numbers (Bottom of Page)"/>
        <w:docPartUnique/>
      </w:docPartObj>
    </w:sdtPr>
    <w:sdtEndPr>
      <w:rPr>
        <w:noProof/>
      </w:rPr>
    </w:sdtEndPr>
    <w:sdtContent>
      <w:p w:rsidR="00B40470" w14:paraId="33A3B9F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40470" w14:paraId="2B2193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92220" w:rsidP="009612A1" w14:paraId="54837E57" w14:textId="77777777">
      <w:r>
        <w:separator/>
      </w:r>
    </w:p>
  </w:footnote>
  <w:footnote w:type="continuationSeparator" w:id="1">
    <w:p w:rsidR="00092220" w:rsidP="009612A1" w14:paraId="3C4A6E49" w14:textId="77777777">
      <w:r>
        <w:continuationSeparator/>
      </w:r>
    </w:p>
  </w:footnote>
  <w:footnote w:id="2">
    <w:p w:rsidR="00B40470" w:rsidRPr="00C136E3" w:rsidP="00C136E3" w14:paraId="38741354" w14:textId="5DC817B5">
      <w:pPr>
        <w:pStyle w:val="FootnoteText"/>
        <w:spacing w:after="120"/>
      </w:pPr>
      <w:r w:rsidRPr="00C136E3">
        <w:rPr>
          <w:rStyle w:val="FootnoteReference"/>
        </w:rPr>
        <w:footnoteRef/>
      </w:r>
      <w:r w:rsidRPr="00C136E3">
        <w:t xml:space="preserve"> </w:t>
      </w:r>
      <w:r w:rsidRPr="00C136E3">
        <w:rPr>
          <w:i/>
        </w:rPr>
        <w:t xml:space="preserve">See </w:t>
      </w:r>
      <w:r w:rsidRPr="00C136E3">
        <w:t>Interstate Gas Supply, Inc.’s Reply in Support of Motion to Intervene and Request to Establish a Procedural Schedule (April 16, 2020).</w:t>
      </w:r>
    </w:p>
  </w:footnote>
  <w:footnote w:id="3">
    <w:p w:rsidR="00B40470" w:rsidRPr="00C136E3" w:rsidP="00C136E3" w14:paraId="68481C16" w14:textId="60426E37">
      <w:pPr>
        <w:pStyle w:val="FootnoteText"/>
        <w:spacing w:after="120"/>
      </w:pPr>
      <w:r w:rsidRPr="00C136E3">
        <w:rPr>
          <w:rStyle w:val="FootnoteReference"/>
        </w:rPr>
        <w:footnoteRef/>
      </w:r>
      <w:r w:rsidRPr="00C136E3">
        <w:t xml:space="preserve"> OCC’s Motion to Compel FirstEnergy Advisors to Respond to OCC’s First Set of Discovery (April 17, 2020); NOPEC’s Motion to Compel (March 20, 2020).</w:t>
      </w:r>
    </w:p>
  </w:footnote>
  <w:footnote w:id="4">
    <w:p w:rsidR="00B40470" w:rsidRPr="00C136E3" w:rsidP="00C136E3" w14:paraId="316A71D4" w14:textId="6560FBE6">
      <w:pPr>
        <w:pStyle w:val="FootnoteText"/>
        <w:spacing w:after="120"/>
      </w:pPr>
      <w:r w:rsidRPr="00C136E3">
        <w:rPr>
          <w:rStyle w:val="FootnoteReference"/>
        </w:rPr>
        <w:footnoteRef/>
      </w:r>
      <w:r w:rsidRPr="00C136E3">
        <w:t xml:space="preserve"> Finding and Order (April 22, 2020) (“Order”).</w:t>
      </w:r>
    </w:p>
  </w:footnote>
  <w:footnote w:id="5">
    <w:p w:rsidR="00B40470" w:rsidRPr="00C136E3" w:rsidP="00C136E3" w14:paraId="7C5291B2" w14:textId="37BBCD75">
      <w:pPr>
        <w:pStyle w:val="FootnoteText"/>
        <w:spacing w:after="120"/>
      </w:pPr>
      <w:r w:rsidRPr="00C136E3">
        <w:rPr>
          <w:rStyle w:val="FootnoteReference"/>
        </w:rPr>
        <w:footnoteRef/>
      </w:r>
      <w:r w:rsidRPr="00C136E3">
        <w:t xml:space="preserve"> </w:t>
      </w:r>
      <w:r w:rsidRPr="00C136E3">
        <w:rPr>
          <w:i/>
          <w:iCs/>
        </w:rPr>
        <w:t>See</w:t>
      </w:r>
      <w:r w:rsidRPr="00C136E3">
        <w:t xml:space="preserve"> Ohio Adm. Code 4901-1-24-05(A).</w:t>
      </w:r>
    </w:p>
  </w:footnote>
  <w:footnote w:id="6">
    <w:p w:rsidR="00B40470" w:rsidRPr="00C136E3" w:rsidP="00C136E3" w14:paraId="7FA16A80" w14:textId="422CB7A9">
      <w:pPr>
        <w:pStyle w:val="FootnoteText"/>
        <w:spacing w:after="120"/>
      </w:pPr>
      <w:r w:rsidRPr="00C136E3">
        <w:rPr>
          <w:rStyle w:val="FootnoteReference"/>
          <w:i/>
        </w:rPr>
        <w:footnoteRef/>
      </w:r>
      <w:r w:rsidRPr="00C136E3">
        <w:rPr>
          <w:i/>
        </w:rPr>
        <w:t xml:space="preserve"> See, e.g</w:t>
      </w:r>
      <w:r w:rsidRPr="00C136E3">
        <w:t>., R.C. 4928.17, Ohio Adm. Code Chapter 4901:1-3.</w:t>
      </w:r>
    </w:p>
  </w:footnote>
  <w:footnote w:id="7">
    <w:p w:rsidR="00B40470" w:rsidRPr="00C136E3" w:rsidP="00C136E3" w14:paraId="49E46428" w14:textId="09E9FD38">
      <w:pPr>
        <w:pStyle w:val="FootnoteText"/>
        <w:spacing w:after="120"/>
      </w:pPr>
      <w:r w:rsidRPr="00C136E3">
        <w:rPr>
          <w:rStyle w:val="FootnoteReference"/>
        </w:rPr>
        <w:footnoteRef/>
      </w:r>
      <w:r w:rsidRPr="00C136E3">
        <w:t xml:space="preserve"> </w:t>
      </w:r>
      <w:r w:rsidRPr="00C136E3">
        <w:rPr>
          <w:i/>
          <w:iCs/>
        </w:rPr>
        <w:t>See</w:t>
      </w:r>
      <w:r w:rsidRPr="00C136E3">
        <w:t xml:space="preserve"> Ohio Admin. Code 4901:1-24-10(C), which requires an applicant seeking to provide competitive electric services to demonstrate that they are “managerially, financially, and technically fit and capable of performing the service it intends to provide” and “managerially, financially, and technically fit and capable of complying with all applicable commission rules and orders.” The rule also requires the applicant to be “able to provide reasonable financial assurances sufficient to protect electric distribution utility companies and the customers from default.”</w:t>
      </w:r>
    </w:p>
  </w:footnote>
  <w:footnote w:id="8">
    <w:p w:rsidR="00B40470" w:rsidRPr="00C136E3" w:rsidP="00C136E3" w14:paraId="34BF04E1" w14:textId="04A31ADB">
      <w:pPr>
        <w:pStyle w:val="FootnoteText"/>
        <w:spacing w:after="120"/>
      </w:pPr>
      <w:r w:rsidRPr="00C136E3">
        <w:rPr>
          <w:rStyle w:val="FootnoteReference"/>
        </w:rPr>
        <w:footnoteRef/>
      </w:r>
      <w:r w:rsidRPr="00C136E3">
        <w:t xml:space="preserve"> </w:t>
      </w:r>
      <w:r w:rsidRPr="00C136E3">
        <w:rPr>
          <w:i/>
        </w:rPr>
        <w:t>See</w:t>
      </w:r>
      <w:r w:rsidRPr="00C136E3">
        <w:t xml:space="preserve"> </w:t>
      </w:r>
      <w:r w:rsidR="003315AD">
        <w:t>Joint Motion to Suspend FirstEnergy Advisors’ Certification Application and Joint Motion for Hearing by NOPEC and OCC (Feb. 10, 2020) (“</w:t>
      </w:r>
      <w:r w:rsidRPr="00C136E3">
        <w:t>NOPEC/OCC Joint Motion</w:t>
      </w:r>
      <w:r w:rsidR="003315AD">
        <w:t>”)</w:t>
      </w:r>
      <w:r w:rsidRPr="00C136E3">
        <w:t xml:space="preserve"> at 1-2, 10-15.</w:t>
      </w:r>
    </w:p>
  </w:footnote>
  <w:footnote w:id="9">
    <w:p w:rsidR="00B40470" w:rsidRPr="00C136E3" w:rsidP="00C136E3" w14:paraId="0CB8F4FB" w14:textId="367DE591">
      <w:pPr>
        <w:pStyle w:val="FootnoteText"/>
        <w:spacing w:after="120"/>
      </w:pPr>
      <w:r w:rsidRPr="00C136E3">
        <w:rPr>
          <w:rStyle w:val="FootnoteReference"/>
        </w:rPr>
        <w:footnoteRef/>
      </w:r>
      <w:r w:rsidRPr="00C136E3">
        <w:t xml:space="preserve"> </w:t>
      </w:r>
      <w:r w:rsidRPr="00C136E3">
        <w:rPr>
          <w:i/>
        </w:rPr>
        <w:t>Id</w:t>
      </w:r>
      <w:r w:rsidRPr="00C136E3">
        <w:t>. at 2, 15-17.</w:t>
      </w:r>
    </w:p>
  </w:footnote>
  <w:footnote w:id="10">
    <w:p w:rsidR="00B40470" w:rsidRPr="00C136E3" w:rsidP="00C136E3" w14:paraId="29EF1073" w14:textId="16DCB303">
      <w:pPr>
        <w:pStyle w:val="FootnoteText"/>
        <w:spacing w:after="120"/>
      </w:pPr>
      <w:r w:rsidRPr="00C136E3">
        <w:rPr>
          <w:rStyle w:val="FootnoteReference"/>
        </w:rPr>
        <w:footnoteRef/>
      </w:r>
      <w:r w:rsidRPr="00C136E3">
        <w:t xml:space="preserve"> </w:t>
      </w:r>
      <w:r w:rsidRPr="00C136E3">
        <w:rPr>
          <w:i/>
        </w:rPr>
        <w:t>See In the Matter of the Review of The Ohio Edison Company, The Cleveland Electric Illuminating Company, and The Toledo Edison Company’s Compliance with R.C. 4928.17 and the Ohio Adm. Code Chapter 4901:1-37</w:t>
      </w:r>
      <w:r w:rsidRPr="00C136E3">
        <w:t>, Case No. 17-974-EL-UNC (“Audit Case”), SAGE Management Consultants, LLC Final Report for Compliance Audit of the FirstEnergy Operating Companies with the Corporate Separation Rules of the Public Utilities Commission of Ohio (May 14, 2018) (“Audit Report”) at 98.</w:t>
      </w:r>
    </w:p>
  </w:footnote>
  <w:footnote w:id="11">
    <w:p w:rsidR="00B40470" w:rsidRPr="00C136E3" w:rsidP="00C136E3" w14:paraId="77CE1DB0" w14:textId="2BCC4193">
      <w:pPr>
        <w:pStyle w:val="FootnoteText"/>
        <w:spacing w:after="120"/>
      </w:pPr>
      <w:r w:rsidRPr="00C136E3">
        <w:rPr>
          <w:rStyle w:val="FootnoteReference"/>
        </w:rPr>
        <w:footnoteRef/>
      </w:r>
      <w:r w:rsidRPr="00C136E3">
        <w:t xml:space="preserve"> </w:t>
      </w:r>
      <w:r w:rsidRPr="00C136E3">
        <w:rPr>
          <w:i/>
        </w:rPr>
        <w:t>Id</w:t>
      </w:r>
      <w:r w:rsidRPr="00C136E3">
        <w:t xml:space="preserve">.  </w:t>
      </w:r>
    </w:p>
  </w:footnote>
  <w:footnote w:id="12">
    <w:p w:rsidR="00B40470" w:rsidRPr="00C136E3" w:rsidP="00C136E3" w14:paraId="1D208B95" w14:textId="55FC62D1">
      <w:pPr>
        <w:pStyle w:val="FootnoteText"/>
        <w:spacing w:after="120"/>
      </w:pPr>
      <w:r w:rsidRPr="00C136E3">
        <w:rPr>
          <w:rStyle w:val="FootnoteReference"/>
        </w:rPr>
        <w:footnoteRef/>
      </w:r>
      <w:r w:rsidRPr="00C136E3">
        <w:t xml:space="preserve"> </w:t>
      </w:r>
      <w:r w:rsidRPr="00C136E3">
        <w:rPr>
          <w:i/>
        </w:rPr>
        <w:t>Id</w:t>
      </w:r>
      <w:r w:rsidRPr="00C136E3">
        <w:t xml:space="preserve">. at 46. </w:t>
      </w:r>
    </w:p>
  </w:footnote>
  <w:footnote w:id="13">
    <w:p w:rsidR="00B40470" w:rsidRPr="00C136E3" w:rsidP="00C136E3" w14:paraId="48DA845F" w14:textId="4E67D187">
      <w:pPr>
        <w:pStyle w:val="FootnoteText"/>
        <w:spacing w:after="120"/>
      </w:pPr>
      <w:r w:rsidRPr="00C136E3">
        <w:rPr>
          <w:rStyle w:val="FootnoteReference"/>
        </w:rPr>
        <w:footnoteRef/>
      </w:r>
      <w:r w:rsidRPr="00C136E3">
        <w:t xml:space="preserve"> </w:t>
      </w:r>
      <w:r w:rsidRPr="00C136E3">
        <w:rPr>
          <w:i/>
        </w:rPr>
        <w:t xml:space="preserve">See </w:t>
      </w:r>
      <w:r w:rsidRPr="00C136E3">
        <w:t>Supplemental Application.</w:t>
      </w:r>
    </w:p>
  </w:footnote>
  <w:footnote w:id="14">
    <w:p w:rsidR="00B40470" w:rsidRPr="00C136E3" w:rsidP="00C136E3" w14:paraId="76BAEC70" w14:textId="096FDF85">
      <w:pPr>
        <w:pStyle w:val="FootnoteText"/>
        <w:spacing w:after="120"/>
      </w:pPr>
      <w:r w:rsidRPr="00C136E3">
        <w:rPr>
          <w:rStyle w:val="FootnoteReference"/>
        </w:rPr>
        <w:footnoteRef/>
      </w:r>
      <w:r w:rsidRPr="00C136E3">
        <w:t xml:space="preserve"> </w:t>
      </w:r>
      <w:r w:rsidRPr="00C136E3">
        <w:rPr>
          <w:i/>
        </w:rPr>
        <w:t>See</w:t>
      </w:r>
      <w:r w:rsidRPr="00C136E3">
        <w:t xml:space="preserve"> OCC’s letter regarding FirstEnergy Advisors’ Motion for Protective order where OCC explains that FirstEnergy Advisors requested a broad exemption from the discovery rules. OCC Letter (April 1. 2020) at 1 and n.1 (citing FirstEnergy Advisors’ Motion for Protective Order).</w:t>
      </w:r>
    </w:p>
  </w:footnote>
  <w:footnote w:id="15">
    <w:p w:rsidR="00B40470" w:rsidRPr="00C136E3" w:rsidP="00C136E3" w14:paraId="69D959C7" w14:textId="34992CA6">
      <w:pPr>
        <w:pStyle w:val="FootnoteText"/>
        <w:spacing w:after="120"/>
      </w:pPr>
      <w:r w:rsidRPr="00C136E3">
        <w:rPr>
          <w:rStyle w:val="FootnoteReference"/>
        </w:rPr>
        <w:footnoteRef/>
      </w:r>
      <w:r w:rsidRPr="00C136E3">
        <w:t xml:space="preserve"> R.C. 4928.02(H).</w:t>
      </w:r>
    </w:p>
  </w:footnote>
  <w:footnote w:id="16">
    <w:p w:rsidR="00B40470" w:rsidRPr="00C136E3" w:rsidP="00C136E3" w14:paraId="1D962ED2" w14:textId="7352A3C9">
      <w:pPr>
        <w:pStyle w:val="FootnoteText"/>
        <w:spacing w:after="120"/>
      </w:pPr>
      <w:r w:rsidRPr="00C136E3">
        <w:rPr>
          <w:rStyle w:val="FootnoteReference"/>
        </w:rPr>
        <w:footnoteRef/>
      </w:r>
      <w:r w:rsidRPr="00C136E3">
        <w:t xml:space="preserve"> R.C. 4928.17(A).</w:t>
      </w:r>
    </w:p>
  </w:footnote>
  <w:footnote w:id="17">
    <w:p w:rsidR="00B40470" w:rsidRPr="00C136E3" w:rsidP="00C136E3" w14:paraId="0C157F57" w14:textId="44623ACC">
      <w:pPr>
        <w:pStyle w:val="FootnoteText"/>
        <w:spacing w:after="120"/>
      </w:pPr>
      <w:r w:rsidRPr="00C136E3">
        <w:rPr>
          <w:rStyle w:val="FootnoteReference"/>
        </w:rPr>
        <w:footnoteRef/>
      </w:r>
      <w:r w:rsidRPr="00C136E3">
        <w:t xml:space="preserve"> Ohio Adm. Code 4901:1-37-05.</w:t>
      </w:r>
    </w:p>
  </w:footnote>
  <w:footnote w:id="18">
    <w:p w:rsidR="00B40470" w:rsidRPr="00C136E3" w:rsidP="00C136E3" w14:paraId="5CB7E241" w14:textId="077689CA">
      <w:pPr>
        <w:pStyle w:val="FootnoteText"/>
        <w:spacing w:after="120"/>
      </w:pPr>
      <w:r w:rsidRPr="00C136E3">
        <w:rPr>
          <w:rStyle w:val="FootnoteReference"/>
        </w:rPr>
        <w:footnoteRef/>
      </w:r>
      <w:r w:rsidRPr="00C136E3">
        <w:t xml:space="preserve"> Ohio Adm. Code 4901-1-24-05.</w:t>
      </w:r>
    </w:p>
  </w:footnote>
  <w:footnote w:id="19">
    <w:p w:rsidR="00B40470" w:rsidRPr="00C136E3" w:rsidP="00C136E3" w14:paraId="4AC61513" w14:textId="6990D083">
      <w:pPr>
        <w:pStyle w:val="FootnoteText"/>
        <w:spacing w:after="120"/>
      </w:pPr>
      <w:r w:rsidRPr="00C136E3">
        <w:rPr>
          <w:rStyle w:val="FootnoteReference"/>
        </w:rPr>
        <w:footnoteRef/>
      </w:r>
      <w:r w:rsidRPr="00C136E3">
        <w:t xml:space="preserve"> </w:t>
      </w:r>
      <w:r w:rsidRPr="00C136E3">
        <w:rPr>
          <w:i/>
        </w:rPr>
        <w:t xml:space="preserve">See </w:t>
      </w:r>
      <w:r w:rsidRPr="00C136E3">
        <w:t>Audit Case.</w:t>
      </w:r>
    </w:p>
  </w:footnote>
  <w:footnote w:id="20">
    <w:p w:rsidR="00B40470" w:rsidRPr="00C136E3" w:rsidP="00C136E3" w14:paraId="2BACE386" w14:textId="739C3264">
      <w:pPr>
        <w:pStyle w:val="FootnoteText"/>
        <w:spacing w:after="120"/>
      </w:pPr>
      <w:r w:rsidRPr="00C136E3">
        <w:rPr>
          <w:rStyle w:val="FootnoteReference"/>
        </w:rPr>
        <w:footnoteRef/>
      </w:r>
      <w:r w:rsidRPr="00C136E3">
        <w:t xml:space="preserve"> Audit Case, Audit Report at 39. </w:t>
      </w:r>
      <w:r w:rsidRPr="00C136E3">
        <w:rPr>
          <w:i/>
        </w:rPr>
        <w:t>See, also</w:t>
      </w:r>
      <w:r w:rsidRPr="00C136E3">
        <w:t>, NOPEC’s Response to Supplemented Application and Staff Recommendation (April 14, 2020) (“NOPEC’s Response”) at 2-4; RESA Motion to Intervene (March 17, 2020) (“RESA Motion”) at 3, 13-14.</w:t>
      </w:r>
    </w:p>
  </w:footnote>
  <w:footnote w:id="21">
    <w:p w:rsidR="00B40470" w:rsidRPr="00C136E3" w:rsidP="00C136E3" w14:paraId="38A05EFE" w14:textId="68C45E98">
      <w:pPr>
        <w:pStyle w:val="FootnoteText"/>
        <w:spacing w:after="120"/>
      </w:pPr>
      <w:r w:rsidRPr="00C136E3">
        <w:rPr>
          <w:rStyle w:val="FootnoteReference"/>
        </w:rPr>
        <w:footnoteRef/>
      </w:r>
      <w:r w:rsidRPr="00C136E3">
        <w:t xml:space="preserve"> </w:t>
      </w:r>
      <w:r w:rsidRPr="00C136E3" w:rsidR="0086673A">
        <w:t xml:space="preserve">Audit Report, at 98-99; </w:t>
      </w:r>
      <w:r w:rsidRPr="00C136E3">
        <w:rPr>
          <w:i/>
        </w:rPr>
        <w:t>See</w:t>
      </w:r>
      <w:r w:rsidRPr="00C136E3" w:rsidR="0086673A">
        <w:rPr>
          <w:i/>
        </w:rPr>
        <w:t xml:space="preserve"> also</w:t>
      </w:r>
      <w:r w:rsidRPr="00C136E3">
        <w:rPr>
          <w:i/>
        </w:rPr>
        <w:t>, e.g.</w:t>
      </w:r>
      <w:r w:rsidRPr="00C136E3">
        <w:t>, NOPEC/OCC Joint Motion at 4-5; RESA Motion at 3, 7-8. IGS Motion to Intervene and Establish a Procedural Schedule (March 25, 2020) (“IGS Motion”) at 8-9.</w:t>
      </w:r>
    </w:p>
  </w:footnote>
  <w:footnote w:id="22">
    <w:p w:rsidR="00B40470" w:rsidRPr="00C136E3" w:rsidP="00C136E3" w14:paraId="00A91D56" w14:textId="7BE2D388">
      <w:pPr>
        <w:pStyle w:val="FootnoteText"/>
        <w:spacing w:after="120"/>
      </w:pPr>
      <w:r w:rsidRPr="00C136E3">
        <w:rPr>
          <w:rStyle w:val="FootnoteReference"/>
        </w:rPr>
        <w:footnoteRef/>
      </w:r>
      <w:r w:rsidRPr="00C136E3">
        <w:t xml:space="preserve"> Supplemental Application at 3.</w:t>
      </w:r>
    </w:p>
  </w:footnote>
  <w:footnote w:id="23">
    <w:p w:rsidR="00B40470" w:rsidRPr="00C136E3" w:rsidP="00C136E3" w14:paraId="65F6556A" w14:textId="47DA0DEE">
      <w:pPr>
        <w:pStyle w:val="FootnoteText"/>
        <w:spacing w:after="120"/>
      </w:pPr>
      <w:r w:rsidRPr="00C136E3">
        <w:rPr>
          <w:rStyle w:val="FootnoteReference"/>
        </w:rPr>
        <w:footnoteRef/>
      </w:r>
      <w:r w:rsidRPr="00C136E3">
        <w:t xml:space="preserve"> </w:t>
      </w:r>
      <w:r w:rsidRPr="00C136E3">
        <w:rPr>
          <w:i/>
        </w:rPr>
        <w:t>Id</w:t>
      </w:r>
      <w:r w:rsidRPr="00C136E3">
        <w:t xml:space="preserve">. </w:t>
      </w:r>
    </w:p>
  </w:footnote>
  <w:footnote w:id="24">
    <w:p w:rsidR="00B40470" w:rsidRPr="00C136E3" w:rsidP="00C136E3" w14:paraId="227B9802" w14:textId="13553151">
      <w:pPr>
        <w:pStyle w:val="FootnoteText"/>
        <w:spacing w:after="120"/>
      </w:pPr>
      <w:r w:rsidRPr="00C136E3">
        <w:rPr>
          <w:rStyle w:val="FootnoteReference"/>
        </w:rPr>
        <w:footnoteRef/>
      </w:r>
      <w:r w:rsidRPr="00C136E3">
        <w:t xml:space="preserve"> </w:t>
      </w:r>
      <w:r w:rsidRPr="00C136E3">
        <w:rPr>
          <w:i/>
        </w:rPr>
        <w:t>Id</w:t>
      </w:r>
      <w:r w:rsidRPr="00C136E3">
        <w:t>. at 3-4.</w:t>
      </w:r>
    </w:p>
  </w:footnote>
  <w:footnote w:id="25">
    <w:p w:rsidR="00B40470" w:rsidRPr="00C136E3" w:rsidP="00C136E3" w14:paraId="2DE6C69E" w14:textId="46519956">
      <w:pPr>
        <w:pStyle w:val="FootnoteText"/>
        <w:spacing w:after="120"/>
      </w:pPr>
      <w:r w:rsidRPr="00C136E3">
        <w:rPr>
          <w:rStyle w:val="FootnoteReference"/>
        </w:rPr>
        <w:footnoteRef/>
      </w:r>
      <w:r w:rsidRPr="00C136E3">
        <w:t xml:space="preserve"> </w:t>
      </w:r>
      <w:r w:rsidRPr="00C136E3">
        <w:rPr>
          <w:i/>
        </w:rPr>
        <w:t xml:space="preserve">See </w:t>
      </w:r>
      <w:r w:rsidRPr="00C136E3">
        <w:t>Audit Case, Audit Report at 98.</w:t>
      </w:r>
    </w:p>
  </w:footnote>
  <w:footnote w:id="26">
    <w:p w:rsidR="00B40470" w:rsidRPr="00C136E3" w:rsidP="00C136E3" w14:paraId="22B30C27" w14:textId="437458D3">
      <w:pPr>
        <w:pStyle w:val="FootnoteText"/>
        <w:spacing w:after="120"/>
      </w:pPr>
      <w:r w:rsidRPr="00C136E3">
        <w:rPr>
          <w:rStyle w:val="FootnoteReference"/>
        </w:rPr>
        <w:footnoteRef/>
      </w:r>
      <w:r w:rsidRPr="00C136E3">
        <w:t xml:space="preserve"> Supplemental Application at 4.</w:t>
      </w:r>
    </w:p>
  </w:footnote>
  <w:footnote w:id="27">
    <w:p w:rsidR="00B40470" w:rsidRPr="00C136E3" w:rsidP="00C136E3" w14:paraId="0BA14DFF" w14:textId="618075A9">
      <w:pPr>
        <w:pStyle w:val="FootnoteText"/>
        <w:spacing w:after="120"/>
      </w:pPr>
      <w:r w:rsidRPr="00C136E3">
        <w:rPr>
          <w:rStyle w:val="FootnoteReference"/>
        </w:rPr>
        <w:footnoteRef/>
      </w:r>
      <w:r w:rsidRPr="00C136E3">
        <w:t xml:space="preserve"> Staff Report. </w:t>
      </w:r>
    </w:p>
  </w:footnote>
  <w:footnote w:id="28">
    <w:p w:rsidR="00B40470" w:rsidRPr="00C136E3" w:rsidP="00C136E3" w14:paraId="43DC55DB" w14:textId="182EBA86">
      <w:pPr>
        <w:pStyle w:val="FootnoteText"/>
        <w:spacing w:after="120"/>
      </w:pPr>
      <w:r w:rsidRPr="00C136E3">
        <w:rPr>
          <w:rStyle w:val="FootnoteReference"/>
        </w:rPr>
        <w:footnoteRef/>
      </w:r>
      <w:r w:rsidRPr="00C136E3">
        <w:t xml:space="preserve"> Ohio Adm. Code 4901-1-24-05.</w:t>
      </w:r>
    </w:p>
  </w:footnote>
  <w:footnote w:id="29">
    <w:p w:rsidR="00B40470" w:rsidRPr="00C136E3" w:rsidP="00C136E3" w14:paraId="607BEA66" w14:textId="53B67042">
      <w:pPr>
        <w:pStyle w:val="FootnoteText"/>
        <w:spacing w:after="120"/>
      </w:pPr>
      <w:r w:rsidRPr="00C136E3">
        <w:rPr>
          <w:rStyle w:val="FootnoteReference"/>
        </w:rPr>
        <w:footnoteRef/>
      </w:r>
      <w:r w:rsidRPr="00C136E3">
        <w:t xml:space="preserve"> </w:t>
      </w:r>
      <w:r w:rsidRPr="00C136E3">
        <w:rPr>
          <w:i/>
        </w:rPr>
        <w:t xml:space="preserve">See </w:t>
      </w:r>
      <w:r w:rsidRPr="00C136E3">
        <w:t>NOPEC/OCC Joint Motion.</w:t>
      </w:r>
    </w:p>
  </w:footnote>
  <w:footnote w:id="30">
    <w:p w:rsidR="00B40470" w:rsidRPr="00C136E3" w:rsidP="00C136E3" w14:paraId="752F8EF9" w14:textId="18FD7C0E">
      <w:pPr>
        <w:pStyle w:val="FootnoteText"/>
        <w:spacing w:after="120"/>
      </w:pPr>
      <w:r w:rsidRPr="00C136E3">
        <w:rPr>
          <w:rStyle w:val="FootnoteReference"/>
        </w:rPr>
        <w:footnoteRef/>
      </w:r>
      <w:r w:rsidRPr="00C136E3">
        <w:t xml:space="preserve"> NOPEC/OCC Joint Motion at 2, 5, 17; NOPEC-OCC Reply to FirstEnergy Advisors’ Memorandum Contra the NOPEC-OCC Motions to Suspend the Certification Application and for a Hearing (February 25, 2020) at 2, 12.</w:t>
      </w:r>
    </w:p>
  </w:footnote>
  <w:footnote w:id="31">
    <w:p w:rsidR="00B40470" w:rsidRPr="00C136E3" w:rsidP="00C136E3" w14:paraId="013AF898" w14:textId="4F8CE406">
      <w:pPr>
        <w:pStyle w:val="FootnoteText"/>
        <w:spacing w:after="120"/>
      </w:pPr>
      <w:r w:rsidRPr="00C136E3">
        <w:rPr>
          <w:rStyle w:val="FootnoteReference"/>
        </w:rPr>
        <w:footnoteRef/>
      </w:r>
      <w:r w:rsidRPr="00C136E3">
        <w:t xml:space="preserve"> NOPEC Response to Supplemented Application and Staff Recommendation (April 14, 2020) at 4, 12.</w:t>
      </w:r>
    </w:p>
  </w:footnote>
  <w:footnote w:id="32">
    <w:p w:rsidR="00B40470" w:rsidRPr="00C136E3" w:rsidP="00C136E3" w14:paraId="45D30E15" w14:textId="6B14AA32">
      <w:pPr>
        <w:pStyle w:val="FootnoteText"/>
        <w:spacing w:after="120"/>
      </w:pPr>
      <w:r w:rsidRPr="00C136E3">
        <w:rPr>
          <w:rStyle w:val="FootnoteReference"/>
        </w:rPr>
        <w:footnoteRef/>
      </w:r>
      <w:r w:rsidRPr="00C136E3">
        <w:t xml:space="preserve"> Vistra’s Motion to Suspend, Motion to Deny or Suspend, Application, Motion for Expedited Treatment (February 11, 2020) at 7; Vistra’s Memorandum in Support of Interstate Gas Supply, Inc.’s Request to Establish Procedural Schedule (April 1, 2020) at 1; Vistra’s Response at 2, 8.</w:t>
      </w:r>
    </w:p>
  </w:footnote>
  <w:footnote w:id="33">
    <w:p w:rsidR="00B40470" w:rsidRPr="00C136E3" w:rsidP="00C136E3" w14:paraId="68978E73" w14:textId="12D22F36">
      <w:pPr>
        <w:pStyle w:val="FootnoteText"/>
        <w:spacing w:after="120"/>
      </w:pPr>
      <w:r w:rsidRPr="00C136E3">
        <w:rPr>
          <w:rStyle w:val="FootnoteReference"/>
        </w:rPr>
        <w:footnoteRef/>
      </w:r>
      <w:r w:rsidRPr="00C136E3">
        <w:t xml:space="preserve"> Motion by the Northwest Ohio Aggregation Coalition to Intervene and Motion to Hold a Hearing in this Matter (February 2, 2020).</w:t>
      </w:r>
    </w:p>
  </w:footnote>
  <w:footnote w:id="34">
    <w:p w:rsidR="00B40470" w:rsidRPr="00C136E3" w:rsidP="00C136E3" w14:paraId="644078D3" w14:textId="2469E596">
      <w:pPr>
        <w:pStyle w:val="FootnoteText"/>
        <w:spacing w:after="120"/>
      </w:pPr>
      <w:r w:rsidRPr="00C136E3">
        <w:rPr>
          <w:rStyle w:val="FootnoteReference"/>
        </w:rPr>
        <w:footnoteRef/>
      </w:r>
      <w:r w:rsidRPr="00C136E3">
        <w:t xml:space="preserve"> IGS Motion at 7.</w:t>
      </w:r>
    </w:p>
  </w:footnote>
  <w:footnote w:id="35">
    <w:p w:rsidR="00B40470" w:rsidRPr="00C136E3" w:rsidP="00C136E3" w14:paraId="0E6B323A" w14:textId="18F26932">
      <w:pPr>
        <w:pStyle w:val="FootnoteText"/>
        <w:spacing w:after="120"/>
      </w:pPr>
      <w:r w:rsidRPr="00C136E3">
        <w:rPr>
          <w:rStyle w:val="FootnoteReference"/>
        </w:rPr>
        <w:footnoteRef/>
      </w:r>
      <w:r w:rsidRPr="00C136E3">
        <w:t xml:space="preserve"> </w:t>
      </w:r>
      <w:r w:rsidRPr="00C136E3">
        <w:rPr>
          <w:i/>
        </w:rPr>
        <w:t>See</w:t>
      </w:r>
      <w:r w:rsidRPr="00C136E3">
        <w:t xml:space="preserve"> R.C. 4903.82 (“</w:t>
      </w:r>
      <w:r w:rsidRPr="00C136E3">
        <w:rPr>
          <w:color w:val="000000"/>
          <w:shd w:val="clear" w:color="auto" w:fill="FFFFFF"/>
        </w:rPr>
        <w:t>All parties and intervenors shall be granted ample rights of discovery. The present rules of the public utilities commission should be reviewed regularly by the commission to aid full and reasonable discovery by all parties. Without limiting the commission's discretion the Rules of Civil Procedure should be used wherever practicable.”)</w:t>
      </w:r>
    </w:p>
  </w:footnote>
  <w:footnote w:id="36">
    <w:p w:rsidR="00B40470" w:rsidRPr="00C136E3" w:rsidP="00C136E3" w14:paraId="3FD89D51" w14:textId="26BA53DF">
      <w:pPr>
        <w:pStyle w:val="FootnoteText"/>
        <w:spacing w:after="120"/>
      </w:pPr>
      <w:r w:rsidRPr="00C136E3">
        <w:rPr>
          <w:rStyle w:val="FootnoteReference"/>
        </w:rPr>
        <w:footnoteRef/>
      </w:r>
      <w:r w:rsidRPr="00C136E3">
        <w:t xml:space="preserve"> </w:t>
      </w:r>
      <w:r w:rsidRPr="00C136E3">
        <w:rPr>
          <w:i/>
        </w:rPr>
        <w:t>See</w:t>
      </w:r>
      <w:r w:rsidRPr="00C136E3">
        <w:t xml:space="preserve"> R.C. 4903.09 (providing that the PUCO must include "a transcript of all testimony" in its written opinion in a contested case); see also Ohio Adm. Code 4901:1-27-10(A)(2)(c).</w:t>
      </w:r>
    </w:p>
  </w:footnote>
  <w:footnote w:id="37">
    <w:p w:rsidR="00B40470" w:rsidRPr="00C136E3" w:rsidP="00C136E3" w14:paraId="195AA52D" w14:textId="55304809">
      <w:pPr>
        <w:pStyle w:val="FootnoteText"/>
        <w:spacing w:after="120"/>
      </w:pPr>
      <w:r w:rsidRPr="00C136E3">
        <w:rPr>
          <w:rStyle w:val="FootnoteReference"/>
        </w:rPr>
        <w:footnoteRef/>
      </w:r>
      <w:r w:rsidRPr="00C136E3">
        <w:t xml:space="preserve"> R.C. 4903.082, Ohio Adm. Code 4901-1-16(A), Ohio Adm. Code 4901-1-16(B).</w:t>
      </w:r>
    </w:p>
  </w:footnote>
  <w:footnote w:id="38">
    <w:p w:rsidR="00B40470" w:rsidRPr="00C136E3" w:rsidP="00C136E3" w14:paraId="7244B5B4" w14:textId="384859B0">
      <w:pPr>
        <w:pStyle w:val="FootnoteText"/>
        <w:spacing w:after="120"/>
      </w:pPr>
      <w:r w:rsidRPr="00C136E3">
        <w:rPr>
          <w:rStyle w:val="FootnoteReference"/>
        </w:rPr>
        <w:footnoteRef/>
      </w:r>
      <w:r w:rsidRPr="00C136E3">
        <w:t xml:space="preserve"> </w:t>
      </w:r>
      <w:r w:rsidRPr="00C136E3">
        <w:rPr>
          <w:i/>
        </w:rPr>
        <w:t xml:space="preserve">See </w:t>
      </w:r>
      <w:r w:rsidRPr="00C136E3">
        <w:t>OCC’s Motion to Compel FirstEnergy Advisors to Respond to OCC’s First Set of Discovery, (April 17, 2020).</w:t>
      </w:r>
    </w:p>
  </w:footnote>
  <w:footnote w:id="39">
    <w:p w:rsidR="00B40470" w:rsidRPr="00C136E3" w:rsidP="00C136E3" w14:paraId="5764C247" w14:textId="4AA5754D">
      <w:pPr>
        <w:pStyle w:val="FootnoteText"/>
        <w:spacing w:after="120"/>
      </w:pPr>
      <w:r w:rsidRPr="00C136E3">
        <w:rPr>
          <w:rStyle w:val="FootnoteReference"/>
        </w:rPr>
        <w:footnoteRef/>
      </w:r>
      <w:r w:rsidRPr="00C136E3">
        <w:t xml:space="preserve"> </w:t>
      </w:r>
      <w:r w:rsidRPr="00C136E3">
        <w:rPr>
          <w:i/>
        </w:rPr>
        <w:t>In the Matter of the Application of Verde Energy USA Ohio, LLC for Certification as a Competitive Retail Electric Services Supplier, et al.</w:t>
      </w:r>
      <w:r w:rsidRPr="00C136E3">
        <w:t>, Case Nos. 11-5886-EL-CRS and 13-2164-GA-CRS, Entry (March 3, 2020) at ¶13.</w:t>
      </w:r>
    </w:p>
  </w:footnote>
  <w:footnote w:id="40">
    <w:p w:rsidR="00B40470" w:rsidRPr="00C136E3" w:rsidP="00C136E3" w14:paraId="3B0E153D" w14:textId="4891E5EF">
      <w:pPr>
        <w:pStyle w:val="FootnoteText"/>
        <w:spacing w:after="120"/>
      </w:pPr>
      <w:r w:rsidRPr="00C136E3">
        <w:rPr>
          <w:rStyle w:val="FootnoteReference"/>
        </w:rPr>
        <w:footnoteRef/>
      </w:r>
      <w:r w:rsidRPr="00C136E3">
        <w:t xml:space="preserve"> </w:t>
      </w:r>
      <w:r w:rsidRPr="00C136E3">
        <w:rPr>
          <w:i/>
          <w:iCs/>
        </w:rPr>
        <w:t>Id.</w:t>
      </w:r>
    </w:p>
  </w:footnote>
  <w:footnote w:id="41">
    <w:p w:rsidR="00374A84" w:rsidRPr="00C136E3" w:rsidP="00C136E3" w14:paraId="27AF82EA" w14:textId="1DAED254">
      <w:pPr>
        <w:pStyle w:val="FootnoteText"/>
        <w:spacing w:after="120"/>
      </w:pPr>
      <w:r w:rsidRPr="00C136E3">
        <w:rPr>
          <w:rStyle w:val="FootnoteReference"/>
        </w:rPr>
        <w:footnoteRef/>
      </w:r>
      <w:r w:rsidRPr="00C136E3">
        <w:t xml:space="preserve"> </w:t>
      </w:r>
      <w:r w:rsidRPr="00C136E3">
        <w:rPr>
          <w:i/>
          <w:iCs/>
        </w:rPr>
        <w:t>See Ohio Consumers’ Counsel v. PUC</w:t>
      </w:r>
      <w:r w:rsidRPr="00C136E3">
        <w:t xml:space="preserve"> (2006) 111 Ohio St.3d 300, 320-22 (</w:t>
      </w:r>
      <w:r w:rsidRPr="00C136E3" w:rsidR="009A7555">
        <w:t xml:space="preserve">finding that the </w:t>
      </w:r>
      <w:r w:rsidRPr="00C136E3">
        <w:t>PUCO erred in den</w:t>
      </w:r>
      <w:r w:rsidRPr="00C136E3" w:rsidR="00962B2F">
        <w:t>ying</w:t>
      </w:r>
      <w:r w:rsidRPr="00C136E3">
        <w:t xml:space="preserve"> OCC’s motion to compel discovery </w:t>
      </w:r>
      <w:r w:rsidRPr="00C136E3" w:rsidR="009A7555">
        <w:t xml:space="preserve">and </w:t>
      </w:r>
      <w:r w:rsidRPr="00C136E3">
        <w:t>finding that Ohio law allows broad and ample discovery rights).</w:t>
      </w:r>
    </w:p>
  </w:footnote>
  <w:footnote w:id="42">
    <w:p w:rsidR="00B40470" w:rsidRPr="00C136E3" w:rsidP="00C136E3" w14:paraId="5E1CF742" w14:textId="202EEF4C">
      <w:pPr>
        <w:pStyle w:val="FootnoteText"/>
        <w:spacing w:after="120"/>
      </w:pPr>
      <w:r w:rsidRPr="00C136E3">
        <w:rPr>
          <w:rStyle w:val="FootnoteReference"/>
        </w:rPr>
        <w:footnoteRef/>
      </w:r>
      <w:r w:rsidRPr="00C136E3">
        <w:t xml:space="preserve"> </w:t>
      </w:r>
      <w:r w:rsidRPr="00C136E3">
        <w:rPr>
          <w:i/>
        </w:rPr>
        <w:t xml:space="preserve">See </w:t>
      </w:r>
      <w:r w:rsidRPr="00C136E3">
        <w:t>Staff Report.</w:t>
      </w:r>
    </w:p>
  </w:footnote>
  <w:footnote w:id="43">
    <w:p w:rsidR="00B40470" w:rsidRPr="00C136E3" w:rsidP="00C136E3" w14:paraId="2F00BC45" w14:textId="439EF88C">
      <w:pPr>
        <w:pStyle w:val="FootnoteText"/>
        <w:spacing w:after="120"/>
      </w:pPr>
      <w:r w:rsidRPr="00C136E3">
        <w:rPr>
          <w:rStyle w:val="FootnoteReference"/>
        </w:rPr>
        <w:footnoteRef/>
      </w:r>
      <w:r w:rsidRPr="00C136E3">
        <w:t xml:space="preserve"> </w:t>
      </w:r>
      <w:r w:rsidRPr="00C136E3">
        <w:rPr>
          <w:i/>
        </w:rPr>
        <w:t xml:space="preserve">See </w:t>
      </w:r>
      <w:r w:rsidRPr="00C136E3">
        <w:t>Supplemental Application.</w:t>
      </w:r>
    </w:p>
  </w:footnote>
  <w:footnote w:id="44">
    <w:p w:rsidR="00B40470" w:rsidRPr="00C136E3" w:rsidP="00C136E3" w14:paraId="3D14F887" w14:textId="0844F43E">
      <w:pPr>
        <w:pStyle w:val="FootnoteText"/>
        <w:spacing w:after="120"/>
      </w:pPr>
      <w:r w:rsidRPr="00C136E3">
        <w:rPr>
          <w:rStyle w:val="FootnoteReference"/>
        </w:rPr>
        <w:footnoteRef/>
      </w:r>
      <w:r w:rsidRPr="00D269A2">
        <w:rPr>
          <w:i/>
          <w:iCs/>
        </w:rPr>
        <w:t xml:space="preserve"> </w:t>
      </w:r>
      <w:r w:rsidRPr="00D269A2" w:rsidR="00D269A2">
        <w:rPr>
          <w:i/>
          <w:iCs/>
        </w:rPr>
        <w:t xml:space="preserve">In </w:t>
      </w:r>
      <w:r w:rsidRPr="00C136E3">
        <w:rPr>
          <w:i/>
          <w:iCs/>
        </w:rPr>
        <w:t>the Matter of the Application of Columbus &amp; Southern Ohio Elec. Co. for Auth. to Amend &amp; to Increase Certain of Its Rates &amp; Charges for Elec. Serv.. in the Matter of the Application of Columbus &amp; Southern Ohio Elec. Co. for Auth. to Amend &amp; to Increase Certain of Its Rates &amp; Charges for Elec. Serv. in Various Municipalities in Franklin Cty., Ohio.</w:t>
      </w:r>
      <w:r w:rsidRPr="00C136E3">
        <w:t xml:space="preserve">, 1976 WL 408123, *2, Case No. 74-760-EL-AIR, Interim Order (May 27, 1976).  </w:t>
      </w:r>
    </w:p>
  </w:footnote>
  <w:footnote w:id="45">
    <w:p w:rsidR="00CF7EAF" w:rsidRPr="00C136E3" w:rsidP="00C136E3" w14:paraId="637F04C9" w14:textId="77777777">
      <w:pPr>
        <w:pStyle w:val="FootnoteText"/>
        <w:spacing w:after="120"/>
      </w:pPr>
      <w:r w:rsidRPr="00C136E3">
        <w:rPr>
          <w:rStyle w:val="FootnoteReference"/>
        </w:rPr>
        <w:footnoteRef/>
      </w:r>
      <w:r w:rsidRPr="00C136E3">
        <w:t xml:space="preserve"> Order at 7.</w:t>
      </w:r>
    </w:p>
  </w:footnote>
  <w:footnote w:id="46">
    <w:p w:rsidR="00B40470" w:rsidRPr="00C136E3" w:rsidP="00C136E3" w14:paraId="56D35031" w14:textId="43D3752A">
      <w:pPr>
        <w:pStyle w:val="FootnoteText"/>
        <w:spacing w:after="120"/>
      </w:pPr>
      <w:r w:rsidRPr="00C136E3">
        <w:rPr>
          <w:rStyle w:val="FootnoteReference"/>
        </w:rPr>
        <w:footnoteRef/>
      </w:r>
      <w:r w:rsidRPr="00C136E3">
        <w:t xml:space="preserve"> Ohio Adm. Code 4901:1-24-05(A).</w:t>
      </w:r>
    </w:p>
  </w:footnote>
  <w:footnote w:id="47">
    <w:p w:rsidR="00B40470" w:rsidRPr="00C136E3" w:rsidP="00C136E3" w14:paraId="4134DF19" w14:textId="2242A2F4">
      <w:pPr>
        <w:pStyle w:val="FootnoteText"/>
        <w:spacing w:after="120"/>
      </w:pPr>
      <w:r w:rsidRPr="00C136E3">
        <w:rPr>
          <w:rStyle w:val="FootnoteReference"/>
        </w:rPr>
        <w:footnoteRef/>
      </w:r>
      <w:r w:rsidRPr="00C136E3">
        <w:t xml:space="preserve"> R.C. 4928.02(H).</w:t>
      </w:r>
    </w:p>
  </w:footnote>
  <w:footnote w:id="48">
    <w:p w:rsidR="00B40470" w:rsidRPr="00C136E3" w:rsidP="00C136E3" w14:paraId="4798027D" w14:textId="7172242F">
      <w:pPr>
        <w:pStyle w:val="FootnoteText"/>
        <w:spacing w:after="120"/>
      </w:pPr>
      <w:r w:rsidRPr="00C136E3">
        <w:rPr>
          <w:rStyle w:val="FootnoteReference"/>
        </w:rPr>
        <w:footnoteRef/>
      </w:r>
      <w:r w:rsidRPr="00C136E3">
        <w:t xml:space="preserve"> </w:t>
      </w:r>
      <w:r w:rsidRPr="00C136E3">
        <w:rPr>
          <w:i/>
          <w:iCs/>
        </w:rPr>
        <w:t>See</w:t>
      </w:r>
      <w:r w:rsidRPr="00C136E3">
        <w:t xml:space="preserve"> </w:t>
      </w:r>
      <w:r w:rsidRPr="00C136E3">
        <w:rPr>
          <w:i/>
        </w:rPr>
        <w:t xml:space="preserve">In re FirstEnergy, </w:t>
      </w:r>
      <w:r w:rsidRPr="00C136E3">
        <w:t xml:space="preserve">Case No. 99-1212-EL-ETP, Opinion and Order (July 19, 2000); </w:t>
      </w:r>
      <w:r w:rsidRPr="00C136E3">
        <w:rPr>
          <w:i/>
        </w:rPr>
        <w:t>In re FirstEnergy</w:t>
      </w:r>
      <w:r w:rsidRPr="00C136E3">
        <w:t>, Case No. 10-388-EL-SSO, Opinion and Order (August 27, 2010) at 16, 27, approving the Corporate Separation Plan filed in Case No. 09-462-EL-UNC.</w:t>
      </w:r>
    </w:p>
  </w:footnote>
  <w:footnote w:id="49">
    <w:p w:rsidR="00B40470" w:rsidRPr="00C136E3" w:rsidP="00C136E3" w14:paraId="27F70484" w14:textId="42E30C18">
      <w:pPr>
        <w:pStyle w:val="FootnoteText"/>
        <w:spacing w:after="120"/>
      </w:pPr>
      <w:r w:rsidRPr="00C136E3">
        <w:rPr>
          <w:rStyle w:val="FootnoteReference"/>
        </w:rPr>
        <w:footnoteRef/>
      </w:r>
      <w:r w:rsidRPr="00C136E3">
        <w:t xml:space="preserve"> Audit Case, Entry (May 17, 2017) at ¶4. </w:t>
      </w:r>
    </w:p>
  </w:footnote>
  <w:footnote w:id="50">
    <w:p w:rsidR="00B40470" w:rsidRPr="00C136E3" w:rsidP="00C136E3" w14:paraId="5BE70DEE" w14:textId="1B53D9A6">
      <w:pPr>
        <w:pStyle w:val="FootnoteText"/>
        <w:spacing w:after="120"/>
      </w:pPr>
      <w:r w:rsidRPr="00C136E3">
        <w:rPr>
          <w:rStyle w:val="FootnoteReference"/>
        </w:rPr>
        <w:footnoteRef/>
      </w:r>
      <w:r w:rsidRPr="00C136E3">
        <w:t xml:space="preserve"> </w:t>
      </w:r>
      <w:r w:rsidRPr="00C136E3">
        <w:rPr>
          <w:i/>
          <w:iCs/>
        </w:rPr>
        <w:t>Id.</w:t>
      </w:r>
    </w:p>
  </w:footnote>
  <w:footnote w:id="51">
    <w:p w:rsidR="00B40470" w:rsidRPr="00C136E3" w:rsidP="00C136E3" w14:paraId="355B97BB" w14:textId="37DB7163">
      <w:pPr>
        <w:pStyle w:val="FootnoteText"/>
        <w:spacing w:after="120"/>
      </w:pPr>
      <w:r w:rsidRPr="00C136E3">
        <w:rPr>
          <w:rStyle w:val="FootnoteReference"/>
        </w:rPr>
        <w:footnoteRef/>
      </w:r>
      <w:r w:rsidRPr="00C136E3">
        <w:t xml:space="preserve"> Audit Case, Audit Report at 39, 98-99.</w:t>
      </w:r>
    </w:p>
  </w:footnote>
  <w:footnote w:id="52">
    <w:p w:rsidR="00B40470" w:rsidRPr="00C136E3" w:rsidP="00C136E3" w14:paraId="7CC6A1BF" w14:textId="7AD1827A">
      <w:pPr>
        <w:pStyle w:val="FootnoteText"/>
        <w:spacing w:after="120"/>
      </w:pPr>
      <w:r w:rsidRPr="00C136E3">
        <w:rPr>
          <w:rStyle w:val="FootnoteReference"/>
        </w:rPr>
        <w:footnoteRef/>
      </w:r>
      <w:r w:rsidRPr="00C136E3">
        <w:t xml:space="preserve"> Order at 6.</w:t>
      </w:r>
    </w:p>
  </w:footnote>
  <w:footnote w:id="53">
    <w:p w:rsidR="00B40470" w:rsidRPr="00C136E3" w:rsidP="00C136E3" w14:paraId="6072FE22" w14:textId="528785F8">
      <w:pPr>
        <w:pStyle w:val="FootnoteText"/>
        <w:spacing w:after="120"/>
      </w:pPr>
      <w:r w:rsidRPr="00C136E3">
        <w:rPr>
          <w:rStyle w:val="FootnoteReference"/>
        </w:rPr>
        <w:footnoteRef/>
      </w:r>
      <w:r w:rsidRPr="00C136E3">
        <w:t xml:space="preserve"> </w:t>
      </w:r>
      <w:r w:rsidRPr="00C136E3">
        <w:rPr>
          <w:i/>
        </w:rPr>
        <w:t>Id.</w:t>
      </w:r>
    </w:p>
  </w:footnote>
  <w:footnote w:id="54">
    <w:p w:rsidR="00B40470" w:rsidRPr="00C136E3" w:rsidP="00C136E3" w14:paraId="1474D986" w14:textId="70AF2249">
      <w:pPr>
        <w:pStyle w:val="FootnoteText"/>
        <w:spacing w:after="120"/>
      </w:pPr>
      <w:r w:rsidRPr="00C136E3">
        <w:rPr>
          <w:rStyle w:val="FootnoteReference"/>
        </w:rPr>
        <w:footnoteRef/>
      </w:r>
      <w:r w:rsidRPr="00C136E3">
        <w:t xml:space="preserve"> Audit Case, Audit Report at 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470" w14:paraId="6A0CD5B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470" w14:paraId="4D6EF4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DF4AD0"/>
    <w:multiLevelType w:val="hybridMultilevel"/>
    <w:tmpl w:val="0E7C297C"/>
    <w:lvl w:ilvl="0">
      <w:start w:val="1"/>
      <w:numFmt w:val="upperRoman"/>
      <w:lvlText w:val="%1."/>
      <w:lvlJc w:val="righ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444"/>
    <w:rsid w:val="0000694D"/>
    <w:rsid w:val="0001173C"/>
    <w:rsid w:val="00025130"/>
    <w:rsid w:val="00026F72"/>
    <w:rsid w:val="00037C15"/>
    <w:rsid w:val="00063CC2"/>
    <w:rsid w:val="00072274"/>
    <w:rsid w:val="00084172"/>
    <w:rsid w:val="00092220"/>
    <w:rsid w:val="000937C3"/>
    <w:rsid w:val="000A79C3"/>
    <w:rsid w:val="000A7B14"/>
    <w:rsid w:val="000B4746"/>
    <w:rsid w:val="000E4FD9"/>
    <w:rsid w:val="000F59D5"/>
    <w:rsid w:val="0010045F"/>
    <w:rsid w:val="00122B3E"/>
    <w:rsid w:val="00147781"/>
    <w:rsid w:val="0016374B"/>
    <w:rsid w:val="00174463"/>
    <w:rsid w:val="001838BC"/>
    <w:rsid w:val="001866AA"/>
    <w:rsid w:val="001A2645"/>
    <w:rsid w:val="001C2324"/>
    <w:rsid w:val="001D14EC"/>
    <w:rsid w:val="001E31F4"/>
    <w:rsid w:val="001F1495"/>
    <w:rsid w:val="001F333F"/>
    <w:rsid w:val="00236CC0"/>
    <w:rsid w:val="00240EB0"/>
    <w:rsid w:val="00253BA2"/>
    <w:rsid w:val="0025710D"/>
    <w:rsid w:val="002632D4"/>
    <w:rsid w:val="002809F8"/>
    <w:rsid w:val="002A148F"/>
    <w:rsid w:val="002A4E7F"/>
    <w:rsid w:val="002A5CA1"/>
    <w:rsid w:val="002B34B6"/>
    <w:rsid w:val="002C405E"/>
    <w:rsid w:val="002C6F6C"/>
    <w:rsid w:val="002D4782"/>
    <w:rsid w:val="002E4C02"/>
    <w:rsid w:val="002E752D"/>
    <w:rsid w:val="00302E39"/>
    <w:rsid w:val="0031127A"/>
    <w:rsid w:val="00325B17"/>
    <w:rsid w:val="003315AD"/>
    <w:rsid w:val="003345B1"/>
    <w:rsid w:val="00340CC0"/>
    <w:rsid w:val="003503B9"/>
    <w:rsid w:val="00373660"/>
    <w:rsid w:val="00374A84"/>
    <w:rsid w:val="00377BCF"/>
    <w:rsid w:val="00384ABF"/>
    <w:rsid w:val="003E0A3B"/>
    <w:rsid w:val="003E5758"/>
    <w:rsid w:val="003E7DD0"/>
    <w:rsid w:val="004230CD"/>
    <w:rsid w:val="004324F5"/>
    <w:rsid w:val="00432F6D"/>
    <w:rsid w:val="00435C44"/>
    <w:rsid w:val="00456122"/>
    <w:rsid w:val="00465B9C"/>
    <w:rsid w:val="004705BB"/>
    <w:rsid w:val="004A5CE0"/>
    <w:rsid w:val="004C1C57"/>
    <w:rsid w:val="00550BCC"/>
    <w:rsid w:val="00552ED8"/>
    <w:rsid w:val="00562A7D"/>
    <w:rsid w:val="00564791"/>
    <w:rsid w:val="00564EBF"/>
    <w:rsid w:val="00566C5A"/>
    <w:rsid w:val="00583679"/>
    <w:rsid w:val="00584545"/>
    <w:rsid w:val="00597F5E"/>
    <w:rsid w:val="005A0BB6"/>
    <w:rsid w:val="005A2F40"/>
    <w:rsid w:val="005A65AE"/>
    <w:rsid w:val="005C1F6F"/>
    <w:rsid w:val="005C58C9"/>
    <w:rsid w:val="005F607A"/>
    <w:rsid w:val="00605DE4"/>
    <w:rsid w:val="00606DD6"/>
    <w:rsid w:val="00611656"/>
    <w:rsid w:val="0062095E"/>
    <w:rsid w:val="00624649"/>
    <w:rsid w:val="00650B8B"/>
    <w:rsid w:val="00664C8E"/>
    <w:rsid w:val="00686298"/>
    <w:rsid w:val="006B2FAE"/>
    <w:rsid w:val="006C7694"/>
    <w:rsid w:val="006C7F54"/>
    <w:rsid w:val="006D24E7"/>
    <w:rsid w:val="00714235"/>
    <w:rsid w:val="00731CA1"/>
    <w:rsid w:val="00757298"/>
    <w:rsid w:val="00771CED"/>
    <w:rsid w:val="00772C4D"/>
    <w:rsid w:val="00775331"/>
    <w:rsid w:val="0079251E"/>
    <w:rsid w:val="007A68BB"/>
    <w:rsid w:val="007B7790"/>
    <w:rsid w:val="007C611D"/>
    <w:rsid w:val="007D111A"/>
    <w:rsid w:val="007E4E9F"/>
    <w:rsid w:val="007F3B70"/>
    <w:rsid w:val="007F4F85"/>
    <w:rsid w:val="007F6F79"/>
    <w:rsid w:val="00805AC3"/>
    <w:rsid w:val="00807D13"/>
    <w:rsid w:val="00813E76"/>
    <w:rsid w:val="0081767D"/>
    <w:rsid w:val="00820385"/>
    <w:rsid w:val="00824197"/>
    <w:rsid w:val="008336BE"/>
    <w:rsid w:val="00845B03"/>
    <w:rsid w:val="008627B7"/>
    <w:rsid w:val="0086673A"/>
    <w:rsid w:val="00883E38"/>
    <w:rsid w:val="0088764A"/>
    <w:rsid w:val="00892F68"/>
    <w:rsid w:val="008965F3"/>
    <w:rsid w:val="008C33D9"/>
    <w:rsid w:val="008D0500"/>
    <w:rsid w:val="008E6C27"/>
    <w:rsid w:val="009019A6"/>
    <w:rsid w:val="00945198"/>
    <w:rsid w:val="00955E43"/>
    <w:rsid w:val="009612A1"/>
    <w:rsid w:val="00962B2F"/>
    <w:rsid w:val="009672EE"/>
    <w:rsid w:val="00975F29"/>
    <w:rsid w:val="00976AF8"/>
    <w:rsid w:val="00980138"/>
    <w:rsid w:val="009846FE"/>
    <w:rsid w:val="009A5799"/>
    <w:rsid w:val="009A7555"/>
    <w:rsid w:val="009B3EB5"/>
    <w:rsid w:val="009C419F"/>
    <w:rsid w:val="009D3537"/>
    <w:rsid w:val="009D5196"/>
    <w:rsid w:val="009D7FBD"/>
    <w:rsid w:val="00A06A32"/>
    <w:rsid w:val="00A06A88"/>
    <w:rsid w:val="00A22420"/>
    <w:rsid w:val="00A654E8"/>
    <w:rsid w:val="00A77CB0"/>
    <w:rsid w:val="00A80618"/>
    <w:rsid w:val="00A875F0"/>
    <w:rsid w:val="00A93020"/>
    <w:rsid w:val="00AA624B"/>
    <w:rsid w:val="00AB268F"/>
    <w:rsid w:val="00AB7C27"/>
    <w:rsid w:val="00AC4879"/>
    <w:rsid w:val="00AD773B"/>
    <w:rsid w:val="00AE3F78"/>
    <w:rsid w:val="00AF1E48"/>
    <w:rsid w:val="00B27286"/>
    <w:rsid w:val="00B32605"/>
    <w:rsid w:val="00B35019"/>
    <w:rsid w:val="00B40470"/>
    <w:rsid w:val="00B423E1"/>
    <w:rsid w:val="00B51117"/>
    <w:rsid w:val="00B60C41"/>
    <w:rsid w:val="00B64F22"/>
    <w:rsid w:val="00B74641"/>
    <w:rsid w:val="00B80814"/>
    <w:rsid w:val="00BB5D64"/>
    <w:rsid w:val="00BB71F3"/>
    <w:rsid w:val="00BC1D64"/>
    <w:rsid w:val="00BD3D76"/>
    <w:rsid w:val="00BE1ABC"/>
    <w:rsid w:val="00BF28F1"/>
    <w:rsid w:val="00C03FB2"/>
    <w:rsid w:val="00C136E3"/>
    <w:rsid w:val="00C175F2"/>
    <w:rsid w:val="00C20A5E"/>
    <w:rsid w:val="00C2210A"/>
    <w:rsid w:val="00C22751"/>
    <w:rsid w:val="00C40830"/>
    <w:rsid w:val="00C523CD"/>
    <w:rsid w:val="00C67298"/>
    <w:rsid w:val="00C81707"/>
    <w:rsid w:val="00CA2454"/>
    <w:rsid w:val="00CB6239"/>
    <w:rsid w:val="00CD0DE5"/>
    <w:rsid w:val="00CD35AC"/>
    <w:rsid w:val="00CD6579"/>
    <w:rsid w:val="00CE78A2"/>
    <w:rsid w:val="00CF7EAF"/>
    <w:rsid w:val="00D017D1"/>
    <w:rsid w:val="00D22444"/>
    <w:rsid w:val="00D269A2"/>
    <w:rsid w:val="00D54B59"/>
    <w:rsid w:val="00D61252"/>
    <w:rsid w:val="00D7006E"/>
    <w:rsid w:val="00D70B0D"/>
    <w:rsid w:val="00D74D75"/>
    <w:rsid w:val="00D81963"/>
    <w:rsid w:val="00D84759"/>
    <w:rsid w:val="00D85E0A"/>
    <w:rsid w:val="00D86B46"/>
    <w:rsid w:val="00DC2662"/>
    <w:rsid w:val="00DF7B5A"/>
    <w:rsid w:val="00E1563F"/>
    <w:rsid w:val="00E24839"/>
    <w:rsid w:val="00E31395"/>
    <w:rsid w:val="00E34584"/>
    <w:rsid w:val="00E36EB7"/>
    <w:rsid w:val="00EA0009"/>
    <w:rsid w:val="00EA20A0"/>
    <w:rsid w:val="00EA4C02"/>
    <w:rsid w:val="00EB08EE"/>
    <w:rsid w:val="00ED0DA4"/>
    <w:rsid w:val="00F05B1E"/>
    <w:rsid w:val="00F062C7"/>
    <w:rsid w:val="00F407CE"/>
    <w:rsid w:val="00F46CDA"/>
    <w:rsid w:val="00F4742A"/>
    <w:rsid w:val="00F50681"/>
    <w:rsid w:val="00F84F43"/>
    <w:rsid w:val="00FA1CF2"/>
    <w:rsid w:val="00FC1357"/>
    <w:rsid w:val="00FD37A0"/>
    <w:rsid w:val="00FE393F"/>
    <w:rsid w:val="00FF4A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5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C136E3"/>
    <w:pPr>
      <w:keepNext/>
      <w:keepLines/>
      <w:spacing w:after="240"/>
      <w:outlineLvl w:val="0"/>
    </w:pPr>
    <w:rPr>
      <w:rFonts w:ascii="Times New Roman Bold" w:hAnsi="Times New Roman Bold" w:eastAsiaTheme="minorHAnsi" w:cstheme="majorBidi"/>
      <w:b/>
      <w:caps/>
      <w:szCs w:val="32"/>
    </w:rPr>
  </w:style>
  <w:style w:type="paragraph" w:styleId="Heading2">
    <w:name w:val="heading 2"/>
    <w:basedOn w:val="Normal"/>
    <w:next w:val="Normal"/>
    <w:link w:val="Heading2Char"/>
    <w:autoRedefine/>
    <w:uiPriority w:val="9"/>
    <w:unhideWhenUsed/>
    <w:qFormat/>
    <w:rsid w:val="001D14EC"/>
    <w:pPr>
      <w:keepNext/>
      <w:keepLines/>
      <w:ind w:left="720"/>
      <w:outlineLvl w:val="1"/>
    </w:pPr>
    <w:rPr>
      <w:rFonts w:ascii="Times New Roman Bold" w:hAnsi="Times New Roman Bold"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2A1"/>
    <w:pPr>
      <w:tabs>
        <w:tab w:val="center" w:pos="4680"/>
        <w:tab w:val="right" w:pos="9360"/>
      </w:tabs>
    </w:pPr>
  </w:style>
  <w:style w:type="character" w:customStyle="1" w:styleId="HeaderChar">
    <w:name w:val="Header Char"/>
    <w:basedOn w:val="DefaultParagraphFont"/>
    <w:link w:val="Header"/>
    <w:uiPriority w:val="99"/>
    <w:rsid w:val="009612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12A1"/>
    <w:pPr>
      <w:tabs>
        <w:tab w:val="center" w:pos="4680"/>
        <w:tab w:val="right" w:pos="9360"/>
      </w:tabs>
    </w:pPr>
  </w:style>
  <w:style w:type="character" w:customStyle="1" w:styleId="FooterChar">
    <w:name w:val="Footer Char"/>
    <w:basedOn w:val="DefaultParagraphFont"/>
    <w:link w:val="Footer"/>
    <w:uiPriority w:val="99"/>
    <w:rsid w:val="009612A1"/>
    <w:rPr>
      <w:rFonts w:ascii="Times New Roman" w:eastAsia="Times New Roman" w:hAnsi="Times New Roman" w:cs="Times New Roman"/>
      <w:sz w:val="24"/>
      <w:szCs w:val="24"/>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81767D"/>
    <w:rPr>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81767D"/>
    <w:rPr>
      <w:rFonts w:ascii="Times New Roman" w:eastAsia="Times New Roman" w:hAnsi="Times New Roman" w:cs="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81767D"/>
    <w:rPr>
      <w:vertAlign w:val="superscript"/>
    </w:rPr>
  </w:style>
  <w:style w:type="paragraph" w:styleId="ListParagraph">
    <w:name w:val="List Paragraph"/>
    <w:basedOn w:val="Normal"/>
    <w:uiPriority w:val="34"/>
    <w:qFormat/>
    <w:rsid w:val="004705BB"/>
    <w:pPr>
      <w:ind w:left="720"/>
      <w:contextualSpacing/>
    </w:pPr>
  </w:style>
  <w:style w:type="character" w:styleId="CommentReference">
    <w:name w:val="annotation reference"/>
    <w:basedOn w:val="DefaultParagraphFont"/>
    <w:uiPriority w:val="99"/>
    <w:semiHidden/>
    <w:unhideWhenUsed/>
    <w:rsid w:val="002D4782"/>
    <w:rPr>
      <w:sz w:val="16"/>
      <w:szCs w:val="16"/>
    </w:rPr>
  </w:style>
  <w:style w:type="paragraph" w:styleId="CommentText">
    <w:name w:val="annotation text"/>
    <w:basedOn w:val="Normal"/>
    <w:link w:val="CommentTextChar"/>
    <w:unhideWhenUsed/>
    <w:rsid w:val="002D4782"/>
    <w:rPr>
      <w:sz w:val="20"/>
      <w:szCs w:val="20"/>
    </w:rPr>
  </w:style>
  <w:style w:type="character" w:customStyle="1" w:styleId="CommentTextChar">
    <w:name w:val="Comment Text Char"/>
    <w:basedOn w:val="DefaultParagraphFont"/>
    <w:link w:val="CommentText"/>
    <w:rsid w:val="002D47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4782"/>
    <w:rPr>
      <w:b/>
      <w:bCs/>
    </w:rPr>
  </w:style>
  <w:style w:type="character" w:customStyle="1" w:styleId="CommentSubjectChar">
    <w:name w:val="Comment Subject Char"/>
    <w:basedOn w:val="CommentTextChar"/>
    <w:link w:val="CommentSubject"/>
    <w:uiPriority w:val="99"/>
    <w:semiHidden/>
    <w:rsid w:val="002D478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4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782"/>
    <w:rPr>
      <w:rFonts w:ascii="Segoe UI" w:eastAsia="Times New Roman" w:hAnsi="Segoe UI" w:cs="Segoe UI"/>
      <w:sz w:val="18"/>
      <w:szCs w:val="18"/>
    </w:rPr>
  </w:style>
  <w:style w:type="character" w:styleId="Hyperlink">
    <w:name w:val="Hyperlink"/>
    <w:basedOn w:val="DefaultParagraphFont"/>
    <w:uiPriority w:val="99"/>
    <w:unhideWhenUsed/>
    <w:rsid w:val="00F062C7"/>
    <w:rPr>
      <w:color w:val="00008B"/>
      <w:u w:val="single"/>
    </w:rPr>
  </w:style>
  <w:style w:type="table" w:styleId="TableGrid">
    <w:name w:val="Table Grid"/>
    <w:basedOn w:val="TableNormal"/>
    <w:rsid w:val="00F062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rsid w:val="00F062C7"/>
    <w:pPr>
      <w:tabs>
        <w:tab w:val="left" w:pos="0"/>
        <w:tab w:val="left" w:pos="720"/>
      </w:tabs>
      <w:spacing w:line="480" w:lineRule="auto"/>
      <w:ind w:firstLine="720"/>
    </w:pPr>
    <w:rPr>
      <w:szCs w:val="20"/>
    </w:rPr>
  </w:style>
  <w:style w:type="character" w:customStyle="1" w:styleId="BodyTextChar">
    <w:name w:val="Body Text Char"/>
    <w:basedOn w:val="DefaultParagraphFont"/>
    <w:link w:val="BodyText"/>
    <w:uiPriority w:val="99"/>
    <w:rsid w:val="00F062C7"/>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136E3"/>
    <w:rPr>
      <w:rFonts w:ascii="Times New Roman Bold" w:hAnsi="Times New Roman Bold" w:cstheme="majorBidi"/>
      <w:b/>
      <w:caps/>
      <w:sz w:val="24"/>
      <w:szCs w:val="32"/>
    </w:rPr>
  </w:style>
  <w:style w:type="paragraph" w:styleId="TOC1">
    <w:name w:val="toc 1"/>
    <w:basedOn w:val="Normal"/>
    <w:next w:val="Normal"/>
    <w:autoRedefine/>
    <w:uiPriority w:val="39"/>
    <w:unhideWhenUsed/>
    <w:qFormat/>
    <w:rsid w:val="009D7FBD"/>
    <w:pPr>
      <w:tabs>
        <w:tab w:val="decimal" w:leader="dot" w:pos="9360"/>
      </w:tabs>
      <w:spacing w:after="240"/>
    </w:pPr>
    <w:rPr>
      <w:caps/>
    </w:rPr>
  </w:style>
  <w:style w:type="paragraph" w:styleId="TOC2">
    <w:name w:val="toc 2"/>
    <w:basedOn w:val="Normal"/>
    <w:next w:val="Normal"/>
    <w:autoRedefine/>
    <w:uiPriority w:val="39"/>
    <w:unhideWhenUsed/>
    <w:qFormat/>
    <w:rsid w:val="00C136E3"/>
    <w:pPr>
      <w:tabs>
        <w:tab w:val="decimal" w:leader="dot" w:pos="9360"/>
      </w:tabs>
      <w:spacing w:after="240"/>
      <w:ind w:left="720"/>
    </w:pPr>
  </w:style>
  <w:style w:type="character" w:customStyle="1" w:styleId="Heading2Char">
    <w:name w:val="Heading 2 Char"/>
    <w:basedOn w:val="DefaultParagraphFont"/>
    <w:link w:val="Heading2"/>
    <w:uiPriority w:val="9"/>
    <w:rsid w:val="001D14EC"/>
    <w:rPr>
      <w:rFonts w:ascii="Times New Roman Bold" w:hAnsi="Times New Roman Bold"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2.xml" /><Relationship Id="rId15" Type="http://schemas.openxmlformats.org/officeDocument/2006/relationships/hyperlink" Target="mailto:trhayslaw@gmail.com" TargetMode="External" /><Relationship Id="rId16" Type="http://schemas.openxmlformats.org/officeDocument/2006/relationships/hyperlink" Target="mailto:mwager@taftlaw.com" TargetMode="External" /><Relationship Id="rId17" Type="http://schemas.openxmlformats.org/officeDocument/2006/relationships/hyperlink" Target="mailto:iavalon@taftlaw.com" TargetMode="External" /><Relationship Id="rId18" Type="http://schemas.openxmlformats.org/officeDocument/2006/relationships/hyperlink" Target="mailto:mjsettineri@vorys.com" TargetMode="External" /><Relationship Id="rId19" Type="http://schemas.openxmlformats.org/officeDocument/2006/relationships/hyperlink" Target="mailto:glpetrucci@vorys.com" TargetMode="External" /><Relationship Id="rId2" Type="http://schemas.openxmlformats.org/officeDocument/2006/relationships/settings" Target="settings.xml" /><Relationship Id="rId20" Type="http://schemas.openxmlformats.org/officeDocument/2006/relationships/hyperlink" Target="mailto:whitt@whitt-sturtevant.com" TargetMode="External" /><Relationship Id="rId21" Type="http://schemas.openxmlformats.org/officeDocument/2006/relationships/hyperlink" Target="mailto:fykes@whitt-sturtevant.com" TargetMode="External" /><Relationship Id="rId22" Type="http://schemas.openxmlformats.org/officeDocument/2006/relationships/hyperlink" Target="mailto:lrader@firstenergycorp.com" TargetMode="External" /><Relationship Id="rId23" Type="http://schemas.openxmlformats.org/officeDocument/2006/relationships/hyperlink" Target="mailto:talexander@calfee.com" TargetMode="External" /><Relationship Id="rId24" Type="http://schemas.openxmlformats.org/officeDocument/2006/relationships/hyperlink" Target="mailto:khehmeyer@calfee.com" TargetMode="External" /><Relationship Id="rId25" Type="http://schemas.openxmlformats.org/officeDocument/2006/relationships/hyperlink" Target="mailto:dstinson@bricker.com" TargetMode="External" /><Relationship Id="rId26" Type="http://schemas.openxmlformats.org/officeDocument/2006/relationships/hyperlink" Target="mailto:gkrassen@bricker.com" TargetMode="External" /><Relationship Id="rId27" Type="http://schemas.openxmlformats.org/officeDocument/2006/relationships/hyperlink" Target="mailto:schmidt@sppgrp.com" TargetMode="External" /><Relationship Id="rId28" Type="http://schemas.openxmlformats.org/officeDocument/2006/relationships/hyperlink" Target="mailto:bethany.allen@igs.com" TargetMode="External" /><Relationship Id="rId29" Type="http://schemas.openxmlformats.org/officeDocument/2006/relationships/hyperlink" Target="mailto:joe.oliker@igs.com" TargetMode="External" /><Relationship Id="rId3" Type="http://schemas.openxmlformats.org/officeDocument/2006/relationships/webSettings" Target="webSettings.xml" /><Relationship Id="rId30" Type="http://schemas.openxmlformats.org/officeDocument/2006/relationships/hyperlink" Target="mailto:michael.nugent@igs.com" TargetMode="Externa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bojko@carpenterlipps.com"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2711F-5CC0-4230-983B-AC1524AA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2020-05-22T20:13:40Z</dcterms:created>
  <dcterms:modified xsi:type="dcterms:W3CDTF">2020-05-22T20:13:40Z</dcterms:modified>
</cp:coreProperties>
</file>