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BB" w:rsidRDefault="00244ABB" w:rsidP="0067056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244ABB" w:rsidRDefault="00244ABB" w:rsidP="0067056F">
      <w:pPr>
        <w:pStyle w:val="HTMLPreformatted"/>
        <w:jc w:val="center"/>
        <w:rPr>
          <w:rFonts w:ascii="Times New Roman" w:hAnsi="Times New Roman"/>
          <w:sz w:val="24"/>
        </w:rPr>
      </w:pPr>
      <w:r>
        <w:rPr>
          <w:rFonts w:ascii="Times New Roman" w:hAnsi="Times New Roman"/>
          <w:b/>
          <w:bCs/>
          <w:sz w:val="24"/>
        </w:rPr>
        <w:t>THE PUBLIC UTILITIES COMMISSION OF OHIO</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W w:w="9092" w:type="dxa"/>
        <w:tblInd w:w="-106" w:type="dxa"/>
        <w:tblLook w:val="01E0" w:firstRow="1" w:lastRow="1" w:firstColumn="1" w:lastColumn="1" w:noHBand="0" w:noVBand="0"/>
      </w:tblPr>
      <w:tblGrid>
        <w:gridCol w:w="4332"/>
        <w:gridCol w:w="360"/>
        <w:gridCol w:w="4400"/>
      </w:tblGrid>
      <w:tr w:rsidR="00244ABB" w:rsidRPr="002F481D">
        <w:trPr>
          <w:trHeight w:val="807"/>
        </w:trPr>
        <w:tc>
          <w:tcPr>
            <w:tcW w:w="4332" w:type="dxa"/>
          </w:tcPr>
          <w:p w:rsidR="00244ABB" w:rsidRPr="002F481D" w:rsidRDefault="00244ABB" w:rsidP="002F481D">
            <w:pPr>
              <w:autoSpaceDE w:val="0"/>
              <w:autoSpaceDN w:val="0"/>
              <w:adjustRightInd w:val="0"/>
              <w:rPr>
                <w:szCs w:val="24"/>
              </w:rPr>
            </w:pPr>
            <w:r w:rsidRPr="002F481D">
              <w:rPr>
                <w:szCs w:val="24"/>
              </w:rPr>
              <w:t>In the Matter of the Commission's Review of Chapter 4901:1-25 of the  Ohio</w:t>
            </w:r>
          </w:p>
          <w:p w:rsidR="00244ABB" w:rsidRPr="002F481D" w:rsidRDefault="00244ABB" w:rsidP="002F481D">
            <w:pPr>
              <w:autoSpaceDE w:val="0"/>
              <w:autoSpaceDN w:val="0"/>
              <w:adjustRightInd w:val="0"/>
              <w:rPr>
                <w:szCs w:val="24"/>
              </w:rPr>
            </w:pPr>
            <w:r w:rsidRPr="002F481D">
              <w:rPr>
                <w:szCs w:val="24"/>
              </w:rPr>
              <w:t xml:space="preserve">Administrative Code, Regarding Market </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sidRPr="002F481D">
              <w:rPr>
                <w:szCs w:val="24"/>
              </w:rPr>
              <w:t xml:space="preserve">Monitoring. </w:t>
            </w:r>
          </w:p>
        </w:tc>
        <w:tc>
          <w:tcPr>
            <w:tcW w:w="360" w:type="dxa"/>
          </w:tcPr>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tc>
        <w:tc>
          <w:tcPr>
            <w:tcW w:w="4400" w:type="dxa"/>
          </w:tcPr>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Case No. 12-2053-EL-ORD</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c>
      </w:tr>
    </w:tbl>
    <w:p w:rsidR="00244ABB" w:rsidRDefault="00244ABB" w:rsidP="0067056F">
      <w:pPr>
        <w:pStyle w:val="HTMLPreformatted"/>
        <w:rPr>
          <w:rFonts w:ascii="Times New Roman" w:hAnsi="Times New Roman"/>
          <w:sz w:val="24"/>
        </w:rPr>
      </w:pPr>
    </w:p>
    <w:p w:rsidR="00244ABB" w:rsidRDefault="00244ABB" w:rsidP="0067056F">
      <w:pPr>
        <w:pStyle w:val="HTMLPreformatted"/>
        <w:pBdr>
          <w:top w:val="single" w:sz="12" w:space="0" w:color="auto"/>
        </w:pBdr>
        <w:jc w:val="center"/>
        <w:rPr>
          <w:rFonts w:ascii="Times New Roman" w:hAnsi="Times New Roman"/>
          <w:b/>
          <w:sz w:val="24"/>
        </w:rPr>
      </w:pPr>
    </w:p>
    <w:p w:rsidR="00244ABB" w:rsidRPr="00F425FD" w:rsidRDefault="00244ABB" w:rsidP="0067056F">
      <w:pPr>
        <w:pStyle w:val="HTMLPreformatted"/>
        <w:pBdr>
          <w:top w:val="single" w:sz="12" w:space="0" w:color="auto"/>
        </w:pBdr>
        <w:jc w:val="center"/>
        <w:rPr>
          <w:rFonts w:ascii="Times New Roman" w:hAnsi="Times New Roman"/>
          <w:b/>
          <w:sz w:val="24"/>
        </w:rPr>
      </w:pPr>
      <w:r>
        <w:rPr>
          <w:rFonts w:ascii="Times New Roman" w:hAnsi="Times New Roman"/>
          <w:b/>
          <w:sz w:val="24"/>
        </w:rPr>
        <w:t xml:space="preserve">APPLICATION FOR REHEARING </w:t>
      </w:r>
    </w:p>
    <w:p w:rsidR="00244ABB" w:rsidRDefault="00244ABB" w:rsidP="0067056F">
      <w:pPr>
        <w:jc w:val="center"/>
        <w:rPr>
          <w:b/>
          <w:bCs/>
        </w:rPr>
      </w:pPr>
      <w:r>
        <w:rPr>
          <w:b/>
          <w:bCs/>
        </w:rPr>
        <w:t>BY</w:t>
      </w:r>
    </w:p>
    <w:p w:rsidR="00244ABB" w:rsidRDefault="00244ABB" w:rsidP="0067056F">
      <w:pPr>
        <w:jc w:val="center"/>
        <w:rPr>
          <w:b/>
          <w:bCs/>
        </w:rPr>
      </w:pPr>
      <w:r>
        <w:rPr>
          <w:b/>
          <w:bCs/>
        </w:rPr>
        <w:t>THE OFFICE OF THE OHIO CONSUMERS’ COUNSEL</w:t>
      </w:r>
    </w:p>
    <w:p w:rsidR="00244ABB" w:rsidRDefault="00244ABB" w:rsidP="0067056F">
      <w:pPr>
        <w:pBdr>
          <w:bottom w:val="single" w:sz="12" w:space="1" w:color="auto"/>
        </w:pBdr>
        <w:tabs>
          <w:tab w:val="left" w:pos="4320"/>
        </w:tabs>
      </w:pPr>
      <w:r>
        <w:t xml:space="preserve">  </w:t>
      </w:r>
    </w:p>
    <w:p w:rsidR="00244ABB" w:rsidRDefault="00244ABB" w:rsidP="0067056F">
      <w:pPr>
        <w:tabs>
          <w:tab w:val="left" w:pos="4320"/>
        </w:tabs>
      </w:pPr>
    </w:p>
    <w:p w:rsidR="00244ABB" w:rsidRDefault="00244ABB" w:rsidP="00DF474E">
      <w:pPr>
        <w:pStyle w:val="BodyText"/>
        <w:spacing w:line="480" w:lineRule="auto"/>
        <w:jc w:val="left"/>
      </w:pPr>
      <w:r>
        <w:tab/>
        <w:t>The Public Utilities Commission of Ohio (“PUCO”), in this proceeding, was deciding whether to make certain information public that could assist customers in evaluating competitive offers from suppliers</w:t>
      </w:r>
      <w:r w:rsidR="00F47849">
        <w:t>.  T</w:t>
      </w:r>
      <w:r>
        <w:t>he PUCO decided to protect this information in contravention of Ohio law and PUCO rules.  As part of advocating for residential customers in the State of Ohio to receive adequate, reliable, and reasonably priced retail electric service, the Office of the Ohio Consumers’ Counsel (“OCC”) files this Application for Rehearing.  OCC seeks rehearing of the Finding and Order issued by the Public Utilities Commission of Ohio (“Commission” or “PUCO”) in the above-captioned</w:t>
      </w:r>
      <w:r>
        <w:rPr>
          <w:bCs/>
          <w:szCs w:val="24"/>
        </w:rPr>
        <w:t xml:space="preserve"> </w:t>
      </w:r>
      <w:r>
        <w:t xml:space="preserve">proceeding that, inter alia, treats certain marketer-supplied information as protected information that is kept from the public.  </w:t>
      </w:r>
    </w:p>
    <w:p w:rsidR="00244ABB" w:rsidRDefault="00244ABB" w:rsidP="00A91BA6">
      <w:pPr>
        <w:pStyle w:val="BodyText"/>
        <w:spacing w:line="480" w:lineRule="auto"/>
        <w:ind w:firstLine="720"/>
        <w:jc w:val="left"/>
      </w:pPr>
      <w:r>
        <w:t xml:space="preserve">OCC is authorized to file this application for rehearing under R.C. 4903.10 and Ohio Adm. Code 4901-1-35.  Rehearing is sought of the October 15, 2014 Finding and Order based on the following Assignment of Error: </w:t>
      </w:r>
      <w:r>
        <w:tab/>
      </w:r>
    </w:p>
    <w:p w:rsidR="00244ABB" w:rsidRDefault="00244ABB" w:rsidP="00FF225E">
      <w:pPr>
        <w:pStyle w:val="ListParagraph"/>
        <w:numPr>
          <w:ilvl w:val="0"/>
          <w:numId w:val="5"/>
        </w:numPr>
        <w:ind w:left="2250" w:right="720" w:hanging="810"/>
      </w:pPr>
      <w:r>
        <w:t>The PUCO erred when it ruled that certain marketer-supplied information filed at the PUCO be kept confidential in violation of R.C. 4905.07</w:t>
      </w:r>
      <w:r w:rsidR="00A13908">
        <w:t>, 149.43, 4901.12. 4928.02(E)</w:t>
      </w:r>
      <w:r>
        <w:t xml:space="preserve"> and Ohio Admin. Code 4901-1-24. </w:t>
      </w:r>
    </w:p>
    <w:p w:rsidR="00244ABB" w:rsidRDefault="00244ABB" w:rsidP="00A3014A">
      <w:pPr>
        <w:spacing w:line="480" w:lineRule="auto"/>
        <w:ind w:left="2250" w:right="720" w:hanging="810"/>
      </w:pPr>
    </w:p>
    <w:p w:rsidR="00244ABB" w:rsidRDefault="00244ABB" w:rsidP="00E835ED">
      <w:pPr>
        <w:spacing w:line="480" w:lineRule="auto"/>
      </w:pPr>
      <w:r>
        <w:lastRenderedPageBreak/>
        <w:t xml:space="preserve">The basis of this Application for Rehearing is set forth in the attached Memorandum in Support.  Consistent with R.C. 4903.10 and OCC’s claim of error, the PUCO should modify or abrogate its Finding and Order.  </w:t>
      </w:r>
    </w:p>
    <w:p w:rsidR="00244ABB" w:rsidRDefault="00244ABB" w:rsidP="00E835ED">
      <w:pPr>
        <w:spacing w:line="480" w:lineRule="auto"/>
        <w:ind w:left="3600" w:firstLine="720"/>
        <w:rPr>
          <w:szCs w:val="24"/>
        </w:rPr>
      </w:pPr>
      <w:r>
        <w:rPr>
          <w:szCs w:val="24"/>
        </w:rPr>
        <w:t>Respectfully submitted,</w:t>
      </w:r>
    </w:p>
    <w:p w:rsidR="00244ABB" w:rsidRPr="00CC4D02" w:rsidRDefault="00244ABB" w:rsidP="002F481D">
      <w:pPr>
        <w:pStyle w:val="Footer"/>
        <w:tabs>
          <w:tab w:val="clear" w:pos="8640"/>
          <w:tab w:val="left" w:pos="4320"/>
        </w:tabs>
        <w:rPr>
          <w:szCs w:val="24"/>
        </w:rPr>
      </w:pPr>
      <w:r>
        <w:rPr>
          <w:sz w:val="24"/>
          <w:szCs w:val="24"/>
        </w:rPr>
        <w:tab/>
      </w:r>
      <w:r w:rsidRPr="00CC4D02">
        <w:rPr>
          <w:szCs w:val="24"/>
        </w:rPr>
        <w:t>BRUCE J. WESTON</w:t>
      </w:r>
    </w:p>
    <w:p w:rsidR="00244ABB" w:rsidRPr="00CC4D02" w:rsidRDefault="00244ABB" w:rsidP="00F079D0">
      <w:pPr>
        <w:tabs>
          <w:tab w:val="left" w:pos="4320"/>
        </w:tabs>
        <w:rPr>
          <w:szCs w:val="24"/>
        </w:rPr>
      </w:pPr>
      <w:r w:rsidRPr="00CC4D02">
        <w:rPr>
          <w:szCs w:val="24"/>
        </w:rPr>
        <w:tab/>
        <w:t>OHIO CONSUMERS’ COUNSEL</w:t>
      </w:r>
    </w:p>
    <w:p w:rsidR="00244ABB" w:rsidRPr="00CC4D02" w:rsidRDefault="00244ABB" w:rsidP="00F079D0">
      <w:pPr>
        <w:tabs>
          <w:tab w:val="left" w:pos="4320"/>
        </w:tabs>
        <w:rPr>
          <w:szCs w:val="24"/>
        </w:rPr>
      </w:pPr>
      <w:r w:rsidRPr="00CC4D02">
        <w:rPr>
          <w:szCs w:val="24"/>
        </w:rPr>
        <w:tab/>
      </w:r>
    </w:p>
    <w:p w:rsidR="00244ABB" w:rsidRPr="00CC4D02" w:rsidRDefault="00244ABB" w:rsidP="00F079D0">
      <w:pPr>
        <w:tabs>
          <w:tab w:val="left" w:pos="4320"/>
        </w:tabs>
        <w:rPr>
          <w:szCs w:val="24"/>
        </w:rPr>
      </w:pPr>
      <w:r w:rsidRPr="00CC4D02">
        <w:rPr>
          <w:szCs w:val="24"/>
        </w:rPr>
        <w:tab/>
      </w:r>
      <w:r w:rsidRPr="00CC4D02">
        <w:rPr>
          <w:i/>
          <w:szCs w:val="24"/>
          <w:u w:val="single"/>
        </w:rPr>
        <w:t>/s/ Maureen R. Grady</w:t>
      </w:r>
      <w:r w:rsidRPr="00CC4D02">
        <w:rPr>
          <w:szCs w:val="24"/>
        </w:rPr>
        <w:t>___________</w:t>
      </w:r>
    </w:p>
    <w:p w:rsidR="00244ABB" w:rsidRDefault="00244ABB" w:rsidP="002F481D">
      <w:pPr>
        <w:tabs>
          <w:tab w:val="left" w:pos="4320"/>
        </w:tabs>
        <w:rPr>
          <w:szCs w:val="24"/>
        </w:rPr>
      </w:pPr>
      <w:r>
        <w:rPr>
          <w:szCs w:val="24"/>
        </w:rPr>
        <w:tab/>
      </w:r>
      <w:r w:rsidRPr="00CC4D02">
        <w:rPr>
          <w:szCs w:val="24"/>
        </w:rPr>
        <w:t>Maureen R. Grady, Counsel of Record</w:t>
      </w:r>
    </w:p>
    <w:p w:rsidR="00244ABB" w:rsidRDefault="00244ABB" w:rsidP="002F481D">
      <w:pPr>
        <w:tabs>
          <w:tab w:val="left" w:pos="4320"/>
        </w:tabs>
        <w:rPr>
          <w:szCs w:val="24"/>
        </w:rPr>
      </w:pPr>
      <w:r>
        <w:rPr>
          <w:szCs w:val="24"/>
        </w:rPr>
        <w:tab/>
        <w:t>(0020847)</w:t>
      </w:r>
      <w:r>
        <w:rPr>
          <w:szCs w:val="24"/>
        </w:rPr>
        <w:tab/>
      </w:r>
    </w:p>
    <w:p w:rsidR="00244ABB" w:rsidRPr="00CC4D02" w:rsidRDefault="00244ABB" w:rsidP="002F481D">
      <w:pPr>
        <w:tabs>
          <w:tab w:val="left" w:pos="4320"/>
        </w:tabs>
        <w:rPr>
          <w:szCs w:val="24"/>
        </w:rPr>
      </w:pPr>
      <w:r>
        <w:rPr>
          <w:szCs w:val="24"/>
        </w:rPr>
        <w:tab/>
        <w:t>Edmund “Tad” Berger (0090307)</w:t>
      </w:r>
    </w:p>
    <w:p w:rsidR="00244ABB" w:rsidRPr="00CC4D02" w:rsidRDefault="00244ABB" w:rsidP="002F481D">
      <w:pPr>
        <w:tabs>
          <w:tab w:val="left" w:pos="4320"/>
        </w:tabs>
        <w:rPr>
          <w:szCs w:val="24"/>
        </w:rPr>
      </w:pPr>
      <w:r w:rsidRPr="00CC4D02">
        <w:rPr>
          <w:szCs w:val="24"/>
        </w:rPr>
        <w:tab/>
        <w:t>Assistant Consumers’ Counsel</w:t>
      </w:r>
    </w:p>
    <w:p w:rsidR="00244ABB" w:rsidRDefault="00244ABB" w:rsidP="00F079D0">
      <w:pPr>
        <w:tabs>
          <w:tab w:val="left" w:pos="4320"/>
        </w:tabs>
        <w:rPr>
          <w:szCs w:val="24"/>
        </w:rPr>
      </w:pPr>
      <w:r w:rsidRPr="00CC4D02">
        <w:rPr>
          <w:szCs w:val="24"/>
        </w:rPr>
        <w:tab/>
      </w:r>
    </w:p>
    <w:p w:rsidR="00244ABB" w:rsidRPr="00CC4D02" w:rsidRDefault="00244ABB" w:rsidP="00F079D0">
      <w:pPr>
        <w:keepNext/>
        <w:ind w:left="3240" w:right="-648" w:firstLine="720"/>
        <w:outlineLvl w:val="0"/>
        <w:rPr>
          <w:b/>
          <w:szCs w:val="24"/>
        </w:rPr>
      </w:pPr>
      <w:r w:rsidRPr="00CC4D02">
        <w:rPr>
          <w:b/>
          <w:szCs w:val="24"/>
        </w:rPr>
        <w:tab/>
        <w:t>Office of the Ohio Consumers’ Counsel</w:t>
      </w:r>
    </w:p>
    <w:p w:rsidR="00244ABB" w:rsidRPr="00CC4D02" w:rsidRDefault="00244ABB" w:rsidP="00F079D0">
      <w:pPr>
        <w:keepNext/>
        <w:ind w:left="3240" w:right="-648" w:firstLine="720"/>
        <w:outlineLvl w:val="0"/>
        <w:rPr>
          <w:szCs w:val="24"/>
        </w:rPr>
      </w:pPr>
      <w:r w:rsidRPr="00CC4D02">
        <w:rPr>
          <w:szCs w:val="24"/>
        </w:rPr>
        <w:tab/>
        <w:t>10 West Broad Street, Suite 1800</w:t>
      </w:r>
    </w:p>
    <w:p w:rsidR="00244ABB" w:rsidRPr="00CC4D02" w:rsidRDefault="00244ABB" w:rsidP="00F079D0">
      <w:pPr>
        <w:keepNext/>
        <w:ind w:left="3240" w:right="-648" w:firstLine="720"/>
        <w:outlineLvl w:val="0"/>
        <w:rPr>
          <w:szCs w:val="24"/>
        </w:rPr>
      </w:pPr>
      <w:r w:rsidRPr="00CC4D02">
        <w:rPr>
          <w:szCs w:val="24"/>
        </w:rPr>
        <w:tab/>
        <w:t>Columbus, Ohio 43215-3485</w:t>
      </w:r>
    </w:p>
    <w:p w:rsidR="00244ABB" w:rsidRPr="00CC4D02" w:rsidRDefault="00244ABB" w:rsidP="00F079D0">
      <w:pPr>
        <w:autoSpaceDE w:val="0"/>
        <w:autoSpaceDN w:val="0"/>
        <w:adjustRightInd w:val="0"/>
        <w:ind w:left="3600" w:firstLine="720"/>
        <w:rPr>
          <w:szCs w:val="24"/>
        </w:rPr>
      </w:pPr>
      <w:r w:rsidRPr="00CC4D02">
        <w:rPr>
          <w:szCs w:val="24"/>
        </w:rPr>
        <w:t>Telephone:  (Grady) (614) 466-9567</w:t>
      </w:r>
    </w:p>
    <w:p w:rsidR="00244ABB" w:rsidRPr="00CC4D02" w:rsidRDefault="00244ABB" w:rsidP="00F079D0">
      <w:pPr>
        <w:rPr>
          <w:szCs w:val="24"/>
        </w:rPr>
      </w:pPr>
      <w:r w:rsidRPr="00CC4D02">
        <w:rPr>
          <w:szCs w:val="24"/>
        </w:rPr>
        <w:tab/>
      </w:r>
      <w:r w:rsidRPr="00CC4D02">
        <w:rPr>
          <w:szCs w:val="24"/>
        </w:rPr>
        <w:tab/>
      </w:r>
      <w:r w:rsidRPr="00CC4D02">
        <w:rPr>
          <w:szCs w:val="24"/>
        </w:rPr>
        <w:tab/>
      </w:r>
      <w:r w:rsidRPr="00CC4D02">
        <w:rPr>
          <w:szCs w:val="24"/>
        </w:rPr>
        <w:tab/>
      </w:r>
      <w:r w:rsidRPr="00CC4D02">
        <w:rPr>
          <w:szCs w:val="24"/>
        </w:rPr>
        <w:tab/>
      </w:r>
      <w:r w:rsidRPr="00CC4D02">
        <w:rPr>
          <w:szCs w:val="24"/>
        </w:rPr>
        <w:tab/>
        <w:t>Telephone: (Berger) (614) 466-1292</w:t>
      </w:r>
    </w:p>
    <w:p w:rsidR="00244ABB" w:rsidRDefault="00244ABB" w:rsidP="00F079D0">
      <w:pPr>
        <w:ind w:left="3600" w:firstLine="720"/>
        <w:rPr>
          <w:color w:val="0000FF"/>
          <w:szCs w:val="24"/>
          <w:u w:val="single"/>
        </w:rPr>
      </w:pPr>
      <w:r w:rsidRPr="00CC4D02">
        <w:rPr>
          <w:color w:val="0000FF"/>
          <w:szCs w:val="24"/>
          <w:u w:val="single"/>
        </w:rPr>
        <w:t>maureen.grady@occ.ohio.gov</w:t>
      </w:r>
    </w:p>
    <w:p w:rsidR="00244ABB" w:rsidRDefault="00244ABB" w:rsidP="00F079D0">
      <w:pPr>
        <w:ind w:left="3600" w:firstLine="720"/>
        <w:rPr>
          <w:color w:val="0000FF"/>
          <w:szCs w:val="24"/>
          <w:u w:val="single"/>
        </w:rPr>
      </w:pPr>
      <w:r>
        <w:rPr>
          <w:color w:val="0000FF"/>
          <w:szCs w:val="24"/>
          <w:u w:val="single"/>
        </w:rPr>
        <w:t>Edmund.berger@occ.ohio.gov</w:t>
      </w:r>
    </w:p>
    <w:p w:rsidR="00244ABB" w:rsidRPr="00CC4D02" w:rsidRDefault="00244ABB" w:rsidP="00F079D0">
      <w:pPr>
        <w:ind w:left="3600" w:firstLine="720"/>
        <w:rPr>
          <w:szCs w:val="24"/>
        </w:rPr>
      </w:pPr>
    </w:p>
    <w:p w:rsidR="00244ABB" w:rsidRDefault="00244ABB" w:rsidP="00F079D0">
      <w:pPr>
        <w:rPr>
          <w:szCs w:val="24"/>
        </w:rPr>
      </w:pPr>
    </w:p>
    <w:p w:rsidR="00244ABB" w:rsidRDefault="00244ABB" w:rsidP="0067056F">
      <w:pPr>
        <w:rPr>
          <w:rStyle w:val="Hyperlink"/>
        </w:rPr>
        <w:sectPr w:rsidR="00244ABB" w:rsidSect="00362D3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2"/>
          <w:cols w:space="720"/>
          <w:docGrid w:linePitch="360"/>
        </w:sectPr>
      </w:pPr>
    </w:p>
    <w:p w:rsidR="00244ABB" w:rsidRDefault="00244ABB" w:rsidP="009A6571">
      <w:pPr>
        <w:pStyle w:val="HTMLPreformatted"/>
        <w:jc w:val="center"/>
        <w:rPr>
          <w:rFonts w:ascii="Times New Roman" w:hAnsi="Times New Roman"/>
          <w:b/>
          <w:bCs/>
          <w:sz w:val="24"/>
        </w:rPr>
      </w:pPr>
      <w:r>
        <w:rPr>
          <w:rFonts w:ascii="Times New Roman" w:hAnsi="Times New Roman"/>
          <w:b/>
          <w:bCs/>
          <w:sz w:val="24"/>
        </w:rPr>
        <w:t>BEFORE</w:t>
      </w:r>
    </w:p>
    <w:p w:rsidR="00244ABB" w:rsidRDefault="00244ABB" w:rsidP="00A3014A">
      <w:pPr>
        <w:pStyle w:val="HTMLPreformatted"/>
        <w:jc w:val="center"/>
        <w:rPr>
          <w:rFonts w:ascii="Times New Roman" w:hAnsi="Times New Roman"/>
          <w:sz w:val="24"/>
        </w:rPr>
      </w:pPr>
      <w:r>
        <w:rPr>
          <w:rFonts w:ascii="Times New Roman" w:hAnsi="Times New Roman"/>
          <w:b/>
          <w:bCs/>
          <w:sz w:val="24"/>
        </w:rPr>
        <w:t>THE PUBLIC UTILITIES COMMISSION OF OHIO</w:t>
      </w:r>
    </w:p>
    <w:p w:rsidR="00244ABB" w:rsidRPr="002F481D" w:rsidRDefault="00244ABB" w:rsidP="002F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W w:w="9092" w:type="dxa"/>
        <w:tblInd w:w="-106" w:type="dxa"/>
        <w:tblLook w:val="01E0" w:firstRow="1" w:lastRow="1" w:firstColumn="1" w:lastColumn="1" w:noHBand="0" w:noVBand="0"/>
      </w:tblPr>
      <w:tblGrid>
        <w:gridCol w:w="4332"/>
        <w:gridCol w:w="360"/>
        <w:gridCol w:w="4400"/>
      </w:tblGrid>
      <w:tr w:rsidR="00244ABB" w:rsidRPr="002F481D">
        <w:trPr>
          <w:trHeight w:val="807"/>
        </w:trPr>
        <w:tc>
          <w:tcPr>
            <w:tcW w:w="4332" w:type="dxa"/>
          </w:tcPr>
          <w:p w:rsidR="00244ABB" w:rsidRPr="002F481D" w:rsidRDefault="00244ABB" w:rsidP="00A55808">
            <w:pPr>
              <w:autoSpaceDE w:val="0"/>
              <w:autoSpaceDN w:val="0"/>
              <w:adjustRightInd w:val="0"/>
              <w:rPr>
                <w:szCs w:val="24"/>
              </w:rPr>
            </w:pPr>
            <w:r w:rsidRPr="002F481D">
              <w:rPr>
                <w:szCs w:val="24"/>
              </w:rPr>
              <w:t>In the Matter of the Commission's Review of Chapter 4901:1-25 of the  Ohio</w:t>
            </w:r>
          </w:p>
          <w:p w:rsidR="00244ABB" w:rsidRPr="002F481D" w:rsidRDefault="00244ABB" w:rsidP="00A55808">
            <w:pPr>
              <w:autoSpaceDE w:val="0"/>
              <w:autoSpaceDN w:val="0"/>
              <w:adjustRightInd w:val="0"/>
              <w:rPr>
                <w:szCs w:val="24"/>
              </w:rPr>
            </w:pPr>
            <w:r w:rsidRPr="002F481D">
              <w:rPr>
                <w:szCs w:val="24"/>
              </w:rPr>
              <w:t xml:space="preserve">Administrative Code, Regarding Market </w:t>
            </w: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sidRPr="002F481D">
              <w:rPr>
                <w:szCs w:val="24"/>
              </w:rPr>
              <w:t xml:space="preserve">Monitoring. </w:t>
            </w:r>
          </w:p>
        </w:tc>
        <w:tc>
          <w:tcPr>
            <w:tcW w:w="360" w:type="dxa"/>
          </w:tcPr>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w:t>
            </w:r>
          </w:p>
        </w:tc>
        <w:tc>
          <w:tcPr>
            <w:tcW w:w="4400" w:type="dxa"/>
          </w:tcPr>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F481D">
              <w:rPr>
                <w:rFonts w:cs="Courier New"/>
              </w:rPr>
              <w:t>Case No. 12-2053-EL-ORD</w:t>
            </w:r>
          </w:p>
          <w:p w:rsidR="00244ABB" w:rsidRPr="002F481D" w:rsidRDefault="00244ABB" w:rsidP="00A5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c>
      </w:tr>
    </w:tbl>
    <w:p w:rsidR="00244ABB" w:rsidRDefault="00244ABB" w:rsidP="009D0735">
      <w:pPr>
        <w:pStyle w:val="HTMLPreformatted"/>
        <w:rPr>
          <w:rFonts w:ascii="Times New Roman" w:hAnsi="Times New Roman"/>
          <w:sz w:val="24"/>
        </w:rPr>
      </w:pPr>
    </w:p>
    <w:p w:rsidR="00244ABB" w:rsidRDefault="00244ABB" w:rsidP="009D0735">
      <w:pPr>
        <w:pStyle w:val="HTMLPreformatted"/>
        <w:pBdr>
          <w:top w:val="single" w:sz="12" w:space="0" w:color="auto"/>
        </w:pBdr>
        <w:jc w:val="center"/>
        <w:rPr>
          <w:rFonts w:ascii="Times New Roman" w:hAnsi="Times New Roman"/>
          <w:b/>
          <w:sz w:val="24"/>
        </w:rPr>
      </w:pPr>
    </w:p>
    <w:p w:rsidR="00244ABB" w:rsidRDefault="00244ABB" w:rsidP="009D0735">
      <w:pPr>
        <w:pStyle w:val="HTMLPreformatted"/>
        <w:pBdr>
          <w:top w:val="single" w:sz="12" w:space="0" w:color="auto"/>
        </w:pBdr>
        <w:jc w:val="center"/>
        <w:rPr>
          <w:b/>
          <w:bCs/>
        </w:rPr>
      </w:pPr>
      <w:r>
        <w:rPr>
          <w:rFonts w:ascii="Times New Roman" w:hAnsi="Times New Roman"/>
          <w:b/>
          <w:sz w:val="24"/>
        </w:rPr>
        <w:t>MEMORANDUM IN SUPPORT</w:t>
      </w:r>
    </w:p>
    <w:p w:rsidR="00244ABB" w:rsidRDefault="00244ABB" w:rsidP="009D0735">
      <w:pPr>
        <w:pBdr>
          <w:bottom w:val="single" w:sz="12" w:space="1" w:color="auto"/>
        </w:pBdr>
        <w:tabs>
          <w:tab w:val="left" w:pos="4320"/>
        </w:tabs>
      </w:pPr>
    </w:p>
    <w:p w:rsidR="00244ABB" w:rsidRDefault="00244ABB" w:rsidP="0067056F">
      <w:pPr>
        <w:jc w:val="center"/>
        <w:rPr>
          <w:rStyle w:val="Hyperlink"/>
          <w:szCs w:val="24"/>
        </w:rPr>
      </w:pPr>
    </w:p>
    <w:p w:rsidR="00244ABB" w:rsidRPr="00A3014A" w:rsidRDefault="00244ABB" w:rsidP="00B44E3B">
      <w:pPr>
        <w:pStyle w:val="Heading1"/>
        <w:rPr>
          <w:rStyle w:val="Hyperlink"/>
          <w:rFonts w:cs="Arial"/>
          <w:b w:val="0"/>
          <w:bCs w:val="0"/>
          <w:color w:val="auto"/>
          <w:u w:val="none"/>
        </w:rPr>
      </w:pPr>
      <w:bookmarkStart w:id="1" w:name="_Toc386191649"/>
      <w:r w:rsidRPr="00A3014A">
        <w:rPr>
          <w:rStyle w:val="Hyperlink"/>
          <w:rFonts w:cs="Arial"/>
          <w:color w:val="auto"/>
          <w:u w:val="none"/>
        </w:rPr>
        <w:t>INTRODUCTION</w:t>
      </w:r>
      <w:bookmarkEnd w:id="1"/>
    </w:p>
    <w:p w:rsidR="00244ABB" w:rsidRDefault="00244ABB" w:rsidP="00F079D0">
      <w:pPr>
        <w:spacing w:line="480" w:lineRule="auto"/>
        <w:ind w:firstLine="720"/>
      </w:pPr>
      <w:r>
        <w:t xml:space="preserve">The PUCO, through the adoption of the Market Monitoring Rules, requires that electric service providers file important market information that assists consumers in making informed decisions about obtaining electric generation service from marketers.  However, the PUCO, through its Order in this case, eliminated the necessary transparency in the process.  It did so by holding that the information be kept confidential (not public), with a presumption that it should not be publically disclosed.  </w:t>
      </w:r>
    </w:p>
    <w:p w:rsidR="00244ABB" w:rsidRDefault="00244ABB" w:rsidP="00F079D0">
      <w:pPr>
        <w:spacing w:line="480" w:lineRule="auto"/>
        <w:ind w:firstLine="720"/>
      </w:pPr>
      <w:r>
        <w:t>Specifically, the PUCO ruled that certain marketer-supplied information be treated as confidential, without the marketer filing a motion for protection.</w:t>
      </w:r>
      <w:bookmarkStart w:id="2" w:name="_Toc334087852"/>
      <w:bookmarkStart w:id="3" w:name="_Toc384639399"/>
      <w:bookmarkStart w:id="4" w:name="_Toc386191650"/>
      <w:r>
        <w:t xml:space="preserve">  Under the PUCO’s ruling, the information is presumed to be confidential—not public—and remains confidential unless and until a public request for disclosure is made. </w:t>
      </w:r>
      <w:r w:rsidR="00A13908">
        <w:t xml:space="preserve"> </w:t>
      </w:r>
      <w:r>
        <w:t xml:space="preserve">Only then does the marketer have to file a motion for protection to affirmatively show the information is deserving of protective treatment.  This process undermines Ohio statutes, including R.C. 149.43, </w:t>
      </w:r>
      <w:r w:rsidRPr="00813621">
        <w:rPr>
          <w:szCs w:val="24"/>
        </w:rPr>
        <w:t>4901.12, and R.C. 4905.07</w:t>
      </w:r>
      <w:r>
        <w:rPr>
          <w:szCs w:val="24"/>
        </w:rPr>
        <w:t xml:space="preserve">.  Rehearing should be granted on this issue.  </w:t>
      </w:r>
      <w:r>
        <w:tab/>
      </w:r>
    </w:p>
    <w:p w:rsidR="00244ABB" w:rsidRDefault="00244ABB" w:rsidP="002F481D">
      <w:pPr>
        <w:ind w:firstLine="720"/>
      </w:pPr>
    </w:p>
    <w:p w:rsidR="00244ABB" w:rsidRPr="00F079D0" w:rsidRDefault="00244ABB" w:rsidP="00F079D0">
      <w:pPr>
        <w:spacing w:line="480" w:lineRule="auto"/>
        <w:rPr>
          <w:b/>
        </w:rPr>
      </w:pPr>
      <w:r w:rsidRPr="00F079D0">
        <w:rPr>
          <w:b/>
        </w:rPr>
        <w:t>II.</w:t>
      </w:r>
      <w:r w:rsidRPr="00F079D0">
        <w:rPr>
          <w:b/>
        </w:rPr>
        <w:tab/>
        <w:t>STANDARD OF REVIEW</w:t>
      </w:r>
      <w:bookmarkEnd w:id="2"/>
      <w:bookmarkEnd w:id="3"/>
      <w:bookmarkEnd w:id="4"/>
    </w:p>
    <w:p w:rsidR="00244ABB" w:rsidRDefault="00244ABB"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Applications for rehearing are governed by R.C. 4903.10 and Ohio Adm. Code</w:t>
      </w:r>
    </w:p>
    <w:p w:rsidR="00244ABB" w:rsidRDefault="00244ABB" w:rsidP="009D0735">
      <w:pPr>
        <w:autoSpaceDE w:val="0"/>
        <w:autoSpaceDN w:val="0"/>
        <w:adjustRightInd w:val="0"/>
        <w:spacing w:line="480" w:lineRule="auto"/>
        <w:rPr>
          <w:rFonts w:ascii="TimesNewRomanPSMT" w:hAnsi="TimesNewRomanPSMT" w:cs="TimesNewRomanPSMT"/>
        </w:rPr>
        <w:sectPr w:rsidR="00244ABB" w:rsidSect="00362D33">
          <w:headerReference w:type="default" r:id="rId14"/>
          <w:footerReference w:type="default" r:id="rId15"/>
          <w:pgSz w:w="12240" w:h="15840" w:code="1"/>
          <w:pgMar w:top="1440" w:right="1800" w:bottom="1440" w:left="1800" w:header="720" w:footer="720" w:gutter="0"/>
          <w:pgNumType w:start="1"/>
          <w:cols w:space="720"/>
          <w:docGrid w:linePitch="360"/>
        </w:sectPr>
      </w:pPr>
      <w:r>
        <w:rPr>
          <w:rFonts w:ascii="TimesNewRomanPSMT" w:hAnsi="TimesNewRomanPSMT" w:cs="TimesNewRomanPSMT"/>
        </w:rPr>
        <w:t xml:space="preserve">4901-1-35. </w:t>
      </w:r>
      <w:r w:rsidR="00A13908">
        <w:rPr>
          <w:rFonts w:ascii="TimesNewRomanPSMT" w:hAnsi="TimesNewRomanPSMT" w:cs="TimesNewRomanPSMT"/>
        </w:rPr>
        <w:t xml:space="preserve"> </w:t>
      </w:r>
      <w:r>
        <w:rPr>
          <w:rFonts w:ascii="TimesNewRomanPSMT" w:hAnsi="TimesNewRomanPSMT" w:cs="TimesNewRomanPSMT"/>
        </w:rPr>
        <w:t>This statute provides that, within thirty days after issuance of an order from</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the PUCO, “any party who has entered an appearance in person or by counsel in the</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proceeding may apply for rehearing in respect to any matters determined in the</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proceeding.”</w:t>
      </w:r>
      <w:r>
        <w:rPr>
          <w:rStyle w:val="FootnoteReference"/>
          <w:rFonts w:ascii="TimesNewRomanPSMT" w:hAnsi="TimesNewRomanPSMT" w:cs="TimesNewRomanPSMT"/>
        </w:rPr>
        <w:footnoteReference w:id="1"/>
      </w:r>
      <w:r>
        <w:rPr>
          <w:rFonts w:ascii="TimesNewRomanPSMT" w:hAnsi="TimesNewRomanPSMT" w:cs="TimesNewRomanPSMT"/>
          <w:sz w:val="16"/>
          <w:szCs w:val="16"/>
        </w:rPr>
        <w:t xml:space="preserve">  </w:t>
      </w:r>
      <w:r>
        <w:rPr>
          <w:rFonts w:ascii="TimesNewRomanPSMT" w:hAnsi="TimesNewRomanPSMT" w:cs="TimesNewRomanPSMT"/>
        </w:rPr>
        <w:t>Furthermore, the application for rehearing must be “in writing and shall</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set forth specifically the ground or grounds on which the applicant considers the order to</w:t>
      </w:r>
    </w:p>
    <w:p w:rsidR="00244ABB" w:rsidRDefault="00244ABB" w:rsidP="009D0735">
      <w:pPr>
        <w:autoSpaceDE w:val="0"/>
        <w:autoSpaceDN w:val="0"/>
        <w:adjustRightInd w:val="0"/>
        <w:spacing w:line="480" w:lineRule="auto"/>
        <w:rPr>
          <w:rFonts w:ascii="TimesNewRomanPSMT" w:hAnsi="TimesNewRomanPSMT" w:cs="TimesNewRomanPSMT"/>
          <w:sz w:val="16"/>
          <w:szCs w:val="16"/>
        </w:rPr>
      </w:pPr>
      <w:r>
        <w:rPr>
          <w:rFonts w:ascii="TimesNewRomanPSMT" w:hAnsi="TimesNewRomanPSMT" w:cs="TimesNewRomanPSMT"/>
        </w:rPr>
        <w:t>be unreasonable or unlawful.”</w:t>
      </w:r>
      <w:r>
        <w:rPr>
          <w:rStyle w:val="FootnoteReference"/>
          <w:rFonts w:ascii="TimesNewRomanPSMT" w:hAnsi="TimesNewRomanPSMT" w:cs="TimesNewRomanPSMT"/>
        </w:rPr>
        <w:footnoteReference w:id="2"/>
      </w:r>
    </w:p>
    <w:p w:rsidR="00244ABB" w:rsidRDefault="00244ABB"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In considering an application for rehearing, Ohio law provides that the PUCO</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“may grant and hold such rehearing on the matter specified in such application, if in its</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judgment sufficient reason therefor is made to appear.”</w:t>
      </w:r>
      <w:r>
        <w:rPr>
          <w:rStyle w:val="FootnoteReference"/>
          <w:rFonts w:ascii="TimesNewRomanPSMT" w:hAnsi="TimesNewRomanPSMT" w:cs="TimesNewRomanPSMT"/>
        </w:rPr>
        <w:footnoteReference w:id="3"/>
      </w:r>
      <w:r>
        <w:rPr>
          <w:rFonts w:ascii="TimesNewRomanPSMT" w:hAnsi="TimesNewRomanPSMT" w:cs="TimesNewRomanPSMT"/>
          <w:sz w:val="16"/>
          <w:szCs w:val="16"/>
        </w:rPr>
        <w:t xml:space="preserve">  </w:t>
      </w:r>
      <w:r>
        <w:rPr>
          <w:rFonts w:ascii="TimesNewRomanPSMT" w:hAnsi="TimesNewRomanPSMT" w:cs="TimesNewRomanPSMT"/>
        </w:rPr>
        <w:t>Furthermore, if the PUCO</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grants a rehearing and determines that “the original order or any part thereof is in any</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respect unjust or unwarranted, or should be changed, the commission may abrogate or</w:t>
      </w:r>
    </w:p>
    <w:p w:rsidR="00244ABB" w:rsidRDefault="00244ABB" w:rsidP="009D0735">
      <w:pPr>
        <w:autoSpaceDE w:val="0"/>
        <w:autoSpaceDN w:val="0"/>
        <w:adjustRightInd w:val="0"/>
        <w:spacing w:line="480" w:lineRule="auto"/>
        <w:rPr>
          <w:rFonts w:ascii="TimesNewRomanPSMT" w:hAnsi="TimesNewRomanPSMT" w:cs="TimesNewRomanPSMT"/>
          <w:sz w:val="16"/>
          <w:szCs w:val="16"/>
        </w:rPr>
      </w:pPr>
      <w:r>
        <w:rPr>
          <w:rFonts w:ascii="TimesNewRomanPSMT" w:hAnsi="TimesNewRomanPSMT" w:cs="TimesNewRomanPSMT"/>
        </w:rPr>
        <w:t>modify the same * * *.”</w:t>
      </w:r>
      <w:r>
        <w:rPr>
          <w:rStyle w:val="FootnoteReference"/>
          <w:rFonts w:ascii="TimesNewRomanPSMT" w:hAnsi="TimesNewRomanPSMT" w:cs="TimesNewRomanPSMT"/>
        </w:rPr>
        <w:footnoteReference w:id="4"/>
      </w:r>
    </w:p>
    <w:p w:rsidR="00244ABB" w:rsidRDefault="00244ABB" w:rsidP="009D0735">
      <w:pPr>
        <w:autoSpaceDE w:val="0"/>
        <w:autoSpaceDN w:val="0"/>
        <w:adjustRightInd w:val="0"/>
        <w:spacing w:line="480" w:lineRule="auto"/>
        <w:ind w:firstLine="720"/>
        <w:rPr>
          <w:rFonts w:ascii="TimesNewRomanPSMT" w:hAnsi="TimesNewRomanPSMT" w:cs="TimesNewRomanPSMT"/>
        </w:rPr>
      </w:pPr>
      <w:r>
        <w:rPr>
          <w:rFonts w:ascii="TimesNewRomanPSMT" w:hAnsi="TimesNewRomanPSMT" w:cs="TimesNewRomanPSMT"/>
        </w:rPr>
        <w:t>OCC meets both the statutory conditions applicable to an applicant for rehearing</w:t>
      </w:r>
    </w:p>
    <w:p w:rsidR="00244ABB" w:rsidRDefault="00244ABB" w:rsidP="009D0735">
      <w:pPr>
        <w:autoSpaceDE w:val="0"/>
        <w:autoSpaceDN w:val="0"/>
        <w:adjustRightInd w:val="0"/>
        <w:spacing w:line="480" w:lineRule="auto"/>
        <w:rPr>
          <w:rFonts w:ascii="TimesNewRomanPSMT" w:hAnsi="TimesNewRomanPSMT" w:cs="TimesNewRomanPSMT"/>
        </w:rPr>
      </w:pPr>
      <w:r>
        <w:rPr>
          <w:rFonts w:ascii="TimesNewRomanPSMT" w:hAnsi="TimesNewRomanPSMT" w:cs="TimesNewRomanPSMT"/>
        </w:rPr>
        <w:t>under R.C. 4903.10 and the requirements of the PUCO’s rule on applications for rehearing.</w:t>
      </w:r>
      <w:r>
        <w:rPr>
          <w:rStyle w:val="FootnoteReference"/>
          <w:rFonts w:ascii="TimesNewRomanPSMT" w:hAnsi="TimesNewRomanPSMT" w:cs="TimesNewRomanPSMT"/>
        </w:rPr>
        <w:footnoteReference w:id="5"/>
      </w:r>
      <w:r>
        <w:rPr>
          <w:rFonts w:ascii="TimesNewRomanPSMT" w:hAnsi="TimesNewRomanPSMT" w:cs="TimesNewRomanPSMT"/>
        </w:rPr>
        <w:t xml:space="preserve">  Accordingly, OCC respectfully requests that the PUCO grant rehearing on the matters specified below.</w:t>
      </w:r>
    </w:p>
    <w:p w:rsidR="00244ABB" w:rsidRDefault="00244ABB" w:rsidP="00A3014A">
      <w:pPr>
        <w:pStyle w:val="Heading1"/>
      </w:pPr>
      <w:bookmarkStart w:id="5" w:name="_Toc386191651"/>
      <w:r>
        <w:t>LAW AND ARGUMENT</w:t>
      </w:r>
      <w:bookmarkEnd w:id="5"/>
    </w:p>
    <w:p w:rsidR="00244ABB" w:rsidRDefault="00244ABB" w:rsidP="00362D33">
      <w:pPr>
        <w:pStyle w:val="Heading2"/>
        <w:ind w:left="0"/>
      </w:pPr>
      <w:bookmarkStart w:id="6" w:name="_Toc386191652"/>
      <w:r>
        <w:t>ASSIGNMENT OF ERROR:</w:t>
      </w:r>
      <w:bookmarkEnd w:id="6"/>
      <w:r>
        <w:t xml:space="preserve">  </w:t>
      </w:r>
    </w:p>
    <w:p w:rsidR="00244ABB" w:rsidRDefault="00244ABB" w:rsidP="00362D33">
      <w:pPr>
        <w:pStyle w:val="Heading3"/>
      </w:pPr>
      <w:bookmarkStart w:id="7" w:name="_Toc386191653"/>
      <w:r>
        <w:t xml:space="preserve">The PUCO </w:t>
      </w:r>
      <w:r w:rsidR="00362D33">
        <w:t xml:space="preserve">Erred When It Ruled That Certain Marketer-Supplied Information Filed At The </w:t>
      </w:r>
      <w:r>
        <w:t xml:space="preserve">PUCO </w:t>
      </w:r>
      <w:r w:rsidR="00362D33">
        <w:t xml:space="preserve">Be Kept Confidential In Violation Of </w:t>
      </w:r>
      <w:r>
        <w:t>R</w:t>
      </w:r>
      <w:r w:rsidR="00362D33">
        <w:t>.</w:t>
      </w:r>
      <w:r>
        <w:t>C</w:t>
      </w:r>
      <w:r w:rsidR="00362D33">
        <w:t>. 4905.07</w:t>
      </w:r>
      <w:r w:rsidR="00A13908">
        <w:t>, 149.43, 4901.12, 4928.02(E)</w:t>
      </w:r>
      <w:r w:rsidR="00362D33">
        <w:t xml:space="preserve"> And </w:t>
      </w:r>
      <w:r>
        <w:t>Ohio Admin</w:t>
      </w:r>
      <w:r w:rsidR="00362D33">
        <w:t xml:space="preserve">. </w:t>
      </w:r>
      <w:r>
        <w:t xml:space="preserve">Code </w:t>
      </w:r>
      <w:r w:rsidR="00362D33">
        <w:t xml:space="preserve">4901-1-24. </w:t>
      </w:r>
    </w:p>
    <w:bookmarkEnd w:id="7"/>
    <w:p w:rsidR="00244ABB" w:rsidRDefault="00244ABB" w:rsidP="00813621">
      <w:pPr>
        <w:spacing w:line="480" w:lineRule="auto"/>
        <w:ind w:firstLine="720"/>
        <w:rPr>
          <w:szCs w:val="24"/>
        </w:rPr>
      </w:pPr>
      <w:r w:rsidRPr="00813621">
        <w:rPr>
          <w:szCs w:val="24"/>
        </w:rPr>
        <w:t>The PUCO’s Opinion and Order in this case was unlawful and unreasonable</w:t>
      </w:r>
      <w:r>
        <w:rPr>
          <w:szCs w:val="24"/>
        </w:rPr>
        <w:t xml:space="preserve">.  This is because its decision </w:t>
      </w:r>
      <w:r w:rsidRPr="00813621">
        <w:rPr>
          <w:szCs w:val="24"/>
        </w:rPr>
        <w:t>violat</w:t>
      </w:r>
      <w:r>
        <w:rPr>
          <w:szCs w:val="24"/>
        </w:rPr>
        <w:t xml:space="preserve">es, inter alia, </w:t>
      </w:r>
      <w:r w:rsidRPr="00813621">
        <w:rPr>
          <w:szCs w:val="24"/>
        </w:rPr>
        <w:t>the Public Records Act</w:t>
      </w:r>
      <w:r>
        <w:rPr>
          <w:szCs w:val="24"/>
        </w:rPr>
        <w:t xml:space="preserve">.  It does so </w:t>
      </w:r>
      <w:r w:rsidRPr="00813621">
        <w:rPr>
          <w:szCs w:val="24"/>
        </w:rPr>
        <w:t>by automatic</w:t>
      </w:r>
      <w:r>
        <w:rPr>
          <w:szCs w:val="24"/>
        </w:rPr>
        <w:t xml:space="preserve">ally protecting </w:t>
      </w:r>
      <w:r w:rsidRPr="00813621">
        <w:rPr>
          <w:szCs w:val="24"/>
        </w:rPr>
        <w:t xml:space="preserve">data </w:t>
      </w:r>
      <w:r>
        <w:rPr>
          <w:szCs w:val="24"/>
        </w:rPr>
        <w:t xml:space="preserve">from public disclosure </w:t>
      </w:r>
      <w:r w:rsidRPr="00813621">
        <w:rPr>
          <w:szCs w:val="24"/>
        </w:rPr>
        <w:t xml:space="preserve">without requiring parties to </w:t>
      </w:r>
      <w:r>
        <w:rPr>
          <w:szCs w:val="24"/>
        </w:rPr>
        <w:t>establish that the information is a trade secret deserving of protection.</w:t>
      </w:r>
      <w:r w:rsidRPr="00813621">
        <w:rPr>
          <w:szCs w:val="24"/>
        </w:rPr>
        <w:t xml:space="preserve"> </w:t>
      </w:r>
      <w:r w:rsidR="00A13908">
        <w:rPr>
          <w:szCs w:val="24"/>
        </w:rPr>
        <w:t xml:space="preserve"> </w:t>
      </w:r>
      <w:r>
        <w:rPr>
          <w:szCs w:val="24"/>
        </w:rPr>
        <w:t xml:space="preserve">This presumption is contrary to the Public Records Act.  </w:t>
      </w:r>
    </w:p>
    <w:p w:rsidR="00244ABB" w:rsidRPr="00813621" w:rsidRDefault="00244ABB" w:rsidP="00FF225E">
      <w:pPr>
        <w:spacing w:line="480" w:lineRule="auto"/>
        <w:ind w:firstLine="720"/>
        <w:rPr>
          <w:szCs w:val="24"/>
        </w:rPr>
      </w:pPr>
      <w:r w:rsidRPr="00813621">
        <w:rPr>
          <w:szCs w:val="24"/>
        </w:rPr>
        <w:t xml:space="preserve"> The Public </w:t>
      </w:r>
      <w:r w:rsidRPr="00AF75D9">
        <w:rPr>
          <w:rStyle w:val="term1"/>
          <w:b w:val="0"/>
          <w:szCs w:val="24"/>
        </w:rPr>
        <w:t>Records</w:t>
      </w:r>
      <w:r w:rsidRPr="00813621">
        <w:rPr>
          <w:szCs w:val="24"/>
        </w:rPr>
        <w:t xml:space="preserve"> Act, as set forth in R.C. 149.43, “allows public access to public </w:t>
      </w:r>
      <w:r w:rsidRPr="00AF75D9">
        <w:rPr>
          <w:rStyle w:val="term1"/>
          <w:b w:val="0"/>
          <w:szCs w:val="24"/>
        </w:rPr>
        <w:t>records</w:t>
      </w:r>
      <w:r w:rsidRPr="00813621">
        <w:rPr>
          <w:szCs w:val="24"/>
        </w:rPr>
        <w:t xml:space="preserve"> with certain exceptions and is based on the ‘fundamental policy of promoting open government, not restricting it.”</w:t>
      </w:r>
      <w:r w:rsidRPr="004609CF">
        <w:rPr>
          <w:rStyle w:val="FootnoteReference"/>
          <w:szCs w:val="24"/>
        </w:rPr>
        <w:footnoteReference w:id="6"/>
      </w:r>
      <w:r w:rsidRPr="00813621">
        <w:rPr>
          <w:szCs w:val="24"/>
        </w:rPr>
        <w:t xml:space="preserve">  Therefore, it has long been held </w:t>
      </w:r>
      <w:r w:rsidR="00362D33" w:rsidRPr="00813621">
        <w:rPr>
          <w:szCs w:val="24"/>
        </w:rPr>
        <w:t>that”</w:t>
      </w:r>
      <w:r w:rsidRPr="00813621">
        <w:rPr>
          <w:szCs w:val="24"/>
        </w:rPr>
        <w:t xml:space="preserve">R.C. 149.43 [the Public </w:t>
      </w:r>
      <w:r w:rsidRPr="00AF75D9">
        <w:rPr>
          <w:rStyle w:val="term1"/>
          <w:b w:val="0"/>
          <w:szCs w:val="24"/>
        </w:rPr>
        <w:t>Records</w:t>
      </w:r>
      <w:r w:rsidRPr="00813621">
        <w:rPr>
          <w:szCs w:val="24"/>
        </w:rPr>
        <w:t xml:space="preserve"> Act] is construed liberally in favor of broad access, and any doubt is resolved in favor of </w:t>
      </w:r>
      <w:r w:rsidRPr="00AF75D9">
        <w:rPr>
          <w:rStyle w:val="term1"/>
          <w:b w:val="0"/>
          <w:szCs w:val="24"/>
        </w:rPr>
        <w:t>disclosure</w:t>
      </w:r>
      <w:r w:rsidRPr="00813621">
        <w:rPr>
          <w:szCs w:val="24"/>
        </w:rPr>
        <w:t xml:space="preserve"> of public </w:t>
      </w:r>
      <w:r w:rsidRPr="00AF75D9">
        <w:rPr>
          <w:rStyle w:val="term1"/>
          <w:b w:val="0"/>
          <w:szCs w:val="24"/>
        </w:rPr>
        <w:t>records</w:t>
      </w:r>
      <w:r w:rsidRPr="00AF75D9">
        <w:rPr>
          <w:b/>
          <w:szCs w:val="24"/>
        </w:rPr>
        <w:t>.”</w:t>
      </w:r>
      <w:r w:rsidRPr="00AF75D9">
        <w:rPr>
          <w:rStyle w:val="FootnoteReference"/>
          <w:b/>
          <w:szCs w:val="24"/>
        </w:rPr>
        <w:footnoteReference w:id="7"/>
      </w:r>
      <w:r w:rsidRPr="00813621">
        <w:rPr>
          <w:szCs w:val="24"/>
        </w:rPr>
        <w:t xml:space="preserve">  The Public Records Act has been directly applied to the PUCO whereby “[e]xcept as provided in section 149.43 of the Revised Code and as consistent with the purposes of Title XLIX [49] of the Revised Code, all proceedings of the public utilities commission and all documents and records in its possession are public records,”</w:t>
      </w:r>
      <w:r>
        <w:rPr>
          <w:rStyle w:val="FootnoteReference"/>
          <w:szCs w:val="24"/>
        </w:rPr>
        <w:footnoteReference w:id="8"/>
      </w:r>
      <w:r w:rsidRPr="00813621">
        <w:rPr>
          <w:szCs w:val="24"/>
        </w:rPr>
        <w:t xml:space="preserve">  and “all facts and information in the possession of the public utilities commission shall be public.”</w:t>
      </w:r>
      <w:r>
        <w:rPr>
          <w:rStyle w:val="FootnoteReference"/>
          <w:szCs w:val="24"/>
        </w:rPr>
        <w:footnoteReference w:id="9"/>
      </w:r>
    </w:p>
    <w:p w:rsidR="00244ABB" w:rsidRPr="00813621" w:rsidRDefault="00244ABB" w:rsidP="00FF225E">
      <w:pPr>
        <w:spacing w:line="480" w:lineRule="auto"/>
        <w:ind w:firstLine="720"/>
        <w:rPr>
          <w:szCs w:val="24"/>
        </w:rPr>
      </w:pPr>
      <w:r w:rsidRPr="00813621">
        <w:rPr>
          <w:szCs w:val="24"/>
        </w:rPr>
        <w:t xml:space="preserve">To advance the important public principles behind the Public Records Act, a government entity “has the </w:t>
      </w:r>
      <w:r w:rsidRPr="00AF75D9">
        <w:rPr>
          <w:rStyle w:val="term1"/>
          <w:b w:val="0"/>
          <w:szCs w:val="24"/>
        </w:rPr>
        <w:t>burden of proving</w:t>
      </w:r>
      <w:r w:rsidRPr="00813621">
        <w:rPr>
          <w:szCs w:val="24"/>
        </w:rPr>
        <w:t xml:space="preserve"> that the </w:t>
      </w:r>
      <w:r w:rsidRPr="00AF75D9">
        <w:rPr>
          <w:rStyle w:val="term1"/>
          <w:b w:val="0"/>
          <w:szCs w:val="24"/>
        </w:rPr>
        <w:t>records</w:t>
      </w:r>
      <w:r w:rsidRPr="00813621">
        <w:rPr>
          <w:szCs w:val="24"/>
        </w:rPr>
        <w:t xml:space="preserve"> are </w:t>
      </w:r>
      <w:r w:rsidRPr="00AF75D9">
        <w:rPr>
          <w:rStyle w:val="term1"/>
          <w:b w:val="0"/>
          <w:szCs w:val="24"/>
        </w:rPr>
        <w:t>excepted</w:t>
      </w:r>
      <w:r w:rsidRPr="00813621">
        <w:rPr>
          <w:szCs w:val="24"/>
        </w:rPr>
        <w:t xml:space="preserve"> from </w:t>
      </w:r>
      <w:r w:rsidRPr="00AF75D9">
        <w:rPr>
          <w:rStyle w:val="term1"/>
          <w:b w:val="0"/>
          <w:szCs w:val="24"/>
        </w:rPr>
        <w:t>disclosure</w:t>
      </w:r>
      <w:r w:rsidRPr="00813621">
        <w:rPr>
          <w:szCs w:val="24"/>
        </w:rPr>
        <w:t xml:space="preserve"> by R.C. 149.43.”</w:t>
      </w:r>
      <w:r w:rsidRPr="004609CF">
        <w:rPr>
          <w:rStyle w:val="FootnoteReference"/>
          <w:szCs w:val="24"/>
        </w:rPr>
        <w:footnoteReference w:id="10"/>
      </w:r>
      <w:r w:rsidRPr="00813621">
        <w:rPr>
          <w:szCs w:val="24"/>
        </w:rPr>
        <w:t xml:space="preserve">  Accordingly, Ohio Adm. Code 4901-1-24 requires a party to file a motion for protective order and “[t]he party requesting such protection shall have the burden of establishing that such protection is required.”</w:t>
      </w:r>
      <w:r>
        <w:rPr>
          <w:rStyle w:val="FootnoteReference"/>
          <w:szCs w:val="24"/>
        </w:rPr>
        <w:footnoteReference w:id="11"/>
      </w:r>
      <w:r w:rsidRPr="00813621">
        <w:rPr>
          <w:szCs w:val="24"/>
        </w:rPr>
        <w:t xml:space="preserve">  Thus, it comes as no surprise that this Commission has held that confidential treatment, based on </w:t>
      </w:r>
      <w:r>
        <w:rPr>
          <w:szCs w:val="24"/>
        </w:rPr>
        <w:t>claims of a</w:t>
      </w:r>
      <w:r w:rsidRPr="00813621">
        <w:rPr>
          <w:szCs w:val="24"/>
        </w:rPr>
        <w:t xml:space="preserve"> trade secret,</w:t>
      </w:r>
      <w:r>
        <w:rPr>
          <w:rStyle w:val="FootnoteReference"/>
          <w:szCs w:val="24"/>
        </w:rPr>
        <w:footnoteReference w:id="12"/>
      </w:r>
      <w:r w:rsidRPr="00813621">
        <w:rPr>
          <w:szCs w:val="24"/>
        </w:rPr>
        <w:t xml:space="preserve"> should only be given in “extraordinary circumstances.”</w:t>
      </w:r>
      <w:r>
        <w:rPr>
          <w:rStyle w:val="FootnoteReference"/>
          <w:szCs w:val="24"/>
        </w:rPr>
        <w:footnoteReference w:id="13"/>
      </w:r>
      <w:r w:rsidRPr="00813621">
        <w:rPr>
          <w:szCs w:val="24"/>
        </w:rPr>
        <w:t xml:space="preserve">  Moreover, a party seeking such protection must file a motion for protective order either concurrently or prior to filing the information for which it seeks protection.</w:t>
      </w:r>
      <w:r>
        <w:rPr>
          <w:rStyle w:val="FootnoteReference"/>
          <w:szCs w:val="24"/>
        </w:rPr>
        <w:footnoteReference w:id="14"/>
      </w:r>
    </w:p>
    <w:p w:rsidR="00244ABB" w:rsidRDefault="00244ABB" w:rsidP="00FF225E">
      <w:pPr>
        <w:spacing w:line="480" w:lineRule="auto"/>
        <w:ind w:firstLine="720"/>
        <w:rPr>
          <w:szCs w:val="24"/>
        </w:rPr>
      </w:pPr>
      <w:r w:rsidRPr="00813621">
        <w:rPr>
          <w:szCs w:val="24"/>
        </w:rPr>
        <w:t>In the</w:t>
      </w:r>
      <w:r>
        <w:rPr>
          <w:szCs w:val="24"/>
        </w:rPr>
        <w:t xml:space="preserve"> October 15, 2014 </w:t>
      </w:r>
      <w:r w:rsidRPr="00813621">
        <w:rPr>
          <w:szCs w:val="24"/>
        </w:rPr>
        <w:t xml:space="preserve"> Finding and Order, the PUCO recognized the burden associated with </w:t>
      </w:r>
      <w:r>
        <w:rPr>
          <w:szCs w:val="24"/>
        </w:rPr>
        <w:t xml:space="preserve">establishing information as confidential and subject to protection from disclosure.  The PUCO acknowledged </w:t>
      </w:r>
      <w:r w:rsidRPr="00813621">
        <w:rPr>
          <w:szCs w:val="24"/>
        </w:rPr>
        <w:t>that</w:t>
      </w:r>
      <w:r>
        <w:rPr>
          <w:szCs w:val="24"/>
        </w:rPr>
        <w:t xml:space="preserve"> a party seeking to protect information from being disclosed, must file a </w:t>
      </w:r>
      <w:r w:rsidRPr="00813621">
        <w:rPr>
          <w:szCs w:val="24"/>
        </w:rPr>
        <w:t xml:space="preserve">motion </w:t>
      </w:r>
      <w:r>
        <w:rPr>
          <w:szCs w:val="24"/>
        </w:rPr>
        <w:t>i</w:t>
      </w:r>
      <w:r w:rsidRPr="00813621">
        <w:rPr>
          <w:szCs w:val="24"/>
        </w:rPr>
        <w:t>n accordance with Ohio Adm. Code 4901-1-24.</w:t>
      </w:r>
      <w:r>
        <w:rPr>
          <w:rStyle w:val="FootnoteReference"/>
          <w:szCs w:val="24"/>
        </w:rPr>
        <w:footnoteReference w:id="15"/>
      </w:r>
      <w:r w:rsidRPr="00813621">
        <w:rPr>
          <w:szCs w:val="24"/>
        </w:rPr>
        <w:t xml:space="preserve">  But the</w:t>
      </w:r>
      <w:r w:rsidR="00A91BA6">
        <w:rPr>
          <w:szCs w:val="24"/>
        </w:rPr>
        <w:t>n</w:t>
      </w:r>
      <w:r w:rsidRPr="00813621">
        <w:rPr>
          <w:szCs w:val="24"/>
        </w:rPr>
        <w:t xml:space="preserve"> the </w:t>
      </w:r>
      <w:r>
        <w:rPr>
          <w:szCs w:val="24"/>
        </w:rPr>
        <w:t xml:space="preserve">PUCO </w:t>
      </w:r>
      <w:r w:rsidRPr="00813621">
        <w:rPr>
          <w:szCs w:val="24"/>
        </w:rPr>
        <w:t xml:space="preserve">inexplicably </w:t>
      </w:r>
      <w:r>
        <w:rPr>
          <w:szCs w:val="24"/>
        </w:rPr>
        <w:t>contradict</w:t>
      </w:r>
      <w:r w:rsidR="00A91BA6">
        <w:rPr>
          <w:szCs w:val="24"/>
        </w:rPr>
        <w:t>ed</w:t>
      </w:r>
      <w:r>
        <w:rPr>
          <w:szCs w:val="24"/>
        </w:rPr>
        <w:t xml:space="preserve"> its position</w:t>
      </w:r>
      <w:r w:rsidRPr="00813621">
        <w:rPr>
          <w:szCs w:val="24"/>
        </w:rPr>
        <w:t xml:space="preserve"> and </w:t>
      </w:r>
      <w:r>
        <w:rPr>
          <w:szCs w:val="24"/>
        </w:rPr>
        <w:t>relieve</w:t>
      </w:r>
      <w:r w:rsidR="00A91BA6">
        <w:rPr>
          <w:szCs w:val="24"/>
        </w:rPr>
        <w:t>d</w:t>
      </w:r>
      <w:r>
        <w:rPr>
          <w:szCs w:val="24"/>
        </w:rPr>
        <w:t xml:space="preserve"> the marketer of its obligation to meet </w:t>
      </w:r>
      <w:r w:rsidRPr="00813621">
        <w:rPr>
          <w:szCs w:val="24"/>
        </w:rPr>
        <w:t xml:space="preserve">that burden </w:t>
      </w:r>
      <w:r>
        <w:rPr>
          <w:szCs w:val="24"/>
        </w:rPr>
        <w:t xml:space="preserve">of proof.  It held that </w:t>
      </w:r>
      <w:r w:rsidRPr="00813621">
        <w:rPr>
          <w:szCs w:val="24"/>
        </w:rPr>
        <w:t xml:space="preserve">information filed pursuant to Ohio Adm. Code 4901:1-25-02(A)(2)(d), (A)(3), and (A)(4) </w:t>
      </w:r>
      <w:r>
        <w:rPr>
          <w:szCs w:val="24"/>
        </w:rPr>
        <w:t xml:space="preserve">will be held </w:t>
      </w:r>
      <w:r w:rsidRPr="00813621">
        <w:rPr>
          <w:szCs w:val="24"/>
        </w:rPr>
        <w:t>as confidential, without a motion for protective order.</w:t>
      </w:r>
      <w:r>
        <w:rPr>
          <w:rStyle w:val="FootnoteReference"/>
          <w:szCs w:val="24"/>
        </w:rPr>
        <w:footnoteReference w:id="16"/>
      </w:r>
      <w:r w:rsidRPr="00813621">
        <w:rPr>
          <w:szCs w:val="24"/>
        </w:rPr>
        <w:t xml:space="preserve">  </w:t>
      </w:r>
      <w:r>
        <w:rPr>
          <w:szCs w:val="24"/>
        </w:rPr>
        <w:t xml:space="preserve">The information will be deemed confidential until </w:t>
      </w:r>
      <w:r w:rsidRPr="00813621">
        <w:rPr>
          <w:szCs w:val="24"/>
        </w:rPr>
        <w:t>any interested party file</w:t>
      </w:r>
      <w:r>
        <w:rPr>
          <w:szCs w:val="24"/>
        </w:rPr>
        <w:t>s</w:t>
      </w:r>
      <w:r w:rsidRPr="00813621">
        <w:rPr>
          <w:szCs w:val="24"/>
        </w:rPr>
        <w:t xml:space="preserve"> a request for disclosure</w:t>
      </w:r>
      <w:r>
        <w:rPr>
          <w:szCs w:val="24"/>
        </w:rPr>
        <w:t>.  Only then will the PUCO require the party seeking protection to file a motion for protection</w:t>
      </w:r>
      <w:r w:rsidRPr="00813621">
        <w:rPr>
          <w:szCs w:val="24"/>
        </w:rPr>
        <w:t>.</w:t>
      </w:r>
      <w:r>
        <w:rPr>
          <w:rStyle w:val="FootnoteReference"/>
          <w:szCs w:val="24"/>
        </w:rPr>
        <w:footnoteReference w:id="17"/>
      </w:r>
    </w:p>
    <w:p w:rsidR="00244ABB" w:rsidRPr="00813621" w:rsidRDefault="00244ABB" w:rsidP="00FF225E">
      <w:pPr>
        <w:spacing w:line="480" w:lineRule="auto"/>
        <w:ind w:firstLine="720"/>
        <w:rPr>
          <w:szCs w:val="24"/>
        </w:rPr>
      </w:pPr>
      <w:r>
        <w:rPr>
          <w:szCs w:val="24"/>
        </w:rPr>
        <w:t xml:space="preserve">The PUCO’s holding disregards the fact that this is the very information customers need to effectively exercise customer choice.  </w:t>
      </w:r>
      <w:r w:rsidRPr="00813621">
        <w:rPr>
          <w:szCs w:val="24"/>
        </w:rPr>
        <w:t xml:space="preserve">Customers may base their shopping decisions upon the size and reliability of the company, or </w:t>
      </w:r>
      <w:r>
        <w:rPr>
          <w:szCs w:val="24"/>
        </w:rPr>
        <w:t>a marketer’s</w:t>
      </w:r>
      <w:r w:rsidRPr="00813621">
        <w:rPr>
          <w:szCs w:val="24"/>
        </w:rPr>
        <w:t xml:space="preserve"> ability to specifically serve the residential class.  Allowing public access to this useful information is precisely the purpose behind the Public Records Act</w:t>
      </w:r>
      <w:r>
        <w:rPr>
          <w:szCs w:val="24"/>
        </w:rPr>
        <w:t>.  Th</w:t>
      </w:r>
      <w:r w:rsidRPr="00813621">
        <w:rPr>
          <w:szCs w:val="24"/>
        </w:rPr>
        <w:t xml:space="preserve">e PUCO’s Finding and Order in this case unlawfully and unreasonably </w:t>
      </w:r>
      <w:r>
        <w:rPr>
          <w:szCs w:val="24"/>
        </w:rPr>
        <w:t>undermines the intent of</w:t>
      </w:r>
      <w:r w:rsidRPr="00813621">
        <w:rPr>
          <w:szCs w:val="24"/>
        </w:rPr>
        <w:t xml:space="preserve"> R.C. 4901.12, R.C. R.C. 4905.07, and R.C. 149.43.</w:t>
      </w:r>
    </w:p>
    <w:p w:rsidR="00244ABB" w:rsidRDefault="00244ABB" w:rsidP="000A166E">
      <w:pPr>
        <w:spacing w:line="480" w:lineRule="auto"/>
        <w:ind w:firstLine="720"/>
        <w:rPr>
          <w:szCs w:val="24"/>
        </w:rPr>
      </w:pPr>
      <w:r w:rsidRPr="001B1437">
        <w:rPr>
          <w:szCs w:val="24"/>
        </w:rPr>
        <w:t xml:space="preserve">Under the PUCO’s </w:t>
      </w:r>
      <w:r>
        <w:rPr>
          <w:szCs w:val="24"/>
        </w:rPr>
        <w:t>Opinion and Order in this case any “request for disclosure should identify the information being sought and the report from which it is being sought.</w:t>
      </w:r>
      <w:r w:rsidRPr="001B1437">
        <w:rPr>
          <w:szCs w:val="24"/>
        </w:rPr>
        <w:t>”</w:t>
      </w:r>
      <w:r w:rsidRPr="001B1437">
        <w:rPr>
          <w:rStyle w:val="FootnoteReference"/>
          <w:szCs w:val="24"/>
        </w:rPr>
        <w:footnoteReference w:id="18"/>
      </w:r>
      <w:r w:rsidRPr="001B1437">
        <w:rPr>
          <w:szCs w:val="24"/>
        </w:rPr>
        <w:t xml:space="preserve">  The respective party seeking confidentiality would then have to file a motion for protective order within </w:t>
      </w:r>
      <w:r>
        <w:rPr>
          <w:szCs w:val="24"/>
        </w:rPr>
        <w:t>three</w:t>
      </w:r>
      <w:r w:rsidRPr="001B1437">
        <w:rPr>
          <w:szCs w:val="24"/>
        </w:rPr>
        <w:t xml:space="preserve"> days.</w:t>
      </w:r>
      <w:r w:rsidRPr="001B1437">
        <w:rPr>
          <w:rStyle w:val="FootnoteReference"/>
          <w:szCs w:val="24"/>
        </w:rPr>
        <w:footnoteReference w:id="19"/>
      </w:r>
      <w:r w:rsidRPr="001B1437">
        <w:rPr>
          <w:szCs w:val="24"/>
        </w:rPr>
        <w:t xml:space="preserve">  This </w:t>
      </w:r>
      <w:r>
        <w:rPr>
          <w:szCs w:val="24"/>
        </w:rPr>
        <w:t>shifts the burden to the public to make a request to obtain</w:t>
      </w:r>
      <w:r w:rsidRPr="001B1437">
        <w:rPr>
          <w:szCs w:val="24"/>
        </w:rPr>
        <w:t xml:space="preserve"> market-monitoring data – information that is of particular importance to the public</w:t>
      </w:r>
      <w:r>
        <w:rPr>
          <w:szCs w:val="24"/>
        </w:rPr>
        <w:t>.  C</w:t>
      </w:r>
      <w:r w:rsidRPr="001B1437">
        <w:rPr>
          <w:szCs w:val="24"/>
        </w:rPr>
        <w:t xml:space="preserve">ustomers may </w:t>
      </w:r>
      <w:r>
        <w:rPr>
          <w:szCs w:val="24"/>
        </w:rPr>
        <w:t xml:space="preserve">want access to such information in order to make </w:t>
      </w:r>
      <w:r w:rsidRPr="001B1437">
        <w:rPr>
          <w:szCs w:val="24"/>
        </w:rPr>
        <w:t xml:space="preserve">more informed decisions when choosing a marketer.   </w:t>
      </w:r>
      <w:r>
        <w:rPr>
          <w:szCs w:val="24"/>
        </w:rPr>
        <w:t>Such a process, therefore, undermines the state policy of affording customers “</w:t>
      </w:r>
      <w:r w:rsidRPr="001B1437">
        <w:rPr>
          <w:szCs w:val="24"/>
        </w:rPr>
        <w:t>cost-effective and efficient access to information . . . in order to promote both effective customer choice of retail electric service . . .”</w:t>
      </w:r>
      <w:r w:rsidRPr="001B1437">
        <w:rPr>
          <w:rStyle w:val="FootnoteReference"/>
          <w:szCs w:val="24"/>
        </w:rPr>
        <w:footnoteReference w:id="20"/>
      </w:r>
      <w:r>
        <w:rPr>
          <w:szCs w:val="24"/>
        </w:rPr>
        <w:t xml:space="preserve">  And requiring customers to request disclosure of such information is likely to impede customer choice in the marketplace.</w:t>
      </w:r>
      <w:r w:rsidRPr="00813621">
        <w:rPr>
          <w:szCs w:val="24"/>
        </w:rPr>
        <w:t xml:space="preserve">  </w:t>
      </w:r>
    </w:p>
    <w:p w:rsidR="00244ABB" w:rsidRDefault="00244ABB" w:rsidP="00813621">
      <w:pPr>
        <w:spacing w:line="480" w:lineRule="auto"/>
        <w:ind w:firstLine="720"/>
        <w:rPr>
          <w:szCs w:val="24"/>
        </w:rPr>
      </w:pPr>
      <w:r>
        <w:rPr>
          <w:szCs w:val="24"/>
        </w:rPr>
        <w:t>Throughout the development of the competitive electric market in Ohio, the idea has been to empower (not impede) consumers to make choices.  An  integral part of the decision-making process “is also dependent upon transparent terms”</w:t>
      </w:r>
      <w:r>
        <w:rPr>
          <w:rStyle w:val="FootnoteReference"/>
          <w:szCs w:val="24"/>
        </w:rPr>
        <w:footnoteReference w:id="21"/>
      </w:r>
      <w:r>
        <w:rPr>
          <w:szCs w:val="24"/>
        </w:rPr>
        <w:t xml:space="preserve">  The need for transparency in the electric service market was in fact the reason why the PUCO’s own staff recommended similar information be treated as public (and not confidential).  See </w:t>
      </w:r>
      <w:r w:rsidRPr="0030607C">
        <w:rPr>
          <w:i/>
          <w:szCs w:val="24"/>
        </w:rPr>
        <w:t>In the Commiss</w:t>
      </w:r>
      <w:r>
        <w:rPr>
          <w:i/>
          <w:szCs w:val="24"/>
        </w:rPr>
        <w:t>i</w:t>
      </w:r>
      <w:r w:rsidRPr="0030607C">
        <w:rPr>
          <w:i/>
          <w:szCs w:val="24"/>
        </w:rPr>
        <w:t>on’s</w:t>
      </w:r>
      <w:r w:rsidRPr="00663E44">
        <w:rPr>
          <w:i/>
          <w:szCs w:val="24"/>
        </w:rPr>
        <w:t xml:space="preserve"> Investigation of Ohio’s Retail </w:t>
      </w:r>
      <w:r>
        <w:rPr>
          <w:i/>
          <w:szCs w:val="24"/>
        </w:rPr>
        <w:t>E</w:t>
      </w:r>
      <w:r w:rsidRPr="00663E44">
        <w:rPr>
          <w:i/>
          <w:szCs w:val="24"/>
        </w:rPr>
        <w:t>lectric Service Market</w:t>
      </w:r>
      <w:r>
        <w:rPr>
          <w:szCs w:val="24"/>
        </w:rPr>
        <w:t xml:space="preserve">, Case No. 12-3151-EL-COI Staff Work Plan at </w:t>
      </w:r>
      <w:r w:rsidR="00A91BA6">
        <w:rPr>
          <w:szCs w:val="24"/>
        </w:rPr>
        <w:t>10</w:t>
      </w:r>
      <w:r>
        <w:rPr>
          <w:szCs w:val="24"/>
        </w:rPr>
        <w:t xml:space="preserve"> (Jan. 16, 2014).    </w:t>
      </w:r>
    </w:p>
    <w:p w:rsidR="00244ABB" w:rsidRDefault="00244ABB" w:rsidP="00813621">
      <w:pPr>
        <w:spacing w:line="480" w:lineRule="auto"/>
        <w:ind w:firstLine="720"/>
        <w:rPr>
          <w:szCs w:val="24"/>
        </w:rPr>
      </w:pPr>
      <w:r>
        <w:rPr>
          <w:szCs w:val="24"/>
        </w:rPr>
        <w:t>Specifically, the Staff recommended “that the number of customers served and load in megawatt-hours (MWh) for each CRES provider in each EDU’s service territory should be made public because this information is not confidential in other industries.”</w:t>
      </w:r>
      <w:r>
        <w:rPr>
          <w:rStyle w:val="FootnoteReference"/>
          <w:szCs w:val="24"/>
        </w:rPr>
        <w:footnoteReference w:id="22"/>
      </w:r>
      <w:r>
        <w:rPr>
          <w:szCs w:val="24"/>
        </w:rPr>
        <w:t xml:space="preserve">  Staff commented that the “fact that this data is confidential, when it is often public knowledge in non-regulated markets, can create public mistrust.  In an effort to create an effective and competitive retail electric service market it is imperative that the public trust the market and know that information is available and accurate.  The Commission must strive for transparency within the retail electric service market.”</w:t>
      </w:r>
      <w:r>
        <w:rPr>
          <w:rStyle w:val="FootnoteReference"/>
          <w:szCs w:val="24"/>
        </w:rPr>
        <w:footnoteReference w:id="23"/>
      </w:r>
      <w:r>
        <w:rPr>
          <w:szCs w:val="24"/>
        </w:rPr>
        <w:t xml:space="preserve">  </w:t>
      </w:r>
    </w:p>
    <w:p w:rsidR="00244ABB" w:rsidRPr="001B1437" w:rsidRDefault="00244ABB" w:rsidP="00813621">
      <w:pPr>
        <w:spacing w:line="480" w:lineRule="auto"/>
        <w:ind w:firstLine="720"/>
        <w:rPr>
          <w:szCs w:val="24"/>
        </w:rPr>
      </w:pPr>
      <w:r>
        <w:rPr>
          <w:szCs w:val="24"/>
        </w:rPr>
        <w:t xml:space="preserve">The PUCO Staff had it right.  The information should not be presumed to be confidential.  Instead, the presumption, according to the law, must be that it is public information.  </w:t>
      </w:r>
    </w:p>
    <w:p w:rsidR="00244ABB" w:rsidRDefault="00244ABB" w:rsidP="00813621">
      <w:pPr>
        <w:spacing w:line="480" w:lineRule="auto"/>
        <w:ind w:firstLine="720"/>
        <w:rPr>
          <w:szCs w:val="24"/>
        </w:rPr>
      </w:pPr>
      <w:r>
        <w:rPr>
          <w:szCs w:val="24"/>
        </w:rPr>
        <w:t>For these reasons</w:t>
      </w:r>
      <w:r w:rsidRPr="00813621">
        <w:rPr>
          <w:szCs w:val="24"/>
        </w:rPr>
        <w:t>, the PUCO should grant OCC’s Application for Rehearing</w:t>
      </w:r>
      <w:r>
        <w:rPr>
          <w:szCs w:val="24"/>
        </w:rPr>
        <w:t xml:space="preserve">.  It should require </w:t>
      </w:r>
      <w:r w:rsidRPr="00813621">
        <w:rPr>
          <w:szCs w:val="24"/>
        </w:rPr>
        <w:t xml:space="preserve">that marketers and aggregators carry their appropriately high burden of establishing that the information is </w:t>
      </w:r>
      <w:r>
        <w:rPr>
          <w:szCs w:val="24"/>
        </w:rPr>
        <w:t xml:space="preserve">a </w:t>
      </w:r>
      <w:r w:rsidRPr="00813621">
        <w:rPr>
          <w:szCs w:val="24"/>
        </w:rPr>
        <w:t xml:space="preserve">trade secret before it is withheld from </w:t>
      </w:r>
      <w:r>
        <w:rPr>
          <w:szCs w:val="24"/>
        </w:rPr>
        <w:t xml:space="preserve">the </w:t>
      </w:r>
      <w:r w:rsidRPr="00813621">
        <w:rPr>
          <w:szCs w:val="24"/>
        </w:rPr>
        <w:t>public</w:t>
      </w:r>
      <w:r>
        <w:rPr>
          <w:szCs w:val="24"/>
        </w:rPr>
        <w:t>.</w:t>
      </w:r>
    </w:p>
    <w:p w:rsidR="00244ABB" w:rsidRPr="00813621" w:rsidRDefault="00244ABB" w:rsidP="002F481D">
      <w:pPr>
        <w:ind w:firstLine="720"/>
        <w:rPr>
          <w:szCs w:val="24"/>
        </w:rPr>
      </w:pPr>
    </w:p>
    <w:p w:rsidR="00244ABB" w:rsidRDefault="00244ABB" w:rsidP="00B44E3B">
      <w:pPr>
        <w:pStyle w:val="Heading1"/>
      </w:pPr>
      <w:bookmarkStart w:id="8" w:name="_Toc386191656"/>
      <w:r>
        <w:t>CONCLUSION</w:t>
      </w:r>
      <w:bookmarkEnd w:id="8"/>
    </w:p>
    <w:p w:rsidR="00244ABB" w:rsidRDefault="00244ABB" w:rsidP="00632828">
      <w:pPr>
        <w:autoSpaceDE w:val="0"/>
        <w:autoSpaceDN w:val="0"/>
        <w:adjustRightInd w:val="0"/>
        <w:spacing w:line="480" w:lineRule="auto"/>
        <w:ind w:firstLine="720"/>
        <w:rPr>
          <w:rFonts w:ascii="TimesNewRomanPSMT" w:hAnsi="TimesNewRomanPSMT" w:cs="TimesNewRomanPSMT"/>
          <w:szCs w:val="24"/>
        </w:rPr>
      </w:pPr>
      <w:r>
        <w:rPr>
          <w:rFonts w:ascii="TimesNewRomanPSMT" w:hAnsi="TimesNewRomanPSMT" w:cs="TimesNewRomanPSMT"/>
          <w:szCs w:val="24"/>
        </w:rPr>
        <w:t xml:space="preserve">To make informed decisions, consumers should have access to marketer-supplied information about aggregation, number of customers served, and the load served.  This can assist customers in engaging in and being better informed about retail competition.  The PUCO has a duty under law to ensure that such information is available to the public – it should not be presumed confidential and shielded from the public view.  </w:t>
      </w:r>
    </w:p>
    <w:p w:rsidR="00244ABB" w:rsidRDefault="00244ABB" w:rsidP="00AF75D9">
      <w:pPr>
        <w:autoSpaceDE w:val="0"/>
        <w:autoSpaceDN w:val="0"/>
        <w:adjustRightInd w:val="0"/>
        <w:spacing w:line="480" w:lineRule="auto"/>
        <w:ind w:firstLine="720"/>
        <w:rPr>
          <w:rFonts w:ascii="TimesNewRomanPSMT" w:hAnsi="TimesNewRomanPSMT" w:cs="TimesNewRomanPSMT"/>
          <w:szCs w:val="24"/>
        </w:rPr>
      </w:pPr>
      <w:r>
        <w:rPr>
          <w:rFonts w:ascii="TimesNewRomanPSMT" w:hAnsi="TimesNewRomanPSMT" w:cs="TimesNewRomanPSMT"/>
          <w:szCs w:val="24"/>
        </w:rPr>
        <w:t xml:space="preserve">In addition, under the laws of Ohio, information in the PUCO’s possession is considered to be public records.  Limited exceptions to the public records law protect trade secrets from disclosure—but only after the party seeking to prevent disclosure has affirmatively proven the materials are deserving of protection. </w:t>
      </w:r>
    </w:p>
    <w:p w:rsidR="00244ABB" w:rsidRDefault="00244ABB" w:rsidP="00C57210">
      <w:pPr>
        <w:autoSpaceDE w:val="0"/>
        <w:autoSpaceDN w:val="0"/>
        <w:adjustRightInd w:val="0"/>
        <w:spacing w:line="480" w:lineRule="auto"/>
        <w:ind w:firstLine="720"/>
        <w:rPr>
          <w:rFonts w:ascii="TimesNewRomanPSMT" w:hAnsi="TimesNewRomanPSMT" w:cs="TimesNewRomanPSMT"/>
          <w:szCs w:val="24"/>
        </w:rPr>
      </w:pPr>
      <w:r>
        <w:rPr>
          <w:rFonts w:ascii="TimesNewRomanPSMT" w:hAnsi="TimesNewRomanPSMT" w:cs="TimesNewRomanPSMT"/>
          <w:szCs w:val="24"/>
        </w:rPr>
        <w:t xml:space="preserve"> The PUCO’s rulings must comply with the law.  But here they do not.  The PUCO has allowed information to be treated as confidential, without the party affirmatively proving that the information deserves protection.  This ruling is wrong.  Rehearing should be granted</w:t>
      </w:r>
      <w:r w:rsidR="00A13908">
        <w:rPr>
          <w:rFonts w:ascii="TimesNewRomanPSMT" w:hAnsi="TimesNewRomanPSMT" w:cs="TimesNewRomanPSMT"/>
          <w:szCs w:val="24"/>
        </w:rPr>
        <w:t>.  T</w:t>
      </w:r>
      <w:r>
        <w:rPr>
          <w:rFonts w:ascii="TimesNewRomanPSMT" w:hAnsi="TimesNewRomanPSMT" w:cs="TimesNewRomanPSMT"/>
          <w:szCs w:val="24"/>
        </w:rPr>
        <w:t xml:space="preserve">he Commission’s ruling should be amended to require public disclosure of the marketer-supplied information for consumers’ benefit.  </w:t>
      </w:r>
    </w:p>
    <w:p w:rsidR="00244ABB" w:rsidRDefault="00362D33" w:rsidP="00C57210">
      <w:pPr>
        <w:autoSpaceDE w:val="0"/>
        <w:autoSpaceDN w:val="0"/>
        <w:adjustRightInd w:val="0"/>
        <w:spacing w:line="480" w:lineRule="auto"/>
        <w:ind w:left="3600" w:firstLine="720"/>
        <w:rPr>
          <w:szCs w:val="24"/>
        </w:rPr>
      </w:pPr>
      <w:r>
        <w:rPr>
          <w:szCs w:val="24"/>
        </w:rPr>
        <w:br w:type="page"/>
      </w:r>
      <w:r w:rsidR="00244ABB">
        <w:rPr>
          <w:szCs w:val="24"/>
        </w:rPr>
        <w:t>Respectfully submitted,</w:t>
      </w:r>
    </w:p>
    <w:p w:rsidR="00244ABB" w:rsidRPr="00CC4D02" w:rsidRDefault="00244ABB" w:rsidP="002F481D">
      <w:pPr>
        <w:pStyle w:val="Footer"/>
        <w:tabs>
          <w:tab w:val="clear" w:pos="8640"/>
          <w:tab w:val="left" w:pos="4320"/>
        </w:tabs>
        <w:rPr>
          <w:szCs w:val="24"/>
        </w:rPr>
      </w:pPr>
      <w:r>
        <w:rPr>
          <w:sz w:val="24"/>
          <w:szCs w:val="24"/>
        </w:rPr>
        <w:tab/>
      </w:r>
      <w:r w:rsidRPr="00CC4D02">
        <w:rPr>
          <w:szCs w:val="24"/>
        </w:rPr>
        <w:t>BRUCE J. WESTON</w:t>
      </w:r>
    </w:p>
    <w:p w:rsidR="00244ABB" w:rsidRPr="00CC4D02" w:rsidRDefault="00244ABB" w:rsidP="002F481D">
      <w:pPr>
        <w:tabs>
          <w:tab w:val="left" w:pos="4320"/>
        </w:tabs>
        <w:rPr>
          <w:szCs w:val="24"/>
        </w:rPr>
      </w:pPr>
      <w:r w:rsidRPr="00CC4D02">
        <w:rPr>
          <w:szCs w:val="24"/>
        </w:rPr>
        <w:tab/>
        <w:t>OHIO CONSUMERS’ COUNSEL</w:t>
      </w:r>
    </w:p>
    <w:p w:rsidR="00244ABB" w:rsidRPr="00CC4D02" w:rsidRDefault="00244ABB" w:rsidP="002F481D">
      <w:pPr>
        <w:tabs>
          <w:tab w:val="left" w:pos="4320"/>
        </w:tabs>
        <w:rPr>
          <w:szCs w:val="24"/>
        </w:rPr>
      </w:pPr>
      <w:r w:rsidRPr="00CC4D02">
        <w:rPr>
          <w:szCs w:val="24"/>
        </w:rPr>
        <w:tab/>
      </w:r>
    </w:p>
    <w:p w:rsidR="00244ABB" w:rsidRPr="00CC4D02" w:rsidRDefault="00244ABB" w:rsidP="002F481D">
      <w:pPr>
        <w:tabs>
          <w:tab w:val="left" w:pos="4320"/>
        </w:tabs>
        <w:rPr>
          <w:szCs w:val="24"/>
        </w:rPr>
      </w:pPr>
      <w:r w:rsidRPr="00CC4D02">
        <w:rPr>
          <w:szCs w:val="24"/>
        </w:rPr>
        <w:tab/>
      </w:r>
      <w:r w:rsidRPr="00CC4D02">
        <w:rPr>
          <w:i/>
          <w:szCs w:val="24"/>
          <w:u w:val="single"/>
        </w:rPr>
        <w:t>/s/ Maureen R. Grady</w:t>
      </w:r>
      <w:r w:rsidRPr="00CC4D02">
        <w:rPr>
          <w:szCs w:val="24"/>
        </w:rPr>
        <w:t>___________</w:t>
      </w:r>
    </w:p>
    <w:p w:rsidR="00244ABB" w:rsidRDefault="00244ABB" w:rsidP="002F481D">
      <w:pPr>
        <w:tabs>
          <w:tab w:val="left" w:pos="4320"/>
        </w:tabs>
        <w:rPr>
          <w:szCs w:val="24"/>
        </w:rPr>
      </w:pPr>
      <w:r>
        <w:rPr>
          <w:szCs w:val="24"/>
        </w:rPr>
        <w:tab/>
      </w:r>
      <w:r w:rsidRPr="00CC4D02">
        <w:rPr>
          <w:szCs w:val="24"/>
        </w:rPr>
        <w:t>Maureen R. Grady, Counsel of Record</w:t>
      </w:r>
    </w:p>
    <w:p w:rsidR="00244ABB" w:rsidRDefault="00244ABB" w:rsidP="002F481D">
      <w:pPr>
        <w:tabs>
          <w:tab w:val="left" w:pos="4320"/>
        </w:tabs>
        <w:rPr>
          <w:szCs w:val="24"/>
        </w:rPr>
      </w:pPr>
      <w:r>
        <w:rPr>
          <w:szCs w:val="24"/>
        </w:rPr>
        <w:tab/>
        <w:t>(0020847)</w:t>
      </w:r>
      <w:r>
        <w:rPr>
          <w:szCs w:val="24"/>
        </w:rPr>
        <w:tab/>
      </w:r>
    </w:p>
    <w:p w:rsidR="00244ABB" w:rsidRPr="00CC4D02" w:rsidRDefault="00244ABB" w:rsidP="002F481D">
      <w:pPr>
        <w:tabs>
          <w:tab w:val="left" w:pos="4320"/>
        </w:tabs>
        <w:rPr>
          <w:szCs w:val="24"/>
        </w:rPr>
      </w:pPr>
      <w:r>
        <w:rPr>
          <w:szCs w:val="24"/>
        </w:rPr>
        <w:tab/>
        <w:t>Edmund “Tad” Berger (0090307)</w:t>
      </w:r>
    </w:p>
    <w:p w:rsidR="00244ABB" w:rsidRPr="00CC4D02" w:rsidRDefault="00244ABB" w:rsidP="002F481D">
      <w:pPr>
        <w:tabs>
          <w:tab w:val="left" w:pos="4320"/>
        </w:tabs>
        <w:rPr>
          <w:szCs w:val="24"/>
        </w:rPr>
      </w:pPr>
      <w:r w:rsidRPr="00CC4D02">
        <w:rPr>
          <w:szCs w:val="24"/>
        </w:rPr>
        <w:tab/>
        <w:t>Assistant Consumers’ Counsel</w:t>
      </w:r>
    </w:p>
    <w:p w:rsidR="00244ABB" w:rsidRDefault="00244ABB" w:rsidP="002F481D">
      <w:pPr>
        <w:tabs>
          <w:tab w:val="left" w:pos="4320"/>
        </w:tabs>
        <w:rPr>
          <w:szCs w:val="24"/>
        </w:rPr>
      </w:pPr>
      <w:r w:rsidRPr="00CC4D02">
        <w:rPr>
          <w:szCs w:val="24"/>
        </w:rPr>
        <w:tab/>
      </w:r>
    </w:p>
    <w:p w:rsidR="00244ABB" w:rsidRPr="00CC4D02" w:rsidRDefault="00244ABB" w:rsidP="002F481D">
      <w:pPr>
        <w:keepNext/>
        <w:ind w:left="3240" w:right="-648" w:firstLine="720"/>
        <w:outlineLvl w:val="0"/>
        <w:rPr>
          <w:b/>
          <w:szCs w:val="24"/>
        </w:rPr>
      </w:pPr>
      <w:r w:rsidRPr="00CC4D02">
        <w:rPr>
          <w:b/>
          <w:szCs w:val="24"/>
        </w:rPr>
        <w:tab/>
        <w:t>Office of the Ohio Consumers’ Counsel</w:t>
      </w:r>
    </w:p>
    <w:p w:rsidR="00244ABB" w:rsidRPr="00CC4D02" w:rsidRDefault="00244ABB" w:rsidP="002F481D">
      <w:pPr>
        <w:keepNext/>
        <w:ind w:left="3240" w:right="-648" w:firstLine="720"/>
        <w:outlineLvl w:val="0"/>
        <w:rPr>
          <w:szCs w:val="24"/>
        </w:rPr>
      </w:pPr>
      <w:r w:rsidRPr="00CC4D02">
        <w:rPr>
          <w:szCs w:val="24"/>
        </w:rPr>
        <w:tab/>
        <w:t>10 West Broad Street, Suite 1800</w:t>
      </w:r>
    </w:p>
    <w:p w:rsidR="00244ABB" w:rsidRPr="00CC4D02" w:rsidRDefault="00244ABB" w:rsidP="002F481D">
      <w:pPr>
        <w:keepNext/>
        <w:ind w:left="3240" w:right="-648" w:firstLine="720"/>
        <w:outlineLvl w:val="0"/>
        <w:rPr>
          <w:szCs w:val="24"/>
        </w:rPr>
      </w:pPr>
      <w:r w:rsidRPr="00CC4D02">
        <w:rPr>
          <w:szCs w:val="24"/>
        </w:rPr>
        <w:tab/>
        <w:t>Columbus, Ohio 43215-3485</w:t>
      </w:r>
    </w:p>
    <w:p w:rsidR="00244ABB" w:rsidRPr="00CC4D02" w:rsidRDefault="00244ABB" w:rsidP="002F481D">
      <w:pPr>
        <w:autoSpaceDE w:val="0"/>
        <w:autoSpaceDN w:val="0"/>
        <w:adjustRightInd w:val="0"/>
        <w:ind w:left="3600" w:firstLine="720"/>
        <w:rPr>
          <w:szCs w:val="24"/>
        </w:rPr>
      </w:pPr>
      <w:r w:rsidRPr="00CC4D02">
        <w:rPr>
          <w:szCs w:val="24"/>
        </w:rPr>
        <w:t>Telephone:  (Grady) (614) 466-9567</w:t>
      </w:r>
    </w:p>
    <w:p w:rsidR="00244ABB" w:rsidRPr="00CC4D02" w:rsidRDefault="00244ABB" w:rsidP="002F481D">
      <w:pPr>
        <w:rPr>
          <w:szCs w:val="24"/>
        </w:rPr>
      </w:pPr>
      <w:r w:rsidRPr="00CC4D02">
        <w:rPr>
          <w:szCs w:val="24"/>
        </w:rPr>
        <w:tab/>
      </w:r>
      <w:r w:rsidRPr="00CC4D02">
        <w:rPr>
          <w:szCs w:val="24"/>
        </w:rPr>
        <w:tab/>
      </w:r>
      <w:r w:rsidRPr="00CC4D02">
        <w:rPr>
          <w:szCs w:val="24"/>
        </w:rPr>
        <w:tab/>
      </w:r>
      <w:r w:rsidRPr="00CC4D02">
        <w:rPr>
          <w:szCs w:val="24"/>
        </w:rPr>
        <w:tab/>
      </w:r>
      <w:r w:rsidRPr="00CC4D02">
        <w:rPr>
          <w:szCs w:val="24"/>
        </w:rPr>
        <w:tab/>
      </w:r>
      <w:r w:rsidRPr="00CC4D02">
        <w:rPr>
          <w:szCs w:val="24"/>
        </w:rPr>
        <w:tab/>
        <w:t>Telephone: (Berger) (614) 466-1292</w:t>
      </w:r>
    </w:p>
    <w:p w:rsidR="00244ABB" w:rsidRDefault="00244ABB" w:rsidP="002F481D">
      <w:pPr>
        <w:ind w:left="3600" w:firstLine="720"/>
        <w:rPr>
          <w:color w:val="0000FF"/>
          <w:szCs w:val="24"/>
          <w:u w:val="single"/>
        </w:rPr>
      </w:pPr>
      <w:r w:rsidRPr="00CC4D02">
        <w:rPr>
          <w:color w:val="0000FF"/>
          <w:szCs w:val="24"/>
          <w:u w:val="single"/>
        </w:rPr>
        <w:t>maureen.grady@occ.ohio.gov</w:t>
      </w:r>
    </w:p>
    <w:p w:rsidR="00244ABB" w:rsidRDefault="00244ABB" w:rsidP="002F481D">
      <w:pPr>
        <w:ind w:left="3600" w:firstLine="720"/>
        <w:rPr>
          <w:color w:val="0000FF"/>
          <w:szCs w:val="24"/>
          <w:u w:val="single"/>
        </w:rPr>
      </w:pPr>
      <w:r>
        <w:rPr>
          <w:color w:val="0000FF"/>
          <w:szCs w:val="24"/>
          <w:u w:val="single"/>
        </w:rPr>
        <w:t>Edmund.berger@occ.ohio.gov</w:t>
      </w:r>
    </w:p>
    <w:p w:rsidR="00244ABB" w:rsidRDefault="00244ABB" w:rsidP="00A51AC8">
      <w:pPr>
        <w:rPr>
          <w:szCs w:val="24"/>
        </w:rPr>
      </w:pPr>
    </w:p>
    <w:p w:rsidR="00244ABB" w:rsidRDefault="00244ABB" w:rsidP="008B4A24">
      <w:pPr>
        <w:spacing w:line="480" w:lineRule="auto"/>
        <w:jc w:val="center"/>
        <w:rPr>
          <w:b/>
          <w:bCs/>
          <w:u w:val="single"/>
        </w:rPr>
      </w:pPr>
      <w:r>
        <w:rPr>
          <w:szCs w:val="24"/>
        </w:rPr>
        <w:br w:type="page"/>
      </w:r>
      <w:r>
        <w:rPr>
          <w:b/>
          <w:bCs/>
          <w:u w:val="single"/>
        </w:rPr>
        <w:t>CERTIFICATE OF SERVICE</w:t>
      </w:r>
    </w:p>
    <w:p w:rsidR="00244ABB" w:rsidRDefault="00244ABB" w:rsidP="00F079D0">
      <w:pPr>
        <w:spacing w:line="480" w:lineRule="atLeast"/>
      </w:pPr>
      <w:r>
        <w:tab/>
        <w:t>I hereby certify that a copy of this Application for Rehearing was served on the persons stated below via electronic transmission, this 14</w:t>
      </w:r>
      <w:r w:rsidRPr="00D33597">
        <w:rPr>
          <w:vertAlign w:val="superscript"/>
        </w:rPr>
        <w:t>th</w:t>
      </w:r>
      <w:r>
        <w:t xml:space="preserve"> day of November 2014.</w:t>
      </w:r>
    </w:p>
    <w:p w:rsidR="00244ABB" w:rsidRDefault="00244ABB" w:rsidP="00F079D0">
      <w:pPr>
        <w:spacing w:line="480" w:lineRule="atLeast"/>
      </w:pPr>
    </w:p>
    <w:p w:rsidR="00244ABB" w:rsidRDefault="00244ABB" w:rsidP="00F079D0">
      <w:pPr>
        <w:tabs>
          <w:tab w:val="left" w:pos="4320"/>
        </w:tabs>
        <w:rPr>
          <w:i/>
          <w:u w:val="single"/>
        </w:rPr>
      </w:pPr>
      <w:r>
        <w:tab/>
      </w:r>
      <w:r>
        <w:rPr>
          <w:i/>
          <w:u w:val="single"/>
        </w:rPr>
        <w:t>/s/ Maureen R. Grady</w:t>
      </w:r>
      <w:r>
        <w:rPr>
          <w:i/>
          <w:u w:val="single"/>
        </w:rPr>
        <w:tab/>
      </w:r>
      <w:r>
        <w:rPr>
          <w:i/>
          <w:u w:val="single"/>
        </w:rPr>
        <w:tab/>
      </w:r>
    </w:p>
    <w:p w:rsidR="00244ABB" w:rsidRDefault="00244ABB" w:rsidP="00F079D0">
      <w:pPr>
        <w:tabs>
          <w:tab w:val="left" w:pos="4320"/>
        </w:tabs>
      </w:pPr>
      <w:r>
        <w:tab/>
        <w:t>Maureen R. Grady</w:t>
      </w:r>
    </w:p>
    <w:p w:rsidR="00244ABB" w:rsidRDefault="00244ABB" w:rsidP="00F079D0">
      <w:pPr>
        <w:tabs>
          <w:tab w:val="left" w:pos="4320"/>
        </w:tabs>
      </w:pPr>
      <w:r>
        <w:tab/>
        <w:t>Assistant Consumers’ Counsel</w:t>
      </w:r>
    </w:p>
    <w:p w:rsidR="00244ABB" w:rsidRDefault="00244ABB" w:rsidP="00F079D0">
      <w:pPr>
        <w:pStyle w:val="CommentSubject"/>
      </w:pPr>
    </w:p>
    <w:p w:rsidR="00244ABB" w:rsidRDefault="00244ABB" w:rsidP="00F079D0">
      <w:pPr>
        <w:pStyle w:val="CommentText"/>
      </w:pPr>
    </w:p>
    <w:p w:rsidR="00244ABB" w:rsidRDefault="00244ABB" w:rsidP="00F079D0">
      <w:pPr>
        <w:pStyle w:val="CommentText"/>
        <w:jc w:val="center"/>
        <w:rPr>
          <w:b/>
          <w:u w:val="single"/>
        </w:rPr>
      </w:pPr>
      <w:r>
        <w:rPr>
          <w:b/>
          <w:u w:val="single"/>
        </w:rPr>
        <w:t>SERVICE LIST</w:t>
      </w:r>
    </w:p>
    <w:p w:rsidR="00244ABB" w:rsidRDefault="00244ABB" w:rsidP="00F079D0">
      <w:pPr>
        <w:pStyle w:val="BodyText"/>
        <w:rPr>
          <w:b/>
          <w:bCs/>
        </w:rPr>
      </w:pPr>
    </w:p>
    <w:tbl>
      <w:tblPr>
        <w:tblW w:w="0" w:type="auto"/>
        <w:tblInd w:w="-106" w:type="dxa"/>
        <w:tblLook w:val="01E0" w:firstRow="1" w:lastRow="1" w:firstColumn="1" w:lastColumn="1" w:noHBand="0" w:noVBand="0"/>
      </w:tblPr>
      <w:tblGrid>
        <w:gridCol w:w="4428"/>
        <w:gridCol w:w="4428"/>
      </w:tblGrid>
      <w:tr w:rsidR="00244ABB" w:rsidRPr="006A2D56">
        <w:tc>
          <w:tcPr>
            <w:tcW w:w="4428" w:type="dxa"/>
          </w:tcPr>
          <w:p w:rsidR="00244ABB" w:rsidRDefault="00E40CE6" w:rsidP="00F32A01">
            <w:pPr>
              <w:autoSpaceDE w:val="0"/>
              <w:autoSpaceDN w:val="0"/>
              <w:adjustRightInd w:val="0"/>
              <w:rPr>
                <w:bCs/>
                <w:szCs w:val="24"/>
              </w:rPr>
            </w:pPr>
            <w:hyperlink r:id="rId16" w:history="1">
              <w:r w:rsidR="00A13908" w:rsidRPr="00F86229">
                <w:rPr>
                  <w:rStyle w:val="Hyperlink"/>
                  <w:bCs/>
                  <w:szCs w:val="24"/>
                </w:rPr>
                <w:t>Werner.margard@puc.state.oh.us</w:t>
              </w:r>
            </w:hyperlink>
          </w:p>
          <w:p w:rsidR="00244ABB" w:rsidRDefault="00E40CE6" w:rsidP="00F32A01">
            <w:pPr>
              <w:autoSpaceDE w:val="0"/>
              <w:autoSpaceDN w:val="0"/>
              <w:adjustRightInd w:val="0"/>
              <w:rPr>
                <w:bCs/>
                <w:szCs w:val="24"/>
              </w:rPr>
            </w:pPr>
            <w:hyperlink r:id="rId17" w:history="1">
              <w:r w:rsidR="00A13908" w:rsidRPr="00F86229">
                <w:rPr>
                  <w:rStyle w:val="Hyperlink"/>
                  <w:bCs/>
                  <w:szCs w:val="24"/>
                </w:rPr>
                <w:t>Steven.beeler@puc.state.oh.us</w:t>
              </w:r>
            </w:hyperlink>
          </w:p>
          <w:p w:rsidR="00244ABB" w:rsidRDefault="00E40CE6" w:rsidP="00F32A01">
            <w:pPr>
              <w:autoSpaceDE w:val="0"/>
              <w:autoSpaceDN w:val="0"/>
              <w:adjustRightInd w:val="0"/>
              <w:rPr>
                <w:bCs/>
                <w:szCs w:val="24"/>
              </w:rPr>
            </w:pPr>
            <w:hyperlink r:id="rId18" w:history="1">
              <w:r w:rsidR="00A13908" w:rsidRPr="00F86229">
                <w:rPr>
                  <w:rStyle w:val="Hyperlink"/>
                  <w:bCs/>
                  <w:szCs w:val="24"/>
                </w:rPr>
                <w:t>haydenm@firstenergycorp.com</w:t>
              </w:r>
            </w:hyperlink>
          </w:p>
          <w:p w:rsidR="00244ABB" w:rsidRDefault="00E40CE6" w:rsidP="00F32A01">
            <w:pPr>
              <w:autoSpaceDE w:val="0"/>
              <w:autoSpaceDN w:val="0"/>
              <w:adjustRightInd w:val="0"/>
              <w:rPr>
                <w:bCs/>
                <w:szCs w:val="24"/>
              </w:rPr>
            </w:pPr>
            <w:hyperlink r:id="rId19" w:history="1">
              <w:r w:rsidR="00A13908" w:rsidRPr="00F86229">
                <w:rPr>
                  <w:rStyle w:val="Hyperlink"/>
                  <w:bCs/>
                  <w:szCs w:val="24"/>
                </w:rPr>
                <w:t>scasto@firstenergycorp.com</w:t>
              </w:r>
            </w:hyperlink>
          </w:p>
          <w:p w:rsidR="00244ABB" w:rsidRDefault="00244ABB" w:rsidP="00F32A01">
            <w:pPr>
              <w:autoSpaceDE w:val="0"/>
              <w:autoSpaceDN w:val="0"/>
              <w:adjustRightInd w:val="0"/>
              <w:rPr>
                <w:bCs/>
                <w:szCs w:val="24"/>
              </w:rPr>
            </w:pPr>
          </w:p>
          <w:p w:rsidR="00244ABB" w:rsidRDefault="00244ABB" w:rsidP="00F32A01">
            <w:pPr>
              <w:autoSpaceDE w:val="0"/>
              <w:autoSpaceDN w:val="0"/>
              <w:adjustRightInd w:val="0"/>
              <w:rPr>
                <w:bCs/>
                <w:szCs w:val="24"/>
              </w:rPr>
            </w:pPr>
          </w:p>
          <w:p w:rsidR="00244ABB" w:rsidRDefault="00244ABB" w:rsidP="00F32A01">
            <w:pPr>
              <w:autoSpaceDE w:val="0"/>
              <w:autoSpaceDN w:val="0"/>
              <w:adjustRightInd w:val="0"/>
              <w:rPr>
                <w:bCs/>
                <w:szCs w:val="24"/>
              </w:rPr>
            </w:pPr>
            <w:r w:rsidRPr="006A2D56">
              <w:rPr>
                <w:bCs/>
                <w:szCs w:val="24"/>
              </w:rPr>
              <w:t xml:space="preserve">AE:  </w:t>
            </w:r>
            <w:hyperlink r:id="rId20" w:history="1">
              <w:r w:rsidR="00A13908" w:rsidRPr="00F86229">
                <w:rPr>
                  <w:rStyle w:val="Hyperlink"/>
                  <w:bCs/>
                  <w:szCs w:val="24"/>
                </w:rPr>
                <w:t>lynn.james@puc.state.oh.us</w:t>
              </w:r>
            </w:hyperlink>
          </w:p>
          <w:p w:rsidR="00244ABB" w:rsidRDefault="00244ABB" w:rsidP="00F32A01">
            <w:pPr>
              <w:autoSpaceDE w:val="0"/>
              <w:autoSpaceDN w:val="0"/>
              <w:adjustRightInd w:val="0"/>
              <w:rPr>
                <w:bCs/>
                <w:szCs w:val="24"/>
              </w:rPr>
            </w:pPr>
            <w:r>
              <w:rPr>
                <w:bCs/>
                <w:szCs w:val="24"/>
              </w:rPr>
              <w:t xml:space="preserve">        </w:t>
            </w:r>
            <w:hyperlink r:id="rId21" w:history="1">
              <w:r w:rsidR="00A13908" w:rsidRPr="00F86229">
                <w:rPr>
                  <w:rStyle w:val="Hyperlink"/>
                  <w:bCs/>
                  <w:szCs w:val="24"/>
                </w:rPr>
                <w:t>Bryce.mckenney@puc.state.oh.us</w:t>
              </w:r>
            </w:hyperlink>
          </w:p>
          <w:p w:rsidR="00244ABB" w:rsidRPr="006A2D56" w:rsidRDefault="00244ABB" w:rsidP="00F32A01">
            <w:pPr>
              <w:autoSpaceDE w:val="0"/>
              <w:autoSpaceDN w:val="0"/>
              <w:adjustRightInd w:val="0"/>
              <w:rPr>
                <w:bCs/>
                <w:szCs w:val="24"/>
              </w:rPr>
            </w:pPr>
            <w:r w:rsidRPr="006A2D56">
              <w:rPr>
                <w:rStyle w:val="Hyperlink"/>
                <w:bCs/>
                <w:szCs w:val="24"/>
              </w:rPr>
              <w:t xml:space="preserve">     </w:t>
            </w:r>
          </w:p>
        </w:tc>
        <w:tc>
          <w:tcPr>
            <w:tcW w:w="4428" w:type="dxa"/>
          </w:tcPr>
          <w:p w:rsidR="00244ABB" w:rsidRDefault="00E40CE6" w:rsidP="00F32A01">
            <w:pPr>
              <w:autoSpaceDE w:val="0"/>
              <w:autoSpaceDN w:val="0"/>
              <w:adjustRightInd w:val="0"/>
              <w:rPr>
                <w:szCs w:val="24"/>
              </w:rPr>
            </w:pPr>
            <w:hyperlink r:id="rId22" w:history="1">
              <w:r w:rsidR="00A13908" w:rsidRPr="00F86229">
                <w:rPr>
                  <w:rStyle w:val="Hyperlink"/>
                  <w:szCs w:val="24"/>
                </w:rPr>
                <w:t>stnourse@aep.com</w:t>
              </w:r>
            </w:hyperlink>
          </w:p>
          <w:p w:rsidR="00244ABB" w:rsidRDefault="00E40CE6" w:rsidP="00F32A01">
            <w:pPr>
              <w:autoSpaceDE w:val="0"/>
              <w:autoSpaceDN w:val="0"/>
              <w:adjustRightInd w:val="0"/>
              <w:rPr>
                <w:szCs w:val="24"/>
              </w:rPr>
            </w:pPr>
            <w:hyperlink r:id="rId23" w:history="1">
              <w:r w:rsidR="00A13908" w:rsidRPr="00F86229">
                <w:rPr>
                  <w:rStyle w:val="Hyperlink"/>
                  <w:szCs w:val="24"/>
                </w:rPr>
                <w:t>mjsatterwhite@aep.com</w:t>
              </w:r>
            </w:hyperlink>
          </w:p>
          <w:p w:rsidR="00244ABB" w:rsidRDefault="00E40CE6" w:rsidP="00F32A01">
            <w:pPr>
              <w:autoSpaceDE w:val="0"/>
              <w:autoSpaceDN w:val="0"/>
              <w:adjustRightInd w:val="0"/>
              <w:rPr>
                <w:szCs w:val="24"/>
              </w:rPr>
            </w:pPr>
            <w:hyperlink r:id="rId24" w:history="1">
              <w:r w:rsidR="00A13908" w:rsidRPr="00F86229">
                <w:rPr>
                  <w:rStyle w:val="Hyperlink"/>
                  <w:szCs w:val="24"/>
                </w:rPr>
                <w:t>burkj@firstenergycorp.com</w:t>
              </w:r>
            </w:hyperlink>
          </w:p>
          <w:p w:rsidR="00244ABB" w:rsidRDefault="00E40CE6" w:rsidP="00F32A01">
            <w:pPr>
              <w:autoSpaceDE w:val="0"/>
              <w:autoSpaceDN w:val="0"/>
              <w:adjustRightInd w:val="0"/>
              <w:rPr>
                <w:szCs w:val="24"/>
              </w:rPr>
            </w:pPr>
            <w:hyperlink r:id="rId25" w:history="1">
              <w:r w:rsidR="00A13908" w:rsidRPr="00F86229">
                <w:rPr>
                  <w:rStyle w:val="Hyperlink"/>
                  <w:szCs w:val="24"/>
                </w:rPr>
                <w:t>joseph.clark@directenergy.com</w:t>
              </w:r>
            </w:hyperlink>
          </w:p>
          <w:p w:rsidR="00A13908" w:rsidRDefault="00A13908" w:rsidP="00F32A01">
            <w:pPr>
              <w:autoSpaceDE w:val="0"/>
              <w:autoSpaceDN w:val="0"/>
              <w:adjustRightInd w:val="0"/>
              <w:rPr>
                <w:color w:val="0000FF"/>
                <w:szCs w:val="24"/>
              </w:rPr>
            </w:pPr>
          </w:p>
          <w:p w:rsidR="00244ABB" w:rsidRPr="006A2D56" w:rsidRDefault="00244ABB" w:rsidP="00F32A01">
            <w:pPr>
              <w:autoSpaceDE w:val="0"/>
              <w:autoSpaceDN w:val="0"/>
              <w:adjustRightInd w:val="0"/>
              <w:rPr>
                <w:bCs/>
                <w:szCs w:val="24"/>
              </w:rPr>
            </w:pPr>
          </w:p>
        </w:tc>
      </w:tr>
    </w:tbl>
    <w:p w:rsidR="00244ABB" w:rsidRDefault="00244ABB" w:rsidP="0094626A">
      <w:pPr>
        <w:spacing w:line="480" w:lineRule="auto"/>
        <w:rPr>
          <w:rStyle w:val="Hyperlink"/>
          <w:szCs w:val="24"/>
        </w:rPr>
      </w:pPr>
    </w:p>
    <w:sectPr w:rsidR="00244ABB" w:rsidSect="00362D33">
      <w:footerReference w:type="default" r:id="rId26"/>
      <w:pgSz w:w="12240" w:h="15840" w:code="1"/>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4F" w:rsidRDefault="00EC674F" w:rsidP="009D0735">
      <w:r>
        <w:separator/>
      </w:r>
    </w:p>
  </w:endnote>
  <w:endnote w:type="continuationSeparator" w:id="0">
    <w:p w:rsidR="00EC674F" w:rsidRDefault="00EC674F" w:rsidP="009D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B" w:rsidRDefault="00635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BB" w:rsidRDefault="00244ABB">
    <w:pPr>
      <w:pStyle w:val="Footer"/>
      <w:jc w:val="center"/>
    </w:pPr>
  </w:p>
  <w:p w:rsidR="00244ABB" w:rsidRDefault="00244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B" w:rsidRDefault="006355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BB" w:rsidRDefault="00244ABB">
    <w:pPr>
      <w:pStyle w:val="Footer"/>
      <w:jc w:val="center"/>
    </w:pPr>
  </w:p>
  <w:p w:rsidR="00244ABB" w:rsidRDefault="00244A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BB" w:rsidRDefault="00244ABB">
    <w:pPr>
      <w:pStyle w:val="Footer"/>
      <w:jc w:val="center"/>
    </w:pPr>
    <w:r w:rsidRPr="008B4A24">
      <w:rPr>
        <w:sz w:val="24"/>
        <w:szCs w:val="24"/>
      </w:rPr>
      <w:fldChar w:fldCharType="begin"/>
    </w:r>
    <w:r w:rsidRPr="008B4A24">
      <w:rPr>
        <w:sz w:val="24"/>
        <w:szCs w:val="24"/>
      </w:rPr>
      <w:instrText xml:space="preserve"> PAGE   \* MERGEFORMAT </w:instrText>
    </w:r>
    <w:r w:rsidRPr="008B4A24">
      <w:rPr>
        <w:sz w:val="24"/>
        <w:szCs w:val="24"/>
      </w:rPr>
      <w:fldChar w:fldCharType="separate"/>
    </w:r>
    <w:r w:rsidR="00A13908">
      <w:rPr>
        <w:noProof/>
        <w:sz w:val="24"/>
        <w:szCs w:val="24"/>
      </w:rPr>
      <w:t>2</w:t>
    </w:r>
    <w:r w:rsidRPr="008B4A24">
      <w:rPr>
        <w:sz w:val="24"/>
        <w:szCs w:val="24"/>
      </w:rPr>
      <w:fldChar w:fldCharType="end"/>
    </w:r>
  </w:p>
  <w:p w:rsidR="00244ABB" w:rsidRDefault="0024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4F" w:rsidRDefault="00EC674F" w:rsidP="009D0735">
      <w:r>
        <w:separator/>
      </w:r>
    </w:p>
  </w:footnote>
  <w:footnote w:type="continuationSeparator" w:id="0">
    <w:p w:rsidR="00EC674F" w:rsidRDefault="00EC674F" w:rsidP="009D0735">
      <w:r>
        <w:continuationSeparator/>
      </w:r>
    </w:p>
  </w:footnote>
  <w:footnote w:id="1">
    <w:p w:rsidR="00244ABB" w:rsidRDefault="00244ABB" w:rsidP="009D0735">
      <w:pPr>
        <w:pStyle w:val="FootnoteText"/>
      </w:pPr>
      <w:r>
        <w:rPr>
          <w:rStyle w:val="FootnoteReference"/>
        </w:rPr>
        <w:footnoteRef/>
      </w:r>
      <w:r>
        <w:t xml:space="preserve"> R.C. 4903.10.</w:t>
      </w:r>
    </w:p>
  </w:footnote>
  <w:footnote w:id="2">
    <w:p w:rsidR="00244ABB" w:rsidRDefault="00244ABB" w:rsidP="009D0735">
      <w:pPr>
        <w:pStyle w:val="FootnoteText"/>
      </w:pPr>
      <w:r>
        <w:rPr>
          <w:rStyle w:val="FootnoteReference"/>
        </w:rPr>
        <w:footnoteRef/>
      </w:r>
      <w:r>
        <w:t xml:space="preserve"> R.C. 4903.10(B). </w:t>
      </w:r>
    </w:p>
  </w:footnote>
  <w:footnote w:id="3">
    <w:p w:rsidR="00244ABB" w:rsidRDefault="00244ABB" w:rsidP="009D0735">
      <w:pPr>
        <w:pStyle w:val="FootnoteText"/>
      </w:pPr>
      <w:r>
        <w:rPr>
          <w:rStyle w:val="FootnoteReference"/>
        </w:rPr>
        <w:footnoteRef/>
      </w:r>
      <w:r>
        <w:t xml:space="preserve"> Id.</w:t>
      </w:r>
    </w:p>
  </w:footnote>
  <w:footnote w:id="4">
    <w:p w:rsidR="00244ABB" w:rsidRDefault="00244ABB" w:rsidP="009D0735">
      <w:pPr>
        <w:pStyle w:val="FootnoteText"/>
      </w:pPr>
      <w:r>
        <w:rPr>
          <w:rStyle w:val="FootnoteReference"/>
        </w:rPr>
        <w:footnoteRef/>
      </w:r>
      <w:r>
        <w:t xml:space="preserve"> Id. </w:t>
      </w:r>
    </w:p>
  </w:footnote>
  <w:footnote w:id="5">
    <w:p w:rsidR="00244ABB" w:rsidRDefault="00244ABB" w:rsidP="009D0735">
      <w:pPr>
        <w:pStyle w:val="FootnoteText"/>
      </w:pPr>
      <w:r>
        <w:rPr>
          <w:rStyle w:val="FootnoteReference"/>
        </w:rPr>
        <w:footnoteRef/>
      </w:r>
      <w:r>
        <w:t xml:space="preserve"> See Ohio Admin. Code 4901-1-35.</w:t>
      </w:r>
    </w:p>
  </w:footnote>
  <w:footnote w:id="6">
    <w:p w:rsidR="00244ABB" w:rsidRDefault="00244ABB" w:rsidP="00813621">
      <w:pPr>
        <w:pStyle w:val="FootnoteText"/>
      </w:pPr>
      <w:r w:rsidRPr="003F0615">
        <w:rPr>
          <w:rStyle w:val="FootnoteReference"/>
        </w:rPr>
        <w:footnoteRef/>
      </w:r>
      <w:r w:rsidRPr="003F0615">
        <w:t xml:space="preserve"> </w:t>
      </w:r>
      <w:r>
        <w:rPr>
          <w:i/>
        </w:rPr>
        <w:t xml:space="preserve">Gilbert v. Summit </w:t>
      </w:r>
      <w:r w:rsidRPr="003F0615">
        <w:t>County</w:t>
      </w:r>
      <w:r>
        <w:t>, 2004-Ohio-7108, 104 Ohio St.3d 660, 821 N.E.2d 564, ¶7 (quoting</w:t>
      </w:r>
      <w:r w:rsidRPr="003F0615">
        <w:t xml:space="preserve"> </w:t>
      </w:r>
      <w:r w:rsidRPr="003F0615">
        <w:rPr>
          <w:i/>
          <w:iCs/>
        </w:rPr>
        <w:t>State ex rel. The Miami Student v. Miami Univ.</w:t>
      </w:r>
      <w:r w:rsidRPr="003F0615">
        <w:t xml:space="preserve">, 79 </w:t>
      </w:r>
      <w:r w:rsidRPr="002F5052">
        <w:rPr>
          <w:rStyle w:val="term1"/>
          <w:b w:val="0"/>
        </w:rPr>
        <w:t>Ohio</w:t>
      </w:r>
      <w:r>
        <w:t xml:space="preserve"> St.3d 168, 171, </w:t>
      </w:r>
      <w:r w:rsidRPr="003F0615">
        <w:t>680 N.E.2d 956</w:t>
      </w:r>
      <w:r>
        <w:t xml:space="preserve"> (1997)).</w:t>
      </w:r>
    </w:p>
  </w:footnote>
  <w:footnote w:id="7">
    <w:p w:rsidR="00244ABB" w:rsidRDefault="00244ABB" w:rsidP="00813621">
      <w:pPr>
        <w:pStyle w:val="FootnoteText"/>
      </w:pPr>
      <w:r w:rsidRPr="003F0615">
        <w:rPr>
          <w:rStyle w:val="FootnoteReference"/>
        </w:rPr>
        <w:footnoteRef/>
      </w:r>
      <w:r>
        <w:rPr>
          <w:i/>
        </w:rPr>
        <w:t xml:space="preserve"> Gilbert</w:t>
      </w:r>
      <w:r>
        <w:t>, 2004-Ohio-7108, at ¶7, (quoting</w:t>
      </w:r>
      <w:r w:rsidRPr="003F0615">
        <w:t xml:space="preserve"> </w:t>
      </w:r>
      <w:r w:rsidRPr="003F0615">
        <w:rPr>
          <w:i/>
          <w:iCs/>
        </w:rPr>
        <w:t>State ex rel. Cincinnati Enquirer v. Hamilton Cty.</w:t>
      </w:r>
      <w:r w:rsidRPr="003F0615">
        <w:t xml:space="preserve">, 75 </w:t>
      </w:r>
      <w:r w:rsidRPr="002F5052">
        <w:rPr>
          <w:rStyle w:val="term1"/>
          <w:b w:val="0"/>
        </w:rPr>
        <w:t>Ohio</w:t>
      </w:r>
      <w:r w:rsidRPr="003F0615">
        <w:t xml:space="preserve"> St. 3d 374, 376, 1996 </w:t>
      </w:r>
      <w:r w:rsidRPr="00FC521B">
        <w:rPr>
          <w:rStyle w:val="term1"/>
          <w:b w:val="0"/>
        </w:rPr>
        <w:t>Ohio</w:t>
      </w:r>
      <w:r w:rsidRPr="003F0615">
        <w:t xml:space="preserve"> 214, 662 N.E.2d 334</w:t>
      </w:r>
      <w:r>
        <w:t xml:space="preserve">; (1996); </w:t>
      </w:r>
      <w:r>
        <w:rPr>
          <w:i/>
        </w:rPr>
        <w:t>see also,</w:t>
      </w:r>
      <w:r>
        <w:t xml:space="preserve"> </w:t>
      </w:r>
      <w:r>
        <w:rPr>
          <w:i/>
        </w:rPr>
        <w:t>In the Matter of the Application of NOPEC, Inc. for Authority to Operate a s a Certified Retail Electric Supplier in the State of Ohio</w:t>
      </w:r>
      <w:r>
        <w:t xml:space="preserve">, Case No. 07-891-EL-CRS, Entry at 1 (citing </w:t>
      </w:r>
      <w:r>
        <w:rPr>
          <w:i/>
        </w:rPr>
        <w:t>State ex rel. Williams v. Cleveland</w:t>
      </w:r>
      <w:r>
        <w:t>, 64 Ohio St.3d 544, 549, 597 N.E.2d 147 (1992)).</w:t>
      </w:r>
    </w:p>
  </w:footnote>
  <w:footnote w:id="8">
    <w:p w:rsidR="00244ABB" w:rsidRDefault="00244ABB" w:rsidP="00813621">
      <w:pPr>
        <w:pStyle w:val="FootnoteText"/>
      </w:pPr>
      <w:r w:rsidRPr="00F97152">
        <w:rPr>
          <w:rStyle w:val="FootnoteReference"/>
        </w:rPr>
        <w:footnoteRef/>
      </w:r>
      <w:r w:rsidRPr="00F97152">
        <w:t xml:space="preserve"> R.C. 4901.12</w:t>
      </w:r>
      <w:r>
        <w:t>.</w:t>
      </w:r>
    </w:p>
  </w:footnote>
  <w:footnote w:id="9">
    <w:p w:rsidR="00244ABB" w:rsidRDefault="00244ABB" w:rsidP="00813621">
      <w:pPr>
        <w:pStyle w:val="FootnoteText"/>
      </w:pPr>
      <w:r w:rsidRPr="00F97152">
        <w:rPr>
          <w:rStyle w:val="FootnoteReference"/>
        </w:rPr>
        <w:footnoteRef/>
      </w:r>
      <w:r w:rsidRPr="00F97152">
        <w:t xml:space="preserve"> R.C. 4905.07</w:t>
      </w:r>
      <w:r>
        <w:t>.</w:t>
      </w:r>
    </w:p>
  </w:footnote>
  <w:footnote w:id="10">
    <w:p w:rsidR="00244ABB" w:rsidRDefault="00244ABB" w:rsidP="00813621">
      <w:pPr>
        <w:pStyle w:val="FootnoteText"/>
      </w:pPr>
      <w:r w:rsidRPr="001B3E98">
        <w:rPr>
          <w:rStyle w:val="FootnoteReference"/>
        </w:rPr>
        <w:footnoteRef/>
      </w:r>
      <w:r w:rsidRPr="001B3E98">
        <w:t xml:space="preserve"> </w:t>
      </w:r>
      <w:r>
        <w:rPr>
          <w:i/>
        </w:rPr>
        <w:t>Gilbert</w:t>
      </w:r>
      <w:r>
        <w:t>, 2004-Ohio-7108</w:t>
      </w:r>
      <w:r w:rsidRPr="001B3E98">
        <w:t xml:space="preserve"> at ¶ 6, quoting </w:t>
      </w:r>
      <w:r w:rsidRPr="001B3E98">
        <w:rPr>
          <w:i/>
          <w:iCs/>
        </w:rPr>
        <w:t>State ex. rel. Natl. Broadcasting Co., Inc. v. Cleveland</w:t>
      </w:r>
      <w:r w:rsidRPr="001B3E98">
        <w:t xml:space="preserve"> (1988), 38 </w:t>
      </w:r>
      <w:r w:rsidRPr="00813621">
        <w:rPr>
          <w:rStyle w:val="term1"/>
          <w:b w:val="0"/>
        </w:rPr>
        <w:t>Ohio</w:t>
      </w:r>
      <w:r w:rsidRPr="001B3E98">
        <w:t xml:space="preserve"> St.3d 79, 526 N.E.2d 786, paragraph two of the syllabus.</w:t>
      </w:r>
    </w:p>
  </w:footnote>
  <w:footnote w:id="11">
    <w:p w:rsidR="00244ABB" w:rsidRDefault="00244ABB" w:rsidP="00813621">
      <w:pPr>
        <w:pStyle w:val="FootnoteText"/>
      </w:pPr>
      <w:r>
        <w:rPr>
          <w:rStyle w:val="FootnoteReference"/>
        </w:rPr>
        <w:footnoteRef/>
      </w:r>
      <w:r>
        <w:t xml:space="preserve"> Ohio Adm. Code 4901-1-27-(B)(7)(e).</w:t>
      </w:r>
    </w:p>
  </w:footnote>
  <w:footnote w:id="12">
    <w:p w:rsidR="00244ABB" w:rsidRDefault="00244ABB" w:rsidP="00813621">
      <w:pPr>
        <w:pStyle w:val="FootnoteText"/>
      </w:pPr>
      <w:r>
        <w:rPr>
          <w:rStyle w:val="FootnoteReference"/>
        </w:rPr>
        <w:footnoteRef/>
      </w:r>
      <w:r>
        <w:t xml:space="preserve"> </w:t>
      </w:r>
      <w:r w:rsidRPr="00813621">
        <w:t>See,</w:t>
      </w:r>
      <w:r>
        <w:t xml:space="preserve"> R.C. 1331.61; </w:t>
      </w:r>
      <w:r>
        <w:rPr>
          <w:i/>
        </w:rPr>
        <w:t>State ex rel. Plain Dealer v. Department of Ins.</w:t>
      </w:r>
      <w:r>
        <w:t>, 80 Ohio St.3d 513, 687 N.E.2d 661 (1998).</w:t>
      </w:r>
    </w:p>
  </w:footnote>
  <w:footnote w:id="13">
    <w:p w:rsidR="00244ABB" w:rsidRDefault="00244ABB" w:rsidP="00813621">
      <w:pPr>
        <w:pStyle w:val="FootnoteText"/>
      </w:pPr>
      <w:r>
        <w:rPr>
          <w:rStyle w:val="FootnoteReference"/>
        </w:rPr>
        <w:footnoteRef/>
      </w:r>
      <w:r>
        <w:t xml:space="preserve"> </w:t>
      </w:r>
      <w:r>
        <w:rPr>
          <w:i/>
        </w:rPr>
        <w:t>In the Matter of the Application of the Cleveland Electric Illuminating Company for Approval of an electric Service Agreement with American Steel Wire Corporation</w:t>
      </w:r>
      <w:r>
        <w:t>, Case No. 95-77-EL-AEC, Entry at 2-3 (September 6, 1995).</w:t>
      </w:r>
    </w:p>
  </w:footnote>
  <w:footnote w:id="14">
    <w:p w:rsidR="00244ABB" w:rsidRDefault="00244ABB" w:rsidP="00813621">
      <w:pPr>
        <w:pStyle w:val="FootnoteText"/>
      </w:pPr>
      <w:r>
        <w:rPr>
          <w:rStyle w:val="FootnoteReference"/>
        </w:rPr>
        <w:footnoteRef/>
      </w:r>
      <w:r>
        <w:t xml:space="preserve"> Ohio Adm. Code 4901-1-02(E).</w:t>
      </w:r>
    </w:p>
  </w:footnote>
  <w:footnote w:id="15">
    <w:p w:rsidR="00244ABB" w:rsidRDefault="00244ABB" w:rsidP="00813621">
      <w:pPr>
        <w:pStyle w:val="FootnoteText"/>
      </w:pPr>
      <w:r>
        <w:rPr>
          <w:rStyle w:val="FootnoteReference"/>
        </w:rPr>
        <w:footnoteRef/>
      </w:r>
      <w:r>
        <w:t xml:space="preserve"> Finding and Order at 7.</w:t>
      </w:r>
    </w:p>
  </w:footnote>
  <w:footnote w:id="16">
    <w:p w:rsidR="00244ABB" w:rsidRDefault="00244ABB" w:rsidP="00813621">
      <w:pPr>
        <w:pStyle w:val="FootnoteText"/>
      </w:pPr>
      <w:r>
        <w:rPr>
          <w:rStyle w:val="FootnoteReference"/>
        </w:rPr>
        <w:footnoteRef/>
      </w:r>
      <w:r>
        <w:t xml:space="preserve"> Finding and Order at 7.</w:t>
      </w:r>
    </w:p>
  </w:footnote>
  <w:footnote w:id="17">
    <w:p w:rsidR="00244ABB" w:rsidRDefault="00244ABB" w:rsidP="00813621">
      <w:pPr>
        <w:pStyle w:val="FootnoteText"/>
      </w:pPr>
      <w:r>
        <w:rPr>
          <w:rStyle w:val="FootnoteReference"/>
        </w:rPr>
        <w:footnoteRef/>
      </w:r>
      <w:r>
        <w:t xml:space="preserve"> Finding and Order at 7.</w:t>
      </w:r>
    </w:p>
  </w:footnote>
  <w:footnote w:id="18">
    <w:p w:rsidR="00244ABB" w:rsidRDefault="00244ABB" w:rsidP="00813621">
      <w:pPr>
        <w:pStyle w:val="FootnoteText"/>
      </w:pPr>
      <w:r>
        <w:rPr>
          <w:rStyle w:val="FootnoteReference"/>
        </w:rPr>
        <w:footnoteRef/>
      </w:r>
      <w:r>
        <w:t xml:space="preserve"> Finding and Order at 7.</w:t>
      </w:r>
    </w:p>
  </w:footnote>
  <w:footnote w:id="19">
    <w:p w:rsidR="00244ABB" w:rsidRDefault="00244ABB" w:rsidP="00813621">
      <w:pPr>
        <w:pStyle w:val="FootnoteText"/>
      </w:pPr>
      <w:r>
        <w:rPr>
          <w:rStyle w:val="FootnoteReference"/>
        </w:rPr>
        <w:footnoteRef/>
      </w:r>
      <w:r>
        <w:t xml:space="preserve"> Finding and Order at 7.</w:t>
      </w:r>
    </w:p>
  </w:footnote>
  <w:footnote w:id="20">
    <w:p w:rsidR="00244ABB" w:rsidRDefault="00244ABB">
      <w:pPr>
        <w:pStyle w:val="FootnoteText"/>
      </w:pPr>
      <w:r>
        <w:rPr>
          <w:rStyle w:val="FootnoteReference"/>
        </w:rPr>
        <w:footnoteRef/>
      </w:r>
      <w:r>
        <w:t xml:space="preserve"> R.C. 4928.02(E).</w:t>
      </w:r>
    </w:p>
  </w:footnote>
  <w:footnote w:id="21">
    <w:p w:rsidR="00244ABB" w:rsidRDefault="00244ABB">
      <w:pPr>
        <w:pStyle w:val="FootnoteText"/>
      </w:pPr>
      <w:r>
        <w:rPr>
          <w:rStyle w:val="FootnoteReference"/>
        </w:rPr>
        <w:footnoteRef/>
      </w:r>
      <w:r>
        <w:t xml:space="preserve"> </w:t>
      </w:r>
      <w:r w:rsidRPr="0087782D">
        <w:rPr>
          <w:i/>
        </w:rPr>
        <w:t>In the Matter of the Commission’s Investigation of Ohio’s Retail Electric Service Market</w:t>
      </w:r>
      <w:r>
        <w:t>, Case No. 12-3151-EL-COI, Concurring Opinion of Chairman Snitchler at 2 (March 26, 2014).</w:t>
      </w:r>
    </w:p>
  </w:footnote>
  <w:footnote w:id="22">
    <w:p w:rsidR="00244ABB" w:rsidRDefault="00244ABB">
      <w:pPr>
        <w:pStyle w:val="FootnoteText"/>
      </w:pPr>
      <w:r>
        <w:rPr>
          <w:rStyle w:val="FootnoteReference"/>
        </w:rPr>
        <w:footnoteRef/>
      </w:r>
      <w:r>
        <w:t xml:space="preserve"> </w:t>
      </w:r>
      <w:r w:rsidRPr="0087782D">
        <w:rPr>
          <w:i/>
        </w:rPr>
        <w:t>In the Matter of the Commission’s Investigation of Ohio’s Retail Electric Service Market</w:t>
      </w:r>
      <w:r>
        <w:t>, Case No. 12-3151-EL-COI</w:t>
      </w:r>
      <w:r w:rsidR="00A91BA6">
        <w:t xml:space="preserve">, </w:t>
      </w:r>
      <w:r>
        <w:t xml:space="preserve"> </w:t>
      </w:r>
      <w:r>
        <w:rPr>
          <w:szCs w:val="24"/>
        </w:rPr>
        <w:t>Staff Work Plan at</w:t>
      </w:r>
      <w:r>
        <w:t xml:space="preserve"> 10 </w:t>
      </w:r>
      <w:r>
        <w:rPr>
          <w:szCs w:val="24"/>
        </w:rPr>
        <w:t>(Jan. 16, 2014)</w:t>
      </w:r>
      <w:r>
        <w:t>.</w:t>
      </w:r>
    </w:p>
  </w:footnote>
  <w:footnote w:id="23">
    <w:p w:rsidR="00244ABB" w:rsidRDefault="00244ABB">
      <w:pPr>
        <w:pStyle w:val="FootnoteText"/>
      </w:pPr>
      <w:r>
        <w:rPr>
          <w:rStyle w:val="FootnoteReference"/>
        </w:rPr>
        <w:footnoteRef/>
      </w:r>
      <w:r w:rsidRPr="0087782D">
        <w:rPr>
          <w:i/>
        </w:rPr>
        <w:t>In the Matter of the Commission’s Investigation of Ohio’s Retail Electric Service Market</w:t>
      </w:r>
      <w:r>
        <w:t xml:space="preserve">, Case No. 12-3151-EL-COI, </w:t>
      </w:r>
      <w:r>
        <w:rPr>
          <w:szCs w:val="24"/>
        </w:rPr>
        <w:t xml:space="preserve">Staff Work Plan at 11 (Jan. 16, 2014).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B" w:rsidRDefault="00635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B" w:rsidRDefault="00635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B" w:rsidRDefault="006355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BB" w:rsidRDefault="00244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2B6CA74"/>
    <w:lvl w:ilvl="0">
      <w:start w:val="1"/>
      <w:numFmt w:val="decimal"/>
      <w:lvlText w:val="%1."/>
      <w:lvlJc w:val="left"/>
      <w:pPr>
        <w:tabs>
          <w:tab w:val="num" w:pos="1080"/>
        </w:tabs>
        <w:ind w:left="1080" w:hanging="360"/>
      </w:pPr>
      <w:rPr>
        <w:rFonts w:cs="Times New Roman"/>
      </w:rPr>
    </w:lvl>
  </w:abstractNum>
  <w:abstractNum w:abstractNumId="1">
    <w:nsid w:val="FFFFFF7F"/>
    <w:multiLevelType w:val="singleLevel"/>
    <w:tmpl w:val="180616D8"/>
    <w:lvl w:ilvl="0">
      <w:start w:val="1"/>
      <w:numFmt w:val="decimal"/>
      <w:lvlText w:val="%1."/>
      <w:lvlJc w:val="left"/>
      <w:pPr>
        <w:tabs>
          <w:tab w:val="num" w:pos="720"/>
        </w:tabs>
        <w:ind w:left="720" w:hanging="360"/>
      </w:pPr>
      <w:rPr>
        <w:rFonts w:cs="Times New Roman"/>
      </w:rPr>
    </w:lvl>
  </w:abstractNum>
  <w:abstractNum w:abstractNumId="2">
    <w:nsid w:val="FFFFFF80"/>
    <w:multiLevelType w:val="singleLevel"/>
    <w:tmpl w:val="50541816"/>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679E8A4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17A4528"/>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946A48AE"/>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2F0C2CF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F7122A70"/>
    <w:lvl w:ilvl="0">
      <w:start w:val="1"/>
      <w:numFmt w:val="bullet"/>
      <w:lvlText w:val=""/>
      <w:lvlJc w:val="left"/>
      <w:pPr>
        <w:tabs>
          <w:tab w:val="num" w:pos="360"/>
        </w:tabs>
        <w:ind w:left="360" w:hanging="360"/>
      </w:pPr>
      <w:rPr>
        <w:rFonts w:ascii="Symbol" w:hAnsi="Symbol" w:hint="default"/>
      </w:rPr>
    </w:lvl>
  </w:abstractNum>
  <w:abstractNum w:abstractNumId="8">
    <w:nsid w:val="09C86CBC"/>
    <w:multiLevelType w:val="hybridMultilevel"/>
    <w:tmpl w:val="A5006806"/>
    <w:lvl w:ilvl="0" w:tplc="B0122E68">
      <w:start w:val="1"/>
      <w:numFmt w:val="upperLetter"/>
      <w:lvlText w:val="(%1)"/>
      <w:lvlJc w:val="left"/>
      <w:pPr>
        <w:ind w:left="6840" w:hanging="360"/>
      </w:pPr>
      <w:rPr>
        <w:rFonts w:cs="Times New Roman" w:hint="default"/>
      </w:rPr>
    </w:lvl>
    <w:lvl w:ilvl="1" w:tplc="04090019">
      <w:start w:val="1"/>
      <w:numFmt w:val="lowerLetter"/>
      <w:lvlText w:val="%2."/>
      <w:lvlJc w:val="left"/>
      <w:pPr>
        <w:ind w:left="7560" w:hanging="360"/>
      </w:pPr>
      <w:rPr>
        <w:rFonts w:cs="Times New Roman"/>
      </w:rPr>
    </w:lvl>
    <w:lvl w:ilvl="2" w:tplc="0409001B">
      <w:start w:val="1"/>
      <w:numFmt w:val="lowerRoman"/>
      <w:lvlText w:val="%3."/>
      <w:lvlJc w:val="right"/>
      <w:pPr>
        <w:ind w:left="8280" w:hanging="180"/>
      </w:pPr>
      <w:rPr>
        <w:rFonts w:cs="Times New Roman"/>
      </w:rPr>
    </w:lvl>
    <w:lvl w:ilvl="3" w:tplc="0409000F">
      <w:start w:val="1"/>
      <w:numFmt w:val="decimal"/>
      <w:lvlText w:val="%4."/>
      <w:lvlJc w:val="left"/>
      <w:pPr>
        <w:ind w:left="9000" w:hanging="360"/>
      </w:pPr>
      <w:rPr>
        <w:rFonts w:cs="Times New Roman"/>
      </w:rPr>
    </w:lvl>
    <w:lvl w:ilvl="4" w:tplc="04090019">
      <w:start w:val="1"/>
      <w:numFmt w:val="lowerLetter"/>
      <w:lvlText w:val="%5."/>
      <w:lvlJc w:val="left"/>
      <w:pPr>
        <w:ind w:left="9720" w:hanging="360"/>
      </w:pPr>
      <w:rPr>
        <w:rFonts w:cs="Times New Roman"/>
      </w:rPr>
    </w:lvl>
    <w:lvl w:ilvl="5" w:tplc="0409001B">
      <w:start w:val="1"/>
      <w:numFmt w:val="lowerRoman"/>
      <w:lvlText w:val="%6."/>
      <w:lvlJc w:val="right"/>
      <w:pPr>
        <w:ind w:left="10440" w:hanging="180"/>
      </w:pPr>
      <w:rPr>
        <w:rFonts w:cs="Times New Roman"/>
      </w:rPr>
    </w:lvl>
    <w:lvl w:ilvl="6" w:tplc="0409000F">
      <w:start w:val="1"/>
      <w:numFmt w:val="decimal"/>
      <w:lvlText w:val="%7."/>
      <w:lvlJc w:val="left"/>
      <w:pPr>
        <w:ind w:left="11160" w:hanging="360"/>
      </w:pPr>
      <w:rPr>
        <w:rFonts w:cs="Times New Roman"/>
      </w:rPr>
    </w:lvl>
    <w:lvl w:ilvl="7" w:tplc="04090019">
      <w:start w:val="1"/>
      <w:numFmt w:val="lowerLetter"/>
      <w:lvlText w:val="%8."/>
      <w:lvlJc w:val="left"/>
      <w:pPr>
        <w:ind w:left="11880" w:hanging="360"/>
      </w:pPr>
      <w:rPr>
        <w:rFonts w:cs="Times New Roman"/>
      </w:rPr>
    </w:lvl>
    <w:lvl w:ilvl="8" w:tplc="0409001B">
      <w:start w:val="1"/>
      <w:numFmt w:val="lowerRoman"/>
      <w:lvlText w:val="%9."/>
      <w:lvlJc w:val="right"/>
      <w:pPr>
        <w:ind w:left="12600" w:hanging="180"/>
      </w:pPr>
      <w:rPr>
        <w:rFonts w:cs="Times New Roman"/>
      </w:rPr>
    </w:lvl>
  </w:abstractNum>
  <w:abstractNum w:abstractNumId="9">
    <w:nsid w:val="0F1078B6"/>
    <w:multiLevelType w:val="hybridMultilevel"/>
    <w:tmpl w:val="D4CAC0C2"/>
    <w:lvl w:ilvl="0" w:tplc="45064ED2">
      <w:start w:val="1"/>
      <w:numFmt w:val="upperRoman"/>
      <w:pStyle w:val="Heading1"/>
      <w:lvlText w:val="%1."/>
      <w:lvlJc w:val="left"/>
      <w:pPr>
        <w:ind w:left="1080" w:hanging="72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58069EC"/>
    <w:multiLevelType w:val="hybridMultilevel"/>
    <w:tmpl w:val="A5006806"/>
    <w:lvl w:ilvl="0" w:tplc="B0122E68">
      <w:start w:val="1"/>
      <w:numFmt w:val="upperLetter"/>
      <w:lvlText w:val="(%1)"/>
      <w:lvlJc w:val="left"/>
      <w:pPr>
        <w:ind w:left="144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2DB7094C"/>
    <w:multiLevelType w:val="hybridMultilevel"/>
    <w:tmpl w:val="C22A4622"/>
    <w:lvl w:ilvl="0" w:tplc="1B04E870">
      <w:start w:val="1"/>
      <w:numFmt w:val="upp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2">
    <w:nsid w:val="355F498F"/>
    <w:multiLevelType w:val="hybridMultilevel"/>
    <w:tmpl w:val="6F1AB410"/>
    <w:lvl w:ilvl="0" w:tplc="21B20162">
      <w:start w:val="1"/>
      <w:numFmt w:val="upperRoman"/>
      <w:lvlText w:val="%1."/>
      <w:lvlJc w:val="left"/>
      <w:pPr>
        <w:ind w:left="1080" w:hanging="720"/>
      </w:pPr>
      <w:rPr>
        <w:rFonts w:cs="Times New Roman" w:hint="default"/>
        <w:b w:val="0"/>
        <w:color w:val="0000FF"/>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BEA1F0E"/>
    <w:multiLevelType w:val="hybridMultilevel"/>
    <w:tmpl w:val="C22A4622"/>
    <w:lvl w:ilvl="0" w:tplc="1B04E870">
      <w:start w:val="1"/>
      <w:numFmt w:val="upp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4">
    <w:nsid w:val="54034E8A"/>
    <w:multiLevelType w:val="hybridMultilevel"/>
    <w:tmpl w:val="BDB4203C"/>
    <w:lvl w:ilvl="0" w:tplc="40F0C38E">
      <w:start w:val="1"/>
      <w:numFmt w:val="upperRoman"/>
      <w:lvlText w:val="%1."/>
      <w:lvlJc w:val="left"/>
      <w:pPr>
        <w:ind w:left="720" w:hanging="720"/>
      </w:pPr>
      <w:rPr>
        <w:rFonts w:cs="Times New Roman" w:hint="default"/>
        <w:b w:val="0"/>
        <w:color w:val="0000FF"/>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723249C7"/>
    <w:multiLevelType w:val="hybridMultilevel"/>
    <w:tmpl w:val="928457FA"/>
    <w:lvl w:ilvl="0" w:tplc="6B1C784E">
      <w:start w:val="1"/>
      <w:numFmt w:val="upperLetter"/>
      <w:pStyle w:val="Heading3"/>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2"/>
  </w:num>
  <w:num w:numId="2">
    <w:abstractNumId w:val="14"/>
  </w:num>
  <w:num w:numId="3">
    <w:abstractNumId w:val="11"/>
  </w:num>
  <w:num w:numId="4">
    <w:abstractNumId w:val="13"/>
  </w:num>
  <w:num w:numId="5">
    <w:abstractNumId w:val="10"/>
  </w:num>
  <w:num w:numId="6">
    <w:abstractNumId w:val="8"/>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embedSystemFonts/>
  <w:doNotTrackMove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56F"/>
    <w:rsid w:val="000130E9"/>
    <w:rsid w:val="00024658"/>
    <w:rsid w:val="00066E7D"/>
    <w:rsid w:val="0007541E"/>
    <w:rsid w:val="00087C74"/>
    <w:rsid w:val="000A166E"/>
    <w:rsid w:val="000A6C87"/>
    <w:rsid w:val="000D3FD8"/>
    <w:rsid w:val="0011147B"/>
    <w:rsid w:val="00113B18"/>
    <w:rsid w:val="00142125"/>
    <w:rsid w:val="00143575"/>
    <w:rsid w:val="00153B98"/>
    <w:rsid w:val="00171EEE"/>
    <w:rsid w:val="00174CEB"/>
    <w:rsid w:val="001944CD"/>
    <w:rsid w:val="001957B9"/>
    <w:rsid w:val="001B1437"/>
    <w:rsid w:val="001B3E98"/>
    <w:rsid w:val="001B7B8C"/>
    <w:rsid w:val="001E3BD4"/>
    <w:rsid w:val="00200C41"/>
    <w:rsid w:val="00202504"/>
    <w:rsid w:val="00202C1F"/>
    <w:rsid w:val="00203213"/>
    <w:rsid w:val="002134BF"/>
    <w:rsid w:val="00217581"/>
    <w:rsid w:val="00244ABB"/>
    <w:rsid w:val="00252067"/>
    <w:rsid w:val="0025699F"/>
    <w:rsid w:val="002613CF"/>
    <w:rsid w:val="002716A1"/>
    <w:rsid w:val="00276238"/>
    <w:rsid w:val="00290F10"/>
    <w:rsid w:val="002D1592"/>
    <w:rsid w:val="002D621D"/>
    <w:rsid w:val="002E305B"/>
    <w:rsid w:val="002F481D"/>
    <w:rsid w:val="002F5052"/>
    <w:rsid w:val="003029FF"/>
    <w:rsid w:val="0030607C"/>
    <w:rsid w:val="00316073"/>
    <w:rsid w:val="00336D54"/>
    <w:rsid w:val="00337EA4"/>
    <w:rsid w:val="00352854"/>
    <w:rsid w:val="0035714B"/>
    <w:rsid w:val="00362D33"/>
    <w:rsid w:val="00373629"/>
    <w:rsid w:val="003A113A"/>
    <w:rsid w:val="003A7403"/>
    <w:rsid w:val="003B14A4"/>
    <w:rsid w:val="003F0615"/>
    <w:rsid w:val="004021FA"/>
    <w:rsid w:val="00403141"/>
    <w:rsid w:val="004157B4"/>
    <w:rsid w:val="00417DEC"/>
    <w:rsid w:val="00444CA3"/>
    <w:rsid w:val="004609CF"/>
    <w:rsid w:val="00476925"/>
    <w:rsid w:val="00490D1A"/>
    <w:rsid w:val="004A3D1D"/>
    <w:rsid w:val="004C5BE7"/>
    <w:rsid w:val="004C7155"/>
    <w:rsid w:val="004F19FE"/>
    <w:rsid w:val="00550B1B"/>
    <w:rsid w:val="00574949"/>
    <w:rsid w:val="00591F7C"/>
    <w:rsid w:val="00593AF3"/>
    <w:rsid w:val="005C4FBE"/>
    <w:rsid w:val="005D4DCD"/>
    <w:rsid w:val="005D4DDB"/>
    <w:rsid w:val="005F0DA1"/>
    <w:rsid w:val="005F7864"/>
    <w:rsid w:val="00617D86"/>
    <w:rsid w:val="00620107"/>
    <w:rsid w:val="00632828"/>
    <w:rsid w:val="006355CB"/>
    <w:rsid w:val="00663AF1"/>
    <w:rsid w:val="00663E44"/>
    <w:rsid w:val="0067056F"/>
    <w:rsid w:val="0067336C"/>
    <w:rsid w:val="00675F31"/>
    <w:rsid w:val="00693FE3"/>
    <w:rsid w:val="006A2D56"/>
    <w:rsid w:val="006C2298"/>
    <w:rsid w:val="006F2C00"/>
    <w:rsid w:val="00700222"/>
    <w:rsid w:val="00734295"/>
    <w:rsid w:val="00752218"/>
    <w:rsid w:val="007A5120"/>
    <w:rsid w:val="007A5863"/>
    <w:rsid w:val="007B65C7"/>
    <w:rsid w:val="007E12CA"/>
    <w:rsid w:val="007E3FB1"/>
    <w:rsid w:val="007F3B6C"/>
    <w:rsid w:val="00805323"/>
    <w:rsid w:val="00813621"/>
    <w:rsid w:val="00827B92"/>
    <w:rsid w:val="00831A56"/>
    <w:rsid w:val="008519F4"/>
    <w:rsid w:val="008521C8"/>
    <w:rsid w:val="008554D1"/>
    <w:rsid w:val="008615BA"/>
    <w:rsid w:val="0087782D"/>
    <w:rsid w:val="008A1DAA"/>
    <w:rsid w:val="008B4A24"/>
    <w:rsid w:val="008E6BA6"/>
    <w:rsid w:val="009073A1"/>
    <w:rsid w:val="00911808"/>
    <w:rsid w:val="009269EE"/>
    <w:rsid w:val="00934DE4"/>
    <w:rsid w:val="00937E3D"/>
    <w:rsid w:val="00940AA3"/>
    <w:rsid w:val="0094626A"/>
    <w:rsid w:val="00980401"/>
    <w:rsid w:val="00981EA5"/>
    <w:rsid w:val="009A5607"/>
    <w:rsid w:val="009A6571"/>
    <w:rsid w:val="009D0735"/>
    <w:rsid w:val="009D229D"/>
    <w:rsid w:val="009D350D"/>
    <w:rsid w:val="009E01A8"/>
    <w:rsid w:val="009E58E8"/>
    <w:rsid w:val="009F2B04"/>
    <w:rsid w:val="00A13908"/>
    <w:rsid w:val="00A14781"/>
    <w:rsid w:val="00A15111"/>
    <w:rsid w:val="00A2627D"/>
    <w:rsid w:val="00A273C8"/>
    <w:rsid w:val="00A3014A"/>
    <w:rsid w:val="00A33349"/>
    <w:rsid w:val="00A51AC8"/>
    <w:rsid w:val="00A55808"/>
    <w:rsid w:val="00A66AB6"/>
    <w:rsid w:val="00A91BA6"/>
    <w:rsid w:val="00AC1A7C"/>
    <w:rsid w:val="00AC5473"/>
    <w:rsid w:val="00AF75D9"/>
    <w:rsid w:val="00B11C98"/>
    <w:rsid w:val="00B43F11"/>
    <w:rsid w:val="00B44E3B"/>
    <w:rsid w:val="00B5010B"/>
    <w:rsid w:val="00B56408"/>
    <w:rsid w:val="00BB0B16"/>
    <w:rsid w:val="00BF057B"/>
    <w:rsid w:val="00C0437A"/>
    <w:rsid w:val="00C16563"/>
    <w:rsid w:val="00C17F5B"/>
    <w:rsid w:val="00C27320"/>
    <w:rsid w:val="00C27324"/>
    <w:rsid w:val="00C27652"/>
    <w:rsid w:val="00C57210"/>
    <w:rsid w:val="00C66C0B"/>
    <w:rsid w:val="00C7624D"/>
    <w:rsid w:val="00C919D2"/>
    <w:rsid w:val="00CB1EA2"/>
    <w:rsid w:val="00CC4D02"/>
    <w:rsid w:val="00CD4DE4"/>
    <w:rsid w:val="00D023B3"/>
    <w:rsid w:val="00D2190E"/>
    <w:rsid w:val="00D30C74"/>
    <w:rsid w:val="00D33597"/>
    <w:rsid w:val="00D41ADD"/>
    <w:rsid w:val="00D7005F"/>
    <w:rsid w:val="00D96293"/>
    <w:rsid w:val="00DB4F89"/>
    <w:rsid w:val="00DC4CED"/>
    <w:rsid w:val="00DD20FA"/>
    <w:rsid w:val="00DE4366"/>
    <w:rsid w:val="00DF474E"/>
    <w:rsid w:val="00E073A2"/>
    <w:rsid w:val="00E237EE"/>
    <w:rsid w:val="00E40CE6"/>
    <w:rsid w:val="00E835ED"/>
    <w:rsid w:val="00E84032"/>
    <w:rsid w:val="00EB1EEC"/>
    <w:rsid w:val="00EC674F"/>
    <w:rsid w:val="00ED13F0"/>
    <w:rsid w:val="00ED1CEC"/>
    <w:rsid w:val="00EE4894"/>
    <w:rsid w:val="00EE4F0A"/>
    <w:rsid w:val="00EF5152"/>
    <w:rsid w:val="00F079D0"/>
    <w:rsid w:val="00F31D3A"/>
    <w:rsid w:val="00F32A01"/>
    <w:rsid w:val="00F36DCD"/>
    <w:rsid w:val="00F425FD"/>
    <w:rsid w:val="00F47849"/>
    <w:rsid w:val="00F81B45"/>
    <w:rsid w:val="00F97152"/>
    <w:rsid w:val="00FA2B04"/>
    <w:rsid w:val="00FC521B"/>
    <w:rsid w:val="00FC60F8"/>
    <w:rsid w:val="00FE3803"/>
    <w:rsid w:val="00FF225E"/>
    <w:rsid w:val="00FF23D5"/>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2C00"/>
    <w:rPr>
      <w:rFonts w:ascii="Times New Roman" w:eastAsia="Times New Roman" w:hAnsi="Times New Roman"/>
      <w:sz w:val="24"/>
    </w:rPr>
  </w:style>
  <w:style w:type="paragraph" w:styleId="Heading1">
    <w:name w:val="heading 1"/>
    <w:basedOn w:val="Normal"/>
    <w:next w:val="Normal"/>
    <w:link w:val="Heading1Char"/>
    <w:autoRedefine/>
    <w:uiPriority w:val="99"/>
    <w:qFormat/>
    <w:rsid w:val="00B44E3B"/>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uiPriority w:val="99"/>
    <w:qFormat/>
    <w:rsid w:val="00362D33"/>
    <w:pPr>
      <w:keepNext/>
      <w:spacing w:after="240"/>
      <w:ind w:left="720"/>
      <w:outlineLvl w:val="1"/>
    </w:pPr>
    <w:rPr>
      <w:rFonts w:ascii="Times New Roman Bold" w:hAnsi="Times New Roman Bold"/>
      <w:b/>
      <w:bCs/>
      <w:szCs w:val="24"/>
    </w:rPr>
  </w:style>
  <w:style w:type="paragraph" w:styleId="Heading3">
    <w:name w:val="heading 3"/>
    <w:basedOn w:val="Normal"/>
    <w:next w:val="Normal"/>
    <w:link w:val="Heading3Char"/>
    <w:autoRedefine/>
    <w:uiPriority w:val="99"/>
    <w:qFormat/>
    <w:rsid w:val="00A3014A"/>
    <w:pPr>
      <w:keepNext/>
      <w:keepLines/>
      <w:numPr>
        <w:numId w:val="16"/>
      </w:numPr>
      <w:spacing w:after="240"/>
      <w:ind w:left="1440" w:right="720" w:hanging="720"/>
      <w:outlineLvl w:val="2"/>
    </w:pPr>
    <w:rPr>
      <w:rFonts w:ascii="Times New Roman Bold" w:eastAsia="MS Gothic" w:hAnsi="Times New Roman Bold"/>
      <w:b/>
      <w:bCs/>
    </w:rPr>
  </w:style>
  <w:style w:type="paragraph" w:styleId="Heading4">
    <w:name w:val="heading 4"/>
    <w:basedOn w:val="Normal"/>
    <w:next w:val="Normal"/>
    <w:link w:val="Heading4Char"/>
    <w:autoRedefine/>
    <w:uiPriority w:val="99"/>
    <w:qFormat/>
    <w:rsid w:val="00A3014A"/>
    <w:pPr>
      <w:keepNext/>
      <w:keepLines/>
      <w:spacing w:after="240"/>
      <w:ind w:left="2160" w:hanging="720"/>
      <w:outlineLvl w:val="3"/>
    </w:pPr>
    <w:rPr>
      <w:rFonts w:ascii="Times New Roman Bold" w:eastAsia="MS Gothic"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44E3B"/>
    <w:rPr>
      <w:rFonts w:ascii="Times New Roman Bold" w:hAnsi="Times New Roman Bold" w:cs="Arial"/>
      <w:b/>
      <w:bCs/>
      <w:caps/>
      <w:kern w:val="32"/>
      <w:sz w:val="24"/>
      <w:szCs w:val="24"/>
    </w:rPr>
  </w:style>
  <w:style w:type="character" w:customStyle="1" w:styleId="Heading2Char">
    <w:name w:val="Heading 2 Char"/>
    <w:link w:val="Heading2"/>
    <w:uiPriority w:val="99"/>
    <w:rsid w:val="00362D33"/>
    <w:rPr>
      <w:rFonts w:ascii="Times New Roman Bold" w:eastAsia="Times New Roman" w:hAnsi="Times New Roman Bold"/>
      <w:b/>
      <w:bCs/>
      <w:sz w:val="24"/>
      <w:szCs w:val="24"/>
    </w:rPr>
  </w:style>
  <w:style w:type="character" w:customStyle="1" w:styleId="Heading3Char">
    <w:name w:val="Heading 3 Char"/>
    <w:link w:val="Heading3"/>
    <w:uiPriority w:val="99"/>
    <w:rsid w:val="00A3014A"/>
    <w:rPr>
      <w:rFonts w:ascii="Times New Roman Bold" w:eastAsia="MS Gothic" w:hAnsi="Times New Roman Bold" w:cs="Times New Roman"/>
      <w:b/>
      <w:bCs/>
      <w:sz w:val="20"/>
      <w:szCs w:val="20"/>
    </w:rPr>
  </w:style>
  <w:style w:type="character" w:customStyle="1" w:styleId="Heading4Char">
    <w:name w:val="Heading 4 Char"/>
    <w:link w:val="Heading4"/>
    <w:uiPriority w:val="99"/>
    <w:semiHidden/>
    <w:rsid w:val="00A3014A"/>
    <w:rPr>
      <w:rFonts w:ascii="Times New Roman Bold" w:eastAsia="MS Gothic" w:hAnsi="Times New Roman Bold" w:cs="Times New Roman"/>
      <w:b/>
      <w:bCs/>
      <w:iCs/>
      <w:sz w:val="20"/>
      <w:szCs w:val="20"/>
    </w:rPr>
  </w:style>
  <w:style w:type="paragraph" w:styleId="HTMLPreformatted">
    <w:name w:val="HTML Preformatted"/>
    <w:basedOn w:val="Normal"/>
    <w:link w:val="HTMLPreformattedChar"/>
    <w:uiPriority w:val="99"/>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67056F"/>
    <w:rPr>
      <w:rFonts w:ascii="Courier New" w:eastAsia="Times New Roman"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link w:val="Footer"/>
    <w:uiPriority w:val="99"/>
    <w:rsid w:val="0067056F"/>
    <w:rPr>
      <w:rFonts w:ascii="Times New Roman" w:hAnsi="Times New Roman" w:cs="Times New Roman"/>
      <w:sz w:val="20"/>
      <w:szCs w:val="20"/>
    </w:rPr>
  </w:style>
  <w:style w:type="character" w:styleId="Hyperlink">
    <w:name w:val="Hyperlink"/>
    <w:uiPriority w:val="99"/>
    <w:rsid w:val="0067056F"/>
    <w:rPr>
      <w:rFonts w:cs="Times New Roman"/>
      <w:color w:val="0000FF"/>
      <w:u w:val="single"/>
    </w:rPr>
  </w:style>
  <w:style w:type="paragraph" w:styleId="Header">
    <w:name w:val="header"/>
    <w:basedOn w:val="Normal"/>
    <w:link w:val="HeaderChar"/>
    <w:uiPriority w:val="99"/>
    <w:rsid w:val="0067056F"/>
    <w:pPr>
      <w:tabs>
        <w:tab w:val="center" w:pos="4320"/>
        <w:tab w:val="right" w:pos="8640"/>
      </w:tabs>
    </w:pPr>
  </w:style>
  <w:style w:type="character" w:customStyle="1" w:styleId="HeaderChar">
    <w:name w:val="Header Char"/>
    <w:link w:val="Header"/>
    <w:uiPriority w:val="99"/>
    <w:rsid w:val="0067056F"/>
    <w:rPr>
      <w:rFonts w:ascii="Times New Roman" w:hAnsi="Times New Roman" w:cs="Times New Roman"/>
      <w:sz w:val="20"/>
      <w:szCs w:val="20"/>
    </w:rPr>
  </w:style>
  <w:style w:type="paragraph" w:styleId="BodyText">
    <w:name w:val="Body Text"/>
    <w:basedOn w:val="Normal"/>
    <w:link w:val="BodyTextChar"/>
    <w:uiPriority w:val="99"/>
    <w:rsid w:val="0067056F"/>
    <w:pPr>
      <w:jc w:val="both"/>
    </w:pPr>
  </w:style>
  <w:style w:type="character" w:customStyle="1" w:styleId="BodyTextChar">
    <w:name w:val="Body Text Char"/>
    <w:link w:val="BodyText"/>
    <w:uiPriority w:val="99"/>
    <w:rsid w:val="0067056F"/>
    <w:rPr>
      <w:rFonts w:ascii="Times New Roman" w:hAnsi="Times New Roman" w:cs="Times New Roman"/>
      <w:sz w:val="20"/>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link w:val="CommentText"/>
    <w:uiPriority w:val="99"/>
    <w:semiHidden/>
    <w:rsid w:val="0067056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7056F"/>
    <w:rPr>
      <w:szCs w:val="20"/>
    </w:rPr>
  </w:style>
  <w:style w:type="character" w:customStyle="1" w:styleId="CommentSubjectChar">
    <w:name w:val="Comment Subject Char"/>
    <w:link w:val="CommentSubject"/>
    <w:uiPriority w:val="99"/>
    <w:semiHidden/>
    <w:rsid w:val="0067056F"/>
    <w:rPr>
      <w:rFonts w:ascii="Times New Roman" w:hAnsi="Times New Roman" w:cs="Times New Roman"/>
      <w:sz w:val="20"/>
      <w:szCs w:val="20"/>
    </w:rPr>
  </w:style>
  <w:style w:type="paragraph" w:styleId="ListParagraph">
    <w:name w:val="List Paragraph"/>
    <w:basedOn w:val="Normal"/>
    <w:uiPriority w:val="99"/>
    <w:qFormat/>
    <w:rsid w:val="009D0735"/>
    <w:pPr>
      <w:ind w:left="720"/>
    </w:p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semiHidden/>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link w:val="FootnoteText"/>
    <w:uiPriority w:val="99"/>
    <w:rsid w:val="009D0735"/>
    <w:rPr>
      <w:rFonts w:ascii="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semiHidden/>
    <w:rsid w:val="009D0735"/>
    <w:rPr>
      <w:rFonts w:cs="Times New Roman"/>
      <w:vertAlign w:val="superscript"/>
    </w:rPr>
  </w:style>
  <w:style w:type="character" w:customStyle="1" w:styleId="term1">
    <w:name w:val="term1"/>
    <w:uiPriority w:val="99"/>
    <w:rsid w:val="00813621"/>
    <w:rPr>
      <w:rFonts w:cs="Times New Roman"/>
      <w:b/>
      <w:bCs/>
    </w:rPr>
  </w:style>
  <w:style w:type="character" w:customStyle="1" w:styleId="pnote">
    <w:name w:val="pnote"/>
    <w:uiPriority w:val="99"/>
    <w:rsid w:val="008521C8"/>
  </w:style>
  <w:style w:type="character" w:styleId="CommentReference">
    <w:name w:val="annotation reference"/>
    <w:uiPriority w:val="99"/>
    <w:semiHidden/>
    <w:rsid w:val="008521C8"/>
    <w:rPr>
      <w:rFonts w:cs="Times New Roman"/>
      <w:sz w:val="16"/>
      <w:szCs w:val="16"/>
    </w:rPr>
  </w:style>
  <w:style w:type="paragraph" w:styleId="BalloonText">
    <w:name w:val="Balloon Text"/>
    <w:basedOn w:val="Normal"/>
    <w:link w:val="BalloonTextChar"/>
    <w:uiPriority w:val="99"/>
    <w:semiHidden/>
    <w:rsid w:val="008521C8"/>
    <w:rPr>
      <w:rFonts w:ascii="Tahoma" w:hAnsi="Tahoma" w:cs="Tahoma"/>
      <w:sz w:val="16"/>
      <w:szCs w:val="16"/>
    </w:rPr>
  </w:style>
  <w:style w:type="character" w:customStyle="1" w:styleId="BalloonTextChar">
    <w:name w:val="Balloon Text Char"/>
    <w:link w:val="BalloonText"/>
    <w:uiPriority w:val="99"/>
    <w:semiHidden/>
    <w:rsid w:val="008521C8"/>
    <w:rPr>
      <w:rFonts w:ascii="Tahoma" w:hAnsi="Tahoma" w:cs="Tahoma"/>
      <w:sz w:val="16"/>
      <w:szCs w:val="16"/>
    </w:rPr>
  </w:style>
  <w:style w:type="paragraph" w:styleId="TOC1">
    <w:name w:val="toc 1"/>
    <w:basedOn w:val="Normal"/>
    <w:next w:val="Normal"/>
    <w:autoRedefine/>
    <w:uiPriority w:val="99"/>
    <w:semiHidden/>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99"/>
    <w:semiHidden/>
    <w:rsid w:val="00A3014A"/>
    <w:pPr>
      <w:tabs>
        <w:tab w:val="left" w:pos="720"/>
        <w:tab w:val="decimal" w:leader="dot" w:pos="8640"/>
      </w:tabs>
      <w:spacing w:after="240"/>
    </w:pPr>
  </w:style>
  <w:style w:type="paragraph" w:styleId="TOC3">
    <w:name w:val="toc 3"/>
    <w:basedOn w:val="Normal"/>
    <w:next w:val="Normal"/>
    <w:autoRedefine/>
    <w:uiPriority w:val="99"/>
    <w:semiHidden/>
    <w:rsid w:val="007F3B6C"/>
    <w:pPr>
      <w:tabs>
        <w:tab w:val="left" w:pos="720"/>
        <w:tab w:val="left" w:pos="1440"/>
        <w:tab w:val="left" w:pos="297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aydenm@firstenergycorp.com"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mailto:Bryce.mckenney@puc.state.oh.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even.beeler@puc.state.oh.us" TargetMode="External"/><Relationship Id="rId25" Type="http://schemas.openxmlformats.org/officeDocument/2006/relationships/hyperlink" Target="mailto:joseph.clark@directenergy.com" TargetMode="External"/><Relationship Id="rId2" Type="http://schemas.openxmlformats.org/officeDocument/2006/relationships/styles" Target="styles.xml"/><Relationship Id="rId16" Type="http://schemas.openxmlformats.org/officeDocument/2006/relationships/hyperlink" Target="mailto:Werner.margard@puc.state.oh.us" TargetMode="External"/><Relationship Id="rId20" Type="http://schemas.openxmlformats.org/officeDocument/2006/relationships/hyperlink" Target="mailto:lynn.james@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urkj@firstenergycorp.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mjsatterwhite@aep.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casto@firstenergycorp.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stnourse@aep.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1940</Words>
  <Characters>11014</Characters>
  <Application>Microsoft Office Word</Application>
  <DocSecurity>0</DocSecurity>
  <Lines>256</Lines>
  <Paragraphs>110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13002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2014-11-13T15:58:00Z</dcterms:created>
  <dcterms:modified xsi:type="dcterms:W3CDTF">2014-11-13T15:58:00Z</dcterms:modified>
  <cp:category> </cp:category>
  <cp:contentStatus> </cp:contentStatus>
</cp:coreProperties>
</file>