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A044B5" w:rsidRPr="008E11BE" w14:paraId="2EF58373" w14:textId="77777777">
      <w:pPr>
        <w:pStyle w:val="HTMLPreformatted"/>
        <w:jc w:val="center"/>
        <w:rPr>
          <w:rFonts w:ascii="Times New Roman" w:hAnsi="Times New Roman" w:cs="Times New Roman"/>
          <w:b/>
          <w:bCs/>
          <w:sz w:val="24"/>
          <w:szCs w:val="24"/>
        </w:rPr>
      </w:pPr>
      <w:r w:rsidRPr="008E11BE">
        <w:rPr>
          <w:rFonts w:ascii="Times New Roman" w:hAnsi="Times New Roman" w:cs="Times New Roman"/>
          <w:b/>
          <w:bCs/>
          <w:sz w:val="24"/>
          <w:szCs w:val="24"/>
        </w:rPr>
        <w:t>BEFORE</w:t>
      </w:r>
    </w:p>
    <w:p w:rsidR="00A044B5" w:rsidRPr="008E11BE" w14:paraId="1BC0ACFE" w14:textId="77777777">
      <w:pPr>
        <w:pStyle w:val="HTMLPreformatted"/>
        <w:jc w:val="center"/>
        <w:rPr>
          <w:rFonts w:ascii="Times New Roman" w:hAnsi="Times New Roman" w:cs="Times New Roman"/>
          <w:b/>
          <w:bCs/>
          <w:sz w:val="24"/>
          <w:szCs w:val="24"/>
        </w:rPr>
      </w:pPr>
      <w:r w:rsidRPr="008E11BE">
        <w:rPr>
          <w:rFonts w:ascii="Times New Roman" w:hAnsi="Times New Roman" w:cs="Times New Roman"/>
          <w:b/>
          <w:bCs/>
          <w:sz w:val="24"/>
          <w:szCs w:val="24"/>
        </w:rPr>
        <w:t>THE PUBLIC UTILITIES COMMISSION OF OHIO</w:t>
      </w:r>
    </w:p>
    <w:p w:rsidR="001D10F6" w:rsidRPr="008E11BE" w14:paraId="49B95A6C" w14:textId="77777777">
      <w:pPr>
        <w:pStyle w:val="HTMLPreformatted"/>
        <w:jc w:val="center"/>
        <w:rPr>
          <w:rFonts w:ascii="Times New Roman" w:hAnsi="Times New Roman" w:cs="Times New Roman"/>
          <w:b/>
          <w:bCs/>
          <w:sz w:val="24"/>
          <w:szCs w:val="24"/>
        </w:rPr>
      </w:pPr>
    </w:p>
    <w:p w:rsidR="001D10F6" w:rsidRPr="008E11BE" w:rsidP="001D10F6" w14:paraId="66CECC61" w14:textId="77777777">
      <w:pPr>
        <w:pStyle w:val="HTMLPreformatted"/>
        <w:rPr>
          <w:rFonts w:ascii="Times New Roman" w:hAnsi="Times New Roman" w:cs="Times New Roman"/>
          <w:sz w:val="24"/>
          <w:szCs w:val="24"/>
        </w:rPr>
      </w:pPr>
      <w:r w:rsidRPr="008E11BE">
        <w:rPr>
          <w:rFonts w:ascii="Times New Roman" w:hAnsi="Times New Roman" w:cs="Times New Roman"/>
          <w:sz w:val="24"/>
          <w:szCs w:val="24"/>
        </w:rPr>
        <w:t>Ohio Power Company</w:t>
      </w:r>
      <w:r w:rsidRPr="008E11BE">
        <w:rPr>
          <w:rFonts w:ascii="Times New Roman" w:hAnsi="Times New Roman" w:cs="Times New Roman"/>
          <w:sz w:val="24"/>
          <w:szCs w:val="24"/>
        </w:rPr>
        <w:tab/>
      </w:r>
      <w:r w:rsidRPr="008E11BE">
        <w:rPr>
          <w:rFonts w:ascii="Times New Roman" w:hAnsi="Times New Roman" w:cs="Times New Roman"/>
          <w:sz w:val="24"/>
          <w:szCs w:val="24"/>
        </w:rPr>
        <w:tab/>
      </w:r>
      <w:r w:rsidRPr="008E11BE">
        <w:rPr>
          <w:rFonts w:ascii="Times New Roman" w:hAnsi="Times New Roman" w:cs="Times New Roman"/>
          <w:sz w:val="24"/>
          <w:szCs w:val="24"/>
        </w:rPr>
        <w:tab/>
        <w:t>)</w:t>
      </w:r>
    </w:p>
    <w:p w:rsidR="001D10F6" w:rsidRPr="008E11BE" w:rsidP="001D10F6" w14:paraId="26839BB4" w14:textId="77777777">
      <w:pPr>
        <w:pStyle w:val="HTMLPreformatted"/>
        <w:rPr>
          <w:rFonts w:ascii="Times New Roman" w:hAnsi="Times New Roman" w:cs="Times New Roman"/>
          <w:sz w:val="24"/>
          <w:szCs w:val="24"/>
        </w:rPr>
      </w:pPr>
      <w:r w:rsidRPr="008E11BE">
        <w:rPr>
          <w:rFonts w:ascii="Times New Roman" w:hAnsi="Times New Roman" w:cs="Times New Roman"/>
          <w:sz w:val="24"/>
          <w:szCs w:val="24"/>
        </w:rPr>
        <w:tab/>
      </w:r>
      <w:r w:rsidRPr="008E11BE">
        <w:rPr>
          <w:rFonts w:ascii="Times New Roman" w:hAnsi="Times New Roman" w:cs="Times New Roman"/>
          <w:sz w:val="24"/>
          <w:szCs w:val="24"/>
        </w:rPr>
        <w:tab/>
      </w:r>
      <w:r w:rsidRPr="008E11BE">
        <w:rPr>
          <w:rFonts w:ascii="Times New Roman" w:hAnsi="Times New Roman" w:cs="Times New Roman"/>
          <w:sz w:val="24"/>
          <w:szCs w:val="24"/>
        </w:rPr>
        <w:tab/>
      </w:r>
      <w:r w:rsidRPr="008E11BE">
        <w:rPr>
          <w:rFonts w:ascii="Times New Roman" w:hAnsi="Times New Roman" w:cs="Times New Roman"/>
          <w:sz w:val="24"/>
          <w:szCs w:val="24"/>
        </w:rPr>
        <w:tab/>
      </w:r>
      <w:r w:rsidRPr="008E11BE">
        <w:rPr>
          <w:rFonts w:ascii="Times New Roman" w:hAnsi="Times New Roman" w:cs="Times New Roman"/>
          <w:sz w:val="24"/>
          <w:szCs w:val="24"/>
        </w:rPr>
        <w:tab/>
        <w:t>)</w:t>
      </w:r>
      <w:r w:rsidRPr="008E11BE">
        <w:rPr>
          <w:rFonts w:ascii="Times New Roman" w:hAnsi="Times New Roman" w:cs="Times New Roman"/>
          <w:sz w:val="24"/>
          <w:szCs w:val="24"/>
        </w:rPr>
        <w:tab/>
        <w:t>Case No. 21-990-EL-CSS</w:t>
      </w:r>
    </w:p>
    <w:p w:rsidR="001D10F6" w:rsidRPr="008E11BE" w:rsidP="001D10F6" w14:paraId="21F9028A" w14:textId="77777777">
      <w:pPr>
        <w:pStyle w:val="HTMLPreformatted"/>
        <w:rPr>
          <w:rFonts w:ascii="Times New Roman" w:hAnsi="Times New Roman" w:cs="Times New Roman"/>
          <w:sz w:val="24"/>
          <w:szCs w:val="24"/>
        </w:rPr>
      </w:pPr>
      <w:r w:rsidRPr="008E11BE">
        <w:rPr>
          <w:rFonts w:ascii="Times New Roman" w:hAnsi="Times New Roman" w:cs="Times New Roman"/>
          <w:sz w:val="24"/>
          <w:szCs w:val="24"/>
        </w:rPr>
        <w:t xml:space="preserve"> </w:t>
      </w:r>
      <w:r w:rsidRPr="008E11BE">
        <w:rPr>
          <w:rFonts w:ascii="Times New Roman" w:hAnsi="Times New Roman" w:cs="Times New Roman"/>
          <w:sz w:val="24"/>
          <w:szCs w:val="24"/>
        </w:rPr>
        <w:tab/>
        <w:t>Complainant,</w:t>
      </w:r>
      <w:r w:rsidRPr="008E11BE">
        <w:rPr>
          <w:rFonts w:ascii="Times New Roman" w:hAnsi="Times New Roman" w:cs="Times New Roman"/>
          <w:sz w:val="24"/>
          <w:szCs w:val="24"/>
        </w:rPr>
        <w:tab/>
      </w:r>
      <w:r w:rsidRPr="008E11BE">
        <w:rPr>
          <w:rFonts w:ascii="Times New Roman" w:hAnsi="Times New Roman" w:cs="Times New Roman"/>
          <w:sz w:val="24"/>
          <w:szCs w:val="24"/>
        </w:rPr>
        <w:tab/>
      </w:r>
      <w:r w:rsidRPr="008E11BE">
        <w:rPr>
          <w:rFonts w:ascii="Times New Roman" w:hAnsi="Times New Roman" w:cs="Times New Roman"/>
          <w:sz w:val="24"/>
          <w:szCs w:val="24"/>
        </w:rPr>
        <w:tab/>
        <w:t>)</w:t>
      </w:r>
    </w:p>
    <w:p w:rsidR="001D10F6" w:rsidRPr="008E11BE" w:rsidP="001D10F6" w14:paraId="68E319CF" w14:textId="77777777">
      <w:pPr>
        <w:pStyle w:val="HTMLPreformatted"/>
        <w:rPr>
          <w:rFonts w:ascii="Times New Roman" w:hAnsi="Times New Roman" w:cs="Times New Roman"/>
          <w:sz w:val="24"/>
          <w:szCs w:val="24"/>
        </w:rPr>
      </w:pPr>
      <w:r w:rsidRPr="008E11BE">
        <w:rPr>
          <w:rFonts w:ascii="Times New Roman" w:hAnsi="Times New Roman" w:cs="Times New Roman"/>
          <w:sz w:val="24"/>
          <w:szCs w:val="24"/>
        </w:rPr>
        <w:tab/>
      </w:r>
      <w:r w:rsidRPr="008E11BE">
        <w:rPr>
          <w:rFonts w:ascii="Times New Roman" w:hAnsi="Times New Roman" w:cs="Times New Roman"/>
          <w:sz w:val="24"/>
          <w:szCs w:val="24"/>
        </w:rPr>
        <w:tab/>
      </w:r>
      <w:r w:rsidRPr="008E11BE">
        <w:rPr>
          <w:rFonts w:ascii="Times New Roman" w:hAnsi="Times New Roman" w:cs="Times New Roman"/>
          <w:sz w:val="24"/>
          <w:szCs w:val="24"/>
        </w:rPr>
        <w:tab/>
      </w:r>
      <w:r w:rsidRPr="008E11BE">
        <w:rPr>
          <w:rFonts w:ascii="Times New Roman" w:hAnsi="Times New Roman" w:cs="Times New Roman"/>
          <w:sz w:val="24"/>
          <w:szCs w:val="24"/>
        </w:rPr>
        <w:tab/>
      </w:r>
      <w:r w:rsidRPr="008E11BE">
        <w:rPr>
          <w:rFonts w:ascii="Times New Roman" w:hAnsi="Times New Roman" w:cs="Times New Roman"/>
          <w:sz w:val="24"/>
          <w:szCs w:val="24"/>
        </w:rPr>
        <w:tab/>
        <w:t>)</w:t>
      </w:r>
    </w:p>
    <w:p w:rsidR="001D10F6" w:rsidRPr="008E11BE" w:rsidP="001D10F6" w14:paraId="6B620472" w14:textId="3CB833F9">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r w:rsidRPr="008E11BE">
        <w:rPr>
          <w:rFonts w:ascii="Times New Roman" w:hAnsi="Times New Roman" w:cs="Times New Roman"/>
          <w:sz w:val="24"/>
          <w:szCs w:val="24"/>
        </w:rPr>
        <w:t>v.</w:t>
      </w:r>
      <w:r w:rsidRPr="008E11BE">
        <w:rPr>
          <w:rFonts w:ascii="Times New Roman" w:hAnsi="Times New Roman" w:cs="Times New Roman"/>
          <w:sz w:val="24"/>
          <w:szCs w:val="24"/>
        </w:rPr>
        <w:tab/>
      </w:r>
      <w:r w:rsidRPr="008E11BE">
        <w:rPr>
          <w:rFonts w:ascii="Times New Roman" w:hAnsi="Times New Roman" w:cs="Times New Roman"/>
          <w:sz w:val="24"/>
          <w:szCs w:val="24"/>
        </w:rPr>
        <w:tab/>
      </w:r>
      <w:r w:rsidRPr="008E11BE">
        <w:rPr>
          <w:rFonts w:ascii="Times New Roman" w:hAnsi="Times New Roman" w:cs="Times New Roman"/>
          <w:sz w:val="24"/>
          <w:szCs w:val="24"/>
        </w:rPr>
        <w:tab/>
      </w:r>
      <w:r w:rsidRPr="008E11BE">
        <w:rPr>
          <w:rFonts w:ascii="Times New Roman" w:hAnsi="Times New Roman" w:cs="Times New Roman"/>
          <w:sz w:val="24"/>
          <w:szCs w:val="24"/>
        </w:rPr>
        <w:tab/>
      </w:r>
      <w:r w:rsidRPr="008E11BE">
        <w:rPr>
          <w:rFonts w:ascii="Times New Roman" w:hAnsi="Times New Roman" w:cs="Times New Roman"/>
          <w:sz w:val="24"/>
          <w:szCs w:val="24"/>
        </w:rPr>
        <w:tab/>
        <w:t>)</w:t>
      </w:r>
    </w:p>
    <w:p w:rsidR="001D10F6" w:rsidRPr="008E11BE" w:rsidP="001D10F6" w14:paraId="2A5178FC" w14:textId="77777777">
      <w:pPr>
        <w:pStyle w:val="HTMLPreformatted"/>
        <w:rPr>
          <w:rFonts w:ascii="Times New Roman" w:hAnsi="Times New Roman" w:cs="Times New Roman"/>
          <w:sz w:val="24"/>
          <w:szCs w:val="24"/>
        </w:rPr>
      </w:pPr>
      <w:r w:rsidRPr="008E11BE">
        <w:rPr>
          <w:rFonts w:ascii="Times New Roman" w:hAnsi="Times New Roman" w:cs="Times New Roman"/>
          <w:sz w:val="24"/>
          <w:szCs w:val="24"/>
        </w:rPr>
        <w:tab/>
      </w:r>
      <w:r w:rsidRPr="008E11BE">
        <w:rPr>
          <w:rFonts w:ascii="Times New Roman" w:hAnsi="Times New Roman" w:cs="Times New Roman"/>
          <w:sz w:val="24"/>
          <w:szCs w:val="24"/>
        </w:rPr>
        <w:tab/>
      </w:r>
      <w:r w:rsidRPr="008E11BE">
        <w:rPr>
          <w:rFonts w:ascii="Times New Roman" w:hAnsi="Times New Roman" w:cs="Times New Roman"/>
          <w:sz w:val="24"/>
          <w:szCs w:val="24"/>
        </w:rPr>
        <w:tab/>
      </w:r>
      <w:r w:rsidRPr="008E11BE">
        <w:rPr>
          <w:rFonts w:ascii="Times New Roman" w:hAnsi="Times New Roman" w:cs="Times New Roman"/>
          <w:sz w:val="24"/>
          <w:szCs w:val="24"/>
        </w:rPr>
        <w:tab/>
      </w:r>
      <w:r w:rsidRPr="008E11BE">
        <w:rPr>
          <w:rFonts w:ascii="Times New Roman" w:hAnsi="Times New Roman" w:cs="Times New Roman"/>
          <w:sz w:val="24"/>
          <w:szCs w:val="24"/>
        </w:rPr>
        <w:tab/>
        <w:t>)</w:t>
      </w:r>
    </w:p>
    <w:p w:rsidR="001D10F6" w:rsidRPr="008E11BE" w:rsidP="001D10F6" w14:paraId="129B20DC" w14:textId="77777777">
      <w:pPr>
        <w:pStyle w:val="HTMLPreformatted"/>
        <w:rPr>
          <w:rFonts w:ascii="Times New Roman" w:hAnsi="Times New Roman" w:cs="Times New Roman"/>
          <w:sz w:val="24"/>
          <w:szCs w:val="24"/>
        </w:rPr>
      </w:pPr>
      <w:r w:rsidRPr="008E11BE">
        <w:rPr>
          <w:rFonts w:ascii="Times New Roman" w:hAnsi="Times New Roman" w:cs="Times New Roman"/>
          <w:sz w:val="24"/>
          <w:szCs w:val="24"/>
        </w:rPr>
        <w:t>Nationwide Energy Partners, LLC</w:t>
      </w:r>
      <w:r w:rsidRPr="008E11BE">
        <w:rPr>
          <w:rFonts w:ascii="Times New Roman" w:hAnsi="Times New Roman" w:cs="Times New Roman"/>
          <w:sz w:val="24"/>
          <w:szCs w:val="24"/>
        </w:rPr>
        <w:tab/>
      </w:r>
      <w:r w:rsidRPr="008E11BE">
        <w:rPr>
          <w:rFonts w:ascii="Times New Roman" w:hAnsi="Times New Roman" w:cs="Times New Roman"/>
          <w:sz w:val="24"/>
          <w:szCs w:val="24"/>
        </w:rPr>
        <w:tab/>
        <w:t>)</w:t>
      </w:r>
    </w:p>
    <w:p w:rsidR="001D10F6" w:rsidRPr="008E11BE" w:rsidP="001D10F6" w14:paraId="64484C12" w14:textId="77777777">
      <w:pPr>
        <w:pStyle w:val="HTMLPreformatted"/>
        <w:rPr>
          <w:rFonts w:ascii="Times New Roman" w:hAnsi="Times New Roman" w:cs="Times New Roman"/>
          <w:sz w:val="24"/>
          <w:szCs w:val="24"/>
        </w:rPr>
      </w:pPr>
      <w:r w:rsidRPr="008E11BE">
        <w:rPr>
          <w:rFonts w:ascii="Times New Roman" w:hAnsi="Times New Roman" w:cs="Times New Roman"/>
          <w:sz w:val="24"/>
          <w:szCs w:val="24"/>
        </w:rPr>
        <w:tab/>
      </w:r>
      <w:r w:rsidRPr="008E11BE">
        <w:rPr>
          <w:rFonts w:ascii="Times New Roman" w:hAnsi="Times New Roman" w:cs="Times New Roman"/>
          <w:sz w:val="24"/>
          <w:szCs w:val="24"/>
        </w:rPr>
        <w:tab/>
      </w:r>
      <w:r w:rsidRPr="008E11BE">
        <w:rPr>
          <w:rFonts w:ascii="Times New Roman" w:hAnsi="Times New Roman" w:cs="Times New Roman"/>
          <w:sz w:val="24"/>
          <w:szCs w:val="24"/>
        </w:rPr>
        <w:tab/>
      </w:r>
      <w:r w:rsidRPr="008E11BE">
        <w:rPr>
          <w:rFonts w:ascii="Times New Roman" w:hAnsi="Times New Roman" w:cs="Times New Roman"/>
          <w:sz w:val="24"/>
          <w:szCs w:val="24"/>
        </w:rPr>
        <w:tab/>
      </w:r>
      <w:r w:rsidRPr="008E11BE">
        <w:rPr>
          <w:rFonts w:ascii="Times New Roman" w:hAnsi="Times New Roman" w:cs="Times New Roman"/>
          <w:sz w:val="24"/>
          <w:szCs w:val="24"/>
        </w:rPr>
        <w:tab/>
        <w:t>)</w:t>
      </w:r>
    </w:p>
    <w:p w:rsidR="001D10F6" w:rsidRPr="008E11BE" w14:paraId="449B3890" w14:textId="77777777">
      <w:pPr>
        <w:pStyle w:val="HTMLPreformatted"/>
        <w:rPr>
          <w:rFonts w:ascii="Times New Roman" w:hAnsi="Times New Roman" w:cs="Times New Roman"/>
          <w:sz w:val="24"/>
          <w:szCs w:val="24"/>
        </w:rPr>
      </w:pPr>
      <w:r w:rsidRPr="008E11BE">
        <w:rPr>
          <w:rFonts w:ascii="Times New Roman" w:hAnsi="Times New Roman" w:cs="Times New Roman"/>
          <w:sz w:val="24"/>
          <w:szCs w:val="24"/>
        </w:rPr>
        <w:tab/>
        <w:t>Respondent.</w:t>
      </w:r>
      <w:r w:rsidRPr="008E11BE">
        <w:rPr>
          <w:rFonts w:ascii="Times New Roman" w:hAnsi="Times New Roman" w:cs="Times New Roman"/>
          <w:sz w:val="24"/>
          <w:szCs w:val="24"/>
        </w:rPr>
        <w:tab/>
      </w:r>
      <w:r w:rsidRPr="008E11BE">
        <w:rPr>
          <w:rFonts w:ascii="Times New Roman" w:hAnsi="Times New Roman" w:cs="Times New Roman"/>
          <w:sz w:val="24"/>
          <w:szCs w:val="24"/>
        </w:rPr>
        <w:tab/>
      </w:r>
      <w:r w:rsidRPr="008E11BE">
        <w:rPr>
          <w:rFonts w:ascii="Times New Roman" w:hAnsi="Times New Roman" w:cs="Times New Roman"/>
          <w:sz w:val="24"/>
          <w:szCs w:val="24"/>
        </w:rPr>
        <w:tab/>
        <w:t>)</w:t>
      </w:r>
    </w:p>
    <w:p w:rsidR="00A044B5" w:rsidRPr="008E11BE" w14:paraId="11D5C6FB" w14:textId="77777777">
      <w:pPr>
        <w:pStyle w:val="HTMLPreformatted"/>
        <w:rPr>
          <w:rFonts w:ascii="Times New Roman" w:hAnsi="Times New Roman" w:cs="Times New Roman"/>
          <w:sz w:val="24"/>
          <w:szCs w:val="24"/>
        </w:rPr>
      </w:pPr>
    </w:p>
    <w:p w:rsidR="00A044B5" w:rsidRPr="008E11BE" w14:paraId="513F366B" w14:textId="77777777">
      <w:pPr>
        <w:pStyle w:val="HTMLPreformatted"/>
        <w:pBdr>
          <w:top w:val="single" w:sz="12" w:space="1" w:color="auto"/>
        </w:pBdr>
        <w:rPr>
          <w:rFonts w:ascii="Times New Roman" w:hAnsi="Times New Roman" w:cs="Times New Roman"/>
          <w:sz w:val="24"/>
          <w:szCs w:val="24"/>
        </w:rPr>
      </w:pPr>
    </w:p>
    <w:p w:rsidR="006A5ED2" w14:paraId="0117794C" w14:textId="77777777">
      <w:pPr>
        <w:jc w:val="center"/>
        <w:rPr>
          <w:b/>
          <w:bCs/>
          <w:szCs w:val="24"/>
        </w:rPr>
      </w:pPr>
      <w:r>
        <w:rPr>
          <w:b/>
          <w:bCs/>
          <w:szCs w:val="24"/>
        </w:rPr>
        <w:t xml:space="preserve">REPLY TO </w:t>
      </w:r>
      <w:r>
        <w:rPr>
          <w:b/>
          <w:bCs/>
          <w:szCs w:val="24"/>
        </w:rPr>
        <w:t>NATIONWIDE ENERGY PARTNERS</w:t>
      </w:r>
      <w:r w:rsidR="00D31438">
        <w:rPr>
          <w:b/>
          <w:bCs/>
          <w:szCs w:val="24"/>
        </w:rPr>
        <w:t>’</w:t>
      </w:r>
      <w:r>
        <w:rPr>
          <w:b/>
          <w:bCs/>
          <w:szCs w:val="24"/>
        </w:rPr>
        <w:t xml:space="preserve"> </w:t>
      </w:r>
    </w:p>
    <w:p w:rsidR="00067AA5" w14:paraId="799C7641" w14:textId="77777777">
      <w:pPr>
        <w:jc w:val="center"/>
        <w:rPr>
          <w:b/>
          <w:bCs/>
          <w:szCs w:val="24"/>
        </w:rPr>
      </w:pPr>
      <w:r>
        <w:rPr>
          <w:b/>
          <w:bCs/>
          <w:szCs w:val="24"/>
        </w:rPr>
        <w:t>MEMORANDUM CONT</w:t>
      </w:r>
      <w:r w:rsidR="00F86BD5">
        <w:rPr>
          <w:b/>
          <w:bCs/>
          <w:szCs w:val="24"/>
        </w:rPr>
        <w:t>R</w:t>
      </w:r>
      <w:r>
        <w:rPr>
          <w:b/>
          <w:bCs/>
          <w:szCs w:val="24"/>
        </w:rPr>
        <w:t xml:space="preserve">A </w:t>
      </w:r>
    </w:p>
    <w:p w:rsidR="0009754D" w14:paraId="05837CC8" w14:textId="77777777">
      <w:pPr>
        <w:jc w:val="center"/>
        <w:rPr>
          <w:b/>
          <w:bCs/>
          <w:szCs w:val="24"/>
        </w:rPr>
      </w:pPr>
      <w:r>
        <w:rPr>
          <w:b/>
          <w:bCs/>
          <w:szCs w:val="24"/>
        </w:rPr>
        <w:t xml:space="preserve">OCC’S </w:t>
      </w:r>
      <w:r w:rsidRPr="008E11BE" w:rsidR="00A044B5">
        <w:rPr>
          <w:b/>
          <w:bCs/>
          <w:szCs w:val="24"/>
        </w:rPr>
        <w:t xml:space="preserve">MOTION </w:t>
      </w:r>
      <w:r w:rsidR="0045049E">
        <w:rPr>
          <w:b/>
          <w:bCs/>
          <w:szCs w:val="24"/>
        </w:rPr>
        <w:t xml:space="preserve">FOR LEAVE TO FILE INSTANTER </w:t>
      </w:r>
    </w:p>
    <w:p w:rsidR="00A044B5" w:rsidRPr="008E11BE" w14:paraId="7C950497" w14:textId="49315B2C">
      <w:pPr>
        <w:jc w:val="center"/>
        <w:rPr>
          <w:b/>
          <w:bCs/>
          <w:szCs w:val="24"/>
        </w:rPr>
      </w:pPr>
      <w:r>
        <w:rPr>
          <w:b/>
          <w:bCs/>
          <w:szCs w:val="24"/>
        </w:rPr>
        <w:t>AN APPLICATION FOR REHEARING</w:t>
      </w:r>
    </w:p>
    <w:p w:rsidR="00A044B5" w:rsidRPr="008E11BE" w14:paraId="7BDE0698" w14:textId="77777777">
      <w:pPr>
        <w:jc w:val="center"/>
        <w:rPr>
          <w:b/>
          <w:bCs/>
          <w:szCs w:val="24"/>
        </w:rPr>
      </w:pPr>
      <w:r w:rsidRPr="008E11BE">
        <w:rPr>
          <w:b/>
          <w:bCs/>
          <w:szCs w:val="24"/>
        </w:rPr>
        <w:t>BY</w:t>
      </w:r>
    </w:p>
    <w:p w:rsidR="00A044B5" w:rsidRPr="008E11BE" w14:paraId="0FAFF6A0" w14:textId="77777777">
      <w:pPr>
        <w:jc w:val="center"/>
        <w:rPr>
          <w:b/>
          <w:bCs/>
          <w:szCs w:val="24"/>
        </w:rPr>
      </w:pPr>
      <w:r w:rsidRPr="008E11BE">
        <w:rPr>
          <w:b/>
          <w:bCs/>
          <w:szCs w:val="24"/>
        </w:rPr>
        <w:t>OFFICE OF THE OHIO CONSUMERS’ COUNSEL</w:t>
      </w:r>
    </w:p>
    <w:p w:rsidR="00A044B5" w:rsidRPr="008E11BE" w14:paraId="6C94FFE9" w14:textId="77777777">
      <w:pPr>
        <w:pBdr>
          <w:bottom w:val="single" w:sz="12" w:space="1" w:color="auto"/>
        </w:pBdr>
        <w:tabs>
          <w:tab w:val="left" w:pos="4320"/>
        </w:tabs>
        <w:rPr>
          <w:szCs w:val="24"/>
        </w:rPr>
      </w:pPr>
    </w:p>
    <w:p w:rsidR="00A044B5" w:rsidRPr="008E11BE" w14:paraId="2B2A78CB" w14:textId="77777777">
      <w:pPr>
        <w:tabs>
          <w:tab w:val="left" w:pos="4320"/>
        </w:tabs>
        <w:rPr>
          <w:szCs w:val="24"/>
        </w:rPr>
      </w:pPr>
    </w:p>
    <w:p w:rsidR="004F5AB3" w:rsidRPr="004F5AB3" w:rsidP="00382E9E" w14:paraId="1768D3D9" w14:textId="77777777">
      <w:pPr>
        <w:pStyle w:val="BodyTextIndent3"/>
        <w:widowControl w:val="0"/>
        <w:numPr>
          <w:ilvl w:val="0"/>
          <w:numId w:val="9"/>
        </w:numPr>
        <w:spacing w:line="480" w:lineRule="auto"/>
        <w:ind w:left="720" w:right="-312"/>
        <w:rPr>
          <w:b/>
          <w:bCs/>
          <w:szCs w:val="24"/>
        </w:rPr>
      </w:pPr>
      <w:r>
        <w:rPr>
          <w:b/>
          <w:bCs/>
          <w:szCs w:val="24"/>
        </w:rPr>
        <w:t>INTRODUCTION</w:t>
      </w:r>
    </w:p>
    <w:p w:rsidR="00382E9E" w:rsidP="00A313C1" w14:paraId="2B93E5FA" w14:textId="69AF553E">
      <w:pPr>
        <w:pStyle w:val="BodyTextIndent3"/>
        <w:widowControl w:val="0"/>
        <w:spacing w:line="480" w:lineRule="auto"/>
        <w:rPr>
          <w:szCs w:val="24"/>
        </w:rPr>
      </w:pPr>
      <w:r w:rsidRPr="003639E5">
        <w:rPr>
          <w:szCs w:val="24"/>
        </w:rPr>
        <w:t>T</w:t>
      </w:r>
      <w:r w:rsidR="000B28A8">
        <w:rPr>
          <w:szCs w:val="24"/>
        </w:rPr>
        <w:t xml:space="preserve">he </w:t>
      </w:r>
      <w:r w:rsidRPr="003639E5">
        <w:rPr>
          <w:szCs w:val="24"/>
        </w:rPr>
        <w:t>PUCO</w:t>
      </w:r>
      <w:r w:rsidR="004E3C96">
        <w:rPr>
          <w:szCs w:val="24"/>
        </w:rPr>
        <w:t>’s Order</w:t>
      </w:r>
      <w:r w:rsidR="00F06CE8">
        <w:rPr>
          <w:szCs w:val="24"/>
        </w:rPr>
        <w:t xml:space="preserve"> wrongly</w:t>
      </w:r>
      <w:r>
        <w:rPr>
          <w:szCs w:val="24"/>
        </w:rPr>
        <w:t xml:space="preserve"> </w:t>
      </w:r>
      <w:r w:rsidR="00482177">
        <w:rPr>
          <w:szCs w:val="24"/>
        </w:rPr>
        <w:t>forc</w:t>
      </w:r>
      <w:r w:rsidR="004E3C96">
        <w:rPr>
          <w:szCs w:val="24"/>
        </w:rPr>
        <w:t>es</w:t>
      </w:r>
      <w:r w:rsidR="00482177">
        <w:rPr>
          <w:szCs w:val="24"/>
        </w:rPr>
        <w:t xml:space="preserve"> residential</w:t>
      </w:r>
      <w:r w:rsidR="004E3C96">
        <w:rPr>
          <w:szCs w:val="24"/>
        </w:rPr>
        <w:t xml:space="preserve"> utility</w:t>
      </w:r>
      <w:r w:rsidR="00897E00">
        <w:rPr>
          <w:szCs w:val="24"/>
        </w:rPr>
        <w:t xml:space="preserve"> </w:t>
      </w:r>
      <w:r w:rsidR="00482177">
        <w:rPr>
          <w:szCs w:val="24"/>
        </w:rPr>
        <w:t>consumers</w:t>
      </w:r>
      <w:r w:rsidR="00805CC3">
        <w:rPr>
          <w:szCs w:val="24"/>
        </w:rPr>
        <w:t xml:space="preserve"> who live in apartment complexes</w:t>
      </w:r>
      <w:r w:rsidR="00482177">
        <w:rPr>
          <w:szCs w:val="24"/>
        </w:rPr>
        <w:t xml:space="preserve"> </w:t>
      </w:r>
      <w:r w:rsidR="00A37C89">
        <w:rPr>
          <w:szCs w:val="24"/>
        </w:rPr>
        <w:t xml:space="preserve">to take </w:t>
      </w:r>
      <w:r w:rsidR="004E3C96">
        <w:rPr>
          <w:szCs w:val="24"/>
        </w:rPr>
        <w:t xml:space="preserve">– and </w:t>
      </w:r>
      <w:r w:rsidR="00A37C89">
        <w:rPr>
          <w:szCs w:val="24"/>
        </w:rPr>
        <w:t>pay fo</w:t>
      </w:r>
      <w:r w:rsidR="004E3C96">
        <w:rPr>
          <w:szCs w:val="24"/>
        </w:rPr>
        <w:t xml:space="preserve">r – </w:t>
      </w:r>
      <w:r w:rsidR="009333AF">
        <w:rPr>
          <w:szCs w:val="24"/>
        </w:rPr>
        <w:t xml:space="preserve">substandard </w:t>
      </w:r>
      <w:r w:rsidR="000B28A8">
        <w:rPr>
          <w:szCs w:val="24"/>
        </w:rPr>
        <w:t>submetered</w:t>
      </w:r>
      <w:r w:rsidR="00482177">
        <w:rPr>
          <w:szCs w:val="24"/>
        </w:rPr>
        <w:t xml:space="preserve"> electric utility service</w:t>
      </w:r>
      <w:r w:rsidR="000B28A8">
        <w:rPr>
          <w:szCs w:val="24"/>
        </w:rPr>
        <w:t xml:space="preserve"> from</w:t>
      </w:r>
      <w:r w:rsidR="00482177">
        <w:rPr>
          <w:szCs w:val="24"/>
        </w:rPr>
        <w:t xml:space="preserve"> </w:t>
      </w:r>
      <w:r>
        <w:rPr>
          <w:szCs w:val="24"/>
        </w:rPr>
        <w:t>Nationwide Energy Partners (“NEP”)</w:t>
      </w:r>
      <w:r w:rsidR="00805CC3">
        <w:rPr>
          <w:szCs w:val="24"/>
        </w:rPr>
        <w:t>.</w:t>
      </w:r>
      <w:r>
        <w:rPr>
          <w:rStyle w:val="FootnoteReference"/>
          <w:szCs w:val="24"/>
        </w:rPr>
        <w:footnoteReference w:id="2"/>
      </w:r>
      <w:r w:rsidR="00805CC3">
        <w:rPr>
          <w:szCs w:val="24"/>
        </w:rPr>
        <w:t xml:space="preserve"> </w:t>
      </w:r>
      <w:r w:rsidR="000B28A8">
        <w:rPr>
          <w:szCs w:val="24"/>
        </w:rPr>
        <w:t>The PUCO</w:t>
      </w:r>
      <w:r w:rsidR="004E3C96">
        <w:rPr>
          <w:szCs w:val="24"/>
        </w:rPr>
        <w:t>’s Order</w:t>
      </w:r>
      <w:r w:rsidR="000B28A8">
        <w:rPr>
          <w:szCs w:val="24"/>
        </w:rPr>
        <w:t xml:space="preserve"> </w:t>
      </w:r>
      <w:r w:rsidR="009333AF">
        <w:rPr>
          <w:szCs w:val="24"/>
        </w:rPr>
        <w:t>expressly</w:t>
      </w:r>
      <w:r w:rsidR="000B28A8">
        <w:rPr>
          <w:szCs w:val="24"/>
        </w:rPr>
        <w:t xml:space="preserve"> </w:t>
      </w:r>
      <w:r w:rsidR="004E3C96">
        <w:rPr>
          <w:szCs w:val="24"/>
        </w:rPr>
        <w:t>states</w:t>
      </w:r>
      <w:r w:rsidR="000B28A8">
        <w:rPr>
          <w:szCs w:val="24"/>
        </w:rPr>
        <w:t xml:space="preserve"> that consumers</w:t>
      </w:r>
      <w:r w:rsidR="00897E00">
        <w:rPr>
          <w:szCs w:val="24"/>
        </w:rPr>
        <w:t xml:space="preserve"> served by NEP</w:t>
      </w:r>
      <w:r w:rsidR="000B28A8">
        <w:rPr>
          <w:szCs w:val="24"/>
        </w:rPr>
        <w:t xml:space="preserve"> </w:t>
      </w:r>
      <w:r w:rsidRPr="003639E5">
        <w:rPr>
          <w:szCs w:val="24"/>
        </w:rPr>
        <w:t>“</w:t>
      </w:r>
      <w:r w:rsidRPr="00E76247">
        <w:rPr>
          <w:b/>
          <w:bCs/>
          <w:i/>
          <w:iCs/>
          <w:szCs w:val="24"/>
        </w:rPr>
        <w:t>will lose a multitude of rights and protections</w:t>
      </w:r>
      <w:r w:rsidR="00610B23">
        <w:rPr>
          <w:szCs w:val="24"/>
        </w:rPr>
        <w:t>***</w:t>
      </w:r>
      <w:r w:rsidR="005A4489">
        <w:rPr>
          <w:szCs w:val="24"/>
        </w:rPr>
        <w:t>.</w:t>
      </w:r>
      <w:r w:rsidR="00610B23">
        <w:rPr>
          <w:szCs w:val="24"/>
        </w:rPr>
        <w:t>”</w:t>
      </w:r>
      <w:r>
        <w:rPr>
          <w:rStyle w:val="FootnoteReference"/>
          <w:szCs w:val="24"/>
        </w:rPr>
        <w:footnoteReference w:id="3"/>
      </w:r>
      <w:r w:rsidR="000102C8">
        <w:rPr>
          <w:szCs w:val="24"/>
        </w:rPr>
        <w:t xml:space="preserve"> </w:t>
      </w:r>
      <w:r w:rsidR="004E3C96">
        <w:rPr>
          <w:szCs w:val="24"/>
        </w:rPr>
        <w:t>R</w:t>
      </w:r>
      <w:r w:rsidR="00280F8E">
        <w:rPr>
          <w:szCs w:val="24"/>
        </w:rPr>
        <w:t xml:space="preserve">esidential </w:t>
      </w:r>
      <w:r w:rsidR="004E3C96">
        <w:rPr>
          <w:szCs w:val="24"/>
        </w:rPr>
        <w:t xml:space="preserve">utility </w:t>
      </w:r>
      <w:r w:rsidR="00280F8E">
        <w:rPr>
          <w:szCs w:val="24"/>
        </w:rPr>
        <w:t xml:space="preserve">consumers </w:t>
      </w:r>
      <w:r w:rsidR="004E3C96">
        <w:rPr>
          <w:szCs w:val="24"/>
        </w:rPr>
        <w:t>deserve to be heard</w:t>
      </w:r>
      <w:r w:rsidR="00D45159">
        <w:rPr>
          <w:szCs w:val="24"/>
        </w:rPr>
        <w:t xml:space="preserve">, </w:t>
      </w:r>
      <w:r w:rsidR="00B050A1">
        <w:rPr>
          <w:szCs w:val="24"/>
        </w:rPr>
        <w:t>despite NEP’s</w:t>
      </w:r>
      <w:r w:rsidR="00A313C1">
        <w:rPr>
          <w:szCs w:val="24"/>
        </w:rPr>
        <w:t xml:space="preserve"> call </w:t>
      </w:r>
      <w:r w:rsidR="006F1F52">
        <w:rPr>
          <w:szCs w:val="24"/>
        </w:rPr>
        <w:t xml:space="preserve">once again </w:t>
      </w:r>
      <w:r w:rsidR="00B050A1">
        <w:rPr>
          <w:szCs w:val="24"/>
        </w:rPr>
        <w:t xml:space="preserve">to silence </w:t>
      </w:r>
      <w:r w:rsidR="00541F19">
        <w:rPr>
          <w:szCs w:val="24"/>
        </w:rPr>
        <w:t>OCC</w:t>
      </w:r>
      <w:r w:rsidR="00C01BBA">
        <w:rPr>
          <w:szCs w:val="24"/>
        </w:rPr>
        <w:t xml:space="preserve">, their </w:t>
      </w:r>
      <w:r w:rsidR="004B0CB4">
        <w:rPr>
          <w:szCs w:val="24"/>
        </w:rPr>
        <w:t>statutory r</w:t>
      </w:r>
      <w:r w:rsidR="00C01BBA">
        <w:rPr>
          <w:szCs w:val="24"/>
        </w:rPr>
        <w:t>epresentative</w:t>
      </w:r>
      <w:r w:rsidR="00AB68FA">
        <w:rPr>
          <w:szCs w:val="24"/>
        </w:rPr>
        <w:t>.</w:t>
      </w:r>
      <w:r w:rsidR="00A7103F">
        <w:rPr>
          <w:szCs w:val="24"/>
        </w:rPr>
        <w:t xml:space="preserve"> </w:t>
      </w:r>
      <w:r w:rsidR="00280F8E">
        <w:rPr>
          <w:szCs w:val="24"/>
        </w:rPr>
        <w:t>OCC’s Motion for Leave to File Instanter an Application for Rehearing</w:t>
      </w:r>
      <w:r>
        <w:rPr>
          <w:rStyle w:val="FootnoteReference"/>
          <w:szCs w:val="24"/>
        </w:rPr>
        <w:footnoteReference w:id="4"/>
      </w:r>
      <w:r w:rsidR="00A7103F">
        <w:rPr>
          <w:szCs w:val="24"/>
        </w:rPr>
        <w:t xml:space="preserve"> should be granted.</w:t>
      </w:r>
      <w:r w:rsidR="00280F8E">
        <w:rPr>
          <w:szCs w:val="24"/>
        </w:rPr>
        <w:t xml:space="preserve"> </w:t>
      </w:r>
    </w:p>
    <w:p w:rsidR="00E76247" w:rsidP="00382E9E" w14:paraId="63EA7FDC" w14:textId="7E7FD807">
      <w:pPr>
        <w:pStyle w:val="BodyTextIndent3"/>
        <w:widowControl w:val="0"/>
        <w:spacing w:line="480" w:lineRule="auto"/>
        <w:rPr>
          <w:szCs w:val="24"/>
        </w:rPr>
      </w:pPr>
      <w:r>
        <w:rPr>
          <w:szCs w:val="24"/>
        </w:rPr>
        <w:br w:type="page"/>
      </w:r>
      <w:r w:rsidR="000B28A8">
        <w:rPr>
          <w:szCs w:val="24"/>
        </w:rPr>
        <w:t xml:space="preserve">OCC, the state residential utility consumer advocate, fought to participate in this case </w:t>
      </w:r>
      <w:r w:rsidR="005B6985">
        <w:rPr>
          <w:szCs w:val="24"/>
        </w:rPr>
        <w:t>to protect</w:t>
      </w:r>
      <w:r w:rsidR="000B28A8">
        <w:rPr>
          <w:szCs w:val="24"/>
        </w:rPr>
        <w:t xml:space="preserve"> th</w:t>
      </w:r>
      <w:r w:rsidR="00280F8E">
        <w:rPr>
          <w:szCs w:val="24"/>
        </w:rPr>
        <w:t xml:space="preserve">e </w:t>
      </w:r>
      <w:r w:rsidR="000B28A8">
        <w:rPr>
          <w:szCs w:val="24"/>
        </w:rPr>
        <w:t>residential consumers</w:t>
      </w:r>
      <w:r w:rsidR="00280F8E">
        <w:rPr>
          <w:szCs w:val="24"/>
        </w:rPr>
        <w:t xml:space="preserve"> who</w:t>
      </w:r>
      <w:r w:rsidR="00A7103F">
        <w:rPr>
          <w:szCs w:val="24"/>
        </w:rPr>
        <w:t xml:space="preserve"> have now lost their </w:t>
      </w:r>
      <w:r w:rsidR="004E3C96">
        <w:rPr>
          <w:szCs w:val="24"/>
        </w:rPr>
        <w:t xml:space="preserve">PUCO-regulated </w:t>
      </w:r>
      <w:r w:rsidR="00A7103F">
        <w:rPr>
          <w:szCs w:val="24"/>
        </w:rPr>
        <w:t>electric utility service</w:t>
      </w:r>
      <w:r w:rsidR="000B28A8">
        <w:rPr>
          <w:szCs w:val="24"/>
        </w:rPr>
        <w:t>.</w:t>
      </w:r>
      <w:r>
        <w:rPr>
          <w:rStyle w:val="FootnoteReference"/>
          <w:szCs w:val="24"/>
        </w:rPr>
        <w:footnoteReference w:id="5"/>
      </w:r>
      <w:r w:rsidR="00A7103F">
        <w:rPr>
          <w:szCs w:val="24"/>
        </w:rPr>
        <w:t xml:space="preserve"> </w:t>
      </w:r>
      <w:r w:rsidR="005A4489">
        <w:rPr>
          <w:szCs w:val="24"/>
        </w:rPr>
        <w:t>T</w:t>
      </w:r>
      <w:r w:rsidR="00A7103F">
        <w:rPr>
          <w:szCs w:val="24"/>
        </w:rPr>
        <w:t>he</w:t>
      </w:r>
      <w:r w:rsidR="00897E00">
        <w:rPr>
          <w:szCs w:val="24"/>
        </w:rPr>
        <w:t xml:space="preserve"> PUCO </w:t>
      </w:r>
      <w:r w:rsidR="004E3C96">
        <w:rPr>
          <w:szCs w:val="24"/>
        </w:rPr>
        <w:t xml:space="preserve">granted </w:t>
      </w:r>
      <w:r w:rsidR="00A37C89">
        <w:rPr>
          <w:szCs w:val="24"/>
        </w:rPr>
        <w:t>NEP</w:t>
      </w:r>
      <w:r w:rsidR="004E3C96">
        <w:rPr>
          <w:szCs w:val="24"/>
        </w:rPr>
        <w:t>’s requests</w:t>
      </w:r>
      <w:r w:rsidR="00A37C89">
        <w:rPr>
          <w:szCs w:val="24"/>
        </w:rPr>
        <w:t xml:space="preserve"> </w:t>
      </w:r>
      <w:r w:rsidR="00A7103F">
        <w:rPr>
          <w:szCs w:val="24"/>
        </w:rPr>
        <w:t xml:space="preserve">to </w:t>
      </w:r>
      <w:r w:rsidR="00897E00">
        <w:rPr>
          <w:szCs w:val="24"/>
        </w:rPr>
        <w:t>silence</w:t>
      </w:r>
      <w:r w:rsidR="00A7103F">
        <w:rPr>
          <w:szCs w:val="24"/>
        </w:rPr>
        <w:t xml:space="preserve"> OCC in </w:t>
      </w:r>
      <w:r w:rsidR="009333AF">
        <w:rPr>
          <w:szCs w:val="24"/>
        </w:rPr>
        <w:t>this case</w:t>
      </w:r>
      <w:r w:rsidR="00A37C89">
        <w:rPr>
          <w:szCs w:val="24"/>
        </w:rPr>
        <w:t>.</w:t>
      </w:r>
      <w:r>
        <w:rPr>
          <w:rStyle w:val="FootnoteReference"/>
          <w:szCs w:val="24"/>
        </w:rPr>
        <w:footnoteReference w:id="6"/>
      </w:r>
      <w:r w:rsidR="000B28A8">
        <w:rPr>
          <w:szCs w:val="24"/>
        </w:rPr>
        <w:t xml:space="preserve"> </w:t>
      </w:r>
      <w:r w:rsidR="006D4B1C">
        <w:rPr>
          <w:szCs w:val="24"/>
        </w:rPr>
        <w:t xml:space="preserve">NEP now </w:t>
      </w:r>
      <w:r w:rsidR="004E3C96">
        <w:rPr>
          <w:szCs w:val="24"/>
        </w:rPr>
        <w:t>wants</w:t>
      </w:r>
      <w:r w:rsidR="006D4B1C">
        <w:rPr>
          <w:szCs w:val="24"/>
        </w:rPr>
        <w:t xml:space="preserve"> to muzzle OCC again</w:t>
      </w:r>
      <w:r w:rsidR="004E3C96">
        <w:rPr>
          <w:szCs w:val="24"/>
        </w:rPr>
        <w:t>, this time</w:t>
      </w:r>
      <w:r w:rsidR="00A7103F">
        <w:rPr>
          <w:szCs w:val="24"/>
        </w:rPr>
        <w:t xml:space="preserve"> </w:t>
      </w:r>
      <w:r w:rsidR="004F5AB3">
        <w:rPr>
          <w:szCs w:val="24"/>
        </w:rPr>
        <w:t xml:space="preserve">by </w:t>
      </w:r>
      <w:r w:rsidR="00482177">
        <w:rPr>
          <w:szCs w:val="24"/>
        </w:rPr>
        <w:t>oppos</w:t>
      </w:r>
      <w:r w:rsidR="00A37C89">
        <w:rPr>
          <w:szCs w:val="24"/>
        </w:rPr>
        <w:t>i</w:t>
      </w:r>
      <w:r w:rsidR="004F5AB3">
        <w:rPr>
          <w:szCs w:val="24"/>
        </w:rPr>
        <w:t>ng</w:t>
      </w:r>
      <w:r w:rsidR="00A37C89">
        <w:rPr>
          <w:szCs w:val="24"/>
        </w:rPr>
        <w:t xml:space="preserve"> </w:t>
      </w:r>
      <w:r w:rsidR="002300A2">
        <w:rPr>
          <w:szCs w:val="24"/>
        </w:rPr>
        <w:t>OCC</w:t>
      </w:r>
      <w:r w:rsidR="00EA414B">
        <w:rPr>
          <w:szCs w:val="24"/>
        </w:rPr>
        <w:t>’s</w:t>
      </w:r>
      <w:r w:rsidR="00A37C89">
        <w:rPr>
          <w:szCs w:val="24"/>
        </w:rPr>
        <w:t xml:space="preserve"> Motion for Leave</w:t>
      </w:r>
      <w:r w:rsidR="00280F8E">
        <w:rPr>
          <w:szCs w:val="24"/>
        </w:rPr>
        <w:t>.</w:t>
      </w:r>
      <w:r>
        <w:rPr>
          <w:rStyle w:val="FootnoteReference"/>
          <w:szCs w:val="24"/>
        </w:rPr>
        <w:footnoteReference w:id="7"/>
      </w:r>
      <w:r w:rsidR="002300A2">
        <w:rPr>
          <w:szCs w:val="24"/>
        </w:rPr>
        <w:t xml:space="preserve"> </w:t>
      </w:r>
      <w:r w:rsidR="00905B53">
        <w:rPr>
          <w:szCs w:val="24"/>
        </w:rPr>
        <w:t>NEP’s arguments</w:t>
      </w:r>
      <w:r w:rsidR="00A7103F">
        <w:rPr>
          <w:szCs w:val="24"/>
        </w:rPr>
        <w:t xml:space="preserve"> should be rejected. </w:t>
      </w:r>
    </w:p>
    <w:p w:rsidR="00382E9E" w:rsidP="00382E9E" w14:paraId="3638052C" w14:textId="77777777">
      <w:pPr>
        <w:pStyle w:val="BodyTextIndent3"/>
        <w:widowControl w:val="0"/>
        <w:spacing w:line="240" w:lineRule="auto"/>
        <w:rPr>
          <w:szCs w:val="24"/>
        </w:rPr>
      </w:pPr>
    </w:p>
    <w:p w:rsidR="00E76247" w:rsidP="00382E9E" w14:paraId="1E2B3231" w14:textId="77777777">
      <w:pPr>
        <w:pStyle w:val="BodyTextIndent3"/>
        <w:widowControl w:val="0"/>
        <w:numPr>
          <w:ilvl w:val="0"/>
          <w:numId w:val="9"/>
        </w:numPr>
        <w:spacing w:line="480" w:lineRule="auto"/>
        <w:ind w:left="720"/>
        <w:rPr>
          <w:b/>
          <w:bCs/>
          <w:szCs w:val="24"/>
        </w:rPr>
      </w:pPr>
      <w:r>
        <w:rPr>
          <w:b/>
          <w:bCs/>
          <w:szCs w:val="24"/>
        </w:rPr>
        <w:t>ARGUMENT</w:t>
      </w:r>
    </w:p>
    <w:p w:rsidR="004F5AB3" w:rsidRPr="00732063" w:rsidP="00732063" w14:paraId="7A314708" w14:textId="45815B85">
      <w:pPr>
        <w:pStyle w:val="BodyTextIndent3"/>
        <w:widowControl w:val="0"/>
        <w:numPr>
          <w:ilvl w:val="0"/>
          <w:numId w:val="10"/>
        </w:numPr>
        <w:spacing w:line="240" w:lineRule="auto"/>
        <w:ind w:left="1440" w:hanging="720"/>
        <w:rPr>
          <w:b/>
          <w:bCs/>
          <w:szCs w:val="24"/>
        </w:rPr>
      </w:pPr>
      <w:r>
        <w:rPr>
          <w:b/>
          <w:bCs/>
          <w:szCs w:val="24"/>
        </w:rPr>
        <w:t>NEP’s claim</w:t>
      </w:r>
      <w:r w:rsidR="00A7103F">
        <w:rPr>
          <w:b/>
          <w:bCs/>
          <w:szCs w:val="24"/>
        </w:rPr>
        <w:t>s</w:t>
      </w:r>
      <w:r>
        <w:rPr>
          <w:b/>
          <w:bCs/>
          <w:szCs w:val="24"/>
        </w:rPr>
        <w:t xml:space="preserve"> that OCC’s Motion for Leave is unlawful</w:t>
      </w:r>
      <w:r w:rsidR="004E3C96">
        <w:rPr>
          <w:b/>
          <w:bCs/>
          <w:szCs w:val="24"/>
        </w:rPr>
        <w:t xml:space="preserve"> should be rejected</w:t>
      </w:r>
      <w:r>
        <w:rPr>
          <w:b/>
          <w:bCs/>
          <w:szCs w:val="24"/>
        </w:rPr>
        <w:t>.</w:t>
      </w:r>
      <w:r w:rsidR="00A7103F">
        <w:rPr>
          <w:b/>
          <w:bCs/>
          <w:szCs w:val="24"/>
        </w:rPr>
        <w:t xml:space="preserve"> The Ohio Supreme Court </w:t>
      </w:r>
      <w:r w:rsidR="00732063">
        <w:rPr>
          <w:b/>
          <w:bCs/>
          <w:szCs w:val="24"/>
        </w:rPr>
        <w:t xml:space="preserve">disfavors </w:t>
      </w:r>
      <w:r w:rsidRPr="00732063" w:rsidR="00A7103F">
        <w:rPr>
          <w:b/>
          <w:bCs/>
          <w:szCs w:val="24"/>
        </w:rPr>
        <w:t>piecemeal appeals</w:t>
      </w:r>
      <w:r w:rsidRPr="00732063" w:rsidR="004E3C96">
        <w:rPr>
          <w:b/>
          <w:bCs/>
          <w:szCs w:val="24"/>
        </w:rPr>
        <w:t xml:space="preserve"> and an earlier</w:t>
      </w:r>
      <w:r w:rsidRPr="00732063" w:rsidR="00A7103F">
        <w:rPr>
          <w:b/>
          <w:bCs/>
          <w:szCs w:val="24"/>
        </w:rPr>
        <w:t xml:space="preserve"> appeal</w:t>
      </w:r>
      <w:r w:rsidRPr="00732063" w:rsidR="008D5D0B">
        <w:rPr>
          <w:b/>
          <w:bCs/>
          <w:szCs w:val="24"/>
        </w:rPr>
        <w:t xml:space="preserve"> </w:t>
      </w:r>
      <w:r w:rsidRPr="00732063" w:rsidR="00A7103F">
        <w:rPr>
          <w:b/>
          <w:bCs/>
          <w:szCs w:val="24"/>
        </w:rPr>
        <w:t>of the PUCO’s denial of OCC’s intervention would have</w:t>
      </w:r>
      <w:r w:rsidR="004109DA">
        <w:rPr>
          <w:b/>
          <w:bCs/>
          <w:szCs w:val="24"/>
        </w:rPr>
        <w:t xml:space="preserve"> been premature</w:t>
      </w:r>
      <w:r w:rsidRPr="00732063" w:rsidR="00A7103F">
        <w:rPr>
          <w:b/>
          <w:bCs/>
          <w:szCs w:val="24"/>
        </w:rPr>
        <w:t xml:space="preserve">. </w:t>
      </w:r>
    </w:p>
    <w:p w:rsidR="009333AF" w:rsidRPr="004F5AB3" w:rsidP="00382E9E" w14:paraId="4F7EF7D0" w14:textId="77777777">
      <w:pPr>
        <w:pStyle w:val="BodyTextIndent3"/>
        <w:widowControl w:val="0"/>
        <w:spacing w:line="240" w:lineRule="auto"/>
        <w:ind w:left="1080" w:firstLine="0"/>
        <w:rPr>
          <w:b/>
          <w:bCs/>
          <w:szCs w:val="24"/>
        </w:rPr>
      </w:pPr>
    </w:p>
    <w:p w:rsidR="0055020C" w:rsidP="00382E9E" w14:paraId="54F5D4C8" w14:textId="60F3360C">
      <w:pPr>
        <w:pStyle w:val="BodyTextIndent3"/>
        <w:widowControl w:val="0"/>
        <w:spacing w:line="480" w:lineRule="auto"/>
        <w:rPr>
          <w:szCs w:val="24"/>
        </w:rPr>
      </w:pPr>
      <w:r>
        <w:rPr>
          <w:szCs w:val="24"/>
        </w:rPr>
        <w:t xml:space="preserve">NEP </w:t>
      </w:r>
      <w:r w:rsidR="00FF1B4F">
        <w:rPr>
          <w:szCs w:val="24"/>
        </w:rPr>
        <w:t>claims</w:t>
      </w:r>
      <w:r>
        <w:rPr>
          <w:szCs w:val="24"/>
        </w:rPr>
        <w:t xml:space="preserve"> that OCC’s Motion for Leave </w:t>
      </w:r>
      <w:r w:rsidR="00FF1B4F">
        <w:rPr>
          <w:szCs w:val="24"/>
        </w:rPr>
        <w:t xml:space="preserve">is unlawful </w:t>
      </w:r>
      <w:r>
        <w:rPr>
          <w:szCs w:val="24"/>
        </w:rPr>
        <w:t xml:space="preserve">because OCC did not </w:t>
      </w:r>
      <w:r w:rsidR="008D5D0B">
        <w:rPr>
          <w:szCs w:val="24"/>
        </w:rPr>
        <w:t xml:space="preserve">previously </w:t>
      </w:r>
      <w:r>
        <w:rPr>
          <w:szCs w:val="24"/>
        </w:rPr>
        <w:t>appeal the PUCO’s denial of OCC’s interven</w:t>
      </w:r>
      <w:r w:rsidR="00DB28C6">
        <w:rPr>
          <w:szCs w:val="24"/>
        </w:rPr>
        <w:t>tion in this case</w:t>
      </w:r>
      <w:r>
        <w:rPr>
          <w:szCs w:val="24"/>
        </w:rPr>
        <w:t>.</w:t>
      </w:r>
      <w:r>
        <w:rPr>
          <w:rStyle w:val="FootnoteReference"/>
          <w:szCs w:val="24"/>
        </w:rPr>
        <w:footnoteReference w:id="8"/>
      </w:r>
      <w:r>
        <w:rPr>
          <w:szCs w:val="24"/>
        </w:rPr>
        <w:t xml:space="preserve"> </w:t>
      </w:r>
      <w:r>
        <w:rPr>
          <w:szCs w:val="24"/>
        </w:rPr>
        <w:t>NEP’s arguments should be rejected</w:t>
      </w:r>
      <w:r w:rsidR="005C131C">
        <w:rPr>
          <w:szCs w:val="24"/>
        </w:rPr>
        <w:t>.</w:t>
      </w:r>
      <w:r w:rsidR="000D64BC">
        <w:rPr>
          <w:szCs w:val="24"/>
        </w:rPr>
        <w:t xml:space="preserve"> OCC’s Motion for Leave to seek rehearing of the PUCO’s Order is appropriate under R.C. 4903.10</w:t>
      </w:r>
      <w:r w:rsidR="00DB28C6">
        <w:rPr>
          <w:szCs w:val="24"/>
        </w:rPr>
        <w:t>, and it should be granted</w:t>
      </w:r>
      <w:r w:rsidR="000D64BC">
        <w:rPr>
          <w:szCs w:val="24"/>
        </w:rPr>
        <w:t xml:space="preserve">. </w:t>
      </w:r>
    </w:p>
    <w:p w:rsidR="00540096" w:rsidP="00382E9E" w14:paraId="75F0DDE9" w14:textId="17ED78A7">
      <w:pPr>
        <w:pStyle w:val="BodyTextIndent3"/>
        <w:widowControl w:val="0"/>
        <w:spacing w:line="480" w:lineRule="auto"/>
        <w:rPr>
          <w:szCs w:val="24"/>
        </w:rPr>
      </w:pPr>
      <w:r>
        <w:rPr>
          <w:szCs w:val="24"/>
        </w:rPr>
        <w:t>NEP</w:t>
      </w:r>
      <w:r w:rsidR="00C3483B">
        <w:rPr>
          <w:szCs w:val="24"/>
        </w:rPr>
        <w:t xml:space="preserve"> cites no authority directly supportin</w:t>
      </w:r>
      <w:r w:rsidR="00DB28C6">
        <w:rPr>
          <w:szCs w:val="24"/>
        </w:rPr>
        <w:t>g</w:t>
      </w:r>
      <w:r w:rsidR="00C3483B">
        <w:rPr>
          <w:szCs w:val="24"/>
        </w:rPr>
        <w:t xml:space="preserve"> its position that OCC was </w:t>
      </w:r>
      <w:r w:rsidRPr="00DB28C6" w:rsidR="00C3483B">
        <w:rPr>
          <w:i/>
          <w:iCs/>
          <w:szCs w:val="24"/>
        </w:rPr>
        <w:t>required</w:t>
      </w:r>
      <w:r w:rsidR="00C3483B">
        <w:rPr>
          <w:szCs w:val="24"/>
        </w:rPr>
        <w:t xml:space="preserve"> to </w:t>
      </w:r>
      <w:r w:rsidR="00DB28C6">
        <w:rPr>
          <w:szCs w:val="24"/>
        </w:rPr>
        <w:t xml:space="preserve">immediately </w:t>
      </w:r>
      <w:r w:rsidR="00C3483B">
        <w:rPr>
          <w:szCs w:val="24"/>
        </w:rPr>
        <w:t>appeal</w:t>
      </w:r>
      <w:r w:rsidR="00DB28C6">
        <w:rPr>
          <w:szCs w:val="24"/>
        </w:rPr>
        <w:t xml:space="preserve"> to the Ohio Supreme Court</w:t>
      </w:r>
      <w:r w:rsidR="00C3483B">
        <w:rPr>
          <w:szCs w:val="24"/>
        </w:rPr>
        <w:t xml:space="preserve"> the PUCO’s</w:t>
      </w:r>
      <w:r w:rsidR="008D5D0B">
        <w:rPr>
          <w:szCs w:val="24"/>
        </w:rPr>
        <w:t xml:space="preserve"> </w:t>
      </w:r>
      <w:r w:rsidR="00C3483B">
        <w:rPr>
          <w:szCs w:val="24"/>
        </w:rPr>
        <w:t>denial of OCC’s intervention</w:t>
      </w:r>
      <w:r w:rsidR="00FF7923">
        <w:rPr>
          <w:szCs w:val="24"/>
        </w:rPr>
        <w:t>.</w:t>
      </w:r>
      <w:r>
        <w:rPr>
          <w:szCs w:val="24"/>
        </w:rPr>
        <w:t xml:space="preserve"> </w:t>
      </w:r>
      <w:r w:rsidR="00DB28C6">
        <w:rPr>
          <w:szCs w:val="24"/>
        </w:rPr>
        <w:t xml:space="preserve">NEP </w:t>
      </w:r>
      <w:r w:rsidR="000D64BC">
        <w:rPr>
          <w:szCs w:val="24"/>
        </w:rPr>
        <w:t>relies on</w:t>
      </w:r>
      <w:r>
        <w:rPr>
          <w:szCs w:val="24"/>
        </w:rPr>
        <w:t xml:space="preserve"> </w:t>
      </w:r>
      <w:r>
        <w:rPr>
          <w:i/>
          <w:iCs/>
          <w:szCs w:val="24"/>
        </w:rPr>
        <w:t>Senior Citizens Coalition v. PUC of Ohio</w:t>
      </w:r>
      <w:r w:rsidR="00322469">
        <w:rPr>
          <w:szCs w:val="24"/>
        </w:rPr>
        <w:t>,</w:t>
      </w:r>
      <w:r w:rsidR="00322469">
        <w:rPr>
          <w:i/>
          <w:iCs/>
          <w:szCs w:val="24"/>
        </w:rPr>
        <w:t xml:space="preserve"> </w:t>
      </w:r>
      <w:r w:rsidR="00322469">
        <w:t>40 Ohio St. 3d 329, 332, 533 N.E.2d 353 (1988)</w:t>
      </w:r>
      <w:r w:rsidR="008D5D0B">
        <w:t>.</w:t>
      </w:r>
      <w:r>
        <w:rPr>
          <w:rStyle w:val="FootnoteReference"/>
          <w:szCs w:val="24"/>
        </w:rPr>
        <w:footnoteReference w:id="9"/>
      </w:r>
      <w:r w:rsidR="0056225A">
        <w:t xml:space="preserve"> </w:t>
      </w:r>
      <w:r w:rsidR="00DB28C6">
        <w:t>However, n</w:t>
      </w:r>
      <w:r w:rsidR="000D64BC">
        <w:rPr>
          <w:szCs w:val="24"/>
        </w:rPr>
        <w:t xml:space="preserve">othing in that case </w:t>
      </w:r>
      <w:r>
        <w:rPr>
          <w:szCs w:val="24"/>
        </w:rPr>
        <w:t>precludes</w:t>
      </w:r>
      <w:r w:rsidR="00652FDF">
        <w:rPr>
          <w:szCs w:val="24"/>
        </w:rPr>
        <w:t xml:space="preserve"> OCC’s Motion for Leave</w:t>
      </w:r>
      <w:r w:rsidR="008D5D0B">
        <w:rPr>
          <w:szCs w:val="24"/>
        </w:rPr>
        <w:t xml:space="preserve"> to file an application for rehearing of the Order now</w:t>
      </w:r>
      <w:r w:rsidR="000C7336">
        <w:rPr>
          <w:szCs w:val="24"/>
        </w:rPr>
        <w:t>.</w:t>
      </w:r>
      <w:r w:rsidR="00733BFF">
        <w:rPr>
          <w:szCs w:val="24"/>
        </w:rPr>
        <w:t xml:space="preserve"> </w:t>
      </w:r>
      <w:r w:rsidR="008D5D0B">
        <w:rPr>
          <w:szCs w:val="24"/>
        </w:rPr>
        <w:t>To the contrary</w:t>
      </w:r>
      <w:r w:rsidR="00FF2846">
        <w:rPr>
          <w:szCs w:val="24"/>
        </w:rPr>
        <w:t xml:space="preserve">, </w:t>
      </w:r>
      <w:r w:rsidR="00652FDF">
        <w:rPr>
          <w:i/>
          <w:iCs/>
          <w:szCs w:val="24"/>
        </w:rPr>
        <w:t>Senior Citizens</w:t>
      </w:r>
      <w:r w:rsidR="00733BFF">
        <w:rPr>
          <w:i/>
          <w:iCs/>
          <w:szCs w:val="24"/>
        </w:rPr>
        <w:t xml:space="preserve"> </w:t>
      </w:r>
      <w:r w:rsidR="008D5D0B">
        <w:rPr>
          <w:szCs w:val="24"/>
        </w:rPr>
        <w:t>supports OCC’s position</w:t>
      </w:r>
      <w:r w:rsidR="00733BFF">
        <w:rPr>
          <w:szCs w:val="24"/>
        </w:rPr>
        <w:t xml:space="preserve"> that a previous appeal by OCC</w:t>
      </w:r>
      <w:r w:rsidR="00C3483B">
        <w:rPr>
          <w:szCs w:val="24"/>
        </w:rPr>
        <w:t xml:space="preserve"> would </w:t>
      </w:r>
      <w:r w:rsidR="00FF2846">
        <w:rPr>
          <w:szCs w:val="24"/>
        </w:rPr>
        <w:t xml:space="preserve">have </w:t>
      </w:r>
      <w:r w:rsidR="00C3483B">
        <w:rPr>
          <w:szCs w:val="24"/>
        </w:rPr>
        <w:t>be</w:t>
      </w:r>
      <w:r w:rsidR="00FF2846">
        <w:rPr>
          <w:szCs w:val="24"/>
        </w:rPr>
        <w:t>en</w:t>
      </w:r>
      <w:r w:rsidR="00C3483B">
        <w:rPr>
          <w:szCs w:val="24"/>
        </w:rPr>
        <w:t xml:space="preserve"> </w:t>
      </w:r>
      <w:r w:rsidRPr="008D5D0B" w:rsidR="00C3483B">
        <w:rPr>
          <w:szCs w:val="24"/>
        </w:rPr>
        <w:t>inappropriate</w:t>
      </w:r>
      <w:r w:rsidR="00FF2846">
        <w:rPr>
          <w:szCs w:val="24"/>
        </w:rPr>
        <w:t xml:space="preserve"> because it</w:t>
      </w:r>
      <w:r w:rsidR="00C3483B">
        <w:rPr>
          <w:szCs w:val="24"/>
        </w:rPr>
        <w:t xml:space="preserve"> </w:t>
      </w:r>
      <w:r>
        <w:rPr>
          <w:szCs w:val="24"/>
        </w:rPr>
        <w:t>affirm</w:t>
      </w:r>
      <w:r>
        <w:rPr>
          <w:szCs w:val="24"/>
        </w:rPr>
        <w:t>s</w:t>
      </w:r>
      <w:r>
        <w:rPr>
          <w:szCs w:val="24"/>
        </w:rPr>
        <w:t xml:space="preserve"> the </w:t>
      </w:r>
      <w:r w:rsidR="005C131C">
        <w:rPr>
          <w:szCs w:val="24"/>
        </w:rPr>
        <w:t>Ohio Supreme Court</w:t>
      </w:r>
      <w:r w:rsidR="0078129A">
        <w:rPr>
          <w:szCs w:val="24"/>
        </w:rPr>
        <w:t>’s “disfavor of piecemeal appeals</w:t>
      </w:r>
      <w:r>
        <w:rPr>
          <w:szCs w:val="24"/>
        </w:rPr>
        <w:t>.</w:t>
      </w:r>
      <w:r w:rsidR="0078129A">
        <w:rPr>
          <w:szCs w:val="24"/>
        </w:rPr>
        <w:t>”</w:t>
      </w:r>
      <w:r>
        <w:rPr>
          <w:rStyle w:val="FootnoteReference"/>
          <w:szCs w:val="24"/>
        </w:rPr>
        <w:footnoteReference w:id="10"/>
      </w:r>
      <w:r>
        <w:rPr>
          <w:szCs w:val="24"/>
        </w:rPr>
        <w:t xml:space="preserve"> </w:t>
      </w:r>
      <w:r w:rsidR="00FF2846">
        <w:rPr>
          <w:szCs w:val="24"/>
        </w:rPr>
        <w:t>T</w:t>
      </w:r>
      <w:r>
        <w:rPr>
          <w:szCs w:val="24"/>
        </w:rPr>
        <w:t>he Ohio Supreme Court “has consistently dismissed premature appeals”</w:t>
      </w:r>
      <w:r>
        <w:rPr>
          <w:rStyle w:val="FootnoteReference"/>
          <w:szCs w:val="24"/>
        </w:rPr>
        <w:footnoteReference w:id="11"/>
      </w:r>
      <w:r>
        <w:rPr>
          <w:szCs w:val="24"/>
        </w:rPr>
        <w:t xml:space="preserve"> that “would serve only to prolong and confuse litigation.”</w:t>
      </w:r>
      <w:r>
        <w:rPr>
          <w:rStyle w:val="FootnoteReference"/>
          <w:szCs w:val="24"/>
        </w:rPr>
        <w:footnoteReference w:id="12"/>
      </w:r>
      <w:r>
        <w:rPr>
          <w:szCs w:val="24"/>
        </w:rPr>
        <w:t xml:space="preserve"> </w:t>
      </w:r>
    </w:p>
    <w:p w:rsidR="00540096" w:rsidP="00D0376A" w14:paraId="347E2B02" w14:textId="2C400982">
      <w:pPr>
        <w:pStyle w:val="BodyTextIndent3"/>
        <w:widowControl w:val="0"/>
        <w:spacing w:line="480" w:lineRule="auto"/>
        <w:rPr>
          <w:szCs w:val="24"/>
        </w:rPr>
      </w:pPr>
      <w:r>
        <w:rPr>
          <w:szCs w:val="24"/>
        </w:rPr>
        <w:t>In this case, an OCC appeal of the PUCO’s 2022 denial of OCC’s motion to intervene would</w:t>
      </w:r>
      <w:r w:rsidR="00FF2846">
        <w:rPr>
          <w:szCs w:val="24"/>
        </w:rPr>
        <w:t xml:space="preserve"> have</w:t>
      </w:r>
      <w:r>
        <w:rPr>
          <w:szCs w:val="24"/>
        </w:rPr>
        <w:t xml:space="preserve"> be</w:t>
      </w:r>
      <w:r w:rsidR="00FF2846">
        <w:rPr>
          <w:szCs w:val="24"/>
        </w:rPr>
        <w:t>en</w:t>
      </w:r>
      <w:r>
        <w:rPr>
          <w:szCs w:val="24"/>
        </w:rPr>
        <w:t xml:space="preserve"> </w:t>
      </w:r>
      <w:r w:rsidR="00DB28C6">
        <w:rPr>
          <w:szCs w:val="24"/>
        </w:rPr>
        <w:t xml:space="preserve">premature and </w:t>
      </w:r>
      <w:r>
        <w:rPr>
          <w:szCs w:val="24"/>
        </w:rPr>
        <w:t>would</w:t>
      </w:r>
      <w:r w:rsidR="008D5D0B">
        <w:rPr>
          <w:szCs w:val="24"/>
        </w:rPr>
        <w:t xml:space="preserve"> have</w:t>
      </w:r>
      <w:r>
        <w:rPr>
          <w:szCs w:val="24"/>
        </w:rPr>
        <w:t xml:space="preserve"> prolong</w:t>
      </w:r>
      <w:r w:rsidR="008D5D0B">
        <w:rPr>
          <w:szCs w:val="24"/>
        </w:rPr>
        <w:t>ed</w:t>
      </w:r>
      <w:r>
        <w:rPr>
          <w:szCs w:val="24"/>
        </w:rPr>
        <w:t xml:space="preserve"> the PUCO’s</w:t>
      </w:r>
      <w:r w:rsidR="00DB28C6">
        <w:rPr>
          <w:szCs w:val="24"/>
        </w:rPr>
        <w:t xml:space="preserve"> final</w:t>
      </w:r>
      <w:r>
        <w:rPr>
          <w:szCs w:val="24"/>
        </w:rPr>
        <w:t xml:space="preserve"> decision in this case</w:t>
      </w:r>
      <w:r w:rsidR="00FF2846">
        <w:rPr>
          <w:szCs w:val="24"/>
        </w:rPr>
        <w:t>.</w:t>
      </w:r>
      <w:r w:rsidR="005A4489">
        <w:rPr>
          <w:szCs w:val="24"/>
        </w:rPr>
        <w:t xml:space="preserve"> </w:t>
      </w:r>
      <w:r w:rsidR="00941DF5">
        <w:rPr>
          <w:szCs w:val="24"/>
        </w:rPr>
        <w:t>OCC’s motion</w:t>
      </w:r>
      <w:r w:rsidR="004109DA">
        <w:rPr>
          <w:szCs w:val="24"/>
        </w:rPr>
        <w:t xml:space="preserve"> to intervene</w:t>
      </w:r>
      <w:r w:rsidR="00941DF5">
        <w:rPr>
          <w:szCs w:val="24"/>
        </w:rPr>
        <w:t xml:space="preserve"> was denied</w:t>
      </w:r>
      <w:r w:rsidR="005A4489">
        <w:rPr>
          <w:szCs w:val="24"/>
        </w:rPr>
        <w:t xml:space="preserve"> by the PUCO (after </w:t>
      </w:r>
      <w:r w:rsidR="004109DA">
        <w:rPr>
          <w:szCs w:val="24"/>
        </w:rPr>
        <w:t>OCC’s</w:t>
      </w:r>
      <w:r w:rsidR="005A4489">
        <w:rPr>
          <w:szCs w:val="24"/>
        </w:rPr>
        <w:t xml:space="preserve"> interlocutory appeal)</w:t>
      </w:r>
      <w:r w:rsidR="00941DF5">
        <w:rPr>
          <w:szCs w:val="24"/>
        </w:rPr>
        <w:t xml:space="preserve"> on</w:t>
      </w:r>
      <w:r w:rsidR="005A4489">
        <w:rPr>
          <w:szCs w:val="24"/>
        </w:rPr>
        <w:t xml:space="preserve"> July 27, 2022</w:t>
      </w:r>
      <w:r w:rsidR="00E065DA">
        <w:rPr>
          <w:szCs w:val="24"/>
        </w:rPr>
        <w:t>.</w:t>
      </w:r>
      <w:r>
        <w:rPr>
          <w:rStyle w:val="FootnoteReference"/>
          <w:szCs w:val="24"/>
        </w:rPr>
        <w:footnoteReference w:id="13"/>
      </w:r>
      <w:r w:rsidR="00E065DA">
        <w:rPr>
          <w:szCs w:val="24"/>
        </w:rPr>
        <w:t xml:space="preserve"> </w:t>
      </w:r>
      <w:r w:rsidR="005A4489">
        <w:rPr>
          <w:szCs w:val="24"/>
        </w:rPr>
        <w:t>OCC timely filed an application for rehearing of the PUCO’s decision on August 26, 2022, which means that a</w:t>
      </w:r>
      <w:r w:rsidR="00E065DA">
        <w:rPr>
          <w:szCs w:val="24"/>
        </w:rPr>
        <w:t>n a</w:t>
      </w:r>
      <w:r w:rsidR="00D85C9D">
        <w:rPr>
          <w:szCs w:val="24"/>
        </w:rPr>
        <w:t>ppeal w</w:t>
      </w:r>
      <w:r w:rsidR="00E065DA">
        <w:rPr>
          <w:szCs w:val="24"/>
        </w:rPr>
        <w:t xml:space="preserve">ould have </w:t>
      </w:r>
      <w:r w:rsidR="00E74A27">
        <w:rPr>
          <w:szCs w:val="24"/>
        </w:rPr>
        <w:t>had to</w:t>
      </w:r>
      <w:r w:rsidR="00E065DA">
        <w:rPr>
          <w:szCs w:val="24"/>
        </w:rPr>
        <w:t xml:space="preserve"> </w:t>
      </w:r>
      <w:r w:rsidR="004109DA">
        <w:rPr>
          <w:szCs w:val="24"/>
        </w:rPr>
        <w:t xml:space="preserve">have </w:t>
      </w:r>
      <w:r w:rsidR="00E065DA">
        <w:rPr>
          <w:szCs w:val="24"/>
        </w:rPr>
        <w:t>been taken on</w:t>
      </w:r>
      <w:r w:rsidR="00E74A27">
        <w:rPr>
          <w:szCs w:val="24"/>
        </w:rPr>
        <w:t xml:space="preserve"> November 25, 2022</w:t>
      </w:r>
      <w:r w:rsidR="006F4A5F">
        <w:rPr>
          <w:szCs w:val="24"/>
        </w:rPr>
        <w:t>.</w:t>
      </w:r>
      <w:r>
        <w:rPr>
          <w:rStyle w:val="FootnoteReference"/>
          <w:szCs w:val="24"/>
        </w:rPr>
        <w:footnoteReference w:id="14"/>
      </w:r>
      <w:r w:rsidR="006F4A5F">
        <w:rPr>
          <w:szCs w:val="24"/>
        </w:rPr>
        <w:t xml:space="preserve"> The PUCO’s</w:t>
      </w:r>
      <w:r w:rsidR="004760FE">
        <w:rPr>
          <w:szCs w:val="24"/>
        </w:rPr>
        <w:t xml:space="preserve"> ruling</w:t>
      </w:r>
      <w:r w:rsidR="008F7806">
        <w:rPr>
          <w:szCs w:val="24"/>
        </w:rPr>
        <w:t xml:space="preserve"> denying OCC’s intervention</w:t>
      </w:r>
      <w:r w:rsidR="004760FE">
        <w:rPr>
          <w:szCs w:val="24"/>
        </w:rPr>
        <w:t xml:space="preserve"> ca</w:t>
      </w:r>
      <w:r w:rsidR="005A4489">
        <w:rPr>
          <w:szCs w:val="24"/>
        </w:rPr>
        <w:t>m</w:t>
      </w:r>
      <w:r w:rsidR="004760FE">
        <w:rPr>
          <w:szCs w:val="24"/>
        </w:rPr>
        <w:t xml:space="preserve">e </w:t>
      </w:r>
      <w:r w:rsidR="008F7806">
        <w:rPr>
          <w:szCs w:val="24"/>
        </w:rPr>
        <w:t xml:space="preserve">long </w:t>
      </w:r>
      <w:r w:rsidR="004760FE">
        <w:rPr>
          <w:szCs w:val="24"/>
        </w:rPr>
        <w:t xml:space="preserve">before </w:t>
      </w:r>
      <w:r w:rsidR="008F7806">
        <w:rPr>
          <w:szCs w:val="24"/>
        </w:rPr>
        <w:t>the</w:t>
      </w:r>
      <w:r w:rsidR="004760FE">
        <w:rPr>
          <w:szCs w:val="24"/>
        </w:rPr>
        <w:t xml:space="preserve"> final </w:t>
      </w:r>
      <w:r w:rsidR="008F7806">
        <w:rPr>
          <w:szCs w:val="24"/>
        </w:rPr>
        <w:t>O</w:t>
      </w:r>
      <w:r w:rsidR="004760FE">
        <w:rPr>
          <w:szCs w:val="24"/>
        </w:rPr>
        <w:t xml:space="preserve">rder in this case, issued </w:t>
      </w:r>
      <w:r w:rsidR="008F7806">
        <w:rPr>
          <w:szCs w:val="24"/>
        </w:rPr>
        <w:t>on September 6, 2023</w:t>
      </w:r>
      <w:r w:rsidR="004760FE">
        <w:rPr>
          <w:szCs w:val="24"/>
        </w:rPr>
        <w:t xml:space="preserve">. </w:t>
      </w:r>
      <w:r w:rsidR="008F7806">
        <w:rPr>
          <w:szCs w:val="24"/>
        </w:rPr>
        <w:t>Thus, a prior appeal by OCC would have been premature.</w:t>
      </w:r>
    </w:p>
    <w:p w:rsidR="00D8033E" w:rsidP="00D0376A" w14:paraId="6744ACD6" w14:textId="77777777">
      <w:pPr>
        <w:pStyle w:val="BodyTextIndent3"/>
        <w:widowControl w:val="0"/>
        <w:spacing w:line="480" w:lineRule="auto"/>
        <w:rPr>
          <w:szCs w:val="24"/>
        </w:rPr>
      </w:pPr>
      <w:r>
        <w:rPr>
          <w:szCs w:val="24"/>
        </w:rPr>
        <w:t xml:space="preserve">NEP </w:t>
      </w:r>
      <w:r w:rsidR="005F0C95">
        <w:rPr>
          <w:szCs w:val="24"/>
        </w:rPr>
        <w:t>claims</w:t>
      </w:r>
      <w:r w:rsidR="0075636D">
        <w:rPr>
          <w:szCs w:val="24"/>
        </w:rPr>
        <w:t xml:space="preserve"> that OCC was required to previously appeal the PUCO’s denial of intervention because that decision “‘affected a substantial right’ of OCC.”</w:t>
      </w:r>
      <w:r>
        <w:rPr>
          <w:rStyle w:val="FootnoteReference"/>
          <w:szCs w:val="24"/>
        </w:rPr>
        <w:footnoteReference w:id="15"/>
      </w:r>
      <w:r w:rsidR="0075636D">
        <w:rPr>
          <w:szCs w:val="24"/>
        </w:rPr>
        <w:t xml:space="preserve"> </w:t>
      </w:r>
      <w:r w:rsidR="00FA7B4C">
        <w:rPr>
          <w:szCs w:val="24"/>
        </w:rPr>
        <w:t xml:space="preserve">However, </w:t>
      </w:r>
      <w:r w:rsidR="005F0C95">
        <w:rPr>
          <w:szCs w:val="24"/>
        </w:rPr>
        <w:t>the</w:t>
      </w:r>
      <w:r w:rsidR="00652FDF">
        <w:rPr>
          <w:szCs w:val="24"/>
        </w:rPr>
        <w:t xml:space="preserve"> Court</w:t>
      </w:r>
      <w:r w:rsidR="00497B1C">
        <w:rPr>
          <w:szCs w:val="24"/>
        </w:rPr>
        <w:t xml:space="preserve"> in </w:t>
      </w:r>
      <w:r w:rsidR="00497B1C">
        <w:rPr>
          <w:i/>
          <w:iCs/>
          <w:szCs w:val="24"/>
        </w:rPr>
        <w:t>Senior Citizens</w:t>
      </w:r>
      <w:r w:rsidR="00652FDF">
        <w:rPr>
          <w:szCs w:val="24"/>
        </w:rPr>
        <w:t xml:space="preserve"> </w:t>
      </w:r>
      <w:r w:rsidR="0056225A">
        <w:rPr>
          <w:szCs w:val="24"/>
        </w:rPr>
        <w:t>recognized</w:t>
      </w:r>
      <w:r w:rsidR="00652FDF">
        <w:rPr>
          <w:szCs w:val="24"/>
        </w:rPr>
        <w:t xml:space="preserve"> that </w:t>
      </w:r>
      <w:r w:rsidR="0056225A">
        <w:rPr>
          <w:szCs w:val="24"/>
        </w:rPr>
        <w:t xml:space="preserve">appeals </w:t>
      </w:r>
      <w:r>
        <w:rPr>
          <w:szCs w:val="24"/>
        </w:rPr>
        <w:t xml:space="preserve">from PUCO orders </w:t>
      </w:r>
      <w:r w:rsidR="00652FDF">
        <w:rPr>
          <w:szCs w:val="24"/>
        </w:rPr>
        <w:t xml:space="preserve">affecting substantial rights can </w:t>
      </w:r>
      <w:r w:rsidR="0056225A">
        <w:rPr>
          <w:szCs w:val="24"/>
        </w:rPr>
        <w:t>still be</w:t>
      </w:r>
      <w:r w:rsidR="00652FDF">
        <w:rPr>
          <w:szCs w:val="24"/>
        </w:rPr>
        <w:t xml:space="preserve"> “untimely”</w:t>
      </w:r>
      <w:r>
        <w:rPr>
          <w:szCs w:val="24"/>
        </w:rPr>
        <w:t xml:space="preserve"> and “premature.”</w:t>
      </w:r>
      <w:r>
        <w:rPr>
          <w:rStyle w:val="FootnoteReference"/>
          <w:szCs w:val="24"/>
        </w:rPr>
        <w:footnoteReference w:id="16"/>
      </w:r>
      <w:r w:rsidR="00652FDF">
        <w:rPr>
          <w:szCs w:val="24"/>
        </w:rPr>
        <w:t xml:space="preserve"> According to the Court “[t]</w:t>
      </w:r>
      <w:r w:rsidRPr="00652FDF" w:rsidR="00652FDF">
        <w:rPr>
          <w:szCs w:val="24"/>
        </w:rPr>
        <w:t>imeliness, as well as an effect on substantial rights, is necessary for a valid appeal.</w:t>
      </w:r>
      <w:r w:rsidR="00652FDF">
        <w:rPr>
          <w:szCs w:val="24"/>
        </w:rPr>
        <w:t>”</w:t>
      </w:r>
      <w:r>
        <w:rPr>
          <w:rStyle w:val="FootnoteReference"/>
          <w:szCs w:val="24"/>
        </w:rPr>
        <w:footnoteReference w:id="17"/>
      </w:r>
      <w:r w:rsidR="00652FDF">
        <w:rPr>
          <w:szCs w:val="24"/>
        </w:rPr>
        <w:t xml:space="preserve"> </w:t>
      </w:r>
      <w:r w:rsidR="0002549D">
        <w:rPr>
          <w:szCs w:val="24"/>
        </w:rPr>
        <w:t xml:space="preserve">Accordingly, NEP’s claims that OCC’s Motion for Leave is </w:t>
      </w:r>
      <w:r w:rsidR="005F0C95">
        <w:rPr>
          <w:szCs w:val="24"/>
        </w:rPr>
        <w:t>unlawful</w:t>
      </w:r>
      <w:r w:rsidR="0002549D">
        <w:rPr>
          <w:szCs w:val="24"/>
        </w:rPr>
        <w:t xml:space="preserve"> should be denied. The PUCO should grant OCC’s Motion for Leave and consider the arguments in OCC’s October 6, 2023 Application for Rehearing.</w:t>
      </w:r>
    </w:p>
    <w:p w:rsidR="00AD726C" w:rsidP="00D0376A" w14:paraId="50A78806" w14:textId="77777777">
      <w:pPr>
        <w:pStyle w:val="BodyTextIndent3"/>
        <w:widowControl w:val="0"/>
        <w:numPr>
          <w:ilvl w:val="0"/>
          <w:numId w:val="10"/>
        </w:numPr>
        <w:spacing w:line="240" w:lineRule="auto"/>
        <w:ind w:left="1440" w:hanging="720"/>
        <w:rPr>
          <w:b/>
          <w:bCs/>
          <w:szCs w:val="24"/>
        </w:rPr>
      </w:pPr>
      <w:r>
        <w:rPr>
          <w:b/>
          <w:bCs/>
          <w:szCs w:val="24"/>
        </w:rPr>
        <w:t xml:space="preserve">The PUCO’s Order </w:t>
      </w:r>
      <w:r w:rsidRPr="002859EE" w:rsidR="009E680A">
        <w:rPr>
          <w:b/>
          <w:bCs/>
          <w:szCs w:val="24"/>
        </w:rPr>
        <w:t>harms</w:t>
      </w:r>
      <w:r w:rsidR="009E680A">
        <w:rPr>
          <w:b/>
          <w:bCs/>
          <w:szCs w:val="24"/>
        </w:rPr>
        <w:t xml:space="preserve"> residential utility consumers by denying them rights and protections under Ohio law. </w:t>
      </w:r>
      <w:r w:rsidR="007B5D1D">
        <w:rPr>
          <w:b/>
          <w:bCs/>
          <w:szCs w:val="24"/>
        </w:rPr>
        <w:t>The Order also raises new issues</w:t>
      </w:r>
      <w:r w:rsidR="002859EE">
        <w:rPr>
          <w:b/>
          <w:bCs/>
          <w:szCs w:val="24"/>
        </w:rPr>
        <w:t xml:space="preserve"> regarding AEP Ohio’s electric reseller tariff</w:t>
      </w:r>
      <w:r w:rsidR="007B5D1D">
        <w:rPr>
          <w:b/>
          <w:bCs/>
          <w:szCs w:val="24"/>
        </w:rPr>
        <w:t xml:space="preserve">. </w:t>
      </w:r>
      <w:r w:rsidR="004F45A1">
        <w:rPr>
          <w:b/>
          <w:bCs/>
          <w:szCs w:val="24"/>
        </w:rPr>
        <w:t>Thus, there is good cause for granting OCC’s Motion for Leave</w:t>
      </w:r>
      <w:r w:rsidR="00C578C9">
        <w:rPr>
          <w:b/>
          <w:bCs/>
          <w:szCs w:val="24"/>
        </w:rPr>
        <w:t>.</w:t>
      </w:r>
    </w:p>
    <w:p w:rsidR="007A3253" w:rsidRPr="00AD726C" w:rsidP="007A3253" w14:paraId="461A38CD" w14:textId="77777777">
      <w:pPr>
        <w:pStyle w:val="BodyTextIndent3"/>
        <w:widowControl w:val="0"/>
        <w:spacing w:line="240" w:lineRule="auto"/>
        <w:ind w:left="720" w:right="-317" w:firstLine="0"/>
        <w:rPr>
          <w:b/>
          <w:bCs/>
          <w:szCs w:val="24"/>
        </w:rPr>
      </w:pPr>
    </w:p>
    <w:p w:rsidR="00113C72" w:rsidP="00D0376A" w14:paraId="7701FC84" w14:textId="77777777">
      <w:pPr>
        <w:pStyle w:val="BodyTextIndent3"/>
        <w:widowControl w:val="0"/>
        <w:spacing w:line="480" w:lineRule="auto"/>
        <w:rPr>
          <w:szCs w:val="24"/>
        </w:rPr>
      </w:pPr>
      <w:r>
        <w:rPr>
          <w:szCs w:val="24"/>
        </w:rPr>
        <w:t xml:space="preserve">NEP argues there is no good cause for OCC’s Motion for Leave </w:t>
      </w:r>
      <w:r w:rsidR="009E680A">
        <w:rPr>
          <w:szCs w:val="24"/>
        </w:rPr>
        <w:t>because OCC has no “direct and substantial interest” in this case.</w:t>
      </w:r>
      <w:r>
        <w:rPr>
          <w:rStyle w:val="FootnoteReference"/>
          <w:szCs w:val="24"/>
        </w:rPr>
        <w:footnoteReference w:id="18"/>
      </w:r>
      <w:r w:rsidR="009E680A">
        <w:rPr>
          <w:szCs w:val="24"/>
        </w:rPr>
        <w:t xml:space="preserve"> According to NEP, OCC (the residential consumer advocate) only has “broad policy interests” in the Order.</w:t>
      </w:r>
      <w:r>
        <w:rPr>
          <w:rStyle w:val="FootnoteReference"/>
          <w:szCs w:val="24"/>
        </w:rPr>
        <w:footnoteReference w:id="19"/>
      </w:r>
      <w:r w:rsidR="009E680A">
        <w:rPr>
          <w:szCs w:val="24"/>
        </w:rPr>
        <w:t xml:space="preserve"> NEP is wrong.</w:t>
      </w:r>
      <w:r>
        <w:rPr>
          <w:szCs w:val="24"/>
        </w:rPr>
        <w:t xml:space="preserve"> </w:t>
      </w:r>
    </w:p>
    <w:p w:rsidR="004109DA" w:rsidP="00D0376A" w14:paraId="1A4396F4" w14:textId="77777777">
      <w:pPr>
        <w:pStyle w:val="BodyTextIndent3"/>
        <w:widowControl w:val="0"/>
        <w:spacing w:line="480" w:lineRule="auto"/>
        <w:rPr>
          <w:szCs w:val="24"/>
        </w:rPr>
      </w:pPr>
      <w:r>
        <w:rPr>
          <w:szCs w:val="24"/>
        </w:rPr>
        <w:t>The PUCO’s Order states</w:t>
      </w:r>
      <w:r w:rsidR="007B5D1D">
        <w:rPr>
          <w:szCs w:val="24"/>
        </w:rPr>
        <w:t xml:space="preserve"> in no uncertain terms</w:t>
      </w:r>
      <w:r>
        <w:rPr>
          <w:szCs w:val="24"/>
        </w:rPr>
        <w:t xml:space="preserve"> that residential consumers living in apartment complexes will “</w:t>
      </w:r>
      <w:r w:rsidRPr="007B5D1D">
        <w:rPr>
          <w:b/>
          <w:bCs/>
          <w:i/>
          <w:iCs/>
        </w:rPr>
        <w:t>lose rights</w:t>
      </w:r>
      <w:r>
        <w:t xml:space="preserve"> related to electric service once a landlord elects to receive master-meter service at its complex” from NEP.</w:t>
      </w:r>
      <w:r>
        <w:rPr>
          <w:rStyle w:val="FootnoteReference"/>
        </w:rPr>
        <w:footnoteReference w:id="20"/>
      </w:r>
      <w:r>
        <w:t xml:space="preserve"> The PUCO’s Order is clear that these </w:t>
      </w:r>
      <w:r w:rsidRPr="00113C72" w:rsidR="009E680A">
        <w:rPr>
          <w:szCs w:val="24"/>
        </w:rPr>
        <w:t xml:space="preserve">residential utility consumers previously served by </w:t>
      </w:r>
      <w:r>
        <w:rPr>
          <w:szCs w:val="24"/>
        </w:rPr>
        <w:t xml:space="preserve">the public utility, </w:t>
      </w:r>
      <w:r w:rsidRPr="00113C72" w:rsidR="009E680A">
        <w:rPr>
          <w:szCs w:val="24"/>
        </w:rPr>
        <w:t>AEP Ohio</w:t>
      </w:r>
      <w:r>
        <w:rPr>
          <w:szCs w:val="24"/>
        </w:rPr>
        <w:t>,</w:t>
      </w:r>
      <w:r w:rsidRPr="00113C72" w:rsidR="009E680A">
        <w:rPr>
          <w:szCs w:val="24"/>
        </w:rPr>
        <w:t xml:space="preserve"> “will lose a multitude of rights and protections” under Ohio law.</w:t>
      </w:r>
      <w:r>
        <w:rPr>
          <w:rStyle w:val="FootnoteReference"/>
          <w:szCs w:val="24"/>
        </w:rPr>
        <w:footnoteReference w:id="21"/>
      </w:r>
      <w:r>
        <w:rPr>
          <w:szCs w:val="24"/>
        </w:rPr>
        <w:t xml:space="preserve"> </w:t>
      </w:r>
      <w:r w:rsidR="00160C4B">
        <w:rPr>
          <w:szCs w:val="24"/>
        </w:rPr>
        <w:t>Residential consumers’</w:t>
      </w:r>
      <w:r w:rsidR="00C578C9">
        <w:rPr>
          <w:szCs w:val="24"/>
        </w:rPr>
        <w:t xml:space="preserve"> </w:t>
      </w:r>
      <w:r w:rsidR="00160C4B">
        <w:rPr>
          <w:szCs w:val="24"/>
        </w:rPr>
        <w:t xml:space="preserve">actual </w:t>
      </w:r>
      <w:r w:rsidR="00C578C9">
        <w:rPr>
          <w:szCs w:val="24"/>
        </w:rPr>
        <w:t>loss of rights and protection</w:t>
      </w:r>
      <w:r w:rsidR="00160C4B">
        <w:rPr>
          <w:szCs w:val="24"/>
        </w:rPr>
        <w:t xml:space="preserve">s </w:t>
      </w:r>
      <w:r w:rsidR="00C578C9">
        <w:rPr>
          <w:szCs w:val="24"/>
        </w:rPr>
        <w:t xml:space="preserve">under Ohio law </w:t>
      </w:r>
      <w:r w:rsidR="00930E94">
        <w:rPr>
          <w:szCs w:val="24"/>
        </w:rPr>
        <w:t xml:space="preserve">are </w:t>
      </w:r>
      <w:r w:rsidR="00160C4B">
        <w:rPr>
          <w:szCs w:val="24"/>
        </w:rPr>
        <w:t>not</w:t>
      </w:r>
      <w:r w:rsidR="00930E94">
        <w:rPr>
          <w:szCs w:val="24"/>
        </w:rPr>
        <w:t xml:space="preserve"> </w:t>
      </w:r>
      <w:r w:rsidR="00C578C9">
        <w:rPr>
          <w:szCs w:val="24"/>
        </w:rPr>
        <w:t>“broad policy interests”</w:t>
      </w:r>
      <w:r w:rsidR="00160C4B">
        <w:rPr>
          <w:szCs w:val="24"/>
        </w:rPr>
        <w:t xml:space="preserve"> that can be ignored (lawfully) by the PUCO.</w:t>
      </w:r>
    </w:p>
    <w:p w:rsidR="00C578C9" w:rsidP="00D0376A" w14:paraId="3ED91931" w14:textId="213949F3">
      <w:pPr>
        <w:pStyle w:val="BodyTextIndent3"/>
        <w:widowControl w:val="0"/>
        <w:spacing w:line="480" w:lineRule="auto"/>
        <w:rPr>
          <w:szCs w:val="24"/>
        </w:rPr>
      </w:pPr>
      <w:r>
        <w:rPr>
          <w:szCs w:val="24"/>
        </w:rPr>
        <w:t>T</w:t>
      </w:r>
      <w:r>
        <w:rPr>
          <w:szCs w:val="24"/>
        </w:rPr>
        <w:t>he Order</w:t>
      </w:r>
      <w:r>
        <w:rPr>
          <w:szCs w:val="24"/>
        </w:rPr>
        <w:t xml:space="preserve"> also</w:t>
      </w:r>
      <w:r>
        <w:rPr>
          <w:szCs w:val="24"/>
        </w:rPr>
        <w:t xml:space="preserve"> raises</w:t>
      </w:r>
      <w:r w:rsidR="00F7697E">
        <w:rPr>
          <w:szCs w:val="24"/>
        </w:rPr>
        <w:t xml:space="preserve"> entirely</w:t>
      </w:r>
      <w:r>
        <w:rPr>
          <w:szCs w:val="24"/>
        </w:rPr>
        <w:t xml:space="preserve"> </w:t>
      </w:r>
      <w:r w:rsidR="00EA0258">
        <w:rPr>
          <w:szCs w:val="24"/>
        </w:rPr>
        <w:t xml:space="preserve">new </w:t>
      </w:r>
      <w:r>
        <w:rPr>
          <w:szCs w:val="24"/>
        </w:rPr>
        <w:t xml:space="preserve">issues </w:t>
      </w:r>
      <w:r w:rsidR="00EA0258">
        <w:rPr>
          <w:szCs w:val="24"/>
        </w:rPr>
        <w:t>regarding</w:t>
      </w:r>
      <w:r>
        <w:rPr>
          <w:szCs w:val="24"/>
        </w:rPr>
        <w:t xml:space="preserve"> the PUCO’s directive</w:t>
      </w:r>
      <w:r>
        <w:rPr>
          <w:szCs w:val="24"/>
        </w:rPr>
        <w:t>s</w:t>
      </w:r>
      <w:r>
        <w:rPr>
          <w:szCs w:val="24"/>
        </w:rPr>
        <w:t xml:space="preserve"> to AEP Ohio to file</w:t>
      </w:r>
      <w:r w:rsidR="004109DA">
        <w:rPr>
          <w:szCs w:val="24"/>
        </w:rPr>
        <w:t xml:space="preserve"> a</w:t>
      </w:r>
      <w:r>
        <w:rPr>
          <w:szCs w:val="24"/>
        </w:rPr>
        <w:t xml:space="preserve"> new electric reseller tariff</w:t>
      </w:r>
      <w:r w:rsidR="00EA0258">
        <w:rPr>
          <w:szCs w:val="24"/>
        </w:rPr>
        <w:t>.</w:t>
      </w:r>
      <w:r w:rsidRPr="00EA0258" w:rsidR="00EA0258">
        <w:rPr>
          <w:rStyle w:val="FootnoteReference"/>
          <w:szCs w:val="24"/>
        </w:rPr>
        <w:t xml:space="preserve"> </w:t>
      </w:r>
      <w:r>
        <w:rPr>
          <w:rStyle w:val="FootnoteReference"/>
          <w:szCs w:val="24"/>
        </w:rPr>
        <w:footnoteReference w:id="22"/>
      </w:r>
      <w:r>
        <w:rPr>
          <w:szCs w:val="24"/>
        </w:rPr>
        <w:t xml:space="preserve"> </w:t>
      </w:r>
      <w:r w:rsidR="00EA0258">
        <w:rPr>
          <w:szCs w:val="24"/>
        </w:rPr>
        <w:t xml:space="preserve">Changes to AEP Ohio’s electric reseller tariff will </w:t>
      </w:r>
      <w:r w:rsidR="00F7697E">
        <w:rPr>
          <w:szCs w:val="24"/>
        </w:rPr>
        <w:t>purportedly</w:t>
      </w:r>
      <w:r w:rsidR="00EA0258">
        <w:rPr>
          <w:szCs w:val="24"/>
        </w:rPr>
        <w:t xml:space="preserve"> mitigate</w:t>
      </w:r>
      <w:r>
        <w:rPr>
          <w:szCs w:val="24"/>
        </w:rPr>
        <w:t xml:space="preserve"> </w:t>
      </w:r>
      <w:r w:rsidR="00EA0258">
        <w:rPr>
          <w:szCs w:val="24"/>
        </w:rPr>
        <w:t xml:space="preserve">the harm to </w:t>
      </w:r>
      <w:r>
        <w:rPr>
          <w:szCs w:val="24"/>
        </w:rPr>
        <w:t>consumers</w:t>
      </w:r>
      <w:r>
        <w:rPr>
          <w:szCs w:val="24"/>
        </w:rPr>
        <w:t xml:space="preserve"> </w:t>
      </w:r>
      <w:r w:rsidR="00EA0258">
        <w:rPr>
          <w:szCs w:val="24"/>
        </w:rPr>
        <w:t xml:space="preserve">who </w:t>
      </w:r>
      <w:r w:rsidR="00F7697E">
        <w:rPr>
          <w:szCs w:val="24"/>
        </w:rPr>
        <w:t>are</w:t>
      </w:r>
      <w:r>
        <w:rPr>
          <w:szCs w:val="24"/>
        </w:rPr>
        <w:t xml:space="preserve"> los</w:t>
      </w:r>
      <w:r w:rsidR="00F7697E">
        <w:rPr>
          <w:szCs w:val="24"/>
        </w:rPr>
        <w:t>ing</w:t>
      </w:r>
      <w:r w:rsidR="00EA0258">
        <w:rPr>
          <w:szCs w:val="24"/>
        </w:rPr>
        <w:t xml:space="preserve"> rights and protections </w:t>
      </w:r>
      <w:r w:rsidR="004109DA">
        <w:rPr>
          <w:szCs w:val="24"/>
        </w:rPr>
        <w:t>because</w:t>
      </w:r>
      <w:r w:rsidR="00EA0258">
        <w:rPr>
          <w:szCs w:val="24"/>
        </w:rPr>
        <w:t xml:space="preserve"> of the PUCO’s Order.</w:t>
      </w:r>
      <w:r>
        <w:rPr>
          <w:szCs w:val="24"/>
        </w:rPr>
        <w:t xml:space="preserve"> However, the PUCO’s </w:t>
      </w:r>
      <w:r w:rsidR="00EA0258">
        <w:rPr>
          <w:szCs w:val="24"/>
        </w:rPr>
        <w:t>guidelines</w:t>
      </w:r>
      <w:r>
        <w:rPr>
          <w:szCs w:val="24"/>
        </w:rPr>
        <w:t xml:space="preserve"> for AEP Ohio’s electric reseller tariff</w:t>
      </w:r>
      <w:r>
        <w:rPr>
          <w:szCs w:val="24"/>
        </w:rPr>
        <w:t xml:space="preserve"> </w:t>
      </w:r>
      <w:r>
        <w:rPr>
          <w:szCs w:val="24"/>
        </w:rPr>
        <w:t xml:space="preserve">are woefully inadequate to protect residential consumers who </w:t>
      </w:r>
      <w:r w:rsidR="00F7697E">
        <w:rPr>
          <w:szCs w:val="24"/>
        </w:rPr>
        <w:t>have no choice but to receive</w:t>
      </w:r>
      <w:r>
        <w:rPr>
          <w:szCs w:val="24"/>
        </w:rPr>
        <w:t xml:space="preserve"> NEP submetered</w:t>
      </w:r>
      <w:r w:rsidR="00F7697E">
        <w:rPr>
          <w:szCs w:val="24"/>
        </w:rPr>
        <w:t xml:space="preserve"> service</w:t>
      </w:r>
      <w:r>
        <w:rPr>
          <w:szCs w:val="24"/>
        </w:rPr>
        <w:t xml:space="preserve">. The residential utility consumers who are losing their </w:t>
      </w:r>
      <w:r w:rsidR="00EA0258">
        <w:rPr>
          <w:szCs w:val="24"/>
        </w:rPr>
        <w:t xml:space="preserve">legal </w:t>
      </w:r>
      <w:r>
        <w:rPr>
          <w:szCs w:val="24"/>
        </w:rPr>
        <w:t>rights</w:t>
      </w:r>
      <w:r w:rsidR="00EA0258">
        <w:rPr>
          <w:szCs w:val="24"/>
        </w:rPr>
        <w:t xml:space="preserve"> and protections</w:t>
      </w:r>
      <w:r>
        <w:rPr>
          <w:szCs w:val="24"/>
        </w:rPr>
        <w:t xml:space="preserve"> deserve a say</w:t>
      </w:r>
      <w:r w:rsidR="00F7697E">
        <w:rPr>
          <w:szCs w:val="24"/>
        </w:rPr>
        <w:t xml:space="preserve"> in this case</w:t>
      </w:r>
      <w:r>
        <w:rPr>
          <w:szCs w:val="24"/>
        </w:rPr>
        <w:t>, through their state legal advocate, OCC.</w:t>
      </w:r>
    </w:p>
    <w:p w:rsidR="00C578C9" w:rsidRPr="00113C72" w:rsidP="00D0376A" w14:paraId="29A8504F" w14:textId="77777777">
      <w:pPr>
        <w:pStyle w:val="BodyTextIndent3"/>
        <w:widowControl w:val="0"/>
        <w:spacing w:line="480" w:lineRule="auto"/>
      </w:pPr>
      <w:r>
        <w:rPr>
          <w:szCs w:val="24"/>
        </w:rPr>
        <w:t>The PUCO should grant OCC’s Motion for Leave and consider the arguments in OCC’s October 6, 2023 Application for Rehearing.</w:t>
      </w:r>
    </w:p>
    <w:p w:rsidR="00DB7814" w:rsidRPr="00854AFA" w:rsidP="00150BE2" w14:paraId="391DA291" w14:textId="77777777">
      <w:pPr>
        <w:pStyle w:val="BodyTextIndent3"/>
        <w:widowControl w:val="0"/>
        <w:spacing w:line="240" w:lineRule="auto"/>
        <w:ind w:right="-312"/>
        <w:rPr>
          <w:szCs w:val="24"/>
        </w:rPr>
      </w:pPr>
    </w:p>
    <w:p w:rsidR="00610A33" w:rsidP="00D0376A" w14:paraId="40F27389" w14:textId="77777777">
      <w:pPr>
        <w:pStyle w:val="BodyTextIndent3"/>
        <w:widowControl w:val="0"/>
        <w:numPr>
          <w:ilvl w:val="0"/>
          <w:numId w:val="9"/>
        </w:numPr>
        <w:spacing w:line="480" w:lineRule="auto"/>
        <w:ind w:left="720" w:right="-312"/>
        <w:rPr>
          <w:b/>
          <w:bCs/>
          <w:szCs w:val="24"/>
        </w:rPr>
      </w:pPr>
      <w:r>
        <w:rPr>
          <w:b/>
          <w:bCs/>
          <w:szCs w:val="24"/>
        </w:rPr>
        <w:t>CONCLUSION</w:t>
      </w:r>
    </w:p>
    <w:p w:rsidR="00D0376A" w:rsidP="00AE4906" w14:paraId="304726F6" w14:textId="77777777">
      <w:pPr>
        <w:pStyle w:val="BodyTextIndent3"/>
        <w:widowControl w:val="0"/>
        <w:spacing w:line="480" w:lineRule="auto"/>
        <w:ind w:right="-312"/>
        <w:rPr>
          <w:szCs w:val="24"/>
        </w:rPr>
      </w:pPr>
      <w:r>
        <w:rPr>
          <w:szCs w:val="24"/>
        </w:rPr>
        <w:t>The PUCO’s Order harms residential consumers who receive NEP submetered service by denying them important legal rights and protections under Ohio law. These c</w:t>
      </w:r>
      <w:r w:rsidR="004600FA">
        <w:rPr>
          <w:szCs w:val="24"/>
        </w:rPr>
        <w:t xml:space="preserve">onsumers </w:t>
      </w:r>
      <w:r w:rsidR="00685C49">
        <w:rPr>
          <w:szCs w:val="24"/>
        </w:rPr>
        <w:t xml:space="preserve">deserve to be heard through OCC, </w:t>
      </w:r>
      <w:r w:rsidR="00AE4906">
        <w:rPr>
          <w:szCs w:val="24"/>
        </w:rPr>
        <w:t>the</w:t>
      </w:r>
      <w:r w:rsidR="00C1464C">
        <w:rPr>
          <w:szCs w:val="24"/>
        </w:rPr>
        <w:t>ir</w:t>
      </w:r>
      <w:r w:rsidR="00AE4906">
        <w:rPr>
          <w:szCs w:val="24"/>
        </w:rPr>
        <w:t xml:space="preserve"> statutory</w:t>
      </w:r>
      <w:r w:rsidR="00C1464C">
        <w:rPr>
          <w:szCs w:val="24"/>
        </w:rPr>
        <w:t xml:space="preserve"> legal</w:t>
      </w:r>
      <w:r w:rsidR="00AE4906">
        <w:rPr>
          <w:szCs w:val="24"/>
        </w:rPr>
        <w:t xml:space="preserve"> </w:t>
      </w:r>
      <w:r>
        <w:rPr>
          <w:szCs w:val="24"/>
        </w:rPr>
        <w:t>representative</w:t>
      </w:r>
      <w:r w:rsidR="004600FA">
        <w:rPr>
          <w:szCs w:val="24"/>
        </w:rPr>
        <w:t>.</w:t>
      </w:r>
      <w:r>
        <w:rPr>
          <w:szCs w:val="24"/>
        </w:rPr>
        <w:t xml:space="preserve"> </w:t>
      </w:r>
      <w:r w:rsidR="004641C5">
        <w:rPr>
          <w:szCs w:val="24"/>
        </w:rPr>
        <w:t>For the reasons explained above,</w:t>
      </w:r>
      <w:r w:rsidR="00C1464C">
        <w:rPr>
          <w:szCs w:val="24"/>
        </w:rPr>
        <w:t xml:space="preserve"> the PUCO should reject NEP’s </w:t>
      </w:r>
      <w:r w:rsidR="00F7697E">
        <w:rPr>
          <w:szCs w:val="24"/>
        </w:rPr>
        <w:t>attempts</w:t>
      </w:r>
      <w:r w:rsidR="00C1464C">
        <w:rPr>
          <w:szCs w:val="24"/>
        </w:rPr>
        <w:t xml:space="preserve"> to deny consumers a voice.</w:t>
      </w:r>
      <w:r w:rsidR="004641C5">
        <w:rPr>
          <w:szCs w:val="24"/>
        </w:rPr>
        <w:t xml:space="preserve"> </w:t>
      </w:r>
      <w:r w:rsidR="00C1464C">
        <w:rPr>
          <w:szCs w:val="24"/>
        </w:rPr>
        <w:t>T</w:t>
      </w:r>
      <w:r w:rsidR="004641C5">
        <w:rPr>
          <w:szCs w:val="24"/>
        </w:rPr>
        <w:t>he</w:t>
      </w:r>
      <w:r>
        <w:rPr>
          <w:szCs w:val="24"/>
        </w:rPr>
        <w:t xml:space="preserve"> PUCO </w:t>
      </w:r>
      <w:r w:rsidR="00E86597">
        <w:rPr>
          <w:szCs w:val="24"/>
        </w:rPr>
        <w:t xml:space="preserve">should grant OCC’s Motion for Leave </w:t>
      </w:r>
      <w:r w:rsidR="004641C5">
        <w:rPr>
          <w:szCs w:val="24"/>
        </w:rPr>
        <w:t xml:space="preserve">to </w:t>
      </w:r>
      <w:r w:rsidR="004641C5">
        <w:t>File Instanter an Application for Rehearing.</w:t>
      </w:r>
      <w:r w:rsidR="00150BE2">
        <w:rPr>
          <w:szCs w:val="24"/>
        </w:rPr>
        <w:t xml:space="preserve"> </w:t>
      </w:r>
    </w:p>
    <w:p w:rsidR="002354D4" w:rsidRPr="008E11BE" w:rsidP="00D0376A" w14:paraId="34AE7D31" w14:textId="68AF56E7">
      <w:pPr>
        <w:pStyle w:val="BodyTextIndent3"/>
        <w:widowControl w:val="0"/>
        <w:spacing w:line="480" w:lineRule="auto"/>
        <w:ind w:left="3600" w:right="-312"/>
        <w:rPr>
          <w:szCs w:val="24"/>
        </w:rPr>
      </w:pPr>
      <w:r>
        <w:rPr>
          <w:szCs w:val="24"/>
        </w:rPr>
        <w:t>R</w:t>
      </w:r>
      <w:r w:rsidRPr="008E11BE">
        <w:rPr>
          <w:szCs w:val="24"/>
        </w:rPr>
        <w:t>espectfully submitted,</w:t>
      </w:r>
    </w:p>
    <w:p w:rsidR="00C1464C" w:rsidP="002354D4" w14:paraId="5F50022F" w14:textId="77777777">
      <w:pPr>
        <w:tabs>
          <w:tab w:val="left" w:pos="4320"/>
        </w:tabs>
        <w:ind w:left="4320" w:hanging="450"/>
        <w:jc w:val="both"/>
        <w:rPr>
          <w:szCs w:val="24"/>
        </w:rPr>
      </w:pPr>
      <w:r>
        <w:rPr>
          <w:szCs w:val="24"/>
        </w:rPr>
        <w:tab/>
        <w:t xml:space="preserve">Maureen </w:t>
      </w:r>
      <w:r w:rsidR="00D0376A">
        <w:rPr>
          <w:szCs w:val="24"/>
        </w:rPr>
        <w:t xml:space="preserve">R. </w:t>
      </w:r>
      <w:r>
        <w:rPr>
          <w:szCs w:val="24"/>
        </w:rPr>
        <w:t xml:space="preserve">Willis </w:t>
      </w:r>
      <w:r w:rsidR="00D0376A">
        <w:rPr>
          <w:szCs w:val="24"/>
        </w:rPr>
        <w:t>(0020847)</w:t>
      </w:r>
    </w:p>
    <w:p w:rsidR="002354D4" w:rsidRPr="008E11BE" w:rsidP="002354D4" w14:paraId="1B70B7F1" w14:textId="77777777">
      <w:pPr>
        <w:tabs>
          <w:tab w:val="left" w:pos="4320"/>
        </w:tabs>
        <w:ind w:left="4320" w:hanging="450"/>
        <w:jc w:val="both"/>
        <w:rPr>
          <w:szCs w:val="24"/>
        </w:rPr>
      </w:pPr>
      <w:r w:rsidRPr="008E11BE">
        <w:rPr>
          <w:szCs w:val="24"/>
        </w:rPr>
        <w:tab/>
        <w:t>Ohio Consumers’ Counsel</w:t>
      </w:r>
    </w:p>
    <w:p w:rsidR="002354D4" w:rsidRPr="008E11BE" w:rsidP="002354D4" w14:paraId="4E4D5D7C" w14:textId="77777777">
      <w:pPr>
        <w:tabs>
          <w:tab w:val="left" w:pos="4320"/>
        </w:tabs>
        <w:ind w:left="4320"/>
        <w:jc w:val="both"/>
        <w:rPr>
          <w:szCs w:val="24"/>
        </w:rPr>
      </w:pPr>
    </w:p>
    <w:p w:rsidR="002354D4" w:rsidRPr="008E11BE" w:rsidP="002354D4" w14:paraId="09083C16" w14:textId="77777777">
      <w:pPr>
        <w:tabs>
          <w:tab w:val="left" w:pos="4320"/>
        </w:tabs>
        <w:ind w:left="4320"/>
        <w:jc w:val="both"/>
        <w:rPr>
          <w:i/>
          <w:iCs/>
          <w:szCs w:val="24"/>
          <w:u w:val="single"/>
        </w:rPr>
      </w:pPr>
      <w:r w:rsidRPr="008E11BE">
        <w:rPr>
          <w:i/>
          <w:iCs/>
          <w:szCs w:val="24"/>
          <w:u w:val="single"/>
        </w:rPr>
        <w:t>/s/ Angela D. O’Brien</w:t>
      </w:r>
      <w:r w:rsidRPr="008E11BE">
        <w:rPr>
          <w:i/>
          <w:iCs/>
          <w:szCs w:val="24"/>
          <w:u w:val="single"/>
        </w:rPr>
        <w:tab/>
      </w:r>
    </w:p>
    <w:p w:rsidR="002354D4" w:rsidRPr="008E11BE" w:rsidP="002354D4" w14:paraId="1BF5C9E6" w14:textId="77777777">
      <w:pPr>
        <w:tabs>
          <w:tab w:val="left" w:pos="4320"/>
        </w:tabs>
        <w:ind w:left="4320"/>
        <w:jc w:val="both"/>
        <w:rPr>
          <w:szCs w:val="24"/>
        </w:rPr>
      </w:pPr>
      <w:r w:rsidRPr="008E11BE">
        <w:rPr>
          <w:szCs w:val="24"/>
        </w:rPr>
        <w:t>Angela D. O’Brien (0097579)</w:t>
      </w:r>
    </w:p>
    <w:p w:rsidR="002354D4" w:rsidP="002354D4" w14:paraId="3F4F2EFB" w14:textId="77777777">
      <w:pPr>
        <w:tabs>
          <w:tab w:val="left" w:pos="4320"/>
        </w:tabs>
        <w:ind w:left="4320"/>
        <w:jc w:val="both"/>
        <w:rPr>
          <w:szCs w:val="24"/>
        </w:rPr>
      </w:pPr>
      <w:r w:rsidRPr="008E11BE">
        <w:rPr>
          <w:szCs w:val="24"/>
        </w:rPr>
        <w:t>Counsel of Record</w:t>
      </w:r>
    </w:p>
    <w:p w:rsidR="004E3C96" w:rsidRPr="008E11BE" w:rsidP="002354D4" w14:paraId="5BCA3663" w14:textId="77777777">
      <w:pPr>
        <w:tabs>
          <w:tab w:val="left" w:pos="4320"/>
        </w:tabs>
        <w:ind w:left="4320"/>
        <w:jc w:val="both"/>
        <w:rPr>
          <w:szCs w:val="24"/>
        </w:rPr>
      </w:pPr>
      <w:r>
        <w:rPr>
          <w:szCs w:val="24"/>
        </w:rPr>
        <w:t>Deputy Consumers’ Counsel</w:t>
      </w:r>
    </w:p>
    <w:p w:rsidR="002354D4" w:rsidRPr="008E11BE" w:rsidP="002354D4" w14:paraId="779560AF" w14:textId="77777777">
      <w:pPr>
        <w:tabs>
          <w:tab w:val="left" w:pos="4320"/>
        </w:tabs>
        <w:ind w:left="4320"/>
        <w:jc w:val="both"/>
        <w:rPr>
          <w:szCs w:val="24"/>
        </w:rPr>
      </w:pPr>
      <w:r w:rsidRPr="008E11BE">
        <w:rPr>
          <w:szCs w:val="24"/>
        </w:rPr>
        <w:t>William J. Michael (0070921)</w:t>
      </w:r>
    </w:p>
    <w:p w:rsidR="002354D4" w:rsidRPr="008E11BE" w:rsidP="002354D4" w14:paraId="38AB08EB" w14:textId="77777777">
      <w:pPr>
        <w:tabs>
          <w:tab w:val="left" w:pos="3870"/>
          <w:tab w:val="left" w:pos="4320"/>
        </w:tabs>
        <w:ind w:left="4320"/>
        <w:jc w:val="both"/>
        <w:rPr>
          <w:szCs w:val="24"/>
        </w:rPr>
      </w:pPr>
      <w:r w:rsidRPr="008E11BE">
        <w:rPr>
          <w:szCs w:val="24"/>
        </w:rPr>
        <w:t>Assistant Consumers’ Counsel</w:t>
      </w:r>
    </w:p>
    <w:p w:rsidR="002354D4" w:rsidRPr="008E11BE" w:rsidP="002354D4" w14:paraId="58C9A3B8" w14:textId="77777777">
      <w:pPr>
        <w:ind w:left="4320"/>
        <w:jc w:val="both"/>
        <w:rPr>
          <w:b/>
          <w:bCs/>
          <w:szCs w:val="24"/>
        </w:rPr>
      </w:pPr>
      <w:r w:rsidRPr="008E11BE">
        <w:rPr>
          <w:b/>
          <w:bCs/>
          <w:szCs w:val="24"/>
        </w:rPr>
        <w:t>Office of the Ohio Consumers' Counsel</w:t>
      </w:r>
    </w:p>
    <w:p w:rsidR="002354D4" w:rsidRPr="008E11BE" w:rsidP="002354D4" w14:paraId="4A9AB6DD" w14:textId="77777777">
      <w:pPr>
        <w:ind w:left="4320"/>
        <w:jc w:val="both"/>
        <w:rPr>
          <w:szCs w:val="24"/>
        </w:rPr>
      </w:pPr>
      <w:r w:rsidRPr="008E11BE">
        <w:rPr>
          <w:szCs w:val="24"/>
        </w:rPr>
        <w:t xml:space="preserve">65 East State Street, </w:t>
      </w:r>
      <w:r w:rsidR="00833587">
        <w:rPr>
          <w:szCs w:val="24"/>
        </w:rPr>
        <w:t>Suite 700</w:t>
      </w:r>
    </w:p>
    <w:p w:rsidR="002354D4" w:rsidRPr="008E11BE" w:rsidP="002354D4" w14:paraId="2C662124" w14:textId="77777777">
      <w:pPr>
        <w:ind w:left="4320"/>
        <w:jc w:val="both"/>
        <w:rPr>
          <w:szCs w:val="24"/>
        </w:rPr>
      </w:pPr>
      <w:r w:rsidRPr="008E11BE">
        <w:rPr>
          <w:szCs w:val="24"/>
        </w:rPr>
        <w:t>Columbus, Ohio 43215-4213</w:t>
      </w:r>
    </w:p>
    <w:p w:rsidR="002354D4" w:rsidRPr="008E11BE" w:rsidP="002354D4" w14:paraId="65122849" w14:textId="77777777">
      <w:pPr>
        <w:autoSpaceDE w:val="0"/>
        <w:autoSpaceDN w:val="0"/>
        <w:adjustRightInd w:val="0"/>
        <w:ind w:left="4320"/>
        <w:jc w:val="both"/>
        <w:rPr>
          <w:szCs w:val="24"/>
        </w:rPr>
      </w:pPr>
      <w:r w:rsidRPr="008E11BE">
        <w:rPr>
          <w:szCs w:val="24"/>
        </w:rPr>
        <w:t>Telephone: [O’Brien]: (614) 466-9531</w:t>
      </w:r>
    </w:p>
    <w:p w:rsidR="002354D4" w:rsidRPr="008E11BE" w:rsidP="002354D4" w14:paraId="04A059EE" w14:textId="77777777">
      <w:pPr>
        <w:autoSpaceDE w:val="0"/>
        <w:autoSpaceDN w:val="0"/>
        <w:adjustRightInd w:val="0"/>
        <w:ind w:left="4320"/>
        <w:jc w:val="both"/>
        <w:rPr>
          <w:szCs w:val="24"/>
        </w:rPr>
      </w:pPr>
      <w:r w:rsidRPr="008E11BE">
        <w:rPr>
          <w:szCs w:val="24"/>
        </w:rPr>
        <w:t>Telephone: [Michael]: (614) 466-1291</w:t>
      </w:r>
    </w:p>
    <w:p w:rsidR="002354D4" w:rsidRPr="008E11BE" w:rsidP="002354D4" w14:paraId="16A6B809" w14:textId="77777777">
      <w:pPr>
        <w:ind w:left="4320"/>
        <w:jc w:val="both"/>
        <w:rPr>
          <w:szCs w:val="24"/>
        </w:rPr>
      </w:pPr>
      <w:hyperlink r:id="rId6" w:history="1">
        <w:r w:rsidRPr="008E11BE">
          <w:rPr>
            <w:rStyle w:val="Hyperlink"/>
            <w:szCs w:val="24"/>
          </w:rPr>
          <w:t>angela.obrien@occ.ohio.gov</w:t>
        </w:r>
      </w:hyperlink>
    </w:p>
    <w:p w:rsidR="002354D4" w:rsidRPr="008E11BE" w:rsidP="002354D4" w14:paraId="14EEEA11" w14:textId="77777777">
      <w:pPr>
        <w:ind w:left="4320"/>
        <w:jc w:val="both"/>
        <w:rPr>
          <w:szCs w:val="24"/>
        </w:rPr>
      </w:pPr>
      <w:hyperlink r:id="rId7" w:history="1">
        <w:r w:rsidRPr="008E11BE">
          <w:rPr>
            <w:rStyle w:val="Hyperlink"/>
            <w:szCs w:val="24"/>
          </w:rPr>
          <w:t>william.michael@occ.ohio.gov</w:t>
        </w:r>
      </w:hyperlink>
    </w:p>
    <w:p w:rsidR="00A044B5" w:rsidRPr="008E11BE" w:rsidP="00A24A73" w14:paraId="1F4F8814" w14:textId="5EF5F3B2">
      <w:pPr>
        <w:ind w:left="4320" w:hanging="4320"/>
        <w:jc w:val="both"/>
        <w:rPr>
          <w:szCs w:val="24"/>
        </w:rPr>
      </w:pPr>
      <w:r w:rsidRPr="008E11BE">
        <w:rPr>
          <w:szCs w:val="24"/>
        </w:rPr>
        <w:tab/>
        <w:t>(willing to accept service by e-mail)</w:t>
      </w:r>
    </w:p>
    <w:p w:rsidR="00A044B5" w:rsidRPr="008E11BE" w14:paraId="492429BA" w14:textId="77777777">
      <w:pPr>
        <w:jc w:val="center"/>
        <w:rPr>
          <w:b/>
          <w:bCs/>
          <w:szCs w:val="24"/>
          <w:u w:val="single"/>
        </w:rPr>
      </w:pPr>
      <w:r w:rsidRPr="008E11BE">
        <w:rPr>
          <w:szCs w:val="24"/>
        </w:rPr>
        <w:br w:type="page"/>
      </w:r>
      <w:r w:rsidRPr="008E11BE">
        <w:rPr>
          <w:b/>
          <w:bCs/>
          <w:szCs w:val="24"/>
          <w:u w:val="single"/>
        </w:rPr>
        <w:t>CERTIFICATE OF SERVICE</w:t>
      </w:r>
    </w:p>
    <w:p w:rsidR="00A044B5" w:rsidRPr="008E11BE" w14:paraId="0B61A2D5" w14:textId="77777777">
      <w:pPr>
        <w:spacing w:line="480" w:lineRule="atLeast"/>
        <w:rPr>
          <w:szCs w:val="24"/>
        </w:rPr>
      </w:pPr>
      <w:r w:rsidRPr="008E11BE">
        <w:rPr>
          <w:szCs w:val="24"/>
        </w:rPr>
        <w:tab/>
        <w:t>I hereby certify that a copy of this</w:t>
      </w:r>
      <w:r w:rsidR="00C168B2">
        <w:rPr>
          <w:szCs w:val="24"/>
        </w:rPr>
        <w:t xml:space="preserve"> Reply to Nationwide Energy Partners, LLC’s Memorandum Contra </w:t>
      </w:r>
      <w:r w:rsidRPr="008E11BE">
        <w:rPr>
          <w:szCs w:val="24"/>
        </w:rPr>
        <w:t xml:space="preserve">was served on the persons stated below </w:t>
      </w:r>
      <w:r w:rsidRPr="008E11BE">
        <w:rPr>
          <w:iCs/>
          <w:szCs w:val="24"/>
        </w:rPr>
        <w:t>via</w:t>
      </w:r>
      <w:r w:rsidRPr="008E11BE" w:rsidR="002A4912">
        <w:rPr>
          <w:szCs w:val="24"/>
        </w:rPr>
        <w:t xml:space="preserve"> electronic transmission</w:t>
      </w:r>
      <w:r w:rsidRPr="008E11BE">
        <w:rPr>
          <w:szCs w:val="24"/>
        </w:rPr>
        <w:t>, this</w:t>
      </w:r>
      <w:r w:rsidR="00A501E8">
        <w:rPr>
          <w:szCs w:val="24"/>
        </w:rPr>
        <w:t xml:space="preserve"> </w:t>
      </w:r>
      <w:r w:rsidR="004E3C96">
        <w:rPr>
          <w:szCs w:val="24"/>
        </w:rPr>
        <w:t>23rd</w:t>
      </w:r>
      <w:r w:rsidR="00A501E8">
        <w:rPr>
          <w:szCs w:val="24"/>
        </w:rPr>
        <w:t xml:space="preserve"> </w:t>
      </w:r>
      <w:r w:rsidRPr="008E11BE">
        <w:rPr>
          <w:szCs w:val="24"/>
        </w:rPr>
        <w:t>day of</w:t>
      </w:r>
      <w:r w:rsidR="004E3C96">
        <w:rPr>
          <w:szCs w:val="24"/>
        </w:rPr>
        <w:t xml:space="preserve"> October</w:t>
      </w:r>
      <w:r w:rsidRPr="008E11BE">
        <w:rPr>
          <w:szCs w:val="24"/>
        </w:rPr>
        <w:t xml:space="preserve"> 20</w:t>
      </w:r>
      <w:r w:rsidRPr="008E11BE" w:rsidR="002354D4">
        <w:rPr>
          <w:szCs w:val="24"/>
        </w:rPr>
        <w:t>2</w:t>
      </w:r>
      <w:r w:rsidR="004E3C96">
        <w:rPr>
          <w:szCs w:val="24"/>
        </w:rPr>
        <w:t>3</w:t>
      </w:r>
      <w:r w:rsidRPr="008E11BE">
        <w:rPr>
          <w:szCs w:val="24"/>
        </w:rPr>
        <w:t>.</w:t>
      </w:r>
    </w:p>
    <w:p w:rsidR="00A044B5" w:rsidRPr="008E11BE" w14:paraId="3BB08C30" w14:textId="77777777">
      <w:pPr>
        <w:spacing w:line="480" w:lineRule="atLeast"/>
        <w:rPr>
          <w:szCs w:val="24"/>
        </w:rPr>
      </w:pPr>
    </w:p>
    <w:p w:rsidR="00A044B5" w:rsidRPr="008E11BE" w14:paraId="7EFED9DC" w14:textId="77777777">
      <w:pPr>
        <w:tabs>
          <w:tab w:val="left" w:pos="4320"/>
        </w:tabs>
        <w:rPr>
          <w:i/>
          <w:iCs/>
          <w:szCs w:val="24"/>
          <w:u w:val="single"/>
        </w:rPr>
      </w:pPr>
      <w:r w:rsidRPr="008E11BE">
        <w:rPr>
          <w:szCs w:val="24"/>
        </w:rPr>
        <w:tab/>
      </w:r>
      <w:r w:rsidRPr="008E11BE" w:rsidR="002354D4">
        <w:rPr>
          <w:i/>
          <w:iCs/>
          <w:szCs w:val="24"/>
          <w:u w:val="single"/>
        </w:rPr>
        <w:t>/s/ Angela D. O’Brien</w:t>
      </w:r>
      <w:r w:rsidRPr="008E11BE" w:rsidR="002354D4">
        <w:rPr>
          <w:i/>
          <w:iCs/>
          <w:szCs w:val="24"/>
          <w:u w:val="single"/>
        </w:rPr>
        <w:tab/>
      </w:r>
      <w:r w:rsidRPr="008E11BE" w:rsidR="002354D4">
        <w:rPr>
          <w:i/>
          <w:iCs/>
          <w:szCs w:val="24"/>
          <w:u w:val="single"/>
        </w:rPr>
        <w:tab/>
      </w:r>
    </w:p>
    <w:p w:rsidR="00A044B5" w:rsidRPr="008E11BE" w14:paraId="11F8D79E" w14:textId="77777777">
      <w:pPr>
        <w:tabs>
          <w:tab w:val="left" w:pos="4320"/>
        </w:tabs>
        <w:rPr>
          <w:szCs w:val="24"/>
        </w:rPr>
      </w:pPr>
      <w:r w:rsidRPr="008E11BE">
        <w:rPr>
          <w:szCs w:val="24"/>
        </w:rPr>
        <w:tab/>
      </w:r>
      <w:r w:rsidRPr="008E11BE" w:rsidR="002354D4">
        <w:rPr>
          <w:szCs w:val="24"/>
        </w:rPr>
        <w:t>Angela D. O’Brien</w:t>
      </w:r>
    </w:p>
    <w:p w:rsidR="00A044B5" w:rsidRPr="008E11BE" w14:paraId="12748445" w14:textId="77777777">
      <w:pPr>
        <w:tabs>
          <w:tab w:val="left" w:pos="4320"/>
        </w:tabs>
        <w:rPr>
          <w:szCs w:val="24"/>
        </w:rPr>
      </w:pPr>
      <w:r w:rsidRPr="008E11BE">
        <w:rPr>
          <w:szCs w:val="24"/>
        </w:rPr>
        <w:tab/>
      </w:r>
      <w:r w:rsidR="004E3C96">
        <w:rPr>
          <w:szCs w:val="24"/>
        </w:rPr>
        <w:t>Deputy</w:t>
      </w:r>
      <w:r w:rsidRPr="008E11BE">
        <w:rPr>
          <w:szCs w:val="24"/>
        </w:rPr>
        <w:t xml:space="preserve"> Consumers’ Counsel</w:t>
      </w:r>
    </w:p>
    <w:p w:rsidR="001D10F6" w:rsidRPr="008E11BE" w14:paraId="1B030391" w14:textId="77777777">
      <w:pPr>
        <w:tabs>
          <w:tab w:val="left" w:pos="4320"/>
        </w:tabs>
        <w:rPr>
          <w:szCs w:val="24"/>
        </w:rPr>
      </w:pPr>
    </w:p>
    <w:p w:rsidR="001D10F6" w:rsidRPr="008E11BE" w:rsidP="001D10F6" w14:paraId="5DAC8380" w14:textId="77777777">
      <w:pPr>
        <w:pStyle w:val="CommentText"/>
      </w:pPr>
      <w:r w:rsidRPr="008E11BE">
        <w:t>The PUCO’s e-filing system will electronically serve notice of the filing of this document on the following parties:</w:t>
      </w:r>
    </w:p>
    <w:p w:rsidR="001D10F6" w:rsidRPr="008E11BE" w:rsidP="001D10F6" w14:paraId="3E3DBDAF" w14:textId="77777777">
      <w:pPr>
        <w:pStyle w:val="CommentText"/>
      </w:pPr>
    </w:p>
    <w:p w:rsidR="00A044B5" w:rsidRPr="008E11BE" w14:paraId="61A2C9E6" w14:textId="77777777">
      <w:pPr>
        <w:pStyle w:val="CommentSubject"/>
        <w:rPr>
          <w:szCs w:val="24"/>
        </w:rPr>
      </w:pPr>
    </w:p>
    <w:p w:rsidR="00A044B5" w:rsidRPr="008E11BE" w14:paraId="3D2868E7" w14:textId="77777777">
      <w:pPr>
        <w:pStyle w:val="CommentText"/>
      </w:pPr>
    </w:p>
    <w:p w:rsidR="00A044B5" w:rsidRPr="008E11BE" w14:paraId="524D326B" w14:textId="77777777">
      <w:pPr>
        <w:pStyle w:val="CommentText"/>
        <w:jc w:val="center"/>
        <w:rPr>
          <w:b/>
          <w:u w:val="single"/>
        </w:rPr>
      </w:pPr>
      <w:r w:rsidRPr="008E11BE">
        <w:rPr>
          <w:b/>
          <w:u w:val="single"/>
        </w:rPr>
        <w:t>SERVICE LIST</w:t>
      </w:r>
    </w:p>
    <w:p w:rsidR="008E11BE" w:rsidRPr="008E11BE" w14:paraId="76941E2A" w14:textId="77777777">
      <w:pPr>
        <w:pStyle w:val="CommentText"/>
        <w:jc w:val="center"/>
        <w:rPr>
          <w:b/>
          <w:u w:val="single"/>
        </w:rPr>
      </w:pPr>
    </w:p>
    <w:tbl>
      <w:tblPr>
        <w:tblW w:w="0" w:type="auto"/>
        <w:tblLook w:val="04A0"/>
      </w:tblPr>
      <w:tblGrid>
        <w:gridCol w:w="4382"/>
        <w:gridCol w:w="4258"/>
      </w:tblGrid>
      <w:tr w14:paraId="0DFB0A11" w14:textId="77777777" w:rsidTr="00C27F9E">
        <w:tblPrEx>
          <w:tblW w:w="0" w:type="auto"/>
          <w:tblLook w:val="04A0"/>
        </w:tblPrEx>
        <w:tc>
          <w:tcPr>
            <w:tcW w:w="4428" w:type="dxa"/>
            <w:shd w:val="clear" w:color="auto" w:fill="auto"/>
          </w:tcPr>
          <w:p w:rsidR="00D0376A" w:rsidRPr="007C48E4" w:rsidP="00C27F9E" w14:paraId="2B5635A8" w14:textId="77777777">
            <w:pPr>
              <w:pStyle w:val="CommentText"/>
              <w:rPr>
                <w:bCs/>
                <w:u w:val="single"/>
              </w:rPr>
            </w:pPr>
            <w:hyperlink r:id="rId8" w:history="1">
              <w:r w:rsidRPr="007C48E4">
                <w:rPr>
                  <w:rStyle w:val="Hyperlink"/>
                  <w:bCs/>
                </w:rPr>
                <w:t>John.jones@ohioAGO.gov</w:t>
              </w:r>
            </w:hyperlink>
          </w:p>
          <w:p w:rsidR="00D0376A" w:rsidP="00C27F9E" w14:paraId="25554660" w14:textId="77777777">
            <w:pPr>
              <w:autoSpaceDE w:val="0"/>
              <w:autoSpaceDN w:val="0"/>
              <w:adjustRightInd w:val="0"/>
            </w:pPr>
            <w:hyperlink r:id="rId9" w:history="1">
              <w:r w:rsidRPr="00E16469">
                <w:rPr>
                  <w:rStyle w:val="Hyperlink"/>
                </w:rPr>
                <w:t>mjsettineri@vorys.com</w:t>
              </w:r>
            </w:hyperlink>
          </w:p>
          <w:p w:rsidR="00D0376A" w:rsidP="00C27F9E" w14:paraId="53798A45" w14:textId="77777777">
            <w:pPr>
              <w:autoSpaceDE w:val="0"/>
              <w:autoSpaceDN w:val="0"/>
              <w:adjustRightInd w:val="0"/>
            </w:pPr>
            <w:hyperlink r:id="rId10" w:history="1">
              <w:r w:rsidRPr="00E16469">
                <w:rPr>
                  <w:rStyle w:val="Hyperlink"/>
                </w:rPr>
                <w:t>aasanyal@vorys.com</w:t>
              </w:r>
            </w:hyperlink>
          </w:p>
          <w:p w:rsidR="00D0376A" w:rsidP="00C27F9E" w14:paraId="78BA5826" w14:textId="77777777">
            <w:pPr>
              <w:autoSpaceDE w:val="0"/>
              <w:autoSpaceDN w:val="0"/>
              <w:adjustRightInd w:val="0"/>
            </w:pPr>
            <w:hyperlink r:id="rId11" w:history="1">
              <w:r w:rsidRPr="00E16469">
                <w:rPr>
                  <w:rStyle w:val="Hyperlink"/>
                </w:rPr>
                <w:t>apguran@vorys.com</w:t>
              </w:r>
            </w:hyperlink>
          </w:p>
          <w:p w:rsidR="00D0376A" w:rsidP="00C27F9E" w14:paraId="1FD496E7" w14:textId="77777777">
            <w:pPr>
              <w:autoSpaceDE w:val="0"/>
              <w:autoSpaceDN w:val="0"/>
              <w:adjustRightInd w:val="0"/>
            </w:pPr>
            <w:hyperlink r:id="rId12" w:history="1">
              <w:r w:rsidRPr="00E16469">
                <w:rPr>
                  <w:rStyle w:val="Hyperlink"/>
                </w:rPr>
                <w:t>tjwhaling@vorys.com</w:t>
              </w:r>
            </w:hyperlink>
          </w:p>
          <w:p w:rsidR="00D0376A" w:rsidP="00C27F9E" w14:paraId="39ADE161" w14:textId="77777777">
            <w:pPr>
              <w:autoSpaceDE w:val="0"/>
              <w:autoSpaceDN w:val="0"/>
              <w:adjustRightInd w:val="0"/>
              <w:rPr>
                <w:rStyle w:val="Hyperlink"/>
              </w:rPr>
            </w:pPr>
            <w:hyperlink r:id="rId13" w:history="1">
              <w:r w:rsidRPr="00E16469">
                <w:rPr>
                  <w:rStyle w:val="Hyperlink"/>
                </w:rPr>
                <w:t>dromig@nationwideenergypartners.com</w:t>
              </w:r>
            </w:hyperlink>
          </w:p>
          <w:p w:rsidR="00D0376A" w:rsidP="00C27F9E" w14:paraId="5EAC0853" w14:textId="77777777">
            <w:pPr>
              <w:autoSpaceDE w:val="0"/>
              <w:autoSpaceDN w:val="0"/>
              <w:adjustRightInd w:val="0"/>
              <w:rPr>
                <w:rStyle w:val="Hyperlink"/>
              </w:rPr>
            </w:pPr>
          </w:p>
          <w:p w:rsidR="00D0376A" w:rsidRPr="00B976E1" w:rsidP="00C27F9E" w14:paraId="08C839F0" w14:textId="77777777">
            <w:pPr>
              <w:autoSpaceDE w:val="0"/>
              <w:autoSpaceDN w:val="0"/>
              <w:adjustRightInd w:val="0"/>
              <w:rPr>
                <w:rStyle w:val="Hyperlink"/>
                <w:color w:val="auto"/>
                <w:u w:val="none"/>
              </w:rPr>
            </w:pPr>
            <w:r w:rsidRPr="00B976E1">
              <w:rPr>
                <w:rStyle w:val="Hyperlink"/>
                <w:color w:val="auto"/>
                <w:u w:val="none"/>
              </w:rPr>
              <w:t>Attorney Examiners:</w:t>
            </w:r>
          </w:p>
          <w:p w:rsidR="00D0376A" w:rsidP="00C27F9E" w14:paraId="0463613E" w14:textId="77777777">
            <w:pPr>
              <w:autoSpaceDE w:val="0"/>
              <w:autoSpaceDN w:val="0"/>
              <w:adjustRightInd w:val="0"/>
              <w:rPr>
                <w:color w:val="0000FF"/>
                <w:szCs w:val="24"/>
              </w:rPr>
            </w:pPr>
            <w:hyperlink r:id="rId14" w:history="1">
              <w:r w:rsidRPr="00E16469">
                <w:rPr>
                  <w:rStyle w:val="Hyperlink"/>
                  <w:szCs w:val="24"/>
                </w:rPr>
                <w:t>david.hicks@puco.ohio.gov</w:t>
              </w:r>
            </w:hyperlink>
          </w:p>
          <w:p w:rsidR="00D0376A" w:rsidP="00C27F9E" w14:paraId="73962BB6" w14:textId="77777777">
            <w:pPr>
              <w:autoSpaceDE w:val="0"/>
              <w:autoSpaceDN w:val="0"/>
              <w:adjustRightInd w:val="0"/>
              <w:rPr>
                <w:color w:val="0000FF"/>
                <w:szCs w:val="24"/>
              </w:rPr>
            </w:pPr>
            <w:hyperlink r:id="rId15" w:history="1">
              <w:r w:rsidRPr="00E16469">
                <w:rPr>
                  <w:rStyle w:val="Hyperlink"/>
                  <w:szCs w:val="24"/>
                </w:rPr>
                <w:t>matthew.sandor@puco.ohio.gov</w:t>
              </w:r>
            </w:hyperlink>
          </w:p>
          <w:p w:rsidR="00D0376A" w:rsidRPr="007C48E4" w:rsidP="00C27F9E" w14:paraId="6317DB0D" w14:textId="77777777">
            <w:pPr>
              <w:autoSpaceDE w:val="0"/>
              <w:autoSpaceDN w:val="0"/>
              <w:adjustRightInd w:val="0"/>
              <w:rPr>
                <w:color w:val="0000FF"/>
                <w:szCs w:val="24"/>
              </w:rPr>
            </w:pPr>
          </w:p>
          <w:p w:rsidR="00D0376A" w:rsidRPr="007C48E4" w:rsidP="00C27F9E" w14:paraId="253B7E2E" w14:textId="77777777">
            <w:pPr>
              <w:autoSpaceDE w:val="0"/>
              <w:autoSpaceDN w:val="0"/>
              <w:adjustRightInd w:val="0"/>
              <w:rPr>
                <w:color w:val="0000FF"/>
                <w:szCs w:val="24"/>
              </w:rPr>
            </w:pPr>
          </w:p>
          <w:p w:rsidR="00D0376A" w:rsidRPr="007C48E4" w:rsidP="00C27F9E" w14:paraId="7664793C" w14:textId="77777777">
            <w:pPr>
              <w:pStyle w:val="CommentText"/>
              <w:rPr>
                <w:bCs/>
                <w:u w:val="single"/>
              </w:rPr>
            </w:pPr>
          </w:p>
        </w:tc>
        <w:tc>
          <w:tcPr>
            <w:tcW w:w="4428" w:type="dxa"/>
            <w:shd w:val="clear" w:color="auto" w:fill="auto"/>
          </w:tcPr>
          <w:p w:rsidR="00D0376A" w:rsidP="00C27F9E" w14:paraId="078BDA6D" w14:textId="77777777">
            <w:pPr>
              <w:autoSpaceDE w:val="0"/>
              <w:autoSpaceDN w:val="0"/>
              <w:adjustRightInd w:val="0"/>
              <w:rPr>
                <w:rStyle w:val="Hyperlink"/>
                <w:szCs w:val="24"/>
              </w:rPr>
            </w:pPr>
            <w:hyperlink r:id="rId16" w:history="1">
              <w:r w:rsidRPr="007C48E4">
                <w:rPr>
                  <w:rStyle w:val="Hyperlink"/>
                  <w:szCs w:val="24"/>
                </w:rPr>
                <w:t>stnourse@aep.com</w:t>
              </w:r>
            </w:hyperlink>
          </w:p>
          <w:p w:rsidR="00D0376A" w:rsidP="00C27F9E" w14:paraId="1B47432B" w14:textId="77777777">
            <w:pPr>
              <w:autoSpaceDE w:val="0"/>
              <w:autoSpaceDN w:val="0"/>
              <w:adjustRightInd w:val="0"/>
              <w:rPr>
                <w:color w:val="0563C2"/>
                <w:szCs w:val="24"/>
              </w:rPr>
            </w:pPr>
            <w:hyperlink r:id="rId17" w:history="1">
              <w:r w:rsidRPr="00E16469">
                <w:rPr>
                  <w:rStyle w:val="Hyperlink"/>
                  <w:szCs w:val="24"/>
                </w:rPr>
                <w:t>mjschuler@aep.com</w:t>
              </w:r>
            </w:hyperlink>
          </w:p>
          <w:p w:rsidR="00D0376A" w:rsidRPr="007C48E4" w:rsidP="00C27F9E" w14:paraId="17E88B9C" w14:textId="77777777">
            <w:pPr>
              <w:autoSpaceDE w:val="0"/>
              <w:autoSpaceDN w:val="0"/>
              <w:adjustRightInd w:val="0"/>
              <w:rPr>
                <w:color w:val="0563C2"/>
                <w:szCs w:val="24"/>
              </w:rPr>
            </w:pPr>
            <w:hyperlink r:id="rId18" w:history="1">
              <w:r w:rsidRPr="007C48E4">
                <w:rPr>
                  <w:rStyle w:val="Hyperlink"/>
                  <w:szCs w:val="24"/>
                </w:rPr>
                <w:t>matthew@msmckenzieltd.com</w:t>
              </w:r>
            </w:hyperlink>
          </w:p>
          <w:p w:rsidR="00D0376A" w:rsidRPr="007C48E4" w:rsidP="00C27F9E" w14:paraId="4F40A1FC" w14:textId="77777777">
            <w:pPr>
              <w:autoSpaceDE w:val="0"/>
              <w:autoSpaceDN w:val="0"/>
              <w:adjustRightInd w:val="0"/>
              <w:rPr>
                <w:color w:val="0563C2"/>
                <w:szCs w:val="24"/>
              </w:rPr>
            </w:pPr>
          </w:p>
          <w:p w:rsidR="00D0376A" w:rsidRPr="007C48E4" w:rsidP="00C27F9E" w14:paraId="7D9310DE" w14:textId="77777777">
            <w:pPr>
              <w:autoSpaceDE w:val="0"/>
              <w:autoSpaceDN w:val="0"/>
              <w:adjustRightInd w:val="0"/>
              <w:rPr>
                <w:color w:val="0563C2"/>
                <w:szCs w:val="24"/>
              </w:rPr>
            </w:pPr>
          </w:p>
        </w:tc>
      </w:tr>
    </w:tbl>
    <w:p w:rsidR="008E11BE" w:rsidRPr="008E11BE" w14:paraId="72BDD390" w14:textId="77777777">
      <w:pPr>
        <w:pStyle w:val="CommentText"/>
        <w:jc w:val="center"/>
        <w:rPr>
          <w:b/>
          <w:u w:val="single"/>
        </w:rPr>
      </w:pPr>
    </w:p>
    <w:p w:rsidR="00A044B5" w:rsidRPr="008E11BE" w14:paraId="776A2DA6" w14:textId="77777777">
      <w:pPr>
        <w:pStyle w:val="BodyText"/>
        <w:rPr>
          <w:b/>
          <w:bCs/>
          <w:szCs w:val="24"/>
        </w:rPr>
      </w:pPr>
    </w:p>
    <w:p w:rsidR="00A044B5" w:rsidRPr="008E11BE" w14:paraId="3F66408D" w14:textId="77777777">
      <w:pPr>
        <w:pStyle w:val="BodyText"/>
        <w:rPr>
          <w:b/>
          <w:bCs/>
          <w:szCs w:val="24"/>
        </w:rPr>
      </w:pPr>
    </w:p>
    <w:sectPr w:rsidSect="00382E9E">
      <w:headerReference w:type="even" r:id="rId19"/>
      <w:headerReference w:type="default" r:id="rId20"/>
      <w:footerReference w:type="even" r:id="rId21"/>
      <w:footerReference w:type="default" r:id="rId22"/>
      <w:headerReference w:type="first" r:id="rId23"/>
      <w:footerReference w:type="first" r:id="rId24"/>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768D" w14:paraId="4614F22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2E9E" w:rsidRPr="00382E9E" w14:paraId="020DC237" w14:textId="77777777">
    <w:pPr>
      <w:pStyle w:val="Footer"/>
      <w:jc w:val="center"/>
      <w:rPr>
        <w:sz w:val="24"/>
        <w:szCs w:val="24"/>
      </w:rPr>
    </w:pPr>
    <w:r w:rsidRPr="00382E9E">
      <w:rPr>
        <w:sz w:val="24"/>
        <w:szCs w:val="24"/>
      </w:rPr>
      <w:fldChar w:fldCharType="begin"/>
    </w:r>
    <w:r w:rsidRPr="00382E9E">
      <w:rPr>
        <w:sz w:val="24"/>
        <w:szCs w:val="24"/>
      </w:rPr>
      <w:instrText xml:space="preserve"> PAGE   \* MERGEFORMAT </w:instrText>
    </w:r>
    <w:r w:rsidRPr="00382E9E">
      <w:rPr>
        <w:sz w:val="24"/>
        <w:szCs w:val="24"/>
      </w:rPr>
      <w:fldChar w:fldCharType="separate"/>
    </w:r>
    <w:r w:rsidRPr="00382E9E">
      <w:rPr>
        <w:noProof/>
        <w:sz w:val="24"/>
        <w:szCs w:val="24"/>
      </w:rPr>
      <w:t>2</w:t>
    </w:r>
    <w:r w:rsidRPr="00382E9E">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2E9E" w:rsidRPr="00382E9E" w14:paraId="0E81D076" w14:textId="77777777">
    <w:pPr>
      <w:pStyle w:val="Footer"/>
      <w:jc w:val="center"/>
      <w:rPr>
        <w:sz w:val="24"/>
        <w:szCs w:val="24"/>
      </w:rPr>
    </w:pPr>
    <w:r w:rsidRPr="00382E9E">
      <w:rPr>
        <w:sz w:val="24"/>
        <w:szCs w:val="24"/>
      </w:rPr>
      <w:fldChar w:fldCharType="begin"/>
    </w:r>
    <w:r w:rsidRPr="00382E9E">
      <w:rPr>
        <w:sz w:val="24"/>
        <w:szCs w:val="24"/>
      </w:rPr>
      <w:instrText xml:space="preserve"> PAGE   \* MERGEFORMAT </w:instrText>
    </w:r>
    <w:r w:rsidRPr="00382E9E">
      <w:rPr>
        <w:sz w:val="24"/>
        <w:szCs w:val="24"/>
      </w:rPr>
      <w:fldChar w:fldCharType="separate"/>
    </w:r>
    <w:r w:rsidRPr="00382E9E">
      <w:rPr>
        <w:noProof/>
        <w:sz w:val="24"/>
        <w:szCs w:val="24"/>
      </w:rPr>
      <w:t>2</w:t>
    </w:r>
    <w:r w:rsidRPr="00382E9E">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710C6" w14:paraId="3BCD6391" w14:textId="77777777">
      <w:r>
        <w:separator/>
      </w:r>
    </w:p>
  </w:footnote>
  <w:footnote w:type="continuationSeparator" w:id="1">
    <w:p w:rsidR="003710C6" w14:paraId="0D89070A" w14:textId="77777777">
      <w:r>
        <w:continuationSeparator/>
      </w:r>
    </w:p>
  </w:footnote>
  <w:footnote w:id="2">
    <w:p w:rsidR="006C0DE3" w:rsidP="00EF4F43" w14:paraId="7D41AA3A" w14:textId="77777777">
      <w:pPr>
        <w:pStyle w:val="FootnoteText"/>
        <w:spacing w:after="120"/>
      </w:pPr>
      <w:r>
        <w:rPr>
          <w:rStyle w:val="FootnoteReference"/>
        </w:rPr>
        <w:footnoteRef/>
      </w:r>
      <w:r>
        <w:t xml:space="preserve"> Opinion and Order (Sept</w:t>
      </w:r>
      <w:r w:rsidR="00382E9E">
        <w:t>ember</w:t>
      </w:r>
      <w:r>
        <w:t xml:space="preserve"> 6, 2023) (“Order”), at ¶ 224.</w:t>
      </w:r>
    </w:p>
  </w:footnote>
  <w:footnote w:id="3">
    <w:p w:rsidR="00E76247" w:rsidRPr="00805CC3" w:rsidP="00EF4F43" w14:paraId="5B2C7F69" w14:textId="77777777">
      <w:pPr>
        <w:pStyle w:val="FootnoteText"/>
        <w:spacing w:after="120"/>
        <w:rPr>
          <w:i/>
          <w:iCs/>
        </w:rPr>
      </w:pPr>
      <w:r>
        <w:rPr>
          <w:rStyle w:val="FootnoteReference"/>
        </w:rPr>
        <w:footnoteRef/>
      </w:r>
      <w:r>
        <w:t xml:space="preserve"> </w:t>
      </w:r>
      <w:r w:rsidR="00805CC3">
        <w:rPr>
          <w:i/>
          <w:iCs/>
        </w:rPr>
        <w:t>Id.</w:t>
      </w:r>
    </w:p>
  </w:footnote>
  <w:footnote w:id="4">
    <w:p w:rsidR="00905B53" w:rsidP="00EF4F43" w14:paraId="5520C13A" w14:textId="52A8E405">
      <w:pPr>
        <w:pStyle w:val="FootnoteText"/>
        <w:spacing w:after="120"/>
      </w:pPr>
      <w:r>
        <w:rPr>
          <w:rStyle w:val="FootnoteReference"/>
        </w:rPr>
        <w:footnoteRef/>
      </w:r>
      <w:r>
        <w:t xml:space="preserve"> OCC’s Motion for Leave to File Instanter an Application for Rehearing (Oct</w:t>
      </w:r>
      <w:r w:rsidR="00382E9E">
        <w:t>ober</w:t>
      </w:r>
      <w:r>
        <w:t xml:space="preserve"> 6, 2023) (“Motion for Leave”)</w:t>
      </w:r>
      <w:r w:rsidR="00EF4F43">
        <w:t>.</w:t>
      </w:r>
      <w:r>
        <w:t xml:space="preserve"> </w:t>
      </w:r>
    </w:p>
  </w:footnote>
  <w:footnote w:id="5">
    <w:p w:rsidR="00A37C89" w:rsidP="00EF4F43" w14:paraId="64A19EFE" w14:textId="77777777">
      <w:pPr>
        <w:pStyle w:val="FootnoteText"/>
        <w:spacing w:after="120"/>
      </w:pPr>
      <w:r>
        <w:rPr>
          <w:rStyle w:val="FootnoteReference"/>
        </w:rPr>
        <w:footnoteRef/>
      </w:r>
      <w:r>
        <w:t xml:space="preserve"> Order, at</w:t>
      </w:r>
      <w:r>
        <w:rPr>
          <w:i/>
          <w:iCs/>
        </w:rPr>
        <w:t xml:space="preserve"> </w:t>
      </w:r>
      <w:r>
        <w:t xml:space="preserve">¶ 6; </w:t>
      </w:r>
      <w:r>
        <w:rPr>
          <w:i/>
          <w:iCs/>
        </w:rPr>
        <w:t>see also</w:t>
      </w:r>
      <w:r>
        <w:t xml:space="preserve"> OCC Application for Rehearing (August 26, 2022); PUCO Entry (July 27, 2022); OCC Interlocutory Appeal (February 7, 2022).</w:t>
      </w:r>
    </w:p>
  </w:footnote>
  <w:footnote w:id="6">
    <w:p w:rsidR="00897E00" w:rsidP="00EF4F43" w14:paraId="275D56B5" w14:textId="77777777">
      <w:pPr>
        <w:pStyle w:val="FootnoteText"/>
        <w:spacing w:after="120"/>
      </w:pPr>
      <w:r>
        <w:rPr>
          <w:rStyle w:val="FootnoteReference"/>
        </w:rPr>
        <w:footnoteRef/>
      </w:r>
      <w:r>
        <w:t xml:space="preserve"> </w:t>
      </w:r>
      <w:r w:rsidR="00D14667">
        <w:rPr>
          <w:i/>
          <w:iCs/>
        </w:rPr>
        <w:t xml:space="preserve">See </w:t>
      </w:r>
      <w:r w:rsidR="00D14667">
        <w:t>PUCO Entry (July 27, 2022).</w:t>
      </w:r>
    </w:p>
  </w:footnote>
  <w:footnote w:id="7">
    <w:p w:rsidR="00482177" w:rsidP="00EF4F43" w14:paraId="42D42ED4" w14:textId="77777777">
      <w:pPr>
        <w:pStyle w:val="FootnoteText"/>
        <w:spacing w:after="120"/>
      </w:pPr>
      <w:r>
        <w:rPr>
          <w:rStyle w:val="FootnoteReference"/>
        </w:rPr>
        <w:footnoteRef/>
      </w:r>
      <w:r>
        <w:t xml:space="preserve"> Nationwide Energy Partners, LLC’s Memorandum Contra the Office of the Ohio Consumers’ Counsel Motion for Leave to File Instanter an Application for Rehearing (Oct</w:t>
      </w:r>
      <w:r w:rsidR="00382E9E">
        <w:t>ober</w:t>
      </w:r>
      <w:r>
        <w:t xml:space="preserve"> 16, 2023) (“Memo Contra”).</w:t>
      </w:r>
    </w:p>
  </w:footnote>
  <w:footnote w:id="8">
    <w:p w:rsidR="009333AF" w:rsidP="00EF4F43" w14:paraId="61154305" w14:textId="77777777">
      <w:pPr>
        <w:pStyle w:val="FootnoteText"/>
        <w:spacing w:after="120"/>
      </w:pPr>
      <w:r>
        <w:rPr>
          <w:rStyle w:val="FootnoteReference"/>
        </w:rPr>
        <w:footnoteRef/>
      </w:r>
      <w:r>
        <w:t xml:space="preserve"> NEP Memo Contra, at 1-2.</w:t>
      </w:r>
    </w:p>
  </w:footnote>
  <w:footnote w:id="9">
    <w:p w:rsidR="004C2175" w:rsidRPr="004C2175" w:rsidP="00EF4F43" w14:paraId="07B90604" w14:textId="77777777">
      <w:pPr>
        <w:pStyle w:val="FootnoteText"/>
        <w:spacing w:after="120"/>
        <w:rPr>
          <w:i/>
          <w:iCs/>
        </w:rPr>
      </w:pPr>
      <w:r>
        <w:rPr>
          <w:rStyle w:val="FootnoteReference"/>
        </w:rPr>
        <w:footnoteRef/>
      </w:r>
      <w:r>
        <w:t xml:space="preserve"> </w:t>
      </w:r>
      <w:r>
        <w:rPr>
          <w:i/>
          <w:iCs/>
        </w:rPr>
        <w:t>Id.</w:t>
      </w:r>
    </w:p>
  </w:footnote>
  <w:footnote w:id="10">
    <w:p w:rsidR="004C2175" w:rsidRPr="004C2175" w:rsidP="00EF4F43" w14:paraId="602869D8" w14:textId="77777777">
      <w:pPr>
        <w:pStyle w:val="FootnoteText"/>
        <w:spacing w:after="120"/>
        <w:rPr>
          <w:i/>
          <w:iCs/>
        </w:rPr>
      </w:pPr>
      <w:r>
        <w:rPr>
          <w:rStyle w:val="FootnoteReference"/>
        </w:rPr>
        <w:footnoteRef/>
      </w:r>
      <w:r>
        <w:t xml:space="preserve"> </w:t>
      </w:r>
      <w:r>
        <w:rPr>
          <w:i/>
          <w:iCs/>
          <w:szCs w:val="24"/>
        </w:rPr>
        <w:t>Senior Citizens Coalition v. PUC of Ohio</w:t>
      </w:r>
      <w:r>
        <w:t>, 40 Ohio St. 3d 329, 332</w:t>
      </w:r>
      <w:r w:rsidR="00D8033E">
        <w:t>-333</w:t>
      </w:r>
      <w:r>
        <w:t xml:space="preserve">, 533 N.E.2d 353 (1988); </w:t>
      </w:r>
      <w:r>
        <w:rPr>
          <w:i/>
          <w:iCs/>
        </w:rPr>
        <w:t>See also Cincinnati v. Public Utilities Comm’n</w:t>
      </w:r>
      <w:r>
        <w:t>, 63 Ohio St.3d 366, 369, 588 N.E.2d 775 (1992).</w:t>
      </w:r>
    </w:p>
  </w:footnote>
  <w:footnote w:id="11">
    <w:p w:rsidR="00540096" w:rsidRPr="00CF53D5" w:rsidP="00EF4F43" w14:paraId="09716B9F" w14:textId="77777777">
      <w:pPr>
        <w:pStyle w:val="FootnoteText"/>
        <w:spacing w:after="120"/>
      </w:pPr>
      <w:r>
        <w:rPr>
          <w:rStyle w:val="FootnoteReference"/>
        </w:rPr>
        <w:footnoteRef/>
      </w:r>
      <w:r>
        <w:t xml:space="preserve"> </w:t>
      </w:r>
      <w:r>
        <w:rPr>
          <w:i/>
          <w:iCs/>
        </w:rPr>
        <w:t>Cincinnati Gas and Electric Co. v. PUC</w:t>
      </w:r>
      <w:r>
        <w:t>, 2004-Ohio-5466</w:t>
      </w:r>
      <w:r w:rsidR="00382E9E">
        <w:t>.</w:t>
      </w:r>
      <w:r>
        <w:t xml:space="preserve"> </w:t>
      </w:r>
    </w:p>
  </w:footnote>
  <w:footnote w:id="12">
    <w:p w:rsidR="00540096" w:rsidRPr="00A81F23" w:rsidP="00EF4F43" w14:paraId="5F3A78AB" w14:textId="77777777">
      <w:pPr>
        <w:pStyle w:val="FootnoteText"/>
        <w:spacing w:after="120"/>
        <w:rPr>
          <w:i/>
          <w:iCs/>
        </w:rPr>
      </w:pPr>
      <w:r>
        <w:rPr>
          <w:rStyle w:val="FootnoteReference"/>
        </w:rPr>
        <w:footnoteRef/>
      </w:r>
      <w:r>
        <w:t xml:space="preserve"> </w:t>
      </w:r>
      <w:r>
        <w:rPr>
          <w:i/>
          <w:iCs/>
        </w:rPr>
        <w:t>Cincinnati v. Public Utilities Comm’n</w:t>
      </w:r>
      <w:r>
        <w:t>, 63 Ohio St.3d 366, 369, 588 N.E.2d 775 (1992)</w:t>
      </w:r>
      <w:r w:rsidR="002859EE">
        <w:t>.</w:t>
      </w:r>
      <w:r>
        <w:rPr>
          <w:i/>
          <w:iCs/>
        </w:rPr>
        <w:t xml:space="preserve"> </w:t>
      </w:r>
    </w:p>
  </w:footnote>
  <w:footnote w:id="13">
    <w:p w:rsidR="004109DA" w:rsidP="00EF4F43" w14:paraId="52CFAFFA" w14:textId="6307343B">
      <w:pPr>
        <w:pStyle w:val="FootnoteText"/>
        <w:spacing w:after="120"/>
      </w:pPr>
      <w:r>
        <w:rPr>
          <w:rStyle w:val="FootnoteReference"/>
        </w:rPr>
        <w:footnoteRef/>
      </w:r>
      <w:r>
        <w:t xml:space="preserve"> PUCO Entry (July 27, 2022).</w:t>
      </w:r>
    </w:p>
  </w:footnote>
  <w:footnote w:id="14">
    <w:p w:rsidR="00E74A27" w:rsidRPr="00E74A27" w:rsidP="00EF4F43" w14:paraId="3F72C370" w14:textId="0A292190">
      <w:pPr>
        <w:pStyle w:val="FootnoteText"/>
        <w:spacing w:after="120"/>
      </w:pPr>
      <w:r>
        <w:rPr>
          <w:rStyle w:val="FootnoteReference"/>
        </w:rPr>
        <w:footnoteRef/>
      </w:r>
      <w:r>
        <w:t xml:space="preserve"> R.C. 4903.11</w:t>
      </w:r>
      <w:r w:rsidR="008F7806">
        <w:t>.</w:t>
      </w:r>
    </w:p>
  </w:footnote>
  <w:footnote w:id="15">
    <w:p w:rsidR="0075636D" w:rsidP="00EF4F43" w14:paraId="28569CE0" w14:textId="77777777">
      <w:pPr>
        <w:pStyle w:val="FootnoteText"/>
        <w:spacing w:after="120"/>
      </w:pPr>
      <w:r>
        <w:rPr>
          <w:rStyle w:val="FootnoteReference"/>
        </w:rPr>
        <w:footnoteRef/>
      </w:r>
      <w:r>
        <w:t xml:space="preserve"> NEP Memo Contra, at 1.</w:t>
      </w:r>
    </w:p>
  </w:footnote>
  <w:footnote w:id="16">
    <w:p w:rsidR="00652FDF" w:rsidRPr="00652FDF" w:rsidP="00EF4F43" w14:paraId="1DCCF4AD" w14:textId="77777777">
      <w:pPr>
        <w:pStyle w:val="FootnoteText"/>
        <w:spacing w:after="120"/>
        <w:rPr>
          <w:i/>
          <w:iCs/>
        </w:rPr>
      </w:pPr>
      <w:r>
        <w:rPr>
          <w:rStyle w:val="FootnoteReference"/>
        </w:rPr>
        <w:footnoteRef/>
      </w:r>
      <w:r>
        <w:t xml:space="preserve"> </w:t>
      </w:r>
      <w:r w:rsidR="00497B1C">
        <w:rPr>
          <w:i/>
          <w:iCs/>
          <w:szCs w:val="24"/>
        </w:rPr>
        <w:t>Senior Citizens Coalition v. PUC of Ohio</w:t>
      </w:r>
      <w:r w:rsidR="00497B1C">
        <w:t>, 40 Ohio St. 3d 329, 332-333, 533 N.E.2d 353 (1988).</w:t>
      </w:r>
    </w:p>
  </w:footnote>
  <w:footnote w:id="17">
    <w:p w:rsidR="00652FDF" w:rsidRPr="00652FDF" w:rsidP="00EF4F43" w14:paraId="5AD34645" w14:textId="77777777">
      <w:pPr>
        <w:pStyle w:val="FootnoteText"/>
        <w:spacing w:after="120"/>
        <w:rPr>
          <w:i/>
          <w:iCs/>
        </w:rPr>
      </w:pPr>
      <w:r>
        <w:rPr>
          <w:rStyle w:val="FootnoteReference"/>
        </w:rPr>
        <w:footnoteRef/>
      </w:r>
      <w:r>
        <w:t xml:space="preserve"> </w:t>
      </w:r>
      <w:r>
        <w:rPr>
          <w:i/>
          <w:iCs/>
        </w:rPr>
        <w:t>Id.</w:t>
      </w:r>
    </w:p>
  </w:footnote>
  <w:footnote w:id="18">
    <w:p w:rsidR="009E680A" w:rsidP="00EF4F43" w14:paraId="763BB275" w14:textId="77777777">
      <w:pPr>
        <w:pStyle w:val="FootnoteText"/>
        <w:spacing w:after="120"/>
      </w:pPr>
      <w:r>
        <w:rPr>
          <w:rStyle w:val="FootnoteReference"/>
        </w:rPr>
        <w:footnoteRef/>
      </w:r>
      <w:r>
        <w:t xml:space="preserve"> NEP Memo Contra at 2-3.</w:t>
      </w:r>
    </w:p>
  </w:footnote>
  <w:footnote w:id="19">
    <w:p w:rsidR="009E680A" w:rsidRPr="009E680A" w:rsidP="00EF4F43" w14:paraId="6B3A3A32" w14:textId="77777777">
      <w:pPr>
        <w:pStyle w:val="FootnoteText"/>
        <w:spacing w:after="120"/>
      </w:pPr>
      <w:r>
        <w:rPr>
          <w:rStyle w:val="FootnoteReference"/>
        </w:rPr>
        <w:footnoteRef/>
      </w:r>
      <w:r>
        <w:t xml:space="preserve"> </w:t>
      </w:r>
      <w:r>
        <w:rPr>
          <w:i/>
          <w:iCs/>
        </w:rPr>
        <w:t xml:space="preserve">Id. </w:t>
      </w:r>
      <w:r>
        <w:t>at 2.</w:t>
      </w:r>
    </w:p>
  </w:footnote>
  <w:footnote w:id="20">
    <w:p w:rsidR="00113C72" w:rsidP="00EF4F43" w14:paraId="33D78E92" w14:textId="77777777">
      <w:pPr>
        <w:pStyle w:val="FootnoteText"/>
        <w:spacing w:after="120"/>
      </w:pPr>
      <w:r>
        <w:rPr>
          <w:rStyle w:val="FootnoteReference"/>
        </w:rPr>
        <w:footnoteRef/>
      </w:r>
      <w:r>
        <w:t xml:space="preserve"> Order at ¶ 225</w:t>
      </w:r>
      <w:r w:rsidR="007B5D1D">
        <w:t xml:space="preserve"> (emphasis added).</w:t>
      </w:r>
    </w:p>
  </w:footnote>
  <w:footnote w:id="21">
    <w:p w:rsidR="00113C72" w:rsidRPr="00113C72" w:rsidP="00EF4F43" w14:paraId="6F853AFF" w14:textId="77777777">
      <w:pPr>
        <w:pStyle w:val="FootnoteText"/>
        <w:spacing w:after="120"/>
        <w:rPr>
          <w:i/>
          <w:iCs/>
        </w:rPr>
      </w:pPr>
      <w:r>
        <w:rPr>
          <w:rStyle w:val="FootnoteReference"/>
        </w:rPr>
        <w:footnoteRef/>
      </w:r>
      <w:r>
        <w:t xml:space="preserve"> </w:t>
      </w:r>
      <w:r>
        <w:rPr>
          <w:i/>
          <w:iCs/>
        </w:rPr>
        <w:t>Id.</w:t>
      </w:r>
      <w:r>
        <w:t xml:space="preserve"> at ¶ 224.</w:t>
      </w:r>
      <w:r>
        <w:rPr>
          <w:i/>
          <w:iCs/>
        </w:rPr>
        <w:t xml:space="preserve"> </w:t>
      </w:r>
    </w:p>
  </w:footnote>
  <w:footnote w:id="22">
    <w:p w:rsidR="00EA0258" w:rsidP="00EF4F43" w14:paraId="65353F2C" w14:textId="77777777">
      <w:pPr>
        <w:pStyle w:val="FootnoteText"/>
        <w:spacing w:after="120"/>
      </w:pPr>
      <w:r>
        <w:rPr>
          <w:rStyle w:val="FootnoteReference"/>
        </w:rPr>
        <w:footnoteRef/>
      </w:r>
      <w:r>
        <w:t xml:space="preserve"> Order, at ¶ 224.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768D" w14:paraId="7AC5B30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768D" w14:paraId="6A3611A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768D" w14:paraId="57DAB2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C7D77"/>
    <w:multiLevelType w:val="hybridMultilevel"/>
    <w:tmpl w:val="D96A7492"/>
    <w:lvl w:ilvl="0">
      <w:start w:val="3"/>
      <w:numFmt w:val="upperRoman"/>
      <w:lvlText w:val="%1&gt;"/>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1075BBB"/>
    <w:multiLevelType w:val="hybridMultilevel"/>
    <w:tmpl w:val="D466FE9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29B3C68"/>
    <w:multiLevelType w:val="hybridMultilevel"/>
    <w:tmpl w:val="53508AFC"/>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792057"/>
    <w:multiLevelType w:val="hybridMultilevel"/>
    <w:tmpl w:val="4E3014A8"/>
    <w:lvl w:ilvl="0">
      <w:start w:val="3"/>
      <w:numFmt w:val="upperRoman"/>
      <w:lvlText w:val="%1&gt;"/>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52EF593C"/>
    <w:multiLevelType w:val="hybridMultilevel"/>
    <w:tmpl w:val="0222462C"/>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0">
    <w:nsid w:val="75E06116"/>
    <w:multiLevelType w:val="hybridMultilevel"/>
    <w:tmpl w:val="A0D46B10"/>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7"/>
  </w:num>
  <w:num w:numId="2">
    <w:abstractNumId w:val="6"/>
  </w:num>
  <w:num w:numId="3">
    <w:abstractNumId w:val="9"/>
  </w:num>
  <w:num w:numId="4">
    <w:abstractNumId w:val="8"/>
  </w:num>
  <w:num w:numId="5">
    <w:abstractNumId w:val="1"/>
  </w:num>
  <w:num w:numId="6">
    <w:abstractNumId w:val="11"/>
  </w:num>
  <w:num w:numId="7">
    <w:abstractNumId w:val="3"/>
  </w:num>
  <w:num w:numId="8">
    <w:abstractNumId w:val="10"/>
  </w:num>
  <w:num w:numId="9">
    <w:abstractNumId w:val="5"/>
  </w:num>
  <w:num w:numId="10">
    <w:abstractNumId w:val="2"/>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2"/>
    <w:rsid w:val="00002306"/>
    <w:rsid w:val="000067F1"/>
    <w:rsid w:val="00006D98"/>
    <w:rsid w:val="000079E6"/>
    <w:rsid w:val="000102C8"/>
    <w:rsid w:val="00010CAD"/>
    <w:rsid w:val="00012154"/>
    <w:rsid w:val="0002549D"/>
    <w:rsid w:val="0003339E"/>
    <w:rsid w:val="00035B93"/>
    <w:rsid w:val="000379AD"/>
    <w:rsid w:val="000503BE"/>
    <w:rsid w:val="00052DD3"/>
    <w:rsid w:val="00053068"/>
    <w:rsid w:val="000665BF"/>
    <w:rsid w:val="00067AA5"/>
    <w:rsid w:val="00082870"/>
    <w:rsid w:val="00087DE7"/>
    <w:rsid w:val="00091831"/>
    <w:rsid w:val="00095BA3"/>
    <w:rsid w:val="0009754D"/>
    <w:rsid w:val="000A36DE"/>
    <w:rsid w:val="000B28A8"/>
    <w:rsid w:val="000B37E0"/>
    <w:rsid w:val="000C730F"/>
    <w:rsid w:val="000C7336"/>
    <w:rsid w:val="000D3582"/>
    <w:rsid w:val="000D57E8"/>
    <w:rsid w:val="000D64BC"/>
    <w:rsid w:val="000E084F"/>
    <w:rsid w:val="00113C72"/>
    <w:rsid w:val="00124175"/>
    <w:rsid w:val="00132D70"/>
    <w:rsid w:val="00132F1B"/>
    <w:rsid w:val="00136534"/>
    <w:rsid w:val="00137A97"/>
    <w:rsid w:val="00150BE2"/>
    <w:rsid w:val="00160C4B"/>
    <w:rsid w:val="00170D4D"/>
    <w:rsid w:val="00174A3B"/>
    <w:rsid w:val="0018123E"/>
    <w:rsid w:val="0018259B"/>
    <w:rsid w:val="00197B51"/>
    <w:rsid w:val="001B13CC"/>
    <w:rsid w:val="001B33FE"/>
    <w:rsid w:val="001D0897"/>
    <w:rsid w:val="001D10F6"/>
    <w:rsid w:val="001D2379"/>
    <w:rsid w:val="001E1205"/>
    <w:rsid w:val="001E558A"/>
    <w:rsid w:val="001F08C4"/>
    <w:rsid w:val="001F3B0E"/>
    <w:rsid w:val="001F723E"/>
    <w:rsid w:val="002005CB"/>
    <w:rsid w:val="0020117A"/>
    <w:rsid w:val="00201526"/>
    <w:rsid w:val="0020327F"/>
    <w:rsid w:val="00217354"/>
    <w:rsid w:val="00220C8F"/>
    <w:rsid w:val="00220E1F"/>
    <w:rsid w:val="002218AF"/>
    <w:rsid w:val="00227A97"/>
    <w:rsid w:val="002300A2"/>
    <w:rsid w:val="00232A94"/>
    <w:rsid w:val="002354D4"/>
    <w:rsid w:val="00240065"/>
    <w:rsid w:val="00240FC4"/>
    <w:rsid w:val="00254B53"/>
    <w:rsid w:val="00270856"/>
    <w:rsid w:val="00271BAA"/>
    <w:rsid w:val="00272B7E"/>
    <w:rsid w:val="0027470E"/>
    <w:rsid w:val="00280F8E"/>
    <w:rsid w:val="002859EE"/>
    <w:rsid w:val="00291B62"/>
    <w:rsid w:val="00294AE9"/>
    <w:rsid w:val="002968C9"/>
    <w:rsid w:val="002A39D5"/>
    <w:rsid w:val="002A4912"/>
    <w:rsid w:val="002A776E"/>
    <w:rsid w:val="002B1658"/>
    <w:rsid w:val="002B2718"/>
    <w:rsid w:val="002B2BFA"/>
    <w:rsid w:val="002B5B8F"/>
    <w:rsid w:val="002C2339"/>
    <w:rsid w:val="002C47C7"/>
    <w:rsid w:val="002F740F"/>
    <w:rsid w:val="002F79B8"/>
    <w:rsid w:val="00300E0E"/>
    <w:rsid w:val="0031242C"/>
    <w:rsid w:val="00316BC2"/>
    <w:rsid w:val="00320C4D"/>
    <w:rsid w:val="00322469"/>
    <w:rsid w:val="003226AB"/>
    <w:rsid w:val="003330AC"/>
    <w:rsid w:val="003373FC"/>
    <w:rsid w:val="003409BA"/>
    <w:rsid w:val="00343E03"/>
    <w:rsid w:val="00346D8E"/>
    <w:rsid w:val="00360A50"/>
    <w:rsid w:val="003639E5"/>
    <w:rsid w:val="0036746E"/>
    <w:rsid w:val="003710C6"/>
    <w:rsid w:val="00382E9E"/>
    <w:rsid w:val="00392557"/>
    <w:rsid w:val="00393CBA"/>
    <w:rsid w:val="003B158E"/>
    <w:rsid w:val="003B7CA8"/>
    <w:rsid w:val="003C22FD"/>
    <w:rsid w:val="003D625B"/>
    <w:rsid w:val="003F0FBF"/>
    <w:rsid w:val="003F219D"/>
    <w:rsid w:val="004109DA"/>
    <w:rsid w:val="00411104"/>
    <w:rsid w:val="004133D9"/>
    <w:rsid w:val="00414663"/>
    <w:rsid w:val="004211C0"/>
    <w:rsid w:val="00432B89"/>
    <w:rsid w:val="00442220"/>
    <w:rsid w:val="004466EA"/>
    <w:rsid w:val="0045049E"/>
    <w:rsid w:val="00453479"/>
    <w:rsid w:val="004600FA"/>
    <w:rsid w:val="004641C5"/>
    <w:rsid w:val="0047604C"/>
    <w:rsid w:val="004760FE"/>
    <w:rsid w:val="00477DE5"/>
    <w:rsid w:val="00482177"/>
    <w:rsid w:val="004854D8"/>
    <w:rsid w:val="004875E4"/>
    <w:rsid w:val="00497B1C"/>
    <w:rsid w:val="004A0113"/>
    <w:rsid w:val="004A68EF"/>
    <w:rsid w:val="004A6C68"/>
    <w:rsid w:val="004B0CB4"/>
    <w:rsid w:val="004B5E17"/>
    <w:rsid w:val="004B74A7"/>
    <w:rsid w:val="004C2175"/>
    <w:rsid w:val="004C76B8"/>
    <w:rsid w:val="004D0A18"/>
    <w:rsid w:val="004E3C96"/>
    <w:rsid w:val="004F0F2F"/>
    <w:rsid w:val="004F45A1"/>
    <w:rsid w:val="004F5837"/>
    <w:rsid w:val="004F59C9"/>
    <w:rsid w:val="004F5AB3"/>
    <w:rsid w:val="004F5AE6"/>
    <w:rsid w:val="004F768D"/>
    <w:rsid w:val="0051520D"/>
    <w:rsid w:val="005243EA"/>
    <w:rsid w:val="0052535D"/>
    <w:rsid w:val="0053639A"/>
    <w:rsid w:val="00540096"/>
    <w:rsid w:val="00541F19"/>
    <w:rsid w:val="005455F5"/>
    <w:rsid w:val="0055020C"/>
    <w:rsid w:val="00552FA4"/>
    <w:rsid w:val="0056225A"/>
    <w:rsid w:val="005627D9"/>
    <w:rsid w:val="00563C49"/>
    <w:rsid w:val="00565913"/>
    <w:rsid w:val="00566C97"/>
    <w:rsid w:val="005704DF"/>
    <w:rsid w:val="005731F1"/>
    <w:rsid w:val="00583043"/>
    <w:rsid w:val="00583256"/>
    <w:rsid w:val="005841AA"/>
    <w:rsid w:val="0059527A"/>
    <w:rsid w:val="0059721C"/>
    <w:rsid w:val="005A4489"/>
    <w:rsid w:val="005A6744"/>
    <w:rsid w:val="005A7AA2"/>
    <w:rsid w:val="005B6985"/>
    <w:rsid w:val="005C131C"/>
    <w:rsid w:val="005C3516"/>
    <w:rsid w:val="005D5632"/>
    <w:rsid w:val="005D6A60"/>
    <w:rsid w:val="005D6B05"/>
    <w:rsid w:val="005E4CB1"/>
    <w:rsid w:val="005F0C95"/>
    <w:rsid w:val="005F5616"/>
    <w:rsid w:val="005F740E"/>
    <w:rsid w:val="00610A33"/>
    <w:rsid w:val="00610B23"/>
    <w:rsid w:val="0062108F"/>
    <w:rsid w:val="00641070"/>
    <w:rsid w:val="00644899"/>
    <w:rsid w:val="00646528"/>
    <w:rsid w:val="00651F16"/>
    <w:rsid w:val="00652FDF"/>
    <w:rsid w:val="00685C49"/>
    <w:rsid w:val="00686C9F"/>
    <w:rsid w:val="006A07B6"/>
    <w:rsid w:val="006A16A5"/>
    <w:rsid w:val="006A5ED2"/>
    <w:rsid w:val="006A7F5D"/>
    <w:rsid w:val="006B4F22"/>
    <w:rsid w:val="006C0DE3"/>
    <w:rsid w:val="006D1DB7"/>
    <w:rsid w:val="006D23E8"/>
    <w:rsid w:val="006D4B1C"/>
    <w:rsid w:val="006D71B6"/>
    <w:rsid w:val="006E384A"/>
    <w:rsid w:val="006F1F52"/>
    <w:rsid w:val="006F3A5F"/>
    <w:rsid w:val="006F4A5F"/>
    <w:rsid w:val="0070051D"/>
    <w:rsid w:val="0070433D"/>
    <w:rsid w:val="0072202B"/>
    <w:rsid w:val="00730C0C"/>
    <w:rsid w:val="00732063"/>
    <w:rsid w:val="00732426"/>
    <w:rsid w:val="00733BFF"/>
    <w:rsid w:val="00737178"/>
    <w:rsid w:val="00742403"/>
    <w:rsid w:val="00747913"/>
    <w:rsid w:val="00752F63"/>
    <w:rsid w:val="00753D09"/>
    <w:rsid w:val="00754784"/>
    <w:rsid w:val="0075636D"/>
    <w:rsid w:val="007567D1"/>
    <w:rsid w:val="00760D70"/>
    <w:rsid w:val="00760DE9"/>
    <w:rsid w:val="007641F7"/>
    <w:rsid w:val="00765338"/>
    <w:rsid w:val="00766F90"/>
    <w:rsid w:val="00776453"/>
    <w:rsid w:val="0078043D"/>
    <w:rsid w:val="0078129A"/>
    <w:rsid w:val="0078270D"/>
    <w:rsid w:val="00782E53"/>
    <w:rsid w:val="00783401"/>
    <w:rsid w:val="007A3253"/>
    <w:rsid w:val="007B0C92"/>
    <w:rsid w:val="007B27ED"/>
    <w:rsid w:val="007B377A"/>
    <w:rsid w:val="007B5D1D"/>
    <w:rsid w:val="007B6AAF"/>
    <w:rsid w:val="007C0065"/>
    <w:rsid w:val="007C48E4"/>
    <w:rsid w:val="007C6052"/>
    <w:rsid w:val="007C6EF7"/>
    <w:rsid w:val="007D75D4"/>
    <w:rsid w:val="007E64D9"/>
    <w:rsid w:val="007E7BE3"/>
    <w:rsid w:val="00801EFF"/>
    <w:rsid w:val="00805CC3"/>
    <w:rsid w:val="00806856"/>
    <w:rsid w:val="008069D7"/>
    <w:rsid w:val="00816087"/>
    <w:rsid w:val="00817228"/>
    <w:rsid w:val="0081797A"/>
    <w:rsid w:val="00820BC4"/>
    <w:rsid w:val="00826275"/>
    <w:rsid w:val="00833587"/>
    <w:rsid w:val="00850F2C"/>
    <w:rsid w:val="00854129"/>
    <w:rsid w:val="00854AFA"/>
    <w:rsid w:val="00862182"/>
    <w:rsid w:val="008666AF"/>
    <w:rsid w:val="00866E61"/>
    <w:rsid w:val="00872A27"/>
    <w:rsid w:val="00884535"/>
    <w:rsid w:val="0088606B"/>
    <w:rsid w:val="00897E00"/>
    <w:rsid w:val="008A6D06"/>
    <w:rsid w:val="008B370A"/>
    <w:rsid w:val="008B4350"/>
    <w:rsid w:val="008B6A97"/>
    <w:rsid w:val="008D3A4F"/>
    <w:rsid w:val="008D5D0B"/>
    <w:rsid w:val="008E0F96"/>
    <w:rsid w:val="008E11BE"/>
    <w:rsid w:val="008E201B"/>
    <w:rsid w:val="008F4272"/>
    <w:rsid w:val="008F7806"/>
    <w:rsid w:val="009027C1"/>
    <w:rsid w:val="00904ECE"/>
    <w:rsid w:val="00905B53"/>
    <w:rsid w:val="009118C4"/>
    <w:rsid w:val="00911BB5"/>
    <w:rsid w:val="009143A0"/>
    <w:rsid w:val="00920CC8"/>
    <w:rsid w:val="00930E94"/>
    <w:rsid w:val="00931B08"/>
    <w:rsid w:val="009333AF"/>
    <w:rsid w:val="00933718"/>
    <w:rsid w:val="0094131E"/>
    <w:rsid w:val="00941DF5"/>
    <w:rsid w:val="00946D9E"/>
    <w:rsid w:val="0095231C"/>
    <w:rsid w:val="00954D3E"/>
    <w:rsid w:val="009712EF"/>
    <w:rsid w:val="00973CF7"/>
    <w:rsid w:val="00974508"/>
    <w:rsid w:val="00975A98"/>
    <w:rsid w:val="00980C1E"/>
    <w:rsid w:val="009841C3"/>
    <w:rsid w:val="00984492"/>
    <w:rsid w:val="009902A5"/>
    <w:rsid w:val="009A599D"/>
    <w:rsid w:val="009A7BC2"/>
    <w:rsid w:val="009B6D8B"/>
    <w:rsid w:val="009C76D5"/>
    <w:rsid w:val="009C7DF3"/>
    <w:rsid w:val="009E680A"/>
    <w:rsid w:val="009F0AE1"/>
    <w:rsid w:val="009F4402"/>
    <w:rsid w:val="009F578D"/>
    <w:rsid w:val="00A016AC"/>
    <w:rsid w:val="00A01FB9"/>
    <w:rsid w:val="00A044B5"/>
    <w:rsid w:val="00A06136"/>
    <w:rsid w:val="00A07614"/>
    <w:rsid w:val="00A16A71"/>
    <w:rsid w:val="00A20026"/>
    <w:rsid w:val="00A220C0"/>
    <w:rsid w:val="00A24A73"/>
    <w:rsid w:val="00A2511A"/>
    <w:rsid w:val="00A30D87"/>
    <w:rsid w:val="00A313C1"/>
    <w:rsid w:val="00A31C5D"/>
    <w:rsid w:val="00A33F21"/>
    <w:rsid w:val="00A37C89"/>
    <w:rsid w:val="00A501E8"/>
    <w:rsid w:val="00A54671"/>
    <w:rsid w:val="00A549D7"/>
    <w:rsid w:val="00A54A0A"/>
    <w:rsid w:val="00A5514C"/>
    <w:rsid w:val="00A55D04"/>
    <w:rsid w:val="00A63AC9"/>
    <w:rsid w:val="00A67EE0"/>
    <w:rsid w:val="00A7103F"/>
    <w:rsid w:val="00A81F23"/>
    <w:rsid w:val="00A9601D"/>
    <w:rsid w:val="00AA6B5D"/>
    <w:rsid w:val="00AB537D"/>
    <w:rsid w:val="00AB6756"/>
    <w:rsid w:val="00AB68FA"/>
    <w:rsid w:val="00AC102B"/>
    <w:rsid w:val="00AD0401"/>
    <w:rsid w:val="00AD135E"/>
    <w:rsid w:val="00AD69AD"/>
    <w:rsid w:val="00AD726C"/>
    <w:rsid w:val="00AE177A"/>
    <w:rsid w:val="00AE437E"/>
    <w:rsid w:val="00AE4906"/>
    <w:rsid w:val="00B04B13"/>
    <w:rsid w:val="00B050A1"/>
    <w:rsid w:val="00B0586E"/>
    <w:rsid w:val="00B1056A"/>
    <w:rsid w:val="00B12B2C"/>
    <w:rsid w:val="00B12E1B"/>
    <w:rsid w:val="00B228CE"/>
    <w:rsid w:val="00B2492F"/>
    <w:rsid w:val="00B24E29"/>
    <w:rsid w:val="00B269CF"/>
    <w:rsid w:val="00B36FC9"/>
    <w:rsid w:val="00B42854"/>
    <w:rsid w:val="00B433B3"/>
    <w:rsid w:val="00B5081F"/>
    <w:rsid w:val="00B52A7F"/>
    <w:rsid w:val="00B547F1"/>
    <w:rsid w:val="00B8665E"/>
    <w:rsid w:val="00B87518"/>
    <w:rsid w:val="00B94D36"/>
    <w:rsid w:val="00B94F99"/>
    <w:rsid w:val="00B976E1"/>
    <w:rsid w:val="00BA0590"/>
    <w:rsid w:val="00BA335C"/>
    <w:rsid w:val="00BA4E04"/>
    <w:rsid w:val="00BB359A"/>
    <w:rsid w:val="00BB54D0"/>
    <w:rsid w:val="00BC42C6"/>
    <w:rsid w:val="00BC7AB9"/>
    <w:rsid w:val="00BE28C9"/>
    <w:rsid w:val="00BE789C"/>
    <w:rsid w:val="00C00EB8"/>
    <w:rsid w:val="00C01A9C"/>
    <w:rsid w:val="00C01BBA"/>
    <w:rsid w:val="00C05E68"/>
    <w:rsid w:val="00C1464C"/>
    <w:rsid w:val="00C168B2"/>
    <w:rsid w:val="00C16E1B"/>
    <w:rsid w:val="00C24148"/>
    <w:rsid w:val="00C242DC"/>
    <w:rsid w:val="00C24B1A"/>
    <w:rsid w:val="00C27F9E"/>
    <w:rsid w:val="00C3483B"/>
    <w:rsid w:val="00C3548A"/>
    <w:rsid w:val="00C44C3C"/>
    <w:rsid w:val="00C51E3F"/>
    <w:rsid w:val="00C578C9"/>
    <w:rsid w:val="00C86ACD"/>
    <w:rsid w:val="00C910AC"/>
    <w:rsid w:val="00CA6A3D"/>
    <w:rsid w:val="00CA6AB8"/>
    <w:rsid w:val="00CA7CDE"/>
    <w:rsid w:val="00CB35B4"/>
    <w:rsid w:val="00CB6155"/>
    <w:rsid w:val="00CC072E"/>
    <w:rsid w:val="00CC2A6F"/>
    <w:rsid w:val="00CC2F98"/>
    <w:rsid w:val="00CC3D20"/>
    <w:rsid w:val="00CC5721"/>
    <w:rsid w:val="00CC799F"/>
    <w:rsid w:val="00CE5ADB"/>
    <w:rsid w:val="00CE66BA"/>
    <w:rsid w:val="00CF4760"/>
    <w:rsid w:val="00CF53D5"/>
    <w:rsid w:val="00CF5442"/>
    <w:rsid w:val="00D0376A"/>
    <w:rsid w:val="00D13E1B"/>
    <w:rsid w:val="00D14667"/>
    <w:rsid w:val="00D15BBF"/>
    <w:rsid w:val="00D22AD8"/>
    <w:rsid w:val="00D24E4D"/>
    <w:rsid w:val="00D30688"/>
    <w:rsid w:val="00D30EE0"/>
    <w:rsid w:val="00D31438"/>
    <w:rsid w:val="00D37B47"/>
    <w:rsid w:val="00D40393"/>
    <w:rsid w:val="00D45159"/>
    <w:rsid w:val="00D475BC"/>
    <w:rsid w:val="00D55177"/>
    <w:rsid w:val="00D561F6"/>
    <w:rsid w:val="00D57504"/>
    <w:rsid w:val="00D74BAB"/>
    <w:rsid w:val="00D8033E"/>
    <w:rsid w:val="00D84C51"/>
    <w:rsid w:val="00D85C9D"/>
    <w:rsid w:val="00D87487"/>
    <w:rsid w:val="00D92BE0"/>
    <w:rsid w:val="00D93165"/>
    <w:rsid w:val="00D966C9"/>
    <w:rsid w:val="00D967F6"/>
    <w:rsid w:val="00D96E4D"/>
    <w:rsid w:val="00DA0D11"/>
    <w:rsid w:val="00DB28C6"/>
    <w:rsid w:val="00DB43D3"/>
    <w:rsid w:val="00DB5372"/>
    <w:rsid w:val="00DB7814"/>
    <w:rsid w:val="00DC223B"/>
    <w:rsid w:val="00DC35B3"/>
    <w:rsid w:val="00DD024A"/>
    <w:rsid w:val="00DD57F2"/>
    <w:rsid w:val="00DE3BDA"/>
    <w:rsid w:val="00DF527B"/>
    <w:rsid w:val="00E03BEA"/>
    <w:rsid w:val="00E065DA"/>
    <w:rsid w:val="00E06BD7"/>
    <w:rsid w:val="00E13A29"/>
    <w:rsid w:val="00E14D84"/>
    <w:rsid w:val="00E16469"/>
    <w:rsid w:val="00E17461"/>
    <w:rsid w:val="00E20F1F"/>
    <w:rsid w:val="00E4322E"/>
    <w:rsid w:val="00E441F5"/>
    <w:rsid w:val="00E504E1"/>
    <w:rsid w:val="00E53438"/>
    <w:rsid w:val="00E565F3"/>
    <w:rsid w:val="00E732CD"/>
    <w:rsid w:val="00E737FD"/>
    <w:rsid w:val="00E74A27"/>
    <w:rsid w:val="00E76247"/>
    <w:rsid w:val="00E8073B"/>
    <w:rsid w:val="00E82ED4"/>
    <w:rsid w:val="00E859A5"/>
    <w:rsid w:val="00E86597"/>
    <w:rsid w:val="00E900A4"/>
    <w:rsid w:val="00E90D2E"/>
    <w:rsid w:val="00E92DCC"/>
    <w:rsid w:val="00EA0258"/>
    <w:rsid w:val="00EA414B"/>
    <w:rsid w:val="00EB1ACD"/>
    <w:rsid w:val="00EC2025"/>
    <w:rsid w:val="00EC34E3"/>
    <w:rsid w:val="00ED0CFA"/>
    <w:rsid w:val="00ED6D7B"/>
    <w:rsid w:val="00ED6ED2"/>
    <w:rsid w:val="00EF3AD6"/>
    <w:rsid w:val="00EF4F43"/>
    <w:rsid w:val="00F017B0"/>
    <w:rsid w:val="00F06A04"/>
    <w:rsid w:val="00F06CE8"/>
    <w:rsid w:val="00F11239"/>
    <w:rsid w:val="00F11AF1"/>
    <w:rsid w:val="00F13199"/>
    <w:rsid w:val="00F1341B"/>
    <w:rsid w:val="00F21E15"/>
    <w:rsid w:val="00F27265"/>
    <w:rsid w:val="00F3662D"/>
    <w:rsid w:val="00F40C28"/>
    <w:rsid w:val="00F5126E"/>
    <w:rsid w:val="00F5282B"/>
    <w:rsid w:val="00F5301F"/>
    <w:rsid w:val="00F6320B"/>
    <w:rsid w:val="00F64D4A"/>
    <w:rsid w:val="00F661B9"/>
    <w:rsid w:val="00F7697E"/>
    <w:rsid w:val="00F8000D"/>
    <w:rsid w:val="00F86BD5"/>
    <w:rsid w:val="00F97AB3"/>
    <w:rsid w:val="00FA2C85"/>
    <w:rsid w:val="00FA7B4C"/>
    <w:rsid w:val="00FD12B3"/>
    <w:rsid w:val="00FD2445"/>
    <w:rsid w:val="00FD78A7"/>
    <w:rsid w:val="00FD7C27"/>
    <w:rsid w:val="00FE7F19"/>
    <w:rsid w:val="00FF186A"/>
    <w:rsid w:val="00FF1B4F"/>
    <w:rsid w:val="00FF2846"/>
    <w:rsid w:val="00FF755E"/>
    <w:rsid w:val="00FF79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4E035A4"/>
  <w15:chartTrackingRefBased/>
  <w15:docId w15:val="{8C7442A0-80B7-8248-837A-6593EF92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4D4"/>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qFormat/>
    <w:rPr>
      <w:sz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uiPriority w:val="99"/>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uiPriority w:val="99"/>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
    <w:name w:val="Unresolved Mention"/>
    <w:uiPriority w:val="99"/>
    <w:semiHidden/>
    <w:unhideWhenUsed/>
    <w:rsid w:val="002354D4"/>
    <w:rPr>
      <w:color w:val="605E5C"/>
      <w:shd w:val="clear" w:color="auto" w:fill="E1DFDD"/>
    </w:rPr>
  </w:style>
  <w:style w:type="character" w:customStyle="1" w:styleId="HTMLPreformattedChar">
    <w:name w:val="HTML Preformatted Char"/>
    <w:link w:val="HTMLPreformatted"/>
    <w:rsid w:val="002354D4"/>
    <w:rPr>
      <w:rFonts w:ascii="Courier New" w:eastAsia="Courier New" w:hAnsi="Courier New" w:cs="Courier New"/>
    </w:rPr>
  </w:style>
  <w:style w:type="character" w:customStyle="1" w:styleId="BodyTextIndent3Char">
    <w:name w:val="Body Text Indent 3 Char"/>
    <w:link w:val="BodyTextIndent3"/>
    <w:rsid w:val="002354D4"/>
    <w:rPr>
      <w:sz w:val="24"/>
    </w:rPr>
  </w:style>
  <w:style w:type="character" w:customStyle="1" w:styleId="CommentTextChar">
    <w:name w:val="Comment Text Char"/>
    <w:link w:val="CommentText"/>
    <w:uiPriority w:val="99"/>
    <w:semiHidden/>
    <w:rsid w:val="001D10F6"/>
    <w:rPr>
      <w:sz w:val="24"/>
      <w:szCs w:val="24"/>
    </w:rPr>
  </w:style>
  <w:style w:type="character" w:customStyle="1" w:styleId="FooterChar">
    <w:name w:val="Footer Char"/>
    <w:basedOn w:val="DefaultParagraphFont"/>
    <w:link w:val="Footer"/>
    <w:uiPriority w:val="99"/>
    <w:rsid w:val="00BE789C"/>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
    <w:link w:val="FootnoteText"/>
    <w:rsid w:val="00E76247"/>
  </w:style>
  <w:style w:type="paragraph" w:styleId="Revision">
    <w:name w:val="Revision"/>
    <w:hidden/>
    <w:uiPriority w:val="99"/>
    <w:semiHidden/>
    <w:rsid w:val="005A448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aasanyal@vorys.com" TargetMode="External" /><Relationship Id="rId11" Type="http://schemas.openxmlformats.org/officeDocument/2006/relationships/hyperlink" Target="mailto:apguran@vorys.com" TargetMode="External" /><Relationship Id="rId12" Type="http://schemas.openxmlformats.org/officeDocument/2006/relationships/hyperlink" Target="mailto:tjwhaling@vorys.com" TargetMode="External" /><Relationship Id="rId13" Type="http://schemas.openxmlformats.org/officeDocument/2006/relationships/hyperlink" Target="mailto:dromig@nationwideenergypartners.com" TargetMode="External" /><Relationship Id="rId14" Type="http://schemas.openxmlformats.org/officeDocument/2006/relationships/hyperlink" Target="mailto:david.hicks@puco.ohio.gov" TargetMode="External" /><Relationship Id="rId15" Type="http://schemas.openxmlformats.org/officeDocument/2006/relationships/hyperlink" Target="mailto:matthew.sandor@puco.ohio.gov" TargetMode="External" /><Relationship Id="rId16" Type="http://schemas.openxmlformats.org/officeDocument/2006/relationships/hyperlink" Target="mailto:stnourse@aep.com" TargetMode="External" /><Relationship Id="rId17" Type="http://schemas.openxmlformats.org/officeDocument/2006/relationships/hyperlink" Target="mailto:mjschuler@aep.com" TargetMode="External" /><Relationship Id="rId18" Type="http://schemas.openxmlformats.org/officeDocument/2006/relationships/hyperlink" Target="mailto:matthew@msmckenzieltd.com" TargetMode="External" /><Relationship Id="rId19" Type="http://schemas.openxmlformats.org/officeDocument/2006/relationships/header" Target="header1.xml" /><Relationship Id="rId2" Type="http://schemas.openxmlformats.org/officeDocument/2006/relationships/settings" Target="settings.xml" /><Relationship Id="rId20" Type="http://schemas.openxmlformats.org/officeDocument/2006/relationships/header" Target="header2.xm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header" Target="header3.xml" /><Relationship Id="rId24" Type="http://schemas.openxmlformats.org/officeDocument/2006/relationships/footer" Target="footer3.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ngela.obrien@occ.ohio.gov" TargetMode="External" /><Relationship Id="rId7" Type="http://schemas.openxmlformats.org/officeDocument/2006/relationships/hyperlink" Target="mailto:william.michael@occ.ohio.gov" TargetMode="External" /><Relationship Id="rId8" Type="http://schemas.openxmlformats.org/officeDocument/2006/relationships/hyperlink" Target="mailto:John.jones@ohioAGO.gov" TargetMode="External" /><Relationship Id="rId9" Type="http://schemas.openxmlformats.org/officeDocument/2006/relationships/hyperlink" Target="mailto:mjsettineri@vory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CC643-BCD0-4647-9014-8ECEF957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2023-10-23T15:38:21Z</dcterms:created>
  <dcterms:modified xsi:type="dcterms:W3CDTF">2023-10-23T15:38:21Z</dcterms:modified>
</cp:coreProperties>
</file>