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D3C67" w:rsidRPr="00062AD2" w14:paraId="727BBCA0" w14:textId="77777777">
      <w:pPr>
        <w:pStyle w:val="HTMLPreformatted"/>
        <w:jc w:val="center"/>
        <w:rPr>
          <w:rFonts w:ascii="Times New Roman" w:hAnsi="Times New Roman" w:cs="Times New Roman"/>
          <w:b/>
          <w:bCs/>
          <w:sz w:val="24"/>
          <w:szCs w:val="24"/>
        </w:rPr>
      </w:pPr>
      <w:r w:rsidRPr="00062AD2">
        <w:rPr>
          <w:rFonts w:ascii="Times New Roman" w:hAnsi="Times New Roman" w:cs="Times New Roman"/>
          <w:b/>
          <w:bCs/>
          <w:sz w:val="24"/>
          <w:szCs w:val="24"/>
        </w:rPr>
        <w:t>BEFORE</w:t>
      </w:r>
    </w:p>
    <w:p w:rsidR="00ED3C67" w:rsidRPr="00062AD2" w14:paraId="10004CD9" w14:textId="77777777">
      <w:pPr>
        <w:pStyle w:val="HTMLPreformatted"/>
        <w:jc w:val="center"/>
        <w:rPr>
          <w:rFonts w:ascii="Times New Roman" w:hAnsi="Times New Roman" w:cs="Times New Roman"/>
          <w:b/>
          <w:bCs/>
          <w:sz w:val="24"/>
          <w:szCs w:val="24"/>
        </w:rPr>
      </w:pPr>
      <w:r w:rsidRPr="00062AD2">
        <w:rPr>
          <w:rFonts w:ascii="Times New Roman" w:hAnsi="Times New Roman" w:cs="Times New Roman"/>
          <w:b/>
          <w:bCs/>
          <w:sz w:val="24"/>
          <w:szCs w:val="24"/>
        </w:rPr>
        <w:t>THE PUBLIC UTILITIES COMMISSION OF OHIO</w:t>
      </w:r>
    </w:p>
    <w:p w:rsidR="00025065" w:rsidRPr="00062AD2" w14:paraId="5C9C78E0" w14:textId="77777777">
      <w:pPr>
        <w:pStyle w:val="HTMLPreformatted"/>
        <w:jc w:val="center"/>
        <w:rPr>
          <w:rFonts w:ascii="Times New Roman" w:hAnsi="Times New Roman" w:cs="Times New Roman"/>
          <w:b/>
          <w:bCs/>
          <w:sz w:val="24"/>
          <w:szCs w:val="24"/>
        </w:rPr>
      </w:pPr>
    </w:p>
    <w:tbl>
      <w:tblPr>
        <w:tblW w:w="9292" w:type="dxa"/>
        <w:tblInd w:w="0" w:type="dxa"/>
        <w:tblCellMar>
          <w:top w:w="0" w:type="dxa"/>
          <w:left w:w="108" w:type="dxa"/>
          <w:bottom w:w="0" w:type="dxa"/>
          <w:right w:w="108" w:type="dxa"/>
        </w:tblCellMar>
        <w:tblLook w:val="01E0"/>
      </w:tblPr>
      <w:tblGrid>
        <w:gridCol w:w="4273"/>
        <w:gridCol w:w="636"/>
        <w:gridCol w:w="4383"/>
      </w:tblGrid>
      <w:tr w14:paraId="066F529F" w14:textId="77777777" w:rsidTr="009941B2">
        <w:tblPrEx>
          <w:tblW w:w="9292" w:type="dxa"/>
          <w:tblInd w:w="0" w:type="dxa"/>
          <w:tblCellMar>
            <w:top w:w="0" w:type="dxa"/>
            <w:left w:w="108" w:type="dxa"/>
            <w:bottom w:w="0" w:type="dxa"/>
            <w:right w:w="108" w:type="dxa"/>
          </w:tblCellMar>
          <w:tblLook w:val="01E0"/>
        </w:tblPrEx>
        <w:trPr>
          <w:trHeight w:val="610"/>
        </w:trPr>
        <w:tc>
          <w:tcPr>
            <w:tcW w:w="4273" w:type="dxa"/>
            <w:shd w:val="clear" w:color="auto" w:fill="auto"/>
          </w:tcPr>
          <w:p w:rsidR="00025065" w:rsidRPr="00062AD2" w:rsidP="00B179FB" w14:paraId="175BBD8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In the Matter of the Application of Duke Energy Ohio, Inc. for a Waiver.</w:t>
            </w:r>
          </w:p>
        </w:tc>
        <w:tc>
          <w:tcPr>
            <w:tcW w:w="636" w:type="dxa"/>
            <w:shd w:val="clear" w:color="auto" w:fill="auto"/>
          </w:tcPr>
          <w:p w:rsidR="00025065" w:rsidRPr="00062AD2" w:rsidP="00B179FB" w14:paraId="3582778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w:t>
            </w:r>
          </w:p>
          <w:p w:rsidR="00025065" w:rsidRPr="00062AD2" w:rsidP="00B179FB" w14:paraId="6930323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w:t>
            </w:r>
          </w:p>
        </w:tc>
        <w:tc>
          <w:tcPr>
            <w:tcW w:w="4383" w:type="dxa"/>
            <w:shd w:val="clear" w:color="auto" w:fill="auto"/>
          </w:tcPr>
          <w:p w:rsidR="00025065" w:rsidRPr="00062AD2" w:rsidP="00B179FB" w14:paraId="790315F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Case No. 23-823-EL-WVR</w:t>
            </w:r>
          </w:p>
        </w:tc>
      </w:tr>
    </w:tbl>
    <w:p w:rsidR="00ED3C67" w:rsidRPr="00062AD2" w14:paraId="7690EB15" w14:textId="77777777">
      <w:pPr>
        <w:pStyle w:val="HTMLPreformatted"/>
        <w:rPr>
          <w:rFonts w:ascii="Times New Roman" w:hAnsi="Times New Roman" w:cs="Times New Roman"/>
          <w:sz w:val="24"/>
          <w:szCs w:val="24"/>
        </w:rPr>
      </w:pPr>
    </w:p>
    <w:p w:rsidR="00ED3C67" w:rsidRPr="00062AD2" w14:paraId="773454F4" w14:textId="77777777">
      <w:pPr>
        <w:pStyle w:val="HTMLPreformatted"/>
        <w:pBdr>
          <w:top w:val="single" w:sz="12" w:space="1" w:color="auto"/>
        </w:pBdr>
        <w:rPr>
          <w:rFonts w:ascii="Times New Roman" w:hAnsi="Times New Roman" w:cs="Times New Roman"/>
          <w:sz w:val="24"/>
          <w:szCs w:val="24"/>
        </w:rPr>
      </w:pPr>
    </w:p>
    <w:p w:rsidR="00ED3C67" w:rsidRPr="00062AD2" w:rsidP="006456DD" w14:paraId="2DAC119F" w14:textId="77777777">
      <w:pPr>
        <w:jc w:val="center"/>
        <w:rPr>
          <w:b/>
          <w:bCs/>
          <w:szCs w:val="24"/>
        </w:rPr>
      </w:pPr>
      <w:r w:rsidRPr="00062AD2">
        <w:rPr>
          <w:b/>
          <w:bCs/>
          <w:szCs w:val="24"/>
        </w:rPr>
        <w:t>MOTION TO INTERVENE</w:t>
      </w:r>
    </w:p>
    <w:p w:rsidR="00ED3C67" w:rsidRPr="00062AD2" w:rsidP="006456DD" w14:paraId="3D2CD9B4" w14:textId="77777777">
      <w:pPr>
        <w:jc w:val="center"/>
        <w:rPr>
          <w:b/>
          <w:bCs/>
          <w:szCs w:val="24"/>
        </w:rPr>
      </w:pPr>
      <w:r w:rsidRPr="00062AD2">
        <w:rPr>
          <w:b/>
          <w:bCs/>
          <w:szCs w:val="24"/>
        </w:rPr>
        <w:t>BY</w:t>
      </w:r>
    </w:p>
    <w:p w:rsidR="00ED3C67" w:rsidRPr="00062AD2" w:rsidP="006456DD" w14:paraId="7CA8992A" w14:textId="0E3032E8">
      <w:pPr>
        <w:jc w:val="center"/>
        <w:rPr>
          <w:b/>
          <w:bCs/>
          <w:szCs w:val="24"/>
        </w:rPr>
      </w:pPr>
      <w:r w:rsidRPr="00062AD2">
        <w:rPr>
          <w:b/>
          <w:bCs/>
          <w:szCs w:val="24"/>
        </w:rPr>
        <w:t>OFFICE OF THE OHIO CONSUMERS’ COUNSEL</w:t>
      </w:r>
    </w:p>
    <w:p w:rsidR="00ED3C67" w:rsidRPr="00062AD2" w14:paraId="6B08EB19" w14:textId="77777777">
      <w:pPr>
        <w:pBdr>
          <w:bottom w:val="single" w:sz="12" w:space="1" w:color="auto"/>
        </w:pBdr>
        <w:tabs>
          <w:tab w:val="left" w:pos="4320"/>
        </w:tabs>
        <w:rPr>
          <w:szCs w:val="24"/>
        </w:rPr>
      </w:pPr>
    </w:p>
    <w:p w:rsidR="00ED3C67" w:rsidRPr="00062AD2" w14:paraId="50300E40" w14:textId="77777777">
      <w:pPr>
        <w:tabs>
          <w:tab w:val="left" w:pos="4320"/>
        </w:tabs>
        <w:rPr>
          <w:szCs w:val="24"/>
        </w:rPr>
      </w:pPr>
    </w:p>
    <w:p w:rsidR="007D574E" w:rsidRPr="00062AD2" w:rsidP="00ED3C67" w14:paraId="284607BE" w14:textId="7A39DFA2">
      <w:pPr>
        <w:pStyle w:val="BodyTextIndent3"/>
        <w:suppressAutoHyphens/>
        <w:spacing w:line="480" w:lineRule="auto"/>
        <w:rPr>
          <w:szCs w:val="24"/>
        </w:rPr>
      </w:pPr>
      <w:r w:rsidRPr="00062AD2">
        <w:rPr>
          <w:szCs w:val="24"/>
        </w:rPr>
        <w:t xml:space="preserve">The Office of the Ohio Consumers’ Counsel (“OCC”) moves to intervene in this case </w:t>
      </w:r>
      <w:r w:rsidRPr="00062AD2">
        <w:rPr>
          <w:szCs w:val="24"/>
        </w:rPr>
        <w:t xml:space="preserve">to protect </w:t>
      </w:r>
      <w:r w:rsidRPr="00062AD2">
        <w:rPr>
          <w:szCs w:val="24"/>
        </w:rPr>
        <w:t xml:space="preserve">the rights of Ohioans whose electric service </w:t>
      </w:r>
      <w:r w:rsidRPr="00062AD2" w:rsidR="00B235F9">
        <w:rPr>
          <w:szCs w:val="24"/>
        </w:rPr>
        <w:t xml:space="preserve">may </w:t>
      </w:r>
      <w:r w:rsidRPr="00062AD2">
        <w:rPr>
          <w:szCs w:val="24"/>
        </w:rPr>
        <w:t>be disconnected for nonpayment.</w:t>
      </w:r>
      <w:r>
        <w:rPr>
          <w:rStyle w:val="FootnoteReference"/>
          <w:szCs w:val="24"/>
        </w:rPr>
        <w:footnoteReference w:id="2"/>
      </w:r>
      <w:r w:rsidRPr="00062AD2">
        <w:rPr>
          <w:szCs w:val="24"/>
        </w:rPr>
        <w:t xml:space="preserve"> Duke Energy Ohio, Inc. (“Duke”) seeks</w:t>
      </w:r>
      <w:r w:rsidRPr="00062AD2" w:rsidR="00B235F9">
        <w:rPr>
          <w:szCs w:val="24"/>
        </w:rPr>
        <w:t xml:space="preserve"> to continue</w:t>
      </w:r>
      <w:r w:rsidRPr="00062AD2">
        <w:rPr>
          <w:szCs w:val="24"/>
        </w:rPr>
        <w:t xml:space="preserve"> a waiver from the PUCO’s rule that requires electric </w:t>
      </w:r>
      <w:r w:rsidRPr="00062AD2" w:rsidR="00B235F9">
        <w:rPr>
          <w:szCs w:val="24"/>
        </w:rPr>
        <w:t>utilities</w:t>
      </w:r>
      <w:r w:rsidRPr="00062AD2">
        <w:rPr>
          <w:szCs w:val="24"/>
        </w:rPr>
        <w:t xml:space="preserve"> to provide</w:t>
      </w:r>
      <w:r w:rsidRPr="00062AD2" w:rsidR="00B235F9">
        <w:rPr>
          <w:szCs w:val="24"/>
        </w:rPr>
        <w:t xml:space="preserve"> residential consumers with</w:t>
      </w:r>
      <w:r w:rsidRPr="00062AD2">
        <w:rPr>
          <w:szCs w:val="24"/>
        </w:rPr>
        <w:t xml:space="preserve"> </w:t>
      </w:r>
      <w:r w:rsidRPr="00062AD2" w:rsidR="00B235F9">
        <w:rPr>
          <w:szCs w:val="24"/>
        </w:rPr>
        <w:t>in-</w:t>
      </w:r>
      <w:r w:rsidRPr="00062AD2">
        <w:rPr>
          <w:szCs w:val="24"/>
        </w:rPr>
        <w:t xml:space="preserve">person notice of </w:t>
      </w:r>
      <w:r w:rsidRPr="00062AD2" w:rsidR="00B235F9">
        <w:rPr>
          <w:szCs w:val="24"/>
        </w:rPr>
        <w:t xml:space="preserve">electric service </w:t>
      </w:r>
      <w:r w:rsidRPr="00062AD2">
        <w:rPr>
          <w:szCs w:val="24"/>
        </w:rPr>
        <w:t>disconnection</w:t>
      </w:r>
      <w:r w:rsidRPr="00062AD2" w:rsidR="00B235F9">
        <w:rPr>
          <w:szCs w:val="24"/>
        </w:rPr>
        <w:t>s</w:t>
      </w:r>
      <w:r w:rsidRPr="00062AD2">
        <w:rPr>
          <w:szCs w:val="24"/>
        </w:rPr>
        <w:t xml:space="preserve"> for nonpayment.</w:t>
      </w:r>
      <w:r>
        <w:rPr>
          <w:rStyle w:val="FootnoteReference"/>
          <w:szCs w:val="24"/>
        </w:rPr>
        <w:footnoteReference w:id="3"/>
      </w:r>
      <w:r w:rsidRPr="00062AD2">
        <w:rPr>
          <w:szCs w:val="24"/>
        </w:rPr>
        <w:t xml:space="preserve"> Waiver of this rule allows Duke to remotely disconnect </w:t>
      </w:r>
      <w:r w:rsidRPr="00062AD2" w:rsidR="00B235F9">
        <w:rPr>
          <w:szCs w:val="24"/>
        </w:rPr>
        <w:t xml:space="preserve">a </w:t>
      </w:r>
      <w:r w:rsidRPr="00062AD2">
        <w:rPr>
          <w:szCs w:val="24"/>
        </w:rPr>
        <w:t>consumer</w:t>
      </w:r>
      <w:r w:rsidRPr="00062AD2" w:rsidR="00B235F9">
        <w:rPr>
          <w:szCs w:val="24"/>
        </w:rPr>
        <w:t>’s electric utility service through a</w:t>
      </w:r>
      <w:r w:rsidRPr="00062AD2" w:rsidR="00FE2438">
        <w:rPr>
          <w:szCs w:val="24"/>
        </w:rPr>
        <w:t>n advanced</w:t>
      </w:r>
      <w:r w:rsidRPr="00062AD2" w:rsidR="00B235F9">
        <w:rPr>
          <w:szCs w:val="24"/>
        </w:rPr>
        <w:t xml:space="preserve"> meter</w:t>
      </w:r>
      <w:r w:rsidRPr="00062AD2">
        <w:rPr>
          <w:szCs w:val="24"/>
        </w:rPr>
        <w:t xml:space="preserve"> without notif</w:t>
      </w:r>
      <w:r w:rsidRPr="00062AD2" w:rsidR="001452C3">
        <w:rPr>
          <w:szCs w:val="24"/>
        </w:rPr>
        <w:t>ying the consumer</w:t>
      </w:r>
      <w:r w:rsidRPr="00062AD2" w:rsidR="00B235F9">
        <w:rPr>
          <w:szCs w:val="24"/>
        </w:rPr>
        <w:t xml:space="preserve"> in-person</w:t>
      </w:r>
      <w:r w:rsidRPr="00062AD2">
        <w:rPr>
          <w:szCs w:val="24"/>
        </w:rPr>
        <w:t>.</w:t>
      </w:r>
      <w:r>
        <w:rPr>
          <w:rStyle w:val="FootnoteReference"/>
          <w:szCs w:val="24"/>
        </w:rPr>
        <w:footnoteReference w:id="4"/>
      </w:r>
      <w:r w:rsidRPr="00062AD2">
        <w:rPr>
          <w:szCs w:val="24"/>
        </w:rPr>
        <w:t xml:space="preserve"> In these times of </w:t>
      </w:r>
      <w:r w:rsidRPr="00062AD2" w:rsidR="00B235F9">
        <w:rPr>
          <w:szCs w:val="24"/>
        </w:rPr>
        <w:t xml:space="preserve">high inflation </w:t>
      </w:r>
      <w:r w:rsidRPr="00062AD2">
        <w:rPr>
          <w:szCs w:val="24"/>
        </w:rPr>
        <w:t xml:space="preserve">and </w:t>
      </w:r>
      <w:r w:rsidRPr="00062AD2" w:rsidR="00B235F9">
        <w:rPr>
          <w:szCs w:val="24"/>
        </w:rPr>
        <w:t xml:space="preserve">increases in </w:t>
      </w:r>
      <w:r w:rsidRPr="00062AD2">
        <w:rPr>
          <w:szCs w:val="24"/>
        </w:rPr>
        <w:t>utility rates, the PUCO should err on the side of providing consumers with</w:t>
      </w:r>
      <w:r w:rsidRPr="00062AD2" w:rsidR="00B235F9">
        <w:rPr>
          <w:szCs w:val="24"/>
        </w:rPr>
        <w:t xml:space="preserve"> full</w:t>
      </w:r>
      <w:r w:rsidRPr="00062AD2">
        <w:rPr>
          <w:szCs w:val="24"/>
        </w:rPr>
        <w:t xml:space="preserve"> protection</w:t>
      </w:r>
      <w:r w:rsidRPr="00062AD2" w:rsidR="00B235F9">
        <w:rPr>
          <w:szCs w:val="24"/>
        </w:rPr>
        <w:t xml:space="preserve"> under the PUCO’s rules</w:t>
      </w:r>
      <w:r w:rsidRPr="00062AD2">
        <w:rPr>
          <w:szCs w:val="24"/>
        </w:rPr>
        <w:t>.</w:t>
      </w:r>
      <w:r w:rsidR="00062AD2">
        <w:rPr>
          <w:szCs w:val="24"/>
        </w:rPr>
        <w:t xml:space="preserve"> </w:t>
      </w:r>
    </w:p>
    <w:p w:rsidR="00ED3C67" w:rsidRPr="00062AD2" w:rsidP="00ED3C67" w14:paraId="5E9F83F1" w14:textId="691457A4">
      <w:pPr>
        <w:pStyle w:val="BodyTextIndent3"/>
        <w:suppressAutoHyphens/>
        <w:spacing w:line="480" w:lineRule="auto"/>
        <w:rPr>
          <w:szCs w:val="24"/>
        </w:rPr>
      </w:pPr>
      <w:r w:rsidRPr="00062AD2">
        <w:rPr>
          <w:szCs w:val="24"/>
        </w:rPr>
        <w:t xml:space="preserve">OCC is filing on behalf of the </w:t>
      </w:r>
      <w:r w:rsidRPr="00062AD2" w:rsidR="00A86723">
        <w:rPr>
          <w:szCs w:val="24"/>
        </w:rPr>
        <w:t>more than 80</w:t>
      </w:r>
      <w:r w:rsidRPr="00062AD2">
        <w:rPr>
          <w:szCs w:val="24"/>
        </w:rPr>
        <w:t xml:space="preserve">0,000 residential electric utility </w:t>
      </w:r>
      <w:r w:rsidRPr="00062AD2" w:rsidR="00A86723">
        <w:rPr>
          <w:szCs w:val="24"/>
        </w:rPr>
        <w:t>consumer</w:t>
      </w:r>
      <w:r w:rsidRPr="00062AD2">
        <w:rPr>
          <w:szCs w:val="24"/>
        </w:rPr>
        <w:t>s of</w:t>
      </w:r>
      <w:r w:rsidRPr="00062AD2" w:rsidR="007D574E">
        <w:rPr>
          <w:szCs w:val="24"/>
        </w:rPr>
        <w:t xml:space="preserve"> Duke</w:t>
      </w:r>
      <w:r w:rsidRPr="00062AD2">
        <w:rPr>
          <w:szCs w:val="24"/>
        </w:rPr>
        <w:t>.</w:t>
      </w:r>
      <w:r w:rsidRPr="00062AD2" w:rsidR="00025065">
        <w:rPr>
          <w:szCs w:val="24"/>
        </w:rPr>
        <w:t xml:space="preserve"> </w:t>
      </w:r>
      <w:r w:rsidRPr="00062AD2">
        <w:rPr>
          <w:szCs w:val="24"/>
        </w:rPr>
        <w:t>The reasons the Public Utilities Commission of Ohio (“PUCO”) should grant OCC’s Motion are further set forth in the attached Memorandum in Support.</w:t>
      </w:r>
    </w:p>
    <w:p w:rsidR="00CE38D2" w14:paraId="324B2567" w14:textId="77777777">
      <w:pPr>
        <w:rPr>
          <w:szCs w:val="24"/>
          <w:lang w:bidi="en-US"/>
        </w:rPr>
      </w:pPr>
      <w:bookmarkStart w:id="0" w:name="_Hlk152321766"/>
      <w:r>
        <w:rPr>
          <w:szCs w:val="24"/>
          <w:lang w:bidi="en-US"/>
        </w:rPr>
        <w:br w:type="page"/>
      </w:r>
    </w:p>
    <w:p w:rsidR="00461607" w:rsidRPr="00062AD2" w:rsidP="00E26690" w14:paraId="2B9E5820" w14:textId="0EC8394E">
      <w:pPr>
        <w:tabs>
          <w:tab w:val="right" w:pos="8640"/>
        </w:tabs>
        <w:ind w:left="4320"/>
        <w:rPr>
          <w:szCs w:val="24"/>
          <w:lang w:bidi="en-US"/>
        </w:rPr>
      </w:pPr>
      <w:r w:rsidRPr="00062AD2">
        <w:rPr>
          <w:szCs w:val="24"/>
          <w:lang w:bidi="en-US"/>
        </w:rPr>
        <w:t>Respectfully submitted,</w:t>
      </w:r>
    </w:p>
    <w:p w:rsidR="00461607" w:rsidRPr="00062AD2" w:rsidP="00E26690" w14:paraId="42354DB2" w14:textId="77777777">
      <w:pPr>
        <w:tabs>
          <w:tab w:val="right" w:pos="8640"/>
        </w:tabs>
        <w:ind w:left="4320"/>
        <w:rPr>
          <w:szCs w:val="24"/>
          <w:lang w:bidi="en-US"/>
        </w:rPr>
      </w:pPr>
    </w:p>
    <w:p w:rsidR="00172C96" w:rsidRPr="00062AD2" w:rsidP="00E26690" w14:paraId="28959476" w14:textId="3677C3C6">
      <w:pPr>
        <w:tabs>
          <w:tab w:val="right" w:pos="8640"/>
        </w:tabs>
        <w:ind w:left="4320"/>
        <w:rPr>
          <w:szCs w:val="24"/>
          <w:lang w:bidi="en-US"/>
        </w:rPr>
      </w:pPr>
      <w:r w:rsidRPr="00062AD2">
        <w:rPr>
          <w:szCs w:val="24"/>
          <w:lang w:bidi="en-US"/>
        </w:rPr>
        <w:t>Maureen R. Willis (0020847)</w:t>
      </w:r>
    </w:p>
    <w:p w:rsidR="00172C96" w:rsidRPr="00062AD2" w:rsidP="00E26690" w14:paraId="0D6D3987" w14:textId="77777777">
      <w:pPr>
        <w:ind w:left="4320"/>
        <w:contextualSpacing/>
        <w:rPr>
          <w:rFonts w:eastAsia="Calibri"/>
          <w:szCs w:val="24"/>
          <w:lang w:bidi="en-US"/>
        </w:rPr>
      </w:pPr>
      <w:r w:rsidRPr="00062AD2">
        <w:rPr>
          <w:rFonts w:eastAsia="Calibri"/>
          <w:szCs w:val="24"/>
          <w:lang w:bidi="en-US"/>
        </w:rPr>
        <w:t>Ohio Consumers’ Counsel</w:t>
      </w:r>
    </w:p>
    <w:p w:rsidR="00172C96" w:rsidRPr="00062AD2" w:rsidP="00E26690" w14:paraId="3244AE89" w14:textId="77777777">
      <w:pPr>
        <w:ind w:left="4320"/>
        <w:contextualSpacing/>
        <w:rPr>
          <w:rFonts w:eastAsia="Calibri"/>
          <w:szCs w:val="24"/>
          <w:lang w:bidi="en-US"/>
        </w:rPr>
      </w:pPr>
      <w:r w:rsidRPr="00062AD2">
        <w:rPr>
          <w:rFonts w:eastAsia="Calibri"/>
          <w:szCs w:val="24"/>
          <w:lang w:bidi="en-US"/>
        </w:rPr>
        <w:tab/>
      </w:r>
    </w:p>
    <w:p w:rsidR="00037E2F" w:rsidRPr="00062AD2" w:rsidP="00E26690" w14:paraId="2560EC80" w14:textId="19ADAFD4">
      <w:pPr>
        <w:ind w:left="4320"/>
        <w:contextualSpacing/>
        <w:rPr>
          <w:rFonts w:eastAsia="Calibri"/>
          <w:szCs w:val="24"/>
          <w:lang w:bidi="en-US"/>
        </w:rPr>
      </w:pPr>
      <w:r w:rsidRPr="00062AD2">
        <w:rPr>
          <w:i/>
          <w:iCs/>
          <w:color w:val="000000"/>
          <w:szCs w:val="24"/>
          <w:u w:val="single"/>
          <w:lang w:bidi="en-US"/>
        </w:rPr>
        <w:t>/s/ Donald J. Kral</w:t>
      </w:r>
    </w:p>
    <w:p w:rsidR="00172C96" w:rsidRPr="00062AD2" w:rsidP="00E26690" w14:paraId="0FE883FB" w14:textId="77777777">
      <w:pPr>
        <w:tabs>
          <w:tab w:val="left" w:pos="4320"/>
        </w:tabs>
        <w:ind w:left="4320"/>
        <w:rPr>
          <w:color w:val="000000"/>
          <w:szCs w:val="24"/>
          <w:lang w:bidi="en-US"/>
        </w:rPr>
      </w:pPr>
      <w:r w:rsidRPr="00062AD2">
        <w:rPr>
          <w:color w:val="000000"/>
          <w:szCs w:val="24"/>
          <w:lang w:bidi="en-US"/>
        </w:rPr>
        <w:t>Donald J. Kral (0042091)</w:t>
      </w:r>
    </w:p>
    <w:p w:rsidR="00172C96" w:rsidRPr="00062AD2" w:rsidP="00E26690" w14:paraId="661BEF3A" w14:textId="77777777">
      <w:pPr>
        <w:ind w:left="4320"/>
        <w:rPr>
          <w:color w:val="000000"/>
          <w:szCs w:val="24"/>
          <w:lang w:bidi="en-US"/>
        </w:rPr>
      </w:pPr>
      <w:r w:rsidRPr="00062AD2">
        <w:rPr>
          <w:color w:val="000000"/>
          <w:szCs w:val="24"/>
          <w:lang w:bidi="en-US"/>
        </w:rPr>
        <w:t xml:space="preserve">Counsel of Record </w:t>
      </w:r>
    </w:p>
    <w:p w:rsidR="00172C96" w:rsidRPr="00062AD2" w:rsidP="00E26690" w14:paraId="58B56301" w14:textId="77777777">
      <w:pPr>
        <w:ind w:left="4320"/>
        <w:rPr>
          <w:szCs w:val="24"/>
          <w:lang w:bidi="en-US"/>
        </w:rPr>
      </w:pPr>
      <w:r w:rsidRPr="00062AD2">
        <w:rPr>
          <w:szCs w:val="24"/>
          <w:lang w:bidi="en-US"/>
        </w:rPr>
        <w:t xml:space="preserve">Thomas J. Brodbeck </w:t>
      </w:r>
      <w:r w:rsidRPr="00062AD2">
        <w:rPr>
          <w:szCs w:val="24"/>
          <w:lang w:bidi="en-US"/>
        </w:rPr>
        <w:t>(00</w:t>
      </w:r>
      <w:r w:rsidRPr="00062AD2">
        <w:rPr>
          <w:szCs w:val="24"/>
          <w:lang w:bidi="en-US"/>
        </w:rPr>
        <w:t>93920</w:t>
      </w:r>
      <w:r w:rsidRPr="00062AD2">
        <w:rPr>
          <w:szCs w:val="24"/>
          <w:lang w:bidi="en-US"/>
        </w:rPr>
        <w:t>)</w:t>
      </w:r>
    </w:p>
    <w:p w:rsidR="00172C96" w:rsidRPr="00062AD2" w:rsidP="00E26690" w14:paraId="41A3FC86" w14:textId="77777777">
      <w:pPr>
        <w:ind w:left="4320"/>
        <w:rPr>
          <w:color w:val="000000"/>
          <w:szCs w:val="24"/>
          <w:lang w:bidi="en-US"/>
        </w:rPr>
      </w:pPr>
      <w:r w:rsidRPr="00062AD2">
        <w:rPr>
          <w:color w:val="000000"/>
          <w:szCs w:val="24"/>
          <w:lang w:bidi="en-US"/>
        </w:rPr>
        <w:t>Assistant Consumers’ Counsel</w:t>
      </w:r>
    </w:p>
    <w:p w:rsidR="00172C96" w:rsidRPr="00062AD2" w:rsidP="00E26690" w14:paraId="4B1B6E61" w14:textId="77777777">
      <w:pPr>
        <w:ind w:left="4320"/>
        <w:rPr>
          <w:b/>
          <w:color w:val="000000"/>
          <w:szCs w:val="24"/>
          <w:lang w:bidi="en-US"/>
        </w:rPr>
      </w:pPr>
    </w:p>
    <w:p w:rsidR="00172C96" w:rsidRPr="00062AD2" w:rsidP="00E26690" w14:paraId="766666F0" w14:textId="77777777">
      <w:pPr>
        <w:ind w:left="4320"/>
        <w:rPr>
          <w:b/>
          <w:color w:val="000000"/>
          <w:szCs w:val="24"/>
          <w:lang w:bidi="en-US"/>
        </w:rPr>
      </w:pPr>
      <w:r w:rsidRPr="00062AD2">
        <w:rPr>
          <w:b/>
          <w:color w:val="000000"/>
          <w:szCs w:val="24"/>
          <w:lang w:bidi="en-US"/>
        </w:rPr>
        <w:t>Office of the Ohio Consumers’ Counsel</w:t>
      </w:r>
    </w:p>
    <w:p w:rsidR="00172C96" w:rsidRPr="00062AD2" w:rsidP="00E26690" w14:paraId="5187EE03" w14:textId="77777777">
      <w:pPr>
        <w:ind w:left="4320"/>
        <w:rPr>
          <w:color w:val="000000"/>
          <w:szCs w:val="24"/>
          <w:lang w:bidi="en-US"/>
        </w:rPr>
      </w:pPr>
      <w:r w:rsidRPr="00062AD2">
        <w:rPr>
          <w:color w:val="000000"/>
          <w:szCs w:val="24"/>
          <w:lang w:bidi="en-US"/>
        </w:rPr>
        <w:t>65 East State Street, Suite 700</w:t>
      </w:r>
    </w:p>
    <w:p w:rsidR="00172C96" w:rsidRPr="00062AD2" w:rsidP="00E26690" w14:paraId="66C2C76C" w14:textId="77777777">
      <w:pPr>
        <w:ind w:left="4320"/>
        <w:rPr>
          <w:color w:val="000000"/>
          <w:szCs w:val="24"/>
          <w:lang w:bidi="en-US"/>
        </w:rPr>
      </w:pPr>
      <w:r w:rsidRPr="00062AD2">
        <w:rPr>
          <w:color w:val="000000"/>
          <w:szCs w:val="24"/>
          <w:lang w:bidi="en-US"/>
        </w:rPr>
        <w:t>Columbus, Ohio 43215</w:t>
      </w:r>
      <w:r w:rsidRPr="00062AD2">
        <w:rPr>
          <w:color w:val="000000"/>
          <w:szCs w:val="24"/>
          <w:lang w:bidi="en-US"/>
        </w:rPr>
        <w:tab/>
      </w:r>
    </w:p>
    <w:p w:rsidR="00172C96" w:rsidRPr="00062AD2" w:rsidP="00E26690" w14:paraId="59696E5F" w14:textId="77777777">
      <w:pPr>
        <w:ind w:left="4320"/>
        <w:rPr>
          <w:color w:val="000000"/>
          <w:szCs w:val="24"/>
          <w:lang w:bidi="en-US"/>
        </w:rPr>
      </w:pPr>
      <w:r w:rsidRPr="00062AD2">
        <w:rPr>
          <w:color w:val="000000"/>
          <w:szCs w:val="24"/>
          <w:lang w:bidi="en-US"/>
        </w:rPr>
        <w:t>Telephone [</w:t>
      </w:r>
      <w:r w:rsidRPr="00062AD2" w:rsidR="00E26690">
        <w:rPr>
          <w:color w:val="000000"/>
          <w:szCs w:val="24"/>
          <w:lang w:bidi="en-US"/>
        </w:rPr>
        <w:t>Kral</w:t>
      </w:r>
      <w:r w:rsidRPr="00062AD2">
        <w:rPr>
          <w:color w:val="000000"/>
          <w:szCs w:val="24"/>
          <w:lang w:bidi="en-US"/>
        </w:rPr>
        <w:t>]: (614) 466-</w:t>
      </w:r>
      <w:r w:rsidRPr="00062AD2" w:rsidR="00E26690">
        <w:rPr>
          <w:color w:val="000000"/>
          <w:szCs w:val="24"/>
          <w:lang w:bidi="en-US"/>
        </w:rPr>
        <w:t>9571</w:t>
      </w:r>
    </w:p>
    <w:p w:rsidR="00172C96" w:rsidRPr="00062AD2" w:rsidP="00E26690" w14:paraId="3CBC212E" w14:textId="77777777">
      <w:pPr>
        <w:ind w:left="4320"/>
        <w:rPr>
          <w:szCs w:val="24"/>
          <w:lang w:bidi="en-US"/>
        </w:rPr>
      </w:pPr>
      <w:r w:rsidRPr="00062AD2">
        <w:rPr>
          <w:szCs w:val="24"/>
          <w:lang w:bidi="en-US"/>
        </w:rPr>
        <w:t>Telephone: [</w:t>
      </w:r>
      <w:r w:rsidRPr="00062AD2" w:rsidR="00E26690">
        <w:rPr>
          <w:szCs w:val="24"/>
          <w:lang w:bidi="en-US"/>
        </w:rPr>
        <w:t>Brodbeck</w:t>
      </w:r>
      <w:r w:rsidRPr="00062AD2">
        <w:rPr>
          <w:szCs w:val="24"/>
          <w:lang w:bidi="en-US"/>
        </w:rPr>
        <w:t>]: (614) 466-95</w:t>
      </w:r>
      <w:r w:rsidRPr="00062AD2" w:rsidR="00E26690">
        <w:rPr>
          <w:szCs w:val="24"/>
          <w:lang w:bidi="en-US"/>
        </w:rPr>
        <w:t>6</w:t>
      </w:r>
      <w:r w:rsidRPr="00062AD2">
        <w:rPr>
          <w:szCs w:val="24"/>
          <w:lang w:bidi="en-US"/>
        </w:rPr>
        <w:t>5</w:t>
      </w:r>
    </w:p>
    <w:p w:rsidR="00E26690" w:rsidRPr="00062AD2" w:rsidP="00E26690" w14:paraId="1851C66B" w14:textId="77777777">
      <w:pPr>
        <w:ind w:left="4320"/>
        <w:rPr>
          <w:szCs w:val="24"/>
        </w:rPr>
      </w:pPr>
      <w:hyperlink r:id="rId6" w:history="1">
        <w:r w:rsidRPr="00062AD2">
          <w:rPr>
            <w:rStyle w:val="Hyperlink"/>
            <w:szCs w:val="24"/>
          </w:rPr>
          <w:t>donald.kral@occ.ohio.gov</w:t>
        </w:r>
      </w:hyperlink>
    </w:p>
    <w:p w:rsidR="00E26690" w:rsidRPr="00062AD2" w:rsidP="00E26690" w14:paraId="1435AF25" w14:textId="77777777">
      <w:pPr>
        <w:ind w:left="4320"/>
        <w:rPr>
          <w:rFonts w:eastAsia="Courier New"/>
          <w:color w:val="FF0000"/>
          <w:szCs w:val="24"/>
          <w:lang w:bidi="en-US"/>
        </w:rPr>
      </w:pPr>
      <w:hyperlink r:id="rId7" w:history="1">
        <w:r w:rsidRPr="00062AD2">
          <w:rPr>
            <w:rStyle w:val="Hyperlink"/>
            <w:rFonts w:eastAsia="Courier New"/>
            <w:szCs w:val="24"/>
            <w:lang w:bidi="en-US"/>
          </w:rPr>
          <w:t>thomas.brodbeck@occ.ohio.gov</w:t>
        </w:r>
      </w:hyperlink>
    </w:p>
    <w:p w:rsidR="005F41C8" w:rsidRPr="00062AD2" w:rsidP="00BC04EA" w14:paraId="457798CB" w14:textId="77777777">
      <w:pPr>
        <w:ind w:firstLine="4320"/>
        <w:rPr>
          <w:szCs w:val="24"/>
          <w:lang w:bidi="en-US"/>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65"/>
        </w:sectPr>
      </w:pPr>
      <w:r w:rsidRPr="00062AD2">
        <w:rPr>
          <w:szCs w:val="24"/>
          <w:lang w:bidi="en-US"/>
        </w:rPr>
        <w:t>(willing to accept service by e-mail</w:t>
      </w:r>
      <w:bookmarkEnd w:id="0"/>
      <w:r w:rsidRPr="00062AD2">
        <w:rPr>
          <w:szCs w:val="24"/>
          <w:lang w:bidi="en-US"/>
        </w:rPr>
        <w:t>)</w:t>
      </w:r>
    </w:p>
    <w:p w:rsidR="00EC5ACF" w:rsidRPr="00062AD2" w:rsidP="00EC5ACF" w14:paraId="4866192D" w14:textId="182D7EA3">
      <w:pPr>
        <w:pStyle w:val="HTMLPreformatted"/>
        <w:jc w:val="center"/>
        <w:rPr>
          <w:rFonts w:ascii="Times New Roman" w:hAnsi="Times New Roman" w:cs="Times New Roman"/>
          <w:b/>
          <w:bCs/>
          <w:sz w:val="24"/>
          <w:szCs w:val="24"/>
        </w:rPr>
      </w:pPr>
      <w:r w:rsidRPr="00062AD2">
        <w:rPr>
          <w:rFonts w:ascii="Times New Roman" w:hAnsi="Times New Roman" w:cs="Times New Roman"/>
          <w:b/>
          <w:bCs/>
          <w:sz w:val="24"/>
          <w:szCs w:val="24"/>
        </w:rPr>
        <w:t>BEFORE</w:t>
      </w:r>
    </w:p>
    <w:p w:rsidR="00EC5ACF" w:rsidRPr="00062AD2" w:rsidP="00EC5ACF" w14:paraId="0FE0A40C" w14:textId="77777777">
      <w:pPr>
        <w:pStyle w:val="HTMLPreformatted"/>
        <w:jc w:val="center"/>
        <w:rPr>
          <w:rFonts w:ascii="Times New Roman" w:hAnsi="Times New Roman" w:cs="Times New Roman"/>
          <w:b/>
          <w:bCs/>
          <w:sz w:val="24"/>
          <w:szCs w:val="24"/>
        </w:rPr>
      </w:pPr>
      <w:r w:rsidRPr="00062AD2">
        <w:rPr>
          <w:rFonts w:ascii="Times New Roman" w:hAnsi="Times New Roman" w:cs="Times New Roman"/>
          <w:b/>
          <w:bCs/>
          <w:sz w:val="24"/>
          <w:szCs w:val="24"/>
        </w:rPr>
        <w:t>THE PUBLIC UTILITIES COMMISSION OF OHIO</w:t>
      </w:r>
    </w:p>
    <w:p w:rsidR="00EC5ACF" w:rsidRPr="00062AD2" w:rsidP="00EC5ACF" w14:paraId="38022BE3" w14:textId="77777777">
      <w:pPr>
        <w:pStyle w:val="HTMLPreformatted"/>
        <w:jc w:val="center"/>
        <w:rPr>
          <w:rFonts w:ascii="Times New Roman" w:hAnsi="Times New Roman" w:cs="Times New Roman"/>
          <w:b/>
          <w:bCs/>
          <w:sz w:val="24"/>
          <w:szCs w:val="24"/>
        </w:rPr>
      </w:pPr>
    </w:p>
    <w:tbl>
      <w:tblPr>
        <w:tblW w:w="9292" w:type="dxa"/>
        <w:tblInd w:w="0" w:type="dxa"/>
        <w:tblCellMar>
          <w:top w:w="0" w:type="dxa"/>
          <w:left w:w="108" w:type="dxa"/>
          <w:bottom w:w="0" w:type="dxa"/>
          <w:right w:w="108" w:type="dxa"/>
        </w:tblCellMar>
        <w:tblLook w:val="01E0"/>
      </w:tblPr>
      <w:tblGrid>
        <w:gridCol w:w="4273"/>
        <w:gridCol w:w="636"/>
        <w:gridCol w:w="4383"/>
      </w:tblGrid>
      <w:tr w14:paraId="57875F17" w14:textId="77777777" w:rsidTr="00B179FB">
        <w:tblPrEx>
          <w:tblW w:w="9292" w:type="dxa"/>
          <w:tblInd w:w="0" w:type="dxa"/>
          <w:tblCellMar>
            <w:top w:w="0" w:type="dxa"/>
            <w:left w:w="108" w:type="dxa"/>
            <w:bottom w:w="0" w:type="dxa"/>
            <w:right w:w="108" w:type="dxa"/>
          </w:tblCellMar>
          <w:tblLook w:val="01E0"/>
        </w:tblPrEx>
        <w:trPr>
          <w:trHeight w:val="610"/>
        </w:trPr>
        <w:tc>
          <w:tcPr>
            <w:tcW w:w="4273" w:type="dxa"/>
            <w:shd w:val="clear" w:color="auto" w:fill="auto"/>
          </w:tcPr>
          <w:p w:rsidR="00EC5ACF" w:rsidRPr="00062AD2" w:rsidP="00B179FB" w14:paraId="465A80E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In the Matter of the Application of Duke Energy Ohio, Inc. for a Waiver.</w:t>
            </w:r>
          </w:p>
        </w:tc>
        <w:tc>
          <w:tcPr>
            <w:tcW w:w="636" w:type="dxa"/>
            <w:shd w:val="clear" w:color="auto" w:fill="auto"/>
          </w:tcPr>
          <w:p w:rsidR="00EC5ACF" w:rsidRPr="00062AD2" w:rsidP="00B179FB" w14:paraId="190FE4C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w:t>
            </w:r>
          </w:p>
          <w:p w:rsidR="00EC5ACF" w:rsidRPr="00062AD2" w:rsidP="00B179FB" w14:paraId="11C95FD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w:t>
            </w:r>
          </w:p>
        </w:tc>
        <w:tc>
          <w:tcPr>
            <w:tcW w:w="4383" w:type="dxa"/>
            <w:shd w:val="clear" w:color="auto" w:fill="auto"/>
          </w:tcPr>
          <w:p w:rsidR="00EC5ACF" w:rsidRPr="00062AD2" w:rsidP="00B179FB" w14:paraId="756FA7D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062AD2">
              <w:rPr>
                <w:rFonts w:ascii="Times New Roman" w:eastAsia="Courier New" w:hAnsi="Times New Roman" w:cs="Times New Roman"/>
                <w:sz w:val="24"/>
                <w:szCs w:val="24"/>
                <w:lang w:val="en-US" w:eastAsia="en-US" w:bidi="ar-SA"/>
              </w:rPr>
              <w:t>Case No. 23-823-EL-WVR</w:t>
            </w:r>
          </w:p>
        </w:tc>
      </w:tr>
    </w:tbl>
    <w:p w:rsidR="00EC5ACF" w:rsidRPr="00062AD2" w:rsidP="00EC5ACF" w14:paraId="7F57C9CC" w14:textId="77777777">
      <w:pPr>
        <w:pStyle w:val="HTMLPreformatted"/>
        <w:rPr>
          <w:rFonts w:ascii="Times New Roman" w:hAnsi="Times New Roman" w:cs="Times New Roman"/>
          <w:sz w:val="24"/>
          <w:szCs w:val="24"/>
        </w:rPr>
      </w:pPr>
    </w:p>
    <w:p w:rsidR="00EC5ACF" w:rsidRPr="00062AD2" w:rsidP="00EC5ACF" w14:paraId="395A5F83" w14:textId="77777777">
      <w:pPr>
        <w:pStyle w:val="HTMLPreformatted"/>
        <w:pBdr>
          <w:top w:val="single" w:sz="12" w:space="1" w:color="auto"/>
        </w:pBdr>
        <w:rPr>
          <w:rFonts w:ascii="Times New Roman" w:hAnsi="Times New Roman" w:cs="Times New Roman"/>
          <w:sz w:val="24"/>
          <w:szCs w:val="24"/>
        </w:rPr>
      </w:pPr>
    </w:p>
    <w:p w:rsidR="00EC5ACF" w:rsidRPr="00062AD2" w:rsidP="00EC5ACF" w14:paraId="0B8B7A5F" w14:textId="459EBA4D">
      <w:pPr>
        <w:pBdr>
          <w:bottom w:val="single" w:sz="12" w:space="1" w:color="auto"/>
        </w:pBdr>
        <w:tabs>
          <w:tab w:val="left" w:pos="4320"/>
        </w:tabs>
        <w:jc w:val="center"/>
        <w:rPr>
          <w:b/>
          <w:bCs/>
          <w:szCs w:val="24"/>
        </w:rPr>
      </w:pPr>
      <w:r w:rsidRPr="00062AD2">
        <w:rPr>
          <w:b/>
          <w:bCs/>
          <w:szCs w:val="24"/>
        </w:rPr>
        <w:t>MEMORANDUM IN SUPPORT</w:t>
      </w:r>
    </w:p>
    <w:p w:rsidR="00EC5ACF" w:rsidRPr="00062AD2" w:rsidP="00EC5ACF" w14:paraId="2EA69584" w14:textId="77777777">
      <w:pPr>
        <w:pBdr>
          <w:bottom w:val="single" w:sz="12" w:space="1" w:color="auto"/>
        </w:pBdr>
        <w:tabs>
          <w:tab w:val="left" w:pos="4320"/>
        </w:tabs>
        <w:rPr>
          <w:szCs w:val="24"/>
        </w:rPr>
      </w:pPr>
    </w:p>
    <w:p w:rsidR="00ED3C67" w:rsidRPr="00062AD2" w:rsidP="00EC5ACF" w14:paraId="5E099F4D" w14:textId="65E58C25">
      <w:pPr>
        <w:pStyle w:val="HTMLPreformatted"/>
        <w:jc w:val="center"/>
        <w:rPr>
          <w:rFonts w:ascii="Times New Roman" w:hAnsi="Times New Roman" w:cs="Times New Roman"/>
          <w:b/>
          <w:sz w:val="24"/>
          <w:szCs w:val="24"/>
        </w:rPr>
      </w:pPr>
    </w:p>
    <w:p w:rsidR="001452C3" w:rsidRPr="00062AD2" w:rsidP="00ED3C67" w14:paraId="3B7BB9CE" w14:textId="4166B292">
      <w:pPr>
        <w:pStyle w:val="BodyTextIndent3"/>
        <w:suppressAutoHyphens/>
        <w:spacing w:line="480" w:lineRule="auto"/>
        <w:rPr>
          <w:szCs w:val="24"/>
        </w:rPr>
      </w:pPr>
      <w:r w:rsidRPr="00062AD2">
        <w:rPr>
          <w:szCs w:val="24"/>
        </w:rPr>
        <w:t xml:space="preserve">The PUCO’s rules require electric companies to provide </w:t>
      </w:r>
      <w:r w:rsidRPr="00062AD2" w:rsidR="008629E6">
        <w:rPr>
          <w:szCs w:val="24"/>
        </w:rPr>
        <w:t>in-</w:t>
      </w:r>
      <w:r w:rsidRPr="00062AD2">
        <w:rPr>
          <w:szCs w:val="24"/>
        </w:rPr>
        <w:t xml:space="preserve">person notice </w:t>
      </w:r>
      <w:r w:rsidRPr="00062AD2" w:rsidR="008629E6">
        <w:rPr>
          <w:szCs w:val="24"/>
        </w:rPr>
        <w:t>to residential consumers when their electric service is</w:t>
      </w:r>
      <w:r w:rsidRPr="00062AD2">
        <w:rPr>
          <w:szCs w:val="24"/>
        </w:rPr>
        <w:t xml:space="preserve"> disconnect</w:t>
      </w:r>
      <w:r w:rsidRPr="00062AD2" w:rsidR="008629E6">
        <w:rPr>
          <w:szCs w:val="24"/>
        </w:rPr>
        <w:t>ed</w:t>
      </w:r>
      <w:r w:rsidRPr="00062AD2">
        <w:rPr>
          <w:szCs w:val="24"/>
        </w:rPr>
        <w:t xml:space="preserve"> for nonpayment.</w:t>
      </w:r>
      <w:r>
        <w:rPr>
          <w:rStyle w:val="FootnoteReference"/>
          <w:szCs w:val="24"/>
        </w:rPr>
        <w:footnoteReference w:id="5"/>
      </w:r>
      <w:r w:rsidRPr="00062AD2" w:rsidR="00025065">
        <w:rPr>
          <w:szCs w:val="24"/>
        </w:rPr>
        <w:t xml:space="preserve"> </w:t>
      </w:r>
      <w:r w:rsidRPr="00062AD2">
        <w:rPr>
          <w:szCs w:val="24"/>
        </w:rPr>
        <w:t>T</w:t>
      </w:r>
      <w:r w:rsidRPr="00062AD2">
        <w:rPr>
          <w:szCs w:val="24"/>
        </w:rPr>
        <w:t>he PUCO</w:t>
      </w:r>
      <w:r w:rsidRPr="00062AD2">
        <w:rPr>
          <w:szCs w:val="24"/>
        </w:rPr>
        <w:t xml:space="preserve"> </w:t>
      </w:r>
      <w:r w:rsidRPr="00062AD2" w:rsidR="008629E6">
        <w:rPr>
          <w:szCs w:val="24"/>
        </w:rPr>
        <w:t xml:space="preserve">has </w:t>
      </w:r>
      <w:r w:rsidRPr="00062AD2">
        <w:rPr>
          <w:szCs w:val="24"/>
        </w:rPr>
        <w:t>previously</w:t>
      </w:r>
      <w:r w:rsidRPr="00062AD2">
        <w:rPr>
          <w:szCs w:val="24"/>
        </w:rPr>
        <w:t xml:space="preserve"> allowed Duke to avoid </w:t>
      </w:r>
      <w:r w:rsidRPr="00062AD2" w:rsidR="00B00F6D">
        <w:rPr>
          <w:szCs w:val="24"/>
        </w:rPr>
        <w:t>the rule requiring</w:t>
      </w:r>
      <w:r w:rsidRPr="00062AD2">
        <w:rPr>
          <w:szCs w:val="24"/>
        </w:rPr>
        <w:t xml:space="preserve"> </w:t>
      </w:r>
      <w:r w:rsidRPr="00062AD2" w:rsidR="008629E6">
        <w:rPr>
          <w:szCs w:val="24"/>
        </w:rPr>
        <w:t>in-person</w:t>
      </w:r>
      <w:r w:rsidRPr="00062AD2">
        <w:rPr>
          <w:szCs w:val="24"/>
        </w:rPr>
        <w:t xml:space="preserve"> notice of disconnection</w:t>
      </w:r>
      <w:r w:rsidRPr="00062AD2" w:rsidR="008629E6">
        <w:rPr>
          <w:szCs w:val="24"/>
        </w:rPr>
        <w:t xml:space="preserve">s for </w:t>
      </w:r>
      <w:r w:rsidRPr="00062AD2">
        <w:rPr>
          <w:szCs w:val="24"/>
        </w:rPr>
        <w:t xml:space="preserve">residential </w:t>
      </w:r>
      <w:r w:rsidRPr="00062AD2" w:rsidR="00A86723">
        <w:rPr>
          <w:szCs w:val="24"/>
        </w:rPr>
        <w:t>consumer</w:t>
      </w:r>
      <w:r w:rsidRPr="00062AD2">
        <w:rPr>
          <w:szCs w:val="24"/>
        </w:rPr>
        <w:t>s whose homes are equipped with advanced</w:t>
      </w:r>
      <w:r w:rsidRPr="00062AD2" w:rsidR="008629E6">
        <w:rPr>
          <w:szCs w:val="24"/>
        </w:rPr>
        <w:t xml:space="preserve"> </w:t>
      </w:r>
      <w:r w:rsidRPr="00062AD2">
        <w:rPr>
          <w:szCs w:val="24"/>
        </w:rPr>
        <w:t>meters.</w:t>
      </w:r>
      <w:r>
        <w:rPr>
          <w:rStyle w:val="FootnoteReference"/>
          <w:szCs w:val="24"/>
        </w:rPr>
        <w:footnoteReference w:id="6"/>
      </w:r>
      <w:r w:rsidRPr="00062AD2">
        <w:rPr>
          <w:szCs w:val="24"/>
        </w:rPr>
        <w:t xml:space="preserve"> Th</w:t>
      </w:r>
      <w:r w:rsidRPr="00062AD2" w:rsidR="008629E6">
        <w:rPr>
          <w:szCs w:val="24"/>
        </w:rPr>
        <w:t xml:space="preserve">e use of </w:t>
      </w:r>
      <w:r w:rsidRPr="00062AD2" w:rsidR="00FE2438">
        <w:rPr>
          <w:szCs w:val="24"/>
        </w:rPr>
        <w:t>advanced</w:t>
      </w:r>
      <w:r w:rsidRPr="00062AD2" w:rsidR="008629E6">
        <w:rPr>
          <w:szCs w:val="24"/>
        </w:rPr>
        <w:t xml:space="preserve"> meters</w:t>
      </w:r>
      <w:r w:rsidRPr="00062AD2">
        <w:rPr>
          <w:szCs w:val="24"/>
        </w:rPr>
        <w:t xml:space="preserve"> allows Duke to disconnect a consumer’s essential utility service remotely without making a visit to the consumer’s premises.</w:t>
      </w:r>
      <w:r w:rsidR="00062AD2">
        <w:rPr>
          <w:szCs w:val="24"/>
        </w:rPr>
        <w:t xml:space="preserve"> </w:t>
      </w:r>
    </w:p>
    <w:p w:rsidR="008E36B0" w:rsidRPr="00062AD2" w:rsidP="00611628" w14:paraId="14C687C2" w14:textId="6DB5E638">
      <w:pPr>
        <w:pStyle w:val="BodyTextIndent3"/>
        <w:suppressAutoHyphens/>
        <w:spacing w:line="480" w:lineRule="auto"/>
        <w:rPr>
          <w:szCs w:val="24"/>
        </w:rPr>
      </w:pPr>
      <w:r w:rsidRPr="00062AD2">
        <w:rPr>
          <w:szCs w:val="24"/>
        </w:rPr>
        <w:t xml:space="preserve">Instead of </w:t>
      </w:r>
      <w:r w:rsidRPr="00062AD2" w:rsidR="008629E6">
        <w:rPr>
          <w:szCs w:val="24"/>
        </w:rPr>
        <w:t>in-person</w:t>
      </w:r>
      <w:r w:rsidRPr="00062AD2">
        <w:rPr>
          <w:szCs w:val="24"/>
        </w:rPr>
        <w:t xml:space="preserve"> notice, </w:t>
      </w:r>
      <w:r w:rsidRPr="00062AD2" w:rsidR="008629E6">
        <w:rPr>
          <w:szCs w:val="24"/>
        </w:rPr>
        <w:t xml:space="preserve">Duke’s </w:t>
      </w:r>
      <w:r w:rsidRPr="00062AD2">
        <w:rPr>
          <w:szCs w:val="24"/>
        </w:rPr>
        <w:t xml:space="preserve">residential electric </w:t>
      </w:r>
      <w:r w:rsidRPr="00062AD2" w:rsidR="00A86723">
        <w:rPr>
          <w:szCs w:val="24"/>
        </w:rPr>
        <w:t>consumer</w:t>
      </w:r>
      <w:r w:rsidRPr="00062AD2">
        <w:rPr>
          <w:szCs w:val="24"/>
        </w:rPr>
        <w:t>s</w:t>
      </w:r>
      <w:r w:rsidRPr="00062AD2" w:rsidR="008629E6">
        <w:rPr>
          <w:szCs w:val="24"/>
        </w:rPr>
        <w:t xml:space="preserve"> will</w:t>
      </w:r>
      <w:r w:rsidRPr="00062AD2">
        <w:rPr>
          <w:szCs w:val="24"/>
        </w:rPr>
        <w:t xml:space="preserve"> receive a text and/or phone message the day of disconnection, a text and/or phone message two business days before disconnection, a mailed ten-day disconnection notice, and </w:t>
      </w:r>
      <w:r w:rsidRPr="00062AD2" w:rsidR="00611628">
        <w:rPr>
          <w:szCs w:val="24"/>
        </w:rPr>
        <w:t>a</w:t>
      </w:r>
      <w:r w:rsidRPr="00062AD2">
        <w:rPr>
          <w:szCs w:val="24"/>
        </w:rPr>
        <w:t xml:space="preserve"> 14-day disconnection notice.</w:t>
      </w:r>
      <w:r>
        <w:rPr>
          <w:rStyle w:val="FootnoteReference"/>
          <w:szCs w:val="24"/>
        </w:rPr>
        <w:footnoteReference w:id="7"/>
      </w:r>
      <w:r w:rsidRPr="00062AD2" w:rsidR="00025065">
        <w:rPr>
          <w:szCs w:val="24"/>
        </w:rPr>
        <w:t xml:space="preserve"> </w:t>
      </w:r>
      <w:r w:rsidRPr="00062AD2" w:rsidR="008629E6">
        <w:rPr>
          <w:szCs w:val="24"/>
        </w:rPr>
        <w:t>While t</w:t>
      </w:r>
      <w:r w:rsidRPr="00062AD2" w:rsidR="00B00F6D">
        <w:rPr>
          <w:szCs w:val="24"/>
        </w:rPr>
        <w:t xml:space="preserve">he PUCO </w:t>
      </w:r>
      <w:r w:rsidRPr="00062AD2" w:rsidR="00611628">
        <w:rPr>
          <w:szCs w:val="24"/>
        </w:rPr>
        <w:t xml:space="preserve">initially </w:t>
      </w:r>
      <w:r w:rsidRPr="00062AD2" w:rsidR="008629E6">
        <w:rPr>
          <w:szCs w:val="24"/>
        </w:rPr>
        <w:t xml:space="preserve">authorized a waiver of the in-person notice rule </w:t>
      </w:r>
      <w:r w:rsidRPr="00062AD2">
        <w:rPr>
          <w:szCs w:val="24"/>
        </w:rPr>
        <w:t>on a pilot basis,</w:t>
      </w:r>
      <w:r w:rsidRPr="00062AD2" w:rsidR="00611628">
        <w:rPr>
          <w:szCs w:val="24"/>
        </w:rPr>
        <w:t xml:space="preserve"> Duke </w:t>
      </w:r>
      <w:r w:rsidRPr="00062AD2" w:rsidR="00B00F6D">
        <w:rPr>
          <w:szCs w:val="24"/>
        </w:rPr>
        <w:t>has been allowed to</w:t>
      </w:r>
      <w:r w:rsidRPr="00062AD2" w:rsidR="00611628">
        <w:rPr>
          <w:szCs w:val="24"/>
        </w:rPr>
        <w:t xml:space="preserve"> co</w:t>
      </w:r>
      <w:r w:rsidRPr="00062AD2" w:rsidR="008629E6">
        <w:rPr>
          <w:szCs w:val="24"/>
        </w:rPr>
        <w:t xml:space="preserve">ntinue </w:t>
      </w:r>
      <w:r w:rsidRPr="00062AD2" w:rsidR="00B00F6D">
        <w:rPr>
          <w:szCs w:val="24"/>
        </w:rPr>
        <w:t xml:space="preserve">avoiding the </w:t>
      </w:r>
      <w:r w:rsidRPr="00062AD2" w:rsidR="008629E6">
        <w:rPr>
          <w:szCs w:val="24"/>
        </w:rPr>
        <w:t>in-</w:t>
      </w:r>
      <w:r w:rsidRPr="00062AD2" w:rsidR="00B00F6D">
        <w:rPr>
          <w:szCs w:val="24"/>
        </w:rPr>
        <w:t>person notice requirement.</w:t>
      </w:r>
      <w:r w:rsidRPr="00062AD2" w:rsidR="008629E6">
        <w:rPr>
          <w:szCs w:val="24"/>
        </w:rPr>
        <w:t xml:space="preserve"> </w:t>
      </w:r>
      <w:r w:rsidRPr="00062AD2" w:rsidR="00B00F6D">
        <w:rPr>
          <w:szCs w:val="24"/>
        </w:rPr>
        <w:t xml:space="preserve">In 2019, the PUCO granted </w:t>
      </w:r>
      <w:r w:rsidRPr="00062AD2" w:rsidR="008629E6">
        <w:rPr>
          <w:szCs w:val="24"/>
        </w:rPr>
        <w:t xml:space="preserve">Duke’s request for a </w:t>
      </w:r>
      <w:r w:rsidRPr="00062AD2" w:rsidR="00B00F6D">
        <w:rPr>
          <w:szCs w:val="24"/>
        </w:rPr>
        <w:t>waiver</w:t>
      </w:r>
      <w:r w:rsidRPr="00062AD2" w:rsidR="008629E6">
        <w:rPr>
          <w:szCs w:val="24"/>
        </w:rPr>
        <w:t xml:space="preserve"> from the rule</w:t>
      </w:r>
      <w:r w:rsidRPr="00062AD2" w:rsidR="00B00F6D">
        <w:rPr>
          <w:szCs w:val="24"/>
        </w:rPr>
        <w:t xml:space="preserve"> </w:t>
      </w:r>
      <w:r w:rsidRPr="00062AD2" w:rsidR="00730D92">
        <w:rPr>
          <w:szCs w:val="24"/>
        </w:rPr>
        <w:t>for an additional five years</w:t>
      </w:r>
      <w:r w:rsidRPr="00062AD2" w:rsidR="008629E6">
        <w:rPr>
          <w:szCs w:val="24"/>
        </w:rPr>
        <w:t>,</w:t>
      </w:r>
      <w:r w:rsidRPr="00062AD2" w:rsidR="00611628">
        <w:rPr>
          <w:szCs w:val="24"/>
        </w:rPr>
        <w:t xml:space="preserve"> </w:t>
      </w:r>
      <w:r w:rsidRPr="00062AD2" w:rsidR="002F4B78">
        <w:rPr>
          <w:szCs w:val="24"/>
        </w:rPr>
        <w:t xml:space="preserve">subject to </w:t>
      </w:r>
      <w:r w:rsidRPr="00062AD2" w:rsidR="00B00F6D">
        <w:rPr>
          <w:szCs w:val="24"/>
        </w:rPr>
        <w:t xml:space="preserve">certain </w:t>
      </w:r>
      <w:r w:rsidRPr="00062AD2" w:rsidR="002F4B78">
        <w:rPr>
          <w:szCs w:val="24"/>
        </w:rPr>
        <w:t xml:space="preserve">conditions </w:t>
      </w:r>
      <w:r w:rsidRPr="00062AD2" w:rsidR="00611628">
        <w:rPr>
          <w:szCs w:val="24"/>
        </w:rPr>
        <w:t>recommended</w:t>
      </w:r>
      <w:r w:rsidRPr="00062AD2" w:rsidR="002F4B78">
        <w:rPr>
          <w:szCs w:val="24"/>
        </w:rPr>
        <w:t xml:space="preserve"> by </w:t>
      </w:r>
      <w:r w:rsidRPr="00062AD2" w:rsidR="00611628">
        <w:rPr>
          <w:szCs w:val="24"/>
        </w:rPr>
        <w:t xml:space="preserve">the </w:t>
      </w:r>
      <w:r w:rsidRPr="00062AD2" w:rsidR="002F4B78">
        <w:rPr>
          <w:szCs w:val="24"/>
        </w:rPr>
        <w:t>PUCO Staff</w:t>
      </w:r>
      <w:r w:rsidRPr="00062AD2" w:rsidR="008629E6">
        <w:rPr>
          <w:szCs w:val="24"/>
        </w:rPr>
        <w:t xml:space="preserve"> for consumer protection</w:t>
      </w:r>
      <w:r w:rsidRPr="00062AD2" w:rsidR="002F4B78">
        <w:rPr>
          <w:szCs w:val="24"/>
        </w:rPr>
        <w:t>.</w:t>
      </w:r>
      <w:r>
        <w:rPr>
          <w:rStyle w:val="FootnoteReference"/>
          <w:szCs w:val="24"/>
        </w:rPr>
        <w:footnoteReference w:id="8"/>
      </w:r>
    </w:p>
    <w:p w:rsidR="00926A46" w:rsidRPr="00062AD2" w:rsidP="00ED3C67" w14:paraId="6662B0C4" w14:textId="217ACB47">
      <w:pPr>
        <w:pStyle w:val="BodyTextIndent3"/>
        <w:suppressAutoHyphens/>
        <w:spacing w:line="480" w:lineRule="auto"/>
        <w:rPr>
          <w:szCs w:val="24"/>
        </w:rPr>
      </w:pPr>
      <w:r w:rsidRPr="00062AD2">
        <w:rPr>
          <w:szCs w:val="24"/>
        </w:rPr>
        <w:t>In this case, Duke has</w:t>
      </w:r>
      <w:r w:rsidRPr="00062AD2" w:rsidR="00B00F6D">
        <w:rPr>
          <w:szCs w:val="24"/>
        </w:rPr>
        <w:t xml:space="preserve"> again</w:t>
      </w:r>
      <w:r w:rsidRPr="00062AD2">
        <w:rPr>
          <w:szCs w:val="24"/>
        </w:rPr>
        <w:t xml:space="preserve"> asked for authority to continue </w:t>
      </w:r>
      <w:r w:rsidRPr="00062AD2" w:rsidR="00B00F6D">
        <w:rPr>
          <w:szCs w:val="24"/>
        </w:rPr>
        <w:t xml:space="preserve">the waiver </w:t>
      </w:r>
      <w:r w:rsidRPr="00062AD2" w:rsidR="00730D92">
        <w:rPr>
          <w:szCs w:val="24"/>
        </w:rPr>
        <w:t xml:space="preserve">for another </w:t>
      </w:r>
      <w:r w:rsidRPr="00062AD2" w:rsidR="00697632">
        <w:rPr>
          <w:szCs w:val="24"/>
        </w:rPr>
        <w:t>five years through May 1, 2029.</w:t>
      </w:r>
      <w:r w:rsidRPr="00062AD2" w:rsidR="00611628">
        <w:rPr>
          <w:szCs w:val="24"/>
        </w:rPr>
        <w:t xml:space="preserve"> </w:t>
      </w:r>
      <w:r w:rsidRPr="00062AD2" w:rsidR="00697632">
        <w:rPr>
          <w:szCs w:val="24"/>
        </w:rPr>
        <w:t xml:space="preserve">Duke </w:t>
      </w:r>
      <w:r w:rsidRPr="00062AD2" w:rsidR="00B00F6D">
        <w:rPr>
          <w:szCs w:val="24"/>
        </w:rPr>
        <w:t xml:space="preserve">also </w:t>
      </w:r>
      <w:r w:rsidRPr="00062AD2" w:rsidR="00611628">
        <w:rPr>
          <w:szCs w:val="24"/>
        </w:rPr>
        <w:t>wants to do away</w:t>
      </w:r>
      <w:r w:rsidRPr="00062AD2">
        <w:rPr>
          <w:szCs w:val="24"/>
        </w:rPr>
        <w:t xml:space="preserve"> with the PUCO Staff’s previous condition that Duke </w:t>
      </w:r>
      <w:r w:rsidRPr="00062AD2" w:rsidR="00697632">
        <w:rPr>
          <w:szCs w:val="24"/>
        </w:rPr>
        <w:t xml:space="preserve">notify </w:t>
      </w:r>
      <w:r w:rsidRPr="00062AD2" w:rsidR="00A86723">
        <w:rPr>
          <w:szCs w:val="24"/>
        </w:rPr>
        <w:t>consumer</w:t>
      </w:r>
      <w:r w:rsidRPr="00062AD2" w:rsidR="00697632">
        <w:rPr>
          <w:szCs w:val="24"/>
        </w:rPr>
        <w:t xml:space="preserve">s that they will not receive </w:t>
      </w:r>
      <w:r w:rsidRPr="00062AD2" w:rsidR="00FE2438">
        <w:rPr>
          <w:szCs w:val="24"/>
        </w:rPr>
        <w:t>in-</w:t>
      </w:r>
      <w:r w:rsidRPr="00062AD2" w:rsidR="00697632">
        <w:rPr>
          <w:szCs w:val="24"/>
        </w:rPr>
        <w:t xml:space="preserve">person notice </w:t>
      </w:r>
      <w:r w:rsidRPr="00062AD2" w:rsidR="00FE2438">
        <w:rPr>
          <w:szCs w:val="24"/>
        </w:rPr>
        <w:t>if</w:t>
      </w:r>
      <w:r w:rsidRPr="00062AD2">
        <w:rPr>
          <w:szCs w:val="24"/>
        </w:rPr>
        <w:t xml:space="preserve"> their electric utility service is </w:t>
      </w:r>
      <w:r w:rsidRPr="00062AD2" w:rsidR="00697632">
        <w:rPr>
          <w:szCs w:val="24"/>
        </w:rPr>
        <w:t>disconnect</w:t>
      </w:r>
      <w:r w:rsidRPr="00062AD2">
        <w:rPr>
          <w:szCs w:val="24"/>
        </w:rPr>
        <w:t>ed</w:t>
      </w:r>
      <w:r w:rsidRPr="00062AD2" w:rsidR="00697632">
        <w:rPr>
          <w:szCs w:val="24"/>
        </w:rPr>
        <w:t>.</w:t>
      </w:r>
      <w:r>
        <w:rPr>
          <w:rStyle w:val="FootnoteReference"/>
          <w:szCs w:val="24"/>
        </w:rPr>
        <w:footnoteReference w:id="9"/>
      </w:r>
      <w:r w:rsidRPr="00062AD2" w:rsidR="00025065">
        <w:rPr>
          <w:szCs w:val="24"/>
        </w:rPr>
        <w:t xml:space="preserve"> </w:t>
      </w:r>
    </w:p>
    <w:p w:rsidR="00ED3C67" w:rsidRPr="00062AD2" w:rsidP="00ED3C67" w14:paraId="4A996A9C" w14:textId="7ED5222E">
      <w:pPr>
        <w:pStyle w:val="BodyTextIndent3"/>
        <w:suppressAutoHyphens/>
        <w:spacing w:line="480" w:lineRule="auto"/>
        <w:rPr>
          <w:szCs w:val="24"/>
        </w:rPr>
      </w:pPr>
      <w:r w:rsidRPr="00062AD2">
        <w:rPr>
          <w:szCs w:val="24"/>
        </w:rPr>
        <w:t xml:space="preserve">OCC has authority under law to represent the interests of the </w:t>
      </w:r>
      <w:r w:rsidRPr="00062AD2" w:rsidR="00A86723">
        <w:rPr>
          <w:szCs w:val="24"/>
        </w:rPr>
        <w:t>more than 800</w:t>
      </w:r>
      <w:r w:rsidRPr="00062AD2">
        <w:rPr>
          <w:szCs w:val="24"/>
        </w:rPr>
        <w:t xml:space="preserve">,000 Duke residential electric utility </w:t>
      </w:r>
      <w:r w:rsidRPr="00062AD2" w:rsidR="00A86723">
        <w:rPr>
          <w:szCs w:val="24"/>
        </w:rPr>
        <w:t>consumer</w:t>
      </w:r>
      <w:r w:rsidRPr="00062AD2">
        <w:rPr>
          <w:szCs w:val="24"/>
        </w:rPr>
        <w:t>s, pursuant to R.C. Chapter 4911.</w:t>
      </w:r>
      <w:r w:rsidRPr="00062AD2" w:rsidR="00025065">
        <w:rPr>
          <w:szCs w:val="24"/>
        </w:rPr>
        <w:t xml:space="preserve"> </w:t>
      </w:r>
    </w:p>
    <w:p w:rsidR="00ED3C67" w:rsidRPr="00062AD2" w:rsidP="00ED3C67" w14:paraId="7A9BBCE2" w14:textId="53278C8E">
      <w:pPr>
        <w:pStyle w:val="BodyTextIndent3"/>
        <w:suppressAutoHyphens/>
        <w:spacing w:line="480" w:lineRule="auto"/>
        <w:rPr>
          <w:szCs w:val="24"/>
        </w:rPr>
      </w:pPr>
      <w:r w:rsidRPr="00062AD2">
        <w:rPr>
          <w:szCs w:val="24"/>
        </w:rPr>
        <w:t xml:space="preserve">R.C. 4903.221 provides, in part, that any person “who may be adversely affected” by a PUCO proceeding is entitled to seek intervention in that proceeding. The interests of Ohio’s residential </w:t>
      </w:r>
      <w:r w:rsidRPr="00062AD2" w:rsidR="00A86723">
        <w:rPr>
          <w:szCs w:val="24"/>
        </w:rPr>
        <w:t>consumer</w:t>
      </w:r>
      <w:r w:rsidRPr="00062AD2">
        <w:rPr>
          <w:szCs w:val="24"/>
        </w:rPr>
        <w:t xml:space="preserve">s may be “adversely affected” by this case, especially if the </w:t>
      </w:r>
      <w:r w:rsidRPr="00062AD2" w:rsidR="00A86723">
        <w:rPr>
          <w:szCs w:val="24"/>
        </w:rPr>
        <w:t>consumer</w:t>
      </w:r>
      <w:r w:rsidRPr="00062AD2">
        <w:rPr>
          <w:szCs w:val="24"/>
        </w:rPr>
        <w:t>s were unrepresented in a proceeding where Duke is seeking to</w:t>
      </w:r>
      <w:r w:rsidRPr="00062AD2" w:rsidR="00926A46">
        <w:rPr>
          <w:szCs w:val="24"/>
        </w:rPr>
        <w:t xml:space="preserve"> avoid a PUCO consumer protection rule that requires </w:t>
      </w:r>
      <w:r w:rsidRPr="00062AD2" w:rsidR="00FE2438">
        <w:rPr>
          <w:szCs w:val="24"/>
        </w:rPr>
        <w:t>in-</w:t>
      </w:r>
      <w:r w:rsidRPr="00062AD2" w:rsidR="00926A46">
        <w:rPr>
          <w:szCs w:val="24"/>
        </w:rPr>
        <w:t>person notification to consumers when their electric utility service is disconnected.</w:t>
      </w:r>
      <w:r w:rsidR="00062AD2">
        <w:rPr>
          <w:szCs w:val="24"/>
        </w:rPr>
        <w:t xml:space="preserve"> </w:t>
      </w:r>
      <w:r w:rsidRPr="00062AD2">
        <w:rPr>
          <w:szCs w:val="24"/>
        </w:rPr>
        <w:t xml:space="preserve">Thus, this element of the intervention standard in R.C. 4903.221 is satisfied. </w:t>
      </w:r>
    </w:p>
    <w:p w:rsidR="00ED3C67" w:rsidRPr="00062AD2" w:rsidP="00ED3C67" w14:paraId="43AA1E9D" w14:textId="77777777">
      <w:pPr>
        <w:suppressAutoHyphens/>
        <w:spacing w:line="480" w:lineRule="auto"/>
        <w:ind w:firstLine="720"/>
        <w:rPr>
          <w:szCs w:val="24"/>
        </w:rPr>
      </w:pPr>
      <w:r w:rsidRPr="00062AD2">
        <w:rPr>
          <w:szCs w:val="24"/>
        </w:rPr>
        <w:t>R.C. 4903.221(B) requires the PUCO to consider the following criteria in ruling on motions to intervene:</w:t>
      </w:r>
    </w:p>
    <w:p w:rsidR="00ED3C67" w:rsidRPr="00062AD2" w:rsidP="007B35B9" w14:paraId="70655841" w14:textId="77777777">
      <w:pPr>
        <w:ind w:left="1440" w:right="720" w:hanging="720"/>
        <w:rPr>
          <w:szCs w:val="24"/>
        </w:rPr>
      </w:pPr>
      <w:r w:rsidRPr="00062AD2">
        <w:rPr>
          <w:szCs w:val="24"/>
        </w:rPr>
        <w:t>(1)</w:t>
      </w:r>
      <w:r w:rsidRPr="00062AD2">
        <w:rPr>
          <w:szCs w:val="24"/>
        </w:rPr>
        <w:tab/>
        <w:t>The nature and extent of the prospective intervenor’s interest;</w:t>
      </w:r>
    </w:p>
    <w:p w:rsidR="00ED3C67" w:rsidRPr="00062AD2" w:rsidP="007B35B9" w14:paraId="7AF7B30A" w14:textId="77777777">
      <w:pPr>
        <w:spacing w:before="240"/>
        <w:ind w:left="1440" w:right="720" w:hanging="720"/>
        <w:rPr>
          <w:szCs w:val="24"/>
        </w:rPr>
      </w:pPr>
      <w:r w:rsidRPr="00062AD2">
        <w:rPr>
          <w:szCs w:val="24"/>
        </w:rPr>
        <w:t>(2)</w:t>
      </w:r>
      <w:r w:rsidRPr="00062AD2">
        <w:rPr>
          <w:szCs w:val="24"/>
        </w:rPr>
        <w:tab/>
        <w:t>The legal position advanced by the prospective intervenor and its probable relation to the merits of the case;</w:t>
      </w:r>
    </w:p>
    <w:p w:rsidR="00ED3C67" w:rsidRPr="00062AD2" w:rsidP="007B35B9" w14:paraId="0B9C8989" w14:textId="5DE988C2">
      <w:pPr>
        <w:spacing w:before="240"/>
        <w:ind w:left="1440" w:right="720" w:hanging="720"/>
        <w:rPr>
          <w:szCs w:val="24"/>
        </w:rPr>
      </w:pPr>
      <w:r w:rsidRPr="00062AD2">
        <w:rPr>
          <w:szCs w:val="24"/>
        </w:rPr>
        <w:t>(3)</w:t>
      </w:r>
      <w:r w:rsidRPr="00062AD2">
        <w:rPr>
          <w:szCs w:val="24"/>
        </w:rPr>
        <w:tab/>
        <w:t xml:space="preserve">Whether the intervention by the prospective intervenor will unduly prolong or delay the proceedings; </w:t>
      </w:r>
      <w:r w:rsidR="007337CB">
        <w:rPr>
          <w:szCs w:val="24"/>
        </w:rPr>
        <w:t>and</w:t>
      </w:r>
    </w:p>
    <w:p w:rsidR="00ED3C67" w:rsidRPr="00062AD2" w:rsidP="007B35B9" w14:paraId="0F550CD6" w14:textId="77777777">
      <w:pPr>
        <w:pStyle w:val="BodyTextIndent2"/>
        <w:tabs>
          <w:tab w:val="clear" w:pos="720"/>
        </w:tabs>
        <w:ind w:left="1440" w:right="720" w:hanging="720"/>
        <w:rPr>
          <w:szCs w:val="24"/>
        </w:rPr>
      </w:pPr>
      <w:r w:rsidRPr="00062AD2">
        <w:rPr>
          <w:szCs w:val="24"/>
        </w:rPr>
        <w:t>(4)</w:t>
      </w:r>
      <w:r w:rsidRPr="00062AD2">
        <w:rPr>
          <w:szCs w:val="24"/>
        </w:rPr>
        <w:tab/>
        <w:t>Whether the prospective intervenor will significantly contribute to full development and equitable resolution of the factual issues.</w:t>
      </w:r>
    </w:p>
    <w:p w:rsidR="00ED3C67" w:rsidRPr="00062AD2" w:rsidP="00ED3C67" w14:paraId="4CDA2CD5" w14:textId="35E8C808">
      <w:pPr>
        <w:pStyle w:val="BodyTextIndent3"/>
        <w:suppressAutoHyphens/>
        <w:spacing w:line="480" w:lineRule="auto"/>
        <w:rPr>
          <w:szCs w:val="24"/>
        </w:rPr>
      </w:pPr>
      <w:r w:rsidRPr="00062AD2">
        <w:rPr>
          <w:szCs w:val="24"/>
        </w:rPr>
        <w:t xml:space="preserve">First, the nature and extent of OCC’s interest is representing Duke’s residential </w:t>
      </w:r>
      <w:r w:rsidRPr="00062AD2" w:rsidR="00A86723">
        <w:rPr>
          <w:szCs w:val="24"/>
        </w:rPr>
        <w:t>consumer</w:t>
      </w:r>
      <w:r w:rsidRPr="00062AD2">
        <w:rPr>
          <w:szCs w:val="24"/>
        </w:rPr>
        <w:t xml:space="preserve">s in this case involving </w:t>
      </w:r>
      <w:r w:rsidRPr="00062AD2" w:rsidR="00CA14C1">
        <w:rPr>
          <w:szCs w:val="24"/>
        </w:rPr>
        <w:t xml:space="preserve">Duke’s request to avoid </w:t>
      </w:r>
      <w:r w:rsidRPr="00062AD2">
        <w:rPr>
          <w:szCs w:val="24"/>
        </w:rPr>
        <w:t xml:space="preserve">a PUCO rule that protects </w:t>
      </w:r>
      <w:r w:rsidRPr="00062AD2" w:rsidR="00A86723">
        <w:rPr>
          <w:szCs w:val="24"/>
        </w:rPr>
        <w:t>consumer</w:t>
      </w:r>
      <w:r w:rsidRPr="00062AD2">
        <w:rPr>
          <w:szCs w:val="24"/>
        </w:rPr>
        <w:t xml:space="preserve">s from termination of electric service without </w:t>
      </w:r>
      <w:r w:rsidRPr="00062AD2" w:rsidR="00FE2438">
        <w:rPr>
          <w:szCs w:val="24"/>
        </w:rPr>
        <w:t>in-person</w:t>
      </w:r>
      <w:r w:rsidRPr="00062AD2">
        <w:rPr>
          <w:szCs w:val="24"/>
        </w:rPr>
        <w:t xml:space="preserve"> notice. This interest is different from that of any other party and especially different from that of the utility whose advocacy includes the financial interest of stockholders.</w:t>
      </w:r>
    </w:p>
    <w:p w:rsidR="00ED3C67" w:rsidRPr="00062AD2" w:rsidP="00ED3C67" w14:paraId="68F6BEF8" w14:textId="7A0825E8">
      <w:pPr>
        <w:pStyle w:val="Footer"/>
        <w:tabs>
          <w:tab w:val="clear" w:pos="4320"/>
          <w:tab w:val="clear" w:pos="8640"/>
        </w:tabs>
        <w:suppressAutoHyphens/>
        <w:spacing w:line="480" w:lineRule="auto"/>
        <w:ind w:firstLine="720"/>
        <w:rPr>
          <w:sz w:val="24"/>
          <w:szCs w:val="24"/>
        </w:rPr>
      </w:pPr>
      <w:r w:rsidRPr="00062AD2">
        <w:rPr>
          <w:sz w:val="24"/>
          <w:szCs w:val="24"/>
        </w:rPr>
        <w:t xml:space="preserve">Second, OCC’s advocacy for residential </w:t>
      </w:r>
      <w:r w:rsidRPr="00062AD2" w:rsidR="00A86723">
        <w:rPr>
          <w:sz w:val="24"/>
          <w:szCs w:val="24"/>
        </w:rPr>
        <w:t>consumer</w:t>
      </w:r>
      <w:r w:rsidRPr="00062AD2">
        <w:rPr>
          <w:sz w:val="24"/>
          <w:szCs w:val="24"/>
        </w:rPr>
        <w:t xml:space="preserve">s will include advancing the position that </w:t>
      </w:r>
      <w:r w:rsidRPr="00062AD2" w:rsidR="00FE2438">
        <w:rPr>
          <w:sz w:val="24"/>
          <w:szCs w:val="24"/>
        </w:rPr>
        <w:t>in-person</w:t>
      </w:r>
      <w:r w:rsidRPr="00062AD2" w:rsidR="00B00F6D">
        <w:rPr>
          <w:sz w:val="24"/>
          <w:szCs w:val="24"/>
        </w:rPr>
        <w:t xml:space="preserve"> </w:t>
      </w:r>
      <w:r w:rsidRPr="00062AD2">
        <w:rPr>
          <w:sz w:val="24"/>
          <w:szCs w:val="24"/>
        </w:rPr>
        <w:t xml:space="preserve">notice of disconnection on the day utility service is to be shut off is an important consumer protection that </w:t>
      </w:r>
      <w:r w:rsidRPr="00062AD2" w:rsidR="00730D92">
        <w:rPr>
          <w:sz w:val="24"/>
          <w:szCs w:val="24"/>
        </w:rPr>
        <w:t>should be restored.</w:t>
      </w:r>
      <w:r w:rsidRPr="00062AD2" w:rsidR="00025065">
        <w:rPr>
          <w:sz w:val="24"/>
          <w:szCs w:val="24"/>
        </w:rPr>
        <w:t xml:space="preserve"> </w:t>
      </w:r>
      <w:r w:rsidRPr="00062AD2" w:rsidR="00730D92">
        <w:rPr>
          <w:sz w:val="24"/>
          <w:szCs w:val="24"/>
        </w:rPr>
        <w:t>In addition, if</w:t>
      </w:r>
      <w:r w:rsidRPr="00062AD2" w:rsidR="00B235F9">
        <w:rPr>
          <w:sz w:val="24"/>
          <w:szCs w:val="24"/>
        </w:rPr>
        <w:t xml:space="preserve"> the waiver continues (it should not)</w:t>
      </w:r>
      <w:r w:rsidRPr="00062AD2" w:rsidR="00730D92">
        <w:rPr>
          <w:sz w:val="24"/>
          <w:szCs w:val="24"/>
        </w:rPr>
        <w:t xml:space="preserve">, </w:t>
      </w:r>
      <w:r w:rsidRPr="00062AD2" w:rsidR="00B235F9">
        <w:rPr>
          <w:sz w:val="24"/>
          <w:szCs w:val="24"/>
        </w:rPr>
        <w:t xml:space="preserve">Duke should still be required to notify consumers </w:t>
      </w:r>
      <w:r w:rsidRPr="00062AD2" w:rsidR="00730D92">
        <w:rPr>
          <w:sz w:val="24"/>
          <w:szCs w:val="24"/>
        </w:rPr>
        <w:t xml:space="preserve">that they will not receive </w:t>
      </w:r>
      <w:r w:rsidRPr="00062AD2" w:rsidR="00FE2438">
        <w:rPr>
          <w:sz w:val="24"/>
          <w:szCs w:val="24"/>
        </w:rPr>
        <w:t>in-</w:t>
      </w:r>
      <w:r w:rsidRPr="00062AD2" w:rsidR="00730D92">
        <w:rPr>
          <w:sz w:val="24"/>
          <w:szCs w:val="24"/>
        </w:rPr>
        <w:t>person notification</w:t>
      </w:r>
      <w:r w:rsidRPr="00062AD2" w:rsidR="00B235F9">
        <w:rPr>
          <w:sz w:val="24"/>
          <w:szCs w:val="24"/>
        </w:rPr>
        <w:t xml:space="preserve"> if they are disconnected for nonpayment</w:t>
      </w:r>
      <w:r w:rsidRPr="00062AD2" w:rsidR="00730D92">
        <w:rPr>
          <w:sz w:val="24"/>
          <w:szCs w:val="24"/>
        </w:rPr>
        <w:t>.</w:t>
      </w:r>
      <w:r w:rsidRPr="00062AD2" w:rsidR="00025065">
        <w:rPr>
          <w:sz w:val="24"/>
          <w:szCs w:val="24"/>
        </w:rPr>
        <w:t xml:space="preserve"> </w:t>
      </w:r>
      <w:r w:rsidRPr="00062AD2">
        <w:rPr>
          <w:sz w:val="24"/>
          <w:szCs w:val="24"/>
        </w:rPr>
        <w:t xml:space="preserve">OCC’s position is therefore directly related to the merits of this case that is pending before the PUCO, the authority with regulatory control of public utilities’ service quality in Ohio. </w:t>
      </w:r>
    </w:p>
    <w:p w:rsidR="00ED3C67" w:rsidRPr="00062AD2" w:rsidP="00ED3C67" w14:paraId="5D0916E5" w14:textId="7A6452A7">
      <w:pPr>
        <w:pStyle w:val="BodyTextIndent3"/>
        <w:suppressAutoHyphens/>
        <w:spacing w:line="480" w:lineRule="auto"/>
        <w:rPr>
          <w:szCs w:val="24"/>
        </w:rPr>
      </w:pPr>
      <w:r w:rsidRPr="00062AD2">
        <w:rPr>
          <w:szCs w:val="24"/>
        </w:rPr>
        <w:t>Third, OCC’s intervention will not unduly prolong or delay the proceedings.</w:t>
      </w:r>
      <w:r w:rsidRPr="00062AD2" w:rsidR="00025065">
        <w:rPr>
          <w:szCs w:val="24"/>
        </w:rPr>
        <w:t xml:space="preserve"> </w:t>
      </w:r>
      <w:r w:rsidRPr="00062AD2" w:rsidR="00BB03DC">
        <w:rPr>
          <w:szCs w:val="24"/>
        </w:rPr>
        <w:t>Duke only recently filed its Application and no procedural schedule has yet been issued.</w:t>
      </w:r>
      <w:r w:rsidR="00062AD2">
        <w:rPr>
          <w:szCs w:val="24"/>
        </w:rPr>
        <w:t xml:space="preserve"> </w:t>
      </w:r>
      <w:r w:rsidRPr="00062AD2">
        <w:rPr>
          <w:szCs w:val="24"/>
        </w:rPr>
        <w:t>OCC, with its longstanding expertise and experience in PUCO proceedings, will duly allow for the efficient processing of the case with consideration of the public interest.</w:t>
      </w:r>
    </w:p>
    <w:p w:rsidR="00ED3C67" w:rsidRPr="00062AD2" w:rsidP="00ED3C67" w14:paraId="40C0311F" w14:textId="0E3D2C38">
      <w:pPr>
        <w:pStyle w:val="Footer"/>
        <w:tabs>
          <w:tab w:val="clear" w:pos="4320"/>
          <w:tab w:val="clear" w:pos="8640"/>
        </w:tabs>
        <w:suppressAutoHyphens/>
        <w:spacing w:line="480" w:lineRule="auto"/>
        <w:ind w:firstLine="720"/>
        <w:rPr>
          <w:sz w:val="24"/>
          <w:szCs w:val="24"/>
        </w:rPr>
      </w:pPr>
      <w:r w:rsidRPr="00062AD2">
        <w:rPr>
          <w:sz w:val="24"/>
          <w:szCs w:val="24"/>
        </w:rPr>
        <w:t>Fourth, OCC’s intervention will significantly contribute to full development and equitable resolution of the factual issues.</w:t>
      </w:r>
      <w:r w:rsidR="00062AD2">
        <w:rPr>
          <w:sz w:val="24"/>
          <w:szCs w:val="24"/>
        </w:rPr>
        <w:t xml:space="preserve"> </w:t>
      </w:r>
      <w:r w:rsidRPr="00062AD2" w:rsidR="00BB03DC">
        <w:rPr>
          <w:sz w:val="24"/>
          <w:szCs w:val="24"/>
        </w:rPr>
        <w:t>OCC’s advocacy for residential consumers will include advancing the position that in-person notice of disconnection on the day utility service is to be shut off is an important consumer protection that should be restored. In addition, if the waiver continues (it should not), Duke should still be required to notify consumers that they will not receive in-person notification if they are disconnected for nonpayment.</w:t>
      </w:r>
      <w:r w:rsidR="00062AD2">
        <w:rPr>
          <w:sz w:val="24"/>
          <w:szCs w:val="24"/>
        </w:rPr>
        <w:t xml:space="preserve"> </w:t>
      </w:r>
      <w:r w:rsidRPr="00062AD2" w:rsidR="00BB03DC">
        <w:rPr>
          <w:sz w:val="24"/>
          <w:szCs w:val="24"/>
        </w:rPr>
        <w:t xml:space="preserve">In advancing these positions </w:t>
      </w:r>
      <w:r w:rsidRPr="00062AD2">
        <w:rPr>
          <w:sz w:val="24"/>
          <w:szCs w:val="24"/>
        </w:rPr>
        <w:t xml:space="preserve">OCC will obtain and develop information that the PUCO should consider for equitably and lawfully deciding the case in the public interest. </w:t>
      </w:r>
    </w:p>
    <w:p w:rsidR="00ED3C67" w:rsidRPr="00062AD2" w:rsidP="00ED3C67" w14:paraId="28295B9D" w14:textId="3479B6FC">
      <w:pPr>
        <w:pStyle w:val="WW-BodyTextIndent3"/>
        <w:spacing w:line="480" w:lineRule="auto"/>
        <w:rPr>
          <w:szCs w:val="24"/>
        </w:rPr>
      </w:pPr>
      <w:r w:rsidRPr="00062AD2">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w:t>
      </w:r>
      <w:r w:rsidRPr="00062AD2" w:rsidR="002468E2">
        <w:rPr>
          <w:szCs w:val="24"/>
        </w:rPr>
        <w:t>O.A.C.</w:t>
      </w:r>
      <w:r w:rsidRPr="00062AD2">
        <w:rPr>
          <w:szCs w:val="24"/>
        </w:rPr>
        <w:t xml:space="preserve">4901-1-11(A)(2). As the advocate for residential utility </w:t>
      </w:r>
      <w:r w:rsidRPr="00062AD2" w:rsidR="00A86723">
        <w:rPr>
          <w:szCs w:val="24"/>
        </w:rPr>
        <w:t>consumer</w:t>
      </w:r>
      <w:r w:rsidRPr="00062AD2">
        <w:rPr>
          <w:szCs w:val="24"/>
        </w:rPr>
        <w:t xml:space="preserve">s, OCC has a very real and substantial interest in this case where Duke is seeking </w:t>
      </w:r>
      <w:r w:rsidRPr="00062AD2" w:rsidR="00FE2438">
        <w:rPr>
          <w:szCs w:val="24"/>
        </w:rPr>
        <w:t xml:space="preserve">a waiver of a PUCO consumer protection that requires Duke to provide </w:t>
      </w:r>
      <w:r w:rsidRPr="00062AD2">
        <w:rPr>
          <w:szCs w:val="24"/>
        </w:rPr>
        <w:t xml:space="preserve">in-person notice </w:t>
      </w:r>
      <w:r w:rsidRPr="00062AD2" w:rsidR="00FE2438">
        <w:rPr>
          <w:szCs w:val="24"/>
        </w:rPr>
        <w:t>when</w:t>
      </w:r>
      <w:r w:rsidRPr="00062AD2">
        <w:rPr>
          <w:szCs w:val="24"/>
        </w:rPr>
        <w:t xml:space="preserve"> </w:t>
      </w:r>
      <w:r w:rsidRPr="00062AD2" w:rsidR="00FE2438">
        <w:rPr>
          <w:szCs w:val="24"/>
        </w:rPr>
        <w:t xml:space="preserve">it </w:t>
      </w:r>
      <w:r w:rsidRPr="00062AD2">
        <w:rPr>
          <w:szCs w:val="24"/>
        </w:rPr>
        <w:t>disconnect</w:t>
      </w:r>
      <w:r w:rsidRPr="00062AD2" w:rsidR="00FE2438">
        <w:rPr>
          <w:szCs w:val="24"/>
        </w:rPr>
        <w:t>s a consumer’s electric utility service for nonpayment</w:t>
      </w:r>
      <w:r w:rsidRPr="00062AD2">
        <w:rPr>
          <w:szCs w:val="24"/>
        </w:rPr>
        <w:t>.</w:t>
      </w:r>
      <w:r w:rsidRPr="00062AD2" w:rsidR="00FE2438">
        <w:rPr>
          <w:szCs w:val="24"/>
        </w:rPr>
        <w:t xml:space="preserve"> In-person notice is particularly important when a utility can remotely disconnect a consumer’s service through an advanced meter.</w:t>
      </w:r>
      <w:r w:rsidRPr="00062AD2" w:rsidR="00025065">
        <w:rPr>
          <w:szCs w:val="24"/>
        </w:rPr>
        <w:t xml:space="preserve"> </w:t>
      </w:r>
    </w:p>
    <w:p w:rsidR="00ED3C67" w:rsidRPr="00062AD2" w:rsidP="00ED3C67" w14:paraId="55AC5858" w14:textId="0F2E7BB8">
      <w:pPr>
        <w:pStyle w:val="BodyTextIndent3"/>
        <w:suppressAutoHyphens/>
        <w:spacing w:line="480" w:lineRule="auto"/>
        <w:rPr>
          <w:szCs w:val="24"/>
        </w:rPr>
      </w:pPr>
      <w:r w:rsidRPr="00062AD2">
        <w:rPr>
          <w:szCs w:val="24"/>
        </w:rPr>
        <w:t xml:space="preserve">In addition, OCC meets the criteria of </w:t>
      </w:r>
      <w:r w:rsidRPr="00062AD2" w:rsidR="002468E2">
        <w:rPr>
          <w:szCs w:val="24"/>
        </w:rPr>
        <w:t>O.A.C.</w:t>
      </w:r>
      <w:r w:rsidRPr="00062AD2">
        <w:rPr>
          <w:szCs w:val="24"/>
        </w:rPr>
        <w:t xml:space="preserve"> 4901-1-11(B)(1)-(4).</w:t>
      </w:r>
      <w:r w:rsidRPr="00062AD2" w:rsidR="00025065">
        <w:rPr>
          <w:szCs w:val="24"/>
        </w:rPr>
        <w:t xml:space="preserve"> </w:t>
      </w:r>
      <w:r w:rsidRPr="00062AD2">
        <w:rPr>
          <w:szCs w:val="24"/>
        </w:rPr>
        <w:t>These criteria mirror the statutory criteria in R.C. 4903.221(B) that OCC already has addressed and that OCC satisfies.</w:t>
      </w:r>
    </w:p>
    <w:p w:rsidR="00ED3C67" w:rsidRPr="00062AD2" w:rsidP="00ED3C67" w14:paraId="4FC61EA8" w14:textId="74960D4B">
      <w:pPr>
        <w:pStyle w:val="BodyTextIndent3"/>
        <w:suppressAutoHyphens/>
        <w:spacing w:line="480" w:lineRule="auto"/>
        <w:rPr>
          <w:szCs w:val="24"/>
        </w:rPr>
      </w:pPr>
      <w:r w:rsidRPr="00062AD2">
        <w:rPr>
          <w:szCs w:val="24"/>
        </w:rPr>
        <w:t>O.A.C.</w:t>
      </w:r>
      <w:r w:rsidRPr="00062AD2">
        <w:rPr>
          <w:szCs w:val="24"/>
        </w:rPr>
        <w:t xml:space="preserve"> 4901-1-11(B)(5) states that the PUCO shall consider “</w:t>
      </w:r>
      <w:r w:rsidRPr="00062AD2" w:rsidR="00730D92">
        <w:rPr>
          <w:szCs w:val="24"/>
        </w:rPr>
        <w:t>(t)</w:t>
      </w:r>
      <w:r w:rsidRPr="00062AD2">
        <w:rPr>
          <w:szCs w:val="24"/>
        </w:rPr>
        <w:t xml:space="preserve">he extent to which the person’s interest is represented by existing parties.” While OCC does not concede the lawfulness of this criterion, OCC satisfies this criterion in that it uniquely has been designated as the state representative of the interests of Ohio’s residential utility </w:t>
      </w:r>
      <w:r w:rsidRPr="00062AD2" w:rsidR="00A86723">
        <w:rPr>
          <w:szCs w:val="24"/>
        </w:rPr>
        <w:t>consumer</w:t>
      </w:r>
      <w:r w:rsidRPr="00062AD2">
        <w:rPr>
          <w:szCs w:val="24"/>
        </w:rPr>
        <w:t>s. That interest is different from, and not represented by, any other entity in Ohio.</w:t>
      </w:r>
    </w:p>
    <w:p w:rsidR="00ED3C67" w:rsidRPr="00062AD2" w:rsidP="00ED3C67" w14:paraId="7E92E214" w14:textId="74AF8D81">
      <w:pPr>
        <w:pStyle w:val="WW-BodyTextIndent3"/>
        <w:spacing w:line="480" w:lineRule="auto"/>
        <w:rPr>
          <w:szCs w:val="24"/>
        </w:rPr>
      </w:pPr>
      <w:r w:rsidRPr="00062AD2">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0"/>
      </w:r>
      <w:r w:rsidRPr="00062AD2" w:rsidR="00025065">
        <w:rPr>
          <w:szCs w:val="24"/>
        </w:rPr>
        <w:t xml:space="preserve"> </w:t>
      </w:r>
    </w:p>
    <w:p w:rsidR="001B65CF" w:rsidRPr="00062AD2" w:rsidP="00A10E21" w14:paraId="4B3AD428" w14:textId="409A7047">
      <w:pPr>
        <w:suppressAutoHyphens/>
        <w:spacing w:line="480" w:lineRule="auto"/>
        <w:ind w:firstLine="720"/>
        <w:rPr>
          <w:szCs w:val="24"/>
        </w:rPr>
      </w:pPr>
      <w:r w:rsidRPr="00062AD2">
        <w:rPr>
          <w:szCs w:val="24"/>
        </w:rPr>
        <w:t xml:space="preserve">OCC meets the criteria set forth in R.C. 4903.221, </w:t>
      </w:r>
      <w:r w:rsidRPr="00062AD2" w:rsidR="001D1555">
        <w:rPr>
          <w:szCs w:val="24"/>
        </w:rPr>
        <w:t>O.A.C.</w:t>
      </w:r>
      <w:r w:rsidRPr="00062AD2">
        <w:rPr>
          <w:szCs w:val="24"/>
        </w:rPr>
        <w:t xml:space="preserve"> 4901-1-11, and the precedent established by the Supreme Court of Ohio for intervention. On behalf of Ohio residential </w:t>
      </w:r>
      <w:r w:rsidRPr="00062AD2" w:rsidR="00A86723">
        <w:rPr>
          <w:szCs w:val="24"/>
        </w:rPr>
        <w:t>consumer</w:t>
      </w:r>
      <w:r w:rsidRPr="00062AD2">
        <w:rPr>
          <w:szCs w:val="24"/>
        </w:rPr>
        <w:t>s, the PUCO should grant OCC’s Motion to Intervene.</w:t>
      </w:r>
    </w:p>
    <w:p w:rsidR="00B2642A" w:rsidRPr="00062AD2" w:rsidP="00B2642A" w14:paraId="09026297" w14:textId="77777777">
      <w:pPr>
        <w:tabs>
          <w:tab w:val="right" w:pos="8640"/>
        </w:tabs>
        <w:ind w:left="4320"/>
        <w:rPr>
          <w:szCs w:val="24"/>
          <w:lang w:bidi="en-US"/>
        </w:rPr>
      </w:pPr>
      <w:r w:rsidRPr="00062AD2">
        <w:rPr>
          <w:szCs w:val="24"/>
          <w:lang w:bidi="en-US"/>
        </w:rPr>
        <w:t>Respectfully submitted,</w:t>
      </w:r>
    </w:p>
    <w:p w:rsidR="00B2642A" w:rsidRPr="00062AD2" w:rsidP="00B2642A" w14:paraId="3B8CEAA9" w14:textId="77777777">
      <w:pPr>
        <w:tabs>
          <w:tab w:val="right" w:pos="8640"/>
        </w:tabs>
        <w:ind w:left="4320"/>
        <w:rPr>
          <w:szCs w:val="24"/>
          <w:lang w:bidi="en-US"/>
        </w:rPr>
      </w:pPr>
    </w:p>
    <w:p w:rsidR="00B2642A" w:rsidRPr="00062AD2" w:rsidP="00B2642A" w14:paraId="28132AE4" w14:textId="77777777">
      <w:pPr>
        <w:tabs>
          <w:tab w:val="right" w:pos="8640"/>
        </w:tabs>
        <w:ind w:left="4320"/>
        <w:rPr>
          <w:szCs w:val="24"/>
          <w:lang w:bidi="en-US"/>
        </w:rPr>
      </w:pPr>
      <w:r w:rsidRPr="00062AD2">
        <w:rPr>
          <w:szCs w:val="24"/>
          <w:lang w:bidi="en-US"/>
        </w:rPr>
        <w:t>Maureen R. Willis (0020847)</w:t>
      </w:r>
    </w:p>
    <w:p w:rsidR="00B2642A" w:rsidRPr="00062AD2" w:rsidP="00B2642A" w14:paraId="026129F9" w14:textId="77777777">
      <w:pPr>
        <w:ind w:left="4320"/>
        <w:contextualSpacing/>
        <w:rPr>
          <w:rFonts w:eastAsia="Calibri"/>
          <w:szCs w:val="24"/>
          <w:lang w:bidi="en-US"/>
        </w:rPr>
      </w:pPr>
      <w:r w:rsidRPr="00062AD2">
        <w:rPr>
          <w:rFonts w:eastAsia="Calibri"/>
          <w:szCs w:val="24"/>
          <w:lang w:bidi="en-US"/>
        </w:rPr>
        <w:t>Ohio Consumers’ Counsel</w:t>
      </w:r>
    </w:p>
    <w:p w:rsidR="00B2642A" w:rsidRPr="00062AD2" w:rsidP="00B2642A" w14:paraId="6493F153" w14:textId="77777777">
      <w:pPr>
        <w:ind w:left="4320"/>
        <w:contextualSpacing/>
        <w:rPr>
          <w:rFonts w:eastAsia="Calibri"/>
          <w:szCs w:val="24"/>
          <w:lang w:bidi="en-US"/>
        </w:rPr>
      </w:pPr>
      <w:r w:rsidRPr="00062AD2">
        <w:rPr>
          <w:rFonts w:eastAsia="Calibri"/>
          <w:szCs w:val="24"/>
          <w:lang w:bidi="en-US"/>
        </w:rPr>
        <w:tab/>
      </w:r>
    </w:p>
    <w:p w:rsidR="00B2642A" w:rsidRPr="00062AD2" w:rsidP="00B2642A" w14:paraId="1A9DDC04" w14:textId="77777777">
      <w:pPr>
        <w:ind w:left="4320"/>
        <w:contextualSpacing/>
        <w:rPr>
          <w:rFonts w:eastAsia="Calibri"/>
          <w:szCs w:val="24"/>
          <w:lang w:bidi="en-US"/>
        </w:rPr>
      </w:pPr>
      <w:r w:rsidRPr="00062AD2">
        <w:rPr>
          <w:i/>
          <w:iCs/>
          <w:color w:val="000000"/>
          <w:szCs w:val="24"/>
          <w:u w:val="single"/>
          <w:lang w:bidi="en-US"/>
        </w:rPr>
        <w:t>/s/ Donald J. Kral</w:t>
      </w:r>
    </w:p>
    <w:p w:rsidR="00B2642A" w:rsidRPr="00062AD2" w:rsidP="00B2642A" w14:paraId="350E4E49" w14:textId="77777777">
      <w:pPr>
        <w:tabs>
          <w:tab w:val="left" w:pos="4320"/>
        </w:tabs>
        <w:ind w:left="4320"/>
        <w:rPr>
          <w:color w:val="000000"/>
          <w:szCs w:val="24"/>
          <w:lang w:bidi="en-US"/>
        </w:rPr>
      </w:pPr>
      <w:r w:rsidRPr="00062AD2">
        <w:rPr>
          <w:color w:val="000000"/>
          <w:szCs w:val="24"/>
          <w:lang w:bidi="en-US"/>
        </w:rPr>
        <w:t>Donald J. Kral (0042091)</w:t>
      </w:r>
    </w:p>
    <w:p w:rsidR="00B2642A" w:rsidRPr="00062AD2" w:rsidP="00B2642A" w14:paraId="00DE0F47" w14:textId="77777777">
      <w:pPr>
        <w:ind w:left="4320"/>
        <w:rPr>
          <w:color w:val="000000"/>
          <w:szCs w:val="24"/>
          <w:lang w:bidi="en-US"/>
        </w:rPr>
      </w:pPr>
      <w:r w:rsidRPr="00062AD2">
        <w:rPr>
          <w:color w:val="000000"/>
          <w:szCs w:val="24"/>
          <w:lang w:bidi="en-US"/>
        </w:rPr>
        <w:t xml:space="preserve">Counsel of Record </w:t>
      </w:r>
    </w:p>
    <w:p w:rsidR="00B2642A" w:rsidRPr="00062AD2" w:rsidP="00B2642A" w14:paraId="61FCD894" w14:textId="77777777">
      <w:pPr>
        <w:ind w:left="4320"/>
        <w:rPr>
          <w:szCs w:val="24"/>
          <w:lang w:bidi="en-US"/>
        </w:rPr>
      </w:pPr>
      <w:r w:rsidRPr="00062AD2">
        <w:rPr>
          <w:szCs w:val="24"/>
          <w:lang w:bidi="en-US"/>
        </w:rPr>
        <w:t>Thomas J. Brodbeck (0093920)</w:t>
      </w:r>
    </w:p>
    <w:p w:rsidR="00B2642A" w:rsidRPr="00062AD2" w:rsidP="00B2642A" w14:paraId="3C0D920A" w14:textId="77777777">
      <w:pPr>
        <w:ind w:left="4320"/>
        <w:rPr>
          <w:color w:val="000000"/>
          <w:szCs w:val="24"/>
          <w:lang w:bidi="en-US"/>
        </w:rPr>
      </w:pPr>
      <w:r w:rsidRPr="00062AD2">
        <w:rPr>
          <w:color w:val="000000"/>
          <w:szCs w:val="24"/>
          <w:lang w:bidi="en-US"/>
        </w:rPr>
        <w:t>Assistant Consumers’ Counsel</w:t>
      </w:r>
    </w:p>
    <w:p w:rsidR="00B2642A" w:rsidRPr="00062AD2" w:rsidP="00B2642A" w14:paraId="6FA85AA1" w14:textId="77777777">
      <w:pPr>
        <w:ind w:left="4320"/>
        <w:rPr>
          <w:b/>
          <w:color w:val="000000"/>
          <w:szCs w:val="24"/>
          <w:lang w:bidi="en-US"/>
        </w:rPr>
      </w:pPr>
    </w:p>
    <w:p w:rsidR="00B2642A" w:rsidRPr="00062AD2" w:rsidP="00B2642A" w14:paraId="28A9B9E4" w14:textId="77777777">
      <w:pPr>
        <w:ind w:left="4320"/>
        <w:rPr>
          <w:b/>
          <w:color w:val="000000"/>
          <w:szCs w:val="24"/>
          <w:lang w:bidi="en-US"/>
        </w:rPr>
      </w:pPr>
      <w:r w:rsidRPr="00062AD2">
        <w:rPr>
          <w:b/>
          <w:color w:val="000000"/>
          <w:szCs w:val="24"/>
          <w:lang w:bidi="en-US"/>
        </w:rPr>
        <w:t>Office of the Ohio Consumers’ Counsel</w:t>
      </w:r>
    </w:p>
    <w:p w:rsidR="00B2642A" w:rsidRPr="00062AD2" w:rsidP="00B2642A" w14:paraId="124D2CC8" w14:textId="77777777">
      <w:pPr>
        <w:ind w:left="4320"/>
        <w:rPr>
          <w:color w:val="000000"/>
          <w:szCs w:val="24"/>
          <w:lang w:bidi="en-US"/>
        </w:rPr>
      </w:pPr>
      <w:r w:rsidRPr="00062AD2">
        <w:rPr>
          <w:color w:val="000000"/>
          <w:szCs w:val="24"/>
          <w:lang w:bidi="en-US"/>
        </w:rPr>
        <w:t>65 East State Street, Suite 700</w:t>
      </w:r>
    </w:p>
    <w:p w:rsidR="00B2642A" w:rsidRPr="00062AD2" w:rsidP="00B2642A" w14:paraId="35BBBD0A" w14:textId="77777777">
      <w:pPr>
        <w:ind w:left="4320"/>
        <w:rPr>
          <w:color w:val="000000"/>
          <w:szCs w:val="24"/>
          <w:lang w:bidi="en-US"/>
        </w:rPr>
      </w:pPr>
      <w:r w:rsidRPr="00062AD2">
        <w:rPr>
          <w:color w:val="000000"/>
          <w:szCs w:val="24"/>
          <w:lang w:bidi="en-US"/>
        </w:rPr>
        <w:t>Columbus, Ohio 43215</w:t>
      </w:r>
      <w:r w:rsidRPr="00062AD2">
        <w:rPr>
          <w:color w:val="000000"/>
          <w:szCs w:val="24"/>
          <w:lang w:bidi="en-US"/>
        </w:rPr>
        <w:tab/>
      </w:r>
    </w:p>
    <w:p w:rsidR="00B2642A" w:rsidRPr="00062AD2" w:rsidP="00B2642A" w14:paraId="7E4FEDF0" w14:textId="77777777">
      <w:pPr>
        <w:ind w:left="4320"/>
        <w:rPr>
          <w:color w:val="000000"/>
          <w:szCs w:val="24"/>
          <w:lang w:bidi="en-US"/>
        </w:rPr>
      </w:pPr>
      <w:r w:rsidRPr="00062AD2">
        <w:rPr>
          <w:color w:val="000000"/>
          <w:szCs w:val="24"/>
          <w:lang w:bidi="en-US"/>
        </w:rPr>
        <w:t>Telephone [Kral]: (614) 466-9571</w:t>
      </w:r>
    </w:p>
    <w:p w:rsidR="00B2642A" w:rsidRPr="00062AD2" w:rsidP="00B2642A" w14:paraId="5B681110" w14:textId="77777777">
      <w:pPr>
        <w:ind w:left="4320"/>
        <w:rPr>
          <w:szCs w:val="24"/>
          <w:lang w:bidi="en-US"/>
        </w:rPr>
      </w:pPr>
      <w:r w:rsidRPr="00062AD2">
        <w:rPr>
          <w:szCs w:val="24"/>
          <w:lang w:bidi="en-US"/>
        </w:rPr>
        <w:t>Telephone: [Brodbeck]: (614) 466-9565</w:t>
      </w:r>
    </w:p>
    <w:p w:rsidR="00B2642A" w:rsidRPr="00062AD2" w:rsidP="00B2642A" w14:paraId="42637CD6" w14:textId="77777777">
      <w:pPr>
        <w:ind w:left="4320"/>
        <w:rPr>
          <w:szCs w:val="24"/>
        </w:rPr>
      </w:pPr>
      <w:hyperlink r:id="rId6" w:history="1">
        <w:r w:rsidRPr="00062AD2">
          <w:rPr>
            <w:rStyle w:val="Hyperlink"/>
            <w:szCs w:val="24"/>
          </w:rPr>
          <w:t>donald.kral@occ.ohio.gov</w:t>
        </w:r>
      </w:hyperlink>
    </w:p>
    <w:p w:rsidR="00B2642A" w:rsidRPr="00062AD2" w:rsidP="00B2642A" w14:paraId="7DB8F867" w14:textId="77777777">
      <w:pPr>
        <w:ind w:left="4320"/>
        <w:rPr>
          <w:rFonts w:eastAsia="Courier New"/>
          <w:color w:val="FF0000"/>
          <w:szCs w:val="24"/>
          <w:lang w:bidi="en-US"/>
        </w:rPr>
      </w:pPr>
      <w:hyperlink r:id="rId7" w:history="1">
        <w:r w:rsidRPr="00062AD2">
          <w:rPr>
            <w:rStyle w:val="Hyperlink"/>
            <w:rFonts w:eastAsia="Courier New"/>
            <w:szCs w:val="24"/>
            <w:lang w:bidi="en-US"/>
          </w:rPr>
          <w:t>thomas.brodbeck@occ.ohio.gov</w:t>
        </w:r>
      </w:hyperlink>
    </w:p>
    <w:p w:rsidR="00B2642A" w:rsidRPr="00062AD2" w:rsidP="00B2642A" w14:paraId="767C0985" w14:textId="77777777">
      <w:pPr>
        <w:ind w:firstLine="4320"/>
        <w:rPr>
          <w:szCs w:val="24"/>
          <w:lang w:bidi="en-US"/>
        </w:rPr>
      </w:pPr>
      <w:r w:rsidRPr="00062AD2">
        <w:rPr>
          <w:szCs w:val="24"/>
          <w:lang w:bidi="en-US"/>
        </w:rPr>
        <w:t>(willing to accept service by e-mail)</w:t>
      </w:r>
    </w:p>
    <w:p w:rsidR="00B2642A" w:rsidRPr="00062AD2" w14:paraId="31FBE01F" w14:textId="26D1DC7B">
      <w:pPr>
        <w:rPr>
          <w:szCs w:val="24"/>
          <w:lang w:bidi="en-US"/>
        </w:rPr>
      </w:pPr>
      <w:r w:rsidRPr="00062AD2">
        <w:rPr>
          <w:szCs w:val="24"/>
          <w:lang w:bidi="en-US"/>
        </w:rPr>
        <w:br w:type="page"/>
      </w:r>
    </w:p>
    <w:p w:rsidR="00ED3C67" w:rsidRPr="00062AD2" w14:paraId="1381F5AC" w14:textId="4D9C98DA">
      <w:pPr>
        <w:jc w:val="center"/>
        <w:rPr>
          <w:b/>
          <w:bCs/>
          <w:szCs w:val="24"/>
          <w:u w:val="single"/>
        </w:rPr>
      </w:pPr>
      <w:r w:rsidRPr="00062AD2">
        <w:rPr>
          <w:b/>
          <w:bCs/>
          <w:szCs w:val="24"/>
          <w:u w:val="single"/>
        </w:rPr>
        <w:t>CERTIFICATE OF SERVICE</w:t>
      </w:r>
    </w:p>
    <w:p w:rsidR="00ED3C67" w:rsidRPr="00062AD2" w14:paraId="3D876FF8" w14:textId="02F1C727">
      <w:pPr>
        <w:spacing w:line="480" w:lineRule="atLeast"/>
        <w:rPr>
          <w:szCs w:val="24"/>
        </w:rPr>
      </w:pPr>
      <w:r w:rsidRPr="00062AD2">
        <w:rPr>
          <w:szCs w:val="24"/>
        </w:rPr>
        <w:tab/>
        <w:t>I hereby certify that a copy of this Motion to Intervene was served on the persons stated below via electronic transmission, this</w:t>
      </w:r>
      <w:r w:rsidR="00FF210A">
        <w:rPr>
          <w:szCs w:val="24"/>
        </w:rPr>
        <w:t xml:space="preserve"> 8</w:t>
      </w:r>
      <w:r w:rsidRPr="00FF210A" w:rsidR="00FF210A">
        <w:rPr>
          <w:szCs w:val="24"/>
          <w:vertAlign w:val="superscript"/>
        </w:rPr>
        <w:t>th</w:t>
      </w:r>
      <w:r w:rsidR="00FF210A">
        <w:rPr>
          <w:szCs w:val="24"/>
        </w:rPr>
        <w:t xml:space="preserve"> </w:t>
      </w:r>
      <w:r w:rsidRPr="00062AD2">
        <w:rPr>
          <w:szCs w:val="24"/>
        </w:rPr>
        <w:t xml:space="preserve">day of </w:t>
      </w:r>
      <w:r w:rsidRPr="00062AD2" w:rsidR="00F3351A">
        <w:rPr>
          <w:szCs w:val="24"/>
        </w:rPr>
        <w:t>December 2023</w:t>
      </w:r>
      <w:r w:rsidRPr="00062AD2">
        <w:rPr>
          <w:szCs w:val="24"/>
        </w:rPr>
        <w:t>.</w:t>
      </w:r>
    </w:p>
    <w:p w:rsidR="00B54306" w:rsidRPr="00062AD2" w:rsidP="00B54306" w14:paraId="49B5A735" w14:textId="77777777">
      <w:pPr>
        <w:rPr>
          <w:szCs w:val="24"/>
        </w:rPr>
      </w:pPr>
    </w:p>
    <w:p w:rsidR="00ED3C67" w:rsidRPr="00062AD2" w:rsidP="00ED3C67" w14:paraId="0FDF4FBE" w14:textId="13E453D6">
      <w:pPr>
        <w:tabs>
          <w:tab w:val="left" w:pos="4320"/>
        </w:tabs>
        <w:rPr>
          <w:szCs w:val="24"/>
        </w:rPr>
      </w:pPr>
      <w:r w:rsidRPr="00062AD2">
        <w:rPr>
          <w:szCs w:val="24"/>
        </w:rPr>
        <w:tab/>
      </w:r>
      <w:r w:rsidRPr="00062AD2">
        <w:rPr>
          <w:i/>
          <w:szCs w:val="24"/>
          <w:u w:val="single"/>
        </w:rPr>
        <w:t xml:space="preserve">/s/ </w:t>
      </w:r>
      <w:r w:rsidRPr="00062AD2" w:rsidR="00F3351A">
        <w:rPr>
          <w:i/>
          <w:szCs w:val="24"/>
          <w:u w:val="single"/>
        </w:rPr>
        <w:t>Donald J. Kral</w:t>
      </w:r>
      <w:r w:rsidRPr="00062AD2" w:rsidR="00025065">
        <w:rPr>
          <w:i/>
          <w:szCs w:val="24"/>
          <w:u w:val="single"/>
        </w:rPr>
        <w:t xml:space="preserve"> </w:t>
      </w:r>
    </w:p>
    <w:p w:rsidR="00ED3C67" w:rsidRPr="00062AD2" w14:paraId="0502ECEA" w14:textId="77777777">
      <w:pPr>
        <w:tabs>
          <w:tab w:val="left" w:pos="4320"/>
        </w:tabs>
        <w:rPr>
          <w:szCs w:val="24"/>
        </w:rPr>
      </w:pPr>
      <w:r w:rsidRPr="00062AD2">
        <w:rPr>
          <w:szCs w:val="24"/>
        </w:rPr>
        <w:tab/>
      </w:r>
      <w:r w:rsidRPr="00062AD2" w:rsidR="00F3351A">
        <w:rPr>
          <w:szCs w:val="24"/>
        </w:rPr>
        <w:t>Donald J. Kral</w:t>
      </w:r>
    </w:p>
    <w:p w:rsidR="00ED3C67" w:rsidRPr="00062AD2" w14:paraId="5C478C05" w14:textId="77777777">
      <w:pPr>
        <w:tabs>
          <w:tab w:val="left" w:pos="4320"/>
        </w:tabs>
        <w:rPr>
          <w:szCs w:val="24"/>
        </w:rPr>
      </w:pPr>
      <w:r w:rsidRPr="00062AD2">
        <w:rPr>
          <w:szCs w:val="24"/>
        </w:rPr>
        <w:tab/>
        <w:t>Assistant Consumers’ Counsel</w:t>
      </w:r>
    </w:p>
    <w:p w:rsidR="00ED3C67" w:rsidRPr="00062AD2" w14:paraId="3FD392CE" w14:textId="77777777">
      <w:pPr>
        <w:pStyle w:val="CommentSubject"/>
        <w:rPr>
          <w:szCs w:val="24"/>
        </w:rPr>
      </w:pPr>
    </w:p>
    <w:p w:rsidR="00CA18C1" w:rsidRPr="00062AD2" w:rsidP="00CA18C1" w14:paraId="5651C5C0" w14:textId="77777777">
      <w:pPr>
        <w:pStyle w:val="CommentText"/>
      </w:pPr>
      <w:r w:rsidRPr="00062AD2">
        <w:t>The PUCO’s e-filing system will electronically serve notice of the filing of this document on the following parties:</w:t>
      </w:r>
    </w:p>
    <w:p w:rsidR="00ED3C67" w:rsidRPr="00062AD2" w14:paraId="32B3AD65" w14:textId="77777777">
      <w:pPr>
        <w:pStyle w:val="CommentText"/>
      </w:pPr>
    </w:p>
    <w:p w:rsidR="00ED3C67" w:rsidRPr="00062AD2" w14:paraId="320FDD40" w14:textId="77777777">
      <w:pPr>
        <w:pStyle w:val="CommentText"/>
        <w:jc w:val="center"/>
        <w:rPr>
          <w:b/>
          <w:u w:val="single"/>
        </w:rPr>
      </w:pPr>
      <w:r w:rsidRPr="00062AD2">
        <w:rPr>
          <w:b/>
          <w:u w:val="single"/>
        </w:rPr>
        <w:t>SERVICE LIST</w:t>
      </w:r>
    </w:p>
    <w:p w:rsidR="00ED3C67" w:rsidRPr="00062AD2" w14:paraId="25A7A6C2" w14:textId="77777777">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323"/>
        <w:gridCol w:w="4317"/>
      </w:tblGrid>
      <w:tr w14:paraId="47D34422" w14:textId="77777777" w:rsidTr="00ED3C67">
        <w:tblPrEx>
          <w:tblW w:w="0" w:type="auto"/>
          <w:tblInd w:w="0" w:type="dxa"/>
          <w:tblCellMar>
            <w:top w:w="0" w:type="dxa"/>
            <w:left w:w="108" w:type="dxa"/>
            <w:bottom w:w="0" w:type="dxa"/>
            <w:right w:w="108" w:type="dxa"/>
          </w:tblCellMar>
          <w:tblLook w:val="04A0"/>
        </w:tblPrEx>
        <w:tc>
          <w:tcPr>
            <w:tcW w:w="4428" w:type="dxa"/>
            <w:shd w:val="clear" w:color="auto" w:fill="auto"/>
          </w:tcPr>
          <w:p w:rsidR="00ED3C67" w:rsidRPr="00062AD2" w:rsidP="00ED3C67" w14:paraId="2BB53765" w14:textId="51EEC2DB">
            <w:pPr>
              <w:pStyle w:val="CommentText"/>
              <w:rPr>
                <w:sz w:val="24"/>
                <w:szCs w:val="24"/>
                <w:lang w:val="en-US" w:eastAsia="en-US" w:bidi="ar-SA"/>
              </w:rPr>
            </w:pPr>
            <w:hyperlink r:id="rId14" w:history="1">
              <w:r w:rsidRPr="00062AD2" w:rsidR="009D30E1">
                <w:rPr>
                  <w:rStyle w:val="Hyperlink"/>
                  <w:color w:val="0000FF"/>
                  <w:sz w:val="24"/>
                  <w:szCs w:val="24"/>
                  <w:u w:val="single"/>
                  <w:lang w:val="en-US" w:eastAsia="en-US" w:bidi="ar-SA"/>
                </w:rPr>
                <w:t>john.jones@ohioago.gov</w:t>
              </w:r>
            </w:hyperlink>
          </w:p>
          <w:p w:rsidR="00D6650F" w:rsidRPr="00062AD2" w:rsidP="00ED3C67" w14:paraId="3DE43561" w14:textId="77777777">
            <w:pPr>
              <w:pStyle w:val="CommentText"/>
              <w:rPr>
                <w:sz w:val="24"/>
                <w:szCs w:val="24"/>
                <w:lang w:val="en-US" w:eastAsia="en-US" w:bidi="ar-SA"/>
              </w:rPr>
            </w:pPr>
          </w:p>
          <w:p w:rsidR="00ED3C67" w:rsidRPr="00062AD2" w:rsidP="00ED3C67" w14:paraId="22696F47" w14:textId="180AFF98">
            <w:pPr>
              <w:pStyle w:val="CommentText"/>
              <w:rPr>
                <w:sz w:val="24"/>
                <w:szCs w:val="24"/>
                <w:lang w:val="en-US" w:eastAsia="en-US" w:bidi="ar-SA"/>
              </w:rPr>
            </w:pPr>
            <w:r w:rsidRPr="00062AD2">
              <w:rPr>
                <w:sz w:val="24"/>
                <w:szCs w:val="24"/>
                <w:lang w:val="en-US" w:eastAsia="en-US" w:bidi="ar-SA"/>
              </w:rPr>
              <w:t>Attorney Examiner:</w:t>
            </w:r>
          </w:p>
        </w:tc>
        <w:tc>
          <w:tcPr>
            <w:tcW w:w="4428" w:type="dxa"/>
            <w:shd w:val="clear" w:color="auto" w:fill="auto"/>
          </w:tcPr>
          <w:p w:rsidR="00B93C1E" w:rsidRPr="00062AD2" w:rsidP="00E36492" w14:paraId="3600CFCA" w14:textId="1761E769">
            <w:pPr>
              <w:pStyle w:val="CommentText"/>
              <w:rPr>
                <w:sz w:val="24"/>
                <w:szCs w:val="24"/>
                <w:lang w:val="en-US" w:eastAsia="en-US" w:bidi="ar-SA"/>
              </w:rPr>
            </w:pPr>
            <w:hyperlink r:id="rId15" w:history="1">
              <w:r w:rsidRPr="00062AD2">
                <w:rPr>
                  <w:rStyle w:val="Hyperlink"/>
                  <w:color w:val="0000FF"/>
                  <w:sz w:val="24"/>
                  <w:szCs w:val="24"/>
                  <w:u w:val="single"/>
                  <w:lang w:val="en-US" w:eastAsia="en-US" w:bidi="ar-SA"/>
                </w:rPr>
                <w:t>Rocco.dascenzo@duke-energy.com</w:t>
              </w:r>
            </w:hyperlink>
          </w:p>
          <w:p w:rsidR="00B93C1E" w:rsidRPr="00062AD2" w:rsidP="00E36492" w14:paraId="34F9177C" w14:textId="1D48BD4E">
            <w:pPr>
              <w:pStyle w:val="CommentText"/>
              <w:rPr>
                <w:sz w:val="24"/>
                <w:szCs w:val="24"/>
                <w:lang w:val="en-US" w:eastAsia="en-US" w:bidi="ar-SA"/>
              </w:rPr>
            </w:pPr>
            <w:hyperlink r:id="rId16" w:history="1">
              <w:r w:rsidRPr="00062AD2">
                <w:rPr>
                  <w:rStyle w:val="Hyperlink"/>
                  <w:color w:val="0000FF"/>
                  <w:sz w:val="24"/>
                  <w:szCs w:val="24"/>
                  <w:u w:val="single"/>
                  <w:lang w:val="en-US" w:eastAsia="en-US" w:bidi="ar-SA"/>
                </w:rPr>
                <w:t>Jeanne.kingery@duke-energy.com</w:t>
              </w:r>
            </w:hyperlink>
          </w:p>
          <w:p w:rsidR="00B93C1E" w:rsidRPr="00062AD2" w:rsidP="00E36492" w14:paraId="306EE970" w14:textId="6A1C3A57">
            <w:pPr>
              <w:pStyle w:val="CommentText"/>
              <w:rPr>
                <w:sz w:val="24"/>
                <w:szCs w:val="24"/>
                <w:lang w:val="en-US" w:eastAsia="en-US" w:bidi="ar-SA"/>
              </w:rPr>
            </w:pPr>
            <w:hyperlink r:id="rId17" w:history="1">
              <w:r w:rsidRPr="00062AD2">
                <w:rPr>
                  <w:rStyle w:val="Hyperlink"/>
                  <w:color w:val="0000FF"/>
                  <w:sz w:val="24"/>
                  <w:szCs w:val="24"/>
                  <w:u w:val="single"/>
                  <w:lang w:val="en-US" w:eastAsia="en-US" w:bidi="ar-SA"/>
                </w:rPr>
                <w:t>Larisa.vaysman@duke-energy.com</w:t>
              </w:r>
            </w:hyperlink>
          </w:p>
          <w:p w:rsidR="00ED3C67" w:rsidRPr="00062AD2" w:rsidP="00B93C1E" w14:paraId="17703CA5" w14:textId="4E719985">
            <w:pPr>
              <w:pStyle w:val="CommentText"/>
              <w:rPr>
                <w:sz w:val="24"/>
                <w:szCs w:val="24"/>
                <w:lang w:val="en-US" w:eastAsia="en-US" w:bidi="ar-SA"/>
              </w:rPr>
            </w:pPr>
            <w:hyperlink r:id="rId18" w:history="1">
              <w:r w:rsidRPr="00062AD2" w:rsidR="00B93C1E">
                <w:rPr>
                  <w:rStyle w:val="Hyperlink"/>
                  <w:color w:val="0000FF"/>
                  <w:sz w:val="24"/>
                  <w:szCs w:val="24"/>
                  <w:u w:val="single"/>
                  <w:lang w:val="en-US" w:eastAsia="en-US" w:bidi="ar-SA"/>
                </w:rPr>
                <w:t>Elyse.Akhbari@duke-energy.com</w:t>
              </w:r>
            </w:hyperlink>
          </w:p>
        </w:tc>
      </w:tr>
      <w:tr w14:paraId="70FABFAF" w14:textId="77777777" w:rsidTr="00ED3C67">
        <w:tblPrEx>
          <w:tblW w:w="0" w:type="auto"/>
          <w:tblInd w:w="0" w:type="dxa"/>
          <w:tblCellMar>
            <w:top w:w="0" w:type="dxa"/>
            <w:left w:w="108" w:type="dxa"/>
            <w:bottom w:w="0" w:type="dxa"/>
            <w:right w:w="108" w:type="dxa"/>
          </w:tblCellMar>
          <w:tblLook w:val="04A0"/>
        </w:tblPrEx>
        <w:tc>
          <w:tcPr>
            <w:tcW w:w="4428" w:type="dxa"/>
            <w:shd w:val="clear" w:color="auto" w:fill="auto"/>
          </w:tcPr>
          <w:p w:rsidR="00ED3C67" w:rsidRPr="00062AD2" w:rsidP="00ED3C67" w14:paraId="0EE99D0D" w14:textId="77777777">
            <w:pPr>
              <w:pStyle w:val="CommentText"/>
              <w:rPr>
                <w:sz w:val="24"/>
                <w:szCs w:val="24"/>
                <w:lang w:val="en-US" w:eastAsia="en-US" w:bidi="ar-SA"/>
              </w:rPr>
            </w:pPr>
          </w:p>
        </w:tc>
        <w:tc>
          <w:tcPr>
            <w:tcW w:w="4428" w:type="dxa"/>
            <w:shd w:val="clear" w:color="auto" w:fill="auto"/>
          </w:tcPr>
          <w:p w:rsidR="00ED3C67" w:rsidRPr="00062AD2" w:rsidP="002F2381" w14:paraId="333AC740" w14:textId="77777777">
            <w:pPr>
              <w:pStyle w:val="CommentText"/>
              <w:rPr>
                <w:sz w:val="24"/>
                <w:szCs w:val="24"/>
                <w:lang w:val="en-US" w:eastAsia="en-US" w:bidi="ar-SA"/>
              </w:rPr>
            </w:pPr>
          </w:p>
        </w:tc>
      </w:tr>
    </w:tbl>
    <w:p w:rsidR="00ED3C67" w:rsidRPr="00062AD2" w14:paraId="4CCC8492" w14:textId="77777777">
      <w:pPr>
        <w:pStyle w:val="BodyText"/>
        <w:rPr>
          <w:b/>
          <w:bCs/>
          <w:szCs w:val="24"/>
        </w:rPr>
      </w:pPr>
    </w:p>
    <w:sectPr w:rsidSect="000C2DF5">
      <w:footerReference w:type="default" r:id="rId19"/>
      <w:footerReference w:type="first" r:id="rId20"/>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1E60" w14:paraId="6652CC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69284"/>
      <w:docPartObj>
        <w:docPartGallery w:val="Page Numbers (Bottom of Page)"/>
        <w:docPartUnique/>
      </w:docPartObj>
    </w:sdtPr>
    <w:sdtEndPr>
      <w:rPr>
        <w:noProof/>
        <w:sz w:val="24"/>
        <w:szCs w:val="24"/>
      </w:rPr>
    </w:sdtEndPr>
    <w:sdtContent>
      <w:p w:rsidR="00122938" w:rsidRPr="00122938" w14:paraId="5845DAF5" w14:textId="1B254DE6">
        <w:pPr>
          <w:pStyle w:val="Footer"/>
          <w:jc w:val="center"/>
          <w:rPr>
            <w:sz w:val="24"/>
            <w:szCs w:val="24"/>
          </w:rPr>
        </w:pPr>
        <w:r w:rsidRPr="00122938">
          <w:rPr>
            <w:sz w:val="24"/>
            <w:szCs w:val="24"/>
          </w:rPr>
          <w:fldChar w:fldCharType="begin"/>
        </w:r>
        <w:r w:rsidRPr="00122938">
          <w:rPr>
            <w:sz w:val="24"/>
            <w:szCs w:val="24"/>
          </w:rPr>
          <w:instrText xml:space="preserve"> PAGE   \* MERGEFORMAT </w:instrText>
        </w:r>
        <w:r w:rsidRPr="00122938">
          <w:rPr>
            <w:sz w:val="24"/>
            <w:szCs w:val="24"/>
          </w:rPr>
          <w:fldChar w:fldCharType="separate"/>
        </w:r>
        <w:r w:rsidRPr="00122938">
          <w:rPr>
            <w:noProof/>
            <w:sz w:val="24"/>
            <w:szCs w:val="24"/>
          </w:rPr>
          <w:t>2</w:t>
        </w:r>
        <w:r w:rsidRPr="00122938">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1E60" w14:paraId="547636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2837677"/>
      <w:docPartObj>
        <w:docPartGallery w:val="Page Numbers (Bottom of Page)"/>
        <w:docPartUnique/>
      </w:docPartObj>
    </w:sdtPr>
    <w:sdtEndPr>
      <w:rPr>
        <w:noProof/>
        <w:sz w:val="24"/>
        <w:szCs w:val="24"/>
      </w:rPr>
    </w:sdtEndPr>
    <w:sdtContent>
      <w:p w:rsidR="000C2DF5" w:rsidRPr="000C2DF5" w14:paraId="371A5126" w14:textId="02EB5CB2">
        <w:pPr>
          <w:pStyle w:val="Footer"/>
          <w:jc w:val="center"/>
          <w:rPr>
            <w:sz w:val="24"/>
            <w:szCs w:val="24"/>
          </w:rPr>
        </w:pPr>
        <w:r w:rsidRPr="000C2DF5">
          <w:rPr>
            <w:sz w:val="24"/>
            <w:szCs w:val="24"/>
          </w:rPr>
          <w:fldChar w:fldCharType="begin"/>
        </w:r>
        <w:r w:rsidRPr="000C2DF5">
          <w:rPr>
            <w:sz w:val="24"/>
            <w:szCs w:val="24"/>
          </w:rPr>
          <w:instrText xml:space="preserve"> PAGE   \* MERGEFORMAT </w:instrText>
        </w:r>
        <w:r w:rsidRPr="000C2DF5">
          <w:rPr>
            <w:sz w:val="24"/>
            <w:szCs w:val="24"/>
          </w:rPr>
          <w:fldChar w:fldCharType="separate"/>
        </w:r>
        <w:r w:rsidRPr="000C2DF5">
          <w:rPr>
            <w:noProof/>
            <w:sz w:val="24"/>
            <w:szCs w:val="24"/>
          </w:rPr>
          <w:t>2</w:t>
        </w:r>
        <w:r w:rsidRPr="000C2DF5">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339327"/>
      <w:docPartObj>
        <w:docPartGallery w:val="Page Numbers (Bottom of Page)"/>
        <w:docPartUnique/>
      </w:docPartObj>
    </w:sdtPr>
    <w:sdtEndPr>
      <w:rPr>
        <w:noProof/>
        <w:sz w:val="24"/>
        <w:szCs w:val="24"/>
      </w:rPr>
    </w:sdtEndPr>
    <w:sdtContent>
      <w:p w:rsidR="008765BF" w:rsidRPr="008765BF" w14:paraId="5171BE70" w14:textId="161F6151">
        <w:pPr>
          <w:pStyle w:val="Footer"/>
          <w:jc w:val="center"/>
          <w:rPr>
            <w:sz w:val="24"/>
            <w:szCs w:val="24"/>
          </w:rPr>
        </w:pPr>
        <w:r w:rsidRPr="008765BF">
          <w:rPr>
            <w:sz w:val="24"/>
            <w:szCs w:val="24"/>
          </w:rPr>
          <w:fldChar w:fldCharType="begin"/>
        </w:r>
        <w:r w:rsidRPr="008765BF">
          <w:rPr>
            <w:sz w:val="24"/>
            <w:szCs w:val="24"/>
          </w:rPr>
          <w:instrText xml:space="preserve"> PAGE   \* MERGEFORMAT </w:instrText>
        </w:r>
        <w:r w:rsidRPr="008765BF">
          <w:rPr>
            <w:sz w:val="24"/>
            <w:szCs w:val="24"/>
          </w:rPr>
          <w:fldChar w:fldCharType="separate"/>
        </w:r>
        <w:r w:rsidRPr="008765BF">
          <w:rPr>
            <w:noProof/>
            <w:sz w:val="24"/>
            <w:szCs w:val="24"/>
          </w:rPr>
          <w:t>2</w:t>
        </w:r>
        <w:r w:rsidRPr="008765B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3C67" w14:paraId="492BE5DB" w14:textId="77777777">
      <w:r>
        <w:separator/>
      </w:r>
    </w:p>
  </w:footnote>
  <w:footnote w:type="continuationSeparator" w:id="1">
    <w:p w:rsidR="00ED3C67" w14:paraId="7912E16C" w14:textId="77777777">
      <w:r>
        <w:continuationSeparator/>
      </w:r>
    </w:p>
  </w:footnote>
  <w:footnote w:id="2">
    <w:p w:rsidR="00ED3C67" w14:paraId="36B1BD0B" w14:textId="00623847">
      <w:pPr>
        <w:pStyle w:val="FootnoteText"/>
      </w:pPr>
      <w:r>
        <w:rPr>
          <w:rStyle w:val="FootnoteReference"/>
        </w:rPr>
        <w:footnoteRef/>
      </w:r>
      <w:r>
        <w:t xml:space="preserve"> </w:t>
      </w:r>
      <w:r>
        <w:rPr>
          <w:i/>
        </w:rPr>
        <w:t>See</w:t>
      </w:r>
      <w:r>
        <w:t xml:space="preserve"> R.C. Chapter 4911, R.C. 4903.221, and </w:t>
      </w:r>
      <w:r w:rsidR="008E28AA">
        <w:t>O.A.C.</w:t>
      </w:r>
      <w:r>
        <w:t xml:space="preserve"> 4901-1-11.</w:t>
      </w:r>
    </w:p>
  </w:footnote>
  <w:footnote w:id="3">
    <w:p w:rsidR="007D574E" w:rsidP="007D574E" w14:paraId="261C968F" w14:textId="77777777">
      <w:pPr>
        <w:pStyle w:val="FootnoteText"/>
      </w:pPr>
      <w:r>
        <w:rPr>
          <w:rStyle w:val="FootnoteReference"/>
        </w:rPr>
        <w:footnoteRef/>
      </w:r>
      <w:r>
        <w:t xml:space="preserve"> </w:t>
      </w:r>
      <w:r>
        <w:rPr>
          <w:szCs w:val="24"/>
        </w:rPr>
        <w:t>O.A.C.</w:t>
      </w:r>
      <w:r w:rsidRPr="0077355B">
        <w:rPr>
          <w:szCs w:val="24"/>
        </w:rPr>
        <w:t xml:space="preserve"> 4901:1-18-06(A)(2)</w:t>
      </w:r>
      <w:r>
        <w:rPr>
          <w:szCs w:val="24"/>
        </w:rPr>
        <w:t>.</w:t>
      </w:r>
    </w:p>
  </w:footnote>
  <w:footnote w:id="4">
    <w:p w:rsidR="007D574E" w14:paraId="75EDECA6" w14:textId="02C71EAE">
      <w:pPr>
        <w:pStyle w:val="FootnoteText"/>
      </w:pPr>
      <w:r>
        <w:rPr>
          <w:rStyle w:val="FootnoteReference"/>
        </w:rPr>
        <w:footnoteRef/>
      </w:r>
      <w:r>
        <w:t xml:space="preserve"> </w:t>
      </w:r>
      <w:r w:rsidR="001452C3">
        <w:t>Duke Application (Nov. 17, 2023), at 3.</w:t>
      </w:r>
    </w:p>
  </w:footnote>
  <w:footnote w:id="5">
    <w:p w:rsidR="00ED3C67" w:rsidP="00ED3C67" w14:paraId="5BAE240A" w14:textId="3D8EB9A9">
      <w:pPr>
        <w:pStyle w:val="FootnoteText"/>
      </w:pPr>
      <w:r>
        <w:rPr>
          <w:rStyle w:val="FootnoteReference"/>
        </w:rPr>
        <w:footnoteRef/>
      </w:r>
      <w:r>
        <w:t xml:space="preserve"> </w:t>
      </w:r>
      <w:r w:rsidR="008E28AA">
        <w:rPr>
          <w:szCs w:val="24"/>
        </w:rPr>
        <w:t>O.A.C.</w:t>
      </w:r>
      <w:r w:rsidRPr="0077355B">
        <w:rPr>
          <w:szCs w:val="24"/>
        </w:rPr>
        <w:t xml:space="preserve"> 4901:1-18-06(A)(2)</w:t>
      </w:r>
      <w:r>
        <w:rPr>
          <w:szCs w:val="24"/>
        </w:rPr>
        <w:t>.</w:t>
      </w:r>
    </w:p>
  </w:footnote>
  <w:footnote w:id="6">
    <w:p w:rsidR="00ED3C67" w:rsidRPr="00B923FD" w:rsidP="00ED3C67" w14:paraId="42A973B1" w14:textId="77777777">
      <w:pPr>
        <w:pStyle w:val="FootnoteText"/>
        <w:rPr>
          <w:sz w:val="24"/>
          <w:szCs w:val="24"/>
        </w:rPr>
      </w:pPr>
      <w:r w:rsidRPr="002C7B31">
        <w:rPr>
          <w:rStyle w:val="FootnoteReference"/>
        </w:rPr>
        <w:footnoteRef/>
      </w:r>
      <w:r w:rsidRPr="002C7B31">
        <w:t xml:space="preserve"> </w:t>
      </w:r>
      <w:r w:rsidR="00645AE0">
        <w:rPr>
          <w:i/>
          <w:iCs/>
        </w:rPr>
        <w:t xml:space="preserve">In the Matter of the Application of Duke Energy Ohio, Inc. for a Waiver, </w:t>
      </w:r>
      <w:r w:rsidRPr="002C7B31">
        <w:t>Case No. 16-1096-EL-WVR</w:t>
      </w:r>
      <w:r>
        <w:t>, Finding and Order (March 8, 2017).</w:t>
      </w:r>
    </w:p>
  </w:footnote>
  <w:footnote w:id="7">
    <w:p w:rsidR="00ED3C67" w:rsidRPr="00283C49" w14:paraId="79C821E4" w14:textId="55EC43C4">
      <w:pPr>
        <w:pStyle w:val="FootnoteText"/>
      </w:pPr>
      <w:r>
        <w:rPr>
          <w:rStyle w:val="FootnoteReference"/>
        </w:rPr>
        <w:footnoteRef/>
      </w:r>
      <w:r>
        <w:t xml:space="preserve"> </w:t>
      </w:r>
      <w:r>
        <w:rPr>
          <w:i/>
        </w:rPr>
        <w:t>Id.</w:t>
      </w:r>
      <w:r w:rsidR="00645AE0">
        <w:t xml:space="preserve"> at</w:t>
      </w:r>
      <w:r>
        <w:t xml:space="preserve"> ¶</w:t>
      </w:r>
      <w:r w:rsidR="008E28AA">
        <w:t xml:space="preserve"> </w:t>
      </w:r>
      <w:r>
        <w:t>22.</w:t>
      </w:r>
    </w:p>
  </w:footnote>
  <w:footnote w:id="8">
    <w:p w:rsidR="00645AE0" w:rsidRPr="00645AE0" w14:paraId="2178311D" w14:textId="40FFDD38">
      <w:pPr>
        <w:pStyle w:val="FootnoteText"/>
      </w:pPr>
      <w:r>
        <w:rPr>
          <w:rStyle w:val="FootnoteReference"/>
        </w:rPr>
        <w:footnoteRef/>
      </w:r>
      <w:r>
        <w:t xml:space="preserve"> </w:t>
      </w:r>
      <w:r w:rsidR="00611628">
        <w:rPr>
          <w:i/>
          <w:iCs/>
        </w:rPr>
        <w:t>In the Matter of the Application of Duke Energy Ohio, Inc. for a Waiver</w:t>
      </w:r>
      <w:r w:rsidR="00611628">
        <w:t xml:space="preserve">, Case No. 19-187-EL-WVR, </w:t>
      </w:r>
      <w:r>
        <w:t>Finding and Order (Sept</w:t>
      </w:r>
      <w:r w:rsidR="00062AD2">
        <w:t>.</w:t>
      </w:r>
      <w:r>
        <w:t xml:space="preserve"> 26, 2019) at 7.</w:t>
      </w:r>
    </w:p>
  </w:footnote>
  <w:footnote w:id="9">
    <w:p w:rsidR="00697632" w14:paraId="1B00DB69" w14:textId="77777777">
      <w:pPr>
        <w:pStyle w:val="FootnoteText"/>
      </w:pPr>
      <w:r>
        <w:rPr>
          <w:rStyle w:val="FootnoteReference"/>
        </w:rPr>
        <w:footnoteRef/>
      </w:r>
      <w:r>
        <w:t xml:space="preserve"> Application at 2-3.</w:t>
      </w:r>
    </w:p>
  </w:footnote>
  <w:footnote w:id="10">
    <w:p w:rsidR="00ED3C67" w14:paraId="0AEE15A0" w14:textId="4C623478">
      <w:pPr>
        <w:pStyle w:val="FootnoteText"/>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w:t>
      </w:r>
      <w:r w:rsidR="00FE57EC">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1E60" w14:paraId="51BF63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1E60" w14:paraId="628176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1E60" w14:paraId="74B092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25065"/>
    <w:rsid w:val="00037E2F"/>
    <w:rsid w:val="00062AD2"/>
    <w:rsid w:val="00067039"/>
    <w:rsid w:val="000A642B"/>
    <w:rsid w:val="000C2DF5"/>
    <w:rsid w:val="00122938"/>
    <w:rsid w:val="001452C3"/>
    <w:rsid w:val="001643D9"/>
    <w:rsid w:val="00172C96"/>
    <w:rsid w:val="001B65CF"/>
    <w:rsid w:val="001D1555"/>
    <w:rsid w:val="00233776"/>
    <w:rsid w:val="002468E2"/>
    <w:rsid w:val="00283C49"/>
    <w:rsid w:val="002928B5"/>
    <w:rsid w:val="002A4912"/>
    <w:rsid w:val="002C4396"/>
    <w:rsid w:val="002C7B31"/>
    <w:rsid w:val="002F2381"/>
    <w:rsid w:val="002F4B78"/>
    <w:rsid w:val="003741D9"/>
    <w:rsid w:val="003B21C1"/>
    <w:rsid w:val="00425DFE"/>
    <w:rsid w:val="00431E60"/>
    <w:rsid w:val="00461607"/>
    <w:rsid w:val="004F1B87"/>
    <w:rsid w:val="005339DF"/>
    <w:rsid w:val="005F41C8"/>
    <w:rsid w:val="00611628"/>
    <w:rsid w:val="00631488"/>
    <w:rsid w:val="00633652"/>
    <w:rsid w:val="00636570"/>
    <w:rsid w:val="006456DD"/>
    <w:rsid w:val="00645AE0"/>
    <w:rsid w:val="00697632"/>
    <w:rsid w:val="006A4179"/>
    <w:rsid w:val="00730D92"/>
    <w:rsid w:val="007337CB"/>
    <w:rsid w:val="00771B90"/>
    <w:rsid w:val="0077355B"/>
    <w:rsid w:val="00796DD9"/>
    <w:rsid w:val="007B35B9"/>
    <w:rsid w:val="007D20E1"/>
    <w:rsid w:val="007D574E"/>
    <w:rsid w:val="00826404"/>
    <w:rsid w:val="00836F24"/>
    <w:rsid w:val="008629E6"/>
    <w:rsid w:val="008765BF"/>
    <w:rsid w:val="008E28AA"/>
    <w:rsid w:val="008E36B0"/>
    <w:rsid w:val="00926A46"/>
    <w:rsid w:val="009941B2"/>
    <w:rsid w:val="009D30E1"/>
    <w:rsid w:val="009E3FF7"/>
    <w:rsid w:val="009E6BB7"/>
    <w:rsid w:val="00A10E21"/>
    <w:rsid w:val="00A32445"/>
    <w:rsid w:val="00A86723"/>
    <w:rsid w:val="00AD25C2"/>
    <w:rsid w:val="00AE2A40"/>
    <w:rsid w:val="00B00F6D"/>
    <w:rsid w:val="00B179FB"/>
    <w:rsid w:val="00B235F9"/>
    <w:rsid w:val="00B2642A"/>
    <w:rsid w:val="00B54306"/>
    <w:rsid w:val="00B923FD"/>
    <w:rsid w:val="00B93C1E"/>
    <w:rsid w:val="00B952B4"/>
    <w:rsid w:val="00BB03DC"/>
    <w:rsid w:val="00BC04EA"/>
    <w:rsid w:val="00BE2272"/>
    <w:rsid w:val="00BF22E9"/>
    <w:rsid w:val="00C34F37"/>
    <w:rsid w:val="00C849FD"/>
    <w:rsid w:val="00C9466A"/>
    <w:rsid w:val="00CA14C1"/>
    <w:rsid w:val="00CA18C1"/>
    <w:rsid w:val="00CE38D2"/>
    <w:rsid w:val="00CF41D3"/>
    <w:rsid w:val="00D47054"/>
    <w:rsid w:val="00D5007E"/>
    <w:rsid w:val="00D6650F"/>
    <w:rsid w:val="00D90CB3"/>
    <w:rsid w:val="00E26690"/>
    <w:rsid w:val="00E36492"/>
    <w:rsid w:val="00E46870"/>
    <w:rsid w:val="00E76EA3"/>
    <w:rsid w:val="00EB2308"/>
    <w:rsid w:val="00EC5ACF"/>
    <w:rsid w:val="00ED3C67"/>
    <w:rsid w:val="00F12299"/>
    <w:rsid w:val="00F3351A"/>
    <w:rsid w:val="00FE2438"/>
    <w:rsid w:val="00FE57EC"/>
    <w:rsid w:val="00FF21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556DDD"/>
  <w15:chartTrackingRefBased/>
  <w15:docId w15:val="{29C8CDDC-5444-435A-AF15-6C200CFB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2A"/>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sid w:val="00B923FD"/>
    <w:pPr>
      <w:spacing w:after="120"/>
    </w:pPr>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C3420A"/>
    <w:rPr>
      <w:color w:val="605E5C"/>
      <w:shd w:val="clear" w:color="auto" w:fill="E1DFDD"/>
    </w:rPr>
  </w:style>
  <w:style w:type="character" w:customStyle="1" w:styleId="BodyTextChar">
    <w:name w:val="Body Text Char"/>
    <w:link w:val="BodyText"/>
    <w:rsid w:val="00B923FD"/>
    <w:rPr>
      <w:sz w:val="24"/>
    </w:rPr>
  </w:style>
  <w:style w:type="character" w:customStyle="1" w:styleId="BodyTextIndentChar">
    <w:name w:val="Body Text Indent Char"/>
    <w:link w:val="BodyTextIndent"/>
    <w:rsid w:val="00B923FD"/>
    <w:rPr>
      <w:sz w:val="24"/>
    </w:rPr>
  </w:style>
  <w:style w:type="character" w:customStyle="1" w:styleId="HTMLPreformattedChar">
    <w:name w:val="HTML Preformatted Char"/>
    <w:basedOn w:val="DefaultParagraphFont"/>
    <w:link w:val="HTMLPreformatted"/>
    <w:rsid w:val="00025065"/>
    <w:rPr>
      <w:rFonts w:ascii="Courier New" w:eastAsia="Courier New" w:hAnsi="Courier New" w:cs="Courier New"/>
    </w:rPr>
  </w:style>
  <w:style w:type="character" w:customStyle="1" w:styleId="FooterChar">
    <w:name w:val="Footer Char"/>
    <w:basedOn w:val="DefaultParagraphFont"/>
    <w:link w:val="Footer"/>
    <w:uiPriority w:val="99"/>
    <w:rsid w:val="008765BF"/>
  </w:style>
  <w:style w:type="character" w:customStyle="1" w:styleId="CommentTextChar">
    <w:name w:val="Comment Text Char"/>
    <w:basedOn w:val="DefaultParagraphFont"/>
    <w:link w:val="CommentText"/>
    <w:semiHidden/>
    <w:rsid w:val="00CA18C1"/>
    <w:rPr>
      <w:sz w:val="24"/>
      <w:szCs w:val="24"/>
    </w:rPr>
  </w:style>
  <w:style w:type="paragraph" w:styleId="Revision">
    <w:name w:val="Revision"/>
    <w:hidden/>
    <w:uiPriority w:val="99"/>
    <w:semiHidden/>
    <w:rsid w:val="003741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john.jones@ohioago.gov" TargetMode="External" /><Relationship Id="rId15" Type="http://schemas.openxmlformats.org/officeDocument/2006/relationships/hyperlink" Target="mailto:Rocco.dascenzo@duke-energy.com" TargetMode="External" /><Relationship Id="rId16" Type="http://schemas.openxmlformats.org/officeDocument/2006/relationships/hyperlink" Target="mailto:Jeanne.kingery@duke-energy.com" TargetMode="External" /><Relationship Id="rId17" Type="http://schemas.openxmlformats.org/officeDocument/2006/relationships/hyperlink" Target="mailto:Larisa.vaysman@duke-energy.com" TargetMode="External" /><Relationship Id="rId18" Type="http://schemas.openxmlformats.org/officeDocument/2006/relationships/hyperlink" Target="mailto:Elyse.Akhbari@duke-energy.com"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492E-481E-46C5-9044-11C85311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2023-12-08T16:18:50Z</dcterms:created>
  <dcterms:modified xsi:type="dcterms:W3CDTF">2023-12-08T16:18:50Z</dcterms:modified>
</cp:coreProperties>
</file>